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4F677" w14:textId="77777777" w:rsidR="00770CDC" w:rsidRPr="008625DC" w:rsidRDefault="00770CDC" w:rsidP="00770CDC">
      <w:pPr>
        <w:pStyle w:val="CoverTitleSub"/>
        <w:pBdr>
          <w:top w:val="none" w:sz="0" w:space="0" w:color="auto"/>
        </w:pBdr>
        <w:rPr>
          <w:rFonts w:cs="Calibri"/>
          <w:color w:val="auto"/>
          <w:szCs w:val="36"/>
        </w:rPr>
      </w:pPr>
      <w:bookmarkStart w:id="0" w:name="_GoBack"/>
      <w:bookmarkEnd w:id="0"/>
      <w:r w:rsidRPr="008625DC">
        <w:rPr>
          <w:rFonts w:cs="Calibri"/>
          <w:noProof/>
          <w:color w:val="auto"/>
          <w:szCs w:val="36"/>
        </w:rPr>
        <w:drawing>
          <wp:anchor distT="0" distB="0" distL="114300" distR="114300" simplePos="0" relativeHeight="251658242" behindDoc="1" locked="0" layoutInCell="1" allowOverlap="1" wp14:anchorId="58732A05" wp14:editId="551FF475">
            <wp:simplePos x="0" y="0"/>
            <wp:positionH relativeFrom="column">
              <wp:posOffset>-43815</wp:posOffset>
            </wp:positionH>
            <wp:positionV relativeFrom="paragraph">
              <wp:posOffset>24765</wp:posOffset>
            </wp:positionV>
            <wp:extent cx="5857200" cy="72327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S-image-bar_v2.jpg"/>
                    <pic:cNvPicPr/>
                  </pic:nvPicPr>
                  <pic:blipFill>
                    <a:blip r:embed="rId12">
                      <a:extLst>
                        <a:ext uri="{28A0092B-C50C-407E-A947-70E740481C1C}">
                          <a14:useLocalDpi xmlns:a14="http://schemas.microsoft.com/office/drawing/2010/main" val="0"/>
                        </a:ext>
                      </a:extLst>
                    </a:blip>
                    <a:stretch>
                      <a:fillRect/>
                    </a:stretch>
                  </pic:blipFill>
                  <pic:spPr>
                    <a:xfrm>
                      <a:off x="0" y="0"/>
                      <a:ext cx="5857200" cy="723270"/>
                    </a:xfrm>
                    <a:prstGeom prst="rect">
                      <a:avLst/>
                    </a:prstGeom>
                  </pic:spPr>
                </pic:pic>
              </a:graphicData>
            </a:graphic>
            <wp14:sizeRelH relativeFrom="page">
              <wp14:pctWidth>0</wp14:pctWidth>
            </wp14:sizeRelH>
            <wp14:sizeRelV relativeFrom="page">
              <wp14:pctHeight>0</wp14:pctHeight>
            </wp14:sizeRelV>
          </wp:anchor>
        </w:drawing>
      </w:r>
    </w:p>
    <w:p w14:paraId="406FF791" w14:textId="77777777" w:rsidR="00770CDC" w:rsidRPr="008625DC" w:rsidRDefault="00770CDC" w:rsidP="00770CDC">
      <w:pPr>
        <w:pStyle w:val="CoverTitleSub"/>
        <w:pBdr>
          <w:top w:val="none" w:sz="0" w:space="0" w:color="auto"/>
        </w:pBdr>
        <w:rPr>
          <w:rFonts w:cs="Calibri"/>
          <w:color w:val="auto"/>
          <w:szCs w:val="36"/>
        </w:rPr>
      </w:pPr>
    </w:p>
    <w:p w14:paraId="22794254" w14:textId="77777777" w:rsidR="00770CDC" w:rsidRPr="008625DC" w:rsidRDefault="00770CDC" w:rsidP="00770CDC">
      <w:pPr>
        <w:pStyle w:val="CoverTitleSub"/>
        <w:pBdr>
          <w:top w:val="none" w:sz="0" w:space="0" w:color="auto"/>
        </w:pBdr>
        <w:rPr>
          <w:rFonts w:cs="Calibri"/>
          <w:color w:val="auto"/>
          <w:szCs w:val="36"/>
        </w:rPr>
      </w:pPr>
    </w:p>
    <w:p w14:paraId="20F26363" w14:textId="78A409E9" w:rsidR="00770CDC" w:rsidRPr="008625DC" w:rsidRDefault="00770CDC" w:rsidP="00770CDC">
      <w:pPr>
        <w:pStyle w:val="CoverTitleSub"/>
        <w:pBdr>
          <w:top w:val="none" w:sz="0" w:space="0" w:color="auto"/>
        </w:pBdr>
        <w:rPr>
          <w:rFonts w:cs="Calibri"/>
          <w:color w:val="auto"/>
          <w:szCs w:val="36"/>
        </w:rPr>
      </w:pPr>
    </w:p>
    <w:p w14:paraId="0DDBA2C3" w14:textId="77777777" w:rsidR="00770CDC" w:rsidRPr="008625DC" w:rsidRDefault="00770CDC" w:rsidP="00770CDC">
      <w:pPr>
        <w:pStyle w:val="CoverTitleSub"/>
        <w:pBdr>
          <w:top w:val="none" w:sz="0" w:space="0" w:color="auto"/>
        </w:pBdr>
        <w:spacing w:before="1200"/>
        <w:rPr>
          <w:rFonts w:cs="Calibri"/>
          <w:color w:val="auto"/>
          <w:szCs w:val="36"/>
        </w:rPr>
      </w:pPr>
    </w:p>
    <w:p w14:paraId="3DFFC57E" w14:textId="1E4BF692" w:rsidR="00770CDC" w:rsidRPr="008625DC" w:rsidRDefault="00770CDC" w:rsidP="00770CDC">
      <w:pPr>
        <w:pStyle w:val="CoverTitleSub"/>
        <w:pBdr>
          <w:top w:val="none" w:sz="0" w:space="0" w:color="auto"/>
        </w:pBdr>
        <w:spacing w:before="2160" w:after="0"/>
        <w:ind w:left="-142"/>
        <w:rPr>
          <w:rFonts w:cs="Calibri"/>
          <w:color w:val="auto"/>
          <w:szCs w:val="36"/>
        </w:rPr>
      </w:pPr>
      <w:r w:rsidRPr="008625DC">
        <w:rPr>
          <w:rFonts w:cs="Calibri"/>
          <w:noProof/>
          <w:color w:val="auto"/>
          <w:szCs w:val="36"/>
        </w:rPr>
        <w:drawing>
          <wp:inline distT="0" distB="0" distL="0" distR="0" wp14:anchorId="58FD7757" wp14:editId="35371C78">
            <wp:extent cx="3547110" cy="267970"/>
            <wp:effectExtent l="0" t="0" r="0" b="0"/>
            <wp:docPr id="14" name="Picture 14" descr="Competition Policy Revie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etition Policy Review log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110" cy="267970"/>
                    </a:xfrm>
                    <a:prstGeom prst="rect">
                      <a:avLst/>
                    </a:prstGeom>
                    <a:noFill/>
                    <a:ln>
                      <a:noFill/>
                    </a:ln>
                  </pic:spPr>
                </pic:pic>
              </a:graphicData>
            </a:graphic>
          </wp:inline>
        </w:drawing>
      </w:r>
    </w:p>
    <w:p w14:paraId="2DAFB2C9" w14:textId="77777777" w:rsidR="00770CDC" w:rsidRPr="008625DC" w:rsidRDefault="00770CDC" w:rsidP="00770CDC">
      <w:pPr>
        <w:spacing w:before="0" w:after="120"/>
      </w:pPr>
      <w:r w:rsidRPr="008625DC">
        <w:rPr>
          <w:noProof/>
        </w:rPr>
        <mc:AlternateContent>
          <mc:Choice Requires="wps">
            <w:drawing>
              <wp:anchor distT="0" distB="0" distL="114300" distR="114300" simplePos="0" relativeHeight="251658241" behindDoc="0" locked="0" layoutInCell="1" allowOverlap="1" wp14:anchorId="45F202E5" wp14:editId="7065F596">
                <wp:simplePos x="0" y="0"/>
                <wp:positionH relativeFrom="column">
                  <wp:posOffset>2223770</wp:posOffset>
                </wp:positionH>
                <wp:positionV relativeFrom="paragraph">
                  <wp:posOffset>139700</wp:posOffset>
                </wp:positionV>
                <wp:extent cx="3581400" cy="52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581400" cy="5238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81F6C" w14:textId="77777777" w:rsidR="00977786" w:rsidRPr="00972183" w:rsidRDefault="00977786" w:rsidP="00770CDC">
                            <w:pPr>
                              <w:pStyle w:val="CoverTitleSub"/>
                              <w:pBdr>
                                <w:top w:val="single" w:sz="4" w:space="1" w:color="009976" w:themeColor="accent1"/>
                              </w:pBdr>
                              <w:spacing w:after="0" w:line="340" w:lineRule="exact"/>
                              <w:rPr>
                                <w:color w:val="FFFFFF" w:themeColor="background1"/>
                                <w:sz w:val="32"/>
                                <w:szCs w:val="32"/>
                              </w:rPr>
                            </w:pPr>
                            <w:r w:rsidRPr="00CD5A9A">
                              <w:rPr>
                                <w:color w:val="FFFFFF" w:themeColor="background1"/>
                                <w:sz w:val="44"/>
                                <w:szCs w:val="44"/>
                              </w:rPr>
                              <w:t>Draft Report</w:t>
                            </w:r>
                            <w:r w:rsidRPr="00CD5A9A">
                              <w:rPr>
                                <w:color w:val="FFFFFF" w:themeColor="background1"/>
                              </w:rPr>
                              <w:br/>
                            </w:r>
                            <w:r w:rsidRPr="00972183">
                              <w:rPr>
                                <w:color w:val="FFFFFF" w:themeColor="background1"/>
                                <w:sz w:val="32"/>
                                <w:szCs w:val="32"/>
                              </w:rPr>
                              <w:t>September 2014</w:t>
                            </w:r>
                          </w:p>
                          <w:p w14:paraId="143A2B68" w14:textId="77777777" w:rsidR="00977786" w:rsidRDefault="00977786" w:rsidP="00770CDC"/>
                        </w:txbxContent>
                      </wps:txbx>
                      <wps:bodyPr rot="0" spcFirstLastPara="0" vertOverflow="overflow" horzOverflow="overflow" vert="horz" wrap="square" lIns="36000" tIns="36000" rIns="72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5.1pt;margin-top:11pt;width:282pt;height:4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" fillcolor="#009976 [3204]" stroked="f" strokeweight=".5pt">
                <v:textbox inset="1mm,1mm,2mm,1mm">
                  <w:txbxContent>
                    <w:p w14:paraId="0ED81F6C" w14:textId="77777777" w:rsidR="00977786" w:rsidRPr="00972183" w:rsidRDefault="00977786" w:rsidP="00770CDC">
                      <w:pPr>
                        <w:pStyle w:val="CoverTitleSub"/>
                        <w:pBdr>
                          <w:top w:val="single" w:sz="4" w:space="1" w:color="009976" w:themeColor="accent1"/>
                        </w:pBdr>
                        <w:spacing w:after="0" w:line="340" w:lineRule="exact"/>
                        <w:rPr>
                          <w:color w:val="FFFFFF" w:themeColor="background1"/>
                          <w:sz w:val="32"/>
                          <w:szCs w:val="32"/>
                        </w:rPr>
                      </w:pPr>
                      <w:r w:rsidRPr="00CD5A9A">
                        <w:rPr>
                          <w:color w:val="FFFFFF" w:themeColor="background1"/>
                          <w:sz w:val="44"/>
                          <w:szCs w:val="44"/>
                        </w:rPr>
                        <w:t>Draft Report</w:t>
                      </w:r>
                      <w:r w:rsidRPr="00CD5A9A">
                        <w:rPr>
                          <w:color w:val="FFFFFF" w:themeColor="background1"/>
                        </w:rPr>
                        <w:br/>
                      </w:r>
                      <w:r w:rsidRPr="00972183">
                        <w:rPr>
                          <w:color w:val="FFFFFF" w:themeColor="background1"/>
                          <w:sz w:val="32"/>
                          <w:szCs w:val="32"/>
                        </w:rPr>
                        <w:t>September 2014</w:t>
                      </w:r>
                    </w:p>
                    <w:p w14:paraId="143A2B68" w14:textId="77777777" w:rsidR="00977786" w:rsidRDefault="00977786" w:rsidP="00770CDC"/>
                  </w:txbxContent>
                </v:textbox>
              </v:shape>
            </w:pict>
          </mc:Fallback>
        </mc:AlternateContent>
      </w:r>
    </w:p>
    <w:p w14:paraId="486A8902" w14:textId="77777777" w:rsidR="00770CDC" w:rsidRPr="008625DC" w:rsidRDefault="00770CDC" w:rsidP="00770CDC">
      <w:pPr>
        <w:sectPr w:rsidR="00770CDC" w:rsidRPr="008625DC">
          <w:footerReference w:type="even" r:id="rId14"/>
          <w:footerReference w:type="first" r:id="rId15"/>
          <w:pgSz w:w="11906" w:h="16838"/>
          <w:pgMar w:top="1418" w:right="1418" w:bottom="1418" w:left="1418" w:header="709" w:footer="709" w:gutter="0"/>
          <w:cols w:space="720"/>
        </w:sectPr>
      </w:pPr>
    </w:p>
    <w:p w14:paraId="3A16F036" w14:textId="3289DB91" w:rsidR="00032D0F" w:rsidRPr="008625DC" w:rsidRDefault="00032D0F" w:rsidP="00C04A39">
      <w:r w:rsidRPr="008625DC">
        <w:lastRenderedPageBreak/>
        <w:t>© Commonwealth of Australia 201</w:t>
      </w:r>
      <w:r w:rsidR="002A5D43" w:rsidRPr="008625DC">
        <w:t>4</w:t>
      </w:r>
    </w:p>
    <w:p w14:paraId="1D0A2355" w14:textId="79D9BCF8" w:rsidR="00032D0F" w:rsidRPr="008625DC" w:rsidRDefault="00032D0F" w:rsidP="00F03A9D">
      <w:r w:rsidRPr="008625DC">
        <w:t xml:space="preserve">ISBN </w:t>
      </w:r>
      <w:r w:rsidR="00740206" w:rsidRPr="008625DC">
        <w:t>978</w:t>
      </w:r>
      <w:r w:rsidR="00C74E19" w:rsidRPr="008625DC">
        <w:noBreakHyphen/>
      </w:r>
      <w:r w:rsidR="00740206" w:rsidRPr="008625DC">
        <w:t>1</w:t>
      </w:r>
      <w:r w:rsidR="00C74E19" w:rsidRPr="008625DC">
        <w:noBreakHyphen/>
      </w:r>
      <w:r w:rsidR="00740206" w:rsidRPr="008625DC">
        <w:t>925220</w:t>
      </w:r>
      <w:r w:rsidR="00C74E19" w:rsidRPr="008625DC">
        <w:noBreakHyphen/>
      </w:r>
      <w:r w:rsidR="00740206" w:rsidRPr="008625DC">
        <w:t>08</w:t>
      </w:r>
      <w:r w:rsidR="00C74E19" w:rsidRPr="008625DC">
        <w:noBreakHyphen/>
      </w:r>
      <w:r w:rsidR="00740206" w:rsidRPr="008625DC">
        <w:t>7</w:t>
      </w:r>
    </w:p>
    <w:p w14:paraId="28FA33F2" w14:textId="03AAA9CA" w:rsidR="00032D0F" w:rsidRPr="008625DC" w:rsidRDefault="00032D0F" w:rsidP="008D647F">
      <w:pPr>
        <w:tabs>
          <w:tab w:val="left" w:pos="1650"/>
        </w:tabs>
        <w:spacing w:before="100" w:beforeAutospacing="1" w:after="100" w:afterAutospacing="1"/>
        <w:rPr>
          <w:rStyle w:val="A5"/>
          <w:rFonts w:cstheme="minorBidi"/>
          <w:sz w:val="24"/>
          <w:szCs w:val="24"/>
        </w:rPr>
      </w:pPr>
      <w:r w:rsidRPr="008625DC">
        <w:rPr>
          <w:rFonts w:cstheme="minorHAnsi"/>
          <w:noProof/>
          <w:sz w:val="24"/>
          <w:szCs w:val="24"/>
        </w:rPr>
        <w:drawing>
          <wp:anchor distT="0" distB="0" distL="114300" distR="114300" simplePos="0" relativeHeight="251658240" behindDoc="0" locked="0" layoutInCell="1" allowOverlap="1" wp14:anchorId="49641491" wp14:editId="1F75E6C1">
            <wp:simplePos x="0" y="0"/>
            <wp:positionH relativeFrom="margin">
              <wp:align>left</wp:align>
            </wp:positionH>
            <wp:positionV relativeFrom="paragraph">
              <wp:posOffset>915670</wp:posOffset>
            </wp:positionV>
            <wp:extent cx="809625" cy="285750"/>
            <wp:effectExtent l="0" t="0" r="9525" b="0"/>
            <wp:wrapTopAndBottom/>
            <wp:docPr id="3" name="Picture 1" descr="Creative Commons icon" title="Cre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625DC">
        <w:t>This publication is available for your use under a</w:t>
      </w:r>
      <w:r w:rsidRPr="008625DC">
        <w:rPr>
          <w:rStyle w:val="A5"/>
          <w:rFonts w:cstheme="minorHAnsi"/>
          <w:sz w:val="24"/>
          <w:szCs w:val="24"/>
        </w:rPr>
        <w:t xml:space="preserve"> </w:t>
      </w:r>
      <w:hyperlink r:id="rId17" w:history="1">
        <w:r w:rsidRPr="008625DC">
          <w:rPr>
            <w:rStyle w:val="Hyperlink"/>
          </w:rPr>
          <w:t>Creative Commons Attribution 3.0 Australia</w:t>
        </w:r>
      </w:hyperlink>
      <w:r w:rsidRPr="008625DC">
        <w:rPr>
          <w:rStyle w:val="A5"/>
          <w:rFonts w:cstheme="minorHAnsi"/>
          <w:sz w:val="24"/>
          <w:szCs w:val="24"/>
        </w:rPr>
        <w:t xml:space="preserve"> </w:t>
      </w:r>
      <w:r w:rsidRPr="008625DC">
        <w:t xml:space="preserve">licence, with the exception of the Commonwealth Coat of Arms, the </w:t>
      </w:r>
      <w:r w:rsidR="002D2743" w:rsidRPr="008625DC">
        <w:t xml:space="preserve">Competition Policy Review </w:t>
      </w:r>
      <w:r w:rsidRPr="008625DC">
        <w:t>logo, photographs, images, signatures and where otherwise stated. The full licence terms are available from</w:t>
      </w:r>
      <w:r w:rsidRPr="008625DC">
        <w:rPr>
          <w:rStyle w:val="A5"/>
          <w:rFonts w:cstheme="minorHAnsi"/>
          <w:sz w:val="24"/>
          <w:szCs w:val="24"/>
        </w:rPr>
        <w:t xml:space="preserve"> </w:t>
      </w:r>
      <w:hyperlink r:id="rId18" w:history="1">
        <w:r w:rsidRPr="008625DC">
          <w:rPr>
            <w:rStyle w:val="Hyperlink"/>
          </w:rPr>
          <w:t>http://creativecommons.org/licenses/by/3.0/au/legalcode</w:t>
        </w:r>
      </w:hyperlink>
      <w:r w:rsidRPr="008625DC">
        <w:rPr>
          <w:rStyle w:val="Hyperlink"/>
        </w:rPr>
        <w:t>.</w:t>
      </w:r>
      <w:r w:rsidRPr="008625DC">
        <w:rPr>
          <w:sz w:val="24"/>
          <w:szCs w:val="24"/>
        </w:rPr>
        <w:t xml:space="preserve"> </w:t>
      </w:r>
    </w:p>
    <w:p w14:paraId="21A78A02" w14:textId="77777777" w:rsidR="00032D0F" w:rsidRPr="008625DC" w:rsidRDefault="00032D0F" w:rsidP="00F03A9D">
      <w:pPr>
        <w:tabs>
          <w:tab w:val="left" w:pos="1650"/>
        </w:tabs>
        <w:spacing w:before="360" w:after="100" w:afterAutospacing="1"/>
      </w:pPr>
      <w:r w:rsidRPr="008625DC">
        <w:t xml:space="preserve">Use of </w:t>
      </w:r>
      <w:r w:rsidR="002D2743" w:rsidRPr="008625DC">
        <w:t xml:space="preserve">Competition Policy Review </w:t>
      </w:r>
      <w:r w:rsidRPr="008625DC">
        <w:t>material under a</w:t>
      </w:r>
      <w:r w:rsidRPr="008625DC">
        <w:rPr>
          <w:rFonts w:cstheme="minorHAnsi"/>
          <w:sz w:val="24"/>
          <w:szCs w:val="24"/>
        </w:rPr>
        <w:t xml:space="preserve"> </w:t>
      </w:r>
      <w:hyperlink r:id="rId19" w:history="1">
        <w:r w:rsidRPr="008625DC">
          <w:rPr>
            <w:rStyle w:val="Hyperlink"/>
          </w:rPr>
          <w:t>Creative Commons Attribution 3.0 Australia</w:t>
        </w:r>
      </w:hyperlink>
      <w:r w:rsidRPr="008625DC">
        <w:rPr>
          <w:rStyle w:val="Hyperlink"/>
        </w:rPr>
        <w:t xml:space="preserve"> </w:t>
      </w:r>
      <w:r w:rsidRPr="008625DC">
        <w:t xml:space="preserve">licence requires you to attribute the work (but not in any way that suggests that the </w:t>
      </w:r>
      <w:r w:rsidR="002D2743" w:rsidRPr="008625DC">
        <w:t xml:space="preserve">Competition Policy Review </w:t>
      </w:r>
      <w:r w:rsidRPr="008625DC">
        <w:t>endorses you or your use of the work).</w:t>
      </w:r>
    </w:p>
    <w:p w14:paraId="33661FF5" w14:textId="648CF62B" w:rsidR="00032D0F" w:rsidRPr="008625DC" w:rsidRDefault="002D2743" w:rsidP="002538F5">
      <w:pPr>
        <w:pStyle w:val="Copyrightheadings"/>
      </w:pPr>
      <w:r w:rsidRPr="008625DC">
        <w:t xml:space="preserve">Competition Policy Review </w:t>
      </w:r>
      <w:r w:rsidR="00032D0F" w:rsidRPr="008625DC">
        <w:t xml:space="preserve">material used </w:t>
      </w:r>
      <w:r w:rsidR="00C74E19" w:rsidRPr="008625DC">
        <w:t>‘</w:t>
      </w:r>
      <w:r w:rsidR="00032D0F" w:rsidRPr="008625DC">
        <w:t>as supplied</w:t>
      </w:r>
      <w:r w:rsidR="00C74E19" w:rsidRPr="008625DC">
        <w:t>’</w:t>
      </w:r>
      <w:r w:rsidR="00032D0F" w:rsidRPr="008625DC">
        <w:t>.</w:t>
      </w:r>
    </w:p>
    <w:p w14:paraId="6FE4BA71" w14:textId="77777777" w:rsidR="00032D0F" w:rsidRPr="008625DC" w:rsidRDefault="00032D0F" w:rsidP="002D2743">
      <w:pPr>
        <w:spacing w:after="120"/>
      </w:pPr>
      <w:r w:rsidRPr="008625DC">
        <w:t xml:space="preserve">Provided you have not modified or transformed </w:t>
      </w:r>
      <w:r w:rsidR="002D2743" w:rsidRPr="008625DC">
        <w:t xml:space="preserve">Competition Policy Review </w:t>
      </w:r>
      <w:r w:rsidRPr="008625DC">
        <w:t xml:space="preserve">material in any way including, for example, by changing the </w:t>
      </w:r>
      <w:r w:rsidR="002D2743" w:rsidRPr="008625DC">
        <w:t xml:space="preserve">Competition Policy Review </w:t>
      </w:r>
      <w:r w:rsidRPr="008625DC">
        <w:t xml:space="preserve">text; calculating percentage changes; graphing or charting data; or deriving new statistics from published </w:t>
      </w:r>
      <w:r w:rsidR="002D2743" w:rsidRPr="008625DC">
        <w:t xml:space="preserve">Competition Policy Review </w:t>
      </w:r>
      <w:r w:rsidRPr="008625DC">
        <w:t xml:space="preserve">statistics — then </w:t>
      </w:r>
      <w:r w:rsidR="002D2743" w:rsidRPr="008625DC">
        <w:t xml:space="preserve">the Competition Policy Review </w:t>
      </w:r>
      <w:r w:rsidRPr="008625DC">
        <w:t xml:space="preserve">prefers the following attribution: </w:t>
      </w:r>
    </w:p>
    <w:p w14:paraId="34D162FC" w14:textId="3119A145" w:rsidR="00032D0F" w:rsidRPr="008625DC" w:rsidRDefault="00032D0F" w:rsidP="002D2743">
      <w:pPr>
        <w:ind w:left="709" w:firstLine="11"/>
      </w:pPr>
      <w:r w:rsidRPr="008625DC">
        <w:rPr>
          <w:i/>
        </w:rPr>
        <w:t xml:space="preserve">Source: The </w:t>
      </w:r>
      <w:r w:rsidR="002A1A8B" w:rsidRPr="008625DC">
        <w:rPr>
          <w:i/>
          <w:iCs/>
        </w:rPr>
        <w:t>Australian Government </w:t>
      </w:r>
      <w:r w:rsidR="002D2743" w:rsidRPr="008625DC">
        <w:rPr>
          <w:i/>
        </w:rPr>
        <w:t>Competition Policy Review</w:t>
      </w:r>
      <w:r w:rsidRPr="008625DC">
        <w:t>.</w:t>
      </w:r>
    </w:p>
    <w:p w14:paraId="5FCF209B" w14:textId="77777777" w:rsidR="00032D0F" w:rsidRPr="008625DC" w:rsidRDefault="00032D0F" w:rsidP="002D2743">
      <w:pPr>
        <w:pStyle w:val="Copyrightheadings"/>
      </w:pPr>
      <w:r w:rsidRPr="008625DC">
        <w:t>Derivative material</w:t>
      </w:r>
    </w:p>
    <w:p w14:paraId="2822C9F4" w14:textId="77777777" w:rsidR="00032D0F" w:rsidRPr="008625DC" w:rsidRDefault="00032D0F" w:rsidP="002D2743">
      <w:pPr>
        <w:spacing w:after="120"/>
      </w:pPr>
      <w:r w:rsidRPr="008625DC">
        <w:t xml:space="preserve">If you have modified or transformed </w:t>
      </w:r>
      <w:r w:rsidR="002D2743" w:rsidRPr="008625DC">
        <w:t xml:space="preserve">Competition Policy Review </w:t>
      </w:r>
      <w:r w:rsidRPr="008625DC">
        <w:t xml:space="preserve">material, or derived new material from those of the </w:t>
      </w:r>
      <w:r w:rsidR="002D2743" w:rsidRPr="008625DC">
        <w:t xml:space="preserve">Competition Policy Review </w:t>
      </w:r>
      <w:r w:rsidRPr="008625DC">
        <w:t xml:space="preserve">in any way, then </w:t>
      </w:r>
      <w:r w:rsidR="002D2743" w:rsidRPr="008625DC">
        <w:t xml:space="preserve">the Competition Policy Review </w:t>
      </w:r>
      <w:r w:rsidRPr="008625DC">
        <w:t xml:space="preserve">prefers the following attribution: </w:t>
      </w:r>
    </w:p>
    <w:p w14:paraId="59AA61D7" w14:textId="39E8F919" w:rsidR="00032D0F" w:rsidRPr="008625DC" w:rsidRDefault="00032D0F" w:rsidP="002D2743">
      <w:pPr>
        <w:ind w:left="709" w:firstLine="11"/>
      </w:pPr>
      <w:proofErr w:type="gramStart"/>
      <w:r w:rsidRPr="008625DC">
        <w:rPr>
          <w:i/>
        </w:rPr>
        <w:t xml:space="preserve">Based on The Australian Government </w:t>
      </w:r>
      <w:r w:rsidR="002D2743" w:rsidRPr="008625DC">
        <w:rPr>
          <w:i/>
        </w:rPr>
        <w:t>Competition Policy Review</w:t>
      </w:r>
      <w:r w:rsidR="002D2743" w:rsidRPr="008625DC">
        <w:t xml:space="preserve"> </w:t>
      </w:r>
      <w:r w:rsidRPr="008625DC">
        <w:rPr>
          <w:i/>
        </w:rPr>
        <w:t>data</w:t>
      </w:r>
      <w:r w:rsidRPr="008625DC">
        <w:t>.</w:t>
      </w:r>
      <w:proofErr w:type="gramEnd"/>
    </w:p>
    <w:p w14:paraId="78786AE4" w14:textId="77777777" w:rsidR="00032D0F" w:rsidRPr="008625DC" w:rsidRDefault="00032D0F" w:rsidP="002D2743">
      <w:pPr>
        <w:pStyle w:val="Copyrightheadings"/>
      </w:pPr>
      <w:r w:rsidRPr="008625DC">
        <w:t>Use of the Coat of Arms</w:t>
      </w:r>
    </w:p>
    <w:p w14:paraId="3EA99B59" w14:textId="5DC73771" w:rsidR="00032D0F" w:rsidRPr="008625DC" w:rsidRDefault="00032D0F" w:rsidP="00F03A9D">
      <w:r w:rsidRPr="008625DC">
        <w:t>The terms under which the Coat of Arms can be used are set out on the It</w:t>
      </w:r>
      <w:r w:rsidR="00C74E19" w:rsidRPr="008625DC">
        <w:t>’</w:t>
      </w:r>
      <w:r w:rsidRPr="008625DC">
        <w:t>s an Honour website (see</w:t>
      </w:r>
      <w:r w:rsidR="002D2743" w:rsidRPr="008625DC">
        <w:t> </w:t>
      </w:r>
      <w:hyperlink r:id="rId20" w:history="1">
        <w:r w:rsidRPr="008625DC">
          <w:t>www.itsanhonour.gov.au</w:t>
        </w:r>
      </w:hyperlink>
      <w:r w:rsidRPr="008625DC">
        <w:t>).</w:t>
      </w:r>
    </w:p>
    <w:p w14:paraId="0BB97C2D" w14:textId="77777777" w:rsidR="00032D0F" w:rsidRPr="008625DC" w:rsidRDefault="002D2743" w:rsidP="002D2743">
      <w:pPr>
        <w:pStyle w:val="Copyrightheadings"/>
      </w:pPr>
      <w:r w:rsidRPr="008625DC">
        <w:t>Other u</w:t>
      </w:r>
      <w:r w:rsidR="00032D0F" w:rsidRPr="008625DC">
        <w:t>ses</w:t>
      </w:r>
    </w:p>
    <w:p w14:paraId="65DD91D4" w14:textId="527E4CE6" w:rsidR="00032D0F" w:rsidRPr="008625DC" w:rsidRDefault="00DF3014" w:rsidP="00B84AD6">
      <w:pPr>
        <w:spacing w:after="120"/>
      </w:pPr>
      <w:r w:rsidRPr="008625DC">
        <w:t>E</w:t>
      </w:r>
      <w:r w:rsidR="00032D0F" w:rsidRPr="008625DC">
        <w:t>nquiries regarding this licence and any other use of this document are welcome at:</w:t>
      </w:r>
    </w:p>
    <w:p w14:paraId="003056CC" w14:textId="0977F8DA" w:rsidR="00032D0F" w:rsidRPr="008625DC" w:rsidRDefault="00032D0F" w:rsidP="005224B7">
      <w:pPr>
        <w:ind w:left="720"/>
        <w:rPr>
          <w:rStyle w:val="Hyperlink"/>
        </w:rPr>
      </w:pPr>
      <w:r w:rsidRPr="008625DC">
        <w:t>Manager</w:t>
      </w:r>
      <w:r w:rsidRPr="008625DC">
        <w:br/>
        <w:t>Communications</w:t>
      </w:r>
      <w:r w:rsidRPr="008625DC">
        <w:br/>
        <w:t>The Treasury</w:t>
      </w:r>
      <w:r w:rsidRPr="008625DC">
        <w:br/>
        <w:t xml:space="preserve">Langton Crescent </w:t>
      </w:r>
      <w:r w:rsidR="002D2743" w:rsidRPr="008625DC">
        <w:br/>
        <w:t>Parkes</w:t>
      </w:r>
      <w:r w:rsidR="00787DCF" w:rsidRPr="008625DC">
        <w:t xml:space="preserve"> </w:t>
      </w:r>
      <w:r w:rsidR="002D2743" w:rsidRPr="008625DC">
        <w:t>ACT</w:t>
      </w:r>
      <w:r w:rsidR="00787DCF" w:rsidRPr="008625DC">
        <w:t xml:space="preserve"> </w:t>
      </w:r>
      <w:r w:rsidRPr="008625DC">
        <w:t>2600</w:t>
      </w:r>
      <w:r w:rsidRPr="008625DC">
        <w:br/>
        <w:t xml:space="preserve">Email: </w:t>
      </w:r>
      <w:hyperlink r:id="rId21" w:history="1">
        <w:r w:rsidRPr="008625DC">
          <w:rPr>
            <w:rStyle w:val="Hyperlink"/>
          </w:rPr>
          <w:t>medialiaison@treasury.gov.au</w:t>
        </w:r>
      </w:hyperlink>
    </w:p>
    <w:p w14:paraId="597E8F59" w14:textId="77777777" w:rsidR="00032D0F" w:rsidRPr="008625DC" w:rsidRDefault="00032D0F" w:rsidP="00F03A9D">
      <w:pPr>
        <w:rPr>
          <w:rFonts w:cs="Arial"/>
        </w:rPr>
      </w:pPr>
    </w:p>
    <w:p w14:paraId="674E2EDC" w14:textId="77777777" w:rsidR="00032D0F" w:rsidRPr="008625DC" w:rsidRDefault="00032D0F" w:rsidP="00F03A9D">
      <w:pPr>
        <w:sectPr w:rsidR="00032D0F" w:rsidRPr="008625DC" w:rsidSect="00AF56D0">
          <w:headerReference w:type="even" r:id="rId22"/>
          <w:headerReference w:type="default" r:id="rId23"/>
          <w:footerReference w:type="even" r:id="rId24"/>
          <w:headerReference w:type="first" r:id="rId25"/>
          <w:pgSz w:w="11906" w:h="16838"/>
          <w:pgMar w:top="1418" w:right="1418" w:bottom="1418" w:left="1418" w:header="709" w:footer="709" w:gutter="0"/>
          <w:pgNumType w:fmt="lowerRoman"/>
          <w:cols w:space="720"/>
        </w:sectPr>
      </w:pPr>
    </w:p>
    <w:p w14:paraId="3D689ADE" w14:textId="77777777" w:rsidR="00032D0F" w:rsidRPr="008625DC" w:rsidRDefault="00032D0F" w:rsidP="00E94966">
      <w:pPr>
        <w:pStyle w:val="ContentsHeading"/>
        <w:spacing w:before="240" w:after="480"/>
      </w:pPr>
      <w:r w:rsidRPr="008625DC">
        <w:rPr>
          <w:rFonts w:cs="Calibri"/>
        </w:rPr>
        <w:lastRenderedPageBreak/>
        <w:t>Contents</w:t>
      </w:r>
    </w:p>
    <w:p w14:paraId="38CB6A37" w14:textId="519E14C0" w:rsidR="00C424AA" w:rsidRPr="008625DC" w:rsidRDefault="000C034A">
      <w:pPr>
        <w:pStyle w:val="TOC1"/>
        <w:rPr>
          <w:rFonts w:asciiTheme="minorHAnsi" w:eastAsiaTheme="minorEastAsia" w:hAnsiTheme="minorHAnsi" w:cstheme="minorBidi"/>
          <w:b w:val="0"/>
          <w:caps w:val="0"/>
          <w:noProof/>
          <w:color w:val="auto"/>
          <w:sz w:val="22"/>
        </w:rPr>
      </w:pPr>
      <w:r w:rsidRPr="008625DC">
        <w:rPr>
          <w:b w:val="0"/>
          <w:caps w:val="0"/>
        </w:rPr>
        <w:fldChar w:fldCharType="begin"/>
      </w:r>
      <w:r w:rsidRPr="008625DC">
        <w:rPr>
          <w:b w:val="0"/>
          <w:caps w:val="0"/>
        </w:rPr>
        <w:instrText xml:space="preserve"> TOC \h \z \t "Heading 1,1,Heading 2,2,Appendix Heading,1,Heading 1 Not Numbered,1,Part Heading,1" </w:instrText>
      </w:r>
      <w:r w:rsidRPr="008625DC">
        <w:rPr>
          <w:b w:val="0"/>
          <w:caps w:val="0"/>
        </w:rPr>
        <w:fldChar w:fldCharType="separate"/>
      </w:r>
      <w:hyperlink w:anchor="_Toc398827492" w:history="1">
        <w:r w:rsidR="00C424AA" w:rsidRPr="008625DC">
          <w:rPr>
            <w:rStyle w:val="Hyperlink"/>
            <w:noProof/>
          </w:rPr>
          <w:t>Message from the Panel</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_Toc398827492 \h </w:instrText>
        </w:r>
        <w:r w:rsidR="00C424AA" w:rsidRPr="008625DC">
          <w:rPr>
            <w:noProof/>
            <w:webHidden/>
          </w:rPr>
        </w:r>
        <w:r w:rsidR="00C424AA" w:rsidRPr="008625DC">
          <w:rPr>
            <w:noProof/>
            <w:webHidden/>
          </w:rPr>
          <w:fldChar w:fldCharType="separate"/>
        </w:r>
        <w:r w:rsidR="00E26228">
          <w:rPr>
            <w:noProof/>
            <w:webHidden/>
          </w:rPr>
          <w:t>1</w:t>
        </w:r>
        <w:r w:rsidR="00C424AA" w:rsidRPr="008625DC">
          <w:rPr>
            <w:noProof/>
            <w:webHidden/>
          </w:rPr>
          <w:fldChar w:fldCharType="end"/>
        </w:r>
      </w:hyperlink>
    </w:p>
    <w:p w14:paraId="6EB68570" w14:textId="388EEED4" w:rsidR="00C424AA" w:rsidRPr="008625DC" w:rsidRDefault="00AD530F">
      <w:pPr>
        <w:pStyle w:val="TOC1"/>
        <w:rPr>
          <w:rFonts w:asciiTheme="minorHAnsi" w:eastAsiaTheme="minorEastAsia" w:hAnsiTheme="minorHAnsi" w:cstheme="minorBidi"/>
          <w:b w:val="0"/>
          <w:caps w:val="0"/>
          <w:noProof/>
          <w:color w:val="auto"/>
          <w:sz w:val="22"/>
        </w:rPr>
      </w:pPr>
      <w:hyperlink w:anchor="_Toc398827493" w:history="1">
        <w:r w:rsidR="00C424AA" w:rsidRPr="008625DC">
          <w:rPr>
            <w:rStyle w:val="Hyperlink"/>
            <w:noProof/>
          </w:rPr>
          <w:t>Abbreviations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_Toc398827493 \h </w:instrText>
        </w:r>
        <w:r w:rsidR="00C424AA" w:rsidRPr="008625DC">
          <w:rPr>
            <w:noProof/>
            <w:webHidden/>
          </w:rPr>
        </w:r>
        <w:r w:rsidR="00C424AA" w:rsidRPr="008625DC">
          <w:rPr>
            <w:noProof/>
            <w:webHidden/>
          </w:rPr>
          <w:fldChar w:fldCharType="separate"/>
        </w:r>
        <w:r w:rsidR="00E26228">
          <w:rPr>
            <w:noProof/>
            <w:webHidden/>
          </w:rPr>
          <w:t>3</w:t>
        </w:r>
        <w:r w:rsidR="00C424AA" w:rsidRPr="008625DC">
          <w:rPr>
            <w:noProof/>
            <w:webHidden/>
          </w:rPr>
          <w:fldChar w:fldCharType="end"/>
        </w:r>
      </w:hyperlink>
    </w:p>
    <w:p w14:paraId="6B2A0223" w14:textId="5E6D1620" w:rsidR="00C424AA" w:rsidRPr="008625DC" w:rsidRDefault="00AD530F">
      <w:pPr>
        <w:pStyle w:val="TOC1"/>
        <w:rPr>
          <w:rFonts w:asciiTheme="minorHAnsi" w:eastAsiaTheme="minorEastAsia" w:hAnsiTheme="minorHAnsi" w:cstheme="minorBidi"/>
          <w:b w:val="0"/>
          <w:caps w:val="0"/>
          <w:noProof/>
          <w:color w:val="auto"/>
          <w:sz w:val="22"/>
        </w:rPr>
      </w:pPr>
      <w:hyperlink w:anchor="_Toc398827494" w:history="1">
        <w:r w:rsidR="00C424AA" w:rsidRPr="008625DC">
          <w:rPr>
            <w:rStyle w:val="Hyperlink"/>
            <w:noProof/>
          </w:rPr>
          <w:t>Executive summary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_Toc398827494 \h </w:instrText>
        </w:r>
        <w:r w:rsidR="00C424AA" w:rsidRPr="008625DC">
          <w:rPr>
            <w:noProof/>
            <w:webHidden/>
          </w:rPr>
        </w:r>
        <w:r w:rsidR="00C424AA" w:rsidRPr="008625DC">
          <w:rPr>
            <w:noProof/>
            <w:webHidden/>
          </w:rPr>
          <w:fldChar w:fldCharType="separate"/>
        </w:r>
        <w:r w:rsidR="00E26228">
          <w:rPr>
            <w:noProof/>
            <w:webHidden/>
          </w:rPr>
          <w:t>4</w:t>
        </w:r>
        <w:r w:rsidR="00C424AA" w:rsidRPr="008625DC">
          <w:rPr>
            <w:noProof/>
            <w:webHidden/>
          </w:rPr>
          <w:fldChar w:fldCharType="end"/>
        </w:r>
      </w:hyperlink>
    </w:p>
    <w:p w14:paraId="45A0DA7F" w14:textId="19F6C509" w:rsidR="00C424AA" w:rsidRPr="008625DC" w:rsidRDefault="00AD530F">
      <w:pPr>
        <w:pStyle w:val="TOC1"/>
        <w:rPr>
          <w:rFonts w:asciiTheme="minorHAnsi" w:eastAsiaTheme="minorEastAsia" w:hAnsiTheme="minorHAnsi" w:cstheme="minorBidi"/>
          <w:b w:val="0"/>
          <w:caps w:val="0"/>
          <w:noProof/>
          <w:color w:val="auto"/>
          <w:sz w:val="22"/>
        </w:rPr>
      </w:pPr>
      <w:hyperlink w:anchor="_Toc398827495" w:history="1">
        <w:r w:rsidR="00C424AA" w:rsidRPr="008625DC">
          <w:rPr>
            <w:rStyle w:val="Hyperlink"/>
            <w:noProof/>
          </w:rPr>
          <w:t>Report structure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_Toc398827495 \h </w:instrText>
        </w:r>
        <w:r w:rsidR="00C424AA" w:rsidRPr="008625DC">
          <w:rPr>
            <w:noProof/>
            <w:webHidden/>
          </w:rPr>
        </w:r>
        <w:r w:rsidR="00C424AA" w:rsidRPr="008625DC">
          <w:rPr>
            <w:noProof/>
            <w:webHidden/>
          </w:rPr>
          <w:fldChar w:fldCharType="separate"/>
        </w:r>
        <w:r w:rsidR="00E26228">
          <w:rPr>
            <w:noProof/>
            <w:webHidden/>
          </w:rPr>
          <w:t>8</w:t>
        </w:r>
        <w:r w:rsidR="00C424AA" w:rsidRPr="008625DC">
          <w:rPr>
            <w:noProof/>
            <w:webHidden/>
          </w:rPr>
          <w:fldChar w:fldCharType="end"/>
        </w:r>
      </w:hyperlink>
    </w:p>
    <w:p w14:paraId="46EB15A0" w14:textId="2AF1A3F7" w:rsidR="00C424AA" w:rsidRPr="008625DC" w:rsidRDefault="00AD530F">
      <w:pPr>
        <w:pStyle w:val="TOC1"/>
        <w:rPr>
          <w:rFonts w:asciiTheme="minorHAnsi" w:eastAsiaTheme="minorEastAsia" w:hAnsiTheme="minorHAnsi" w:cstheme="minorBidi"/>
          <w:b w:val="0"/>
          <w:caps w:val="0"/>
          <w:noProof/>
          <w:color w:val="auto"/>
          <w:sz w:val="22"/>
        </w:rPr>
      </w:pPr>
      <w:hyperlink w:anchor="_Toc398827496" w:history="1">
        <w:r w:rsidR="00C424AA" w:rsidRPr="008625DC">
          <w:rPr>
            <w:rStyle w:val="Hyperlink"/>
            <w:noProof/>
          </w:rPr>
          <w:t>Part 1 — Overview</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_Toc398827496 \h </w:instrText>
        </w:r>
        <w:r w:rsidR="00C424AA" w:rsidRPr="008625DC">
          <w:rPr>
            <w:noProof/>
            <w:webHidden/>
          </w:rPr>
        </w:r>
        <w:r w:rsidR="00C424AA" w:rsidRPr="008625DC">
          <w:rPr>
            <w:noProof/>
            <w:webHidden/>
          </w:rPr>
          <w:fldChar w:fldCharType="separate"/>
        </w:r>
        <w:r w:rsidR="00E26228">
          <w:rPr>
            <w:noProof/>
            <w:webHidden/>
          </w:rPr>
          <w:t>10</w:t>
        </w:r>
        <w:r w:rsidR="00C424AA" w:rsidRPr="008625DC">
          <w:rPr>
            <w:noProof/>
            <w:webHidden/>
          </w:rPr>
          <w:fldChar w:fldCharType="end"/>
        </w:r>
      </w:hyperlink>
    </w:p>
    <w:p w14:paraId="43A96CA6" w14:textId="132C0F54" w:rsidR="00C424AA" w:rsidRPr="008625DC" w:rsidRDefault="00AD530F">
      <w:pPr>
        <w:pStyle w:val="TOC1"/>
        <w:rPr>
          <w:rFonts w:asciiTheme="minorHAnsi" w:eastAsiaTheme="minorEastAsia" w:hAnsiTheme="minorHAnsi" w:cstheme="minorBidi"/>
          <w:b w:val="0"/>
          <w:caps w:val="0"/>
          <w:noProof/>
          <w:color w:val="auto"/>
          <w:sz w:val="22"/>
        </w:rPr>
      </w:pPr>
      <w:hyperlink w:anchor="_Toc398827497" w:history="1">
        <w:r w:rsidR="00C424AA" w:rsidRPr="008625DC">
          <w:rPr>
            <w:rStyle w:val="Hyperlink"/>
            <w:noProof/>
            <w14:scene3d>
              <w14:camera w14:prst="orthographicFront"/>
              <w14:lightRig w14:rig="threePt" w14:dir="t">
                <w14:rot w14:lat="0" w14:lon="0" w14:rev="0"/>
              </w14:lightRig>
            </w14:scene3d>
          </w:rPr>
          <w:t>1</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Context for the Review</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_Toc398827497 \h </w:instrText>
        </w:r>
        <w:r w:rsidR="00C424AA" w:rsidRPr="008625DC">
          <w:rPr>
            <w:noProof/>
            <w:webHidden/>
          </w:rPr>
        </w:r>
        <w:r w:rsidR="00C424AA" w:rsidRPr="008625DC">
          <w:rPr>
            <w:noProof/>
            <w:webHidden/>
          </w:rPr>
          <w:fldChar w:fldCharType="separate"/>
        </w:r>
        <w:r w:rsidR="00E26228">
          <w:rPr>
            <w:noProof/>
            <w:webHidden/>
          </w:rPr>
          <w:t>10</w:t>
        </w:r>
        <w:r w:rsidR="00C424AA" w:rsidRPr="008625DC">
          <w:rPr>
            <w:noProof/>
            <w:webHidden/>
          </w:rPr>
          <w:fldChar w:fldCharType="end"/>
        </w:r>
      </w:hyperlink>
    </w:p>
    <w:p w14:paraId="55B9E7C2" w14:textId="1C54BFC4" w:rsidR="00C424AA" w:rsidRPr="008625DC" w:rsidRDefault="00AD530F">
      <w:pPr>
        <w:pStyle w:val="TOC1"/>
        <w:rPr>
          <w:rFonts w:asciiTheme="minorHAnsi" w:eastAsiaTheme="minorEastAsia" w:hAnsiTheme="minorHAnsi" w:cstheme="minorBidi"/>
          <w:b w:val="0"/>
          <w:caps w:val="0"/>
          <w:noProof/>
          <w:color w:val="auto"/>
          <w:sz w:val="22"/>
        </w:rPr>
      </w:pPr>
      <w:hyperlink w:anchor="_Toc398827498" w:history="1">
        <w:r w:rsidR="00C424AA" w:rsidRPr="008625DC">
          <w:rPr>
            <w:rStyle w:val="Hyperlink"/>
            <w:noProof/>
          </w:rPr>
          <w:t>Part 2 — Findings and draft recommendations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_Toc398827498 \h </w:instrText>
        </w:r>
        <w:r w:rsidR="00C424AA" w:rsidRPr="008625DC">
          <w:rPr>
            <w:noProof/>
            <w:webHidden/>
          </w:rPr>
        </w:r>
        <w:r w:rsidR="00C424AA" w:rsidRPr="008625DC">
          <w:rPr>
            <w:noProof/>
            <w:webHidden/>
          </w:rPr>
          <w:fldChar w:fldCharType="separate"/>
        </w:r>
        <w:r w:rsidR="00E26228">
          <w:rPr>
            <w:noProof/>
            <w:webHidden/>
          </w:rPr>
          <w:t>21</w:t>
        </w:r>
        <w:r w:rsidR="00C424AA" w:rsidRPr="008625DC">
          <w:rPr>
            <w:noProof/>
            <w:webHidden/>
          </w:rPr>
          <w:fldChar w:fldCharType="end"/>
        </w:r>
      </w:hyperlink>
    </w:p>
    <w:p w14:paraId="57FCD3F1" w14:textId="7A4D8928" w:rsidR="00C424AA" w:rsidRPr="008625DC" w:rsidRDefault="00AD530F">
      <w:pPr>
        <w:pStyle w:val="TOC1"/>
        <w:rPr>
          <w:rFonts w:asciiTheme="minorHAnsi" w:eastAsiaTheme="minorEastAsia" w:hAnsiTheme="minorHAnsi" w:cstheme="minorBidi"/>
          <w:b w:val="0"/>
          <w:caps w:val="0"/>
          <w:noProof/>
          <w:color w:val="auto"/>
          <w:sz w:val="22"/>
        </w:rPr>
      </w:pPr>
      <w:hyperlink w:anchor="_Toc398827499" w:history="1">
        <w:r w:rsidR="00C424AA" w:rsidRPr="008625DC">
          <w:rPr>
            <w:rStyle w:val="Hyperlink"/>
            <w:noProof/>
            <w14:scene3d>
              <w14:camera w14:prst="orthographicFront"/>
              <w14:lightRig w14:rig="threePt" w14:dir="t">
                <w14:rot w14:lat="0" w14:lon="0" w14:rev="0"/>
              </w14:lightRig>
            </w14:scene3d>
          </w:rPr>
          <w:t>2</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Competition Policy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_Toc398827499 \h </w:instrText>
        </w:r>
        <w:r w:rsidR="00C424AA" w:rsidRPr="008625DC">
          <w:rPr>
            <w:noProof/>
            <w:webHidden/>
          </w:rPr>
        </w:r>
        <w:r w:rsidR="00C424AA" w:rsidRPr="008625DC">
          <w:rPr>
            <w:noProof/>
            <w:webHidden/>
          </w:rPr>
          <w:fldChar w:fldCharType="separate"/>
        </w:r>
        <w:r w:rsidR="00E26228">
          <w:rPr>
            <w:noProof/>
            <w:webHidden/>
          </w:rPr>
          <w:t>23</w:t>
        </w:r>
        <w:r w:rsidR="00C424AA" w:rsidRPr="008625DC">
          <w:rPr>
            <w:noProof/>
            <w:webHidden/>
          </w:rPr>
          <w:fldChar w:fldCharType="end"/>
        </w:r>
      </w:hyperlink>
    </w:p>
    <w:p w14:paraId="195BB5EC" w14:textId="0B93C443" w:rsidR="00C424AA" w:rsidRPr="008625DC" w:rsidRDefault="00AD530F">
      <w:pPr>
        <w:pStyle w:val="TOC2"/>
        <w:rPr>
          <w:rFonts w:asciiTheme="minorHAnsi" w:eastAsiaTheme="minorEastAsia" w:hAnsiTheme="minorHAnsi" w:cstheme="minorBidi"/>
          <w:noProof/>
          <w:color w:val="auto"/>
          <w:szCs w:val="22"/>
        </w:rPr>
      </w:pPr>
      <w:hyperlink w:anchor="_Toc398827500" w:history="1">
        <w:r w:rsidR="00C424AA" w:rsidRPr="008625DC">
          <w:rPr>
            <w:rStyle w:val="Hyperlink"/>
            <w:noProof/>
            <w14:scene3d>
              <w14:camera w14:prst="orthographicFront"/>
              <w14:lightRig w14:rig="threePt" w14:dir="t">
                <w14:rot w14:lat="0" w14:lon="0" w14:rev="0"/>
              </w14:lightRig>
            </w14:scene3d>
          </w:rPr>
          <w:t>2.1</w:t>
        </w:r>
        <w:r w:rsidR="00C424AA" w:rsidRPr="008625DC">
          <w:rPr>
            <w:rFonts w:asciiTheme="minorHAnsi" w:eastAsiaTheme="minorEastAsia" w:hAnsiTheme="minorHAnsi" w:cstheme="minorBidi"/>
            <w:noProof/>
            <w:color w:val="auto"/>
            <w:szCs w:val="22"/>
          </w:rPr>
          <w:tab/>
        </w:r>
        <w:r w:rsidR="00C424AA" w:rsidRPr="008625DC">
          <w:rPr>
            <w:rStyle w:val="Hyperlink"/>
            <w:noProof/>
          </w:rPr>
          <w:t>A set of competition principles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_Toc398827500 \h </w:instrText>
        </w:r>
        <w:r w:rsidR="00C424AA" w:rsidRPr="008625DC">
          <w:rPr>
            <w:noProof/>
            <w:webHidden/>
          </w:rPr>
        </w:r>
        <w:r w:rsidR="00C424AA" w:rsidRPr="008625DC">
          <w:rPr>
            <w:noProof/>
            <w:webHidden/>
          </w:rPr>
          <w:fldChar w:fldCharType="separate"/>
        </w:r>
        <w:r w:rsidR="00E26228">
          <w:rPr>
            <w:noProof/>
            <w:webHidden/>
          </w:rPr>
          <w:t>23</w:t>
        </w:r>
        <w:r w:rsidR="00C424AA" w:rsidRPr="008625DC">
          <w:rPr>
            <w:noProof/>
            <w:webHidden/>
          </w:rPr>
          <w:fldChar w:fldCharType="end"/>
        </w:r>
      </w:hyperlink>
    </w:p>
    <w:p w14:paraId="6E5ECB64" w14:textId="3EDCF410" w:rsidR="00C424AA" w:rsidRPr="008625DC" w:rsidRDefault="00AD530F">
      <w:pPr>
        <w:pStyle w:val="TOC2"/>
        <w:rPr>
          <w:rFonts w:asciiTheme="minorHAnsi" w:eastAsiaTheme="minorEastAsia" w:hAnsiTheme="minorHAnsi" w:cstheme="minorBidi"/>
          <w:noProof/>
          <w:color w:val="auto"/>
          <w:szCs w:val="22"/>
        </w:rPr>
      </w:pPr>
      <w:hyperlink w:anchor="_Toc398827501" w:history="1">
        <w:r w:rsidR="00C424AA" w:rsidRPr="008625DC">
          <w:rPr>
            <w:rStyle w:val="Hyperlink"/>
            <w:noProof/>
            <w14:scene3d>
              <w14:camera w14:prst="orthographicFront"/>
              <w14:lightRig w14:rig="threePt" w14:dir="t">
                <w14:rot w14:lat="0" w14:lon="0" w14:rev="0"/>
              </w14:lightRig>
            </w14:scene3d>
          </w:rPr>
          <w:t>2.2</w:t>
        </w:r>
        <w:r w:rsidR="00C424AA" w:rsidRPr="008625DC">
          <w:rPr>
            <w:rFonts w:asciiTheme="minorHAnsi" w:eastAsiaTheme="minorEastAsia" w:hAnsiTheme="minorHAnsi" w:cstheme="minorBidi"/>
            <w:noProof/>
            <w:color w:val="auto"/>
            <w:szCs w:val="22"/>
          </w:rPr>
          <w:tab/>
        </w:r>
        <w:r w:rsidR="00C424AA" w:rsidRPr="008625DC">
          <w:rPr>
            <w:rStyle w:val="Hyperlink"/>
            <w:noProof/>
          </w:rPr>
          <w:t>Determining priority areas for reform</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_Toc398827501 \h </w:instrText>
        </w:r>
        <w:r w:rsidR="00C424AA" w:rsidRPr="008625DC">
          <w:rPr>
            <w:noProof/>
            <w:webHidden/>
          </w:rPr>
        </w:r>
        <w:r w:rsidR="00C424AA" w:rsidRPr="008625DC">
          <w:rPr>
            <w:noProof/>
            <w:webHidden/>
          </w:rPr>
          <w:fldChar w:fldCharType="separate"/>
        </w:r>
        <w:r w:rsidR="00E26228">
          <w:rPr>
            <w:noProof/>
            <w:webHidden/>
          </w:rPr>
          <w:t>25</w:t>
        </w:r>
        <w:r w:rsidR="00C424AA" w:rsidRPr="008625DC">
          <w:rPr>
            <w:noProof/>
            <w:webHidden/>
          </w:rPr>
          <w:fldChar w:fldCharType="end"/>
        </w:r>
      </w:hyperlink>
    </w:p>
    <w:p w14:paraId="45AD9F0F" w14:textId="3D8BECB8" w:rsidR="00C424AA" w:rsidRPr="008625DC" w:rsidRDefault="00AD530F">
      <w:pPr>
        <w:pStyle w:val="TOC2"/>
        <w:rPr>
          <w:rFonts w:asciiTheme="minorHAnsi" w:eastAsiaTheme="minorEastAsia" w:hAnsiTheme="minorHAnsi" w:cstheme="minorBidi"/>
          <w:noProof/>
          <w:color w:val="auto"/>
          <w:szCs w:val="22"/>
        </w:rPr>
      </w:pPr>
      <w:hyperlink w:anchor="_Toc398827502" w:history="1">
        <w:r w:rsidR="00C424AA" w:rsidRPr="008625DC">
          <w:rPr>
            <w:rStyle w:val="Hyperlink"/>
            <w:noProof/>
            <w14:scene3d>
              <w14:camera w14:prst="orthographicFront"/>
              <w14:lightRig w14:rig="threePt" w14:dir="t">
                <w14:rot w14:lat="0" w14:lon="0" w14:rev="0"/>
              </w14:lightRig>
            </w14:scene3d>
          </w:rPr>
          <w:t>2.3</w:t>
        </w:r>
        <w:r w:rsidR="00C424AA" w:rsidRPr="008625DC">
          <w:rPr>
            <w:rFonts w:asciiTheme="minorHAnsi" w:eastAsiaTheme="minorEastAsia" w:hAnsiTheme="minorHAnsi" w:cstheme="minorBidi"/>
            <w:noProof/>
            <w:color w:val="auto"/>
            <w:szCs w:val="22"/>
          </w:rPr>
          <w:tab/>
        </w:r>
        <w:r w:rsidR="00C424AA" w:rsidRPr="008625DC">
          <w:rPr>
            <w:rStyle w:val="Hyperlink"/>
            <w:noProof/>
          </w:rPr>
          <w:t>Human services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_Toc398827502 \h </w:instrText>
        </w:r>
        <w:r w:rsidR="00C424AA" w:rsidRPr="008625DC">
          <w:rPr>
            <w:noProof/>
            <w:webHidden/>
          </w:rPr>
        </w:r>
        <w:r w:rsidR="00C424AA" w:rsidRPr="008625DC">
          <w:rPr>
            <w:noProof/>
            <w:webHidden/>
          </w:rPr>
          <w:fldChar w:fldCharType="separate"/>
        </w:r>
        <w:r w:rsidR="00E26228">
          <w:rPr>
            <w:noProof/>
            <w:webHidden/>
          </w:rPr>
          <w:t>25</w:t>
        </w:r>
        <w:r w:rsidR="00C424AA" w:rsidRPr="008625DC">
          <w:rPr>
            <w:noProof/>
            <w:webHidden/>
          </w:rPr>
          <w:fldChar w:fldCharType="end"/>
        </w:r>
      </w:hyperlink>
    </w:p>
    <w:p w14:paraId="30BBD34C" w14:textId="3C051FB1" w:rsidR="00C424AA" w:rsidRPr="008625DC" w:rsidRDefault="00AD530F">
      <w:pPr>
        <w:pStyle w:val="TOC2"/>
        <w:rPr>
          <w:rFonts w:asciiTheme="minorHAnsi" w:eastAsiaTheme="minorEastAsia" w:hAnsiTheme="minorHAnsi" w:cstheme="minorBidi"/>
          <w:noProof/>
          <w:color w:val="auto"/>
          <w:szCs w:val="22"/>
        </w:rPr>
      </w:pPr>
      <w:hyperlink w:anchor="_Toc398827503" w:history="1">
        <w:r w:rsidR="00C424AA" w:rsidRPr="008625DC">
          <w:rPr>
            <w:rStyle w:val="Hyperlink"/>
            <w:noProof/>
            <w14:scene3d>
              <w14:camera w14:prst="orthographicFront"/>
              <w14:lightRig w14:rig="threePt" w14:dir="t">
                <w14:rot w14:lat="0" w14:lon="0" w14:rev="0"/>
              </w14:lightRig>
            </w14:scene3d>
          </w:rPr>
          <w:t>2.4</w:t>
        </w:r>
        <w:r w:rsidR="00C424AA" w:rsidRPr="008625DC">
          <w:rPr>
            <w:rFonts w:asciiTheme="minorHAnsi" w:eastAsiaTheme="minorEastAsia" w:hAnsiTheme="minorHAnsi" w:cstheme="minorBidi"/>
            <w:noProof/>
            <w:color w:val="auto"/>
            <w:szCs w:val="22"/>
          </w:rPr>
          <w:tab/>
        </w:r>
        <w:r w:rsidR="00C424AA" w:rsidRPr="008625DC">
          <w:rPr>
            <w:rStyle w:val="Hyperlink"/>
            <w:noProof/>
          </w:rPr>
          <w:t>Transport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_Toc398827503 \h </w:instrText>
        </w:r>
        <w:r w:rsidR="00C424AA" w:rsidRPr="008625DC">
          <w:rPr>
            <w:noProof/>
            <w:webHidden/>
          </w:rPr>
        </w:r>
        <w:r w:rsidR="00C424AA" w:rsidRPr="008625DC">
          <w:rPr>
            <w:noProof/>
            <w:webHidden/>
          </w:rPr>
          <w:fldChar w:fldCharType="separate"/>
        </w:r>
        <w:r w:rsidR="00E26228">
          <w:rPr>
            <w:noProof/>
            <w:webHidden/>
          </w:rPr>
          <w:t>28</w:t>
        </w:r>
        <w:r w:rsidR="00C424AA" w:rsidRPr="008625DC">
          <w:rPr>
            <w:noProof/>
            <w:webHidden/>
          </w:rPr>
          <w:fldChar w:fldCharType="end"/>
        </w:r>
      </w:hyperlink>
    </w:p>
    <w:p w14:paraId="30A5E413" w14:textId="2B9DA2C4" w:rsidR="00C424AA" w:rsidRPr="008625DC" w:rsidRDefault="00AD530F">
      <w:pPr>
        <w:pStyle w:val="TOC2"/>
        <w:rPr>
          <w:rFonts w:asciiTheme="minorHAnsi" w:eastAsiaTheme="minorEastAsia" w:hAnsiTheme="minorHAnsi" w:cstheme="minorBidi"/>
          <w:noProof/>
          <w:color w:val="auto"/>
          <w:szCs w:val="22"/>
        </w:rPr>
      </w:pPr>
      <w:hyperlink w:anchor="_Toc398827504" w:history="1">
        <w:r w:rsidR="00C424AA" w:rsidRPr="008625DC">
          <w:rPr>
            <w:rStyle w:val="Hyperlink"/>
            <w:noProof/>
            <w14:scene3d>
              <w14:camera w14:prst="orthographicFront"/>
              <w14:lightRig w14:rig="threePt" w14:dir="t">
                <w14:rot w14:lat="0" w14:lon="0" w14:rev="0"/>
              </w14:lightRig>
            </w14:scene3d>
          </w:rPr>
          <w:t>2.5</w:t>
        </w:r>
        <w:r w:rsidR="00C424AA" w:rsidRPr="008625DC">
          <w:rPr>
            <w:rFonts w:asciiTheme="minorHAnsi" w:eastAsiaTheme="minorEastAsia" w:hAnsiTheme="minorHAnsi" w:cstheme="minorBidi"/>
            <w:noProof/>
            <w:color w:val="auto"/>
            <w:szCs w:val="22"/>
          </w:rPr>
          <w:tab/>
        </w:r>
        <w:r w:rsidR="00C424AA" w:rsidRPr="008625DC">
          <w:rPr>
            <w:rStyle w:val="Hyperlink"/>
            <w:noProof/>
          </w:rPr>
          <w:t>Intellectual property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_Toc398827504 \h </w:instrText>
        </w:r>
        <w:r w:rsidR="00C424AA" w:rsidRPr="008625DC">
          <w:rPr>
            <w:noProof/>
            <w:webHidden/>
          </w:rPr>
        </w:r>
        <w:r w:rsidR="00C424AA" w:rsidRPr="008625DC">
          <w:rPr>
            <w:noProof/>
            <w:webHidden/>
          </w:rPr>
          <w:fldChar w:fldCharType="separate"/>
        </w:r>
        <w:r w:rsidR="00E26228">
          <w:rPr>
            <w:noProof/>
            <w:webHidden/>
          </w:rPr>
          <w:t>30</w:t>
        </w:r>
        <w:r w:rsidR="00C424AA" w:rsidRPr="008625DC">
          <w:rPr>
            <w:noProof/>
            <w:webHidden/>
          </w:rPr>
          <w:fldChar w:fldCharType="end"/>
        </w:r>
      </w:hyperlink>
    </w:p>
    <w:p w14:paraId="672B8218" w14:textId="597A0E65" w:rsidR="00C424AA" w:rsidRPr="008625DC" w:rsidRDefault="00AD530F">
      <w:pPr>
        <w:pStyle w:val="TOC2"/>
        <w:rPr>
          <w:rFonts w:asciiTheme="minorHAnsi" w:eastAsiaTheme="minorEastAsia" w:hAnsiTheme="minorHAnsi" w:cstheme="minorBidi"/>
          <w:noProof/>
          <w:color w:val="auto"/>
          <w:szCs w:val="22"/>
        </w:rPr>
      </w:pPr>
      <w:hyperlink w:anchor="_Toc398827505" w:history="1">
        <w:r w:rsidR="00C424AA" w:rsidRPr="008625DC">
          <w:rPr>
            <w:rStyle w:val="Hyperlink"/>
            <w:noProof/>
            <w14:scene3d>
              <w14:camera w14:prst="orthographicFront"/>
              <w14:lightRig w14:rig="threePt" w14:dir="t">
                <w14:rot w14:lat="0" w14:lon="0" w14:rev="0"/>
              </w14:lightRig>
            </w14:scene3d>
          </w:rPr>
          <w:t>2.6</w:t>
        </w:r>
        <w:r w:rsidR="00C424AA" w:rsidRPr="008625DC">
          <w:rPr>
            <w:rFonts w:asciiTheme="minorHAnsi" w:eastAsiaTheme="minorEastAsia" w:hAnsiTheme="minorHAnsi" w:cstheme="minorBidi"/>
            <w:noProof/>
            <w:color w:val="auto"/>
            <w:szCs w:val="22"/>
          </w:rPr>
          <w:tab/>
        </w:r>
        <w:r w:rsidR="00C424AA" w:rsidRPr="008625DC">
          <w:rPr>
            <w:rStyle w:val="Hyperlink"/>
            <w:noProof/>
          </w:rPr>
          <w:t>Parallel imports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_Toc398827505 \h </w:instrText>
        </w:r>
        <w:r w:rsidR="00C424AA" w:rsidRPr="008625DC">
          <w:rPr>
            <w:noProof/>
            <w:webHidden/>
          </w:rPr>
        </w:r>
        <w:r w:rsidR="00C424AA" w:rsidRPr="008625DC">
          <w:rPr>
            <w:noProof/>
            <w:webHidden/>
          </w:rPr>
          <w:fldChar w:fldCharType="separate"/>
        </w:r>
        <w:r w:rsidR="00E26228">
          <w:rPr>
            <w:noProof/>
            <w:webHidden/>
          </w:rPr>
          <w:t>31</w:t>
        </w:r>
        <w:r w:rsidR="00C424AA" w:rsidRPr="008625DC">
          <w:rPr>
            <w:noProof/>
            <w:webHidden/>
          </w:rPr>
          <w:fldChar w:fldCharType="end"/>
        </w:r>
      </w:hyperlink>
    </w:p>
    <w:p w14:paraId="0B2AC0B8" w14:textId="3A8726B0" w:rsidR="00C424AA" w:rsidRPr="008625DC" w:rsidRDefault="00AD530F">
      <w:pPr>
        <w:pStyle w:val="TOC2"/>
        <w:rPr>
          <w:rFonts w:asciiTheme="minorHAnsi" w:eastAsiaTheme="minorEastAsia" w:hAnsiTheme="minorHAnsi" w:cstheme="minorBidi"/>
          <w:noProof/>
          <w:color w:val="auto"/>
          <w:szCs w:val="22"/>
        </w:rPr>
      </w:pPr>
      <w:hyperlink w:anchor="_Toc398827506" w:history="1">
        <w:r w:rsidR="00C424AA" w:rsidRPr="008625DC">
          <w:rPr>
            <w:rStyle w:val="Hyperlink"/>
            <w:noProof/>
            <w14:scene3d>
              <w14:camera w14:prst="orthographicFront"/>
              <w14:lightRig w14:rig="threePt" w14:dir="t">
                <w14:rot w14:lat="0" w14:lon="0" w14:rev="0"/>
              </w14:lightRig>
            </w14:scene3d>
          </w:rPr>
          <w:t>2.7</w:t>
        </w:r>
        <w:r w:rsidR="00C424AA" w:rsidRPr="008625DC">
          <w:rPr>
            <w:rFonts w:asciiTheme="minorHAnsi" w:eastAsiaTheme="minorEastAsia" w:hAnsiTheme="minorHAnsi" w:cstheme="minorBidi"/>
            <w:noProof/>
            <w:color w:val="auto"/>
            <w:szCs w:val="22"/>
          </w:rPr>
          <w:tab/>
        </w:r>
        <w:r w:rsidR="00C424AA" w:rsidRPr="008625DC">
          <w:rPr>
            <w:rStyle w:val="Hyperlink"/>
            <w:noProof/>
          </w:rPr>
          <w:t>Planning and zoning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_Toc398827506 \h </w:instrText>
        </w:r>
        <w:r w:rsidR="00C424AA" w:rsidRPr="008625DC">
          <w:rPr>
            <w:noProof/>
            <w:webHidden/>
          </w:rPr>
        </w:r>
        <w:r w:rsidR="00C424AA" w:rsidRPr="008625DC">
          <w:rPr>
            <w:noProof/>
            <w:webHidden/>
          </w:rPr>
          <w:fldChar w:fldCharType="separate"/>
        </w:r>
        <w:r w:rsidR="00E26228">
          <w:rPr>
            <w:noProof/>
            <w:webHidden/>
          </w:rPr>
          <w:t>32</w:t>
        </w:r>
        <w:r w:rsidR="00C424AA" w:rsidRPr="008625DC">
          <w:rPr>
            <w:noProof/>
            <w:webHidden/>
          </w:rPr>
          <w:fldChar w:fldCharType="end"/>
        </w:r>
      </w:hyperlink>
    </w:p>
    <w:p w14:paraId="022FF8D6" w14:textId="6DE3FA49" w:rsidR="00C424AA" w:rsidRPr="008625DC" w:rsidRDefault="00AD530F">
      <w:pPr>
        <w:pStyle w:val="TOC2"/>
        <w:rPr>
          <w:rFonts w:asciiTheme="minorHAnsi" w:eastAsiaTheme="minorEastAsia" w:hAnsiTheme="minorHAnsi" w:cstheme="minorBidi"/>
          <w:noProof/>
          <w:color w:val="auto"/>
          <w:szCs w:val="22"/>
        </w:rPr>
      </w:pPr>
      <w:hyperlink w:anchor="_Toc398827507" w:history="1">
        <w:r w:rsidR="00C424AA" w:rsidRPr="008625DC">
          <w:rPr>
            <w:rStyle w:val="Hyperlink"/>
            <w:noProof/>
            <w14:scene3d>
              <w14:camera w14:prst="orthographicFront"/>
              <w14:lightRig w14:rig="threePt" w14:dir="t">
                <w14:rot w14:lat="0" w14:lon="0" w14:rev="0"/>
              </w14:lightRig>
            </w14:scene3d>
          </w:rPr>
          <w:t>2.8</w:t>
        </w:r>
        <w:r w:rsidR="00C424AA" w:rsidRPr="008625DC">
          <w:rPr>
            <w:rFonts w:asciiTheme="minorHAnsi" w:eastAsiaTheme="minorEastAsia" w:hAnsiTheme="minorHAnsi" w:cstheme="minorBidi"/>
            <w:noProof/>
            <w:color w:val="auto"/>
            <w:szCs w:val="22"/>
          </w:rPr>
          <w:tab/>
        </w:r>
        <w:r w:rsidR="00C424AA" w:rsidRPr="008625DC">
          <w:rPr>
            <w:rStyle w:val="Hyperlink"/>
            <w:noProof/>
          </w:rPr>
          <w:t>Regulatory restrictions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_Toc398827507 \h </w:instrText>
        </w:r>
        <w:r w:rsidR="00C424AA" w:rsidRPr="008625DC">
          <w:rPr>
            <w:noProof/>
            <w:webHidden/>
          </w:rPr>
        </w:r>
        <w:r w:rsidR="00C424AA" w:rsidRPr="008625DC">
          <w:rPr>
            <w:noProof/>
            <w:webHidden/>
          </w:rPr>
          <w:fldChar w:fldCharType="separate"/>
        </w:r>
        <w:r w:rsidR="00E26228">
          <w:rPr>
            <w:noProof/>
            <w:webHidden/>
          </w:rPr>
          <w:t>33</w:t>
        </w:r>
        <w:r w:rsidR="00C424AA" w:rsidRPr="008625DC">
          <w:rPr>
            <w:noProof/>
            <w:webHidden/>
          </w:rPr>
          <w:fldChar w:fldCharType="end"/>
        </w:r>
      </w:hyperlink>
    </w:p>
    <w:p w14:paraId="0569E0BE" w14:textId="5E05C63E" w:rsidR="00C424AA" w:rsidRPr="008625DC" w:rsidRDefault="00AD530F">
      <w:pPr>
        <w:pStyle w:val="TOC2"/>
        <w:rPr>
          <w:rFonts w:asciiTheme="minorHAnsi" w:eastAsiaTheme="minorEastAsia" w:hAnsiTheme="minorHAnsi" w:cstheme="minorBidi"/>
          <w:noProof/>
          <w:color w:val="auto"/>
          <w:szCs w:val="22"/>
        </w:rPr>
      </w:pPr>
      <w:hyperlink w:anchor="_Toc398827508" w:history="1">
        <w:r w:rsidR="00C424AA" w:rsidRPr="008625DC">
          <w:rPr>
            <w:rStyle w:val="Hyperlink"/>
            <w:noProof/>
            <w14:scene3d>
              <w14:camera w14:prst="orthographicFront"/>
              <w14:lightRig w14:rig="threePt" w14:dir="t">
                <w14:rot w14:lat="0" w14:lon="0" w14:rev="0"/>
              </w14:lightRig>
            </w14:scene3d>
          </w:rPr>
          <w:t>2.9</w:t>
        </w:r>
        <w:r w:rsidR="00C424AA" w:rsidRPr="008625DC">
          <w:rPr>
            <w:rFonts w:asciiTheme="minorHAnsi" w:eastAsiaTheme="minorEastAsia" w:hAnsiTheme="minorHAnsi" w:cstheme="minorBidi"/>
            <w:noProof/>
            <w:color w:val="auto"/>
            <w:szCs w:val="22"/>
          </w:rPr>
          <w:tab/>
        </w:r>
        <w:r w:rsidR="00C424AA" w:rsidRPr="008625DC">
          <w:rPr>
            <w:rStyle w:val="Hyperlink"/>
            <w:noProof/>
          </w:rPr>
          <w:t>Competitive neutrality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_Toc398827508 \h </w:instrText>
        </w:r>
        <w:r w:rsidR="00C424AA" w:rsidRPr="008625DC">
          <w:rPr>
            <w:noProof/>
            <w:webHidden/>
          </w:rPr>
        </w:r>
        <w:r w:rsidR="00C424AA" w:rsidRPr="008625DC">
          <w:rPr>
            <w:noProof/>
            <w:webHidden/>
          </w:rPr>
          <w:fldChar w:fldCharType="separate"/>
        </w:r>
        <w:r w:rsidR="00E26228">
          <w:rPr>
            <w:noProof/>
            <w:webHidden/>
          </w:rPr>
          <w:t>35</w:t>
        </w:r>
        <w:r w:rsidR="00C424AA" w:rsidRPr="008625DC">
          <w:rPr>
            <w:noProof/>
            <w:webHidden/>
          </w:rPr>
          <w:fldChar w:fldCharType="end"/>
        </w:r>
      </w:hyperlink>
    </w:p>
    <w:p w14:paraId="49DF98F0" w14:textId="1E931ECE" w:rsidR="00C424AA" w:rsidRPr="008625DC" w:rsidRDefault="00AD530F">
      <w:pPr>
        <w:pStyle w:val="TOC2"/>
        <w:rPr>
          <w:rFonts w:asciiTheme="minorHAnsi" w:eastAsiaTheme="minorEastAsia" w:hAnsiTheme="minorHAnsi" w:cstheme="minorBidi"/>
          <w:noProof/>
          <w:color w:val="auto"/>
          <w:szCs w:val="22"/>
        </w:rPr>
      </w:pPr>
      <w:hyperlink w:anchor="_Toc398827509" w:history="1">
        <w:r w:rsidR="00C424AA" w:rsidRPr="008625DC">
          <w:rPr>
            <w:rStyle w:val="Hyperlink"/>
            <w:noProof/>
            <w14:scene3d>
              <w14:camera w14:prst="orthographicFront"/>
              <w14:lightRig w14:rig="threePt" w14:dir="t">
                <w14:rot w14:lat="0" w14:lon="0" w14:rev="0"/>
              </w14:lightRig>
            </w14:scene3d>
          </w:rPr>
          <w:t>2.10</w:t>
        </w:r>
        <w:r w:rsidR="00C424AA" w:rsidRPr="008625DC">
          <w:rPr>
            <w:rFonts w:asciiTheme="minorHAnsi" w:eastAsiaTheme="minorEastAsia" w:hAnsiTheme="minorHAnsi" w:cstheme="minorBidi"/>
            <w:noProof/>
            <w:color w:val="auto"/>
            <w:szCs w:val="22"/>
          </w:rPr>
          <w:tab/>
        </w:r>
        <w:r w:rsidR="00C424AA" w:rsidRPr="008625DC">
          <w:rPr>
            <w:rStyle w:val="Hyperlink"/>
            <w:noProof/>
          </w:rPr>
          <w:t>Electricity, gas and water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_Toc398827509 \h </w:instrText>
        </w:r>
        <w:r w:rsidR="00C424AA" w:rsidRPr="008625DC">
          <w:rPr>
            <w:noProof/>
            <w:webHidden/>
          </w:rPr>
        </w:r>
        <w:r w:rsidR="00C424AA" w:rsidRPr="008625DC">
          <w:rPr>
            <w:noProof/>
            <w:webHidden/>
          </w:rPr>
          <w:fldChar w:fldCharType="separate"/>
        </w:r>
        <w:r w:rsidR="00E26228">
          <w:rPr>
            <w:noProof/>
            <w:webHidden/>
          </w:rPr>
          <w:t>36</w:t>
        </w:r>
        <w:r w:rsidR="00C424AA" w:rsidRPr="008625DC">
          <w:rPr>
            <w:noProof/>
            <w:webHidden/>
          </w:rPr>
          <w:fldChar w:fldCharType="end"/>
        </w:r>
      </w:hyperlink>
    </w:p>
    <w:p w14:paraId="21FB1DB4" w14:textId="0D1175FE" w:rsidR="00C424AA" w:rsidRPr="008625DC" w:rsidRDefault="00AD530F">
      <w:pPr>
        <w:pStyle w:val="TOC1"/>
        <w:rPr>
          <w:rFonts w:asciiTheme="minorHAnsi" w:eastAsiaTheme="minorEastAsia" w:hAnsiTheme="minorHAnsi" w:cstheme="minorBidi"/>
          <w:b w:val="0"/>
          <w:caps w:val="0"/>
          <w:noProof/>
          <w:color w:val="auto"/>
          <w:sz w:val="22"/>
        </w:rPr>
      </w:pPr>
      <w:hyperlink w:anchor="_Toc398827510" w:history="1">
        <w:r w:rsidR="00C424AA" w:rsidRPr="008625DC">
          <w:rPr>
            <w:rStyle w:val="Hyperlink"/>
            <w:noProof/>
            <w14:scene3d>
              <w14:camera w14:prst="orthographicFront"/>
              <w14:lightRig w14:rig="threePt" w14:dir="t">
                <w14:rot w14:lat="0" w14:lon="0" w14:rev="0"/>
              </w14:lightRig>
            </w14:scene3d>
          </w:rPr>
          <w:t>3</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Competition laws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_Toc398827510 \h </w:instrText>
        </w:r>
        <w:r w:rsidR="00C424AA" w:rsidRPr="008625DC">
          <w:rPr>
            <w:noProof/>
            <w:webHidden/>
          </w:rPr>
        </w:r>
        <w:r w:rsidR="00C424AA" w:rsidRPr="008625DC">
          <w:rPr>
            <w:noProof/>
            <w:webHidden/>
          </w:rPr>
          <w:fldChar w:fldCharType="separate"/>
        </w:r>
        <w:r w:rsidR="00E26228">
          <w:rPr>
            <w:noProof/>
            <w:webHidden/>
          </w:rPr>
          <w:t>38</w:t>
        </w:r>
        <w:r w:rsidR="00C424AA" w:rsidRPr="008625DC">
          <w:rPr>
            <w:noProof/>
            <w:webHidden/>
          </w:rPr>
          <w:fldChar w:fldCharType="end"/>
        </w:r>
      </w:hyperlink>
    </w:p>
    <w:p w14:paraId="39AF5184" w14:textId="71E84ABE" w:rsidR="00C424AA" w:rsidRPr="008625DC" w:rsidRDefault="00AD530F">
      <w:pPr>
        <w:pStyle w:val="TOC2"/>
        <w:rPr>
          <w:rFonts w:asciiTheme="minorHAnsi" w:eastAsiaTheme="minorEastAsia" w:hAnsiTheme="minorHAnsi" w:cstheme="minorBidi"/>
          <w:noProof/>
          <w:color w:val="auto"/>
          <w:szCs w:val="22"/>
        </w:rPr>
      </w:pPr>
      <w:hyperlink w:anchor="_Toc398827511" w:history="1">
        <w:r w:rsidR="00C424AA" w:rsidRPr="008625DC">
          <w:rPr>
            <w:rStyle w:val="Hyperlink"/>
            <w:noProof/>
            <w14:scene3d>
              <w14:camera w14:prst="orthographicFront"/>
              <w14:lightRig w14:rig="threePt" w14:dir="t">
                <w14:rot w14:lat="0" w14:lon="0" w14:rev="0"/>
              </w14:lightRig>
            </w14:scene3d>
          </w:rPr>
          <w:t>3.1</w:t>
        </w:r>
        <w:r w:rsidR="00C424AA" w:rsidRPr="008625DC">
          <w:rPr>
            <w:rFonts w:asciiTheme="minorHAnsi" w:eastAsiaTheme="minorEastAsia" w:hAnsiTheme="minorHAnsi" w:cstheme="minorBidi"/>
            <w:noProof/>
            <w:color w:val="auto"/>
            <w:szCs w:val="22"/>
          </w:rPr>
          <w:tab/>
        </w:r>
        <w:r w:rsidR="00C424AA" w:rsidRPr="008625DC">
          <w:rPr>
            <w:rStyle w:val="Hyperlink"/>
            <w:noProof/>
          </w:rPr>
          <w:t>Simplification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_Toc398827511 \h </w:instrText>
        </w:r>
        <w:r w:rsidR="00C424AA" w:rsidRPr="008625DC">
          <w:rPr>
            <w:noProof/>
            <w:webHidden/>
          </w:rPr>
        </w:r>
        <w:r w:rsidR="00C424AA" w:rsidRPr="008625DC">
          <w:rPr>
            <w:noProof/>
            <w:webHidden/>
          </w:rPr>
          <w:fldChar w:fldCharType="separate"/>
        </w:r>
        <w:r w:rsidR="00E26228">
          <w:rPr>
            <w:noProof/>
            <w:webHidden/>
          </w:rPr>
          <w:t>38</w:t>
        </w:r>
        <w:r w:rsidR="00C424AA" w:rsidRPr="008625DC">
          <w:rPr>
            <w:noProof/>
            <w:webHidden/>
          </w:rPr>
          <w:fldChar w:fldCharType="end"/>
        </w:r>
      </w:hyperlink>
    </w:p>
    <w:p w14:paraId="15D7079A" w14:textId="77884113" w:rsidR="00C424AA" w:rsidRPr="008625DC" w:rsidRDefault="00AD530F">
      <w:pPr>
        <w:pStyle w:val="TOC2"/>
        <w:rPr>
          <w:rFonts w:asciiTheme="minorHAnsi" w:eastAsiaTheme="minorEastAsia" w:hAnsiTheme="minorHAnsi" w:cstheme="minorBidi"/>
          <w:noProof/>
          <w:color w:val="auto"/>
          <w:szCs w:val="22"/>
        </w:rPr>
      </w:pPr>
      <w:hyperlink w:anchor="_Toc398827512" w:history="1">
        <w:r w:rsidR="00C424AA" w:rsidRPr="008625DC">
          <w:rPr>
            <w:rStyle w:val="Hyperlink"/>
            <w:noProof/>
            <w14:scene3d>
              <w14:camera w14:prst="orthographicFront"/>
              <w14:lightRig w14:rig="threePt" w14:dir="t">
                <w14:rot w14:lat="0" w14:lon="0" w14:rev="0"/>
              </w14:lightRig>
            </w14:scene3d>
          </w:rPr>
          <w:t>3.2</w:t>
        </w:r>
        <w:r w:rsidR="00C424AA" w:rsidRPr="008625DC">
          <w:rPr>
            <w:rFonts w:asciiTheme="minorHAnsi" w:eastAsiaTheme="minorEastAsia" w:hAnsiTheme="minorHAnsi" w:cstheme="minorBidi"/>
            <w:noProof/>
            <w:color w:val="auto"/>
            <w:szCs w:val="22"/>
          </w:rPr>
          <w:tab/>
        </w:r>
        <w:r w:rsidR="00C424AA" w:rsidRPr="008625DC">
          <w:rPr>
            <w:rStyle w:val="Hyperlink"/>
            <w:noProof/>
          </w:rPr>
          <w:t>Application to government activities in trade or commerce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_Toc398827512 \h </w:instrText>
        </w:r>
        <w:r w:rsidR="00C424AA" w:rsidRPr="008625DC">
          <w:rPr>
            <w:noProof/>
            <w:webHidden/>
          </w:rPr>
        </w:r>
        <w:r w:rsidR="00C424AA" w:rsidRPr="008625DC">
          <w:rPr>
            <w:noProof/>
            <w:webHidden/>
          </w:rPr>
          <w:fldChar w:fldCharType="separate"/>
        </w:r>
        <w:r w:rsidR="00E26228">
          <w:rPr>
            <w:noProof/>
            <w:webHidden/>
          </w:rPr>
          <w:t>39</w:t>
        </w:r>
        <w:r w:rsidR="00C424AA" w:rsidRPr="008625DC">
          <w:rPr>
            <w:noProof/>
            <w:webHidden/>
          </w:rPr>
          <w:fldChar w:fldCharType="end"/>
        </w:r>
      </w:hyperlink>
    </w:p>
    <w:p w14:paraId="754B5FD5" w14:textId="41355EE1" w:rsidR="00C424AA" w:rsidRPr="008625DC" w:rsidRDefault="00AD530F">
      <w:pPr>
        <w:pStyle w:val="TOC2"/>
        <w:rPr>
          <w:rFonts w:asciiTheme="minorHAnsi" w:eastAsiaTheme="minorEastAsia" w:hAnsiTheme="minorHAnsi" w:cstheme="minorBidi"/>
          <w:noProof/>
          <w:color w:val="auto"/>
          <w:szCs w:val="22"/>
        </w:rPr>
      </w:pPr>
      <w:hyperlink w:anchor="_Toc398827513" w:history="1">
        <w:r w:rsidR="00C424AA" w:rsidRPr="008625DC">
          <w:rPr>
            <w:rStyle w:val="Hyperlink"/>
            <w:noProof/>
            <w14:scene3d>
              <w14:camera w14:prst="orthographicFront"/>
              <w14:lightRig w14:rig="threePt" w14:dir="t">
                <w14:rot w14:lat="0" w14:lon="0" w14:rev="0"/>
              </w14:lightRig>
            </w14:scene3d>
          </w:rPr>
          <w:t>3.3</w:t>
        </w:r>
        <w:r w:rsidR="00C424AA" w:rsidRPr="008625DC">
          <w:rPr>
            <w:rFonts w:asciiTheme="minorHAnsi" w:eastAsiaTheme="minorEastAsia" w:hAnsiTheme="minorHAnsi" w:cstheme="minorBidi"/>
            <w:noProof/>
            <w:color w:val="auto"/>
            <w:szCs w:val="22"/>
          </w:rPr>
          <w:tab/>
        </w:r>
        <w:r w:rsidR="00C424AA" w:rsidRPr="008625DC">
          <w:rPr>
            <w:rStyle w:val="Hyperlink"/>
            <w:noProof/>
          </w:rPr>
          <w:t>Market definition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_Toc398827513 \h </w:instrText>
        </w:r>
        <w:r w:rsidR="00C424AA" w:rsidRPr="008625DC">
          <w:rPr>
            <w:noProof/>
            <w:webHidden/>
          </w:rPr>
        </w:r>
        <w:r w:rsidR="00C424AA" w:rsidRPr="008625DC">
          <w:rPr>
            <w:noProof/>
            <w:webHidden/>
          </w:rPr>
          <w:fldChar w:fldCharType="separate"/>
        </w:r>
        <w:r w:rsidR="00E26228">
          <w:rPr>
            <w:noProof/>
            <w:webHidden/>
          </w:rPr>
          <w:t>39</w:t>
        </w:r>
        <w:r w:rsidR="00C424AA" w:rsidRPr="008625DC">
          <w:rPr>
            <w:noProof/>
            <w:webHidden/>
          </w:rPr>
          <w:fldChar w:fldCharType="end"/>
        </w:r>
      </w:hyperlink>
    </w:p>
    <w:p w14:paraId="67A853C1" w14:textId="3785A3A6" w:rsidR="00C424AA" w:rsidRPr="008625DC" w:rsidRDefault="00AD530F">
      <w:pPr>
        <w:pStyle w:val="TOC2"/>
        <w:rPr>
          <w:rFonts w:asciiTheme="minorHAnsi" w:eastAsiaTheme="minorEastAsia" w:hAnsiTheme="minorHAnsi" w:cstheme="minorBidi"/>
          <w:noProof/>
          <w:color w:val="auto"/>
          <w:szCs w:val="22"/>
        </w:rPr>
      </w:pPr>
      <w:hyperlink w:anchor="_Toc398827514" w:history="1">
        <w:r w:rsidR="00C424AA" w:rsidRPr="008625DC">
          <w:rPr>
            <w:rStyle w:val="Hyperlink"/>
            <w:noProof/>
            <w14:scene3d>
              <w14:camera w14:prst="orthographicFront"/>
              <w14:lightRig w14:rig="threePt" w14:dir="t">
                <w14:rot w14:lat="0" w14:lon="0" w14:rev="0"/>
              </w14:lightRig>
            </w14:scene3d>
          </w:rPr>
          <w:t>3.4</w:t>
        </w:r>
        <w:r w:rsidR="00C424AA" w:rsidRPr="008625DC">
          <w:rPr>
            <w:rFonts w:asciiTheme="minorHAnsi" w:eastAsiaTheme="minorEastAsia" w:hAnsiTheme="minorHAnsi" w:cstheme="minorBidi"/>
            <w:noProof/>
            <w:color w:val="auto"/>
            <w:szCs w:val="22"/>
          </w:rPr>
          <w:tab/>
        </w:r>
        <w:r w:rsidR="00C424AA" w:rsidRPr="008625DC">
          <w:rPr>
            <w:rStyle w:val="Hyperlink"/>
            <w:noProof/>
          </w:rPr>
          <w:t>Extra</w:t>
        </w:r>
        <w:r w:rsidR="00C424AA" w:rsidRPr="008625DC">
          <w:rPr>
            <w:rStyle w:val="Hyperlink"/>
            <w:noProof/>
          </w:rPr>
          <w:noBreakHyphen/>
          <w:t>territorial reach of the law</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_Toc398827514 \h </w:instrText>
        </w:r>
        <w:r w:rsidR="00C424AA" w:rsidRPr="008625DC">
          <w:rPr>
            <w:noProof/>
            <w:webHidden/>
          </w:rPr>
        </w:r>
        <w:r w:rsidR="00C424AA" w:rsidRPr="008625DC">
          <w:rPr>
            <w:noProof/>
            <w:webHidden/>
          </w:rPr>
          <w:fldChar w:fldCharType="separate"/>
        </w:r>
        <w:r w:rsidR="00E26228">
          <w:rPr>
            <w:noProof/>
            <w:webHidden/>
          </w:rPr>
          <w:t>40</w:t>
        </w:r>
        <w:r w:rsidR="00C424AA" w:rsidRPr="008625DC">
          <w:rPr>
            <w:noProof/>
            <w:webHidden/>
          </w:rPr>
          <w:fldChar w:fldCharType="end"/>
        </w:r>
      </w:hyperlink>
    </w:p>
    <w:p w14:paraId="3FA20A2D" w14:textId="1CE3DCD7" w:rsidR="00C424AA" w:rsidRPr="008625DC" w:rsidRDefault="00AD530F">
      <w:pPr>
        <w:pStyle w:val="TOC2"/>
        <w:rPr>
          <w:rFonts w:asciiTheme="minorHAnsi" w:eastAsiaTheme="minorEastAsia" w:hAnsiTheme="minorHAnsi" w:cstheme="minorBidi"/>
          <w:noProof/>
          <w:color w:val="auto"/>
          <w:szCs w:val="22"/>
        </w:rPr>
      </w:pPr>
      <w:hyperlink w:anchor="_Toc398827515" w:history="1">
        <w:r w:rsidR="00C424AA" w:rsidRPr="008625DC">
          <w:rPr>
            <w:rStyle w:val="Hyperlink"/>
            <w:noProof/>
            <w14:scene3d>
              <w14:camera w14:prst="orthographicFront"/>
              <w14:lightRig w14:rig="threePt" w14:dir="t">
                <w14:rot w14:lat="0" w14:lon="0" w14:rev="0"/>
              </w14:lightRig>
            </w14:scene3d>
          </w:rPr>
          <w:t>3.5</w:t>
        </w:r>
        <w:r w:rsidR="00C424AA" w:rsidRPr="008625DC">
          <w:rPr>
            <w:rFonts w:asciiTheme="minorHAnsi" w:eastAsiaTheme="minorEastAsia" w:hAnsiTheme="minorHAnsi" w:cstheme="minorBidi"/>
            <w:noProof/>
            <w:color w:val="auto"/>
            <w:szCs w:val="22"/>
          </w:rPr>
          <w:tab/>
        </w:r>
        <w:r w:rsidR="00C424AA" w:rsidRPr="008625DC">
          <w:rPr>
            <w:rStyle w:val="Hyperlink"/>
            <w:noProof/>
          </w:rPr>
          <w:t>Cartels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_Toc398827515 \h </w:instrText>
        </w:r>
        <w:r w:rsidR="00C424AA" w:rsidRPr="008625DC">
          <w:rPr>
            <w:noProof/>
            <w:webHidden/>
          </w:rPr>
        </w:r>
        <w:r w:rsidR="00C424AA" w:rsidRPr="008625DC">
          <w:rPr>
            <w:noProof/>
            <w:webHidden/>
          </w:rPr>
          <w:fldChar w:fldCharType="separate"/>
        </w:r>
        <w:r w:rsidR="00E26228">
          <w:rPr>
            <w:noProof/>
            <w:webHidden/>
          </w:rPr>
          <w:t>40</w:t>
        </w:r>
        <w:r w:rsidR="00C424AA" w:rsidRPr="008625DC">
          <w:rPr>
            <w:noProof/>
            <w:webHidden/>
          </w:rPr>
          <w:fldChar w:fldCharType="end"/>
        </w:r>
      </w:hyperlink>
    </w:p>
    <w:p w14:paraId="466D2BE0" w14:textId="6C9BED28" w:rsidR="00C424AA" w:rsidRPr="008625DC" w:rsidRDefault="00AD530F">
      <w:pPr>
        <w:pStyle w:val="TOC2"/>
        <w:rPr>
          <w:rFonts w:asciiTheme="minorHAnsi" w:eastAsiaTheme="minorEastAsia" w:hAnsiTheme="minorHAnsi" w:cstheme="minorBidi"/>
          <w:noProof/>
          <w:color w:val="auto"/>
          <w:szCs w:val="22"/>
        </w:rPr>
      </w:pPr>
      <w:hyperlink w:anchor="_Toc398827516" w:history="1">
        <w:r w:rsidR="00C424AA" w:rsidRPr="008625DC">
          <w:rPr>
            <w:rStyle w:val="Hyperlink"/>
            <w:noProof/>
            <w14:scene3d>
              <w14:camera w14:prst="orthographicFront"/>
              <w14:lightRig w14:rig="threePt" w14:dir="t">
                <w14:rot w14:lat="0" w14:lon="0" w14:rev="0"/>
              </w14:lightRig>
            </w14:scene3d>
          </w:rPr>
          <w:t>3.6</w:t>
        </w:r>
        <w:r w:rsidR="00C424AA" w:rsidRPr="008625DC">
          <w:rPr>
            <w:rFonts w:asciiTheme="minorHAnsi" w:eastAsiaTheme="minorEastAsia" w:hAnsiTheme="minorHAnsi" w:cstheme="minorBidi"/>
            <w:noProof/>
            <w:color w:val="auto"/>
            <w:szCs w:val="22"/>
          </w:rPr>
          <w:tab/>
        </w:r>
        <w:r w:rsidR="00C424AA" w:rsidRPr="008625DC">
          <w:rPr>
            <w:rStyle w:val="Hyperlink"/>
            <w:noProof/>
          </w:rPr>
          <w:t>Anti</w:t>
        </w:r>
        <w:r w:rsidR="00C424AA" w:rsidRPr="008625DC">
          <w:rPr>
            <w:rStyle w:val="Hyperlink"/>
            <w:noProof/>
          </w:rPr>
          <w:noBreakHyphen/>
          <w:t>competitive disclosure of information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_Toc398827516 \h </w:instrText>
        </w:r>
        <w:r w:rsidR="00C424AA" w:rsidRPr="008625DC">
          <w:rPr>
            <w:noProof/>
            <w:webHidden/>
          </w:rPr>
        </w:r>
        <w:r w:rsidR="00C424AA" w:rsidRPr="008625DC">
          <w:rPr>
            <w:noProof/>
            <w:webHidden/>
          </w:rPr>
          <w:fldChar w:fldCharType="separate"/>
        </w:r>
        <w:r w:rsidR="00E26228">
          <w:rPr>
            <w:noProof/>
            <w:webHidden/>
          </w:rPr>
          <w:t>42</w:t>
        </w:r>
        <w:r w:rsidR="00C424AA" w:rsidRPr="008625DC">
          <w:rPr>
            <w:noProof/>
            <w:webHidden/>
          </w:rPr>
          <w:fldChar w:fldCharType="end"/>
        </w:r>
      </w:hyperlink>
    </w:p>
    <w:p w14:paraId="65390DCF" w14:textId="34E61B8E" w:rsidR="00C424AA" w:rsidRPr="008625DC" w:rsidRDefault="00AD530F">
      <w:pPr>
        <w:pStyle w:val="TOC2"/>
        <w:rPr>
          <w:rFonts w:asciiTheme="minorHAnsi" w:eastAsiaTheme="minorEastAsia" w:hAnsiTheme="minorHAnsi" w:cstheme="minorBidi"/>
          <w:noProof/>
          <w:color w:val="auto"/>
          <w:szCs w:val="22"/>
        </w:rPr>
      </w:pPr>
      <w:hyperlink w:anchor="_Toc398827517" w:history="1">
        <w:r w:rsidR="00C424AA" w:rsidRPr="008625DC">
          <w:rPr>
            <w:rStyle w:val="Hyperlink"/>
            <w:noProof/>
            <w14:scene3d>
              <w14:camera w14:prst="orthographicFront"/>
              <w14:lightRig w14:rig="threePt" w14:dir="t">
                <w14:rot w14:lat="0" w14:lon="0" w14:rev="0"/>
              </w14:lightRig>
            </w14:scene3d>
          </w:rPr>
          <w:t>3.7</w:t>
        </w:r>
        <w:r w:rsidR="00C424AA" w:rsidRPr="008625DC">
          <w:rPr>
            <w:rFonts w:asciiTheme="minorHAnsi" w:eastAsiaTheme="minorEastAsia" w:hAnsiTheme="minorHAnsi" w:cstheme="minorBidi"/>
            <w:noProof/>
            <w:color w:val="auto"/>
            <w:szCs w:val="22"/>
          </w:rPr>
          <w:tab/>
        </w:r>
        <w:r w:rsidR="00C424AA" w:rsidRPr="008625DC">
          <w:rPr>
            <w:rStyle w:val="Hyperlink"/>
            <w:noProof/>
          </w:rPr>
          <w:t>Misuse of market power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_Toc398827517 \h </w:instrText>
        </w:r>
        <w:r w:rsidR="00C424AA" w:rsidRPr="008625DC">
          <w:rPr>
            <w:noProof/>
            <w:webHidden/>
          </w:rPr>
        </w:r>
        <w:r w:rsidR="00C424AA" w:rsidRPr="008625DC">
          <w:rPr>
            <w:noProof/>
            <w:webHidden/>
          </w:rPr>
          <w:fldChar w:fldCharType="separate"/>
        </w:r>
        <w:r w:rsidR="00E26228">
          <w:rPr>
            <w:noProof/>
            <w:webHidden/>
          </w:rPr>
          <w:t>42</w:t>
        </w:r>
        <w:r w:rsidR="00C424AA" w:rsidRPr="008625DC">
          <w:rPr>
            <w:noProof/>
            <w:webHidden/>
          </w:rPr>
          <w:fldChar w:fldCharType="end"/>
        </w:r>
      </w:hyperlink>
    </w:p>
    <w:p w14:paraId="58D3AB72" w14:textId="7ABBF25F" w:rsidR="00C424AA" w:rsidRPr="008625DC" w:rsidRDefault="00AD530F">
      <w:pPr>
        <w:pStyle w:val="TOC2"/>
        <w:rPr>
          <w:rFonts w:asciiTheme="minorHAnsi" w:eastAsiaTheme="minorEastAsia" w:hAnsiTheme="minorHAnsi" w:cstheme="minorBidi"/>
          <w:noProof/>
          <w:color w:val="auto"/>
          <w:szCs w:val="22"/>
        </w:rPr>
      </w:pPr>
      <w:hyperlink w:anchor="_Toc398827518" w:history="1">
        <w:r w:rsidR="00C424AA" w:rsidRPr="008625DC">
          <w:rPr>
            <w:rStyle w:val="Hyperlink"/>
            <w:noProof/>
            <w14:scene3d>
              <w14:camera w14:prst="orthographicFront"/>
              <w14:lightRig w14:rig="threePt" w14:dir="t">
                <w14:rot w14:lat="0" w14:lon="0" w14:rev="0"/>
              </w14:lightRig>
            </w14:scene3d>
          </w:rPr>
          <w:t>3.8</w:t>
        </w:r>
        <w:r w:rsidR="00C424AA" w:rsidRPr="008625DC">
          <w:rPr>
            <w:rFonts w:asciiTheme="minorHAnsi" w:eastAsiaTheme="minorEastAsia" w:hAnsiTheme="minorHAnsi" w:cstheme="minorBidi"/>
            <w:noProof/>
            <w:color w:val="auto"/>
            <w:szCs w:val="22"/>
          </w:rPr>
          <w:tab/>
        </w:r>
        <w:r w:rsidR="00C424AA" w:rsidRPr="008625DC">
          <w:rPr>
            <w:rStyle w:val="Hyperlink"/>
            <w:noProof/>
          </w:rPr>
          <w:t>Unconscionable conduct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_Toc398827518 \h </w:instrText>
        </w:r>
        <w:r w:rsidR="00C424AA" w:rsidRPr="008625DC">
          <w:rPr>
            <w:noProof/>
            <w:webHidden/>
          </w:rPr>
        </w:r>
        <w:r w:rsidR="00C424AA" w:rsidRPr="008625DC">
          <w:rPr>
            <w:noProof/>
            <w:webHidden/>
          </w:rPr>
          <w:fldChar w:fldCharType="separate"/>
        </w:r>
        <w:r w:rsidR="00E26228">
          <w:rPr>
            <w:noProof/>
            <w:webHidden/>
          </w:rPr>
          <w:t>44</w:t>
        </w:r>
        <w:r w:rsidR="00C424AA" w:rsidRPr="008625DC">
          <w:rPr>
            <w:noProof/>
            <w:webHidden/>
          </w:rPr>
          <w:fldChar w:fldCharType="end"/>
        </w:r>
      </w:hyperlink>
    </w:p>
    <w:p w14:paraId="4B6507CF" w14:textId="174E13E9" w:rsidR="00C424AA" w:rsidRPr="008625DC" w:rsidRDefault="00AD530F">
      <w:pPr>
        <w:pStyle w:val="TOC2"/>
        <w:rPr>
          <w:rFonts w:asciiTheme="minorHAnsi" w:eastAsiaTheme="minorEastAsia" w:hAnsiTheme="minorHAnsi" w:cstheme="minorBidi"/>
          <w:noProof/>
          <w:color w:val="auto"/>
          <w:szCs w:val="22"/>
        </w:rPr>
      </w:pPr>
      <w:hyperlink w:anchor="_Toc398827519" w:history="1">
        <w:r w:rsidR="00C424AA" w:rsidRPr="008625DC">
          <w:rPr>
            <w:rStyle w:val="Hyperlink"/>
            <w:noProof/>
            <w14:scene3d>
              <w14:camera w14:prst="orthographicFront"/>
              <w14:lightRig w14:rig="threePt" w14:dir="t">
                <w14:rot w14:lat="0" w14:lon="0" w14:rev="0"/>
              </w14:lightRig>
            </w14:scene3d>
          </w:rPr>
          <w:t>3.9</w:t>
        </w:r>
        <w:r w:rsidR="00C424AA" w:rsidRPr="008625DC">
          <w:rPr>
            <w:rFonts w:asciiTheme="minorHAnsi" w:eastAsiaTheme="minorEastAsia" w:hAnsiTheme="minorHAnsi" w:cstheme="minorBidi"/>
            <w:noProof/>
            <w:color w:val="auto"/>
            <w:szCs w:val="22"/>
          </w:rPr>
          <w:tab/>
        </w:r>
        <w:r w:rsidR="00C424AA" w:rsidRPr="008625DC">
          <w:rPr>
            <w:rStyle w:val="Hyperlink"/>
            <w:noProof/>
          </w:rPr>
          <w:t>Price discrimination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_Toc398827519 \h </w:instrText>
        </w:r>
        <w:r w:rsidR="00C424AA" w:rsidRPr="008625DC">
          <w:rPr>
            <w:noProof/>
            <w:webHidden/>
          </w:rPr>
        </w:r>
        <w:r w:rsidR="00C424AA" w:rsidRPr="008625DC">
          <w:rPr>
            <w:noProof/>
            <w:webHidden/>
          </w:rPr>
          <w:fldChar w:fldCharType="separate"/>
        </w:r>
        <w:r w:rsidR="00E26228">
          <w:rPr>
            <w:noProof/>
            <w:webHidden/>
          </w:rPr>
          <w:t>45</w:t>
        </w:r>
        <w:r w:rsidR="00C424AA" w:rsidRPr="008625DC">
          <w:rPr>
            <w:noProof/>
            <w:webHidden/>
          </w:rPr>
          <w:fldChar w:fldCharType="end"/>
        </w:r>
      </w:hyperlink>
    </w:p>
    <w:p w14:paraId="7DE97067" w14:textId="295E8C9D" w:rsidR="00C424AA" w:rsidRPr="008625DC" w:rsidRDefault="00AD530F">
      <w:pPr>
        <w:pStyle w:val="TOC2"/>
        <w:rPr>
          <w:rFonts w:asciiTheme="minorHAnsi" w:eastAsiaTheme="minorEastAsia" w:hAnsiTheme="minorHAnsi" w:cstheme="minorBidi"/>
          <w:noProof/>
          <w:color w:val="auto"/>
          <w:szCs w:val="22"/>
        </w:rPr>
      </w:pPr>
      <w:hyperlink w:anchor="_Toc398827520" w:history="1">
        <w:r w:rsidR="00C424AA" w:rsidRPr="008625DC">
          <w:rPr>
            <w:rStyle w:val="Hyperlink"/>
            <w:noProof/>
            <w14:scene3d>
              <w14:camera w14:prst="orthographicFront"/>
              <w14:lightRig w14:rig="threePt" w14:dir="t">
                <w14:rot w14:lat="0" w14:lon="0" w14:rev="0"/>
              </w14:lightRig>
            </w14:scene3d>
          </w:rPr>
          <w:t>3.10</w:t>
        </w:r>
        <w:r w:rsidR="00C424AA" w:rsidRPr="008625DC">
          <w:rPr>
            <w:rFonts w:asciiTheme="minorHAnsi" w:eastAsiaTheme="minorEastAsia" w:hAnsiTheme="minorHAnsi" w:cstheme="minorBidi"/>
            <w:noProof/>
            <w:color w:val="auto"/>
            <w:szCs w:val="22"/>
          </w:rPr>
          <w:tab/>
        </w:r>
        <w:r w:rsidR="00C424AA" w:rsidRPr="008625DC">
          <w:rPr>
            <w:rStyle w:val="Hyperlink"/>
            <w:noProof/>
          </w:rPr>
          <w:t>Vertical restrictions (other than resale price maintenance)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_Toc398827520 \h </w:instrText>
        </w:r>
        <w:r w:rsidR="00C424AA" w:rsidRPr="008625DC">
          <w:rPr>
            <w:noProof/>
            <w:webHidden/>
          </w:rPr>
        </w:r>
        <w:r w:rsidR="00C424AA" w:rsidRPr="008625DC">
          <w:rPr>
            <w:noProof/>
            <w:webHidden/>
          </w:rPr>
          <w:fldChar w:fldCharType="separate"/>
        </w:r>
        <w:r w:rsidR="00E26228">
          <w:rPr>
            <w:noProof/>
            <w:webHidden/>
          </w:rPr>
          <w:t>45</w:t>
        </w:r>
        <w:r w:rsidR="00C424AA" w:rsidRPr="008625DC">
          <w:rPr>
            <w:noProof/>
            <w:webHidden/>
          </w:rPr>
          <w:fldChar w:fldCharType="end"/>
        </w:r>
      </w:hyperlink>
    </w:p>
    <w:p w14:paraId="7F8A284F" w14:textId="2B453B01" w:rsidR="00C424AA" w:rsidRPr="008625DC" w:rsidRDefault="00AD530F">
      <w:pPr>
        <w:pStyle w:val="TOC2"/>
        <w:rPr>
          <w:rFonts w:asciiTheme="minorHAnsi" w:eastAsiaTheme="minorEastAsia" w:hAnsiTheme="minorHAnsi" w:cstheme="minorBidi"/>
          <w:noProof/>
          <w:color w:val="auto"/>
          <w:szCs w:val="22"/>
        </w:rPr>
      </w:pPr>
      <w:hyperlink w:anchor="_Toc398827521" w:history="1">
        <w:r w:rsidR="00C424AA" w:rsidRPr="008625DC">
          <w:rPr>
            <w:rStyle w:val="Hyperlink"/>
            <w:noProof/>
            <w14:scene3d>
              <w14:camera w14:prst="orthographicFront"/>
              <w14:lightRig w14:rig="threePt" w14:dir="t">
                <w14:rot w14:lat="0" w14:lon="0" w14:rev="0"/>
              </w14:lightRig>
            </w14:scene3d>
          </w:rPr>
          <w:t>3.11</w:t>
        </w:r>
        <w:r w:rsidR="00C424AA" w:rsidRPr="008625DC">
          <w:rPr>
            <w:rFonts w:asciiTheme="minorHAnsi" w:eastAsiaTheme="minorEastAsia" w:hAnsiTheme="minorHAnsi" w:cstheme="minorBidi"/>
            <w:noProof/>
            <w:color w:val="auto"/>
            <w:szCs w:val="22"/>
          </w:rPr>
          <w:tab/>
        </w:r>
        <w:r w:rsidR="00C424AA" w:rsidRPr="008625DC">
          <w:rPr>
            <w:rStyle w:val="Hyperlink"/>
            <w:noProof/>
          </w:rPr>
          <w:t>Resale price maintenance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_Toc398827521 \h </w:instrText>
        </w:r>
        <w:r w:rsidR="00C424AA" w:rsidRPr="008625DC">
          <w:rPr>
            <w:noProof/>
            <w:webHidden/>
          </w:rPr>
        </w:r>
        <w:r w:rsidR="00C424AA" w:rsidRPr="008625DC">
          <w:rPr>
            <w:noProof/>
            <w:webHidden/>
          </w:rPr>
          <w:fldChar w:fldCharType="separate"/>
        </w:r>
        <w:r w:rsidR="00E26228">
          <w:rPr>
            <w:noProof/>
            <w:webHidden/>
          </w:rPr>
          <w:t>46</w:t>
        </w:r>
        <w:r w:rsidR="00C424AA" w:rsidRPr="008625DC">
          <w:rPr>
            <w:noProof/>
            <w:webHidden/>
          </w:rPr>
          <w:fldChar w:fldCharType="end"/>
        </w:r>
      </w:hyperlink>
    </w:p>
    <w:p w14:paraId="72395981" w14:textId="19F55248" w:rsidR="00C424AA" w:rsidRPr="008625DC" w:rsidRDefault="00AD530F">
      <w:pPr>
        <w:pStyle w:val="TOC2"/>
        <w:rPr>
          <w:rFonts w:asciiTheme="minorHAnsi" w:eastAsiaTheme="minorEastAsia" w:hAnsiTheme="minorHAnsi" w:cstheme="minorBidi"/>
          <w:noProof/>
          <w:color w:val="auto"/>
          <w:szCs w:val="22"/>
        </w:rPr>
      </w:pPr>
      <w:hyperlink w:anchor="_Toc398827522" w:history="1">
        <w:r w:rsidR="00C424AA" w:rsidRPr="008625DC">
          <w:rPr>
            <w:rStyle w:val="Hyperlink"/>
            <w:noProof/>
            <w14:scene3d>
              <w14:camera w14:prst="orthographicFront"/>
              <w14:lightRig w14:rig="threePt" w14:dir="t">
                <w14:rot w14:lat="0" w14:lon="0" w14:rev="0"/>
              </w14:lightRig>
            </w14:scene3d>
          </w:rPr>
          <w:t>3.12</w:t>
        </w:r>
        <w:r w:rsidR="00C424AA" w:rsidRPr="008625DC">
          <w:rPr>
            <w:rFonts w:asciiTheme="minorHAnsi" w:eastAsiaTheme="minorEastAsia" w:hAnsiTheme="minorHAnsi" w:cstheme="minorBidi"/>
            <w:noProof/>
            <w:color w:val="auto"/>
            <w:szCs w:val="22"/>
          </w:rPr>
          <w:tab/>
        </w:r>
        <w:r w:rsidR="00C424AA" w:rsidRPr="008625DC">
          <w:rPr>
            <w:rStyle w:val="Hyperlink"/>
            <w:noProof/>
          </w:rPr>
          <w:t>Mergers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_Toc398827522 \h </w:instrText>
        </w:r>
        <w:r w:rsidR="00C424AA" w:rsidRPr="008625DC">
          <w:rPr>
            <w:noProof/>
            <w:webHidden/>
          </w:rPr>
        </w:r>
        <w:r w:rsidR="00C424AA" w:rsidRPr="008625DC">
          <w:rPr>
            <w:noProof/>
            <w:webHidden/>
          </w:rPr>
          <w:fldChar w:fldCharType="separate"/>
        </w:r>
        <w:r w:rsidR="00E26228">
          <w:rPr>
            <w:noProof/>
            <w:webHidden/>
          </w:rPr>
          <w:t>47</w:t>
        </w:r>
        <w:r w:rsidR="00C424AA" w:rsidRPr="008625DC">
          <w:rPr>
            <w:noProof/>
            <w:webHidden/>
          </w:rPr>
          <w:fldChar w:fldCharType="end"/>
        </w:r>
      </w:hyperlink>
    </w:p>
    <w:p w14:paraId="1D2B9EFB" w14:textId="7362617B" w:rsidR="00C424AA" w:rsidRPr="008625DC" w:rsidRDefault="00AD530F">
      <w:pPr>
        <w:pStyle w:val="TOC2"/>
        <w:rPr>
          <w:rFonts w:asciiTheme="minorHAnsi" w:eastAsiaTheme="minorEastAsia" w:hAnsiTheme="minorHAnsi" w:cstheme="minorBidi"/>
          <w:noProof/>
          <w:color w:val="auto"/>
          <w:szCs w:val="22"/>
        </w:rPr>
      </w:pPr>
      <w:hyperlink w:anchor="_Toc398827523" w:history="1">
        <w:r w:rsidR="00C424AA" w:rsidRPr="008625DC">
          <w:rPr>
            <w:rStyle w:val="Hyperlink"/>
            <w:noProof/>
            <w14:scene3d>
              <w14:camera w14:prst="orthographicFront"/>
              <w14:lightRig w14:rig="threePt" w14:dir="t">
                <w14:rot w14:lat="0" w14:lon="0" w14:rev="0"/>
              </w14:lightRig>
            </w14:scene3d>
          </w:rPr>
          <w:t>3.13</w:t>
        </w:r>
        <w:r w:rsidR="00C424AA" w:rsidRPr="008625DC">
          <w:rPr>
            <w:rFonts w:asciiTheme="minorHAnsi" w:eastAsiaTheme="minorEastAsia" w:hAnsiTheme="minorHAnsi" w:cstheme="minorBidi"/>
            <w:noProof/>
            <w:color w:val="auto"/>
            <w:szCs w:val="22"/>
          </w:rPr>
          <w:tab/>
        </w:r>
        <w:r w:rsidR="00C424AA" w:rsidRPr="008625DC">
          <w:rPr>
            <w:rStyle w:val="Hyperlink"/>
            <w:noProof/>
          </w:rPr>
          <w:t>Employment</w:t>
        </w:r>
        <w:r w:rsidR="00C424AA" w:rsidRPr="008625DC">
          <w:rPr>
            <w:rStyle w:val="Hyperlink"/>
            <w:noProof/>
          </w:rPr>
          <w:noBreakHyphen/>
          <w:t>related matters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_Toc398827523 \h </w:instrText>
        </w:r>
        <w:r w:rsidR="00C424AA" w:rsidRPr="008625DC">
          <w:rPr>
            <w:noProof/>
            <w:webHidden/>
          </w:rPr>
        </w:r>
        <w:r w:rsidR="00C424AA" w:rsidRPr="008625DC">
          <w:rPr>
            <w:noProof/>
            <w:webHidden/>
          </w:rPr>
          <w:fldChar w:fldCharType="separate"/>
        </w:r>
        <w:r w:rsidR="00E26228">
          <w:rPr>
            <w:noProof/>
            <w:webHidden/>
          </w:rPr>
          <w:t>49</w:t>
        </w:r>
        <w:r w:rsidR="00C424AA" w:rsidRPr="008625DC">
          <w:rPr>
            <w:noProof/>
            <w:webHidden/>
          </w:rPr>
          <w:fldChar w:fldCharType="end"/>
        </w:r>
      </w:hyperlink>
    </w:p>
    <w:p w14:paraId="2D7EB310" w14:textId="204296E9" w:rsidR="00C424AA" w:rsidRPr="008625DC" w:rsidRDefault="00AD530F">
      <w:pPr>
        <w:pStyle w:val="TOC2"/>
        <w:rPr>
          <w:rFonts w:asciiTheme="minorHAnsi" w:eastAsiaTheme="minorEastAsia" w:hAnsiTheme="minorHAnsi" w:cstheme="minorBidi"/>
          <w:noProof/>
          <w:color w:val="auto"/>
          <w:szCs w:val="22"/>
        </w:rPr>
      </w:pPr>
      <w:hyperlink w:anchor="_Toc398827524" w:history="1">
        <w:r w:rsidR="00C424AA" w:rsidRPr="008625DC">
          <w:rPr>
            <w:rStyle w:val="Hyperlink"/>
            <w:noProof/>
            <w14:scene3d>
              <w14:camera w14:prst="orthographicFront"/>
              <w14:lightRig w14:rig="threePt" w14:dir="t">
                <w14:rot w14:lat="0" w14:lon="0" w14:rev="0"/>
              </w14:lightRig>
            </w14:scene3d>
          </w:rPr>
          <w:t>3.14</w:t>
        </w:r>
        <w:r w:rsidR="00C424AA" w:rsidRPr="008625DC">
          <w:rPr>
            <w:rFonts w:asciiTheme="minorHAnsi" w:eastAsiaTheme="minorEastAsia" w:hAnsiTheme="minorHAnsi" w:cstheme="minorBidi"/>
            <w:noProof/>
            <w:color w:val="auto"/>
            <w:szCs w:val="22"/>
          </w:rPr>
          <w:tab/>
        </w:r>
        <w:r w:rsidR="00C424AA" w:rsidRPr="008625DC">
          <w:rPr>
            <w:rStyle w:val="Hyperlink"/>
            <w:noProof/>
          </w:rPr>
          <w:t>Exemption processes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_Toc398827524 \h </w:instrText>
        </w:r>
        <w:r w:rsidR="00C424AA" w:rsidRPr="008625DC">
          <w:rPr>
            <w:noProof/>
            <w:webHidden/>
          </w:rPr>
        </w:r>
        <w:r w:rsidR="00C424AA" w:rsidRPr="008625DC">
          <w:rPr>
            <w:noProof/>
            <w:webHidden/>
          </w:rPr>
          <w:fldChar w:fldCharType="separate"/>
        </w:r>
        <w:r w:rsidR="00E26228">
          <w:rPr>
            <w:noProof/>
            <w:webHidden/>
          </w:rPr>
          <w:t>52</w:t>
        </w:r>
        <w:r w:rsidR="00C424AA" w:rsidRPr="008625DC">
          <w:rPr>
            <w:noProof/>
            <w:webHidden/>
          </w:rPr>
          <w:fldChar w:fldCharType="end"/>
        </w:r>
      </w:hyperlink>
    </w:p>
    <w:p w14:paraId="70A84945" w14:textId="35A4196C" w:rsidR="00C424AA" w:rsidRPr="008625DC" w:rsidRDefault="00AD530F">
      <w:pPr>
        <w:pStyle w:val="TOC2"/>
        <w:rPr>
          <w:rFonts w:asciiTheme="minorHAnsi" w:eastAsiaTheme="minorEastAsia" w:hAnsiTheme="minorHAnsi" w:cstheme="minorBidi"/>
          <w:noProof/>
          <w:color w:val="auto"/>
          <w:szCs w:val="22"/>
        </w:rPr>
      </w:pPr>
      <w:hyperlink w:anchor="_Toc398827525" w:history="1">
        <w:r w:rsidR="00C424AA" w:rsidRPr="008625DC">
          <w:rPr>
            <w:rStyle w:val="Hyperlink"/>
            <w:noProof/>
            <w14:scene3d>
              <w14:camera w14:prst="orthographicFront"/>
              <w14:lightRig w14:rig="threePt" w14:dir="t">
                <w14:rot w14:lat="0" w14:lon="0" w14:rev="0"/>
              </w14:lightRig>
            </w14:scene3d>
          </w:rPr>
          <w:t>3.15</w:t>
        </w:r>
        <w:r w:rsidR="00C424AA" w:rsidRPr="008625DC">
          <w:rPr>
            <w:rFonts w:asciiTheme="minorHAnsi" w:eastAsiaTheme="minorEastAsia" w:hAnsiTheme="minorHAnsi" w:cstheme="minorBidi"/>
            <w:noProof/>
            <w:color w:val="auto"/>
            <w:szCs w:val="22"/>
          </w:rPr>
          <w:tab/>
        </w:r>
        <w:r w:rsidR="00C424AA" w:rsidRPr="008625DC">
          <w:rPr>
            <w:rStyle w:val="Hyperlink"/>
            <w:noProof/>
          </w:rPr>
          <w:t>Enforcement and remedies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_Toc398827525 \h </w:instrText>
        </w:r>
        <w:r w:rsidR="00C424AA" w:rsidRPr="008625DC">
          <w:rPr>
            <w:noProof/>
            <w:webHidden/>
          </w:rPr>
        </w:r>
        <w:r w:rsidR="00C424AA" w:rsidRPr="008625DC">
          <w:rPr>
            <w:noProof/>
            <w:webHidden/>
          </w:rPr>
          <w:fldChar w:fldCharType="separate"/>
        </w:r>
        <w:r w:rsidR="00E26228">
          <w:rPr>
            <w:noProof/>
            <w:webHidden/>
          </w:rPr>
          <w:t>53</w:t>
        </w:r>
        <w:r w:rsidR="00C424AA" w:rsidRPr="008625DC">
          <w:rPr>
            <w:noProof/>
            <w:webHidden/>
          </w:rPr>
          <w:fldChar w:fldCharType="end"/>
        </w:r>
      </w:hyperlink>
    </w:p>
    <w:p w14:paraId="030FE1D1" w14:textId="2A564DA2" w:rsidR="00C424AA" w:rsidRPr="008625DC" w:rsidRDefault="00AD530F" w:rsidP="00533EAB">
      <w:pPr>
        <w:pStyle w:val="TOC2"/>
        <w:spacing w:after="120"/>
        <w:rPr>
          <w:rFonts w:asciiTheme="minorHAnsi" w:eastAsiaTheme="minorEastAsia" w:hAnsiTheme="minorHAnsi" w:cstheme="minorBidi"/>
          <w:noProof/>
          <w:color w:val="auto"/>
          <w:szCs w:val="22"/>
        </w:rPr>
      </w:pPr>
      <w:hyperlink w:anchor="_Toc398827526" w:history="1">
        <w:r w:rsidR="00C424AA" w:rsidRPr="008625DC">
          <w:rPr>
            <w:rStyle w:val="Hyperlink"/>
            <w:noProof/>
            <w14:scene3d>
              <w14:camera w14:prst="orthographicFront"/>
              <w14:lightRig w14:rig="threePt" w14:dir="t">
                <w14:rot w14:lat="0" w14:lon="0" w14:rev="0"/>
              </w14:lightRig>
            </w14:scene3d>
          </w:rPr>
          <w:t>3.16</w:t>
        </w:r>
        <w:r w:rsidR="00C424AA" w:rsidRPr="008625DC">
          <w:rPr>
            <w:rFonts w:asciiTheme="minorHAnsi" w:eastAsiaTheme="minorEastAsia" w:hAnsiTheme="minorHAnsi" w:cstheme="minorBidi"/>
            <w:noProof/>
            <w:color w:val="auto"/>
            <w:szCs w:val="22"/>
          </w:rPr>
          <w:tab/>
        </w:r>
        <w:r w:rsidR="00C424AA" w:rsidRPr="008625DC">
          <w:rPr>
            <w:rStyle w:val="Hyperlink"/>
            <w:noProof/>
          </w:rPr>
          <w:t>National Access Regime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_Toc398827526 \h </w:instrText>
        </w:r>
        <w:r w:rsidR="00C424AA" w:rsidRPr="008625DC">
          <w:rPr>
            <w:noProof/>
            <w:webHidden/>
          </w:rPr>
        </w:r>
        <w:r w:rsidR="00C424AA" w:rsidRPr="008625DC">
          <w:rPr>
            <w:noProof/>
            <w:webHidden/>
          </w:rPr>
          <w:fldChar w:fldCharType="separate"/>
        </w:r>
        <w:r w:rsidR="00E26228">
          <w:rPr>
            <w:noProof/>
            <w:webHidden/>
          </w:rPr>
          <w:t>54</w:t>
        </w:r>
        <w:r w:rsidR="00C424AA" w:rsidRPr="008625DC">
          <w:rPr>
            <w:noProof/>
            <w:webHidden/>
          </w:rPr>
          <w:fldChar w:fldCharType="end"/>
        </w:r>
      </w:hyperlink>
      <w:r w:rsidR="00533EAB">
        <w:rPr>
          <w:noProof/>
        </w:rPr>
        <w:br/>
      </w:r>
    </w:p>
    <w:p w14:paraId="1356CB3F" w14:textId="30ABA027" w:rsidR="00C424AA" w:rsidRPr="008625DC" w:rsidRDefault="00AD530F">
      <w:pPr>
        <w:pStyle w:val="TOC1"/>
        <w:rPr>
          <w:rFonts w:asciiTheme="minorHAnsi" w:eastAsiaTheme="minorEastAsia" w:hAnsiTheme="minorHAnsi" w:cstheme="minorBidi"/>
          <w:b w:val="0"/>
          <w:caps w:val="0"/>
          <w:noProof/>
          <w:color w:val="auto"/>
          <w:sz w:val="22"/>
        </w:rPr>
      </w:pPr>
      <w:hyperlink w:anchor="_Toc398827527" w:history="1">
        <w:r w:rsidR="00C424AA" w:rsidRPr="008625DC">
          <w:rPr>
            <w:rStyle w:val="Hyperlink"/>
            <w:noProof/>
            <w14:scene3d>
              <w14:camera w14:prst="orthographicFront"/>
              <w14:lightRig w14:rig="threePt" w14:dir="t">
                <w14:rot w14:lat="0" w14:lon="0" w14:rev="0"/>
              </w14:lightRig>
            </w14:scene3d>
          </w:rPr>
          <w:t>4</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Institutions and governance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_Toc398827527 \h </w:instrText>
        </w:r>
        <w:r w:rsidR="00C424AA" w:rsidRPr="008625DC">
          <w:rPr>
            <w:noProof/>
            <w:webHidden/>
          </w:rPr>
        </w:r>
        <w:r w:rsidR="00C424AA" w:rsidRPr="008625DC">
          <w:rPr>
            <w:noProof/>
            <w:webHidden/>
          </w:rPr>
          <w:fldChar w:fldCharType="separate"/>
        </w:r>
        <w:r w:rsidR="00E26228">
          <w:rPr>
            <w:noProof/>
            <w:webHidden/>
          </w:rPr>
          <w:t>56</w:t>
        </w:r>
        <w:r w:rsidR="00C424AA" w:rsidRPr="008625DC">
          <w:rPr>
            <w:noProof/>
            <w:webHidden/>
          </w:rPr>
          <w:fldChar w:fldCharType="end"/>
        </w:r>
      </w:hyperlink>
    </w:p>
    <w:p w14:paraId="03BFEBD6" w14:textId="432BB8FB" w:rsidR="00C424AA" w:rsidRPr="008625DC" w:rsidRDefault="00AD530F">
      <w:pPr>
        <w:pStyle w:val="TOC2"/>
        <w:rPr>
          <w:rFonts w:asciiTheme="minorHAnsi" w:eastAsiaTheme="minorEastAsia" w:hAnsiTheme="minorHAnsi" w:cstheme="minorBidi"/>
          <w:noProof/>
          <w:color w:val="auto"/>
          <w:szCs w:val="22"/>
        </w:rPr>
      </w:pPr>
      <w:hyperlink w:anchor="_Toc398827528" w:history="1">
        <w:r w:rsidR="00C424AA" w:rsidRPr="008625DC">
          <w:rPr>
            <w:rStyle w:val="Hyperlink"/>
            <w:noProof/>
            <w14:scene3d>
              <w14:camera w14:prst="orthographicFront"/>
              <w14:lightRig w14:rig="threePt" w14:dir="t">
                <w14:rot w14:lat="0" w14:lon="0" w14:rev="0"/>
              </w14:lightRig>
            </w14:scene3d>
          </w:rPr>
          <w:t>4.1</w:t>
        </w:r>
        <w:r w:rsidR="00C424AA" w:rsidRPr="008625DC">
          <w:rPr>
            <w:rFonts w:asciiTheme="minorHAnsi" w:eastAsiaTheme="minorEastAsia" w:hAnsiTheme="minorHAnsi" w:cstheme="minorBidi"/>
            <w:noProof/>
            <w:color w:val="auto"/>
            <w:szCs w:val="22"/>
          </w:rPr>
          <w:tab/>
        </w:r>
        <w:r w:rsidR="00C424AA" w:rsidRPr="008625DC">
          <w:rPr>
            <w:rStyle w:val="Hyperlink"/>
            <w:noProof/>
          </w:rPr>
          <w:t>A national competition body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_Toc398827528 \h </w:instrText>
        </w:r>
        <w:r w:rsidR="00C424AA" w:rsidRPr="008625DC">
          <w:rPr>
            <w:noProof/>
            <w:webHidden/>
          </w:rPr>
        </w:r>
        <w:r w:rsidR="00C424AA" w:rsidRPr="008625DC">
          <w:rPr>
            <w:noProof/>
            <w:webHidden/>
          </w:rPr>
          <w:fldChar w:fldCharType="separate"/>
        </w:r>
        <w:r w:rsidR="00E26228">
          <w:rPr>
            <w:noProof/>
            <w:webHidden/>
          </w:rPr>
          <w:t>56</w:t>
        </w:r>
        <w:r w:rsidR="00C424AA" w:rsidRPr="008625DC">
          <w:rPr>
            <w:noProof/>
            <w:webHidden/>
          </w:rPr>
          <w:fldChar w:fldCharType="end"/>
        </w:r>
      </w:hyperlink>
    </w:p>
    <w:p w14:paraId="74C720D8" w14:textId="7F645397" w:rsidR="00C424AA" w:rsidRPr="008625DC" w:rsidRDefault="00AD530F">
      <w:pPr>
        <w:pStyle w:val="TOC2"/>
        <w:rPr>
          <w:rFonts w:asciiTheme="minorHAnsi" w:eastAsiaTheme="minorEastAsia" w:hAnsiTheme="minorHAnsi" w:cstheme="minorBidi"/>
          <w:noProof/>
          <w:color w:val="auto"/>
          <w:szCs w:val="22"/>
        </w:rPr>
      </w:pPr>
      <w:hyperlink w:anchor="_Toc398827529" w:history="1">
        <w:r w:rsidR="00C424AA" w:rsidRPr="008625DC">
          <w:rPr>
            <w:rStyle w:val="Hyperlink"/>
            <w:noProof/>
            <w14:scene3d>
              <w14:camera w14:prst="orthographicFront"/>
              <w14:lightRig w14:rig="threePt" w14:dir="t">
                <w14:rot w14:lat="0" w14:lon="0" w14:rev="0"/>
              </w14:lightRig>
            </w14:scene3d>
          </w:rPr>
          <w:t>4.2</w:t>
        </w:r>
        <w:r w:rsidR="00C424AA" w:rsidRPr="008625DC">
          <w:rPr>
            <w:rFonts w:asciiTheme="minorHAnsi" w:eastAsiaTheme="minorEastAsia" w:hAnsiTheme="minorHAnsi" w:cstheme="minorBidi"/>
            <w:noProof/>
            <w:color w:val="auto"/>
            <w:szCs w:val="22"/>
          </w:rPr>
          <w:tab/>
        </w:r>
        <w:r w:rsidR="00C424AA" w:rsidRPr="008625DC">
          <w:rPr>
            <w:rStyle w:val="Hyperlink"/>
            <w:noProof/>
          </w:rPr>
          <w:t>Functions of the national body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_Toc398827529 \h </w:instrText>
        </w:r>
        <w:r w:rsidR="00C424AA" w:rsidRPr="008625DC">
          <w:rPr>
            <w:noProof/>
            <w:webHidden/>
          </w:rPr>
        </w:r>
        <w:r w:rsidR="00C424AA" w:rsidRPr="008625DC">
          <w:rPr>
            <w:noProof/>
            <w:webHidden/>
          </w:rPr>
          <w:fldChar w:fldCharType="separate"/>
        </w:r>
        <w:r w:rsidR="00E26228">
          <w:rPr>
            <w:noProof/>
            <w:webHidden/>
          </w:rPr>
          <w:t>57</w:t>
        </w:r>
        <w:r w:rsidR="00C424AA" w:rsidRPr="008625DC">
          <w:rPr>
            <w:noProof/>
            <w:webHidden/>
          </w:rPr>
          <w:fldChar w:fldCharType="end"/>
        </w:r>
      </w:hyperlink>
    </w:p>
    <w:p w14:paraId="1643EFD7" w14:textId="46E7C2F6" w:rsidR="00C424AA" w:rsidRPr="008625DC" w:rsidRDefault="00AD530F">
      <w:pPr>
        <w:pStyle w:val="TOC2"/>
        <w:rPr>
          <w:rFonts w:asciiTheme="minorHAnsi" w:eastAsiaTheme="minorEastAsia" w:hAnsiTheme="minorHAnsi" w:cstheme="minorBidi"/>
          <w:noProof/>
          <w:color w:val="auto"/>
          <w:szCs w:val="22"/>
        </w:rPr>
      </w:pPr>
      <w:hyperlink w:anchor="_Toc398827530" w:history="1">
        <w:r w:rsidR="00C424AA" w:rsidRPr="008625DC">
          <w:rPr>
            <w:rStyle w:val="Hyperlink"/>
            <w:noProof/>
            <w14:scene3d>
              <w14:camera w14:prst="orthographicFront"/>
              <w14:lightRig w14:rig="threePt" w14:dir="t">
                <w14:rot w14:lat="0" w14:lon="0" w14:rev="0"/>
              </w14:lightRig>
            </w14:scene3d>
          </w:rPr>
          <w:t>4.3</w:t>
        </w:r>
        <w:r w:rsidR="00C424AA" w:rsidRPr="008625DC">
          <w:rPr>
            <w:rFonts w:asciiTheme="minorHAnsi" w:eastAsiaTheme="minorEastAsia" w:hAnsiTheme="minorHAnsi" w:cstheme="minorBidi"/>
            <w:noProof/>
            <w:color w:val="auto"/>
            <w:szCs w:val="22"/>
          </w:rPr>
          <w:tab/>
        </w:r>
        <w:r w:rsidR="00C424AA" w:rsidRPr="008625DC">
          <w:rPr>
            <w:rStyle w:val="Hyperlink"/>
            <w:noProof/>
          </w:rPr>
          <w:t>Competition payments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_Toc398827530 \h </w:instrText>
        </w:r>
        <w:r w:rsidR="00C424AA" w:rsidRPr="008625DC">
          <w:rPr>
            <w:noProof/>
            <w:webHidden/>
          </w:rPr>
        </w:r>
        <w:r w:rsidR="00C424AA" w:rsidRPr="008625DC">
          <w:rPr>
            <w:noProof/>
            <w:webHidden/>
          </w:rPr>
          <w:fldChar w:fldCharType="separate"/>
        </w:r>
        <w:r w:rsidR="00E26228">
          <w:rPr>
            <w:noProof/>
            <w:webHidden/>
          </w:rPr>
          <w:t>59</w:t>
        </w:r>
        <w:r w:rsidR="00C424AA" w:rsidRPr="008625DC">
          <w:rPr>
            <w:noProof/>
            <w:webHidden/>
          </w:rPr>
          <w:fldChar w:fldCharType="end"/>
        </w:r>
      </w:hyperlink>
    </w:p>
    <w:p w14:paraId="4754B7D6" w14:textId="442F41FD" w:rsidR="00C424AA" w:rsidRPr="008625DC" w:rsidRDefault="00AD530F">
      <w:pPr>
        <w:pStyle w:val="TOC2"/>
        <w:rPr>
          <w:rFonts w:asciiTheme="minorHAnsi" w:eastAsiaTheme="minorEastAsia" w:hAnsiTheme="minorHAnsi" w:cstheme="minorBidi"/>
          <w:noProof/>
          <w:color w:val="auto"/>
          <w:szCs w:val="22"/>
        </w:rPr>
      </w:pPr>
      <w:hyperlink w:anchor="_Toc398827531" w:history="1">
        <w:r w:rsidR="00C424AA" w:rsidRPr="008625DC">
          <w:rPr>
            <w:rStyle w:val="Hyperlink"/>
            <w:noProof/>
            <w14:scene3d>
              <w14:camera w14:prst="orthographicFront"/>
              <w14:lightRig w14:rig="threePt" w14:dir="t">
                <w14:rot w14:lat="0" w14:lon="0" w14:rev="0"/>
              </w14:lightRig>
            </w14:scene3d>
          </w:rPr>
          <w:t>4.4</w:t>
        </w:r>
        <w:r w:rsidR="00C424AA" w:rsidRPr="008625DC">
          <w:rPr>
            <w:rFonts w:asciiTheme="minorHAnsi" w:eastAsiaTheme="minorEastAsia" w:hAnsiTheme="minorHAnsi" w:cstheme="minorBidi"/>
            <w:noProof/>
            <w:color w:val="auto"/>
            <w:szCs w:val="22"/>
          </w:rPr>
          <w:tab/>
        </w:r>
        <w:r w:rsidR="00C424AA" w:rsidRPr="008625DC">
          <w:rPr>
            <w:rStyle w:val="Hyperlink"/>
            <w:noProof/>
          </w:rPr>
          <w:t>Competition and consumer regulator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_Toc398827531 \h </w:instrText>
        </w:r>
        <w:r w:rsidR="00C424AA" w:rsidRPr="008625DC">
          <w:rPr>
            <w:noProof/>
            <w:webHidden/>
          </w:rPr>
        </w:r>
        <w:r w:rsidR="00C424AA" w:rsidRPr="008625DC">
          <w:rPr>
            <w:noProof/>
            <w:webHidden/>
          </w:rPr>
          <w:fldChar w:fldCharType="separate"/>
        </w:r>
        <w:r w:rsidR="00E26228">
          <w:rPr>
            <w:noProof/>
            <w:webHidden/>
          </w:rPr>
          <w:t>60</w:t>
        </w:r>
        <w:r w:rsidR="00C424AA" w:rsidRPr="008625DC">
          <w:rPr>
            <w:noProof/>
            <w:webHidden/>
          </w:rPr>
          <w:fldChar w:fldCharType="end"/>
        </w:r>
      </w:hyperlink>
    </w:p>
    <w:p w14:paraId="181D7771" w14:textId="640372F4" w:rsidR="00C424AA" w:rsidRPr="008625DC" w:rsidRDefault="00AD530F">
      <w:pPr>
        <w:pStyle w:val="TOC2"/>
        <w:rPr>
          <w:rFonts w:asciiTheme="minorHAnsi" w:eastAsiaTheme="minorEastAsia" w:hAnsiTheme="minorHAnsi" w:cstheme="minorBidi"/>
          <w:noProof/>
          <w:color w:val="auto"/>
          <w:szCs w:val="22"/>
        </w:rPr>
      </w:pPr>
      <w:hyperlink w:anchor="_Toc398827532" w:history="1">
        <w:r w:rsidR="00C424AA" w:rsidRPr="008625DC">
          <w:rPr>
            <w:rStyle w:val="Hyperlink"/>
            <w:noProof/>
            <w14:scene3d>
              <w14:camera w14:prst="orthographicFront"/>
              <w14:lightRig w14:rig="threePt" w14:dir="t">
                <w14:rot w14:lat="0" w14:lon="0" w14:rev="0"/>
              </w14:lightRig>
            </w14:scene3d>
          </w:rPr>
          <w:t>4.5</w:t>
        </w:r>
        <w:r w:rsidR="00C424AA" w:rsidRPr="008625DC">
          <w:rPr>
            <w:rFonts w:asciiTheme="minorHAnsi" w:eastAsiaTheme="minorEastAsia" w:hAnsiTheme="minorHAnsi" w:cstheme="minorBidi"/>
            <w:noProof/>
            <w:color w:val="auto"/>
            <w:szCs w:val="22"/>
          </w:rPr>
          <w:tab/>
        </w:r>
        <w:r w:rsidR="00C424AA" w:rsidRPr="008625DC">
          <w:rPr>
            <w:rStyle w:val="Hyperlink"/>
            <w:noProof/>
          </w:rPr>
          <w:t>Access and pricing regulator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_Toc398827532 \h </w:instrText>
        </w:r>
        <w:r w:rsidR="00C424AA" w:rsidRPr="008625DC">
          <w:rPr>
            <w:noProof/>
            <w:webHidden/>
          </w:rPr>
        </w:r>
        <w:r w:rsidR="00C424AA" w:rsidRPr="008625DC">
          <w:rPr>
            <w:noProof/>
            <w:webHidden/>
          </w:rPr>
          <w:fldChar w:fldCharType="separate"/>
        </w:r>
        <w:r w:rsidR="00E26228">
          <w:rPr>
            <w:noProof/>
            <w:webHidden/>
          </w:rPr>
          <w:t>61</w:t>
        </w:r>
        <w:r w:rsidR="00C424AA" w:rsidRPr="008625DC">
          <w:rPr>
            <w:noProof/>
            <w:webHidden/>
          </w:rPr>
          <w:fldChar w:fldCharType="end"/>
        </w:r>
      </w:hyperlink>
    </w:p>
    <w:p w14:paraId="3D7BF6B4" w14:textId="735DF7FE" w:rsidR="00C424AA" w:rsidRPr="008625DC" w:rsidRDefault="00AD530F">
      <w:pPr>
        <w:pStyle w:val="TOC2"/>
        <w:rPr>
          <w:rFonts w:asciiTheme="minorHAnsi" w:eastAsiaTheme="minorEastAsia" w:hAnsiTheme="minorHAnsi" w:cstheme="minorBidi"/>
          <w:noProof/>
          <w:color w:val="auto"/>
          <w:szCs w:val="22"/>
        </w:rPr>
      </w:pPr>
      <w:hyperlink w:anchor="_Toc398827533" w:history="1">
        <w:r w:rsidR="00C424AA" w:rsidRPr="008625DC">
          <w:rPr>
            <w:rStyle w:val="Hyperlink"/>
            <w:noProof/>
            <w14:scene3d>
              <w14:camera w14:prst="orthographicFront"/>
              <w14:lightRig w14:rig="threePt" w14:dir="t">
                <w14:rot w14:lat="0" w14:lon="0" w14:rev="0"/>
              </w14:lightRig>
            </w14:scene3d>
          </w:rPr>
          <w:t>4.6</w:t>
        </w:r>
        <w:r w:rsidR="00C424AA" w:rsidRPr="008625DC">
          <w:rPr>
            <w:rFonts w:asciiTheme="minorHAnsi" w:eastAsiaTheme="minorEastAsia" w:hAnsiTheme="minorHAnsi" w:cstheme="minorBidi"/>
            <w:noProof/>
            <w:color w:val="auto"/>
            <w:szCs w:val="22"/>
          </w:rPr>
          <w:tab/>
        </w:r>
        <w:r w:rsidR="00C424AA" w:rsidRPr="008625DC">
          <w:rPr>
            <w:rStyle w:val="Hyperlink"/>
            <w:noProof/>
          </w:rPr>
          <w:t>ACCC governance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_Toc398827533 \h </w:instrText>
        </w:r>
        <w:r w:rsidR="00C424AA" w:rsidRPr="008625DC">
          <w:rPr>
            <w:noProof/>
            <w:webHidden/>
          </w:rPr>
        </w:r>
        <w:r w:rsidR="00C424AA" w:rsidRPr="008625DC">
          <w:rPr>
            <w:noProof/>
            <w:webHidden/>
          </w:rPr>
          <w:fldChar w:fldCharType="separate"/>
        </w:r>
        <w:r w:rsidR="00E26228">
          <w:rPr>
            <w:noProof/>
            <w:webHidden/>
          </w:rPr>
          <w:t>62</w:t>
        </w:r>
        <w:r w:rsidR="00C424AA" w:rsidRPr="008625DC">
          <w:rPr>
            <w:noProof/>
            <w:webHidden/>
          </w:rPr>
          <w:fldChar w:fldCharType="end"/>
        </w:r>
      </w:hyperlink>
    </w:p>
    <w:p w14:paraId="57B42A43" w14:textId="76FFC70D" w:rsidR="00C424AA" w:rsidRPr="008625DC" w:rsidRDefault="00AD530F">
      <w:pPr>
        <w:pStyle w:val="TOC1"/>
        <w:rPr>
          <w:rFonts w:asciiTheme="minorHAnsi" w:eastAsiaTheme="minorEastAsia" w:hAnsiTheme="minorHAnsi" w:cstheme="minorBidi"/>
          <w:b w:val="0"/>
          <w:caps w:val="0"/>
          <w:noProof/>
          <w:color w:val="auto"/>
          <w:sz w:val="22"/>
        </w:rPr>
      </w:pPr>
      <w:hyperlink w:anchor="_Toc398827534" w:history="1">
        <w:r w:rsidR="00C424AA" w:rsidRPr="008625DC">
          <w:rPr>
            <w:rStyle w:val="Hyperlink"/>
            <w:noProof/>
            <w14:scene3d>
              <w14:camera w14:prst="orthographicFront"/>
              <w14:lightRig w14:rig="threePt" w14:dir="t">
                <w14:rot w14:lat="0" w14:lon="0" w14:rev="0"/>
              </w14:lightRig>
            </w14:scene3d>
          </w:rPr>
          <w:t>5</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Small Business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_Toc398827534 \h </w:instrText>
        </w:r>
        <w:r w:rsidR="00C424AA" w:rsidRPr="008625DC">
          <w:rPr>
            <w:noProof/>
            <w:webHidden/>
          </w:rPr>
        </w:r>
        <w:r w:rsidR="00C424AA" w:rsidRPr="008625DC">
          <w:rPr>
            <w:noProof/>
            <w:webHidden/>
          </w:rPr>
          <w:fldChar w:fldCharType="separate"/>
        </w:r>
        <w:r w:rsidR="00E26228">
          <w:rPr>
            <w:noProof/>
            <w:webHidden/>
          </w:rPr>
          <w:t>64</w:t>
        </w:r>
        <w:r w:rsidR="00C424AA" w:rsidRPr="008625DC">
          <w:rPr>
            <w:noProof/>
            <w:webHidden/>
          </w:rPr>
          <w:fldChar w:fldCharType="end"/>
        </w:r>
      </w:hyperlink>
    </w:p>
    <w:p w14:paraId="35C62222" w14:textId="4D84409F" w:rsidR="00C424AA" w:rsidRPr="008625DC" w:rsidRDefault="00AD530F">
      <w:pPr>
        <w:pStyle w:val="TOC2"/>
        <w:rPr>
          <w:rFonts w:asciiTheme="minorHAnsi" w:eastAsiaTheme="minorEastAsia" w:hAnsiTheme="minorHAnsi" w:cstheme="minorBidi"/>
          <w:noProof/>
          <w:color w:val="auto"/>
          <w:szCs w:val="22"/>
        </w:rPr>
      </w:pPr>
      <w:hyperlink w:anchor="_Toc398827535" w:history="1">
        <w:r w:rsidR="00C424AA" w:rsidRPr="008625DC">
          <w:rPr>
            <w:rStyle w:val="Hyperlink"/>
            <w:noProof/>
            <w14:scene3d>
              <w14:camera w14:prst="orthographicFront"/>
              <w14:lightRig w14:rig="threePt" w14:dir="t">
                <w14:rot w14:lat="0" w14:lon="0" w14:rev="0"/>
              </w14:lightRig>
            </w14:scene3d>
          </w:rPr>
          <w:t>5.1</w:t>
        </w:r>
        <w:r w:rsidR="00C424AA" w:rsidRPr="008625DC">
          <w:rPr>
            <w:rFonts w:asciiTheme="minorHAnsi" w:eastAsiaTheme="minorEastAsia" w:hAnsiTheme="minorHAnsi" w:cstheme="minorBidi"/>
            <w:noProof/>
            <w:color w:val="auto"/>
            <w:szCs w:val="22"/>
          </w:rPr>
          <w:tab/>
        </w:r>
        <w:r w:rsidR="00C424AA" w:rsidRPr="008625DC">
          <w:rPr>
            <w:rStyle w:val="Hyperlink"/>
            <w:noProof/>
          </w:rPr>
          <w:t>Access to remedies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_Toc398827535 \h </w:instrText>
        </w:r>
        <w:r w:rsidR="00C424AA" w:rsidRPr="008625DC">
          <w:rPr>
            <w:noProof/>
            <w:webHidden/>
          </w:rPr>
        </w:r>
        <w:r w:rsidR="00C424AA" w:rsidRPr="008625DC">
          <w:rPr>
            <w:noProof/>
            <w:webHidden/>
          </w:rPr>
          <w:fldChar w:fldCharType="separate"/>
        </w:r>
        <w:r w:rsidR="00E26228">
          <w:rPr>
            <w:noProof/>
            <w:webHidden/>
          </w:rPr>
          <w:t>64</w:t>
        </w:r>
        <w:r w:rsidR="00C424AA" w:rsidRPr="008625DC">
          <w:rPr>
            <w:noProof/>
            <w:webHidden/>
          </w:rPr>
          <w:fldChar w:fldCharType="end"/>
        </w:r>
      </w:hyperlink>
    </w:p>
    <w:p w14:paraId="0D184B5F" w14:textId="65AFFA30" w:rsidR="00C424AA" w:rsidRPr="008625DC" w:rsidRDefault="00AD530F">
      <w:pPr>
        <w:pStyle w:val="TOC2"/>
        <w:rPr>
          <w:rFonts w:asciiTheme="minorHAnsi" w:eastAsiaTheme="minorEastAsia" w:hAnsiTheme="minorHAnsi" w:cstheme="minorBidi"/>
          <w:noProof/>
          <w:color w:val="auto"/>
          <w:szCs w:val="22"/>
        </w:rPr>
      </w:pPr>
      <w:hyperlink w:anchor="_Toc398827536" w:history="1">
        <w:r w:rsidR="00C424AA" w:rsidRPr="008625DC">
          <w:rPr>
            <w:rStyle w:val="Hyperlink"/>
            <w:noProof/>
            <w14:scene3d>
              <w14:camera w14:prst="orthographicFront"/>
              <w14:lightRig w14:rig="threePt" w14:dir="t">
                <w14:rot w14:lat="0" w14:lon="0" w14:rev="0"/>
              </w14:lightRig>
            </w14:scene3d>
          </w:rPr>
          <w:t>5.2</w:t>
        </w:r>
        <w:r w:rsidR="00C424AA" w:rsidRPr="008625DC">
          <w:rPr>
            <w:rFonts w:asciiTheme="minorHAnsi" w:eastAsiaTheme="minorEastAsia" w:hAnsiTheme="minorHAnsi" w:cstheme="minorBidi"/>
            <w:noProof/>
            <w:color w:val="auto"/>
            <w:szCs w:val="22"/>
          </w:rPr>
          <w:tab/>
        </w:r>
        <w:r w:rsidR="00C424AA" w:rsidRPr="008625DC">
          <w:rPr>
            <w:rStyle w:val="Hyperlink"/>
            <w:noProof/>
          </w:rPr>
          <w:t>Collective bargaining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_Toc398827536 \h </w:instrText>
        </w:r>
        <w:r w:rsidR="00C424AA" w:rsidRPr="008625DC">
          <w:rPr>
            <w:noProof/>
            <w:webHidden/>
          </w:rPr>
        </w:r>
        <w:r w:rsidR="00C424AA" w:rsidRPr="008625DC">
          <w:rPr>
            <w:noProof/>
            <w:webHidden/>
          </w:rPr>
          <w:fldChar w:fldCharType="separate"/>
        </w:r>
        <w:r w:rsidR="00E26228">
          <w:rPr>
            <w:noProof/>
            <w:webHidden/>
          </w:rPr>
          <w:t>65</w:t>
        </w:r>
        <w:r w:rsidR="00C424AA" w:rsidRPr="008625DC">
          <w:rPr>
            <w:noProof/>
            <w:webHidden/>
          </w:rPr>
          <w:fldChar w:fldCharType="end"/>
        </w:r>
      </w:hyperlink>
    </w:p>
    <w:p w14:paraId="781026E4" w14:textId="2B1DE8E4" w:rsidR="00C424AA" w:rsidRPr="008625DC" w:rsidRDefault="00AD530F">
      <w:pPr>
        <w:pStyle w:val="TOC2"/>
        <w:rPr>
          <w:rFonts w:asciiTheme="minorHAnsi" w:eastAsiaTheme="minorEastAsia" w:hAnsiTheme="minorHAnsi" w:cstheme="minorBidi"/>
          <w:noProof/>
          <w:color w:val="auto"/>
          <w:szCs w:val="22"/>
        </w:rPr>
      </w:pPr>
      <w:hyperlink w:anchor="_Toc398827537" w:history="1">
        <w:r w:rsidR="00C424AA" w:rsidRPr="008625DC">
          <w:rPr>
            <w:rStyle w:val="Hyperlink"/>
            <w:noProof/>
            <w14:scene3d>
              <w14:camera w14:prst="orthographicFront"/>
              <w14:lightRig w14:rig="threePt" w14:dir="t">
                <w14:rot w14:lat="0" w14:lon="0" w14:rev="0"/>
              </w14:lightRig>
            </w14:scene3d>
          </w:rPr>
          <w:t>5.3</w:t>
        </w:r>
        <w:r w:rsidR="00C424AA" w:rsidRPr="008625DC">
          <w:rPr>
            <w:rFonts w:asciiTheme="minorHAnsi" w:eastAsiaTheme="minorEastAsia" w:hAnsiTheme="minorHAnsi" w:cstheme="minorBidi"/>
            <w:noProof/>
            <w:color w:val="auto"/>
            <w:szCs w:val="22"/>
          </w:rPr>
          <w:tab/>
        </w:r>
        <w:r w:rsidR="00C424AA" w:rsidRPr="008625DC">
          <w:rPr>
            <w:rStyle w:val="Hyperlink"/>
            <w:noProof/>
          </w:rPr>
          <w:t>Industry codes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_Toc398827537 \h </w:instrText>
        </w:r>
        <w:r w:rsidR="00C424AA" w:rsidRPr="008625DC">
          <w:rPr>
            <w:noProof/>
            <w:webHidden/>
          </w:rPr>
        </w:r>
        <w:r w:rsidR="00C424AA" w:rsidRPr="008625DC">
          <w:rPr>
            <w:noProof/>
            <w:webHidden/>
          </w:rPr>
          <w:fldChar w:fldCharType="separate"/>
        </w:r>
        <w:r w:rsidR="00E26228">
          <w:rPr>
            <w:noProof/>
            <w:webHidden/>
          </w:rPr>
          <w:t>66</w:t>
        </w:r>
        <w:r w:rsidR="00C424AA" w:rsidRPr="008625DC">
          <w:rPr>
            <w:noProof/>
            <w:webHidden/>
          </w:rPr>
          <w:fldChar w:fldCharType="end"/>
        </w:r>
      </w:hyperlink>
    </w:p>
    <w:p w14:paraId="1EB0FF8D" w14:textId="357C4A6C" w:rsidR="00C424AA" w:rsidRPr="008625DC" w:rsidRDefault="00AD530F">
      <w:pPr>
        <w:pStyle w:val="TOC2"/>
        <w:rPr>
          <w:rFonts w:asciiTheme="minorHAnsi" w:eastAsiaTheme="minorEastAsia" w:hAnsiTheme="minorHAnsi" w:cstheme="minorBidi"/>
          <w:noProof/>
          <w:color w:val="auto"/>
          <w:szCs w:val="22"/>
        </w:rPr>
      </w:pPr>
      <w:hyperlink w:anchor="_Toc398827538" w:history="1">
        <w:r w:rsidR="00C424AA" w:rsidRPr="008625DC">
          <w:rPr>
            <w:rStyle w:val="Hyperlink"/>
            <w:noProof/>
            <w14:scene3d>
              <w14:camera w14:prst="orthographicFront"/>
              <w14:lightRig w14:rig="threePt" w14:dir="t">
                <w14:rot w14:lat="0" w14:lon="0" w14:rev="0"/>
              </w14:lightRig>
            </w14:scene3d>
          </w:rPr>
          <w:t>5.4</w:t>
        </w:r>
        <w:r w:rsidR="00C424AA" w:rsidRPr="008625DC">
          <w:rPr>
            <w:rFonts w:asciiTheme="minorHAnsi" w:eastAsiaTheme="minorEastAsia" w:hAnsiTheme="minorHAnsi" w:cstheme="minorBidi"/>
            <w:noProof/>
            <w:color w:val="auto"/>
            <w:szCs w:val="22"/>
          </w:rPr>
          <w:tab/>
        </w:r>
        <w:r w:rsidR="00C424AA" w:rsidRPr="008625DC">
          <w:rPr>
            <w:rStyle w:val="Hyperlink"/>
            <w:noProof/>
          </w:rPr>
          <w:t>Competitive neutrality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_Toc398827538 \h </w:instrText>
        </w:r>
        <w:r w:rsidR="00C424AA" w:rsidRPr="008625DC">
          <w:rPr>
            <w:noProof/>
            <w:webHidden/>
          </w:rPr>
        </w:r>
        <w:r w:rsidR="00C424AA" w:rsidRPr="008625DC">
          <w:rPr>
            <w:noProof/>
            <w:webHidden/>
          </w:rPr>
          <w:fldChar w:fldCharType="separate"/>
        </w:r>
        <w:r w:rsidR="00E26228">
          <w:rPr>
            <w:noProof/>
            <w:webHidden/>
          </w:rPr>
          <w:t>66</w:t>
        </w:r>
        <w:r w:rsidR="00C424AA" w:rsidRPr="008625DC">
          <w:rPr>
            <w:noProof/>
            <w:webHidden/>
          </w:rPr>
          <w:fldChar w:fldCharType="end"/>
        </w:r>
      </w:hyperlink>
    </w:p>
    <w:p w14:paraId="07488E55" w14:textId="7C3FD1AB" w:rsidR="00C424AA" w:rsidRPr="008625DC" w:rsidRDefault="00AD530F">
      <w:pPr>
        <w:pStyle w:val="TOC2"/>
        <w:rPr>
          <w:rFonts w:asciiTheme="minorHAnsi" w:eastAsiaTheme="minorEastAsia" w:hAnsiTheme="minorHAnsi" w:cstheme="minorBidi"/>
          <w:noProof/>
          <w:color w:val="auto"/>
          <w:szCs w:val="22"/>
        </w:rPr>
      </w:pPr>
      <w:hyperlink w:anchor="_Toc398827539" w:history="1">
        <w:r w:rsidR="00C424AA" w:rsidRPr="008625DC">
          <w:rPr>
            <w:rStyle w:val="Hyperlink"/>
            <w:noProof/>
            <w14:scene3d>
              <w14:camera w14:prst="orthographicFront"/>
              <w14:lightRig w14:rig="threePt" w14:dir="t">
                <w14:rot w14:lat="0" w14:lon="0" w14:rev="0"/>
              </w14:lightRig>
            </w14:scene3d>
          </w:rPr>
          <w:t>5.5</w:t>
        </w:r>
        <w:r w:rsidR="00C424AA" w:rsidRPr="008625DC">
          <w:rPr>
            <w:rFonts w:asciiTheme="minorHAnsi" w:eastAsiaTheme="minorEastAsia" w:hAnsiTheme="minorHAnsi" w:cstheme="minorBidi"/>
            <w:noProof/>
            <w:color w:val="auto"/>
            <w:szCs w:val="22"/>
          </w:rPr>
          <w:tab/>
        </w:r>
        <w:r w:rsidR="00C424AA" w:rsidRPr="008625DC">
          <w:rPr>
            <w:rStyle w:val="Hyperlink"/>
            <w:noProof/>
          </w:rPr>
          <w:t>Regulatory restrictions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_Toc398827539 \h </w:instrText>
        </w:r>
        <w:r w:rsidR="00C424AA" w:rsidRPr="008625DC">
          <w:rPr>
            <w:noProof/>
            <w:webHidden/>
          </w:rPr>
        </w:r>
        <w:r w:rsidR="00C424AA" w:rsidRPr="008625DC">
          <w:rPr>
            <w:noProof/>
            <w:webHidden/>
          </w:rPr>
          <w:fldChar w:fldCharType="separate"/>
        </w:r>
        <w:r w:rsidR="00E26228">
          <w:rPr>
            <w:noProof/>
            <w:webHidden/>
          </w:rPr>
          <w:t>66</w:t>
        </w:r>
        <w:r w:rsidR="00C424AA" w:rsidRPr="008625DC">
          <w:rPr>
            <w:noProof/>
            <w:webHidden/>
          </w:rPr>
          <w:fldChar w:fldCharType="end"/>
        </w:r>
      </w:hyperlink>
    </w:p>
    <w:p w14:paraId="0588F8A6" w14:textId="375B956B" w:rsidR="00C424AA" w:rsidRPr="008625DC" w:rsidRDefault="00AD530F">
      <w:pPr>
        <w:pStyle w:val="TOC1"/>
        <w:rPr>
          <w:rFonts w:asciiTheme="minorHAnsi" w:eastAsiaTheme="minorEastAsia" w:hAnsiTheme="minorHAnsi" w:cstheme="minorBidi"/>
          <w:b w:val="0"/>
          <w:caps w:val="0"/>
          <w:noProof/>
          <w:color w:val="auto"/>
          <w:sz w:val="22"/>
        </w:rPr>
      </w:pPr>
      <w:hyperlink w:anchor="_Toc398827540" w:history="1">
        <w:r w:rsidR="00C424AA" w:rsidRPr="008625DC">
          <w:rPr>
            <w:rStyle w:val="Hyperlink"/>
            <w:noProof/>
            <w14:scene3d>
              <w14:camera w14:prst="orthographicFront"/>
              <w14:lightRig w14:rig="threePt" w14:dir="t">
                <w14:rot w14:lat="0" w14:lon="0" w14:rev="0"/>
              </w14:lightRig>
            </w14:scene3d>
          </w:rPr>
          <w:t>6</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Retail markets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_Toc398827540 \h </w:instrText>
        </w:r>
        <w:r w:rsidR="00C424AA" w:rsidRPr="008625DC">
          <w:rPr>
            <w:noProof/>
            <w:webHidden/>
          </w:rPr>
        </w:r>
        <w:r w:rsidR="00C424AA" w:rsidRPr="008625DC">
          <w:rPr>
            <w:noProof/>
            <w:webHidden/>
          </w:rPr>
          <w:fldChar w:fldCharType="separate"/>
        </w:r>
        <w:r w:rsidR="00E26228">
          <w:rPr>
            <w:noProof/>
            <w:webHidden/>
          </w:rPr>
          <w:t>67</w:t>
        </w:r>
        <w:r w:rsidR="00C424AA" w:rsidRPr="008625DC">
          <w:rPr>
            <w:noProof/>
            <w:webHidden/>
          </w:rPr>
          <w:fldChar w:fldCharType="end"/>
        </w:r>
      </w:hyperlink>
    </w:p>
    <w:p w14:paraId="72B79A65" w14:textId="4F7FECEE" w:rsidR="00C424AA" w:rsidRPr="008625DC" w:rsidRDefault="00AD530F">
      <w:pPr>
        <w:pStyle w:val="TOC2"/>
        <w:rPr>
          <w:rFonts w:asciiTheme="minorHAnsi" w:eastAsiaTheme="minorEastAsia" w:hAnsiTheme="minorHAnsi" w:cstheme="minorBidi"/>
          <w:noProof/>
          <w:color w:val="auto"/>
          <w:szCs w:val="22"/>
        </w:rPr>
      </w:pPr>
      <w:hyperlink w:anchor="_Toc398827541" w:history="1">
        <w:r w:rsidR="00C424AA" w:rsidRPr="008625DC">
          <w:rPr>
            <w:rStyle w:val="Hyperlink"/>
            <w:noProof/>
            <w14:scene3d>
              <w14:camera w14:prst="orthographicFront"/>
              <w14:lightRig w14:rig="threePt" w14:dir="t">
                <w14:rot w14:lat="0" w14:lon="0" w14:rev="0"/>
              </w14:lightRig>
            </w14:scene3d>
          </w:rPr>
          <w:t>6.1</w:t>
        </w:r>
        <w:r w:rsidR="00C424AA" w:rsidRPr="008625DC">
          <w:rPr>
            <w:rFonts w:asciiTheme="minorHAnsi" w:eastAsiaTheme="minorEastAsia" w:hAnsiTheme="minorHAnsi" w:cstheme="minorBidi"/>
            <w:noProof/>
            <w:color w:val="auto"/>
            <w:szCs w:val="22"/>
          </w:rPr>
          <w:tab/>
        </w:r>
        <w:r w:rsidR="00C424AA" w:rsidRPr="008625DC">
          <w:rPr>
            <w:rStyle w:val="Hyperlink"/>
            <w:noProof/>
          </w:rPr>
          <w:t>Retail trading hours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_Toc398827541 \h </w:instrText>
        </w:r>
        <w:r w:rsidR="00C424AA" w:rsidRPr="008625DC">
          <w:rPr>
            <w:noProof/>
            <w:webHidden/>
          </w:rPr>
        </w:r>
        <w:r w:rsidR="00C424AA" w:rsidRPr="008625DC">
          <w:rPr>
            <w:noProof/>
            <w:webHidden/>
          </w:rPr>
          <w:fldChar w:fldCharType="separate"/>
        </w:r>
        <w:r w:rsidR="00E26228">
          <w:rPr>
            <w:noProof/>
            <w:webHidden/>
          </w:rPr>
          <w:t>67</w:t>
        </w:r>
        <w:r w:rsidR="00C424AA" w:rsidRPr="008625DC">
          <w:rPr>
            <w:noProof/>
            <w:webHidden/>
          </w:rPr>
          <w:fldChar w:fldCharType="end"/>
        </w:r>
      </w:hyperlink>
    </w:p>
    <w:p w14:paraId="08AB0756" w14:textId="79B1561A" w:rsidR="00C424AA" w:rsidRPr="008625DC" w:rsidRDefault="00AD530F">
      <w:pPr>
        <w:pStyle w:val="TOC2"/>
        <w:rPr>
          <w:rFonts w:asciiTheme="minorHAnsi" w:eastAsiaTheme="minorEastAsia" w:hAnsiTheme="minorHAnsi" w:cstheme="minorBidi"/>
          <w:noProof/>
          <w:color w:val="auto"/>
          <w:szCs w:val="22"/>
        </w:rPr>
      </w:pPr>
      <w:hyperlink w:anchor="_Toc398827542" w:history="1">
        <w:r w:rsidR="00C424AA" w:rsidRPr="008625DC">
          <w:rPr>
            <w:rStyle w:val="Hyperlink"/>
            <w:noProof/>
            <w14:scene3d>
              <w14:camera w14:prst="orthographicFront"/>
              <w14:lightRig w14:rig="threePt" w14:dir="t">
                <w14:rot w14:lat="0" w14:lon="0" w14:rev="0"/>
              </w14:lightRig>
            </w14:scene3d>
          </w:rPr>
          <w:t>6.2</w:t>
        </w:r>
        <w:r w:rsidR="00C424AA" w:rsidRPr="008625DC">
          <w:rPr>
            <w:rFonts w:asciiTheme="minorHAnsi" w:eastAsiaTheme="minorEastAsia" w:hAnsiTheme="minorHAnsi" w:cstheme="minorBidi"/>
            <w:noProof/>
            <w:color w:val="auto"/>
            <w:szCs w:val="22"/>
          </w:rPr>
          <w:tab/>
        </w:r>
        <w:r w:rsidR="00C424AA" w:rsidRPr="008625DC">
          <w:rPr>
            <w:rStyle w:val="Hyperlink"/>
            <w:noProof/>
          </w:rPr>
          <w:t>Supermarkets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_Toc398827542 \h </w:instrText>
        </w:r>
        <w:r w:rsidR="00C424AA" w:rsidRPr="008625DC">
          <w:rPr>
            <w:noProof/>
            <w:webHidden/>
          </w:rPr>
        </w:r>
        <w:r w:rsidR="00C424AA" w:rsidRPr="008625DC">
          <w:rPr>
            <w:noProof/>
            <w:webHidden/>
          </w:rPr>
          <w:fldChar w:fldCharType="separate"/>
        </w:r>
        <w:r w:rsidR="00E26228">
          <w:rPr>
            <w:noProof/>
            <w:webHidden/>
          </w:rPr>
          <w:t>67</w:t>
        </w:r>
        <w:r w:rsidR="00C424AA" w:rsidRPr="008625DC">
          <w:rPr>
            <w:noProof/>
            <w:webHidden/>
          </w:rPr>
          <w:fldChar w:fldCharType="end"/>
        </w:r>
      </w:hyperlink>
    </w:p>
    <w:p w14:paraId="24451E46" w14:textId="23411603" w:rsidR="00C424AA" w:rsidRPr="008625DC" w:rsidRDefault="00AD530F">
      <w:pPr>
        <w:pStyle w:val="TOC2"/>
        <w:rPr>
          <w:rFonts w:asciiTheme="minorHAnsi" w:eastAsiaTheme="minorEastAsia" w:hAnsiTheme="minorHAnsi" w:cstheme="minorBidi"/>
          <w:noProof/>
          <w:color w:val="auto"/>
          <w:szCs w:val="22"/>
        </w:rPr>
      </w:pPr>
      <w:hyperlink w:anchor="_Toc398827543" w:history="1">
        <w:r w:rsidR="00C424AA" w:rsidRPr="008625DC">
          <w:rPr>
            <w:rStyle w:val="Hyperlink"/>
            <w:noProof/>
            <w14:scene3d>
              <w14:camera w14:prst="orthographicFront"/>
              <w14:lightRig w14:rig="threePt" w14:dir="t">
                <w14:rot w14:lat="0" w14:lon="0" w14:rev="0"/>
              </w14:lightRig>
            </w14:scene3d>
          </w:rPr>
          <w:t>6.3</w:t>
        </w:r>
        <w:r w:rsidR="00C424AA" w:rsidRPr="008625DC">
          <w:rPr>
            <w:rFonts w:asciiTheme="minorHAnsi" w:eastAsiaTheme="minorEastAsia" w:hAnsiTheme="minorHAnsi" w:cstheme="minorBidi"/>
            <w:noProof/>
            <w:color w:val="auto"/>
            <w:szCs w:val="22"/>
          </w:rPr>
          <w:tab/>
        </w:r>
        <w:r w:rsidR="00C424AA" w:rsidRPr="008625DC">
          <w:rPr>
            <w:rStyle w:val="Hyperlink"/>
            <w:noProof/>
          </w:rPr>
          <w:t>Pharmacy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_Toc398827543 \h </w:instrText>
        </w:r>
        <w:r w:rsidR="00C424AA" w:rsidRPr="008625DC">
          <w:rPr>
            <w:noProof/>
            <w:webHidden/>
          </w:rPr>
        </w:r>
        <w:r w:rsidR="00C424AA" w:rsidRPr="008625DC">
          <w:rPr>
            <w:noProof/>
            <w:webHidden/>
          </w:rPr>
          <w:fldChar w:fldCharType="separate"/>
        </w:r>
        <w:r w:rsidR="00E26228">
          <w:rPr>
            <w:noProof/>
            <w:webHidden/>
          </w:rPr>
          <w:t>68</w:t>
        </w:r>
        <w:r w:rsidR="00C424AA" w:rsidRPr="008625DC">
          <w:rPr>
            <w:noProof/>
            <w:webHidden/>
          </w:rPr>
          <w:fldChar w:fldCharType="end"/>
        </w:r>
      </w:hyperlink>
    </w:p>
    <w:p w14:paraId="0AA72778" w14:textId="12F64098" w:rsidR="00C424AA" w:rsidRPr="008625DC" w:rsidRDefault="00AD530F">
      <w:pPr>
        <w:pStyle w:val="TOC1"/>
        <w:rPr>
          <w:rFonts w:asciiTheme="minorHAnsi" w:eastAsiaTheme="minorEastAsia" w:hAnsiTheme="minorHAnsi" w:cstheme="minorBidi"/>
          <w:b w:val="0"/>
          <w:caps w:val="0"/>
          <w:noProof/>
          <w:color w:val="auto"/>
          <w:sz w:val="22"/>
        </w:rPr>
      </w:pPr>
      <w:hyperlink w:anchor="_Toc398827544" w:history="1">
        <w:r w:rsidR="00C424AA" w:rsidRPr="008625DC">
          <w:rPr>
            <w:rStyle w:val="Hyperlink"/>
            <w:noProof/>
          </w:rPr>
          <w:t>Part 3 — Competition Policy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_Toc398827544 \h </w:instrText>
        </w:r>
        <w:r w:rsidR="00C424AA" w:rsidRPr="008625DC">
          <w:rPr>
            <w:noProof/>
            <w:webHidden/>
          </w:rPr>
        </w:r>
        <w:r w:rsidR="00C424AA" w:rsidRPr="008625DC">
          <w:rPr>
            <w:noProof/>
            <w:webHidden/>
          </w:rPr>
          <w:fldChar w:fldCharType="separate"/>
        </w:r>
        <w:r w:rsidR="00E26228">
          <w:rPr>
            <w:noProof/>
            <w:webHidden/>
          </w:rPr>
          <w:t>70</w:t>
        </w:r>
        <w:r w:rsidR="00C424AA" w:rsidRPr="008625DC">
          <w:rPr>
            <w:noProof/>
            <w:webHidden/>
          </w:rPr>
          <w:fldChar w:fldCharType="end"/>
        </w:r>
      </w:hyperlink>
    </w:p>
    <w:p w14:paraId="49A1D75F" w14:textId="0C18AFFC" w:rsidR="00C424AA" w:rsidRPr="008625DC" w:rsidRDefault="00AD530F">
      <w:pPr>
        <w:pStyle w:val="TOC1"/>
        <w:rPr>
          <w:rFonts w:asciiTheme="minorHAnsi" w:eastAsiaTheme="minorEastAsia" w:hAnsiTheme="minorHAnsi" w:cstheme="minorBidi"/>
          <w:b w:val="0"/>
          <w:caps w:val="0"/>
          <w:noProof/>
          <w:color w:val="auto"/>
          <w:sz w:val="22"/>
        </w:rPr>
      </w:pPr>
      <w:hyperlink w:anchor="_Toc398827545" w:history="1">
        <w:r w:rsidR="00C424AA" w:rsidRPr="008625DC">
          <w:rPr>
            <w:rStyle w:val="Hyperlink"/>
            <w:noProof/>
            <w14:scene3d>
              <w14:camera w14:prst="orthographicFront"/>
              <w14:lightRig w14:rig="threePt" w14:dir="t">
                <w14:rot w14:lat="0" w14:lon="0" w14:rev="0"/>
              </w14:lightRig>
            </w14:scene3d>
          </w:rPr>
          <w:t>7</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Competition Principles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_Toc398827545 \h </w:instrText>
        </w:r>
        <w:r w:rsidR="00C424AA" w:rsidRPr="008625DC">
          <w:rPr>
            <w:noProof/>
            <w:webHidden/>
          </w:rPr>
        </w:r>
        <w:r w:rsidR="00C424AA" w:rsidRPr="008625DC">
          <w:rPr>
            <w:noProof/>
            <w:webHidden/>
          </w:rPr>
          <w:fldChar w:fldCharType="separate"/>
        </w:r>
        <w:r w:rsidR="00E26228">
          <w:rPr>
            <w:noProof/>
            <w:webHidden/>
          </w:rPr>
          <w:t>71</w:t>
        </w:r>
        <w:r w:rsidR="00C424AA" w:rsidRPr="008625DC">
          <w:rPr>
            <w:noProof/>
            <w:webHidden/>
          </w:rPr>
          <w:fldChar w:fldCharType="end"/>
        </w:r>
      </w:hyperlink>
    </w:p>
    <w:p w14:paraId="60D03ADD" w14:textId="2A2402D5" w:rsidR="00C424AA" w:rsidRPr="008625DC" w:rsidRDefault="00AD530F">
      <w:pPr>
        <w:pStyle w:val="TOC1"/>
        <w:rPr>
          <w:rFonts w:asciiTheme="minorHAnsi" w:eastAsiaTheme="minorEastAsia" w:hAnsiTheme="minorHAnsi" w:cstheme="minorBidi"/>
          <w:b w:val="0"/>
          <w:caps w:val="0"/>
          <w:noProof/>
          <w:color w:val="auto"/>
          <w:sz w:val="22"/>
        </w:rPr>
      </w:pPr>
      <w:hyperlink w:anchor="_Toc398827546" w:history="1">
        <w:r w:rsidR="00C424AA" w:rsidRPr="008625DC">
          <w:rPr>
            <w:rStyle w:val="Hyperlink"/>
            <w:noProof/>
            <w14:scene3d>
              <w14:camera w14:prst="orthographicFront"/>
              <w14:lightRig w14:rig="threePt" w14:dir="t">
                <w14:rot w14:lat="0" w14:lon="0" w14:rev="0"/>
              </w14:lightRig>
            </w14:scene3d>
          </w:rPr>
          <w:t>8</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Regulatory restrictions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_Toc398827546 \h </w:instrText>
        </w:r>
        <w:r w:rsidR="00C424AA" w:rsidRPr="008625DC">
          <w:rPr>
            <w:noProof/>
            <w:webHidden/>
          </w:rPr>
        </w:r>
        <w:r w:rsidR="00C424AA" w:rsidRPr="008625DC">
          <w:rPr>
            <w:noProof/>
            <w:webHidden/>
          </w:rPr>
          <w:fldChar w:fldCharType="separate"/>
        </w:r>
        <w:r w:rsidR="00E26228">
          <w:rPr>
            <w:noProof/>
            <w:webHidden/>
          </w:rPr>
          <w:t>75</w:t>
        </w:r>
        <w:r w:rsidR="00C424AA" w:rsidRPr="008625DC">
          <w:rPr>
            <w:noProof/>
            <w:webHidden/>
          </w:rPr>
          <w:fldChar w:fldCharType="end"/>
        </w:r>
      </w:hyperlink>
    </w:p>
    <w:p w14:paraId="2F6F2AF2" w14:textId="428D6644" w:rsidR="00C424AA" w:rsidRPr="008625DC" w:rsidRDefault="00AD530F">
      <w:pPr>
        <w:pStyle w:val="TOC2"/>
        <w:rPr>
          <w:rFonts w:asciiTheme="minorHAnsi" w:eastAsiaTheme="minorEastAsia" w:hAnsiTheme="minorHAnsi" w:cstheme="minorBidi"/>
          <w:noProof/>
          <w:color w:val="auto"/>
          <w:szCs w:val="22"/>
        </w:rPr>
      </w:pPr>
      <w:hyperlink w:anchor="_Toc398827547" w:history="1">
        <w:r w:rsidR="00C424AA" w:rsidRPr="008625DC">
          <w:rPr>
            <w:rStyle w:val="Hyperlink"/>
            <w:noProof/>
            <w14:scene3d>
              <w14:camera w14:prst="orthographicFront"/>
              <w14:lightRig w14:rig="threePt" w14:dir="t">
                <w14:rot w14:lat="0" w14:lon="0" w14:rev="0"/>
              </w14:lightRig>
            </w14:scene3d>
          </w:rPr>
          <w:t>8.1</w:t>
        </w:r>
        <w:r w:rsidR="00C424AA" w:rsidRPr="008625DC">
          <w:rPr>
            <w:rFonts w:asciiTheme="minorHAnsi" w:eastAsiaTheme="minorEastAsia" w:hAnsiTheme="minorHAnsi" w:cstheme="minorBidi"/>
            <w:noProof/>
            <w:color w:val="auto"/>
            <w:szCs w:val="22"/>
          </w:rPr>
          <w:tab/>
        </w:r>
        <w:r w:rsidR="00C424AA" w:rsidRPr="008625DC">
          <w:rPr>
            <w:rStyle w:val="Hyperlink"/>
            <w:noProof/>
          </w:rPr>
          <w:t>Intellectual property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_Toc398827547 \h </w:instrText>
        </w:r>
        <w:r w:rsidR="00C424AA" w:rsidRPr="008625DC">
          <w:rPr>
            <w:noProof/>
            <w:webHidden/>
          </w:rPr>
        </w:r>
        <w:r w:rsidR="00C424AA" w:rsidRPr="008625DC">
          <w:rPr>
            <w:noProof/>
            <w:webHidden/>
          </w:rPr>
          <w:fldChar w:fldCharType="separate"/>
        </w:r>
        <w:r w:rsidR="00E26228">
          <w:rPr>
            <w:noProof/>
            <w:webHidden/>
          </w:rPr>
          <w:t>80</w:t>
        </w:r>
        <w:r w:rsidR="00C424AA" w:rsidRPr="008625DC">
          <w:rPr>
            <w:noProof/>
            <w:webHidden/>
          </w:rPr>
          <w:fldChar w:fldCharType="end"/>
        </w:r>
      </w:hyperlink>
    </w:p>
    <w:p w14:paraId="56CF46A7" w14:textId="45992415" w:rsidR="00C424AA" w:rsidRPr="008625DC" w:rsidRDefault="00AD530F">
      <w:pPr>
        <w:pStyle w:val="TOC2"/>
        <w:rPr>
          <w:rFonts w:asciiTheme="minorHAnsi" w:eastAsiaTheme="minorEastAsia" w:hAnsiTheme="minorHAnsi" w:cstheme="minorBidi"/>
          <w:noProof/>
          <w:color w:val="auto"/>
          <w:szCs w:val="22"/>
        </w:rPr>
      </w:pPr>
      <w:hyperlink w:anchor="_Toc398827548" w:history="1">
        <w:r w:rsidR="00C424AA" w:rsidRPr="008625DC">
          <w:rPr>
            <w:rStyle w:val="Hyperlink"/>
            <w:noProof/>
            <w14:scene3d>
              <w14:camera w14:prst="orthographicFront"/>
              <w14:lightRig w14:rig="threePt" w14:dir="t">
                <w14:rot w14:lat="0" w14:lon="0" w14:rev="0"/>
              </w14:lightRig>
            </w14:scene3d>
          </w:rPr>
          <w:t>8.2</w:t>
        </w:r>
        <w:r w:rsidR="00C424AA" w:rsidRPr="008625DC">
          <w:rPr>
            <w:rFonts w:asciiTheme="minorHAnsi" w:eastAsiaTheme="minorEastAsia" w:hAnsiTheme="minorHAnsi" w:cstheme="minorBidi"/>
            <w:noProof/>
            <w:color w:val="auto"/>
            <w:szCs w:val="22"/>
          </w:rPr>
          <w:tab/>
        </w:r>
        <w:r w:rsidR="00C424AA" w:rsidRPr="008625DC">
          <w:rPr>
            <w:rStyle w:val="Hyperlink"/>
            <w:noProof/>
          </w:rPr>
          <w:t>Parallel imports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_Toc398827548 \h </w:instrText>
        </w:r>
        <w:r w:rsidR="00C424AA" w:rsidRPr="008625DC">
          <w:rPr>
            <w:noProof/>
            <w:webHidden/>
          </w:rPr>
        </w:r>
        <w:r w:rsidR="00C424AA" w:rsidRPr="008625DC">
          <w:rPr>
            <w:noProof/>
            <w:webHidden/>
          </w:rPr>
          <w:fldChar w:fldCharType="separate"/>
        </w:r>
        <w:r w:rsidR="00E26228">
          <w:rPr>
            <w:noProof/>
            <w:webHidden/>
          </w:rPr>
          <w:t>88</w:t>
        </w:r>
        <w:r w:rsidR="00C424AA" w:rsidRPr="008625DC">
          <w:rPr>
            <w:noProof/>
            <w:webHidden/>
          </w:rPr>
          <w:fldChar w:fldCharType="end"/>
        </w:r>
      </w:hyperlink>
    </w:p>
    <w:p w14:paraId="68D64C1B" w14:textId="1F0A0A41" w:rsidR="00C424AA" w:rsidRPr="008625DC" w:rsidRDefault="00AD530F">
      <w:pPr>
        <w:pStyle w:val="TOC2"/>
        <w:rPr>
          <w:rFonts w:asciiTheme="minorHAnsi" w:eastAsiaTheme="minorEastAsia" w:hAnsiTheme="minorHAnsi" w:cstheme="minorBidi"/>
          <w:noProof/>
          <w:color w:val="auto"/>
          <w:szCs w:val="22"/>
        </w:rPr>
      </w:pPr>
      <w:hyperlink w:anchor="_Toc398827549" w:history="1">
        <w:r w:rsidR="00C424AA" w:rsidRPr="008625DC">
          <w:rPr>
            <w:rStyle w:val="Hyperlink"/>
            <w:noProof/>
            <w14:scene3d>
              <w14:camera w14:prst="orthographicFront"/>
              <w14:lightRig w14:rig="threePt" w14:dir="t">
                <w14:rot w14:lat="0" w14:lon="0" w14:rev="0"/>
              </w14:lightRig>
            </w14:scene3d>
          </w:rPr>
          <w:t>8.3</w:t>
        </w:r>
        <w:r w:rsidR="00C424AA" w:rsidRPr="008625DC">
          <w:rPr>
            <w:rFonts w:asciiTheme="minorHAnsi" w:eastAsiaTheme="minorEastAsia" w:hAnsiTheme="minorHAnsi" w:cstheme="minorBidi"/>
            <w:noProof/>
            <w:color w:val="auto"/>
            <w:szCs w:val="22"/>
          </w:rPr>
          <w:tab/>
        </w:r>
        <w:r w:rsidR="00C424AA" w:rsidRPr="008625DC">
          <w:rPr>
            <w:rStyle w:val="Hyperlink"/>
            <w:noProof/>
          </w:rPr>
          <w:t>Planning and zoning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_Toc398827549 \h </w:instrText>
        </w:r>
        <w:r w:rsidR="00C424AA" w:rsidRPr="008625DC">
          <w:rPr>
            <w:noProof/>
            <w:webHidden/>
          </w:rPr>
        </w:r>
        <w:r w:rsidR="00C424AA" w:rsidRPr="008625DC">
          <w:rPr>
            <w:noProof/>
            <w:webHidden/>
          </w:rPr>
          <w:fldChar w:fldCharType="separate"/>
        </w:r>
        <w:r w:rsidR="00E26228">
          <w:rPr>
            <w:noProof/>
            <w:webHidden/>
          </w:rPr>
          <w:t>93</w:t>
        </w:r>
        <w:r w:rsidR="00C424AA" w:rsidRPr="008625DC">
          <w:rPr>
            <w:noProof/>
            <w:webHidden/>
          </w:rPr>
          <w:fldChar w:fldCharType="end"/>
        </w:r>
      </w:hyperlink>
    </w:p>
    <w:p w14:paraId="0032A70B" w14:textId="5F38242C" w:rsidR="00C424AA" w:rsidRPr="008625DC" w:rsidRDefault="00AD530F">
      <w:pPr>
        <w:pStyle w:val="TOC2"/>
        <w:rPr>
          <w:rFonts w:asciiTheme="minorHAnsi" w:eastAsiaTheme="minorEastAsia" w:hAnsiTheme="minorHAnsi" w:cstheme="minorBidi"/>
          <w:noProof/>
          <w:color w:val="auto"/>
          <w:szCs w:val="22"/>
        </w:rPr>
      </w:pPr>
      <w:hyperlink w:anchor="_Toc398827550" w:history="1">
        <w:r w:rsidR="00C424AA" w:rsidRPr="008625DC">
          <w:rPr>
            <w:rStyle w:val="Hyperlink"/>
            <w:noProof/>
            <w14:scene3d>
              <w14:camera w14:prst="orthographicFront"/>
              <w14:lightRig w14:rig="threePt" w14:dir="t">
                <w14:rot w14:lat="0" w14:lon="0" w14:rev="0"/>
              </w14:lightRig>
            </w14:scene3d>
          </w:rPr>
          <w:t>8.4</w:t>
        </w:r>
        <w:r w:rsidR="00C424AA" w:rsidRPr="008625DC">
          <w:rPr>
            <w:rFonts w:asciiTheme="minorHAnsi" w:eastAsiaTheme="minorEastAsia" w:hAnsiTheme="minorHAnsi" w:cstheme="minorBidi"/>
            <w:noProof/>
            <w:color w:val="auto"/>
            <w:szCs w:val="22"/>
          </w:rPr>
          <w:tab/>
        </w:r>
        <w:r w:rsidR="00C424AA" w:rsidRPr="008625DC">
          <w:rPr>
            <w:rStyle w:val="Hyperlink"/>
            <w:noProof/>
          </w:rPr>
          <w:t>Services — professional licensing and standards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_Toc398827550 \h </w:instrText>
        </w:r>
        <w:r w:rsidR="00C424AA" w:rsidRPr="008625DC">
          <w:rPr>
            <w:noProof/>
            <w:webHidden/>
          </w:rPr>
        </w:r>
        <w:r w:rsidR="00C424AA" w:rsidRPr="008625DC">
          <w:rPr>
            <w:noProof/>
            <w:webHidden/>
          </w:rPr>
          <w:fldChar w:fldCharType="separate"/>
        </w:r>
        <w:r w:rsidR="00E26228">
          <w:rPr>
            <w:noProof/>
            <w:webHidden/>
          </w:rPr>
          <w:t>97</w:t>
        </w:r>
        <w:r w:rsidR="00C424AA" w:rsidRPr="008625DC">
          <w:rPr>
            <w:noProof/>
            <w:webHidden/>
          </w:rPr>
          <w:fldChar w:fldCharType="end"/>
        </w:r>
      </w:hyperlink>
    </w:p>
    <w:p w14:paraId="323EEE72" w14:textId="07D08D8B" w:rsidR="00C424AA" w:rsidRPr="008625DC" w:rsidRDefault="00AD530F">
      <w:pPr>
        <w:pStyle w:val="TOC2"/>
        <w:rPr>
          <w:rFonts w:asciiTheme="minorHAnsi" w:eastAsiaTheme="minorEastAsia" w:hAnsiTheme="minorHAnsi" w:cstheme="minorBidi"/>
          <w:noProof/>
          <w:color w:val="auto"/>
          <w:szCs w:val="22"/>
        </w:rPr>
      </w:pPr>
      <w:hyperlink w:anchor="_Toc398827551" w:history="1">
        <w:r w:rsidR="00C424AA" w:rsidRPr="008625DC">
          <w:rPr>
            <w:rStyle w:val="Hyperlink"/>
            <w:noProof/>
            <w14:scene3d>
              <w14:camera w14:prst="orthographicFront"/>
              <w14:lightRig w14:rig="threePt" w14:dir="t">
                <w14:rot w14:lat="0" w14:lon="0" w14:rev="0"/>
              </w14:lightRig>
            </w14:scene3d>
          </w:rPr>
          <w:t>8.5</w:t>
        </w:r>
        <w:r w:rsidR="00C424AA" w:rsidRPr="008625DC">
          <w:rPr>
            <w:rFonts w:asciiTheme="minorHAnsi" w:eastAsiaTheme="minorEastAsia" w:hAnsiTheme="minorHAnsi" w:cstheme="minorBidi"/>
            <w:noProof/>
            <w:color w:val="auto"/>
            <w:szCs w:val="22"/>
          </w:rPr>
          <w:tab/>
        </w:r>
        <w:r w:rsidR="00C424AA" w:rsidRPr="008625DC">
          <w:rPr>
            <w:rStyle w:val="Hyperlink"/>
            <w:noProof/>
          </w:rPr>
          <w:t>Goods — product standards and labelling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_Toc398827551 \h </w:instrText>
        </w:r>
        <w:r w:rsidR="00C424AA" w:rsidRPr="008625DC">
          <w:rPr>
            <w:noProof/>
            <w:webHidden/>
          </w:rPr>
        </w:r>
        <w:r w:rsidR="00C424AA" w:rsidRPr="008625DC">
          <w:rPr>
            <w:noProof/>
            <w:webHidden/>
          </w:rPr>
          <w:fldChar w:fldCharType="separate"/>
        </w:r>
        <w:r w:rsidR="00E26228">
          <w:rPr>
            <w:noProof/>
            <w:webHidden/>
          </w:rPr>
          <w:t>100</w:t>
        </w:r>
        <w:r w:rsidR="00C424AA" w:rsidRPr="008625DC">
          <w:rPr>
            <w:noProof/>
            <w:webHidden/>
          </w:rPr>
          <w:fldChar w:fldCharType="end"/>
        </w:r>
      </w:hyperlink>
    </w:p>
    <w:p w14:paraId="334E4DA7" w14:textId="66D2D400" w:rsidR="00C424AA" w:rsidRPr="008625DC" w:rsidRDefault="00AD530F">
      <w:pPr>
        <w:pStyle w:val="TOC2"/>
        <w:rPr>
          <w:rFonts w:asciiTheme="minorHAnsi" w:eastAsiaTheme="minorEastAsia" w:hAnsiTheme="minorHAnsi" w:cstheme="minorBidi"/>
          <w:noProof/>
          <w:color w:val="auto"/>
          <w:szCs w:val="22"/>
        </w:rPr>
      </w:pPr>
      <w:hyperlink w:anchor="_Toc398827552" w:history="1">
        <w:r w:rsidR="00C424AA" w:rsidRPr="008625DC">
          <w:rPr>
            <w:rStyle w:val="Hyperlink"/>
            <w:noProof/>
            <w14:scene3d>
              <w14:camera w14:prst="orthographicFront"/>
              <w14:lightRig w14:rig="threePt" w14:dir="t">
                <w14:rot w14:lat="0" w14:lon="0" w14:rev="0"/>
              </w14:lightRig>
            </w14:scene3d>
          </w:rPr>
          <w:t>8.6</w:t>
        </w:r>
        <w:r w:rsidR="00C424AA" w:rsidRPr="008625DC">
          <w:rPr>
            <w:rFonts w:asciiTheme="minorHAnsi" w:eastAsiaTheme="minorEastAsia" w:hAnsiTheme="minorHAnsi" w:cstheme="minorBidi"/>
            <w:noProof/>
            <w:color w:val="auto"/>
            <w:szCs w:val="22"/>
          </w:rPr>
          <w:tab/>
        </w:r>
        <w:r w:rsidR="00C424AA" w:rsidRPr="008625DC">
          <w:rPr>
            <w:rStyle w:val="Hyperlink"/>
            <w:noProof/>
          </w:rPr>
          <w:t>Retail trading hours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_Toc398827552 \h </w:instrText>
        </w:r>
        <w:r w:rsidR="00C424AA" w:rsidRPr="008625DC">
          <w:rPr>
            <w:noProof/>
            <w:webHidden/>
          </w:rPr>
        </w:r>
        <w:r w:rsidR="00C424AA" w:rsidRPr="008625DC">
          <w:rPr>
            <w:noProof/>
            <w:webHidden/>
          </w:rPr>
          <w:fldChar w:fldCharType="separate"/>
        </w:r>
        <w:r w:rsidR="00E26228">
          <w:rPr>
            <w:noProof/>
            <w:webHidden/>
          </w:rPr>
          <w:t>103</w:t>
        </w:r>
        <w:r w:rsidR="00C424AA" w:rsidRPr="008625DC">
          <w:rPr>
            <w:noProof/>
            <w:webHidden/>
          </w:rPr>
          <w:fldChar w:fldCharType="end"/>
        </w:r>
      </w:hyperlink>
    </w:p>
    <w:p w14:paraId="5E05D768" w14:textId="411C0148" w:rsidR="00C424AA" w:rsidRPr="008625DC" w:rsidRDefault="00AD530F">
      <w:pPr>
        <w:pStyle w:val="TOC2"/>
        <w:rPr>
          <w:rFonts w:asciiTheme="minorHAnsi" w:eastAsiaTheme="minorEastAsia" w:hAnsiTheme="minorHAnsi" w:cstheme="minorBidi"/>
          <w:noProof/>
          <w:color w:val="auto"/>
          <w:szCs w:val="22"/>
        </w:rPr>
      </w:pPr>
      <w:hyperlink w:anchor="_Toc398827553" w:history="1">
        <w:r w:rsidR="00C424AA" w:rsidRPr="008625DC">
          <w:rPr>
            <w:rStyle w:val="Hyperlink"/>
            <w:noProof/>
            <w14:scene3d>
              <w14:camera w14:prst="orthographicFront"/>
              <w14:lightRig w14:rig="threePt" w14:dir="t">
                <w14:rot w14:lat="0" w14:lon="0" w14:rev="0"/>
              </w14:lightRig>
            </w14:scene3d>
          </w:rPr>
          <w:t>8.7</w:t>
        </w:r>
        <w:r w:rsidR="00C424AA" w:rsidRPr="008625DC">
          <w:rPr>
            <w:rFonts w:asciiTheme="minorHAnsi" w:eastAsiaTheme="minorEastAsia" w:hAnsiTheme="minorHAnsi" w:cstheme="minorBidi"/>
            <w:noProof/>
            <w:color w:val="auto"/>
            <w:szCs w:val="22"/>
          </w:rPr>
          <w:tab/>
        </w:r>
        <w:r w:rsidR="00C424AA" w:rsidRPr="008625DC">
          <w:rPr>
            <w:rStyle w:val="Hyperlink"/>
            <w:noProof/>
          </w:rPr>
          <w:t>Media and broadcasting services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_Toc398827553 \h </w:instrText>
        </w:r>
        <w:r w:rsidR="00C424AA" w:rsidRPr="008625DC">
          <w:rPr>
            <w:noProof/>
            <w:webHidden/>
          </w:rPr>
        </w:r>
        <w:r w:rsidR="00C424AA" w:rsidRPr="008625DC">
          <w:rPr>
            <w:noProof/>
            <w:webHidden/>
          </w:rPr>
          <w:fldChar w:fldCharType="separate"/>
        </w:r>
        <w:r w:rsidR="00E26228">
          <w:rPr>
            <w:noProof/>
            <w:webHidden/>
          </w:rPr>
          <w:t>106</w:t>
        </w:r>
        <w:r w:rsidR="00C424AA" w:rsidRPr="008625DC">
          <w:rPr>
            <w:noProof/>
            <w:webHidden/>
          </w:rPr>
          <w:fldChar w:fldCharType="end"/>
        </w:r>
      </w:hyperlink>
    </w:p>
    <w:p w14:paraId="2125A586" w14:textId="6A69F59B" w:rsidR="00C424AA" w:rsidRPr="008625DC" w:rsidRDefault="00AD530F">
      <w:pPr>
        <w:pStyle w:val="TOC2"/>
        <w:rPr>
          <w:rFonts w:asciiTheme="minorHAnsi" w:eastAsiaTheme="minorEastAsia" w:hAnsiTheme="minorHAnsi" w:cstheme="minorBidi"/>
          <w:noProof/>
          <w:color w:val="auto"/>
          <w:szCs w:val="22"/>
        </w:rPr>
      </w:pPr>
      <w:hyperlink w:anchor="_Toc398827554" w:history="1">
        <w:r w:rsidR="00C424AA" w:rsidRPr="008625DC">
          <w:rPr>
            <w:rStyle w:val="Hyperlink"/>
            <w:noProof/>
            <w14:scene3d>
              <w14:camera w14:prst="orthographicFront"/>
              <w14:lightRig w14:rig="threePt" w14:dir="t">
                <w14:rot w14:lat="0" w14:lon="0" w14:rev="0"/>
              </w14:lightRig>
            </w14:scene3d>
          </w:rPr>
          <w:t>8.8</w:t>
        </w:r>
        <w:r w:rsidR="00C424AA" w:rsidRPr="008625DC">
          <w:rPr>
            <w:rFonts w:asciiTheme="minorHAnsi" w:eastAsiaTheme="minorEastAsia" w:hAnsiTheme="minorHAnsi" w:cstheme="minorBidi"/>
            <w:noProof/>
            <w:color w:val="auto"/>
            <w:szCs w:val="22"/>
          </w:rPr>
          <w:tab/>
        </w:r>
        <w:r w:rsidR="00C424AA" w:rsidRPr="008625DC">
          <w:rPr>
            <w:rStyle w:val="Hyperlink"/>
            <w:noProof/>
          </w:rPr>
          <w:t>Liquor and gambling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_Toc398827554 \h </w:instrText>
        </w:r>
        <w:r w:rsidR="00C424AA" w:rsidRPr="008625DC">
          <w:rPr>
            <w:noProof/>
            <w:webHidden/>
          </w:rPr>
        </w:r>
        <w:r w:rsidR="00C424AA" w:rsidRPr="008625DC">
          <w:rPr>
            <w:noProof/>
            <w:webHidden/>
          </w:rPr>
          <w:fldChar w:fldCharType="separate"/>
        </w:r>
        <w:r w:rsidR="00E26228">
          <w:rPr>
            <w:noProof/>
            <w:webHidden/>
          </w:rPr>
          <w:t>108</w:t>
        </w:r>
        <w:r w:rsidR="00C424AA" w:rsidRPr="008625DC">
          <w:rPr>
            <w:noProof/>
            <w:webHidden/>
          </w:rPr>
          <w:fldChar w:fldCharType="end"/>
        </w:r>
      </w:hyperlink>
    </w:p>
    <w:p w14:paraId="3C4BB902" w14:textId="7E001BF6" w:rsidR="00C424AA" w:rsidRPr="008625DC" w:rsidRDefault="00AD530F">
      <w:pPr>
        <w:pStyle w:val="TOC2"/>
        <w:rPr>
          <w:rFonts w:asciiTheme="minorHAnsi" w:eastAsiaTheme="minorEastAsia" w:hAnsiTheme="minorHAnsi" w:cstheme="minorBidi"/>
          <w:noProof/>
          <w:color w:val="auto"/>
          <w:szCs w:val="22"/>
        </w:rPr>
      </w:pPr>
      <w:hyperlink w:anchor="_Toc398827555" w:history="1">
        <w:r w:rsidR="00C424AA" w:rsidRPr="008625DC">
          <w:rPr>
            <w:rStyle w:val="Hyperlink"/>
            <w:noProof/>
            <w14:scene3d>
              <w14:camera w14:prst="orthographicFront"/>
              <w14:lightRig w14:rig="threePt" w14:dir="t">
                <w14:rot w14:lat="0" w14:lon="0" w14:rev="0"/>
              </w14:lightRig>
            </w14:scene3d>
          </w:rPr>
          <w:t>8.9</w:t>
        </w:r>
        <w:r w:rsidR="00C424AA" w:rsidRPr="008625DC">
          <w:rPr>
            <w:rFonts w:asciiTheme="minorHAnsi" w:eastAsiaTheme="minorEastAsia" w:hAnsiTheme="minorHAnsi" w:cstheme="minorBidi"/>
            <w:noProof/>
            <w:color w:val="auto"/>
            <w:szCs w:val="22"/>
          </w:rPr>
          <w:tab/>
        </w:r>
        <w:r w:rsidR="00C424AA" w:rsidRPr="008625DC">
          <w:rPr>
            <w:rStyle w:val="Hyperlink"/>
            <w:noProof/>
          </w:rPr>
          <w:t>Pharmacy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_Toc398827555 \h </w:instrText>
        </w:r>
        <w:r w:rsidR="00C424AA" w:rsidRPr="008625DC">
          <w:rPr>
            <w:noProof/>
            <w:webHidden/>
          </w:rPr>
        </w:r>
        <w:r w:rsidR="00C424AA" w:rsidRPr="008625DC">
          <w:rPr>
            <w:noProof/>
            <w:webHidden/>
          </w:rPr>
          <w:fldChar w:fldCharType="separate"/>
        </w:r>
        <w:r w:rsidR="00E26228">
          <w:rPr>
            <w:noProof/>
            <w:webHidden/>
          </w:rPr>
          <w:t>109</w:t>
        </w:r>
        <w:r w:rsidR="00C424AA" w:rsidRPr="008625DC">
          <w:rPr>
            <w:noProof/>
            <w:webHidden/>
          </w:rPr>
          <w:fldChar w:fldCharType="end"/>
        </w:r>
      </w:hyperlink>
    </w:p>
    <w:p w14:paraId="40054576" w14:textId="653DB8B5" w:rsidR="00C424AA" w:rsidRPr="008625DC" w:rsidRDefault="00AD530F">
      <w:pPr>
        <w:pStyle w:val="TOC2"/>
        <w:rPr>
          <w:rFonts w:asciiTheme="minorHAnsi" w:eastAsiaTheme="minorEastAsia" w:hAnsiTheme="minorHAnsi" w:cstheme="minorBidi"/>
          <w:noProof/>
          <w:color w:val="auto"/>
          <w:szCs w:val="22"/>
        </w:rPr>
      </w:pPr>
      <w:hyperlink w:anchor="_Toc398827556" w:history="1">
        <w:r w:rsidR="00C424AA" w:rsidRPr="008625DC">
          <w:rPr>
            <w:rStyle w:val="Hyperlink"/>
            <w:noProof/>
            <w14:scene3d>
              <w14:camera w14:prst="orthographicFront"/>
              <w14:lightRig w14:rig="threePt" w14:dir="t">
                <w14:rot w14:lat="0" w14:lon="0" w14:rev="0"/>
              </w14:lightRig>
            </w14:scene3d>
          </w:rPr>
          <w:t>8.10</w:t>
        </w:r>
        <w:r w:rsidR="00C424AA" w:rsidRPr="008625DC">
          <w:rPr>
            <w:rFonts w:asciiTheme="minorHAnsi" w:eastAsiaTheme="minorEastAsia" w:hAnsiTheme="minorHAnsi" w:cstheme="minorBidi"/>
            <w:noProof/>
            <w:color w:val="auto"/>
            <w:szCs w:val="22"/>
          </w:rPr>
          <w:tab/>
        </w:r>
        <w:r w:rsidR="00C424AA" w:rsidRPr="008625DC">
          <w:rPr>
            <w:rStyle w:val="Hyperlink"/>
            <w:noProof/>
          </w:rPr>
          <w:t>Private health insurance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_Toc398827556 \h </w:instrText>
        </w:r>
        <w:r w:rsidR="00C424AA" w:rsidRPr="008625DC">
          <w:rPr>
            <w:noProof/>
            <w:webHidden/>
          </w:rPr>
        </w:r>
        <w:r w:rsidR="00C424AA" w:rsidRPr="008625DC">
          <w:rPr>
            <w:noProof/>
            <w:webHidden/>
          </w:rPr>
          <w:fldChar w:fldCharType="separate"/>
        </w:r>
        <w:r w:rsidR="00E26228">
          <w:rPr>
            <w:noProof/>
            <w:webHidden/>
          </w:rPr>
          <w:t>112</w:t>
        </w:r>
        <w:r w:rsidR="00C424AA" w:rsidRPr="008625DC">
          <w:rPr>
            <w:noProof/>
            <w:webHidden/>
          </w:rPr>
          <w:fldChar w:fldCharType="end"/>
        </w:r>
      </w:hyperlink>
    </w:p>
    <w:p w14:paraId="2546A180" w14:textId="0BE3D9D7" w:rsidR="00C424AA" w:rsidRPr="008625DC" w:rsidRDefault="00AD530F">
      <w:pPr>
        <w:pStyle w:val="TOC2"/>
        <w:rPr>
          <w:rFonts w:asciiTheme="minorHAnsi" w:eastAsiaTheme="minorEastAsia" w:hAnsiTheme="minorHAnsi" w:cstheme="minorBidi"/>
          <w:noProof/>
          <w:color w:val="auto"/>
          <w:szCs w:val="22"/>
        </w:rPr>
      </w:pPr>
      <w:hyperlink w:anchor="_Toc398827557" w:history="1">
        <w:r w:rsidR="00C424AA" w:rsidRPr="008625DC">
          <w:rPr>
            <w:rStyle w:val="Hyperlink"/>
            <w:noProof/>
            <w14:scene3d>
              <w14:camera w14:prst="orthographicFront"/>
              <w14:lightRig w14:rig="threePt" w14:dir="t">
                <w14:rot w14:lat="0" w14:lon="0" w14:rev="0"/>
              </w14:lightRig>
            </w14:scene3d>
          </w:rPr>
          <w:t>8.11</w:t>
        </w:r>
        <w:r w:rsidR="00C424AA" w:rsidRPr="008625DC">
          <w:rPr>
            <w:rFonts w:asciiTheme="minorHAnsi" w:eastAsiaTheme="minorEastAsia" w:hAnsiTheme="minorHAnsi" w:cstheme="minorBidi"/>
            <w:noProof/>
            <w:color w:val="auto"/>
            <w:szCs w:val="22"/>
          </w:rPr>
          <w:tab/>
        </w:r>
        <w:r w:rsidR="00C424AA" w:rsidRPr="008625DC">
          <w:rPr>
            <w:rStyle w:val="Hyperlink"/>
            <w:noProof/>
          </w:rPr>
          <w:t>Agricultural marketing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_Toc398827557 \h </w:instrText>
        </w:r>
        <w:r w:rsidR="00C424AA" w:rsidRPr="008625DC">
          <w:rPr>
            <w:noProof/>
            <w:webHidden/>
          </w:rPr>
        </w:r>
        <w:r w:rsidR="00C424AA" w:rsidRPr="008625DC">
          <w:rPr>
            <w:noProof/>
            <w:webHidden/>
          </w:rPr>
          <w:fldChar w:fldCharType="separate"/>
        </w:r>
        <w:r w:rsidR="00E26228">
          <w:rPr>
            <w:noProof/>
            <w:webHidden/>
          </w:rPr>
          <w:t>113</w:t>
        </w:r>
        <w:r w:rsidR="00C424AA" w:rsidRPr="008625DC">
          <w:rPr>
            <w:noProof/>
            <w:webHidden/>
          </w:rPr>
          <w:fldChar w:fldCharType="end"/>
        </w:r>
      </w:hyperlink>
    </w:p>
    <w:p w14:paraId="21AE78FA" w14:textId="3F28B7AA" w:rsidR="00C424AA" w:rsidRPr="008625DC" w:rsidRDefault="00AD530F">
      <w:pPr>
        <w:pStyle w:val="TOC2"/>
        <w:rPr>
          <w:rFonts w:asciiTheme="minorHAnsi" w:eastAsiaTheme="minorEastAsia" w:hAnsiTheme="minorHAnsi" w:cstheme="minorBidi"/>
          <w:noProof/>
          <w:color w:val="auto"/>
          <w:szCs w:val="22"/>
        </w:rPr>
      </w:pPr>
      <w:hyperlink w:anchor="_Toc398827558" w:history="1">
        <w:r w:rsidR="00C424AA" w:rsidRPr="008625DC">
          <w:rPr>
            <w:rStyle w:val="Hyperlink"/>
            <w:noProof/>
            <w14:scene3d>
              <w14:camera w14:prst="orthographicFront"/>
              <w14:lightRig w14:rig="threePt" w14:dir="t">
                <w14:rot w14:lat="0" w14:lon="0" w14:rev="0"/>
              </w14:lightRig>
            </w14:scene3d>
          </w:rPr>
          <w:t>8.12</w:t>
        </w:r>
        <w:r w:rsidR="00C424AA" w:rsidRPr="008625DC">
          <w:rPr>
            <w:rFonts w:asciiTheme="minorHAnsi" w:eastAsiaTheme="minorEastAsia" w:hAnsiTheme="minorHAnsi" w:cstheme="minorBidi"/>
            <w:noProof/>
            <w:color w:val="auto"/>
            <w:szCs w:val="22"/>
          </w:rPr>
          <w:tab/>
        </w:r>
        <w:r w:rsidR="00C424AA" w:rsidRPr="008625DC">
          <w:rPr>
            <w:rStyle w:val="Hyperlink"/>
            <w:noProof/>
          </w:rPr>
          <w:t>Air service restrictions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_Toc398827558 \h </w:instrText>
        </w:r>
        <w:r w:rsidR="00C424AA" w:rsidRPr="008625DC">
          <w:rPr>
            <w:noProof/>
            <w:webHidden/>
          </w:rPr>
        </w:r>
        <w:r w:rsidR="00C424AA" w:rsidRPr="008625DC">
          <w:rPr>
            <w:noProof/>
            <w:webHidden/>
          </w:rPr>
          <w:fldChar w:fldCharType="separate"/>
        </w:r>
        <w:r w:rsidR="00E26228">
          <w:rPr>
            <w:noProof/>
            <w:webHidden/>
          </w:rPr>
          <w:t>114</w:t>
        </w:r>
        <w:r w:rsidR="00C424AA" w:rsidRPr="008625DC">
          <w:rPr>
            <w:noProof/>
            <w:webHidden/>
          </w:rPr>
          <w:fldChar w:fldCharType="end"/>
        </w:r>
      </w:hyperlink>
    </w:p>
    <w:p w14:paraId="3D63E19E" w14:textId="181AD531" w:rsidR="00C424AA" w:rsidRPr="008625DC" w:rsidRDefault="00AD530F">
      <w:pPr>
        <w:pStyle w:val="TOC1"/>
        <w:rPr>
          <w:rFonts w:asciiTheme="minorHAnsi" w:eastAsiaTheme="minorEastAsia" w:hAnsiTheme="minorHAnsi" w:cstheme="minorBidi"/>
          <w:b w:val="0"/>
          <w:caps w:val="0"/>
          <w:noProof/>
          <w:color w:val="auto"/>
          <w:sz w:val="22"/>
        </w:rPr>
      </w:pPr>
      <w:hyperlink w:anchor="_Toc398827559" w:history="1">
        <w:r w:rsidR="00C424AA" w:rsidRPr="008625DC">
          <w:rPr>
            <w:rStyle w:val="Hyperlink"/>
            <w:noProof/>
            <w14:scene3d>
              <w14:camera w14:prst="orthographicFront"/>
              <w14:lightRig w14:rig="threePt" w14:dir="t">
                <w14:rot w14:lat="0" w14:lon="0" w14:rev="0"/>
              </w14:lightRig>
            </w14:scene3d>
          </w:rPr>
          <w:t>9</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Infrastructure markets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_Toc398827559 \h </w:instrText>
        </w:r>
        <w:r w:rsidR="00C424AA" w:rsidRPr="008625DC">
          <w:rPr>
            <w:noProof/>
            <w:webHidden/>
          </w:rPr>
        </w:r>
        <w:r w:rsidR="00C424AA" w:rsidRPr="008625DC">
          <w:rPr>
            <w:noProof/>
            <w:webHidden/>
          </w:rPr>
          <w:fldChar w:fldCharType="separate"/>
        </w:r>
        <w:r w:rsidR="00E26228">
          <w:rPr>
            <w:noProof/>
            <w:webHidden/>
          </w:rPr>
          <w:t>117</w:t>
        </w:r>
        <w:r w:rsidR="00C424AA" w:rsidRPr="008625DC">
          <w:rPr>
            <w:noProof/>
            <w:webHidden/>
          </w:rPr>
          <w:fldChar w:fldCharType="end"/>
        </w:r>
      </w:hyperlink>
    </w:p>
    <w:p w14:paraId="3BD33939" w14:textId="587189DF" w:rsidR="00C424AA" w:rsidRPr="008625DC" w:rsidRDefault="00AD530F">
      <w:pPr>
        <w:pStyle w:val="TOC2"/>
        <w:rPr>
          <w:rFonts w:asciiTheme="minorHAnsi" w:eastAsiaTheme="minorEastAsia" w:hAnsiTheme="minorHAnsi" w:cstheme="minorBidi"/>
          <w:noProof/>
          <w:color w:val="auto"/>
          <w:szCs w:val="22"/>
        </w:rPr>
      </w:pPr>
      <w:hyperlink w:anchor="_Toc398827560" w:history="1">
        <w:r w:rsidR="00C424AA" w:rsidRPr="008625DC">
          <w:rPr>
            <w:rStyle w:val="Hyperlink"/>
            <w:noProof/>
            <w14:scene3d>
              <w14:camera w14:prst="orthographicFront"/>
              <w14:lightRig w14:rig="threePt" w14:dir="t">
                <w14:rot w14:lat="0" w14:lon="0" w14:rev="0"/>
              </w14:lightRig>
            </w14:scene3d>
          </w:rPr>
          <w:t>9.1</w:t>
        </w:r>
        <w:r w:rsidR="00C424AA" w:rsidRPr="008625DC">
          <w:rPr>
            <w:rFonts w:asciiTheme="minorHAnsi" w:eastAsiaTheme="minorEastAsia" w:hAnsiTheme="minorHAnsi" w:cstheme="minorBidi"/>
            <w:noProof/>
            <w:color w:val="auto"/>
            <w:szCs w:val="22"/>
          </w:rPr>
          <w:tab/>
        </w:r>
        <w:r w:rsidR="00C424AA" w:rsidRPr="008625DC">
          <w:rPr>
            <w:rStyle w:val="Hyperlink"/>
            <w:noProof/>
          </w:rPr>
          <w:t>Electricity, gas and water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_Toc398827560 \h </w:instrText>
        </w:r>
        <w:r w:rsidR="00C424AA" w:rsidRPr="008625DC">
          <w:rPr>
            <w:noProof/>
            <w:webHidden/>
          </w:rPr>
        </w:r>
        <w:r w:rsidR="00C424AA" w:rsidRPr="008625DC">
          <w:rPr>
            <w:noProof/>
            <w:webHidden/>
          </w:rPr>
          <w:fldChar w:fldCharType="separate"/>
        </w:r>
        <w:r w:rsidR="00E26228">
          <w:rPr>
            <w:noProof/>
            <w:webHidden/>
          </w:rPr>
          <w:t>122</w:t>
        </w:r>
        <w:r w:rsidR="00C424AA" w:rsidRPr="008625DC">
          <w:rPr>
            <w:noProof/>
            <w:webHidden/>
          </w:rPr>
          <w:fldChar w:fldCharType="end"/>
        </w:r>
      </w:hyperlink>
    </w:p>
    <w:p w14:paraId="31471CD8" w14:textId="16C31E62" w:rsidR="00C424AA" w:rsidRPr="008625DC" w:rsidRDefault="00AD530F">
      <w:pPr>
        <w:pStyle w:val="TOC2"/>
        <w:rPr>
          <w:rFonts w:asciiTheme="minorHAnsi" w:eastAsiaTheme="minorEastAsia" w:hAnsiTheme="minorHAnsi" w:cstheme="minorBidi"/>
          <w:noProof/>
          <w:color w:val="auto"/>
          <w:szCs w:val="22"/>
        </w:rPr>
      </w:pPr>
      <w:hyperlink w:anchor="_Toc398827561" w:history="1">
        <w:r w:rsidR="00C424AA" w:rsidRPr="008625DC">
          <w:rPr>
            <w:rStyle w:val="Hyperlink"/>
            <w:noProof/>
            <w14:scene3d>
              <w14:camera w14:prst="orthographicFront"/>
              <w14:lightRig w14:rig="threePt" w14:dir="t">
                <w14:rot w14:lat="0" w14:lon="0" w14:rev="0"/>
              </w14:lightRig>
            </w14:scene3d>
          </w:rPr>
          <w:t>9.2</w:t>
        </w:r>
        <w:r w:rsidR="00C424AA" w:rsidRPr="008625DC">
          <w:rPr>
            <w:rFonts w:asciiTheme="minorHAnsi" w:eastAsiaTheme="minorEastAsia" w:hAnsiTheme="minorHAnsi" w:cstheme="minorBidi"/>
            <w:noProof/>
            <w:color w:val="auto"/>
            <w:szCs w:val="22"/>
          </w:rPr>
          <w:tab/>
        </w:r>
        <w:r w:rsidR="00C424AA" w:rsidRPr="008625DC">
          <w:rPr>
            <w:rStyle w:val="Hyperlink"/>
            <w:noProof/>
          </w:rPr>
          <w:t>Transport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_Toc398827561 \h </w:instrText>
        </w:r>
        <w:r w:rsidR="00C424AA" w:rsidRPr="008625DC">
          <w:rPr>
            <w:noProof/>
            <w:webHidden/>
          </w:rPr>
        </w:r>
        <w:r w:rsidR="00C424AA" w:rsidRPr="008625DC">
          <w:rPr>
            <w:noProof/>
            <w:webHidden/>
          </w:rPr>
          <w:fldChar w:fldCharType="separate"/>
        </w:r>
        <w:r w:rsidR="00E26228">
          <w:rPr>
            <w:noProof/>
            <w:webHidden/>
          </w:rPr>
          <w:t>130</w:t>
        </w:r>
        <w:r w:rsidR="00C424AA" w:rsidRPr="008625DC">
          <w:rPr>
            <w:noProof/>
            <w:webHidden/>
          </w:rPr>
          <w:fldChar w:fldCharType="end"/>
        </w:r>
      </w:hyperlink>
    </w:p>
    <w:p w14:paraId="102A5BD8" w14:textId="56715E6E" w:rsidR="00C424AA" w:rsidRPr="008625DC" w:rsidRDefault="00AD530F">
      <w:pPr>
        <w:pStyle w:val="TOC1"/>
        <w:rPr>
          <w:rFonts w:asciiTheme="minorHAnsi" w:eastAsiaTheme="minorEastAsia" w:hAnsiTheme="minorHAnsi" w:cstheme="minorBidi"/>
          <w:b w:val="0"/>
          <w:caps w:val="0"/>
          <w:noProof/>
          <w:color w:val="auto"/>
          <w:sz w:val="22"/>
        </w:rPr>
      </w:pPr>
      <w:hyperlink w:anchor="_Toc398827562" w:history="1">
        <w:r w:rsidR="00C424AA" w:rsidRPr="008625DC">
          <w:rPr>
            <w:rStyle w:val="Hyperlink"/>
            <w:noProof/>
            <w14:scene3d>
              <w14:camera w14:prst="orthographicFront"/>
              <w14:lightRig w14:rig="threePt" w14:dir="t">
                <w14:rot w14:lat="0" w14:lon="0" w14:rev="0"/>
              </w14:lightRig>
            </w14:scene3d>
          </w:rPr>
          <w:t>10</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Human services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_Toc398827562 \h </w:instrText>
        </w:r>
        <w:r w:rsidR="00C424AA" w:rsidRPr="008625DC">
          <w:rPr>
            <w:noProof/>
            <w:webHidden/>
          </w:rPr>
        </w:r>
        <w:r w:rsidR="00C424AA" w:rsidRPr="008625DC">
          <w:rPr>
            <w:noProof/>
            <w:webHidden/>
          </w:rPr>
          <w:fldChar w:fldCharType="separate"/>
        </w:r>
        <w:r w:rsidR="00E26228">
          <w:rPr>
            <w:noProof/>
            <w:webHidden/>
          </w:rPr>
          <w:t>140</w:t>
        </w:r>
        <w:r w:rsidR="00C424AA" w:rsidRPr="008625DC">
          <w:rPr>
            <w:noProof/>
            <w:webHidden/>
          </w:rPr>
          <w:fldChar w:fldCharType="end"/>
        </w:r>
      </w:hyperlink>
    </w:p>
    <w:p w14:paraId="44122AFC" w14:textId="56409114" w:rsidR="00C424AA" w:rsidRPr="008625DC" w:rsidRDefault="00AD530F">
      <w:pPr>
        <w:pStyle w:val="TOC2"/>
        <w:rPr>
          <w:rFonts w:asciiTheme="minorHAnsi" w:eastAsiaTheme="minorEastAsia" w:hAnsiTheme="minorHAnsi" w:cstheme="minorBidi"/>
          <w:noProof/>
          <w:color w:val="auto"/>
          <w:szCs w:val="22"/>
        </w:rPr>
      </w:pPr>
      <w:hyperlink w:anchor="_Toc398827563" w:history="1">
        <w:r w:rsidR="00C424AA" w:rsidRPr="008625DC">
          <w:rPr>
            <w:rStyle w:val="Hyperlink"/>
            <w:noProof/>
            <w14:scene3d>
              <w14:camera w14:prst="orthographicFront"/>
              <w14:lightRig w14:rig="threePt" w14:dir="t">
                <w14:rot w14:lat="0" w14:lon="0" w14:rev="0"/>
              </w14:lightRig>
            </w14:scene3d>
          </w:rPr>
          <w:t>10.1</w:t>
        </w:r>
        <w:r w:rsidR="00C424AA" w:rsidRPr="008625DC">
          <w:rPr>
            <w:rFonts w:asciiTheme="minorHAnsi" w:eastAsiaTheme="minorEastAsia" w:hAnsiTheme="minorHAnsi" w:cstheme="minorBidi"/>
            <w:noProof/>
            <w:color w:val="auto"/>
            <w:szCs w:val="22"/>
          </w:rPr>
          <w:tab/>
        </w:r>
        <w:r w:rsidR="00C424AA" w:rsidRPr="008625DC">
          <w:rPr>
            <w:rStyle w:val="Hyperlink"/>
            <w:noProof/>
          </w:rPr>
          <w:t>Role of government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_Toc398827563 \h </w:instrText>
        </w:r>
        <w:r w:rsidR="00C424AA" w:rsidRPr="008625DC">
          <w:rPr>
            <w:noProof/>
            <w:webHidden/>
          </w:rPr>
        </w:r>
        <w:r w:rsidR="00C424AA" w:rsidRPr="008625DC">
          <w:rPr>
            <w:noProof/>
            <w:webHidden/>
          </w:rPr>
          <w:fldChar w:fldCharType="separate"/>
        </w:r>
        <w:r w:rsidR="00E26228">
          <w:rPr>
            <w:noProof/>
            <w:webHidden/>
          </w:rPr>
          <w:t>140</w:t>
        </w:r>
        <w:r w:rsidR="00C424AA" w:rsidRPr="008625DC">
          <w:rPr>
            <w:noProof/>
            <w:webHidden/>
          </w:rPr>
          <w:fldChar w:fldCharType="end"/>
        </w:r>
      </w:hyperlink>
    </w:p>
    <w:p w14:paraId="0807E443" w14:textId="060A946B" w:rsidR="00C424AA" w:rsidRPr="008625DC" w:rsidRDefault="00AD530F">
      <w:pPr>
        <w:pStyle w:val="TOC2"/>
        <w:rPr>
          <w:rFonts w:asciiTheme="minorHAnsi" w:eastAsiaTheme="minorEastAsia" w:hAnsiTheme="minorHAnsi" w:cstheme="minorBidi"/>
          <w:noProof/>
          <w:color w:val="auto"/>
          <w:szCs w:val="22"/>
        </w:rPr>
      </w:pPr>
      <w:hyperlink w:anchor="_Toc398827564" w:history="1">
        <w:r w:rsidR="00C424AA" w:rsidRPr="008625DC">
          <w:rPr>
            <w:rStyle w:val="Hyperlink"/>
            <w:noProof/>
            <w14:scene3d>
              <w14:camera w14:prst="orthographicFront"/>
              <w14:lightRig w14:rig="threePt" w14:dir="t">
                <w14:rot w14:lat="0" w14:lon="0" w14:rev="0"/>
              </w14:lightRig>
            </w14:scene3d>
          </w:rPr>
          <w:t>10.2</w:t>
        </w:r>
        <w:r w:rsidR="00C424AA" w:rsidRPr="008625DC">
          <w:rPr>
            <w:rFonts w:asciiTheme="minorHAnsi" w:eastAsiaTheme="minorEastAsia" w:hAnsiTheme="minorHAnsi" w:cstheme="minorBidi"/>
            <w:noProof/>
            <w:color w:val="auto"/>
            <w:szCs w:val="22"/>
          </w:rPr>
          <w:tab/>
        </w:r>
        <w:r w:rsidR="00C424AA" w:rsidRPr="008625DC">
          <w:rPr>
            <w:rStyle w:val="Hyperlink"/>
            <w:noProof/>
          </w:rPr>
          <w:t>Separation of funding, regulation and service provision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_Toc398827564 \h </w:instrText>
        </w:r>
        <w:r w:rsidR="00C424AA" w:rsidRPr="008625DC">
          <w:rPr>
            <w:noProof/>
            <w:webHidden/>
          </w:rPr>
        </w:r>
        <w:r w:rsidR="00C424AA" w:rsidRPr="008625DC">
          <w:rPr>
            <w:noProof/>
            <w:webHidden/>
          </w:rPr>
          <w:fldChar w:fldCharType="separate"/>
        </w:r>
        <w:r w:rsidR="00E26228">
          <w:rPr>
            <w:noProof/>
            <w:webHidden/>
          </w:rPr>
          <w:t>144</w:t>
        </w:r>
        <w:r w:rsidR="00C424AA" w:rsidRPr="008625DC">
          <w:rPr>
            <w:noProof/>
            <w:webHidden/>
          </w:rPr>
          <w:fldChar w:fldCharType="end"/>
        </w:r>
      </w:hyperlink>
    </w:p>
    <w:p w14:paraId="31CC823B" w14:textId="5EEC92C7" w:rsidR="00C424AA" w:rsidRPr="008625DC" w:rsidRDefault="00AD530F">
      <w:pPr>
        <w:pStyle w:val="TOC2"/>
        <w:rPr>
          <w:rFonts w:asciiTheme="minorHAnsi" w:eastAsiaTheme="minorEastAsia" w:hAnsiTheme="minorHAnsi" w:cstheme="minorBidi"/>
          <w:noProof/>
          <w:color w:val="auto"/>
          <w:szCs w:val="22"/>
        </w:rPr>
      </w:pPr>
      <w:hyperlink w:anchor="_Toc398827565" w:history="1">
        <w:r w:rsidR="00C424AA" w:rsidRPr="008625DC">
          <w:rPr>
            <w:rStyle w:val="Hyperlink"/>
            <w:noProof/>
            <w14:scene3d>
              <w14:camera w14:prst="orthographicFront"/>
              <w14:lightRig w14:rig="threePt" w14:dir="t">
                <w14:rot w14:lat="0" w14:lon="0" w14:rev="0"/>
              </w14:lightRig>
            </w14:scene3d>
          </w:rPr>
          <w:t>10.3</w:t>
        </w:r>
        <w:r w:rsidR="00C424AA" w:rsidRPr="008625DC">
          <w:rPr>
            <w:rFonts w:asciiTheme="minorHAnsi" w:eastAsiaTheme="minorEastAsia" w:hAnsiTheme="minorHAnsi" w:cstheme="minorBidi"/>
            <w:noProof/>
            <w:color w:val="auto"/>
            <w:szCs w:val="22"/>
          </w:rPr>
          <w:tab/>
        </w:r>
        <w:r w:rsidR="00C424AA" w:rsidRPr="008625DC">
          <w:rPr>
            <w:rStyle w:val="Hyperlink"/>
            <w:noProof/>
          </w:rPr>
          <w:t>Introducing more consumer choice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_Toc398827565 \h </w:instrText>
        </w:r>
        <w:r w:rsidR="00C424AA" w:rsidRPr="008625DC">
          <w:rPr>
            <w:noProof/>
            <w:webHidden/>
          </w:rPr>
        </w:r>
        <w:r w:rsidR="00C424AA" w:rsidRPr="008625DC">
          <w:rPr>
            <w:noProof/>
            <w:webHidden/>
          </w:rPr>
          <w:fldChar w:fldCharType="separate"/>
        </w:r>
        <w:r w:rsidR="00E26228">
          <w:rPr>
            <w:noProof/>
            <w:webHidden/>
          </w:rPr>
          <w:t>146</w:t>
        </w:r>
        <w:r w:rsidR="00C424AA" w:rsidRPr="008625DC">
          <w:rPr>
            <w:noProof/>
            <w:webHidden/>
          </w:rPr>
          <w:fldChar w:fldCharType="end"/>
        </w:r>
      </w:hyperlink>
    </w:p>
    <w:p w14:paraId="0DACEB80" w14:textId="34C7C831" w:rsidR="00C424AA" w:rsidRPr="008625DC" w:rsidRDefault="00AD530F">
      <w:pPr>
        <w:pStyle w:val="TOC2"/>
        <w:rPr>
          <w:rFonts w:asciiTheme="minorHAnsi" w:eastAsiaTheme="minorEastAsia" w:hAnsiTheme="minorHAnsi" w:cstheme="minorBidi"/>
          <w:noProof/>
          <w:color w:val="auto"/>
          <w:szCs w:val="22"/>
        </w:rPr>
      </w:pPr>
      <w:hyperlink w:anchor="_Toc398827566" w:history="1">
        <w:r w:rsidR="00C424AA" w:rsidRPr="008625DC">
          <w:rPr>
            <w:rStyle w:val="Hyperlink"/>
            <w:noProof/>
            <w14:scene3d>
              <w14:camera w14:prst="orthographicFront"/>
              <w14:lightRig w14:rig="threePt" w14:dir="t">
                <w14:rot w14:lat="0" w14:lon="0" w14:rev="0"/>
              </w14:lightRig>
            </w14:scene3d>
          </w:rPr>
          <w:t>10.4</w:t>
        </w:r>
        <w:r w:rsidR="00C424AA" w:rsidRPr="008625DC">
          <w:rPr>
            <w:rFonts w:asciiTheme="minorHAnsi" w:eastAsiaTheme="minorEastAsia" w:hAnsiTheme="minorHAnsi" w:cstheme="minorBidi"/>
            <w:noProof/>
            <w:color w:val="auto"/>
            <w:szCs w:val="22"/>
          </w:rPr>
          <w:tab/>
        </w:r>
        <w:r w:rsidR="00C424AA" w:rsidRPr="008625DC">
          <w:rPr>
            <w:rStyle w:val="Hyperlink"/>
            <w:noProof/>
          </w:rPr>
          <w:t>Diversity of service providers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_Toc398827566 \h </w:instrText>
        </w:r>
        <w:r w:rsidR="00C424AA" w:rsidRPr="008625DC">
          <w:rPr>
            <w:noProof/>
            <w:webHidden/>
          </w:rPr>
        </w:r>
        <w:r w:rsidR="00C424AA" w:rsidRPr="008625DC">
          <w:rPr>
            <w:noProof/>
            <w:webHidden/>
          </w:rPr>
          <w:fldChar w:fldCharType="separate"/>
        </w:r>
        <w:r w:rsidR="00E26228">
          <w:rPr>
            <w:noProof/>
            <w:webHidden/>
          </w:rPr>
          <w:t>156</w:t>
        </w:r>
        <w:r w:rsidR="00C424AA" w:rsidRPr="008625DC">
          <w:rPr>
            <w:noProof/>
            <w:webHidden/>
          </w:rPr>
          <w:fldChar w:fldCharType="end"/>
        </w:r>
      </w:hyperlink>
    </w:p>
    <w:p w14:paraId="3DD34DB7" w14:textId="6F57C8DA" w:rsidR="00C424AA" w:rsidRPr="008625DC" w:rsidRDefault="00AD530F">
      <w:pPr>
        <w:pStyle w:val="TOC2"/>
        <w:rPr>
          <w:rFonts w:asciiTheme="minorHAnsi" w:eastAsiaTheme="minorEastAsia" w:hAnsiTheme="minorHAnsi" w:cstheme="minorBidi"/>
          <w:noProof/>
          <w:color w:val="auto"/>
          <w:szCs w:val="22"/>
        </w:rPr>
      </w:pPr>
      <w:hyperlink w:anchor="_Toc398827567" w:history="1">
        <w:r w:rsidR="00C424AA" w:rsidRPr="008625DC">
          <w:rPr>
            <w:rStyle w:val="Hyperlink"/>
            <w:noProof/>
            <w14:scene3d>
              <w14:camera w14:prst="orthographicFront"/>
              <w14:lightRig w14:rig="threePt" w14:dir="t">
                <w14:rot w14:lat="0" w14:lon="0" w14:rev="0"/>
              </w14:lightRig>
            </w14:scene3d>
          </w:rPr>
          <w:t>10.5</w:t>
        </w:r>
        <w:r w:rsidR="00C424AA" w:rsidRPr="008625DC">
          <w:rPr>
            <w:rFonts w:asciiTheme="minorHAnsi" w:eastAsiaTheme="minorEastAsia" w:hAnsiTheme="minorHAnsi" w:cstheme="minorBidi"/>
            <w:noProof/>
            <w:color w:val="auto"/>
            <w:szCs w:val="22"/>
          </w:rPr>
          <w:tab/>
        </w:r>
        <w:r w:rsidR="00C424AA" w:rsidRPr="008625DC">
          <w:rPr>
            <w:rStyle w:val="Hyperlink"/>
            <w:noProof/>
          </w:rPr>
          <w:t>Implementation issues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_Toc398827567 \h </w:instrText>
        </w:r>
        <w:r w:rsidR="00C424AA" w:rsidRPr="008625DC">
          <w:rPr>
            <w:noProof/>
            <w:webHidden/>
          </w:rPr>
        </w:r>
        <w:r w:rsidR="00C424AA" w:rsidRPr="008625DC">
          <w:rPr>
            <w:noProof/>
            <w:webHidden/>
          </w:rPr>
          <w:fldChar w:fldCharType="separate"/>
        </w:r>
        <w:r w:rsidR="00E26228">
          <w:rPr>
            <w:noProof/>
            <w:webHidden/>
          </w:rPr>
          <w:t>164</w:t>
        </w:r>
        <w:r w:rsidR="00C424AA" w:rsidRPr="008625DC">
          <w:rPr>
            <w:noProof/>
            <w:webHidden/>
          </w:rPr>
          <w:fldChar w:fldCharType="end"/>
        </w:r>
      </w:hyperlink>
    </w:p>
    <w:p w14:paraId="6E593281" w14:textId="15C15739" w:rsidR="00C424AA" w:rsidRPr="008625DC" w:rsidRDefault="00AD530F">
      <w:pPr>
        <w:pStyle w:val="TOC1"/>
        <w:rPr>
          <w:rFonts w:asciiTheme="minorHAnsi" w:eastAsiaTheme="minorEastAsia" w:hAnsiTheme="minorHAnsi" w:cstheme="minorBidi"/>
          <w:b w:val="0"/>
          <w:caps w:val="0"/>
          <w:noProof/>
          <w:color w:val="auto"/>
          <w:sz w:val="22"/>
        </w:rPr>
      </w:pPr>
      <w:hyperlink w:anchor="_Toc398827568" w:history="1">
        <w:r w:rsidR="00C424AA" w:rsidRPr="008625DC">
          <w:rPr>
            <w:rStyle w:val="Hyperlink"/>
            <w:noProof/>
            <w14:scene3d>
              <w14:camera w14:prst="orthographicFront"/>
              <w14:lightRig w14:rig="threePt" w14:dir="t">
                <w14:rot w14:lat="0" w14:lon="0" w14:rev="0"/>
              </w14:lightRig>
            </w14:scene3d>
          </w:rPr>
          <w:t>11</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Competitive neutrality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_Toc398827568 \h </w:instrText>
        </w:r>
        <w:r w:rsidR="00C424AA" w:rsidRPr="008625DC">
          <w:rPr>
            <w:noProof/>
            <w:webHidden/>
          </w:rPr>
        </w:r>
        <w:r w:rsidR="00C424AA" w:rsidRPr="008625DC">
          <w:rPr>
            <w:noProof/>
            <w:webHidden/>
          </w:rPr>
          <w:fldChar w:fldCharType="separate"/>
        </w:r>
        <w:r w:rsidR="00E26228">
          <w:rPr>
            <w:noProof/>
            <w:webHidden/>
          </w:rPr>
          <w:t>167</w:t>
        </w:r>
        <w:r w:rsidR="00C424AA" w:rsidRPr="008625DC">
          <w:rPr>
            <w:noProof/>
            <w:webHidden/>
          </w:rPr>
          <w:fldChar w:fldCharType="end"/>
        </w:r>
      </w:hyperlink>
    </w:p>
    <w:p w14:paraId="6EF37493" w14:textId="353BDB22" w:rsidR="00C424AA" w:rsidRPr="008625DC" w:rsidRDefault="00AD530F">
      <w:pPr>
        <w:pStyle w:val="TOC2"/>
        <w:rPr>
          <w:rFonts w:asciiTheme="minorHAnsi" w:eastAsiaTheme="minorEastAsia" w:hAnsiTheme="minorHAnsi" w:cstheme="minorBidi"/>
          <w:noProof/>
          <w:color w:val="auto"/>
          <w:szCs w:val="22"/>
        </w:rPr>
      </w:pPr>
      <w:hyperlink w:anchor="_Toc398827569" w:history="1">
        <w:r w:rsidR="00C424AA" w:rsidRPr="008625DC">
          <w:rPr>
            <w:rStyle w:val="Hyperlink"/>
            <w:noProof/>
            <w14:scene3d>
              <w14:camera w14:prst="orthographicFront"/>
              <w14:lightRig w14:rig="threePt" w14:dir="t">
                <w14:rot w14:lat="0" w14:lon="0" w14:rev="0"/>
              </w14:lightRig>
            </w14:scene3d>
          </w:rPr>
          <w:t>11.1</w:t>
        </w:r>
        <w:r w:rsidR="00C424AA" w:rsidRPr="008625DC">
          <w:rPr>
            <w:rFonts w:asciiTheme="minorHAnsi" w:eastAsiaTheme="minorEastAsia" w:hAnsiTheme="minorHAnsi" w:cstheme="minorBidi"/>
            <w:noProof/>
            <w:color w:val="auto"/>
            <w:szCs w:val="22"/>
          </w:rPr>
          <w:tab/>
        </w:r>
        <w:r w:rsidR="00C424AA" w:rsidRPr="008625DC">
          <w:rPr>
            <w:rStyle w:val="Hyperlink"/>
            <w:noProof/>
          </w:rPr>
          <w:t>What is competitive neutrality?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_Toc398827569 \h </w:instrText>
        </w:r>
        <w:r w:rsidR="00C424AA" w:rsidRPr="008625DC">
          <w:rPr>
            <w:noProof/>
            <w:webHidden/>
          </w:rPr>
        </w:r>
        <w:r w:rsidR="00C424AA" w:rsidRPr="008625DC">
          <w:rPr>
            <w:noProof/>
            <w:webHidden/>
          </w:rPr>
          <w:fldChar w:fldCharType="separate"/>
        </w:r>
        <w:r w:rsidR="00E26228">
          <w:rPr>
            <w:noProof/>
            <w:webHidden/>
          </w:rPr>
          <w:t>167</w:t>
        </w:r>
        <w:r w:rsidR="00C424AA" w:rsidRPr="008625DC">
          <w:rPr>
            <w:noProof/>
            <w:webHidden/>
          </w:rPr>
          <w:fldChar w:fldCharType="end"/>
        </w:r>
      </w:hyperlink>
    </w:p>
    <w:p w14:paraId="0CCC1308" w14:textId="54526E62" w:rsidR="00C424AA" w:rsidRPr="008625DC" w:rsidRDefault="00AD530F">
      <w:pPr>
        <w:pStyle w:val="TOC2"/>
        <w:rPr>
          <w:rFonts w:asciiTheme="minorHAnsi" w:eastAsiaTheme="minorEastAsia" w:hAnsiTheme="minorHAnsi" w:cstheme="minorBidi"/>
          <w:noProof/>
          <w:color w:val="auto"/>
          <w:szCs w:val="22"/>
        </w:rPr>
      </w:pPr>
      <w:hyperlink w:anchor="_Toc398827570" w:history="1">
        <w:r w:rsidR="00C424AA" w:rsidRPr="008625DC">
          <w:rPr>
            <w:rStyle w:val="Hyperlink"/>
            <w:noProof/>
            <w14:scene3d>
              <w14:camera w14:prst="orthographicFront"/>
              <w14:lightRig w14:rig="threePt" w14:dir="t">
                <w14:rot w14:lat="0" w14:lon="0" w14:rev="0"/>
              </w14:lightRig>
            </w14:scene3d>
          </w:rPr>
          <w:t>11.2</w:t>
        </w:r>
        <w:r w:rsidR="00C424AA" w:rsidRPr="008625DC">
          <w:rPr>
            <w:rFonts w:asciiTheme="minorHAnsi" w:eastAsiaTheme="minorEastAsia" w:hAnsiTheme="minorHAnsi" w:cstheme="minorBidi"/>
            <w:noProof/>
            <w:color w:val="auto"/>
            <w:szCs w:val="22"/>
          </w:rPr>
          <w:tab/>
        </w:r>
        <w:r w:rsidR="00C424AA" w:rsidRPr="008625DC">
          <w:rPr>
            <w:rStyle w:val="Hyperlink"/>
            <w:noProof/>
          </w:rPr>
          <w:t>Concerns raised with competitive neutrality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_Toc398827570 \h </w:instrText>
        </w:r>
        <w:r w:rsidR="00C424AA" w:rsidRPr="008625DC">
          <w:rPr>
            <w:noProof/>
            <w:webHidden/>
          </w:rPr>
        </w:r>
        <w:r w:rsidR="00C424AA" w:rsidRPr="008625DC">
          <w:rPr>
            <w:noProof/>
            <w:webHidden/>
          </w:rPr>
          <w:fldChar w:fldCharType="separate"/>
        </w:r>
        <w:r w:rsidR="00E26228">
          <w:rPr>
            <w:noProof/>
            <w:webHidden/>
          </w:rPr>
          <w:t>170</w:t>
        </w:r>
        <w:r w:rsidR="00C424AA" w:rsidRPr="008625DC">
          <w:rPr>
            <w:noProof/>
            <w:webHidden/>
          </w:rPr>
          <w:fldChar w:fldCharType="end"/>
        </w:r>
      </w:hyperlink>
    </w:p>
    <w:p w14:paraId="0C02D57A" w14:textId="796186EE" w:rsidR="00C424AA" w:rsidRPr="008625DC" w:rsidRDefault="00AD530F">
      <w:pPr>
        <w:pStyle w:val="TOC1"/>
        <w:rPr>
          <w:rFonts w:asciiTheme="minorHAnsi" w:eastAsiaTheme="minorEastAsia" w:hAnsiTheme="minorHAnsi" w:cstheme="minorBidi"/>
          <w:b w:val="0"/>
          <w:caps w:val="0"/>
          <w:noProof/>
          <w:color w:val="auto"/>
          <w:sz w:val="22"/>
        </w:rPr>
      </w:pPr>
      <w:hyperlink w:anchor="_Toc398827571" w:history="1">
        <w:r w:rsidR="00C424AA" w:rsidRPr="008625DC">
          <w:rPr>
            <w:rStyle w:val="Hyperlink"/>
            <w:noProof/>
            <w14:scene3d>
              <w14:camera w14:prst="orthographicFront"/>
              <w14:lightRig w14:rig="threePt" w14:dir="t">
                <w14:rot w14:lat="0" w14:lon="0" w14:rev="0"/>
              </w14:lightRig>
            </w14:scene3d>
          </w:rPr>
          <w:t>12</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Procurement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_Toc398827571 \h </w:instrText>
        </w:r>
        <w:r w:rsidR="00C424AA" w:rsidRPr="008625DC">
          <w:rPr>
            <w:noProof/>
            <w:webHidden/>
          </w:rPr>
        </w:r>
        <w:r w:rsidR="00C424AA" w:rsidRPr="008625DC">
          <w:rPr>
            <w:noProof/>
            <w:webHidden/>
          </w:rPr>
          <w:fldChar w:fldCharType="separate"/>
        </w:r>
        <w:r w:rsidR="00E26228">
          <w:rPr>
            <w:noProof/>
            <w:webHidden/>
          </w:rPr>
          <w:t>177</w:t>
        </w:r>
        <w:r w:rsidR="00C424AA" w:rsidRPr="008625DC">
          <w:rPr>
            <w:noProof/>
            <w:webHidden/>
          </w:rPr>
          <w:fldChar w:fldCharType="end"/>
        </w:r>
      </w:hyperlink>
    </w:p>
    <w:p w14:paraId="63C46C4E" w14:textId="2D8256CB" w:rsidR="00C424AA" w:rsidRPr="008625DC" w:rsidRDefault="00AD530F">
      <w:pPr>
        <w:pStyle w:val="TOC1"/>
        <w:rPr>
          <w:rFonts w:asciiTheme="minorHAnsi" w:eastAsiaTheme="minorEastAsia" w:hAnsiTheme="minorHAnsi" w:cstheme="minorBidi"/>
          <w:b w:val="0"/>
          <w:caps w:val="0"/>
          <w:noProof/>
          <w:color w:val="auto"/>
          <w:sz w:val="22"/>
        </w:rPr>
      </w:pPr>
      <w:hyperlink w:anchor="_Toc398827572" w:history="1">
        <w:r w:rsidR="00C424AA" w:rsidRPr="008625DC">
          <w:rPr>
            <w:rStyle w:val="Hyperlink"/>
            <w:noProof/>
            <w14:scene3d>
              <w14:camera w14:prst="orthographicFront"/>
              <w14:lightRig w14:rig="threePt" w14:dir="t">
                <w14:rot w14:lat="0" w14:lon="0" w14:rev="0"/>
              </w14:lightRig>
            </w14:scene3d>
          </w:rPr>
          <w:t>13</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Key retail markets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_Toc398827572 \h </w:instrText>
        </w:r>
        <w:r w:rsidR="00C424AA" w:rsidRPr="008625DC">
          <w:rPr>
            <w:noProof/>
            <w:webHidden/>
          </w:rPr>
        </w:r>
        <w:r w:rsidR="00C424AA" w:rsidRPr="008625DC">
          <w:rPr>
            <w:noProof/>
            <w:webHidden/>
          </w:rPr>
          <w:fldChar w:fldCharType="separate"/>
        </w:r>
        <w:r w:rsidR="00E26228">
          <w:rPr>
            <w:noProof/>
            <w:webHidden/>
          </w:rPr>
          <w:t>181</w:t>
        </w:r>
        <w:r w:rsidR="00C424AA" w:rsidRPr="008625DC">
          <w:rPr>
            <w:noProof/>
            <w:webHidden/>
          </w:rPr>
          <w:fldChar w:fldCharType="end"/>
        </w:r>
      </w:hyperlink>
    </w:p>
    <w:p w14:paraId="017BD504" w14:textId="7C4866A9" w:rsidR="00C424AA" w:rsidRPr="008625DC" w:rsidRDefault="00AD530F">
      <w:pPr>
        <w:pStyle w:val="TOC2"/>
        <w:rPr>
          <w:rFonts w:asciiTheme="minorHAnsi" w:eastAsiaTheme="minorEastAsia" w:hAnsiTheme="minorHAnsi" w:cstheme="minorBidi"/>
          <w:noProof/>
          <w:color w:val="auto"/>
          <w:szCs w:val="22"/>
        </w:rPr>
      </w:pPr>
      <w:hyperlink w:anchor="_Toc398827573" w:history="1">
        <w:r w:rsidR="00C424AA" w:rsidRPr="008625DC">
          <w:rPr>
            <w:rStyle w:val="Hyperlink"/>
            <w:noProof/>
            <w14:scene3d>
              <w14:camera w14:prst="orthographicFront"/>
              <w14:lightRig w14:rig="threePt" w14:dir="t">
                <w14:rot w14:lat="0" w14:lon="0" w14:rev="0"/>
              </w14:lightRig>
            </w14:scene3d>
          </w:rPr>
          <w:t>13.1</w:t>
        </w:r>
        <w:r w:rsidR="00C424AA" w:rsidRPr="008625DC">
          <w:rPr>
            <w:rFonts w:asciiTheme="minorHAnsi" w:eastAsiaTheme="minorEastAsia" w:hAnsiTheme="minorHAnsi" w:cstheme="minorBidi"/>
            <w:noProof/>
            <w:color w:val="auto"/>
            <w:szCs w:val="22"/>
          </w:rPr>
          <w:tab/>
        </w:r>
        <w:r w:rsidR="00C424AA" w:rsidRPr="008625DC">
          <w:rPr>
            <w:rStyle w:val="Hyperlink"/>
            <w:noProof/>
          </w:rPr>
          <w:t>Supermarkets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_Toc398827573 \h </w:instrText>
        </w:r>
        <w:r w:rsidR="00C424AA" w:rsidRPr="008625DC">
          <w:rPr>
            <w:noProof/>
            <w:webHidden/>
          </w:rPr>
        </w:r>
        <w:r w:rsidR="00C424AA" w:rsidRPr="008625DC">
          <w:rPr>
            <w:noProof/>
            <w:webHidden/>
          </w:rPr>
          <w:fldChar w:fldCharType="separate"/>
        </w:r>
        <w:r w:rsidR="00E26228">
          <w:rPr>
            <w:noProof/>
            <w:webHidden/>
          </w:rPr>
          <w:t>181</w:t>
        </w:r>
        <w:r w:rsidR="00C424AA" w:rsidRPr="008625DC">
          <w:rPr>
            <w:noProof/>
            <w:webHidden/>
          </w:rPr>
          <w:fldChar w:fldCharType="end"/>
        </w:r>
      </w:hyperlink>
    </w:p>
    <w:p w14:paraId="06A7A46B" w14:textId="00975517" w:rsidR="00C424AA" w:rsidRPr="008625DC" w:rsidRDefault="00AD530F">
      <w:pPr>
        <w:pStyle w:val="TOC2"/>
        <w:rPr>
          <w:rFonts w:asciiTheme="minorHAnsi" w:eastAsiaTheme="minorEastAsia" w:hAnsiTheme="minorHAnsi" w:cstheme="minorBidi"/>
          <w:noProof/>
          <w:color w:val="auto"/>
          <w:szCs w:val="22"/>
        </w:rPr>
      </w:pPr>
      <w:hyperlink w:anchor="_Toc398827574" w:history="1">
        <w:r w:rsidR="00C424AA" w:rsidRPr="008625DC">
          <w:rPr>
            <w:rStyle w:val="Hyperlink"/>
            <w:noProof/>
            <w14:scene3d>
              <w14:camera w14:prst="orthographicFront"/>
              <w14:lightRig w14:rig="threePt" w14:dir="t">
                <w14:rot w14:lat="0" w14:lon="0" w14:rev="0"/>
              </w14:lightRig>
            </w14:scene3d>
          </w:rPr>
          <w:t>13.2</w:t>
        </w:r>
        <w:r w:rsidR="00C424AA" w:rsidRPr="008625DC">
          <w:rPr>
            <w:rFonts w:asciiTheme="minorHAnsi" w:eastAsiaTheme="minorEastAsia" w:hAnsiTheme="minorHAnsi" w:cstheme="minorBidi"/>
            <w:noProof/>
            <w:color w:val="auto"/>
            <w:szCs w:val="22"/>
          </w:rPr>
          <w:tab/>
        </w:r>
        <w:r w:rsidR="00C424AA" w:rsidRPr="008625DC">
          <w:rPr>
            <w:rStyle w:val="Hyperlink"/>
            <w:noProof/>
          </w:rPr>
          <w:t>Fuel retailing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_Toc398827574 \h </w:instrText>
        </w:r>
        <w:r w:rsidR="00C424AA" w:rsidRPr="008625DC">
          <w:rPr>
            <w:noProof/>
            <w:webHidden/>
          </w:rPr>
        </w:r>
        <w:r w:rsidR="00C424AA" w:rsidRPr="008625DC">
          <w:rPr>
            <w:noProof/>
            <w:webHidden/>
          </w:rPr>
          <w:fldChar w:fldCharType="separate"/>
        </w:r>
        <w:r w:rsidR="00E26228">
          <w:rPr>
            <w:noProof/>
            <w:webHidden/>
          </w:rPr>
          <w:t>184</w:t>
        </w:r>
        <w:r w:rsidR="00C424AA" w:rsidRPr="008625DC">
          <w:rPr>
            <w:noProof/>
            <w:webHidden/>
          </w:rPr>
          <w:fldChar w:fldCharType="end"/>
        </w:r>
      </w:hyperlink>
    </w:p>
    <w:p w14:paraId="685B458E" w14:textId="48A7F1DA" w:rsidR="00C424AA" w:rsidRPr="008625DC" w:rsidRDefault="00AD530F">
      <w:pPr>
        <w:pStyle w:val="TOC1"/>
        <w:rPr>
          <w:rFonts w:asciiTheme="minorHAnsi" w:eastAsiaTheme="minorEastAsia" w:hAnsiTheme="minorHAnsi" w:cstheme="minorBidi"/>
          <w:b w:val="0"/>
          <w:caps w:val="0"/>
          <w:noProof/>
          <w:color w:val="auto"/>
          <w:sz w:val="22"/>
        </w:rPr>
      </w:pPr>
      <w:hyperlink w:anchor="_Toc398827575" w:history="1">
        <w:r w:rsidR="00C424AA" w:rsidRPr="008625DC">
          <w:rPr>
            <w:rStyle w:val="Hyperlink"/>
            <w:noProof/>
          </w:rPr>
          <w:t>Part 4 — Competition laws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_Toc398827575 \h </w:instrText>
        </w:r>
        <w:r w:rsidR="00C424AA" w:rsidRPr="008625DC">
          <w:rPr>
            <w:noProof/>
            <w:webHidden/>
          </w:rPr>
        </w:r>
        <w:r w:rsidR="00C424AA" w:rsidRPr="008625DC">
          <w:rPr>
            <w:noProof/>
            <w:webHidden/>
          </w:rPr>
          <w:fldChar w:fldCharType="separate"/>
        </w:r>
        <w:r w:rsidR="00E26228">
          <w:rPr>
            <w:noProof/>
            <w:webHidden/>
          </w:rPr>
          <w:t>187</w:t>
        </w:r>
        <w:r w:rsidR="00C424AA" w:rsidRPr="008625DC">
          <w:rPr>
            <w:noProof/>
            <w:webHidden/>
          </w:rPr>
          <w:fldChar w:fldCharType="end"/>
        </w:r>
      </w:hyperlink>
    </w:p>
    <w:p w14:paraId="10885622" w14:textId="6DF60F43" w:rsidR="00C424AA" w:rsidRPr="008625DC" w:rsidRDefault="00AD530F">
      <w:pPr>
        <w:pStyle w:val="TOC1"/>
        <w:rPr>
          <w:rFonts w:asciiTheme="minorHAnsi" w:eastAsiaTheme="minorEastAsia" w:hAnsiTheme="minorHAnsi" w:cstheme="minorBidi"/>
          <w:b w:val="0"/>
          <w:caps w:val="0"/>
          <w:noProof/>
          <w:color w:val="auto"/>
          <w:sz w:val="22"/>
        </w:rPr>
      </w:pPr>
      <w:hyperlink w:anchor="_Toc398827576" w:history="1">
        <w:r w:rsidR="00C424AA" w:rsidRPr="008625DC">
          <w:rPr>
            <w:rStyle w:val="Hyperlink"/>
            <w:noProof/>
            <w14:scene3d>
              <w14:camera w14:prst="orthographicFront"/>
              <w14:lightRig w14:rig="threePt" w14:dir="t">
                <w14:rot w14:lat="0" w14:lon="0" w14:rev="0"/>
              </w14:lightRig>
            </w14:scene3d>
          </w:rPr>
          <w:t>14</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Introduction to competition law issues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_Toc398827576 \h </w:instrText>
        </w:r>
        <w:r w:rsidR="00C424AA" w:rsidRPr="008625DC">
          <w:rPr>
            <w:noProof/>
            <w:webHidden/>
          </w:rPr>
        </w:r>
        <w:r w:rsidR="00C424AA" w:rsidRPr="008625DC">
          <w:rPr>
            <w:noProof/>
            <w:webHidden/>
          </w:rPr>
          <w:fldChar w:fldCharType="separate"/>
        </w:r>
        <w:r w:rsidR="00E26228">
          <w:rPr>
            <w:noProof/>
            <w:webHidden/>
          </w:rPr>
          <w:t>187</w:t>
        </w:r>
        <w:r w:rsidR="00C424AA" w:rsidRPr="008625DC">
          <w:rPr>
            <w:noProof/>
            <w:webHidden/>
          </w:rPr>
          <w:fldChar w:fldCharType="end"/>
        </w:r>
      </w:hyperlink>
    </w:p>
    <w:p w14:paraId="595D03AF" w14:textId="13B46532" w:rsidR="00C424AA" w:rsidRPr="008625DC" w:rsidRDefault="00AD530F">
      <w:pPr>
        <w:pStyle w:val="TOC1"/>
        <w:rPr>
          <w:rFonts w:asciiTheme="minorHAnsi" w:eastAsiaTheme="minorEastAsia" w:hAnsiTheme="minorHAnsi" w:cstheme="minorBidi"/>
          <w:b w:val="0"/>
          <w:caps w:val="0"/>
          <w:noProof/>
          <w:color w:val="auto"/>
          <w:sz w:val="22"/>
        </w:rPr>
      </w:pPr>
      <w:hyperlink w:anchor="_Toc398827577" w:history="1">
        <w:r w:rsidR="00C424AA" w:rsidRPr="008625DC">
          <w:rPr>
            <w:rStyle w:val="Hyperlink"/>
            <w:noProof/>
            <w14:scene3d>
              <w14:camera w14:prst="orthographicFront"/>
              <w14:lightRig w14:rig="threePt" w14:dir="t">
                <w14:rot w14:lat="0" w14:lon="0" w14:rev="0"/>
              </w14:lightRig>
            </w14:scene3d>
          </w:rPr>
          <w:t>15</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Mergers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_Toc398827577 \h </w:instrText>
        </w:r>
        <w:r w:rsidR="00C424AA" w:rsidRPr="008625DC">
          <w:rPr>
            <w:noProof/>
            <w:webHidden/>
          </w:rPr>
        </w:r>
        <w:r w:rsidR="00C424AA" w:rsidRPr="008625DC">
          <w:rPr>
            <w:noProof/>
            <w:webHidden/>
          </w:rPr>
          <w:fldChar w:fldCharType="separate"/>
        </w:r>
        <w:r w:rsidR="00E26228">
          <w:rPr>
            <w:noProof/>
            <w:webHidden/>
          </w:rPr>
          <w:t>190</w:t>
        </w:r>
        <w:r w:rsidR="00C424AA" w:rsidRPr="008625DC">
          <w:rPr>
            <w:noProof/>
            <w:webHidden/>
          </w:rPr>
          <w:fldChar w:fldCharType="end"/>
        </w:r>
      </w:hyperlink>
    </w:p>
    <w:p w14:paraId="6063264A" w14:textId="0A9AD934" w:rsidR="00C424AA" w:rsidRPr="008625DC" w:rsidRDefault="00AD530F">
      <w:pPr>
        <w:pStyle w:val="TOC2"/>
        <w:rPr>
          <w:rFonts w:asciiTheme="minorHAnsi" w:eastAsiaTheme="minorEastAsia" w:hAnsiTheme="minorHAnsi" w:cstheme="minorBidi"/>
          <w:noProof/>
          <w:color w:val="auto"/>
          <w:szCs w:val="22"/>
        </w:rPr>
      </w:pPr>
      <w:hyperlink w:anchor="_Toc398827578" w:history="1">
        <w:r w:rsidR="00C424AA" w:rsidRPr="008625DC">
          <w:rPr>
            <w:rStyle w:val="Hyperlink"/>
            <w:noProof/>
            <w14:scene3d>
              <w14:camera w14:prst="orthographicFront"/>
              <w14:lightRig w14:rig="threePt" w14:dir="t">
                <w14:rot w14:lat="0" w14:lon="0" w14:rev="0"/>
              </w14:lightRig>
            </w14:scene3d>
          </w:rPr>
          <w:t>15.1</w:t>
        </w:r>
        <w:r w:rsidR="00C424AA" w:rsidRPr="008625DC">
          <w:rPr>
            <w:rFonts w:asciiTheme="minorHAnsi" w:eastAsiaTheme="minorEastAsia" w:hAnsiTheme="minorHAnsi" w:cstheme="minorBidi"/>
            <w:noProof/>
            <w:color w:val="auto"/>
            <w:szCs w:val="22"/>
          </w:rPr>
          <w:tab/>
        </w:r>
        <w:r w:rsidR="00C424AA" w:rsidRPr="008625DC">
          <w:rPr>
            <w:rStyle w:val="Hyperlink"/>
            <w:noProof/>
          </w:rPr>
          <w:t>Introduction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_Toc398827578 \h </w:instrText>
        </w:r>
        <w:r w:rsidR="00C424AA" w:rsidRPr="008625DC">
          <w:rPr>
            <w:noProof/>
            <w:webHidden/>
          </w:rPr>
        </w:r>
        <w:r w:rsidR="00C424AA" w:rsidRPr="008625DC">
          <w:rPr>
            <w:noProof/>
            <w:webHidden/>
          </w:rPr>
          <w:fldChar w:fldCharType="separate"/>
        </w:r>
        <w:r w:rsidR="00E26228">
          <w:rPr>
            <w:noProof/>
            <w:webHidden/>
          </w:rPr>
          <w:t>190</w:t>
        </w:r>
        <w:r w:rsidR="00C424AA" w:rsidRPr="008625DC">
          <w:rPr>
            <w:noProof/>
            <w:webHidden/>
          </w:rPr>
          <w:fldChar w:fldCharType="end"/>
        </w:r>
      </w:hyperlink>
    </w:p>
    <w:p w14:paraId="56C0DD4B" w14:textId="718B4F8B" w:rsidR="00C424AA" w:rsidRPr="008625DC" w:rsidRDefault="00AD530F">
      <w:pPr>
        <w:pStyle w:val="TOC2"/>
        <w:rPr>
          <w:rFonts w:asciiTheme="minorHAnsi" w:eastAsiaTheme="minorEastAsia" w:hAnsiTheme="minorHAnsi" w:cstheme="minorBidi"/>
          <w:noProof/>
          <w:color w:val="auto"/>
          <w:szCs w:val="22"/>
        </w:rPr>
      </w:pPr>
      <w:hyperlink w:anchor="_Toc398827579" w:history="1">
        <w:r w:rsidR="00C424AA" w:rsidRPr="008625DC">
          <w:rPr>
            <w:rStyle w:val="Hyperlink"/>
            <w:noProof/>
            <w14:scene3d>
              <w14:camera w14:prst="orthographicFront"/>
              <w14:lightRig w14:rig="threePt" w14:dir="t">
                <w14:rot w14:lat="0" w14:lon="0" w14:rev="0"/>
              </w14:lightRig>
            </w14:scene3d>
          </w:rPr>
          <w:t>15.2</w:t>
        </w:r>
        <w:r w:rsidR="00C424AA" w:rsidRPr="008625DC">
          <w:rPr>
            <w:rFonts w:asciiTheme="minorHAnsi" w:eastAsiaTheme="minorEastAsia" w:hAnsiTheme="minorHAnsi" w:cstheme="minorBidi"/>
            <w:noProof/>
            <w:color w:val="auto"/>
            <w:szCs w:val="22"/>
          </w:rPr>
          <w:tab/>
        </w:r>
        <w:r w:rsidR="00C424AA" w:rsidRPr="008625DC">
          <w:rPr>
            <w:rStyle w:val="Hyperlink"/>
            <w:noProof/>
          </w:rPr>
          <w:t>Market definition and global competition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_Toc398827579 \h </w:instrText>
        </w:r>
        <w:r w:rsidR="00C424AA" w:rsidRPr="008625DC">
          <w:rPr>
            <w:noProof/>
            <w:webHidden/>
          </w:rPr>
        </w:r>
        <w:r w:rsidR="00C424AA" w:rsidRPr="008625DC">
          <w:rPr>
            <w:noProof/>
            <w:webHidden/>
          </w:rPr>
          <w:fldChar w:fldCharType="separate"/>
        </w:r>
        <w:r w:rsidR="00E26228">
          <w:rPr>
            <w:noProof/>
            <w:webHidden/>
          </w:rPr>
          <w:t>192</w:t>
        </w:r>
        <w:r w:rsidR="00C424AA" w:rsidRPr="008625DC">
          <w:rPr>
            <w:noProof/>
            <w:webHidden/>
          </w:rPr>
          <w:fldChar w:fldCharType="end"/>
        </w:r>
      </w:hyperlink>
    </w:p>
    <w:p w14:paraId="3FF65C1D" w14:textId="0877756B" w:rsidR="00C424AA" w:rsidRPr="008625DC" w:rsidRDefault="00AD530F">
      <w:pPr>
        <w:pStyle w:val="TOC2"/>
        <w:rPr>
          <w:rFonts w:asciiTheme="minorHAnsi" w:eastAsiaTheme="minorEastAsia" w:hAnsiTheme="minorHAnsi" w:cstheme="minorBidi"/>
          <w:noProof/>
          <w:color w:val="auto"/>
          <w:szCs w:val="22"/>
        </w:rPr>
      </w:pPr>
      <w:hyperlink w:anchor="_Toc398827580" w:history="1">
        <w:r w:rsidR="00C424AA" w:rsidRPr="008625DC">
          <w:rPr>
            <w:rStyle w:val="Hyperlink"/>
            <w:noProof/>
            <w14:scene3d>
              <w14:camera w14:prst="orthographicFront"/>
              <w14:lightRig w14:rig="threePt" w14:dir="t">
                <w14:rot w14:lat="0" w14:lon="0" w14:rev="0"/>
              </w14:lightRig>
            </w14:scene3d>
          </w:rPr>
          <w:t>15.3</w:t>
        </w:r>
        <w:r w:rsidR="00C424AA" w:rsidRPr="008625DC">
          <w:rPr>
            <w:rFonts w:asciiTheme="minorHAnsi" w:eastAsiaTheme="minorEastAsia" w:hAnsiTheme="minorHAnsi" w:cstheme="minorBidi"/>
            <w:noProof/>
            <w:color w:val="auto"/>
            <w:szCs w:val="22"/>
          </w:rPr>
          <w:tab/>
        </w:r>
        <w:r w:rsidR="00C424AA" w:rsidRPr="008625DC">
          <w:rPr>
            <w:rStyle w:val="Hyperlink"/>
            <w:noProof/>
          </w:rPr>
          <w:t>Creeping acquisitions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_Toc398827580 \h </w:instrText>
        </w:r>
        <w:r w:rsidR="00C424AA" w:rsidRPr="008625DC">
          <w:rPr>
            <w:noProof/>
            <w:webHidden/>
          </w:rPr>
        </w:r>
        <w:r w:rsidR="00C424AA" w:rsidRPr="008625DC">
          <w:rPr>
            <w:noProof/>
            <w:webHidden/>
          </w:rPr>
          <w:fldChar w:fldCharType="separate"/>
        </w:r>
        <w:r w:rsidR="00E26228">
          <w:rPr>
            <w:noProof/>
            <w:webHidden/>
          </w:rPr>
          <w:t>198</w:t>
        </w:r>
        <w:r w:rsidR="00C424AA" w:rsidRPr="008625DC">
          <w:rPr>
            <w:noProof/>
            <w:webHidden/>
          </w:rPr>
          <w:fldChar w:fldCharType="end"/>
        </w:r>
      </w:hyperlink>
    </w:p>
    <w:p w14:paraId="6938A484" w14:textId="69E04F54" w:rsidR="00C424AA" w:rsidRPr="008625DC" w:rsidRDefault="00AD530F">
      <w:pPr>
        <w:pStyle w:val="TOC2"/>
        <w:rPr>
          <w:rFonts w:asciiTheme="minorHAnsi" w:eastAsiaTheme="minorEastAsia" w:hAnsiTheme="minorHAnsi" w:cstheme="minorBidi"/>
          <w:noProof/>
          <w:color w:val="auto"/>
          <w:szCs w:val="22"/>
        </w:rPr>
      </w:pPr>
      <w:hyperlink w:anchor="_Toc398827581" w:history="1">
        <w:r w:rsidR="00C424AA" w:rsidRPr="008625DC">
          <w:rPr>
            <w:rStyle w:val="Hyperlink"/>
            <w:noProof/>
            <w14:scene3d>
              <w14:camera w14:prst="orthographicFront"/>
              <w14:lightRig w14:rig="threePt" w14:dir="t">
                <w14:rot w14:lat="0" w14:lon="0" w14:rev="0"/>
              </w14:lightRig>
            </w14:scene3d>
          </w:rPr>
          <w:t>15.4</w:t>
        </w:r>
        <w:r w:rsidR="00C424AA" w:rsidRPr="008625DC">
          <w:rPr>
            <w:rFonts w:asciiTheme="minorHAnsi" w:eastAsiaTheme="minorEastAsia" w:hAnsiTheme="minorHAnsi" w:cstheme="minorBidi"/>
            <w:noProof/>
            <w:color w:val="auto"/>
            <w:szCs w:val="22"/>
          </w:rPr>
          <w:tab/>
        </w:r>
        <w:r w:rsidR="00C424AA" w:rsidRPr="008625DC">
          <w:rPr>
            <w:rStyle w:val="Hyperlink"/>
            <w:noProof/>
          </w:rPr>
          <w:t>Should merger review under the CCA be aligned with other approval processes?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_Toc398827581 \h </w:instrText>
        </w:r>
        <w:r w:rsidR="00C424AA" w:rsidRPr="008625DC">
          <w:rPr>
            <w:noProof/>
            <w:webHidden/>
          </w:rPr>
        </w:r>
        <w:r w:rsidR="00C424AA" w:rsidRPr="008625DC">
          <w:rPr>
            <w:noProof/>
            <w:webHidden/>
          </w:rPr>
          <w:fldChar w:fldCharType="separate"/>
        </w:r>
        <w:r w:rsidR="00E26228">
          <w:rPr>
            <w:noProof/>
            <w:webHidden/>
          </w:rPr>
          <w:t>199</w:t>
        </w:r>
        <w:r w:rsidR="00C424AA" w:rsidRPr="008625DC">
          <w:rPr>
            <w:noProof/>
            <w:webHidden/>
          </w:rPr>
          <w:fldChar w:fldCharType="end"/>
        </w:r>
      </w:hyperlink>
    </w:p>
    <w:p w14:paraId="3D0C4FF1" w14:textId="5D5031F7" w:rsidR="00C424AA" w:rsidRPr="008625DC" w:rsidRDefault="00AD530F">
      <w:pPr>
        <w:pStyle w:val="TOC2"/>
        <w:rPr>
          <w:rFonts w:asciiTheme="minorHAnsi" w:eastAsiaTheme="minorEastAsia" w:hAnsiTheme="minorHAnsi" w:cstheme="minorBidi"/>
          <w:noProof/>
          <w:color w:val="auto"/>
          <w:szCs w:val="22"/>
        </w:rPr>
      </w:pPr>
      <w:hyperlink w:anchor="_Toc398827582" w:history="1">
        <w:r w:rsidR="00C424AA" w:rsidRPr="008625DC">
          <w:rPr>
            <w:rStyle w:val="Hyperlink"/>
            <w:noProof/>
            <w14:scene3d>
              <w14:camera w14:prst="orthographicFront"/>
              <w14:lightRig w14:rig="threePt" w14:dir="t">
                <w14:rot w14:lat="0" w14:lon="0" w14:rev="0"/>
              </w14:lightRig>
            </w14:scene3d>
          </w:rPr>
          <w:t>15.5</w:t>
        </w:r>
        <w:r w:rsidR="00C424AA" w:rsidRPr="008625DC">
          <w:rPr>
            <w:rFonts w:asciiTheme="minorHAnsi" w:eastAsiaTheme="minorEastAsia" w:hAnsiTheme="minorHAnsi" w:cstheme="minorBidi"/>
            <w:noProof/>
            <w:color w:val="auto"/>
            <w:szCs w:val="22"/>
          </w:rPr>
          <w:tab/>
        </w:r>
        <w:r w:rsidR="00C424AA" w:rsidRPr="008625DC">
          <w:rPr>
            <w:rStyle w:val="Hyperlink"/>
            <w:noProof/>
          </w:rPr>
          <w:t>Merger approval processes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_Toc398827582 \h </w:instrText>
        </w:r>
        <w:r w:rsidR="00C424AA" w:rsidRPr="008625DC">
          <w:rPr>
            <w:noProof/>
            <w:webHidden/>
          </w:rPr>
        </w:r>
        <w:r w:rsidR="00C424AA" w:rsidRPr="008625DC">
          <w:rPr>
            <w:noProof/>
            <w:webHidden/>
          </w:rPr>
          <w:fldChar w:fldCharType="separate"/>
        </w:r>
        <w:r w:rsidR="00E26228">
          <w:rPr>
            <w:noProof/>
            <w:webHidden/>
          </w:rPr>
          <w:t>200</w:t>
        </w:r>
        <w:r w:rsidR="00C424AA" w:rsidRPr="008625DC">
          <w:rPr>
            <w:noProof/>
            <w:webHidden/>
          </w:rPr>
          <w:fldChar w:fldCharType="end"/>
        </w:r>
      </w:hyperlink>
    </w:p>
    <w:p w14:paraId="1C63B149" w14:textId="6899B282" w:rsidR="00C424AA" w:rsidRPr="008625DC" w:rsidRDefault="00AD530F">
      <w:pPr>
        <w:pStyle w:val="TOC1"/>
        <w:rPr>
          <w:rFonts w:asciiTheme="minorHAnsi" w:eastAsiaTheme="minorEastAsia" w:hAnsiTheme="minorHAnsi" w:cstheme="minorBidi"/>
          <w:b w:val="0"/>
          <w:caps w:val="0"/>
          <w:noProof/>
          <w:color w:val="auto"/>
          <w:sz w:val="22"/>
        </w:rPr>
      </w:pPr>
      <w:hyperlink w:anchor="_Toc398827583" w:history="1">
        <w:r w:rsidR="00C424AA" w:rsidRPr="008625DC">
          <w:rPr>
            <w:rStyle w:val="Hyperlink"/>
            <w:noProof/>
            <w14:scene3d>
              <w14:camera w14:prst="orthographicFront"/>
              <w14:lightRig w14:rig="threePt" w14:dir="t">
                <w14:rot w14:lat="0" w14:lon="0" w14:rev="0"/>
              </w14:lightRig>
            </w14:scene3d>
          </w:rPr>
          <w:t>16</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Unilateral conduct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_Toc398827583 \h </w:instrText>
        </w:r>
        <w:r w:rsidR="00C424AA" w:rsidRPr="008625DC">
          <w:rPr>
            <w:noProof/>
            <w:webHidden/>
          </w:rPr>
        </w:r>
        <w:r w:rsidR="00C424AA" w:rsidRPr="008625DC">
          <w:rPr>
            <w:noProof/>
            <w:webHidden/>
          </w:rPr>
          <w:fldChar w:fldCharType="separate"/>
        </w:r>
        <w:r w:rsidR="00E26228">
          <w:rPr>
            <w:noProof/>
            <w:webHidden/>
          </w:rPr>
          <w:t>205</w:t>
        </w:r>
        <w:r w:rsidR="00C424AA" w:rsidRPr="008625DC">
          <w:rPr>
            <w:noProof/>
            <w:webHidden/>
          </w:rPr>
          <w:fldChar w:fldCharType="end"/>
        </w:r>
      </w:hyperlink>
    </w:p>
    <w:p w14:paraId="3795041A" w14:textId="6B622700" w:rsidR="00C424AA" w:rsidRPr="008625DC" w:rsidRDefault="00AD530F">
      <w:pPr>
        <w:pStyle w:val="TOC2"/>
        <w:rPr>
          <w:rFonts w:asciiTheme="minorHAnsi" w:eastAsiaTheme="minorEastAsia" w:hAnsiTheme="minorHAnsi" w:cstheme="minorBidi"/>
          <w:noProof/>
          <w:color w:val="auto"/>
          <w:szCs w:val="22"/>
        </w:rPr>
      </w:pPr>
      <w:hyperlink w:anchor="_Toc398827584" w:history="1">
        <w:r w:rsidR="00C424AA" w:rsidRPr="008625DC">
          <w:rPr>
            <w:rStyle w:val="Hyperlink"/>
            <w:noProof/>
            <w14:scene3d>
              <w14:camera w14:prst="orthographicFront"/>
              <w14:lightRig w14:rig="threePt" w14:dir="t">
                <w14:rot w14:lat="0" w14:lon="0" w14:rev="0"/>
              </w14:lightRig>
            </w14:scene3d>
          </w:rPr>
          <w:t>16.1</w:t>
        </w:r>
        <w:r w:rsidR="00C424AA" w:rsidRPr="008625DC">
          <w:rPr>
            <w:rFonts w:asciiTheme="minorHAnsi" w:eastAsiaTheme="minorEastAsia" w:hAnsiTheme="minorHAnsi" w:cstheme="minorBidi"/>
            <w:noProof/>
            <w:color w:val="auto"/>
            <w:szCs w:val="22"/>
          </w:rPr>
          <w:tab/>
        </w:r>
        <w:r w:rsidR="00C424AA" w:rsidRPr="008625DC">
          <w:rPr>
            <w:rStyle w:val="Hyperlink"/>
            <w:noProof/>
          </w:rPr>
          <w:t>Misuse of market power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_Toc398827584 \h </w:instrText>
        </w:r>
        <w:r w:rsidR="00C424AA" w:rsidRPr="008625DC">
          <w:rPr>
            <w:noProof/>
            <w:webHidden/>
          </w:rPr>
        </w:r>
        <w:r w:rsidR="00C424AA" w:rsidRPr="008625DC">
          <w:rPr>
            <w:noProof/>
            <w:webHidden/>
          </w:rPr>
          <w:fldChar w:fldCharType="separate"/>
        </w:r>
        <w:r w:rsidR="00E26228">
          <w:rPr>
            <w:noProof/>
            <w:webHidden/>
          </w:rPr>
          <w:t>206</w:t>
        </w:r>
        <w:r w:rsidR="00C424AA" w:rsidRPr="008625DC">
          <w:rPr>
            <w:noProof/>
            <w:webHidden/>
          </w:rPr>
          <w:fldChar w:fldCharType="end"/>
        </w:r>
      </w:hyperlink>
    </w:p>
    <w:p w14:paraId="6ACB3754" w14:textId="2F7F1BEB" w:rsidR="00C424AA" w:rsidRPr="008625DC" w:rsidRDefault="00AD530F">
      <w:pPr>
        <w:pStyle w:val="TOC2"/>
        <w:rPr>
          <w:rFonts w:asciiTheme="minorHAnsi" w:eastAsiaTheme="minorEastAsia" w:hAnsiTheme="minorHAnsi" w:cstheme="minorBidi"/>
          <w:noProof/>
          <w:color w:val="auto"/>
          <w:szCs w:val="22"/>
        </w:rPr>
      </w:pPr>
      <w:hyperlink w:anchor="_Toc398827585" w:history="1">
        <w:r w:rsidR="00C424AA" w:rsidRPr="008625DC">
          <w:rPr>
            <w:rStyle w:val="Hyperlink"/>
            <w:noProof/>
            <w14:scene3d>
              <w14:camera w14:prst="orthographicFront"/>
              <w14:lightRig w14:rig="threePt" w14:dir="t">
                <w14:rot w14:lat="0" w14:lon="0" w14:rev="0"/>
              </w14:lightRig>
            </w14:scene3d>
          </w:rPr>
          <w:t>16.2</w:t>
        </w:r>
        <w:r w:rsidR="00C424AA" w:rsidRPr="008625DC">
          <w:rPr>
            <w:rFonts w:asciiTheme="minorHAnsi" w:eastAsiaTheme="minorEastAsia" w:hAnsiTheme="minorHAnsi" w:cstheme="minorBidi"/>
            <w:noProof/>
            <w:color w:val="auto"/>
            <w:szCs w:val="22"/>
          </w:rPr>
          <w:tab/>
        </w:r>
        <w:r w:rsidR="00C424AA" w:rsidRPr="008625DC">
          <w:rPr>
            <w:rStyle w:val="Hyperlink"/>
            <w:noProof/>
          </w:rPr>
          <w:t>Price discrimination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_Toc398827585 \h </w:instrText>
        </w:r>
        <w:r w:rsidR="00C424AA" w:rsidRPr="008625DC">
          <w:rPr>
            <w:noProof/>
            <w:webHidden/>
          </w:rPr>
        </w:r>
        <w:r w:rsidR="00C424AA" w:rsidRPr="008625DC">
          <w:rPr>
            <w:noProof/>
            <w:webHidden/>
          </w:rPr>
          <w:fldChar w:fldCharType="separate"/>
        </w:r>
        <w:r w:rsidR="00E26228">
          <w:rPr>
            <w:noProof/>
            <w:webHidden/>
          </w:rPr>
          <w:t>212</w:t>
        </w:r>
        <w:r w:rsidR="00C424AA" w:rsidRPr="008625DC">
          <w:rPr>
            <w:noProof/>
            <w:webHidden/>
          </w:rPr>
          <w:fldChar w:fldCharType="end"/>
        </w:r>
      </w:hyperlink>
    </w:p>
    <w:p w14:paraId="11168236" w14:textId="3A5ED605" w:rsidR="00C424AA" w:rsidRPr="008625DC" w:rsidRDefault="00AD530F">
      <w:pPr>
        <w:pStyle w:val="TOC2"/>
        <w:rPr>
          <w:rFonts w:asciiTheme="minorHAnsi" w:eastAsiaTheme="minorEastAsia" w:hAnsiTheme="minorHAnsi" w:cstheme="minorBidi"/>
          <w:noProof/>
          <w:color w:val="auto"/>
          <w:szCs w:val="22"/>
        </w:rPr>
      </w:pPr>
      <w:hyperlink w:anchor="_Toc398827586" w:history="1">
        <w:r w:rsidR="00C424AA" w:rsidRPr="008625DC">
          <w:rPr>
            <w:rStyle w:val="Hyperlink"/>
            <w:noProof/>
            <w14:scene3d>
              <w14:camera w14:prst="orthographicFront"/>
              <w14:lightRig w14:rig="threePt" w14:dir="t">
                <w14:rot w14:lat="0" w14:lon="0" w14:rev="0"/>
              </w14:lightRig>
            </w14:scene3d>
          </w:rPr>
          <w:t>16.3</w:t>
        </w:r>
        <w:r w:rsidR="00C424AA" w:rsidRPr="008625DC">
          <w:rPr>
            <w:rFonts w:asciiTheme="minorHAnsi" w:eastAsiaTheme="minorEastAsia" w:hAnsiTheme="minorHAnsi" w:cstheme="minorBidi"/>
            <w:noProof/>
            <w:color w:val="auto"/>
            <w:szCs w:val="22"/>
          </w:rPr>
          <w:tab/>
        </w:r>
        <w:r w:rsidR="00C424AA" w:rsidRPr="008625DC">
          <w:rPr>
            <w:rStyle w:val="Hyperlink"/>
            <w:noProof/>
          </w:rPr>
          <w:t>Unfair and unconscionable conduct in business transactions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_Toc398827586 \h </w:instrText>
        </w:r>
        <w:r w:rsidR="00C424AA" w:rsidRPr="008625DC">
          <w:rPr>
            <w:noProof/>
            <w:webHidden/>
          </w:rPr>
        </w:r>
        <w:r w:rsidR="00C424AA" w:rsidRPr="008625DC">
          <w:rPr>
            <w:noProof/>
            <w:webHidden/>
          </w:rPr>
          <w:fldChar w:fldCharType="separate"/>
        </w:r>
        <w:r w:rsidR="00E26228">
          <w:rPr>
            <w:noProof/>
            <w:webHidden/>
          </w:rPr>
          <w:t>217</w:t>
        </w:r>
        <w:r w:rsidR="00C424AA" w:rsidRPr="008625DC">
          <w:rPr>
            <w:noProof/>
            <w:webHidden/>
          </w:rPr>
          <w:fldChar w:fldCharType="end"/>
        </w:r>
      </w:hyperlink>
    </w:p>
    <w:p w14:paraId="278E0C4A" w14:textId="63455AE0" w:rsidR="00C424AA" w:rsidRPr="008625DC" w:rsidRDefault="00AD530F">
      <w:pPr>
        <w:pStyle w:val="TOC2"/>
        <w:rPr>
          <w:rFonts w:asciiTheme="minorHAnsi" w:eastAsiaTheme="minorEastAsia" w:hAnsiTheme="minorHAnsi" w:cstheme="minorBidi"/>
          <w:noProof/>
          <w:color w:val="auto"/>
          <w:szCs w:val="22"/>
        </w:rPr>
      </w:pPr>
      <w:hyperlink w:anchor="_Toc398827587" w:history="1">
        <w:r w:rsidR="00C424AA" w:rsidRPr="008625DC">
          <w:rPr>
            <w:rStyle w:val="Hyperlink"/>
            <w:noProof/>
            <w14:scene3d>
              <w14:camera w14:prst="orthographicFront"/>
              <w14:lightRig w14:rig="threePt" w14:dir="t">
                <w14:rot w14:lat="0" w14:lon="0" w14:rev="0"/>
              </w14:lightRig>
            </w14:scene3d>
          </w:rPr>
          <w:t>16.4</w:t>
        </w:r>
        <w:r w:rsidR="00C424AA" w:rsidRPr="008625DC">
          <w:rPr>
            <w:rFonts w:asciiTheme="minorHAnsi" w:eastAsiaTheme="minorEastAsia" w:hAnsiTheme="minorHAnsi" w:cstheme="minorBidi"/>
            <w:noProof/>
            <w:color w:val="auto"/>
            <w:szCs w:val="22"/>
          </w:rPr>
          <w:tab/>
        </w:r>
        <w:r w:rsidR="00C424AA" w:rsidRPr="008625DC">
          <w:rPr>
            <w:rStyle w:val="Hyperlink"/>
            <w:noProof/>
          </w:rPr>
          <w:t>Codes of conduct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_Toc398827587 \h </w:instrText>
        </w:r>
        <w:r w:rsidR="00C424AA" w:rsidRPr="008625DC">
          <w:rPr>
            <w:noProof/>
            <w:webHidden/>
          </w:rPr>
        </w:r>
        <w:r w:rsidR="00C424AA" w:rsidRPr="008625DC">
          <w:rPr>
            <w:noProof/>
            <w:webHidden/>
          </w:rPr>
          <w:fldChar w:fldCharType="separate"/>
        </w:r>
        <w:r w:rsidR="00E26228">
          <w:rPr>
            <w:noProof/>
            <w:webHidden/>
          </w:rPr>
          <w:t>219</w:t>
        </w:r>
        <w:r w:rsidR="00C424AA" w:rsidRPr="008625DC">
          <w:rPr>
            <w:noProof/>
            <w:webHidden/>
          </w:rPr>
          <w:fldChar w:fldCharType="end"/>
        </w:r>
      </w:hyperlink>
    </w:p>
    <w:p w14:paraId="0F7A2EFB" w14:textId="76BC3424" w:rsidR="00C424AA" w:rsidRPr="008625DC" w:rsidRDefault="00AD530F">
      <w:pPr>
        <w:pStyle w:val="TOC1"/>
        <w:rPr>
          <w:rFonts w:asciiTheme="minorHAnsi" w:eastAsiaTheme="minorEastAsia" w:hAnsiTheme="minorHAnsi" w:cstheme="minorBidi"/>
          <w:b w:val="0"/>
          <w:caps w:val="0"/>
          <w:noProof/>
          <w:color w:val="auto"/>
          <w:sz w:val="22"/>
        </w:rPr>
      </w:pPr>
      <w:hyperlink w:anchor="_Toc398827588" w:history="1">
        <w:r w:rsidR="00C424AA" w:rsidRPr="008625DC">
          <w:rPr>
            <w:rStyle w:val="Hyperlink"/>
            <w:noProof/>
            <w14:scene3d>
              <w14:camera w14:prst="orthographicFront"/>
              <w14:lightRig w14:rig="threePt" w14:dir="t">
                <w14:rot w14:lat="0" w14:lon="0" w14:rev="0"/>
              </w14:lightRig>
            </w14:scene3d>
          </w:rPr>
          <w:t>17</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Anti</w:t>
        </w:r>
        <w:r w:rsidR="00C424AA" w:rsidRPr="008625DC">
          <w:rPr>
            <w:rStyle w:val="Hyperlink"/>
            <w:noProof/>
          </w:rPr>
          <w:noBreakHyphen/>
          <w:t>competitive agreements, arrangements and understandings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_Toc398827588 \h </w:instrText>
        </w:r>
        <w:r w:rsidR="00C424AA" w:rsidRPr="008625DC">
          <w:rPr>
            <w:noProof/>
            <w:webHidden/>
          </w:rPr>
        </w:r>
        <w:r w:rsidR="00C424AA" w:rsidRPr="008625DC">
          <w:rPr>
            <w:noProof/>
            <w:webHidden/>
          </w:rPr>
          <w:fldChar w:fldCharType="separate"/>
        </w:r>
        <w:r w:rsidR="00E26228">
          <w:rPr>
            <w:noProof/>
            <w:webHidden/>
          </w:rPr>
          <w:t>221</w:t>
        </w:r>
        <w:r w:rsidR="00C424AA" w:rsidRPr="008625DC">
          <w:rPr>
            <w:noProof/>
            <w:webHidden/>
          </w:rPr>
          <w:fldChar w:fldCharType="end"/>
        </w:r>
      </w:hyperlink>
    </w:p>
    <w:p w14:paraId="5D68FA38" w14:textId="2D293114" w:rsidR="00C424AA" w:rsidRPr="008625DC" w:rsidRDefault="00AD530F">
      <w:pPr>
        <w:pStyle w:val="TOC2"/>
        <w:rPr>
          <w:rFonts w:asciiTheme="minorHAnsi" w:eastAsiaTheme="minorEastAsia" w:hAnsiTheme="minorHAnsi" w:cstheme="minorBidi"/>
          <w:noProof/>
          <w:color w:val="auto"/>
          <w:szCs w:val="22"/>
        </w:rPr>
      </w:pPr>
      <w:hyperlink w:anchor="_Toc398827589" w:history="1">
        <w:r w:rsidR="00C424AA" w:rsidRPr="008625DC">
          <w:rPr>
            <w:rStyle w:val="Hyperlink"/>
            <w:noProof/>
            <w14:scene3d>
              <w14:camera w14:prst="orthographicFront"/>
              <w14:lightRig w14:rig="threePt" w14:dir="t">
                <w14:rot w14:lat="0" w14:lon="0" w14:rev="0"/>
              </w14:lightRig>
            </w14:scene3d>
          </w:rPr>
          <w:t>17.1</w:t>
        </w:r>
        <w:r w:rsidR="00C424AA" w:rsidRPr="008625DC">
          <w:rPr>
            <w:rFonts w:asciiTheme="minorHAnsi" w:eastAsiaTheme="minorEastAsia" w:hAnsiTheme="minorHAnsi" w:cstheme="minorBidi"/>
            <w:noProof/>
            <w:color w:val="auto"/>
            <w:szCs w:val="22"/>
          </w:rPr>
          <w:tab/>
        </w:r>
        <w:r w:rsidR="00C424AA" w:rsidRPr="008625DC">
          <w:rPr>
            <w:rStyle w:val="Hyperlink"/>
            <w:noProof/>
          </w:rPr>
          <w:t>Cartel conduct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_Toc398827589 \h </w:instrText>
        </w:r>
        <w:r w:rsidR="00C424AA" w:rsidRPr="008625DC">
          <w:rPr>
            <w:noProof/>
            <w:webHidden/>
          </w:rPr>
        </w:r>
        <w:r w:rsidR="00C424AA" w:rsidRPr="008625DC">
          <w:rPr>
            <w:noProof/>
            <w:webHidden/>
          </w:rPr>
          <w:fldChar w:fldCharType="separate"/>
        </w:r>
        <w:r w:rsidR="00E26228">
          <w:rPr>
            <w:noProof/>
            <w:webHidden/>
          </w:rPr>
          <w:t>221</w:t>
        </w:r>
        <w:r w:rsidR="00C424AA" w:rsidRPr="008625DC">
          <w:rPr>
            <w:noProof/>
            <w:webHidden/>
          </w:rPr>
          <w:fldChar w:fldCharType="end"/>
        </w:r>
      </w:hyperlink>
    </w:p>
    <w:p w14:paraId="1F542889" w14:textId="204CAA9A" w:rsidR="00C424AA" w:rsidRPr="008625DC" w:rsidRDefault="00AD530F">
      <w:pPr>
        <w:pStyle w:val="TOC2"/>
        <w:rPr>
          <w:rFonts w:asciiTheme="minorHAnsi" w:eastAsiaTheme="minorEastAsia" w:hAnsiTheme="minorHAnsi" w:cstheme="minorBidi"/>
          <w:noProof/>
          <w:color w:val="auto"/>
          <w:szCs w:val="22"/>
        </w:rPr>
      </w:pPr>
      <w:hyperlink w:anchor="_Toc398827590" w:history="1">
        <w:r w:rsidR="00C424AA" w:rsidRPr="008625DC">
          <w:rPr>
            <w:rStyle w:val="Hyperlink"/>
            <w:noProof/>
            <w14:scene3d>
              <w14:camera w14:prst="orthographicFront"/>
              <w14:lightRig w14:rig="threePt" w14:dir="t">
                <w14:rot w14:lat="0" w14:lon="0" w14:rev="0"/>
              </w14:lightRig>
            </w14:scene3d>
          </w:rPr>
          <w:t>17.2</w:t>
        </w:r>
        <w:r w:rsidR="00C424AA" w:rsidRPr="008625DC">
          <w:rPr>
            <w:rFonts w:asciiTheme="minorHAnsi" w:eastAsiaTheme="minorEastAsia" w:hAnsiTheme="minorHAnsi" w:cstheme="minorBidi"/>
            <w:noProof/>
            <w:color w:val="auto"/>
            <w:szCs w:val="22"/>
          </w:rPr>
          <w:tab/>
        </w:r>
        <w:r w:rsidR="00C424AA" w:rsidRPr="008625DC">
          <w:rPr>
            <w:rStyle w:val="Hyperlink"/>
            <w:noProof/>
          </w:rPr>
          <w:t>Anti</w:t>
        </w:r>
        <w:r w:rsidR="00C424AA" w:rsidRPr="008625DC">
          <w:rPr>
            <w:rStyle w:val="Hyperlink"/>
            <w:noProof/>
          </w:rPr>
          <w:noBreakHyphen/>
          <w:t>competitive disclosure of information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_Toc398827590 \h </w:instrText>
        </w:r>
        <w:r w:rsidR="00C424AA" w:rsidRPr="008625DC">
          <w:rPr>
            <w:noProof/>
            <w:webHidden/>
          </w:rPr>
        </w:r>
        <w:r w:rsidR="00C424AA" w:rsidRPr="008625DC">
          <w:rPr>
            <w:noProof/>
            <w:webHidden/>
          </w:rPr>
          <w:fldChar w:fldCharType="separate"/>
        </w:r>
        <w:r w:rsidR="00E26228">
          <w:rPr>
            <w:noProof/>
            <w:webHidden/>
          </w:rPr>
          <w:t>226</w:t>
        </w:r>
        <w:r w:rsidR="00C424AA" w:rsidRPr="008625DC">
          <w:rPr>
            <w:noProof/>
            <w:webHidden/>
          </w:rPr>
          <w:fldChar w:fldCharType="end"/>
        </w:r>
      </w:hyperlink>
    </w:p>
    <w:p w14:paraId="7AA3E2B6" w14:textId="3839A3B9" w:rsidR="00C424AA" w:rsidRPr="008625DC" w:rsidRDefault="00AD530F">
      <w:pPr>
        <w:pStyle w:val="TOC2"/>
        <w:rPr>
          <w:rFonts w:asciiTheme="minorHAnsi" w:eastAsiaTheme="minorEastAsia" w:hAnsiTheme="minorHAnsi" w:cstheme="minorBidi"/>
          <w:noProof/>
          <w:color w:val="auto"/>
          <w:szCs w:val="22"/>
        </w:rPr>
      </w:pPr>
      <w:hyperlink w:anchor="_Toc398827591" w:history="1">
        <w:r w:rsidR="00C424AA" w:rsidRPr="008625DC">
          <w:rPr>
            <w:rStyle w:val="Hyperlink"/>
            <w:noProof/>
            <w14:scene3d>
              <w14:camera w14:prst="orthographicFront"/>
              <w14:lightRig w14:rig="threePt" w14:dir="t">
                <w14:rot w14:lat="0" w14:lon="0" w14:rev="0"/>
              </w14:lightRig>
            </w14:scene3d>
          </w:rPr>
          <w:t>17.3</w:t>
        </w:r>
        <w:r w:rsidR="00C424AA" w:rsidRPr="008625DC">
          <w:rPr>
            <w:rFonts w:asciiTheme="minorHAnsi" w:eastAsiaTheme="minorEastAsia" w:hAnsiTheme="minorHAnsi" w:cstheme="minorBidi"/>
            <w:noProof/>
            <w:color w:val="auto"/>
            <w:szCs w:val="22"/>
          </w:rPr>
          <w:tab/>
        </w:r>
        <w:r w:rsidR="00C424AA" w:rsidRPr="008625DC">
          <w:rPr>
            <w:rStyle w:val="Hyperlink"/>
            <w:noProof/>
          </w:rPr>
          <w:t>Vertical restrictions (other than resale price maintenance)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_Toc398827591 \h </w:instrText>
        </w:r>
        <w:r w:rsidR="00C424AA" w:rsidRPr="008625DC">
          <w:rPr>
            <w:noProof/>
            <w:webHidden/>
          </w:rPr>
        </w:r>
        <w:r w:rsidR="00C424AA" w:rsidRPr="008625DC">
          <w:rPr>
            <w:noProof/>
            <w:webHidden/>
          </w:rPr>
          <w:fldChar w:fldCharType="separate"/>
        </w:r>
        <w:r w:rsidR="00E26228">
          <w:rPr>
            <w:noProof/>
            <w:webHidden/>
          </w:rPr>
          <w:t>230</w:t>
        </w:r>
        <w:r w:rsidR="00C424AA" w:rsidRPr="008625DC">
          <w:rPr>
            <w:noProof/>
            <w:webHidden/>
          </w:rPr>
          <w:fldChar w:fldCharType="end"/>
        </w:r>
      </w:hyperlink>
    </w:p>
    <w:p w14:paraId="7C3D633D" w14:textId="164AB884" w:rsidR="00C424AA" w:rsidRPr="008625DC" w:rsidRDefault="00AD530F">
      <w:pPr>
        <w:pStyle w:val="TOC2"/>
        <w:rPr>
          <w:rFonts w:asciiTheme="minorHAnsi" w:eastAsiaTheme="minorEastAsia" w:hAnsiTheme="minorHAnsi" w:cstheme="minorBidi"/>
          <w:noProof/>
          <w:color w:val="auto"/>
          <w:szCs w:val="22"/>
        </w:rPr>
      </w:pPr>
      <w:hyperlink w:anchor="_Toc398827592" w:history="1">
        <w:r w:rsidR="00C424AA" w:rsidRPr="008625DC">
          <w:rPr>
            <w:rStyle w:val="Hyperlink"/>
            <w:noProof/>
            <w14:scene3d>
              <w14:camera w14:prst="orthographicFront"/>
              <w14:lightRig w14:rig="threePt" w14:dir="t">
                <w14:rot w14:lat="0" w14:lon="0" w14:rev="0"/>
              </w14:lightRig>
            </w14:scene3d>
          </w:rPr>
          <w:t>17.4</w:t>
        </w:r>
        <w:r w:rsidR="00C424AA" w:rsidRPr="008625DC">
          <w:rPr>
            <w:rFonts w:asciiTheme="minorHAnsi" w:eastAsiaTheme="minorEastAsia" w:hAnsiTheme="minorHAnsi" w:cstheme="minorBidi"/>
            <w:noProof/>
            <w:color w:val="auto"/>
            <w:szCs w:val="22"/>
          </w:rPr>
          <w:tab/>
        </w:r>
        <w:r w:rsidR="00C424AA" w:rsidRPr="008625DC">
          <w:rPr>
            <w:rStyle w:val="Hyperlink"/>
            <w:noProof/>
          </w:rPr>
          <w:t>Resale price maintenance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_Toc398827592 \h </w:instrText>
        </w:r>
        <w:r w:rsidR="00C424AA" w:rsidRPr="008625DC">
          <w:rPr>
            <w:noProof/>
            <w:webHidden/>
          </w:rPr>
        </w:r>
        <w:r w:rsidR="00C424AA" w:rsidRPr="008625DC">
          <w:rPr>
            <w:noProof/>
            <w:webHidden/>
          </w:rPr>
          <w:fldChar w:fldCharType="separate"/>
        </w:r>
        <w:r w:rsidR="00E26228">
          <w:rPr>
            <w:noProof/>
            <w:webHidden/>
          </w:rPr>
          <w:t>233</w:t>
        </w:r>
        <w:r w:rsidR="00C424AA" w:rsidRPr="008625DC">
          <w:rPr>
            <w:noProof/>
            <w:webHidden/>
          </w:rPr>
          <w:fldChar w:fldCharType="end"/>
        </w:r>
      </w:hyperlink>
    </w:p>
    <w:p w14:paraId="5A15166A" w14:textId="4B955E4B" w:rsidR="00C424AA" w:rsidRPr="008625DC" w:rsidRDefault="00AD530F">
      <w:pPr>
        <w:pStyle w:val="TOC2"/>
        <w:rPr>
          <w:rFonts w:asciiTheme="minorHAnsi" w:eastAsiaTheme="minorEastAsia" w:hAnsiTheme="minorHAnsi" w:cstheme="minorBidi"/>
          <w:noProof/>
          <w:color w:val="auto"/>
          <w:szCs w:val="22"/>
        </w:rPr>
      </w:pPr>
      <w:hyperlink w:anchor="_Toc398827593" w:history="1">
        <w:r w:rsidR="00C424AA" w:rsidRPr="008625DC">
          <w:rPr>
            <w:rStyle w:val="Hyperlink"/>
            <w:noProof/>
            <w14:scene3d>
              <w14:camera w14:prst="orthographicFront"/>
              <w14:lightRig w14:rig="threePt" w14:dir="t">
                <w14:rot w14:lat="0" w14:lon="0" w14:rev="0"/>
              </w14:lightRig>
            </w14:scene3d>
          </w:rPr>
          <w:t>17.5</w:t>
        </w:r>
        <w:r w:rsidR="00C424AA" w:rsidRPr="008625DC">
          <w:rPr>
            <w:rFonts w:asciiTheme="minorHAnsi" w:eastAsiaTheme="minorEastAsia" w:hAnsiTheme="minorHAnsi" w:cstheme="minorBidi"/>
            <w:noProof/>
            <w:color w:val="auto"/>
            <w:szCs w:val="22"/>
          </w:rPr>
          <w:tab/>
        </w:r>
        <w:r w:rsidR="00C424AA" w:rsidRPr="008625DC">
          <w:rPr>
            <w:rStyle w:val="Hyperlink"/>
            <w:noProof/>
          </w:rPr>
          <w:t>Liner shipping exemption under Part X of the CCA</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_Toc398827593 \h </w:instrText>
        </w:r>
        <w:r w:rsidR="00C424AA" w:rsidRPr="008625DC">
          <w:rPr>
            <w:noProof/>
            <w:webHidden/>
          </w:rPr>
        </w:r>
        <w:r w:rsidR="00C424AA" w:rsidRPr="008625DC">
          <w:rPr>
            <w:noProof/>
            <w:webHidden/>
          </w:rPr>
          <w:fldChar w:fldCharType="separate"/>
        </w:r>
        <w:r w:rsidR="00E26228">
          <w:rPr>
            <w:noProof/>
            <w:webHidden/>
          </w:rPr>
          <w:t>236</w:t>
        </w:r>
        <w:r w:rsidR="00C424AA" w:rsidRPr="008625DC">
          <w:rPr>
            <w:noProof/>
            <w:webHidden/>
          </w:rPr>
          <w:fldChar w:fldCharType="end"/>
        </w:r>
      </w:hyperlink>
    </w:p>
    <w:p w14:paraId="7609D911" w14:textId="3C4F41E2" w:rsidR="00C424AA" w:rsidRPr="008625DC" w:rsidRDefault="00AD530F">
      <w:pPr>
        <w:pStyle w:val="TOC1"/>
        <w:rPr>
          <w:rFonts w:asciiTheme="minorHAnsi" w:eastAsiaTheme="minorEastAsia" w:hAnsiTheme="minorHAnsi" w:cstheme="minorBidi"/>
          <w:b w:val="0"/>
          <w:caps w:val="0"/>
          <w:noProof/>
          <w:color w:val="auto"/>
          <w:sz w:val="22"/>
        </w:rPr>
      </w:pPr>
      <w:hyperlink w:anchor="_Toc398827594" w:history="1">
        <w:r w:rsidR="00C424AA" w:rsidRPr="008625DC">
          <w:rPr>
            <w:rStyle w:val="Hyperlink"/>
            <w:noProof/>
            <w14:scene3d>
              <w14:camera w14:prst="orthographicFront"/>
              <w14:lightRig w14:rig="threePt" w14:dir="t">
                <w14:rot w14:lat="0" w14:lon="0" w14:rev="0"/>
              </w14:lightRig>
            </w14:scene3d>
          </w:rPr>
          <w:t>18</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Employment</w:t>
        </w:r>
        <w:r w:rsidR="00C424AA" w:rsidRPr="008625DC">
          <w:rPr>
            <w:rStyle w:val="Hyperlink"/>
            <w:noProof/>
          </w:rPr>
          <w:noBreakHyphen/>
          <w:t>related matters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_Toc398827594 \h </w:instrText>
        </w:r>
        <w:r w:rsidR="00C424AA" w:rsidRPr="008625DC">
          <w:rPr>
            <w:noProof/>
            <w:webHidden/>
          </w:rPr>
        </w:r>
        <w:r w:rsidR="00C424AA" w:rsidRPr="008625DC">
          <w:rPr>
            <w:noProof/>
            <w:webHidden/>
          </w:rPr>
          <w:fldChar w:fldCharType="separate"/>
        </w:r>
        <w:r w:rsidR="00E26228">
          <w:rPr>
            <w:noProof/>
            <w:webHidden/>
          </w:rPr>
          <w:t>241</w:t>
        </w:r>
        <w:r w:rsidR="00C424AA" w:rsidRPr="008625DC">
          <w:rPr>
            <w:noProof/>
            <w:webHidden/>
          </w:rPr>
          <w:fldChar w:fldCharType="end"/>
        </w:r>
      </w:hyperlink>
    </w:p>
    <w:p w14:paraId="72D944FA" w14:textId="479F3E63" w:rsidR="00C424AA" w:rsidRPr="008625DC" w:rsidRDefault="00AD530F">
      <w:pPr>
        <w:pStyle w:val="TOC2"/>
        <w:rPr>
          <w:rFonts w:asciiTheme="minorHAnsi" w:eastAsiaTheme="minorEastAsia" w:hAnsiTheme="minorHAnsi" w:cstheme="minorBidi"/>
          <w:noProof/>
          <w:color w:val="auto"/>
          <w:szCs w:val="22"/>
        </w:rPr>
      </w:pPr>
      <w:hyperlink w:anchor="_Toc398827595" w:history="1">
        <w:r w:rsidR="00C424AA" w:rsidRPr="008625DC">
          <w:rPr>
            <w:rStyle w:val="Hyperlink"/>
            <w:noProof/>
            <w14:scene3d>
              <w14:camera w14:prst="orthographicFront"/>
              <w14:lightRig w14:rig="threePt" w14:dir="t">
                <w14:rot w14:lat="0" w14:lon="0" w14:rev="0"/>
              </w14:lightRig>
            </w14:scene3d>
          </w:rPr>
          <w:t>18.1</w:t>
        </w:r>
        <w:r w:rsidR="00C424AA" w:rsidRPr="008625DC">
          <w:rPr>
            <w:rFonts w:asciiTheme="minorHAnsi" w:eastAsiaTheme="minorEastAsia" w:hAnsiTheme="minorHAnsi" w:cstheme="minorBidi"/>
            <w:noProof/>
            <w:color w:val="auto"/>
            <w:szCs w:val="22"/>
          </w:rPr>
          <w:tab/>
        </w:r>
        <w:r w:rsidR="00C424AA" w:rsidRPr="008625DC">
          <w:rPr>
            <w:rStyle w:val="Hyperlink"/>
            <w:noProof/>
          </w:rPr>
          <w:t>Introduction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_Toc398827595 \h </w:instrText>
        </w:r>
        <w:r w:rsidR="00C424AA" w:rsidRPr="008625DC">
          <w:rPr>
            <w:noProof/>
            <w:webHidden/>
          </w:rPr>
        </w:r>
        <w:r w:rsidR="00C424AA" w:rsidRPr="008625DC">
          <w:rPr>
            <w:noProof/>
            <w:webHidden/>
          </w:rPr>
          <w:fldChar w:fldCharType="separate"/>
        </w:r>
        <w:r w:rsidR="00E26228">
          <w:rPr>
            <w:noProof/>
            <w:webHidden/>
          </w:rPr>
          <w:t>241</w:t>
        </w:r>
        <w:r w:rsidR="00C424AA" w:rsidRPr="008625DC">
          <w:rPr>
            <w:noProof/>
            <w:webHidden/>
          </w:rPr>
          <w:fldChar w:fldCharType="end"/>
        </w:r>
      </w:hyperlink>
    </w:p>
    <w:p w14:paraId="143828ED" w14:textId="43293A26" w:rsidR="00C424AA" w:rsidRPr="008625DC" w:rsidRDefault="00AD530F">
      <w:pPr>
        <w:pStyle w:val="TOC2"/>
        <w:rPr>
          <w:rFonts w:asciiTheme="minorHAnsi" w:eastAsiaTheme="minorEastAsia" w:hAnsiTheme="minorHAnsi" w:cstheme="minorBidi"/>
          <w:noProof/>
          <w:color w:val="auto"/>
          <w:szCs w:val="22"/>
        </w:rPr>
      </w:pPr>
      <w:hyperlink w:anchor="_Toc398827596" w:history="1">
        <w:r w:rsidR="00C424AA" w:rsidRPr="008625DC">
          <w:rPr>
            <w:rStyle w:val="Hyperlink"/>
            <w:noProof/>
            <w14:scene3d>
              <w14:camera w14:prst="orthographicFront"/>
              <w14:lightRig w14:rig="threePt" w14:dir="t">
                <w14:rot w14:lat="0" w14:lon="0" w14:rev="0"/>
              </w14:lightRig>
            </w14:scene3d>
          </w:rPr>
          <w:t>18.2</w:t>
        </w:r>
        <w:r w:rsidR="00C424AA" w:rsidRPr="008625DC">
          <w:rPr>
            <w:rFonts w:asciiTheme="minorHAnsi" w:eastAsiaTheme="minorEastAsia" w:hAnsiTheme="minorHAnsi" w:cstheme="minorBidi"/>
            <w:noProof/>
            <w:color w:val="auto"/>
            <w:szCs w:val="22"/>
          </w:rPr>
          <w:tab/>
        </w:r>
        <w:r w:rsidR="00C424AA" w:rsidRPr="008625DC">
          <w:rPr>
            <w:rStyle w:val="Hyperlink"/>
            <w:noProof/>
          </w:rPr>
          <w:t>Secondary boycotts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_Toc398827596 \h </w:instrText>
        </w:r>
        <w:r w:rsidR="00C424AA" w:rsidRPr="008625DC">
          <w:rPr>
            <w:noProof/>
            <w:webHidden/>
          </w:rPr>
        </w:r>
        <w:r w:rsidR="00C424AA" w:rsidRPr="008625DC">
          <w:rPr>
            <w:noProof/>
            <w:webHidden/>
          </w:rPr>
          <w:fldChar w:fldCharType="separate"/>
        </w:r>
        <w:r w:rsidR="00E26228">
          <w:rPr>
            <w:noProof/>
            <w:webHidden/>
          </w:rPr>
          <w:t>241</w:t>
        </w:r>
        <w:r w:rsidR="00C424AA" w:rsidRPr="008625DC">
          <w:rPr>
            <w:noProof/>
            <w:webHidden/>
          </w:rPr>
          <w:fldChar w:fldCharType="end"/>
        </w:r>
      </w:hyperlink>
    </w:p>
    <w:p w14:paraId="4986DA8C" w14:textId="1FA8AA02" w:rsidR="00C424AA" w:rsidRPr="008625DC" w:rsidRDefault="00AD530F">
      <w:pPr>
        <w:pStyle w:val="TOC2"/>
        <w:rPr>
          <w:rFonts w:asciiTheme="minorHAnsi" w:eastAsiaTheme="minorEastAsia" w:hAnsiTheme="minorHAnsi" w:cstheme="minorBidi"/>
          <w:noProof/>
          <w:color w:val="auto"/>
          <w:szCs w:val="22"/>
        </w:rPr>
      </w:pPr>
      <w:hyperlink w:anchor="_Toc398827597" w:history="1">
        <w:r w:rsidR="00C424AA" w:rsidRPr="008625DC">
          <w:rPr>
            <w:rStyle w:val="Hyperlink"/>
            <w:noProof/>
            <w14:scene3d>
              <w14:camera w14:prst="orthographicFront"/>
              <w14:lightRig w14:rig="threePt" w14:dir="t">
                <w14:rot w14:lat="0" w14:lon="0" w14:rev="0"/>
              </w14:lightRig>
            </w14:scene3d>
          </w:rPr>
          <w:t>18.3</w:t>
        </w:r>
        <w:r w:rsidR="00C424AA" w:rsidRPr="008625DC">
          <w:rPr>
            <w:rFonts w:asciiTheme="minorHAnsi" w:eastAsiaTheme="minorEastAsia" w:hAnsiTheme="minorHAnsi" w:cstheme="minorBidi"/>
            <w:noProof/>
            <w:color w:val="auto"/>
            <w:szCs w:val="22"/>
          </w:rPr>
          <w:tab/>
        </w:r>
        <w:r w:rsidR="00C424AA" w:rsidRPr="008625DC">
          <w:rPr>
            <w:rStyle w:val="Hyperlink"/>
            <w:noProof/>
          </w:rPr>
          <w:t>Trading restrictions in industrial agreements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_Toc398827597 \h </w:instrText>
        </w:r>
        <w:r w:rsidR="00C424AA" w:rsidRPr="008625DC">
          <w:rPr>
            <w:noProof/>
            <w:webHidden/>
          </w:rPr>
        </w:r>
        <w:r w:rsidR="00C424AA" w:rsidRPr="008625DC">
          <w:rPr>
            <w:noProof/>
            <w:webHidden/>
          </w:rPr>
          <w:fldChar w:fldCharType="separate"/>
        </w:r>
        <w:r w:rsidR="00E26228">
          <w:rPr>
            <w:noProof/>
            <w:webHidden/>
          </w:rPr>
          <w:t>245</w:t>
        </w:r>
        <w:r w:rsidR="00C424AA" w:rsidRPr="008625DC">
          <w:rPr>
            <w:noProof/>
            <w:webHidden/>
          </w:rPr>
          <w:fldChar w:fldCharType="end"/>
        </w:r>
      </w:hyperlink>
    </w:p>
    <w:p w14:paraId="557B0D84" w14:textId="248EDF47" w:rsidR="00C424AA" w:rsidRPr="008625DC" w:rsidRDefault="00AD530F">
      <w:pPr>
        <w:pStyle w:val="TOC1"/>
        <w:rPr>
          <w:rFonts w:asciiTheme="minorHAnsi" w:eastAsiaTheme="minorEastAsia" w:hAnsiTheme="minorHAnsi" w:cstheme="minorBidi"/>
          <w:b w:val="0"/>
          <w:caps w:val="0"/>
          <w:noProof/>
          <w:color w:val="auto"/>
          <w:sz w:val="22"/>
        </w:rPr>
      </w:pPr>
      <w:hyperlink w:anchor="_Toc398827598" w:history="1">
        <w:r w:rsidR="00C424AA" w:rsidRPr="008625DC">
          <w:rPr>
            <w:rStyle w:val="Hyperlink"/>
            <w:noProof/>
            <w14:scene3d>
              <w14:camera w14:prst="orthographicFront"/>
              <w14:lightRig w14:rig="threePt" w14:dir="t">
                <w14:rot w14:lat="0" w14:lon="0" w14:rev="0"/>
              </w14:lightRig>
            </w14:scene3d>
          </w:rPr>
          <w:t>19</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Exemption processes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_Toc398827598 \h </w:instrText>
        </w:r>
        <w:r w:rsidR="00C424AA" w:rsidRPr="008625DC">
          <w:rPr>
            <w:noProof/>
            <w:webHidden/>
          </w:rPr>
        </w:r>
        <w:r w:rsidR="00C424AA" w:rsidRPr="008625DC">
          <w:rPr>
            <w:noProof/>
            <w:webHidden/>
          </w:rPr>
          <w:fldChar w:fldCharType="separate"/>
        </w:r>
        <w:r w:rsidR="00E26228">
          <w:rPr>
            <w:noProof/>
            <w:webHidden/>
          </w:rPr>
          <w:t>248</w:t>
        </w:r>
        <w:r w:rsidR="00C424AA" w:rsidRPr="008625DC">
          <w:rPr>
            <w:noProof/>
            <w:webHidden/>
          </w:rPr>
          <w:fldChar w:fldCharType="end"/>
        </w:r>
      </w:hyperlink>
    </w:p>
    <w:p w14:paraId="6CC266EE" w14:textId="18186463" w:rsidR="00C424AA" w:rsidRPr="008625DC" w:rsidRDefault="00AD530F">
      <w:pPr>
        <w:pStyle w:val="TOC2"/>
        <w:rPr>
          <w:rFonts w:asciiTheme="minorHAnsi" w:eastAsiaTheme="minorEastAsia" w:hAnsiTheme="minorHAnsi" w:cstheme="minorBidi"/>
          <w:noProof/>
          <w:color w:val="auto"/>
          <w:szCs w:val="22"/>
        </w:rPr>
      </w:pPr>
      <w:hyperlink w:anchor="_Toc398827599" w:history="1">
        <w:r w:rsidR="00C424AA" w:rsidRPr="008625DC">
          <w:rPr>
            <w:rStyle w:val="Hyperlink"/>
            <w:noProof/>
            <w14:scene3d>
              <w14:camera w14:prst="orthographicFront"/>
              <w14:lightRig w14:rig="threePt" w14:dir="t">
                <w14:rot w14:lat="0" w14:lon="0" w14:rev="0"/>
              </w14:lightRig>
            </w14:scene3d>
          </w:rPr>
          <w:t>19.1</w:t>
        </w:r>
        <w:r w:rsidR="00C424AA" w:rsidRPr="008625DC">
          <w:rPr>
            <w:rFonts w:asciiTheme="minorHAnsi" w:eastAsiaTheme="minorEastAsia" w:hAnsiTheme="minorHAnsi" w:cstheme="minorBidi"/>
            <w:noProof/>
            <w:color w:val="auto"/>
            <w:szCs w:val="22"/>
          </w:rPr>
          <w:tab/>
        </w:r>
        <w:r w:rsidR="00C424AA" w:rsidRPr="008625DC">
          <w:rPr>
            <w:rStyle w:val="Hyperlink"/>
            <w:noProof/>
          </w:rPr>
          <w:t>Simplification of the authorisation and notification procedures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_Toc398827599 \h </w:instrText>
        </w:r>
        <w:r w:rsidR="00C424AA" w:rsidRPr="008625DC">
          <w:rPr>
            <w:noProof/>
            <w:webHidden/>
          </w:rPr>
        </w:r>
        <w:r w:rsidR="00C424AA" w:rsidRPr="008625DC">
          <w:rPr>
            <w:noProof/>
            <w:webHidden/>
          </w:rPr>
          <w:fldChar w:fldCharType="separate"/>
        </w:r>
        <w:r w:rsidR="00E26228">
          <w:rPr>
            <w:noProof/>
            <w:webHidden/>
          </w:rPr>
          <w:t>249</w:t>
        </w:r>
        <w:r w:rsidR="00C424AA" w:rsidRPr="008625DC">
          <w:rPr>
            <w:noProof/>
            <w:webHidden/>
          </w:rPr>
          <w:fldChar w:fldCharType="end"/>
        </w:r>
      </w:hyperlink>
    </w:p>
    <w:p w14:paraId="78F39A77" w14:textId="7ACFE947" w:rsidR="00C424AA" w:rsidRPr="008625DC" w:rsidRDefault="00AD530F">
      <w:pPr>
        <w:pStyle w:val="TOC2"/>
        <w:rPr>
          <w:rFonts w:asciiTheme="minorHAnsi" w:eastAsiaTheme="minorEastAsia" w:hAnsiTheme="minorHAnsi" w:cstheme="minorBidi"/>
          <w:noProof/>
          <w:color w:val="auto"/>
          <w:szCs w:val="22"/>
        </w:rPr>
      </w:pPr>
      <w:hyperlink w:anchor="_Toc398827600" w:history="1">
        <w:r w:rsidR="00C424AA" w:rsidRPr="008625DC">
          <w:rPr>
            <w:rStyle w:val="Hyperlink"/>
            <w:noProof/>
            <w14:scene3d>
              <w14:camera w14:prst="orthographicFront"/>
              <w14:lightRig w14:rig="threePt" w14:dir="t">
                <w14:rot w14:lat="0" w14:lon="0" w14:rev="0"/>
              </w14:lightRig>
            </w14:scene3d>
          </w:rPr>
          <w:t>19.2</w:t>
        </w:r>
        <w:r w:rsidR="00C424AA" w:rsidRPr="008625DC">
          <w:rPr>
            <w:rFonts w:asciiTheme="minorHAnsi" w:eastAsiaTheme="minorEastAsia" w:hAnsiTheme="minorHAnsi" w:cstheme="minorBidi"/>
            <w:noProof/>
            <w:color w:val="auto"/>
            <w:szCs w:val="22"/>
          </w:rPr>
          <w:tab/>
        </w:r>
        <w:r w:rsidR="00C424AA" w:rsidRPr="008625DC">
          <w:rPr>
            <w:rStyle w:val="Hyperlink"/>
            <w:noProof/>
          </w:rPr>
          <w:t>Collective bargaining</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_Toc398827600 \h </w:instrText>
        </w:r>
        <w:r w:rsidR="00C424AA" w:rsidRPr="008625DC">
          <w:rPr>
            <w:noProof/>
            <w:webHidden/>
          </w:rPr>
        </w:r>
        <w:r w:rsidR="00C424AA" w:rsidRPr="008625DC">
          <w:rPr>
            <w:noProof/>
            <w:webHidden/>
          </w:rPr>
          <w:fldChar w:fldCharType="separate"/>
        </w:r>
        <w:r w:rsidR="00E26228">
          <w:rPr>
            <w:noProof/>
            <w:webHidden/>
          </w:rPr>
          <w:t>249</w:t>
        </w:r>
        <w:r w:rsidR="00C424AA" w:rsidRPr="008625DC">
          <w:rPr>
            <w:noProof/>
            <w:webHidden/>
          </w:rPr>
          <w:fldChar w:fldCharType="end"/>
        </w:r>
      </w:hyperlink>
    </w:p>
    <w:p w14:paraId="3479B78D" w14:textId="1535354B" w:rsidR="00C424AA" w:rsidRPr="008625DC" w:rsidRDefault="00AD530F">
      <w:pPr>
        <w:pStyle w:val="TOC2"/>
        <w:rPr>
          <w:rFonts w:asciiTheme="minorHAnsi" w:eastAsiaTheme="minorEastAsia" w:hAnsiTheme="minorHAnsi" w:cstheme="minorBidi"/>
          <w:noProof/>
          <w:color w:val="auto"/>
          <w:szCs w:val="22"/>
        </w:rPr>
      </w:pPr>
      <w:hyperlink w:anchor="_Toc398827601" w:history="1">
        <w:r w:rsidR="00C424AA" w:rsidRPr="008625DC">
          <w:rPr>
            <w:rStyle w:val="Hyperlink"/>
            <w:noProof/>
            <w14:scene3d>
              <w14:camera w14:prst="orthographicFront"/>
              <w14:lightRig w14:rig="threePt" w14:dir="t">
                <w14:rot w14:lat="0" w14:lon="0" w14:rev="0"/>
              </w14:lightRig>
            </w14:scene3d>
          </w:rPr>
          <w:t>19.3</w:t>
        </w:r>
        <w:r w:rsidR="00C424AA" w:rsidRPr="008625DC">
          <w:rPr>
            <w:rFonts w:asciiTheme="minorHAnsi" w:eastAsiaTheme="minorEastAsia" w:hAnsiTheme="minorHAnsi" w:cstheme="minorBidi"/>
            <w:noProof/>
            <w:color w:val="auto"/>
            <w:szCs w:val="22"/>
          </w:rPr>
          <w:tab/>
        </w:r>
        <w:r w:rsidR="00C424AA" w:rsidRPr="008625DC">
          <w:rPr>
            <w:rStyle w:val="Hyperlink"/>
            <w:noProof/>
          </w:rPr>
          <w:t>Block exemptions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_Toc398827601 \h </w:instrText>
        </w:r>
        <w:r w:rsidR="00C424AA" w:rsidRPr="008625DC">
          <w:rPr>
            <w:noProof/>
            <w:webHidden/>
          </w:rPr>
        </w:r>
        <w:r w:rsidR="00C424AA" w:rsidRPr="008625DC">
          <w:rPr>
            <w:noProof/>
            <w:webHidden/>
          </w:rPr>
          <w:fldChar w:fldCharType="separate"/>
        </w:r>
        <w:r w:rsidR="00E26228">
          <w:rPr>
            <w:noProof/>
            <w:webHidden/>
          </w:rPr>
          <w:t>250</w:t>
        </w:r>
        <w:r w:rsidR="00C424AA" w:rsidRPr="008625DC">
          <w:rPr>
            <w:noProof/>
            <w:webHidden/>
          </w:rPr>
          <w:fldChar w:fldCharType="end"/>
        </w:r>
      </w:hyperlink>
    </w:p>
    <w:p w14:paraId="3C835A7D" w14:textId="354A3252" w:rsidR="00C424AA" w:rsidRPr="008625DC" w:rsidRDefault="00AD530F">
      <w:pPr>
        <w:pStyle w:val="TOC1"/>
        <w:rPr>
          <w:rFonts w:asciiTheme="minorHAnsi" w:eastAsiaTheme="minorEastAsia" w:hAnsiTheme="minorHAnsi" w:cstheme="minorBidi"/>
          <w:b w:val="0"/>
          <w:caps w:val="0"/>
          <w:noProof/>
          <w:color w:val="auto"/>
          <w:sz w:val="22"/>
        </w:rPr>
      </w:pPr>
      <w:hyperlink w:anchor="_Toc398827602" w:history="1">
        <w:r w:rsidR="00C424AA" w:rsidRPr="008625DC">
          <w:rPr>
            <w:rStyle w:val="Hyperlink"/>
            <w:noProof/>
            <w14:scene3d>
              <w14:camera w14:prst="orthographicFront"/>
              <w14:lightRig w14:rig="threePt" w14:dir="t">
                <w14:rot w14:lat="0" w14:lon="0" w14:rev="0"/>
              </w14:lightRig>
            </w14:scene3d>
          </w:rPr>
          <w:t>20</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Enforcement and remedies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_Toc398827602 \h </w:instrText>
        </w:r>
        <w:r w:rsidR="00C424AA" w:rsidRPr="008625DC">
          <w:rPr>
            <w:noProof/>
            <w:webHidden/>
          </w:rPr>
        </w:r>
        <w:r w:rsidR="00C424AA" w:rsidRPr="008625DC">
          <w:rPr>
            <w:noProof/>
            <w:webHidden/>
          </w:rPr>
          <w:fldChar w:fldCharType="separate"/>
        </w:r>
        <w:r w:rsidR="00E26228">
          <w:rPr>
            <w:noProof/>
            <w:webHidden/>
          </w:rPr>
          <w:t>253</w:t>
        </w:r>
        <w:r w:rsidR="00C424AA" w:rsidRPr="008625DC">
          <w:rPr>
            <w:noProof/>
            <w:webHidden/>
          </w:rPr>
          <w:fldChar w:fldCharType="end"/>
        </w:r>
      </w:hyperlink>
    </w:p>
    <w:p w14:paraId="16334514" w14:textId="7A7956D7" w:rsidR="00C424AA" w:rsidRPr="008625DC" w:rsidRDefault="00AD530F">
      <w:pPr>
        <w:pStyle w:val="TOC2"/>
        <w:rPr>
          <w:rFonts w:asciiTheme="minorHAnsi" w:eastAsiaTheme="minorEastAsia" w:hAnsiTheme="minorHAnsi" w:cstheme="minorBidi"/>
          <w:noProof/>
          <w:color w:val="auto"/>
          <w:szCs w:val="22"/>
        </w:rPr>
      </w:pPr>
      <w:hyperlink w:anchor="_Toc398827603" w:history="1">
        <w:r w:rsidR="00C424AA" w:rsidRPr="008625DC">
          <w:rPr>
            <w:rStyle w:val="Hyperlink"/>
            <w:noProof/>
            <w14:scene3d>
              <w14:camera w14:prst="orthographicFront"/>
              <w14:lightRig w14:rig="threePt" w14:dir="t">
                <w14:rot w14:lat="0" w14:lon="0" w14:rev="0"/>
              </w14:lightRig>
            </w14:scene3d>
          </w:rPr>
          <w:t>20.1</w:t>
        </w:r>
        <w:r w:rsidR="00C424AA" w:rsidRPr="008625DC">
          <w:rPr>
            <w:rFonts w:asciiTheme="minorHAnsi" w:eastAsiaTheme="minorEastAsia" w:hAnsiTheme="minorHAnsi" w:cstheme="minorBidi"/>
            <w:noProof/>
            <w:color w:val="auto"/>
            <w:szCs w:val="22"/>
          </w:rPr>
          <w:tab/>
        </w:r>
        <w:r w:rsidR="00C424AA" w:rsidRPr="008625DC">
          <w:rPr>
            <w:rStyle w:val="Hyperlink"/>
            <w:noProof/>
          </w:rPr>
          <w:t>Public enforcement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_Toc398827603 \h </w:instrText>
        </w:r>
        <w:r w:rsidR="00C424AA" w:rsidRPr="008625DC">
          <w:rPr>
            <w:noProof/>
            <w:webHidden/>
          </w:rPr>
        </w:r>
        <w:r w:rsidR="00C424AA" w:rsidRPr="008625DC">
          <w:rPr>
            <w:noProof/>
            <w:webHidden/>
          </w:rPr>
          <w:fldChar w:fldCharType="separate"/>
        </w:r>
        <w:r w:rsidR="00E26228">
          <w:rPr>
            <w:noProof/>
            <w:webHidden/>
          </w:rPr>
          <w:t>253</w:t>
        </w:r>
        <w:r w:rsidR="00C424AA" w:rsidRPr="008625DC">
          <w:rPr>
            <w:noProof/>
            <w:webHidden/>
          </w:rPr>
          <w:fldChar w:fldCharType="end"/>
        </w:r>
      </w:hyperlink>
    </w:p>
    <w:p w14:paraId="47EDD7AC" w14:textId="1C057B41" w:rsidR="00C424AA" w:rsidRPr="008625DC" w:rsidRDefault="00AD530F">
      <w:pPr>
        <w:pStyle w:val="TOC2"/>
        <w:rPr>
          <w:rFonts w:asciiTheme="minorHAnsi" w:eastAsiaTheme="minorEastAsia" w:hAnsiTheme="minorHAnsi" w:cstheme="minorBidi"/>
          <w:noProof/>
          <w:color w:val="auto"/>
          <w:szCs w:val="22"/>
        </w:rPr>
      </w:pPr>
      <w:hyperlink w:anchor="_Toc398827604" w:history="1">
        <w:r w:rsidR="00C424AA" w:rsidRPr="008625DC">
          <w:rPr>
            <w:rStyle w:val="Hyperlink"/>
            <w:noProof/>
            <w14:scene3d>
              <w14:camera w14:prst="orthographicFront"/>
              <w14:lightRig w14:rig="threePt" w14:dir="t">
                <w14:rot w14:lat="0" w14:lon="0" w14:rev="0"/>
              </w14:lightRig>
            </w14:scene3d>
          </w:rPr>
          <w:t>20.2</w:t>
        </w:r>
        <w:r w:rsidR="00C424AA" w:rsidRPr="008625DC">
          <w:rPr>
            <w:rFonts w:asciiTheme="minorHAnsi" w:eastAsiaTheme="minorEastAsia" w:hAnsiTheme="minorHAnsi" w:cstheme="minorBidi"/>
            <w:noProof/>
            <w:color w:val="auto"/>
            <w:szCs w:val="22"/>
          </w:rPr>
          <w:tab/>
        </w:r>
        <w:r w:rsidR="00C424AA" w:rsidRPr="008625DC">
          <w:rPr>
            <w:rStyle w:val="Hyperlink"/>
            <w:noProof/>
          </w:rPr>
          <w:t>Private enforcement</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_Toc398827604 \h </w:instrText>
        </w:r>
        <w:r w:rsidR="00C424AA" w:rsidRPr="008625DC">
          <w:rPr>
            <w:noProof/>
            <w:webHidden/>
          </w:rPr>
        </w:r>
        <w:r w:rsidR="00C424AA" w:rsidRPr="008625DC">
          <w:rPr>
            <w:noProof/>
            <w:webHidden/>
          </w:rPr>
          <w:fldChar w:fldCharType="separate"/>
        </w:r>
        <w:r w:rsidR="00E26228">
          <w:rPr>
            <w:noProof/>
            <w:webHidden/>
          </w:rPr>
          <w:t>254</w:t>
        </w:r>
        <w:r w:rsidR="00C424AA" w:rsidRPr="008625DC">
          <w:rPr>
            <w:noProof/>
            <w:webHidden/>
          </w:rPr>
          <w:fldChar w:fldCharType="end"/>
        </w:r>
      </w:hyperlink>
    </w:p>
    <w:p w14:paraId="0A77BF4C" w14:textId="19563DEA" w:rsidR="00C424AA" w:rsidRPr="008625DC" w:rsidRDefault="00AD530F">
      <w:pPr>
        <w:pStyle w:val="TOC2"/>
        <w:rPr>
          <w:rFonts w:asciiTheme="minorHAnsi" w:eastAsiaTheme="minorEastAsia" w:hAnsiTheme="minorHAnsi" w:cstheme="minorBidi"/>
          <w:noProof/>
          <w:color w:val="auto"/>
          <w:szCs w:val="22"/>
        </w:rPr>
      </w:pPr>
      <w:hyperlink w:anchor="_Toc398827605" w:history="1">
        <w:r w:rsidR="00C424AA" w:rsidRPr="008625DC">
          <w:rPr>
            <w:rStyle w:val="Hyperlink"/>
            <w:noProof/>
            <w14:scene3d>
              <w14:camera w14:prst="orthographicFront"/>
              <w14:lightRig w14:rig="threePt" w14:dir="t">
                <w14:rot w14:lat="0" w14:lon="0" w14:rev="0"/>
              </w14:lightRig>
            </w14:scene3d>
          </w:rPr>
          <w:t>20.3</w:t>
        </w:r>
        <w:r w:rsidR="00C424AA" w:rsidRPr="008625DC">
          <w:rPr>
            <w:rFonts w:asciiTheme="minorHAnsi" w:eastAsiaTheme="minorEastAsia" w:hAnsiTheme="minorHAnsi" w:cstheme="minorBidi"/>
            <w:noProof/>
            <w:color w:val="auto"/>
            <w:szCs w:val="22"/>
          </w:rPr>
          <w:tab/>
        </w:r>
        <w:r w:rsidR="00C424AA" w:rsidRPr="008625DC">
          <w:rPr>
            <w:rStyle w:val="Hyperlink"/>
            <w:noProof/>
          </w:rPr>
          <w:t>ACCC’s investigative powers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_Toc398827605 \h </w:instrText>
        </w:r>
        <w:r w:rsidR="00C424AA" w:rsidRPr="008625DC">
          <w:rPr>
            <w:noProof/>
            <w:webHidden/>
          </w:rPr>
        </w:r>
        <w:r w:rsidR="00C424AA" w:rsidRPr="008625DC">
          <w:rPr>
            <w:noProof/>
            <w:webHidden/>
          </w:rPr>
          <w:fldChar w:fldCharType="separate"/>
        </w:r>
        <w:r w:rsidR="00E26228">
          <w:rPr>
            <w:noProof/>
            <w:webHidden/>
          </w:rPr>
          <w:t>259</w:t>
        </w:r>
        <w:r w:rsidR="00C424AA" w:rsidRPr="008625DC">
          <w:rPr>
            <w:noProof/>
            <w:webHidden/>
          </w:rPr>
          <w:fldChar w:fldCharType="end"/>
        </w:r>
      </w:hyperlink>
    </w:p>
    <w:p w14:paraId="2EF289F9" w14:textId="1C91F08F" w:rsidR="00C424AA" w:rsidRPr="008625DC" w:rsidRDefault="00AD530F">
      <w:pPr>
        <w:pStyle w:val="TOC1"/>
        <w:rPr>
          <w:rFonts w:asciiTheme="minorHAnsi" w:eastAsiaTheme="minorEastAsia" w:hAnsiTheme="minorHAnsi" w:cstheme="minorBidi"/>
          <w:b w:val="0"/>
          <w:caps w:val="0"/>
          <w:noProof/>
          <w:color w:val="auto"/>
          <w:sz w:val="22"/>
        </w:rPr>
      </w:pPr>
      <w:hyperlink w:anchor="_Toc398827606" w:history="1">
        <w:r w:rsidR="00C424AA" w:rsidRPr="008625DC">
          <w:rPr>
            <w:rStyle w:val="Hyperlink"/>
            <w:noProof/>
            <w14:scene3d>
              <w14:camera w14:prst="orthographicFront"/>
              <w14:lightRig w14:rig="threePt" w14:dir="t">
                <w14:rot w14:lat="0" w14:lon="0" w14:rev="0"/>
              </w14:lightRig>
            </w14:scene3d>
          </w:rPr>
          <w:t>21</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National Access Regime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_Toc398827606 \h </w:instrText>
        </w:r>
        <w:r w:rsidR="00C424AA" w:rsidRPr="008625DC">
          <w:rPr>
            <w:noProof/>
            <w:webHidden/>
          </w:rPr>
        </w:r>
        <w:r w:rsidR="00C424AA" w:rsidRPr="008625DC">
          <w:rPr>
            <w:noProof/>
            <w:webHidden/>
          </w:rPr>
          <w:fldChar w:fldCharType="separate"/>
        </w:r>
        <w:r w:rsidR="00E26228">
          <w:rPr>
            <w:noProof/>
            <w:webHidden/>
          </w:rPr>
          <w:t>262</w:t>
        </w:r>
        <w:r w:rsidR="00C424AA" w:rsidRPr="008625DC">
          <w:rPr>
            <w:noProof/>
            <w:webHidden/>
          </w:rPr>
          <w:fldChar w:fldCharType="end"/>
        </w:r>
      </w:hyperlink>
    </w:p>
    <w:p w14:paraId="29A3D440" w14:textId="25C65A6B" w:rsidR="00C424AA" w:rsidRPr="008625DC" w:rsidRDefault="00AD530F">
      <w:pPr>
        <w:pStyle w:val="TOC2"/>
        <w:rPr>
          <w:rFonts w:asciiTheme="minorHAnsi" w:eastAsiaTheme="minorEastAsia" w:hAnsiTheme="minorHAnsi" w:cstheme="minorBidi"/>
          <w:noProof/>
          <w:color w:val="auto"/>
          <w:szCs w:val="22"/>
        </w:rPr>
      </w:pPr>
      <w:hyperlink w:anchor="_Toc398827607" w:history="1">
        <w:r w:rsidR="00C424AA" w:rsidRPr="008625DC">
          <w:rPr>
            <w:rStyle w:val="Hyperlink"/>
            <w:noProof/>
            <w14:scene3d>
              <w14:camera w14:prst="orthographicFront"/>
              <w14:lightRig w14:rig="threePt" w14:dir="t">
                <w14:rot w14:lat="0" w14:lon="0" w14:rev="0"/>
              </w14:lightRig>
            </w14:scene3d>
          </w:rPr>
          <w:t>21.1</w:t>
        </w:r>
        <w:r w:rsidR="00C424AA" w:rsidRPr="008625DC">
          <w:rPr>
            <w:rFonts w:asciiTheme="minorHAnsi" w:eastAsiaTheme="minorEastAsia" w:hAnsiTheme="minorHAnsi" w:cstheme="minorBidi"/>
            <w:noProof/>
            <w:color w:val="auto"/>
            <w:szCs w:val="22"/>
          </w:rPr>
          <w:tab/>
        </w:r>
        <w:r w:rsidR="00C424AA" w:rsidRPr="008625DC">
          <w:rPr>
            <w:rStyle w:val="Hyperlink"/>
            <w:noProof/>
          </w:rPr>
          <w:t>Costs and benefits of the National Access Regime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_Toc398827607 \h </w:instrText>
        </w:r>
        <w:r w:rsidR="00C424AA" w:rsidRPr="008625DC">
          <w:rPr>
            <w:noProof/>
            <w:webHidden/>
          </w:rPr>
        </w:r>
        <w:r w:rsidR="00C424AA" w:rsidRPr="008625DC">
          <w:rPr>
            <w:noProof/>
            <w:webHidden/>
          </w:rPr>
          <w:fldChar w:fldCharType="separate"/>
        </w:r>
        <w:r w:rsidR="00E26228">
          <w:rPr>
            <w:noProof/>
            <w:webHidden/>
          </w:rPr>
          <w:t>264</w:t>
        </w:r>
        <w:r w:rsidR="00C424AA" w:rsidRPr="008625DC">
          <w:rPr>
            <w:noProof/>
            <w:webHidden/>
          </w:rPr>
          <w:fldChar w:fldCharType="end"/>
        </w:r>
      </w:hyperlink>
    </w:p>
    <w:p w14:paraId="0D1256F9" w14:textId="458784C0" w:rsidR="00C424AA" w:rsidRPr="008625DC" w:rsidRDefault="00AD530F">
      <w:pPr>
        <w:pStyle w:val="TOC2"/>
        <w:rPr>
          <w:rFonts w:asciiTheme="minorHAnsi" w:eastAsiaTheme="minorEastAsia" w:hAnsiTheme="minorHAnsi" w:cstheme="minorBidi"/>
          <w:noProof/>
          <w:color w:val="auto"/>
          <w:szCs w:val="22"/>
        </w:rPr>
      </w:pPr>
      <w:hyperlink w:anchor="_Toc398827608" w:history="1">
        <w:r w:rsidR="00C424AA" w:rsidRPr="008625DC">
          <w:rPr>
            <w:rStyle w:val="Hyperlink"/>
            <w:noProof/>
            <w14:scene3d>
              <w14:camera w14:prst="orthographicFront"/>
              <w14:lightRig w14:rig="threePt" w14:dir="t">
                <w14:rot w14:lat="0" w14:lon="0" w14:rev="0"/>
              </w14:lightRig>
            </w14:scene3d>
          </w:rPr>
          <w:t>21.2</w:t>
        </w:r>
        <w:r w:rsidR="00C424AA" w:rsidRPr="008625DC">
          <w:rPr>
            <w:rFonts w:asciiTheme="minorHAnsi" w:eastAsiaTheme="minorEastAsia" w:hAnsiTheme="minorHAnsi" w:cstheme="minorBidi"/>
            <w:noProof/>
            <w:color w:val="auto"/>
            <w:szCs w:val="22"/>
          </w:rPr>
          <w:tab/>
        </w:r>
        <w:r w:rsidR="00C424AA" w:rsidRPr="008625DC">
          <w:rPr>
            <w:rStyle w:val="Hyperlink"/>
            <w:noProof/>
          </w:rPr>
          <w:t>The declaration criteria</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_Toc398827608 \h </w:instrText>
        </w:r>
        <w:r w:rsidR="00C424AA" w:rsidRPr="008625DC">
          <w:rPr>
            <w:noProof/>
            <w:webHidden/>
          </w:rPr>
        </w:r>
        <w:r w:rsidR="00C424AA" w:rsidRPr="008625DC">
          <w:rPr>
            <w:noProof/>
            <w:webHidden/>
          </w:rPr>
          <w:fldChar w:fldCharType="separate"/>
        </w:r>
        <w:r w:rsidR="00E26228">
          <w:rPr>
            <w:noProof/>
            <w:webHidden/>
          </w:rPr>
          <w:t>269</w:t>
        </w:r>
        <w:r w:rsidR="00C424AA" w:rsidRPr="008625DC">
          <w:rPr>
            <w:noProof/>
            <w:webHidden/>
          </w:rPr>
          <w:fldChar w:fldCharType="end"/>
        </w:r>
      </w:hyperlink>
    </w:p>
    <w:p w14:paraId="139F3905" w14:textId="7AFC9755" w:rsidR="00C424AA" w:rsidRPr="008625DC" w:rsidRDefault="00AD530F">
      <w:pPr>
        <w:pStyle w:val="TOC2"/>
        <w:rPr>
          <w:rFonts w:asciiTheme="minorHAnsi" w:eastAsiaTheme="minorEastAsia" w:hAnsiTheme="minorHAnsi" w:cstheme="minorBidi"/>
          <w:noProof/>
          <w:color w:val="auto"/>
          <w:szCs w:val="22"/>
        </w:rPr>
      </w:pPr>
      <w:hyperlink w:anchor="_Toc398827609" w:history="1">
        <w:r w:rsidR="00C424AA" w:rsidRPr="008625DC">
          <w:rPr>
            <w:rStyle w:val="Hyperlink"/>
            <w:noProof/>
            <w14:scene3d>
              <w14:camera w14:prst="orthographicFront"/>
              <w14:lightRig w14:rig="threePt" w14:dir="t">
                <w14:rot w14:lat="0" w14:lon="0" w14:rev="0"/>
              </w14:lightRig>
            </w14:scene3d>
          </w:rPr>
          <w:t>21.3</w:t>
        </w:r>
        <w:r w:rsidR="00C424AA" w:rsidRPr="008625DC">
          <w:rPr>
            <w:rFonts w:asciiTheme="minorHAnsi" w:eastAsiaTheme="minorEastAsia" w:hAnsiTheme="minorHAnsi" w:cstheme="minorBidi"/>
            <w:noProof/>
            <w:color w:val="auto"/>
            <w:szCs w:val="22"/>
          </w:rPr>
          <w:tab/>
        </w:r>
        <w:r w:rsidR="00C424AA" w:rsidRPr="008625DC">
          <w:rPr>
            <w:rStyle w:val="Hyperlink"/>
            <w:noProof/>
          </w:rPr>
          <w:t>Review of access decisions by the Australian Competition Tribunal</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_Toc398827609 \h </w:instrText>
        </w:r>
        <w:r w:rsidR="00C424AA" w:rsidRPr="008625DC">
          <w:rPr>
            <w:noProof/>
            <w:webHidden/>
          </w:rPr>
        </w:r>
        <w:r w:rsidR="00C424AA" w:rsidRPr="008625DC">
          <w:rPr>
            <w:noProof/>
            <w:webHidden/>
          </w:rPr>
          <w:fldChar w:fldCharType="separate"/>
        </w:r>
        <w:r w:rsidR="00E26228">
          <w:rPr>
            <w:noProof/>
            <w:webHidden/>
          </w:rPr>
          <w:t>273</w:t>
        </w:r>
        <w:r w:rsidR="00C424AA" w:rsidRPr="008625DC">
          <w:rPr>
            <w:noProof/>
            <w:webHidden/>
          </w:rPr>
          <w:fldChar w:fldCharType="end"/>
        </w:r>
      </w:hyperlink>
    </w:p>
    <w:p w14:paraId="5E5B2EE2" w14:textId="47469310" w:rsidR="00C424AA" w:rsidRPr="008625DC" w:rsidRDefault="00AD530F">
      <w:pPr>
        <w:pStyle w:val="TOC1"/>
        <w:rPr>
          <w:rFonts w:asciiTheme="minorHAnsi" w:eastAsiaTheme="minorEastAsia" w:hAnsiTheme="minorHAnsi" w:cstheme="minorBidi"/>
          <w:b w:val="0"/>
          <w:caps w:val="0"/>
          <w:noProof/>
          <w:color w:val="auto"/>
          <w:sz w:val="22"/>
        </w:rPr>
      </w:pPr>
      <w:hyperlink w:anchor="_Toc398827610" w:history="1">
        <w:r w:rsidR="00C424AA" w:rsidRPr="008625DC">
          <w:rPr>
            <w:rStyle w:val="Hyperlink"/>
            <w:noProof/>
          </w:rPr>
          <w:t>Part 5 — Competition institutions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_Toc398827610 \h </w:instrText>
        </w:r>
        <w:r w:rsidR="00C424AA" w:rsidRPr="008625DC">
          <w:rPr>
            <w:noProof/>
            <w:webHidden/>
          </w:rPr>
        </w:r>
        <w:r w:rsidR="00C424AA" w:rsidRPr="008625DC">
          <w:rPr>
            <w:noProof/>
            <w:webHidden/>
          </w:rPr>
          <w:fldChar w:fldCharType="separate"/>
        </w:r>
        <w:r w:rsidR="00E26228">
          <w:rPr>
            <w:noProof/>
            <w:webHidden/>
          </w:rPr>
          <w:t>275</w:t>
        </w:r>
        <w:r w:rsidR="00C424AA" w:rsidRPr="008625DC">
          <w:rPr>
            <w:noProof/>
            <w:webHidden/>
          </w:rPr>
          <w:fldChar w:fldCharType="end"/>
        </w:r>
      </w:hyperlink>
    </w:p>
    <w:p w14:paraId="6B228B89" w14:textId="798497F6" w:rsidR="00C424AA" w:rsidRPr="008625DC" w:rsidRDefault="00AD530F">
      <w:pPr>
        <w:pStyle w:val="TOC1"/>
        <w:rPr>
          <w:rFonts w:asciiTheme="minorHAnsi" w:eastAsiaTheme="minorEastAsia" w:hAnsiTheme="minorHAnsi" w:cstheme="minorBidi"/>
          <w:b w:val="0"/>
          <w:caps w:val="0"/>
          <w:noProof/>
          <w:color w:val="auto"/>
          <w:sz w:val="22"/>
        </w:rPr>
      </w:pPr>
      <w:hyperlink w:anchor="_Toc398827611" w:history="1">
        <w:r w:rsidR="00C424AA" w:rsidRPr="008625DC">
          <w:rPr>
            <w:rStyle w:val="Hyperlink"/>
            <w:noProof/>
            <w14:scene3d>
              <w14:camera w14:prst="orthographicFront"/>
              <w14:lightRig w14:rig="threePt" w14:dir="t">
                <w14:rot w14:lat="0" w14:lon="0" w14:rev="0"/>
              </w14:lightRig>
            </w14:scene3d>
          </w:rPr>
          <w:t>22</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Institutional structures for future competition policy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_Toc398827611 \h </w:instrText>
        </w:r>
        <w:r w:rsidR="00C424AA" w:rsidRPr="008625DC">
          <w:rPr>
            <w:noProof/>
            <w:webHidden/>
          </w:rPr>
        </w:r>
        <w:r w:rsidR="00C424AA" w:rsidRPr="008625DC">
          <w:rPr>
            <w:noProof/>
            <w:webHidden/>
          </w:rPr>
          <w:fldChar w:fldCharType="separate"/>
        </w:r>
        <w:r w:rsidR="00E26228">
          <w:rPr>
            <w:noProof/>
            <w:webHidden/>
          </w:rPr>
          <w:t>276</w:t>
        </w:r>
        <w:r w:rsidR="00C424AA" w:rsidRPr="008625DC">
          <w:rPr>
            <w:noProof/>
            <w:webHidden/>
          </w:rPr>
          <w:fldChar w:fldCharType="end"/>
        </w:r>
      </w:hyperlink>
    </w:p>
    <w:p w14:paraId="274FF524" w14:textId="6EC6BFAF" w:rsidR="00C424AA" w:rsidRPr="008625DC" w:rsidRDefault="00AD530F">
      <w:pPr>
        <w:pStyle w:val="TOC2"/>
        <w:rPr>
          <w:rFonts w:asciiTheme="minorHAnsi" w:eastAsiaTheme="minorEastAsia" w:hAnsiTheme="minorHAnsi" w:cstheme="minorBidi"/>
          <w:noProof/>
          <w:color w:val="auto"/>
          <w:szCs w:val="22"/>
        </w:rPr>
      </w:pPr>
      <w:hyperlink w:anchor="_Toc398827612" w:history="1">
        <w:r w:rsidR="00C424AA" w:rsidRPr="008625DC">
          <w:rPr>
            <w:rStyle w:val="Hyperlink"/>
            <w:noProof/>
            <w14:scene3d>
              <w14:camera w14:prst="orthographicFront"/>
              <w14:lightRig w14:rig="threePt" w14:dir="t">
                <w14:rot w14:lat="0" w14:lon="0" w14:rev="0"/>
              </w14:lightRig>
            </w14:scene3d>
          </w:rPr>
          <w:t>22.1</w:t>
        </w:r>
        <w:r w:rsidR="00C424AA" w:rsidRPr="008625DC">
          <w:rPr>
            <w:rFonts w:asciiTheme="minorHAnsi" w:eastAsiaTheme="minorEastAsia" w:hAnsiTheme="minorHAnsi" w:cstheme="minorBidi"/>
            <w:noProof/>
            <w:color w:val="auto"/>
            <w:szCs w:val="22"/>
          </w:rPr>
          <w:tab/>
        </w:r>
        <w:r w:rsidR="00C424AA" w:rsidRPr="008625DC">
          <w:rPr>
            <w:rStyle w:val="Hyperlink"/>
            <w:noProof/>
          </w:rPr>
          <w:t>Lessons from NCP</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_Toc398827612 \h </w:instrText>
        </w:r>
        <w:r w:rsidR="00C424AA" w:rsidRPr="008625DC">
          <w:rPr>
            <w:noProof/>
            <w:webHidden/>
          </w:rPr>
        </w:r>
        <w:r w:rsidR="00C424AA" w:rsidRPr="008625DC">
          <w:rPr>
            <w:noProof/>
            <w:webHidden/>
          </w:rPr>
          <w:fldChar w:fldCharType="separate"/>
        </w:r>
        <w:r w:rsidR="00E26228">
          <w:rPr>
            <w:noProof/>
            <w:webHidden/>
          </w:rPr>
          <w:t>276</w:t>
        </w:r>
        <w:r w:rsidR="00C424AA" w:rsidRPr="008625DC">
          <w:rPr>
            <w:noProof/>
            <w:webHidden/>
          </w:rPr>
          <w:fldChar w:fldCharType="end"/>
        </w:r>
      </w:hyperlink>
    </w:p>
    <w:p w14:paraId="417C2EFC" w14:textId="59B49E6C" w:rsidR="00C424AA" w:rsidRPr="008625DC" w:rsidRDefault="00AD530F">
      <w:pPr>
        <w:pStyle w:val="TOC2"/>
        <w:rPr>
          <w:rFonts w:asciiTheme="minorHAnsi" w:eastAsiaTheme="minorEastAsia" w:hAnsiTheme="minorHAnsi" w:cstheme="minorBidi"/>
          <w:noProof/>
          <w:color w:val="auto"/>
          <w:szCs w:val="22"/>
        </w:rPr>
      </w:pPr>
      <w:hyperlink w:anchor="_Toc398827613" w:history="1">
        <w:r w:rsidR="00C424AA" w:rsidRPr="008625DC">
          <w:rPr>
            <w:rStyle w:val="Hyperlink"/>
            <w:noProof/>
            <w14:scene3d>
              <w14:camera w14:prst="orthographicFront"/>
              <w14:lightRig w14:rig="threePt" w14:dir="t">
                <w14:rot w14:lat="0" w14:lon="0" w14:rev="0"/>
              </w14:lightRig>
            </w14:scene3d>
          </w:rPr>
          <w:t>22.2</w:t>
        </w:r>
        <w:r w:rsidR="00C424AA" w:rsidRPr="008625DC">
          <w:rPr>
            <w:rFonts w:asciiTheme="minorHAnsi" w:eastAsiaTheme="minorEastAsia" w:hAnsiTheme="minorHAnsi" w:cstheme="minorBidi"/>
            <w:noProof/>
            <w:color w:val="auto"/>
            <w:szCs w:val="22"/>
          </w:rPr>
          <w:tab/>
        </w:r>
        <w:r w:rsidR="00C424AA" w:rsidRPr="008625DC">
          <w:rPr>
            <w:rStyle w:val="Hyperlink"/>
            <w:noProof/>
          </w:rPr>
          <w:t>A national approach to competition policy</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_Toc398827613 \h </w:instrText>
        </w:r>
        <w:r w:rsidR="00C424AA" w:rsidRPr="008625DC">
          <w:rPr>
            <w:noProof/>
            <w:webHidden/>
          </w:rPr>
        </w:r>
        <w:r w:rsidR="00C424AA" w:rsidRPr="008625DC">
          <w:rPr>
            <w:noProof/>
            <w:webHidden/>
          </w:rPr>
          <w:fldChar w:fldCharType="separate"/>
        </w:r>
        <w:r w:rsidR="00E26228">
          <w:rPr>
            <w:noProof/>
            <w:webHidden/>
          </w:rPr>
          <w:t>277</w:t>
        </w:r>
        <w:r w:rsidR="00C424AA" w:rsidRPr="008625DC">
          <w:rPr>
            <w:noProof/>
            <w:webHidden/>
          </w:rPr>
          <w:fldChar w:fldCharType="end"/>
        </w:r>
      </w:hyperlink>
    </w:p>
    <w:p w14:paraId="54234945" w14:textId="012E8D33" w:rsidR="00C424AA" w:rsidRPr="008625DC" w:rsidRDefault="00AD530F">
      <w:pPr>
        <w:pStyle w:val="TOC2"/>
        <w:rPr>
          <w:rFonts w:asciiTheme="minorHAnsi" w:eastAsiaTheme="minorEastAsia" w:hAnsiTheme="minorHAnsi" w:cstheme="minorBidi"/>
          <w:noProof/>
          <w:color w:val="auto"/>
          <w:szCs w:val="22"/>
        </w:rPr>
      </w:pPr>
      <w:hyperlink w:anchor="_Toc398827614" w:history="1">
        <w:r w:rsidR="00C424AA" w:rsidRPr="008625DC">
          <w:rPr>
            <w:rStyle w:val="Hyperlink"/>
            <w:noProof/>
            <w14:scene3d>
              <w14:camera w14:prst="orthographicFront"/>
              <w14:lightRig w14:rig="threePt" w14:dir="t">
                <w14:rot w14:lat="0" w14:lon="0" w14:rev="0"/>
              </w14:lightRig>
            </w14:scene3d>
          </w:rPr>
          <w:t>22.3</w:t>
        </w:r>
        <w:r w:rsidR="00C424AA" w:rsidRPr="008625DC">
          <w:rPr>
            <w:rFonts w:asciiTheme="minorHAnsi" w:eastAsiaTheme="minorEastAsia" w:hAnsiTheme="minorHAnsi" w:cstheme="minorBidi"/>
            <w:noProof/>
            <w:color w:val="auto"/>
            <w:szCs w:val="22"/>
          </w:rPr>
          <w:tab/>
        </w:r>
        <w:r w:rsidR="00C424AA" w:rsidRPr="008625DC">
          <w:rPr>
            <w:rStyle w:val="Hyperlink"/>
            <w:noProof/>
          </w:rPr>
          <w:t>A new competition policy institution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_Toc398827614 \h </w:instrText>
        </w:r>
        <w:r w:rsidR="00C424AA" w:rsidRPr="008625DC">
          <w:rPr>
            <w:noProof/>
            <w:webHidden/>
          </w:rPr>
        </w:r>
        <w:r w:rsidR="00C424AA" w:rsidRPr="008625DC">
          <w:rPr>
            <w:noProof/>
            <w:webHidden/>
          </w:rPr>
          <w:fldChar w:fldCharType="separate"/>
        </w:r>
        <w:r w:rsidR="00E26228">
          <w:rPr>
            <w:noProof/>
            <w:webHidden/>
          </w:rPr>
          <w:t>283</w:t>
        </w:r>
        <w:r w:rsidR="00C424AA" w:rsidRPr="008625DC">
          <w:rPr>
            <w:noProof/>
            <w:webHidden/>
          </w:rPr>
          <w:fldChar w:fldCharType="end"/>
        </w:r>
      </w:hyperlink>
    </w:p>
    <w:p w14:paraId="68BEC018" w14:textId="71EB8995" w:rsidR="00C424AA" w:rsidRPr="008625DC" w:rsidRDefault="00AD530F">
      <w:pPr>
        <w:pStyle w:val="TOC1"/>
        <w:rPr>
          <w:rFonts w:asciiTheme="minorHAnsi" w:eastAsiaTheme="minorEastAsia" w:hAnsiTheme="minorHAnsi" w:cstheme="minorBidi"/>
          <w:b w:val="0"/>
          <w:caps w:val="0"/>
          <w:noProof/>
          <w:color w:val="auto"/>
          <w:sz w:val="22"/>
        </w:rPr>
      </w:pPr>
      <w:hyperlink w:anchor="_Toc398827615" w:history="1">
        <w:r w:rsidR="00C424AA" w:rsidRPr="008625DC">
          <w:rPr>
            <w:rStyle w:val="Hyperlink"/>
            <w:noProof/>
            <w14:scene3d>
              <w14:camera w14:prst="orthographicFront"/>
              <w14:lightRig w14:rig="threePt" w14:dir="t">
                <w14:rot w14:lat="0" w14:lon="0" w14:rev="0"/>
              </w14:lightRig>
            </w14:scene3d>
          </w:rPr>
          <w:t>23</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Enforcement of competition law</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_Toc398827615 \h </w:instrText>
        </w:r>
        <w:r w:rsidR="00C424AA" w:rsidRPr="008625DC">
          <w:rPr>
            <w:noProof/>
            <w:webHidden/>
          </w:rPr>
        </w:r>
        <w:r w:rsidR="00C424AA" w:rsidRPr="008625DC">
          <w:rPr>
            <w:noProof/>
            <w:webHidden/>
          </w:rPr>
          <w:fldChar w:fldCharType="separate"/>
        </w:r>
        <w:r w:rsidR="00E26228">
          <w:rPr>
            <w:noProof/>
            <w:webHidden/>
          </w:rPr>
          <w:t>288</w:t>
        </w:r>
        <w:r w:rsidR="00C424AA" w:rsidRPr="008625DC">
          <w:rPr>
            <w:noProof/>
            <w:webHidden/>
          </w:rPr>
          <w:fldChar w:fldCharType="end"/>
        </w:r>
      </w:hyperlink>
    </w:p>
    <w:p w14:paraId="78DC455D" w14:textId="740A11D6" w:rsidR="00C424AA" w:rsidRPr="008625DC" w:rsidRDefault="00AD530F">
      <w:pPr>
        <w:pStyle w:val="TOC2"/>
        <w:rPr>
          <w:rFonts w:asciiTheme="minorHAnsi" w:eastAsiaTheme="minorEastAsia" w:hAnsiTheme="minorHAnsi" w:cstheme="minorBidi"/>
          <w:noProof/>
          <w:color w:val="auto"/>
          <w:szCs w:val="22"/>
        </w:rPr>
      </w:pPr>
      <w:hyperlink w:anchor="_Toc398827616" w:history="1">
        <w:r w:rsidR="00C424AA" w:rsidRPr="008625DC">
          <w:rPr>
            <w:rStyle w:val="Hyperlink"/>
            <w:noProof/>
            <w14:scene3d>
              <w14:camera w14:prst="orthographicFront"/>
              <w14:lightRig w14:rig="threePt" w14:dir="t">
                <w14:rot w14:lat="0" w14:lon="0" w14:rev="0"/>
              </w14:lightRig>
            </w14:scene3d>
          </w:rPr>
          <w:t>23.1</w:t>
        </w:r>
        <w:r w:rsidR="00C424AA" w:rsidRPr="008625DC">
          <w:rPr>
            <w:rFonts w:asciiTheme="minorHAnsi" w:eastAsiaTheme="minorEastAsia" w:hAnsiTheme="minorHAnsi" w:cstheme="minorBidi"/>
            <w:noProof/>
            <w:color w:val="auto"/>
            <w:szCs w:val="22"/>
          </w:rPr>
          <w:tab/>
        </w:r>
        <w:r w:rsidR="00C424AA" w:rsidRPr="008625DC">
          <w:rPr>
            <w:rStyle w:val="Hyperlink"/>
            <w:noProof/>
          </w:rPr>
          <w:t>Competition and consumer protection functions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_Toc398827616 \h </w:instrText>
        </w:r>
        <w:r w:rsidR="00C424AA" w:rsidRPr="008625DC">
          <w:rPr>
            <w:noProof/>
            <w:webHidden/>
          </w:rPr>
        </w:r>
        <w:r w:rsidR="00C424AA" w:rsidRPr="008625DC">
          <w:rPr>
            <w:noProof/>
            <w:webHidden/>
          </w:rPr>
          <w:fldChar w:fldCharType="separate"/>
        </w:r>
        <w:r w:rsidR="00E26228">
          <w:rPr>
            <w:noProof/>
            <w:webHidden/>
          </w:rPr>
          <w:t>288</w:t>
        </w:r>
        <w:r w:rsidR="00C424AA" w:rsidRPr="008625DC">
          <w:rPr>
            <w:noProof/>
            <w:webHidden/>
          </w:rPr>
          <w:fldChar w:fldCharType="end"/>
        </w:r>
      </w:hyperlink>
    </w:p>
    <w:p w14:paraId="355DE929" w14:textId="415B3BF3" w:rsidR="00C424AA" w:rsidRPr="008625DC" w:rsidRDefault="00AD530F">
      <w:pPr>
        <w:pStyle w:val="TOC2"/>
        <w:rPr>
          <w:rFonts w:asciiTheme="minorHAnsi" w:eastAsiaTheme="minorEastAsia" w:hAnsiTheme="minorHAnsi" w:cstheme="minorBidi"/>
          <w:noProof/>
          <w:color w:val="auto"/>
          <w:szCs w:val="22"/>
        </w:rPr>
      </w:pPr>
      <w:hyperlink w:anchor="_Toc398827617" w:history="1">
        <w:r w:rsidR="00C424AA" w:rsidRPr="008625DC">
          <w:rPr>
            <w:rStyle w:val="Hyperlink"/>
            <w:noProof/>
            <w14:scene3d>
              <w14:camera w14:prst="orthographicFront"/>
              <w14:lightRig w14:rig="threePt" w14:dir="t">
                <w14:rot w14:lat="0" w14:lon="0" w14:rev="0"/>
              </w14:lightRig>
            </w14:scene3d>
          </w:rPr>
          <w:t>23.2</w:t>
        </w:r>
        <w:r w:rsidR="00C424AA" w:rsidRPr="008625DC">
          <w:rPr>
            <w:rFonts w:asciiTheme="minorHAnsi" w:eastAsiaTheme="minorEastAsia" w:hAnsiTheme="minorHAnsi" w:cstheme="minorBidi"/>
            <w:noProof/>
            <w:color w:val="auto"/>
            <w:szCs w:val="22"/>
          </w:rPr>
          <w:tab/>
        </w:r>
        <w:r w:rsidR="00C424AA" w:rsidRPr="008625DC">
          <w:rPr>
            <w:rStyle w:val="Hyperlink"/>
            <w:noProof/>
          </w:rPr>
          <w:t>ACCC accountability and governance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_Toc398827617 \h </w:instrText>
        </w:r>
        <w:r w:rsidR="00C424AA" w:rsidRPr="008625DC">
          <w:rPr>
            <w:noProof/>
            <w:webHidden/>
          </w:rPr>
        </w:r>
        <w:r w:rsidR="00C424AA" w:rsidRPr="008625DC">
          <w:rPr>
            <w:noProof/>
            <w:webHidden/>
          </w:rPr>
          <w:fldChar w:fldCharType="separate"/>
        </w:r>
        <w:r w:rsidR="00E26228">
          <w:rPr>
            <w:noProof/>
            <w:webHidden/>
          </w:rPr>
          <w:t>290</w:t>
        </w:r>
        <w:r w:rsidR="00C424AA" w:rsidRPr="008625DC">
          <w:rPr>
            <w:noProof/>
            <w:webHidden/>
          </w:rPr>
          <w:fldChar w:fldCharType="end"/>
        </w:r>
      </w:hyperlink>
    </w:p>
    <w:p w14:paraId="6EC6A4C8" w14:textId="6417A0D5" w:rsidR="00C424AA" w:rsidRPr="008625DC" w:rsidRDefault="00AD530F">
      <w:pPr>
        <w:pStyle w:val="TOC2"/>
        <w:rPr>
          <w:rFonts w:asciiTheme="minorHAnsi" w:eastAsiaTheme="minorEastAsia" w:hAnsiTheme="minorHAnsi" w:cstheme="minorBidi"/>
          <w:noProof/>
          <w:color w:val="auto"/>
          <w:szCs w:val="22"/>
        </w:rPr>
      </w:pPr>
      <w:hyperlink w:anchor="_Toc398827618" w:history="1">
        <w:r w:rsidR="00C424AA" w:rsidRPr="008625DC">
          <w:rPr>
            <w:rStyle w:val="Hyperlink"/>
            <w:noProof/>
            <w14:scene3d>
              <w14:camera w14:prst="orthographicFront"/>
              <w14:lightRig w14:rig="threePt" w14:dir="t">
                <w14:rot w14:lat="0" w14:lon="0" w14:rev="0"/>
              </w14:lightRig>
            </w14:scene3d>
          </w:rPr>
          <w:t>23.3</w:t>
        </w:r>
        <w:r w:rsidR="00C424AA" w:rsidRPr="008625DC">
          <w:rPr>
            <w:rFonts w:asciiTheme="minorHAnsi" w:eastAsiaTheme="minorEastAsia" w:hAnsiTheme="minorHAnsi" w:cstheme="minorBidi"/>
            <w:noProof/>
            <w:color w:val="auto"/>
            <w:szCs w:val="22"/>
          </w:rPr>
          <w:tab/>
        </w:r>
        <w:r w:rsidR="00C424AA" w:rsidRPr="008625DC">
          <w:rPr>
            <w:rStyle w:val="Hyperlink"/>
            <w:noProof/>
          </w:rPr>
          <w:t>ACCC and the media</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_Toc398827618 \h </w:instrText>
        </w:r>
        <w:r w:rsidR="00C424AA" w:rsidRPr="008625DC">
          <w:rPr>
            <w:noProof/>
            <w:webHidden/>
          </w:rPr>
        </w:r>
        <w:r w:rsidR="00C424AA" w:rsidRPr="008625DC">
          <w:rPr>
            <w:noProof/>
            <w:webHidden/>
          </w:rPr>
          <w:fldChar w:fldCharType="separate"/>
        </w:r>
        <w:r w:rsidR="00E26228">
          <w:rPr>
            <w:noProof/>
            <w:webHidden/>
          </w:rPr>
          <w:t>292</w:t>
        </w:r>
        <w:r w:rsidR="00C424AA" w:rsidRPr="008625DC">
          <w:rPr>
            <w:noProof/>
            <w:webHidden/>
          </w:rPr>
          <w:fldChar w:fldCharType="end"/>
        </w:r>
      </w:hyperlink>
    </w:p>
    <w:p w14:paraId="55AC7328" w14:textId="7981F71F" w:rsidR="00C424AA" w:rsidRPr="008625DC" w:rsidRDefault="00AD530F">
      <w:pPr>
        <w:pStyle w:val="TOC1"/>
        <w:rPr>
          <w:rFonts w:asciiTheme="minorHAnsi" w:eastAsiaTheme="minorEastAsia" w:hAnsiTheme="minorHAnsi" w:cstheme="minorBidi"/>
          <w:b w:val="0"/>
          <w:caps w:val="0"/>
          <w:noProof/>
          <w:color w:val="auto"/>
          <w:sz w:val="22"/>
        </w:rPr>
      </w:pPr>
      <w:hyperlink w:anchor="_Toc398827619" w:history="1">
        <w:r w:rsidR="00C424AA" w:rsidRPr="008625DC">
          <w:rPr>
            <w:rStyle w:val="Hyperlink"/>
            <w:noProof/>
            <w14:scene3d>
              <w14:camera w14:prst="orthographicFront"/>
              <w14:lightRig w14:rig="threePt" w14:dir="t">
                <w14:rot w14:lat="0" w14:lon="0" w14:rev="0"/>
              </w14:lightRig>
            </w14:scene3d>
          </w:rPr>
          <w:t>24</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Access and pricing regulation</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_Toc398827619 \h </w:instrText>
        </w:r>
        <w:r w:rsidR="00C424AA" w:rsidRPr="008625DC">
          <w:rPr>
            <w:noProof/>
            <w:webHidden/>
          </w:rPr>
        </w:r>
        <w:r w:rsidR="00C424AA" w:rsidRPr="008625DC">
          <w:rPr>
            <w:noProof/>
            <w:webHidden/>
          </w:rPr>
          <w:fldChar w:fldCharType="separate"/>
        </w:r>
        <w:r w:rsidR="00E26228">
          <w:rPr>
            <w:noProof/>
            <w:webHidden/>
          </w:rPr>
          <w:t>294</w:t>
        </w:r>
        <w:r w:rsidR="00C424AA" w:rsidRPr="008625DC">
          <w:rPr>
            <w:noProof/>
            <w:webHidden/>
          </w:rPr>
          <w:fldChar w:fldCharType="end"/>
        </w:r>
      </w:hyperlink>
    </w:p>
    <w:p w14:paraId="53CAB1F4" w14:textId="09F2681C" w:rsidR="00C424AA" w:rsidRPr="008625DC" w:rsidRDefault="00AD530F">
      <w:pPr>
        <w:pStyle w:val="TOC2"/>
        <w:rPr>
          <w:rFonts w:asciiTheme="minorHAnsi" w:eastAsiaTheme="minorEastAsia" w:hAnsiTheme="minorHAnsi" w:cstheme="minorBidi"/>
          <w:noProof/>
          <w:color w:val="auto"/>
          <w:szCs w:val="22"/>
        </w:rPr>
      </w:pPr>
      <w:hyperlink w:anchor="_Toc398827620" w:history="1">
        <w:r w:rsidR="00C424AA" w:rsidRPr="008625DC">
          <w:rPr>
            <w:rStyle w:val="Hyperlink"/>
            <w:noProof/>
            <w14:scene3d>
              <w14:camera w14:prst="orthographicFront"/>
              <w14:lightRig w14:rig="threePt" w14:dir="t">
                <w14:rot w14:lat="0" w14:lon="0" w14:rev="0"/>
              </w14:lightRig>
            </w14:scene3d>
          </w:rPr>
          <w:t>24.1</w:t>
        </w:r>
        <w:r w:rsidR="00C424AA" w:rsidRPr="008625DC">
          <w:rPr>
            <w:rFonts w:asciiTheme="minorHAnsi" w:eastAsiaTheme="minorEastAsia" w:hAnsiTheme="minorHAnsi" w:cstheme="minorBidi"/>
            <w:noProof/>
            <w:color w:val="auto"/>
            <w:szCs w:val="22"/>
          </w:rPr>
          <w:tab/>
        </w:r>
        <w:r w:rsidR="00C424AA" w:rsidRPr="008625DC">
          <w:rPr>
            <w:rStyle w:val="Hyperlink"/>
            <w:noProof/>
          </w:rPr>
          <w:t>State and territory regulators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_Toc398827620 \h </w:instrText>
        </w:r>
        <w:r w:rsidR="00C424AA" w:rsidRPr="008625DC">
          <w:rPr>
            <w:noProof/>
            <w:webHidden/>
          </w:rPr>
        </w:r>
        <w:r w:rsidR="00C424AA" w:rsidRPr="008625DC">
          <w:rPr>
            <w:noProof/>
            <w:webHidden/>
          </w:rPr>
          <w:fldChar w:fldCharType="separate"/>
        </w:r>
        <w:r w:rsidR="00E26228">
          <w:rPr>
            <w:noProof/>
            <w:webHidden/>
          </w:rPr>
          <w:t>294</w:t>
        </w:r>
        <w:r w:rsidR="00C424AA" w:rsidRPr="008625DC">
          <w:rPr>
            <w:noProof/>
            <w:webHidden/>
          </w:rPr>
          <w:fldChar w:fldCharType="end"/>
        </w:r>
      </w:hyperlink>
    </w:p>
    <w:p w14:paraId="2219B11D" w14:textId="3390B9C9" w:rsidR="00C424AA" w:rsidRPr="008625DC" w:rsidRDefault="00AD530F">
      <w:pPr>
        <w:pStyle w:val="TOC2"/>
        <w:rPr>
          <w:rFonts w:asciiTheme="minorHAnsi" w:eastAsiaTheme="minorEastAsia" w:hAnsiTheme="minorHAnsi" w:cstheme="minorBidi"/>
          <w:noProof/>
          <w:color w:val="auto"/>
          <w:szCs w:val="22"/>
        </w:rPr>
      </w:pPr>
      <w:hyperlink w:anchor="_Toc398827621" w:history="1">
        <w:r w:rsidR="00C424AA" w:rsidRPr="008625DC">
          <w:rPr>
            <w:rStyle w:val="Hyperlink"/>
            <w:noProof/>
            <w14:scene3d>
              <w14:camera w14:prst="orthographicFront"/>
              <w14:lightRig w14:rig="threePt" w14:dir="t">
                <w14:rot w14:lat="0" w14:lon="0" w14:rev="0"/>
              </w14:lightRig>
            </w14:scene3d>
          </w:rPr>
          <w:t>24.2</w:t>
        </w:r>
        <w:r w:rsidR="00C424AA" w:rsidRPr="008625DC">
          <w:rPr>
            <w:rFonts w:asciiTheme="minorHAnsi" w:eastAsiaTheme="minorEastAsia" w:hAnsiTheme="minorHAnsi" w:cstheme="minorBidi"/>
            <w:noProof/>
            <w:color w:val="auto"/>
            <w:szCs w:val="22"/>
          </w:rPr>
          <w:tab/>
        </w:r>
        <w:r w:rsidR="00C424AA" w:rsidRPr="008625DC">
          <w:rPr>
            <w:rStyle w:val="Hyperlink"/>
            <w:rFonts w:eastAsiaTheme="minorHAnsi"/>
            <w:noProof/>
            <w:lang w:eastAsia="en-US"/>
          </w:rPr>
          <w:t>A separate national access and pricing regulator</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_Toc398827621 \h </w:instrText>
        </w:r>
        <w:r w:rsidR="00C424AA" w:rsidRPr="008625DC">
          <w:rPr>
            <w:noProof/>
            <w:webHidden/>
          </w:rPr>
        </w:r>
        <w:r w:rsidR="00C424AA" w:rsidRPr="008625DC">
          <w:rPr>
            <w:noProof/>
            <w:webHidden/>
          </w:rPr>
          <w:fldChar w:fldCharType="separate"/>
        </w:r>
        <w:r w:rsidR="00E26228">
          <w:rPr>
            <w:noProof/>
            <w:webHidden/>
          </w:rPr>
          <w:t>295</w:t>
        </w:r>
        <w:r w:rsidR="00C424AA" w:rsidRPr="008625DC">
          <w:rPr>
            <w:noProof/>
            <w:webHidden/>
          </w:rPr>
          <w:fldChar w:fldCharType="end"/>
        </w:r>
      </w:hyperlink>
    </w:p>
    <w:p w14:paraId="4EAC6659" w14:textId="52343606" w:rsidR="00C424AA" w:rsidRPr="008625DC" w:rsidRDefault="00AD530F">
      <w:pPr>
        <w:pStyle w:val="TOC1"/>
        <w:rPr>
          <w:rFonts w:asciiTheme="minorHAnsi" w:eastAsiaTheme="minorEastAsia" w:hAnsiTheme="minorHAnsi" w:cstheme="minorBidi"/>
          <w:b w:val="0"/>
          <w:caps w:val="0"/>
          <w:noProof/>
          <w:color w:val="auto"/>
          <w:sz w:val="22"/>
        </w:rPr>
      </w:pPr>
      <w:hyperlink w:anchor="_Toc398827622" w:history="1">
        <w:r w:rsidR="00C424AA" w:rsidRPr="008625DC">
          <w:rPr>
            <w:rStyle w:val="Hyperlink"/>
            <w:noProof/>
            <w14:scene3d>
              <w14:camera w14:prst="orthographicFront"/>
              <w14:lightRig w14:rig="threePt" w14:dir="t">
                <w14:rot w14:lat="0" w14:lon="0" w14:rev="0"/>
              </w14:lightRig>
            </w14:scene3d>
          </w:rPr>
          <w:t>25</w:t>
        </w:r>
        <w:r w:rsidR="00C424AA" w:rsidRPr="008625DC">
          <w:rPr>
            <w:rFonts w:asciiTheme="minorHAnsi" w:eastAsiaTheme="minorEastAsia" w:hAnsiTheme="minorHAnsi" w:cstheme="minorBidi"/>
            <w:b w:val="0"/>
            <w:caps w:val="0"/>
            <w:noProof/>
            <w:color w:val="auto"/>
            <w:sz w:val="22"/>
          </w:rPr>
          <w:tab/>
        </w:r>
        <w:r w:rsidR="00C424AA" w:rsidRPr="008625DC">
          <w:rPr>
            <w:rStyle w:val="Hyperlink"/>
            <w:noProof/>
          </w:rPr>
          <w:t>Review of competition and regulatory decisions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_Toc398827622 \h </w:instrText>
        </w:r>
        <w:r w:rsidR="00C424AA" w:rsidRPr="008625DC">
          <w:rPr>
            <w:noProof/>
            <w:webHidden/>
          </w:rPr>
        </w:r>
        <w:r w:rsidR="00C424AA" w:rsidRPr="008625DC">
          <w:rPr>
            <w:noProof/>
            <w:webHidden/>
          </w:rPr>
          <w:fldChar w:fldCharType="separate"/>
        </w:r>
        <w:r w:rsidR="00E26228">
          <w:rPr>
            <w:noProof/>
            <w:webHidden/>
          </w:rPr>
          <w:t>298</w:t>
        </w:r>
        <w:r w:rsidR="00C424AA" w:rsidRPr="008625DC">
          <w:rPr>
            <w:noProof/>
            <w:webHidden/>
          </w:rPr>
          <w:fldChar w:fldCharType="end"/>
        </w:r>
      </w:hyperlink>
    </w:p>
    <w:p w14:paraId="46DF42BE" w14:textId="3809747F" w:rsidR="00C424AA" w:rsidRPr="008625DC" w:rsidRDefault="00AD530F">
      <w:pPr>
        <w:pStyle w:val="TOC1"/>
        <w:rPr>
          <w:rFonts w:asciiTheme="minorHAnsi" w:eastAsiaTheme="minorEastAsia" w:hAnsiTheme="minorHAnsi" w:cstheme="minorBidi"/>
          <w:b w:val="0"/>
          <w:caps w:val="0"/>
          <w:noProof/>
          <w:color w:val="auto"/>
          <w:sz w:val="22"/>
        </w:rPr>
      </w:pPr>
      <w:hyperlink w:anchor="_Toc398827623" w:history="1">
        <w:r w:rsidR="00C424AA" w:rsidRPr="008625DC">
          <w:rPr>
            <w:rStyle w:val="Hyperlink"/>
            <w:noProof/>
          </w:rPr>
          <w:t>Appendix A — Terms of Reference</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_Toc398827623 \h </w:instrText>
        </w:r>
        <w:r w:rsidR="00C424AA" w:rsidRPr="008625DC">
          <w:rPr>
            <w:noProof/>
            <w:webHidden/>
          </w:rPr>
        </w:r>
        <w:r w:rsidR="00C424AA" w:rsidRPr="008625DC">
          <w:rPr>
            <w:noProof/>
            <w:webHidden/>
          </w:rPr>
          <w:fldChar w:fldCharType="separate"/>
        </w:r>
        <w:r w:rsidR="00E26228">
          <w:rPr>
            <w:noProof/>
            <w:webHidden/>
          </w:rPr>
          <w:t>300</w:t>
        </w:r>
        <w:r w:rsidR="00C424AA" w:rsidRPr="008625DC">
          <w:rPr>
            <w:noProof/>
            <w:webHidden/>
          </w:rPr>
          <w:fldChar w:fldCharType="end"/>
        </w:r>
      </w:hyperlink>
    </w:p>
    <w:p w14:paraId="7E1047C4" w14:textId="5DC710B0" w:rsidR="00C424AA" w:rsidRPr="008625DC" w:rsidRDefault="00AD530F">
      <w:pPr>
        <w:pStyle w:val="TOC1"/>
        <w:rPr>
          <w:rFonts w:asciiTheme="minorHAnsi" w:eastAsiaTheme="minorEastAsia" w:hAnsiTheme="minorHAnsi" w:cstheme="minorBidi"/>
          <w:b w:val="0"/>
          <w:caps w:val="0"/>
          <w:noProof/>
          <w:color w:val="auto"/>
          <w:sz w:val="22"/>
        </w:rPr>
      </w:pPr>
      <w:hyperlink w:anchor="_Toc398827624" w:history="1">
        <w:r w:rsidR="00C424AA" w:rsidRPr="008625DC">
          <w:rPr>
            <w:rStyle w:val="Hyperlink"/>
            <w:noProof/>
          </w:rPr>
          <w:t>Appendix B — List of non</w:t>
        </w:r>
        <w:r w:rsidR="00C424AA" w:rsidRPr="008625DC">
          <w:rPr>
            <w:rStyle w:val="Hyperlink"/>
            <w:noProof/>
          </w:rPr>
          <w:noBreakHyphen/>
          <w:t>confidential submissions</w:t>
        </w:r>
        <w:r w:rsidR="00C424AA" w:rsidRPr="008625DC">
          <w:rPr>
            <w:noProof/>
            <w:webHidden/>
          </w:rPr>
          <w:tab/>
        </w:r>
        <w:r w:rsidR="00C424AA" w:rsidRPr="008625DC">
          <w:rPr>
            <w:noProof/>
            <w:webHidden/>
          </w:rPr>
          <w:fldChar w:fldCharType="begin"/>
        </w:r>
        <w:r w:rsidR="00C424AA" w:rsidRPr="008625DC">
          <w:rPr>
            <w:noProof/>
            <w:webHidden/>
          </w:rPr>
          <w:instrText xml:space="preserve"> PAGEREF _Toc398827624 \h </w:instrText>
        </w:r>
        <w:r w:rsidR="00C424AA" w:rsidRPr="008625DC">
          <w:rPr>
            <w:noProof/>
            <w:webHidden/>
          </w:rPr>
        </w:r>
        <w:r w:rsidR="00C424AA" w:rsidRPr="008625DC">
          <w:rPr>
            <w:noProof/>
            <w:webHidden/>
          </w:rPr>
          <w:fldChar w:fldCharType="separate"/>
        </w:r>
        <w:r w:rsidR="00E26228">
          <w:rPr>
            <w:noProof/>
            <w:webHidden/>
          </w:rPr>
          <w:t>304</w:t>
        </w:r>
        <w:r w:rsidR="00C424AA" w:rsidRPr="008625DC">
          <w:rPr>
            <w:noProof/>
            <w:webHidden/>
          </w:rPr>
          <w:fldChar w:fldCharType="end"/>
        </w:r>
      </w:hyperlink>
    </w:p>
    <w:p w14:paraId="2ED942E3" w14:textId="4FA0D04F" w:rsidR="007F0802" w:rsidRPr="008625DC" w:rsidRDefault="000C034A" w:rsidP="00F03A9D">
      <w:pPr>
        <w:sectPr w:rsidR="007F0802" w:rsidRPr="008625DC" w:rsidSect="00AA577F">
          <w:headerReference w:type="even" r:id="rId26"/>
          <w:headerReference w:type="default" r:id="rId27"/>
          <w:footerReference w:type="default" r:id="rId28"/>
          <w:headerReference w:type="first" r:id="rId29"/>
          <w:pgSz w:w="11906" w:h="16838" w:code="9"/>
          <w:pgMar w:top="1418" w:right="1418" w:bottom="1418" w:left="1418" w:header="709" w:footer="709" w:gutter="0"/>
          <w:cols w:space="708"/>
          <w:docGrid w:linePitch="360"/>
        </w:sectPr>
      </w:pPr>
      <w:r w:rsidRPr="008625DC">
        <w:rPr>
          <w:rFonts w:ascii="Calibri" w:hAnsi="Calibri"/>
          <w:b/>
          <w:caps/>
          <w:color w:val="009976"/>
          <w:sz w:val="24"/>
          <w:szCs w:val="22"/>
        </w:rPr>
        <w:fldChar w:fldCharType="end"/>
      </w:r>
    </w:p>
    <w:p w14:paraId="622150B6" w14:textId="1C9EACB2" w:rsidR="00B951CC" w:rsidRPr="008625DC" w:rsidRDefault="00B951CC" w:rsidP="009A1623">
      <w:pPr>
        <w:pStyle w:val="Heading1NotNumbered"/>
      </w:pPr>
      <w:bookmarkStart w:id="1" w:name="_Toc392684975"/>
      <w:bookmarkStart w:id="2" w:name="_Toc392685065"/>
      <w:bookmarkStart w:id="3" w:name="_Toc392687228"/>
      <w:bookmarkStart w:id="4" w:name="_Toc392688396"/>
      <w:bookmarkStart w:id="5" w:name="_Toc392689396"/>
      <w:bookmarkStart w:id="6" w:name="_Toc392690180"/>
      <w:bookmarkStart w:id="7" w:name="_Toc392843404"/>
      <w:bookmarkStart w:id="8" w:name="_Toc392853038"/>
      <w:bookmarkStart w:id="9" w:name="_Toc392859795"/>
      <w:bookmarkStart w:id="10" w:name="_Toc392860683"/>
      <w:bookmarkStart w:id="11" w:name="_Toc392861453"/>
      <w:bookmarkStart w:id="12" w:name="_Toc393203409"/>
      <w:bookmarkStart w:id="13" w:name="_Toc393207189"/>
      <w:bookmarkStart w:id="14" w:name="_Toc393207280"/>
      <w:bookmarkStart w:id="15" w:name="_Toc393208053"/>
      <w:bookmarkStart w:id="16" w:name="_Toc393208151"/>
      <w:bookmarkStart w:id="17" w:name="_Toc393208240"/>
      <w:bookmarkStart w:id="18" w:name="_Toc393208329"/>
      <w:bookmarkStart w:id="19" w:name="_Toc393209653"/>
      <w:bookmarkStart w:id="20" w:name="_Toc393276016"/>
      <w:bookmarkStart w:id="21" w:name="_Toc393278914"/>
      <w:bookmarkStart w:id="22" w:name="_Toc393289799"/>
      <w:bookmarkStart w:id="23" w:name="_Toc393289894"/>
      <w:bookmarkStart w:id="24" w:name="_Toc393292279"/>
      <w:bookmarkStart w:id="25" w:name="_Toc393293901"/>
      <w:bookmarkStart w:id="26" w:name="_Toc393294920"/>
      <w:bookmarkStart w:id="27" w:name="_Toc393295225"/>
      <w:bookmarkStart w:id="28" w:name="_Toc393296216"/>
      <w:bookmarkStart w:id="29" w:name="_Toc393363154"/>
      <w:bookmarkStart w:id="30" w:name="_Toc393372211"/>
      <w:bookmarkStart w:id="31" w:name="_Toc393373305"/>
      <w:bookmarkStart w:id="32" w:name="_Toc393374413"/>
      <w:bookmarkStart w:id="33" w:name="_Toc393379183"/>
      <w:bookmarkStart w:id="34" w:name="_Toc393379795"/>
      <w:bookmarkStart w:id="35" w:name="_Toc393379891"/>
      <w:bookmarkStart w:id="36" w:name="_Toc393903572"/>
      <w:bookmarkStart w:id="37" w:name="_Toc393902784"/>
      <w:bookmarkStart w:id="38" w:name="_Toc393905490"/>
      <w:bookmarkStart w:id="39" w:name="_Toc393904346"/>
      <w:bookmarkStart w:id="40" w:name="_Toc393903963"/>
      <w:bookmarkStart w:id="41" w:name="_Toc393905800"/>
      <w:bookmarkStart w:id="42" w:name="_Toc393906181"/>
      <w:bookmarkStart w:id="43" w:name="_Toc393908159"/>
      <w:bookmarkStart w:id="44" w:name="_Toc393906600"/>
      <w:bookmarkStart w:id="45" w:name="_Toc393968127"/>
      <w:bookmarkStart w:id="46" w:name="_Toc393974258"/>
      <w:bookmarkStart w:id="47" w:name="_Toc393977907"/>
      <w:bookmarkStart w:id="48" w:name="_Toc393985291"/>
      <w:bookmarkStart w:id="49" w:name="_Toc393985794"/>
      <w:bookmarkStart w:id="50" w:name="_Toc393986196"/>
      <w:bookmarkStart w:id="51" w:name="_Toc393988206"/>
      <w:bookmarkStart w:id="52" w:name="_Toc393988608"/>
      <w:bookmarkStart w:id="53" w:name="_Toc393986600"/>
      <w:bookmarkStart w:id="54" w:name="_Toc393989620"/>
      <w:bookmarkStart w:id="55" w:name="_Toc393989008"/>
      <w:bookmarkStart w:id="56" w:name="_Toc393991012"/>
      <w:bookmarkStart w:id="57" w:name="_Toc393991111"/>
      <w:bookmarkStart w:id="58" w:name="_Toc393991996"/>
      <w:bookmarkStart w:id="59" w:name="_Toc394047660"/>
      <w:bookmarkStart w:id="60" w:name="_Toc394047771"/>
      <w:bookmarkStart w:id="61" w:name="_Toc394048327"/>
      <w:bookmarkStart w:id="62" w:name="_Toc394049939"/>
      <w:bookmarkStart w:id="63" w:name="_Toc394051339"/>
      <w:bookmarkStart w:id="64" w:name="_Toc394062489"/>
      <w:bookmarkStart w:id="65" w:name="_Toc394069206"/>
      <w:bookmarkStart w:id="66" w:name="_Toc394071125"/>
      <w:bookmarkStart w:id="67" w:name="_Toc394330393"/>
      <w:bookmarkStart w:id="68" w:name="_Toc394331324"/>
      <w:bookmarkStart w:id="69" w:name="_Toc394333400"/>
      <w:bookmarkStart w:id="70" w:name="_Toc394333813"/>
      <w:bookmarkStart w:id="71" w:name="_Toc394334226"/>
      <w:bookmarkStart w:id="72" w:name="_Toc394335052"/>
      <w:bookmarkStart w:id="73" w:name="_Toc394415256"/>
      <w:bookmarkStart w:id="74" w:name="_Toc394412565"/>
      <w:bookmarkStart w:id="75" w:name="_Toc394420858"/>
      <w:bookmarkStart w:id="76" w:name="_Toc394423699"/>
      <w:bookmarkStart w:id="77" w:name="_Toc394422743"/>
      <w:bookmarkStart w:id="78" w:name="_Toc394423214"/>
      <w:bookmarkStart w:id="79" w:name="_Toc394424362"/>
      <w:bookmarkStart w:id="80" w:name="_Toc394492193"/>
      <w:bookmarkStart w:id="81" w:name="_Toc394495337"/>
      <w:bookmarkStart w:id="82" w:name="_Toc394498152"/>
      <w:bookmarkStart w:id="83" w:name="_Toc394500942"/>
      <w:bookmarkStart w:id="84" w:name="_Toc394502339"/>
      <w:bookmarkStart w:id="85" w:name="_Toc394503698"/>
      <w:bookmarkStart w:id="86" w:name="_Toc394502787"/>
      <w:bookmarkStart w:id="87" w:name="_Toc394506115"/>
      <w:bookmarkStart w:id="88" w:name="_Toc394506453"/>
      <w:bookmarkStart w:id="89" w:name="_Toc394507007"/>
      <w:bookmarkStart w:id="90" w:name="_Toc394561082"/>
      <w:bookmarkStart w:id="91" w:name="_Toc394561915"/>
      <w:bookmarkStart w:id="92" w:name="_Toc394582931"/>
      <w:bookmarkStart w:id="93" w:name="_Toc394585602"/>
      <w:bookmarkStart w:id="94" w:name="_Toc394586068"/>
      <w:bookmarkStart w:id="95" w:name="_Toc394588000"/>
      <w:bookmarkStart w:id="96" w:name="_Toc394588835"/>
      <w:bookmarkStart w:id="97" w:name="_Toc394588960"/>
      <w:bookmarkStart w:id="98" w:name="_Toc394590376"/>
      <w:bookmarkStart w:id="99" w:name="_Toc394590569"/>
      <w:bookmarkStart w:id="100" w:name="_Toc394654630"/>
      <w:bookmarkStart w:id="101" w:name="_Toc394656329"/>
      <w:bookmarkStart w:id="102" w:name="_Toc394659467"/>
      <w:bookmarkStart w:id="103" w:name="_Toc394663479"/>
      <w:bookmarkStart w:id="104" w:name="_Toc394667273"/>
      <w:bookmarkStart w:id="105" w:name="_Toc394671756"/>
      <w:bookmarkStart w:id="106" w:name="_Toc394674761"/>
      <w:bookmarkStart w:id="107" w:name="_Toc394675041"/>
      <w:bookmarkStart w:id="108" w:name="_Toc394676148"/>
      <w:bookmarkStart w:id="109" w:name="_Toc394675837"/>
      <w:bookmarkStart w:id="110" w:name="_Toc394918240"/>
      <w:bookmarkStart w:id="111" w:name="_Toc394918754"/>
      <w:bookmarkStart w:id="112" w:name="_Toc394930726"/>
      <w:bookmarkStart w:id="113" w:name="_Toc394938588"/>
      <w:bookmarkStart w:id="114" w:name="_Toc394937870"/>
      <w:bookmarkStart w:id="115" w:name="_Toc394941499"/>
      <w:bookmarkStart w:id="116" w:name="_Toc394942115"/>
      <w:bookmarkStart w:id="117" w:name="_Toc394940337"/>
      <w:bookmarkStart w:id="118" w:name="_Toc394940551"/>
      <w:bookmarkStart w:id="119" w:name="_Toc395008938"/>
      <w:bookmarkStart w:id="120" w:name="_Toc395011492"/>
      <w:bookmarkStart w:id="121" w:name="_Toc395012900"/>
      <w:bookmarkStart w:id="122" w:name="_Toc395014589"/>
      <w:bookmarkStart w:id="123" w:name="_Toc395090698"/>
      <w:bookmarkStart w:id="124" w:name="_Toc395093281"/>
      <w:bookmarkStart w:id="125" w:name="_Toc395098191"/>
      <w:bookmarkStart w:id="126" w:name="_Toc395105376"/>
      <w:bookmarkStart w:id="127" w:name="_Toc395106979"/>
      <w:bookmarkStart w:id="128" w:name="_Toc395109637"/>
      <w:bookmarkStart w:id="129" w:name="_Toc395112342"/>
      <w:bookmarkStart w:id="130" w:name="_Toc395107487"/>
      <w:bookmarkStart w:id="131" w:name="_Toc395114294"/>
      <w:bookmarkStart w:id="132" w:name="_Toc395117032"/>
      <w:bookmarkStart w:id="133" w:name="_Toc395113150"/>
      <w:bookmarkStart w:id="134" w:name="_Toc395115509"/>
      <w:bookmarkStart w:id="135" w:name="_Toc395118661"/>
      <w:bookmarkStart w:id="136" w:name="_Toc395802828"/>
      <w:bookmarkStart w:id="137" w:name="_Toc395867599"/>
      <w:bookmarkStart w:id="138" w:name="_Toc395868731"/>
      <w:bookmarkStart w:id="139" w:name="_Toc395879112"/>
      <w:bookmarkStart w:id="140" w:name="_Toc395882236"/>
      <w:bookmarkStart w:id="141" w:name="_Toc395882567"/>
      <w:bookmarkStart w:id="142" w:name="_Toc395880731"/>
      <w:bookmarkStart w:id="143" w:name="_Toc395881062"/>
      <w:bookmarkStart w:id="144" w:name="_Toc395881620"/>
      <w:bookmarkStart w:id="145" w:name="_Toc395884005"/>
      <w:bookmarkStart w:id="146" w:name="_Toc395884667"/>
      <w:bookmarkStart w:id="147" w:name="_Toc395883376"/>
      <w:bookmarkStart w:id="148" w:name="_Toc395883706"/>
      <w:bookmarkStart w:id="149" w:name="_Toc396130719"/>
      <w:bookmarkStart w:id="150" w:name="_Toc396136297"/>
      <w:bookmarkStart w:id="151" w:name="_Toc396145520"/>
      <w:bookmarkStart w:id="152" w:name="_Toc396145946"/>
      <w:bookmarkStart w:id="153" w:name="_Toc396147772"/>
      <w:bookmarkStart w:id="154" w:name="_Toc396149028"/>
      <w:bookmarkStart w:id="155" w:name="_Toc396149027"/>
      <w:bookmarkStart w:id="156" w:name="_Toc396149454"/>
      <w:bookmarkStart w:id="157" w:name="_Toc396149876"/>
      <w:bookmarkStart w:id="158" w:name="_Toc396150467"/>
      <w:bookmarkStart w:id="159" w:name="_Toc396151650"/>
      <w:bookmarkStart w:id="160" w:name="_Toc396202661"/>
      <w:bookmarkStart w:id="161" w:name="_Toc396206868"/>
      <w:bookmarkStart w:id="162" w:name="_Toc396209696"/>
      <w:bookmarkStart w:id="163" w:name="_Toc396212120"/>
      <w:bookmarkStart w:id="164" w:name="_Toc396213462"/>
      <w:bookmarkStart w:id="165" w:name="_Toc396214738"/>
      <w:bookmarkStart w:id="166" w:name="_Toc396226849"/>
      <w:bookmarkStart w:id="167" w:name="_Toc396229055"/>
      <w:bookmarkStart w:id="168" w:name="_Toc396230697"/>
      <w:bookmarkStart w:id="169" w:name="_Toc396231839"/>
      <w:bookmarkStart w:id="170" w:name="_Toc396233182"/>
      <w:bookmarkStart w:id="171" w:name="_Toc396233479"/>
      <w:bookmarkStart w:id="172" w:name="_Toc396234002"/>
      <w:bookmarkStart w:id="173" w:name="_Toc396234299"/>
      <w:bookmarkStart w:id="174" w:name="_Toc396234412"/>
      <w:bookmarkStart w:id="175" w:name="_Toc396236148"/>
      <w:bookmarkStart w:id="176" w:name="_Toc396235926"/>
      <w:bookmarkStart w:id="177" w:name="_Toc396236536"/>
      <w:bookmarkStart w:id="178" w:name="_Toc396237053"/>
      <w:bookmarkStart w:id="179" w:name="_Toc396397356"/>
      <w:bookmarkStart w:id="180" w:name="_Toc396304577"/>
      <w:bookmarkStart w:id="181" w:name="_Toc396586112"/>
      <w:bookmarkStart w:id="182" w:name="_Toc396815093"/>
      <w:bookmarkStart w:id="183" w:name="_Toc396821042"/>
      <w:bookmarkStart w:id="184" w:name="_Toc396821238"/>
      <w:bookmarkStart w:id="185" w:name="_Toc396821650"/>
      <w:bookmarkStart w:id="186" w:name="_Toc396827500"/>
      <w:bookmarkStart w:id="187" w:name="_Toc396828471"/>
      <w:bookmarkStart w:id="188" w:name="_Toc396828581"/>
      <w:bookmarkStart w:id="189" w:name="_Toc396837970"/>
      <w:bookmarkStart w:id="190" w:name="_Toc396838368"/>
      <w:bookmarkStart w:id="191" w:name="_Toc396904101"/>
      <w:bookmarkStart w:id="192" w:name="_Toc396904691"/>
      <w:bookmarkStart w:id="193" w:name="_Toc396907525"/>
      <w:bookmarkStart w:id="194" w:name="_Toc396912444"/>
      <w:bookmarkStart w:id="195" w:name="_Toc396914424"/>
      <w:bookmarkStart w:id="196" w:name="_Toc396915308"/>
      <w:bookmarkStart w:id="197" w:name="_Toc396915702"/>
      <w:bookmarkStart w:id="198" w:name="_Toc396921013"/>
      <w:bookmarkStart w:id="199" w:name="_Toc396924353"/>
      <w:bookmarkStart w:id="200" w:name="_Toc396925047"/>
      <w:bookmarkStart w:id="201" w:name="_Toc396992167"/>
      <w:bookmarkStart w:id="202" w:name="_Toc396992746"/>
      <w:bookmarkStart w:id="203" w:name="_Toc396994410"/>
      <w:bookmarkStart w:id="204" w:name="_Toc396998021"/>
      <w:bookmarkStart w:id="205" w:name="_Toc397002181"/>
      <w:bookmarkStart w:id="206" w:name="_Toc397008658"/>
      <w:bookmarkStart w:id="207" w:name="_Toc397008876"/>
      <w:bookmarkStart w:id="208" w:name="_Toc397011548"/>
      <w:bookmarkStart w:id="209" w:name="_Toc397012609"/>
      <w:bookmarkStart w:id="210" w:name="_Toc397014951"/>
      <w:bookmarkStart w:id="211" w:name="_Toc397015438"/>
      <w:bookmarkStart w:id="212" w:name="_Toc397070509"/>
      <w:bookmarkStart w:id="213" w:name="_Toc397413235"/>
      <w:bookmarkStart w:id="214" w:name="_Toc397413382"/>
      <w:bookmarkStart w:id="215" w:name="_Toc397427978"/>
      <w:bookmarkStart w:id="216" w:name="_Toc397439366"/>
      <w:bookmarkStart w:id="217" w:name="_Toc397439536"/>
      <w:bookmarkStart w:id="218" w:name="_Toc397439792"/>
      <w:bookmarkStart w:id="219" w:name="_Toc397440094"/>
      <w:bookmarkStart w:id="220" w:name="_Toc397441723"/>
      <w:bookmarkStart w:id="221" w:name="_Toc397517425"/>
      <w:bookmarkStart w:id="222" w:name="_Toc397522690"/>
      <w:bookmarkStart w:id="223" w:name="_Toc397526108"/>
      <w:bookmarkStart w:id="224" w:name="_Toc397528423"/>
      <w:bookmarkStart w:id="225" w:name="_Toc397528898"/>
      <w:bookmarkStart w:id="226" w:name="_Toc397601895"/>
      <w:bookmarkStart w:id="227" w:name="_Toc397602630"/>
      <w:bookmarkStart w:id="228" w:name="_Toc397605759"/>
      <w:bookmarkStart w:id="229" w:name="_Toc397614903"/>
      <w:bookmarkStart w:id="230" w:name="_Toc397616346"/>
      <w:bookmarkStart w:id="231" w:name="_Toc397616740"/>
      <w:bookmarkStart w:id="232" w:name="_Toc397679150"/>
      <w:bookmarkStart w:id="233" w:name="_Toc397688038"/>
      <w:bookmarkStart w:id="234" w:name="_Toc397689254"/>
      <w:bookmarkStart w:id="235" w:name="_Toc397694534"/>
      <w:bookmarkStart w:id="236" w:name="_Toc397696375"/>
      <w:bookmarkStart w:id="237" w:name="_Toc397697109"/>
      <w:bookmarkStart w:id="238" w:name="_Toc397698396"/>
      <w:bookmarkStart w:id="239" w:name="_Toc397699762"/>
      <w:bookmarkStart w:id="240" w:name="_Toc397700216"/>
      <w:bookmarkStart w:id="241" w:name="_Toc397936608"/>
      <w:bookmarkStart w:id="242" w:name="_Toc397936728"/>
      <w:bookmarkStart w:id="243" w:name="_Toc397945736"/>
      <w:bookmarkStart w:id="244" w:name="_Toc397945883"/>
      <w:bookmarkStart w:id="245" w:name="_Toc397946909"/>
      <w:bookmarkStart w:id="246" w:name="_Toc397948028"/>
      <w:bookmarkStart w:id="247" w:name="_Toc397951324"/>
      <w:bookmarkStart w:id="248" w:name="_Toc397958434"/>
      <w:bookmarkStart w:id="249" w:name="_Toc397958676"/>
      <w:bookmarkStart w:id="250" w:name="_Toc397959091"/>
      <w:bookmarkStart w:id="251" w:name="_Toc397962943"/>
      <w:bookmarkStart w:id="252" w:name="_Toc397963309"/>
      <w:bookmarkStart w:id="253" w:name="_Toc397965386"/>
      <w:bookmarkStart w:id="254" w:name="_Toc398197324"/>
      <w:bookmarkStart w:id="255" w:name="_Toc398201541"/>
      <w:bookmarkStart w:id="256" w:name="_Toc398207146"/>
      <w:bookmarkStart w:id="257" w:name="_Toc398210419"/>
      <w:bookmarkStart w:id="258" w:name="_Toc398210933"/>
      <w:bookmarkStart w:id="259" w:name="_Toc398211070"/>
      <w:bookmarkStart w:id="260" w:name="_Toc398219741"/>
      <w:bookmarkStart w:id="261" w:name="_Toc398220116"/>
      <w:bookmarkStart w:id="262" w:name="_Toc398220503"/>
      <w:bookmarkStart w:id="263" w:name="_Toc398221581"/>
      <w:bookmarkStart w:id="264" w:name="_Toc398222267"/>
      <w:bookmarkStart w:id="265" w:name="_Toc398222579"/>
      <w:bookmarkStart w:id="266" w:name="_Toc398222996"/>
      <w:bookmarkStart w:id="267" w:name="_Toc398223375"/>
      <w:bookmarkStart w:id="268" w:name="_Toc398223502"/>
      <w:bookmarkStart w:id="269" w:name="_Toc398224310"/>
      <w:bookmarkStart w:id="270" w:name="_Toc398225647"/>
      <w:bookmarkStart w:id="271" w:name="_Toc398225772"/>
      <w:bookmarkStart w:id="272" w:name="_Toc398281259"/>
      <w:bookmarkStart w:id="273" w:name="_Toc398282118"/>
      <w:bookmarkStart w:id="274" w:name="_Toc398284788"/>
      <w:bookmarkStart w:id="275" w:name="_Toc398287257"/>
      <w:bookmarkStart w:id="276" w:name="_Toc398289140"/>
      <w:bookmarkStart w:id="277" w:name="_Toc398293833"/>
      <w:bookmarkStart w:id="278" w:name="_Toc398297137"/>
      <w:bookmarkStart w:id="279" w:name="_Toc398298611"/>
      <w:bookmarkStart w:id="280" w:name="_Toc398300312"/>
      <w:bookmarkStart w:id="281" w:name="_Toc398301209"/>
      <w:bookmarkStart w:id="282" w:name="_Toc398302394"/>
      <w:bookmarkStart w:id="283" w:name="_Toc398302557"/>
      <w:bookmarkStart w:id="284" w:name="_Toc398549069"/>
      <w:bookmarkStart w:id="285" w:name="_Toc398549319"/>
      <w:bookmarkStart w:id="286" w:name="_Toc398555738"/>
      <w:bookmarkStart w:id="287" w:name="_Toc398558942"/>
      <w:bookmarkStart w:id="288" w:name="_Toc398563428"/>
      <w:bookmarkStart w:id="289" w:name="_Toc398563561"/>
      <w:bookmarkStart w:id="290" w:name="_Toc398563960"/>
      <w:bookmarkStart w:id="291" w:name="_Toc398827298"/>
      <w:bookmarkStart w:id="292" w:name="_Toc398827492"/>
      <w:bookmarkStart w:id="293" w:name="_Toc391906813"/>
      <w:bookmarkStart w:id="294" w:name="_Toc391908222"/>
      <w:bookmarkStart w:id="295" w:name="_Toc392148995"/>
      <w:bookmarkStart w:id="296" w:name="_Toc392159444"/>
      <w:bookmarkStart w:id="297" w:name="_Toc392162209"/>
      <w:bookmarkStart w:id="298" w:name="_Toc392163883"/>
      <w:bookmarkStart w:id="299" w:name="_Toc392168918"/>
      <w:bookmarkStart w:id="300" w:name="_Toc392169850"/>
      <w:bookmarkStart w:id="301" w:name="_Toc392170544"/>
      <w:bookmarkStart w:id="302" w:name="_Toc392170718"/>
      <w:bookmarkStart w:id="303" w:name="_Toc392171133"/>
      <w:bookmarkStart w:id="304" w:name="_Toc392172722"/>
      <w:bookmarkStart w:id="305" w:name="_Toc392173085"/>
      <w:bookmarkStart w:id="306" w:name="_Toc392173261"/>
      <w:bookmarkStart w:id="307" w:name="_Toc392238253"/>
      <w:bookmarkStart w:id="308" w:name="_Toc392247555"/>
      <w:bookmarkStart w:id="309" w:name="_Toc392247830"/>
      <w:bookmarkStart w:id="310" w:name="_Toc392248502"/>
      <w:bookmarkStart w:id="311" w:name="_Toc392251035"/>
      <w:bookmarkStart w:id="312" w:name="_Toc392253659"/>
      <w:bookmarkStart w:id="313" w:name="_Toc392253836"/>
      <w:bookmarkStart w:id="314" w:name="_Toc392255427"/>
      <w:bookmarkStart w:id="315" w:name="_Toc392256222"/>
      <w:bookmarkStart w:id="316" w:name="_Toc392257417"/>
      <w:bookmarkStart w:id="317" w:name="_Toc392498434"/>
      <w:bookmarkStart w:id="318" w:name="_Toc392500428"/>
      <w:bookmarkStart w:id="319" w:name="_Toc392513242"/>
      <w:bookmarkStart w:id="320" w:name="_Toc392514155"/>
      <w:bookmarkStart w:id="321" w:name="_Toc392515342"/>
      <w:bookmarkStart w:id="322" w:name="_Toc392516441"/>
      <w:bookmarkStart w:id="323" w:name="_Toc392517270"/>
      <w:bookmarkStart w:id="324" w:name="_Toc392517189"/>
      <w:bookmarkStart w:id="325" w:name="_Toc392517537"/>
      <w:bookmarkStart w:id="326" w:name="_Toc392517697"/>
      <w:bookmarkStart w:id="327" w:name="_Toc392517777"/>
      <w:r w:rsidRPr="008625DC">
        <w:lastRenderedPageBreak/>
        <w:t xml:space="preserve">Message from the </w:t>
      </w:r>
      <w:r w:rsidR="00380141" w:rsidRPr="008625DC">
        <w:t>P</w:t>
      </w:r>
      <w:r w:rsidRPr="008625DC">
        <w:t>anel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43C23D95" w14:textId="64564E6B" w:rsidR="00E97798" w:rsidRPr="008625DC" w:rsidRDefault="00E04541" w:rsidP="00E97798">
      <w:r w:rsidRPr="008625DC">
        <w:t>This is</w:t>
      </w:r>
      <w:r w:rsidR="00E97798" w:rsidRPr="008625DC">
        <w:t xml:space="preserve"> our Draft Report on </w:t>
      </w:r>
      <w:r w:rsidR="00FB54FF" w:rsidRPr="008625DC">
        <w:t>reviewing Australia</w:t>
      </w:r>
      <w:r w:rsidR="00C74E19" w:rsidRPr="008625DC">
        <w:t>’</w:t>
      </w:r>
      <w:r w:rsidR="00FB54FF" w:rsidRPr="008625DC">
        <w:t xml:space="preserve">s </w:t>
      </w:r>
      <w:r w:rsidR="00E97798" w:rsidRPr="008625DC">
        <w:t>competition policy.</w:t>
      </w:r>
    </w:p>
    <w:p w14:paraId="50FCA4C4" w14:textId="71F853DA" w:rsidR="00E97798" w:rsidRPr="008625DC" w:rsidRDefault="00573C56" w:rsidP="00E51E50">
      <w:r w:rsidRPr="008625DC">
        <w:t xml:space="preserve">In putting </w:t>
      </w:r>
      <w:r w:rsidR="00E04541" w:rsidRPr="008625DC">
        <w:t xml:space="preserve">it </w:t>
      </w:r>
      <w:r w:rsidRPr="008625DC">
        <w:t xml:space="preserve">together </w:t>
      </w:r>
      <w:r w:rsidR="006815E3" w:rsidRPr="008625DC">
        <w:t xml:space="preserve">we </w:t>
      </w:r>
      <w:r w:rsidR="00E97798" w:rsidRPr="008625DC">
        <w:t xml:space="preserve">consulted </w:t>
      </w:r>
      <w:r w:rsidR="00D71404" w:rsidRPr="008625DC">
        <w:t>widely across</w:t>
      </w:r>
      <w:r w:rsidR="00E97798" w:rsidRPr="008625DC">
        <w:t xml:space="preserve"> the country </w:t>
      </w:r>
      <w:r w:rsidR="00E04541" w:rsidRPr="008625DC">
        <w:t xml:space="preserve">to hear </w:t>
      </w:r>
      <w:r w:rsidR="00E97798" w:rsidRPr="008625DC">
        <w:t xml:space="preserve">views </w:t>
      </w:r>
      <w:r w:rsidR="006815E3" w:rsidRPr="008625DC">
        <w:t>on</w:t>
      </w:r>
      <w:r w:rsidR="00E97798" w:rsidRPr="008625DC">
        <w:t xml:space="preserve"> Australia</w:t>
      </w:r>
      <w:r w:rsidR="00C74E19" w:rsidRPr="008625DC">
        <w:t>’</w:t>
      </w:r>
      <w:r w:rsidR="00E97798" w:rsidRPr="008625DC">
        <w:t xml:space="preserve">s competition </w:t>
      </w:r>
      <w:r w:rsidR="00AD6000" w:rsidRPr="008625DC">
        <w:t xml:space="preserve">policy, </w:t>
      </w:r>
      <w:r w:rsidR="006815E3" w:rsidRPr="008625DC">
        <w:t xml:space="preserve">laws and </w:t>
      </w:r>
      <w:r w:rsidR="00AD6000" w:rsidRPr="008625DC">
        <w:t>institutions</w:t>
      </w:r>
      <w:r w:rsidR="00E97798" w:rsidRPr="008625DC">
        <w:t xml:space="preserve">. </w:t>
      </w:r>
      <w:r w:rsidR="005711C5" w:rsidRPr="008625DC">
        <w:t xml:space="preserve">An </w:t>
      </w:r>
      <w:r w:rsidR="00E97798" w:rsidRPr="008625DC">
        <w:t xml:space="preserve">Issues Paper </w:t>
      </w:r>
      <w:r w:rsidR="005711C5" w:rsidRPr="008625DC">
        <w:t xml:space="preserve">released </w:t>
      </w:r>
      <w:r w:rsidR="001431F3" w:rsidRPr="008625DC">
        <w:t>on 14 </w:t>
      </w:r>
      <w:r w:rsidR="00E97798" w:rsidRPr="008625DC">
        <w:t>April</w:t>
      </w:r>
      <w:r w:rsidR="005711C5" w:rsidRPr="008625DC">
        <w:t xml:space="preserve"> 2014 helped focus these discussions</w:t>
      </w:r>
      <w:r w:rsidR="006815E3" w:rsidRPr="008625DC">
        <w:t>.</w:t>
      </w:r>
      <w:r w:rsidR="00787DCF" w:rsidRPr="008625DC">
        <w:t xml:space="preserve"> </w:t>
      </w:r>
    </w:p>
    <w:p w14:paraId="3520D29C" w14:textId="28D5E1FA" w:rsidR="00E97798" w:rsidRPr="008625DC" w:rsidRDefault="00E97798" w:rsidP="00E97798">
      <w:r w:rsidRPr="008625DC">
        <w:t>We met with groups representing consumers and those representing business, both large and small. We also met with a variety of individual business people, academics, current and former regulators, and government</w:t>
      </w:r>
      <w:r w:rsidR="00C736EC" w:rsidRPr="008625DC">
        <w:t>s</w:t>
      </w:r>
      <w:r w:rsidRPr="008625DC">
        <w:t xml:space="preserve">, including a number of </w:t>
      </w:r>
      <w:r w:rsidR="004C609F" w:rsidRPr="008625DC">
        <w:t>state and territory</w:t>
      </w:r>
      <w:r w:rsidRPr="008625DC">
        <w:t xml:space="preserve"> </w:t>
      </w:r>
      <w:r w:rsidR="00072503" w:rsidRPr="008625DC">
        <w:t>T</w:t>
      </w:r>
      <w:r w:rsidRPr="008625DC">
        <w:t>reasurers.</w:t>
      </w:r>
      <w:r w:rsidR="006815E3" w:rsidRPr="008625DC">
        <w:t xml:space="preserve"> </w:t>
      </w:r>
      <w:r w:rsidRPr="008625DC">
        <w:t xml:space="preserve">During May and June, </w:t>
      </w:r>
      <w:r w:rsidR="00AD6000" w:rsidRPr="008625DC">
        <w:t>P</w:t>
      </w:r>
      <w:r w:rsidRPr="008625DC">
        <w:t xml:space="preserve">anel members </w:t>
      </w:r>
      <w:r w:rsidR="006815E3" w:rsidRPr="008625DC">
        <w:t xml:space="preserve">also </w:t>
      </w:r>
      <w:r w:rsidRPr="008625DC">
        <w:t xml:space="preserve">attended business forums around the country organised by representative business groups. </w:t>
      </w:r>
      <w:r w:rsidR="006815E3" w:rsidRPr="008625DC">
        <w:t xml:space="preserve">Altogether we </w:t>
      </w:r>
      <w:r w:rsidR="009A20BC" w:rsidRPr="008625DC">
        <w:t>have had</w:t>
      </w:r>
      <w:r w:rsidR="006815E3" w:rsidRPr="008625DC">
        <w:t xml:space="preserve"> </w:t>
      </w:r>
      <w:r w:rsidR="009A20BC" w:rsidRPr="008625DC">
        <w:t>close to 100</w:t>
      </w:r>
      <w:r w:rsidR="006815E3" w:rsidRPr="008625DC">
        <w:t xml:space="preserve"> meetings</w:t>
      </w:r>
      <w:r w:rsidR="009A20BC" w:rsidRPr="008625DC">
        <w:t xml:space="preserve"> with stakeholders</w:t>
      </w:r>
      <w:r w:rsidR="006815E3" w:rsidRPr="008625DC">
        <w:t>.</w:t>
      </w:r>
    </w:p>
    <w:p w14:paraId="39BEF098" w14:textId="40D80546" w:rsidR="00E97798" w:rsidRPr="008625DC" w:rsidRDefault="00E97798" w:rsidP="00E97798">
      <w:r w:rsidRPr="008625DC">
        <w:t xml:space="preserve">We received </w:t>
      </w:r>
      <w:r w:rsidR="00FA4F8C" w:rsidRPr="008625DC">
        <w:t>almost</w:t>
      </w:r>
      <w:r w:rsidR="00C73994" w:rsidRPr="008625DC">
        <w:t xml:space="preserve"> 350</w:t>
      </w:r>
      <w:r w:rsidR="008E1957" w:rsidRPr="008625DC">
        <w:t xml:space="preserve"> </w:t>
      </w:r>
      <w:r w:rsidRPr="008625DC">
        <w:t xml:space="preserve">submissions on our Issues Paper, </w:t>
      </w:r>
      <w:r w:rsidR="00C27659" w:rsidRPr="008625DC">
        <w:t>and</w:t>
      </w:r>
      <w:r w:rsidRPr="008625DC">
        <w:t xml:space="preserve"> all non</w:t>
      </w:r>
      <w:r w:rsidR="00C74E19" w:rsidRPr="008625DC">
        <w:noBreakHyphen/>
      </w:r>
      <w:r w:rsidRPr="008625DC">
        <w:t xml:space="preserve">confidential submissions </w:t>
      </w:r>
      <w:r w:rsidR="00C27659" w:rsidRPr="008625DC">
        <w:t xml:space="preserve">are </w:t>
      </w:r>
      <w:r w:rsidRPr="008625DC">
        <w:t xml:space="preserve">published on our website </w:t>
      </w:r>
      <w:hyperlink r:id="rId30" w:history="1">
        <w:r w:rsidRPr="008625DC">
          <w:rPr>
            <w:rStyle w:val="Hyperlink"/>
          </w:rPr>
          <w:t>www.competitionpolicyreview.gov.au</w:t>
        </w:r>
      </w:hyperlink>
      <w:r w:rsidRPr="008625DC">
        <w:t xml:space="preserve">. </w:t>
      </w:r>
      <w:r w:rsidR="004076DB" w:rsidRPr="008625DC">
        <w:t>A</w:t>
      </w:r>
      <w:r w:rsidR="00DA330F" w:rsidRPr="008625DC">
        <w:t>lmost</w:t>
      </w:r>
      <w:r w:rsidR="004076DB" w:rsidRPr="008625DC">
        <w:t xml:space="preserve"> 50 per cent </w:t>
      </w:r>
      <w:r w:rsidR="009B1E7D" w:rsidRPr="008625DC">
        <w:t xml:space="preserve">of </w:t>
      </w:r>
      <w:r w:rsidR="00696E70" w:rsidRPr="008625DC">
        <w:t xml:space="preserve">submissions came from </w:t>
      </w:r>
      <w:r w:rsidRPr="008625DC">
        <w:t xml:space="preserve">peak and advocacy bodies, </w:t>
      </w:r>
      <w:r w:rsidR="00696E70" w:rsidRPr="008625DC">
        <w:t>around 30 per cent from business</w:t>
      </w:r>
      <w:r w:rsidR="004076DB" w:rsidRPr="008625DC">
        <w:t>, 1</w:t>
      </w:r>
      <w:r w:rsidR="00DA330F" w:rsidRPr="008625DC">
        <w:t>7</w:t>
      </w:r>
      <w:r w:rsidR="004076DB" w:rsidRPr="008625DC">
        <w:t xml:space="preserve"> per cent from individuals</w:t>
      </w:r>
      <w:r w:rsidR="00696E70" w:rsidRPr="008625DC">
        <w:t xml:space="preserve"> </w:t>
      </w:r>
      <w:r w:rsidRPr="008625DC">
        <w:t xml:space="preserve">and the remainder from governments. A wide variety of topics were </w:t>
      </w:r>
      <w:r w:rsidR="00FA4F8C" w:rsidRPr="008625DC">
        <w:t>identified</w:t>
      </w:r>
      <w:r w:rsidRPr="008625DC">
        <w:t>, with the top five issues raised most often in submissions being competition law</w:t>
      </w:r>
      <w:r w:rsidR="006815E3" w:rsidRPr="008625DC">
        <w:t>,</w:t>
      </w:r>
      <w:r w:rsidRPr="008625DC">
        <w:t xml:space="preserve"> </w:t>
      </w:r>
      <w:r w:rsidR="003631C7" w:rsidRPr="008625DC">
        <w:t xml:space="preserve">competitive neutrality, </w:t>
      </w:r>
      <w:r w:rsidR="00CE3CF6" w:rsidRPr="008625DC">
        <w:t xml:space="preserve">misuse of market power, </w:t>
      </w:r>
      <w:r w:rsidRPr="008625DC">
        <w:t xml:space="preserve">small business concerns </w:t>
      </w:r>
      <w:r w:rsidR="00CE3CF6" w:rsidRPr="008625DC">
        <w:t xml:space="preserve">and </w:t>
      </w:r>
      <w:r w:rsidRPr="008625DC">
        <w:t xml:space="preserve">the </w:t>
      </w:r>
      <w:r w:rsidR="006815E3" w:rsidRPr="008625DC">
        <w:t xml:space="preserve">operation of the </w:t>
      </w:r>
      <w:r w:rsidRPr="008625DC">
        <w:t>ACCC.</w:t>
      </w:r>
      <w:r w:rsidR="00787DCF" w:rsidRPr="008625DC">
        <w:t xml:space="preserve"> </w:t>
      </w:r>
    </w:p>
    <w:p w14:paraId="36217489" w14:textId="115CF61D" w:rsidR="006815E3" w:rsidRPr="008625DC" w:rsidRDefault="001279BE" w:rsidP="00E97798">
      <w:r w:rsidRPr="008625DC">
        <w:t xml:space="preserve">The Panel has drawn heavily on the expertise and experience of stakeholders </w:t>
      </w:r>
      <w:r w:rsidR="00DC4ECA" w:rsidRPr="008625DC">
        <w:t>garnered</w:t>
      </w:r>
      <w:r w:rsidRPr="008625DC">
        <w:t xml:space="preserve"> </w:t>
      </w:r>
      <w:r w:rsidR="00072503" w:rsidRPr="008625DC">
        <w:t xml:space="preserve">through </w:t>
      </w:r>
      <w:r w:rsidRPr="008625DC">
        <w:t xml:space="preserve">submissions and in consultation meetings. We would like to thank all those who </w:t>
      </w:r>
      <w:r w:rsidR="00072503" w:rsidRPr="008625DC">
        <w:t>have put time into</w:t>
      </w:r>
      <w:r w:rsidRPr="008625DC">
        <w:t xml:space="preserve"> these contributions. They have provided us with </w:t>
      </w:r>
      <w:r w:rsidR="00DC4ECA" w:rsidRPr="008625DC">
        <w:t xml:space="preserve">crucial </w:t>
      </w:r>
      <w:r w:rsidRPr="008625DC">
        <w:t xml:space="preserve">insights into the issues </w:t>
      </w:r>
      <w:r w:rsidR="00DC4ECA" w:rsidRPr="008625DC">
        <w:t>we have been asked to consider</w:t>
      </w:r>
      <w:r w:rsidRPr="008625DC">
        <w:t xml:space="preserve">. </w:t>
      </w:r>
      <w:r w:rsidR="00DC4ECA" w:rsidRPr="008625DC">
        <w:t>Nevertheless</w:t>
      </w:r>
      <w:r w:rsidRPr="008625DC">
        <w:t xml:space="preserve">, the views expressed in this Draft Report are our own. </w:t>
      </w:r>
    </w:p>
    <w:p w14:paraId="1150C683" w14:textId="3B17C4EF" w:rsidR="00C122D4" w:rsidRPr="008625DC" w:rsidRDefault="00C122D4" w:rsidP="00C122D4">
      <w:r w:rsidRPr="008625DC">
        <w:t xml:space="preserve">We are </w:t>
      </w:r>
      <w:r w:rsidR="00E554A3" w:rsidRPr="008625DC">
        <w:t>aware of</w:t>
      </w:r>
      <w:r w:rsidR="00112F38" w:rsidRPr="008625DC">
        <w:t xml:space="preserve"> other reviews currently in train that </w:t>
      </w:r>
      <w:r w:rsidR="001E0D84" w:rsidRPr="008625DC">
        <w:t xml:space="preserve">are likely to </w:t>
      </w:r>
      <w:r w:rsidR="00112F38" w:rsidRPr="008625DC">
        <w:t xml:space="preserve">cover </w:t>
      </w:r>
      <w:r w:rsidR="00B56311" w:rsidRPr="008625DC">
        <w:t>sector</w:t>
      </w:r>
      <w:r w:rsidR="00C74E19" w:rsidRPr="008625DC">
        <w:noBreakHyphen/>
      </w:r>
      <w:r w:rsidR="00B56311" w:rsidRPr="008625DC">
        <w:t>specific</w:t>
      </w:r>
      <w:r w:rsidR="00112F38" w:rsidRPr="008625DC">
        <w:t xml:space="preserve"> aspects of competition policy, such as the Financial System Inquiry, the Energy White Paper, the </w:t>
      </w:r>
      <w:r w:rsidR="00197420" w:rsidRPr="008625DC">
        <w:t>R</w:t>
      </w:r>
      <w:r w:rsidR="00112F38" w:rsidRPr="008625DC">
        <w:t xml:space="preserve">eview of </w:t>
      </w:r>
      <w:r w:rsidR="000A28F1" w:rsidRPr="008625DC">
        <w:t>the National Broadband Network</w:t>
      </w:r>
      <w:r w:rsidR="007C7D5D" w:rsidRPr="008625DC">
        <w:t>, the Review of Coastal Trading</w:t>
      </w:r>
      <w:r w:rsidR="00112F38" w:rsidRPr="008625DC">
        <w:t xml:space="preserve"> and the Agricultural Competitiveness White Paper. </w:t>
      </w:r>
      <w:r w:rsidR="00EB49D7" w:rsidRPr="008625DC">
        <w:t xml:space="preserve">The </w:t>
      </w:r>
      <w:r w:rsidR="00C27659" w:rsidRPr="008625DC">
        <w:t>Australian</w:t>
      </w:r>
      <w:r w:rsidR="00EB49D7" w:rsidRPr="008625DC">
        <w:t xml:space="preserve"> Government has also </w:t>
      </w:r>
      <w:r w:rsidR="00E2620D" w:rsidRPr="008625DC">
        <w:t xml:space="preserve">commenced a Federation White Paper and </w:t>
      </w:r>
      <w:r w:rsidR="00EB49D7" w:rsidRPr="008625DC">
        <w:t xml:space="preserve">foreshadowed a review of the </w:t>
      </w:r>
      <w:r w:rsidR="00EB49D7" w:rsidRPr="008625DC">
        <w:rPr>
          <w:i/>
        </w:rPr>
        <w:t>Fair Work Act</w:t>
      </w:r>
      <w:r w:rsidR="00380141" w:rsidRPr="008625DC">
        <w:rPr>
          <w:i/>
        </w:rPr>
        <w:t xml:space="preserve"> 2009</w:t>
      </w:r>
      <w:r w:rsidR="00696E29" w:rsidRPr="008625DC">
        <w:t xml:space="preserve"> </w:t>
      </w:r>
      <w:r w:rsidR="00E2620D" w:rsidRPr="008625DC">
        <w:t>and a</w:t>
      </w:r>
      <w:r w:rsidR="00EE7A06" w:rsidRPr="008625DC">
        <w:t xml:space="preserve"> Tax White Paper</w:t>
      </w:r>
      <w:r w:rsidR="00EB49D7" w:rsidRPr="008625DC">
        <w:t xml:space="preserve">. While the Panel has not made </w:t>
      </w:r>
      <w:r w:rsidR="00E343F4" w:rsidRPr="008625DC">
        <w:t xml:space="preserve">detailed </w:t>
      </w:r>
      <w:r w:rsidR="00EB49D7" w:rsidRPr="008625DC">
        <w:t xml:space="preserve">draft </w:t>
      </w:r>
      <w:r w:rsidR="00E343F4" w:rsidRPr="008625DC">
        <w:t xml:space="preserve">recommendations </w:t>
      </w:r>
      <w:r w:rsidR="00EB49D7" w:rsidRPr="008625DC">
        <w:t>in these areas</w:t>
      </w:r>
      <w:r w:rsidR="00380141" w:rsidRPr="008625DC">
        <w:t>,</w:t>
      </w:r>
      <w:r w:rsidR="00EB49D7" w:rsidRPr="008625DC">
        <w:t xml:space="preserve"> in some cases we have encouraged these reviews to take account of competition issues</w:t>
      </w:r>
      <w:r w:rsidR="003B66D5" w:rsidRPr="008625DC">
        <w:t>.</w:t>
      </w:r>
    </w:p>
    <w:p w14:paraId="36EC8F44" w14:textId="5D4C6216" w:rsidR="00C27659" w:rsidRPr="008625DC" w:rsidRDefault="00B951CC" w:rsidP="00B951CC">
      <w:r w:rsidRPr="008625DC">
        <w:t xml:space="preserve">We are keen to </w:t>
      </w:r>
      <w:r w:rsidR="001279BE" w:rsidRPr="008625DC">
        <w:t xml:space="preserve">test </w:t>
      </w:r>
      <w:r w:rsidR="00AD6000" w:rsidRPr="008625DC">
        <w:t xml:space="preserve">our </w:t>
      </w:r>
      <w:r w:rsidR="001279BE" w:rsidRPr="008625DC">
        <w:t>views</w:t>
      </w:r>
      <w:r w:rsidRPr="008625DC">
        <w:t xml:space="preserve"> with all stakeholders</w:t>
      </w:r>
      <w:r w:rsidR="007F2669" w:rsidRPr="008625DC">
        <w:t xml:space="preserve"> in a variety of ways</w:t>
      </w:r>
      <w:r w:rsidR="00F452F6" w:rsidRPr="008625DC">
        <w:t>.</w:t>
      </w:r>
      <w:r w:rsidRPr="008625DC">
        <w:t xml:space="preserve"> Extensive consultation will be held following the release of this Draft Report, including public forums, </w:t>
      </w:r>
      <w:r w:rsidR="00AF58CE" w:rsidRPr="008625DC">
        <w:t xml:space="preserve">and through </w:t>
      </w:r>
      <w:r w:rsidR="005851B4" w:rsidRPr="008625DC">
        <w:t xml:space="preserve">further </w:t>
      </w:r>
      <w:r w:rsidRPr="008625DC">
        <w:t xml:space="preserve">written submissions and feedback from interested parties. </w:t>
      </w:r>
      <w:r w:rsidR="007F2669" w:rsidRPr="008625DC">
        <w:t>We will al</w:t>
      </w:r>
      <w:r w:rsidR="00C74E19" w:rsidRPr="008625DC">
        <w:t>so hold a conference in October </w:t>
      </w:r>
      <w:r w:rsidR="007F2669" w:rsidRPr="008625DC">
        <w:t xml:space="preserve">2014 where </w:t>
      </w:r>
      <w:r w:rsidR="00C27659" w:rsidRPr="008625DC">
        <w:t>delegates</w:t>
      </w:r>
      <w:r w:rsidR="007F2669" w:rsidRPr="008625DC">
        <w:t xml:space="preserve"> can reflect on international as well as Australian experience</w:t>
      </w:r>
      <w:r w:rsidR="00C27659" w:rsidRPr="008625DC">
        <w:t xml:space="preserve"> of competition policy</w:t>
      </w:r>
      <w:r w:rsidR="007F2669" w:rsidRPr="008625DC">
        <w:t xml:space="preserve">. </w:t>
      </w:r>
      <w:r w:rsidR="00197420" w:rsidRPr="008625DC">
        <w:t xml:space="preserve">Attendance at the conference is limited, but </w:t>
      </w:r>
      <w:r w:rsidR="00C27659" w:rsidRPr="008625DC">
        <w:t>video recordings</w:t>
      </w:r>
      <w:r w:rsidR="00197420" w:rsidRPr="008625DC">
        <w:t xml:space="preserve"> of the plenary session</w:t>
      </w:r>
      <w:r w:rsidR="00C27659" w:rsidRPr="008625DC">
        <w:t>s</w:t>
      </w:r>
      <w:r w:rsidR="00197420" w:rsidRPr="008625DC">
        <w:t xml:space="preserve"> will be available on our website.</w:t>
      </w:r>
    </w:p>
    <w:p w14:paraId="3BA5CD52" w14:textId="6BA12879" w:rsidR="00B951CC" w:rsidRPr="008625DC" w:rsidRDefault="005851B4" w:rsidP="00B951CC">
      <w:r w:rsidRPr="008625DC">
        <w:t>Up</w:t>
      </w:r>
      <w:r w:rsidR="00C74E19" w:rsidRPr="008625DC">
        <w:noBreakHyphen/>
      </w:r>
      <w:r w:rsidRPr="008625DC">
        <w:t>to</w:t>
      </w:r>
      <w:r w:rsidR="00C74E19" w:rsidRPr="008625DC">
        <w:noBreakHyphen/>
      </w:r>
      <w:r w:rsidRPr="008625DC">
        <w:t>date</w:t>
      </w:r>
      <w:r w:rsidR="004135E8" w:rsidRPr="008625DC">
        <w:t xml:space="preserve"> advice on the </w:t>
      </w:r>
      <w:r w:rsidR="00575A09" w:rsidRPr="008625DC">
        <w:t>R</w:t>
      </w:r>
      <w:r w:rsidR="00B951CC" w:rsidRPr="008625DC">
        <w:t xml:space="preserve">eview and its progress, including consultations, will be posted regularly on </w:t>
      </w:r>
      <w:r w:rsidR="00AD6000" w:rsidRPr="008625DC">
        <w:t xml:space="preserve">our </w:t>
      </w:r>
      <w:r w:rsidR="00B951CC" w:rsidRPr="008625DC">
        <w:t xml:space="preserve">website: </w:t>
      </w:r>
      <w:hyperlink r:id="rId31" w:history="1">
        <w:r w:rsidR="00B951CC" w:rsidRPr="008625DC">
          <w:rPr>
            <w:rStyle w:val="Hyperlink"/>
          </w:rPr>
          <w:t>www.competitionpolicyreview.gov.au</w:t>
        </w:r>
      </w:hyperlink>
      <w:r w:rsidR="00B951CC" w:rsidRPr="008625DC">
        <w:t>.</w:t>
      </w:r>
    </w:p>
    <w:p w14:paraId="193BABDE" w14:textId="7E205C62" w:rsidR="004135E8" w:rsidRPr="008625DC" w:rsidRDefault="00B951CC" w:rsidP="00C27659">
      <w:r w:rsidRPr="008625DC">
        <w:t xml:space="preserve">This </w:t>
      </w:r>
      <w:r w:rsidR="00C459CF" w:rsidRPr="008625DC">
        <w:t>Draft Report</w:t>
      </w:r>
      <w:r w:rsidRPr="008625DC">
        <w:t xml:space="preserve"> </w:t>
      </w:r>
      <w:r w:rsidR="00072503" w:rsidRPr="008625DC">
        <w:t>provides</w:t>
      </w:r>
      <w:r w:rsidRPr="008625DC">
        <w:t xml:space="preserve"> </w:t>
      </w:r>
      <w:r w:rsidR="00C74E19" w:rsidRPr="008625DC">
        <w:t>‘</w:t>
      </w:r>
      <w:r w:rsidR="00C459CF" w:rsidRPr="008625DC">
        <w:t xml:space="preserve">Panel </w:t>
      </w:r>
      <w:r w:rsidR="00B77DE9" w:rsidRPr="008625DC">
        <w:t>views</w:t>
      </w:r>
      <w:r w:rsidR="00C74E19" w:rsidRPr="008625DC">
        <w:t>’</w:t>
      </w:r>
      <w:r w:rsidR="00C459CF" w:rsidRPr="008625DC">
        <w:t xml:space="preserve"> </w:t>
      </w:r>
      <w:r w:rsidR="00F452F6" w:rsidRPr="008625DC">
        <w:t xml:space="preserve">as well as </w:t>
      </w:r>
      <w:r w:rsidR="00C74E19" w:rsidRPr="008625DC">
        <w:t>‘</w:t>
      </w:r>
      <w:r w:rsidR="00D37970" w:rsidRPr="008625DC">
        <w:t xml:space="preserve">Draft </w:t>
      </w:r>
      <w:r w:rsidR="00F452F6" w:rsidRPr="008625DC">
        <w:t>R</w:t>
      </w:r>
      <w:r w:rsidR="00C459CF" w:rsidRPr="008625DC">
        <w:t>ecommendations</w:t>
      </w:r>
      <w:r w:rsidR="00C74E19" w:rsidRPr="008625DC">
        <w:t>’</w:t>
      </w:r>
      <w:r w:rsidRPr="008625DC">
        <w:t xml:space="preserve"> that you may use to focus your submissions</w:t>
      </w:r>
      <w:r w:rsidR="00C459CF" w:rsidRPr="008625DC">
        <w:t xml:space="preserve"> (see </w:t>
      </w:r>
      <w:hyperlink w:anchor="Pt2" w:history="1">
        <w:r w:rsidR="00E30803" w:rsidRPr="008625DC">
          <w:rPr>
            <w:rStyle w:val="Hyperlink"/>
          </w:rPr>
          <w:t>Part 2</w:t>
        </w:r>
      </w:hyperlink>
      <w:r w:rsidR="00E30803" w:rsidRPr="008625DC">
        <w:t xml:space="preserve"> for the</w:t>
      </w:r>
      <w:r w:rsidR="004D0894" w:rsidRPr="008625DC">
        <w:t xml:space="preserve"> </w:t>
      </w:r>
      <w:r w:rsidR="00D37970" w:rsidRPr="008625DC">
        <w:t xml:space="preserve">Draft </w:t>
      </w:r>
      <w:r w:rsidR="00F452F6" w:rsidRPr="008625DC">
        <w:t>R</w:t>
      </w:r>
      <w:r w:rsidR="00C459CF" w:rsidRPr="008625DC">
        <w:t>ecommendations)</w:t>
      </w:r>
      <w:r w:rsidRPr="008625DC">
        <w:t xml:space="preserve">. </w:t>
      </w:r>
      <w:r w:rsidR="005851B4" w:rsidRPr="008625DC">
        <w:t>S</w:t>
      </w:r>
      <w:r w:rsidRPr="008625DC">
        <w:t xml:space="preserve">ubmissions </w:t>
      </w:r>
      <w:r w:rsidR="00AD6000" w:rsidRPr="008625DC">
        <w:t xml:space="preserve">need </w:t>
      </w:r>
      <w:r w:rsidR="005851B4" w:rsidRPr="008625DC">
        <w:t xml:space="preserve">not </w:t>
      </w:r>
      <w:r w:rsidRPr="008625DC">
        <w:t>cover all issues</w:t>
      </w:r>
      <w:r w:rsidR="00F452F6" w:rsidRPr="008625DC">
        <w:t xml:space="preserve">. </w:t>
      </w:r>
      <w:r w:rsidR="004135E8" w:rsidRPr="008625DC">
        <w:br w:type="page"/>
      </w:r>
    </w:p>
    <w:p w14:paraId="7D444C54" w14:textId="7E9E47F6" w:rsidR="005851B4" w:rsidRPr="008625DC" w:rsidRDefault="00B951CC" w:rsidP="00B951CC">
      <w:pPr>
        <w:spacing w:after="0"/>
      </w:pPr>
      <w:r w:rsidRPr="008625DC">
        <w:lastRenderedPageBreak/>
        <w:t xml:space="preserve">Formal submissions may be lodged online at </w:t>
      </w:r>
      <w:hyperlink r:id="rId32" w:history="1">
        <w:r w:rsidRPr="008625DC">
          <w:rPr>
            <w:rStyle w:val="Hyperlink"/>
          </w:rPr>
          <w:t>www.competitionpolicyreview.gov.au</w:t>
        </w:r>
      </w:hyperlink>
      <w:r w:rsidRPr="008625DC">
        <w:t xml:space="preserve"> or forwarded to:</w:t>
      </w:r>
    </w:p>
    <w:p w14:paraId="6218827C" w14:textId="77777777" w:rsidR="00B951CC" w:rsidRPr="008625DC" w:rsidRDefault="00B951CC" w:rsidP="004135E8">
      <w:pPr>
        <w:spacing w:after="0"/>
        <w:ind w:left="567"/>
      </w:pPr>
      <w:r w:rsidRPr="008625DC">
        <w:t>Competition Policy Review Secretariat</w:t>
      </w:r>
    </w:p>
    <w:p w14:paraId="6152BB51" w14:textId="1F467C54" w:rsidR="00B951CC" w:rsidRPr="008625DC" w:rsidRDefault="00B951CC" w:rsidP="004135E8">
      <w:pPr>
        <w:spacing w:before="0" w:after="0"/>
        <w:ind w:left="567"/>
      </w:pPr>
      <w:r w:rsidRPr="008625DC">
        <w:t xml:space="preserve">The Treasury </w:t>
      </w:r>
      <w:r w:rsidR="004135E8" w:rsidRPr="008625DC">
        <w:br/>
      </w:r>
      <w:r w:rsidRPr="008625DC">
        <w:t>Langton Crescent</w:t>
      </w:r>
    </w:p>
    <w:p w14:paraId="3DE8FE53" w14:textId="2C4C7AF9" w:rsidR="00B951CC" w:rsidRPr="008625DC" w:rsidRDefault="00B951CC" w:rsidP="004135E8">
      <w:pPr>
        <w:spacing w:before="0"/>
        <w:ind w:left="567"/>
      </w:pPr>
      <w:r w:rsidRPr="008625DC">
        <w:t>PARKES</w:t>
      </w:r>
      <w:r w:rsidR="004135E8" w:rsidRPr="008625DC">
        <w:t xml:space="preserve"> </w:t>
      </w:r>
      <w:r w:rsidRPr="008625DC">
        <w:t>ACT</w:t>
      </w:r>
      <w:r w:rsidR="004135E8" w:rsidRPr="008625DC">
        <w:t xml:space="preserve"> </w:t>
      </w:r>
      <w:r w:rsidRPr="008625DC">
        <w:t>2600</w:t>
      </w:r>
    </w:p>
    <w:p w14:paraId="2E717F35" w14:textId="00245634" w:rsidR="00B951CC" w:rsidRPr="008625DC" w:rsidRDefault="00B951CC" w:rsidP="00B951CC">
      <w:r w:rsidRPr="008625DC">
        <w:t xml:space="preserve">If you do not wish to make a formal submission, </w:t>
      </w:r>
      <w:r w:rsidR="00D8019C" w:rsidRPr="008625DC">
        <w:t xml:space="preserve">you can use the </w:t>
      </w:r>
      <w:r w:rsidR="00C74E19" w:rsidRPr="008625DC">
        <w:t>‘</w:t>
      </w:r>
      <w:r w:rsidR="00D8019C" w:rsidRPr="008625DC">
        <w:t>have your say</w:t>
      </w:r>
      <w:r w:rsidR="00C74E19" w:rsidRPr="008625DC">
        <w:t>’</w:t>
      </w:r>
      <w:r w:rsidR="00D8019C" w:rsidRPr="008625DC">
        <w:t xml:space="preserve"> option on the website</w:t>
      </w:r>
      <w:r w:rsidRPr="008625DC">
        <w:t xml:space="preserve"> </w:t>
      </w:r>
      <w:hyperlink r:id="rId33" w:history="1">
        <w:r w:rsidRPr="008625DC">
          <w:rPr>
            <w:rStyle w:val="Hyperlink"/>
          </w:rPr>
          <w:t>www.competitionpolicyreview.gov.au/submissions/</w:t>
        </w:r>
      </w:hyperlink>
      <w:r w:rsidRPr="008625DC">
        <w:t>.</w:t>
      </w:r>
      <w:r w:rsidR="00787DCF" w:rsidRPr="008625DC">
        <w:t xml:space="preserve"> </w:t>
      </w:r>
    </w:p>
    <w:p w14:paraId="19DBF81E" w14:textId="6EBD8D7F" w:rsidR="00E224CA" w:rsidRDefault="00E224CA" w:rsidP="00B951CC">
      <w:r>
        <w:t>Submissions are due by Monday 17 November 2014.</w:t>
      </w:r>
    </w:p>
    <w:p w14:paraId="5329F1EA" w14:textId="4CEF6D4F" w:rsidR="00B951CC" w:rsidRPr="008625DC" w:rsidRDefault="00B951CC" w:rsidP="00B951CC">
      <w:r w:rsidRPr="008625DC">
        <w:t>Th</w:t>
      </w:r>
      <w:r w:rsidR="00F452F6" w:rsidRPr="008625DC">
        <w:t xml:space="preserve">e </w:t>
      </w:r>
      <w:r w:rsidRPr="008625DC">
        <w:t xml:space="preserve">Draft Report will be followed by a Final Report to be provided to the Australian Government </w:t>
      </w:r>
      <w:r w:rsidR="00C459CF" w:rsidRPr="008625DC">
        <w:t>by March 2015</w:t>
      </w:r>
      <w:r w:rsidRPr="008625DC">
        <w:t>.</w:t>
      </w:r>
    </w:p>
    <w:p w14:paraId="2A774E25" w14:textId="16ECED67" w:rsidR="00B951CC" w:rsidRPr="008625DC" w:rsidRDefault="00B951CC" w:rsidP="00B951CC">
      <w:r w:rsidRPr="008625DC">
        <w:t xml:space="preserve">We look forward to hearing </w:t>
      </w:r>
      <w:r w:rsidR="00BF4344" w:rsidRPr="008625DC">
        <w:t xml:space="preserve">further </w:t>
      </w:r>
      <w:r w:rsidRPr="008625DC">
        <w:t>from all interested parties as we progress the work of the Review.</w:t>
      </w:r>
    </w:p>
    <w:p w14:paraId="3DFD9C69" w14:textId="655B1C06" w:rsidR="00B951CC" w:rsidRPr="008625DC" w:rsidRDefault="004B1688" w:rsidP="005013CA">
      <w:pPr>
        <w:spacing w:after="60"/>
      </w:pPr>
      <w:r w:rsidRPr="008625DC">
        <w:rPr>
          <w:noProof/>
        </w:rPr>
        <w:drawing>
          <wp:inline distT="0" distB="0" distL="0" distR="0" wp14:anchorId="734EEFD6" wp14:editId="26120F8C">
            <wp:extent cx="5759450" cy="3840480"/>
            <wp:effectExtent l="19050" t="19050" r="12700" b="26670"/>
            <wp:docPr id="11" name="Picture 11" descr="Photograph of panel members, from left to right: Peter Anderson, Michael O'Bryan, Professor Ian Harper (Chair of the Review), and Su McCluskey.  " title="Photo of panel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ne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a:ln w="3175">
                      <a:solidFill>
                        <a:schemeClr val="tx1">
                          <a:lumMod val="50000"/>
                          <a:lumOff val="50000"/>
                        </a:schemeClr>
                      </a:solidFill>
                    </a:ln>
                  </pic:spPr>
                </pic:pic>
              </a:graphicData>
            </a:graphic>
          </wp:inline>
        </w:drawing>
      </w:r>
    </w:p>
    <w:p w14:paraId="5F814BF6" w14:textId="16ADAF2B" w:rsidR="00B951CC" w:rsidRPr="008625DC" w:rsidRDefault="00B44B66" w:rsidP="00C74E19">
      <w:pPr>
        <w:pStyle w:val="ChartorTableNote"/>
        <w:tabs>
          <w:tab w:val="left" w:pos="567"/>
        </w:tabs>
      </w:pPr>
      <w:r w:rsidRPr="008625DC">
        <w:t>L to R:</w:t>
      </w:r>
      <w:r w:rsidR="00C122D4" w:rsidRPr="008625DC">
        <w:tab/>
      </w:r>
      <w:r w:rsidR="004B1688" w:rsidRPr="008625DC">
        <w:t>Peter Anderson, Michael O</w:t>
      </w:r>
      <w:r w:rsidR="00C74E19" w:rsidRPr="008625DC">
        <w:t>’</w:t>
      </w:r>
      <w:r w:rsidR="004B1688" w:rsidRPr="008625DC">
        <w:t>Bryan</w:t>
      </w:r>
      <w:r w:rsidR="00ED11E1" w:rsidRPr="008625DC">
        <w:t xml:space="preserve"> QC</w:t>
      </w:r>
      <w:r w:rsidR="004B1688" w:rsidRPr="008625DC">
        <w:t xml:space="preserve">, </w:t>
      </w:r>
      <w:r w:rsidR="00B951CC" w:rsidRPr="008625DC">
        <w:t>Professor Ian Harper</w:t>
      </w:r>
      <w:r w:rsidRPr="008625DC">
        <w:t xml:space="preserve"> (</w:t>
      </w:r>
      <w:r w:rsidR="00B951CC" w:rsidRPr="008625DC">
        <w:t>Chair</w:t>
      </w:r>
      <w:r w:rsidR="007C7D5D" w:rsidRPr="008625DC">
        <w:t xml:space="preserve"> of the Review</w:t>
      </w:r>
      <w:r w:rsidRPr="008625DC">
        <w:t>)</w:t>
      </w:r>
      <w:r w:rsidR="004B1688" w:rsidRPr="008625DC">
        <w:t>,</w:t>
      </w:r>
      <w:r w:rsidRPr="008625DC">
        <w:t xml:space="preserve"> </w:t>
      </w:r>
      <w:r w:rsidR="00B951CC" w:rsidRPr="008625DC">
        <w:t>Su McCluskey</w:t>
      </w:r>
      <w:r w:rsidR="004B1688" w:rsidRPr="008625DC">
        <w:t>.</w:t>
      </w:r>
    </w:p>
    <w:p w14:paraId="47727FAA" w14:textId="77777777" w:rsidR="00B951CC" w:rsidRPr="008625DC" w:rsidRDefault="00B951CC">
      <w:pPr>
        <w:spacing w:before="0" w:after="0"/>
        <w:rPr>
          <w:rFonts w:ascii="Calibri" w:hAnsi="Calibri" w:cs="Arial"/>
          <w:bCs/>
          <w:smallCaps/>
          <w:color w:val="auto"/>
          <w:kern w:val="32"/>
          <w:sz w:val="40"/>
          <w:szCs w:val="36"/>
        </w:rPr>
      </w:pPr>
      <w:r w:rsidRPr="008625DC">
        <w:rPr>
          <w:color w:val="auto"/>
        </w:rPr>
        <w:br w:type="page"/>
      </w:r>
    </w:p>
    <w:p w14:paraId="071817ED" w14:textId="5B2E57BF" w:rsidR="00D273A9" w:rsidRPr="008625DC" w:rsidRDefault="00D273A9" w:rsidP="009A1623">
      <w:pPr>
        <w:pStyle w:val="Heading1NotNumbered"/>
      </w:pPr>
      <w:bookmarkStart w:id="328" w:name="_Toc394654631"/>
      <w:bookmarkStart w:id="329" w:name="_Toc394656330"/>
      <w:bookmarkStart w:id="330" w:name="_Toc394659468"/>
      <w:bookmarkStart w:id="331" w:name="_Toc394663480"/>
      <w:bookmarkStart w:id="332" w:name="_Toc394667274"/>
      <w:bookmarkStart w:id="333" w:name="_Toc394671757"/>
      <w:bookmarkStart w:id="334" w:name="_Toc394674762"/>
      <w:bookmarkStart w:id="335" w:name="_Toc394675042"/>
      <w:bookmarkStart w:id="336" w:name="_Toc394676149"/>
      <w:bookmarkStart w:id="337" w:name="_Toc394675838"/>
      <w:bookmarkStart w:id="338" w:name="_Toc394918241"/>
      <w:bookmarkStart w:id="339" w:name="_Toc394918755"/>
      <w:bookmarkStart w:id="340" w:name="_Toc394930727"/>
      <w:bookmarkStart w:id="341" w:name="_Toc394938589"/>
      <w:bookmarkStart w:id="342" w:name="_Toc394937871"/>
      <w:bookmarkStart w:id="343" w:name="_Toc394941500"/>
      <w:bookmarkStart w:id="344" w:name="_Toc394942116"/>
      <w:bookmarkStart w:id="345" w:name="_Toc394940338"/>
      <w:bookmarkStart w:id="346" w:name="_Toc394940552"/>
      <w:bookmarkStart w:id="347" w:name="_Toc395008939"/>
      <w:bookmarkStart w:id="348" w:name="_Toc395011493"/>
      <w:bookmarkStart w:id="349" w:name="_Toc395012901"/>
      <w:bookmarkStart w:id="350" w:name="_Toc395014590"/>
      <w:bookmarkStart w:id="351" w:name="_Toc395090699"/>
      <w:bookmarkStart w:id="352" w:name="_Toc395093282"/>
      <w:bookmarkStart w:id="353" w:name="_Toc395098192"/>
      <w:bookmarkStart w:id="354" w:name="_Toc395105377"/>
      <w:bookmarkStart w:id="355" w:name="_Toc395106980"/>
      <w:bookmarkStart w:id="356" w:name="_Toc395109638"/>
      <w:bookmarkStart w:id="357" w:name="_Toc395112343"/>
      <w:bookmarkStart w:id="358" w:name="_Toc395107488"/>
      <w:bookmarkStart w:id="359" w:name="_Toc395114295"/>
      <w:bookmarkStart w:id="360" w:name="_Toc395117033"/>
      <w:bookmarkStart w:id="361" w:name="_Toc395113151"/>
      <w:bookmarkStart w:id="362" w:name="_Toc395115510"/>
      <w:bookmarkStart w:id="363" w:name="_Toc395118662"/>
      <w:bookmarkStart w:id="364" w:name="_Toc395802829"/>
      <w:bookmarkStart w:id="365" w:name="_Toc395867600"/>
      <w:bookmarkStart w:id="366" w:name="_Toc395868732"/>
      <w:bookmarkStart w:id="367" w:name="_Toc395879113"/>
      <w:bookmarkStart w:id="368" w:name="_Toc395882237"/>
      <w:bookmarkStart w:id="369" w:name="_Toc395882568"/>
      <w:bookmarkStart w:id="370" w:name="_Toc395880732"/>
      <w:bookmarkStart w:id="371" w:name="_Toc395881063"/>
      <w:bookmarkStart w:id="372" w:name="_Toc395881621"/>
      <w:bookmarkStart w:id="373" w:name="_Toc395884006"/>
      <w:bookmarkStart w:id="374" w:name="_Toc395884668"/>
      <w:bookmarkStart w:id="375" w:name="_Toc395883377"/>
      <w:bookmarkStart w:id="376" w:name="_Toc395883707"/>
      <w:bookmarkStart w:id="377" w:name="_Toc396130720"/>
      <w:bookmarkStart w:id="378" w:name="_Toc396136298"/>
      <w:bookmarkStart w:id="379" w:name="_Toc396145521"/>
      <w:bookmarkStart w:id="380" w:name="_Toc396145947"/>
      <w:bookmarkStart w:id="381" w:name="_Toc396147773"/>
      <w:bookmarkStart w:id="382" w:name="_Toc396149029"/>
      <w:bookmarkStart w:id="383" w:name="_Toc396149524"/>
      <w:bookmarkStart w:id="384" w:name="_Toc396149455"/>
      <w:bookmarkStart w:id="385" w:name="_Toc396149877"/>
      <w:bookmarkStart w:id="386" w:name="_Toc396150468"/>
      <w:bookmarkStart w:id="387" w:name="_Toc396151651"/>
      <w:bookmarkStart w:id="388" w:name="_Toc396202662"/>
      <w:bookmarkStart w:id="389" w:name="_Toc396206869"/>
      <w:bookmarkStart w:id="390" w:name="_Toc396209697"/>
      <w:bookmarkStart w:id="391" w:name="_Toc396212121"/>
      <w:bookmarkStart w:id="392" w:name="_Toc396213463"/>
      <w:bookmarkStart w:id="393" w:name="_Toc396214739"/>
      <w:bookmarkStart w:id="394" w:name="_Toc396226850"/>
      <w:bookmarkStart w:id="395" w:name="_Toc396229056"/>
      <w:bookmarkStart w:id="396" w:name="_Toc396230698"/>
      <w:bookmarkStart w:id="397" w:name="_Toc396231840"/>
      <w:bookmarkStart w:id="398" w:name="_Toc396233183"/>
      <w:bookmarkStart w:id="399" w:name="_Toc396233480"/>
      <w:bookmarkStart w:id="400" w:name="_Toc396234003"/>
      <w:bookmarkStart w:id="401" w:name="_Toc396234300"/>
      <w:bookmarkStart w:id="402" w:name="_Toc396234413"/>
      <w:bookmarkStart w:id="403" w:name="_Toc396236149"/>
      <w:bookmarkStart w:id="404" w:name="_Toc396235927"/>
      <w:bookmarkStart w:id="405" w:name="_Toc396236537"/>
      <w:bookmarkStart w:id="406" w:name="_Toc396237054"/>
      <w:bookmarkStart w:id="407" w:name="_Toc396397357"/>
      <w:bookmarkStart w:id="408" w:name="_Toc396304578"/>
      <w:bookmarkStart w:id="409" w:name="_Toc396586113"/>
      <w:bookmarkStart w:id="410" w:name="_Toc396815094"/>
      <w:bookmarkStart w:id="411" w:name="_Toc396821043"/>
      <w:bookmarkStart w:id="412" w:name="_Toc396821239"/>
      <w:bookmarkStart w:id="413" w:name="_Toc396821651"/>
      <w:bookmarkStart w:id="414" w:name="_Toc396827501"/>
      <w:bookmarkStart w:id="415" w:name="_Toc396828472"/>
      <w:bookmarkStart w:id="416" w:name="_Toc396828582"/>
      <w:bookmarkStart w:id="417" w:name="_Toc396837971"/>
      <w:bookmarkStart w:id="418" w:name="_Toc396838369"/>
      <w:bookmarkStart w:id="419" w:name="_Toc396904102"/>
      <w:bookmarkStart w:id="420" w:name="_Toc396904692"/>
      <w:bookmarkStart w:id="421" w:name="_Toc396907526"/>
      <w:bookmarkStart w:id="422" w:name="_Toc396912445"/>
      <w:bookmarkStart w:id="423" w:name="_Toc396914425"/>
      <w:bookmarkStart w:id="424" w:name="_Toc396915309"/>
      <w:bookmarkStart w:id="425" w:name="_Toc396915703"/>
      <w:bookmarkStart w:id="426" w:name="_Toc396921014"/>
      <w:bookmarkStart w:id="427" w:name="_Toc396924354"/>
      <w:bookmarkStart w:id="428" w:name="_Toc396925048"/>
      <w:bookmarkStart w:id="429" w:name="_Toc396992168"/>
      <w:bookmarkStart w:id="430" w:name="_Toc396992747"/>
      <w:bookmarkStart w:id="431" w:name="_Toc396994411"/>
      <w:bookmarkStart w:id="432" w:name="_Toc396998022"/>
      <w:bookmarkStart w:id="433" w:name="_Toc397002182"/>
      <w:bookmarkStart w:id="434" w:name="_Toc397008659"/>
      <w:bookmarkStart w:id="435" w:name="_Toc397008877"/>
      <w:bookmarkStart w:id="436" w:name="_Toc397011549"/>
      <w:bookmarkStart w:id="437" w:name="_Toc397012610"/>
      <w:bookmarkStart w:id="438" w:name="_Toc397014952"/>
      <w:bookmarkStart w:id="439" w:name="_Toc397015439"/>
      <w:bookmarkStart w:id="440" w:name="_Toc397070510"/>
      <w:bookmarkStart w:id="441" w:name="_Toc397413236"/>
      <w:bookmarkStart w:id="442" w:name="_Toc397413383"/>
      <w:bookmarkStart w:id="443" w:name="_Toc397427979"/>
      <w:bookmarkStart w:id="444" w:name="_Toc397439367"/>
      <w:bookmarkStart w:id="445" w:name="_Toc397439537"/>
      <w:bookmarkStart w:id="446" w:name="_Toc397439793"/>
      <w:bookmarkStart w:id="447" w:name="_Toc397440095"/>
      <w:bookmarkStart w:id="448" w:name="_Toc397441724"/>
      <w:bookmarkStart w:id="449" w:name="_Toc397517426"/>
      <w:bookmarkStart w:id="450" w:name="_Toc397522691"/>
      <w:bookmarkStart w:id="451" w:name="_Toc397526109"/>
      <w:bookmarkStart w:id="452" w:name="_Toc397528424"/>
      <w:bookmarkStart w:id="453" w:name="_Toc397528899"/>
      <w:bookmarkStart w:id="454" w:name="_Toc397601896"/>
      <w:bookmarkStart w:id="455" w:name="_Toc397602631"/>
      <w:bookmarkStart w:id="456" w:name="_Toc397605760"/>
      <w:bookmarkStart w:id="457" w:name="_Toc397614904"/>
      <w:bookmarkStart w:id="458" w:name="_Toc397616347"/>
      <w:bookmarkStart w:id="459" w:name="_Toc397616741"/>
      <w:bookmarkStart w:id="460" w:name="_Toc397679151"/>
      <w:bookmarkStart w:id="461" w:name="_Toc397688039"/>
      <w:bookmarkStart w:id="462" w:name="_Toc397689255"/>
      <w:bookmarkStart w:id="463" w:name="_Toc397694535"/>
      <w:bookmarkStart w:id="464" w:name="_Toc397696376"/>
      <w:bookmarkStart w:id="465" w:name="_Toc397697110"/>
      <w:bookmarkStart w:id="466" w:name="_Toc397698397"/>
      <w:bookmarkStart w:id="467" w:name="_Toc397699763"/>
      <w:bookmarkStart w:id="468" w:name="_Toc397700217"/>
      <w:bookmarkStart w:id="469" w:name="_Toc397936609"/>
      <w:bookmarkStart w:id="470" w:name="_Toc397936729"/>
      <w:bookmarkStart w:id="471" w:name="_Toc397945737"/>
      <w:bookmarkStart w:id="472" w:name="_Toc397945884"/>
      <w:bookmarkStart w:id="473" w:name="_Toc397946910"/>
      <w:bookmarkStart w:id="474" w:name="_Toc397948029"/>
      <w:bookmarkStart w:id="475" w:name="_Toc397951325"/>
      <w:bookmarkStart w:id="476" w:name="_Toc397958435"/>
      <w:bookmarkStart w:id="477" w:name="_Toc397958677"/>
      <w:bookmarkStart w:id="478" w:name="_Toc397959092"/>
      <w:bookmarkStart w:id="479" w:name="_Toc397962944"/>
      <w:bookmarkStart w:id="480" w:name="_Toc397963310"/>
      <w:bookmarkStart w:id="481" w:name="_Toc397965387"/>
      <w:bookmarkStart w:id="482" w:name="_Toc398197325"/>
      <w:bookmarkStart w:id="483" w:name="_Toc398201542"/>
      <w:bookmarkStart w:id="484" w:name="_Toc398207147"/>
      <w:bookmarkStart w:id="485" w:name="_Toc398210420"/>
      <w:bookmarkStart w:id="486" w:name="_Toc398210934"/>
      <w:bookmarkStart w:id="487" w:name="_Toc398211071"/>
      <w:bookmarkStart w:id="488" w:name="_Toc398219742"/>
      <w:bookmarkStart w:id="489" w:name="_Toc398220117"/>
      <w:bookmarkStart w:id="490" w:name="_Toc398220504"/>
      <w:bookmarkStart w:id="491" w:name="_Toc398221582"/>
      <w:bookmarkStart w:id="492" w:name="_Toc398222268"/>
      <w:bookmarkStart w:id="493" w:name="_Toc398222580"/>
      <w:bookmarkStart w:id="494" w:name="_Toc398222997"/>
      <w:bookmarkStart w:id="495" w:name="_Toc398223376"/>
      <w:bookmarkStart w:id="496" w:name="_Toc398223503"/>
      <w:bookmarkStart w:id="497" w:name="_Toc398224311"/>
      <w:bookmarkStart w:id="498" w:name="_Toc398225648"/>
      <w:bookmarkStart w:id="499" w:name="_Toc398225773"/>
      <w:bookmarkStart w:id="500" w:name="_Toc398281260"/>
      <w:bookmarkStart w:id="501" w:name="_Toc398282119"/>
      <w:bookmarkStart w:id="502" w:name="_Toc398284789"/>
      <w:bookmarkStart w:id="503" w:name="_Toc398287258"/>
      <w:bookmarkStart w:id="504" w:name="_Toc398289141"/>
      <w:bookmarkStart w:id="505" w:name="_Toc398293834"/>
      <w:bookmarkStart w:id="506" w:name="_Toc398297138"/>
      <w:bookmarkStart w:id="507" w:name="_Toc398298612"/>
      <w:bookmarkStart w:id="508" w:name="_Toc398300313"/>
      <w:bookmarkStart w:id="509" w:name="_Toc398301210"/>
      <w:bookmarkStart w:id="510" w:name="_Toc398302395"/>
      <w:bookmarkStart w:id="511" w:name="_Toc398302558"/>
      <w:bookmarkStart w:id="512" w:name="_Toc398549070"/>
      <w:bookmarkStart w:id="513" w:name="_Toc398549320"/>
      <w:bookmarkStart w:id="514" w:name="_Toc398555739"/>
      <w:bookmarkStart w:id="515" w:name="_Toc398558943"/>
      <w:bookmarkStart w:id="516" w:name="_Toc398563429"/>
      <w:bookmarkStart w:id="517" w:name="_Toc398563562"/>
      <w:bookmarkStart w:id="518" w:name="_Toc398563961"/>
      <w:bookmarkStart w:id="519" w:name="_Toc398827299"/>
      <w:bookmarkStart w:id="520" w:name="_Toc398827493"/>
      <w:bookmarkStart w:id="521" w:name="_Toc391906814"/>
      <w:bookmarkStart w:id="522" w:name="_Toc391908223"/>
      <w:bookmarkStart w:id="523" w:name="_Toc392148996"/>
      <w:bookmarkStart w:id="524" w:name="_Toc392159445"/>
      <w:bookmarkStart w:id="525" w:name="_Toc392162210"/>
      <w:bookmarkStart w:id="526" w:name="_Toc392163884"/>
      <w:bookmarkStart w:id="527" w:name="_Toc392168919"/>
      <w:bookmarkStart w:id="528" w:name="_Toc392169851"/>
      <w:bookmarkStart w:id="529" w:name="_Toc392170545"/>
      <w:bookmarkStart w:id="530" w:name="_Toc392170719"/>
      <w:bookmarkStart w:id="531" w:name="_Toc392171134"/>
      <w:bookmarkStart w:id="532" w:name="_Toc392172723"/>
      <w:bookmarkStart w:id="533" w:name="_Toc392173086"/>
      <w:bookmarkStart w:id="534" w:name="_Toc392173262"/>
      <w:bookmarkStart w:id="535" w:name="_Toc392238254"/>
      <w:bookmarkStart w:id="536" w:name="_Toc392247556"/>
      <w:bookmarkStart w:id="537" w:name="_Toc392247831"/>
      <w:bookmarkStart w:id="538" w:name="_Toc392248503"/>
      <w:bookmarkStart w:id="539" w:name="_Toc392251036"/>
      <w:bookmarkStart w:id="540" w:name="_Toc392253660"/>
      <w:bookmarkStart w:id="541" w:name="_Toc392253837"/>
      <w:bookmarkStart w:id="542" w:name="_Toc392255428"/>
      <w:bookmarkStart w:id="543" w:name="_Toc392256223"/>
      <w:bookmarkStart w:id="544" w:name="_Toc392257418"/>
      <w:bookmarkStart w:id="545" w:name="_Toc392498435"/>
      <w:bookmarkStart w:id="546" w:name="_Toc392500429"/>
      <w:bookmarkStart w:id="547" w:name="_Toc392513243"/>
      <w:bookmarkStart w:id="548" w:name="_Toc392514156"/>
      <w:bookmarkStart w:id="549" w:name="_Toc392515343"/>
      <w:bookmarkStart w:id="550" w:name="_Toc392516442"/>
      <w:bookmarkStart w:id="551" w:name="_Toc392517271"/>
      <w:bookmarkStart w:id="552" w:name="_Toc392517190"/>
      <w:bookmarkStart w:id="553" w:name="_Toc392517538"/>
      <w:bookmarkStart w:id="554" w:name="_Toc392517698"/>
      <w:bookmarkStart w:id="555" w:name="_Toc392517778"/>
      <w:bookmarkStart w:id="556" w:name="_Toc392684976"/>
      <w:bookmarkStart w:id="557" w:name="_Toc392685066"/>
      <w:bookmarkStart w:id="558" w:name="_Toc392687229"/>
      <w:bookmarkStart w:id="559" w:name="_Toc392688397"/>
      <w:bookmarkStart w:id="560" w:name="_Toc392689397"/>
      <w:bookmarkStart w:id="561" w:name="_Toc392690181"/>
      <w:bookmarkStart w:id="562" w:name="_Toc392843405"/>
      <w:bookmarkStart w:id="563" w:name="_Toc392853039"/>
      <w:bookmarkStart w:id="564" w:name="_Toc392859796"/>
      <w:bookmarkStart w:id="565" w:name="_Toc392860684"/>
      <w:bookmarkStart w:id="566" w:name="_Toc392861454"/>
      <w:bookmarkStart w:id="567" w:name="_Toc393203410"/>
      <w:bookmarkStart w:id="568" w:name="_Toc393207190"/>
      <w:bookmarkStart w:id="569" w:name="_Toc393207281"/>
      <w:bookmarkStart w:id="570" w:name="_Toc393208054"/>
      <w:bookmarkStart w:id="571" w:name="_Toc393208152"/>
      <w:bookmarkStart w:id="572" w:name="_Toc393208241"/>
      <w:bookmarkStart w:id="573" w:name="_Toc393208330"/>
      <w:bookmarkStart w:id="574" w:name="_Toc393209654"/>
      <w:bookmarkStart w:id="575" w:name="_Toc393276017"/>
      <w:bookmarkStart w:id="576" w:name="_Toc393278915"/>
      <w:bookmarkStart w:id="577" w:name="_Toc393289800"/>
      <w:bookmarkStart w:id="578" w:name="_Toc393289895"/>
      <w:bookmarkStart w:id="579" w:name="_Toc393292280"/>
      <w:bookmarkStart w:id="580" w:name="_Toc393293902"/>
      <w:bookmarkStart w:id="581" w:name="_Toc393294921"/>
      <w:bookmarkStart w:id="582" w:name="_Toc393295226"/>
      <w:bookmarkStart w:id="583" w:name="_Toc393296217"/>
      <w:bookmarkStart w:id="584" w:name="_Toc393363155"/>
      <w:bookmarkStart w:id="585" w:name="_Toc393372212"/>
      <w:bookmarkStart w:id="586" w:name="_Toc393373306"/>
      <w:bookmarkStart w:id="587" w:name="_Toc393374414"/>
      <w:bookmarkStart w:id="588" w:name="_Toc393379184"/>
      <w:bookmarkStart w:id="589" w:name="_Toc393379796"/>
      <w:bookmarkStart w:id="590" w:name="_Toc393379892"/>
      <w:bookmarkStart w:id="591" w:name="_Toc393903573"/>
      <w:bookmarkStart w:id="592" w:name="_Toc393902785"/>
      <w:bookmarkStart w:id="593" w:name="_Toc393905491"/>
      <w:bookmarkStart w:id="594" w:name="_Toc393904347"/>
      <w:bookmarkStart w:id="595" w:name="_Toc393903964"/>
      <w:bookmarkStart w:id="596" w:name="_Toc393905801"/>
      <w:bookmarkStart w:id="597" w:name="_Toc393906182"/>
      <w:bookmarkStart w:id="598" w:name="_Toc393908160"/>
      <w:bookmarkStart w:id="599" w:name="_Toc393906601"/>
      <w:bookmarkStart w:id="600" w:name="_Toc393968128"/>
      <w:bookmarkStart w:id="601" w:name="_Toc393974259"/>
      <w:bookmarkStart w:id="602" w:name="_Toc393977908"/>
      <w:bookmarkStart w:id="603" w:name="_Toc393985292"/>
      <w:bookmarkStart w:id="604" w:name="_Toc393985795"/>
      <w:bookmarkStart w:id="605" w:name="_Toc393986197"/>
      <w:bookmarkStart w:id="606" w:name="_Toc393988207"/>
      <w:bookmarkStart w:id="607" w:name="_Toc393988609"/>
      <w:bookmarkStart w:id="608" w:name="_Toc393986601"/>
      <w:bookmarkStart w:id="609" w:name="_Toc393989621"/>
      <w:bookmarkStart w:id="610" w:name="_Toc393989009"/>
      <w:bookmarkStart w:id="611" w:name="_Toc393991013"/>
      <w:bookmarkStart w:id="612" w:name="_Toc393991112"/>
      <w:bookmarkStart w:id="613" w:name="_Toc393991997"/>
      <w:bookmarkStart w:id="614" w:name="_Toc394047661"/>
      <w:bookmarkStart w:id="615" w:name="_Toc394047772"/>
      <w:bookmarkStart w:id="616" w:name="_Toc394048328"/>
      <w:bookmarkStart w:id="617" w:name="_Toc394049940"/>
      <w:bookmarkStart w:id="618" w:name="_Toc394051340"/>
      <w:bookmarkStart w:id="619" w:name="_Toc394062022"/>
      <w:bookmarkStart w:id="620" w:name="_Toc394062491"/>
      <w:bookmarkStart w:id="621" w:name="_Toc394068899"/>
      <w:bookmarkStart w:id="622" w:name="_Toc394069208"/>
      <w:bookmarkStart w:id="623" w:name="_Toc394070722"/>
      <w:bookmarkStart w:id="624" w:name="_Toc394071127"/>
      <w:bookmarkStart w:id="625" w:name="_Toc394312222"/>
      <w:bookmarkStart w:id="626" w:name="_Toc394330395"/>
      <w:bookmarkStart w:id="627" w:name="_Toc394330492"/>
      <w:bookmarkStart w:id="628" w:name="_Toc394331326"/>
      <w:bookmarkStart w:id="629" w:name="_Toc394333085"/>
      <w:bookmarkStart w:id="630" w:name="_Toc394333402"/>
      <w:bookmarkStart w:id="631" w:name="_Toc394333498"/>
      <w:bookmarkStart w:id="632" w:name="_Toc394333815"/>
      <w:bookmarkStart w:id="633" w:name="_Toc394333911"/>
      <w:bookmarkStart w:id="634" w:name="_Toc394334228"/>
      <w:bookmarkStart w:id="635" w:name="_Toc394334737"/>
      <w:bookmarkStart w:id="636" w:name="_Toc394335054"/>
      <w:bookmarkStart w:id="637" w:name="_Toc394414926"/>
      <w:bookmarkStart w:id="638" w:name="_Toc394415258"/>
      <w:bookmarkStart w:id="639" w:name="_Toc394412231"/>
      <w:bookmarkStart w:id="640" w:name="_Toc394412567"/>
      <w:bookmarkStart w:id="641" w:name="_Toc394420507"/>
      <w:bookmarkStart w:id="642" w:name="_Toc394420860"/>
      <w:bookmarkStart w:id="643" w:name="_Toc394420981"/>
      <w:bookmarkStart w:id="644" w:name="_Toc394423351"/>
      <w:bookmarkStart w:id="645" w:name="_Toc394423701"/>
      <w:bookmarkStart w:id="646" w:name="_Toc394420285"/>
      <w:bookmarkStart w:id="647" w:name="_Toc394422394"/>
      <w:bookmarkStart w:id="648" w:name="_Toc394422745"/>
      <w:bookmarkStart w:id="649" w:name="_Toc394422865"/>
      <w:bookmarkStart w:id="650" w:name="_Toc394423216"/>
      <w:bookmarkStart w:id="651" w:name="_Toc394424015"/>
      <w:bookmarkStart w:id="652" w:name="_Toc394424364"/>
      <w:bookmarkStart w:id="653" w:name="_Toc394491850"/>
      <w:bookmarkStart w:id="654" w:name="_Toc394492195"/>
      <w:bookmarkStart w:id="655" w:name="_Toc394494995"/>
      <w:bookmarkStart w:id="656" w:name="_Toc394495339"/>
      <w:bookmarkStart w:id="657" w:name="_Toc394497807"/>
      <w:bookmarkStart w:id="658" w:name="_Toc394498154"/>
      <w:bookmarkStart w:id="659" w:name="_Toc394500944"/>
      <w:bookmarkStart w:id="660" w:name="_Toc394502003"/>
      <w:bookmarkStart w:id="661" w:name="_Toc394502341"/>
      <w:bookmarkStart w:id="662" w:name="_Toc394502905"/>
      <w:bookmarkStart w:id="663" w:name="_Toc394503700"/>
      <w:bookmarkStart w:id="664" w:name="_Toc394502789"/>
      <w:bookmarkStart w:id="665" w:name="_Toc394505656"/>
      <w:bookmarkStart w:id="666" w:name="_Toc394506117"/>
      <w:bookmarkStart w:id="667" w:name="_Toc394505995"/>
      <w:bookmarkStart w:id="668" w:name="_Toc394506455"/>
      <w:bookmarkStart w:id="669" w:name="_Toc394506669"/>
      <w:bookmarkStart w:id="670" w:name="_Toc394507009"/>
      <w:bookmarkStart w:id="671" w:name="_Toc394560741"/>
      <w:bookmarkStart w:id="672" w:name="_Toc394561083"/>
      <w:bookmarkStart w:id="673" w:name="_Toc394561205"/>
      <w:bookmarkStart w:id="674" w:name="_Toc394561916"/>
      <w:bookmarkStart w:id="675" w:name="_Toc394582932"/>
      <w:bookmarkStart w:id="676" w:name="_Toc394585603"/>
      <w:bookmarkStart w:id="677" w:name="_Toc394586069"/>
      <w:bookmarkStart w:id="678" w:name="_Toc394588001"/>
      <w:bookmarkStart w:id="679" w:name="_Toc394588836"/>
      <w:bookmarkStart w:id="680" w:name="_Toc394588961"/>
      <w:bookmarkStart w:id="681" w:name="_Toc394590377"/>
      <w:bookmarkStart w:id="682" w:name="_Toc394590570"/>
      <w:r w:rsidRPr="008625DC">
        <w:lastRenderedPageBreak/>
        <w:t>Abbreviations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57FF6D4" w14:textId="1DEB37F7" w:rsidR="001E0700" w:rsidRPr="008625DC" w:rsidRDefault="001E0700" w:rsidP="005013CA">
      <w:pPr>
        <w:tabs>
          <w:tab w:val="left" w:pos="1134"/>
        </w:tabs>
        <w:spacing w:after="120"/>
      </w:pPr>
      <w:r w:rsidRPr="008625DC">
        <w:t>ACCC</w:t>
      </w:r>
      <w:r w:rsidRPr="008625DC">
        <w:tab/>
        <w:t>Australian Competition and Consumer Commission</w:t>
      </w:r>
    </w:p>
    <w:p w14:paraId="05A589E8" w14:textId="03B8AF85" w:rsidR="00CE5D06" w:rsidRPr="008625DC" w:rsidRDefault="00CE5D06" w:rsidP="005013CA">
      <w:pPr>
        <w:tabs>
          <w:tab w:val="left" w:pos="1134"/>
        </w:tabs>
        <w:spacing w:after="120"/>
      </w:pPr>
      <w:r w:rsidRPr="008625DC">
        <w:t>ACCI</w:t>
      </w:r>
      <w:r w:rsidRPr="008625DC">
        <w:tab/>
        <w:t>Australian Chamber of Commerce and Industry</w:t>
      </w:r>
    </w:p>
    <w:p w14:paraId="6E93CD48" w14:textId="2F07D84B" w:rsidR="007D46FF" w:rsidRPr="008625DC" w:rsidRDefault="007D46FF" w:rsidP="005013CA">
      <w:pPr>
        <w:tabs>
          <w:tab w:val="left" w:pos="1134"/>
        </w:tabs>
        <w:spacing w:after="120"/>
      </w:pPr>
      <w:r w:rsidRPr="008625DC">
        <w:t>ACCP</w:t>
      </w:r>
      <w:r w:rsidRPr="008625DC">
        <w:tab/>
        <w:t>Australian Council for Competition Policy (proposed body)</w:t>
      </w:r>
    </w:p>
    <w:p w14:paraId="4291E63B" w14:textId="4835E33E" w:rsidR="00632F2E" w:rsidRPr="008625DC" w:rsidRDefault="00632F2E" w:rsidP="005013CA">
      <w:pPr>
        <w:tabs>
          <w:tab w:val="left" w:pos="1134"/>
        </w:tabs>
        <w:spacing w:after="120"/>
      </w:pPr>
      <w:r w:rsidRPr="008625DC">
        <w:t>ACL</w:t>
      </w:r>
      <w:r w:rsidRPr="008625DC">
        <w:tab/>
        <w:t>Australian Consumer Law</w:t>
      </w:r>
    </w:p>
    <w:p w14:paraId="559E710C" w14:textId="380AF565" w:rsidR="00D273A9" w:rsidRPr="008625DC" w:rsidRDefault="00D273A9" w:rsidP="005013CA">
      <w:pPr>
        <w:tabs>
          <w:tab w:val="left" w:pos="1134"/>
        </w:tabs>
        <w:spacing w:after="120"/>
      </w:pPr>
      <w:r w:rsidRPr="008625DC">
        <w:t>AEMC</w:t>
      </w:r>
      <w:r w:rsidRPr="008625DC">
        <w:tab/>
        <w:t>Australian Energy Market Commission</w:t>
      </w:r>
    </w:p>
    <w:p w14:paraId="12751B6B" w14:textId="3FB0B919" w:rsidR="00DB3215" w:rsidRPr="008625DC" w:rsidRDefault="00DB3215" w:rsidP="005013CA">
      <w:pPr>
        <w:tabs>
          <w:tab w:val="left" w:pos="1134"/>
        </w:tabs>
        <w:spacing w:after="120"/>
      </w:pPr>
      <w:r w:rsidRPr="008625DC">
        <w:t>AER</w:t>
      </w:r>
      <w:r w:rsidRPr="008625DC">
        <w:tab/>
        <w:t>Australian Energy Regulator</w:t>
      </w:r>
    </w:p>
    <w:p w14:paraId="17BCCAEA" w14:textId="43763862" w:rsidR="004F3C96" w:rsidRPr="008625DC" w:rsidRDefault="004F3C96" w:rsidP="005013CA">
      <w:pPr>
        <w:tabs>
          <w:tab w:val="left" w:pos="1134"/>
        </w:tabs>
        <w:spacing w:after="120"/>
      </w:pPr>
      <w:r w:rsidRPr="008625DC">
        <w:t>ALRC</w:t>
      </w:r>
      <w:r w:rsidRPr="008625DC">
        <w:tab/>
        <w:t>Australian Law Reform Commission</w:t>
      </w:r>
    </w:p>
    <w:p w14:paraId="27C803AD" w14:textId="068234A5" w:rsidR="00C06D79" w:rsidRPr="008625DC" w:rsidRDefault="00C06D79" w:rsidP="005013CA">
      <w:pPr>
        <w:tabs>
          <w:tab w:val="left" w:pos="1134"/>
        </w:tabs>
        <w:spacing w:after="120"/>
      </w:pPr>
      <w:r w:rsidRPr="008625DC">
        <w:t>BCA</w:t>
      </w:r>
      <w:r w:rsidRPr="008625DC">
        <w:tab/>
        <w:t>Business Council of Australia</w:t>
      </w:r>
    </w:p>
    <w:p w14:paraId="6940A703" w14:textId="764A4110" w:rsidR="00D273A9" w:rsidRPr="008625DC" w:rsidRDefault="00D273A9" w:rsidP="005013CA">
      <w:pPr>
        <w:tabs>
          <w:tab w:val="left" w:pos="1134"/>
        </w:tabs>
        <w:spacing w:after="120"/>
      </w:pPr>
      <w:r w:rsidRPr="008625DC">
        <w:t>CCA</w:t>
      </w:r>
      <w:r w:rsidRPr="008625DC">
        <w:tab/>
      </w:r>
      <w:r w:rsidRPr="008625DC">
        <w:rPr>
          <w:i/>
        </w:rPr>
        <w:t>Competition and Consumer Act 2010</w:t>
      </w:r>
    </w:p>
    <w:p w14:paraId="60F53917" w14:textId="2EB560DF" w:rsidR="00431ED1" w:rsidRPr="008625DC" w:rsidRDefault="00431ED1" w:rsidP="005013CA">
      <w:pPr>
        <w:tabs>
          <w:tab w:val="left" w:pos="1134"/>
        </w:tabs>
        <w:spacing w:after="120"/>
      </w:pPr>
      <w:r w:rsidRPr="008625DC">
        <w:t>CDPP</w:t>
      </w:r>
      <w:r w:rsidRPr="008625DC">
        <w:tab/>
        <w:t>Commonwealth Director of Public Prosecutions</w:t>
      </w:r>
    </w:p>
    <w:p w14:paraId="3EA775A0" w14:textId="1AEF3AEA" w:rsidR="00DB3215" w:rsidRPr="008625DC" w:rsidRDefault="00DB3215" w:rsidP="005013CA">
      <w:pPr>
        <w:tabs>
          <w:tab w:val="left" w:pos="1134"/>
        </w:tabs>
        <w:spacing w:after="120"/>
      </w:pPr>
      <w:r w:rsidRPr="008625DC">
        <w:t>COAG</w:t>
      </w:r>
      <w:r w:rsidRPr="008625DC">
        <w:tab/>
        <w:t>Council of Australian Governments</w:t>
      </w:r>
    </w:p>
    <w:p w14:paraId="5F73E34F" w14:textId="36D866A4" w:rsidR="00397AC2" w:rsidRPr="008625DC" w:rsidRDefault="00397AC2" w:rsidP="005013CA">
      <w:pPr>
        <w:tabs>
          <w:tab w:val="left" w:pos="1134"/>
        </w:tabs>
        <w:spacing w:after="120"/>
      </w:pPr>
      <w:r w:rsidRPr="008625DC">
        <w:t>CPA</w:t>
      </w:r>
      <w:r w:rsidRPr="008625DC">
        <w:tab/>
        <w:t>Competition Principles Agreement</w:t>
      </w:r>
    </w:p>
    <w:p w14:paraId="0E1997AE" w14:textId="0EDAD5DD" w:rsidR="00CB289D" w:rsidRPr="008625DC" w:rsidRDefault="00CB289D" w:rsidP="005013CA">
      <w:pPr>
        <w:tabs>
          <w:tab w:val="left" w:pos="1134"/>
        </w:tabs>
        <w:spacing w:after="120"/>
      </w:pPr>
      <w:r w:rsidRPr="008625DC">
        <w:t>CSO</w:t>
      </w:r>
      <w:r w:rsidRPr="008625DC">
        <w:tab/>
        <w:t>community service obligation</w:t>
      </w:r>
    </w:p>
    <w:p w14:paraId="6A25E20C" w14:textId="3147F62D" w:rsidR="00880CB4" w:rsidRPr="008625DC" w:rsidRDefault="00880CB4" w:rsidP="005013CA">
      <w:pPr>
        <w:tabs>
          <w:tab w:val="left" w:pos="1134"/>
        </w:tabs>
        <w:spacing w:after="120"/>
      </w:pPr>
      <w:r w:rsidRPr="008625DC">
        <w:t>EU</w:t>
      </w:r>
      <w:r w:rsidRPr="008625DC">
        <w:tab/>
        <w:t>European Union</w:t>
      </w:r>
    </w:p>
    <w:p w14:paraId="6DD15F57" w14:textId="6612CEE9" w:rsidR="00EE6ED7" w:rsidRPr="008625DC" w:rsidRDefault="00EE6ED7" w:rsidP="005013CA">
      <w:pPr>
        <w:tabs>
          <w:tab w:val="left" w:pos="1134"/>
        </w:tabs>
        <w:spacing w:after="120"/>
      </w:pPr>
      <w:r w:rsidRPr="008625DC">
        <w:t>GDP</w:t>
      </w:r>
      <w:r w:rsidRPr="008625DC">
        <w:tab/>
        <w:t>gross domestic product</w:t>
      </w:r>
    </w:p>
    <w:p w14:paraId="0D9A2128" w14:textId="7070342E" w:rsidR="00606A2A" w:rsidRPr="008625DC" w:rsidRDefault="00606A2A" w:rsidP="005013CA">
      <w:pPr>
        <w:tabs>
          <w:tab w:val="left" w:pos="1134"/>
        </w:tabs>
        <w:spacing w:after="120"/>
      </w:pPr>
      <w:r w:rsidRPr="008625DC">
        <w:t>IP</w:t>
      </w:r>
      <w:r w:rsidRPr="008625DC">
        <w:tab/>
        <w:t>intellectual property</w:t>
      </w:r>
    </w:p>
    <w:p w14:paraId="4C0C51F0" w14:textId="6BADC0A5" w:rsidR="007D46FF" w:rsidRPr="008625DC" w:rsidRDefault="007D46FF" w:rsidP="005013CA">
      <w:pPr>
        <w:tabs>
          <w:tab w:val="left" w:pos="1134"/>
        </w:tabs>
        <w:spacing w:after="120"/>
      </w:pPr>
      <w:r w:rsidRPr="008625DC">
        <w:t>IPART</w:t>
      </w:r>
      <w:r w:rsidRPr="008625DC">
        <w:tab/>
        <w:t>Independent Pricing &amp; Regulatory Tribunal (NSW)</w:t>
      </w:r>
    </w:p>
    <w:p w14:paraId="2283B166" w14:textId="3367BFB7" w:rsidR="00EB290E" w:rsidRPr="008625DC" w:rsidRDefault="00EB290E" w:rsidP="005013CA">
      <w:pPr>
        <w:tabs>
          <w:tab w:val="left" w:pos="1134"/>
        </w:tabs>
        <w:spacing w:after="120"/>
      </w:pPr>
      <w:r w:rsidRPr="008625DC">
        <w:t>NBN</w:t>
      </w:r>
      <w:r w:rsidRPr="008625DC">
        <w:tab/>
        <w:t>National Broadband Network</w:t>
      </w:r>
    </w:p>
    <w:p w14:paraId="70C14635" w14:textId="3E5F01F8" w:rsidR="00D273A9" w:rsidRPr="008625DC" w:rsidRDefault="00D273A9" w:rsidP="005013CA">
      <w:pPr>
        <w:tabs>
          <w:tab w:val="left" w:pos="1134"/>
        </w:tabs>
        <w:spacing w:after="120"/>
      </w:pPr>
      <w:r w:rsidRPr="008625DC">
        <w:t>NCC</w:t>
      </w:r>
      <w:r w:rsidRPr="008625DC">
        <w:tab/>
        <w:t>National Competition Co</w:t>
      </w:r>
      <w:r w:rsidR="00C86796" w:rsidRPr="008625DC">
        <w:t>uncil</w:t>
      </w:r>
    </w:p>
    <w:p w14:paraId="3166F1C4" w14:textId="6CEA306F" w:rsidR="00F7266B" w:rsidRPr="008625DC" w:rsidRDefault="00D273A9" w:rsidP="005013CA">
      <w:pPr>
        <w:tabs>
          <w:tab w:val="left" w:pos="1134"/>
        </w:tabs>
        <w:spacing w:after="120"/>
      </w:pPr>
      <w:r w:rsidRPr="008625DC">
        <w:t>NCP</w:t>
      </w:r>
      <w:r w:rsidRPr="008625DC">
        <w:tab/>
        <w:t>National Competition Policy</w:t>
      </w:r>
    </w:p>
    <w:p w14:paraId="3C34A1A0" w14:textId="4EDF382A" w:rsidR="00A80527" w:rsidRPr="008625DC" w:rsidRDefault="00A80527" w:rsidP="005013CA">
      <w:pPr>
        <w:tabs>
          <w:tab w:val="left" w:pos="1134"/>
        </w:tabs>
        <w:spacing w:after="120"/>
      </w:pPr>
      <w:r w:rsidRPr="008625DC">
        <w:t>NDIS</w:t>
      </w:r>
      <w:r w:rsidRPr="008625DC">
        <w:tab/>
        <w:t>National Disability Insurance Scheme</w:t>
      </w:r>
    </w:p>
    <w:p w14:paraId="2E026EC3" w14:textId="7536476D" w:rsidR="00CB289D" w:rsidRPr="008625DC" w:rsidRDefault="00CB289D" w:rsidP="005013CA">
      <w:pPr>
        <w:tabs>
          <w:tab w:val="left" w:pos="1134"/>
        </w:tabs>
        <w:spacing w:after="120"/>
      </w:pPr>
      <w:r w:rsidRPr="008625DC">
        <w:t>NDIA</w:t>
      </w:r>
      <w:r w:rsidRPr="008625DC">
        <w:tab/>
        <w:t>National Disability Insurance Agency</w:t>
      </w:r>
    </w:p>
    <w:p w14:paraId="78D3B31B" w14:textId="58439309" w:rsidR="001E0700" w:rsidRPr="008625DC" w:rsidRDefault="001E0700" w:rsidP="005013CA">
      <w:pPr>
        <w:tabs>
          <w:tab w:val="left" w:pos="1134"/>
        </w:tabs>
        <w:spacing w:after="120"/>
      </w:pPr>
      <w:r w:rsidRPr="008625DC">
        <w:t>NEM</w:t>
      </w:r>
      <w:r w:rsidRPr="008625DC">
        <w:tab/>
        <w:t>National Electricity Market</w:t>
      </w:r>
    </w:p>
    <w:p w14:paraId="289122A4" w14:textId="7446ACDA" w:rsidR="00FD725D" w:rsidRPr="008625DC" w:rsidRDefault="00FD725D" w:rsidP="005013CA">
      <w:pPr>
        <w:tabs>
          <w:tab w:val="left" w:pos="1134"/>
        </w:tabs>
        <w:spacing w:after="120"/>
      </w:pPr>
      <w:r w:rsidRPr="008625DC">
        <w:t>NSW</w:t>
      </w:r>
      <w:r w:rsidRPr="008625DC">
        <w:tab/>
        <w:t>New South Wales</w:t>
      </w:r>
    </w:p>
    <w:p w14:paraId="7B8E7DEC" w14:textId="7C9D9E55" w:rsidR="001775E5" w:rsidRPr="008625DC" w:rsidRDefault="001775E5" w:rsidP="005013CA">
      <w:pPr>
        <w:tabs>
          <w:tab w:val="left" w:pos="1134"/>
        </w:tabs>
        <w:spacing w:after="120"/>
      </w:pPr>
      <w:r w:rsidRPr="008625DC">
        <w:t>NZ</w:t>
      </w:r>
      <w:r w:rsidRPr="008625DC">
        <w:tab/>
        <w:t>New Zealand</w:t>
      </w:r>
    </w:p>
    <w:p w14:paraId="7F0F2401" w14:textId="66C9CC4C" w:rsidR="00397AC2" w:rsidRPr="008625DC" w:rsidRDefault="00397AC2" w:rsidP="005013CA">
      <w:pPr>
        <w:tabs>
          <w:tab w:val="left" w:pos="1134"/>
        </w:tabs>
        <w:spacing w:after="120"/>
      </w:pPr>
      <w:r w:rsidRPr="008625DC">
        <w:t>OECD</w:t>
      </w:r>
      <w:r w:rsidRPr="008625DC">
        <w:tab/>
        <w:t>Organisation for Economic Co</w:t>
      </w:r>
      <w:r w:rsidR="00C74E19" w:rsidRPr="008625DC">
        <w:noBreakHyphen/>
      </w:r>
      <w:r w:rsidRPr="008625DC">
        <w:t>operation and Development</w:t>
      </w:r>
    </w:p>
    <w:p w14:paraId="5C0EE0F0" w14:textId="310BF0B6" w:rsidR="004B06CF" w:rsidRPr="008625DC" w:rsidRDefault="004B06CF" w:rsidP="005013CA">
      <w:pPr>
        <w:tabs>
          <w:tab w:val="left" w:pos="1134"/>
        </w:tabs>
        <w:spacing w:after="120"/>
      </w:pPr>
      <w:r w:rsidRPr="008625DC">
        <w:t>PBS</w:t>
      </w:r>
      <w:r w:rsidRPr="008625DC">
        <w:tab/>
        <w:t>Pharmaceutical Benefits Scheme</w:t>
      </w:r>
    </w:p>
    <w:p w14:paraId="33812CD4" w14:textId="5A525DFF" w:rsidR="00AA577F" w:rsidRPr="008625DC" w:rsidRDefault="00397AC2" w:rsidP="005013CA">
      <w:pPr>
        <w:tabs>
          <w:tab w:val="left" w:pos="1134"/>
        </w:tabs>
        <w:spacing w:after="120"/>
      </w:pPr>
      <w:r w:rsidRPr="008625DC">
        <w:t>PC</w:t>
      </w:r>
      <w:r w:rsidRPr="008625DC">
        <w:tab/>
        <w:t>Productivity Commission</w:t>
      </w:r>
    </w:p>
    <w:p w14:paraId="675AD3C0" w14:textId="72E46178" w:rsidR="002968DE" w:rsidRPr="008625DC" w:rsidRDefault="002968DE" w:rsidP="005013CA">
      <w:pPr>
        <w:tabs>
          <w:tab w:val="left" w:pos="1134"/>
        </w:tabs>
        <w:spacing w:after="120"/>
      </w:pPr>
      <w:r w:rsidRPr="008625DC">
        <w:t>PPP</w:t>
      </w:r>
      <w:r w:rsidRPr="008625DC">
        <w:tab/>
        <w:t>public</w:t>
      </w:r>
      <w:r w:rsidR="00C74E19" w:rsidRPr="008625DC">
        <w:noBreakHyphen/>
      </w:r>
      <w:r w:rsidRPr="008625DC">
        <w:t xml:space="preserve">private </w:t>
      </w:r>
      <w:r w:rsidR="00840ACD" w:rsidRPr="008625DC">
        <w:t>partnership</w:t>
      </w:r>
    </w:p>
    <w:p w14:paraId="4FD16E6C" w14:textId="24C196CD" w:rsidR="002A2294" w:rsidRPr="008625DC" w:rsidRDefault="002A2294" w:rsidP="005013CA">
      <w:pPr>
        <w:tabs>
          <w:tab w:val="left" w:pos="1134"/>
        </w:tabs>
        <w:spacing w:after="120"/>
      </w:pPr>
      <w:r w:rsidRPr="008625DC">
        <w:t>RPM</w:t>
      </w:r>
      <w:r w:rsidRPr="008625DC">
        <w:tab/>
        <w:t>resale price maintenance</w:t>
      </w:r>
    </w:p>
    <w:p w14:paraId="1341C415" w14:textId="564E9EEE" w:rsidR="008F4E00" w:rsidRPr="008625DC" w:rsidRDefault="00AA577F" w:rsidP="005013CA">
      <w:pPr>
        <w:tabs>
          <w:tab w:val="left" w:pos="1134"/>
        </w:tabs>
        <w:spacing w:after="120"/>
      </w:pPr>
      <w:r w:rsidRPr="008625DC">
        <w:t>TPA</w:t>
      </w:r>
      <w:r w:rsidRPr="008625DC">
        <w:tab/>
      </w:r>
      <w:r w:rsidRPr="008625DC">
        <w:rPr>
          <w:i/>
        </w:rPr>
        <w:t>Trade Practices Act 1974</w:t>
      </w:r>
    </w:p>
    <w:p w14:paraId="06A59892" w14:textId="015EF016" w:rsidR="00E253F9" w:rsidRPr="008625DC" w:rsidRDefault="00E253F9" w:rsidP="005013CA">
      <w:pPr>
        <w:tabs>
          <w:tab w:val="left" w:pos="1134"/>
        </w:tabs>
        <w:spacing w:after="120"/>
      </w:pPr>
      <w:r w:rsidRPr="008625DC">
        <w:t>Tribunal</w:t>
      </w:r>
      <w:r w:rsidRPr="008625DC">
        <w:tab/>
        <w:t>Australian Competition Tribunal</w:t>
      </w:r>
    </w:p>
    <w:p w14:paraId="56E08515" w14:textId="4EFECF88" w:rsidR="00CB289D" w:rsidRPr="008625DC" w:rsidRDefault="00CB289D" w:rsidP="005013CA">
      <w:pPr>
        <w:tabs>
          <w:tab w:val="left" w:pos="1134"/>
        </w:tabs>
        <w:spacing w:after="120"/>
      </w:pPr>
      <w:r w:rsidRPr="008625DC">
        <w:t>UK</w:t>
      </w:r>
      <w:r w:rsidRPr="008625DC">
        <w:tab/>
        <w:t>United Kingdom</w:t>
      </w:r>
    </w:p>
    <w:p w14:paraId="1E41A5AD" w14:textId="6CCC8571" w:rsidR="00F7266B" w:rsidRPr="008625DC" w:rsidRDefault="008F4E00" w:rsidP="00EE6ED7">
      <w:pPr>
        <w:tabs>
          <w:tab w:val="left" w:pos="1134"/>
        </w:tabs>
        <w:spacing w:after="120"/>
      </w:pPr>
      <w:r w:rsidRPr="008625DC">
        <w:t>US</w:t>
      </w:r>
      <w:r w:rsidRPr="008625DC">
        <w:tab/>
        <w:t>United States</w:t>
      </w:r>
    </w:p>
    <w:p w14:paraId="1AB6EDB2" w14:textId="77777777" w:rsidR="002A6D97" w:rsidRPr="008625DC" w:rsidRDefault="002A6D97" w:rsidP="00DB3215">
      <w:pPr>
        <w:sectPr w:rsidR="002A6D97" w:rsidRPr="008625DC" w:rsidSect="00EE21FE">
          <w:footerReference w:type="default" r:id="rId35"/>
          <w:pgSz w:w="11906" w:h="16838" w:code="9"/>
          <w:pgMar w:top="1418" w:right="1418" w:bottom="1418" w:left="1418" w:header="709" w:footer="709" w:gutter="0"/>
          <w:pgNumType w:start="1"/>
          <w:cols w:space="708"/>
          <w:docGrid w:linePitch="360"/>
        </w:sectPr>
      </w:pPr>
    </w:p>
    <w:p w14:paraId="530A59D5" w14:textId="39A3E647" w:rsidR="00741496" w:rsidRPr="008625DC" w:rsidRDefault="00741496" w:rsidP="00741496">
      <w:pPr>
        <w:pStyle w:val="Heading1NotNumbered"/>
      </w:pPr>
      <w:bookmarkStart w:id="683" w:name="_Toc397962945"/>
      <w:bookmarkStart w:id="684" w:name="_Toc397963311"/>
      <w:bookmarkStart w:id="685" w:name="_Toc397965388"/>
      <w:bookmarkStart w:id="686" w:name="_Toc398197326"/>
      <w:bookmarkStart w:id="687" w:name="_Toc398201543"/>
      <w:bookmarkStart w:id="688" w:name="_Toc398207148"/>
      <w:bookmarkStart w:id="689" w:name="_Toc398210421"/>
      <w:bookmarkStart w:id="690" w:name="_Toc398210935"/>
      <w:bookmarkStart w:id="691" w:name="_Toc398211072"/>
      <w:bookmarkStart w:id="692" w:name="_Toc398219743"/>
      <w:bookmarkStart w:id="693" w:name="_Toc398220118"/>
      <w:bookmarkStart w:id="694" w:name="_Toc398220505"/>
      <w:bookmarkStart w:id="695" w:name="_Toc398221583"/>
      <w:bookmarkStart w:id="696" w:name="_Toc398222269"/>
      <w:bookmarkStart w:id="697" w:name="_Toc398222581"/>
      <w:bookmarkStart w:id="698" w:name="_Toc398222998"/>
      <w:bookmarkStart w:id="699" w:name="_Toc398223377"/>
      <w:bookmarkStart w:id="700" w:name="_Toc398223504"/>
      <w:bookmarkStart w:id="701" w:name="_Toc398224312"/>
      <w:bookmarkStart w:id="702" w:name="_Toc398225649"/>
      <w:bookmarkStart w:id="703" w:name="_Toc398225774"/>
      <w:bookmarkStart w:id="704" w:name="_Toc398281261"/>
      <w:bookmarkStart w:id="705" w:name="_Toc398282120"/>
      <w:bookmarkStart w:id="706" w:name="_Toc398284790"/>
      <w:bookmarkStart w:id="707" w:name="_Toc398287259"/>
      <w:bookmarkStart w:id="708" w:name="_Toc398289142"/>
      <w:bookmarkStart w:id="709" w:name="_Toc398297139"/>
      <w:bookmarkStart w:id="710" w:name="_Toc398298613"/>
      <w:bookmarkStart w:id="711" w:name="_Toc398300314"/>
      <w:bookmarkStart w:id="712" w:name="_Toc398301211"/>
      <w:bookmarkStart w:id="713" w:name="_Toc398302396"/>
      <w:bookmarkStart w:id="714" w:name="_Toc398302559"/>
      <w:bookmarkStart w:id="715" w:name="_Toc398549071"/>
      <w:bookmarkStart w:id="716" w:name="_Toc398549321"/>
      <w:bookmarkStart w:id="717" w:name="_Toc398555740"/>
      <w:bookmarkStart w:id="718" w:name="_Toc398558944"/>
      <w:bookmarkStart w:id="719" w:name="_Toc398563430"/>
      <w:bookmarkStart w:id="720" w:name="_Toc398563563"/>
      <w:bookmarkStart w:id="721" w:name="_Toc398563962"/>
      <w:bookmarkStart w:id="722" w:name="_Toc398827300"/>
      <w:bookmarkStart w:id="723" w:name="_Toc398827494"/>
      <w:bookmarkStart w:id="724" w:name="_Toc396815096"/>
      <w:bookmarkStart w:id="725" w:name="_Toc396821045"/>
      <w:bookmarkStart w:id="726" w:name="_Toc396821241"/>
      <w:bookmarkStart w:id="727" w:name="_Toc396821653"/>
      <w:bookmarkStart w:id="728" w:name="_Toc396827503"/>
      <w:bookmarkStart w:id="729" w:name="_Toc396828474"/>
      <w:bookmarkStart w:id="730" w:name="_Toc396828584"/>
      <w:bookmarkStart w:id="731" w:name="_Toc396837973"/>
      <w:bookmarkStart w:id="732" w:name="_Toc396838371"/>
      <w:bookmarkStart w:id="733" w:name="_Toc396904104"/>
      <w:bookmarkStart w:id="734" w:name="_Toc396904694"/>
      <w:bookmarkStart w:id="735" w:name="_Toc396907528"/>
      <w:bookmarkStart w:id="736" w:name="_Toc396912447"/>
      <w:bookmarkStart w:id="737" w:name="_Toc396914427"/>
      <w:bookmarkStart w:id="738" w:name="_Toc396915311"/>
      <w:bookmarkStart w:id="739" w:name="_Toc396915705"/>
      <w:bookmarkStart w:id="740" w:name="_Toc396921016"/>
      <w:bookmarkStart w:id="741" w:name="_Toc396924356"/>
      <w:bookmarkStart w:id="742" w:name="_Toc396925050"/>
      <w:bookmarkStart w:id="743" w:name="_Toc396992170"/>
      <w:bookmarkStart w:id="744" w:name="_Toc396992749"/>
      <w:bookmarkStart w:id="745" w:name="_Toc396994413"/>
      <w:bookmarkStart w:id="746" w:name="_Toc396998024"/>
      <w:bookmarkStart w:id="747" w:name="_Toc397002184"/>
      <w:bookmarkStart w:id="748" w:name="_Toc397008661"/>
      <w:bookmarkStart w:id="749" w:name="_Toc397008879"/>
      <w:bookmarkStart w:id="750" w:name="_Toc397011551"/>
      <w:bookmarkStart w:id="751" w:name="_Toc397012612"/>
      <w:bookmarkStart w:id="752" w:name="_Toc397014954"/>
      <w:bookmarkStart w:id="753" w:name="_Toc397015441"/>
      <w:bookmarkStart w:id="754" w:name="_Toc397070512"/>
      <w:bookmarkStart w:id="755" w:name="_Toc397413250"/>
      <w:bookmarkStart w:id="756" w:name="_Toc397413397"/>
      <w:bookmarkStart w:id="757" w:name="_Toc397427982"/>
      <w:bookmarkStart w:id="758" w:name="_Toc397439370"/>
      <w:bookmarkStart w:id="759" w:name="_Toc397439540"/>
      <w:bookmarkStart w:id="760" w:name="_Toc397439796"/>
      <w:bookmarkStart w:id="761" w:name="_Toc397440098"/>
      <w:bookmarkStart w:id="762" w:name="_Toc397441727"/>
      <w:bookmarkStart w:id="763" w:name="_Toc397517429"/>
      <w:bookmarkStart w:id="764" w:name="_Toc397522694"/>
      <w:bookmarkStart w:id="765" w:name="_Toc397526112"/>
      <w:bookmarkStart w:id="766" w:name="_Toc397528427"/>
      <w:bookmarkStart w:id="767" w:name="_Toc397528902"/>
      <w:bookmarkStart w:id="768" w:name="_Toc397601897"/>
      <w:bookmarkStart w:id="769" w:name="_Toc397602632"/>
      <w:bookmarkStart w:id="770" w:name="_Toc397605761"/>
      <w:bookmarkStart w:id="771" w:name="_Toc397614905"/>
      <w:bookmarkStart w:id="772" w:name="_Toc397616348"/>
      <w:bookmarkStart w:id="773" w:name="_Toc397616742"/>
      <w:bookmarkStart w:id="774" w:name="_Toc397679152"/>
      <w:bookmarkStart w:id="775" w:name="_Toc397688040"/>
      <w:bookmarkStart w:id="776" w:name="_Toc397689256"/>
      <w:bookmarkStart w:id="777" w:name="_Toc397694536"/>
      <w:bookmarkStart w:id="778" w:name="_Toc397696377"/>
      <w:bookmarkStart w:id="779" w:name="_Toc397697111"/>
      <w:bookmarkStart w:id="780" w:name="_Toc397698398"/>
      <w:bookmarkStart w:id="781" w:name="_Toc397699764"/>
      <w:bookmarkStart w:id="782" w:name="_Toc397700218"/>
      <w:bookmarkStart w:id="783" w:name="_Toc397936610"/>
      <w:bookmarkStart w:id="784" w:name="_Toc397936730"/>
      <w:bookmarkStart w:id="785" w:name="_Toc397945738"/>
      <w:bookmarkStart w:id="786" w:name="_Toc397945885"/>
      <w:bookmarkStart w:id="787" w:name="_Toc397946911"/>
      <w:bookmarkStart w:id="788" w:name="_Toc397948030"/>
      <w:bookmarkStart w:id="789" w:name="_Toc397951326"/>
      <w:bookmarkStart w:id="790" w:name="_Toc397958436"/>
      <w:bookmarkStart w:id="791" w:name="_Toc397958678"/>
      <w:bookmarkStart w:id="792" w:name="_Toc397959093"/>
      <w:bookmarkStart w:id="793" w:name="_Toc396237058"/>
      <w:bookmarkStart w:id="794" w:name="_Toc396397358"/>
      <w:bookmarkStart w:id="795" w:name="_Toc396304582"/>
      <w:bookmarkStart w:id="796" w:name="_Toc396586117"/>
      <w:bookmarkStart w:id="797" w:name="_Toc396815095"/>
      <w:bookmarkStart w:id="798" w:name="_Toc396821044"/>
      <w:bookmarkStart w:id="799" w:name="_Toc396821240"/>
      <w:bookmarkStart w:id="800" w:name="_Toc396821652"/>
      <w:bookmarkStart w:id="801" w:name="_Toc396827502"/>
      <w:bookmarkStart w:id="802" w:name="_Toc396828473"/>
      <w:bookmarkStart w:id="803" w:name="_Toc396828583"/>
      <w:bookmarkStart w:id="804" w:name="_Toc396837972"/>
      <w:bookmarkStart w:id="805" w:name="_Toc396838370"/>
      <w:bookmarkStart w:id="806" w:name="_Toc396904103"/>
      <w:bookmarkStart w:id="807" w:name="_Toc396904693"/>
      <w:bookmarkStart w:id="808" w:name="_Toc396907527"/>
      <w:bookmarkStart w:id="809" w:name="_Toc396912446"/>
      <w:bookmarkStart w:id="810" w:name="_Toc396914426"/>
      <w:bookmarkStart w:id="811" w:name="_Toc396915310"/>
      <w:bookmarkStart w:id="812" w:name="_Toc396915704"/>
      <w:bookmarkStart w:id="813" w:name="_Toc396921015"/>
      <w:bookmarkStart w:id="814" w:name="_Toc396924355"/>
      <w:bookmarkStart w:id="815" w:name="_Toc396925049"/>
      <w:bookmarkStart w:id="816" w:name="_Toc396992169"/>
      <w:bookmarkStart w:id="817" w:name="_Toc396992748"/>
      <w:bookmarkStart w:id="818" w:name="_Toc396994412"/>
      <w:bookmarkStart w:id="819" w:name="_Toc396998023"/>
      <w:bookmarkStart w:id="820" w:name="_Toc397002183"/>
      <w:bookmarkStart w:id="821" w:name="_Toc397008660"/>
      <w:bookmarkStart w:id="822" w:name="_Toc397008878"/>
      <w:bookmarkStart w:id="823" w:name="_Toc397011550"/>
      <w:bookmarkStart w:id="824" w:name="_Toc397012611"/>
      <w:bookmarkStart w:id="825" w:name="_Toc397014953"/>
      <w:bookmarkStart w:id="826" w:name="_Toc397015440"/>
      <w:bookmarkStart w:id="827" w:name="_Toc397070511"/>
      <w:bookmarkStart w:id="828" w:name="_Toc397413237"/>
      <w:bookmarkStart w:id="829" w:name="_Toc397413384"/>
      <w:bookmarkStart w:id="830" w:name="_Toc397427980"/>
      <w:bookmarkStart w:id="831" w:name="_Toc397439368"/>
      <w:bookmarkStart w:id="832" w:name="_Toc397439538"/>
      <w:bookmarkStart w:id="833" w:name="_Toc397439794"/>
      <w:bookmarkStart w:id="834" w:name="_Toc397440096"/>
      <w:bookmarkStart w:id="835" w:name="_Toc397441725"/>
      <w:bookmarkStart w:id="836" w:name="_Toc397517427"/>
      <w:bookmarkStart w:id="837" w:name="_Toc397522692"/>
      <w:bookmarkStart w:id="838" w:name="_Toc397526110"/>
      <w:bookmarkStart w:id="839" w:name="_Toc397528425"/>
      <w:bookmarkStart w:id="840" w:name="_Toc397528900"/>
      <w:bookmarkStart w:id="841" w:name="_Toc396123821"/>
      <w:bookmarkStart w:id="842" w:name="_Toc396130724"/>
      <w:bookmarkStart w:id="843" w:name="_Toc396136302"/>
      <w:bookmarkStart w:id="844" w:name="_Toc396138756"/>
      <w:bookmarkStart w:id="845" w:name="_Toc396144017"/>
      <w:bookmarkStart w:id="846" w:name="_Toc396145526"/>
      <w:bookmarkStart w:id="847" w:name="_Toc396145670"/>
      <w:bookmarkStart w:id="848" w:name="_Toc396145952"/>
      <w:bookmarkStart w:id="849" w:name="_Toc396147102"/>
      <w:bookmarkStart w:id="850" w:name="_Toc396147778"/>
      <w:bookmarkStart w:id="851" w:name="_Toc396149034"/>
      <w:bookmarkStart w:id="852" w:name="_Toc396148748"/>
      <w:bookmarkStart w:id="853" w:name="_Toc396149529"/>
      <w:bookmarkStart w:id="854" w:name="_Toc396149174"/>
      <w:bookmarkStart w:id="855" w:name="_Toc396149460"/>
      <w:bookmarkStart w:id="856" w:name="_Toc396149137"/>
      <w:bookmarkStart w:id="857" w:name="_Toc396149882"/>
      <w:bookmarkStart w:id="858" w:name="_Toc396149632"/>
      <w:bookmarkStart w:id="859" w:name="_Toc396150473"/>
      <w:bookmarkStart w:id="860" w:name="_Toc396151362"/>
      <w:bookmarkStart w:id="861" w:name="_Toc396151656"/>
      <w:bookmarkStart w:id="862" w:name="_Toc396201582"/>
      <w:bookmarkStart w:id="863" w:name="_Toc396202372"/>
      <w:bookmarkStart w:id="864" w:name="_Toc396202667"/>
      <w:bookmarkStart w:id="865" w:name="_Toc396203284"/>
      <w:bookmarkStart w:id="866" w:name="_Toc396206580"/>
      <w:bookmarkStart w:id="867" w:name="_Toc396206874"/>
      <w:bookmarkStart w:id="868" w:name="_Toc396209408"/>
      <w:bookmarkStart w:id="869" w:name="_Toc396209702"/>
      <w:bookmarkStart w:id="870" w:name="_Toc396211832"/>
      <w:bookmarkStart w:id="871" w:name="_Toc396212126"/>
      <w:bookmarkStart w:id="872" w:name="_Toc396213176"/>
      <w:bookmarkStart w:id="873" w:name="_Toc396213468"/>
      <w:bookmarkStart w:id="874" w:name="_Toc396214019"/>
      <w:bookmarkStart w:id="875" w:name="_Toc396214454"/>
      <w:bookmarkStart w:id="876" w:name="_Toc396214744"/>
      <w:bookmarkStart w:id="877" w:name="_Toc396220304"/>
      <w:bookmarkStart w:id="878" w:name="_Toc396226566"/>
      <w:bookmarkStart w:id="879" w:name="_Toc396226855"/>
      <w:bookmarkStart w:id="880" w:name="_Toc396229061"/>
      <w:bookmarkStart w:id="881" w:name="_Toc396230408"/>
      <w:bookmarkStart w:id="882" w:name="_Toc396230703"/>
      <w:bookmarkStart w:id="883" w:name="_Toc396231845"/>
      <w:bookmarkStart w:id="884" w:name="_Toc396233188"/>
      <w:bookmarkStart w:id="885" w:name="_Toc396233485"/>
      <w:bookmarkStart w:id="886" w:name="_Toc396234008"/>
      <w:bookmarkStart w:id="887" w:name="_Toc396234305"/>
      <w:bookmarkStart w:id="888" w:name="_Toc396234418"/>
      <w:bookmarkStart w:id="889" w:name="_Toc396236152"/>
      <w:bookmarkStart w:id="890" w:name="_Toc396235930"/>
      <w:bookmarkStart w:id="891" w:name="_Toc396236540"/>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8625DC">
        <w:lastRenderedPageBreak/>
        <w:t>Executive summary</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62F5246" w14:textId="64EE2BEE" w:rsidR="00184CBA" w:rsidRPr="008625DC" w:rsidRDefault="00184CBA" w:rsidP="00184CBA">
      <w:r w:rsidRPr="008625DC">
        <w:t>Reinvigorating Australia</w:t>
      </w:r>
      <w:r w:rsidR="00C74E19" w:rsidRPr="008625DC">
        <w:t>’</w:t>
      </w:r>
      <w:r w:rsidRPr="008625DC">
        <w:t>s competition policy is essential to help meet the economic challenges and opportunities we face now and into the future.</w:t>
      </w:r>
    </w:p>
    <w:p w14:paraId="242480A4" w14:textId="7E2148C7" w:rsidR="00A231CA" w:rsidRPr="008625DC" w:rsidRDefault="00A231CA" w:rsidP="00A231CA">
      <w:r w:rsidRPr="008625DC">
        <w:t>Our competition polic</w:t>
      </w:r>
      <w:r w:rsidR="005031FF" w:rsidRPr="008625DC">
        <w:t>ies</w:t>
      </w:r>
      <w:r w:rsidRPr="008625DC">
        <w:t>, laws and institutions serve the national interest when focused on the long</w:t>
      </w:r>
      <w:r w:rsidR="00C74E19" w:rsidRPr="008625DC">
        <w:noBreakHyphen/>
      </w:r>
      <w:r w:rsidRPr="008625DC">
        <w:t>ter</w:t>
      </w:r>
      <w:r w:rsidR="004831BA" w:rsidRPr="008625DC">
        <w:t>m</w:t>
      </w:r>
      <w:r w:rsidRPr="008625DC">
        <w:t xml:space="preserve"> interests of consumers. </w:t>
      </w:r>
    </w:p>
    <w:p w14:paraId="2767D8F7" w14:textId="16F0E995" w:rsidR="00A231CA" w:rsidRPr="008625DC" w:rsidRDefault="00A231CA" w:rsidP="00A231CA">
      <w:pPr>
        <w:rPr>
          <w:rFonts w:ascii="Calibri" w:hAnsi="Calibri"/>
        </w:rPr>
      </w:pPr>
      <w:r w:rsidRPr="008625DC">
        <w:rPr>
          <w:rFonts w:ascii="Calibri" w:hAnsi="Calibri"/>
        </w:rPr>
        <w:t>Change is constant in the economic landscape, bringing opportunities as well as challenges. Exposing the Australian economy to greater competition through the 1980s and 1990s helped us make the most of economic opportunities as they emerged and also to face the challenges that arose.</w:t>
      </w:r>
    </w:p>
    <w:p w14:paraId="55FB36D9" w14:textId="01397EE3" w:rsidR="00A231CA" w:rsidRPr="008625DC" w:rsidRDefault="00A231CA" w:rsidP="00A231CA">
      <w:r w:rsidRPr="008625DC">
        <w:t>The Panel has been tasked with examining whether Australia</w:t>
      </w:r>
      <w:r w:rsidR="00C74E19" w:rsidRPr="008625DC">
        <w:t>’</w:t>
      </w:r>
      <w:r w:rsidRPr="008625DC">
        <w:t>s competition policies, law</w:t>
      </w:r>
      <w:r w:rsidR="00184CBA" w:rsidRPr="008625DC">
        <w:t>s</w:t>
      </w:r>
      <w:r w:rsidRPr="008625DC">
        <w:t xml:space="preserve"> and institutions remain </w:t>
      </w:r>
      <w:r w:rsidR="00C74E19" w:rsidRPr="008625DC">
        <w:t>‘</w:t>
      </w:r>
      <w:r w:rsidRPr="008625DC">
        <w:t>fit for purpose</w:t>
      </w:r>
      <w:r w:rsidR="00C74E19" w:rsidRPr="008625DC">
        <w:t>’</w:t>
      </w:r>
      <w:r w:rsidRPr="008625DC">
        <w:t>, especially in light of the changing circumstances of the Australian economy that are expected to unfold over the next decade or so.</w:t>
      </w:r>
    </w:p>
    <w:p w14:paraId="217408BD" w14:textId="77777777" w:rsidR="00A231CA" w:rsidRPr="008625DC" w:rsidRDefault="00A231CA" w:rsidP="00A231CA">
      <w:r w:rsidRPr="008625DC">
        <w:t>This Draft Report identifies three major forces affecting the Australian economy that will influence whether our competition policies, laws and institutions are fit for purpose.</w:t>
      </w:r>
    </w:p>
    <w:p w14:paraId="7B7FEF55" w14:textId="4C4795FC" w:rsidR="00A231CA" w:rsidRPr="008625DC" w:rsidRDefault="00A231CA" w:rsidP="00A231CA">
      <w:r w:rsidRPr="008625DC">
        <w:t xml:space="preserve">The </w:t>
      </w:r>
      <w:r w:rsidRPr="008625DC">
        <w:rPr>
          <w:b/>
        </w:rPr>
        <w:t>rise of Asia and other emerging economies</w:t>
      </w:r>
      <w:r w:rsidRPr="008625DC">
        <w:t xml:space="preserve"> </w:t>
      </w:r>
      <w:r w:rsidR="00B9008F" w:rsidRPr="008625DC">
        <w:t>provides significant opportunities for Australian businesses and consumers, but also poses some challenges. A heightened capacity for agility and innovation will be needed to match changing tastes and preferences in emerging economies with our</w:t>
      </w:r>
      <w:r w:rsidR="00DF3014" w:rsidRPr="008625DC">
        <w:t> </w:t>
      </w:r>
      <w:r w:rsidR="00B9008F" w:rsidRPr="008625DC">
        <w:t xml:space="preserve">capacity to deliver commodities, goods, services and capital. </w:t>
      </w:r>
      <w:r w:rsidRPr="008625DC">
        <w:t xml:space="preserve">We need policies, laws and institutions that enable us to take full advantage of the opportunities offered. </w:t>
      </w:r>
    </w:p>
    <w:p w14:paraId="760D8451" w14:textId="77777777" w:rsidR="00A231CA" w:rsidRPr="008625DC" w:rsidRDefault="00A231CA" w:rsidP="00A231CA">
      <w:r w:rsidRPr="008625DC">
        <w:t xml:space="preserve">Our </w:t>
      </w:r>
      <w:r w:rsidRPr="008625DC">
        <w:rPr>
          <w:b/>
        </w:rPr>
        <w:t>ageing population</w:t>
      </w:r>
      <w:r w:rsidRPr="008625DC">
        <w:t xml:space="preserve"> will give rise to a wider array of needs and preferences among older Australians and their families. Extending competition in government provision of human services will help people meet their individual health and aged care needs by allowing them to choose among a diversity of providers. </w:t>
      </w:r>
    </w:p>
    <w:p w14:paraId="7F99FB9A" w14:textId="10E79381" w:rsidR="00A231CA" w:rsidRPr="008625DC" w:rsidRDefault="00A231CA" w:rsidP="00A231CA">
      <w:r w:rsidRPr="008625DC">
        <w:rPr>
          <w:b/>
        </w:rPr>
        <w:t>New technologies</w:t>
      </w:r>
      <w:r w:rsidRPr="008625DC">
        <w:t xml:space="preserve"> are </w:t>
      </w:r>
      <w:r w:rsidR="00C74E19" w:rsidRPr="008625DC">
        <w:t>‘</w:t>
      </w:r>
      <w:r w:rsidRPr="008625DC">
        <w:t>digitally disrupting</w:t>
      </w:r>
      <w:r w:rsidR="00C74E19" w:rsidRPr="008625DC">
        <w:t>’</w:t>
      </w:r>
      <w:r w:rsidRPr="008625DC">
        <w:t xml:space="preserve"> the way many markets operate, the way business is done and the way consumers engage with markets. The challenge for policymakers and regulators is to capture the benefits of digital disruption by ensuring that competition polic</w:t>
      </w:r>
      <w:r w:rsidR="005031FF" w:rsidRPr="008625DC">
        <w:t>ies</w:t>
      </w:r>
      <w:r w:rsidRPr="008625DC">
        <w:t>, laws and institutions do not unduly obstruct its impact yet still preserve traditional safeguards for consumers.</w:t>
      </w:r>
    </w:p>
    <w:p w14:paraId="2DB1D4F4" w14:textId="3EA54343" w:rsidR="00741496" w:rsidRPr="008625DC" w:rsidRDefault="00F831A1" w:rsidP="00741496">
      <w:pPr>
        <w:pStyle w:val="Heading2NotNumbered"/>
      </w:pPr>
      <w:r w:rsidRPr="008625DC">
        <w:t xml:space="preserve">Competition </w:t>
      </w:r>
      <w:r w:rsidR="00DE6233" w:rsidRPr="008625DC">
        <w:t>p</w:t>
      </w:r>
      <w:r w:rsidR="00741496" w:rsidRPr="008625DC">
        <w:t>olicy</w:t>
      </w:r>
    </w:p>
    <w:p w14:paraId="79C4ED6D" w14:textId="6947AEED" w:rsidR="00184CBA" w:rsidRPr="008625DC" w:rsidRDefault="00184CBA" w:rsidP="00184CBA">
      <w:r w:rsidRPr="008625DC">
        <w:t>Competition policy is aimed at improving the economic welfare of Australians. It is about making markets work properly to meet their needs and preferences.</w:t>
      </w:r>
    </w:p>
    <w:p w14:paraId="22AFB62C" w14:textId="25008358" w:rsidR="00A231CA" w:rsidRPr="008625DC" w:rsidRDefault="00A231CA" w:rsidP="00C74E19">
      <w:pPr>
        <w:spacing w:after="120"/>
      </w:pPr>
      <w:r w:rsidRPr="008625DC">
        <w:t>In the Panel</w:t>
      </w:r>
      <w:r w:rsidR="00C74E19" w:rsidRPr="008625DC">
        <w:t>’</w:t>
      </w:r>
      <w:r w:rsidRPr="008625DC">
        <w:t>s view, competition policy should:</w:t>
      </w:r>
    </w:p>
    <w:p w14:paraId="49EC67D0" w14:textId="6A8DD464" w:rsidR="00A231CA" w:rsidRPr="008625DC" w:rsidRDefault="00E2620D" w:rsidP="00FA4F8C">
      <w:pPr>
        <w:pStyle w:val="Bullet"/>
      </w:pPr>
      <w:r w:rsidRPr="008625DC">
        <w:t>make</w:t>
      </w:r>
      <w:r w:rsidR="00A231CA" w:rsidRPr="008625DC">
        <w:t xml:space="preserve"> markets work in the long</w:t>
      </w:r>
      <w:r w:rsidR="00C74E19" w:rsidRPr="008625DC">
        <w:noBreakHyphen/>
      </w:r>
      <w:r w:rsidR="00A231CA" w:rsidRPr="008625DC">
        <w:t>term interests of consumers;</w:t>
      </w:r>
    </w:p>
    <w:p w14:paraId="0D576863" w14:textId="1D0565B1" w:rsidR="00A231CA" w:rsidRPr="008625DC" w:rsidRDefault="00A231CA" w:rsidP="00FA4F8C">
      <w:pPr>
        <w:pStyle w:val="Bullet"/>
      </w:pPr>
      <w:r w:rsidRPr="008625DC">
        <w:t xml:space="preserve">foster </w:t>
      </w:r>
      <w:r w:rsidR="00184CBA" w:rsidRPr="008625DC">
        <w:t xml:space="preserve">diversity, </w:t>
      </w:r>
      <w:r w:rsidRPr="008625DC">
        <w:t>choice and responsiveness in government services;</w:t>
      </w:r>
    </w:p>
    <w:p w14:paraId="6D4C5EED" w14:textId="77777777" w:rsidR="00A231CA" w:rsidRPr="008625DC" w:rsidRDefault="00A231CA" w:rsidP="00FA4F8C">
      <w:pPr>
        <w:pStyle w:val="Bullet"/>
      </w:pPr>
      <w:r w:rsidRPr="008625DC">
        <w:t>encourage innovation, entrepreneurship and the entry of new players;</w:t>
      </w:r>
    </w:p>
    <w:p w14:paraId="25E29672" w14:textId="156C2500" w:rsidR="00A231CA" w:rsidRPr="008625DC" w:rsidRDefault="00A231CA" w:rsidP="00FA4F8C">
      <w:pPr>
        <w:pStyle w:val="Bullet"/>
      </w:pPr>
      <w:r w:rsidRPr="008625DC">
        <w:t xml:space="preserve">promote efficient </w:t>
      </w:r>
      <w:r w:rsidR="0092777C" w:rsidRPr="008625DC">
        <w:t xml:space="preserve">investment in and </w:t>
      </w:r>
      <w:r w:rsidRPr="008625DC">
        <w:t>use of infrastructure</w:t>
      </w:r>
      <w:r w:rsidR="0092777C" w:rsidRPr="008625DC">
        <w:t xml:space="preserve"> </w:t>
      </w:r>
      <w:r w:rsidRPr="008625DC">
        <w:t>and natural resources;</w:t>
      </w:r>
    </w:p>
    <w:p w14:paraId="00B25FEC" w14:textId="77777777" w:rsidR="00A231CA" w:rsidRPr="008625DC" w:rsidRDefault="00A231CA" w:rsidP="00FA4F8C">
      <w:pPr>
        <w:pStyle w:val="Bullet"/>
      </w:pPr>
      <w:r w:rsidRPr="008625DC">
        <w:t>establish competition laws and regulations that are clear, predictable and reliable; and</w:t>
      </w:r>
    </w:p>
    <w:p w14:paraId="56167F4E" w14:textId="70D434F5" w:rsidR="00A231CA" w:rsidRPr="008625DC" w:rsidRDefault="00A231CA" w:rsidP="00FA4F8C">
      <w:pPr>
        <w:pStyle w:val="Bullet"/>
      </w:pPr>
      <w:proofErr w:type="gramStart"/>
      <w:r w:rsidRPr="008625DC">
        <w:t>secure</w:t>
      </w:r>
      <w:proofErr w:type="gramEnd"/>
      <w:r w:rsidRPr="008625DC">
        <w:t xml:space="preserve"> </w:t>
      </w:r>
      <w:r w:rsidR="00184CBA" w:rsidRPr="008625DC">
        <w:t xml:space="preserve">necessary </w:t>
      </w:r>
      <w:r w:rsidRPr="008625DC">
        <w:t xml:space="preserve">standards of access and equity. </w:t>
      </w:r>
    </w:p>
    <w:p w14:paraId="381EB15F" w14:textId="2A55CE59" w:rsidR="00A231CA" w:rsidRPr="008625DC" w:rsidRDefault="00A231CA" w:rsidP="00A231CA">
      <w:r w:rsidRPr="008625DC">
        <w:lastRenderedPageBreak/>
        <w:t xml:space="preserve">Important unfinished business remains from the original </w:t>
      </w:r>
      <w:r w:rsidR="00050A9C" w:rsidRPr="008625DC">
        <w:t>National Competition Policy (</w:t>
      </w:r>
      <w:r w:rsidRPr="008625DC">
        <w:t>NCP</w:t>
      </w:r>
      <w:r w:rsidR="00050A9C" w:rsidRPr="008625DC">
        <w:t>)</w:t>
      </w:r>
      <w:r w:rsidRPr="008625DC">
        <w:t xml:space="preserve"> agenda, and new areas have arisen where competition policy ought to apply</w:t>
      </w:r>
      <w:r w:rsidR="00C74E19" w:rsidRPr="008625DC">
        <w:t xml:space="preserve">. </w:t>
      </w:r>
    </w:p>
    <w:p w14:paraId="0C876D3F" w14:textId="7832639D" w:rsidR="00A231CA" w:rsidRPr="008625DC" w:rsidRDefault="00A231CA" w:rsidP="00A231CA">
      <w:r w:rsidRPr="008625DC">
        <w:t>Ageing of Australia</w:t>
      </w:r>
      <w:r w:rsidR="00C74E19" w:rsidRPr="008625DC">
        <w:t>’</w:t>
      </w:r>
      <w:r w:rsidRPr="008625DC">
        <w:t xml:space="preserve">s population will impose greater demands on health and aged care services. Establishing choice and competition principles in government provision of human services can improve services for those who most need them. If managed well, this can both empower consumers and improve productivity at the same time. </w:t>
      </w:r>
    </w:p>
    <w:p w14:paraId="4276B44C" w14:textId="11BF314D" w:rsidR="00A231CA" w:rsidRPr="008625DC" w:rsidRDefault="00FA4F8C" w:rsidP="00C74E19">
      <w:pPr>
        <w:spacing w:after="120"/>
      </w:pPr>
      <w:r w:rsidRPr="008625DC">
        <w:t>In the area of human services, t</w:t>
      </w:r>
      <w:r w:rsidR="00A231CA" w:rsidRPr="008625DC">
        <w:t>he Panel recommends</w:t>
      </w:r>
      <w:r w:rsidR="005031FF" w:rsidRPr="008625DC">
        <w:t xml:space="preserve"> that</w:t>
      </w:r>
      <w:r w:rsidR="00A231CA" w:rsidRPr="008625DC">
        <w:t>:</w:t>
      </w:r>
    </w:p>
    <w:p w14:paraId="5EEF9A1B" w14:textId="77777777" w:rsidR="00A231CA" w:rsidRPr="008625DC" w:rsidRDefault="00A231CA" w:rsidP="00A231CA">
      <w:pPr>
        <w:pStyle w:val="Bullet"/>
      </w:pPr>
      <w:r w:rsidRPr="008625DC">
        <w:t>user choice be placed at the heart of service delivery;</w:t>
      </w:r>
    </w:p>
    <w:p w14:paraId="28F7D720" w14:textId="77777777" w:rsidR="00A231CA" w:rsidRPr="008625DC" w:rsidRDefault="00A231CA" w:rsidP="00A231CA">
      <w:pPr>
        <w:pStyle w:val="Bullet"/>
      </w:pPr>
      <w:r w:rsidRPr="008625DC">
        <w:t xml:space="preserve">funding, regulation and service delivery be separate; </w:t>
      </w:r>
    </w:p>
    <w:p w14:paraId="4704ADE2" w14:textId="77777777" w:rsidR="00A231CA" w:rsidRPr="008625DC" w:rsidRDefault="00A231CA" w:rsidP="00A231CA">
      <w:pPr>
        <w:pStyle w:val="Bullet"/>
      </w:pPr>
      <w:r w:rsidRPr="008625DC">
        <w:t xml:space="preserve">a diversity of providers be encouraged, while not crowding out community and voluntary services; and </w:t>
      </w:r>
    </w:p>
    <w:p w14:paraId="198F86FA" w14:textId="4C0A403B" w:rsidR="00A231CA" w:rsidRPr="008625DC" w:rsidRDefault="00A231CA" w:rsidP="00C74E19">
      <w:pPr>
        <w:pStyle w:val="Bullet"/>
        <w:spacing w:after="240"/>
      </w:pPr>
      <w:proofErr w:type="gramStart"/>
      <w:r w:rsidRPr="008625DC">
        <w:t>innovation</w:t>
      </w:r>
      <w:proofErr w:type="gramEnd"/>
      <w:r w:rsidRPr="008625DC">
        <w:t xml:space="preserve"> in service provision be stimulated, while ensuring access to high</w:t>
      </w:r>
      <w:r w:rsidR="00C74E19" w:rsidRPr="008625DC">
        <w:noBreakHyphen/>
      </w:r>
      <w:r w:rsidRPr="008625DC">
        <w:t>quality human services.</w:t>
      </w:r>
    </w:p>
    <w:p w14:paraId="3239F06D" w14:textId="04C3B100" w:rsidR="00A231CA" w:rsidRPr="008625DC" w:rsidRDefault="00A231CA" w:rsidP="00A231CA">
      <w:r w:rsidRPr="008625DC">
        <w:t xml:space="preserve">In the area of infrastructure, the </w:t>
      </w:r>
      <w:r w:rsidR="003D58C6" w:rsidRPr="008625DC">
        <w:t>Panel</w:t>
      </w:r>
      <w:r w:rsidRPr="008625DC">
        <w:t xml:space="preserve"> recommends introducing cost</w:t>
      </w:r>
      <w:r w:rsidR="00C74E19" w:rsidRPr="008625DC">
        <w:noBreakHyphen/>
      </w:r>
      <w:r w:rsidRPr="008625DC">
        <w:t xml:space="preserve">reflective </w:t>
      </w:r>
      <w:r w:rsidR="00184CBA" w:rsidRPr="008625DC">
        <w:t xml:space="preserve">road </w:t>
      </w:r>
      <w:r w:rsidRPr="008625DC">
        <w:t>pricing linked to road construction, maintenance and safety to make road investment decisions more responsive to the needs and preferences of road users.</w:t>
      </w:r>
    </w:p>
    <w:p w14:paraId="73C943A3" w14:textId="77777777" w:rsidR="00A231CA" w:rsidRPr="008625DC" w:rsidRDefault="00A231CA" w:rsidP="00A231CA">
      <w:r w:rsidRPr="008625DC">
        <w:t>Reforms begun in electricity, gas and water need to be finalised.</w:t>
      </w:r>
    </w:p>
    <w:p w14:paraId="0B34AD58" w14:textId="6988D9DF" w:rsidR="00A231CA" w:rsidRPr="008625DC" w:rsidRDefault="00A231CA" w:rsidP="00A231CA">
      <w:r w:rsidRPr="008625DC">
        <w:t>Anti</w:t>
      </w:r>
      <w:r w:rsidR="00C74E19" w:rsidRPr="008625DC">
        <w:noBreakHyphen/>
      </w:r>
      <w:r w:rsidRPr="008625DC">
        <w:t>competitive regulations remain in place despite significant progress made under NCP. The Panel recommends that regulations restricting competition be reviewed by each jurisdiction</w:t>
      </w:r>
      <w:r w:rsidR="00184CBA" w:rsidRPr="008625DC">
        <w:t>,</w:t>
      </w:r>
      <w:r w:rsidRPr="008625DC">
        <w:t xml:space="preserve"> with particular priority given to regulations covering planning and zoning, retail trading hours</w:t>
      </w:r>
      <w:r w:rsidR="00A46FA9" w:rsidRPr="008625DC">
        <w:t>, taxis,</w:t>
      </w:r>
      <w:r w:rsidRPr="008625DC">
        <w:t xml:space="preserve"> pharmacy</w:t>
      </w:r>
      <w:r w:rsidR="00A46FA9" w:rsidRPr="008625DC">
        <w:t xml:space="preserve"> and parallel imports</w:t>
      </w:r>
      <w:r w:rsidRPr="008625DC">
        <w:t xml:space="preserve">. </w:t>
      </w:r>
    </w:p>
    <w:p w14:paraId="7EEAB672" w14:textId="53F1B18F" w:rsidR="00A231CA" w:rsidRPr="008625DC" w:rsidRDefault="00A231CA" w:rsidP="00A231CA">
      <w:r w:rsidRPr="008625DC">
        <w:t>Australia</w:t>
      </w:r>
      <w:r w:rsidR="00C74E19" w:rsidRPr="008625DC">
        <w:t>’</w:t>
      </w:r>
      <w:r w:rsidRPr="008625DC">
        <w:t xml:space="preserve">s intellectual property regime is also a priority for review. We recommend that the current </w:t>
      </w:r>
      <w:r w:rsidR="000D390E" w:rsidRPr="008625DC">
        <w:t>exception</w:t>
      </w:r>
      <w:r w:rsidRPr="008625DC">
        <w:t xml:space="preserve"> for intellectual property licences in the </w:t>
      </w:r>
      <w:r w:rsidRPr="008625DC">
        <w:rPr>
          <w:i/>
        </w:rPr>
        <w:t>Competition and Consumer Act</w:t>
      </w:r>
      <w:r w:rsidR="00C878F2" w:rsidRPr="008625DC">
        <w:rPr>
          <w:i/>
        </w:rPr>
        <w:t xml:space="preserve"> 2010</w:t>
      </w:r>
      <w:r w:rsidRPr="008625DC">
        <w:t xml:space="preserve"> (CCA) be repealed. </w:t>
      </w:r>
    </w:p>
    <w:p w14:paraId="0D663D6F" w14:textId="2AC8EC2A" w:rsidR="00A231CA" w:rsidRPr="008625DC" w:rsidRDefault="00A231CA" w:rsidP="00A231CA">
      <w:r w:rsidRPr="008625DC">
        <w:t>Competitive neutrality remains a matter of concern for many stakeholders, including small businesses. We recommend that competitive neutrality policies be reviewed and updated against best practice, and that complaints</w:t>
      </w:r>
      <w:r w:rsidR="00C74E19" w:rsidRPr="008625DC">
        <w:noBreakHyphen/>
      </w:r>
      <w:r w:rsidRPr="008625DC">
        <w:t>handling processes and monitoring be improved</w:t>
      </w:r>
      <w:r w:rsidR="00C74E19" w:rsidRPr="008625DC">
        <w:t xml:space="preserve">. </w:t>
      </w:r>
    </w:p>
    <w:p w14:paraId="6B39B6B3" w14:textId="1ABA321E" w:rsidR="00C27659" w:rsidRPr="008625DC" w:rsidRDefault="00A46FA9" w:rsidP="00C27659">
      <w:pPr>
        <w:pStyle w:val="Heading2NotNumbered"/>
      </w:pPr>
      <w:r w:rsidRPr="008625DC">
        <w:t xml:space="preserve">Competition </w:t>
      </w:r>
      <w:r w:rsidR="00DE6233" w:rsidRPr="008625DC">
        <w:t>l</w:t>
      </w:r>
      <w:r w:rsidR="00C27659" w:rsidRPr="008625DC">
        <w:t>aws</w:t>
      </w:r>
    </w:p>
    <w:p w14:paraId="04581EBE" w14:textId="77E9D4E7" w:rsidR="00A231CA" w:rsidRPr="008625DC" w:rsidRDefault="00A231CA" w:rsidP="00B36365">
      <w:pPr>
        <w:spacing w:after="120"/>
      </w:pPr>
      <w:r w:rsidRPr="008625DC">
        <w:t>In guiding our consideration of whether Australia</w:t>
      </w:r>
      <w:r w:rsidR="00C74E19" w:rsidRPr="008625DC">
        <w:t>’</w:t>
      </w:r>
      <w:r w:rsidRPr="008625DC">
        <w:t>s competition laws are fit for purpose, the Panel asked a number of questions:</w:t>
      </w:r>
    </w:p>
    <w:p w14:paraId="43A015A5" w14:textId="77777777" w:rsidR="00A231CA" w:rsidRPr="008625DC" w:rsidRDefault="00A231CA" w:rsidP="00B36365">
      <w:pPr>
        <w:pStyle w:val="Bullet"/>
      </w:pPr>
      <w:r w:rsidRPr="008625DC">
        <w:t>Does the law focus on enhancing consumer wellbeing over the long term?</w:t>
      </w:r>
    </w:p>
    <w:p w14:paraId="6F6B44BD" w14:textId="77777777" w:rsidR="00A231CA" w:rsidRPr="008625DC" w:rsidRDefault="00A231CA" w:rsidP="00B36365">
      <w:pPr>
        <w:pStyle w:val="Bullet"/>
      </w:pPr>
      <w:r w:rsidRPr="008625DC">
        <w:t>Does the law protect competition rather than protecting competitors?</w:t>
      </w:r>
    </w:p>
    <w:p w14:paraId="0138F2C9" w14:textId="4541EA26" w:rsidR="00A231CA" w:rsidRPr="008625DC" w:rsidRDefault="00A231CA" w:rsidP="00B36365">
      <w:pPr>
        <w:pStyle w:val="Bullet"/>
      </w:pPr>
      <w:r w:rsidRPr="008625DC">
        <w:t>Does the law strike the right balance between prohibiting anti</w:t>
      </w:r>
      <w:r w:rsidR="00C74E19" w:rsidRPr="008625DC">
        <w:noBreakHyphen/>
      </w:r>
      <w:r w:rsidRPr="008625DC">
        <w:t>competitive conduct and not interfering with efficiency, innovation and entrepreneurship?</w:t>
      </w:r>
    </w:p>
    <w:p w14:paraId="00C6C0B2" w14:textId="77777777" w:rsidR="00A231CA" w:rsidRPr="008625DC" w:rsidRDefault="00A231CA" w:rsidP="00B36365">
      <w:pPr>
        <w:pStyle w:val="Bullet"/>
        <w:spacing w:after="240"/>
      </w:pPr>
      <w:r w:rsidRPr="008625DC">
        <w:t>Is the law as clear, simple and predictable as it can be?</w:t>
      </w:r>
    </w:p>
    <w:p w14:paraId="63DB1E91" w14:textId="3696A716" w:rsidR="00A231CA" w:rsidRPr="008625DC" w:rsidRDefault="00A231CA" w:rsidP="00A231CA">
      <w:r w:rsidRPr="008625DC">
        <w:t xml:space="preserve">While the Panel considers that </w:t>
      </w:r>
      <w:r w:rsidR="000B6D2D" w:rsidRPr="008625DC">
        <w:t>our</w:t>
      </w:r>
      <w:r w:rsidR="007F5086" w:rsidRPr="008625DC">
        <w:t xml:space="preserve"> </w:t>
      </w:r>
      <w:r w:rsidR="00B42868" w:rsidRPr="008625DC">
        <w:t>competition</w:t>
      </w:r>
      <w:r w:rsidR="00D05945" w:rsidRPr="008625DC">
        <w:t xml:space="preserve"> </w:t>
      </w:r>
      <w:r w:rsidRPr="008625DC">
        <w:t>laws have served Australia well, we recommend specific reforms to enhance their effectiveness.</w:t>
      </w:r>
    </w:p>
    <w:p w14:paraId="683084F6" w14:textId="6079CF57" w:rsidR="00A231CA" w:rsidRPr="008625DC" w:rsidRDefault="00A231CA" w:rsidP="00A231CA">
      <w:r w:rsidRPr="008625DC">
        <w:lastRenderedPageBreak/>
        <w:t xml:space="preserve">These include changes to section 46 governing the misuse of market power to bring it into line with other prohibitions by focusing on protecting competition and not competitors. While the threshold test of </w:t>
      </w:r>
      <w:r w:rsidR="00C74E19" w:rsidRPr="008625DC">
        <w:t>‘</w:t>
      </w:r>
      <w:r w:rsidRPr="008625DC">
        <w:t>substantial degree of market power</w:t>
      </w:r>
      <w:r w:rsidR="00C74E19" w:rsidRPr="008625DC">
        <w:t>’</w:t>
      </w:r>
      <w:r w:rsidRPr="008625DC">
        <w:t xml:space="preserve"> is well understood, the central element of </w:t>
      </w:r>
      <w:r w:rsidR="00C74E19" w:rsidRPr="008625DC">
        <w:t>‘</w:t>
      </w:r>
      <w:r w:rsidRPr="008625DC">
        <w:t>taking advantage of market power</w:t>
      </w:r>
      <w:r w:rsidR="00C74E19" w:rsidRPr="008625DC">
        <w:t>’</w:t>
      </w:r>
      <w:r w:rsidRPr="008625DC">
        <w:t xml:space="preserve"> is difficult to interpret and apply in practice. We recommend that the provision be reformulated so that it targets anti</w:t>
      </w:r>
      <w:r w:rsidR="00C74E19" w:rsidRPr="008625DC">
        <w:noBreakHyphen/>
      </w:r>
      <w:r w:rsidRPr="008625DC">
        <w:t>competitive conduct that has the purpose</w:t>
      </w:r>
      <w:r w:rsidR="004831BA" w:rsidRPr="008625DC">
        <w:t>, effect</w:t>
      </w:r>
      <w:r w:rsidRPr="008625DC">
        <w:t xml:space="preserve"> or likely effect of substantially lessening competition</w:t>
      </w:r>
      <w:r w:rsidR="00B36365" w:rsidRPr="008625DC">
        <w:t>.</w:t>
      </w:r>
    </w:p>
    <w:p w14:paraId="2869D29F" w14:textId="128FA219" w:rsidR="00A231CA" w:rsidRPr="008625DC" w:rsidRDefault="00A231CA" w:rsidP="00A231CA">
      <w:r w:rsidRPr="008625DC">
        <w:t>The Panel also recommends a number of changes to simplify and clarify the operation of the law, to bring to the forefront the competition policy objectives of the law and to reduce business compliance costs. The cartel provisions should be simplified</w:t>
      </w:r>
      <w:r w:rsidR="00FA4F8C" w:rsidRPr="008625DC">
        <w:t>,</w:t>
      </w:r>
      <w:r w:rsidRPr="008625DC">
        <w:t xml:space="preserve"> and the price signalling provisions removed</w:t>
      </w:r>
      <w:r w:rsidR="00343742" w:rsidRPr="008625DC">
        <w:t xml:space="preserve"> and replaced by extending section 45 to concerted practices that have the purpose, effect or likely effect of substantially lessening competition</w:t>
      </w:r>
      <w:r w:rsidRPr="008625DC">
        <w:t>. Merger approval processes should be streamlined.</w:t>
      </w:r>
    </w:p>
    <w:p w14:paraId="7EC1DDE6" w14:textId="77777777" w:rsidR="00A231CA" w:rsidRPr="008625DC" w:rsidRDefault="00A231CA" w:rsidP="00A231CA">
      <w:r w:rsidRPr="008625DC">
        <w:t xml:space="preserve">We recommend changes to other approval processes, both authorisation and notifications, in order to reduce costs for business, particularly small business. </w:t>
      </w:r>
    </w:p>
    <w:p w14:paraId="6E6AACF9" w14:textId="77777777" w:rsidR="00A231CA" w:rsidRPr="008625DC" w:rsidRDefault="00A231CA" w:rsidP="00A231CA">
      <w:pPr>
        <w:pStyle w:val="RecommendationText"/>
      </w:pPr>
      <w:r w:rsidRPr="008625DC">
        <w:t>We also recommend that collective bargaining arrangements be made more flexible and easier for small business to use, and we invite views on whether there should be a specific dispute resolution scheme for small business for matters covered by the CCA.</w:t>
      </w:r>
    </w:p>
    <w:p w14:paraId="6350E428" w14:textId="4106214C" w:rsidR="00C27659" w:rsidRPr="008625DC" w:rsidRDefault="00F831A1" w:rsidP="00C27659">
      <w:pPr>
        <w:pStyle w:val="Heading2NotNumbered"/>
      </w:pPr>
      <w:r w:rsidRPr="008625DC">
        <w:t xml:space="preserve">Competition </w:t>
      </w:r>
      <w:r w:rsidR="00DE6233" w:rsidRPr="008625DC">
        <w:t>i</w:t>
      </w:r>
      <w:r w:rsidR="00C27659" w:rsidRPr="008625DC">
        <w:t>nstitutions</w:t>
      </w:r>
    </w:p>
    <w:p w14:paraId="53B10DBD" w14:textId="747A94BF" w:rsidR="00A231CA" w:rsidRPr="008625DC" w:rsidRDefault="00A231CA" w:rsidP="00A231CA">
      <w:r w:rsidRPr="008625DC">
        <w:t>The Panel has assessed Australia</w:t>
      </w:r>
      <w:r w:rsidR="00C74E19" w:rsidRPr="008625DC">
        <w:t>’</w:t>
      </w:r>
      <w:r w:rsidRPr="008625DC">
        <w:t>s competition institutions</w:t>
      </w:r>
      <w:r w:rsidR="00C878F2" w:rsidRPr="008625DC">
        <w:t xml:space="preserve"> </w:t>
      </w:r>
      <w:r w:rsidRPr="008625DC">
        <w:t>—</w:t>
      </w:r>
      <w:r w:rsidR="00C878F2" w:rsidRPr="008625DC">
        <w:t xml:space="preserve"> </w:t>
      </w:r>
      <w:r w:rsidRPr="008625DC">
        <w:t>their current performance and preparedness for the future</w:t>
      </w:r>
      <w:r w:rsidR="004831BA" w:rsidRPr="008625DC">
        <w:t xml:space="preserve"> </w:t>
      </w:r>
      <w:r w:rsidRPr="008625DC">
        <w:t>—</w:t>
      </w:r>
      <w:r w:rsidR="004831BA" w:rsidRPr="008625DC">
        <w:t xml:space="preserve"> </w:t>
      </w:r>
      <w:r w:rsidRPr="008625DC">
        <w:t>and identified a gap in Australia</w:t>
      </w:r>
      <w:r w:rsidR="00C74E19" w:rsidRPr="008625DC">
        <w:t>’</w:t>
      </w:r>
      <w:r w:rsidRPr="008625DC">
        <w:t xml:space="preserve">s competition framework. Australia needs an institution whose remit </w:t>
      </w:r>
      <w:r w:rsidR="00A46FA9" w:rsidRPr="008625DC">
        <w:t xml:space="preserve">encompasses </w:t>
      </w:r>
      <w:r w:rsidRPr="008625DC">
        <w:t>advocat</w:t>
      </w:r>
      <w:r w:rsidR="00A46FA9" w:rsidRPr="008625DC">
        <w:t>ing</w:t>
      </w:r>
      <w:r w:rsidRPr="008625DC">
        <w:t xml:space="preserve"> for c</w:t>
      </w:r>
      <w:r w:rsidR="00A46FA9" w:rsidRPr="008625DC">
        <w:t xml:space="preserve">ompetition policy reform and </w:t>
      </w:r>
      <w:r w:rsidRPr="008625DC">
        <w:t>oversee</w:t>
      </w:r>
      <w:r w:rsidR="00A46FA9" w:rsidRPr="008625DC">
        <w:t>ing</w:t>
      </w:r>
      <w:r w:rsidRPr="008625DC">
        <w:t xml:space="preserve"> its implementation. This includes</w:t>
      </w:r>
      <w:r w:rsidR="004831BA" w:rsidRPr="008625DC">
        <w:t xml:space="preserve"> reforms agreed following this R</w:t>
      </w:r>
      <w:r w:rsidRPr="008625DC">
        <w:t>eview and future reforms.</w:t>
      </w:r>
    </w:p>
    <w:p w14:paraId="4A68DADC" w14:textId="3A31F033" w:rsidR="00A231CA" w:rsidRPr="008625DC" w:rsidRDefault="00A231CA" w:rsidP="00A231CA">
      <w:r w:rsidRPr="008625DC">
        <w:t xml:space="preserve">We recommend replacing the National Competition Council </w:t>
      </w:r>
      <w:r w:rsidR="008672E5" w:rsidRPr="008625DC">
        <w:t xml:space="preserve">(NCC) </w:t>
      </w:r>
      <w:r w:rsidRPr="008625DC">
        <w:t xml:space="preserve">with a new national competition body, the Australian Council for Competition Policy </w:t>
      </w:r>
      <w:r w:rsidR="00D05945" w:rsidRPr="008625DC">
        <w:t>(</w:t>
      </w:r>
      <w:r w:rsidRPr="008625DC">
        <w:t xml:space="preserve">ACCP). This should be an independent entity and truly </w:t>
      </w:r>
      <w:r w:rsidR="00C74E19" w:rsidRPr="008625DC">
        <w:t>‘</w:t>
      </w:r>
      <w:r w:rsidRPr="008625DC">
        <w:t>national</w:t>
      </w:r>
      <w:r w:rsidR="00C74E19" w:rsidRPr="008625DC">
        <w:t>’</w:t>
      </w:r>
      <w:r w:rsidRPr="008625DC">
        <w:t xml:space="preserve"> in scope, established and funded under a co</w:t>
      </w:r>
      <w:r w:rsidR="00F831A1" w:rsidRPr="008625DC">
        <w:noBreakHyphen/>
      </w:r>
      <w:r w:rsidRPr="008625DC">
        <w:t>operative legislative scheme involving the Commonwealth, States and Territories.</w:t>
      </w:r>
    </w:p>
    <w:p w14:paraId="33A1038A" w14:textId="16CAF21F" w:rsidR="00A231CA" w:rsidRPr="008625DC" w:rsidRDefault="00E9361C" w:rsidP="00A231CA">
      <w:r>
        <w:t>Where competition reforms result in</w:t>
      </w:r>
      <w:r w:rsidRPr="008625DC">
        <w:t xml:space="preserve"> disproportionate effects across jurisdictions</w:t>
      </w:r>
      <w:r>
        <w:t>,</w:t>
      </w:r>
      <w:r w:rsidRPr="008625DC">
        <w:t xml:space="preserve"> </w:t>
      </w:r>
      <w:r>
        <w:t>competition policy payments should be made to</w:t>
      </w:r>
      <w:r w:rsidRPr="008625DC">
        <w:t xml:space="preserve"> ensure that revenue gains flowing from reform accrue to the jurisdictions undertaking the reform</w:t>
      </w:r>
      <w:r>
        <w:t xml:space="preserve">. </w:t>
      </w:r>
      <w:r w:rsidR="004831BA" w:rsidRPr="008625DC">
        <w:t>T</w:t>
      </w:r>
      <w:r w:rsidR="00A231CA" w:rsidRPr="008625DC">
        <w:t>he ACCP would be responsible for administ</w:t>
      </w:r>
      <w:r w:rsidR="00B42868" w:rsidRPr="008625DC">
        <w:t>ering</w:t>
      </w:r>
      <w:r w:rsidR="00A231CA" w:rsidRPr="008625DC">
        <w:t xml:space="preserve"> payments, based on actual implementation of reforms.</w:t>
      </w:r>
    </w:p>
    <w:p w14:paraId="431181E6" w14:textId="5EBF2B46" w:rsidR="00A231CA" w:rsidRPr="008625DC" w:rsidRDefault="00A231CA" w:rsidP="00A231CA">
      <w:r w:rsidRPr="008625DC">
        <w:t>This new body would be an advocate and educator in competition policy. It would have the power to undertake market studies at the request of any government, and could consider requests from market participants, making recommendations to relevant governments on changes to anti</w:t>
      </w:r>
      <w:r w:rsidR="00C74E19" w:rsidRPr="008625DC">
        <w:noBreakHyphen/>
      </w:r>
      <w:r w:rsidRPr="008625DC">
        <w:t>competitive regulations or to the ACCC for investigation of breaches of the law.</w:t>
      </w:r>
    </w:p>
    <w:p w14:paraId="11B13A4F" w14:textId="7C4CAF87" w:rsidR="00A231CA" w:rsidRPr="008625DC" w:rsidRDefault="00A231CA" w:rsidP="00A231CA">
      <w:r w:rsidRPr="008625DC">
        <w:t xml:space="preserve">The Panel recommends that the ACCC retain both competition and consumer functions. We also recommend a separate access and pricing regulator be established with responsibility for existing regulatory functions undertaken by the NCC and the ACCC, including the Australian Energy Regulator, but with relevant consumer protection </w:t>
      </w:r>
      <w:r w:rsidR="00B42868" w:rsidRPr="008625DC">
        <w:t xml:space="preserve">and competition </w:t>
      </w:r>
      <w:r w:rsidRPr="008625DC">
        <w:t>matters remaining with the ACCC.</w:t>
      </w:r>
    </w:p>
    <w:p w14:paraId="5716B5CD" w14:textId="53A57FF5" w:rsidR="00A231CA" w:rsidRPr="008625DC" w:rsidRDefault="005623FF" w:rsidP="00A231CA">
      <w:r w:rsidRPr="008625DC">
        <w:t>The Panel considers that the ACCC is a well</w:t>
      </w:r>
      <w:r w:rsidR="00C74E19" w:rsidRPr="008625DC">
        <w:noBreakHyphen/>
      </w:r>
      <w:r w:rsidRPr="008625DC">
        <w:t xml:space="preserve">regarded and effective body but </w:t>
      </w:r>
      <w:r w:rsidR="00A231CA" w:rsidRPr="008625DC">
        <w:t xml:space="preserve">that </w:t>
      </w:r>
      <w:r w:rsidRPr="008625DC">
        <w:t>its</w:t>
      </w:r>
      <w:r w:rsidR="00156C1E" w:rsidRPr="008625DC">
        <w:t xml:space="preserve"> </w:t>
      </w:r>
      <w:r w:rsidR="00A231CA" w:rsidRPr="008625DC">
        <w:t>governance would be strengthened with input from individuals free of responsibility for its day</w:t>
      </w:r>
      <w:r w:rsidR="00C74E19" w:rsidRPr="008625DC">
        <w:noBreakHyphen/>
      </w:r>
      <w:r w:rsidR="00A231CA" w:rsidRPr="008625DC">
        <w:t>to</w:t>
      </w:r>
      <w:r w:rsidR="00C74E19" w:rsidRPr="008625DC">
        <w:noBreakHyphen/>
      </w:r>
      <w:r w:rsidR="00A231CA" w:rsidRPr="008625DC">
        <w:t xml:space="preserve">day operations. This would bring an </w:t>
      </w:r>
      <w:r w:rsidR="00C74E19" w:rsidRPr="008625DC">
        <w:t>‘</w:t>
      </w:r>
      <w:r w:rsidR="00A231CA" w:rsidRPr="008625DC">
        <w:t>outsider</w:t>
      </w:r>
      <w:r w:rsidR="00C74E19" w:rsidRPr="008625DC">
        <w:t>’</w:t>
      </w:r>
      <w:r w:rsidR="00A231CA" w:rsidRPr="008625DC">
        <w:t>s view</w:t>
      </w:r>
      <w:r w:rsidR="00C74E19" w:rsidRPr="008625DC">
        <w:t>’</w:t>
      </w:r>
      <w:r w:rsidR="00A231CA" w:rsidRPr="008625DC">
        <w:t xml:space="preserve"> and, in particular, allow </w:t>
      </w:r>
      <w:r w:rsidR="00941F4F" w:rsidRPr="008625DC">
        <w:t xml:space="preserve">business, consumer and academic </w:t>
      </w:r>
      <w:r w:rsidR="00A231CA" w:rsidRPr="008625DC">
        <w:t>perspectives to bear directly on ACCC decision</w:t>
      </w:r>
      <w:r w:rsidR="00C74E19" w:rsidRPr="008625DC">
        <w:noBreakHyphen/>
      </w:r>
      <w:r w:rsidR="00A231CA" w:rsidRPr="008625DC">
        <w:t xml:space="preserve">making. Accordingly, we have suggested </w:t>
      </w:r>
      <w:r w:rsidR="00A231CA" w:rsidRPr="008625DC">
        <w:lastRenderedPageBreak/>
        <w:t>enhancing the governance structure of the ACCC by adding a Board. The Draft Report canvasses two options for how this Board might be configured.</w:t>
      </w:r>
    </w:p>
    <w:p w14:paraId="740608FC" w14:textId="2E4E3399" w:rsidR="00C27659" w:rsidRPr="008625DC" w:rsidRDefault="00DE6233" w:rsidP="00C27659">
      <w:pPr>
        <w:pStyle w:val="Heading2NotNumbered"/>
      </w:pPr>
      <w:r w:rsidRPr="008625DC">
        <w:t>Next s</w:t>
      </w:r>
      <w:r w:rsidR="00C27659" w:rsidRPr="008625DC">
        <w:t>teps</w:t>
      </w:r>
    </w:p>
    <w:p w14:paraId="0CF7EF8A" w14:textId="77777777" w:rsidR="00F831A1" w:rsidRPr="008625DC" w:rsidRDefault="00A231CA" w:rsidP="00C27659">
      <w:r w:rsidRPr="008625DC">
        <w:t>This is a draft report but still presents specific recommendations for the purpose of stimulating debate. In a number of areas the Panel seeks further input from stakeholders as well as feedback on the Draft Recommendations. We look forward to continuing our engagement with stakeholders on the issues before the Review.</w:t>
      </w:r>
    </w:p>
    <w:p w14:paraId="4FD0BBCF" w14:textId="1EAD3762" w:rsidR="00741496" w:rsidRPr="008625DC" w:rsidRDefault="00741496" w:rsidP="00C27659">
      <w:r w:rsidRPr="008625DC">
        <w:br w:type="page"/>
      </w:r>
    </w:p>
    <w:p w14:paraId="678C98A8" w14:textId="77777777" w:rsidR="00CC0983" w:rsidRPr="008625DC" w:rsidRDefault="00CC0983" w:rsidP="00CC0983">
      <w:pPr>
        <w:pStyle w:val="Heading1NotNumbered"/>
      </w:pPr>
      <w:bookmarkStart w:id="892" w:name="_Toc397962946"/>
      <w:bookmarkStart w:id="893" w:name="_Toc397963312"/>
      <w:bookmarkStart w:id="894" w:name="_Toc397965389"/>
      <w:bookmarkStart w:id="895" w:name="_Toc398197327"/>
      <w:bookmarkStart w:id="896" w:name="_Toc398201544"/>
      <w:bookmarkStart w:id="897" w:name="_Toc398207149"/>
      <w:bookmarkStart w:id="898" w:name="_Toc398210422"/>
      <w:bookmarkStart w:id="899" w:name="_Toc398210936"/>
      <w:bookmarkStart w:id="900" w:name="_Toc398211073"/>
      <w:bookmarkStart w:id="901" w:name="_Toc398219744"/>
      <w:bookmarkStart w:id="902" w:name="_Toc398220119"/>
      <w:bookmarkStart w:id="903" w:name="_Toc398220506"/>
      <w:bookmarkStart w:id="904" w:name="_Toc398221584"/>
      <w:bookmarkStart w:id="905" w:name="_Toc398222270"/>
      <w:bookmarkStart w:id="906" w:name="_Toc398222582"/>
      <w:bookmarkStart w:id="907" w:name="_Toc398222999"/>
      <w:bookmarkStart w:id="908" w:name="_Toc398223378"/>
      <w:bookmarkStart w:id="909" w:name="_Toc398223505"/>
      <w:bookmarkStart w:id="910" w:name="_Toc398224313"/>
      <w:bookmarkStart w:id="911" w:name="_Toc398225650"/>
      <w:bookmarkStart w:id="912" w:name="_Toc398225775"/>
      <w:bookmarkStart w:id="913" w:name="_Toc398281262"/>
      <w:bookmarkStart w:id="914" w:name="_Toc398282121"/>
      <w:bookmarkStart w:id="915" w:name="_Toc398284791"/>
      <w:bookmarkStart w:id="916" w:name="_Toc398287260"/>
      <w:bookmarkStart w:id="917" w:name="_Toc398289143"/>
      <w:bookmarkStart w:id="918" w:name="_Toc398297140"/>
      <w:bookmarkStart w:id="919" w:name="_Toc398298614"/>
      <w:bookmarkStart w:id="920" w:name="_Toc398300315"/>
      <w:bookmarkStart w:id="921" w:name="_Toc398301212"/>
      <w:bookmarkStart w:id="922" w:name="_Toc398302397"/>
      <w:bookmarkStart w:id="923" w:name="_Toc398302560"/>
      <w:bookmarkStart w:id="924" w:name="_Toc398549072"/>
      <w:bookmarkStart w:id="925" w:name="_Toc398549322"/>
      <w:bookmarkStart w:id="926" w:name="_Toc398555741"/>
      <w:bookmarkStart w:id="927" w:name="_Toc398558945"/>
      <w:bookmarkStart w:id="928" w:name="_Toc398563431"/>
      <w:bookmarkStart w:id="929" w:name="_Toc398563564"/>
      <w:bookmarkStart w:id="930" w:name="_Toc398563963"/>
      <w:bookmarkStart w:id="931" w:name="_Toc398827301"/>
      <w:bookmarkStart w:id="932" w:name="_Toc398827495"/>
      <w:r w:rsidRPr="008625DC">
        <w:lastRenderedPageBreak/>
        <w:t>Report structure</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5904D4E9" w14:textId="3D5346D1" w:rsidR="00CC0983" w:rsidRPr="008625DC" w:rsidRDefault="00CC0983" w:rsidP="00CC0983">
      <w:r w:rsidRPr="008625DC">
        <w:t xml:space="preserve">In </w:t>
      </w:r>
      <w:hyperlink w:anchor="Pt1" w:history="1">
        <w:r w:rsidRPr="008625DC">
          <w:rPr>
            <w:rStyle w:val="Links"/>
          </w:rPr>
          <w:t>Part 1</w:t>
        </w:r>
      </w:hyperlink>
      <w:r w:rsidRPr="008625DC">
        <w:t xml:space="preserve"> of this Draft Report the Panel spells out the context for the </w:t>
      </w:r>
      <w:r w:rsidR="00575A09" w:rsidRPr="008625DC">
        <w:t>R</w:t>
      </w:r>
      <w:r w:rsidRPr="008625DC">
        <w:t>eview, including the key challenges and</w:t>
      </w:r>
      <w:r w:rsidR="0021640E" w:rsidRPr="008625DC">
        <w:t xml:space="preserve"> opportunities facing Australia.</w:t>
      </w:r>
    </w:p>
    <w:p w14:paraId="70753DBA" w14:textId="75FA035A" w:rsidR="00CC0983" w:rsidRPr="008625DC" w:rsidRDefault="00CC0983" w:rsidP="00F831A1">
      <w:r w:rsidRPr="008625DC">
        <w:t xml:space="preserve">In </w:t>
      </w:r>
      <w:hyperlink w:anchor="Pt2" w:history="1">
        <w:r w:rsidRPr="008625DC">
          <w:rPr>
            <w:rStyle w:val="Links"/>
          </w:rPr>
          <w:t>Part 2</w:t>
        </w:r>
      </w:hyperlink>
      <w:r w:rsidRPr="008625DC">
        <w:t xml:space="preserve"> the Panel offers its </w:t>
      </w:r>
      <w:r w:rsidR="00FA144D" w:rsidRPr="008625DC">
        <w:t>Draft R</w:t>
      </w:r>
      <w:r w:rsidRPr="008625DC">
        <w:t>ecommendations for reform of competition polic</w:t>
      </w:r>
      <w:r w:rsidR="008F1DD6" w:rsidRPr="008625DC">
        <w:t>ies</w:t>
      </w:r>
      <w:r w:rsidRPr="008625DC">
        <w:t>, laws and institutions. Since this is a draft report, the Panel seeks feedback from stakeholders on its conclusions and proposed reforms. These will inform the Panel</w:t>
      </w:r>
      <w:r w:rsidR="00C74E19" w:rsidRPr="008625DC">
        <w:t>’</w:t>
      </w:r>
      <w:r w:rsidRPr="008625DC">
        <w:t xml:space="preserve">s </w:t>
      </w:r>
      <w:r w:rsidR="00575A09" w:rsidRPr="008625DC">
        <w:t>F</w:t>
      </w:r>
      <w:r w:rsidRPr="008625DC">
        <w:t xml:space="preserve">inal </w:t>
      </w:r>
      <w:r w:rsidR="00575A09" w:rsidRPr="008625DC">
        <w:t>R</w:t>
      </w:r>
      <w:r w:rsidRPr="008625DC">
        <w:t xml:space="preserve">eport to </w:t>
      </w:r>
      <w:r w:rsidR="00575A09" w:rsidRPr="008625DC">
        <w:t xml:space="preserve">the Australian </w:t>
      </w:r>
      <w:r w:rsidRPr="008625DC">
        <w:t>Government.</w:t>
      </w:r>
      <w:r w:rsidR="00F0105B" w:rsidRPr="008625DC">
        <w:t xml:space="preserve"> </w:t>
      </w:r>
      <w:r w:rsidRPr="008625DC">
        <w:t xml:space="preserve">On some questions, the Panel is yet to reach a </w:t>
      </w:r>
      <w:r w:rsidR="00CF5BF7" w:rsidRPr="008625DC">
        <w:t xml:space="preserve">specific </w:t>
      </w:r>
      <w:r w:rsidRPr="008625DC">
        <w:t xml:space="preserve">view, and </w:t>
      </w:r>
      <w:r w:rsidR="00CF5BF7" w:rsidRPr="008625DC">
        <w:t xml:space="preserve">presents </w:t>
      </w:r>
      <w:r w:rsidRPr="008625DC">
        <w:t>options rather than draft proposals. Further stakeholder input is especially welcome on these points.</w:t>
      </w:r>
    </w:p>
    <w:p w14:paraId="5CCE058D" w14:textId="555D9777" w:rsidR="00CC0983" w:rsidRPr="008625DC" w:rsidRDefault="00AD530F" w:rsidP="00882BF6">
      <w:hyperlink w:anchor="Pt3" w:history="1">
        <w:r w:rsidR="00CC0983" w:rsidRPr="008625DC">
          <w:rPr>
            <w:rStyle w:val="Links"/>
          </w:rPr>
          <w:t>Part 3</w:t>
        </w:r>
      </w:hyperlink>
      <w:r w:rsidR="00CC0983" w:rsidRPr="008625DC">
        <w:t xml:space="preserve"> explores the competition policy landscape in more detail, beginning with the principles underpinning the original N</w:t>
      </w:r>
      <w:r w:rsidR="00F0105B" w:rsidRPr="008625DC">
        <w:t>CP</w:t>
      </w:r>
      <w:r w:rsidR="00CC0983" w:rsidRPr="008625DC">
        <w:t xml:space="preserve"> framework and asking whether revisions or extensions are needed in light of the different forces now bearing on the Australian economy. Discussion then turns to a suite of specific issues related to competition policy, including unfinished business from the original NCP reform agenda and new horizons for competition policy.</w:t>
      </w:r>
    </w:p>
    <w:p w14:paraId="66B7CB29" w14:textId="1ED2941B" w:rsidR="00CC0983" w:rsidRPr="008625DC" w:rsidRDefault="00AD530F" w:rsidP="00CC0983">
      <w:hyperlink w:anchor="Pt4" w:history="1">
        <w:r w:rsidR="00CC0983" w:rsidRPr="008625DC">
          <w:rPr>
            <w:rStyle w:val="Links"/>
          </w:rPr>
          <w:t>Part 4</w:t>
        </w:r>
      </w:hyperlink>
      <w:r w:rsidR="00CC0983" w:rsidRPr="008625DC">
        <w:t xml:space="preserve"> explores our competition laws in detail, examines areas where some observers claim they are deficient, and </w:t>
      </w:r>
      <w:r w:rsidR="00F0105B" w:rsidRPr="008625DC">
        <w:t xml:space="preserve">considers </w:t>
      </w:r>
      <w:r w:rsidR="00CC0983" w:rsidRPr="008625DC">
        <w:t xml:space="preserve">whether the laws remain fit for purpose in a changing </w:t>
      </w:r>
      <w:r w:rsidR="00F0105B" w:rsidRPr="008625DC">
        <w:t xml:space="preserve">business </w:t>
      </w:r>
      <w:r w:rsidR="00CC0983" w:rsidRPr="008625DC">
        <w:t>environment.</w:t>
      </w:r>
    </w:p>
    <w:p w14:paraId="33F9D50A" w14:textId="640862B1" w:rsidR="00CC0983" w:rsidRPr="008625DC" w:rsidRDefault="00CC0983" w:rsidP="00CC0983">
      <w:r w:rsidRPr="008625DC">
        <w:t xml:space="preserve">Finally, </w:t>
      </w:r>
      <w:hyperlink w:anchor="Pt5" w:history="1">
        <w:r w:rsidRPr="008625DC">
          <w:rPr>
            <w:rStyle w:val="Links"/>
          </w:rPr>
          <w:t>Part 5</w:t>
        </w:r>
      </w:hyperlink>
      <w:r w:rsidRPr="008625DC">
        <w:t xml:space="preserve"> assesses Australia</w:t>
      </w:r>
      <w:r w:rsidR="00C74E19" w:rsidRPr="008625DC">
        <w:t>’</w:t>
      </w:r>
      <w:r w:rsidRPr="008625DC">
        <w:t xml:space="preserve">s competition institutions, including the competition regulators, examining their current </w:t>
      </w:r>
      <w:r w:rsidR="00924DD4" w:rsidRPr="008625DC">
        <w:t>capabilities</w:t>
      </w:r>
      <w:r w:rsidRPr="008625DC">
        <w:t xml:space="preserve"> and preparedness for the future.</w:t>
      </w:r>
    </w:p>
    <w:p w14:paraId="7EF83A07" w14:textId="77777777" w:rsidR="00882BF6" w:rsidRPr="008625DC" w:rsidRDefault="00882BF6" w:rsidP="00CC0983"/>
    <w:p w14:paraId="126E9EC0" w14:textId="1A339DEF" w:rsidR="00CC0983" w:rsidRPr="008625DC" w:rsidRDefault="006F2D7D" w:rsidP="00CC0983">
      <w:r w:rsidRPr="008625DC">
        <w:rPr>
          <w:noProof/>
        </w:rPr>
        <w:lastRenderedPageBreak/>
        <w:drawing>
          <wp:inline distT="0" distB="0" distL="0" distR="0" wp14:anchorId="4F6388D7" wp14:editId="30412943">
            <wp:extent cx="5759450" cy="5002249"/>
            <wp:effectExtent l="0" t="0" r="0" b="8255"/>
            <wp:docPr id="5" name="Picture 5" descr="This diagram shows the report structure, displaying the Chapters that are contained in each of the five Parts. It mirrors the Table of Contents. " title="Repor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002249"/>
                    </a:xfrm>
                    <a:prstGeom prst="rect">
                      <a:avLst/>
                    </a:prstGeom>
                    <a:noFill/>
                    <a:ln>
                      <a:noFill/>
                    </a:ln>
                  </pic:spPr>
                </pic:pic>
              </a:graphicData>
            </a:graphic>
          </wp:inline>
        </w:drawing>
      </w:r>
    </w:p>
    <w:p w14:paraId="4B01EA97" w14:textId="77777777" w:rsidR="00FF3172" w:rsidRPr="008625DC" w:rsidRDefault="00CC0983">
      <w:pPr>
        <w:spacing w:before="0" w:after="0"/>
        <w:sectPr w:rsidR="00FF3172" w:rsidRPr="008625DC" w:rsidSect="00AA577F">
          <w:headerReference w:type="default" r:id="rId37"/>
          <w:footerReference w:type="default" r:id="rId38"/>
          <w:pgSz w:w="11906" w:h="16838" w:code="9"/>
          <w:pgMar w:top="1418" w:right="1418" w:bottom="1418" w:left="1418" w:header="709" w:footer="709" w:gutter="0"/>
          <w:cols w:space="708"/>
          <w:docGrid w:linePitch="360"/>
        </w:sectPr>
      </w:pPr>
      <w:r w:rsidRPr="008625DC">
        <w:br w:type="page"/>
      </w:r>
    </w:p>
    <w:p w14:paraId="0D473246" w14:textId="2A63C0F8" w:rsidR="00276F84" w:rsidRPr="008625DC" w:rsidRDefault="00276F84" w:rsidP="00392423">
      <w:pPr>
        <w:pStyle w:val="PartHeading"/>
      </w:pPr>
      <w:bookmarkStart w:id="933" w:name="Pt1"/>
      <w:bookmarkStart w:id="934" w:name="_Toc397601898"/>
      <w:bookmarkStart w:id="935" w:name="_Toc397602633"/>
      <w:bookmarkStart w:id="936" w:name="_Toc397605762"/>
      <w:bookmarkStart w:id="937" w:name="_Toc397614906"/>
      <w:bookmarkStart w:id="938" w:name="_Toc397616349"/>
      <w:bookmarkStart w:id="939" w:name="_Toc397616743"/>
      <w:bookmarkStart w:id="940" w:name="_Toc397679153"/>
      <w:bookmarkStart w:id="941" w:name="_Toc397688041"/>
      <w:bookmarkStart w:id="942" w:name="_Toc397689257"/>
      <w:bookmarkStart w:id="943" w:name="_Toc397694537"/>
      <w:bookmarkStart w:id="944" w:name="_Toc397696378"/>
      <w:bookmarkStart w:id="945" w:name="_Toc397697112"/>
      <w:bookmarkStart w:id="946" w:name="_Toc397698399"/>
      <w:bookmarkStart w:id="947" w:name="_Toc397699765"/>
      <w:bookmarkStart w:id="948" w:name="_Toc397700219"/>
      <w:bookmarkStart w:id="949" w:name="_Toc397936611"/>
      <w:bookmarkStart w:id="950" w:name="_Toc397936731"/>
      <w:bookmarkStart w:id="951" w:name="_Toc397945739"/>
      <w:bookmarkStart w:id="952" w:name="_Toc397945886"/>
      <w:bookmarkStart w:id="953" w:name="_Toc397946912"/>
      <w:bookmarkStart w:id="954" w:name="_Toc397948031"/>
      <w:bookmarkStart w:id="955" w:name="_Toc397951327"/>
      <w:bookmarkStart w:id="956" w:name="_Toc397958437"/>
      <w:bookmarkStart w:id="957" w:name="_Toc397958679"/>
      <w:bookmarkStart w:id="958" w:name="_Toc397959094"/>
      <w:bookmarkStart w:id="959" w:name="_Toc397962947"/>
      <w:bookmarkStart w:id="960" w:name="_Toc397963313"/>
      <w:bookmarkStart w:id="961" w:name="_Toc397965390"/>
      <w:bookmarkStart w:id="962" w:name="_Toc398197328"/>
      <w:bookmarkStart w:id="963" w:name="_Toc398201545"/>
      <w:bookmarkStart w:id="964" w:name="_Toc398207150"/>
      <w:bookmarkStart w:id="965" w:name="_Toc398210423"/>
      <w:bookmarkStart w:id="966" w:name="_Toc398210937"/>
      <w:bookmarkStart w:id="967" w:name="_Toc398211074"/>
      <w:bookmarkStart w:id="968" w:name="_Toc398219745"/>
      <w:bookmarkStart w:id="969" w:name="_Toc398220120"/>
      <w:bookmarkStart w:id="970" w:name="_Toc398220507"/>
      <w:bookmarkStart w:id="971" w:name="_Toc398221585"/>
      <w:bookmarkStart w:id="972" w:name="_Toc398222271"/>
      <w:bookmarkStart w:id="973" w:name="_Toc398222583"/>
      <w:bookmarkStart w:id="974" w:name="_Toc398223000"/>
      <w:bookmarkStart w:id="975" w:name="_Toc398223379"/>
      <w:bookmarkStart w:id="976" w:name="_Toc398223506"/>
      <w:bookmarkStart w:id="977" w:name="_Toc398224314"/>
      <w:bookmarkStart w:id="978" w:name="_Toc398225651"/>
      <w:bookmarkStart w:id="979" w:name="_Toc398225776"/>
      <w:bookmarkStart w:id="980" w:name="_Toc398281263"/>
      <w:bookmarkStart w:id="981" w:name="_Toc398282122"/>
      <w:bookmarkStart w:id="982" w:name="_Toc398284792"/>
      <w:bookmarkStart w:id="983" w:name="_Toc398287261"/>
      <w:bookmarkStart w:id="984" w:name="_Toc398289144"/>
      <w:bookmarkStart w:id="985" w:name="_Toc398297141"/>
      <w:bookmarkStart w:id="986" w:name="_Toc398298615"/>
      <w:bookmarkStart w:id="987" w:name="_Toc398300316"/>
      <w:bookmarkStart w:id="988" w:name="_Toc398301213"/>
      <w:bookmarkStart w:id="989" w:name="_Toc398302398"/>
      <w:bookmarkStart w:id="990" w:name="_Toc398302561"/>
      <w:bookmarkStart w:id="991" w:name="_Toc398549073"/>
      <w:bookmarkStart w:id="992" w:name="_Toc398549323"/>
      <w:bookmarkStart w:id="993" w:name="_Toc398555742"/>
      <w:bookmarkStart w:id="994" w:name="_Toc398558946"/>
      <w:bookmarkStart w:id="995" w:name="_Toc398563432"/>
      <w:bookmarkStart w:id="996" w:name="_Toc398563565"/>
      <w:bookmarkStart w:id="997" w:name="_Toc398563964"/>
      <w:bookmarkStart w:id="998" w:name="_Toc398827302"/>
      <w:bookmarkStart w:id="999" w:name="_Toc398827496"/>
      <w:r w:rsidRPr="008625DC">
        <w:lastRenderedPageBreak/>
        <w:t>Part 1</w:t>
      </w:r>
      <w:bookmarkEnd w:id="933"/>
      <w:r w:rsidR="00380141" w:rsidRPr="008625DC">
        <w:t xml:space="preserve"> — </w:t>
      </w:r>
      <w:bookmarkEnd w:id="793"/>
      <w:r w:rsidR="00A243BE" w:rsidRPr="008625DC">
        <w:t>Overview</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7C9F4B78" w14:textId="29AA90CC" w:rsidR="007F58AE" w:rsidRPr="008625DC" w:rsidRDefault="00A243BE" w:rsidP="00864E0A">
      <w:pPr>
        <w:pStyle w:val="Heading1"/>
        <w:ind w:left="851" w:hanging="851"/>
      </w:pPr>
      <w:bookmarkStart w:id="1000" w:name="_Toc397427981"/>
      <w:bookmarkStart w:id="1001" w:name="_Toc397439369"/>
      <w:bookmarkStart w:id="1002" w:name="_Toc397439539"/>
      <w:bookmarkStart w:id="1003" w:name="_Toc397439795"/>
      <w:bookmarkStart w:id="1004" w:name="_Toc397440097"/>
      <w:bookmarkStart w:id="1005" w:name="_Toc397441726"/>
      <w:bookmarkStart w:id="1006" w:name="_Toc397517428"/>
      <w:bookmarkStart w:id="1007" w:name="_Toc397522693"/>
      <w:bookmarkStart w:id="1008" w:name="_Toc397526111"/>
      <w:bookmarkStart w:id="1009" w:name="_Toc397528426"/>
      <w:bookmarkStart w:id="1010" w:name="_Toc397528901"/>
      <w:bookmarkStart w:id="1011" w:name="_Toc397601899"/>
      <w:bookmarkStart w:id="1012" w:name="_Toc397602634"/>
      <w:bookmarkStart w:id="1013" w:name="_Toc397605763"/>
      <w:bookmarkStart w:id="1014" w:name="_Toc397614907"/>
      <w:bookmarkStart w:id="1015" w:name="_Toc397616350"/>
      <w:bookmarkStart w:id="1016" w:name="_Toc397616744"/>
      <w:bookmarkStart w:id="1017" w:name="_Toc397679154"/>
      <w:bookmarkStart w:id="1018" w:name="_Toc397688042"/>
      <w:bookmarkStart w:id="1019" w:name="_Toc397689258"/>
      <w:bookmarkStart w:id="1020" w:name="_Toc397694538"/>
      <w:bookmarkStart w:id="1021" w:name="_Toc397696379"/>
      <w:bookmarkStart w:id="1022" w:name="_Toc397697113"/>
      <w:bookmarkStart w:id="1023" w:name="_Toc397698400"/>
      <w:bookmarkStart w:id="1024" w:name="_Toc397699766"/>
      <w:bookmarkStart w:id="1025" w:name="_Toc397700220"/>
      <w:bookmarkStart w:id="1026" w:name="_Toc397936612"/>
      <w:bookmarkStart w:id="1027" w:name="_Toc397936732"/>
      <w:bookmarkStart w:id="1028" w:name="_Toc397945740"/>
      <w:bookmarkStart w:id="1029" w:name="_Toc397945887"/>
      <w:bookmarkStart w:id="1030" w:name="_Toc397946913"/>
      <w:bookmarkStart w:id="1031" w:name="_Toc397948032"/>
      <w:bookmarkStart w:id="1032" w:name="_Toc397951328"/>
      <w:bookmarkStart w:id="1033" w:name="_Toc397958438"/>
      <w:bookmarkStart w:id="1034" w:name="_Toc397958680"/>
      <w:bookmarkStart w:id="1035" w:name="_Toc397959095"/>
      <w:bookmarkStart w:id="1036" w:name="_Toc397962948"/>
      <w:bookmarkStart w:id="1037" w:name="_Toc397963314"/>
      <w:bookmarkStart w:id="1038" w:name="_Toc397965391"/>
      <w:bookmarkStart w:id="1039" w:name="_Toc398197329"/>
      <w:bookmarkStart w:id="1040" w:name="_Toc398201546"/>
      <w:bookmarkStart w:id="1041" w:name="_Toc398207151"/>
      <w:bookmarkStart w:id="1042" w:name="_Toc398210424"/>
      <w:bookmarkStart w:id="1043" w:name="_Toc398210938"/>
      <w:bookmarkStart w:id="1044" w:name="_Toc398211075"/>
      <w:bookmarkStart w:id="1045" w:name="_Toc398219746"/>
      <w:bookmarkStart w:id="1046" w:name="_Toc398220121"/>
      <w:bookmarkStart w:id="1047" w:name="_Toc398220508"/>
      <w:bookmarkStart w:id="1048" w:name="_Toc398221586"/>
      <w:bookmarkStart w:id="1049" w:name="_Toc398222272"/>
      <w:bookmarkStart w:id="1050" w:name="_Toc398222584"/>
      <w:bookmarkStart w:id="1051" w:name="_Toc398223001"/>
      <w:bookmarkStart w:id="1052" w:name="_Toc398223380"/>
      <w:bookmarkStart w:id="1053" w:name="_Toc398223507"/>
      <w:bookmarkStart w:id="1054" w:name="_Toc398224315"/>
      <w:bookmarkStart w:id="1055" w:name="_Toc398225652"/>
      <w:bookmarkStart w:id="1056" w:name="_Toc398225777"/>
      <w:bookmarkStart w:id="1057" w:name="_Toc398281264"/>
      <w:bookmarkStart w:id="1058" w:name="_Toc398282123"/>
      <w:bookmarkStart w:id="1059" w:name="_Toc398284793"/>
      <w:bookmarkStart w:id="1060" w:name="_Toc398287262"/>
      <w:bookmarkStart w:id="1061" w:name="_Toc398289145"/>
      <w:bookmarkStart w:id="1062" w:name="_Toc398297142"/>
      <w:bookmarkStart w:id="1063" w:name="_Toc398298616"/>
      <w:bookmarkStart w:id="1064" w:name="_Toc398300317"/>
      <w:bookmarkStart w:id="1065" w:name="_Toc398301214"/>
      <w:bookmarkStart w:id="1066" w:name="_Toc398302399"/>
      <w:bookmarkStart w:id="1067" w:name="_Toc398302562"/>
      <w:bookmarkStart w:id="1068" w:name="_Toc398549074"/>
      <w:bookmarkStart w:id="1069" w:name="_Toc398549324"/>
      <w:bookmarkStart w:id="1070" w:name="_Toc398555743"/>
      <w:bookmarkStart w:id="1071" w:name="_Toc398558947"/>
      <w:bookmarkStart w:id="1072" w:name="_Toc398563433"/>
      <w:bookmarkStart w:id="1073" w:name="_Toc398563566"/>
      <w:bookmarkStart w:id="1074" w:name="_Toc398563965"/>
      <w:bookmarkStart w:id="1075" w:name="_Toc398827303"/>
      <w:bookmarkStart w:id="1076" w:name="_Toc398827497"/>
      <w:r w:rsidRPr="008625DC">
        <w:t xml:space="preserve">Context for the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00575A09" w:rsidRPr="008625DC">
        <w:t>R</w:t>
      </w:r>
      <w:r w:rsidRPr="008625DC">
        <w:t>eview</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16181E52" w14:textId="1DE510A9" w:rsidR="00C45739" w:rsidRPr="008625DC" w:rsidRDefault="00C45739" w:rsidP="00C45739">
      <w:r w:rsidRPr="008625DC">
        <w:t>As a small, open economy Australia is exposed to competitive forces that originate beyond our borders. This is nothing new. Australia</w:t>
      </w:r>
      <w:r w:rsidR="00C74E19" w:rsidRPr="008625DC">
        <w:t>’</w:t>
      </w:r>
      <w:r w:rsidRPr="008625DC">
        <w:t>s economic development has been propelled by exposure to opportunities elsewhere in the world</w:t>
      </w:r>
      <w:r w:rsidR="00817AAE" w:rsidRPr="008625DC">
        <w:t>, with</w:t>
      </w:r>
      <w:r w:rsidRPr="008625DC">
        <w:t xml:space="preserve"> Australian living standards reflect</w:t>
      </w:r>
      <w:r w:rsidR="00817AAE" w:rsidRPr="008625DC">
        <w:t>ing</w:t>
      </w:r>
      <w:r w:rsidRPr="008625DC">
        <w:t xml:space="preserve"> the beneficial impact of international trade in goods and services</w:t>
      </w:r>
      <w:r w:rsidR="005013CA" w:rsidRPr="008625DC">
        <w:t xml:space="preserve"> </w:t>
      </w:r>
      <w:r w:rsidRPr="008625DC">
        <w:t>—</w:t>
      </w:r>
      <w:r w:rsidR="005013CA" w:rsidRPr="008625DC">
        <w:t xml:space="preserve"> </w:t>
      </w:r>
      <w:r w:rsidRPr="008625DC">
        <w:t>both exports and imports.</w:t>
      </w:r>
    </w:p>
    <w:p w14:paraId="364FDD92" w14:textId="14C462EB" w:rsidR="00C45739" w:rsidRPr="008625DC" w:rsidRDefault="00C45739" w:rsidP="00C45739">
      <w:r w:rsidRPr="008625DC">
        <w:t>Exposure to developments outside Australia widens choice and opportunities, so that Australia remains an attractive place to live, work, raise a family and run a business.</w:t>
      </w:r>
    </w:p>
    <w:p w14:paraId="058841CA" w14:textId="738350B6" w:rsidR="00B42868" w:rsidRPr="008625DC" w:rsidRDefault="00B42868" w:rsidP="00B42868">
      <w:pPr>
        <w:rPr>
          <w:rFonts w:ascii="Calibri" w:hAnsi="Calibri"/>
        </w:rPr>
      </w:pPr>
      <w:r w:rsidRPr="008625DC">
        <w:rPr>
          <w:rFonts w:ascii="Calibri" w:hAnsi="Calibri"/>
        </w:rPr>
        <w:t>During the 1980s and 1990s successive governments opened the Australian economy to greater competition by lowering import tariffs, deregulating markets for foreign exchange, admitting foreign banks, deregulating domestic aviation, and partially deregulating and reforming the waterfront, coastal shipping and telecommunications. These initiatives widened consumer choices, lowered prices and exposed local producers to more intense competition from abroad.</w:t>
      </w:r>
    </w:p>
    <w:tbl>
      <w:tblPr>
        <w:tblW w:w="9072" w:type="dxa"/>
        <w:tblInd w:w="108" w:type="dxa"/>
        <w:shd w:val="clear" w:color="auto" w:fill="E6E6E6"/>
        <w:tblLook w:val="01E0" w:firstRow="1" w:lastRow="1" w:firstColumn="1" w:lastColumn="1" w:noHBand="0" w:noVBand="0"/>
      </w:tblPr>
      <w:tblGrid>
        <w:gridCol w:w="9072"/>
      </w:tblGrid>
      <w:tr w:rsidR="00C45739" w:rsidRPr="008625DC" w14:paraId="32F877D4" w14:textId="77777777" w:rsidTr="00301655">
        <w:tc>
          <w:tcPr>
            <w:tcW w:w="5000" w:type="pct"/>
            <w:shd w:val="clear" w:color="auto" w:fill="E6E6E6"/>
          </w:tcPr>
          <w:p w14:paraId="1C2BC194" w14:textId="264EEF5C" w:rsidR="00C45739" w:rsidRPr="008625DC" w:rsidRDefault="00C45739" w:rsidP="006862F9">
            <w:pPr>
              <w:pStyle w:val="BoxHeading"/>
            </w:pPr>
            <w:r w:rsidRPr="008625DC">
              <w:t>Deepening Australia</w:t>
            </w:r>
            <w:r w:rsidR="00C74E19" w:rsidRPr="008625DC">
              <w:t>’</w:t>
            </w:r>
            <w:r w:rsidRPr="008625DC">
              <w:t>s integration with the world</w:t>
            </w:r>
          </w:p>
          <w:p w14:paraId="55ADFC84" w14:textId="6D6B5EB5" w:rsidR="00C45739" w:rsidRPr="008625DC" w:rsidRDefault="00C45739" w:rsidP="00301655">
            <w:pPr>
              <w:pStyle w:val="BoxText"/>
            </w:pPr>
            <w:r w:rsidRPr="008625DC">
              <w:t>The 1980s heralded a new era for Australia, with reforms aimed at integrating the Australian economy more closely with the world economy. Key components of that agenda included trade liberalisation, capital market liberalisation and deregulation of traded services</w:t>
            </w:r>
            <w:r w:rsidR="00D3299A" w:rsidRPr="008625DC">
              <w:t>.</w:t>
            </w:r>
          </w:p>
          <w:p w14:paraId="0EBD452C" w14:textId="2768017A" w:rsidR="00C45739" w:rsidRPr="008625DC" w:rsidRDefault="00C45739" w:rsidP="00301655">
            <w:pPr>
              <w:pStyle w:val="BoxText"/>
            </w:pPr>
            <w:r w:rsidRPr="008625DC">
              <w:rPr>
                <w:b/>
              </w:rPr>
              <w:t>Trade liberalisation</w:t>
            </w:r>
            <w:r w:rsidRPr="008625DC">
              <w:t xml:space="preserve"> — reductions in tariff assistance (that had begun in 1973) and the abolition of quantitative import controls — mainly in the automotive, whitegoods and textile, clothing and footwear industries — gathered pace from the mid</w:t>
            </w:r>
            <w:r w:rsidR="00C74E19" w:rsidRPr="008625DC">
              <w:noBreakHyphen/>
            </w:r>
            <w:r w:rsidRPr="008625DC">
              <w:t>1980s. The effective rate of assistance to manufacturing fell from around 35 per cent in the early 1970s to 5 per cent by 2000.</w:t>
            </w:r>
          </w:p>
          <w:p w14:paraId="0E136E12" w14:textId="0AFA89E9" w:rsidR="00C45739" w:rsidRPr="008625DC" w:rsidRDefault="00C45739" w:rsidP="00301655">
            <w:pPr>
              <w:pStyle w:val="BoxText"/>
            </w:pPr>
            <w:r w:rsidRPr="008625DC">
              <w:rPr>
                <w:b/>
              </w:rPr>
              <w:t>Capital markets</w:t>
            </w:r>
            <w:r w:rsidRPr="008625DC">
              <w:t xml:space="preserve"> — the Australian dollar was floated in March 1983, foreign exchange controls and capital rationing (through quantitative lending controls) were removed progressively from the early 1980s and foreign</w:t>
            </w:r>
            <w:r w:rsidR="00C74E19" w:rsidRPr="008625DC">
              <w:noBreakHyphen/>
            </w:r>
            <w:r w:rsidRPr="008625DC">
              <w:t>owned banks were allowed to compete — initially for corporate customers and then, in the 1990s, to act as deposit</w:t>
            </w:r>
            <w:r w:rsidR="00C74E19" w:rsidRPr="008625DC">
              <w:noBreakHyphen/>
            </w:r>
            <w:r w:rsidRPr="008625DC">
              <w:t>taking institutions.</w:t>
            </w:r>
            <w:r w:rsidRPr="008625DC">
              <w:rPr>
                <w:rStyle w:val="FootnoteReference"/>
              </w:rPr>
              <w:footnoteReference w:id="2"/>
            </w:r>
          </w:p>
          <w:p w14:paraId="1A726E26" w14:textId="77777777" w:rsidR="00C45739" w:rsidRPr="008625DC" w:rsidRDefault="00C45739" w:rsidP="00301655">
            <w:pPr>
              <w:pStyle w:val="BoxText"/>
            </w:pPr>
            <w:r w:rsidRPr="008625DC">
              <w:t xml:space="preserve">From the late 1980s other changes also occurred in infrastructure, such as the partial deregulation and restructuring of airlines, coastal shipping, telecommunications and the waterfront. </w:t>
            </w:r>
          </w:p>
        </w:tc>
      </w:tr>
    </w:tbl>
    <w:p w14:paraId="0119D98F" w14:textId="77777777" w:rsidR="00C45739" w:rsidRPr="008625DC" w:rsidRDefault="00C45739" w:rsidP="00C45739">
      <w:pPr>
        <w:spacing w:before="0" w:after="0"/>
      </w:pPr>
    </w:p>
    <w:p w14:paraId="57BBF8BF" w14:textId="239D9B96" w:rsidR="00C45739" w:rsidRPr="008625DC" w:rsidRDefault="00C45739" w:rsidP="00C45739">
      <w:r w:rsidRPr="008625DC">
        <w:t>In the 1990s the competition agenda broadened to include goods and services not typically exposed to foreign competition, like electricity, telecommunication</w:t>
      </w:r>
      <w:r w:rsidR="00B42868" w:rsidRPr="008625DC">
        <w:t>s</w:t>
      </w:r>
      <w:r w:rsidRPr="008625DC">
        <w:t xml:space="preserve"> services and rail </w:t>
      </w:r>
      <w:r w:rsidR="009D2248" w:rsidRPr="008625DC">
        <w:t>freight.</w:t>
      </w:r>
      <w:r w:rsidRPr="008625DC">
        <w:t xml:space="preserve"> Many of these were supplied locally by public monopolies or government departments.</w:t>
      </w:r>
    </w:p>
    <w:p w14:paraId="6142A143" w14:textId="224BA8EC" w:rsidR="00C45739" w:rsidRPr="008625DC" w:rsidRDefault="00C45739" w:rsidP="00C45739">
      <w:r w:rsidRPr="008625DC">
        <w:t xml:space="preserve">In 1995 </w:t>
      </w:r>
      <w:r w:rsidR="00E7073A" w:rsidRPr="008625DC">
        <w:t>the C</w:t>
      </w:r>
      <w:r w:rsidR="00476153" w:rsidRPr="008625DC">
        <w:t>ommonwealth</w:t>
      </w:r>
      <w:r w:rsidR="00FD7C1D" w:rsidRPr="008625DC">
        <w:t>,</w:t>
      </w:r>
      <w:r w:rsidRPr="008625DC">
        <w:t xml:space="preserve"> state and territory governments agreed to implement a wide</w:t>
      </w:r>
      <w:r w:rsidR="00C74E19" w:rsidRPr="008625DC">
        <w:noBreakHyphen/>
      </w:r>
      <w:r w:rsidRPr="008625DC">
        <w:t xml:space="preserve">ranging National Competition Policy (NCP) built on the recommendations of the Hilmer </w:t>
      </w:r>
      <w:r w:rsidR="00FD7C1D" w:rsidRPr="008625DC">
        <w:t>R</w:t>
      </w:r>
      <w:r w:rsidRPr="008625DC">
        <w:t>eview. The NCP reflected a desire to build on the momentum of earlier reforms by extending the reach of choice and competition beyond tradeables to encompass non</w:t>
      </w:r>
      <w:r w:rsidR="00C74E19" w:rsidRPr="008625DC">
        <w:noBreakHyphen/>
      </w:r>
      <w:r w:rsidRPr="008625DC">
        <w:t>tradeable goods and services.</w:t>
      </w:r>
    </w:p>
    <w:p w14:paraId="4EC8AC3E" w14:textId="41B6194D" w:rsidR="00B61EE6" w:rsidRPr="008625DC" w:rsidRDefault="00B61EE6" w:rsidP="00B61EE6">
      <w:r w:rsidRPr="008625DC">
        <w:lastRenderedPageBreak/>
        <w:t>This was not an exercise in driving competition further into the Australian economy for its own sake</w:t>
      </w:r>
      <w:r w:rsidR="00FD7C1D" w:rsidRPr="008625DC">
        <w:t>,</w:t>
      </w:r>
      <w:r w:rsidRPr="008625DC">
        <w:t xml:space="preserve"> but for the longer</w:t>
      </w:r>
      <w:r w:rsidR="00C74E19" w:rsidRPr="008625DC">
        <w:noBreakHyphen/>
      </w:r>
      <w:r w:rsidRPr="008625DC">
        <w:t>term benefits that would flow for Australian living standards.</w:t>
      </w:r>
    </w:p>
    <w:p w14:paraId="5246E95D" w14:textId="136879C2" w:rsidR="00B61EE6" w:rsidRPr="008625DC" w:rsidRDefault="00B61EE6" w:rsidP="00B61EE6">
      <w:r w:rsidRPr="008625DC">
        <w:t xml:space="preserve">These expectations were realised. In 2005 the Productivity Commission estimated that productivity improvements and price reductions flowing from </w:t>
      </w:r>
      <w:r w:rsidR="00DB08B2" w:rsidRPr="008625DC">
        <w:t xml:space="preserve">the </w:t>
      </w:r>
      <w:r w:rsidRPr="008625DC">
        <w:t>NCP and related reforms in the 1990s raised Australia</w:t>
      </w:r>
      <w:r w:rsidR="00C74E19" w:rsidRPr="008625DC">
        <w:t>’</w:t>
      </w:r>
      <w:r w:rsidRPr="008625DC">
        <w:t>s GDP by 2.5 per cent.</w:t>
      </w:r>
    </w:p>
    <w:tbl>
      <w:tblPr>
        <w:tblW w:w="9072" w:type="dxa"/>
        <w:tblInd w:w="108" w:type="dxa"/>
        <w:shd w:val="clear" w:color="auto" w:fill="E6E6E6"/>
        <w:tblLook w:val="01E0" w:firstRow="1" w:lastRow="1" w:firstColumn="1" w:lastColumn="1" w:noHBand="0" w:noVBand="0"/>
      </w:tblPr>
      <w:tblGrid>
        <w:gridCol w:w="9072"/>
      </w:tblGrid>
      <w:tr w:rsidR="00C45739" w:rsidRPr="008625DC" w14:paraId="4E19F2CD" w14:textId="77777777" w:rsidTr="00301655">
        <w:tc>
          <w:tcPr>
            <w:tcW w:w="5000" w:type="pct"/>
            <w:shd w:val="clear" w:color="auto" w:fill="E6E6E6"/>
          </w:tcPr>
          <w:p w14:paraId="54315F88" w14:textId="77777777" w:rsidR="00C45739" w:rsidRPr="008625DC" w:rsidRDefault="00C45739" w:rsidP="00301655">
            <w:pPr>
              <w:pStyle w:val="BoxHeading"/>
            </w:pPr>
            <w:r w:rsidRPr="008625DC">
              <w:t>National Competition Policy</w:t>
            </w:r>
          </w:p>
          <w:p w14:paraId="021FED55" w14:textId="78DD5E6B" w:rsidR="004A76AE" w:rsidRPr="008625DC" w:rsidRDefault="004A76AE" w:rsidP="004A76AE">
            <w:pPr>
              <w:pStyle w:val="BoxText"/>
            </w:pPr>
            <w:r w:rsidRPr="008625DC">
              <w:t xml:space="preserve">In 1995 Australian governments committed to a set of agreements under </w:t>
            </w:r>
            <w:r w:rsidR="00DB08B2" w:rsidRPr="008625DC">
              <w:t xml:space="preserve">the </w:t>
            </w:r>
            <w:r w:rsidRPr="008625DC">
              <w:t>NCP, which:</w:t>
            </w:r>
          </w:p>
          <w:p w14:paraId="1DE09472" w14:textId="23E05EF3" w:rsidR="004A76AE" w:rsidRPr="008625DC" w:rsidRDefault="004A76AE" w:rsidP="006862F9">
            <w:pPr>
              <w:pStyle w:val="Bullet"/>
            </w:pPr>
            <w:r w:rsidRPr="008625DC">
              <w:t xml:space="preserve">extended the </w:t>
            </w:r>
            <w:r w:rsidRPr="008625DC">
              <w:rPr>
                <w:i/>
              </w:rPr>
              <w:t>Trade Practices Act</w:t>
            </w:r>
            <w:r w:rsidR="006862F9" w:rsidRPr="008625DC">
              <w:rPr>
                <w:i/>
              </w:rPr>
              <w:t xml:space="preserve"> 1974</w:t>
            </w:r>
            <w:r w:rsidRPr="008625DC">
              <w:t xml:space="preserve"> (TPA) to previously excluded businesses (unincorporated businesses and state, territory and local government businesses);</w:t>
            </w:r>
          </w:p>
          <w:p w14:paraId="4BABA698" w14:textId="10FE0BAC" w:rsidR="004A76AE" w:rsidRPr="008625DC" w:rsidRDefault="004A76AE" w:rsidP="006862F9">
            <w:pPr>
              <w:pStyle w:val="Bullet"/>
            </w:pPr>
            <w:r w:rsidRPr="008625DC">
              <w:t>established independent price oversight of state and territory government businesses;</w:t>
            </w:r>
          </w:p>
          <w:p w14:paraId="1322E326" w14:textId="177A277E" w:rsidR="004A76AE" w:rsidRPr="008625DC" w:rsidRDefault="006862F9" w:rsidP="006862F9">
            <w:pPr>
              <w:pStyle w:val="Bullet"/>
            </w:pPr>
            <w:r w:rsidRPr="008625DC">
              <w:t>corporati</w:t>
            </w:r>
            <w:r w:rsidR="007F2669" w:rsidRPr="008625DC">
              <w:t>s</w:t>
            </w:r>
            <w:r w:rsidR="004A76AE" w:rsidRPr="008625DC">
              <w:t>ed and applied competitive neutrality principles so that government businesses did not enjoy a net competitive advantage as a result of public sector ownership;</w:t>
            </w:r>
          </w:p>
          <w:p w14:paraId="3C70D8AF" w14:textId="2FCB11BA" w:rsidR="004A76AE" w:rsidRPr="008625DC" w:rsidRDefault="004A76AE" w:rsidP="006862F9">
            <w:pPr>
              <w:pStyle w:val="Bullet"/>
            </w:pPr>
            <w:r w:rsidRPr="008625DC">
              <w:t>structurally reformed public monopolies to separate out industry regulation and where possible further disaggregat</w:t>
            </w:r>
            <w:r w:rsidR="00B61EE6" w:rsidRPr="008625DC">
              <w:t>ed</w:t>
            </w:r>
            <w:r w:rsidRPr="008625DC">
              <w:t xml:space="preserve"> potentially competitive parts of the monopoly;</w:t>
            </w:r>
          </w:p>
          <w:p w14:paraId="50358E09" w14:textId="01273E47" w:rsidR="004A76AE" w:rsidRPr="008625DC" w:rsidRDefault="004A76AE" w:rsidP="006862F9">
            <w:pPr>
              <w:pStyle w:val="Bullet"/>
            </w:pPr>
            <w:r w:rsidRPr="008625DC">
              <w:t>established a third</w:t>
            </w:r>
            <w:r w:rsidR="00C74E19" w:rsidRPr="008625DC">
              <w:noBreakHyphen/>
            </w:r>
            <w:r w:rsidRPr="008625DC">
              <w:t xml:space="preserve">party access regime for significant </w:t>
            </w:r>
            <w:r w:rsidR="00CB6406" w:rsidRPr="008625DC">
              <w:t xml:space="preserve">bottleneck </w:t>
            </w:r>
            <w:r w:rsidRPr="008625DC">
              <w:t xml:space="preserve">infrastructure; </w:t>
            </w:r>
          </w:p>
          <w:p w14:paraId="3196CEA8" w14:textId="795C92F1" w:rsidR="004A76AE" w:rsidRPr="008625DC" w:rsidRDefault="004A76AE" w:rsidP="006862F9">
            <w:pPr>
              <w:pStyle w:val="Bullet"/>
            </w:pPr>
            <w:r w:rsidRPr="008625DC">
              <w:t>reviewed all legislation restricting competition;</w:t>
            </w:r>
          </w:p>
          <w:p w14:paraId="0182BF47" w14:textId="1F826114" w:rsidR="004A76AE" w:rsidRPr="008625DC" w:rsidRDefault="004A76AE" w:rsidP="006862F9">
            <w:pPr>
              <w:pStyle w:val="Bullet"/>
            </w:pPr>
            <w:r w:rsidRPr="008625DC">
              <w:t>applied the competition agreements to local government;</w:t>
            </w:r>
          </w:p>
          <w:p w14:paraId="0FF0BBC5" w14:textId="681BF553" w:rsidR="004A76AE" w:rsidRPr="008625DC" w:rsidRDefault="004A76AE" w:rsidP="006862F9">
            <w:pPr>
              <w:pStyle w:val="Bullet"/>
            </w:pPr>
            <w:r w:rsidRPr="008625DC">
              <w:t>established the National Competition Council;</w:t>
            </w:r>
          </w:p>
          <w:p w14:paraId="21603828" w14:textId="0F639C37" w:rsidR="004A76AE" w:rsidRPr="008625DC" w:rsidRDefault="006862F9" w:rsidP="006862F9">
            <w:pPr>
              <w:pStyle w:val="Bullet"/>
            </w:pPr>
            <w:r w:rsidRPr="008625DC">
              <w:t xml:space="preserve">imposed conditions on </w:t>
            </w:r>
            <w:r w:rsidR="00F22CDF" w:rsidRPr="008625DC">
              <w:t>g</w:t>
            </w:r>
            <w:r w:rsidR="004A76AE" w:rsidRPr="008625DC">
              <w:t xml:space="preserve">overnments </w:t>
            </w:r>
            <w:r w:rsidR="00374209" w:rsidRPr="008625DC">
              <w:t xml:space="preserve">seeking to </w:t>
            </w:r>
            <w:r w:rsidR="004A76AE" w:rsidRPr="008625DC">
              <w:t>exempt conduct from the competition law; and</w:t>
            </w:r>
          </w:p>
          <w:p w14:paraId="00A17BE0" w14:textId="5255F10A" w:rsidR="00C45739" w:rsidRPr="008625DC" w:rsidRDefault="004A76AE" w:rsidP="00D1650C">
            <w:pPr>
              <w:pStyle w:val="Bullet"/>
            </w:pPr>
            <w:proofErr w:type="gramStart"/>
            <w:r w:rsidRPr="008625DC">
              <w:t>provided</w:t>
            </w:r>
            <w:proofErr w:type="gramEnd"/>
            <w:r w:rsidRPr="008625DC">
              <w:t xml:space="preserve"> financial assistance to the </w:t>
            </w:r>
            <w:r w:rsidR="00FD7C1D" w:rsidRPr="008625DC">
              <w:t>S</w:t>
            </w:r>
            <w:r w:rsidRPr="008625DC">
              <w:t xml:space="preserve">tates </w:t>
            </w:r>
            <w:r w:rsidR="00FD7C1D" w:rsidRPr="008625DC">
              <w:t>and Territories</w:t>
            </w:r>
            <w:r w:rsidRPr="008625DC">
              <w:t xml:space="preserve"> conditional on progress implementing </w:t>
            </w:r>
            <w:r w:rsidR="00DB08B2" w:rsidRPr="008625DC">
              <w:t xml:space="preserve">the </w:t>
            </w:r>
            <w:r w:rsidRPr="008625DC">
              <w:t>NCP.</w:t>
            </w:r>
          </w:p>
        </w:tc>
      </w:tr>
    </w:tbl>
    <w:p w14:paraId="548485AE" w14:textId="77777777" w:rsidR="00C45739" w:rsidRPr="008625DC" w:rsidRDefault="00C45739" w:rsidP="00C45739">
      <w:pPr>
        <w:spacing w:before="0" w:after="0"/>
      </w:pPr>
    </w:p>
    <w:p w14:paraId="382A9BDB" w14:textId="5B3BDE0F" w:rsidR="00C45739" w:rsidRPr="008625DC" w:rsidRDefault="00C45739" w:rsidP="00DE6233">
      <w:pPr>
        <w:spacing w:before="0" w:after="120"/>
      </w:pPr>
      <w:r w:rsidRPr="008625DC">
        <w:t xml:space="preserve">The impact of </w:t>
      </w:r>
      <w:r w:rsidR="00DB08B2" w:rsidRPr="008625DC">
        <w:t xml:space="preserve">the </w:t>
      </w:r>
      <w:r w:rsidRPr="008625DC">
        <w:t xml:space="preserve">NCP reforms is evident not just in economic statistics but in everyday experience. For example, prior to the NCP reforms: </w:t>
      </w:r>
    </w:p>
    <w:p w14:paraId="55A9F407" w14:textId="3A55CA3E" w:rsidR="00C45739" w:rsidRPr="008625DC" w:rsidRDefault="00C45739" w:rsidP="006862F9">
      <w:pPr>
        <w:pStyle w:val="Bullet"/>
      </w:pPr>
      <w:r w:rsidRPr="008625DC">
        <w:t>consumers had no choice of electricity or gas provider</w:t>
      </w:r>
      <w:r w:rsidR="00271F1A" w:rsidRPr="008625DC">
        <w:t xml:space="preserve"> </w:t>
      </w:r>
      <w:r w:rsidRPr="008625DC">
        <w:t>—</w:t>
      </w:r>
      <w:r w:rsidR="00271F1A" w:rsidRPr="008625DC">
        <w:t xml:space="preserve"> </w:t>
      </w:r>
      <w:r w:rsidRPr="008625DC">
        <w:t>they paid regulated tariffs and customer service was poor or non</w:t>
      </w:r>
      <w:r w:rsidR="00C74E19" w:rsidRPr="008625DC">
        <w:noBreakHyphen/>
      </w:r>
      <w:r w:rsidRPr="008625DC">
        <w:t xml:space="preserve">existent; </w:t>
      </w:r>
    </w:p>
    <w:p w14:paraId="740397B7" w14:textId="50AA8350" w:rsidR="00C45739" w:rsidRPr="008625DC" w:rsidRDefault="00C45739" w:rsidP="006862F9">
      <w:pPr>
        <w:pStyle w:val="Bullet"/>
      </w:pPr>
      <w:r w:rsidRPr="008625DC">
        <w:t>there was a monopoly in telecommunications services, which ended only in 1992 when Australia</w:t>
      </w:r>
      <w:r w:rsidR="00C74E19" w:rsidRPr="008625DC">
        <w:t>’</w:t>
      </w:r>
      <w:r w:rsidRPr="008625DC">
        <w:t>s second telecommunications provider, Optus, entered the market;</w:t>
      </w:r>
    </w:p>
    <w:p w14:paraId="48E04C41" w14:textId="77777777" w:rsidR="00C45739" w:rsidRPr="008625DC" w:rsidRDefault="00C45739" w:rsidP="006862F9">
      <w:pPr>
        <w:pStyle w:val="Bullet"/>
      </w:pPr>
      <w:r w:rsidRPr="008625DC">
        <w:t xml:space="preserve">there were price controls and supply restrictions on food products like eggs, poultry, milk, rice and sugar; </w:t>
      </w:r>
    </w:p>
    <w:p w14:paraId="5FDA2E5B" w14:textId="30A57C25" w:rsidR="00C45739" w:rsidRPr="008625DC" w:rsidRDefault="00C45739" w:rsidP="006862F9">
      <w:pPr>
        <w:pStyle w:val="Bullet"/>
      </w:pPr>
      <w:r w:rsidRPr="008625DC">
        <w:t xml:space="preserve">retail trading hours were </w:t>
      </w:r>
      <w:r w:rsidR="00D3299A" w:rsidRPr="008625DC">
        <w:t xml:space="preserve">restricted for most </w:t>
      </w:r>
      <w:r w:rsidRPr="008625DC">
        <w:t>stores</w:t>
      </w:r>
      <w:r w:rsidR="00392241" w:rsidRPr="008625DC">
        <w:t>, with</w:t>
      </w:r>
      <w:r w:rsidRPr="008625DC">
        <w:t xml:space="preserve"> limited trading on weekends; and</w:t>
      </w:r>
    </w:p>
    <w:p w14:paraId="5031439B" w14:textId="4C15B46F" w:rsidR="00C45739" w:rsidRPr="008625DC" w:rsidRDefault="00C45739" w:rsidP="00DE6233">
      <w:pPr>
        <w:pStyle w:val="Bullet"/>
        <w:spacing w:after="240"/>
      </w:pPr>
      <w:proofErr w:type="gramStart"/>
      <w:r w:rsidRPr="008625DC">
        <w:t>only</w:t>
      </w:r>
      <w:proofErr w:type="gramEnd"/>
      <w:r w:rsidRPr="008625DC">
        <w:t xml:space="preserve"> lawyers could offer land conveyancing services (</w:t>
      </w:r>
      <w:r w:rsidR="00271F1A" w:rsidRPr="008625DC">
        <w:t>c</w:t>
      </w:r>
      <w:r w:rsidRPr="008625DC">
        <w:t xml:space="preserve">onveyancing fees fell by 17 per cent </w:t>
      </w:r>
      <w:r w:rsidR="00FD7C1D" w:rsidRPr="008625DC">
        <w:t xml:space="preserve">in NSW </w:t>
      </w:r>
      <w:r w:rsidRPr="008625DC">
        <w:t>when this regulation was repealed, leading to an annual saving to co</w:t>
      </w:r>
      <w:r w:rsidR="00490CF6" w:rsidRPr="008625DC">
        <w:t>nsumers of at least $86 million</w:t>
      </w:r>
      <w:r w:rsidR="00FD7C1D" w:rsidRPr="008625DC">
        <w:t>).</w:t>
      </w:r>
      <w:r w:rsidRPr="008625DC">
        <w:rPr>
          <w:rStyle w:val="FootnoteReference"/>
        </w:rPr>
        <w:footnoteReference w:id="3"/>
      </w:r>
    </w:p>
    <w:p w14:paraId="0CFB7664" w14:textId="77777777" w:rsidR="00C45739" w:rsidRPr="008625DC" w:rsidRDefault="00C45739" w:rsidP="00467524">
      <w:pPr>
        <w:pStyle w:val="BoxBullet"/>
        <w:numPr>
          <w:ilvl w:val="0"/>
          <w:numId w:val="0"/>
        </w:numPr>
        <w:rPr>
          <w:lang w:val="en-AU"/>
        </w:rPr>
      </w:pPr>
      <w:r w:rsidRPr="008625DC">
        <w:rPr>
          <w:lang w:val="en-AU"/>
        </w:rPr>
        <w:t xml:space="preserve">By contrast, Australians today can choose among competing providers of gas and electricity services, and can complain to their energy ombudsman if they are unhappy with the service rendered. </w:t>
      </w:r>
    </w:p>
    <w:p w14:paraId="25F98F14" w14:textId="5F31319D" w:rsidR="00C45739" w:rsidRPr="008625DC" w:rsidRDefault="00C45739" w:rsidP="00467524">
      <w:pPr>
        <w:pStyle w:val="BoxBullet"/>
        <w:numPr>
          <w:ilvl w:val="0"/>
          <w:numId w:val="0"/>
        </w:numPr>
        <w:rPr>
          <w:lang w:val="en-AU"/>
        </w:rPr>
      </w:pPr>
      <w:r w:rsidRPr="008625DC">
        <w:rPr>
          <w:lang w:val="en-AU"/>
        </w:rPr>
        <w:lastRenderedPageBreak/>
        <w:t>Retail trading hours have been sub</w:t>
      </w:r>
      <w:r w:rsidR="00693C76" w:rsidRPr="008625DC">
        <w:rPr>
          <w:lang w:val="en-AU"/>
        </w:rPr>
        <w:t>stantially deregulated in most S</w:t>
      </w:r>
      <w:r w:rsidRPr="008625DC">
        <w:rPr>
          <w:lang w:val="en-AU"/>
        </w:rPr>
        <w:t>tates</w:t>
      </w:r>
      <w:r w:rsidR="00693C76" w:rsidRPr="008625DC">
        <w:rPr>
          <w:lang w:val="en-AU"/>
        </w:rPr>
        <w:t xml:space="preserve"> and Territories</w:t>
      </w:r>
      <w:r w:rsidRPr="008625DC">
        <w:rPr>
          <w:lang w:val="en-AU"/>
        </w:rPr>
        <w:t xml:space="preserve">, and online shopping allows consumers access, choice and convenience at any time of the day or night. There are now more mobile phones in Australia than people, and consumers can choose among a vast array of phone plans from a variety of telecommunications providers. </w:t>
      </w:r>
    </w:p>
    <w:p w14:paraId="3ABB28DB" w14:textId="1B262AD9" w:rsidR="00F32338" w:rsidRPr="008625DC" w:rsidRDefault="00C45739" w:rsidP="00C45739">
      <w:r w:rsidRPr="008625DC">
        <w:t xml:space="preserve">Strengthening competition brings economic benefits, including choice and diversity, as well as lower </w:t>
      </w:r>
      <w:r w:rsidR="00CD4E1C" w:rsidRPr="008625DC">
        <w:t xml:space="preserve">overall </w:t>
      </w:r>
      <w:r w:rsidRPr="008625DC">
        <w:t>prices. An economy that responds more flexibly to people</w:t>
      </w:r>
      <w:r w:rsidR="00C74E19" w:rsidRPr="008625DC">
        <w:t>’</w:t>
      </w:r>
      <w:r w:rsidRPr="008625DC">
        <w:t>s changing needs and preferences</w:t>
      </w:r>
      <w:r w:rsidR="007F2669" w:rsidRPr="008625DC">
        <w:t>,</w:t>
      </w:r>
      <w:r w:rsidRPr="008625DC">
        <w:t xml:space="preserve"> with a wider array of products from a greater variety of sources at cheaper prices</w:t>
      </w:r>
      <w:r w:rsidR="007F2669" w:rsidRPr="008625DC">
        <w:t>,</w:t>
      </w:r>
      <w:r w:rsidRPr="008625DC">
        <w:t xml:space="preserve"> improves the everyday lives of Australians.</w:t>
      </w:r>
      <w:r w:rsidR="00D12BC5" w:rsidRPr="008625DC">
        <w:t xml:space="preserve"> </w:t>
      </w:r>
    </w:p>
    <w:p w14:paraId="233B8F88" w14:textId="4A08E45E" w:rsidR="001715DA" w:rsidRPr="008625DC" w:rsidRDefault="00392423" w:rsidP="001715DA">
      <w:r w:rsidRPr="008625DC">
        <w:t>T</w:t>
      </w:r>
      <w:r w:rsidR="00DE2597" w:rsidRPr="008625DC">
        <w:t xml:space="preserve">he changes induced by reforms can involve adjustment costs and </w:t>
      </w:r>
      <w:r w:rsidR="002323E3" w:rsidRPr="008625DC">
        <w:t xml:space="preserve">can </w:t>
      </w:r>
      <w:r w:rsidR="00D13D6C" w:rsidRPr="008625DC">
        <w:t xml:space="preserve">give rise to </w:t>
      </w:r>
      <w:r w:rsidR="00F32338" w:rsidRPr="008625DC">
        <w:t xml:space="preserve">distributional consequences. For example, </w:t>
      </w:r>
      <w:r w:rsidR="00DE2597" w:rsidRPr="008625DC">
        <w:t>businesses can close</w:t>
      </w:r>
      <w:r w:rsidR="00FD7C1D" w:rsidRPr="008625DC">
        <w:t>,</w:t>
      </w:r>
      <w:r w:rsidR="00D13D6C" w:rsidRPr="008625DC">
        <w:t xml:space="preserve"> </w:t>
      </w:r>
      <w:r w:rsidR="00DE2597" w:rsidRPr="008625DC">
        <w:t xml:space="preserve">assets can lose value </w:t>
      </w:r>
      <w:r w:rsidRPr="008625DC">
        <w:t xml:space="preserve">and jobs can be lost. Consumers can also find it difficult to navigate increased choice. </w:t>
      </w:r>
      <w:r w:rsidR="00425D46" w:rsidRPr="008625DC">
        <w:t>These costs</w:t>
      </w:r>
      <w:r w:rsidRPr="008625DC">
        <w:t xml:space="preserve"> are transitional but nevertheless can be painful for the individuals involved.</w:t>
      </w:r>
      <w:r w:rsidR="00425D46" w:rsidRPr="008625DC">
        <w:t xml:space="preserve"> </w:t>
      </w:r>
      <w:r w:rsidR="009410F4" w:rsidRPr="008625DC">
        <w:t>T</w:t>
      </w:r>
      <w:r w:rsidRPr="008625DC">
        <w:t xml:space="preserve">hey should not stop otherwise beneficial reforms </w:t>
      </w:r>
      <w:r w:rsidR="009410F4" w:rsidRPr="008625DC">
        <w:t>but do need to be considered as an important part of policy implementation.</w:t>
      </w:r>
      <w:bookmarkStart w:id="1077" w:name="_Toc397413238"/>
      <w:bookmarkStart w:id="1078" w:name="_Toc397413385"/>
    </w:p>
    <w:p w14:paraId="09D501C3" w14:textId="3EFE08EE" w:rsidR="00C45739" w:rsidRPr="008625DC" w:rsidRDefault="00C45739" w:rsidP="007F58AE">
      <w:pPr>
        <w:pStyle w:val="Heading2NotNumbered"/>
      </w:pPr>
      <w:r w:rsidRPr="008625DC">
        <w:t>Changing times</w:t>
      </w:r>
      <w:bookmarkEnd w:id="1077"/>
      <w:bookmarkEnd w:id="1078"/>
    </w:p>
    <w:p w14:paraId="4BB14412" w14:textId="75FD1007" w:rsidR="00C45739" w:rsidRPr="008625DC" w:rsidRDefault="00C45739" w:rsidP="00C45739">
      <w:r w:rsidRPr="008625DC">
        <w:t>Change is a constant presence in the economic landscape. Change brings opportunities as well as challenges. Exposing the Australian economy to greater competition through the 1980s and 1990s helped us make the most of economic opportunities as they emerged and also to face the challenges that arose.</w:t>
      </w:r>
    </w:p>
    <w:p w14:paraId="6A8D4326" w14:textId="0374FE4F" w:rsidR="00C45739" w:rsidRPr="008625DC" w:rsidRDefault="00C45739" w:rsidP="00C45739">
      <w:r w:rsidRPr="008625DC">
        <w:t xml:space="preserve">Australia has enjoyed continuous economic growth since the early 1990s and weathered the global financial crisis of the late 2000s without a recession. Both are markers of resilience and flexibility in the Australian economy and reflect the influence of </w:t>
      </w:r>
      <w:r w:rsidR="005E0406" w:rsidRPr="008625DC">
        <w:t xml:space="preserve">successful macroeconomic and microeconomic policies, including reforms introduced under </w:t>
      </w:r>
      <w:r w:rsidR="00DB08B2" w:rsidRPr="008625DC">
        <w:t xml:space="preserve">the </w:t>
      </w:r>
      <w:r w:rsidR="007F2669" w:rsidRPr="008625DC">
        <w:t>NCP</w:t>
      </w:r>
      <w:r w:rsidRPr="008625DC">
        <w:t>.</w:t>
      </w:r>
    </w:p>
    <w:p w14:paraId="4855F620" w14:textId="5B75AFB2" w:rsidR="00C45739" w:rsidRPr="008625DC" w:rsidRDefault="00C45739" w:rsidP="00C45739">
      <w:r w:rsidRPr="008625DC">
        <w:t xml:space="preserve">Forces for change continue to bear on the Australian economy. Some of these forces were barely envisaged, if at all, at the time of the Hilmer Review. For example, </w:t>
      </w:r>
      <w:r w:rsidR="004B730D" w:rsidRPr="008625DC">
        <w:t>online</w:t>
      </w:r>
      <w:r w:rsidRPr="008625DC">
        <w:t xml:space="preserve"> digital technologies were in their infancy in the early 1990s</w:t>
      </w:r>
      <w:r w:rsidR="004B730D" w:rsidRPr="008625DC">
        <w:t>,</w:t>
      </w:r>
      <w:r w:rsidRPr="008625DC">
        <w:t xml:space="preserve"> and </w:t>
      </w:r>
      <w:r w:rsidR="00B06D3F" w:rsidRPr="008625DC">
        <w:t xml:space="preserve">were </w:t>
      </w:r>
      <w:r w:rsidR="00893979" w:rsidRPr="008625DC">
        <w:t>rapidly</w:t>
      </w:r>
      <w:r w:rsidR="00B06D3F" w:rsidRPr="008625DC">
        <w:t xml:space="preserve"> </w:t>
      </w:r>
      <w:r w:rsidR="004B730D" w:rsidRPr="008625DC">
        <w:t xml:space="preserve">and </w:t>
      </w:r>
      <w:r w:rsidR="00B06D3F" w:rsidRPr="008625DC">
        <w:t>widely adopted, including through the World Wide Web, from the mid</w:t>
      </w:r>
      <w:r w:rsidR="00C74E19" w:rsidRPr="008625DC">
        <w:noBreakHyphen/>
      </w:r>
      <w:r w:rsidR="00B06D3F" w:rsidRPr="008625DC">
        <w:t>1990s</w:t>
      </w:r>
      <w:r w:rsidRPr="008625DC">
        <w:t>. The rise of China was anticipated, following the economic reforms of Deng Xiaoping, but not really established until well into the 1990s. Ageing of Australia</w:t>
      </w:r>
      <w:r w:rsidR="00C74E19" w:rsidRPr="008625DC">
        <w:t>’</w:t>
      </w:r>
      <w:r w:rsidRPr="008625DC">
        <w:t xml:space="preserve">s population was again anticipated but has only begun to bite economically as the </w:t>
      </w:r>
      <w:r w:rsidR="00C74E19" w:rsidRPr="008625DC">
        <w:t>‘</w:t>
      </w:r>
      <w:r w:rsidR="00392241" w:rsidRPr="008625DC">
        <w:t>B</w:t>
      </w:r>
      <w:r w:rsidRPr="008625DC">
        <w:t xml:space="preserve">aby </w:t>
      </w:r>
      <w:r w:rsidR="00392241" w:rsidRPr="008625DC">
        <w:t>B</w:t>
      </w:r>
      <w:r w:rsidRPr="008625DC">
        <w:t>oom</w:t>
      </w:r>
      <w:r w:rsidR="00C74E19" w:rsidRPr="008625DC">
        <w:t>’</w:t>
      </w:r>
      <w:r w:rsidRPr="008625DC">
        <w:t xml:space="preserve"> generation retires from the workforce.</w:t>
      </w:r>
    </w:p>
    <w:p w14:paraId="24D003FE" w14:textId="5F0E45B4" w:rsidR="00C45739" w:rsidRPr="008625DC" w:rsidRDefault="00C45739" w:rsidP="00C45739">
      <w:r w:rsidRPr="008625DC">
        <w:t>The Australian Government has established the Competition Policy Review to consider how well Australia</w:t>
      </w:r>
      <w:r w:rsidR="00C74E19" w:rsidRPr="008625DC">
        <w:t>’</w:t>
      </w:r>
      <w:r w:rsidRPr="008625DC">
        <w:t xml:space="preserve">s competition policy, laws and institutions are travelling two decades on from the Hilmer Review. In particular, how appropriate are current competition policy settings for the challenges that face us now rather than </w:t>
      </w:r>
      <w:r w:rsidR="00BE2418" w:rsidRPr="008625DC">
        <w:t>20</w:t>
      </w:r>
      <w:r w:rsidRPr="008625DC">
        <w:t xml:space="preserve"> years ago?</w:t>
      </w:r>
    </w:p>
    <w:p w14:paraId="5B35DCFF" w14:textId="0F725552" w:rsidR="00C45739" w:rsidRPr="008625DC" w:rsidRDefault="00C45739" w:rsidP="006862F9">
      <w:pPr>
        <w:spacing w:after="120"/>
      </w:pPr>
      <w:r w:rsidRPr="008625DC">
        <w:t xml:space="preserve">Three major forces for change </w:t>
      </w:r>
      <w:r w:rsidR="00853D06" w:rsidRPr="008625DC">
        <w:t xml:space="preserve">relevant to this </w:t>
      </w:r>
      <w:r w:rsidR="00FD7C1D" w:rsidRPr="008625DC">
        <w:t>R</w:t>
      </w:r>
      <w:r w:rsidR="00853D06" w:rsidRPr="008625DC">
        <w:t xml:space="preserve">eview </w:t>
      </w:r>
      <w:r w:rsidRPr="008625DC">
        <w:t>stand out as influencing the Australian economy now and into the foreseeable future:</w:t>
      </w:r>
    </w:p>
    <w:p w14:paraId="3C6C058B" w14:textId="14D7EC40" w:rsidR="00C45739" w:rsidRPr="008625DC" w:rsidRDefault="00853D06" w:rsidP="006862F9">
      <w:pPr>
        <w:pStyle w:val="Bullet"/>
      </w:pPr>
      <w:r w:rsidRPr="008625DC">
        <w:t>the industrialisation of developing nations and</w:t>
      </w:r>
      <w:r w:rsidR="00392241" w:rsidRPr="008625DC">
        <w:t>,</w:t>
      </w:r>
      <w:r w:rsidRPr="008625DC">
        <w:t xml:space="preserve"> in particular</w:t>
      </w:r>
      <w:r w:rsidR="00392241" w:rsidRPr="008625DC">
        <w:t>,</w:t>
      </w:r>
      <w:r w:rsidRPr="008625DC">
        <w:t xml:space="preserve"> the rise of Asia and the growing Asian middle </w:t>
      </w:r>
      <w:r w:rsidR="00C45739" w:rsidRPr="008625DC" w:rsidDel="00853D06">
        <w:t>class</w:t>
      </w:r>
      <w:r w:rsidR="00C45739" w:rsidRPr="008625DC">
        <w:t>;</w:t>
      </w:r>
    </w:p>
    <w:p w14:paraId="171D7659" w14:textId="77777777" w:rsidR="00C45739" w:rsidRPr="008625DC" w:rsidRDefault="00C45739" w:rsidP="006862F9">
      <w:pPr>
        <w:pStyle w:val="Bullet"/>
      </w:pPr>
      <w:r w:rsidRPr="008625DC">
        <w:t>ageing of the Australian population and falling workforce participation; and</w:t>
      </w:r>
    </w:p>
    <w:p w14:paraId="6051E76E" w14:textId="77777777" w:rsidR="00C45739" w:rsidRPr="008625DC" w:rsidRDefault="00C45739" w:rsidP="00271F1A">
      <w:pPr>
        <w:pStyle w:val="Bullet"/>
        <w:spacing w:after="240"/>
      </w:pPr>
      <w:proofErr w:type="gramStart"/>
      <w:r w:rsidRPr="008625DC">
        <w:t>diffusion</w:t>
      </w:r>
      <w:proofErr w:type="gramEnd"/>
      <w:r w:rsidRPr="008625DC">
        <w:t xml:space="preserve"> of digital technologies with their potential to disrupt established patterns of economic activity.</w:t>
      </w:r>
    </w:p>
    <w:p w14:paraId="41286285" w14:textId="7048CB21" w:rsidR="00C45739" w:rsidRPr="008625DC" w:rsidRDefault="00853D06" w:rsidP="007F58AE">
      <w:pPr>
        <w:pStyle w:val="Heading2NotNumbered"/>
      </w:pPr>
      <w:bookmarkStart w:id="1079" w:name="_Toc397413239"/>
      <w:bookmarkStart w:id="1080" w:name="_Toc397413386"/>
      <w:r w:rsidRPr="008625DC">
        <w:lastRenderedPageBreak/>
        <w:t>Developing nations and the rise of Asia</w:t>
      </w:r>
      <w:bookmarkEnd w:id="1079"/>
      <w:bookmarkEnd w:id="1080"/>
    </w:p>
    <w:p w14:paraId="45584FF3" w14:textId="69DDDC49" w:rsidR="00C45739" w:rsidRPr="008625DC" w:rsidRDefault="00C45739" w:rsidP="004E3CE7">
      <w:r w:rsidRPr="008625DC">
        <w:t>The re</w:t>
      </w:r>
      <w:r w:rsidR="00C74E19" w:rsidRPr="008625DC">
        <w:noBreakHyphen/>
      </w:r>
      <w:r w:rsidRPr="008625DC">
        <w:t>emergence of China and India as global economic superpowers is driving fundamental structural change in the global economy. The sheer size and pace of growth in these populous economies is shifting the pattern of world economic growth, favouring</w:t>
      </w:r>
      <w:r w:rsidR="005C6A7D" w:rsidRPr="008625DC">
        <w:t xml:space="preserve"> suppliers of raw materials and </w:t>
      </w:r>
      <w:r w:rsidRPr="008625DC">
        <w:t>energy commodities like Australia</w:t>
      </w:r>
      <w:r w:rsidR="00380141" w:rsidRPr="008625DC">
        <w:t>.</w:t>
      </w:r>
    </w:p>
    <w:p w14:paraId="4672D4A4" w14:textId="3E39F7E2" w:rsidR="00B61EE6" w:rsidRPr="008625DC" w:rsidRDefault="00733A2F" w:rsidP="004E3CE7">
      <w:r w:rsidRPr="008625DC">
        <w:t xml:space="preserve">The global shifts are not </w:t>
      </w:r>
      <w:r w:rsidR="00374209" w:rsidRPr="008625DC">
        <w:t>confined</w:t>
      </w:r>
      <w:r w:rsidRPr="008625DC">
        <w:t xml:space="preserve"> to the Asian region</w:t>
      </w:r>
      <w:r w:rsidR="00B61EE6" w:rsidRPr="008625DC">
        <w:t>,</w:t>
      </w:r>
      <w:r w:rsidRPr="008625DC">
        <w:t xml:space="preserve"> </w:t>
      </w:r>
      <w:r w:rsidR="00B61EE6" w:rsidRPr="008625DC">
        <w:t>however</w:t>
      </w:r>
      <w:r w:rsidR="00374209" w:rsidRPr="008625DC">
        <w:t>.</w:t>
      </w:r>
      <w:r w:rsidRPr="008625DC">
        <w:t xml:space="preserve"> </w:t>
      </w:r>
      <w:r w:rsidR="00374209" w:rsidRPr="008625DC">
        <w:t>M</w:t>
      </w:r>
      <w:r w:rsidRPr="008625DC">
        <w:t>any emerging economies in Europe</w:t>
      </w:r>
      <w:r w:rsidR="00C86A9E" w:rsidRPr="008625DC">
        <w:t xml:space="preserve">, Africa </w:t>
      </w:r>
      <w:r w:rsidRPr="008625DC">
        <w:t xml:space="preserve">and </w:t>
      </w:r>
      <w:r w:rsidR="00924DD4" w:rsidRPr="008625DC">
        <w:t>Latin</w:t>
      </w:r>
      <w:r w:rsidRPr="008625DC">
        <w:t xml:space="preserve"> America also supply raw materials and energy </w:t>
      </w:r>
      <w:r w:rsidR="00B61EE6" w:rsidRPr="008625DC">
        <w:t>in</w:t>
      </w:r>
      <w:r w:rsidRPr="008625DC">
        <w:t xml:space="preserve"> direct </w:t>
      </w:r>
      <w:r w:rsidR="00B61EE6" w:rsidRPr="008625DC">
        <w:t>competition</w:t>
      </w:r>
      <w:r w:rsidRPr="008625DC">
        <w:t xml:space="preserve"> to Australia. As the OECD notes, the global economic balance will continue to shift towards current non</w:t>
      </w:r>
      <w:r w:rsidR="00C74E19" w:rsidRPr="008625DC">
        <w:noBreakHyphen/>
      </w:r>
      <w:r w:rsidRPr="008625DC">
        <w:t>OECD area</w:t>
      </w:r>
      <w:r w:rsidR="00B61EE6" w:rsidRPr="008625DC">
        <w:t>s</w:t>
      </w:r>
      <w:r w:rsidRPr="008625DC">
        <w:t>, including many emerging economies, wh</w:t>
      </w:r>
      <w:r w:rsidR="00B61EE6" w:rsidRPr="008625DC">
        <w:t>ose</w:t>
      </w:r>
      <w:r w:rsidRPr="008625DC">
        <w:t xml:space="preserve"> economic structure and export </w:t>
      </w:r>
      <w:r w:rsidR="00B61EE6" w:rsidRPr="008625DC">
        <w:t xml:space="preserve">profile will look </w:t>
      </w:r>
      <w:r w:rsidRPr="008625DC">
        <w:t xml:space="preserve">increasingly </w:t>
      </w:r>
      <w:r w:rsidR="00B61EE6" w:rsidRPr="008625DC">
        <w:t xml:space="preserve">like </w:t>
      </w:r>
      <w:r w:rsidRPr="008625DC">
        <w:t>those of the OECD</w:t>
      </w:r>
      <w:r w:rsidR="00B61EE6" w:rsidRPr="008625DC">
        <w:t xml:space="preserve"> countries</w:t>
      </w:r>
      <w:r w:rsidRPr="008625DC">
        <w:t>.</w:t>
      </w:r>
    </w:p>
    <w:p w14:paraId="0C643C70" w14:textId="49945A00" w:rsidR="00737D01" w:rsidRPr="008625DC" w:rsidRDefault="00733A2F" w:rsidP="00271F1A">
      <w:pPr>
        <w:spacing w:after="120"/>
      </w:pPr>
      <w:r w:rsidRPr="008625DC">
        <w:t xml:space="preserve">The </w:t>
      </w:r>
      <w:r w:rsidR="00B61EE6" w:rsidRPr="008625DC">
        <w:t xml:space="preserve">OECD </w:t>
      </w:r>
      <w:r w:rsidRPr="008625DC">
        <w:t>also note</w:t>
      </w:r>
      <w:r w:rsidR="00B61EE6" w:rsidRPr="008625DC">
        <w:t>s</w:t>
      </w:r>
      <w:r w:rsidRPr="008625DC">
        <w:t xml:space="preserve"> that</w:t>
      </w:r>
      <w:r w:rsidR="00B61EE6" w:rsidRPr="008625DC">
        <w:t>,</w:t>
      </w:r>
      <w:r w:rsidRPr="008625DC">
        <w:t xml:space="preserve"> to partner these shifts over time:</w:t>
      </w:r>
    </w:p>
    <w:p w14:paraId="75EA2AF2" w14:textId="5F80458E" w:rsidR="00733A2F" w:rsidRPr="008625DC" w:rsidRDefault="00B61EE6" w:rsidP="00271F1A">
      <w:pPr>
        <w:pStyle w:val="Quotes"/>
      </w:pPr>
      <w:r w:rsidRPr="008625DC">
        <w:t>[</w:t>
      </w:r>
      <w:r w:rsidR="00160D90">
        <w:t>F</w:t>
      </w:r>
      <w:r w:rsidRPr="008625DC">
        <w:t>]</w:t>
      </w:r>
      <w:r w:rsidR="00733A2F" w:rsidRPr="008625DC">
        <w:t>urther reforms to inject dynamism in labour and product markets, combined with re</w:t>
      </w:r>
      <w:r w:rsidR="00C74E19" w:rsidRPr="008625DC">
        <w:noBreakHyphen/>
      </w:r>
      <w:r w:rsidR="00733A2F" w:rsidRPr="008625DC">
        <w:t>designed intellectual property right policies, will be needed to sustain innovation, productivity and employment</w:t>
      </w:r>
      <w:r w:rsidR="003A703E" w:rsidRPr="008625DC">
        <w:t>.</w:t>
      </w:r>
      <w:r w:rsidR="003A703E" w:rsidRPr="008625DC">
        <w:rPr>
          <w:rStyle w:val="FootnoteReference"/>
        </w:rPr>
        <w:footnoteReference w:id="4"/>
      </w:r>
    </w:p>
    <w:p w14:paraId="1BF74BF8" w14:textId="746FEB3A" w:rsidR="003A703E" w:rsidRPr="008625DC" w:rsidRDefault="003A703E" w:rsidP="00271F1A">
      <w:r w:rsidRPr="008625DC">
        <w:t xml:space="preserve">This message resonates for Australia in many ways, </w:t>
      </w:r>
      <w:r w:rsidR="008A7320" w:rsidRPr="008625DC">
        <w:t xml:space="preserve">since </w:t>
      </w:r>
      <w:r w:rsidRPr="008625DC">
        <w:t xml:space="preserve">we cannot assume that the rise of Asia will </w:t>
      </w:r>
      <w:r w:rsidR="008A7320" w:rsidRPr="008625DC">
        <w:t xml:space="preserve">remain </w:t>
      </w:r>
      <w:r w:rsidRPr="008625DC">
        <w:t>an un</w:t>
      </w:r>
      <w:r w:rsidR="008A7320" w:rsidRPr="008625DC">
        <w:t>contested</w:t>
      </w:r>
      <w:r w:rsidRPr="008625DC">
        <w:t xml:space="preserve"> opportunity. We will face challenges from other </w:t>
      </w:r>
      <w:r w:rsidR="008A7320" w:rsidRPr="008625DC">
        <w:t>nations</w:t>
      </w:r>
      <w:r w:rsidRPr="008625DC">
        <w:t xml:space="preserve"> in securing the benefits of this shift in global economic activity. </w:t>
      </w:r>
    </w:p>
    <w:p w14:paraId="67FFE9A1" w14:textId="53464AF0" w:rsidR="00C45739" w:rsidRPr="008625DC" w:rsidRDefault="00C45739" w:rsidP="00271F1A">
      <w:r w:rsidRPr="008625DC">
        <w:t xml:space="preserve">To date, our supply of raw materials and energy has sustained high levels of income growth for Australia. While their contribution to growth will moderate, exports of commodities to Asia will very likely remain strong for years to come. Moreover, the rise of the Asian middle class will present new opportunities for Australia, especially in traded services like education, health and financial services. </w:t>
      </w:r>
    </w:p>
    <w:p w14:paraId="631E451B" w14:textId="090FE816" w:rsidR="00C45739" w:rsidRPr="008625DC" w:rsidRDefault="00C45739" w:rsidP="00271F1A">
      <w:r w:rsidRPr="008625DC">
        <w:t>The enormous growth in Asian consumption is expected to sustain high levels of infrastructure investment, increase consumer demand, and enhance Asia</w:t>
      </w:r>
      <w:r w:rsidR="00C74E19" w:rsidRPr="008625DC">
        <w:t>’</w:t>
      </w:r>
      <w:r w:rsidRPr="008625DC">
        <w:t xml:space="preserve">s economic sophistication and global integration. This represents a substantial and broad export opportunity for Australian suppliers of commodities, goods, services and capital. </w:t>
      </w:r>
    </w:p>
    <w:p w14:paraId="4B4AB89E" w14:textId="422EE80B" w:rsidR="00C45739" w:rsidRPr="008625DC" w:rsidRDefault="00C45739" w:rsidP="00C45739">
      <w:r w:rsidRPr="008625DC">
        <w:t xml:space="preserve">The rise of Asia </w:t>
      </w:r>
      <w:r w:rsidR="008A7320" w:rsidRPr="008625DC">
        <w:t xml:space="preserve">and other emerging economies </w:t>
      </w:r>
      <w:r w:rsidRPr="008625DC">
        <w:t>puts new pressure and expectations on Australia</w:t>
      </w:r>
      <w:r w:rsidR="00C74E19" w:rsidRPr="008625DC">
        <w:t>’</w:t>
      </w:r>
      <w:r w:rsidRPr="008625DC">
        <w:t>s domestic systems that were built for a particular economic landscape and at a particular time.</w:t>
      </w:r>
    </w:p>
    <w:p w14:paraId="0C996E60" w14:textId="1477041B" w:rsidR="00C45739" w:rsidRPr="008625DC" w:rsidRDefault="00C45739" w:rsidP="00C45739">
      <w:r w:rsidRPr="008625DC">
        <w:t xml:space="preserve">Australia will need policies, laws and institutions that help us make the most of the opportunities </w:t>
      </w:r>
      <w:r w:rsidR="008A7320" w:rsidRPr="008625DC">
        <w:t>we</w:t>
      </w:r>
      <w:r w:rsidR="00DE6233" w:rsidRPr="008625DC">
        <w:t> </w:t>
      </w:r>
      <w:r w:rsidR="008A7320" w:rsidRPr="008625DC">
        <w:t>face</w:t>
      </w:r>
      <w:r w:rsidRPr="008625DC">
        <w:t>. In particular, we need to build adaptability, flexibility and responsiveness into our systems. A</w:t>
      </w:r>
      <w:r w:rsidR="00DE6233" w:rsidRPr="008625DC">
        <w:t> </w:t>
      </w:r>
      <w:r w:rsidRPr="008625DC">
        <w:t>heightened capacity for agility and innovation will be needed to match changing tastes and preferences with our own capacity to deliver commodities, goods and services into Asia</w:t>
      </w:r>
      <w:r w:rsidR="008A7320" w:rsidRPr="008625DC">
        <w:t xml:space="preserve"> and elsewhere in the developing world</w:t>
      </w:r>
      <w:r w:rsidRPr="008625DC">
        <w:t>.</w:t>
      </w:r>
    </w:p>
    <w:p w14:paraId="752C1EB5" w14:textId="46F12835" w:rsidR="00C45739" w:rsidRPr="008625DC" w:rsidRDefault="00C45739" w:rsidP="00C45739">
      <w:r w:rsidRPr="008625DC">
        <w:t>At the same time, the benefits of these economic opportunities should reflect in the living standards of everyday Australians. A wider array of products and services to choose from, supplied from a variety of sources, at prices kept low by competition</w:t>
      </w:r>
      <w:r w:rsidR="00271F1A" w:rsidRPr="008625DC">
        <w:t xml:space="preserve"> </w:t>
      </w:r>
      <w:r w:rsidRPr="008625DC">
        <w:t>—</w:t>
      </w:r>
      <w:r w:rsidR="00271F1A" w:rsidRPr="008625DC">
        <w:t xml:space="preserve"> </w:t>
      </w:r>
      <w:r w:rsidRPr="008625DC">
        <w:t>domestically and from abroad</w:t>
      </w:r>
      <w:r w:rsidR="00271F1A" w:rsidRPr="008625DC">
        <w:t xml:space="preserve"> </w:t>
      </w:r>
      <w:r w:rsidRPr="008625DC">
        <w:t>—</w:t>
      </w:r>
      <w:r w:rsidR="00271F1A" w:rsidRPr="008625DC">
        <w:t xml:space="preserve"> </w:t>
      </w:r>
      <w:r w:rsidRPr="008625DC">
        <w:t>will help to diffuse the benefits of Australia</w:t>
      </w:r>
      <w:r w:rsidR="00C74E19" w:rsidRPr="008625DC">
        <w:t>’</w:t>
      </w:r>
      <w:r w:rsidRPr="008625DC">
        <w:t>s economic opportunities widely within the Australian community.</w:t>
      </w:r>
    </w:p>
    <w:p w14:paraId="38A2EAAF" w14:textId="77777777" w:rsidR="00C45739" w:rsidRPr="008625DC" w:rsidRDefault="00C45739" w:rsidP="007F58AE">
      <w:pPr>
        <w:pStyle w:val="Heading2NotNumbered"/>
      </w:pPr>
      <w:bookmarkStart w:id="1081" w:name="_Toc396118977"/>
      <w:bookmarkStart w:id="1082" w:name="_Toc397413240"/>
      <w:bookmarkStart w:id="1083" w:name="_Toc397413387"/>
      <w:r w:rsidRPr="008625DC">
        <w:lastRenderedPageBreak/>
        <w:t>Ageing</w:t>
      </w:r>
      <w:bookmarkEnd w:id="1081"/>
      <w:bookmarkEnd w:id="1082"/>
      <w:bookmarkEnd w:id="1083"/>
    </w:p>
    <w:p w14:paraId="5D1208D3" w14:textId="00755A84" w:rsidR="00C45739" w:rsidRPr="008625DC" w:rsidRDefault="00C45739" w:rsidP="00C45739">
      <w:r w:rsidRPr="008625DC">
        <w:t>Australia</w:t>
      </w:r>
      <w:r w:rsidR="00C74E19" w:rsidRPr="008625DC">
        <w:t>’</w:t>
      </w:r>
      <w:r w:rsidRPr="008625DC">
        <w:t>s population is ageing. The number of Australians aged 75 years and over is p</w:t>
      </w:r>
      <w:r w:rsidR="00217B33" w:rsidRPr="008625DC">
        <w:t>rojected to increase by around four</w:t>
      </w:r>
      <w:r w:rsidRPr="008625DC">
        <w:t> million between 2012 and 2060 — an increase roughly equivalent to the current population of Sydney.</w:t>
      </w:r>
      <w:r w:rsidRPr="008625DC">
        <w:rPr>
          <w:rStyle w:val="FootnoteReference"/>
        </w:rPr>
        <w:footnoteReference w:id="5"/>
      </w:r>
      <w:r w:rsidRPr="008625DC">
        <w:t xml:space="preserve"> Population ageing will lower expected income growth. As the </w:t>
      </w:r>
      <w:r w:rsidR="00392241" w:rsidRPr="008625DC">
        <w:t>B</w:t>
      </w:r>
      <w:r w:rsidRPr="008625DC">
        <w:t xml:space="preserve">aby </w:t>
      </w:r>
      <w:r w:rsidR="00392241" w:rsidRPr="008625DC">
        <w:t>B</w:t>
      </w:r>
      <w:r w:rsidRPr="008625DC">
        <w:t>oom generation retires, the number of working age people relative to those over the age of 65 will fall.</w:t>
      </w:r>
    </w:p>
    <w:p w14:paraId="17E96AE9" w14:textId="10D11AB9" w:rsidR="00C45739" w:rsidRPr="008625DC" w:rsidRDefault="00C45739" w:rsidP="00C45739">
      <w:r w:rsidRPr="008625DC">
        <w:t xml:space="preserve">Population ageing will substantially increase demands on the health and aged care systems. Today around a quarter of total </w:t>
      </w:r>
      <w:r w:rsidR="007F2669" w:rsidRPr="008625DC">
        <w:t>Australian G</w:t>
      </w:r>
      <w:r w:rsidRPr="008625DC">
        <w:t>overnment spending is directed to health, age</w:t>
      </w:r>
      <w:r w:rsidR="00C74E19" w:rsidRPr="008625DC">
        <w:noBreakHyphen/>
      </w:r>
      <w:r w:rsidRPr="008625DC">
        <w:t>related pensions and aged care. This is expected to rise to around half by 2049</w:t>
      </w:r>
      <w:r w:rsidR="00C74E19" w:rsidRPr="008625DC">
        <w:noBreakHyphen/>
      </w:r>
      <w:r w:rsidRPr="008625DC">
        <w:t>50.</w:t>
      </w:r>
      <w:r w:rsidRPr="008625DC">
        <w:rPr>
          <w:rStyle w:val="FootnoteReference"/>
        </w:rPr>
        <w:footnoteReference w:id="6"/>
      </w:r>
      <w:r w:rsidRPr="008625DC">
        <w:t xml:space="preserve"> Improving the efficiency and responsiveness of these sectors will be crucial to meeting the needs and preferences of older Australians with dignity. </w:t>
      </w:r>
    </w:p>
    <w:p w14:paraId="70B72177" w14:textId="2AC40859" w:rsidR="00C45739" w:rsidRPr="008625DC" w:rsidRDefault="00C45739" w:rsidP="00C45739">
      <w:r w:rsidRPr="008625DC">
        <w:t>While the ageing of Australia</w:t>
      </w:r>
      <w:r w:rsidR="00C74E19" w:rsidRPr="008625DC">
        <w:t>’</w:t>
      </w:r>
      <w:r w:rsidRPr="008625DC">
        <w:t>s population is well documented, its impact on our competition framework has not received much attention. Allowing people greater choice over their aged care arrangements, where this is feasible, as well as encouraging more diversity among providers will improve the system</w:t>
      </w:r>
      <w:r w:rsidR="00C74E19" w:rsidRPr="008625DC">
        <w:t>’</w:t>
      </w:r>
      <w:r w:rsidRPr="008625DC">
        <w:t>s capacity to meet a widening array of needs and preferences among ageing Australians and their families. Competitive entry to aged care markets by innovative service providers will also help to place downward pressure on costs.</w:t>
      </w:r>
    </w:p>
    <w:p w14:paraId="3C8BD49B" w14:textId="3A4CE1AE" w:rsidR="00C45739" w:rsidRPr="008625DC" w:rsidRDefault="00C45739" w:rsidP="00C45739">
      <w:r w:rsidRPr="008625DC">
        <w:t xml:space="preserve">We will need systems and policies that facilitate more options rather than fewer, and encourage flexibility, adaptability and responsiveness in methods of delivery. Increasing competition in health and aged care is aimed at meeting </w:t>
      </w:r>
      <w:r w:rsidR="008A7320" w:rsidRPr="008625DC">
        <w:t>the</w:t>
      </w:r>
      <w:r w:rsidRPr="008625DC">
        <w:t xml:space="preserve"> needs and preferences </w:t>
      </w:r>
      <w:r w:rsidR="008A7320" w:rsidRPr="008625DC">
        <w:t xml:space="preserve">of </w:t>
      </w:r>
      <w:r w:rsidR="00392241" w:rsidRPr="008625DC">
        <w:t>individual users</w:t>
      </w:r>
      <w:r w:rsidR="008A7320" w:rsidRPr="008625DC">
        <w:t xml:space="preserve"> </w:t>
      </w:r>
      <w:r w:rsidR="00CD4E1C" w:rsidRPr="008625DC">
        <w:t xml:space="preserve">rather than </w:t>
      </w:r>
      <w:r w:rsidR="008A7320" w:rsidRPr="008625DC">
        <w:t xml:space="preserve">those of </w:t>
      </w:r>
      <w:r w:rsidR="00CD4E1C" w:rsidRPr="008625DC">
        <w:t xml:space="preserve">providers. </w:t>
      </w:r>
    </w:p>
    <w:p w14:paraId="5B681A3F" w14:textId="77777777" w:rsidR="00C45739" w:rsidRPr="008625DC" w:rsidRDefault="00C45739" w:rsidP="007F58AE">
      <w:pPr>
        <w:pStyle w:val="Heading2NotNumbered"/>
      </w:pPr>
      <w:bookmarkStart w:id="1084" w:name="_Toc396118979"/>
      <w:bookmarkStart w:id="1085" w:name="_Toc397413241"/>
      <w:bookmarkStart w:id="1086" w:name="_Toc397413388"/>
      <w:r w:rsidRPr="008625DC">
        <w:t>The digital revolution</w:t>
      </w:r>
      <w:bookmarkEnd w:id="1084"/>
      <w:bookmarkEnd w:id="1085"/>
      <w:bookmarkEnd w:id="1086"/>
    </w:p>
    <w:p w14:paraId="43C3B7DB" w14:textId="1ECE9037" w:rsidR="00C45739" w:rsidRPr="008625DC" w:rsidRDefault="00C45739" w:rsidP="00C45739">
      <w:r w:rsidRPr="008625DC">
        <w:t xml:space="preserve">New technologies are transforming the way many markets operate, the way business is done, and the way consumers engage </w:t>
      </w:r>
      <w:r w:rsidR="00374209" w:rsidRPr="008625DC">
        <w:t>with</w:t>
      </w:r>
      <w:r w:rsidRPr="008625DC">
        <w:t xml:space="preserve"> markets. The internet has already had a significant impact on the Australian economy. Australians are typically fast adopters of new technologies (such as smart phones), new applications and software tools. This has in turn encouraged internet service providers to extend and develop the infrastructure required to access internet services more fully.</w:t>
      </w:r>
    </w:p>
    <w:p w14:paraId="467125A6" w14:textId="608F4DE0" w:rsidR="00C45739" w:rsidRPr="008625DC" w:rsidRDefault="00C45739" w:rsidP="00C45739">
      <w:r w:rsidRPr="008625DC">
        <w:t xml:space="preserve">New technologies are </w:t>
      </w:r>
      <w:r w:rsidR="007F2669" w:rsidRPr="008625DC">
        <w:t>also</w:t>
      </w:r>
      <w:r w:rsidRPr="008625DC">
        <w:t xml:space="preserve"> driving changes in sectors such as energy and transport. For example, </w:t>
      </w:r>
      <w:r w:rsidR="00C74E19" w:rsidRPr="008625DC">
        <w:t>‘</w:t>
      </w:r>
      <w:r w:rsidRPr="008625DC">
        <w:t>smart meters</w:t>
      </w:r>
      <w:r w:rsidR="00C74E19" w:rsidRPr="008625DC">
        <w:t>’</w:t>
      </w:r>
      <w:r w:rsidRPr="008625DC">
        <w:t xml:space="preserve"> allow consumers to access real</w:t>
      </w:r>
      <w:r w:rsidR="00C74E19" w:rsidRPr="008625DC">
        <w:noBreakHyphen/>
      </w:r>
      <w:r w:rsidRPr="008625DC">
        <w:t>time information on pricing and usage of energy, while smart phone applications allow consumers to compare airfares in real time.</w:t>
      </w:r>
    </w:p>
    <w:p w14:paraId="035EDE0F" w14:textId="628904F9" w:rsidR="00C45739" w:rsidRPr="008625DC" w:rsidRDefault="00C45739" w:rsidP="00C45739">
      <w:r w:rsidRPr="008625DC">
        <w:t xml:space="preserve">Technological innovation is lowering barriers to entry across a range of markets. </w:t>
      </w:r>
      <w:r w:rsidR="00E81DCF" w:rsidRPr="008625DC">
        <w:t xml:space="preserve">The company </w:t>
      </w:r>
      <w:r w:rsidR="007A6FEE" w:rsidRPr="008625DC">
        <w:t>Uber</w:t>
      </w:r>
      <w:r w:rsidRPr="008625DC">
        <w:t xml:space="preserve"> uses a smart phone application to connect users and providers of passenger vehicle services in direct competition with the taxi industry</w:t>
      </w:r>
      <w:r w:rsidR="00E81DCF" w:rsidRPr="008625DC">
        <w:t xml:space="preserve"> (see Box 1.1)</w:t>
      </w:r>
      <w:r w:rsidRPr="008625DC">
        <w:t>. This is an example of digital technology disrupting traditional markets.</w:t>
      </w:r>
    </w:p>
    <w:p w14:paraId="697989A3" w14:textId="7FC2E40E" w:rsidR="00C45739" w:rsidRPr="008625DC" w:rsidRDefault="00C45739" w:rsidP="00C45739">
      <w:r w:rsidRPr="008625DC">
        <w:t>Innovative competitive entry of this type can lower cost to consumers and widen their choice of providers. It can also raise concerns about consumer safety. The challenge for policymakers and regulators is to capture the benefits of disruptive entry while preserving traditional safeguards against doubtful or dangerous market practices.</w:t>
      </w:r>
    </w:p>
    <w:p w14:paraId="76A22826" w14:textId="26798D84" w:rsidR="00C45739" w:rsidRPr="008625DC" w:rsidRDefault="00C45739" w:rsidP="00C45739">
      <w:r w:rsidRPr="008625DC">
        <w:lastRenderedPageBreak/>
        <w:t xml:space="preserve">Changes brought about by digitisation and </w:t>
      </w:r>
      <w:proofErr w:type="gramStart"/>
      <w:r w:rsidRPr="008625DC">
        <w:t>access to the internet are</w:t>
      </w:r>
      <w:proofErr w:type="gramEnd"/>
      <w:r w:rsidRPr="008625DC">
        <w:t xml:space="preserve"> fostering the growth of networks where information and ideas are routinely shared. This </w:t>
      </w:r>
      <w:r w:rsidR="00C74E19" w:rsidRPr="008625DC">
        <w:t>‘</w:t>
      </w:r>
      <w:r w:rsidRPr="008625DC">
        <w:t>spillover</w:t>
      </w:r>
      <w:r w:rsidR="00C74E19" w:rsidRPr="008625DC">
        <w:t>’</w:t>
      </w:r>
      <w:r w:rsidRPr="008625DC">
        <w:t xml:space="preserve"> of knowledge is a recognised catalyst of innovation, adaptation and invention</w:t>
      </w:r>
      <w:r w:rsidR="00C74E19" w:rsidRPr="008625DC">
        <w:t xml:space="preserve"> — </w:t>
      </w:r>
      <w:r w:rsidR="007F2669" w:rsidRPr="008625DC">
        <w:t xml:space="preserve">the </w:t>
      </w:r>
      <w:r w:rsidRPr="008625DC">
        <w:t xml:space="preserve">drivers of growth in the </w:t>
      </w:r>
      <w:r w:rsidR="00C74E19" w:rsidRPr="008625DC">
        <w:t>‘</w:t>
      </w:r>
      <w:r w:rsidRPr="008625DC">
        <w:t>knowledge economy</w:t>
      </w:r>
      <w:r w:rsidR="00C74E19" w:rsidRPr="008625DC">
        <w:t>’</w:t>
      </w:r>
      <w:r w:rsidRPr="008625DC">
        <w:t>.</w:t>
      </w:r>
    </w:p>
    <w:p w14:paraId="6C0B6607" w14:textId="5EB9E669" w:rsidR="00E8267B" w:rsidRPr="008625DC" w:rsidRDefault="00E8267B" w:rsidP="00C45739">
      <w:r w:rsidRPr="008625DC">
        <w:t xml:space="preserve">Today we see the emergence of new digital technologies with a proliferation of new applications and uses, including emerging trends such as collaborative consumption, or </w:t>
      </w:r>
      <w:r w:rsidR="002252BC" w:rsidRPr="008625DC">
        <w:t>viewed slightly differently</w:t>
      </w:r>
      <w:r w:rsidRPr="008625DC">
        <w:t xml:space="preserve">, new marketplaces </w:t>
      </w:r>
      <w:r w:rsidR="002252BC" w:rsidRPr="008625DC">
        <w:t>(so</w:t>
      </w:r>
      <w:r w:rsidR="00C74E19" w:rsidRPr="008625DC">
        <w:noBreakHyphen/>
      </w:r>
      <w:r w:rsidR="002252BC" w:rsidRPr="008625DC">
        <w:t xml:space="preserve">called </w:t>
      </w:r>
      <w:r w:rsidR="00C74E19" w:rsidRPr="008625DC">
        <w:t>‘</w:t>
      </w:r>
      <w:r w:rsidR="002252BC" w:rsidRPr="008625DC">
        <w:t>sharing markets</w:t>
      </w:r>
      <w:r w:rsidR="00C74E19" w:rsidRPr="008625DC">
        <w:t>’</w:t>
      </w:r>
      <w:r w:rsidR="002252BC" w:rsidRPr="008625DC">
        <w:t xml:space="preserve">) developing </w:t>
      </w:r>
      <w:r w:rsidRPr="008625DC">
        <w:t>outside traditional commercial channels</w:t>
      </w:r>
      <w:r w:rsidR="00380141" w:rsidRPr="008625DC">
        <w:t xml:space="preserve">. </w:t>
      </w:r>
    </w:p>
    <w:p w14:paraId="5AB638CE" w14:textId="463E76C1" w:rsidR="00E8267B" w:rsidRPr="008625DC" w:rsidRDefault="00E8267B" w:rsidP="00C45739">
      <w:r w:rsidRPr="008625DC">
        <w:t>The use of technology to foster new markets provide</w:t>
      </w:r>
      <w:r w:rsidR="002252BC" w:rsidRPr="008625DC">
        <w:t>s</w:t>
      </w:r>
      <w:r w:rsidRPr="008625DC">
        <w:t xml:space="preserve"> more consumers with access to what they want and need, </w:t>
      </w:r>
      <w:r w:rsidR="002252BC" w:rsidRPr="008625DC">
        <w:t>potentially including</w:t>
      </w:r>
      <w:r w:rsidR="00271F1A" w:rsidRPr="008625DC">
        <w:t xml:space="preserve"> lower</w:t>
      </w:r>
      <w:r w:rsidR="00C74E19" w:rsidRPr="008625DC">
        <w:noBreakHyphen/>
      </w:r>
      <w:r w:rsidRPr="008625DC">
        <w:t>income consumers</w:t>
      </w:r>
      <w:r w:rsidR="002252BC" w:rsidRPr="008625DC">
        <w:t>.</w:t>
      </w:r>
    </w:p>
    <w:p w14:paraId="45EB3643" w14:textId="6E75C9B0" w:rsidR="00C45739" w:rsidRPr="008625DC" w:rsidRDefault="00E8267B" w:rsidP="00C45739">
      <w:r w:rsidRPr="008625DC">
        <w:t>T</w:t>
      </w:r>
      <w:r w:rsidR="00C45739" w:rsidRPr="008625DC">
        <w:t>he pervasive presence of knowledge networks and the power of innovation to lift living standards mean that Australia</w:t>
      </w:r>
      <w:r w:rsidR="00C74E19" w:rsidRPr="008625DC">
        <w:t>’</w:t>
      </w:r>
      <w:r w:rsidR="00C45739" w:rsidRPr="008625DC">
        <w:t xml:space="preserve">s competition </w:t>
      </w:r>
      <w:r w:rsidR="002252BC" w:rsidRPr="008625DC">
        <w:t xml:space="preserve">policies, </w:t>
      </w:r>
      <w:r w:rsidR="00C45739" w:rsidRPr="008625DC">
        <w:t>laws and institutions must be fit for purpose</w:t>
      </w:r>
      <w:r w:rsidR="00392241" w:rsidRPr="008625DC">
        <w:t xml:space="preserve"> </w:t>
      </w:r>
      <w:r w:rsidR="00C45739" w:rsidRPr="008625DC">
        <w:t xml:space="preserve">for the </w:t>
      </w:r>
      <w:r w:rsidR="007E21EB" w:rsidRPr="008625DC">
        <w:t>d</w:t>
      </w:r>
      <w:r w:rsidR="00C45739" w:rsidRPr="008625DC">
        <w:t xml:space="preserve">igital </w:t>
      </w:r>
      <w:r w:rsidR="007E21EB" w:rsidRPr="008625DC">
        <w:t>a</w:t>
      </w:r>
      <w:r w:rsidR="00C45739" w:rsidRPr="008625DC">
        <w:t>ge.</w:t>
      </w:r>
    </w:p>
    <w:p w14:paraId="6B8D76F0" w14:textId="77777777" w:rsidR="00C45739" w:rsidRPr="008625DC" w:rsidRDefault="00C45739" w:rsidP="007F58AE">
      <w:pPr>
        <w:pStyle w:val="Heading2NotNumbered"/>
      </w:pPr>
      <w:bookmarkStart w:id="1087" w:name="_Toc396118980"/>
      <w:bookmarkStart w:id="1088" w:name="_Toc397413242"/>
      <w:bookmarkStart w:id="1089" w:name="_Toc397413389"/>
      <w:r w:rsidRPr="008625DC">
        <w:t>Competition policy</w:t>
      </w:r>
      <w:bookmarkEnd w:id="1087"/>
      <w:bookmarkEnd w:id="1088"/>
      <w:bookmarkEnd w:id="1089"/>
    </w:p>
    <w:p w14:paraId="2D18C3C8" w14:textId="79D3242C" w:rsidR="00C45739" w:rsidRPr="008625DC" w:rsidRDefault="00C45739" w:rsidP="00C45739">
      <w:r w:rsidRPr="008625DC">
        <w:t>Competition policy, like other arms of government policy, is aimed at securing the welfare of Australians. Broadly speaking, it covers government policies, laws and regulatory institutions whose purpose is to make the market economy serve the long</w:t>
      </w:r>
      <w:r w:rsidR="00C74E19" w:rsidRPr="008625DC">
        <w:noBreakHyphen/>
      </w:r>
      <w:r w:rsidRPr="008625DC">
        <w:t>term interests of Australian consumers. Competition policy is about making markets work properly.</w:t>
      </w:r>
    </w:p>
    <w:p w14:paraId="4662A021" w14:textId="1FE8CA0C" w:rsidR="001664F6" w:rsidRPr="008625DC" w:rsidRDefault="001664F6" w:rsidP="00C45739">
      <w:r w:rsidRPr="008625DC">
        <w:t xml:space="preserve">Strengthening the competitiveness of enterprises is a necessary national economic challenge. However, competition policy concerns the competitiveness of markets </w:t>
      </w:r>
      <w:proofErr w:type="gramStart"/>
      <w:r w:rsidRPr="008625DC">
        <w:t>as a whole, not individual enterprises</w:t>
      </w:r>
      <w:proofErr w:type="gramEnd"/>
      <w:r w:rsidRPr="008625DC">
        <w:t>. Nonetheless, the disciplines of a competitive market compel efficiencies in the conduct of business, which in turn contribute to the productivity and competitiveness of enterprises.</w:t>
      </w:r>
    </w:p>
    <w:p w14:paraId="02D7B816" w14:textId="738375A8" w:rsidR="00C45739" w:rsidRPr="008625DC" w:rsidRDefault="00C45739" w:rsidP="00C45739">
      <w:r w:rsidRPr="008625DC">
        <w:t xml:space="preserve">The Competition Policy Review has been tasked with </w:t>
      </w:r>
      <w:r w:rsidR="002252BC" w:rsidRPr="008625DC">
        <w:t xml:space="preserve">examining whether </w:t>
      </w:r>
      <w:r w:rsidRPr="008625DC">
        <w:t>Australia</w:t>
      </w:r>
      <w:r w:rsidR="00C74E19" w:rsidRPr="008625DC">
        <w:t>’</w:t>
      </w:r>
      <w:r w:rsidRPr="008625DC">
        <w:t>s competition policies, law</w:t>
      </w:r>
      <w:r w:rsidR="00392241" w:rsidRPr="008625DC">
        <w:t>s</w:t>
      </w:r>
      <w:r w:rsidRPr="008625DC">
        <w:t xml:space="preserve"> and institutions remain fit for purpose, especially in light of the changing circumstances of the Australian economy that are expected to unfold over the next decade or so.</w:t>
      </w:r>
    </w:p>
    <w:p w14:paraId="52279E92" w14:textId="30B7F6DC" w:rsidR="00C45739" w:rsidRPr="008625DC" w:rsidRDefault="00C45739" w:rsidP="00C45739">
      <w:r w:rsidRPr="008625DC">
        <w:t>Competition policy sits well with the values Australians express in their everyday interactions. We expect markets to be fair</w:t>
      </w:r>
      <w:r w:rsidR="006A17A5" w:rsidRPr="008625DC">
        <w:t xml:space="preserve"> and </w:t>
      </w:r>
      <w:r w:rsidRPr="008625DC">
        <w:t>we want prices to be as low as they can reasonably be</w:t>
      </w:r>
      <w:r w:rsidR="006A17A5" w:rsidRPr="008625DC">
        <w:t>. We also value choice and responsiveness in market transactions</w:t>
      </w:r>
      <w:r w:rsidR="00C74E19" w:rsidRPr="008625DC">
        <w:t xml:space="preserve"> — </w:t>
      </w:r>
      <w:r w:rsidR="006A17A5" w:rsidRPr="008625DC">
        <w:t>we want markets to offer us variety and novel</w:t>
      </w:r>
      <w:r w:rsidR="00573BB7" w:rsidRPr="008625DC">
        <w:t>, innovative products</w:t>
      </w:r>
      <w:r w:rsidR="006A17A5" w:rsidRPr="008625DC">
        <w:t xml:space="preserve"> as well as quality, service and reliability.</w:t>
      </w:r>
    </w:p>
    <w:p w14:paraId="43E0CA1D" w14:textId="6BE43F8B" w:rsidR="00C45739" w:rsidRPr="008625DC" w:rsidRDefault="00C45739" w:rsidP="00C45739">
      <w:r w:rsidRPr="008625DC">
        <w:t>Access and choice are particularly relevant to vulnerable Australians or those on low incomes, whose day</w:t>
      </w:r>
      <w:r w:rsidR="00C74E19" w:rsidRPr="008625DC">
        <w:noBreakHyphen/>
      </w:r>
      <w:r w:rsidRPr="008625DC">
        <w:t>to</w:t>
      </w:r>
      <w:r w:rsidR="00C74E19" w:rsidRPr="008625DC">
        <w:noBreakHyphen/>
      </w:r>
      <w:r w:rsidRPr="008625DC">
        <w:t xml:space="preserve">day existence can mean regular interactions with government. They too should enjoy the benefits of choice, where this can reasonably be exercised, and </w:t>
      </w:r>
      <w:r w:rsidR="006A17A5" w:rsidRPr="008625DC">
        <w:t xml:space="preserve">service providers that </w:t>
      </w:r>
      <w:r w:rsidRPr="008625DC">
        <w:t>respon</w:t>
      </w:r>
      <w:r w:rsidR="006A17A5" w:rsidRPr="008625DC">
        <w:t>d</w:t>
      </w:r>
      <w:r w:rsidRPr="008625DC">
        <w:t xml:space="preserve"> to their needs and preferences. These aspects of competition can be sought even in </w:t>
      </w:r>
      <w:r w:rsidR="00C74E19" w:rsidRPr="008625DC">
        <w:t>‘</w:t>
      </w:r>
      <w:r w:rsidRPr="008625DC">
        <w:t>markets</w:t>
      </w:r>
      <w:r w:rsidR="00C74E19" w:rsidRPr="008625DC">
        <w:t>’</w:t>
      </w:r>
      <w:r w:rsidRPr="008625DC">
        <w:t xml:space="preserve"> where no private sector supplier is present.</w:t>
      </w:r>
    </w:p>
    <w:p w14:paraId="21B69414" w14:textId="52C80640" w:rsidR="00C45739" w:rsidRPr="008625DC" w:rsidRDefault="00C45739" w:rsidP="00C45739">
      <w:r w:rsidRPr="008625DC">
        <w:t xml:space="preserve">Maximising opportunity for choice and diversity, keeping prices competitive, and securing </w:t>
      </w:r>
      <w:r w:rsidR="002F78E3" w:rsidRPr="008625DC">
        <w:t xml:space="preserve">necessary </w:t>
      </w:r>
      <w:r w:rsidRPr="008625DC">
        <w:t>standards of quality, service, access and equity</w:t>
      </w:r>
      <w:r w:rsidR="00485057" w:rsidRPr="008625DC">
        <w:t xml:space="preserve"> </w:t>
      </w:r>
      <w:r w:rsidRPr="008625DC">
        <w:t>—</w:t>
      </w:r>
      <w:r w:rsidR="00485057" w:rsidRPr="008625DC">
        <w:t xml:space="preserve"> </w:t>
      </w:r>
      <w:r w:rsidRPr="008625DC">
        <w:t>these are the things Australians expect from properly governed markets. A well</w:t>
      </w:r>
      <w:r w:rsidR="00C74E19" w:rsidRPr="008625DC">
        <w:noBreakHyphen/>
      </w:r>
      <w:r w:rsidRPr="008625DC">
        <w:t>calibrated competition policy aims to secure these outcomes in commercial transactions and, where appropriate, also in the provision of government services.</w:t>
      </w:r>
    </w:p>
    <w:p w14:paraId="29A7589F" w14:textId="77777777" w:rsidR="00307A40" w:rsidRPr="008625DC" w:rsidRDefault="00307A40">
      <w:pPr>
        <w:spacing w:before="0" w:after="0"/>
        <w:rPr>
          <w:rFonts w:ascii="Calibri" w:hAnsi="Calibri"/>
          <w:color w:val="009976"/>
          <w:sz w:val="30"/>
          <w:szCs w:val="28"/>
        </w:rPr>
      </w:pPr>
      <w:bookmarkStart w:id="1090" w:name="_Toc396118982"/>
      <w:bookmarkStart w:id="1091" w:name="_Toc397413243"/>
      <w:bookmarkStart w:id="1092" w:name="_Toc397413390"/>
      <w:r w:rsidRPr="008625DC">
        <w:br w:type="page"/>
      </w:r>
    </w:p>
    <w:p w14:paraId="745B7910" w14:textId="77777777" w:rsidR="00C45739" w:rsidRPr="008625DC" w:rsidRDefault="00C45739" w:rsidP="007F58AE">
      <w:pPr>
        <w:pStyle w:val="Heading2NotNumbered"/>
      </w:pPr>
      <w:r w:rsidRPr="008625DC">
        <w:lastRenderedPageBreak/>
        <w:t>Fit for purpose</w:t>
      </w:r>
      <w:bookmarkEnd w:id="1090"/>
      <w:bookmarkEnd w:id="1091"/>
      <w:bookmarkEnd w:id="1092"/>
    </w:p>
    <w:p w14:paraId="6097E0BD" w14:textId="34C4C9A9" w:rsidR="00C45739" w:rsidRPr="008625DC" w:rsidRDefault="00C45739" w:rsidP="00DE6233">
      <w:r w:rsidRPr="008625DC">
        <w:t xml:space="preserve">The Panel identifies six attributes of competition policy which we regard as defining its fitness for purpose. These attributes are the criteria against which we </w:t>
      </w:r>
      <w:r w:rsidR="006A17A5" w:rsidRPr="008625DC">
        <w:t xml:space="preserve">have </w:t>
      </w:r>
      <w:r w:rsidRPr="008625DC">
        <w:t>assess</w:t>
      </w:r>
      <w:r w:rsidR="006A17A5" w:rsidRPr="008625DC">
        <w:t>ed</w:t>
      </w:r>
      <w:r w:rsidRPr="008625DC">
        <w:t xml:space="preserve"> Australia</w:t>
      </w:r>
      <w:r w:rsidR="00C74E19" w:rsidRPr="008625DC">
        <w:t>’</w:t>
      </w:r>
      <w:r w:rsidRPr="008625DC">
        <w:t>s current competition policy, laws and institutions in</w:t>
      </w:r>
      <w:r w:rsidR="00EC1973" w:rsidRPr="008625DC">
        <w:t xml:space="preserve"> </w:t>
      </w:r>
      <w:r w:rsidRPr="008625DC">
        <w:t xml:space="preserve">this Draft Report. In </w:t>
      </w:r>
      <w:bookmarkStart w:id="1093" w:name="Pt2"/>
      <w:r w:rsidR="00590BAE" w:rsidRPr="008625DC">
        <w:fldChar w:fldCharType="begin"/>
      </w:r>
      <w:r w:rsidR="00590BAE" w:rsidRPr="008625DC">
        <w:instrText xml:space="preserve"> HYPERLINK  \l "Pt2" </w:instrText>
      </w:r>
      <w:r w:rsidR="00590BAE" w:rsidRPr="008625DC">
        <w:fldChar w:fldCharType="separate"/>
      </w:r>
      <w:r w:rsidRPr="008625DC">
        <w:rPr>
          <w:rStyle w:val="Hyperlink"/>
        </w:rPr>
        <w:t xml:space="preserve">Part </w:t>
      </w:r>
      <w:r w:rsidR="00D1650C" w:rsidRPr="008625DC">
        <w:rPr>
          <w:rStyle w:val="Hyperlink"/>
        </w:rPr>
        <w:t>2</w:t>
      </w:r>
      <w:bookmarkEnd w:id="1093"/>
      <w:r w:rsidR="00590BAE" w:rsidRPr="008625DC">
        <w:fldChar w:fldCharType="end"/>
      </w:r>
      <w:r w:rsidRPr="008625DC">
        <w:t xml:space="preserve"> we make draft recommendations on how existing arrangements might be improved.</w:t>
      </w:r>
    </w:p>
    <w:tbl>
      <w:tblPr>
        <w:tblW w:w="9072" w:type="dxa"/>
        <w:tblInd w:w="108" w:type="dxa"/>
        <w:shd w:val="clear" w:color="auto" w:fill="E6E6E6"/>
        <w:tblLook w:val="01E0" w:firstRow="1" w:lastRow="1" w:firstColumn="1" w:lastColumn="1" w:noHBand="0" w:noVBand="0"/>
      </w:tblPr>
      <w:tblGrid>
        <w:gridCol w:w="9072"/>
      </w:tblGrid>
      <w:tr w:rsidR="00C45739" w:rsidRPr="008625DC" w14:paraId="5D51B2AD" w14:textId="77777777" w:rsidTr="00301655">
        <w:tc>
          <w:tcPr>
            <w:tcW w:w="5000" w:type="pct"/>
            <w:shd w:val="clear" w:color="auto" w:fill="E6E6E6"/>
          </w:tcPr>
          <w:p w14:paraId="3D95938B" w14:textId="494639CB" w:rsidR="00C45739" w:rsidRPr="008625DC" w:rsidRDefault="00C45739" w:rsidP="00301655">
            <w:pPr>
              <w:pStyle w:val="BoxHeading"/>
            </w:pPr>
            <w:r w:rsidRPr="008625DC">
              <w:t xml:space="preserve">A competition policy that is </w:t>
            </w:r>
            <w:r w:rsidR="00C74E19" w:rsidRPr="008625DC">
              <w:t>‘</w:t>
            </w:r>
            <w:r w:rsidRPr="008625DC">
              <w:t>fit for purpose</w:t>
            </w:r>
            <w:r w:rsidR="00C74E19" w:rsidRPr="008625DC">
              <w:t>’</w:t>
            </w:r>
            <w:r w:rsidRPr="008625DC">
              <w:t>:</w:t>
            </w:r>
          </w:p>
          <w:p w14:paraId="2E4A1004" w14:textId="655D42EF" w:rsidR="00C45739" w:rsidRPr="008625DC" w:rsidRDefault="00C45739" w:rsidP="00301655">
            <w:pPr>
              <w:pStyle w:val="Bullet"/>
            </w:pPr>
            <w:r w:rsidRPr="008625DC">
              <w:t>focu</w:t>
            </w:r>
            <w:r w:rsidR="00307A40" w:rsidRPr="008625DC">
              <w:t>s</w:t>
            </w:r>
            <w:r w:rsidRPr="008625DC">
              <w:t>es on making markets work in the long</w:t>
            </w:r>
            <w:r w:rsidR="00C74E19" w:rsidRPr="008625DC">
              <w:noBreakHyphen/>
            </w:r>
            <w:r w:rsidRPr="008625DC">
              <w:t>term interests of consumers</w:t>
            </w:r>
            <w:r w:rsidR="00460F41" w:rsidRPr="008625DC">
              <w:t>;</w:t>
            </w:r>
          </w:p>
          <w:p w14:paraId="6A553F18" w14:textId="718F0130" w:rsidR="00C45739" w:rsidRPr="008625DC" w:rsidRDefault="00C45739" w:rsidP="00301655">
            <w:pPr>
              <w:pStyle w:val="Bullet"/>
            </w:pPr>
            <w:r w:rsidRPr="008625DC">
              <w:t xml:space="preserve">fosters </w:t>
            </w:r>
            <w:r w:rsidR="00392241" w:rsidRPr="008625DC">
              <w:t xml:space="preserve">diversity, </w:t>
            </w:r>
            <w:r w:rsidRPr="008625DC">
              <w:t>choice and responsiveness in government services</w:t>
            </w:r>
            <w:r w:rsidR="00460F41" w:rsidRPr="008625DC">
              <w:t>;</w:t>
            </w:r>
          </w:p>
          <w:p w14:paraId="63626D29" w14:textId="4024B8F0" w:rsidR="00C45739" w:rsidRPr="008625DC" w:rsidRDefault="00C45739" w:rsidP="00301655">
            <w:pPr>
              <w:pStyle w:val="Bullet"/>
            </w:pPr>
            <w:r w:rsidRPr="008625DC">
              <w:t>encourages innovation, entrepreneurship and the entry of new players</w:t>
            </w:r>
            <w:r w:rsidR="00460F41" w:rsidRPr="008625DC">
              <w:t>;</w:t>
            </w:r>
          </w:p>
          <w:p w14:paraId="520297E2" w14:textId="1DF4FFFC" w:rsidR="00C45739" w:rsidRPr="008625DC" w:rsidRDefault="00C45739" w:rsidP="00301655">
            <w:pPr>
              <w:pStyle w:val="Bullet"/>
            </w:pPr>
            <w:r w:rsidRPr="008625DC">
              <w:t xml:space="preserve">promotes efficient </w:t>
            </w:r>
            <w:r w:rsidR="001005EC" w:rsidRPr="008625DC">
              <w:t xml:space="preserve">investment in and </w:t>
            </w:r>
            <w:r w:rsidRPr="008625DC">
              <w:t>use of infrastructure and natural resources</w:t>
            </w:r>
            <w:r w:rsidR="00460F41" w:rsidRPr="008625DC">
              <w:t>;</w:t>
            </w:r>
          </w:p>
          <w:p w14:paraId="488998B6" w14:textId="026E1444" w:rsidR="00C45739" w:rsidRPr="008625DC" w:rsidRDefault="001005EC" w:rsidP="00301655">
            <w:pPr>
              <w:pStyle w:val="Bullet"/>
            </w:pPr>
            <w:r w:rsidRPr="008625DC">
              <w:t xml:space="preserve">includes </w:t>
            </w:r>
            <w:r w:rsidR="00C45739" w:rsidRPr="008625DC">
              <w:t>competition laws and regulat</w:t>
            </w:r>
            <w:r w:rsidR="00392241" w:rsidRPr="008625DC">
              <w:t>ions</w:t>
            </w:r>
            <w:r w:rsidR="00C45739" w:rsidRPr="008625DC">
              <w:t xml:space="preserve"> that are clear, predictable, and reliable</w:t>
            </w:r>
            <w:r w:rsidR="00460F41" w:rsidRPr="008625DC">
              <w:t>; and</w:t>
            </w:r>
          </w:p>
          <w:p w14:paraId="61B44F43" w14:textId="540C1752" w:rsidR="00C45739" w:rsidRPr="008625DC" w:rsidRDefault="00C45739" w:rsidP="00307A40">
            <w:pPr>
              <w:pStyle w:val="Bullet"/>
              <w:spacing w:after="240"/>
            </w:pPr>
            <w:proofErr w:type="gramStart"/>
            <w:r w:rsidRPr="008625DC">
              <w:t>secures</w:t>
            </w:r>
            <w:proofErr w:type="gramEnd"/>
            <w:r w:rsidRPr="008625DC">
              <w:t xml:space="preserve"> </w:t>
            </w:r>
            <w:r w:rsidR="00392241" w:rsidRPr="008625DC">
              <w:t xml:space="preserve">necessary </w:t>
            </w:r>
            <w:r w:rsidRPr="008625DC">
              <w:t>standards of access and equity</w:t>
            </w:r>
            <w:r w:rsidR="00485057" w:rsidRPr="008625DC">
              <w:t>.</w:t>
            </w:r>
          </w:p>
        </w:tc>
      </w:tr>
    </w:tbl>
    <w:p w14:paraId="224081EC" w14:textId="77777777" w:rsidR="00C45739" w:rsidRPr="008625DC" w:rsidRDefault="00C45739" w:rsidP="00C45739">
      <w:pPr>
        <w:pStyle w:val="SingleParagraph"/>
      </w:pPr>
    </w:p>
    <w:p w14:paraId="1FC503DE" w14:textId="196598C4" w:rsidR="00C45739" w:rsidRPr="008625DC" w:rsidRDefault="00C45739" w:rsidP="00FB084C">
      <w:pPr>
        <w:pStyle w:val="Heading3"/>
      </w:pPr>
      <w:bookmarkStart w:id="1094" w:name="_Toc397413244"/>
      <w:bookmarkStart w:id="1095" w:name="_Toc397413391"/>
      <w:bookmarkStart w:id="1096" w:name="_Toc396118983"/>
      <w:r w:rsidRPr="008625DC">
        <w:t>Making markets work in the long</w:t>
      </w:r>
      <w:r w:rsidR="00C74E19" w:rsidRPr="008625DC">
        <w:noBreakHyphen/>
      </w:r>
      <w:r w:rsidRPr="008625DC">
        <w:t>term interests of consumers</w:t>
      </w:r>
      <w:bookmarkEnd w:id="1094"/>
      <w:bookmarkEnd w:id="1095"/>
    </w:p>
    <w:p w14:paraId="643219E9" w14:textId="17D048B6" w:rsidR="00C45739" w:rsidRPr="008625DC" w:rsidRDefault="00C45739" w:rsidP="00C45739">
      <w:r w:rsidRPr="008625DC">
        <w:t>Our competition policy, laws and institutions serve the na</w:t>
      </w:r>
      <w:r w:rsidR="00485057" w:rsidRPr="008625DC">
        <w:t xml:space="preserve">tional interest best when </w:t>
      </w:r>
      <w:r w:rsidR="004E3403" w:rsidRPr="008625DC">
        <w:t>focused</w:t>
      </w:r>
      <w:r w:rsidRPr="008625DC">
        <w:t xml:space="preserve"> on the long</w:t>
      </w:r>
      <w:r w:rsidR="00C74E19" w:rsidRPr="008625DC">
        <w:noBreakHyphen/>
      </w:r>
      <w:r w:rsidRPr="008625DC">
        <w:t>term interests of consumers.</w:t>
      </w:r>
    </w:p>
    <w:p w14:paraId="7118FDAC" w14:textId="116FB2E2" w:rsidR="00C45739" w:rsidRPr="008625DC" w:rsidRDefault="00C45739" w:rsidP="00C45739">
      <w:r w:rsidRPr="008625DC">
        <w:t xml:space="preserve">Consumers in this context are not just retail consumers or households but include businesses </w:t>
      </w:r>
      <w:r w:rsidR="00552F5A" w:rsidRPr="008625DC">
        <w:t>transacting with other businesses.</w:t>
      </w:r>
      <w:r w:rsidRPr="008625DC">
        <w:t xml:space="preserve"> In the realm of government services, consumers are patients, welfare recipients, parents of school</w:t>
      </w:r>
      <w:r w:rsidR="00C74E19" w:rsidRPr="008625DC">
        <w:noBreakHyphen/>
      </w:r>
      <w:r w:rsidRPr="008625DC">
        <w:t>age children or users of the national road network.</w:t>
      </w:r>
    </w:p>
    <w:p w14:paraId="66C89D41" w14:textId="320A4D8C" w:rsidR="00C45739" w:rsidRPr="008625DC" w:rsidRDefault="00C45739" w:rsidP="00485057">
      <w:pPr>
        <w:keepNext/>
        <w:spacing w:after="120"/>
      </w:pPr>
      <w:r w:rsidRPr="008625DC">
        <w:t xml:space="preserve">In 1995 the </w:t>
      </w:r>
      <w:r w:rsidR="006B3CBC" w:rsidRPr="008625DC">
        <w:t>then TPA</w:t>
      </w:r>
      <w:r w:rsidRPr="008625DC">
        <w:t xml:space="preserve"> incorporated an objects clause</w:t>
      </w:r>
      <w:r w:rsidR="00FD7C1D" w:rsidRPr="008625DC">
        <w:t>,</w:t>
      </w:r>
      <w:r w:rsidR="006B3CBC" w:rsidRPr="008625DC">
        <w:rPr>
          <w:rStyle w:val="FootnoteReference"/>
        </w:rPr>
        <w:footnoteReference w:id="7"/>
      </w:r>
      <w:r w:rsidRPr="008625DC">
        <w:t xml:space="preserve"> </w:t>
      </w:r>
      <w:r w:rsidR="006B3CBC" w:rsidRPr="008625DC">
        <w:t>stating</w:t>
      </w:r>
      <w:r w:rsidRPr="008625DC">
        <w:t>:</w:t>
      </w:r>
    </w:p>
    <w:p w14:paraId="3945A480" w14:textId="77777777" w:rsidR="00C45739" w:rsidRPr="008625DC" w:rsidRDefault="00C45739" w:rsidP="00C45739">
      <w:pPr>
        <w:pStyle w:val="Quotes"/>
      </w:pPr>
      <w:r w:rsidRPr="008625DC">
        <w:t xml:space="preserve">The object of this Act is to enhance the welfare of Australians through the promotion of competition and fair trading and provision for consumer protection. </w:t>
      </w:r>
    </w:p>
    <w:p w14:paraId="3FC48CD4" w14:textId="59FB2B13" w:rsidR="00C45739" w:rsidRPr="008625DC" w:rsidRDefault="00C45739" w:rsidP="00C45739">
      <w:pPr>
        <w:spacing w:before="240"/>
      </w:pPr>
      <w:r w:rsidRPr="008625DC">
        <w:t>A focus on the competitive process</w:t>
      </w:r>
      <w:r w:rsidR="006A17A5" w:rsidRPr="008625DC">
        <w:t>,</w:t>
      </w:r>
      <w:r w:rsidRPr="008625DC">
        <w:t xml:space="preserve"> rather than competitors</w:t>
      </w:r>
      <w:r w:rsidR="006A17A5" w:rsidRPr="008625DC">
        <w:t>,</w:t>
      </w:r>
      <w:r w:rsidRPr="008625DC">
        <w:t xml:space="preserve"> and the interests of consumers is a well</w:t>
      </w:r>
      <w:r w:rsidR="00C74E19" w:rsidRPr="008625DC">
        <w:noBreakHyphen/>
      </w:r>
      <w:r w:rsidRPr="008625DC">
        <w:t>established principle in competition policy across the globe.</w:t>
      </w:r>
    </w:p>
    <w:p w14:paraId="725B820C" w14:textId="4F22C936" w:rsidR="00C45739" w:rsidRPr="008625DC" w:rsidRDefault="00C45739" w:rsidP="00C45739">
      <w:pPr>
        <w:spacing w:before="240"/>
      </w:pPr>
      <w:r w:rsidRPr="008625DC">
        <w:t>In an environment where Australia</w:t>
      </w:r>
      <w:r w:rsidR="00C74E19" w:rsidRPr="008625DC">
        <w:t>’</w:t>
      </w:r>
      <w:r w:rsidRPr="008625DC">
        <w:t xml:space="preserve">s </w:t>
      </w:r>
      <w:r w:rsidR="00552F5A" w:rsidRPr="008625DC">
        <w:t xml:space="preserve">economic </w:t>
      </w:r>
      <w:r w:rsidRPr="008625DC">
        <w:t>structure will continue to evolve in response to global forces, and markets become increasingly global through technology and stronger trade channels, fostering competitive processes in the interests of consumers becomes an ever</w:t>
      </w:r>
      <w:r w:rsidR="00C74E19" w:rsidRPr="008625DC">
        <w:noBreakHyphen/>
      </w:r>
      <w:r w:rsidRPr="008625DC">
        <w:t>changing and challenging task.</w:t>
      </w:r>
    </w:p>
    <w:p w14:paraId="3B98E8D1" w14:textId="699F0AC8" w:rsidR="00C45739" w:rsidRPr="008625DC" w:rsidRDefault="00C45739" w:rsidP="00C45739">
      <w:r w:rsidRPr="008625DC">
        <w:t>As it becomes more challenging to ensure that markets operate efficiently in the interests of consumers, adherence to fundamental principles assumes greater importance. In particular, the smooth entry and exit of suppliers in response to changing consumer tastes, needs and preferences must be fostered</w:t>
      </w:r>
      <w:r w:rsidR="00485057" w:rsidRPr="008625DC">
        <w:t xml:space="preserve"> </w:t>
      </w:r>
      <w:r w:rsidRPr="008625DC">
        <w:t>—</w:t>
      </w:r>
      <w:r w:rsidR="00485057" w:rsidRPr="008625DC">
        <w:t xml:space="preserve"> </w:t>
      </w:r>
      <w:r w:rsidRPr="008625DC">
        <w:t xml:space="preserve">which means removing or lowering barriers to entry (and exit) wherever possible. </w:t>
      </w:r>
    </w:p>
    <w:p w14:paraId="74286753" w14:textId="515B70B7" w:rsidR="00C45739" w:rsidRPr="008625DC" w:rsidRDefault="00C45739" w:rsidP="00C45739">
      <w:r w:rsidRPr="008625DC">
        <w:lastRenderedPageBreak/>
        <w:t>We also need flexible regulatory arrangements that can adapt to changing market participants</w:t>
      </w:r>
      <w:r w:rsidR="00CE196D" w:rsidRPr="008625DC">
        <w:t xml:space="preserve">, </w:t>
      </w:r>
      <w:r w:rsidRPr="008625DC">
        <w:t xml:space="preserve">including those beyond our borders, and to new goods and services that emerge with rapidly evolving technology and innovation. Market regulation should be as </w:t>
      </w:r>
      <w:r w:rsidR="00C74E19" w:rsidRPr="008625DC">
        <w:t>‘</w:t>
      </w:r>
      <w:r w:rsidRPr="008625DC">
        <w:t>light touch</w:t>
      </w:r>
      <w:r w:rsidR="00C74E19" w:rsidRPr="008625DC">
        <w:t>’</w:t>
      </w:r>
      <w:r w:rsidRPr="008625DC">
        <w:t xml:space="preserve"> as possible, recognising that the costs of regulatory burdens and constraints must be off</w:t>
      </w:r>
      <w:r w:rsidR="007F2669" w:rsidRPr="008625DC">
        <w:t>set</w:t>
      </w:r>
      <w:r w:rsidRPr="008625DC">
        <w:t xml:space="preserve"> against the </w:t>
      </w:r>
      <w:r w:rsidR="001005EC" w:rsidRPr="008625DC">
        <w:t>expected</w:t>
      </w:r>
      <w:r w:rsidRPr="008625DC">
        <w:t xml:space="preserve"> benefits to consumers. </w:t>
      </w:r>
    </w:p>
    <w:p w14:paraId="18A27BEB" w14:textId="16FBB671" w:rsidR="00C45739" w:rsidRPr="008625DC" w:rsidRDefault="00C45739" w:rsidP="00C45739">
      <w:r w:rsidRPr="008625DC">
        <w:t>We need to allow success to emerge in response to market</w:t>
      </w:r>
      <w:r w:rsidR="00C74E19" w:rsidRPr="008625DC">
        <w:noBreakHyphen/>
      </w:r>
      <w:r w:rsidRPr="008625DC">
        <w:t xml:space="preserve">driven factors, rather than prescribing rules that support firms of particular sizes at the expense of others. </w:t>
      </w:r>
      <w:proofErr w:type="gramStart"/>
      <w:r w:rsidRPr="008625DC">
        <w:t xml:space="preserve">Doing </w:t>
      </w:r>
      <w:r w:rsidR="00D15937" w:rsidRPr="008625DC">
        <w:t>the latter</w:t>
      </w:r>
      <w:r w:rsidRPr="008625DC">
        <w:t xml:space="preserve"> compromises the long</w:t>
      </w:r>
      <w:r w:rsidR="00C74E19" w:rsidRPr="008625DC">
        <w:noBreakHyphen/>
      </w:r>
      <w:r w:rsidRPr="008625DC">
        <w:t>term interests of consumers.</w:t>
      </w:r>
      <w:proofErr w:type="gramEnd"/>
      <w:r w:rsidR="00CE196D" w:rsidRPr="008625DC">
        <w:t xml:space="preserve"> Success in the market should be driven by consumer interests, not the special interests of suppliers or providers.</w:t>
      </w:r>
    </w:p>
    <w:p w14:paraId="2C789CC5" w14:textId="51F18756" w:rsidR="00C45739" w:rsidRPr="008625DC" w:rsidRDefault="00C45739" w:rsidP="00C45739">
      <w:r w:rsidRPr="008625DC">
        <w:t xml:space="preserve">Our competition laws rightly censure </w:t>
      </w:r>
      <w:r w:rsidR="00701CB9" w:rsidRPr="008625DC">
        <w:t>anti</w:t>
      </w:r>
      <w:r w:rsidR="00C74E19" w:rsidRPr="008625DC">
        <w:noBreakHyphen/>
      </w:r>
      <w:r w:rsidR="00701CB9" w:rsidRPr="008625DC">
        <w:t xml:space="preserve">competitive </w:t>
      </w:r>
      <w:r w:rsidRPr="008625DC">
        <w:t>trading terms or abuse of market power</w:t>
      </w:r>
      <w:r w:rsidR="00701CB9" w:rsidRPr="008625DC">
        <w:t>,</w:t>
      </w:r>
      <w:r w:rsidRPr="008625DC">
        <w:t xml:space="preserve"> but such interventions should be targeted and proportionate. Technology can be a game</w:t>
      </w:r>
      <w:r w:rsidR="00C74E19" w:rsidRPr="008625DC">
        <w:noBreakHyphen/>
      </w:r>
      <w:r w:rsidRPr="008625DC">
        <w:t>changer for businesses of all sizes, and can allow smaller nimble firms to compete on a global scale, without any pre</w:t>
      </w:r>
      <w:r w:rsidR="00C74E19" w:rsidRPr="008625DC">
        <w:noBreakHyphen/>
      </w:r>
      <w:r w:rsidRPr="008625DC">
        <w:t xml:space="preserve">requisite economies of scale in order to succeed. </w:t>
      </w:r>
    </w:p>
    <w:p w14:paraId="2A230676" w14:textId="4A22CF2A" w:rsidR="00C45739" w:rsidRPr="008625DC" w:rsidRDefault="00C45739" w:rsidP="00307A40">
      <w:pPr>
        <w:pStyle w:val="Heading3"/>
      </w:pPr>
      <w:bookmarkStart w:id="1097" w:name="_Toc397413245"/>
      <w:bookmarkStart w:id="1098" w:name="_Toc397413392"/>
      <w:r w:rsidRPr="008625DC">
        <w:t xml:space="preserve">Fostering </w:t>
      </w:r>
      <w:r w:rsidR="005B28E5" w:rsidRPr="008625DC">
        <w:t xml:space="preserve">diversity, </w:t>
      </w:r>
      <w:r w:rsidRPr="008625DC">
        <w:t>choice and responsiveness</w:t>
      </w:r>
      <w:bookmarkEnd w:id="1096"/>
      <w:r w:rsidRPr="008625DC">
        <w:t xml:space="preserve"> in government services</w:t>
      </w:r>
      <w:bookmarkEnd w:id="1097"/>
      <w:bookmarkEnd w:id="1098"/>
    </w:p>
    <w:p w14:paraId="1CBBAEFE" w14:textId="1CB8B92B" w:rsidR="00C45739" w:rsidRPr="008625DC" w:rsidRDefault="00C45739" w:rsidP="00C45739">
      <w:r w:rsidRPr="008625DC">
        <w:t xml:space="preserve">Choice is a powerful dynamic force for improving our lives. </w:t>
      </w:r>
      <w:r w:rsidR="001005EC" w:rsidRPr="008625DC">
        <w:t>By expressing our individual requirements and preferences, government services can be adapted to better serve our needs.</w:t>
      </w:r>
      <w:r w:rsidRPr="008625DC">
        <w:t xml:space="preserve"> </w:t>
      </w:r>
    </w:p>
    <w:p w14:paraId="6734FCBF" w14:textId="66237340" w:rsidR="00C45739" w:rsidRPr="008625DC" w:rsidRDefault="00C45739" w:rsidP="00C45739">
      <w:r w:rsidRPr="008625DC">
        <w:t>On the other hand</w:t>
      </w:r>
      <w:r w:rsidR="007F2669" w:rsidRPr="008625DC">
        <w:t>,</w:t>
      </w:r>
      <w:r w:rsidRPr="008625DC">
        <w:t xml:space="preserve"> choice is not about having unlimited options or facing a bewildering array of possibilities. It</w:t>
      </w:r>
      <w:r w:rsidR="00C74E19" w:rsidRPr="008625DC">
        <w:t>’</w:t>
      </w:r>
      <w:r w:rsidRPr="008625DC">
        <w:t>s about having our needs and preferences met easily and affordably, in a timely fashion, and at a place and time of our choosing</w:t>
      </w:r>
      <w:r w:rsidR="00485057" w:rsidRPr="008625DC">
        <w:t xml:space="preserve"> </w:t>
      </w:r>
      <w:r w:rsidRPr="008625DC">
        <w:t>—</w:t>
      </w:r>
      <w:r w:rsidR="00485057" w:rsidRPr="008625DC">
        <w:t xml:space="preserve"> </w:t>
      </w:r>
      <w:r w:rsidRPr="008625DC">
        <w:t>which may well be outside standard business hours.</w:t>
      </w:r>
    </w:p>
    <w:p w14:paraId="76D1073F" w14:textId="6DBB726D" w:rsidR="00C45739" w:rsidRPr="008625DC" w:rsidRDefault="00C45739" w:rsidP="00C45739">
      <w:r w:rsidRPr="008625DC">
        <w:t xml:space="preserve">Given the size and pervasiveness of government in the Australian economy, as funder, provider and regulator, there is a need to consider new ways to foster </w:t>
      </w:r>
      <w:r w:rsidR="005B28E5" w:rsidRPr="008625DC">
        <w:t xml:space="preserve">diversity, </w:t>
      </w:r>
      <w:r w:rsidRPr="008625DC">
        <w:t>choice and responsiveness in government services.</w:t>
      </w:r>
    </w:p>
    <w:p w14:paraId="1A80A48A" w14:textId="2646F97C" w:rsidR="00C45739" w:rsidRPr="008625DC" w:rsidRDefault="00C45739" w:rsidP="00C45739">
      <w:r w:rsidRPr="008625DC">
        <w:t>Australians will demand more government services over time, especially in health and education as our population ages and life</w:t>
      </w:r>
      <w:r w:rsidR="00C74E19" w:rsidRPr="008625DC">
        <w:noBreakHyphen/>
      </w:r>
      <w:r w:rsidRPr="008625DC">
        <w:t xml:space="preserve">long learning becomes a more important means of securing rewarding employment. </w:t>
      </w:r>
      <w:r w:rsidR="00CE196D" w:rsidRPr="008625DC">
        <w:t>These d</w:t>
      </w:r>
      <w:r w:rsidRPr="008625DC">
        <w:t>emands are also likely to increase as Australians adjust to a more changeable, less certain economic and social environment.</w:t>
      </w:r>
    </w:p>
    <w:p w14:paraId="0F9109E8" w14:textId="23737053" w:rsidR="00C45739" w:rsidRPr="008625DC" w:rsidRDefault="00C45739" w:rsidP="00C45739">
      <w:r w:rsidRPr="008625DC">
        <w:t xml:space="preserve">Designing markets for government services may be a necessary first step as </w:t>
      </w:r>
      <w:proofErr w:type="gramStart"/>
      <w:r w:rsidRPr="008625DC">
        <w:t>governments</w:t>
      </w:r>
      <w:proofErr w:type="gramEnd"/>
      <w:r w:rsidRPr="008625DC">
        <w:t xml:space="preserve"> contract out or commission new forms of service delivery, drawing on public funds. Over time a broader</w:t>
      </w:r>
      <w:r w:rsidR="005B28E5" w:rsidRPr="008625DC">
        <w:t>, more diverse</w:t>
      </w:r>
      <w:r w:rsidRPr="008625DC">
        <w:t xml:space="preserve"> range of providers may emerge, including private for</w:t>
      </w:r>
      <w:r w:rsidR="00C74E19" w:rsidRPr="008625DC">
        <w:noBreakHyphen/>
      </w:r>
      <w:r w:rsidRPr="008625DC">
        <w:t>profit, not</w:t>
      </w:r>
      <w:r w:rsidR="00C74E19" w:rsidRPr="008625DC">
        <w:noBreakHyphen/>
      </w:r>
      <w:r w:rsidRPr="008625DC">
        <w:t>for</w:t>
      </w:r>
      <w:r w:rsidR="00C74E19" w:rsidRPr="008625DC">
        <w:noBreakHyphen/>
      </w:r>
      <w:r w:rsidRPr="008625DC">
        <w:t>profit and government business enterprises</w:t>
      </w:r>
      <w:r w:rsidR="00476E64" w:rsidRPr="008625DC">
        <w:t>, as well as co</w:t>
      </w:r>
      <w:r w:rsidR="00C74E19" w:rsidRPr="008625DC">
        <w:noBreakHyphen/>
      </w:r>
      <w:r w:rsidR="00476E64" w:rsidRPr="008625DC">
        <w:t>operatives and mutuals</w:t>
      </w:r>
      <w:r w:rsidRPr="008625DC">
        <w:t>.</w:t>
      </w:r>
    </w:p>
    <w:p w14:paraId="4A35C260" w14:textId="5555E4C6" w:rsidR="00C45739" w:rsidRPr="008625DC" w:rsidRDefault="00C45739" w:rsidP="00C45739">
      <w:r w:rsidRPr="008625DC">
        <w:t xml:space="preserve">If managed well, moving towards greater </w:t>
      </w:r>
      <w:r w:rsidR="005B28E5" w:rsidRPr="008625DC">
        <w:t xml:space="preserve">diversity, </w:t>
      </w:r>
      <w:r w:rsidRPr="008625DC">
        <w:t xml:space="preserve">choice and responsiveness in the delivery of government services can both empower consumers and improve productivity at the same time. </w:t>
      </w:r>
    </w:p>
    <w:p w14:paraId="0B6EC674" w14:textId="77777777" w:rsidR="00C45739" w:rsidRPr="008625DC" w:rsidRDefault="00C45739" w:rsidP="00FB084C">
      <w:pPr>
        <w:pStyle w:val="Heading3"/>
      </w:pPr>
      <w:bookmarkStart w:id="1099" w:name="_Toc396118984"/>
      <w:bookmarkStart w:id="1100" w:name="_Toc397413246"/>
      <w:bookmarkStart w:id="1101" w:name="_Toc397413393"/>
      <w:r w:rsidRPr="008625DC">
        <w:t>Encouraging innovation, entrepreneurship</w:t>
      </w:r>
      <w:bookmarkEnd w:id="1099"/>
      <w:r w:rsidRPr="008625DC">
        <w:t xml:space="preserve"> and the entry of new players</w:t>
      </w:r>
      <w:bookmarkEnd w:id="1100"/>
      <w:bookmarkEnd w:id="1101"/>
    </w:p>
    <w:p w14:paraId="33C000FF" w14:textId="3FDCC660" w:rsidR="00C45739" w:rsidRPr="008625DC" w:rsidRDefault="00C45739" w:rsidP="00C45739">
      <w:r w:rsidRPr="008625DC">
        <w:t xml:space="preserve">Coming decades are likely to see an acceleration of the </w:t>
      </w:r>
      <w:r w:rsidR="00D15937" w:rsidRPr="008625DC">
        <w:t xml:space="preserve">technological </w:t>
      </w:r>
      <w:r w:rsidRPr="008625DC">
        <w:t>change we have witnessed in the recent past, most especially in the field of information and commu</w:t>
      </w:r>
      <w:r w:rsidR="005C6A7D" w:rsidRPr="008625DC">
        <w:t>nications technology (ICT). The </w:t>
      </w:r>
      <w:r w:rsidRPr="008625DC">
        <w:t>explosion in information available to all market participants has better informed those on the buy</w:t>
      </w:r>
      <w:r w:rsidR="00C74E19" w:rsidRPr="008625DC">
        <w:noBreakHyphen/>
      </w:r>
      <w:r w:rsidRPr="008625DC">
        <w:t>side of transactions but also allowed those on the sell</w:t>
      </w:r>
      <w:r w:rsidR="00C74E19" w:rsidRPr="008625DC">
        <w:noBreakHyphen/>
      </w:r>
      <w:r w:rsidRPr="008625DC">
        <w:t>side to target their goods and services more accurately.</w:t>
      </w:r>
    </w:p>
    <w:p w14:paraId="67F2FA98" w14:textId="450F137D" w:rsidR="00C45739" w:rsidRPr="008625DC" w:rsidRDefault="00C45739" w:rsidP="00C45739">
      <w:r w:rsidRPr="008625DC">
        <w:t xml:space="preserve">The information revolution is just one facet of a rapidly evolving technology landscape. New techniques and applications utilising information are fostering new ideas and ways of doing business </w:t>
      </w:r>
      <w:r w:rsidRPr="008625DC">
        <w:lastRenderedPageBreak/>
        <w:t>that fundamentally challenge existing laws and policies, founded as they often are on the premise of a stable and predictable marketplace with known participants.</w:t>
      </w:r>
    </w:p>
    <w:p w14:paraId="6F848FC1" w14:textId="77777777" w:rsidR="00C45739" w:rsidRPr="008625DC" w:rsidRDefault="00C45739" w:rsidP="00C45739">
      <w:r w:rsidRPr="008625DC">
        <w:t xml:space="preserve">Australians eagerly embrace new ideas when they offer us something of value, and this includes innovations from new players entering markets like never before. </w:t>
      </w:r>
    </w:p>
    <w:p w14:paraId="4B8BC697" w14:textId="23C4BB2B" w:rsidR="00C45739" w:rsidRPr="008625DC" w:rsidRDefault="00C45739" w:rsidP="00C45739">
      <w:r w:rsidRPr="008625DC">
        <w:t>Our existing laws and institutions often struggle to keep pace. Sometimes this is the inevitable consequence of an unanticipated shock</w:t>
      </w:r>
      <w:r w:rsidR="00701CB9" w:rsidRPr="008625DC">
        <w:t>,</w:t>
      </w:r>
      <w:r w:rsidRPr="008625DC">
        <w:t xml:space="preserve"> but it can also be because existing laws and policies have rightly or wrongly instituted some form of preferment to incumbent market participants.</w:t>
      </w:r>
    </w:p>
    <w:p w14:paraId="4C4E62DA" w14:textId="014C1EFA" w:rsidR="00C45739" w:rsidRPr="008625DC" w:rsidRDefault="00C45739" w:rsidP="00C45739">
      <w:r w:rsidRPr="008625DC">
        <w:t>New entry is a positive discipline on existing market players, encouraging them to be more innovative and responsive to consumer needs. By contrast, locking in long</w:t>
      </w:r>
      <w:r w:rsidR="00C74E19" w:rsidRPr="008625DC">
        <w:noBreakHyphen/>
      </w:r>
      <w:r w:rsidRPr="008625DC">
        <w:t>term preferment risks Australia falling behind other countries, as potential new approaches and innovations pass us by.</w:t>
      </w:r>
    </w:p>
    <w:p w14:paraId="7633106C" w14:textId="048E86C8" w:rsidR="00C45739" w:rsidRPr="008625DC" w:rsidRDefault="00C45739" w:rsidP="00C45739">
      <w:r w:rsidRPr="008625DC">
        <w:t>Our competition policy, law</w:t>
      </w:r>
      <w:r w:rsidR="002067CF" w:rsidRPr="008625DC">
        <w:t>s</w:t>
      </w:r>
      <w:r w:rsidRPr="008625DC">
        <w:t xml:space="preserve"> and institutions need to be sufficiently adaptable to allow new entry to </w:t>
      </w:r>
      <w:r w:rsidR="00CE196D" w:rsidRPr="008625DC">
        <w:t>make</w:t>
      </w:r>
      <w:r w:rsidRPr="008625DC">
        <w:t xml:space="preserve"> innovative and potentially lower</w:t>
      </w:r>
      <w:r w:rsidR="00C74E19" w:rsidRPr="008625DC">
        <w:noBreakHyphen/>
      </w:r>
      <w:r w:rsidRPr="008625DC">
        <w:t xml:space="preserve">cost products and services </w:t>
      </w:r>
      <w:r w:rsidR="00CE196D" w:rsidRPr="008625DC">
        <w:t xml:space="preserve">available </w:t>
      </w:r>
      <w:r w:rsidRPr="008625DC">
        <w:t>to Australian consumers.</w:t>
      </w:r>
    </w:p>
    <w:p w14:paraId="2009E72A" w14:textId="6C437A8C" w:rsidR="00C45739" w:rsidRPr="008625DC" w:rsidRDefault="007A6FEE" w:rsidP="00C45739">
      <w:r w:rsidRPr="008625DC">
        <w:t>Uber</w:t>
      </w:r>
      <w:r w:rsidR="00C45739" w:rsidRPr="008625DC">
        <w:t xml:space="preserve"> ridesharing services (</w:t>
      </w:r>
      <w:r w:rsidR="00921334" w:rsidRPr="008625DC">
        <w:t xml:space="preserve">see </w:t>
      </w:r>
      <w:r w:rsidR="008371D8" w:rsidRPr="008625DC">
        <w:t>B</w:t>
      </w:r>
      <w:r w:rsidR="00921334" w:rsidRPr="008625DC">
        <w:t xml:space="preserve">ox </w:t>
      </w:r>
      <w:r w:rsidR="008371D8" w:rsidRPr="008625DC">
        <w:t xml:space="preserve">1.1 </w:t>
      </w:r>
      <w:r w:rsidR="00921334" w:rsidRPr="008625DC">
        <w:t>below</w:t>
      </w:r>
      <w:r w:rsidR="00C45739" w:rsidRPr="008625DC">
        <w:t>) is an example of a new player introducing new technology and a novel concept that challenges existing regulatory frameworks.</w:t>
      </w:r>
    </w:p>
    <w:p w14:paraId="36F5E756" w14:textId="169094C9" w:rsidR="00C45739" w:rsidRPr="008625DC" w:rsidRDefault="00C45739" w:rsidP="00C45739">
      <w:r w:rsidRPr="008625DC">
        <w:t>A competition policy that is fit for purpose must strike a balance between the long</w:t>
      </w:r>
      <w:r w:rsidR="00C74E19" w:rsidRPr="008625DC">
        <w:noBreakHyphen/>
      </w:r>
      <w:r w:rsidRPr="008625DC">
        <w:t>term benefits to consumers of allowing new entrants to establish themselves in a market and protecting the public interest against dishonest or dangerous practices.</w:t>
      </w:r>
    </w:p>
    <w:p w14:paraId="133CBC2F" w14:textId="77777777" w:rsidR="00307A40" w:rsidRPr="008625DC" w:rsidRDefault="00307A40" w:rsidP="00C45739"/>
    <w:tbl>
      <w:tblPr>
        <w:tblW w:w="9072" w:type="dxa"/>
        <w:tblInd w:w="108" w:type="dxa"/>
        <w:shd w:val="clear" w:color="auto" w:fill="E6E6E6"/>
        <w:tblLook w:val="01E0" w:firstRow="1" w:lastRow="1" w:firstColumn="1" w:lastColumn="1" w:noHBand="0" w:noVBand="0"/>
      </w:tblPr>
      <w:tblGrid>
        <w:gridCol w:w="9072"/>
      </w:tblGrid>
      <w:tr w:rsidR="00C45739" w:rsidRPr="008625DC" w14:paraId="5747C04A" w14:textId="77777777" w:rsidTr="00301655">
        <w:tc>
          <w:tcPr>
            <w:tcW w:w="5000" w:type="pct"/>
            <w:shd w:val="clear" w:color="auto" w:fill="E6E6E6"/>
          </w:tcPr>
          <w:p w14:paraId="12B8A71C" w14:textId="331FC281" w:rsidR="00C45739" w:rsidRPr="008625DC" w:rsidRDefault="008371D8" w:rsidP="00301655">
            <w:pPr>
              <w:pStyle w:val="BoxHeading"/>
            </w:pPr>
            <w:r w:rsidRPr="008625DC">
              <w:lastRenderedPageBreak/>
              <w:t xml:space="preserve">Box 1.1: </w:t>
            </w:r>
            <w:r w:rsidR="00C45739" w:rsidRPr="008625DC">
              <w:t xml:space="preserve">Regulatory treatment of the </w:t>
            </w:r>
            <w:r w:rsidR="00C74E19" w:rsidRPr="008625DC">
              <w:t>‘</w:t>
            </w:r>
            <w:r w:rsidR="00C45739" w:rsidRPr="008625DC">
              <w:t>sharing economy</w:t>
            </w:r>
            <w:r w:rsidR="00C74E19" w:rsidRPr="008625DC">
              <w:t>’</w:t>
            </w:r>
            <w:r w:rsidR="00380141" w:rsidRPr="008625DC">
              <w:t xml:space="preserve"> — </w:t>
            </w:r>
            <w:r w:rsidR="00C45739" w:rsidRPr="008625DC">
              <w:t xml:space="preserve">the example of </w:t>
            </w:r>
            <w:r w:rsidR="007A6FEE" w:rsidRPr="008625DC">
              <w:t>Uber</w:t>
            </w:r>
          </w:p>
          <w:p w14:paraId="50EFA0FB" w14:textId="3D909EF9" w:rsidR="00C45739" w:rsidRPr="008625DC" w:rsidRDefault="007A6FEE" w:rsidP="00301655">
            <w:r w:rsidRPr="008625DC">
              <w:t>Uber</w:t>
            </w:r>
            <w:r w:rsidR="00C45739" w:rsidRPr="008625DC">
              <w:t xml:space="preserve"> is a platform for ridesharing services that connects passengers directly with the drivers of vehicles. Cars are reserved by sending a text message or using a smartphone a</w:t>
            </w:r>
            <w:r w:rsidR="00AA380B" w:rsidRPr="008625DC">
              <w:t>p</w:t>
            </w:r>
            <w:r w:rsidR="00F92E05" w:rsidRPr="008625DC">
              <w:t>p.</w:t>
            </w:r>
            <w:r w:rsidR="00AA380B" w:rsidRPr="008625DC">
              <w:t xml:space="preserve"> </w:t>
            </w:r>
          </w:p>
          <w:p w14:paraId="13FFA5C9" w14:textId="4C83C91B" w:rsidR="00C45739" w:rsidRPr="008625DC" w:rsidRDefault="00C45739" w:rsidP="00301655">
            <w:r w:rsidRPr="008625DC">
              <w:t xml:space="preserve">This type of </w:t>
            </w:r>
            <w:r w:rsidR="00C74E19" w:rsidRPr="008625DC">
              <w:t>‘</w:t>
            </w:r>
            <w:r w:rsidRPr="008625DC">
              <w:t>on</w:t>
            </w:r>
            <w:r w:rsidR="00C74E19" w:rsidRPr="008625DC">
              <w:noBreakHyphen/>
            </w:r>
            <w:r w:rsidRPr="008625DC">
              <w:t>demand ridesharing</w:t>
            </w:r>
            <w:r w:rsidR="00C74E19" w:rsidRPr="008625DC">
              <w:t>’</w:t>
            </w:r>
            <w:r w:rsidRPr="008625DC">
              <w:t xml:space="preserve"> was not envisaged when laws governing the taxi industry were drawn u</w:t>
            </w:r>
            <w:r w:rsidR="00AA380B" w:rsidRPr="008625DC">
              <w:t>p</w:t>
            </w:r>
            <w:r w:rsidR="000E60C4" w:rsidRPr="008625DC">
              <w:t>.</w:t>
            </w:r>
            <w:r w:rsidR="00AA380B" w:rsidRPr="008625DC">
              <w:t xml:space="preserve"> </w:t>
            </w:r>
            <w:r w:rsidRPr="008625DC">
              <w:t xml:space="preserve">The regulatory response to this innovative development has varied across jurisdictions. </w:t>
            </w:r>
          </w:p>
          <w:p w14:paraId="5187D960" w14:textId="2F96978E" w:rsidR="00C45739" w:rsidRPr="008625DC" w:rsidRDefault="00C45739" w:rsidP="00301655">
            <w:r w:rsidRPr="008625DC">
              <w:t xml:space="preserve">Internationally, the response to </w:t>
            </w:r>
            <w:r w:rsidR="007A6FEE" w:rsidRPr="008625DC">
              <w:t>Uber</w:t>
            </w:r>
            <w:r w:rsidRPr="008625DC">
              <w:t xml:space="preserve"> has been quite different from that in Australia. California was the first jurisdiction to recognise and regulate services such as </w:t>
            </w:r>
            <w:r w:rsidR="007A6FEE" w:rsidRPr="008625DC">
              <w:t>Uber</w:t>
            </w:r>
            <w:r w:rsidRPr="008625DC">
              <w:t xml:space="preserve">, creating a new category of regulation for </w:t>
            </w:r>
            <w:r w:rsidR="00C74E19" w:rsidRPr="008625DC">
              <w:t>‘</w:t>
            </w:r>
            <w:r w:rsidRPr="008625DC">
              <w:t>transportation network companies</w:t>
            </w:r>
            <w:r w:rsidR="00C74E19" w:rsidRPr="008625DC">
              <w:t>’</w:t>
            </w:r>
            <w:r w:rsidRPr="008625DC">
              <w:t xml:space="preserve"> (TNCs). The regulation of TNCs covers driver background checks, driver training, drug and alcohol policies, minimum insurance coverage and company licensing.</w:t>
            </w:r>
          </w:p>
          <w:p w14:paraId="63AB0B0B" w14:textId="37667536" w:rsidR="00C45739" w:rsidRPr="008625DC" w:rsidRDefault="00C45739" w:rsidP="00301655">
            <w:r w:rsidRPr="008625DC">
              <w:t xml:space="preserve">Australian regulators have yet to demonstrate such flexibility and openness to new modes of business. Transport authorities in NSW have declared </w:t>
            </w:r>
            <w:r w:rsidR="007A6FEE" w:rsidRPr="008625DC">
              <w:t>Uber</w:t>
            </w:r>
            <w:r w:rsidRPr="008625DC">
              <w:t xml:space="preserve">X </w:t>
            </w:r>
            <w:r w:rsidR="00C25D9F" w:rsidRPr="008625DC">
              <w:t>(Uber</w:t>
            </w:r>
            <w:r w:rsidR="00C74E19" w:rsidRPr="008625DC">
              <w:t>’</w:t>
            </w:r>
            <w:r w:rsidR="00C25D9F" w:rsidRPr="008625DC">
              <w:t xml:space="preserve">s ridesharing service) </w:t>
            </w:r>
            <w:r w:rsidRPr="008625DC">
              <w:t>non</w:t>
            </w:r>
            <w:r w:rsidR="00C74E19" w:rsidRPr="008625DC">
              <w:noBreakHyphen/>
            </w:r>
            <w:r w:rsidRPr="008625DC">
              <w:t xml:space="preserve">compliant with the </w:t>
            </w:r>
            <w:r w:rsidRPr="008625DC">
              <w:rPr>
                <w:i/>
              </w:rPr>
              <w:t>Passenger Transport Act 1990</w:t>
            </w:r>
            <w:r w:rsidRPr="008625DC">
              <w:t>. The Panel understands, however, that the NSW Government is considering its response to ridesharing services, assessing the benefits to consumers alongside the impact on the taxi industry.</w:t>
            </w:r>
          </w:p>
          <w:p w14:paraId="33D396AA" w14:textId="3C8697EE" w:rsidR="00C45739" w:rsidRPr="008625DC" w:rsidRDefault="00C45739" w:rsidP="00573BB7">
            <w:pPr>
              <w:pStyle w:val="BoxText"/>
              <w:spacing w:after="240"/>
            </w:pPr>
            <w:r w:rsidRPr="008625DC">
              <w:t xml:space="preserve">The Victorian Taxi Service Commission has fined </w:t>
            </w:r>
            <w:r w:rsidR="007A6FEE" w:rsidRPr="008625DC">
              <w:t>Uber</w:t>
            </w:r>
            <w:r w:rsidRPr="008625DC">
              <w:t xml:space="preserve"> drivers in that </w:t>
            </w:r>
            <w:r w:rsidR="00476153" w:rsidRPr="008625DC">
              <w:t>S</w:t>
            </w:r>
            <w:r w:rsidRPr="008625DC">
              <w:t xml:space="preserve">tate. Fines </w:t>
            </w:r>
            <w:r w:rsidR="00EC1973" w:rsidRPr="008625DC">
              <w:t>of up to $1,700 per driver have been issued,</w:t>
            </w:r>
            <w:r w:rsidRPr="008625DC">
              <w:t xml:space="preserve"> but </w:t>
            </w:r>
            <w:r w:rsidR="007A6FEE" w:rsidRPr="008625DC">
              <w:t>Uber</w:t>
            </w:r>
            <w:r w:rsidRPr="008625DC">
              <w:t xml:space="preserve"> has pledged to pay the fines on behalf of its drivers.</w:t>
            </w:r>
            <w:r w:rsidR="00B155FD" w:rsidRPr="008625DC">
              <w:t xml:space="preserve"> </w:t>
            </w:r>
            <w:r w:rsidR="00C47144" w:rsidRPr="008625DC">
              <w:t>The South Australian Government has stated that those providing transport services that do not comply with government regulations will face severe financial penalties.</w:t>
            </w:r>
          </w:p>
        </w:tc>
      </w:tr>
    </w:tbl>
    <w:p w14:paraId="3F938643" w14:textId="526EF158" w:rsidR="00C45739" w:rsidRPr="008625DC" w:rsidRDefault="00C45739" w:rsidP="00FB084C">
      <w:pPr>
        <w:pStyle w:val="Heading3"/>
      </w:pPr>
      <w:bookmarkStart w:id="1102" w:name="_Toc396118985"/>
      <w:bookmarkStart w:id="1103" w:name="_Toc397413247"/>
      <w:bookmarkStart w:id="1104" w:name="_Toc397413394"/>
      <w:r w:rsidRPr="008625DC">
        <w:t xml:space="preserve">Promoting the efficient </w:t>
      </w:r>
      <w:r w:rsidR="001005EC" w:rsidRPr="008625DC">
        <w:t xml:space="preserve">investment in and </w:t>
      </w:r>
      <w:r w:rsidRPr="008625DC">
        <w:t>use of infrastructure and natural resources</w:t>
      </w:r>
      <w:bookmarkEnd w:id="1102"/>
      <w:bookmarkEnd w:id="1103"/>
      <w:bookmarkEnd w:id="1104"/>
    </w:p>
    <w:p w14:paraId="19927CC1" w14:textId="18C5EDE1" w:rsidR="00C45739" w:rsidRPr="008625DC" w:rsidRDefault="00C45739" w:rsidP="00C45739">
      <w:r w:rsidRPr="008625DC">
        <w:t xml:space="preserve">Australia faces an unprecedented opportunity to thrive over coming decades as the middle class </w:t>
      </w:r>
      <w:r w:rsidR="00CE196D" w:rsidRPr="008625DC">
        <w:t xml:space="preserve">in Asia and beyond </w:t>
      </w:r>
      <w:r w:rsidRPr="008625DC">
        <w:t xml:space="preserve">burgeons. However, optimising our national interest will require wise and efficient </w:t>
      </w:r>
      <w:r w:rsidR="001005EC" w:rsidRPr="008625DC">
        <w:t xml:space="preserve">investment in and </w:t>
      </w:r>
      <w:r w:rsidRPr="008625DC">
        <w:t xml:space="preserve">use of our existing and planned physical and electronic infrastructure, and policies that maximise the return on our natural resources. </w:t>
      </w:r>
    </w:p>
    <w:p w14:paraId="23C8A55F" w14:textId="12DB9FBD" w:rsidR="00C45739" w:rsidRPr="008625DC" w:rsidRDefault="00C45739" w:rsidP="00C45739">
      <w:r w:rsidRPr="008625DC">
        <w:t xml:space="preserve">To improve our standard of living, quality of life and sustain high income growth, we need to move goods and services rapidly and responsively across the nation and also across our borders. We need to ensure that </w:t>
      </w:r>
      <w:r w:rsidR="001005EC" w:rsidRPr="008625DC">
        <w:t xml:space="preserve">there is adequate investment in </w:t>
      </w:r>
      <w:r w:rsidRPr="008625DC">
        <w:t>our land, sea and air transport systems, and telecommunications and electronic commerce infrastructure</w:t>
      </w:r>
      <w:r w:rsidR="001005EC" w:rsidRPr="008625DC">
        <w:t>, and that they</w:t>
      </w:r>
      <w:r w:rsidRPr="008625DC">
        <w:t xml:space="preserve"> are used efficiently by those who need them, when they need them. </w:t>
      </w:r>
    </w:p>
    <w:p w14:paraId="637CFC42" w14:textId="7F9DBB3B" w:rsidR="00C45739" w:rsidRPr="008625DC" w:rsidRDefault="00C45739" w:rsidP="00C45739">
      <w:r w:rsidRPr="008625DC">
        <w:t xml:space="preserve">A competition policy that is fit for purpose facilitates mechanisms to signal the </w:t>
      </w:r>
      <w:r w:rsidR="001005EC" w:rsidRPr="008625DC">
        <w:t>efficient</w:t>
      </w:r>
      <w:r w:rsidRPr="008625DC">
        <w:t xml:space="preserve"> </w:t>
      </w:r>
      <w:r w:rsidR="001005EC" w:rsidRPr="008625DC">
        <w:t xml:space="preserve">investment in and </w:t>
      </w:r>
      <w:r w:rsidRPr="008625DC">
        <w:t xml:space="preserve">use of our infrastructure. The original NCP framework introduced price signals to guide </w:t>
      </w:r>
      <w:r w:rsidR="001005EC" w:rsidRPr="008625DC">
        <w:t>investment in and</w:t>
      </w:r>
      <w:r w:rsidRPr="008625DC">
        <w:t xml:space="preserve"> use of electricity </w:t>
      </w:r>
      <w:r w:rsidR="000A2DBF" w:rsidRPr="008625DC">
        <w:t xml:space="preserve">and </w:t>
      </w:r>
      <w:r w:rsidRPr="008625DC">
        <w:t xml:space="preserve">gas, and telecommunications networks. Steps forward were also made in our rail and air infrastructure, but much more remains to be done across all transport modes, including roads, and infrastructure more broadly. </w:t>
      </w:r>
    </w:p>
    <w:p w14:paraId="4CE66C82" w14:textId="65C9C1AC" w:rsidR="00C45739" w:rsidRPr="008625DC" w:rsidRDefault="00C45739" w:rsidP="00C45739">
      <w:r w:rsidRPr="008625DC">
        <w:t>Pricing or other signals that guide the allocation of our natural resources towards their highest value use will optimise their potential to support Australian living standards into the future. In this regard, we need to ensure that planning, zoning and environmental regulations governing the use of our land and other natural resources, including water, are sensibly applied.</w:t>
      </w:r>
    </w:p>
    <w:p w14:paraId="3EDD8CB8" w14:textId="73CCF7E3" w:rsidR="00C45739" w:rsidRPr="008625DC" w:rsidRDefault="00C45739" w:rsidP="00FB084C">
      <w:pPr>
        <w:pStyle w:val="Heading3"/>
      </w:pPr>
      <w:bookmarkStart w:id="1105" w:name="_Toc396118987"/>
      <w:bookmarkStart w:id="1106" w:name="_Toc397413248"/>
      <w:bookmarkStart w:id="1107" w:name="_Toc397413395"/>
      <w:r w:rsidRPr="008625DC">
        <w:lastRenderedPageBreak/>
        <w:t>Competition laws and regulat</w:t>
      </w:r>
      <w:r w:rsidR="001005EC" w:rsidRPr="008625DC">
        <w:t>ions</w:t>
      </w:r>
      <w:r w:rsidRPr="008625DC">
        <w:t xml:space="preserve"> that are clear, predictable, and reliable</w:t>
      </w:r>
      <w:bookmarkEnd w:id="1105"/>
      <w:bookmarkEnd w:id="1106"/>
      <w:bookmarkEnd w:id="1107"/>
      <w:r w:rsidRPr="008625DC">
        <w:t xml:space="preserve"> </w:t>
      </w:r>
    </w:p>
    <w:p w14:paraId="546C5259" w14:textId="30E25D1D" w:rsidR="00C45739" w:rsidRPr="008625DC" w:rsidRDefault="00C45739" w:rsidP="00C45739">
      <w:r w:rsidRPr="008625DC">
        <w:t xml:space="preserve">Australians expect consumers to be dealt with fairly and on reasonable terms, and businesses to refrain from conduct that damages the competitive process (and ultimately consumers). They expect laws to be </w:t>
      </w:r>
      <w:r w:rsidR="001005EC" w:rsidRPr="008625DC">
        <w:t>clear, predictable and reliable</w:t>
      </w:r>
      <w:r w:rsidRPr="008625DC">
        <w:t xml:space="preserve"> and administered by regulators (and applied by the judicial system) without fear or favour. </w:t>
      </w:r>
      <w:r w:rsidR="001005EC" w:rsidRPr="008625DC">
        <w:t>Our</w:t>
      </w:r>
      <w:r w:rsidR="001005EC" w:rsidRPr="008625DC" w:rsidDel="001005EC">
        <w:t xml:space="preserve"> </w:t>
      </w:r>
      <w:r w:rsidR="001005EC" w:rsidRPr="008625DC">
        <w:t>competition law must ensure that market participants, big and small, can compete in a way that allows the most efficient and responsive players to thrive.</w:t>
      </w:r>
    </w:p>
    <w:p w14:paraId="5AA00290" w14:textId="0B398B34" w:rsidR="00C45739" w:rsidRPr="008625DC" w:rsidRDefault="00C45739" w:rsidP="00C45739">
      <w:r w:rsidRPr="008625DC">
        <w:t xml:space="preserve">These principles are particularly important where market participants differ in their capacity or financial means to engage with the legal or regulatory process. </w:t>
      </w:r>
      <w:r w:rsidR="001005EC" w:rsidRPr="008625DC">
        <w:t>D</w:t>
      </w:r>
      <w:r w:rsidRPr="008625DC">
        <w:t xml:space="preserve">ifficulty in accessing justice in matters of competition policy or consumer protection can undermine broader confidence in our regulatory institutions. </w:t>
      </w:r>
    </w:p>
    <w:p w14:paraId="478F2D2C" w14:textId="22110EE9" w:rsidR="00C45739" w:rsidRPr="008625DC" w:rsidRDefault="00C45739" w:rsidP="00C45739">
      <w:r w:rsidRPr="008625DC">
        <w:t xml:space="preserve">There is a natural tension between designing specific laws and regulations to deal with problems that emerge at a point in time and building in flexibility to cope with changing market circumstances as they arise. Laws that are less predictable in their immediate application may nevertheless prove more reliable over time as they are adapted through the judicial process to encompass novel developments. </w:t>
      </w:r>
    </w:p>
    <w:p w14:paraId="5AC4C92C" w14:textId="62AEE3E3" w:rsidR="00C45739" w:rsidRPr="008625DC" w:rsidRDefault="00C45739" w:rsidP="00C45739">
      <w:r w:rsidRPr="008625DC">
        <w:t>This is especially relevant when new technologies are rapidly altering market conditions faced by businesses and consumers. The more tightly specified our laws, the more likely they are to lag behind developments in markets and possibly act against the long</w:t>
      </w:r>
      <w:r w:rsidR="00C74E19" w:rsidRPr="008625DC">
        <w:noBreakHyphen/>
      </w:r>
      <w:r w:rsidRPr="008625DC">
        <w:t>term interests of consumers.</w:t>
      </w:r>
    </w:p>
    <w:p w14:paraId="4A66952B" w14:textId="562EA831" w:rsidR="00C45739" w:rsidRPr="008625DC" w:rsidRDefault="00C45739" w:rsidP="00C45739">
      <w:r w:rsidRPr="008625DC">
        <w:t xml:space="preserve">A competition policy that is fit for purpose should enshrine competition law that is sufficiently general in its design to accommodate evolving ways of doing business or engaging with consumers, but sufficiently reliable and predictable in its application </w:t>
      </w:r>
      <w:r w:rsidR="00EC324B" w:rsidRPr="008625DC">
        <w:t>so as</w:t>
      </w:r>
      <w:r w:rsidRPr="008625DC">
        <w:t xml:space="preserve"> not to discourage innovation and entrepreneurship.</w:t>
      </w:r>
    </w:p>
    <w:p w14:paraId="5C7579F2" w14:textId="05B02C31" w:rsidR="00C45739" w:rsidRPr="008625DC" w:rsidRDefault="00955703" w:rsidP="00FB084C">
      <w:pPr>
        <w:pStyle w:val="Heading3"/>
      </w:pPr>
      <w:bookmarkStart w:id="1108" w:name="_Toc396118988"/>
      <w:bookmarkStart w:id="1109" w:name="_Toc397413249"/>
      <w:bookmarkStart w:id="1110" w:name="_Toc397413396"/>
      <w:r w:rsidRPr="008625DC">
        <w:t>S</w:t>
      </w:r>
      <w:r w:rsidR="00C45739" w:rsidRPr="008625DC">
        <w:t xml:space="preserve">ecuring </w:t>
      </w:r>
      <w:r w:rsidR="005B28E5" w:rsidRPr="008625DC">
        <w:t xml:space="preserve">necessary </w:t>
      </w:r>
      <w:r w:rsidR="00C45739" w:rsidRPr="008625DC">
        <w:t>standards of access and equity</w:t>
      </w:r>
      <w:bookmarkEnd w:id="1108"/>
      <w:bookmarkEnd w:id="1109"/>
      <w:bookmarkEnd w:id="1110"/>
    </w:p>
    <w:p w14:paraId="21D42543" w14:textId="68DA41E6" w:rsidR="00C45739" w:rsidRPr="008625DC" w:rsidRDefault="00C45739" w:rsidP="00C45739">
      <w:bookmarkStart w:id="1111" w:name="_Toc396118989"/>
      <w:bookmarkStart w:id="1112" w:name="_Toc396123301"/>
      <w:bookmarkStart w:id="1113" w:name="_Toc396123820"/>
      <w:bookmarkStart w:id="1114" w:name="_Toc396124436"/>
      <w:bookmarkStart w:id="1115" w:name="_Toc396127955"/>
      <w:bookmarkStart w:id="1116" w:name="_Toc396129847"/>
      <w:bookmarkStart w:id="1117" w:name="_Toc396129959"/>
      <w:bookmarkStart w:id="1118" w:name="_Toc396130723"/>
      <w:bookmarkStart w:id="1119" w:name="_Toc396131502"/>
      <w:bookmarkStart w:id="1120" w:name="_Toc396131807"/>
      <w:bookmarkStart w:id="1121" w:name="_Toc396132326"/>
      <w:r w:rsidRPr="008625DC">
        <w:t>Australians expect the benefits and opportunities afforded by a well</w:t>
      </w:r>
      <w:r w:rsidR="00C74E19" w:rsidRPr="008625DC">
        <w:noBreakHyphen/>
      </w:r>
      <w:r w:rsidRPr="008625DC">
        <w:t>functioning market economy to be enjoyed widely, not reserved for the privileged few, or those with the necessary information and resources to exploit the benefits of choice or responsiveness.</w:t>
      </w:r>
    </w:p>
    <w:p w14:paraId="62A647D7" w14:textId="462A9398" w:rsidR="00C45739" w:rsidRPr="008625DC" w:rsidRDefault="001005EC" w:rsidP="00C45739">
      <w:r w:rsidRPr="008625DC">
        <w:t>A</w:t>
      </w:r>
      <w:r w:rsidR="00C45739" w:rsidRPr="008625DC">
        <w:t xml:space="preserve">ccess and equity dictate </w:t>
      </w:r>
      <w:r w:rsidR="002F78E3" w:rsidRPr="008625DC">
        <w:t xml:space="preserve">necessary </w:t>
      </w:r>
      <w:r w:rsidR="00C45739" w:rsidRPr="008625DC">
        <w:t xml:space="preserve">standards </w:t>
      </w:r>
      <w:r w:rsidR="00573BB7" w:rsidRPr="008625DC">
        <w:t xml:space="preserve">and genuine opportunities </w:t>
      </w:r>
      <w:r w:rsidR="00C45739" w:rsidRPr="008625DC">
        <w:t xml:space="preserve">that all consumers should be able to enjoy, so that genuine choice, responsiveness and innovation are available to all. This is particularly important for vulnerable consumers, </w:t>
      </w:r>
      <w:r w:rsidR="005B28E5" w:rsidRPr="008625DC">
        <w:t xml:space="preserve">and </w:t>
      </w:r>
      <w:r w:rsidR="00C45739" w:rsidRPr="008625DC">
        <w:t>especially in their dealings with government.</w:t>
      </w:r>
    </w:p>
    <w:p w14:paraId="201EEE68" w14:textId="77777777" w:rsidR="00C45739" w:rsidRPr="008625DC" w:rsidRDefault="00C45739" w:rsidP="00C45739">
      <w:r w:rsidRPr="008625DC">
        <w:t>Many government services have not previously been exposed to competition because of concerns about the impact on vulnerable consumers, especially in regard to access (usually around pricing but also quality) and outcomes that may accentuate inequality.</w:t>
      </w:r>
    </w:p>
    <w:p w14:paraId="5DACC374" w14:textId="38DA9503" w:rsidR="00C45739" w:rsidRPr="008625DC" w:rsidRDefault="00C45739" w:rsidP="00C45739">
      <w:r w:rsidRPr="008625DC">
        <w:t>As governments around the world have sought to improve their service delivery, many have explored new forms of contracting or commissioning service provision from providers in the private for</w:t>
      </w:r>
      <w:r w:rsidR="00C74E19" w:rsidRPr="008625DC">
        <w:noBreakHyphen/>
      </w:r>
      <w:r w:rsidRPr="008625DC">
        <w:t>profit or not</w:t>
      </w:r>
      <w:r w:rsidR="00C74E19" w:rsidRPr="008625DC">
        <w:noBreakHyphen/>
      </w:r>
      <w:r w:rsidRPr="008625DC">
        <w:t>for</w:t>
      </w:r>
      <w:r w:rsidR="00C74E19" w:rsidRPr="008625DC">
        <w:noBreakHyphen/>
      </w:r>
      <w:r w:rsidRPr="008625DC">
        <w:t>profit sectors. As experience with improved contract and market design has evolved, important lessons have been learnt and improvements made. There is much of value here from which Australian governments can profitably draw.</w:t>
      </w:r>
    </w:p>
    <w:p w14:paraId="310E53D9" w14:textId="669632DD" w:rsidR="00EB3FDE" w:rsidRPr="008625DC" w:rsidRDefault="00C45739" w:rsidP="00476E64">
      <w:pPr>
        <w:sectPr w:rsidR="00EB3FDE" w:rsidRPr="008625DC" w:rsidSect="00AA577F">
          <w:footerReference w:type="default" r:id="rId39"/>
          <w:pgSz w:w="11906" w:h="16838" w:code="9"/>
          <w:pgMar w:top="1418" w:right="1418" w:bottom="1418" w:left="1418" w:header="709" w:footer="709" w:gutter="0"/>
          <w:cols w:space="708"/>
          <w:docGrid w:linePitch="360"/>
        </w:sectPr>
      </w:pPr>
      <w:r w:rsidRPr="008625DC">
        <w:t>A competition policy that is fit for purpose recognises the need for all Australians to share in the benefits of choice, responsiveness and innovation, especially but not exclusively in government services.</w:t>
      </w:r>
      <w:bookmarkEnd w:id="1111"/>
      <w:bookmarkEnd w:id="1112"/>
      <w:bookmarkEnd w:id="1113"/>
      <w:bookmarkEnd w:id="1114"/>
      <w:bookmarkEnd w:id="1115"/>
      <w:bookmarkEnd w:id="1116"/>
      <w:bookmarkEnd w:id="1117"/>
      <w:bookmarkEnd w:id="1118"/>
      <w:bookmarkEnd w:id="1119"/>
      <w:bookmarkEnd w:id="1120"/>
      <w:bookmarkEnd w:id="1121"/>
      <w:r w:rsidR="00276F84" w:rsidRPr="008625DC">
        <w:br w:type="page"/>
      </w:r>
    </w:p>
    <w:p w14:paraId="68A6C846" w14:textId="77777777" w:rsidR="00BB2D5C" w:rsidRPr="008625DC" w:rsidRDefault="00BB2D5C" w:rsidP="00BB2D5C">
      <w:pPr>
        <w:pStyle w:val="PartHeading"/>
      </w:pPr>
      <w:bookmarkStart w:id="1122" w:name="_Toc398827304"/>
      <w:bookmarkStart w:id="1123" w:name="_Toc398827498"/>
      <w:bookmarkStart w:id="1124" w:name="_Toc396586183"/>
      <w:bookmarkStart w:id="1125" w:name="_Toc396397362"/>
      <w:bookmarkStart w:id="1126" w:name="_Toc395867673"/>
      <w:bookmarkStart w:id="1127" w:name="_Toc395868586"/>
      <w:bookmarkStart w:id="1128" w:name="_Toc395868805"/>
      <w:bookmarkStart w:id="1129" w:name="_Toc395878967"/>
      <w:bookmarkStart w:id="1130" w:name="_Toc395879184"/>
      <w:bookmarkStart w:id="1131" w:name="_Toc395882091"/>
      <w:bookmarkStart w:id="1132" w:name="_Toc395882308"/>
      <w:bookmarkStart w:id="1133" w:name="_Toc395882422"/>
      <w:bookmarkStart w:id="1134" w:name="_Toc395882639"/>
      <w:bookmarkStart w:id="1135" w:name="_Toc395880586"/>
      <w:bookmarkStart w:id="1136" w:name="_Toc395880917"/>
      <w:bookmarkStart w:id="1137" w:name="_Toc395881475"/>
      <w:bookmarkStart w:id="1138" w:name="_Toc395883860"/>
      <w:bookmarkStart w:id="1139" w:name="_Toc395884077"/>
      <w:bookmarkStart w:id="1140" w:name="_Toc395880815"/>
      <w:bookmarkStart w:id="1141" w:name="_Toc395884522"/>
      <w:bookmarkStart w:id="1142" w:name="_Toc395884739"/>
      <w:bookmarkStart w:id="1143" w:name="_Toc395883231"/>
      <w:bookmarkStart w:id="1144" w:name="_Toc395883448"/>
      <w:bookmarkStart w:id="1145" w:name="_Toc395883561"/>
      <w:bookmarkStart w:id="1146" w:name="_Toc395883778"/>
      <w:bookmarkStart w:id="1147" w:name="_Toc395884863"/>
      <w:bookmarkStart w:id="1148" w:name="_Toc396123888"/>
      <w:bookmarkStart w:id="1149" w:name="_Toc396130790"/>
      <w:bookmarkStart w:id="1150" w:name="_Toc396136368"/>
      <w:bookmarkStart w:id="1151" w:name="_Toc396138822"/>
      <w:bookmarkStart w:id="1152" w:name="_Toc396144083"/>
      <w:bookmarkStart w:id="1153" w:name="_Toc396145592"/>
      <w:bookmarkStart w:id="1154" w:name="_Toc396145736"/>
      <w:bookmarkStart w:id="1155" w:name="_Toc396147558"/>
      <w:bookmarkStart w:id="1156" w:name="_Toc396147844"/>
      <w:bookmarkStart w:id="1157" w:name="_Toc396149100"/>
      <w:bookmarkStart w:id="1158" w:name="_Toc396148813"/>
      <w:bookmarkStart w:id="1159" w:name="_Toc396149594"/>
      <w:bookmarkStart w:id="1160" w:name="_Toc396149240"/>
      <w:bookmarkStart w:id="1161" w:name="_Toc396150023"/>
      <w:bookmarkStart w:id="1162" w:name="_Toc396149948"/>
      <w:bookmarkStart w:id="1163" w:name="_Toc396149698"/>
      <w:bookmarkStart w:id="1164" w:name="_Toc396150539"/>
      <w:bookmarkStart w:id="1165" w:name="_Toc396151428"/>
      <w:bookmarkStart w:id="1166" w:name="_Toc396151722"/>
      <w:bookmarkStart w:id="1167" w:name="_Toc396202439"/>
      <w:bookmarkStart w:id="1168" w:name="_Toc396202734"/>
      <w:bookmarkStart w:id="1169" w:name="_Toc396206647"/>
      <w:bookmarkStart w:id="1170" w:name="_Toc396206941"/>
      <w:bookmarkStart w:id="1171" w:name="_Toc396209475"/>
      <w:bookmarkStart w:id="1172" w:name="_Toc396209769"/>
      <w:bookmarkStart w:id="1173" w:name="_Toc396211899"/>
      <w:bookmarkStart w:id="1174" w:name="_Toc396212193"/>
      <w:bookmarkStart w:id="1175" w:name="_Toc396213243"/>
      <w:bookmarkStart w:id="1176" w:name="_Toc396213535"/>
      <w:bookmarkStart w:id="1177" w:name="_Toc396214521"/>
      <w:bookmarkStart w:id="1178" w:name="_Toc396214811"/>
      <w:bookmarkStart w:id="1179" w:name="_Toc396226633"/>
      <w:bookmarkStart w:id="1180" w:name="_Toc396226922"/>
      <w:bookmarkStart w:id="1181" w:name="_Toc396228833"/>
      <w:bookmarkStart w:id="1182" w:name="_Toc396229128"/>
      <w:bookmarkStart w:id="1183" w:name="_Toc396230770"/>
      <w:bookmarkStart w:id="1184" w:name="_Toc396231912"/>
      <w:bookmarkStart w:id="1185" w:name="_Toc396233255"/>
      <w:bookmarkStart w:id="1186" w:name="_Toc396233552"/>
      <w:bookmarkStart w:id="1187" w:name="_Toc396234075"/>
      <w:bookmarkStart w:id="1188" w:name="_Toc396234372"/>
      <w:bookmarkStart w:id="1189" w:name="_Toc396234485"/>
      <w:bookmarkStart w:id="1190" w:name="_Toc396236219"/>
      <w:bookmarkStart w:id="1191" w:name="_Toc396235997"/>
      <w:bookmarkStart w:id="1192" w:name="_Toc396304650"/>
      <w:bookmarkStart w:id="1193" w:name="_Toc396815098"/>
      <w:bookmarkStart w:id="1194" w:name="_Toc396821047"/>
      <w:bookmarkStart w:id="1195" w:name="_Toc396821243"/>
      <w:bookmarkStart w:id="1196" w:name="_Toc396821655"/>
      <w:bookmarkStart w:id="1197" w:name="_Toc396827505"/>
      <w:bookmarkStart w:id="1198" w:name="_Toc396828476"/>
      <w:bookmarkStart w:id="1199" w:name="_Toc396828586"/>
      <w:bookmarkStart w:id="1200" w:name="_Toc396837975"/>
      <w:bookmarkStart w:id="1201" w:name="_Toc396838373"/>
      <w:bookmarkStart w:id="1202" w:name="_Toc396904106"/>
      <w:bookmarkStart w:id="1203" w:name="_Toc396904696"/>
      <w:bookmarkStart w:id="1204" w:name="_Toc396907530"/>
      <w:bookmarkStart w:id="1205" w:name="_Toc396912449"/>
      <w:bookmarkStart w:id="1206" w:name="_Toc396914429"/>
      <w:bookmarkStart w:id="1207" w:name="_Toc396915313"/>
      <w:bookmarkStart w:id="1208" w:name="_Toc396915707"/>
      <w:bookmarkStart w:id="1209" w:name="_Toc396921018"/>
      <w:bookmarkStart w:id="1210" w:name="_Toc396924358"/>
      <w:bookmarkStart w:id="1211" w:name="_Toc396925052"/>
      <w:bookmarkStart w:id="1212" w:name="_Toc396992172"/>
      <w:bookmarkStart w:id="1213" w:name="_Toc396992751"/>
      <w:bookmarkStart w:id="1214" w:name="_Toc396994415"/>
      <w:bookmarkStart w:id="1215" w:name="_Toc396998026"/>
      <w:bookmarkStart w:id="1216" w:name="_Toc397002186"/>
      <w:bookmarkStart w:id="1217" w:name="_Toc397008663"/>
      <w:bookmarkStart w:id="1218" w:name="_Toc397008881"/>
      <w:bookmarkStart w:id="1219" w:name="_Toc397011553"/>
      <w:bookmarkStart w:id="1220" w:name="_Toc397012614"/>
      <w:bookmarkStart w:id="1221" w:name="_Toc397014956"/>
      <w:bookmarkStart w:id="1222" w:name="_Toc397015443"/>
      <w:bookmarkStart w:id="1223" w:name="_Toc397070514"/>
      <w:bookmarkStart w:id="1224" w:name="_Toc397413252"/>
      <w:bookmarkStart w:id="1225" w:name="_Toc397413399"/>
      <w:bookmarkStart w:id="1226" w:name="_Toc397427984"/>
      <w:bookmarkStart w:id="1227" w:name="_Toc397439372"/>
      <w:bookmarkStart w:id="1228" w:name="_Toc397439542"/>
      <w:bookmarkStart w:id="1229" w:name="_Toc397439798"/>
      <w:bookmarkStart w:id="1230" w:name="_Toc397440100"/>
      <w:bookmarkStart w:id="1231" w:name="_Toc397441729"/>
      <w:bookmarkStart w:id="1232" w:name="_Toc397517431"/>
      <w:bookmarkStart w:id="1233" w:name="_Toc397522696"/>
      <w:bookmarkStart w:id="1234" w:name="_Toc397526114"/>
      <w:bookmarkStart w:id="1235" w:name="_Toc397528429"/>
      <w:bookmarkStart w:id="1236" w:name="_Toc397528904"/>
      <w:bookmarkStart w:id="1237" w:name="_Toc397601901"/>
      <w:bookmarkStart w:id="1238" w:name="_Toc397602636"/>
      <w:bookmarkStart w:id="1239" w:name="_Toc397605765"/>
      <w:bookmarkStart w:id="1240" w:name="_Toc397614909"/>
      <w:bookmarkStart w:id="1241" w:name="_Toc397616352"/>
      <w:bookmarkStart w:id="1242" w:name="_Toc397616746"/>
      <w:bookmarkStart w:id="1243" w:name="_Toc397679156"/>
      <w:bookmarkStart w:id="1244" w:name="_Toc397688044"/>
      <w:bookmarkStart w:id="1245" w:name="_Toc397689260"/>
      <w:bookmarkStart w:id="1246" w:name="_Toc397694540"/>
      <w:bookmarkStart w:id="1247" w:name="_Toc397696381"/>
      <w:bookmarkStart w:id="1248" w:name="_Toc397697115"/>
      <w:bookmarkStart w:id="1249" w:name="_Toc397698402"/>
      <w:bookmarkStart w:id="1250" w:name="_Toc397699768"/>
      <w:bookmarkStart w:id="1251" w:name="_Toc397700222"/>
      <w:bookmarkStart w:id="1252" w:name="_Toc397936614"/>
      <w:bookmarkStart w:id="1253" w:name="_Toc397936734"/>
      <w:bookmarkStart w:id="1254" w:name="_Toc397945742"/>
      <w:bookmarkStart w:id="1255" w:name="_Toc397945889"/>
      <w:bookmarkStart w:id="1256" w:name="_Toc397946915"/>
      <w:bookmarkStart w:id="1257" w:name="_Toc397948034"/>
      <w:bookmarkStart w:id="1258" w:name="_Toc397958440"/>
      <w:bookmarkStart w:id="1259" w:name="_Toc397958682"/>
      <w:bookmarkStart w:id="1260" w:name="_Toc397959097"/>
      <w:bookmarkStart w:id="1261" w:name="_Toc397962950"/>
      <w:bookmarkStart w:id="1262" w:name="_Toc397963316"/>
      <w:bookmarkStart w:id="1263" w:name="_Toc397965393"/>
      <w:bookmarkStart w:id="1264" w:name="_Toc398197331"/>
      <w:bookmarkStart w:id="1265" w:name="_Toc398201548"/>
      <w:bookmarkStart w:id="1266" w:name="_Toc398207153"/>
      <w:bookmarkStart w:id="1267" w:name="_Toc398210426"/>
      <w:bookmarkStart w:id="1268" w:name="_Toc398210940"/>
      <w:bookmarkStart w:id="1269" w:name="_Toc398211077"/>
      <w:bookmarkStart w:id="1270" w:name="_Toc398219748"/>
      <w:bookmarkStart w:id="1271" w:name="_Toc398220123"/>
      <w:bookmarkStart w:id="1272" w:name="_Toc398220510"/>
      <w:bookmarkStart w:id="1273" w:name="_Toc398221588"/>
      <w:bookmarkStart w:id="1274" w:name="_Toc398222274"/>
      <w:bookmarkStart w:id="1275" w:name="_Toc398222586"/>
      <w:bookmarkStart w:id="1276" w:name="_Toc398223003"/>
      <w:bookmarkStart w:id="1277" w:name="_Toc398223382"/>
      <w:bookmarkStart w:id="1278" w:name="_Toc398223509"/>
      <w:bookmarkStart w:id="1279" w:name="_Toc398224317"/>
      <w:bookmarkStart w:id="1280" w:name="_Toc398225654"/>
      <w:bookmarkStart w:id="1281" w:name="_Toc398225779"/>
      <w:bookmarkStart w:id="1282" w:name="_Toc398281266"/>
      <w:bookmarkStart w:id="1283" w:name="_Toc398282125"/>
      <w:bookmarkStart w:id="1284" w:name="_Toc398284795"/>
      <w:bookmarkStart w:id="1285" w:name="_Toc398287264"/>
      <w:bookmarkStart w:id="1286" w:name="_Toc398289147"/>
      <w:bookmarkStart w:id="1287" w:name="_Toc398297144"/>
      <w:bookmarkStart w:id="1288" w:name="_Toc398298618"/>
      <w:bookmarkStart w:id="1289" w:name="_Toc398300319"/>
      <w:bookmarkStart w:id="1290" w:name="_Toc398301216"/>
      <w:bookmarkStart w:id="1291" w:name="_Toc398302401"/>
      <w:bookmarkStart w:id="1292" w:name="_Toc398302564"/>
      <w:bookmarkStart w:id="1293" w:name="_Toc398549076"/>
      <w:bookmarkStart w:id="1294" w:name="_Toc398549326"/>
      <w:bookmarkStart w:id="1295" w:name="_Toc398555745"/>
      <w:bookmarkStart w:id="1296" w:name="_Toc398558949"/>
      <w:bookmarkStart w:id="1297" w:name="_Toc398563435"/>
      <w:bookmarkStart w:id="1298" w:name="_Toc398563568"/>
      <w:bookmarkStart w:id="1299" w:name="_Toc398563967"/>
      <w:bookmarkStart w:id="1300" w:name="Ch2"/>
      <w:bookmarkStart w:id="1301" w:name="_Toc394995161"/>
      <w:bookmarkStart w:id="1302" w:name="_Toc394995683"/>
      <w:bookmarkStart w:id="1303" w:name="_Toc394995997"/>
      <w:bookmarkStart w:id="1304" w:name="_Toc394996115"/>
      <w:bookmarkStart w:id="1305" w:name="_Toc394997840"/>
      <w:bookmarkStart w:id="1306" w:name="_Toc394998238"/>
      <w:bookmarkStart w:id="1307" w:name="_Toc394998355"/>
      <w:bookmarkStart w:id="1308" w:name="_Toc394998752"/>
      <w:bookmarkStart w:id="1309" w:name="_Toc395001850"/>
      <w:bookmarkStart w:id="1310" w:name="_Toc395002251"/>
      <w:bookmarkStart w:id="1311" w:name="_Toc395001459"/>
      <w:bookmarkStart w:id="1312" w:name="_Toc395001731"/>
      <w:bookmarkStart w:id="1313" w:name="_Toc395003020"/>
      <w:bookmarkStart w:id="1314" w:name="_Toc395003204"/>
      <w:bookmarkStart w:id="1315" w:name="_Toc395003604"/>
      <w:bookmarkStart w:id="1316" w:name="_Toc395005101"/>
      <w:bookmarkStart w:id="1317" w:name="_Toc395005443"/>
      <w:bookmarkStart w:id="1318" w:name="_Toc395005845"/>
      <w:bookmarkStart w:id="1319" w:name="_Toc395009020"/>
      <w:bookmarkStart w:id="1320" w:name="_Toc395009831"/>
      <w:bookmarkStart w:id="1321" w:name="_Toc395010206"/>
      <w:bookmarkStart w:id="1322" w:name="_Toc395010687"/>
      <w:bookmarkStart w:id="1323" w:name="_Toc395010048"/>
      <w:bookmarkStart w:id="1324" w:name="_Toc395011461"/>
      <w:bookmarkStart w:id="1325" w:name="_Toc395011574"/>
      <w:bookmarkStart w:id="1326" w:name="_Toc395012392"/>
      <w:bookmarkStart w:id="1327" w:name="_Toc395012755"/>
      <w:bookmarkStart w:id="1328" w:name="_Toc395012982"/>
      <w:bookmarkStart w:id="1329" w:name="_Toc395010797"/>
      <w:bookmarkStart w:id="1330" w:name="_Toc395012270"/>
      <w:bookmarkStart w:id="1331" w:name="_Toc395014558"/>
      <w:bookmarkStart w:id="1332" w:name="_Toc395014671"/>
      <w:bookmarkStart w:id="1333" w:name="_Toc395011867"/>
      <w:bookmarkStart w:id="1334" w:name="_Toc395013262"/>
      <w:bookmarkStart w:id="1335" w:name="_Toc395084901"/>
      <w:bookmarkStart w:id="1336" w:name="_Toc395085202"/>
      <w:bookmarkStart w:id="1337" w:name="_Toc395090301"/>
      <w:bookmarkStart w:id="1338" w:name="_Toc395090668"/>
      <w:bookmarkStart w:id="1339" w:name="_Toc395090780"/>
      <w:bookmarkStart w:id="1340" w:name="_Toc395092669"/>
      <w:bookmarkStart w:id="1341" w:name="_Toc395092881"/>
      <w:bookmarkStart w:id="1342" w:name="_Toc395093251"/>
      <w:bookmarkStart w:id="1343" w:name="_Toc395093363"/>
      <w:bookmarkStart w:id="1344" w:name="_Toc395097792"/>
      <w:bookmarkStart w:id="1345" w:name="_Toc395098161"/>
      <w:bookmarkStart w:id="1346" w:name="_Toc395098273"/>
      <w:bookmarkStart w:id="1347" w:name="_Toc395105457"/>
      <w:bookmarkStart w:id="1348" w:name="_Toc395106949"/>
      <w:bookmarkStart w:id="1349" w:name="_Toc395107060"/>
      <w:bookmarkStart w:id="1350" w:name="_Toc395109931"/>
      <w:bookmarkStart w:id="1351" w:name="_Toc395109606"/>
      <w:bookmarkStart w:id="1352" w:name="_Toc395109717"/>
      <w:bookmarkStart w:id="1353" w:name="_Toc395111934"/>
      <w:bookmarkStart w:id="1354" w:name="_Toc395112422"/>
      <w:bookmarkStart w:id="1355" w:name="_Toc395106854"/>
      <w:bookmarkStart w:id="1356" w:name="_Toc395107453"/>
      <w:bookmarkStart w:id="1357" w:name="_Toc395107567"/>
      <w:bookmarkStart w:id="1358" w:name="_Toc395110106"/>
      <w:bookmarkStart w:id="1359" w:name="_Toc395108614"/>
      <w:bookmarkStart w:id="1360" w:name="_Toc395109015"/>
      <w:bookmarkStart w:id="1361" w:name="_Toc395113854"/>
      <w:bookmarkStart w:id="1362" w:name="_Toc395114254"/>
      <w:bookmarkStart w:id="1363" w:name="_Toc395114374"/>
      <w:bookmarkStart w:id="1364" w:name="_Toc395116590"/>
      <w:bookmarkStart w:id="1365" w:name="_Toc395116991"/>
      <w:bookmarkStart w:id="1366" w:name="_Toc395117112"/>
      <w:bookmarkStart w:id="1367" w:name="_Toc395112527"/>
      <w:bookmarkStart w:id="1368" w:name="_Toc395113109"/>
      <w:bookmarkStart w:id="1369" w:name="_Toc395113230"/>
      <w:bookmarkStart w:id="1370" w:name="_Toc395115066"/>
      <w:bookmarkStart w:id="1371" w:name="_Toc395115468"/>
      <w:bookmarkStart w:id="1372" w:name="_Toc395115589"/>
      <w:bookmarkStart w:id="1373" w:name="_Toc395118221"/>
      <w:bookmarkStart w:id="1374" w:name="_Toc395118620"/>
      <w:bookmarkStart w:id="1375" w:name="_Toc395118739"/>
      <w:bookmarkStart w:id="1376" w:name="_Toc395178324"/>
      <w:bookmarkStart w:id="1377" w:name="_Toc395624813"/>
      <w:bookmarkStart w:id="1378" w:name="_Toc395624920"/>
      <w:bookmarkStart w:id="1379" w:name="_Toc395789774"/>
      <w:bookmarkStart w:id="1380" w:name="_Toc395790164"/>
      <w:bookmarkStart w:id="1381" w:name="_Toc395800922"/>
      <w:bookmarkStart w:id="1382" w:name="_Toc395802905"/>
      <w:bookmarkStart w:id="1383" w:name="_Toc394938171"/>
      <w:bookmarkStart w:id="1384" w:name="_Toc394938555"/>
      <w:bookmarkStart w:id="1385" w:name="_Toc394938673"/>
      <w:bookmarkStart w:id="1386" w:name="_Toc394937837"/>
      <w:bookmarkStart w:id="1387" w:name="_Toc394937955"/>
      <w:bookmarkStart w:id="1388" w:name="_Toc394941083"/>
      <w:bookmarkStart w:id="1389" w:name="_Toc394941466"/>
      <w:bookmarkStart w:id="1390" w:name="_Toc394941584"/>
      <w:bookmarkStart w:id="1391" w:name="_Toc394941699"/>
      <w:bookmarkStart w:id="1392" w:name="_Toc394942082"/>
      <w:bookmarkStart w:id="1393" w:name="_Toc394942200"/>
      <w:bookmarkStart w:id="1394" w:name="_Toc394939920"/>
      <w:bookmarkStart w:id="1395" w:name="_Toc394940304"/>
      <w:bookmarkStart w:id="1396" w:name="_Toc394940422"/>
      <w:bookmarkStart w:id="1397" w:name="_Toc394939531"/>
      <w:bookmarkStart w:id="1398" w:name="_Toc394940518"/>
      <w:bookmarkStart w:id="1399" w:name="_Toc394940635"/>
      <w:bookmarkStart w:id="1400" w:name="_Toc394993318"/>
      <w:bookmarkStart w:id="1401" w:name="_Toc394993798"/>
      <w:bookmarkStart w:id="1402" w:name="_Toc391906833"/>
      <w:bookmarkStart w:id="1403" w:name="_Toc391908242"/>
      <w:bookmarkStart w:id="1404" w:name="_Toc392149066"/>
      <w:bookmarkStart w:id="1405" w:name="_Toc392159518"/>
      <w:bookmarkStart w:id="1406" w:name="_Toc392162285"/>
      <w:bookmarkStart w:id="1407" w:name="_Toc392164050"/>
      <w:bookmarkStart w:id="1408" w:name="_Toc392168998"/>
      <w:bookmarkStart w:id="1409" w:name="_Toc392169932"/>
      <w:bookmarkStart w:id="1410" w:name="_Toc392170626"/>
      <w:bookmarkStart w:id="1411" w:name="_Toc392170800"/>
      <w:bookmarkStart w:id="1412" w:name="_Toc392171215"/>
      <w:bookmarkStart w:id="1413" w:name="_Toc392172804"/>
      <w:bookmarkStart w:id="1414" w:name="_Toc392173168"/>
      <w:bookmarkStart w:id="1415" w:name="_Toc392173344"/>
      <w:bookmarkStart w:id="1416" w:name="_Toc392238333"/>
      <w:bookmarkStart w:id="1417" w:name="_Toc392247634"/>
      <w:bookmarkStart w:id="1418" w:name="_Toc392247909"/>
      <w:bookmarkStart w:id="1419" w:name="_Toc392248581"/>
      <w:bookmarkStart w:id="1420" w:name="_Toc392251114"/>
      <w:bookmarkStart w:id="1421" w:name="_Toc392253738"/>
      <w:bookmarkStart w:id="1422" w:name="_Toc392253915"/>
      <w:bookmarkStart w:id="1423" w:name="_Toc392255506"/>
      <w:bookmarkStart w:id="1424" w:name="_Toc392256301"/>
      <w:bookmarkStart w:id="1425" w:name="_Toc392257496"/>
      <w:bookmarkStart w:id="1426" w:name="_Toc392498512"/>
      <w:bookmarkStart w:id="1427" w:name="_Toc392500507"/>
      <w:bookmarkStart w:id="1428" w:name="_Toc392513322"/>
      <w:bookmarkStart w:id="1429" w:name="_Toc392514235"/>
      <w:bookmarkStart w:id="1430" w:name="_Toc392515422"/>
      <w:bookmarkStart w:id="1431" w:name="_Toc392517352"/>
      <w:bookmarkStart w:id="1432" w:name="_Toc392517358"/>
      <w:bookmarkStart w:id="1433" w:name="_Toc392517619"/>
      <w:bookmarkStart w:id="1434" w:name="_Toc392517772"/>
      <w:bookmarkStart w:id="1435" w:name="_Toc392517852"/>
      <w:bookmarkStart w:id="1436" w:name="_Toc392685053"/>
      <w:bookmarkStart w:id="1437" w:name="_Toc392685143"/>
      <w:bookmarkStart w:id="1438" w:name="_Toc392687306"/>
      <w:bookmarkStart w:id="1439" w:name="_Toc392688475"/>
      <w:bookmarkStart w:id="1440" w:name="_Toc392689475"/>
      <w:bookmarkStart w:id="1441" w:name="_Toc392690259"/>
      <w:bookmarkStart w:id="1442" w:name="_Toc392843482"/>
      <w:bookmarkStart w:id="1443" w:name="_Toc392853116"/>
      <w:bookmarkStart w:id="1444" w:name="_Toc392859871"/>
      <w:bookmarkStart w:id="1445" w:name="_Toc392860759"/>
      <w:bookmarkStart w:id="1446" w:name="_Toc392861529"/>
      <w:bookmarkStart w:id="1447" w:name="_Toc393203493"/>
      <w:bookmarkStart w:id="1448" w:name="_Toc393207273"/>
      <w:bookmarkStart w:id="1449" w:name="_Toc393207364"/>
      <w:bookmarkStart w:id="1450" w:name="_Toc393208137"/>
      <w:bookmarkStart w:id="1451" w:name="_Toc393208235"/>
      <w:bookmarkStart w:id="1452" w:name="_Toc393208324"/>
      <w:bookmarkStart w:id="1453" w:name="_Toc393208413"/>
      <w:bookmarkStart w:id="1454" w:name="_Toc393209737"/>
      <w:bookmarkStart w:id="1455" w:name="_Toc393276101"/>
      <w:bookmarkStart w:id="1456" w:name="_Toc393279003"/>
      <w:bookmarkStart w:id="1457" w:name="_Toc393289889"/>
      <w:bookmarkStart w:id="1458" w:name="_Toc393289984"/>
      <w:bookmarkStart w:id="1459" w:name="_Toc393292369"/>
      <w:bookmarkStart w:id="1460" w:name="_Toc393293991"/>
      <w:bookmarkStart w:id="1461" w:name="_Toc393295010"/>
      <w:bookmarkStart w:id="1462" w:name="_Toc393295315"/>
      <w:bookmarkStart w:id="1463" w:name="_Toc393296306"/>
      <w:bookmarkStart w:id="1464" w:name="_Toc393363245"/>
      <w:bookmarkStart w:id="1465" w:name="_Toc393372302"/>
      <w:bookmarkStart w:id="1466" w:name="_Toc393373396"/>
      <w:bookmarkStart w:id="1467" w:name="_Toc393374504"/>
      <w:bookmarkStart w:id="1468" w:name="_Toc393379274"/>
      <w:bookmarkStart w:id="1469" w:name="_Toc393379886"/>
      <w:bookmarkStart w:id="1470" w:name="_Toc393379982"/>
      <w:bookmarkStart w:id="1471" w:name="_Toc393879325"/>
      <w:bookmarkStart w:id="1472" w:name="_Toc393879556"/>
      <w:bookmarkStart w:id="1473" w:name="_Toc393903565"/>
      <w:bookmarkStart w:id="1474" w:name="_Toc393903664"/>
      <w:bookmarkStart w:id="1475" w:name="_Toc393902876"/>
      <w:bookmarkStart w:id="1476" w:name="_Toc393905483"/>
      <w:bookmarkStart w:id="1477" w:name="_Toc393905582"/>
      <w:bookmarkStart w:id="1478" w:name="_Toc393904339"/>
      <w:bookmarkStart w:id="1479" w:name="_Toc393904437"/>
      <w:bookmarkStart w:id="1480" w:name="_Toc393903956"/>
      <w:bookmarkStart w:id="1481" w:name="_Toc393904808"/>
      <w:bookmarkStart w:id="1482" w:name="_Toc393905201"/>
      <w:bookmarkStart w:id="1483" w:name="_Toc393905793"/>
      <w:bookmarkStart w:id="1484" w:name="_Toc393905891"/>
      <w:bookmarkStart w:id="1485" w:name="_Toc393906174"/>
      <w:bookmarkStart w:id="1486" w:name="_Toc393906272"/>
      <w:bookmarkStart w:id="1487" w:name="_Toc393908152"/>
      <w:bookmarkStart w:id="1488" w:name="_Toc393908250"/>
      <w:bookmarkStart w:id="1489" w:name="_Toc393906593"/>
      <w:bookmarkStart w:id="1490" w:name="_Toc393906691"/>
      <w:bookmarkStart w:id="1491" w:name="_Toc393968120"/>
      <w:bookmarkStart w:id="1492" w:name="_Toc393968219"/>
      <w:bookmarkStart w:id="1493" w:name="_Toc393974251"/>
      <w:bookmarkStart w:id="1494" w:name="_Toc393974350"/>
      <w:bookmarkStart w:id="1495" w:name="_Toc393976844"/>
      <w:bookmarkStart w:id="1496" w:name="_Toc393977900"/>
      <w:bookmarkStart w:id="1497" w:name="_Toc393977998"/>
      <w:bookmarkStart w:id="1498" w:name="_Toc393985284"/>
      <w:bookmarkStart w:id="1499" w:name="_Toc393985383"/>
      <w:bookmarkStart w:id="1500" w:name="_Toc393985787"/>
      <w:bookmarkStart w:id="1501" w:name="_Toc393985887"/>
      <w:bookmarkStart w:id="1502" w:name="_Toc393986189"/>
      <w:bookmarkStart w:id="1503" w:name="_Toc393986289"/>
      <w:bookmarkStart w:id="1504" w:name="_Toc393986592"/>
      <w:bookmarkStart w:id="1505" w:name="_Toc393988199"/>
      <w:bookmarkStart w:id="1506" w:name="_Toc393988299"/>
      <w:bookmarkStart w:id="1507" w:name="_Toc393988601"/>
      <w:bookmarkStart w:id="1508" w:name="_Toc393988701"/>
      <w:bookmarkStart w:id="1509" w:name="_Toc393986693"/>
      <w:bookmarkStart w:id="1510" w:name="_Toc393989613"/>
      <w:bookmarkStart w:id="1511" w:name="_Toc393989712"/>
      <w:bookmarkStart w:id="1512" w:name="_Toc393989001"/>
      <w:bookmarkStart w:id="1513" w:name="_Toc393989100"/>
      <w:bookmarkStart w:id="1514" w:name="_Toc393991005"/>
      <w:bookmarkStart w:id="1515" w:name="_Toc393991104"/>
      <w:bookmarkStart w:id="1516" w:name="_Toc393991203"/>
      <w:bookmarkStart w:id="1517" w:name="_Toc393991989"/>
      <w:bookmarkStart w:id="1518" w:name="_Toc393992088"/>
      <w:bookmarkStart w:id="1519" w:name="_Toc394047653"/>
      <w:bookmarkStart w:id="1520" w:name="_Toc394047752"/>
      <w:bookmarkStart w:id="1521" w:name="_Toc394047764"/>
      <w:bookmarkStart w:id="1522" w:name="_Toc394047863"/>
      <w:bookmarkStart w:id="1523" w:name="_Toc394048320"/>
      <w:bookmarkStart w:id="1524" w:name="_Toc394048419"/>
      <w:bookmarkStart w:id="1525" w:name="_Toc394049932"/>
      <w:bookmarkStart w:id="1526" w:name="_Toc394050031"/>
      <w:bookmarkStart w:id="1527" w:name="_Toc394051332"/>
      <w:bookmarkStart w:id="1528" w:name="_Toc394051431"/>
      <w:bookmarkStart w:id="1529" w:name="_Toc394062321"/>
      <w:bookmarkStart w:id="1530" w:name="_Toc394062578"/>
      <w:bookmarkStart w:id="1531" w:name="_Toc394069198"/>
      <w:bookmarkStart w:id="1532" w:name="_Toc394069293"/>
      <w:bookmarkStart w:id="1533" w:name="_Toc394071117"/>
      <w:bookmarkStart w:id="1534" w:name="_Toc394071212"/>
      <w:bookmarkStart w:id="1535" w:name="_Toc394312825"/>
      <w:bookmarkStart w:id="1536" w:name="_Toc394330484"/>
      <w:bookmarkStart w:id="1537" w:name="_Toc394330801"/>
      <w:bookmarkStart w:id="1538" w:name="_Toc394331316"/>
      <w:bookmarkStart w:id="1539" w:name="_Toc394331415"/>
      <w:bookmarkStart w:id="1540" w:name="_Toc394332663"/>
      <w:bookmarkStart w:id="1541" w:name="_Toc394333392"/>
      <w:bookmarkStart w:id="1542" w:name="_Toc394333490"/>
      <w:bookmarkStart w:id="1543" w:name="_Toc394333805"/>
      <w:bookmarkStart w:id="1544" w:name="_Toc394333903"/>
      <w:bookmarkStart w:id="1545" w:name="_Toc394334218"/>
      <w:bookmarkStart w:id="1546" w:name="_Toc394334316"/>
      <w:bookmarkStart w:id="1547" w:name="_Toc394335044"/>
      <w:bookmarkStart w:id="1548" w:name="_Toc394335142"/>
      <w:bookmarkStart w:id="1549" w:name="_Toc394415231"/>
      <w:bookmarkStart w:id="1550" w:name="_Toc394415350"/>
      <w:bookmarkStart w:id="1551" w:name="_Toc394412536"/>
      <w:bookmarkStart w:id="1552" w:name="_Toc394412659"/>
      <w:bookmarkStart w:id="1553" w:name="_Toc394420829"/>
      <w:bookmarkStart w:id="1554" w:name="_Toc394420952"/>
      <w:bookmarkStart w:id="1555" w:name="_Toc394423670"/>
      <w:bookmarkStart w:id="1556" w:name="_Toc394423792"/>
      <w:bookmarkStart w:id="1557" w:name="_Toc394422714"/>
      <w:bookmarkStart w:id="1558" w:name="_Toc394422836"/>
      <w:bookmarkStart w:id="1559" w:name="_Toc394423185"/>
      <w:bookmarkStart w:id="1560" w:name="_Toc394423307"/>
      <w:bookmarkStart w:id="1561" w:name="_Toc394424333"/>
      <w:bookmarkStart w:id="1562" w:name="_Toc394424456"/>
      <w:bookmarkStart w:id="1563" w:name="_Toc394492164"/>
      <w:bookmarkStart w:id="1564" w:name="_Toc394492289"/>
      <w:bookmarkStart w:id="1565" w:name="_Toc394495308"/>
      <w:bookmarkStart w:id="1566" w:name="_Toc394495433"/>
      <w:bookmarkStart w:id="1567" w:name="_Toc394498123"/>
      <w:bookmarkStart w:id="1568" w:name="_Toc394498248"/>
      <w:bookmarkStart w:id="1569" w:name="_Toc394500913"/>
      <w:bookmarkStart w:id="1570" w:name="_Toc394501038"/>
      <w:bookmarkStart w:id="1571" w:name="_Toc394502310"/>
      <w:bookmarkStart w:id="1572" w:name="_Toc394502428"/>
      <w:bookmarkStart w:id="1573" w:name="_Toc394503214"/>
      <w:bookmarkStart w:id="1574" w:name="_Toc394503787"/>
      <w:bookmarkStart w:id="1575" w:name="_Toc394502758"/>
      <w:bookmarkStart w:id="1576" w:name="_Toc394502876"/>
      <w:bookmarkStart w:id="1577" w:name="_Toc394505965"/>
      <w:bookmarkStart w:id="1578" w:name="_Toc394506205"/>
      <w:bookmarkStart w:id="1579" w:name="_Toc394506423"/>
      <w:bookmarkStart w:id="1580" w:name="_Toc394506542"/>
      <w:bookmarkStart w:id="1581" w:name="_Toc394506977"/>
      <w:bookmarkStart w:id="1582" w:name="_Toc394507096"/>
      <w:bookmarkStart w:id="1583" w:name="_Toc394561050"/>
      <w:bookmarkStart w:id="1584" w:name="_Toc394561173"/>
      <w:bookmarkStart w:id="1585" w:name="_Toc394561511"/>
      <w:bookmarkStart w:id="1586" w:name="_Toc394562006"/>
      <w:bookmarkStart w:id="1587" w:name="_Toc394583022"/>
      <w:bookmarkStart w:id="1588" w:name="_Toc394585693"/>
      <w:bookmarkStart w:id="1589" w:name="_Toc394586159"/>
      <w:bookmarkStart w:id="1590" w:name="_Toc394588091"/>
      <w:bookmarkStart w:id="1591" w:name="_Toc394588926"/>
      <w:bookmarkStart w:id="1592" w:name="_Toc394589051"/>
      <w:bookmarkStart w:id="1593" w:name="_Toc394590466"/>
      <w:bookmarkStart w:id="1594" w:name="_Toc394590659"/>
      <w:bookmarkStart w:id="1595" w:name="_Toc394654560"/>
      <w:bookmarkStart w:id="1596" w:name="_Toc394654718"/>
      <w:bookmarkStart w:id="1597" w:name="_Toc394656258"/>
      <w:bookmarkStart w:id="1598" w:name="_Toc394656415"/>
      <w:bookmarkStart w:id="1599" w:name="_Toc394659395"/>
      <w:bookmarkStart w:id="1600" w:name="_Toc394659553"/>
      <w:bookmarkStart w:id="1601" w:name="_Toc394663407"/>
      <w:bookmarkStart w:id="1602" w:name="_Toc394663563"/>
      <w:bookmarkStart w:id="1603" w:name="_Toc394667201"/>
      <w:bookmarkStart w:id="1604" w:name="_Toc394667357"/>
      <w:bookmarkStart w:id="1605" w:name="_Toc394671680"/>
      <w:bookmarkStart w:id="1606" w:name="_Toc394671840"/>
      <w:bookmarkStart w:id="1607" w:name="_Toc394674682"/>
      <w:bookmarkStart w:id="1608" w:name="_Toc394674845"/>
      <w:bookmarkStart w:id="1609" w:name="_Toc394674959"/>
      <w:bookmarkStart w:id="1610" w:name="_Toc394675125"/>
      <w:bookmarkStart w:id="1611" w:name="_Toc394676070"/>
      <w:bookmarkStart w:id="1612" w:name="_Toc394676232"/>
      <w:bookmarkStart w:id="1613" w:name="_Toc394675758"/>
      <w:bookmarkStart w:id="1614" w:name="_Toc394675921"/>
      <w:bookmarkStart w:id="1615" w:name="_Toc394918324"/>
      <w:bookmarkStart w:id="1616" w:name="_Toc394918838"/>
      <w:bookmarkStart w:id="1617" w:name="_Toc394930811"/>
      <w:bookmarkStart w:id="1618" w:name="_Toc394933722"/>
      <w:bookmarkStart w:id="1619" w:name="_Toc394938169"/>
      <w:bookmarkStart w:id="1620" w:name="_Toc394938671"/>
      <w:bookmarkStart w:id="1621" w:name="_Toc394937953"/>
      <w:bookmarkStart w:id="1622" w:name="_Toc394941081"/>
      <w:bookmarkStart w:id="1623" w:name="_Toc394941582"/>
      <w:bookmarkStart w:id="1624" w:name="_Toc394941697"/>
      <w:bookmarkStart w:id="1625" w:name="_Toc394942198"/>
      <w:bookmarkStart w:id="1626" w:name="_Toc394939918"/>
      <w:bookmarkStart w:id="1627" w:name="_Toc394940420"/>
      <w:bookmarkStart w:id="1628" w:name="_Toc394939529"/>
      <w:bookmarkStart w:id="1629" w:name="_Toc394940633"/>
      <w:bookmarkStart w:id="1630" w:name="_Toc394993316"/>
      <w:bookmarkStart w:id="1631" w:name="_Toc394995681"/>
      <w:bookmarkStart w:id="1632" w:name="_Toc394995995"/>
      <w:bookmarkStart w:id="1633" w:name="_Toc394996113"/>
      <w:bookmarkStart w:id="1634" w:name="_Toc394997838"/>
      <w:bookmarkStart w:id="1635" w:name="_Toc394998236"/>
      <w:bookmarkStart w:id="1636" w:name="_Toc394998353"/>
      <w:bookmarkStart w:id="1637" w:name="_Toc394998750"/>
      <w:bookmarkStart w:id="1638" w:name="_Toc395001848"/>
      <w:bookmarkStart w:id="1639" w:name="_Toc395002249"/>
      <w:bookmarkStart w:id="1640" w:name="_Toc395001457"/>
      <w:bookmarkStart w:id="1641" w:name="_Toc395001729"/>
      <w:bookmarkStart w:id="1642" w:name="_Toc393979265"/>
      <w:bookmarkStart w:id="1643" w:name="_Toc395003018"/>
      <w:bookmarkStart w:id="1644" w:name="_Toc395003202"/>
      <w:bookmarkStart w:id="1645" w:name="_Toc395003602"/>
      <w:bookmarkStart w:id="1646" w:name="_Toc395005099"/>
      <w:bookmarkStart w:id="1647" w:name="_Toc395005441"/>
      <w:bookmarkStart w:id="1648" w:name="_Toc395005843"/>
      <w:bookmarkStart w:id="1649" w:name="_Toc395009018"/>
      <w:bookmarkStart w:id="1650" w:name="_Toc395009829"/>
      <w:bookmarkStart w:id="1651" w:name="_Toc395010204"/>
      <w:bookmarkStart w:id="1652" w:name="_Toc395010046"/>
      <w:bookmarkStart w:id="1653" w:name="_Toc395011459"/>
      <w:bookmarkStart w:id="1654" w:name="_Toc395011572"/>
      <w:bookmarkStart w:id="1655" w:name="_Toc395012390"/>
      <w:bookmarkStart w:id="1656" w:name="_Toc395012753"/>
      <w:bookmarkStart w:id="1657" w:name="_Toc395012980"/>
      <w:bookmarkStart w:id="1658" w:name="_Toc395010795"/>
      <w:bookmarkStart w:id="1659" w:name="_Toc395012268"/>
      <w:bookmarkStart w:id="1660" w:name="_Toc395014556"/>
      <w:bookmarkStart w:id="1661" w:name="_Toc395014669"/>
      <w:bookmarkStart w:id="1662" w:name="_Toc395011865"/>
      <w:bookmarkStart w:id="1663" w:name="_Toc395013260"/>
      <w:bookmarkStart w:id="1664" w:name="_Toc395084899"/>
      <w:bookmarkStart w:id="1665" w:name="_Toc395085200"/>
      <w:bookmarkStart w:id="1666" w:name="_Toc395090299"/>
      <w:bookmarkStart w:id="1667" w:name="_Toc395090666"/>
      <w:bookmarkStart w:id="1668" w:name="_Toc395090778"/>
      <w:bookmarkStart w:id="1669" w:name="_Toc395092667"/>
      <w:bookmarkStart w:id="1670" w:name="_Toc395092879"/>
      <w:bookmarkStart w:id="1671" w:name="_Toc395093249"/>
      <w:bookmarkStart w:id="1672" w:name="_Toc395093361"/>
      <w:bookmarkStart w:id="1673" w:name="_Toc395097790"/>
      <w:bookmarkStart w:id="1674" w:name="_Toc395098159"/>
      <w:bookmarkStart w:id="1675" w:name="_Toc395098271"/>
      <w:bookmarkStart w:id="1676" w:name="_Toc395105344"/>
      <w:bookmarkStart w:id="1677" w:name="_Toc395105455"/>
      <w:bookmarkStart w:id="1678" w:name="_Toc395106947"/>
      <w:bookmarkStart w:id="1679" w:name="_Toc395107058"/>
      <w:bookmarkStart w:id="1680" w:name="_Toc395109929"/>
      <w:bookmarkStart w:id="1681" w:name="_Toc395109604"/>
      <w:bookmarkStart w:id="1682" w:name="_Toc395109715"/>
      <w:bookmarkStart w:id="1683" w:name="_Toc395111932"/>
      <w:bookmarkStart w:id="1684" w:name="_Toc395112309"/>
      <w:bookmarkStart w:id="1685" w:name="_Toc395112420"/>
      <w:bookmarkStart w:id="1686" w:name="_Toc395106852"/>
      <w:bookmarkStart w:id="1687" w:name="_Toc395107451"/>
      <w:bookmarkStart w:id="1688" w:name="_Toc395107565"/>
      <w:bookmarkStart w:id="1689" w:name="_Toc395110104"/>
      <w:bookmarkStart w:id="1690" w:name="_Toc395108612"/>
      <w:bookmarkStart w:id="1691" w:name="_Toc395109013"/>
      <w:bookmarkStart w:id="1692" w:name="_Toc395113852"/>
      <w:bookmarkStart w:id="1693" w:name="_Toc395114252"/>
      <w:bookmarkStart w:id="1694" w:name="_Toc395114372"/>
      <w:bookmarkStart w:id="1695" w:name="_Toc395116588"/>
      <w:bookmarkStart w:id="1696" w:name="_Toc395116989"/>
      <w:bookmarkStart w:id="1697" w:name="_Toc395117110"/>
      <w:bookmarkStart w:id="1698" w:name="_Toc395112525"/>
      <w:bookmarkStart w:id="1699" w:name="_Toc395113107"/>
      <w:bookmarkStart w:id="1700" w:name="_Toc395113228"/>
      <w:bookmarkStart w:id="1701" w:name="_Toc395115064"/>
      <w:bookmarkStart w:id="1702" w:name="_Toc395115466"/>
      <w:bookmarkStart w:id="1703" w:name="_Toc395115587"/>
      <w:bookmarkStart w:id="1704" w:name="_Toc395118219"/>
      <w:bookmarkStart w:id="1705" w:name="_Toc395118618"/>
      <w:bookmarkStart w:id="1706" w:name="_Toc395118737"/>
      <w:bookmarkStart w:id="1707" w:name="_Toc395178322"/>
      <w:bookmarkStart w:id="1708" w:name="_Toc395624811"/>
      <w:bookmarkStart w:id="1709" w:name="_Toc395624918"/>
      <w:bookmarkStart w:id="1710" w:name="_Toc395789772"/>
      <w:bookmarkStart w:id="1711" w:name="_Toc395790162"/>
      <w:bookmarkStart w:id="1712" w:name="_Toc395800920"/>
      <w:bookmarkStart w:id="1713" w:name="_Toc395802903"/>
      <w:bookmarkStart w:id="1714" w:name="_Toc395867670"/>
      <w:bookmarkStart w:id="1715" w:name="_Toc395868583"/>
      <w:bookmarkStart w:id="1716" w:name="_Toc395868802"/>
      <w:bookmarkStart w:id="1717" w:name="_Toc395878964"/>
      <w:bookmarkStart w:id="1718" w:name="_Toc395879181"/>
      <w:bookmarkStart w:id="1719" w:name="_Toc395882088"/>
      <w:bookmarkStart w:id="1720" w:name="_Toc395882305"/>
      <w:bookmarkStart w:id="1721" w:name="_Toc395882419"/>
      <w:bookmarkStart w:id="1722" w:name="_Toc395882636"/>
      <w:bookmarkStart w:id="1723" w:name="_Toc395880583"/>
      <w:bookmarkStart w:id="1724" w:name="_Toc395880914"/>
      <w:bookmarkStart w:id="1725" w:name="_Toc395881472"/>
      <w:bookmarkStart w:id="1726" w:name="_Toc395883857"/>
      <w:bookmarkStart w:id="1727" w:name="_Toc395884074"/>
      <w:bookmarkStart w:id="1728" w:name="_Toc395880812"/>
      <w:bookmarkStart w:id="1729" w:name="_Toc395884519"/>
      <w:bookmarkStart w:id="1730" w:name="_Toc395884736"/>
      <w:bookmarkStart w:id="1731" w:name="_Toc395883228"/>
      <w:bookmarkStart w:id="1732" w:name="_Toc395883445"/>
      <w:bookmarkStart w:id="1733" w:name="_Toc395883558"/>
      <w:bookmarkStart w:id="1734" w:name="_Toc395883775"/>
      <w:bookmarkStart w:id="1735" w:name="_Toc395884860"/>
      <w:bookmarkStart w:id="1736" w:name="_Toc396123885"/>
      <w:bookmarkStart w:id="1737" w:name="_Toc396130787"/>
      <w:bookmarkStart w:id="1738" w:name="_Toc396136365"/>
      <w:bookmarkStart w:id="1739" w:name="_Toc396138819"/>
      <w:bookmarkStart w:id="1740" w:name="_Toc396144080"/>
      <w:bookmarkStart w:id="1741" w:name="_Toc396145589"/>
      <w:bookmarkStart w:id="1742" w:name="_Toc396145733"/>
      <w:bookmarkStart w:id="1743" w:name="_Toc396147555"/>
      <w:bookmarkStart w:id="1744" w:name="_Toc396147841"/>
      <w:bookmarkStart w:id="1745" w:name="_Toc396149097"/>
      <w:bookmarkStart w:id="1746" w:name="_Toc396148810"/>
      <w:bookmarkStart w:id="1747" w:name="_Toc396149591"/>
      <w:bookmarkStart w:id="1748" w:name="_Toc396149237"/>
      <w:bookmarkStart w:id="1749" w:name="_Toc396149523"/>
      <w:bookmarkStart w:id="1750" w:name="_Toc396149945"/>
      <w:bookmarkStart w:id="1751" w:name="_Toc396149695"/>
      <w:bookmarkStart w:id="1752" w:name="_Toc396150536"/>
      <w:bookmarkStart w:id="1753" w:name="_Toc396151425"/>
      <w:bookmarkStart w:id="1754" w:name="_Toc396151719"/>
      <w:bookmarkStart w:id="1755" w:name="_Toc396201646"/>
      <w:bookmarkStart w:id="1756" w:name="_Toc396202436"/>
      <w:bookmarkStart w:id="1757" w:name="_Toc396202731"/>
      <w:bookmarkStart w:id="1758" w:name="_Toc396203348"/>
      <w:bookmarkStart w:id="1759" w:name="_Toc396206644"/>
      <w:bookmarkStart w:id="1760" w:name="_Toc396206938"/>
      <w:bookmarkStart w:id="1761" w:name="_Toc396209472"/>
      <w:bookmarkStart w:id="1762" w:name="_Toc396209766"/>
      <w:bookmarkStart w:id="1763" w:name="_Toc396211896"/>
      <w:bookmarkStart w:id="1764" w:name="_Toc396212190"/>
      <w:bookmarkStart w:id="1765" w:name="_Toc396213240"/>
      <w:bookmarkStart w:id="1766" w:name="_Toc396213532"/>
      <w:bookmarkStart w:id="1767" w:name="_Toc396214518"/>
      <w:bookmarkStart w:id="1768" w:name="_Toc396214808"/>
      <w:bookmarkStart w:id="1769" w:name="_Toc396220368"/>
      <w:bookmarkStart w:id="1770" w:name="_Toc396226630"/>
      <w:bookmarkStart w:id="1771" w:name="_Toc396226919"/>
      <w:bookmarkStart w:id="1772" w:name="_Toc396228830"/>
      <w:bookmarkStart w:id="1773" w:name="_Toc396229125"/>
      <w:bookmarkStart w:id="1774" w:name="_Toc396230767"/>
      <w:bookmarkStart w:id="1775" w:name="_Toc396231909"/>
      <w:bookmarkStart w:id="1776" w:name="_Toc396233252"/>
      <w:bookmarkStart w:id="1777" w:name="_Toc396233549"/>
      <w:bookmarkStart w:id="1778" w:name="_Toc396234072"/>
      <w:bookmarkStart w:id="1779" w:name="_Toc396234369"/>
      <w:bookmarkStart w:id="1780" w:name="_Toc396234482"/>
      <w:bookmarkStart w:id="1781" w:name="_Toc396236216"/>
      <w:bookmarkStart w:id="1782" w:name="_Toc396235994"/>
      <w:bookmarkStart w:id="1783" w:name="_Toc396236604"/>
      <w:bookmarkStart w:id="1784" w:name="_Toc396237123"/>
      <w:bookmarkStart w:id="1785" w:name="_Toc396304647"/>
      <w:bookmarkStart w:id="1786" w:name="_Toc396586182"/>
      <w:bookmarkStart w:id="1787" w:name="_Toc396397359"/>
      <w:bookmarkStart w:id="1788" w:name="_Toc396815097"/>
      <w:bookmarkStart w:id="1789" w:name="_Toc396827504"/>
      <w:bookmarkStart w:id="1790" w:name="_Toc396828475"/>
      <w:bookmarkStart w:id="1791" w:name="_Toc396828585"/>
      <w:bookmarkStart w:id="1792" w:name="_Toc396837974"/>
      <w:bookmarkStart w:id="1793" w:name="_Toc396838372"/>
      <w:bookmarkStart w:id="1794" w:name="_Toc396904105"/>
      <w:bookmarkStart w:id="1795" w:name="_Toc396904695"/>
      <w:bookmarkStart w:id="1796" w:name="_Toc396907529"/>
      <w:bookmarkStart w:id="1797" w:name="_Toc396912448"/>
      <w:bookmarkStart w:id="1798" w:name="_Toc396914428"/>
      <w:bookmarkStart w:id="1799" w:name="_Toc396915312"/>
      <w:bookmarkStart w:id="1800" w:name="_Toc396915706"/>
      <w:bookmarkStart w:id="1801" w:name="_Toc396921017"/>
      <w:bookmarkStart w:id="1802" w:name="_Toc396924357"/>
      <w:bookmarkStart w:id="1803" w:name="_Toc396925051"/>
      <w:bookmarkStart w:id="1804" w:name="_Toc396992171"/>
      <w:bookmarkStart w:id="1805" w:name="_Toc396992750"/>
      <w:bookmarkStart w:id="1806" w:name="_Toc396994414"/>
      <w:bookmarkStart w:id="1807" w:name="_Toc396998025"/>
      <w:bookmarkStart w:id="1808" w:name="_Toc397002185"/>
      <w:bookmarkStart w:id="1809" w:name="_Toc397008662"/>
      <w:bookmarkStart w:id="1810" w:name="_Toc397008880"/>
      <w:bookmarkStart w:id="1811" w:name="_Toc397011552"/>
      <w:bookmarkStart w:id="1812" w:name="_Toc397012613"/>
      <w:bookmarkStart w:id="1813" w:name="_Toc397014955"/>
      <w:bookmarkStart w:id="1814" w:name="_Toc397015442"/>
      <w:bookmarkStart w:id="1815" w:name="_Toc397070513"/>
      <w:bookmarkStart w:id="1816" w:name="_Toc397413251"/>
      <w:bookmarkStart w:id="1817" w:name="_Toc397413398"/>
      <w:bookmarkStart w:id="1818" w:name="_Toc397427983"/>
      <w:bookmarkStart w:id="1819" w:name="_Toc397439371"/>
      <w:bookmarkStart w:id="1820" w:name="_Toc397439541"/>
      <w:bookmarkStart w:id="1821" w:name="_Toc397439797"/>
      <w:bookmarkStart w:id="1822" w:name="_Toc397440099"/>
      <w:bookmarkStart w:id="1823" w:name="_Toc397441728"/>
      <w:bookmarkStart w:id="1824" w:name="_Toc397517430"/>
      <w:bookmarkStart w:id="1825" w:name="_Toc397522695"/>
      <w:bookmarkStart w:id="1826" w:name="_Toc397526113"/>
      <w:bookmarkStart w:id="1827" w:name="_Toc397528428"/>
      <w:bookmarkStart w:id="1828" w:name="_Toc397528903"/>
      <w:bookmarkStart w:id="1829" w:name="_Toc397601900"/>
      <w:bookmarkStart w:id="1830" w:name="_Toc397602635"/>
      <w:bookmarkStart w:id="1831" w:name="_Toc397605764"/>
      <w:bookmarkStart w:id="1832" w:name="_Toc397614908"/>
      <w:bookmarkStart w:id="1833" w:name="_Toc397616351"/>
      <w:bookmarkStart w:id="1834" w:name="_Toc397616745"/>
      <w:bookmarkStart w:id="1835" w:name="_Toc397679155"/>
      <w:bookmarkStart w:id="1836" w:name="_Toc397688043"/>
      <w:bookmarkStart w:id="1837" w:name="_Toc397689259"/>
      <w:bookmarkStart w:id="1838" w:name="_Toc397694539"/>
      <w:bookmarkStart w:id="1839" w:name="_Toc397696380"/>
      <w:bookmarkStart w:id="1840" w:name="_Toc397697114"/>
      <w:bookmarkStart w:id="1841" w:name="_Toc397698401"/>
      <w:bookmarkStart w:id="1842" w:name="_Toc397699767"/>
      <w:bookmarkStart w:id="1843" w:name="_Toc397700221"/>
      <w:bookmarkStart w:id="1844" w:name="_Toc397936613"/>
      <w:bookmarkStart w:id="1845" w:name="_Toc397936733"/>
      <w:bookmarkStart w:id="1846" w:name="_Toc397945741"/>
      <w:bookmarkStart w:id="1847" w:name="_Toc397945888"/>
      <w:bookmarkStart w:id="1848" w:name="_Toc397946914"/>
      <w:bookmarkStart w:id="1849" w:name="_Toc397948033"/>
      <w:bookmarkStart w:id="1850" w:name="_Toc397951329"/>
      <w:bookmarkStart w:id="1851" w:name="_Toc397958439"/>
      <w:bookmarkStart w:id="1852" w:name="_Toc397958681"/>
      <w:bookmarkStart w:id="1853" w:name="_Toc397959096"/>
      <w:bookmarkStart w:id="1854" w:name="_Toc397962949"/>
      <w:bookmarkStart w:id="1855" w:name="_Toc397963315"/>
      <w:bookmarkStart w:id="1856" w:name="_Toc397965392"/>
      <w:bookmarkStart w:id="1857" w:name="_Toc398197330"/>
      <w:bookmarkStart w:id="1858" w:name="_Toc398201547"/>
      <w:bookmarkStart w:id="1859" w:name="_Toc398207152"/>
      <w:bookmarkStart w:id="1860" w:name="_Toc398210425"/>
      <w:bookmarkStart w:id="1861" w:name="_Toc398210939"/>
      <w:bookmarkStart w:id="1862" w:name="_Toc398211076"/>
      <w:bookmarkStart w:id="1863" w:name="_Toc398219747"/>
      <w:bookmarkStart w:id="1864" w:name="_Toc398220122"/>
      <w:bookmarkStart w:id="1865" w:name="_Toc398220509"/>
      <w:bookmarkStart w:id="1866" w:name="_Toc398221587"/>
      <w:bookmarkStart w:id="1867" w:name="_Toc398222273"/>
      <w:bookmarkStart w:id="1868" w:name="_Toc398222585"/>
      <w:bookmarkStart w:id="1869" w:name="_Toc398223002"/>
      <w:bookmarkStart w:id="1870" w:name="_Toc398223381"/>
      <w:bookmarkStart w:id="1871" w:name="_Toc398223508"/>
      <w:bookmarkStart w:id="1872" w:name="_Toc398224316"/>
      <w:bookmarkStart w:id="1873" w:name="_Toc398225653"/>
      <w:bookmarkStart w:id="1874" w:name="_Toc398225778"/>
      <w:bookmarkStart w:id="1875" w:name="_Toc398281265"/>
      <w:bookmarkStart w:id="1876" w:name="_Toc398282124"/>
      <w:bookmarkStart w:id="1877" w:name="_Toc398284794"/>
      <w:bookmarkStart w:id="1878" w:name="_Toc398287263"/>
      <w:bookmarkStart w:id="1879" w:name="_Toc398289146"/>
      <w:bookmarkStart w:id="1880" w:name="_Toc398297143"/>
      <w:bookmarkStart w:id="1881" w:name="_Toc398298617"/>
      <w:bookmarkStart w:id="1882" w:name="_Toc398300318"/>
      <w:bookmarkStart w:id="1883" w:name="_Toc398301215"/>
      <w:bookmarkStart w:id="1884" w:name="_Toc398302400"/>
      <w:bookmarkStart w:id="1885" w:name="_Toc398302563"/>
      <w:bookmarkStart w:id="1886" w:name="_Toc398549075"/>
      <w:bookmarkStart w:id="1887" w:name="_Toc398549325"/>
      <w:bookmarkStart w:id="1888" w:name="_Toc398555744"/>
      <w:bookmarkStart w:id="1889" w:name="_Toc398558948"/>
      <w:bookmarkStart w:id="1890" w:name="_Toc398563434"/>
      <w:bookmarkStart w:id="1891" w:name="_Toc398563567"/>
      <w:bookmarkStart w:id="1892" w:name="_Toc398563966"/>
      <w:bookmarkStart w:id="1893" w:name="_Toc396821046"/>
      <w:bookmarkStart w:id="1894" w:name="_Toc396821242"/>
      <w:bookmarkStart w:id="1895" w:name="_Toc396821654"/>
      <w:bookmarkStart w:id="1896" w:name="_Toc396237059"/>
      <w:bookmarkStart w:id="1897" w:name="_Toc396397402"/>
      <w:bookmarkStart w:id="1898" w:name="_Toc396304583"/>
      <w:bookmarkStart w:id="1899" w:name="_Toc396586118"/>
      <w:r w:rsidRPr="008625DC">
        <w:lastRenderedPageBreak/>
        <w:t>Part 2 — Findings and draft recommendations</w:t>
      </w:r>
      <w:bookmarkEnd w:id="1122"/>
      <w:bookmarkEnd w:id="1123"/>
    </w:p>
    <w:p w14:paraId="615E13B9" w14:textId="73421333" w:rsidR="00BB2D5C" w:rsidRPr="008625DC" w:rsidRDefault="00BB2D5C" w:rsidP="00BB2D5C">
      <w:bookmarkStart w:id="1900" w:name="_Toc394583023"/>
      <w:bookmarkStart w:id="1901" w:name="_Toc394585694"/>
      <w:bookmarkStart w:id="1902" w:name="_Toc394586160"/>
      <w:bookmarkStart w:id="1903" w:name="_Toc394588092"/>
      <w:bookmarkStart w:id="1904" w:name="_Toc394588927"/>
      <w:bookmarkStart w:id="1905" w:name="_Toc394589052"/>
      <w:bookmarkStart w:id="1906" w:name="_Toc394590467"/>
      <w:bookmarkStart w:id="1907" w:name="_Toc394590660"/>
      <w:bookmarkStart w:id="1908" w:name="_Toc394654561"/>
      <w:bookmarkStart w:id="1909" w:name="_Toc394654719"/>
      <w:bookmarkStart w:id="1910" w:name="_Toc394656259"/>
      <w:bookmarkStart w:id="1911" w:name="_Toc394656416"/>
      <w:bookmarkStart w:id="1912" w:name="_Toc394659396"/>
      <w:bookmarkStart w:id="1913" w:name="_Toc394659554"/>
      <w:bookmarkStart w:id="1914" w:name="_Toc394663408"/>
      <w:bookmarkStart w:id="1915" w:name="_Toc394663564"/>
      <w:bookmarkStart w:id="1916" w:name="_Toc394667202"/>
      <w:bookmarkStart w:id="1917" w:name="_Toc394667358"/>
      <w:bookmarkStart w:id="1918" w:name="_Toc394671681"/>
      <w:bookmarkStart w:id="1919" w:name="_Toc394671841"/>
      <w:bookmarkStart w:id="1920" w:name="_Toc394674683"/>
      <w:bookmarkStart w:id="1921" w:name="_Toc394674846"/>
      <w:bookmarkStart w:id="1922" w:name="_Toc394674960"/>
      <w:bookmarkStart w:id="1923" w:name="_Toc394675126"/>
      <w:bookmarkStart w:id="1924" w:name="_Toc394676071"/>
      <w:bookmarkStart w:id="1925" w:name="_Toc394676233"/>
      <w:bookmarkStart w:id="1926" w:name="_Toc394675759"/>
      <w:bookmarkStart w:id="1927" w:name="_Toc394675922"/>
      <w:bookmarkStart w:id="1928" w:name="_Toc394918325"/>
      <w:bookmarkStart w:id="1929" w:name="_Toc394918839"/>
      <w:bookmarkStart w:id="1930" w:name="_Toc394930812"/>
      <w:bookmarkStart w:id="1931" w:name="_Toc394933723"/>
      <w:bookmarkStart w:id="1932" w:name="_Toc394415232"/>
      <w:bookmarkStart w:id="1933" w:name="_Toc394415351"/>
      <w:bookmarkStart w:id="1934" w:name="_Toc394412537"/>
      <w:bookmarkStart w:id="1935" w:name="_Toc394412660"/>
      <w:bookmarkStart w:id="1936" w:name="_Toc394420830"/>
      <w:bookmarkStart w:id="1937" w:name="_Toc394420953"/>
      <w:bookmarkStart w:id="1938" w:name="_Toc394423671"/>
      <w:bookmarkStart w:id="1939" w:name="_Toc394423793"/>
      <w:bookmarkStart w:id="1940" w:name="_Toc394422715"/>
      <w:bookmarkStart w:id="1941" w:name="_Toc394422837"/>
      <w:bookmarkStart w:id="1942" w:name="_Toc394423186"/>
      <w:bookmarkStart w:id="1943" w:name="_Toc394423308"/>
      <w:bookmarkStart w:id="1944" w:name="_Toc394424334"/>
      <w:bookmarkStart w:id="1945" w:name="_Toc394424457"/>
      <w:bookmarkStart w:id="1946" w:name="_Toc394492165"/>
      <w:bookmarkStart w:id="1947" w:name="_Toc394492290"/>
      <w:bookmarkStart w:id="1948" w:name="_Toc394495309"/>
      <w:bookmarkStart w:id="1949" w:name="_Toc394495434"/>
      <w:bookmarkStart w:id="1950" w:name="_Toc394498124"/>
      <w:bookmarkStart w:id="1951" w:name="_Toc394498249"/>
      <w:bookmarkStart w:id="1952" w:name="_Toc394500914"/>
      <w:bookmarkStart w:id="1953" w:name="_Toc394501039"/>
      <w:bookmarkStart w:id="1954" w:name="_Toc394502311"/>
      <w:bookmarkStart w:id="1955" w:name="_Toc394502429"/>
      <w:bookmarkStart w:id="1956" w:name="_Toc394503215"/>
      <w:bookmarkStart w:id="1957" w:name="_Toc394503788"/>
      <w:bookmarkStart w:id="1958" w:name="_Toc394502759"/>
      <w:bookmarkStart w:id="1959" w:name="_Toc394502877"/>
      <w:bookmarkStart w:id="1960" w:name="_Toc394505966"/>
      <w:bookmarkStart w:id="1961" w:name="_Toc394506206"/>
      <w:bookmarkStart w:id="1962" w:name="_Toc394506424"/>
      <w:bookmarkStart w:id="1963" w:name="_Toc394506543"/>
      <w:bookmarkStart w:id="1964" w:name="_Toc394506978"/>
      <w:bookmarkStart w:id="1965" w:name="_Toc394507097"/>
      <w:bookmarkStart w:id="1966" w:name="_Toc394561051"/>
      <w:bookmarkStart w:id="1967" w:name="_Toc394561174"/>
      <w:bookmarkStart w:id="1968" w:name="_Toc394561512"/>
      <w:bookmarkStart w:id="1969" w:name="_Toc394562007"/>
      <w:bookmarkStart w:id="1970" w:name="_Toc391906834"/>
      <w:bookmarkStart w:id="1971" w:name="_Toc391908243"/>
      <w:bookmarkStart w:id="1972" w:name="_Toc392149067"/>
      <w:bookmarkStart w:id="1973" w:name="_Toc392159519"/>
      <w:bookmarkStart w:id="1974" w:name="_Toc392162286"/>
      <w:bookmarkStart w:id="1975" w:name="_Toc392164051"/>
      <w:bookmarkStart w:id="1976" w:name="_Toc392168999"/>
      <w:bookmarkStart w:id="1977" w:name="_Toc392169933"/>
      <w:bookmarkStart w:id="1978" w:name="_Toc392170627"/>
      <w:bookmarkStart w:id="1979" w:name="_Toc392170801"/>
      <w:bookmarkStart w:id="1980" w:name="_Toc392171216"/>
      <w:bookmarkStart w:id="1981" w:name="_Toc392172805"/>
      <w:bookmarkStart w:id="1982" w:name="_Toc392173169"/>
      <w:bookmarkStart w:id="1983" w:name="_Toc392173345"/>
      <w:bookmarkStart w:id="1984" w:name="_Toc392238334"/>
      <w:bookmarkStart w:id="1985" w:name="_Toc392247635"/>
      <w:bookmarkStart w:id="1986" w:name="_Toc392247910"/>
      <w:bookmarkStart w:id="1987" w:name="_Toc392248582"/>
      <w:bookmarkStart w:id="1988" w:name="_Toc392251115"/>
      <w:bookmarkStart w:id="1989" w:name="_Toc392253739"/>
      <w:bookmarkStart w:id="1990" w:name="_Toc392253916"/>
      <w:bookmarkStart w:id="1991" w:name="_Toc392255507"/>
      <w:bookmarkStart w:id="1992" w:name="_Toc392256302"/>
      <w:bookmarkStart w:id="1993" w:name="_Toc392257497"/>
      <w:bookmarkStart w:id="1994" w:name="_Toc392498513"/>
      <w:bookmarkStart w:id="1995" w:name="_Toc392500508"/>
      <w:bookmarkStart w:id="1996" w:name="_Toc392513323"/>
      <w:bookmarkStart w:id="1997" w:name="_Toc392514236"/>
      <w:bookmarkStart w:id="1998" w:name="_Toc392515423"/>
      <w:bookmarkStart w:id="1999" w:name="_Toc392517353"/>
      <w:bookmarkStart w:id="2000" w:name="_Toc392517359"/>
      <w:bookmarkStart w:id="2001" w:name="_Toc392517620"/>
      <w:bookmarkStart w:id="2002" w:name="_Toc392517773"/>
      <w:bookmarkStart w:id="2003" w:name="_Toc392517853"/>
      <w:bookmarkStart w:id="2004" w:name="_Toc392685054"/>
      <w:bookmarkStart w:id="2005" w:name="_Toc392685144"/>
      <w:bookmarkStart w:id="2006" w:name="_Toc392687307"/>
      <w:bookmarkStart w:id="2007" w:name="_Toc392688476"/>
      <w:bookmarkStart w:id="2008" w:name="_Toc392689476"/>
      <w:bookmarkStart w:id="2009" w:name="_Toc392690260"/>
      <w:bookmarkStart w:id="2010" w:name="_Toc392843483"/>
      <w:bookmarkStart w:id="2011" w:name="_Toc392853117"/>
      <w:bookmarkStart w:id="2012" w:name="_Toc392859872"/>
      <w:bookmarkStart w:id="2013" w:name="_Toc392860760"/>
      <w:bookmarkStart w:id="2014" w:name="_Toc392861530"/>
      <w:bookmarkStart w:id="2015" w:name="_Toc393203494"/>
      <w:bookmarkStart w:id="2016" w:name="_Toc393207274"/>
      <w:bookmarkStart w:id="2017" w:name="_Toc393207365"/>
      <w:bookmarkStart w:id="2018" w:name="_Toc393208138"/>
      <w:bookmarkStart w:id="2019" w:name="_Toc393208236"/>
      <w:bookmarkStart w:id="2020" w:name="_Toc393208325"/>
      <w:bookmarkStart w:id="2021" w:name="_Toc393208414"/>
      <w:bookmarkStart w:id="2022" w:name="_Toc393209738"/>
      <w:bookmarkStart w:id="2023" w:name="_Toc393276102"/>
      <w:bookmarkStart w:id="2024" w:name="_Toc393279004"/>
      <w:bookmarkStart w:id="2025" w:name="_Toc393289890"/>
      <w:bookmarkStart w:id="2026" w:name="_Toc393289985"/>
      <w:bookmarkStart w:id="2027" w:name="_Toc393292370"/>
      <w:bookmarkStart w:id="2028" w:name="_Toc393293992"/>
      <w:bookmarkStart w:id="2029" w:name="_Toc393295011"/>
      <w:bookmarkStart w:id="2030" w:name="_Toc393295316"/>
      <w:bookmarkStart w:id="2031" w:name="_Toc393296307"/>
      <w:bookmarkStart w:id="2032" w:name="_Toc393363246"/>
      <w:bookmarkStart w:id="2033" w:name="_Toc393372303"/>
      <w:bookmarkStart w:id="2034" w:name="_Toc393373397"/>
      <w:bookmarkStart w:id="2035" w:name="_Toc393374505"/>
      <w:bookmarkStart w:id="2036" w:name="_Toc393379275"/>
      <w:bookmarkStart w:id="2037" w:name="_Toc393379887"/>
      <w:bookmarkStart w:id="2038" w:name="_Toc393379983"/>
      <w:bookmarkStart w:id="2039" w:name="_Toc393879326"/>
      <w:bookmarkStart w:id="2040" w:name="_Toc393879557"/>
      <w:r w:rsidRPr="008625DC">
        <w:t>The Review</w:t>
      </w:r>
      <w:r w:rsidR="00C74E19" w:rsidRPr="008625DC">
        <w:t>’</w:t>
      </w:r>
      <w:r w:rsidRPr="008625DC">
        <w:t>s Terms of Reference require an assessment of Australia</w:t>
      </w:r>
      <w:r w:rsidR="00C74E19" w:rsidRPr="008625DC">
        <w:t>’</w:t>
      </w:r>
      <w:r w:rsidRPr="008625DC">
        <w:t>s competition policies, laws and institutions to determine whether they remain fit for purpose, especially in light of the opportunities and challenges facing Australia into the foreseeable future.</w:t>
      </w:r>
    </w:p>
    <w:p w14:paraId="7127886E" w14:textId="77777777" w:rsidR="00BB2D5C" w:rsidRPr="008625DC" w:rsidRDefault="00BB2D5C" w:rsidP="00BB2D5C">
      <w:r w:rsidRPr="008625DC">
        <w:t>In this Part we summarise our findings and propose draft recommendations to address the deficiencies we have identified.</w:t>
      </w:r>
    </w:p>
    <w:p w14:paraId="14A9D734" w14:textId="77777777" w:rsidR="00BB2D5C" w:rsidRPr="008625DC" w:rsidRDefault="00BB2D5C" w:rsidP="00BB2D5C">
      <w:r w:rsidRPr="008625DC">
        <w:t>The Panel invites stakeholders to respond to our findings and draft recommendations so that we have the opportunity to refine and/or amend them, if necessary, prior to submitting our Final Report to the Australian Government by March 2015.</w:t>
      </w:r>
    </w:p>
    <w:p w14:paraId="52B1A74D" w14:textId="77777777" w:rsidR="00BB2D5C" w:rsidRPr="008625DC" w:rsidRDefault="00AD530F" w:rsidP="00BB2D5C">
      <w:hyperlink w:anchor="Ch2" w:history="1">
        <w:r w:rsidR="00BB2D5C" w:rsidRPr="008625DC">
          <w:rPr>
            <w:rStyle w:val="Hyperlink"/>
          </w:rPr>
          <w:t>Chapter 2</w:t>
        </w:r>
      </w:hyperlink>
      <w:r w:rsidR="00BB2D5C" w:rsidRPr="008625DC">
        <w:t xml:space="preserve"> presents our draft recommendations for priority areas of reform in competition policy.</w:t>
      </w:r>
    </w:p>
    <w:p w14:paraId="046C24C5" w14:textId="77777777" w:rsidR="00BB2D5C" w:rsidRPr="008625DC" w:rsidRDefault="00BB2D5C" w:rsidP="00BB2D5C">
      <w:r w:rsidRPr="008625DC">
        <w:t>These are informed by a revised set of competition principles attuned to the challenges and opportunities likely to face the Australian economy in coming decades. A key lesson from the National Competition Policy (NCP) experience is the importance of an agreed framework which can then be applied by governments in their own jurisdictions, and as necessary adapted to local conditions.</w:t>
      </w:r>
    </w:p>
    <w:p w14:paraId="43CB4D58" w14:textId="1BBECCCC" w:rsidR="00BB2D5C" w:rsidRPr="008625DC" w:rsidRDefault="00BB2D5C" w:rsidP="00BB2D5C">
      <w:r w:rsidRPr="008625DC">
        <w:t>A further lesson from NCP is that all reform initiatives cannot be progressed simultaneously. The Panel recognises the importance of assigning priorities to reform initiatives so that those with the greatest potential benefit to Australians are progressed first. Moreover, priorities will change as technology changes — for instance, the development of the National Broadband Network and mobile infrastructure have meant that access to the unbundled local loop (the copper network) is a</w:t>
      </w:r>
      <w:r w:rsidR="00307A40" w:rsidRPr="008625DC">
        <w:t> </w:t>
      </w:r>
      <w:r w:rsidRPr="008625DC">
        <w:t xml:space="preserve">less significant issue than it was in 1995. </w:t>
      </w:r>
    </w:p>
    <w:p w14:paraId="6962F026" w14:textId="77777777" w:rsidR="00BB2D5C" w:rsidRPr="008625DC" w:rsidRDefault="00BB2D5C" w:rsidP="00BB2D5C">
      <w:r w:rsidRPr="008625DC">
        <w:t xml:space="preserve">Competition policy reforms most likely to generate large net benefits are those that: (i) benefit a sizeable part of the economy or have deep links to other sectors; (ii) remove a significant barrier to competition; or (iii) subject activities with significant government involvement to greater contestability and consumer choice. </w:t>
      </w:r>
    </w:p>
    <w:p w14:paraId="13A3D114" w14:textId="6854C31A" w:rsidR="00BB2D5C" w:rsidRPr="008625DC" w:rsidRDefault="00AD530F" w:rsidP="00BB2D5C">
      <w:pPr>
        <w:pStyle w:val="Bullet"/>
        <w:numPr>
          <w:ilvl w:val="0"/>
          <w:numId w:val="0"/>
        </w:numPr>
      </w:pPr>
      <w:hyperlink w:anchor="Ch3" w:history="1">
        <w:r w:rsidR="00BB2D5C" w:rsidRPr="008625DC">
          <w:rPr>
            <w:rStyle w:val="Hyperlink"/>
          </w:rPr>
          <w:t>Chapter 3</w:t>
        </w:r>
      </w:hyperlink>
      <w:r w:rsidR="00BB2D5C" w:rsidRPr="008625DC">
        <w:t xml:space="preserve"> outlines our draft recommendations for changes to the </w:t>
      </w:r>
      <w:r w:rsidR="00BB2D5C" w:rsidRPr="008625DC">
        <w:rPr>
          <w:i/>
        </w:rPr>
        <w:t>Competition and Consumer Act</w:t>
      </w:r>
      <w:r w:rsidR="00307A40" w:rsidRPr="008625DC">
        <w:rPr>
          <w:i/>
        </w:rPr>
        <w:t> </w:t>
      </w:r>
      <w:r w:rsidR="00BB2D5C" w:rsidRPr="008625DC">
        <w:rPr>
          <w:i/>
        </w:rPr>
        <w:t xml:space="preserve">2010 </w:t>
      </w:r>
      <w:r w:rsidR="00BB2D5C" w:rsidRPr="008625DC">
        <w:t xml:space="preserve">(CCA). </w:t>
      </w:r>
    </w:p>
    <w:p w14:paraId="0E9895A1" w14:textId="77777777" w:rsidR="00BB2D5C" w:rsidRPr="008625DC" w:rsidRDefault="00BB2D5C" w:rsidP="00BB2D5C">
      <w:r w:rsidRPr="008625DC">
        <w:t xml:space="preserve">The Panel has viewed reform of the CCA through the lens of fitness for purpose. In some areas we conclude there is a need for substantive change to the way the law is drafted. In other areas our recommended changes go to clarification and simplification of the law. </w:t>
      </w:r>
    </w:p>
    <w:p w14:paraId="0EB0FF28" w14:textId="77777777" w:rsidR="00BB2D5C" w:rsidRPr="008625DC" w:rsidRDefault="00BB2D5C" w:rsidP="00BB2D5C">
      <w:pPr>
        <w:pStyle w:val="Bullet"/>
        <w:numPr>
          <w:ilvl w:val="0"/>
          <w:numId w:val="0"/>
        </w:numPr>
      </w:pPr>
      <w:r w:rsidRPr="008625DC">
        <w:t>On some issues the Panel finds the law itself fit for purpose but shares concerns expressed by stakeholders, especially small business, about access to remedies under the law.</w:t>
      </w:r>
    </w:p>
    <w:p w14:paraId="373967D1" w14:textId="77777777" w:rsidR="00BB2D5C" w:rsidRPr="008625DC" w:rsidRDefault="00AD530F" w:rsidP="00BB2D5C">
      <w:hyperlink w:anchor="Ch4" w:history="1">
        <w:r w:rsidR="00BB2D5C" w:rsidRPr="008625DC">
          <w:rPr>
            <w:rStyle w:val="Hyperlink"/>
          </w:rPr>
          <w:t>Chapter 4</w:t>
        </w:r>
      </w:hyperlink>
      <w:r w:rsidR="00BB2D5C" w:rsidRPr="008625DC">
        <w:t xml:space="preserve"> outlines our draft recommendations on the institutional structure most likely to sustain enduring reform.</w:t>
      </w:r>
    </w:p>
    <w:p w14:paraId="30507EF0" w14:textId="77777777" w:rsidR="00BB2D5C" w:rsidRPr="008625DC" w:rsidRDefault="00BB2D5C" w:rsidP="00BB2D5C">
      <w:r w:rsidRPr="008625DC">
        <w:t xml:space="preserve">Like the Hilmer Review, we recognise that policy reform will only gain momentum if it is supported by all jurisdictions. </w:t>
      </w:r>
    </w:p>
    <w:p w14:paraId="1B229801" w14:textId="77777777" w:rsidR="00BB2D5C" w:rsidRPr="008625DC" w:rsidRDefault="00BB2D5C" w:rsidP="00BB2D5C">
      <w:r w:rsidRPr="008625DC">
        <w:rPr>
          <w:color w:val="auto"/>
        </w:rPr>
        <w:t xml:space="preserve">Australia has been well served by its competition policy institutions, yet this is not sufficient reason to retain the framework in its current form. The flagging momentum of competition reform points to the need for reinvigoration through strong institutional frameworks. </w:t>
      </w:r>
    </w:p>
    <w:p w14:paraId="192E1789" w14:textId="77777777" w:rsidR="00BB2D5C" w:rsidRPr="008625DC" w:rsidRDefault="00BB2D5C" w:rsidP="00BB2D5C">
      <w:r w:rsidRPr="008625DC">
        <w:lastRenderedPageBreak/>
        <w:t xml:space="preserve">The Panel has identified a clear gap in the competition framework — an institution is needed to advocate for competition reform and to oversee the implementation of reforms instituted by governments in the wake of this Review. </w:t>
      </w:r>
    </w:p>
    <w:p w14:paraId="1849ACF4" w14:textId="0F546586" w:rsidR="00BB2D5C" w:rsidRPr="008625DC" w:rsidRDefault="00AD530F" w:rsidP="00307A40">
      <w:hyperlink w:anchor="Ch5" w:history="1">
        <w:r w:rsidR="00BB2D5C" w:rsidRPr="008625DC">
          <w:rPr>
            <w:rStyle w:val="Hyperlink"/>
          </w:rPr>
          <w:t>Chapter 5</w:t>
        </w:r>
      </w:hyperlink>
      <w:r w:rsidR="00BB2D5C" w:rsidRPr="008625DC">
        <w:t xml:space="preserve"> outlines our draft recommendations which relate </w:t>
      </w:r>
      <w:r w:rsidR="005A60E9">
        <w:t xml:space="preserve">to </w:t>
      </w:r>
      <w:r w:rsidR="00BB2D5C" w:rsidRPr="008625DC">
        <w:t>the concerns that small businesses have raised with us.</w:t>
      </w:r>
    </w:p>
    <w:p w14:paraId="5D7CB95F" w14:textId="77777777" w:rsidR="00BB2D5C" w:rsidRPr="008625DC" w:rsidRDefault="00BB2D5C" w:rsidP="00307A40">
      <w:r w:rsidRPr="008625DC">
        <w:t>Access to remedies has been a roadblock for many small businesses, and the Panel finds that access should be improved. We find that the collective bargaining framework should be enhanced and made more flexible. We also make draft recommendations on competitive neutrality and regulations that can restrict the way small businesses operate.</w:t>
      </w:r>
    </w:p>
    <w:p w14:paraId="14E05C36" w14:textId="77777777" w:rsidR="00BB2D5C" w:rsidRPr="008625DC" w:rsidRDefault="00AD530F" w:rsidP="00307A40">
      <w:hyperlink w:anchor="Ch6" w:history="1">
        <w:r w:rsidR="00BB2D5C" w:rsidRPr="008625DC">
          <w:rPr>
            <w:rStyle w:val="Hyperlink"/>
          </w:rPr>
          <w:t>Chapter 6</w:t>
        </w:r>
      </w:hyperlink>
      <w:r w:rsidR="00BB2D5C" w:rsidRPr="008625DC">
        <w:t xml:space="preserve"> presents our draft recommendations on retail markets, in particular supermarkets and pharmacies. We also discuss restrictions on retail trading hours. </w:t>
      </w:r>
    </w:p>
    <w:p w14:paraId="7E3E5044" w14:textId="77777777" w:rsidR="00BB2D5C" w:rsidRPr="008625DC" w:rsidRDefault="00BB2D5C" w:rsidP="00BB2D5C"/>
    <w:p w14:paraId="379A39F0" w14:textId="77777777" w:rsidR="00BB2D5C" w:rsidRPr="008625DC" w:rsidRDefault="00BB2D5C" w:rsidP="00BB2D5C">
      <w:pPr>
        <w:spacing w:before="0" w:after="0"/>
        <w:sectPr w:rsidR="00BB2D5C" w:rsidRPr="008625DC" w:rsidSect="00AA577F">
          <w:footerReference w:type="default" r:id="rId40"/>
          <w:pgSz w:w="11906" w:h="16838" w:code="9"/>
          <w:pgMar w:top="1418" w:right="1418" w:bottom="1418" w:left="1418" w:header="709" w:footer="709" w:gutter="0"/>
          <w:cols w:space="708"/>
          <w:docGrid w:linePitch="360"/>
        </w:sectPr>
      </w:pPr>
      <w:r w:rsidRPr="008625DC">
        <w:br w:type="page"/>
      </w:r>
    </w:p>
    <w:p w14:paraId="06C5302B" w14:textId="77777777" w:rsidR="001E4B43" w:rsidRPr="008625DC" w:rsidRDefault="001E4B43" w:rsidP="001E4B43">
      <w:pPr>
        <w:pStyle w:val="Heading1"/>
        <w:ind w:left="851" w:hanging="851"/>
      </w:pPr>
      <w:bookmarkStart w:id="2041" w:name="_Toc398827305"/>
      <w:bookmarkStart w:id="2042" w:name="_Toc3988274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sidRPr="008625DC">
        <w:lastRenderedPageBreak/>
        <w:t>Competition Policy</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2041"/>
      <w:bookmarkEnd w:id="2042"/>
    </w:p>
    <w:p w14:paraId="55D599BE" w14:textId="77777777" w:rsidR="001E4B43" w:rsidRPr="008625DC" w:rsidRDefault="001E4B43" w:rsidP="001E4B43">
      <w:pPr>
        <w:pStyle w:val="Heading2"/>
        <w:ind w:left="851" w:hanging="851"/>
        <w:rPr>
          <w:lang w:val="en-AU"/>
        </w:rPr>
      </w:pPr>
      <w:bookmarkStart w:id="2043" w:name="_Toc396397363"/>
      <w:bookmarkStart w:id="2044" w:name="_Toc395111947"/>
      <w:bookmarkStart w:id="2045" w:name="_Toc395112314"/>
      <w:bookmarkStart w:id="2046" w:name="_Toc395112425"/>
      <w:bookmarkStart w:id="2047" w:name="_Toc395106867"/>
      <w:bookmarkStart w:id="2048" w:name="_Toc395107456"/>
      <w:bookmarkStart w:id="2049" w:name="_Toc395107570"/>
      <w:bookmarkStart w:id="2050" w:name="_Toc395110119"/>
      <w:bookmarkStart w:id="2051" w:name="_Toc395108627"/>
      <w:bookmarkStart w:id="2052" w:name="_Toc395109018"/>
      <w:bookmarkStart w:id="2053" w:name="_Toc395113867"/>
      <w:bookmarkStart w:id="2054" w:name="_Toc395114257"/>
      <w:bookmarkStart w:id="2055" w:name="_Toc395114377"/>
      <w:bookmarkStart w:id="2056" w:name="_Toc395116603"/>
      <w:bookmarkStart w:id="2057" w:name="_Toc395116994"/>
      <w:bookmarkStart w:id="2058" w:name="_Toc395117115"/>
      <w:bookmarkStart w:id="2059" w:name="_Toc395112540"/>
      <w:bookmarkStart w:id="2060" w:name="_Toc395113112"/>
      <w:bookmarkStart w:id="2061" w:name="_Toc395113233"/>
      <w:bookmarkStart w:id="2062" w:name="_Toc395115079"/>
      <w:bookmarkStart w:id="2063" w:name="_Toc395115471"/>
      <w:bookmarkStart w:id="2064" w:name="_Toc395115592"/>
      <w:bookmarkStart w:id="2065" w:name="_Toc395118234"/>
      <w:bookmarkStart w:id="2066" w:name="_Toc395118623"/>
      <w:bookmarkStart w:id="2067" w:name="_Toc395118742"/>
      <w:bookmarkStart w:id="2068" w:name="_Toc395178327"/>
      <w:bookmarkStart w:id="2069" w:name="_Toc395624816"/>
      <w:bookmarkStart w:id="2070" w:name="_Toc395624933"/>
      <w:bookmarkStart w:id="2071" w:name="_Toc395789787"/>
      <w:bookmarkStart w:id="2072" w:name="_Toc395790167"/>
      <w:bookmarkStart w:id="2073" w:name="_Toc395800925"/>
      <w:bookmarkStart w:id="2074" w:name="_Toc395802908"/>
      <w:bookmarkStart w:id="2075" w:name="_Toc395867516"/>
      <w:bookmarkStart w:id="2076" w:name="_Toc395867684"/>
      <w:bookmarkStart w:id="2077" w:name="_Toc395868649"/>
      <w:bookmarkStart w:id="2078" w:name="_Toc395868816"/>
      <w:bookmarkStart w:id="2079" w:name="_Toc395879030"/>
      <w:bookmarkStart w:id="2080" w:name="_Toc395879195"/>
      <w:bookmarkStart w:id="2081" w:name="_Toc395882154"/>
      <w:bookmarkStart w:id="2082" w:name="_Toc395882319"/>
      <w:bookmarkStart w:id="2083" w:name="_Toc395882485"/>
      <w:bookmarkStart w:id="2084" w:name="_Toc395882650"/>
      <w:bookmarkStart w:id="2085" w:name="_Toc395880649"/>
      <w:bookmarkStart w:id="2086" w:name="_Toc395880980"/>
      <w:bookmarkStart w:id="2087" w:name="_Toc395881538"/>
      <w:bookmarkStart w:id="2088" w:name="_Toc395883923"/>
      <w:bookmarkStart w:id="2089" w:name="_Toc395884088"/>
      <w:bookmarkStart w:id="2090" w:name="_Toc395884585"/>
      <w:bookmarkStart w:id="2091" w:name="_Toc395884750"/>
      <w:bookmarkStart w:id="2092" w:name="_Toc395883294"/>
      <w:bookmarkStart w:id="2093" w:name="_Toc395883459"/>
      <w:bookmarkStart w:id="2094" w:name="_Toc395883624"/>
      <w:bookmarkStart w:id="2095" w:name="_Toc395883789"/>
      <w:bookmarkStart w:id="2096" w:name="_Toc395884926"/>
      <w:bookmarkStart w:id="2097" w:name="_Toc396123899"/>
      <w:bookmarkStart w:id="2098" w:name="_Toc396130801"/>
      <w:bookmarkStart w:id="2099" w:name="_Toc396136379"/>
      <w:bookmarkStart w:id="2100" w:name="_Toc396138905"/>
      <w:bookmarkStart w:id="2101" w:name="_Toc396145603"/>
      <w:bookmarkStart w:id="2102" w:name="_Toc396145826"/>
      <w:bookmarkStart w:id="2103" w:name="_Toc396146484"/>
      <w:bookmarkStart w:id="2104" w:name="_Toc396147648"/>
      <w:bookmarkStart w:id="2105" w:name="_Toc396147855"/>
      <w:bookmarkStart w:id="2106" w:name="_Toc396149111"/>
      <w:bookmarkStart w:id="2107" w:name="_Toc396148903"/>
      <w:bookmarkStart w:id="2108" w:name="_Toc396149605"/>
      <w:bookmarkStart w:id="2109" w:name="_Toc396149330"/>
      <w:bookmarkStart w:id="2110" w:name="_Toc396150034"/>
      <w:bookmarkStart w:id="2111" w:name="_Toc396149959"/>
      <w:bookmarkStart w:id="2112" w:name="_Toc396149788"/>
      <w:bookmarkStart w:id="2113" w:name="_Toc396150550"/>
      <w:bookmarkStart w:id="2114" w:name="_Toc396151518"/>
      <w:bookmarkStart w:id="2115" w:name="_Toc396151733"/>
      <w:bookmarkStart w:id="2116" w:name="_Toc396202526"/>
      <w:bookmarkStart w:id="2117" w:name="_Toc396202745"/>
      <w:bookmarkStart w:id="2118" w:name="_Toc396206733"/>
      <w:bookmarkStart w:id="2119" w:name="_Toc396206952"/>
      <w:bookmarkStart w:id="2120" w:name="_Toc396209561"/>
      <w:bookmarkStart w:id="2121" w:name="_Toc396209780"/>
      <w:bookmarkStart w:id="2122" w:name="_Toc396211985"/>
      <w:bookmarkStart w:id="2123" w:name="_Toc396212204"/>
      <w:bookmarkStart w:id="2124" w:name="_Toc396213327"/>
      <w:bookmarkStart w:id="2125" w:name="_Toc396213546"/>
      <w:bookmarkStart w:id="2126" w:name="_Toc396214604"/>
      <w:bookmarkStart w:id="2127" w:name="_Toc396214822"/>
      <w:bookmarkStart w:id="2128" w:name="_Toc396226716"/>
      <w:bookmarkStart w:id="2129" w:name="_Toc396226933"/>
      <w:bookmarkStart w:id="2130" w:name="_Toc396228916"/>
      <w:bookmarkStart w:id="2131" w:name="_Toc396229139"/>
      <w:bookmarkStart w:id="2132" w:name="_Toc396230558"/>
      <w:bookmarkStart w:id="2133" w:name="_Toc396230781"/>
      <w:bookmarkStart w:id="2134" w:name="_Toc396231699"/>
      <w:bookmarkStart w:id="2135" w:name="_Toc396231923"/>
      <w:bookmarkStart w:id="2136" w:name="_Toc396233339"/>
      <w:bookmarkStart w:id="2137" w:name="_Toc396233563"/>
      <w:bookmarkStart w:id="2138" w:name="_Toc396234159"/>
      <w:bookmarkStart w:id="2139" w:name="_Toc396234383"/>
      <w:bookmarkStart w:id="2140" w:name="_Toc396234570"/>
      <w:bookmarkStart w:id="2141" w:name="_Toc396304651"/>
      <w:bookmarkStart w:id="2142" w:name="_Toc396586184"/>
      <w:bookmarkStart w:id="2143" w:name="_Toc396815099"/>
      <w:bookmarkStart w:id="2144" w:name="_Toc396821048"/>
      <w:bookmarkStart w:id="2145" w:name="_Toc396821244"/>
      <w:bookmarkStart w:id="2146" w:name="_Toc396821656"/>
      <w:bookmarkStart w:id="2147" w:name="_Toc396827506"/>
      <w:bookmarkStart w:id="2148" w:name="_Toc396828477"/>
      <w:bookmarkStart w:id="2149" w:name="_Toc396828587"/>
      <w:bookmarkStart w:id="2150" w:name="_Toc396837976"/>
      <w:bookmarkStart w:id="2151" w:name="_Toc396838374"/>
      <w:bookmarkStart w:id="2152" w:name="_Toc396904107"/>
      <w:bookmarkStart w:id="2153" w:name="_Toc396904697"/>
      <w:bookmarkStart w:id="2154" w:name="_Toc396907531"/>
      <w:bookmarkStart w:id="2155" w:name="_Toc396912450"/>
      <w:bookmarkStart w:id="2156" w:name="_Toc396914430"/>
      <w:bookmarkStart w:id="2157" w:name="_Toc396915314"/>
      <w:bookmarkStart w:id="2158" w:name="_Toc396915708"/>
      <w:bookmarkStart w:id="2159" w:name="_Toc396921019"/>
      <w:bookmarkStart w:id="2160" w:name="_Toc396924359"/>
      <w:bookmarkStart w:id="2161" w:name="_Toc396925053"/>
      <w:bookmarkStart w:id="2162" w:name="_Toc396992173"/>
      <w:bookmarkStart w:id="2163" w:name="_Toc396992752"/>
      <w:bookmarkStart w:id="2164" w:name="_Toc396994416"/>
      <w:bookmarkStart w:id="2165" w:name="_Toc396998027"/>
      <w:bookmarkStart w:id="2166" w:name="_Toc397002187"/>
      <w:bookmarkStart w:id="2167" w:name="_Toc397008664"/>
      <w:bookmarkStart w:id="2168" w:name="_Toc397008882"/>
      <w:bookmarkStart w:id="2169" w:name="_Toc397011554"/>
      <w:bookmarkStart w:id="2170" w:name="_Toc397012615"/>
      <w:bookmarkStart w:id="2171" w:name="_Toc397014957"/>
      <w:bookmarkStart w:id="2172" w:name="_Toc397015444"/>
      <w:bookmarkStart w:id="2173" w:name="_Toc397070515"/>
      <w:bookmarkStart w:id="2174" w:name="_Toc397413253"/>
      <w:bookmarkStart w:id="2175" w:name="_Toc397413400"/>
      <w:bookmarkStart w:id="2176" w:name="_Toc397427985"/>
      <w:bookmarkStart w:id="2177" w:name="_Toc397439373"/>
      <w:bookmarkStart w:id="2178" w:name="_Toc397439543"/>
      <w:bookmarkStart w:id="2179" w:name="_Toc397439799"/>
      <w:bookmarkStart w:id="2180" w:name="_Toc397440101"/>
      <w:bookmarkStart w:id="2181" w:name="_Toc397441730"/>
      <w:bookmarkStart w:id="2182" w:name="_Toc397517432"/>
      <w:bookmarkStart w:id="2183" w:name="_Toc397522697"/>
      <w:bookmarkStart w:id="2184" w:name="_Toc397526115"/>
      <w:bookmarkStart w:id="2185" w:name="_Toc397528430"/>
      <w:bookmarkStart w:id="2186" w:name="_Toc397528905"/>
      <w:bookmarkStart w:id="2187" w:name="_Toc397601902"/>
      <w:bookmarkStart w:id="2188" w:name="_Toc397602637"/>
      <w:bookmarkStart w:id="2189" w:name="_Toc397605766"/>
      <w:bookmarkStart w:id="2190" w:name="_Toc397614910"/>
      <w:bookmarkStart w:id="2191" w:name="_Toc397616353"/>
      <w:bookmarkStart w:id="2192" w:name="_Toc397616747"/>
      <w:bookmarkStart w:id="2193" w:name="_Toc397679157"/>
      <w:bookmarkStart w:id="2194" w:name="_Toc397688045"/>
      <w:bookmarkStart w:id="2195" w:name="_Toc397689261"/>
      <w:bookmarkStart w:id="2196" w:name="_Toc397694541"/>
      <w:bookmarkStart w:id="2197" w:name="_Toc397696382"/>
      <w:bookmarkStart w:id="2198" w:name="_Toc397697116"/>
      <w:bookmarkStart w:id="2199" w:name="_Toc397698403"/>
      <w:bookmarkStart w:id="2200" w:name="_Toc397699769"/>
      <w:bookmarkStart w:id="2201" w:name="_Toc397700223"/>
      <w:bookmarkStart w:id="2202" w:name="_Toc397936615"/>
      <w:bookmarkStart w:id="2203" w:name="_Toc397936735"/>
      <w:bookmarkStart w:id="2204" w:name="_Toc397945743"/>
      <w:bookmarkStart w:id="2205" w:name="_Toc397945890"/>
      <w:bookmarkStart w:id="2206" w:name="_Toc397946916"/>
      <w:bookmarkStart w:id="2207" w:name="_Toc397948035"/>
      <w:bookmarkStart w:id="2208" w:name="_Toc397958441"/>
      <w:bookmarkStart w:id="2209" w:name="_Toc397958683"/>
      <w:bookmarkStart w:id="2210" w:name="_Toc397959098"/>
      <w:bookmarkStart w:id="2211" w:name="_Toc397962951"/>
      <w:bookmarkStart w:id="2212" w:name="_Toc397963317"/>
      <w:bookmarkStart w:id="2213" w:name="_Toc397965394"/>
      <w:bookmarkStart w:id="2214" w:name="_Toc398197332"/>
      <w:bookmarkStart w:id="2215" w:name="_Toc398201549"/>
      <w:bookmarkStart w:id="2216" w:name="_Toc398207154"/>
      <w:bookmarkStart w:id="2217" w:name="_Toc398210427"/>
      <w:bookmarkStart w:id="2218" w:name="_Toc398210941"/>
      <w:bookmarkStart w:id="2219" w:name="_Toc398211078"/>
      <w:bookmarkStart w:id="2220" w:name="_Toc398219749"/>
      <w:bookmarkStart w:id="2221" w:name="_Toc398220124"/>
      <w:bookmarkStart w:id="2222" w:name="_Toc398220511"/>
      <w:bookmarkStart w:id="2223" w:name="_Toc398221589"/>
      <w:bookmarkStart w:id="2224" w:name="_Toc398222275"/>
      <w:bookmarkStart w:id="2225" w:name="_Toc398222587"/>
      <w:bookmarkStart w:id="2226" w:name="_Toc398223004"/>
      <w:bookmarkStart w:id="2227" w:name="_Toc398223383"/>
      <w:bookmarkStart w:id="2228" w:name="_Toc398223510"/>
      <w:bookmarkStart w:id="2229" w:name="_Toc398224318"/>
      <w:bookmarkStart w:id="2230" w:name="_Toc398225655"/>
      <w:bookmarkStart w:id="2231" w:name="_Toc398225780"/>
      <w:bookmarkStart w:id="2232" w:name="_Toc398281267"/>
      <w:bookmarkStart w:id="2233" w:name="_Toc398282126"/>
      <w:bookmarkStart w:id="2234" w:name="_Toc398284796"/>
      <w:bookmarkStart w:id="2235" w:name="_Toc398287265"/>
      <w:bookmarkStart w:id="2236" w:name="_Toc398289148"/>
      <w:bookmarkStart w:id="2237" w:name="_Toc398297145"/>
      <w:bookmarkStart w:id="2238" w:name="_Toc398298619"/>
      <w:bookmarkStart w:id="2239" w:name="_Toc398300320"/>
      <w:bookmarkStart w:id="2240" w:name="_Toc398301217"/>
      <w:bookmarkStart w:id="2241" w:name="_Toc398302402"/>
      <w:bookmarkStart w:id="2242" w:name="_Toc398302565"/>
      <w:bookmarkStart w:id="2243" w:name="_Toc398549077"/>
      <w:bookmarkStart w:id="2244" w:name="_Toc398549327"/>
      <w:bookmarkStart w:id="2245" w:name="_Toc398555746"/>
      <w:bookmarkStart w:id="2246" w:name="_Toc398558950"/>
      <w:bookmarkStart w:id="2247" w:name="_Toc398563436"/>
      <w:bookmarkStart w:id="2248" w:name="_Toc398563569"/>
      <w:bookmarkStart w:id="2249" w:name="_Toc398563968"/>
      <w:bookmarkStart w:id="2250" w:name="_Toc398827306"/>
      <w:bookmarkStart w:id="2251" w:name="_Toc398827500"/>
      <w:bookmarkStart w:id="2252" w:name="_Toc395109609"/>
      <w:bookmarkStart w:id="2253" w:name="_Toc395109720"/>
      <w:bookmarkStart w:id="2254" w:name="s21"/>
      <w:bookmarkStart w:id="2255" w:name="_Toc395867674"/>
      <w:bookmarkStart w:id="2256" w:name="_Toc395868587"/>
      <w:bookmarkStart w:id="2257" w:name="_Toc395868806"/>
      <w:bookmarkStart w:id="2258" w:name="_Toc395878968"/>
      <w:bookmarkStart w:id="2259" w:name="_Toc395879185"/>
      <w:bookmarkStart w:id="2260" w:name="_Toc395882092"/>
      <w:bookmarkStart w:id="2261" w:name="_Toc395882309"/>
      <w:bookmarkStart w:id="2262" w:name="_Toc395882423"/>
      <w:bookmarkStart w:id="2263" w:name="_Toc395882640"/>
      <w:bookmarkStart w:id="2264" w:name="_Toc395880587"/>
      <w:bookmarkStart w:id="2265" w:name="_Toc395880918"/>
      <w:bookmarkStart w:id="2266" w:name="_Toc395881476"/>
      <w:bookmarkStart w:id="2267" w:name="_Toc395883861"/>
      <w:bookmarkStart w:id="2268" w:name="_Toc395884078"/>
      <w:bookmarkStart w:id="2269" w:name="_Toc395880816"/>
      <w:bookmarkStart w:id="2270" w:name="_Toc395884523"/>
      <w:bookmarkStart w:id="2271" w:name="_Toc395884740"/>
      <w:bookmarkStart w:id="2272" w:name="_Toc395883232"/>
      <w:bookmarkStart w:id="2273" w:name="_Toc395883449"/>
      <w:bookmarkStart w:id="2274" w:name="_Toc395883562"/>
      <w:bookmarkStart w:id="2275" w:name="_Toc395883779"/>
      <w:bookmarkStart w:id="2276" w:name="_Toc395884864"/>
      <w:bookmarkStart w:id="2277" w:name="_Toc396123889"/>
      <w:bookmarkStart w:id="2278" w:name="_Toc396130791"/>
      <w:bookmarkStart w:id="2279" w:name="_Toc396136369"/>
      <w:bookmarkStart w:id="2280" w:name="_Toc396138823"/>
      <w:bookmarkStart w:id="2281" w:name="_Toc396144084"/>
      <w:bookmarkStart w:id="2282" w:name="_Toc396145593"/>
      <w:bookmarkStart w:id="2283" w:name="_Toc396145737"/>
      <w:bookmarkStart w:id="2284" w:name="_Toc396147559"/>
      <w:bookmarkStart w:id="2285" w:name="_Toc396147845"/>
      <w:bookmarkStart w:id="2286" w:name="_Toc396149101"/>
      <w:bookmarkStart w:id="2287" w:name="_Toc396148814"/>
      <w:bookmarkStart w:id="2288" w:name="_Toc396149595"/>
      <w:bookmarkStart w:id="2289" w:name="_Toc396149241"/>
      <w:bookmarkStart w:id="2290" w:name="_Toc396150024"/>
      <w:bookmarkStart w:id="2291" w:name="_Toc396149949"/>
      <w:bookmarkStart w:id="2292" w:name="_Toc396149699"/>
      <w:bookmarkStart w:id="2293" w:name="_Toc396150540"/>
      <w:bookmarkStart w:id="2294" w:name="_Toc396151429"/>
      <w:bookmarkStart w:id="2295" w:name="_Toc396151723"/>
      <w:bookmarkStart w:id="2296" w:name="_Toc396202440"/>
      <w:bookmarkStart w:id="2297" w:name="_Toc396202735"/>
      <w:bookmarkStart w:id="2298" w:name="_Toc396206648"/>
      <w:bookmarkStart w:id="2299" w:name="_Toc396206942"/>
      <w:bookmarkStart w:id="2300" w:name="_Toc396209476"/>
      <w:bookmarkStart w:id="2301" w:name="_Toc396209770"/>
      <w:bookmarkStart w:id="2302" w:name="_Toc396211900"/>
      <w:bookmarkStart w:id="2303" w:name="_Toc396212194"/>
      <w:bookmarkStart w:id="2304" w:name="_Toc396213244"/>
      <w:bookmarkStart w:id="2305" w:name="_Toc396213536"/>
      <w:bookmarkStart w:id="2306" w:name="_Toc396214522"/>
      <w:bookmarkStart w:id="2307" w:name="_Toc396214812"/>
      <w:bookmarkStart w:id="2308" w:name="_Toc396226634"/>
      <w:bookmarkStart w:id="2309" w:name="_Toc396226923"/>
      <w:bookmarkStart w:id="2310" w:name="_Toc396228834"/>
      <w:bookmarkStart w:id="2311" w:name="_Toc396229129"/>
      <w:bookmarkStart w:id="2312" w:name="_Toc396230771"/>
      <w:bookmarkStart w:id="2313" w:name="_Toc396231913"/>
      <w:bookmarkStart w:id="2314" w:name="_Toc396233256"/>
      <w:bookmarkStart w:id="2315" w:name="_Toc396233553"/>
      <w:bookmarkStart w:id="2316" w:name="_Toc396234076"/>
      <w:bookmarkStart w:id="2317" w:name="_Toc396234373"/>
      <w:bookmarkStart w:id="2318" w:name="_Toc396234486"/>
      <w:bookmarkEnd w:id="1300"/>
      <w:r w:rsidRPr="008625DC">
        <w:rPr>
          <w:lang w:val="en-AU"/>
        </w:rPr>
        <w:t>A set of competition principles</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bookmarkEnd w:id="2252"/>
    <w:bookmarkEnd w:id="2253"/>
    <w:bookmarkEnd w:id="2254"/>
    <w:p w14:paraId="7E77E9BB" w14:textId="77777777" w:rsidR="001E4B43" w:rsidRPr="008625DC" w:rsidRDefault="001E4B43" w:rsidP="001E4B43">
      <w:r w:rsidRPr="008625DC">
        <w:t>The National Competition Policy (NCP) as originally crafted reflected the challenges Australia faced more than 20 years ago. The focus of the NCP reforms was on exposing previously sheltered activities to competition and applying a more national approach to competition issues.</w:t>
      </w:r>
    </w:p>
    <w:p w14:paraId="594EB7B9" w14:textId="77777777" w:rsidR="001E4B43" w:rsidRPr="008625DC" w:rsidRDefault="001E4B43" w:rsidP="001E4B43">
      <w:pPr>
        <w:spacing w:after="120"/>
      </w:pPr>
      <w:r w:rsidRPr="008625DC">
        <w:t>The six elements of Competition Policy identified in the Hilmer report</w:t>
      </w:r>
      <w:r w:rsidRPr="008625DC">
        <w:rPr>
          <w:rStyle w:val="FootnoteReference"/>
        </w:rPr>
        <w:footnoteReference w:id="8"/>
      </w:r>
      <w:r w:rsidRPr="008625DC">
        <w:t xml:space="preserve"> were:</w:t>
      </w:r>
    </w:p>
    <w:p w14:paraId="3BEB19BC" w14:textId="137A9CD7" w:rsidR="001E4B43" w:rsidRPr="008625DC" w:rsidRDefault="001E4B43" w:rsidP="001E4B43">
      <w:pPr>
        <w:pStyle w:val="Bullet"/>
      </w:pPr>
      <w:r w:rsidRPr="008625DC">
        <w:t>limiting anti</w:t>
      </w:r>
      <w:r w:rsidR="00C74E19" w:rsidRPr="008625DC">
        <w:noBreakHyphen/>
      </w:r>
      <w:r w:rsidRPr="008625DC">
        <w:t>competitive conduct of firms;</w:t>
      </w:r>
    </w:p>
    <w:p w14:paraId="45471FDB" w14:textId="77777777" w:rsidR="001E4B43" w:rsidRPr="008625DC" w:rsidRDefault="001E4B43" w:rsidP="001E4B43">
      <w:pPr>
        <w:pStyle w:val="Bullet"/>
      </w:pPr>
      <w:r w:rsidRPr="008625DC">
        <w:t>reforming regulation which unjustifiably restricts competition;</w:t>
      </w:r>
    </w:p>
    <w:p w14:paraId="549DF73D" w14:textId="77777777" w:rsidR="001E4B43" w:rsidRPr="008625DC" w:rsidRDefault="001E4B43" w:rsidP="001E4B43">
      <w:pPr>
        <w:pStyle w:val="Bullet"/>
      </w:pPr>
      <w:r w:rsidRPr="008625DC">
        <w:t>reforming the structure of public monopolies to facilitate competition;</w:t>
      </w:r>
    </w:p>
    <w:p w14:paraId="4B22C177" w14:textId="59962300" w:rsidR="001E4B43" w:rsidRPr="008625DC" w:rsidRDefault="001E4B43" w:rsidP="001E4B43">
      <w:pPr>
        <w:pStyle w:val="Bullet"/>
      </w:pPr>
      <w:r w:rsidRPr="008625DC">
        <w:t>providing third</w:t>
      </w:r>
      <w:r w:rsidR="00C74E19" w:rsidRPr="008625DC">
        <w:noBreakHyphen/>
      </w:r>
      <w:r w:rsidRPr="008625DC">
        <w:t>party access to certain facilities that are essential for competition;</w:t>
      </w:r>
    </w:p>
    <w:p w14:paraId="0F64D810" w14:textId="77777777" w:rsidR="001E4B43" w:rsidRPr="008625DC" w:rsidRDefault="001E4B43" w:rsidP="001E4B43">
      <w:pPr>
        <w:pStyle w:val="Bullet"/>
      </w:pPr>
      <w:r w:rsidRPr="008625DC">
        <w:t>restraining monopoly pricing behaviour; and</w:t>
      </w:r>
    </w:p>
    <w:p w14:paraId="2AC18B85" w14:textId="1B8ACE46" w:rsidR="001E4B43" w:rsidRPr="008625DC" w:rsidRDefault="001E4B43" w:rsidP="00307A40">
      <w:pPr>
        <w:pStyle w:val="Bullet"/>
        <w:spacing w:after="240"/>
      </w:pPr>
      <w:proofErr w:type="gramStart"/>
      <w:r w:rsidRPr="008625DC">
        <w:t>fostering</w:t>
      </w:r>
      <w:proofErr w:type="gramEnd"/>
      <w:r w:rsidRPr="008625DC">
        <w:t xml:space="preserve"> </w:t>
      </w:r>
      <w:r w:rsidR="00C74E19" w:rsidRPr="008625DC">
        <w:t>‘</w:t>
      </w:r>
      <w:r w:rsidRPr="008625DC">
        <w:t>competitive neutrality</w:t>
      </w:r>
      <w:r w:rsidR="00C74E19" w:rsidRPr="008625DC">
        <w:t>’</w:t>
      </w:r>
      <w:r w:rsidRPr="008625DC">
        <w:t xml:space="preserve"> between government and private businesses when they compete. </w:t>
      </w:r>
    </w:p>
    <w:p w14:paraId="5E123F83" w14:textId="4242E2B3" w:rsidR="001E4B43" w:rsidRPr="008625DC" w:rsidRDefault="001E4B43" w:rsidP="001E4B43">
      <w:r w:rsidRPr="008625DC">
        <w:t>The Panel endorses competition policy that focuses on making markets work in the long</w:t>
      </w:r>
      <w:r w:rsidR="00C74E19" w:rsidRPr="008625DC">
        <w:noBreakHyphen/>
      </w:r>
      <w:r w:rsidRPr="008625DC">
        <w:t xml:space="preserve">term interests of consumers. </w:t>
      </w:r>
    </w:p>
    <w:p w14:paraId="7D1B6864" w14:textId="71693671" w:rsidR="001E4B43" w:rsidRPr="008625DC" w:rsidRDefault="001E4B43" w:rsidP="001E4B43">
      <w:r w:rsidRPr="008625DC">
        <w:t>Legislative frameworks should continue to limit anti</w:t>
      </w:r>
      <w:r w:rsidR="00C74E19" w:rsidRPr="008625DC">
        <w:noBreakHyphen/>
      </w:r>
      <w:r w:rsidRPr="008625DC">
        <w:t>competitive conduct of firms. The Panel considers that the anti</w:t>
      </w:r>
      <w:r w:rsidR="00C74E19" w:rsidRPr="008625DC">
        <w:noBreakHyphen/>
      </w:r>
      <w:r w:rsidRPr="008625DC">
        <w:t>competitive conduct provisions of the CCA should reach beyond unincorporated enterprises and government businesses to cover government activities which have a</w:t>
      </w:r>
      <w:r w:rsidR="005C6A7D" w:rsidRPr="008625DC">
        <w:t> </w:t>
      </w:r>
      <w:r w:rsidRPr="008625DC">
        <w:t>trading or commercial character including, in particular, procurement.</w:t>
      </w:r>
    </w:p>
    <w:p w14:paraId="1F80C26F" w14:textId="6839F3D9" w:rsidR="001E4B43" w:rsidRPr="008625DC" w:rsidRDefault="001E4B43" w:rsidP="001C6864">
      <w:r w:rsidRPr="008625DC">
        <w:t xml:space="preserve">Beyond the CCA, legislative frameworks and government policies binding the public </w:t>
      </w:r>
      <w:r w:rsidR="004B76D4" w:rsidRPr="008625DC">
        <w:t>or</w:t>
      </w:r>
      <w:r w:rsidRPr="008625DC">
        <w:t xml:space="preserve"> private sectors should not restrict competition.</w:t>
      </w:r>
    </w:p>
    <w:p w14:paraId="29AFEAC7" w14:textId="77777777" w:rsidR="001E4B43" w:rsidRPr="008625DC" w:rsidRDefault="001E4B43" w:rsidP="001C6864">
      <w:r w:rsidRPr="008625DC">
        <w:t>The Panel believes the focus of competition policy should be widened beyond public monopolies and government businesses to encompass the provision of government services more generally.</w:t>
      </w:r>
    </w:p>
    <w:p w14:paraId="5CCE8E96" w14:textId="77777777" w:rsidR="001E4B43" w:rsidRPr="008625DC" w:rsidRDefault="001E4B43" w:rsidP="001E4B43">
      <w:r w:rsidRPr="008625DC">
        <w:t>Promoting user choice and encouraging a diversity of providers plays an important role in improving performance, especially in the provision of human services. It has the potential to improve outcomes for users, including through enhanced diversity, choice and innovation.</w:t>
      </w:r>
    </w:p>
    <w:p w14:paraId="7B40F677" w14:textId="77777777" w:rsidR="001E4B43" w:rsidRPr="008625DC" w:rsidRDefault="001E4B43" w:rsidP="001E4B43">
      <w:r w:rsidRPr="008625DC">
        <w:t xml:space="preserve">Independent regulation can encourage entry in service delivery markets (since it provides a level of certainty about the regulatory environment), while separating provision from funding and regulation encourages accountability, innovation and a level playing field between public and other providers. </w:t>
      </w:r>
    </w:p>
    <w:p w14:paraId="063C3B9B" w14:textId="01407F42" w:rsidR="001E4B43" w:rsidRPr="008625DC" w:rsidRDefault="001E4B43" w:rsidP="001E4B43">
      <w:r w:rsidRPr="008625DC">
        <w:t>The Panel believes that declaration and third</w:t>
      </w:r>
      <w:r w:rsidR="00C74E19" w:rsidRPr="008625DC">
        <w:noBreakHyphen/>
      </w:r>
      <w:r w:rsidRPr="008625DC">
        <w:t>party access to infrastructure should only be mandated when it promotes the public interest. The onus of proof should lie with those seeking access to demonstrate that it would promote the public interest rather than on infrastructure owners to demonstrate it would be contrary to the public interest.</w:t>
      </w:r>
    </w:p>
    <w:p w14:paraId="4FC74CE6" w14:textId="77777777" w:rsidR="001E4B43" w:rsidRPr="008625DC" w:rsidRDefault="001E4B43" w:rsidP="001C6864">
      <w:r w:rsidRPr="008625DC">
        <w:lastRenderedPageBreak/>
        <w:t xml:space="preserve">Acknowledging the diverse circumstances of each jurisdiction, the Panel supports the flexibility built into the NCP for the Commonwealth and state and territory governments to decide how best to implement competition principles in their jurisdictions. Competition policy should continue to apply explicitly to local government. </w:t>
      </w:r>
    </w:p>
    <w:p w14:paraId="2BDDF81C" w14:textId="77777777" w:rsidR="001E4B43" w:rsidRPr="008625DC" w:rsidRDefault="001E4B43" w:rsidP="001C6864">
      <w:r w:rsidRPr="008625DC">
        <w:t>Agreeing a set of principles would guide the Commonwealth, state, territory and local governments in implementing those aspects of competition policy for which they are responsible. The principles in Draft Recommendation 1 broaden the NCP agenda to include all government services and promote the role of choice.</w:t>
      </w:r>
    </w:p>
    <w:p w14:paraId="7D841ADE" w14:textId="46B005E0" w:rsidR="001E4B43" w:rsidRPr="008625DC" w:rsidRDefault="001E4B43" w:rsidP="001C6864">
      <w:pPr>
        <w:spacing w:after="120"/>
      </w:pPr>
      <w:r w:rsidRPr="008625DC">
        <w:t xml:space="preserve">In applying these principles the Panel endorses the </w:t>
      </w:r>
      <w:r w:rsidR="00C74E19" w:rsidRPr="008625DC">
        <w:t>‘</w:t>
      </w:r>
      <w:r w:rsidRPr="008625DC">
        <w:t>public interest</w:t>
      </w:r>
      <w:r w:rsidR="00C74E19" w:rsidRPr="008625DC">
        <w:t>’</w:t>
      </w:r>
      <w:r w:rsidRPr="008625DC">
        <w:t xml:space="preserve"> test as a central tenet of competition policy, so that the principles should apply unless the costs outweigh the benefits. Any policies or rules restricting competition must demonstrate that:</w:t>
      </w:r>
    </w:p>
    <w:p w14:paraId="5007A88A" w14:textId="77777777" w:rsidR="001E4B43" w:rsidRPr="008625DC" w:rsidRDefault="001E4B43" w:rsidP="001E4B43">
      <w:pPr>
        <w:pStyle w:val="Bullet"/>
      </w:pPr>
      <w:r w:rsidRPr="008625DC">
        <w:t xml:space="preserve">they are in the public interest; and </w:t>
      </w:r>
    </w:p>
    <w:p w14:paraId="50D99391" w14:textId="77777777" w:rsidR="001E4B43" w:rsidRPr="008625DC" w:rsidRDefault="001E4B43" w:rsidP="00F15A8B">
      <w:pPr>
        <w:pStyle w:val="Bullet"/>
        <w:spacing w:after="240"/>
      </w:pPr>
      <w:proofErr w:type="gramStart"/>
      <w:r w:rsidRPr="008625DC">
        <w:t>the</w:t>
      </w:r>
      <w:proofErr w:type="gramEnd"/>
      <w:r w:rsidRPr="008625DC">
        <w:t xml:space="preserve"> objectives of the legislation or government policy can only be achieved by restricting competition.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18521E31" w14:textId="77777777" w:rsidTr="001E4B43">
        <w:tc>
          <w:tcPr>
            <w:tcW w:w="5000" w:type="pct"/>
            <w:shd w:val="clear" w:color="auto" w:fill="E9F7F3" w:themeFill="accent4" w:themeFillTint="33"/>
          </w:tcPr>
          <w:p w14:paraId="45FF0EEC" w14:textId="77777777" w:rsidR="001E4B43" w:rsidRPr="008625DC" w:rsidRDefault="001E4B43" w:rsidP="001E4B43">
            <w:pPr>
              <w:pStyle w:val="RecommendationHeading"/>
            </w:pPr>
            <w:bookmarkStart w:id="2319" w:name="_Toc396138906"/>
            <w:bookmarkStart w:id="2320" w:name="_Toc396145827"/>
            <w:bookmarkStart w:id="2321" w:name="_Toc396146485"/>
            <w:bookmarkStart w:id="2322" w:name="_Toc396147649"/>
            <w:bookmarkStart w:id="2323" w:name="_Toc396148904"/>
            <w:bookmarkStart w:id="2324" w:name="_Toc396149331"/>
            <w:bookmarkStart w:id="2325" w:name="_Toc396149789"/>
            <w:bookmarkStart w:id="2326" w:name="_Toc396151519"/>
            <w:bookmarkStart w:id="2327" w:name="_Toc396202527"/>
            <w:bookmarkStart w:id="2328" w:name="_Toc396206734"/>
            <w:bookmarkStart w:id="2329" w:name="_Toc396209562"/>
            <w:bookmarkStart w:id="2330" w:name="_Toc396211986"/>
            <w:bookmarkStart w:id="2331" w:name="_Toc396213328"/>
            <w:bookmarkStart w:id="2332" w:name="_Toc396214605"/>
            <w:bookmarkStart w:id="2333" w:name="_Toc396226717"/>
            <w:bookmarkStart w:id="2334" w:name="_Toc396228917"/>
            <w:bookmarkStart w:id="2335" w:name="_Toc396230559"/>
            <w:bookmarkStart w:id="2336" w:name="_Toc396231700"/>
            <w:bookmarkStart w:id="2337" w:name="_Toc396233340"/>
            <w:bookmarkStart w:id="2338" w:name="_Toc396234160"/>
            <w:bookmarkStart w:id="2339" w:name="_Toc396234571"/>
            <w:bookmarkStart w:id="2340" w:name="_Toc396586185"/>
            <w:bookmarkStart w:id="2341" w:name="DR1"/>
            <w:r w:rsidRPr="008625DC">
              <w:t xml:space="preserve">Draft Recommendation </w:t>
            </w:r>
            <w:r w:rsidRPr="008625DC">
              <w:fldChar w:fldCharType="begin"/>
            </w:r>
            <w:r w:rsidRPr="008625DC">
              <w:instrText xml:space="preserve"> AUTONUMLGL  \* Arabic \e </w:instrText>
            </w:r>
            <w:r w:rsidRPr="008625DC">
              <w:fldChar w:fldCharType="end"/>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8625DC">
              <w:t xml:space="preserve"> — Competition principles</w:t>
            </w:r>
          </w:p>
          <w:p w14:paraId="64EC4721" w14:textId="2785816B" w:rsidR="001E4B43" w:rsidRPr="008625DC" w:rsidRDefault="001E4B43" w:rsidP="001E4B43">
            <w:pPr>
              <w:pStyle w:val="RecommendationText"/>
            </w:pPr>
            <w:bookmarkStart w:id="2342" w:name="_Toc395116605"/>
            <w:bookmarkStart w:id="2343" w:name="_Toc395112542"/>
            <w:bookmarkStart w:id="2344" w:name="_Toc395115081"/>
            <w:bookmarkStart w:id="2345" w:name="_Toc395118236"/>
            <w:bookmarkStart w:id="2346" w:name="_Toc395624935"/>
            <w:bookmarkStart w:id="2347" w:name="_Toc395789789"/>
            <w:bookmarkStart w:id="2348" w:name="_Toc395867518"/>
            <w:bookmarkStart w:id="2349" w:name="_Toc395868651"/>
            <w:bookmarkStart w:id="2350" w:name="_Toc395879032"/>
            <w:bookmarkStart w:id="2351" w:name="_Toc395882156"/>
            <w:bookmarkStart w:id="2352" w:name="_Toc395882487"/>
            <w:bookmarkStart w:id="2353" w:name="_Toc395880651"/>
            <w:bookmarkStart w:id="2354" w:name="_Toc395880982"/>
            <w:bookmarkStart w:id="2355" w:name="_Toc395881540"/>
            <w:bookmarkStart w:id="2356" w:name="_Toc395883925"/>
            <w:bookmarkStart w:id="2357" w:name="_Toc395884587"/>
            <w:bookmarkStart w:id="2358" w:name="_Toc395883296"/>
            <w:bookmarkStart w:id="2359" w:name="_Toc395883626"/>
            <w:bookmarkStart w:id="2360" w:name="_Toc395884928"/>
            <w:bookmarkStart w:id="2361" w:name="_Toc396138908"/>
            <w:bookmarkStart w:id="2362" w:name="_Toc396146487"/>
            <w:bookmarkStart w:id="2363" w:name="_Toc396145829"/>
            <w:bookmarkStart w:id="2364" w:name="_Toc396147651"/>
            <w:bookmarkStart w:id="2365" w:name="_Toc396148906"/>
            <w:bookmarkStart w:id="2366" w:name="_Toc396149333"/>
            <w:bookmarkStart w:id="2367" w:name="_Toc396149791"/>
            <w:bookmarkStart w:id="2368" w:name="_Toc396151521"/>
            <w:bookmarkStart w:id="2369" w:name="_Toc396202529"/>
            <w:bookmarkStart w:id="2370" w:name="_Toc396206736"/>
            <w:bookmarkStart w:id="2371" w:name="_Toc396209564"/>
            <w:bookmarkStart w:id="2372" w:name="_Toc396211988"/>
            <w:bookmarkStart w:id="2373" w:name="_Toc396213330"/>
            <w:bookmarkStart w:id="2374" w:name="_Toc396214607"/>
            <w:bookmarkStart w:id="2375" w:name="_Toc396226719"/>
            <w:bookmarkStart w:id="2376" w:name="_Toc396228919"/>
            <w:bookmarkStart w:id="2377" w:name="_Toc396230561"/>
            <w:bookmarkStart w:id="2378" w:name="_Toc396231702"/>
            <w:bookmarkStart w:id="2379" w:name="_Toc396586187"/>
            <w:bookmarkStart w:id="2380" w:name="_Toc396233342"/>
            <w:bookmarkStart w:id="2381" w:name="_Toc396234162"/>
            <w:bookmarkStart w:id="2382" w:name="_Toc396234573"/>
            <w:r w:rsidRPr="008625DC">
              <w:t>The Panel endorses competition policy that focuses on making markets work in the long</w:t>
            </w:r>
            <w:r w:rsidR="00C74E19" w:rsidRPr="008625DC">
              <w:noBreakHyphen/>
            </w:r>
            <w:r w:rsidRPr="008625DC">
              <w:t xml:space="preserve">term interests of consumers. The following principles should guide Commonwealth, state and territory and local governments in implementing </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r w:rsidRPr="008625DC">
              <w:t>competition policy:</w:t>
            </w:r>
            <w:bookmarkEnd w:id="2379"/>
            <w:bookmarkEnd w:id="2380"/>
            <w:bookmarkEnd w:id="2381"/>
            <w:bookmarkEnd w:id="2382"/>
          </w:p>
          <w:p w14:paraId="57719D32" w14:textId="77777777" w:rsidR="001E4B43" w:rsidRPr="008625DC" w:rsidRDefault="001E4B43" w:rsidP="00F15A8B">
            <w:pPr>
              <w:pStyle w:val="RecommendationBullet"/>
            </w:pPr>
            <w:bookmarkStart w:id="2383" w:name="_Toc395789790"/>
            <w:bookmarkStart w:id="2384" w:name="_Toc395867519"/>
            <w:bookmarkStart w:id="2385" w:name="_Toc395868652"/>
            <w:bookmarkStart w:id="2386" w:name="_Toc395879033"/>
            <w:bookmarkStart w:id="2387" w:name="_Toc395882157"/>
            <w:bookmarkStart w:id="2388" w:name="_Toc395882488"/>
            <w:bookmarkStart w:id="2389" w:name="_Toc395880652"/>
            <w:bookmarkStart w:id="2390" w:name="_Toc395880983"/>
            <w:bookmarkStart w:id="2391" w:name="_Toc395881541"/>
            <w:bookmarkStart w:id="2392" w:name="_Toc395883926"/>
            <w:bookmarkStart w:id="2393" w:name="_Toc395884588"/>
            <w:bookmarkStart w:id="2394" w:name="_Toc395883297"/>
            <w:bookmarkStart w:id="2395" w:name="_Toc395883627"/>
            <w:bookmarkStart w:id="2396" w:name="_Toc395884929"/>
            <w:bookmarkStart w:id="2397" w:name="_Toc396138909"/>
            <w:bookmarkStart w:id="2398" w:name="_Toc396146488"/>
            <w:bookmarkStart w:id="2399" w:name="_Toc396145830"/>
            <w:bookmarkStart w:id="2400" w:name="_Toc396147652"/>
            <w:bookmarkStart w:id="2401" w:name="_Toc396148907"/>
            <w:bookmarkStart w:id="2402" w:name="_Toc396149334"/>
            <w:bookmarkStart w:id="2403" w:name="_Toc396149792"/>
            <w:bookmarkStart w:id="2404" w:name="_Toc396151522"/>
            <w:bookmarkStart w:id="2405" w:name="_Toc396202530"/>
            <w:bookmarkStart w:id="2406" w:name="_Toc396206737"/>
            <w:bookmarkStart w:id="2407" w:name="_Toc396209565"/>
            <w:bookmarkStart w:id="2408" w:name="_Toc396211989"/>
            <w:bookmarkStart w:id="2409" w:name="_Toc396213331"/>
            <w:bookmarkStart w:id="2410" w:name="_Toc396214608"/>
            <w:bookmarkStart w:id="2411" w:name="_Toc396226720"/>
            <w:bookmarkStart w:id="2412" w:name="_Toc396228920"/>
            <w:bookmarkStart w:id="2413" w:name="_Toc396230562"/>
            <w:bookmarkStart w:id="2414" w:name="_Toc396231703"/>
            <w:bookmarkStart w:id="2415" w:name="_Toc396233343"/>
            <w:bookmarkStart w:id="2416" w:name="_Toc396234163"/>
            <w:bookmarkStart w:id="2417" w:name="_Toc396234574"/>
            <w:bookmarkStart w:id="2418" w:name="_Toc396586188"/>
            <w:r w:rsidRPr="008625DC">
              <w:t xml:space="preserve">legislative frameworks and government policies binding the public or private sectors should not restrict competition; </w:t>
            </w:r>
          </w:p>
          <w:p w14:paraId="3CA869B2" w14:textId="77777777" w:rsidR="001E4B43" w:rsidRPr="008625DC" w:rsidRDefault="001E4B43" w:rsidP="00F15A8B">
            <w:pPr>
              <w:pStyle w:val="RecommendationBullet"/>
            </w:pPr>
            <w:r w:rsidRPr="008625DC">
              <w:t>governments should promote consumer choice when funding or providing goods and services and enable informed choices by consumers;</w:t>
            </w:r>
          </w:p>
          <w:p w14:paraId="23EBA609" w14:textId="77777777" w:rsidR="001E4B43" w:rsidRPr="008625DC" w:rsidRDefault="001E4B43" w:rsidP="00F15A8B">
            <w:pPr>
              <w:pStyle w:val="RecommendationBullet"/>
            </w:pPr>
            <w:r w:rsidRPr="008625DC">
              <w:t>the model for government provision of goods and services should separate funding, regulation and service provision, and should encourage a diversity of providers;</w:t>
            </w:r>
          </w:p>
          <w:p w14:paraId="224D6EFA" w14:textId="77777777" w:rsidR="001E4B43" w:rsidRPr="008625DC" w:rsidRDefault="001E4B43" w:rsidP="00F15A8B">
            <w:pPr>
              <w:pStyle w:val="RecommendationBullet"/>
            </w:pPr>
            <w:r w:rsidRPr="008625DC">
              <w:t>governments should separate remaining public monopolies from competitive service elements, and also separate contestable elements into smaller independent business activities;</w:t>
            </w:r>
          </w:p>
          <w:p w14:paraId="0FA74025" w14:textId="584B828C" w:rsidR="001E4B43" w:rsidRPr="008625DC" w:rsidRDefault="001E4B43" w:rsidP="00F15A8B">
            <w:pPr>
              <w:pStyle w:val="RecommendationBullet"/>
            </w:pPr>
            <w:r w:rsidRPr="008625DC">
              <w:t>government business activities that compete with private provision, whether for</w:t>
            </w:r>
            <w:r w:rsidR="00C74E19" w:rsidRPr="008625DC">
              <w:noBreakHyphen/>
            </w:r>
            <w:r w:rsidRPr="008625DC">
              <w:t>profit or not</w:t>
            </w:r>
            <w:r w:rsidR="00C74E19" w:rsidRPr="008625DC">
              <w:noBreakHyphen/>
            </w:r>
            <w:r w:rsidRPr="008625DC">
              <w:t>for</w:t>
            </w:r>
            <w:r w:rsidR="00C74E19" w:rsidRPr="008625DC">
              <w:noBreakHyphen/>
            </w:r>
            <w:r w:rsidRPr="008625DC">
              <w:t xml:space="preserve">profit, should comply with competitive neutrality principles to ensure they do not enjoy a net competitive advantage simply as a result of government ownership; </w:t>
            </w:r>
          </w:p>
          <w:p w14:paraId="1E547E52" w14:textId="0C5AB8A2" w:rsidR="001E4B43" w:rsidRPr="008625DC" w:rsidRDefault="001E4B43" w:rsidP="00F15A8B">
            <w:pPr>
              <w:pStyle w:val="RecommendationBullet"/>
            </w:pPr>
            <w:r w:rsidRPr="008625DC">
              <w:t>a right to third</w:t>
            </w:r>
            <w:r w:rsidR="00C74E19" w:rsidRPr="008625DC">
              <w:noBreakHyphen/>
            </w:r>
            <w:r w:rsidRPr="008625DC">
              <w:t>party access to significant bottleneck infrastructure should be granted where it would promote a material increase in competition in dependent markets and would promote the public interest; and</w:t>
            </w:r>
          </w:p>
          <w:p w14:paraId="2A7ED014" w14:textId="77777777" w:rsidR="001E4B43" w:rsidRPr="008625DC" w:rsidRDefault="001E4B43" w:rsidP="00F15A8B">
            <w:pPr>
              <w:pStyle w:val="RecommendationBullet"/>
            </w:pPr>
            <w:proofErr w:type="gramStart"/>
            <w:r w:rsidRPr="008625DC">
              <w:t>independent</w:t>
            </w:r>
            <w:proofErr w:type="gramEnd"/>
            <w:r w:rsidRPr="008625DC">
              <w:t xml:space="preserve"> authorities should set, administer or oversee prices for natural monopoly infrastructure providers.</w:t>
            </w:r>
          </w:p>
          <w:p w14:paraId="5E016342" w14:textId="5D0ABB5D" w:rsidR="001E4B43" w:rsidRPr="008625DC" w:rsidRDefault="001E4B43" w:rsidP="00F15A8B">
            <w:pPr>
              <w:pStyle w:val="RecommendationText"/>
            </w:pPr>
            <w:r w:rsidRPr="008625DC">
              <w:t xml:space="preserve">Applying these principles should be subject to a </w:t>
            </w:r>
            <w:r w:rsidR="00C74E19" w:rsidRPr="008625DC">
              <w:t>‘</w:t>
            </w:r>
            <w:r w:rsidRPr="008625DC">
              <w:t>public interest</w:t>
            </w:r>
            <w:r w:rsidR="00C74E19" w:rsidRPr="008625DC">
              <w:t>’</w:t>
            </w:r>
            <w:r w:rsidRPr="008625DC">
              <w:t xml:space="preserve"> test, so that:</w:t>
            </w:r>
          </w:p>
          <w:p w14:paraId="7649CC91" w14:textId="77777777" w:rsidR="001E4B43" w:rsidRPr="008625DC" w:rsidRDefault="001E4B43" w:rsidP="00F15A8B">
            <w:pPr>
              <w:pStyle w:val="RecommendationBullet"/>
            </w:pPr>
            <w:r w:rsidRPr="008625DC">
              <w:t>the principle should apply unless the costs outweigh the benefits; and</w:t>
            </w:r>
          </w:p>
          <w:p w14:paraId="0839BE9B" w14:textId="77777777" w:rsidR="001E4B43" w:rsidRPr="008625DC" w:rsidRDefault="001E4B43" w:rsidP="00F15A8B">
            <w:pPr>
              <w:pStyle w:val="RecommendationBullet"/>
            </w:pPr>
            <w:r w:rsidRPr="008625DC">
              <w:t>any legislation or government policy restricting competition must demonstrate that:</w:t>
            </w:r>
          </w:p>
          <w:p w14:paraId="2A51F163" w14:textId="77777777" w:rsidR="001E4B43" w:rsidRPr="008625DC" w:rsidRDefault="001E4B43" w:rsidP="00F15A8B">
            <w:pPr>
              <w:pStyle w:val="RecommendationDash"/>
            </w:pPr>
            <w:r w:rsidRPr="008625DC">
              <w:t xml:space="preserve">it is in the public interest; and </w:t>
            </w:r>
          </w:p>
          <w:p w14:paraId="24A63BD5" w14:textId="77777777" w:rsidR="001E4B43" w:rsidRPr="008625DC" w:rsidRDefault="001E4B43" w:rsidP="00F15A8B">
            <w:pPr>
              <w:pStyle w:val="RecommendationDash"/>
            </w:pPr>
            <w:proofErr w:type="gramStart"/>
            <w:r w:rsidRPr="008625DC">
              <w:t>the</w:t>
            </w:r>
            <w:proofErr w:type="gramEnd"/>
            <w:r w:rsidRPr="008625DC">
              <w:t xml:space="preserve"> objectives of the legislation or government policy can only be achieved by restricting competition</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r w:rsidRPr="008625DC">
              <w:t>.</w:t>
            </w:r>
          </w:p>
        </w:tc>
      </w:tr>
    </w:tbl>
    <w:p w14:paraId="215D000A" w14:textId="77777777" w:rsidR="001E4B43" w:rsidRPr="008625DC" w:rsidRDefault="001E4B43" w:rsidP="001E4B43">
      <w:bookmarkStart w:id="2419" w:name="_Toc396586192"/>
      <w:bookmarkStart w:id="2420" w:name="_Toc396815100"/>
      <w:bookmarkStart w:id="2421" w:name="_Toc396821049"/>
      <w:bookmarkStart w:id="2422" w:name="_Toc396821245"/>
      <w:bookmarkStart w:id="2423" w:name="_Toc396821657"/>
      <w:bookmarkStart w:id="2424" w:name="_Toc396827507"/>
      <w:bookmarkStart w:id="2425" w:name="_Toc396828478"/>
      <w:bookmarkStart w:id="2426" w:name="_Toc396828588"/>
      <w:bookmarkStart w:id="2427" w:name="_Toc396837977"/>
      <w:bookmarkStart w:id="2428" w:name="_Toc396838375"/>
      <w:bookmarkStart w:id="2429" w:name="_Toc396904108"/>
      <w:bookmarkStart w:id="2430" w:name="_Toc396904698"/>
      <w:bookmarkStart w:id="2431" w:name="_Toc396907532"/>
      <w:bookmarkStart w:id="2432" w:name="_Toc396912451"/>
      <w:bookmarkStart w:id="2433" w:name="_Toc396914431"/>
      <w:bookmarkStart w:id="2434" w:name="_Toc396915315"/>
      <w:bookmarkStart w:id="2435" w:name="_Toc396915709"/>
      <w:bookmarkStart w:id="2436" w:name="_Toc396921020"/>
      <w:bookmarkStart w:id="2437" w:name="_Toc396924360"/>
      <w:bookmarkStart w:id="2438" w:name="_Toc396925054"/>
      <w:bookmarkStart w:id="2439" w:name="_Toc396397364"/>
      <w:bookmarkStart w:id="2440" w:name="_Toc396236220"/>
      <w:bookmarkStart w:id="2441" w:name="_Toc396235998"/>
      <w:bookmarkStart w:id="2442" w:name="_Toc396304652"/>
      <w:r w:rsidRPr="008625DC">
        <w:br w:type="page"/>
      </w:r>
    </w:p>
    <w:p w14:paraId="07D748FE" w14:textId="77777777" w:rsidR="001E4B43" w:rsidRPr="008625DC" w:rsidRDefault="001E4B43" w:rsidP="001E4B43">
      <w:pPr>
        <w:pStyle w:val="Heading2"/>
        <w:ind w:left="851" w:hanging="851"/>
        <w:rPr>
          <w:lang w:val="en-AU"/>
        </w:rPr>
      </w:pPr>
      <w:bookmarkStart w:id="2443" w:name="_Toc396992174"/>
      <w:bookmarkStart w:id="2444" w:name="_Toc396992753"/>
      <w:bookmarkStart w:id="2445" w:name="_Toc396994417"/>
      <w:bookmarkStart w:id="2446" w:name="_Toc396998028"/>
      <w:bookmarkStart w:id="2447" w:name="_Toc397002188"/>
      <w:bookmarkStart w:id="2448" w:name="_Toc397008665"/>
      <w:bookmarkStart w:id="2449" w:name="_Toc397008883"/>
      <w:bookmarkStart w:id="2450" w:name="_Toc397011555"/>
      <w:bookmarkStart w:id="2451" w:name="_Toc397012616"/>
      <w:bookmarkStart w:id="2452" w:name="_Toc397014958"/>
      <w:bookmarkStart w:id="2453" w:name="_Toc397015445"/>
      <w:bookmarkStart w:id="2454" w:name="_Toc397070516"/>
      <w:bookmarkStart w:id="2455" w:name="_Toc397413254"/>
      <w:bookmarkStart w:id="2456" w:name="_Toc397413401"/>
      <w:bookmarkStart w:id="2457" w:name="_Toc397427986"/>
      <w:bookmarkStart w:id="2458" w:name="_Toc397439374"/>
      <w:bookmarkStart w:id="2459" w:name="_Toc397439544"/>
      <w:bookmarkStart w:id="2460" w:name="_Toc397439800"/>
      <w:bookmarkStart w:id="2461" w:name="_Toc397440102"/>
      <w:bookmarkStart w:id="2462" w:name="_Toc397441731"/>
      <w:bookmarkStart w:id="2463" w:name="_Toc397517433"/>
      <w:bookmarkStart w:id="2464" w:name="_Toc397522698"/>
      <w:bookmarkStart w:id="2465" w:name="_Toc397526116"/>
      <w:bookmarkStart w:id="2466" w:name="_Toc397528431"/>
      <w:bookmarkStart w:id="2467" w:name="_Toc397528906"/>
      <w:bookmarkStart w:id="2468" w:name="_Toc397601903"/>
      <w:bookmarkStart w:id="2469" w:name="_Toc397602638"/>
      <w:bookmarkStart w:id="2470" w:name="_Toc397605767"/>
      <w:bookmarkStart w:id="2471" w:name="_Toc397614911"/>
      <w:bookmarkStart w:id="2472" w:name="_Toc397616354"/>
      <w:bookmarkStart w:id="2473" w:name="_Toc397616748"/>
      <w:bookmarkStart w:id="2474" w:name="_Toc397679158"/>
      <w:bookmarkStart w:id="2475" w:name="_Toc397688046"/>
      <w:bookmarkStart w:id="2476" w:name="_Toc397689262"/>
      <w:bookmarkStart w:id="2477" w:name="_Toc397694542"/>
      <w:bookmarkStart w:id="2478" w:name="_Toc397696383"/>
      <w:bookmarkStart w:id="2479" w:name="_Toc397697117"/>
      <w:bookmarkStart w:id="2480" w:name="_Toc397698404"/>
      <w:bookmarkStart w:id="2481" w:name="_Toc397699770"/>
      <w:bookmarkStart w:id="2482" w:name="_Toc397700224"/>
      <w:bookmarkStart w:id="2483" w:name="_Toc397936616"/>
      <w:bookmarkStart w:id="2484" w:name="_Toc397936736"/>
      <w:bookmarkStart w:id="2485" w:name="_Toc397945744"/>
      <w:bookmarkStart w:id="2486" w:name="_Toc397945891"/>
      <w:bookmarkStart w:id="2487" w:name="_Toc397946917"/>
      <w:bookmarkStart w:id="2488" w:name="_Toc397948036"/>
      <w:bookmarkStart w:id="2489" w:name="_Toc397958442"/>
      <w:bookmarkStart w:id="2490" w:name="_Toc397958684"/>
      <w:bookmarkStart w:id="2491" w:name="_Toc397959099"/>
      <w:bookmarkStart w:id="2492" w:name="_Toc397962952"/>
      <w:bookmarkStart w:id="2493" w:name="_Toc397963318"/>
      <w:bookmarkStart w:id="2494" w:name="_Toc397965395"/>
      <w:bookmarkStart w:id="2495" w:name="_Toc398197333"/>
      <w:bookmarkStart w:id="2496" w:name="_Toc398201550"/>
      <w:bookmarkStart w:id="2497" w:name="_Toc398207155"/>
      <w:bookmarkStart w:id="2498" w:name="_Toc398210428"/>
      <w:bookmarkStart w:id="2499" w:name="_Toc398210942"/>
      <w:bookmarkStart w:id="2500" w:name="_Toc398211079"/>
      <w:bookmarkStart w:id="2501" w:name="_Toc398219750"/>
      <w:bookmarkStart w:id="2502" w:name="_Toc398220125"/>
      <w:bookmarkStart w:id="2503" w:name="_Toc398220512"/>
      <w:bookmarkStart w:id="2504" w:name="_Toc398221590"/>
      <w:bookmarkStart w:id="2505" w:name="_Toc398222276"/>
      <w:bookmarkStart w:id="2506" w:name="_Toc398222588"/>
      <w:bookmarkStart w:id="2507" w:name="_Toc398223005"/>
      <w:bookmarkStart w:id="2508" w:name="_Toc398223384"/>
      <w:bookmarkStart w:id="2509" w:name="_Toc398223511"/>
      <w:bookmarkStart w:id="2510" w:name="_Toc398224319"/>
      <w:bookmarkStart w:id="2511" w:name="_Toc398225656"/>
      <w:bookmarkStart w:id="2512" w:name="_Toc398225781"/>
      <w:bookmarkStart w:id="2513" w:name="_Toc398281268"/>
      <w:bookmarkStart w:id="2514" w:name="_Toc398282127"/>
      <w:bookmarkStart w:id="2515" w:name="_Toc398284797"/>
      <w:bookmarkStart w:id="2516" w:name="_Toc398287266"/>
      <w:bookmarkStart w:id="2517" w:name="_Toc398289149"/>
      <w:bookmarkStart w:id="2518" w:name="_Toc398297146"/>
      <w:bookmarkStart w:id="2519" w:name="_Toc398298620"/>
      <w:bookmarkStart w:id="2520" w:name="_Toc398300321"/>
      <w:bookmarkStart w:id="2521" w:name="_Toc398301218"/>
      <w:bookmarkStart w:id="2522" w:name="_Toc398302403"/>
      <w:bookmarkStart w:id="2523" w:name="_Toc398302566"/>
      <w:bookmarkStart w:id="2524" w:name="_Toc398549078"/>
      <w:bookmarkStart w:id="2525" w:name="_Toc398549328"/>
      <w:bookmarkStart w:id="2526" w:name="_Toc398555747"/>
      <w:bookmarkStart w:id="2527" w:name="_Toc398558951"/>
      <w:bookmarkStart w:id="2528" w:name="_Toc398563437"/>
      <w:bookmarkStart w:id="2529" w:name="_Toc398563570"/>
      <w:bookmarkStart w:id="2530" w:name="_Toc398563969"/>
      <w:bookmarkStart w:id="2531" w:name="_Toc398827307"/>
      <w:bookmarkStart w:id="2532" w:name="_Toc398827501"/>
      <w:bookmarkStart w:id="2533" w:name="s22"/>
      <w:r w:rsidRPr="008625DC">
        <w:rPr>
          <w:lang w:val="en-AU"/>
        </w:rPr>
        <w:lastRenderedPageBreak/>
        <w:t>Determining</w:t>
      </w:r>
      <w:bookmarkEnd w:id="2419"/>
      <w:r w:rsidRPr="008625DC">
        <w:rPr>
          <w:lang w:val="en-AU"/>
        </w:rPr>
        <w:t xml:space="preserve"> </w:t>
      </w:r>
      <w:bookmarkStart w:id="2534" w:name="_Toc396586193"/>
      <w:r w:rsidRPr="008625DC">
        <w:rPr>
          <w:lang w:val="en-AU"/>
        </w:rPr>
        <w:t>priority areas for reform</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4"/>
      <w:bookmarkEnd w:id="2531"/>
      <w:bookmarkEnd w:id="2532"/>
    </w:p>
    <w:bookmarkEnd w:id="2533"/>
    <w:p w14:paraId="6917E514" w14:textId="77777777" w:rsidR="001E4B43" w:rsidRPr="008625DC" w:rsidRDefault="001E4B43" w:rsidP="001E4B43">
      <w:r w:rsidRPr="008625DC">
        <w:t>The Panel recognises the importance of assigning priorities to reform initiatives so that those with the greatest potential benefit to Australians are progressed first.</w:t>
      </w:r>
    </w:p>
    <w:p w14:paraId="54BC21EE" w14:textId="77777777" w:rsidR="001E4B43" w:rsidRPr="008625DC" w:rsidRDefault="001E4B43" w:rsidP="001E4B43">
      <w:pPr>
        <w:spacing w:after="120"/>
      </w:pPr>
      <w:r w:rsidRPr="008625DC">
        <w:t xml:space="preserve">In determining priority areas for competition policy reform, the Panel has asked five questions: </w:t>
      </w:r>
    </w:p>
    <w:p w14:paraId="506E965B" w14:textId="51A2F332" w:rsidR="001E4B43" w:rsidRPr="008625DC" w:rsidRDefault="001E4B43" w:rsidP="001E4B43">
      <w:pPr>
        <w:pStyle w:val="Bullet"/>
      </w:pPr>
      <w:r w:rsidRPr="008625DC">
        <w:t xml:space="preserve">Will this reform help the Australian economy adjust to the forces for change identified in </w:t>
      </w:r>
      <w:hyperlink w:anchor="Pt1" w:history="1">
        <w:r w:rsidRPr="008625DC">
          <w:rPr>
            <w:rStyle w:val="Hyperlink"/>
          </w:rPr>
          <w:t>Part 1</w:t>
        </w:r>
      </w:hyperlink>
      <w:r w:rsidRPr="008625DC">
        <w:t xml:space="preserve"> of this Draft Report?</w:t>
      </w:r>
    </w:p>
    <w:p w14:paraId="3D8AF44E" w14:textId="77777777" w:rsidR="001E4B43" w:rsidRPr="008625DC" w:rsidRDefault="001E4B43" w:rsidP="001E4B43">
      <w:pPr>
        <w:pStyle w:val="Bullet"/>
      </w:pPr>
      <w:r w:rsidRPr="008625DC">
        <w:t>Will this reform promote choice, diversity and innovation in markets for private and/or government goods and services?</w:t>
      </w:r>
    </w:p>
    <w:p w14:paraId="16CB269C" w14:textId="77777777" w:rsidR="001E4B43" w:rsidRPr="008625DC" w:rsidRDefault="001E4B43" w:rsidP="001E4B43">
      <w:pPr>
        <w:pStyle w:val="Bullet"/>
      </w:pPr>
      <w:r w:rsidRPr="008625DC">
        <w:t>Will this reform help to raise productivity growth and hence Australian living standards over time?</w:t>
      </w:r>
    </w:p>
    <w:p w14:paraId="0A94F316" w14:textId="77777777" w:rsidR="001E4B43" w:rsidRPr="008625DC" w:rsidRDefault="001E4B43" w:rsidP="001E4B43">
      <w:pPr>
        <w:pStyle w:val="Bullet"/>
      </w:pPr>
      <w:r w:rsidRPr="008625DC">
        <w:t>Will this reform stimulate competitive entry into markets by lowering barriers to entry or exit?</w:t>
      </w:r>
    </w:p>
    <w:p w14:paraId="0F3E4041" w14:textId="6F340123" w:rsidR="001E4B43" w:rsidRPr="008625DC" w:rsidRDefault="001E4B43" w:rsidP="001E4B43">
      <w:pPr>
        <w:pStyle w:val="Bullet"/>
        <w:spacing w:after="240"/>
      </w:pPr>
      <w:r w:rsidRPr="008625DC">
        <w:t>Will this reform help to complete unfinished business from the original NCP agenda or address specific issues raised in the Review</w:t>
      </w:r>
      <w:r w:rsidR="00C74E19" w:rsidRPr="008625DC">
        <w:t>’</w:t>
      </w:r>
      <w:r w:rsidRPr="008625DC">
        <w:t>s Terms of Reference?</w:t>
      </w:r>
    </w:p>
    <w:p w14:paraId="6233A5FF" w14:textId="39E04A5E" w:rsidR="001E4B43" w:rsidRPr="008625DC" w:rsidRDefault="001E4B43" w:rsidP="001E4B43">
      <w:r w:rsidRPr="008625DC">
        <w:t xml:space="preserve">If the answer to one or more of these questions is </w:t>
      </w:r>
      <w:r w:rsidR="00C74E19" w:rsidRPr="008625DC">
        <w:t>‘</w:t>
      </w:r>
      <w:r w:rsidRPr="008625DC">
        <w:t>yes</w:t>
      </w:r>
      <w:r w:rsidR="00C74E19" w:rsidRPr="008625DC">
        <w:t>’</w:t>
      </w:r>
      <w:r w:rsidRPr="008625DC">
        <w:t>, then the reform is placed on the Panel</w:t>
      </w:r>
      <w:r w:rsidR="00C74E19" w:rsidRPr="008625DC">
        <w:t>’</w:t>
      </w:r>
      <w:r w:rsidRPr="008625DC">
        <w:t>s priority list. The remaining sections of this chapter present the Panel</w:t>
      </w:r>
      <w:r w:rsidR="00C74E19" w:rsidRPr="008625DC">
        <w:t>’</w:t>
      </w:r>
      <w:r w:rsidRPr="008625DC">
        <w:t>s draft recommendations in respect of each of its priority areas for reform.</w:t>
      </w:r>
    </w:p>
    <w:p w14:paraId="7274242A" w14:textId="77777777" w:rsidR="001E4B43" w:rsidRPr="008625DC" w:rsidRDefault="001E4B43" w:rsidP="001E4B43">
      <w:pPr>
        <w:pStyle w:val="Heading2"/>
        <w:ind w:left="851" w:hanging="851"/>
        <w:rPr>
          <w:lang w:val="en-AU"/>
        </w:rPr>
      </w:pPr>
      <w:bookmarkStart w:id="2535" w:name="_Toc396490596"/>
      <w:bookmarkStart w:id="2536" w:name="_Toc396490921"/>
      <w:bookmarkStart w:id="2537" w:name="_Toc396491246"/>
      <w:bookmarkStart w:id="2538" w:name="_Toc396491571"/>
      <w:bookmarkStart w:id="2539" w:name="_Toc396491896"/>
      <w:bookmarkStart w:id="2540" w:name="_Toc396492221"/>
      <w:bookmarkStart w:id="2541" w:name="_Toc396492545"/>
      <w:bookmarkStart w:id="2542" w:name="_Toc396492869"/>
      <w:bookmarkStart w:id="2543" w:name="_Toc396493192"/>
      <w:bookmarkStart w:id="2544" w:name="_Toc396493515"/>
      <w:bookmarkStart w:id="2545" w:name="_Toc396493838"/>
      <w:bookmarkStart w:id="2546" w:name="_Toc396493648"/>
      <w:bookmarkStart w:id="2547" w:name="_Toc396494296"/>
      <w:bookmarkStart w:id="2548" w:name="_Toc396500720"/>
      <w:bookmarkStart w:id="2549" w:name="_Toc396501475"/>
      <w:bookmarkStart w:id="2550" w:name="_Toc396501802"/>
      <w:bookmarkStart w:id="2551" w:name="_Toc396503184"/>
      <w:bookmarkStart w:id="2552" w:name="_Toc396503511"/>
      <w:bookmarkStart w:id="2553" w:name="_Toc396503838"/>
      <w:bookmarkStart w:id="2554" w:name="_Toc396504165"/>
      <w:bookmarkStart w:id="2555" w:name="_Toc396504492"/>
      <w:bookmarkStart w:id="2556" w:name="_Toc396504819"/>
      <w:bookmarkStart w:id="2557" w:name="_Toc396505147"/>
      <w:bookmarkStart w:id="2558" w:name="_Toc396505475"/>
      <w:bookmarkStart w:id="2559" w:name="_Toc396505803"/>
      <w:bookmarkStart w:id="2560" w:name="_Toc396506131"/>
      <w:bookmarkStart w:id="2561" w:name="_Toc396506459"/>
      <w:bookmarkStart w:id="2562" w:name="_Toc396506787"/>
      <w:bookmarkStart w:id="2563" w:name="_Toc396507115"/>
      <w:bookmarkStart w:id="2564" w:name="_Toc396507443"/>
      <w:bookmarkStart w:id="2565" w:name="_Toc396507771"/>
      <w:bookmarkStart w:id="2566" w:name="_Toc396508099"/>
      <w:bookmarkStart w:id="2567" w:name="_Toc396508427"/>
      <w:bookmarkStart w:id="2568" w:name="_Toc396508956"/>
      <w:bookmarkStart w:id="2569" w:name="_Toc396509284"/>
      <w:bookmarkStart w:id="2570" w:name="_Toc396509612"/>
      <w:bookmarkStart w:id="2571" w:name="_Toc396509940"/>
      <w:bookmarkStart w:id="2572" w:name="_Toc396558220"/>
      <w:bookmarkStart w:id="2573" w:name="_Toc396558775"/>
      <w:bookmarkStart w:id="2574" w:name="_Toc396559155"/>
      <w:bookmarkStart w:id="2575" w:name="_Toc396559483"/>
      <w:bookmarkStart w:id="2576" w:name="_Toc396560328"/>
      <w:bookmarkStart w:id="2577" w:name="_Toc396560655"/>
      <w:bookmarkStart w:id="2578" w:name="_Toc396560982"/>
      <w:bookmarkStart w:id="2579" w:name="_Toc396561309"/>
      <w:bookmarkStart w:id="2580" w:name="_Toc396561636"/>
      <w:bookmarkStart w:id="2581" w:name="_Toc396561961"/>
      <w:bookmarkStart w:id="2582" w:name="_Toc396563271"/>
      <w:bookmarkStart w:id="2583" w:name="_Toc396563596"/>
      <w:bookmarkStart w:id="2584" w:name="_Toc396563921"/>
      <w:bookmarkStart w:id="2585" w:name="_Toc396564245"/>
      <w:bookmarkStart w:id="2586" w:name="_Toc396564569"/>
      <w:bookmarkStart w:id="2587" w:name="_Toc396564894"/>
      <w:bookmarkStart w:id="2588" w:name="_Toc396565469"/>
      <w:bookmarkStart w:id="2589" w:name="_Toc396566276"/>
      <w:bookmarkStart w:id="2590" w:name="_Toc396566601"/>
      <w:bookmarkStart w:id="2591" w:name="_Toc396566926"/>
      <w:bookmarkStart w:id="2592" w:name="_Toc396567700"/>
      <w:bookmarkStart w:id="2593" w:name="_Toc396568020"/>
      <w:bookmarkStart w:id="2594" w:name="_Toc396568353"/>
      <w:bookmarkStart w:id="2595" w:name="_Toc396568830"/>
      <w:bookmarkStart w:id="2596" w:name="_Toc396581760"/>
      <w:bookmarkStart w:id="2597" w:name="_Toc396583258"/>
      <w:bookmarkStart w:id="2598" w:name="_Toc396583655"/>
      <w:bookmarkStart w:id="2599" w:name="_Toc396583971"/>
      <w:bookmarkStart w:id="2600" w:name="_Toc396584930"/>
      <w:bookmarkStart w:id="2601" w:name="_Toc396585246"/>
      <w:bookmarkStart w:id="2602" w:name="_Toc396585562"/>
      <w:bookmarkStart w:id="2603" w:name="_Toc396585878"/>
      <w:bookmarkStart w:id="2604" w:name="_Toc396586194"/>
      <w:bookmarkStart w:id="2605" w:name="_Toc396490597"/>
      <w:bookmarkStart w:id="2606" w:name="_Toc396490922"/>
      <w:bookmarkStart w:id="2607" w:name="_Toc396491247"/>
      <w:bookmarkStart w:id="2608" w:name="_Toc396491572"/>
      <w:bookmarkStart w:id="2609" w:name="_Toc396491897"/>
      <w:bookmarkStart w:id="2610" w:name="_Toc396492222"/>
      <w:bookmarkStart w:id="2611" w:name="_Toc396492546"/>
      <w:bookmarkStart w:id="2612" w:name="_Toc396492870"/>
      <w:bookmarkStart w:id="2613" w:name="_Toc396493193"/>
      <w:bookmarkStart w:id="2614" w:name="_Toc396493516"/>
      <w:bookmarkStart w:id="2615" w:name="_Toc396493839"/>
      <w:bookmarkStart w:id="2616" w:name="_Toc396493649"/>
      <w:bookmarkStart w:id="2617" w:name="_Toc396494297"/>
      <w:bookmarkStart w:id="2618" w:name="_Toc396500721"/>
      <w:bookmarkStart w:id="2619" w:name="_Toc396501476"/>
      <w:bookmarkStart w:id="2620" w:name="_Toc396501803"/>
      <w:bookmarkStart w:id="2621" w:name="_Toc396503185"/>
      <w:bookmarkStart w:id="2622" w:name="_Toc396503512"/>
      <w:bookmarkStart w:id="2623" w:name="_Toc396503839"/>
      <w:bookmarkStart w:id="2624" w:name="_Toc396504166"/>
      <w:bookmarkStart w:id="2625" w:name="_Toc396504493"/>
      <w:bookmarkStart w:id="2626" w:name="_Toc396504820"/>
      <w:bookmarkStart w:id="2627" w:name="_Toc396505148"/>
      <w:bookmarkStart w:id="2628" w:name="_Toc396505476"/>
      <w:bookmarkStart w:id="2629" w:name="_Toc396505804"/>
      <w:bookmarkStart w:id="2630" w:name="_Toc396506132"/>
      <w:bookmarkStart w:id="2631" w:name="_Toc396506460"/>
      <w:bookmarkStart w:id="2632" w:name="_Toc396506788"/>
      <w:bookmarkStart w:id="2633" w:name="_Toc396507116"/>
      <w:bookmarkStart w:id="2634" w:name="_Toc396507444"/>
      <w:bookmarkStart w:id="2635" w:name="_Toc396507772"/>
      <w:bookmarkStart w:id="2636" w:name="_Toc396508100"/>
      <w:bookmarkStart w:id="2637" w:name="_Toc396508428"/>
      <w:bookmarkStart w:id="2638" w:name="_Toc396508957"/>
      <w:bookmarkStart w:id="2639" w:name="_Toc396509285"/>
      <w:bookmarkStart w:id="2640" w:name="_Toc396509613"/>
      <w:bookmarkStart w:id="2641" w:name="_Toc396509941"/>
      <w:bookmarkStart w:id="2642" w:name="_Toc396558221"/>
      <w:bookmarkStart w:id="2643" w:name="_Toc396558776"/>
      <w:bookmarkStart w:id="2644" w:name="_Toc396559156"/>
      <w:bookmarkStart w:id="2645" w:name="_Toc396559484"/>
      <w:bookmarkStart w:id="2646" w:name="_Toc396560329"/>
      <w:bookmarkStart w:id="2647" w:name="_Toc396560656"/>
      <w:bookmarkStart w:id="2648" w:name="_Toc396560983"/>
      <w:bookmarkStart w:id="2649" w:name="_Toc396561310"/>
      <w:bookmarkStart w:id="2650" w:name="_Toc396561637"/>
      <w:bookmarkStart w:id="2651" w:name="_Toc396561962"/>
      <w:bookmarkStart w:id="2652" w:name="_Toc396563272"/>
      <w:bookmarkStart w:id="2653" w:name="_Toc396563597"/>
      <w:bookmarkStart w:id="2654" w:name="_Toc396563922"/>
      <w:bookmarkStart w:id="2655" w:name="_Toc396564246"/>
      <w:bookmarkStart w:id="2656" w:name="_Toc396564570"/>
      <w:bookmarkStart w:id="2657" w:name="_Toc396564895"/>
      <w:bookmarkStart w:id="2658" w:name="_Toc396565470"/>
      <w:bookmarkStart w:id="2659" w:name="_Toc396566277"/>
      <w:bookmarkStart w:id="2660" w:name="_Toc396566602"/>
      <w:bookmarkStart w:id="2661" w:name="_Toc396566927"/>
      <w:bookmarkStart w:id="2662" w:name="_Toc396567701"/>
      <w:bookmarkStart w:id="2663" w:name="_Toc396568021"/>
      <w:bookmarkStart w:id="2664" w:name="_Toc396568354"/>
      <w:bookmarkStart w:id="2665" w:name="_Toc396568831"/>
      <w:bookmarkStart w:id="2666" w:name="_Toc396581761"/>
      <w:bookmarkStart w:id="2667" w:name="_Toc396583259"/>
      <w:bookmarkStart w:id="2668" w:name="_Toc396583656"/>
      <w:bookmarkStart w:id="2669" w:name="_Toc396583972"/>
      <w:bookmarkStart w:id="2670" w:name="_Toc396584931"/>
      <w:bookmarkStart w:id="2671" w:name="_Toc396585247"/>
      <w:bookmarkStart w:id="2672" w:name="_Toc396585563"/>
      <w:bookmarkStart w:id="2673" w:name="_Toc396585879"/>
      <w:bookmarkStart w:id="2674" w:name="_Toc396586195"/>
      <w:bookmarkStart w:id="2675" w:name="_Toc396490598"/>
      <w:bookmarkStart w:id="2676" w:name="_Toc396490923"/>
      <w:bookmarkStart w:id="2677" w:name="_Toc396491248"/>
      <w:bookmarkStart w:id="2678" w:name="_Toc396491573"/>
      <w:bookmarkStart w:id="2679" w:name="_Toc396491898"/>
      <w:bookmarkStart w:id="2680" w:name="_Toc396492223"/>
      <w:bookmarkStart w:id="2681" w:name="_Toc396492547"/>
      <w:bookmarkStart w:id="2682" w:name="_Toc396492871"/>
      <w:bookmarkStart w:id="2683" w:name="_Toc396493194"/>
      <w:bookmarkStart w:id="2684" w:name="_Toc396493517"/>
      <w:bookmarkStart w:id="2685" w:name="_Toc396493840"/>
      <w:bookmarkStart w:id="2686" w:name="_Toc396493650"/>
      <w:bookmarkStart w:id="2687" w:name="_Toc396494298"/>
      <w:bookmarkStart w:id="2688" w:name="_Toc396500722"/>
      <w:bookmarkStart w:id="2689" w:name="_Toc396501477"/>
      <w:bookmarkStart w:id="2690" w:name="_Toc396501804"/>
      <w:bookmarkStart w:id="2691" w:name="_Toc396503186"/>
      <w:bookmarkStart w:id="2692" w:name="_Toc396503513"/>
      <w:bookmarkStart w:id="2693" w:name="_Toc396503840"/>
      <w:bookmarkStart w:id="2694" w:name="_Toc396504167"/>
      <w:bookmarkStart w:id="2695" w:name="_Toc396504494"/>
      <w:bookmarkStart w:id="2696" w:name="_Toc396504821"/>
      <w:bookmarkStart w:id="2697" w:name="_Toc396505149"/>
      <w:bookmarkStart w:id="2698" w:name="_Toc396505477"/>
      <w:bookmarkStart w:id="2699" w:name="_Toc396505805"/>
      <w:bookmarkStart w:id="2700" w:name="_Toc396506133"/>
      <w:bookmarkStart w:id="2701" w:name="_Toc396506461"/>
      <w:bookmarkStart w:id="2702" w:name="_Toc396506789"/>
      <w:bookmarkStart w:id="2703" w:name="_Toc396507117"/>
      <w:bookmarkStart w:id="2704" w:name="_Toc396507445"/>
      <w:bookmarkStart w:id="2705" w:name="_Toc396507773"/>
      <w:bookmarkStart w:id="2706" w:name="_Toc396508101"/>
      <w:bookmarkStart w:id="2707" w:name="_Toc396508429"/>
      <w:bookmarkStart w:id="2708" w:name="_Toc396508958"/>
      <w:bookmarkStart w:id="2709" w:name="_Toc396509286"/>
      <w:bookmarkStart w:id="2710" w:name="_Toc396509614"/>
      <w:bookmarkStart w:id="2711" w:name="_Toc396509942"/>
      <w:bookmarkStart w:id="2712" w:name="_Toc396558222"/>
      <w:bookmarkStart w:id="2713" w:name="_Toc396558777"/>
      <w:bookmarkStart w:id="2714" w:name="_Toc396559157"/>
      <w:bookmarkStart w:id="2715" w:name="_Toc396559485"/>
      <w:bookmarkStart w:id="2716" w:name="_Toc396560330"/>
      <w:bookmarkStart w:id="2717" w:name="_Toc396560657"/>
      <w:bookmarkStart w:id="2718" w:name="_Toc396560984"/>
      <w:bookmarkStart w:id="2719" w:name="_Toc396561311"/>
      <w:bookmarkStart w:id="2720" w:name="_Toc396561638"/>
      <w:bookmarkStart w:id="2721" w:name="_Toc396561963"/>
      <w:bookmarkStart w:id="2722" w:name="_Toc396563273"/>
      <w:bookmarkStart w:id="2723" w:name="_Toc396563598"/>
      <w:bookmarkStart w:id="2724" w:name="_Toc396563923"/>
      <w:bookmarkStart w:id="2725" w:name="_Toc396564247"/>
      <w:bookmarkStart w:id="2726" w:name="_Toc396564571"/>
      <w:bookmarkStart w:id="2727" w:name="_Toc396564896"/>
      <w:bookmarkStart w:id="2728" w:name="_Toc396565471"/>
      <w:bookmarkStart w:id="2729" w:name="_Toc396566278"/>
      <w:bookmarkStart w:id="2730" w:name="_Toc396566603"/>
      <w:bookmarkStart w:id="2731" w:name="_Toc396566928"/>
      <w:bookmarkStart w:id="2732" w:name="_Toc396567702"/>
      <w:bookmarkStart w:id="2733" w:name="_Toc396568022"/>
      <w:bookmarkStart w:id="2734" w:name="_Toc396568355"/>
      <w:bookmarkStart w:id="2735" w:name="_Toc396568832"/>
      <w:bookmarkStart w:id="2736" w:name="_Toc396581762"/>
      <w:bookmarkStart w:id="2737" w:name="_Toc396583260"/>
      <w:bookmarkStart w:id="2738" w:name="_Toc396583657"/>
      <w:bookmarkStart w:id="2739" w:name="_Toc396583973"/>
      <w:bookmarkStart w:id="2740" w:name="_Toc396584932"/>
      <w:bookmarkStart w:id="2741" w:name="_Toc396585248"/>
      <w:bookmarkStart w:id="2742" w:name="_Toc396585564"/>
      <w:bookmarkStart w:id="2743" w:name="_Toc396585880"/>
      <w:bookmarkStart w:id="2744" w:name="_Toc396586196"/>
      <w:bookmarkStart w:id="2745" w:name="_Toc396490599"/>
      <w:bookmarkStart w:id="2746" w:name="_Toc396490924"/>
      <w:bookmarkStart w:id="2747" w:name="_Toc396491249"/>
      <w:bookmarkStart w:id="2748" w:name="_Toc396491574"/>
      <w:bookmarkStart w:id="2749" w:name="_Toc396491899"/>
      <w:bookmarkStart w:id="2750" w:name="_Toc396492224"/>
      <w:bookmarkStart w:id="2751" w:name="_Toc396492548"/>
      <w:bookmarkStart w:id="2752" w:name="_Toc396492872"/>
      <w:bookmarkStart w:id="2753" w:name="_Toc396493195"/>
      <w:bookmarkStart w:id="2754" w:name="_Toc396493518"/>
      <w:bookmarkStart w:id="2755" w:name="_Toc396493841"/>
      <w:bookmarkStart w:id="2756" w:name="_Toc396493651"/>
      <w:bookmarkStart w:id="2757" w:name="_Toc396494299"/>
      <w:bookmarkStart w:id="2758" w:name="_Toc396500723"/>
      <w:bookmarkStart w:id="2759" w:name="_Toc396501478"/>
      <w:bookmarkStart w:id="2760" w:name="_Toc396501805"/>
      <w:bookmarkStart w:id="2761" w:name="_Toc396503187"/>
      <w:bookmarkStart w:id="2762" w:name="_Toc396503514"/>
      <w:bookmarkStart w:id="2763" w:name="_Toc396503841"/>
      <w:bookmarkStart w:id="2764" w:name="_Toc396504168"/>
      <w:bookmarkStart w:id="2765" w:name="_Toc396504495"/>
      <w:bookmarkStart w:id="2766" w:name="_Toc396504822"/>
      <w:bookmarkStart w:id="2767" w:name="_Toc396505150"/>
      <w:bookmarkStart w:id="2768" w:name="_Toc396505478"/>
      <w:bookmarkStart w:id="2769" w:name="_Toc396505806"/>
      <w:bookmarkStart w:id="2770" w:name="_Toc396506134"/>
      <w:bookmarkStart w:id="2771" w:name="_Toc396506462"/>
      <w:bookmarkStart w:id="2772" w:name="_Toc396506790"/>
      <w:bookmarkStart w:id="2773" w:name="_Toc396507118"/>
      <w:bookmarkStart w:id="2774" w:name="_Toc396507446"/>
      <w:bookmarkStart w:id="2775" w:name="_Toc396507774"/>
      <w:bookmarkStart w:id="2776" w:name="_Toc396508102"/>
      <w:bookmarkStart w:id="2777" w:name="_Toc396508430"/>
      <w:bookmarkStart w:id="2778" w:name="_Toc396508959"/>
      <w:bookmarkStart w:id="2779" w:name="_Toc396509287"/>
      <w:bookmarkStart w:id="2780" w:name="_Toc396509615"/>
      <w:bookmarkStart w:id="2781" w:name="_Toc396509943"/>
      <w:bookmarkStart w:id="2782" w:name="_Toc396558223"/>
      <w:bookmarkStart w:id="2783" w:name="_Toc396558778"/>
      <w:bookmarkStart w:id="2784" w:name="_Toc396559158"/>
      <w:bookmarkStart w:id="2785" w:name="_Toc396559486"/>
      <w:bookmarkStart w:id="2786" w:name="_Toc396560331"/>
      <w:bookmarkStart w:id="2787" w:name="_Toc396560658"/>
      <w:bookmarkStart w:id="2788" w:name="_Toc396560985"/>
      <w:bookmarkStart w:id="2789" w:name="_Toc396561312"/>
      <w:bookmarkStart w:id="2790" w:name="_Toc396561639"/>
      <w:bookmarkStart w:id="2791" w:name="_Toc396561964"/>
      <w:bookmarkStart w:id="2792" w:name="_Toc396563274"/>
      <w:bookmarkStart w:id="2793" w:name="_Toc396563599"/>
      <w:bookmarkStart w:id="2794" w:name="_Toc396563924"/>
      <w:bookmarkStart w:id="2795" w:name="_Toc396564248"/>
      <w:bookmarkStart w:id="2796" w:name="_Toc396564572"/>
      <w:bookmarkStart w:id="2797" w:name="_Toc396564897"/>
      <w:bookmarkStart w:id="2798" w:name="_Toc396565472"/>
      <w:bookmarkStart w:id="2799" w:name="_Toc396566279"/>
      <w:bookmarkStart w:id="2800" w:name="_Toc396566604"/>
      <w:bookmarkStart w:id="2801" w:name="_Toc396566929"/>
      <w:bookmarkStart w:id="2802" w:name="_Toc396567703"/>
      <w:bookmarkStart w:id="2803" w:name="_Toc396568023"/>
      <w:bookmarkStart w:id="2804" w:name="_Toc396568356"/>
      <w:bookmarkStart w:id="2805" w:name="_Toc396568833"/>
      <w:bookmarkStart w:id="2806" w:name="_Toc396581763"/>
      <w:bookmarkStart w:id="2807" w:name="_Toc396583261"/>
      <w:bookmarkStart w:id="2808" w:name="_Toc396583658"/>
      <w:bookmarkStart w:id="2809" w:name="_Toc396583974"/>
      <w:bookmarkStart w:id="2810" w:name="_Toc396584933"/>
      <w:bookmarkStart w:id="2811" w:name="_Toc396585249"/>
      <w:bookmarkStart w:id="2812" w:name="_Toc396585565"/>
      <w:bookmarkStart w:id="2813" w:name="_Toc396585881"/>
      <w:bookmarkStart w:id="2814" w:name="_Toc396586197"/>
      <w:bookmarkStart w:id="2815" w:name="_Toc396490600"/>
      <w:bookmarkStart w:id="2816" w:name="_Toc396490925"/>
      <w:bookmarkStart w:id="2817" w:name="_Toc396491250"/>
      <w:bookmarkStart w:id="2818" w:name="_Toc396491575"/>
      <w:bookmarkStart w:id="2819" w:name="_Toc396491900"/>
      <w:bookmarkStart w:id="2820" w:name="_Toc396492225"/>
      <w:bookmarkStart w:id="2821" w:name="_Toc396492549"/>
      <w:bookmarkStart w:id="2822" w:name="_Toc396492873"/>
      <w:bookmarkStart w:id="2823" w:name="_Toc396493196"/>
      <w:bookmarkStart w:id="2824" w:name="_Toc396493519"/>
      <w:bookmarkStart w:id="2825" w:name="_Toc396493842"/>
      <w:bookmarkStart w:id="2826" w:name="_Toc396493652"/>
      <w:bookmarkStart w:id="2827" w:name="_Toc396494300"/>
      <w:bookmarkStart w:id="2828" w:name="_Toc396500724"/>
      <w:bookmarkStart w:id="2829" w:name="_Toc396501479"/>
      <w:bookmarkStart w:id="2830" w:name="_Toc396501806"/>
      <w:bookmarkStart w:id="2831" w:name="_Toc396503188"/>
      <w:bookmarkStart w:id="2832" w:name="_Toc396503515"/>
      <w:bookmarkStart w:id="2833" w:name="_Toc396503842"/>
      <w:bookmarkStart w:id="2834" w:name="_Toc396504169"/>
      <w:bookmarkStart w:id="2835" w:name="_Toc396504496"/>
      <w:bookmarkStart w:id="2836" w:name="_Toc396504823"/>
      <w:bookmarkStart w:id="2837" w:name="_Toc396505151"/>
      <w:bookmarkStart w:id="2838" w:name="_Toc396505479"/>
      <w:bookmarkStart w:id="2839" w:name="_Toc396505807"/>
      <w:bookmarkStart w:id="2840" w:name="_Toc396506135"/>
      <w:bookmarkStart w:id="2841" w:name="_Toc396506463"/>
      <w:bookmarkStart w:id="2842" w:name="_Toc396506791"/>
      <w:bookmarkStart w:id="2843" w:name="_Toc396507119"/>
      <w:bookmarkStart w:id="2844" w:name="_Toc396507447"/>
      <w:bookmarkStart w:id="2845" w:name="_Toc396507775"/>
      <w:bookmarkStart w:id="2846" w:name="_Toc396508103"/>
      <w:bookmarkStart w:id="2847" w:name="_Toc396508431"/>
      <w:bookmarkStart w:id="2848" w:name="_Toc396508960"/>
      <w:bookmarkStart w:id="2849" w:name="_Toc396509288"/>
      <w:bookmarkStart w:id="2850" w:name="_Toc396509616"/>
      <w:bookmarkStart w:id="2851" w:name="_Toc396509944"/>
      <w:bookmarkStart w:id="2852" w:name="_Toc396558224"/>
      <w:bookmarkStart w:id="2853" w:name="_Toc396558779"/>
      <w:bookmarkStart w:id="2854" w:name="_Toc396559159"/>
      <w:bookmarkStart w:id="2855" w:name="_Toc396559487"/>
      <w:bookmarkStart w:id="2856" w:name="_Toc396560332"/>
      <w:bookmarkStart w:id="2857" w:name="_Toc396560659"/>
      <w:bookmarkStart w:id="2858" w:name="_Toc396560986"/>
      <w:bookmarkStart w:id="2859" w:name="_Toc396561313"/>
      <w:bookmarkStart w:id="2860" w:name="_Toc396561640"/>
      <w:bookmarkStart w:id="2861" w:name="_Toc396561965"/>
      <w:bookmarkStart w:id="2862" w:name="_Toc396563275"/>
      <w:bookmarkStart w:id="2863" w:name="_Toc396563600"/>
      <w:bookmarkStart w:id="2864" w:name="_Toc396563925"/>
      <w:bookmarkStart w:id="2865" w:name="_Toc396564249"/>
      <w:bookmarkStart w:id="2866" w:name="_Toc396564573"/>
      <w:bookmarkStart w:id="2867" w:name="_Toc396564898"/>
      <w:bookmarkStart w:id="2868" w:name="_Toc396565473"/>
      <w:bookmarkStart w:id="2869" w:name="_Toc396566280"/>
      <w:bookmarkStart w:id="2870" w:name="_Toc396566605"/>
      <w:bookmarkStart w:id="2871" w:name="_Toc396566930"/>
      <w:bookmarkStart w:id="2872" w:name="_Toc396567704"/>
      <w:bookmarkStart w:id="2873" w:name="_Toc396568024"/>
      <w:bookmarkStart w:id="2874" w:name="_Toc396568357"/>
      <w:bookmarkStart w:id="2875" w:name="_Toc396568834"/>
      <w:bookmarkStart w:id="2876" w:name="_Toc396581764"/>
      <w:bookmarkStart w:id="2877" w:name="_Toc396583262"/>
      <w:bookmarkStart w:id="2878" w:name="_Toc396583659"/>
      <w:bookmarkStart w:id="2879" w:name="_Toc396583975"/>
      <w:bookmarkStart w:id="2880" w:name="_Toc396584934"/>
      <w:bookmarkStart w:id="2881" w:name="_Toc396585250"/>
      <w:bookmarkStart w:id="2882" w:name="_Toc396585566"/>
      <w:bookmarkStart w:id="2883" w:name="_Toc396585882"/>
      <w:bookmarkStart w:id="2884" w:name="_Toc396586198"/>
      <w:bookmarkStart w:id="2885" w:name="_Toc396490601"/>
      <w:bookmarkStart w:id="2886" w:name="_Toc396490926"/>
      <w:bookmarkStart w:id="2887" w:name="_Toc396491251"/>
      <w:bookmarkStart w:id="2888" w:name="_Toc396491576"/>
      <w:bookmarkStart w:id="2889" w:name="_Toc396491901"/>
      <w:bookmarkStart w:id="2890" w:name="_Toc396492226"/>
      <w:bookmarkStart w:id="2891" w:name="_Toc396492550"/>
      <w:bookmarkStart w:id="2892" w:name="_Toc396492874"/>
      <w:bookmarkStart w:id="2893" w:name="_Toc396493197"/>
      <w:bookmarkStart w:id="2894" w:name="_Toc396493520"/>
      <w:bookmarkStart w:id="2895" w:name="_Toc396493843"/>
      <w:bookmarkStart w:id="2896" w:name="_Toc396493653"/>
      <w:bookmarkStart w:id="2897" w:name="_Toc396494301"/>
      <w:bookmarkStart w:id="2898" w:name="_Toc396500725"/>
      <w:bookmarkStart w:id="2899" w:name="_Toc396501480"/>
      <w:bookmarkStart w:id="2900" w:name="_Toc396501807"/>
      <w:bookmarkStart w:id="2901" w:name="_Toc396503189"/>
      <w:bookmarkStart w:id="2902" w:name="_Toc396503516"/>
      <w:bookmarkStart w:id="2903" w:name="_Toc396503843"/>
      <w:bookmarkStart w:id="2904" w:name="_Toc396504170"/>
      <w:bookmarkStart w:id="2905" w:name="_Toc396504497"/>
      <w:bookmarkStart w:id="2906" w:name="_Toc396504824"/>
      <w:bookmarkStart w:id="2907" w:name="_Toc396505152"/>
      <w:bookmarkStart w:id="2908" w:name="_Toc396505480"/>
      <w:bookmarkStart w:id="2909" w:name="_Toc396505808"/>
      <w:bookmarkStart w:id="2910" w:name="_Toc396506136"/>
      <w:bookmarkStart w:id="2911" w:name="_Toc396506464"/>
      <w:bookmarkStart w:id="2912" w:name="_Toc396506792"/>
      <w:bookmarkStart w:id="2913" w:name="_Toc396507120"/>
      <w:bookmarkStart w:id="2914" w:name="_Toc396507448"/>
      <w:bookmarkStart w:id="2915" w:name="_Toc396507776"/>
      <w:bookmarkStart w:id="2916" w:name="_Toc396508104"/>
      <w:bookmarkStart w:id="2917" w:name="_Toc396508432"/>
      <w:bookmarkStart w:id="2918" w:name="_Toc396508961"/>
      <w:bookmarkStart w:id="2919" w:name="_Toc396509289"/>
      <w:bookmarkStart w:id="2920" w:name="_Toc396509617"/>
      <w:bookmarkStart w:id="2921" w:name="_Toc396509945"/>
      <w:bookmarkStart w:id="2922" w:name="_Toc396558225"/>
      <w:bookmarkStart w:id="2923" w:name="_Toc396558780"/>
      <w:bookmarkStart w:id="2924" w:name="_Toc396559160"/>
      <w:bookmarkStart w:id="2925" w:name="_Toc396559488"/>
      <w:bookmarkStart w:id="2926" w:name="_Toc396560333"/>
      <w:bookmarkStart w:id="2927" w:name="_Toc396560660"/>
      <w:bookmarkStart w:id="2928" w:name="_Toc396560987"/>
      <w:bookmarkStart w:id="2929" w:name="_Toc396561314"/>
      <w:bookmarkStart w:id="2930" w:name="_Toc396561641"/>
      <w:bookmarkStart w:id="2931" w:name="_Toc396561966"/>
      <w:bookmarkStart w:id="2932" w:name="_Toc396563276"/>
      <w:bookmarkStart w:id="2933" w:name="_Toc396563601"/>
      <w:bookmarkStart w:id="2934" w:name="_Toc396563926"/>
      <w:bookmarkStart w:id="2935" w:name="_Toc396564250"/>
      <w:bookmarkStart w:id="2936" w:name="_Toc396564574"/>
      <w:bookmarkStart w:id="2937" w:name="_Toc396564899"/>
      <w:bookmarkStart w:id="2938" w:name="_Toc396565474"/>
      <w:bookmarkStart w:id="2939" w:name="_Toc396566281"/>
      <w:bookmarkStart w:id="2940" w:name="_Toc396566606"/>
      <w:bookmarkStart w:id="2941" w:name="_Toc396566931"/>
      <w:bookmarkStart w:id="2942" w:name="_Toc396567705"/>
      <w:bookmarkStart w:id="2943" w:name="_Toc396568025"/>
      <w:bookmarkStart w:id="2944" w:name="_Toc396568358"/>
      <w:bookmarkStart w:id="2945" w:name="_Toc396568835"/>
      <w:bookmarkStart w:id="2946" w:name="_Toc396581765"/>
      <w:bookmarkStart w:id="2947" w:name="_Toc396583263"/>
      <w:bookmarkStart w:id="2948" w:name="_Toc396583660"/>
      <w:bookmarkStart w:id="2949" w:name="_Toc396583976"/>
      <w:bookmarkStart w:id="2950" w:name="_Toc396584935"/>
      <w:bookmarkStart w:id="2951" w:name="_Toc396585251"/>
      <w:bookmarkStart w:id="2952" w:name="_Toc396585567"/>
      <w:bookmarkStart w:id="2953" w:name="_Toc396585883"/>
      <w:bookmarkStart w:id="2954" w:name="_Toc396586199"/>
      <w:bookmarkStart w:id="2955" w:name="_Toc396490602"/>
      <w:bookmarkStart w:id="2956" w:name="_Toc396490927"/>
      <w:bookmarkStart w:id="2957" w:name="_Toc396491252"/>
      <w:bookmarkStart w:id="2958" w:name="_Toc396491577"/>
      <w:bookmarkStart w:id="2959" w:name="_Toc396491902"/>
      <w:bookmarkStart w:id="2960" w:name="_Toc396492227"/>
      <w:bookmarkStart w:id="2961" w:name="_Toc396492551"/>
      <w:bookmarkStart w:id="2962" w:name="_Toc396492875"/>
      <w:bookmarkStart w:id="2963" w:name="_Toc396493198"/>
      <w:bookmarkStart w:id="2964" w:name="_Toc396493521"/>
      <w:bookmarkStart w:id="2965" w:name="_Toc396493844"/>
      <w:bookmarkStart w:id="2966" w:name="_Toc396493654"/>
      <w:bookmarkStart w:id="2967" w:name="_Toc396494302"/>
      <w:bookmarkStart w:id="2968" w:name="_Toc396500726"/>
      <w:bookmarkStart w:id="2969" w:name="_Toc396501481"/>
      <w:bookmarkStart w:id="2970" w:name="_Toc396501808"/>
      <w:bookmarkStart w:id="2971" w:name="_Toc396503190"/>
      <w:bookmarkStart w:id="2972" w:name="_Toc396503517"/>
      <w:bookmarkStart w:id="2973" w:name="_Toc396503844"/>
      <w:bookmarkStart w:id="2974" w:name="_Toc396504171"/>
      <w:bookmarkStart w:id="2975" w:name="_Toc396504498"/>
      <w:bookmarkStart w:id="2976" w:name="_Toc396504825"/>
      <w:bookmarkStart w:id="2977" w:name="_Toc396505153"/>
      <w:bookmarkStart w:id="2978" w:name="_Toc396505481"/>
      <w:bookmarkStart w:id="2979" w:name="_Toc396505809"/>
      <w:bookmarkStart w:id="2980" w:name="_Toc396506137"/>
      <w:bookmarkStart w:id="2981" w:name="_Toc396506465"/>
      <w:bookmarkStart w:id="2982" w:name="_Toc396506793"/>
      <w:bookmarkStart w:id="2983" w:name="_Toc396507121"/>
      <w:bookmarkStart w:id="2984" w:name="_Toc396507449"/>
      <w:bookmarkStart w:id="2985" w:name="_Toc396507777"/>
      <w:bookmarkStart w:id="2986" w:name="_Toc396508105"/>
      <w:bookmarkStart w:id="2987" w:name="_Toc396508433"/>
      <w:bookmarkStart w:id="2988" w:name="_Toc396508962"/>
      <w:bookmarkStart w:id="2989" w:name="_Toc396509290"/>
      <w:bookmarkStart w:id="2990" w:name="_Toc396509618"/>
      <w:bookmarkStart w:id="2991" w:name="_Toc396509946"/>
      <w:bookmarkStart w:id="2992" w:name="_Toc396558226"/>
      <w:bookmarkStart w:id="2993" w:name="_Toc396558781"/>
      <w:bookmarkStart w:id="2994" w:name="_Toc396559161"/>
      <w:bookmarkStart w:id="2995" w:name="_Toc396559489"/>
      <w:bookmarkStart w:id="2996" w:name="_Toc396560334"/>
      <w:bookmarkStart w:id="2997" w:name="_Toc396560661"/>
      <w:bookmarkStart w:id="2998" w:name="_Toc396560988"/>
      <w:bookmarkStart w:id="2999" w:name="_Toc396561315"/>
      <w:bookmarkStart w:id="3000" w:name="_Toc396561642"/>
      <w:bookmarkStart w:id="3001" w:name="_Toc396561967"/>
      <w:bookmarkStart w:id="3002" w:name="_Toc396563277"/>
      <w:bookmarkStart w:id="3003" w:name="_Toc396563602"/>
      <w:bookmarkStart w:id="3004" w:name="_Toc396563927"/>
      <w:bookmarkStart w:id="3005" w:name="_Toc396564251"/>
      <w:bookmarkStart w:id="3006" w:name="_Toc396564575"/>
      <w:bookmarkStart w:id="3007" w:name="_Toc396564900"/>
      <w:bookmarkStart w:id="3008" w:name="_Toc396565475"/>
      <w:bookmarkStart w:id="3009" w:name="_Toc396566282"/>
      <w:bookmarkStart w:id="3010" w:name="_Toc396566607"/>
      <w:bookmarkStart w:id="3011" w:name="_Toc396566932"/>
      <w:bookmarkStart w:id="3012" w:name="_Toc396567706"/>
      <w:bookmarkStart w:id="3013" w:name="_Toc396568026"/>
      <w:bookmarkStart w:id="3014" w:name="_Toc396568359"/>
      <w:bookmarkStart w:id="3015" w:name="_Toc396568836"/>
      <w:bookmarkStart w:id="3016" w:name="_Toc396581766"/>
      <w:bookmarkStart w:id="3017" w:name="_Toc396583264"/>
      <w:bookmarkStart w:id="3018" w:name="_Toc396583661"/>
      <w:bookmarkStart w:id="3019" w:name="_Toc396583977"/>
      <w:bookmarkStart w:id="3020" w:name="_Toc396584936"/>
      <w:bookmarkStart w:id="3021" w:name="_Toc396585252"/>
      <w:bookmarkStart w:id="3022" w:name="_Toc396585568"/>
      <w:bookmarkStart w:id="3023" w:name="_Toc396585884"/>
      <w:bookmarkStart w:id="3024" w:name="_Toc396586200"/>
      <w:bookmarkStart w:id="3025" w:name="_Toc396490603"/>
      <w:bookmarkStart w:id="3026" w:name="_Toc396490928"/>
      <w:bookmarkStart w:id="3027" w:name="_Toc396491253"/>
      <w:bookmarkStart w:id="3028" w:name="_Toc396491578"/>
      <w:bookmarkStart w:id="3029" w:name="_Toc396491903"/>
      <w:bookmarkStart w:id="3030" w:name="_Toc396492228"/>
      <w:bookmarkStart w:id="3031" w:name="_Toc396492552"/>
      <w:bookmarkStart w:id="3032" w:name="_Toc396492876"/>
      <w:bookmarkStart w:id="3033" w:name="_Toc396493199"/>
      <w:bookmarkStart w:id="3034" w:name="_Toc396493522"/>
      <w:bookmarkStart w:id="3035" w:name="_Toc396493845"/>
      <w:bookmarkStart w:id="3036" w:name="_Toc396493655"/>
      <w:bookmarkStart w:id="3037" w:name="_Toc396494303"/>
      <w:bookmarkStart w:id="3038" w:name="_Toc396500727"/>
      <w:bookmarkStart w:id="3039" w:name="_Toc396501482"/>
      <w:bookmarkStart w:id="3040" w:name="_Toc396501809"/>
      <w:bookmarkStart w:id="3041" w:name="_Toc396503191"/>
      <w:bookmarkStart w:id="3042" w:name="_Toc396503518"/>
      <w:bookmarkStart w:id="3043" w:name="_Toc396503845"/>
      <w:bookmarkStart w:id="3044" w:name="_Toc396504172"/>
      <w:bookmarkStart w:id="3045" w:name="_Toc396504499"/>
      <w:bookmarkStart w:id="3046" w:name="_Toc396504826"/>
      <w:bookmarkStart w:id="3047" w:name="_Toc396505154"/>
      <w:bookmarkStart w:id="3048" w:name="_Toc396505482"/>
      <w:bookmarkStart w:id="3049" w:name="_Toc396505810"/>
      <w:bookmarkStart w:id="3050" w:name="_Toc396506138"/>
      <w:bookmarkStart w:id="3051" w:name="_Toc396506466"/>
      <w:bookmarkStart w:id="3052" w:name="_Toc396506794"/>
      <w:bookmarkStart w:id="3053" w:name="_Toc396507122"/>
      <w:bookmarkStart w:id="3054" w:name="_Toc396507450"/>
      <w:bookmarkStart w:id="3055" w:name="_Toc396507778"/>
      <w:bookmarkStart w:id="3056" w:name="_Toc396508106"/>
      <w:bookmarkStart w:id="3057" w:name="_Toc396508434"/>
      <w:bookmarkStart w:id="3058" w:name="_Toc396508963"/>
      <w:bookmarkStart w:id="3059" w:name="_Toc396509291"/>
      <w:bookmarkStart w:id="3060" w:name="_Toc396509619"/>
      <w:bookmarkStart w:id="3061" w:name="_Toc396509947"/>
      <w:bookmarkStart w:id="3062" w:name="_Toc396558227"/>
      <w:bookmarkStart w:id="3063" w:name="_Toc396558782"/>
      <w:bookmarkStart w:id="3064" w:name="_Toc396559162"/>
      <w:bookmarkStart w:id="3065" w:name="_Toc396559490"/>
      <w:bookmarkStart w:id="3066" w:name="_Toc396560335"/>
      <w:bookmarkStart w:id="3067" w:name="_Toc396560662"/>
      <w:bookmarkStart w:id="3068" w:name="_Toc396560989"/>
      <w:bookmarkStart w:id="3069" w:name="_Toc396561316"/>
      <w:bookmarkStart w:id="3070" w:name="_Toc396561643"/>
      <w:bookmarkStart w:id="3071" w:name="_Toc396561968"/>
      <w:bookmarkStart w:id="3072" w:name="_Toc396563278"/>
      <w:bookmarkStart w:id="3073" w:name="_Toc396563603"/>
      <w:bookmarkStart w:id="3074" w:name="_Toc396563928"/>
      <w:bookmarkStart w:id="3075" w:name="_Toc396564252"/>
      <w:bookmarkStart w:id="3076" w:name="_Toc396564576"/>
      <w:bookmarkStart w:id="3077" w:name="_Toc396564901"/>
      <w:bookmarkStart w:id="3078" w:name="_Toc396565476"/>
      <w:bookmarkStart w:id="3079" w:name="_Toc396566283"/>
      <w:bookmarkStart w:id="3080" w:name="_Toc396566608"/>
      <w:bookmarkStart w:id="3081" w:name="_Toc396566933"/>
      <w:bookmarkStart w:id="3082" w:name="_Toc396567707"/>
      <w:bookmarkStart w:id="3083" w:name="_Toc396568027"/>
      <w:bookmarkStart w:id="3084" w:name="_Toc396568360"/>
      <w:bookmarkStart w:id="3085" w:name="_Toc396568837"/>
      <w:bookmarkStart w:id="3086" w:name="_Toc396581767"/>
      <w:bookmarkStart w:id="3087" w:name="_Toc396583265"/>
      <w:bookmarkStart w:id="3088" w:name="_Toc396583662"/>
      <w:bookmarkStart w:id="3089" w:name="_Toc396583978"/>
      <w:bookmarkStart w:id="3090" w:name="_Toc396584937"/>
      <w:bookmarkStart w:id="3091" w:name="_Toc396585253"/>
      <w:bookmarkStart w:id="3092" w:name="_Toc396585569"/>
      <w:bookmarkStart w:id="3093" w:name="_Toc396585885"/>
      <w:bookmarkStart w:id="3094" w:name="_Toc396586201"/>
      <w:bookmarkStart w:id="3095" w:name="_Toc396490604"/>
      <w:bookmarkStart w:id="3096" w:name="_Toc396490929"/>
      <w:bookmarkStart w:id="3097" w:name="_Toc396491254"/>
      <w:bookmarkStart w:id="3098" w:name="_Toc396491579"/>
      <w:bookmarkStart w:id="3099" w:name="_Toc396491904"/>
      <w:bookmarkStart w:id="3100" w:name="_Toc396492229"/>
      <w:bookmarkStart w:id="3101" w:name="_Toc396492553"/>
      <w:bookmarkStart w:id="3102" w:name="_Toc396492877"/>
      <w:bookmarkStart w:id="3103" w:name="_Toc396493200"/>
      <w:bookmarkStart w:id="3104" w:name="_Toc396493523"/>
      <w:bookmarkStart w:id="3105" w:name="_Toc396493846"/>
      <w:bookmarkStart w:id="3106" w:name="_Toc396493656"/>
      <w:bookmarkStart w:id="3107" w:name="_Toc396494304"/>
      <w:bookmarkStart w:id="3108" w:name="_Toc396500728"/>
      <w:bookmarkStart w:id="3109" w:name="_Toc396501483"/>
      <w:bookmarkStart w:id="3110" w:name="_Toc396501810"/>
      <w:bookmarkStart w:id="3111" w:name="_Toc396503192"/>
      <w:bookmarkStart w:id="3112" w:name="_Toc396503519"/>
      <w:bookmarkStart w:id="3113" w:name="_Toc396503846"/>
      <w:bookmarkStart w:id="3114" w:name="_Toc396504173"/>
      <w:bookmarkStart w:id="3115" w:name="_Toc396504500"/>
      <w:bookmarkStart w:id="3116" w:name="_Toc396504827"/>
      <w:bookmarkStart w:id="3117" w:name="_Toc396505155"/>
      <w:bookmarkStart w:id="3118" w:name="_Toc396505483"/>
      <w:bookmarkStart w:id="3119" w:name="_Toc396505811"/>
      <w:bookmarkStart w:id="3120" w:name="_Toc396506139"/>
      <w:bookmarkStart w:id="3121" w:name="_Toc396506467"/>
      <w:bookmarkStart w:id="3122" w:name="_Toc396506795"/>
      <w:bookmarkStart w:id="3123" w:name="_Toc396507123"/>
      <w:bookmarkStart w:id="3124" w:name="_Toc396507451"/>
      <w:bookmarkStart w:id="3125" w:name="_Toc396507779"/>
      <w:bookmarkStart w:id="3126" w:name="_Toc396508107"/>
      <w:bookmarkStart w:id="3127" w:name="_Toc396508435"/>
      <w:bookmarkStart w:id="3128" w:name="_Toc396508964"/>
      <w:bookmarkStart w:id="3129" w:name="_Toc396509292"/>
      <w:bookmarkStart w:id="3130" w:name="_Toc396509620"/>
      <w:bookmarkStart w:id="3131" w:name="_Toc396509948"/>
      <w:bookmarkStart w:id="3132" w:name="_Toc396558228"/>
      <w:bookmarkStart w:id="3133" w:name="_Toc396558783"/>
      <w:bookmarkStart w:id="3134" w:name="_Toc396559163"/>
      <w:bookmarkStart w:id="3135" w:name="_Toc396559491"/>
      <w:bookmarkStart w:id="3136" w:name="_Toc396560336"/>
      <w:bookmarkStart w:id="3137" w:name="_Toc396560663"/>
      <w:bookmarkStart w:id="3138" w:name="_Toc396560990"/>
      <w:bookmarkStart w:id="3139" w:name="_Toc396561317"/>
      <w:bookmarkStart w:id="3140" w:name="_Toc396561644"/>
      <w:bookmarkStart w:id="3141" w:name="_Toc396561969"/>
      <w:bookmarkStart w:id="3142" w:name="_Toc396563279"/>
      <w:bookmarkStart w:id="3143" w:name="_Toc396563604"/>
      <w:bookmarkStart w:id="3144" w:name="_Toc396563929"/>
      <w:bookmarkStart w:id="3145" w:name="_Toc396564253"/>
      <w:bookmarkStart w:id="3146" w:name="_Toc396564577"/>
      <w:bookmarkStart w:id="3147" w:name="_Toc396564902"/>
      <w:bookmarkStart w:id="3148" w:name="_Toc396565477"/>
      <w:bookmarkStart w:id="3149" w:name="_Toc396566284"/>
      <w:bookmarkStart w:id="3150" w:name="_Toc396566609"/>
      <w:bookmarkStart w:id="3151" w:name="_Toc396566934"/>
      <w:bookmarkStart w:id="3152" w:name="_Toc396567708"/>
      <w:bookmarkStart w:id="3153" w:name="_Toc396568028"/>
      <w:bookmarkStart w:id="3154" w:name="_Toc396568361"/>
      <w:bookmarkStart w:id="3155" w:name="_Toc396568838"/>
      <w:bookmarkStart w:id="3156" w:name="_Toc396581768"/>
      <w:bookmarkStart w:id="3157" w:name="_Toc396583266"/>
      <w:bookmarkStart w:id="3158" w:name="_Toc396583663"/>
      <w:bookmarkStart w:id="3159" w:name="_Toc396583979"/>
      <w:bookmarkStart w:id="3160" w:name="_Toc396584938"/>
      <w:bookmarkStart w:id="3161" w:name="_Toc396585254"/>
      <w:bookmarkStart w:id="3162" w:name="_Toc396585570"/>
      <w:bookmarkStart w:id="3163" w:name="_Toc396585886"/>
      <w:bookmarkStart w:id="3164" w:name="_Toc396586202"/>
      <w:bookmarkStart w:id="3165" w:name="_Toc396490605"/>
      <w:bookmarkStart w:id="3166" w:name="_Toc396490930"/>
      <w:bookmarkStart w:id="3167" w:name="_Toc396491255"/>
      <w:bookmarkStart w:id="3168" w:name="_Toc396491580"/>
      <w:bookmarkStart w:id="3169" w:name="_Toc396491905"/>
      <w:bookmarkStart w:id="3170" w:name="_Toc396492230"/>
      <w:bookmarkStart w:id="3171" w:name="_Toc396492554"/>
      <w:bookmarkStart w:id="3172" w:name="_Toc396492878"/>
      <w:bookmarkStart w:id="3173" w:name="_Toc396493201"/>
      <w:bookmarkStart w:id="3174" w:name="_Toc396493524"/>
      <w:bookmarkStart w:id="3175" w:name="_Toc396493847"/>
      <w:bookmarkStart w:id="3176" w:name="_Toc396493657"/>
      <w:bookmarkStart w:id="3177" w:name="_Toc396494305"/>
      <w:bookmarkStart w:id="3178" w:name="_Toc396500729"/>
      <w:bookmarkStart w:id="3179" w:name="_Toc396501484"/>
      <w:bookmarkStart w:id="3180" w:name="_Toc396501811"/>
      <w:bookmarkStart w:id="3181" w:name="_Toc396503193"/>
      <w:bookmarkStart w:id="3182" w:name="_Toc396503520"/>
      <w:bookmarkStart w:id="3183" w:name="_Toc396503847"/>
      <w:bookmarkStart w:id="3184" w:name="_Toc396504174"/>
      <w:bookmarkStart w:id="3185" w:name="_Toc396504501"/>
      <w:bookmarkStart w:id="3186" w:name="_Toc396504828"/>
      <w:bookmarkStart w:id="3187" w:name="_Toc396505156"/>
      <w:bookmarkStart w:id="3188" w:name="_Toc396505484"/>
      <w:bookmarkStart w:id="3189" w:name="_Toc396505812"/>
      <w:bookmarkStart w:id="3190" w:name="_Toc396506140"/>
      <w:bookmarkStart w:id="3191" w:name="_Toc396506468"/>
      <w:bookmarkStart w:id="3192" w:name="_Toc396506796"/>
      <w:bookmarkStart w:id="3193" w:name="_Toc396507124"/>
      <w:bookmarkStart w:id="3194" w:name="_Toc396507452"/>
      <w:bookmarkStart w:id="3195" w:name="_Toc396507780"/>
      <w:bookmarkStart w:id="3196" w:name="_Toc396508108"/>
      <w:bookmarkStart w:id="3197" w:name="_Toc396508436"/>
      <w:bookmarkStart w:id="3198" w:name="_Toc396508965"/>
      <w:bookmarkStart w:id="3199" w:name="_Toc396509293"/>
      <w:bookmarkStart w:id="3200" w:name="_Toc396509621"/>
      <w:bookmarkStart w:id="3201" w:name="_Toc396509949"/>
      <w:bookmarkStart w:id="3202" w:name="_Toc396558229"/>
      <w:bookmarkStart w:id="3203" w:name="_Toc396558784"/>
      <w:bookmarkStart w:id="3204" w:name="_Toc396559164"/>
      <w:bookmarkStart w:id="3205" w:name="_Toc396559492"/>
      <w:bookmarkStart w:id="3206" w:name="_Toc396560337"/>
      <w:bookmarkStart w:id="3207" w:name="_Toc396560664"/>
      <w:bookmarkStart w:id="3208" w:name="_Toc396560991"/>
      <w:bookmarkStart w:id="3209" w:name="_Toc396561318"/>
      <w:bookmarkStart w:id="3210" w:name="_Toc396561645"/>
      <w:bookmarkStart w:id="3211" w:name="_Toc396561970"/>
      <w:bookmarkStart w:id="3212" w:name="_Toc396563280"/>
      <w:bookmarkStart w:id="3213" w:name="_Toc396563605"/>
      <w:bookmarkStart w:id="3214" w:name="_Toc396563930"/>
      <w:bookmarkStart w:id="3215" w:name="_Toc396564254"/>
      <w:bookmarkStart w:id="3216" w:name="_Toc396564578"/>
      <w:bookmarkStart w:id="3217" w:name="_Toc396564903"/>
      <w:bookmarkStart w:id="3218" w:name="_Toc396565478"/>
      <w:bookmarkStart w:id="3219" w:name="_Toc396566285"/>
      <w:bookmarkStart w:id="3220" w:name="_Toc396566610"/>
      <w:bookmarkStart w:id="3221" w:name="_Toc396566935"/>
      <w:bookmarkStart w:id="3222" w:name="_Toc396567709"/>
      <w:bookmarkStart w:id="3223" w:name="_Toc396568029"/>
      <w:bookmarkStart w:id="3224" w:name="_Toc396568362"/>
      <w:bookmarkStart w:id="3225" w:name="_Toc396568839"/>
      <w:bookmarkStart w:id="3226" w:name="_Toc396581769"/>
      <w:bookmarkStart w:id="3227" w:name="_Toc396583267"/>
      <w:bookmarkStart w:id="3228" w:name="_Toc396583664"/>
      <w:bookmarkStart w:id="3229" w:name="_Toc396583980"/>
      <w:bookmarkStart w:id="3230" w:name="_Toc396584939"/>
      <w:bookmarkStart w:id="3231" w:name="_Toc396585255"/>
      <w:bookmarkStart w:id="3232" w:name="_Toc396585571"/>
      <w:bookmarkStart w:id="3233" w:name="_Toc396585887"/>
      <w:bookmarkStart w:id="3234" w:name="_Toc396586203"/>
      <w:bookmarkStart w:id="3235" w:name="_Toc396490606"/>
      <w:bookmarkStart w:id="3236" w:name="_Toc396490931"/>
      <w:bookmarkStart w:id="3237" w:name="_Toc396491256"/>
      <w:bookmarkStart w:id="3238" w:name="_Toc396491581"/>
      <w:bookmarkStart w:id="3239" w:name="_Toc396491906"/>
      <w:bookmarkStart w:id="3240" w:name="_Toc396492231"/>
      <w:bookmarkStart w:id="3241" w:name="_Toc396492555"/>
      <w:bookmarkStart w:id="3242" w:name="_Toc396492879"/>
      <w:bookmarkStart w:id="3243" w:name="_Toc396493202"/>
      <w:bookmarkStart w:id="3244" w:name="_Toc396493525"/>
      <w:bookmarkStart w:id="3245" w:name="_Toc396493848"/>
      <w:bookmarkStart w:id="3246" w:name="_Toc396493658"/>
      <w:bookmarkStart w:id="3247" w:name="_Toc396494306"/>
      <w:bookmarkStart w:id="3248" w:name="_Toc396500730"/>
      <w:bookmarkStart w:id="3249" w:name="_Toc396501485"/>
      <w:bookmarkStart w:id="3250" w:name="_Toc396501812"/>
      <w:bookmarkStart w:id="3251" w:name="_Toc396503194"/>
      <w:bookmarkStart w:id="3252" w:name="_Toc396503521"/>
      <w:bookmarkStart w:id="3253" w:name="_Toc396503848"/>
      <w:bookmarkStart w:id="3254" w:name="_Toc396504175"/>
      <w:bookmarkStart w:id="3255" w:name="_Toc396504502"/>
      <w:bookmarkStart w:id="3256" w:name="_Toc396504829"/>
      <w:bookmarkStart w:id="3257" w:name="_Toc396505157"/>
      <w:bookmarkStart w:id="3258" w:name="_Toc396505485"/>
      <w:bookmarkStart w:id="3259" w:name="_Toc396505813"/>
      <w:bookmarkStart w:id="3260" w:name="_Toc396506141"/>
      <w:bookmarkStart w:id="3261" w:name="_Toc396506469"/>
      <w:bookmarkStart w:id="3262" w:name="_Toc396506797"/>
      <w:bookmarkStart w:id="3263" w:name="_Toc396507125"/>
      <w:bookmarkStart w:id="3264" w:name="_Toc396507453"/>
      <w:bookmarkStart w:id="3265" w:name="_Toc396507781"/>
      <w:bookmarkStart w:id="3266" w:name="_Toc396508109"/>
      <w:bookmarkStart w:id="3267" w:name="_Toc396508437"/>
      <w:bookmarkStart w:id="3268" w:name="_Toc396508966"/>
      <w:bookmarkStart w:id="3269" w:name="_Toc396509294"/>
      <w:bookmarkStart w:id="3270" w:name="_Toc396509622"/>
      <w:bookmarkStart w:id="3271" w:name="_Toc396509950"/>
      <w:bookmarkStart w:id="3272" w:name="_Toc396558230"/>
      <w:bookmarkStart w:id="3273" w:name="_Toc396558785"/>
      <w:bookmarkStart w:id="3274" w:name="_Toc396559165"/>
      <w:bookmarkStart w:id="3275" w:name="_Toc396559493"/>
      <w:bookmarkStart w:id="3276" w:name="_Toc396560338"/>
      <w:bookmarkStart w:id="3277" w:name="_Toc396560665"/>
      <w:bookmarkStart w:id="3278" w:name="_Toc396560992"/>
      <w:bookmarkStart w:id="3279" w:name="_Toc396561319"/>
      <w:bookmarkStart w:id="3280" w:name="_Toc396561646"/>
      <w:bookmarkStart w:id="3281" w:name="_Toc396561971"/>
      <w:bookmarkStart w:id="3282" w:name="_Toc396563281"/>
      <w:bookmarkStart w:id="3283" w:name="_Toc396563606"/>
      <w:bookmarkStart w:id="3284" w:name="_Toc396563931"/>
      <w:bookmarkStart w:id="3285" w:name="_Toc396564255"/>
      <w:bookmarkStart w:id="3286" w:name="_Toc396564579"/>
      <w:bookmarkStart w:id="3287" w:name="_Toc396564904"/>
      <w:bookmarkStart w:id="3288" w:name="_Toc396565479"/>
      <w:bookmarkStart w:id="3289" w:name="_Toc396566286"/>
      <w:bookmarkStart w:id="3290" w:name="_Toc396566611"/>
      <w:bookmarkStart w:id="3291" w:name="_Toc396566936"/>
      <w:bookmarkStart w:id="3292" w:name="_Toc396567710"/>
      <w:bookmarkStart w:id="3293" w:name="_Toc396568030"/>
      <w:bookmarkStart w:id="3294" w:name="_Toc396568363"/>
      <w:bookmarkStart w:id="3295" w:name="_Toc396568840"/>
      <w:bookmarkStart w:id="3296" w:name="_Toc396581770"/>
      <w:bookmarkStart w:id="3297" w:name="_Toc396583268"/>
      <w:bookmarkStart w:id="3298" w:name="_Toc396583665"/>
      <w:bookmarkStart w:id="3299" w:name="_Toc396583981"/>
      <w:bookmarkStart w:id="3300" w:name="_Toc396584940"/>
      <w:bookmarkStart w:id="3301" w:name="_Toc396585256"/>
      <w:bookmarkStart w:id="3302" w:name="_Toc396585572"/>
      <w:bookmarkStart w:id="3303" w:name="_Toc396585888"/>
      <w:bookmarkStart w:id="3304" w:name="_Toc396586204"/>
      <w:bookmarkStart w:id="3305" w:name="_Toc396490607"/>
      <w:bookmarkStart w:id="3306" w:name="_Toc396490932"/>
      <w:bookmarkStart w:id="3307" w:name="_Toc396491257"/>
      <w:bookmarkStart w:id="3308" w:name="_Toc396491582"/>
      <w:bookmarkStart w:id="3309" w:name="_Toc396491907"/>
      <w:bookmarkStart w:id="3310" w:name="_Toc396492232"/>
      <w:bookmarkStart w:id="3311" w:name="_Toc396492556"/>
      <w:bookmarkStart w:id="3312" w:name="_Toc396492880"/>
      <w:bookmarkStart w:id="3313" w:name="_Toc396493203"/>
      <w:bookmarkStart w:id="3314" w:name="_Toc396493526"/>
      <w:bookmarkStart w:id="3315" w:name="_Toc396493849"/>
      <w:bookmarkStart w:id="3316" w:name="_Toc396493659"/>
      <w:bookmarkStart w:id="3317" w:name="_Toc396494307"/>
      <w:bookmarkStart w:id="3318" w:name="_Toc396500731"/>
      <w:bookmarkStart w:id="3319" w:name="_Toc396501486"/>
      <w:bookmarkStart w:id="3320" w:name="_Toc396501813"/>
      <w:bookmarkStart w:id="3321" w:name="_Toc396503195"/>
      <w:bookmarkStart w:id="3322" w:name="_Toc396503522"/>
      <w:bookmarkStart w:id="3323" w:name="_Toc396503849"/>
      <w:bookmarkStart w:id="3324" w:name="_Toc396504176"/>
      <w:bookmarkStart w:id="3325" w:name="_Toc396504503"/>
      <w:bookmarkStart w:id="3326" w:name="_Toc396504830"/>
      <w:bookmarkStart w:id="3327" w:name="_Toc396505158"/>
      <w:bookmarkStart w:id="3328" w:name="_Toc396505486"/>
      <w:bookmarkStart w:id="3329" w:name="_Toc396505814"/>
      <w:bookmarkStart w:id="3330" w:name="_Toc396506142"/>
      <w:bookmarkStart w:id="3331" w:name="_Toc396506470"/>
      <w:bookmarkStart w:id="3332" w:name="_Toc396506798"/>
      <w:bookmarkStart w:id="3333" w:name="_Toc396507126"/>
      <w:bookmarkStart w:id="3334" w:name="_Toc396507454"/>
      <w:bookmarkStart w:id="3335" w:name="_Toc396507782"/>
      <w:bookmarkStart w:id="3336" w:name="_Toc396508110"/>
      <w:bookmarkStart w:id="3337" w:name="_Toc396508438"/>
      <w:bookmarkStart w:id="3338" w:name="_Toc396508967"/>
      <w:bookmarkStart w:id="3339" w:name="_Toc396509295"/>
      <w:bookmarkStart w:id="3340" w:name="_Toc396509623"/>
      <w:bookmarkStart w:id="3341" w:name="_Toc396509951"/>
      <w:bookmarkStart w:id="3342" w:name="_Toc396558231"/>
      <w:bookmarkStart w:id="3343" w:name="_Toc396558786"/>
      <w:bookmarkStart w:id="3344" w:name="_Toc396559166"/>
      <w:bookmarkStart w:id="3345" w:name="_Toc396559494"/>
      <w:bookmarkStart w:id="3346" w:name="_Toc396560339"/>
      <w:bookmarkStart w:id="3347" w:name="_Toc396560666"/>
      <w:bookmarkStart w:id="3348" w:name="_Toc396560993"/>
      <w:bookmarkStart w:id="3349" w:name="_Toc396561320"/>
      <w:bookmarkStart w:id="3350" w:name="_Toc396561647"/>
      <w:bookmarkStart w:id="3351" w:name="_Toc396561972"/>
      <w:bookmarkStart w:id="3352" w:name="_Toc396563282"/>
      <w:bookmarkStart w:id="3353" w:name="_Toc396563607"/>
      <w:bookmarkStart w:id="3354" w:name="_Toc396563932"/>
      <w:bookmarkStart w:id="3355" w:name="_Toc396564256"/>
      <w:bookmarkStart w:id="3356" w:name="_Toc396564580"/>
      <w:bookmarkStart w:id="3357" w:name="_Toc396564905"/>
      <w:bookmarkStart w:id="3358" w:name="_Toc396565480"/>
      <w:bookmarkStart w:id="3359" w:name="_Toc396566287"/>
      <w:bookmarkStart w:id="3360" w:name="_Toc396566612"/>
      <w:bookmarkStart w:id="3361" w:name="_Toc396566937"/>
      <w:bookmarkStart w:id="3362" w:name="_Toc396567711"/>
      <w:bookmarkStart w:id="3363" w:name="_Toc396568031"/>
      <w:bookmarkStart w:id="3364" w:name="_Toc396568364"/>
      <w:bookmarkStart w:id="3365" w:name="_Toc396568841"/>
      <w:bookmarkStart w:id="3366" w:name="_Toc396581771"/>
      <w:bookmarkStart w:id="3367" w:name="_Toc396583269"/>
      <w:bookmarkStart w:id="3368" w:name="_Toc396583666"/>
      <w:bookmarkStart w:id="3369" w:name="_Toc396583982"/>
      <w:bookmarkStart w:id="3370" w:name="_Toc396584941"/>
      <w:bookmarkStart w:id="3371" w:name="_Toc396585257"/>
      <w:bookmarkStart w:id="3372" w:name="_Toc396585573"/>
      <w:bookmarkStart w:id="3373" w:name="_Toc396585889"/>
      <w:bookmarkStart w:id="3374" w:name="_Toc396586205"/>
      <w:bookmarkStart w:id="3375" w:name="_Toc396490608"/>
      <w:bookmarkStart w:id="3376" w:name="_Toc396490933"/>
      <w:bookmarkStart w:id="3377" w:name="_Toc396491258"/>
      <w:bookmarkStart w:id="3378" w:name="_Toc396491583"/>
      <w:bookmarkStart w:id="3379" w:name="_Toc396491908"/>
      <w:bookmarkStart w:id="3380" w:name="_Toc396492233"/>
      <w:bookmarkStart w:id="3381" w:name="_Toc396492557"/>
      <w:bookmarkStart w:id="3382" w:name="_Toc396492881"/>
      <w:bookmarkStart w:id="3383" w:name="_Toc396493204"/>
      <w:bookmarkStart w:id="3384" w:name="_Toc396493527"/>
      <w:bookmarkStart w:id="3385" w:name="_Toc396493850"/>
      <w:bookmarkStart w:id="3386" w:name="_Toc396493660"/>
      <w:bookmarkStart w:id="3387" w:name="_Toc396494308"/>
      <w:bookmarkStart w:id="3388" w:name="_Toc396500732"/>
      <w:bookmarkStart w:id="3389" w:name="_Toc396501487"/>
      <w:bookmarkStart w:id="3390" w:name="_Toc396501814"/>
      <w:bookmarkStart w:id="3391" w:name="_Toc396503196"/>
      <w:bookmarkStart w:id="3392" w:name="_Toc396503523"/>
      <w:bookmarkStart w:id="3393" w:name="_Toc396503850"/>
      <w:bookmarkStart w:id="3394" w:name="_Toc396504177"/>
      <w:bookmarkStart w:id="3395" w:name="_Toc396504504"/>
      <w:bookmarkStart w:id="3396" w:name="_Toc396504831"/>
      <w:bookmarkStart w:id="3397" w:name="_Toc396505159"/>
      <w:bookmarkStart w:id="3398" w:name="_Toc396505487"/>
      <w:bookmarkStart w:id="3399" w:name="_Toc396505815"/>
      <w:bookmarkStart w:id="3400" w:name="_Toc396506143"/>
      <w:bookmarkStart w:id="3401" w:name="_Toc396506471"/>
      <w:bookmarkStart w:id="3402" w:name="_Toc396506799"/>
      <w:bookmarkStart w:id="3403" w:name="_Toc396507127"/>
      <w:bookmarkStart w:id="3404" w:name="_Toc396507455"/>
      <w:bookmarkStart w:id="3405" w:name="_Toc396507783"/>
      <w:bookmarkStart w:id="3406" w:name="_Toc396508111"/>
      <w:bookmarkStart w:id="3407" w:name="_Toc396508439"/>
      <w:bookmarkStart w:id="3408" w:name="_Toc396508968"/>
      <w:bookmarkStart w:id="3409" w:name="_Toc396509296"/>
      <w:bookmarkStart w:id="3410" w:name="_Toc396509624"/>
      <w:bookmarkStart w:id="3411" w:name="_Toc396509952"/>
      <w:bookmarkStart w:id="3412" w:name="_Toc396558232"/>
      <w:bookmarkStart w:id="3413" w:name="_Toc396558787"/>
      <w:bookmarkStart w:id="3414" w:name="_Toc396559167"/>
      <w:bookmarkStart w:id="3415" w:name="_Toc396559495"/>
      <w:bookmarkStart w:id="3416" w:name="_Toc396560340"/>
      <w:bookmarkStart w:id="3417" w:name="_Toc396560667"/>
      <w:bookmarkStart w:id="3418" w:name="_Toc396560994"/>
      <w:bookmarkStart w:id="3419" w:name="_Toc396561321"/>
      <w:bookmarkStart w:id="3420" w:name="_Toc396561648"/>
      <w:bookmarkStart w:id="3421" w:name="_Toc396561973"/>
      <w:bookmarkStart w:id="3422" w:name="_Toc396563283"/>
      <w:bookmarkStart w:id="3423" w:name="_Toc396563608"/>
      <w:bookmarkStart w:id="3424" w:name="_Toc396563933"/>
      <w:bookmarkStart w:id="3425" w:name="_Toc396564257"/>
      <w:bookmarkStart w:id="3426" w:name="_Toc396564581"/>
      <w:bookmarkStart w:id="3427" w:name="_Toc396564906"/>
      <w:bookmarkStart w:id="3428" w:name="_Toc396565481"/>
      <w:bookmarkStart w:id="3429" w:name="_Toc396566288"/>
      <w:bookmarkStart w:id="3430" w:name="_Toc396566613"/>
      <w:bookmarkStart w:id="3431" w:name="_Toc396566938"/>
      <w:bookmarkStart w:id="3432" w:name="_Toc396567712"/>
      <w:bookmarkStart w:id="3433" w:name="_Toc396568032"/>
      <w:bookmarkStart w:id="3434" w:name="_Toc396568365"/>
      <w:bookmarkStart w:id="3435" w:name="_Toc396568842"/>
      <w:bookmarkStart w:id="3436" w:name="_Toc396581772"/>
      <w:bookmarkStart w:id="3437" w:name="_Toc396583270"/>
      <w:bookmarkStart w:id="3438" w:name="_Toc396583667"/>
      <w:bookmarkStart w:id="3439" w:name="_Toc396583983"/>
      <w:bookmarkStart w:id="3440" w:name="_Toc396584942"/>
      <w:bookmarkStart w:id="3441" w:name="_Toc396585258"/>
      <w:bookmarkStart w:id="3442" w:name="_Toc396585574"/>
      <w:bookmarkStart w:id="3443" w:name="_Toc396585890"/>
      <w:bookmarkStart w:id="3444" w:name="_Toc396586206"/>
      <w:bookmarkStart w:id="3445" w:name="_Toc396490609"/>
      <w:bookmarkStart w:id="3446" w:name="_Toc396490934"/>
      <w:bookmarkStart w:id="3447" w:name="_Toc396491259"/>
      <w:bookmarkStart w:id="3448" w:name="_Toc396491584"/>
      <w:bookmarkStart w:id="3449" w:name="_Toc396491909"/>
      <w:bookmarkStart w:id="3450" w:name="_Toc396492234"/>
      <w:bookmarkStart w:id="3451" w:name="_Toc396492558"/>
      <w:bookmarkStart w:id="3452" w:name="_Toc396492882"/>
      <w:bookmarkStart w:id="3453" w:name="_Toc396493205"/>
      <w:bookmarkStart w:id="3454" w:name="_Toc396493528"/>
      <w:bookmarkStart w:id="3455" w:name="_Toc396493851"/>
      <w:bookmarkStart w:id="3456" w:name="_Toc396493661"/>
      <w:bookmarkStart w:id="3457" w:name="_Toc396494309"/>
      <w:bookmarkStart w:id="3458" w:name="_Toc396500733"/>
      <w:bookmarkStart w:id="3459" w:name="_Toc396501488"/>
      <w:bookmarkStart w:id="3460" w:name="_Toc396501815"/>
      <w:bookmarkStart w:id="3461" w:name="_Toc396503197"/>
      <w:bookmarkStart w:id="3462" w:name="_Toc396503524"/>
      <w:bookmarkStart w:id="3463" w:name="_Toc396503851"/>
      <w:bookmarkStart w:id="3464" w:name="_Toc396504178"/>
      <w:bookmarkStart w:id="3465" w:name="_Toc396504505"/>
      <w:bookmarkStart w:id="3466" w:name="_Toc396504832"/>
      <w:bookmarkStart w:id="3467" w:name="_Toc396505160"/>
      <w:bookmarkStart w:id="3468" w:name="_Toc396505488"/>
      <w:bookmarkStart w:id="3469" w:name="_Toc396505816"/>
      <w:bookmarkStart w:id="3470" w:name="_Toc396506144"/>
      <w:bookmarkStart w:id="3471" w:name="_Toc396506472"/>
      <w:bookmarkStart w:id="3472" w:name="_Toc396506800"/>
      <w:bookmarkStart w:id="3473" w:name="_Toc396507128"/>
      <w:bookmarkStart w:id="3474" w:name="_Toc396507456"/>
      <w:bookmarkStart w:id="3475" w:name="_Toc396507784"/>
      <w:bookmarkStart w:id="3476" w:name="_Toc396508112"/>
      <w:bookmarkStart w:id="3477" w:name="_Toc396508440"/>
      <w:bookmarkStart w:id="3478" w:name="_Toc396508969"/>
      <w:bookmarkStart w:id="3479" w:name="_Toc396509297"/>
      <w:bookmarkStart w:id="3480" w:name="_Toc396509625"/>
      <w:bookmarkStart w:id="3481" w:name="_Toc396509953"/>
      <w:bookmarkStart w:id="3482" w:name="_Toc396558233"/>
      <w:bookmarkStart w:id="3483" w:name="_Toc396558788"/>
      <w:bookmarkStart w:id="3484" w:name="_Toc396559168"/>
      <w:bookmarkStart w:id="3485" w:name="_Toc396559496"/>
      <w:bookmarkStart w:id="3486" w:name="_Toc396560341"/>
      <w:bookmarkStart w:id="3487" w:name="_Toc396560668"/>
      <w:bookmarkStart w:id="3488" w:name="_Toc396560995"/>
      <w:bookmarkStart w:id="3489" w:name="_Toc396561322"/>
      <w:bookmarkStart w:id="3490" w:name="_Toc396561649"/>
      <w:bookmarkStart w:id="3491" w:name="_Toc396561974"/>
      <w:bookmarkStart w:id="3492" w:name="_Toc396563284"/>
      <w:bookmarkStart w:id="3493" w:name="_Toc396563609"/>
      <w:bookmarkStart w:id="3494" w:name="_Toc396563934"/>
      <w:bookmarkStart w:id="3495" w:name="_Toc396564258"/>
      <w:bookmarkStart w:id="3496" w:name="_Toc396564582"/>
      <w:bookmarkStart w:id="3497" w:name="_Toc396564907"/>
      <w:bookmarkStart w:id="3498" w:name="_Toc396565482"/>
      <w:bookmarkStart w:id="3499" w:name="_Toc396566289"/>
      <w:bookmarkStart w:id="3500" w:name="_Toc396566614"/>
      <w:bookmarkStart w:id="3501" w:name="_Toc396566939"/>
      <w:bookmarkStart w:id="3502" w:name="_Toc396567713"/>
      <w:bookmarkStart w:id="3503" w:name="_Toc396568033"/>
      <w:bookmarkStart w:id="3504" w:name="_Toc396568366"/>
      <w:bookmarkStart w:id="3505" w:name="_Toc396568843"/>
      <w:bookmarkStart w:id="3506" w:name="_Toc396581773"/>
      <w:bookmarkStart w:id="3507" w:name="_Toc396583271"/>
      <w:bookmarkStart w:id="3508" w:name="_Toc396583668"/>
      <w:bookmarkStart w:id="3509" w:name="_Toc396583984"/>
      <w:bookmarkStart w:id="3510" w:name="_Toc396584943"/>
      <w:bookmarkStart w:id="3511" w:name="_Toc396585259"/>
      <w:bookmarkStart w:id="3512" w:name="_Toc396585575"/>
      <w:bookmarkStart w:id="3513" w:name="_Toc396585891"/>
      <w:bookmarkStart w:id="3514" w:name="_Toc396586207"/>
      <w:bookmarkStart w:id="3515" w:name="_Toc396490610"/>
      <w:bookmarkStart w:id="3516" w:name="_Toc396490935"/>
      <w:bookmarkStart w:id="3517" w:name="_Toc396491260"/>
      <w:bookmarkStart w:id="3518" w:name="_Toc396491585"/>
      <w:bookmarkStart w:id="3519" w:name="_Toc396491910"/>
      <w:bookmarkStart w:id="3520" w:name="_Toc396492235"/>
      <w:bookmarkStart w:id="3521" w:name="_Toc396492559"/>
      <w:bookmarkStart w:id="3522" w:name="_Toc396492883"/>
      <w:bookmarkStart w:id="3523" w:name="_Toc396493206"/>
      <w:bookmarkStart w:id="3524" w:name="_Toc396493529"/>
      <w:bookmarkStart w:id="3525" w:name="_Toc396493852"/>
      <w:bookmarkStart w:id="3526" w:name="_Toc396493662"/>
      <w:bookmarkStart w:id="3527" w:name="_Toc396494310"/>
      <w:bookmarkStart w:id="3528" w:name="_Toc396500734"/>
      <w:bookmarkStart w:id="3529" w:name="_Toc396501489"/>
      <w:bookmarkStart w:id="3530" w:name="_Toc396501816"/>
      <w:bookmarkStart w:id="3531" w:name="_Toc396503198"/>
      <w:bookmarkStart w:id="3532" w:name="_Toc396503525"/>
      <w:bookmarkStart w:id="3533" w:name="_Toc396503852"/>
      <w:bookmarkStart w:id="3534" w:name="_Toc396504179"/>
      <w:bookmarkStart w:id="3535" w:name="_Toc396504506"/>
      <w:bookmarkStart w:id="3536" w:name="_Toc396504833"/>
      <w:bookmarkStart w:id="3537" w:name="_Toc396505161"/>
      <w:bookmarkStart w:id="3538" w:name="_Toc396505489"/>
      <w:bookmarkStart w:id="3539" w:name="_Toc396505817"/>
      <w:bookmarkStart w:id="3540" w:name="_Toc396506145"/>
      <w:bookmarkStart w:id="3541" w:name="_Toc396506473"/>
      <w:bookmarkStart w:id="3542" w:name="_Toc396506801"/>
      <w:bookmarkStart w:id="3543" w:name="_Toc396507129"/>
      <w:bookmarkStart w:id="3544" w:name="_Toc396507457"/>
      <w:bookmarkStart w:id="3545" w:name="_Toc396507785"/>
      <w:bookmarkStart w:id="3546" w:name="_Toc396508113"/>
      <w:bookmarkStart w:id="3547" w:name="_Toc396508441"/>
      <w:bookmarkStart w:id="3548" w:name="_Toc396508970"/>
      <w:bookmarkStart w:id="3549" w:name="_Toc396509298"/>
      <w:bookmarkStart w:id="3550" w:name="_Toc396509626"/>
      <w:bookmarkStart w:id="3551" w:name="_Toc396509954"/>
      <w:bookmarkStart w:id="3552" w:name="_Toc396558234"/>
      <w:bookmarkStart w:id="3553" w:name="_Toc396558789"/>
      <w:bookmarkStart w:id="3554" w:name="_Toc396559169"/>
      <w:bookmarkStart w:id="3555" w:name="_Toc396559497"/>
      <w:bookmarkStart w:id="3556" w:name="_Toc396560342"/>
      <w:bookmarkStart w:id="3557" w:name="_Toc396560669"/>
      <w:bookmarkStart w:id="3558" w:name="_Toc396560996"/>
      <w:bookmarkStart w:id="3559" w:name="_Toc396561323"/>
      <w:bookmarkStart w:id="3560" w:name="_Toc396561650"/>
      <w:bookmarkStart w:id="3561" w:name="_Toc396561975"/>
      <w:bookmarkStart w:id="3562" w:name="_Toc396563285"/>
      <w:bookmarkStart w:id="3563" w:name="_Toc396563610"/>
      <w:bookmarkStart w:id="3564" w:name="_Toc396563935"/>
      <w:bookmarkStart w:id="3565" w:name="_Toc396564259"/>
      <w:bookmarkStart w:id="3566" w:name="_Toc396564583"/>
      <w:bookmarkStart w:id="3567" w:name="_Toc396564908"/>
      <w:bookmarkStart w:id="3568" w:name="_Toc396565483"/>
      <w:bookmarkStart w:id="3569" w:name="_Toc396566290"/>
      <w:bookmarkStart w:id="3570" w:name="_Toc396566615"/>
      <w:bookmarkStart w:id="3571" w:name="_Toc396566940"/>
      <w:bookmarkStart w:id="3572" w:name="_Toc396567714"/>
      <w:bookmarkStart w:id="3573" w:name="_Toc396568034"/>
      <w:bookmarkStart w:id="3574" w:name="_Toc396568367"/>
      <w:bookmarkStart w:id="3575" w:name="_Toc396568844"/>
      <w:bookmarkStart w:id="3576" w:name="_Toc396581774"/>
      <w:bookmarkStart w:id="3577" w:name="_Toc396583272"/>
      <w:bookmarkStart w:id="3578" w:name="_Toc396583669"/>
      <w:bookmarkStart w:id="3579" w:name="_Toc396583985"/>
      <w:bookmarkStart w:id="3580" w:name="_Toc396584944"/>
      <w:bookmarkStart w:id="3581" w:name="_Toc396585260"/>
      <w:bookmarkStart w:id="3582" w:name="_Toc396585576"/>
      <w:bookmarkStart w:id="3583" w:name="_Toc396585892"/>
      <w:bookmarkStart w:id="3584" w:name="_Toc396586208"/>
      <w:bookmarkStart w:id="3585" w:name="_Toc396490611"/>
      <w:bookmarkStart w:id="3586" w:name="_Toc396490936"/>
      <w:bookmarkStart w:id="3587" w:name="_Toc396491261"/>
      <w:bookmarkStart w:id="3588" w:name="_Toc396491586"/>
      <w:bookmarkStart w:id="3589" w:name="_Toc396491911"/>
      <w:bookmarkStart w:id="3590" w:name="_Toc396492236"/>
      <w:bookmarkStart w:id="3591" w:name="_Toc396492560"/>
      <w:bookmarkStart w:id="3592" w:name="_Toc396492884"/>
      <w:bookmarkStart w:id="3593" w:name="_Toc396493207"/>
      <w:bookmarkStart w:id="3594" w:name="_Toc396493530"/>
      <w:bookmarkStart w:id="3595" w:name="_Toc396493853"/>
      <w:bookmarkStart w:id="3596" w:name="_Toc396493663"/>
      <w:bookmarkStart w:id="3597" w:name="_Toc396494311"/>
      <w:bookmarkStart w:id="3598" w:name="_Toc396500735"/>
      <w:bookmarkStart w:id="3599" w:name="_Toc396501490"/>
      <w:bookmarkStart w:id="3600" w:name="_Toc396501817"/>
      <w:bookmarkStart w:id="3601" w:name="_Toc396503199"/>
      <w:bookmarkStart w:id="3602" w:name="_Toc396503526"/>
      <w:bookmarkStart w:id="3603" w:name="_Toc396503853"/>
      <w:bookmarkStart w:id="3604" w:name="_Toc396504180"/>
      <w:bookmarkStart w:id="3605" w:name="_Toc396504507"/>
      <w:bookmarkStart w:id="3606" w:name="_Toc396504834"/>
      <w:bookmarkStart w:id="3607" w:name="_Toc396505162"/>
      <w:bookmarkStart w:id="3608" w:name="_Toc396505490"/>
      <w:bookmarkStart w:id="3609" w:name="_Toc396505818"/>
      <w:bookmarkStart w:id="3610" w:name="_Toc396506146"/>
      <w:bookmarkStart w:id="3611" w:name="_Toc396506474"/>
      <w:bookmarkStart w:id="3612" w:name="_Toc396506802"/>
      <w:bookmarkStart w:id="3613" w:name="_Toc396507130"/>
      <w:bookmarkStart w:id="3614" w:name="_Toc396507458"/>
      <w:bookmarkStart w:id="3615" w:name="_Toc396507786"/>
      <w:bookmarkStart w:id="3616" w:name="_Toc396508114"/>
      <w:bookmarkStart w:id="3617" w:name="_Toc396508442"/>
      <w:bookmarkStart w:id="3618" w:name="_Toc396508971"/>
      <w:bookmarkStart w:id="3619" w:name="_Toc396509299"/>
      <w:bookmarkStart w:id="3620" w:name="_Toc396509627"/>
      <w:bookmarkStart w:id="3621" w:name="_Toc396509955"/>
      <w:bookmarkStart w:id="3622" w:name="_Toc396558235"/>
      <w:bookmarkStart w:id="3623" w:name="_Toc396558790"/>
      <w:bookmarkStart w:id="3624" w:name="_Toc396559170"/>
      <w:bookmarkStart w:id="3625" w:name="_Toc396559498"/>
      <w:bookmarkStart w:id="3626" w:name="_Toc396560343"/>
      <w:bookmarkStart w:id="3627" w:name="_Toc396560670"/>
      <w:bookmarkStart w:id="3628" w:name="_Toc396560997"/>
      <w:bookmarkStart w:id="3629" w:name="_Toc396561324"/>
      <w:bookmarkStart w:id="3630" w:name="_Toc396561651"/>
      <w:bookmarkStart w:id="3631" w:name="_Toc396561976"/>
      <w:bookmarkStart w:id="3632" w:name="_Toc396563286"/>
      <w:bookmarkStart w:id="3633" w:name="_Toc396563611"/>
      <w:bookmarkStart w:id="3634" w:name="_Toc396563936"/>
      <w:bookmarkStart w:id="3635" w:name="_Toc396564260"/>
      <w:bookmarkStart w:id="3636" w:name="_Toc396564584"/>
      <w:bookmarkStart w:id="3637" w:name="_Toc396564909"/>
      <w:bookmarkStart w:id="3638" w:name="_Toc396565484"/>
      <w:bookmarkStart w:id="3639" w:name="_Toc396566291"/>
      <w:bookmarkStart w:id="3640" w:name="_Toc396566616"/>
      <w:bookmarkStart w:id="3641" w:name="_Toc396566941"/>
      <w:bookmarkStart w:id="3642" w:name="_Toc396567715"/>
      <w:bookmarkStart w:id="3643" w:name="_Toc396568035"/>
      <w:bookmarkStart w:id="3644" w:name="_Toc396568368"/>
      <w:bookmarkStart w:id="3645" w:name="_Toc396568845"/>
      <w:bookmarkStart w:id="3646" w:name="_Toc396581775"/>
      <w:bookmarkStart w:id="3647" w:name="_Toc396583273"/>
      <w:bookmarkStart w:id="3648" w:name="_Toc396583670"/>
      <w:bookmarkStart w:id="3649" w:name="_Toc396583986"/>
      <w:bookmarkStart w:id="3650" w:name="_Toc396584945"/>
      <w:bookmarkStart w:id="3651" w:name="_Toc396585261"/>
      <w:bookmarkStart w:id="3652" w:name="_Toc396585577"/>
      <w:bookmarkStart w:id="3653" w:name="_Toc396585893"/>
      <w:bookmarkStart w:id="3654" w:name="_Toc396586209"/>
      <w:bookmarkStart w:id="3655" w:name="_Toc396490612"/>
      <w:bookmarkStart w:id="3656" w:name="_Toc396490937"/>
      <w:bookmarkStart w:id="3657" w:name="_Toc396491262"/>
      <w:bookmarkStart w:id="3658" w:name="_Toc396491587"/>
      <w:bookmarkStart w:id="3659" w:name="_Toc396491912"/>
      <w:bookmarkStart w:id="3660" w:name="_Toc396492237"/>
      <w:bookmarkStart w:id="3661" w:name="_Toc396492561"/>
      <w:bookmarkStart w:id="3662" w:name="_Toc396492885"/>
      <w:bookmarkStart w:id="3663" w:name="_Toc396493208"/>
      <w:bookmarkStart w:id="3664" w:name="_Toc396493531"/>
      <w:bookmarkStart w:id="3665" w:name="_Toc396493854"/>
      <w:bookmarkStart w:id="3666" w:name="_Toc396493664"/>
      <w:bookmarkStart w:id="3667" w:name="_Toc396494312"/>
      <w:bookmarkStart w:id="3668" w:name="_Toc396500736"/>
      <w:bookmarkStart w:id="3669" w:name="_Toc396501491"/>
      <w:bookmarkStart w:id="3670" w:name="_Toc396501818"/>
      <w:bookmarkStart w:id="3671" w:name="_Toc396503200"/>
      <w:bookmarkStart w:id="3672" w:name="_Toc396503527"/>
      <w:bookmarkStart w:id="3673" w:name="_Toc396503854"/>
      <w:bookmarkStart w:id="3674" w:name="_Toc396504181"/>
      <w:bookmarkStart w:id="3675" w:name="_Toc396504508"/>
      <w:bookmarkStart w:id="3676" w:name="_Toc396504835"/>
      <w:bookmarkStart w:id="3677" w:name="_Toc396505163"/>
      <w:bookmarkStart w:id="3678" w:name="_Toc396505491"/>
      <w:bookmarkStart w:id="3679" w:name="_Toc396505819"/>
      <w:bookmarkStart w:id="3680" w:name="_Toc396506147"/>
      <w:bookmarkStart w:id="3681" w:name="_Toc396506475"/>
      <w:bookmarkStart w:id="3682" w:name="_Toc396506803"/>
      <w:bookmarkStart w:id="3683" w:name="_Toc396507131"/>
      <w:bookmarkStart w:id="3684" w:name="_Toc396507459"/>
      <w:bookmarkStart w:id="3685" w:name="_Toc396507787"/>
      <w:bookmarkStart w:id="3686" w:name="_Toc396508115"/>
      <w:bookmarkStart w:id="3687" w:name="_Toc396508443"/>
      <w:bookmarkStart w:id="3688" w:name="_Toc396508972"/>
      <w:bookmarkStart w:id="3689" w:name="_Toc396509300"/>
      <w:bookmarkStart w:id="3690" w:name="_Toc396509628"/>
      <w:bookmarkStart w:id="3691" w:name="_Toc396509956"/>
      <w:bookmarkStart w:id="3692" w:name="_Toc396558236"/>
      <w:bookmarkStart w:id="3693" w:name="_Toc396558791"/>
      <w:bookmarkStart w:id="3694" w:name="_Toc396559171"/>
      <w:bookmarkStart w:id="3695" w:name="_Toc396559499"/>
      <w:bookmarkStart w:id="3696" w:name="_Toc396560344"/>
      <w:bookmarkStart w:id="3697" w:name="_Toc396560671"/>
      <w:bookmarkStart w:id="3698" w:name="_Toc396560998"/>
      <w:bookmarkStart w:id="3699" w:name="_Toc396561325"/>
      <w:bookmarkStart w:id="3700" w:name="_Toc396561652"/>
      <w:bookmarkStart w:id="3701" w:name="_Toc396561977"/>
      <w:bookmarkStart w:id="3702" w:name="_Toc396563287"/>
      <w:bookmarkStart w:id="3703" w:name="_Toc396563612"/>
      <w:bookmarkStart w:id="3704" w:name="_Toc396563937"/>
      <w:bookmarkStart w:id="3705" w:name="_Toc396564261"/>
      <w:bookmarkStart w:id="3706" w:name="_Toc396564585"/>
      <w:bookmarkStart w:id="3707" w:name="_Toc396564910"/>
      <w:bookmarkStart w:id="3708" w:name="_Toc396565485"/>
      <w:bookmarkStart w:id="3709" w:name="_Toc396566292"/>
      <w:bookmarkStart w:id="3710" w:name="_Toc396566617"/>
      <w:bookmarkStart w:id="3711" w:name="_Toc396566942"/>
      <w:bookmarkStart w:id="3712" w:name="_Toc396567716"/>
      <w:bookmarkStart w:id="3713" w:name="_Toc396568036"/>
      <w:bookmarkStart w:id="3714" w:name="_Toc396568369"/>
      <w:bookmarkStart w:id="3715" w:name="_Toc396568846"/>
      <w:bookmarkStart w:id="3716" w:name="_Toc396581776"/>
      <w:bookmarkStart w:id="3717" w:name="_Toc396583274"/>
      <w:bookmarkStart w:id="3718" w:name="_Toc396583671"/>
      <w:bookmarkStart w:id="3719" w:name="_Toc396583987"/>
      <w:bookmarkStart w:id="3720" w:name="_Toc396584946"/>
      <w:bookmarkStart w:id="3721" w:name="_Toc396585262"/>
      <w:bookmarkStart w:id="3722" w:name="_Toc396585578"/>
      <w:bookmarkStart w:id="3723" w:name="_Toc396585894"/>
      <w:bookmarkStart w:id="3724" w:name="_Toc396586210"/>
      <w:bookmarkStart w:id="3725" w:name="_Toc396490613"/>
      <w:bookmarkStart w:id="3726" w:name="_Toc396490938"/>
      <w:bookmarkStart w:id="3727" w:name="_Toc396491263"/>
      <w:bookmarkStart w:id="3728" w:name="_Toc396491588"/>
      <w:bookmarkStart w:id="3729" w:name="_Toc396491913"/>
      <w:bookmarkStart w:id="3730" w:name="_Toc396492238"/>
      <w:bookmarkStart w:id="3731" w:name="_Toc396492562"/>
      <w:bookmarkStart w:id="3732" w:name="_Toc396492886"/>
      <w:bookmarkStart w:id="3733" w:name="_Toc396493209"/>
      <w:bookmarkStart w:id="3734" w:name="_Toc396493532"/>
      <w:bookmarkStart w:id="3735" w:name="_Toc396493855"/>
      <w:bookmarkStart w:id="3736" w:name="_Toc396493665"/>
      <w:bookmarkStart w:id="3737" w:name="_Toc396494313"/>
      <w:bookmarkStart w:id="3738" w:name="_Toc396500737"/>
      <w:bookmarkStart w:id="3739" w:name="_Toc396501492"/>
      <w:bookmarkStart w:id="3740" w:name="_Toc396501819"/>
      <w:bookmarkStart w:id="3741" w:name="_Toc396503201"/>
      <w:bookmarkStart w:id="3742" w:name="_Toc396503528"/>
      <w:bookmarkStart w:id="3743" w:name="_Toc396503855"/>
      <w:bookmarkStart w:id="3744" w:name="_Toc396504182"/>
      <w:bookmarkStart w:id="3745" w:name="_Toc396504509"/>
      <w:bookmarkStart w:id="3746" w:name="_Toc396504836"/>
      <w:bookmarkStart w:id="3747" w:name="_Toc396505164"/>
      <w:bookmarkStart w:id="3748" w:name="_Toc396505492"/>
      <w:bookmarkStart w:id="3749" w:name="_Toc396505820"/>
      <w:bookmarkStart w:id="3750" w:name="_Toc396506148"/>
      <w:bookmarkStart w:id="3751" w:name="_Toc396506476"/>
      <w:bookmarkStart w:id="3752" w:name="_Toc396506804"/>
      <w:bookmarkStart w:id="3753" w:name="_Toc396507132"/>
      <w:bookmarkStart w:id="3754" w:name="_Toc396507460"/>
      <w:bookmarkStart w:id="3755" w:name="_Toc396507788"/>
      <w:bookmarkStart w:id="3756" w:name="_Toc396508116"/>
      <w:bookmarkStart w:id="3757" w:name="_Toc396508444"/>
      <w:bookmarkStart w:id="3758" w:name="_Toc396508973"/>
      <w:bookmarkStart w:id="3759" w:name="_Toc396509301"/>
      <w:bookmarkStart w:id="3760" w:name="_Toc396509629"/>
      <w:bookmarkStart w:id="3761" w:name="_Toc396509957"/>
      <w:bookmarkStart w:id="3762" w:name="_Toc396558237"/>
      <w:bookmarkStart w:id="3763" w:name="_Toc396558792"/>
      <w:bookmarkStart w:id="3764" w:name="_Toc396559172"/>
      <w:bookmarkStart w:id="3765" w:name="_Toc396559500"/>
      <w:bookmarkStart w:id="3766" w:name="_Toc396560345"/>
      <w:bookmarkStart w:id="3767" w:name="_Toc396560672"/>
      <w:bookmarkStart w:id="3768" w:name="_Toc396560999"/>
      <w:bookmarkStart w:id="3769" w:name="_Toc396561326"/>
      <w:bookmarkStart w:id="3770" w:name="_Toc396561653"/>
      <w:bookmarkStart w:id="3771" w:name="_Toc396561978"/>
      <w:bookmarkStart w:id="3772" w:name="_Toc396563288"/>
      <w:bookmarkStart w:id="3773" w:name="_Toc396563613"/>
      <w:bookmarkStart w:id="3774" w:name="_Toc396563938"/>
      <w:bookmarkStart w:id="3775" w:name="_Toc396564262"/>
      <w:bookmarkStart w:id="3776" w:name="_Toc396564586"/>
      <w:bookmarkStart w:id="3777" w:name="_Toc396564911"/>
      <w:bookmarkStart w:id="3778" w:name="_Toc396565486"/>
      <w:bookmarkStart w:id="3779" w:name="_Toc396566293"/>
      <w:bookmarkStart w:id="3780" w:name="_Toc396566618"/>
      <w:bookmarkStart w:id="3781" w:name="_Toc396566943"/>
      <w:bookmarkStart w:id="3782" w:name="_Toc396567717"/>
      <w:bookmarkStart w:id="3783" w:name="_Toc396568037"/>
      <w:bookmarkStart w:id="3784" w:name="_Toc396568370"/>
      <w:bookmarkStart w:id="3785" w:name="_Toc396568847"/>
      <w:bookmarkStart w:id="3786" w:name="_Toc396581777"/>
      <w:bookmarkStart w:id="3787" w:name="_Toc396583275"/>
      <w:bookmarkStart w:id="3788" w:name="_Toc396583672"/>
      <w:bookmarkStart w:id="3789" w:name="_Toc396583988"/>
      <w:bookmarkStart w:id="3790" w:name="_Toc396584947"/>
      <w:bookmarkStart w:id="3791" w:name="_Toc396585263"/>
      <w:bookmarkStart w:id="3792" w:name="_Toc396585579"/>
      <w:bookmarkStart w:id="3793" w:name="_Toc396585895"/>
      <w:bookmarkStart w:id="3794" w:name="_Toc396586211"/>
      <w:bookmarkStart w:id="3795" w:name="_Toc396490614"/>
      <w:bookmarkStart w:id="3796" w:name="_Toc396490939"/>
      <w:bookmarkStart w:id="3797" w:name="_Toc396491264"/>
      <w:bookmarkStart w:id="3798" w:name="_Toc396491589"/>
      <w:bookmarkStart w:id="3799" w:name="_Toc396491914"/>
      <w:bookmarkStart w:id="3800" w:name="_Toc396492239"/>
      <w:bookmarkStart w:id="3801" w:name="_Toc396492563"/>
      <w:bookmarkStart w:id="3802" w:name="_Toc396492887"/>
      <w:bookmarkStart w:id="3803" w:name="_Toc396493210"/>
      <w:bookmarkStart w:id="3804" w:name="_Toc396493533"/>
      <w:bookmarkStart w:id="3805" w:name="_Toc396493856"/>
      <w:bookmarkStart w:id="3806" w:name="_Toc396493666"/>
      <w:bookmarkStart w:id="3807" w:name="_Toc396494314"/>
      <w:bookmarkStart w:id="3808" w:name="_Toc396500738"/>
      <w:bookmarkStart w:id="3809" w:name="_Toc396501493"/>
      <w:bookmarkStart w:id="3810" w:name="_Toc396501820"/>
      <w:bookmarkStart w:id="3811" w:name="_Toc396503202"/>
      <w:bookmarkStart w:id="3812" w:name="_Toc396503529"/>
      <w:bookmarkStart w:id="3813" w:name="_Toc396503856"/>
      <w:bookmarkStart w:id="3814" w:name="_Toc396504183"/>
      <w:bookmarkStart w:id="3815" w:name="_Toc396504510"/>
      <w:bookmarkStart w:id="3816" w:name="_Toc396504837"/>
      <w:bookmarkStart w:id="3817" w:name="_Toc396505165"/>
      <w:bookmarkStart w:id="3818" w:name="_Toc396505493"/>
      <w:bookmarkStart w:id="3819" w:name="_Toc396505821"/>
      <w:bookmarkStart w:id="3820" w:name="_Toc396506149"/>
      <w:bookmarkStart w:id="3821" w:name="_Toc396506477"/>
      <w:bookmarkStart w:id="3822" w:name="_Toc396506805"/>
      <w:bookmarkStart w:id="3823" w:name="_Toc396507133"/>
      <w:bookmarkStart w:id="3824" w:name="_Toc396507461"/>
      <w:bookmarkStart w:id="3825" w:name="_Toc396507789"/>
      <w:bookmarkStart w:id="3826" w:name="_Toc396508117"/>
      <w:bookmarkStart w:id="3827" w:name="_Toc396508445"/>
      <w:bookmarkStart w:id="3828" w:name="_Toc396508974"/>
      <w:bookmarkStart w:id="3829" w:name="_Toc396509302"/>
      <w:bookmarkStart w:id="3830" w:name="_Toc396509630"/>
      <w:bookmarkStart w:id="3831" w:name="_Toc396509958"/>
      <w:bookmarkStart w:id="3832" w:name="_Toc396558238"/>
      <w:bookmarkStart w:id="3833" w:name="_Toc396558793"/>
      <w:bookmarkStart w:id="3834" w:name="_Toc396559173"/>
      <w:bookmarkStart w:id="3835" w:name="_Toc396559501"/>
      <w:bookmarkStart w:id="3836" w:name="_Toc396560346"/>
      <w:bookmarkStart w:id="3837" w:name="_Toc396560673"/>
      <w:bookmarkStart w:id="3838" w:name="_Toc396561000"/>
      <w:bookmarkStart w:id="3839" w:name="_Toc396561327"/>
      <w:bookmarkStart w:id="3840" w:name="_Toc396561654"/>
      <w:bookmarkStart w:id="3841" w:name="_Toc396561979"/>
      <w:bookmarkStart w:id="3842" w:name="_Toc396563289"/>
      <w:bookmarkStart w:id="3843" w:name="_Toc396563614"/>
      <w:bookmarkStart w:id="3844" w:name="_Toc396563939"/>
      <w:bookmarkStart w:id="3845" w:name="_Toc396564263"/>
      <w:bookmarkStart w:id="3846" w:name="_Toc396564587"/>
      <w:bookmarkStart w:id="3847" w:name="_Toc396564912"/>
      <w:bookmarkStart w:id="3848" w:name="_Toc396565487"/>
      <w:bookmarkStart w:id="3849" w:name="_Toc396566294"/>
      <w:bookmarkStart w:id="3850" w:name="_Toc396566619"/>
      <w:bookmarkStart w:id="3851" w:name="_Toc396566944"/>
      <w:bookmarkStart w:id="3852" w:name="_Toc396567718"/>
      <w:bookmarkStart w:id="3853" w:name="_Toc396568038"/>
      <w:bookmarkStart w:id="3854" w:name="_Toc396568371"/>
      <w:bookmarkStart w:id="3855" w:name="_Toc396568848"/>
      <w:bookmarkStart w:id="3856" w:name="_Toc396581778"/>
      <w:bookmarkStart w:id="3857" w:name="_Toc396583276"/>
      <w:bookmarkStart w:id="3858" w:name="_Toc396583673"/>
      <w:bookmarkStart w:id="3859" w:name="_Toc396583989"/>
      <w:bookmarkStart w:id="3860" w:name="_Toc396584948"/>
      <w:bookmarkStart w:id="3861" w:name="_Toc396585264"/>
      <w:bookmarkStart w:id="3862" w:name="_Toc396585580"/>
      <w:bookmarkStart w:id="3863" w:name="_Toc396585896"/>
      <w:bookmarkStart w:id="3864" w:name="_Toc396586212"/>
      <w:bookmarkStart w:id="3865" w:name="_Toc396586213"/>
      <w:bookmarkStart w:id="3866" w:name="_Toc396815101"/>
      <w:bookmarkStart w:id="3867" w:name="_Toc396821050"/>
      <w:bookmarkStart w:id="3868" w:name="_Toc396821246"/>
      <w:bookmarkStart w:id="3869" w:name="_Toc396821658"/>
      <w:bookmarkStart w:id="3870" w:name="_Toc396827508"/>
      <w:bookmarkStart w:id="3871" w:name="_Toc396828479"/>
      <w:bookmarkStart w:id="3872" w:name="_Toc396828589"/>
      <w:bookmarkStart w:id="3873" w:name="_Toc396837978"/>
      <w:bookmarkStart w:id="3874" w:name="_Toc396838376"/>
      <w:bookmarkStart w:id="3875" w:name="_Toc396904109"/>
      <w:bookmarkStart w:id="3876" w:name="_Toc396904699"/>
      <w:bookmarkStart w:id="3877" w:name="_Toc396907533"/>
      <w:bookmarkStart w:id="3878" w:name="_Toc396912452"/>
      <w:bookmarkStart w:id="3879" w:name="_Toc396914432"/>
      <w:bookmarkStart w:id="3880" w:name="_Toc396915316"/>
      <w:bookmarkStart w:id="3881" w:name="_Toc396915710"/>
      <w:bookmarkStart w:id="3882" w:name="_Toc396921021"/>
      <w:bookmarkStart w:id="3883" w:name="_Toc396924361"/>
      <w:bookmarkStart w:id="3884" w:name="_Toc396925055"/>
      <w:bookmarkStart w:id="3885" w:name="_Toc396992175"/>
      <w:bookmarkStart w:id="3886" w:name="_Toc396992754"/>
      <w:bookmarkStart w:id="3887" w:name="_Toc396994418"/>
      <w:bookmarkStart w:id="3888" w:name="_Toc396998029"/>
      <w:bookmarkStart w:id="3889" w:name="_Toc397002189"/>
      <w:bookmarkStart w:id="3890" w:name="_Toc397008666"/>
      <w:bookmarkStart w:id="3891" w:name="_Toc397008884"/>
      <w:bookmarkStart w:id="3892" w:name="_Toc397011556"/>
      <w:bookmarkStart w:id="3893" w:name="_Toc397012617"/>
      <w:bookmarkStart w:id="3894" w:name="_Toc397014959"/>
      <w:bookmarkStart w:id="3895" w:name="_Toc397015446"/>
      <w:bookmarkStart w:id="3896" w:name="_Toc397070517"/>
      <w:bookmarkStart w:id="3897" w:name="_Toc397413255"/>
      <w:bookmarkStart w:id="3898" w:name="_Toc397413402"/>
      <w:bookmarkStart w:id="3899" w:name="_Toc397427987"/>
      <w:bookmarkStart w:id="3900" w:name="_Toc397439375"/>
      <w:bookmarkStart w:id="3901" w:name="_Toc397439545"/>
      <w:bookmarkStart w:id="3902" w:name="_Toc397439801"/>
      <w:bookmarkStart w:id="3903" w:name="_Toc397440103"/>
      <w:bookmarkStart w:id="3904" w:name="_Toc397441732"/>
      <w:bookmarkStart w:id="3905" w:name="_Toc397517434"/>
      <w:bookmarkStart w:id="3906" w:name="_Toc397522699"/>
      <w:bookmarkStart w:id="3907" w:name="_Toc397526117"/>
      <w:bookmarkStart w:id="3908" w:name="_Toc397528432"/>
      <w:bookmarkStart w:id="3909" w:name="_Toc397528907"/>
      <w:bookmarkStart w:id="3910" w:name="_Toc397601904"/>
      <w:bookmarkStart w:id="3911" w:name="_Toc397602639"/>
      <w:bookmarkStart w:id="3912" w:name="_Toc397605768"/>
      <w:bookmarkStart w:id="3913" w:name="_Toc397614912"/>
      <w:bookmarkStart w:id="3914" w:name="_Toc397616355"/>
      <w:bookmarkStart w:id="3915" w:name="_Toc397616749"/>
      <w:bookmarkStart w:id="3916" w:name="_Toc397679159"/>
      <w:bookmarkStart w:id="3917" w:name="_Toc397688047"/>
      <w:bookmarkStart w:id="3918" w:name="_Toc397689263"/>
      <w:bookmarkStart w:id="3919" w:name="_Toc397694543"/>
      <w:bookmarkStart w:id="3920" w:name="_Toc397696384"/>
      <w:bookmarkStart w:id="3921" w:name="_Toc397697118"/>
      <w:bookmarkStart w:id="3922" w:name="_Toc397698405"/>
      <w:bookmarkStart w:id="3923" w:name="_Toc397699771"/>
      <w:bookmarkStart w:id="3924" w:name="_Toc397700225"/>
      <w:bookmarkStart w:id="3925" w:name="_Toc397936617"/>
      <w:bookmarkStart w:id="3926" w:name="_Toc397936737"/>
      <w:bookmarkStart w:id="3927" w:name="_Toc397945745"/>
      <w:bookmarkStart w:id="3928" w:name="_Toc397945892"/>
      <w:bookmarkStart w:id="3929" w:name="_Toc397946918"/>
      <w:bookmarkStart w:id="3930" w:name="_Toc397948037"/>
      <w:bookmarkStart w:id="3931" w:name="_Toc397958443"/>
      <w:bookmarkStart w:id="3932" w:name="_Toc397958685"/>
      <w:bookmarkStart w:id="3933" w:name="_Toc397959100"/>
      <w:bookmarkStart w:id="3934" w:name="_Toc397962953"/>
      <w:bookmarkStart w:id="3935" w:name="_Toc397963319"/>
      <w:bookmarkStart w:id="3936" w:name="_Toc397965396"/>
      <w:bookmarkStart w:id="3937" w:name="_Toc398197334"/>
      <w:bookmarkStart w:id="3938" w:name="_Toc398201551"/>
      <w:bookmarkStart w:id="3939" w:name="_Toc398207156"/>
      <w:bookmarkStart w:id="3940" w:name="_Toc398210429"/>
      <w:bookmarkStart w:id="3941" w:name="_Toc398210943"/>
      <w:bookmarkStart w:id="3942" w:name="_Toc398211080"/>
      <w:bookmarkStart w:id="3943" w:name="_Toc398219751"/>
      <w:bookmarkStart w:id="3944" w:name="_Toc398220126"/>
      <w:bookmarkStart w:id="3945" w:name="_Toc398220513"/>
      <w:bookmarkStart w:id="3946" w:name="_Toc398221591"/>
      <w:bookmarkStart w:id="3947" w:name="_Toc398222277"/>
      <w:bookmarkStart w:id="3948" w:name="_Toc398222589"/>
      <w:bookmarkStart w:id="3949" w:name="_Toc398223006"/>
      <w:bookmarkStart w:id="3950" w:name="_Toc398223385"/>
      <w:bookmarkStart w:id="3951" w:name="_Toc398223512"/>
      <w:bookmarkStart w:id="3952" w:name="_Toc398224320"/>
      <w:bookmarkStart w:id="3953" w:name="_Toc398225657"/>
      <w:bookmarkStart w:id="3954" w:name="_Toc398225782"/>
      <w:bookmarkStart w:id="3955" w:name="_Toc398281269"/>
      <w:bookmarkStart w:id="3956" w:name="_Toc398282128"/>
      <w:bookmarkStart w:id="3957" w:name="_Toc398284798"/>
      <w:bookmarkStart w:id="3958" w:name="_Toc398287267"/>
      <w:bookmarkStart w:id="3959" w:name="_Toc398289150"/>
      <w:bookmarkStart w:id="3960" w:name="_Toc398297147"/>
      <w:bookmarkStart w:id="3961" w:name="_Toc398298621"/>
      <w:bookmarkStart w:id="3962" w:name="_Toc398300322"/>
      <w:bookmarkStart w:id="3963" w:name="_Toc398301219"/>
      <w:bookmarkStart w:id="3964" w:name="_Toc398302404"/>
      <w:bookmarkStart w:id="3965" w:name="_Toc398302567"/>
      <w:bookmarkStart w:id="3966" w:name="_Toc398549079"/>
      <w:bookmarkStart w:id="3967" w:name="_Toc398549329"/>
      <w:bookmarkStart w:id="3968" w:name="_Toc398555748"/>
      <w:bookmarkStart w:id="3969" w:name="_Toc398558952"/>
      <w:bookmarkStart w:id="3970" w:name="_Toc398563438"/>
      <w:bookmarkStart w:id="3971" w:name="_Toc398563571"/>
      <w:bookmarkStart w:id="3972" w:name="_Toc398563970"/>
      <w:bookmarkStart w:id="3973" w:name="_Toc398827308"/>
      <w:bookmarkStart w:id="3974" w:name="_Toc398827502"/>
      <w:bookmarkStart w:id="3975" w:name="s23"/>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rsidRPr="008625DC">
        <w:rPr>
          <w:lang w:val="en-AU"/>
        </w:rPr>
        <w:t>Human services</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439"/>
      <w:bookmarkEnd w:id="2440"/>
      <w:bookmarkEnd w:id="2441"/>
      <w:bookmarkEnd w:id="2442"/>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bookmarkEnd w:id="3975"/>
    <w:p w14:paraId="6C9C5B1D" w14:textId="6B436057" w:rsidR="001E4B43" w:rsidRPr="008625DC" w:rsidRDefault="001E4B43" w:rsidP="001E4B43">
      <w:r w:rsidRPr="008625DC">
        <w:t>Access to high</w:t>
      </w:r>
      <w:r w:rsidR="00C74E19" w:rsidRPr="008625DC">
        <w:noBreakHyphen/>
      </w:r>
      <w:r w:rsidRPr="008625DC">
        <w:t>quality human services — including health, education and community services — is vital to the lives of all Australians. Good health makes it easier for people to participate in society; education can help put people on a better life pathway; and quality community services, including aged care and disability care and support, can provide comfort, dignity and increased opportunities to vulnerable Australians.</w:t>
      </w:r>
    </w:p>
    <w:p w14:paraId="45604B1D" w14:textId="117C0A73" w:rsidR="001E4B43" w:rsidRPr="008625DC" w:rsidRDefault="001E4B43" w:rsidP="001E4B43">
      <w:r w:rsidRPr="008625DC">
        <w:t>Given the size of the human services sector (which is set to increase further as Australia</w:t>
      </w:r>
      <w:r w:rsidR="00C74E19" w:rsidRPr="008625DC">
        <w:t>’</w:t>
      </w:r>
      <w:r w:rsidRPr="008625DC">
        <w:t>s population ages),</w:t>
      </w:r>
      <w:r w:rsidRPr="008625DC">
        <w:rPr>
          <w:rStyle w:val="FootnoteReference"/>
        </w:rPr>
        <w:footnoteReference w:id="9"/>
      </w:r>
      <w:r w:rsidRPr="008625DC">
        <w:t xml:space="preserve"> even small improvements will have profound impacts on people</w:t>
      </w:r>
      <w:r w:rsidR="00C74E19" w:rsidRPr="008625DC">
        <w:t>’</w:t>
      </w:r>
      <w:r w:rsidRPr="008625DC">
        <w:t>s standard of living and quality of life.</w:t>
      </w:r>
    </w:p>
    <w:p w14:paraId="1A2E80D0" w14:textId="77777777" w:rsidR="001E4B43" w:rsidRPr="008625DC" w:rsidRDefault="001E4B43" w:rsidP="001E4B43">
      <w:r w:rsidRPr="008625DC">
        <w:t>The Panel notes that governments are making significant changes in sectors such as disability care and support and aged care. These changes focus on greater consumer choice and innovation in service delivery.</w:t>
      </w:r>
    </w:p>
    <w:p w14:paraId="051066E9" w14:textId="77777777" w:rsidR="001E4B43" w:rsidRPr="008625DC" w:rsidRDefault="001E4B43" w:rsidP="001E4B43">
      <w:r w:rsidRPr="008625DC">
        <w:t>As a first step, where governments are involved in human services sectors as a provider, splitting the regulator from the provider can help to ensure that the regulator makes decisions in the best interests of consumers. Regulation that is independent of government provision can encourage a more certain and stable regulatory environment, which can in turn encourage a diversity of new providers.</w:t>
      </w:r>
    </w:p>
    <w:p w14:paraId="6148A6B9" w14:textId="61C54189" w:rsidR="001E4B43" w:rsidRPr="008625DC" w:rsidRDefault="001E4B43" w:rsidP="001E4B43">
      <w:r w:rsidRPr="008625DC">
        <w:t xml:space="preserve">The Panel considers that a </w:t>
      </w:r>
      <w:r w:rsidR="00C74E19" w:rsidRPr="008625DC">
        <w:t>‘</w:t>
      </w:r>
      <w:r w:rsidRPr="008625DC">
        <w:t>presumption of choice</w:t>
      </w:r>
      <w:r w:rsidR="00C74E19" w:rsidRPr="008625DC">
        <w:t>’</w:t>
      </w:r>
      <w:r w:rsidRPr="008625DC">
        <w:t xml:space="preserve"> could have significant benefits in many human services sectors. Putting consumers in control of the human services they access — either through direct payments, personal budgets, entitlements or choice — often means that service providers become more responsive to individual requirements.</w:t>
      </w:r>
    </w:p>
    <w:p w14:paraId="3B30FC3F" w14:textId="77777777" w:rsidR="001E4B43" w:rsidRPr="008625DC" w:rsidRDefault="001E4B43" w:rsidP="001E4B43">
      <w:r w:rsidRPr="008625DC">
        <w:lastRenderedPageBreak/>
        <w:t>However, the Panel acknowledges that choice is not the only important objective in the area of human services. Equity of access, universal service provision and minimum quality are also important in providing human services to all Australians.</w:t>
      </w:r>
    </w:p>
    <w:p w14:paraId="6149CC16" w14:textId="1747D7C1" w:rsidR="001E4B43" w:rsidRPr="008625DC" w:rsidRDefault="001E4B43" w:rsidP="001E4B43">
      <w:r w:rsidRPr="008625DC">
        <w:t>In considering whether it should recommend change in this area, the Panel does not wish to discourage or crowd out the important contribution that not</w:t>
      </w:r>
      <w:r w:rsidR="00C74E19" w:rsidRPr="008625DC">
        <w:noBreakHyphen/>
      </w:r>
      <w:r w:rsidRPr="008625DC">
        <w:t>for</w:t>
      </w:r>
      <w:r w:rsidR="00C74E19" w:rsidRPr="008625DC">
        <w:noBreakHyphen/>
      </w:r>
      <w:r w:rsidRPr="008625DC">
        <w:t>profit providers and volunteers currently make to the wellbeing of Australians.</w:t>
      </w:r>
    </w:p>
    <w:p w14:paraId="6727419B" w14:textId="609A690D" w:rsidR="001E4B43" w:rsidRPr="008625DC" w:rsidRDefault="001E4B43" w:rsidP="001E4B43">
      <w:r w:rsidRPr="008625DC">
        <w:t>Where governments retain some control over the delivery of human services, a diversity of service providers and high</w:t>
      </w:r>
      <w:r w:rsidR="00C74E19" w:rsidRPr="008625DC">
        <w:noBreakHyphen/>
      </w:r>
      <w:r w:rsidRPr="008625DC">
        <w:t>quality outcomes for users can be encouraged through commissioning. Governments</w:t>
      </w:r>
      <w:r w:rsidRPr="008625DC">
        <w:rPr>
          <w:rFonts w:cs="Arial"/>
        </w:rPr>
        <w:t xml:space="preserve"> will need to allow room for providers to innovate in response to changing user demands, and will need to benchmark the performance of providers and issue a credible threat of replacement to those that underperform.</w:t>
      </w:r>
    </w:p>
    <w:p w14:paraId="680CBA70" w14:textId="77777777" w:rsidR="001E4B43" w:rsidRPr="008625DC" w:rsidRDefault="001E4B43" w:rsidP="001E4B43">
      <w:r w:rsidRPr="008625DC">
        <w:t>The Panel recognises that in some markets there will not be sufficient depth to support a number of providers — including, for example, certain services in remote and regional areas. Ensuring access to services and maintaining and improving service quality will continue to be important in the absence of competitive pressures.</w:t>
      </w:r>
    </w:p>
    <w:p w14:paraId="4B594071" w14:textId="77777777" w:rsidR="001E4B43" w:rsidRPr="008625DC" w:rsidRDefault="001E4B43" w:rsidP="001E4B43">
      <w:r w:rsidRPr="008625DC">
        <w:t xml:space="preserve">The Panel is satisfied that deepening and extending competition policy in human services is a priority reform. Removing barriers to entry can stimulate a diversity of providers, which is a prerequisite for expanding user choice. Small gains in productivity (driven by competition) in these large and growing sectors of the Australian economy have the potential to deliver large gains across the community. </w:t>
      </w:r>
    </w:p>
    <w:p w14:paraId="3A09FC27" w14:textId="5241CD68" w:rsidR="001E4B43" w:rsidRPr="008625DC" w:rsidRDefault="001E4B43" w:rsidP="001E4B43">
      <w:r w:rsidRPr="008625DC">
        <w:t>Reforms in this area can also exert a powerful demonstration effect. If competition produces conspicuous improvements in users</w:t>
      </w:r>
      <w:r w:rsidR="00C74E19" w:rsidRPr="008625DC">
        <w:t>’</w:t>
      </w:r>
      <w:r w:rsidRPr="008625DC">
        <w:t xml:space="preserve"> access to and experience of human services, the case for reform across a wider range of government services is strengthened.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6C78414E" w14:textId="77777777" w:rsidTr="001E4B43">
        <w:tc>
          <w:tcPr>
            <w:tcW w:w="5000" w:type="pct"/>
            <w:shd w:val="clear" w:color="auto" w:fill="E9F7F3" w:themeFill="accent4" w:themeFillTint="33"/>
          </w:tcPr>
          <w:p w14:paraId="2C1B3A7D" w14:textId="77777777" w:rsidR="001E4B43" w:rsidRPr="008625DC" w:rsidRDefault="001E4B43" w:rsidP="001E4B43">
            <w:pPr>
              <w:pStyle w:val="RecommendationHeading"/>
            </w:pPr>
            <w:bookmarkStart w:id="3976" w:name="_Toc396138824"/>
            <w:bookmarkStart w:id="3977" w:name="_Toc396144085"/>
            <w:bookmarkStart w:id="3978" w:name="_Toc396145738"/>
            <w:bookmarkStart w:id="3979" w:name="_Toc396147560"/>
            <w:bookmarkStart w:id="3980" w:name="_Toc396148815"/>
            <w:bookmarkStart w:id="3981" w:name="_Toc396149242"/>
            <w:bookmarkStart w:id="3982" w:name="_Toc396149700"/>
            <w:bookmarkStart w:id="3983" w:name="_Toc396151430"/>
            <w:bookmarkStart w:id="3984" w:name="_Toc396202441"/>
            <w:bookmarkStart w:id="3985" w:name="_Toc396206649"/>
            <w:bookmarkStart w:id="3986" w:name="_Toc396209477"/>
            <w:bookmarkStart w:id="3987" w:name="_Toc396211901"/>
            <w:bookmarkStart w:id="3988" w:name="_Toc396213245"/>
            <w:bookmarkStart w:id="3989" w:name="_Toc396214523"/>
            <w:bookmarkStart w:id="3990" w:name="_Toc396226635"/>
            <w:bookmarkStart w:id="3991" w:name="_Toc396228835"/>
            <w:bookmarkStart w:id="3992" w:name="_Toc396231620"/>
            <w:bookmarkStart w:id="3993" w:name="_Toc396233257"/>
            <w:bookmarkStart w:id="3994" w:name="_Toc396234077"/>
            <w:bookmarkStart w:id="3995" w:name="_Toc396234487"/>
            <w:bookmarkStart w:id="3996" w:name="_Toc396586214"/>
            <w:bookmarkStart w:id="3997" w:name="DR2"/>
            <w:r w:rsidRPr="008625DC">
              <w:t xml:space="preserve">Draft Recommendation </w:t>
            </w:r>
            <w:r w:rsidRPr="008625DC">
              <w:fldChar w:fldCharType="begin"/>
            </w:r>
            <w:r w:rsidRPr="008625DC">
              <w:instrText xml:space="preserve"> AUTONUMLGL  \* Arabic \e </w:instrText>
            </w:r>
            <w:r w:rsidRPr="008625DC">
              <w:fldChar w:fldCharType="end"/>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sidRPr="008625DC">
              <w:t xml:space="preserve"> — Human services</w:t>
            </w:r>
          </w:p>
          <w:p w14:paraId="2B9F8A7A" w14:textId="77777777" w:rsidR="001E4B43" w:rsidRPr="008625DC" w:rsidRDefault="001E4B43" w:rsidP="001E4B43">
            <w:pPr>
              <w:pStyle w:val="RecommendationText"/>
            </w:pPr>
            <w:bookmarkStart w:id="3998" w:name="_Toc395868588"/>
            <w:bookmarkStart w:id="3999" w:name="_Toc395878969"/>
            <w:bookmarkStart w:id="4000" w:name="_Toc395882093"/>
            <w:bookmarkStart w:id="4001" w:name="_Toc395882424"/>
            <w:bookmarkStart w:id="4002" w:name="_Toc395880588"/>
            <w:bookmarkStart w:id="4003" w:name="_Toc395880919"/>
            <w:bookmarkStart w:id="4004" w:name="_Toc395881477"/>
            <w:bookmarkStart w:id="4005" w:name="_Toc395883862"/>
            <w:bookmarkStart w:id="4006" w:name="_Toc395880817"/>
            <w:bookmarkStart w:id="4007" w:name="_Toc395884524"/>
            <w:bookmarkStart w:id="4008" w:name="_Toc395883233"/>
            <w:bookmarkStart w:id="4009" w:name="_Toc395883563"/>
            <w:bookmarkStart w:id="4010" w:name="_Toc395884865"/>
            <w:bookmarkStart w:id="4011" w:name="_Toc396138825"/>
            <w:bookmarkStart w:id="4012" w:name="_Toc396144086"/>
            <w:bookmarkStart w:id="4013" w:name="_Toc396145739"/>
            <w:bookmarkStart w:id="4014" w:name="_Toc396147561"/>
            <w:bookmarkStart w:id="4015" w:name="_Toc396148816"/>
            <w:bookmarkStart w:id="4016" w:name="_Toc396149243"/>
            <w:bookmarkStart w:id="4017" w:name="_Toc396149701"/>
            <w:bookmarkStart w:id="4018" w:name="_Toc396151431"/>
            <w:bookmarkStart w:id="4019" w:name="_Toc396202442"/>
            <w:bookmarkStart w:id="4020" w:name="_Toc396206650"/>
            <w:bookmarkStart w:id="4021" w:name="_Toc396209478"/>
            <w:bookmarkStart w:id="4022" w:name="_Toc396211902"/>
            <w:bookmarkStart w:id="4023" w:name="_Toc396213246"/>
            <w:bookmarkStart w:id="4024" w:name="_Toc396214524"/>
            <w:bookmarkStart w:id="4025" w:name="_Toc396226636"/>
            <w:bookmarkStart w:id="4026" w:name="_Toc396228836"/>
            <w:bookmarkStart w:id="4027" w:name="_Toc396231621"/>
            <w:bookmarkStart w:id="4028" w:name="_Toc396233258"/>
            <w:bookmarkStart w:id="4029" w:name="_Toc396234078"/>
            <w:bookmarkStart w:id="4030" w:name="_Toc396234488"/>
            <w:bookmarkStart w:id="4031" w:name="_Toc396586215"/>
            <w:r w:rsidRPr="008625DC">
              <w:t>Australian governments should craft an intergovernmental agreement establishing choice and competition principles in the field of human services.</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14:paraId="22904596" w14:textId="77777777" w:rsidR="001E4B43" w:rsidRPr="008625DC" w:rsidRDefault="001E4B43" w:rsidP="001E4B43">
            <w:pPr>
              <w:pStyle w:val="RecommendationText"/>
            </w:pPr>
            <w:bookmarkStart w:id="4032" w:name="_Toc395868589"/>
            <w:bookmarkStart w:id="4033" w:name="_Toc395878970"/>
            <w:bookmarkStart w:id="4034" w:name="_Toc395882094"/>
            <w:bookmarkStart w:id="4035" w:name="_Toc395882425"/>
            <w:bookmarkStart w:id="4036" w:name="_Toc395880589"/>
            <w:bookmarkStart w:id="4037" w:name="_Toc395880920"/>
            <w:bookmarkStart w:id="4038" w:name="_Toc395881478"/>
            <w:bookmarkStart w:id="4039" w:name="_Toc395883863"/>
            <w:bookmarkStart w:id="4040" w:name="_Toc395880818"/>
            <w:bookmarkStart w:id="4041" w:name="_Toc395884525"/>
            <w:bookmarkStart w:id="4042" w:name="_Toc395883234"/>
            <w:bookmarkStart w:id="4043" w:name="_Toc395883564"/>
            <w:bookmarkStart w:id="4044" w:name="_Toc395884866"/>
            <w:bookmarkStart w:id="4045" w:name="_Toc396138826"/>
            <w:bookmarkStart w:id="4046" w:name="_Toc396144087"/>
            <w:bookmarkStart w:id="4047" w:name="_Toc396147562"/>
            <w:bookmarkStart w:id="4048" w:name="_Toc396148817"/>
            <w:bookmarkStart w:id="4049" w:name="_Toc396149244"/>
            <w:bookmarkStart w:id="4050" w:name="_Toc396149702"/>
            <w:bookmarkStart w:id="4051" w:name="_Toc396151432"/>
            <w:bookmarkStart w:id="4052" w:name="_Toc396202443"/>
            <w:bookmarkStart w:id="4053" w:name="_Toc396206651"/>
            <w:bookmarkStart w:id="4054" w:name="_Toc396209479"/>
            <w:bookmarkStart w:id="4055" w:name="_Toc396211903"/>
            <w:bookmarkStart w:id="4056" w:name="_Toc396213247"/>
            <w:bookmarkStart w:id="4057" w:name="_Toc396214525"/>
            <w:bookmarkStart w:id="4058" w:name="_Toc396226637"/>
            <w:bookmarkStart w:id="4059" w:name="_Toc396228837"/>
            <w:bookmarkStart w:id="4060" w:name="_Toc396231622"/>
            <w:bookmarkStart w:id="4061" w:name="_Toc396233259"/>
            <w:bookmarkStart w:id="4062" w:name="_Toc396234079"/>
            <w:bookmarkStart w:id="4063" w:name="_Toc396234489"/>
            <w:bookmarkStart w:id="4064" w:name="_Toc396586216"/>
            <w:r w:rsidRPr="008625DC">
              <w:t>The guiding principles should include:</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0E1CED77" w14:textId="63295B7D" w:rsidR="005031FF" w:rsidRPr="008625DC" w:rsidRDefault="005031FF" w:rsidP="00DB4ECC">
            <w:pPr>
              <w:pStyle w:val="RecommendationBullet"/>
            </w:pPr>
            <w:bookmarkStart w:id="4065" w:name="_Toc396586217"/>
            <w:bookmarkStart w:id="4066" w:name="_Toc395868590"/>
            <w:bookmarkStart w:id="4067" w:name="_Toc395878971"/>
            <w:bookmarkStart w:id="4068" w:name="_Toc395882095"/>
            <w:bookmarkStart w:id="4069" w:name="_Toc395882426"/>
            <w:bookmarkStart w:id="4070" w:name="_Toc395880590"/>
            <w:bookmarkStart w:id="4071" w:name="_Toc395880921"/>
            <w:bookmarkStart w:id="4072" w:name="_Toc395881479"/>
            <w:bookmarkStart w:id="4073" w:name="_Toc395883864"/>
            <w:bookmarkStart w:id="4074" w:name="_Toc395880819"/>
            <w:bookmarkStart w:id="4075" w:name="_Toc395884526"/>
            <w:bookmarkStart w:id="4076" w:name="_Toc395883235"/>
            <w:bookmarkStart w:id="4077" w:name="_Toc395883565"/>
            <w:bookmarkStart w:id="4078" w:name="_Toc395884867"/>
            <w:bookmarkStart w:id="4079" w:name="_Toc396138827"/>
            <w:bookmarkStart w:id="4080" w:name="_Toc396144088"/>
            <w:bookmarkStart w:id="4081" w:name="_Toc396147563"/>
            <w:bookmarkStart w:id="4082" w:name="_Toc396148818"/>
            <w:bookmarkStart w:id="4083" w:name="_Toc396149245"/>
            <w:bookmarkStart w:id="4084" w:name="_Toc396149703"/>
            <w:bookmarkStart w:id="4085" w:name="_Toc396151433"/>
            <w:bookmarkStart w:id="4086" w:name="_Toc396202444"/>
            <w:bookmarkStart w:id="4087" w:name="_Toc396206652"/>
            <w:bookmarkStart w:id="4088" w:name="_Toc396209480"/>
            <w:bookmarkStart w:id="4089" w:name="_Toc396211904"/>
            <w:bookmarkStart w:id="4090" w:name="_Toc396213248"/>
            <w:bookmarkStart w:id="4091" w:name="_Toc396214526"/>
            <w:bookmarkStart w:id="4092" w:name="_Toc396226638"/>
            <w:bookmarkStart w:id="4093" w:name="_Toc396228838"/>
            <w:bookmarkStart w:id="4094" w:name="_Toc396231623"/>
            <w:bookmarkStart w:id="4095" w:name="_Toc396233260"/>
            <w:bookmarkStart w:id="4096" w:name="_Toc396234080"/>
            <w:bookmarkStart w:id="4097" w:name="_Toc396234490"/>
            <w:r w:rsidRPr="008625DC">
              <w:t>user choice should be placed at the heart of service delivery;</w:t>
            </w:r>
          </w:p>
          <w:p w14:paraId="06CEB4AB" w14:textId="076F6F6B" w:rsidR="005031FF" w:rsidRPr="008625DC" w:rsidRDefault="005031FF" w:rsidP="00DB4ECC">
            <w:pPr>
              <w:pStyle w:val="RecommendationBullet"/>
            </w:pPr>
            <w:r w:rsidRPr="008625DC">
              <w:t xml:space="preserve">funding, regulation and service delivery should be separate; </w:t>
            </w:r>
          </w:p>
          <w:p w14:paraId="42F5ADB5" w14:textId="408A0431" w:rsidR="005031FF" w:rsidRPr="008625DC" w:rsidRDefault="005031FF" w:rsidP="00DB4ECC">
            <w:pPr>
              <w:pStyle w:val="RecommendationBullet"/>
            </w:pPr>
            <w:r w:rsidRPr="008625DC">
              <w:t xml:space="preserve">a diversity of providers should be encouraged, while not crowding out community and voluntary services; and </w:t>
            </w:r>
          </w:p>
          <w:p w14:paraId="10AE6F93" w14:textId="55D8E174" w:rsidR="005031FF" w:rsidRPr="008625DC" w:rsidRDefault="005031FF" w:rsidP="00DB4ECC">
            <w:pPr>
              <w:pStyle w:val="RecommendationBullet"/>
            </w:pPr>
            <w:proofErr w:type="gramStart"/>
            <w:r w:rsidRPr="008625DC">
              <w:t>innovation</w:t>
            </w:r>
            <w:proofErr w:type="gramEnd"/>
            <w:r w:rsidRPr="008625DC">
              <w:t xml:space="preserve"> in service provision should be stimulated, while ensuring access to high</w:t>
            </w:r>
            <w:r w:rsidR="00C74E19" w:rsidRPr="008625DC">
              <w:noBreakHyphen/>
            </w:r>
            <w:r w:rsidRPr="008625DC">
              <w:t>quality human services.</w:t>
            </w:r>
            <w:bookmarkStart w:id="4098" w:name="_Toc396213252"/>
            <w:bookmarkStart w:id="4099" w:name="_Toc396214530"/>
            <w:bookmarkStart w:id="4100" w:name="_Toc396226642"/>
            <w:bookmarkStart w:id="4101" w:name="_Toc396228842"/>
            <w:bookmarkStart w:id="4102" w:name="_Toc396231627"/>
            <w:bookmarkStart w:id="4103" w:name="_Toc396233264"/>
            <w:bookmarkStart w:id="4104" w:name="_Toc396234084"/>
            <w:bookmarkStart w:id="4105" w:name="_Toc396234494"/>
            <w:bookmarkStart w:id="4106" w:name="_Toc396586221"/>
            <w:bookmarkStart w:id="4107" w:name="_Toc395868594"/>
            <w:bookmarkStart w:id="4108" w:name="_Toc395878975"/>
            <w:bookmarkStart w:id="4109" w:name="_Toc395882099"/>
            <w:bookmarkStart w:id="4110" w:name="_Toc395882430"/>
            <w:bookmarkStart w:id="4111" w:name="_Toc395880594"/>
            <w:bookmarkStart w:id="4112" w:name="_Toc395880925"/>
            <w:bookmarkStart w:id="4113" w:name="_Toc395881483"/>
            <w:bookmarkStart w:id="4114" w:name="_Toc395883868"/>
            <w:bookmarkStart w:id="4115" w:name="_Toc395880823"/>
            <w:bookmarkStart w:id="4116" w:name="_Toc395884530"/>
            <w:bookmarkStart w:id="4117" w:name="_Toc395883239"/>
            <w:bookmarkStart w:id="4118" w:name="_Toc395883569"/>
            <w:bookmarkStart w:id="4119" w:name="_Toc395884871"/>
            <w:bookmarkStart w:id="4120" w:name="_Toc396138831"/>
            <w:bookmarkStart w:id="4121" w:name="_Toc396144092"/>
            <w:bookmarkStart w:id="4122" w:name="_Toc396145745"/>
            <w:bookmarkStart w:id="4123" w:name="_Toc396147567"/>
            <w:bookmarkStart w:id="4124" w:name="_Toc396148822"/>
            <w:bookmarkStart w:id="4125" w:name="_Toc396149249"/>
            <w:bookmarkStart w:id="4126" w:name="_Toc396149707"/>
            <w:bookmarkStart w:id="4127" w:name="_Toc396151437"/>
            <w:bookmarkStart w:id="4128" w:name="_Toc396202448"/>
            <w:bookmarkStart w:id="4129" w:name="_Toc396206656"/>
            <w:bookmarkStart w:id="4130" w:name="_Toc39620948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7B22432E" w14:textId="77777777" w:rsidR="001E4B43" w:rsidRPr="008625DC" w:rsidRDefault="001E4B43" w:rsidP="005031FF">
            <w:pPr>
              <w:pStyle w:val="RecommendationText"/>
            </w:pPr>
            <w:r w:rsidRPr="008625DC">
              <w:t>Each jurisdiction should develop an implementation plan founded on these principles that reflects the unique characteristics of providing human services in its jurisdiction.</w:t>
            </w:r>
            <w:bookmarkEnd w:id="4098"/>
            <w:bookmarkEnd w:id="4099"/>
            <w:bookmarkEnd w:id="4100"/>
            <w:bookmarkEnd w:id="4101"/>
            <w:bookmarkEnd w:id="4102"/>
            <w:bookmarkEnd w:id="4103"/>
            <w:bookmarkEnd w:id="4104"/>
            <w:bookmarkEnd w:id="4105"/>
            <w:bookmarkEnd w:id="4106"/>
            <w:r w:rsidRPr="008625DC">
              <w:t xml:space="preserve"> </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tc>
      </w:tr>
    </w:tbl>
    <w:p w14:paraId="5C6E4871" w14:textId="77777777" w:rsidR="001E4B43" w:rsidRPr="008625DC" w:rsidRDefault="001E4B43" w:rsidP="005C6A7D">
      <w:pPr>
        <w:spacing w:before="240"/>
      </w:pPr>
      <w:bookmarkStart w:id="4131" w:name="_Toc396397365"/>
      <w:bookmarkStart w:id="4132" w:name="_Toc395867675"/>
      <w:bookmarkStart w:id="4133" w:name="_Toc395868595"/>
      <w:bookmarkStart w:id="4134" w:name="_Toc395868807"/>
      <w:bookmarkStart w:id="4135" w:name="_Toc395878976"/>
      <w:bookmarkStart w:id="4136" w:name="_Toc395879186"/>
      <w:bookmarkStart w:id="4137" w:name="_Toc395882100"/>
      <w:bookmarkStart w:id="4138" w:name="_Toc395882310"/>
      <w:bookmarkStart w:id="4139" w:name="_Toc395882431"/>
      <w:bookmarkStart w:id="4140" w:name="_Toc395882641"/>
      <w:bookmarkStart w:id="4141" w:name="_Toc395880595"/>
      <w:bookmarkStart w:id="4142" w:name="_Toc395880926"/>
      <w:bookmarkStart w:id="4143" w:name="_Toc395881484"/>
      <w:bookmarkStart w:id="4144" w:name="_Toc395883869"/>
      <w:bookmarkStart w:id="4145" w:name="_Toc395884079"/>
      <w:bookmarkStart w:id="4146" w:name="_Toc395880824"/>
      <w:bookmarkStart w:id="4147" w:name="_Toc395884531"/>
      <w:bookmarkStart w:id="4148" w:name="_Toc395884741"/>
      <w:bookmarkStart w:id="4149" w:name="_Toc395883240"/>
      <w:bookmarkStart w:id="4150" w:name="_Toc395883450"/>
      <w:bookmarkStart w:id="4151" w:name="_Toc395883570"/>
      <w:bookmarkStart w:id="4152" w:name="_Toc395883780"/>
      <w:bookmarkStart w:id="4153" w:name="_Toc395884872"/>
      <w:bookmarkStart w:id="4154" w:name="_Toc396123890"/>
      <w:bookmarkStart w:id="4155" w:name="_Toc396130792"/>
      <w:bookmarkStart w:id="4156" w:name="_Toc396136370"/>
      <w:bookmarkStart w:id="4157" w:name="_Toc396138832"/>
      <w:bookmarkStart w:id="4158" w:name="_Toc396144093"/>
      <w:bookmarkStart w:id="4159" w:name="_Toc396145594"/>
      <w:bookmarkStart w:id="4160" w:name="_Toc396145746"/>
      <w:bookmarkStart w:id="4161" w:name="_Toc396147568"/>
      <w:bookmarkStart w:id="4162" w:name="_Toc396147846"/>
      <w:bookmarkStart w:id="4163" w:name="_Toc396149102"/>
      <w:bookmarkStart w:id="4164" w:name="_Toc396148823"/>
      <w:bookmarkStart w:id="4165" w:name="_Toc396149596"/>
      <w:bookmarkStart w:id="4166" w:name="_Toc396149250"/>
      <w:bookmarkStart w:id="4167" w:name="_Toc396150025"/>
      <w:bookmarkStart w:id="4168" w:name="_Toc396149950"/>
      <w:bookmarkStart w:id="4169" w:name="_Toc396149708"/>
      <w:bookmarkStart w:id="4170" w:name="_Toc396150541"/>
      <w:bookmarkStart w:id="4171" w:name="_Toc396151438"/>
      <w:bookmarkStart w:id="4172" w:name="_Toc396151724"/>
      <w:bookmarkStart w:id="4173" w:name="_Toc396202449"/>
      <w:bookmarkStart w:id="4174" w:name="_Toc396202736"/>
      <w:bookmarkStart w:id="4175" w:name="_Toc396206657"/>
      <w:bookmarkStart w:id="4176" w:name="_Toc396206943"/>
      <w:bookmarkStart w:id="4177" w:name="_Toc396209485"/>
      <w:bookmarkStart w:id="4178" w:name="_Toc396209771"/>
      <w:bookmarkStart w:id="4179" w:name="_Toc396211909"/>
      <w:bookmarkStart w:id="4180" w:name="_Toc396212195"/>
      <w:bookmarkStart w:id="4181" w:name="_Toc396213253"/>
      <w:bookmarkStart w:id="4182" w:name="_Toc396213537"/>
      <w:bookmarkStart w:id="4183" w:name="_Toc396214531"/>
      <w:bookmarkStart w:id="4184" w:name="_Toc396214813"/>
      <w:bookmarkStart w:id="4185" w:name="_Toc396226643"/>
      <w:bookmarkStart w:id="4186" w:name="_Toc396226924"/>
      <w:bookmarkStart w:id="4187" w:name="_Toc396228843"/>
      <w:bookmarkStart w:id="4188" w:name="_Toc396229130"/>
      <w:bookmarkStart w:id="4189" w:name="_Toc396230772"/>
      <w:bookmarkStart w:id="4190" w:name="_Toc396231628"/>
      <w:bookmarkStart w:id="4191" w:name="_Toc396231914"/>
      <w:bookmarkStart w:id="4192" w:name="_Toc396233265"/>
      <w:bookmarkStart w:id="4193" w:name="_Toc396233554"/>
      <w:bookmarkStart w:id="4194" w:name="_Toc396234085"/>
      <w:bookmarkStart w:id="4195" w:name="_Toc396234374"/>
      <w:bookmarkStart w:id="4196" w:name="_Toc396234495"/>
      <w:bookmarkStart w:id="4197" w:name="_Toc396236221"/>
      <w:bookmarkStart w:id="4198" w:name="_Toc396235999"/>
      <w:bookmarkStart w:id="4199" w:name="_Toc396304653"/>
      <w:bookmarkStart w:id="4200" w:name="_Toc396586222"/>
      <w:bookmarkStart w:id="4201" w:name="_Toc396815102"/>
      <w:bookmarkStart w:id="4202" w:name="_Toc396821051"/>
      <w:bookmarkStart w:id="4203" w:name="_Toc396821247"/>
      <w:bookmarkStart w:id="4204" w:name="_Toc396821659"/>
      <w:bookmarkStart w:id="4205" w:name="_Toc396827509"/>
      <w:bookmarkStart w:id="4206" w:name="_Toc396828480"/>
      <w:bookmarkStart w:id="4207" w:name="_Toc396828590"/>
      <w:bookmarkStart w:id="4208" w:name="_Toc396837979"/>
      <w:bookmarkStart w:id="4209" w:name="_Toc396838377"/>
      <w:bookmarkStart w:id="4210" w:name="_Toc396904110"/>
      <w:bookmarkStart w:id="4211" w:name="_Toc396904700"/>
      <w:bookmarkStart w:id="4212" w:name="_Toc396907534"/>
      <w:bookmarkStart w:id="4213" w:name="_Toc396912453"/>
      <w:r w:rsidRPr="008625DC">
        <w:t>When developing an implementation plan based on these principles, governments can develop various approaches to achieve their goals.</w:t>
      </w:r>
    </w:p>
    <w:p w14:paraId="0DDE01AD" w14:textId="77777777" w:rsidR="001E4B43" w:rsidRPr="008625DC" w:rsidRDefault="001E4B43" w:rsidP="001E4B43">
      <w:pPr>
        <w:pStyle w:val="Bullet"/>
        <w:numPr>
          <w:ilvl w:val="0"/>
          <w:numId w:val="0"/>
        </w:numPr>
        <w:ind w:left="566" w:hanging="566"/>
      </w:pPr>
      <w:r w:rsidRPr="008625DC">
        <w:t>For example, in putting consumer choice at the heart of service delivery, governments can:</w:t>
      </w:r>
    </w:p>
    <w:p w14:paraId="18F30F89" w14:textId="77777777" w:rsidR="001E4B43" w:rsidRPr="008625DC" w:rsidRDefault="001E4B43" w:rsidP="001E4B43">
      <w:pPr>
        <w:pStyle w:val="Bullet"/>
      </w:pPr>
      <w:r w:rsidRPr="008625DC">
        <w:t>recognise that consumers are best placed to make choices about the human services they need most and design service delivery, wherever possible, to be responsive to those choices;</w:t>
      </w:r>
    </w:p>
    <w:p w14:paraId="3FA7AB66" w14:textId="77777777" w:rsidR="001E4B43" w:rsidRPr="008625DC" w:rsidRDefault="001E4B43" w:rsidP="001E4B43">
      <w:pPr>
        <w:pStyle w:val="Bullet"/>
      </w:pPr>
      <w:r w:rsidRPr="008625DC">
        <w:lastRenderedPageBreak/>
        <w:t>recognise that access to quality services will be a prerequisite for effective choice and that accessibility will be particularly important in remote and regional areas;</w:t>
      </w:r>
    </w:p>
    <w:p w14:paraId="1E673D7A" w14:textId="00BBCBE4" w:rsidR="001E4B43" w:rsidRPr="008625DC" w:rsidRDefault="001E4B43" w:rsidP="001E4B43">
      <w:pPr>
        <w:pStyle w:val="Bullet"/>
      </w:pPr>
      <w:r w:rsidRPr="008625DC">
        <w:t>ensure that consumers have access to relevant information to help them exercise their choices, including</w:t>
      </w:r>
      <w:r w:rsidR="004B76D4" w:rsidRPr="008625DC">
        <w:t>,</w:t>
      </w:r>
      <w:r w:rsidRPr="008625DC">
        <w:t xml:space="preserve"> where appropriate</w:t>
      </w:r>
      <w:r w:rsidR="004B76D4" w:rsidRPr="008625DC">
        <w:t>,</w:t>
      </w:r>
      <w:r w:rsidRPr="008625DC">
        <w:t xml:space="preserve"> feedback from previous users of services;</w:t>
      </w:r>
    </w:p>
    <w:p w14:paraId="79AE277E" w14:textId="77777777" w:rsidR="001E4B43" w:rsidRPr="008625DC" w:rsidRDefault="001E4B43" w:rsidP="001E4B43">
      <w:pPr>
        <w:pStyle w:val="Bullet"/>
      </w:pPr>
      <w:r w:rsidRPr="008625DC">
        <w:t>make intermediaries or purchase advisers available to help consumers make decisions, with policies designed to align the incentives of purchase advisers with the best interests of consumers;</w:t>
      </w:r>
    </w:p>
    <w:p w14:paraId="292DF321" w14:textId="77777777" w:rsidR="001E4B43" w:rsidRPr="008625DC" w:rsidRDefault="001E4B43" w:rsidP="001E4B43">
      <w:pPr>
        <w:pStyle w:val="Bullet"/>
      </w:pPr>
      <w:r w:rsidRPr="008625DC">
        <w:t>ensure that a default option is available for consumers unable or unwilling to exercise choice;</w:t>
      </w:r>
    </w:p>
    <w:p w14:paraId="62D4F11C" w14:textId="6DAC005D" w:rsidR="001E4B43" w:rsidRPr="008625DC" w:rsidRDefault="001E4B43" w:rsidP="001E4B43">
      <w:pPr>
        <w:pStyle w:val="Bullet"/>
      </w:pPr>
      <w:r w:rsidRPr="008625DC">
        <w:t>lower financial and non</w:t>
      </w:r>
      <w:r w:rsidR="00C74E19" w:rsidRPr="008625DC">
        <w:noBreakHyphen/>
      </w:r>
      <w:r w:rsidRPr="008625DC">
        <w:t>financial switching costs to enable switching wherever possible</w:t>
      </w:r>
      <w:r w:rsidR="00C74E19" w:rsidRPr="008625DC">
        <w:t xml:space="preserve"> — </w:t>
      </w:r>
      <w:r w:rsidRPr="008625DC">
        <w:t xml:space="preserve">for example, consumers should not </w:t>
      </w:r>
      <w:r w:rsidR="00C74E19" w:rsidRPr="008625DC">
        <w:t>‘</w:t>
      </w:r>
      <w:r w:rsidRPr="008625DC">
        <w:t>lose their place in the queue</w:t>
      </w:r>
      <w:r w:rsidR="00C74E19" w:rsidRPr="008625DC">
        <w:t>’</w:t>
      </w:r>
      <w:r w:rsidRPr="008625DC">
        <w:t xml:space="preserve"> if they switch providers, nor need to undergo further eligibility assessment; and</w:t>
      </w:r>
    </w:p>
    <w:p w14:paraId="1E329AE3" w14:textId="77777777" w:rsidR="001E4B43" w:rsidRPr="008625DC" w:rsidRDefault="001E4B43" w:rsidP="001E4B43">
      <w:pPr>
        <w:pStyle w:val="Bullet"/>
        <w:spacing w:after="240"/>
        <w:rPr>
          <w:rFonts w:ascii="Times New Roman" w:hAnsi="Times New Roman"/>
        </w:rPr>
      </w:pPr>
      <w:proofErr w:type="gramStart"/>
      <w:r w:rsidRPr="008625DC">
        <w:t>offer</w:t>
      </w:r>
      <w:proofErr w:type="gramEnd"/>
      <w:r w:rsidRPr="008625DC">
        <w:t xml:space="preserve"> disadvantaged groups greater assistance in navigating the choices they face through, for example, accessible communication channels that suit their needs.</w:t>
      </w:r>
    </w:p>
    <w:p w14:paraId="166CB688" w14:textId="77777777" w:rsidR="001E4B43" w:rsidRPr="008625DC" w:rsidRDefault="001E4B43" w:rsidP="001E4B43">
      <w:pPr>
        <w:spacing w:after="120"/>
      </w:pPr>
      <w:r w:rsidRPr="008625DC">
        <w:t>In separating funding, regulation and provision, governments can:</w:t>
      </w:r>
    </w:p>
    <w:p w14:paraId="63A33E7E" w14:textId="080676C0" w:rsidR="001E4B43" w:rsidRPr="008625DC" w:rsidRDefault="001E4B43" w:rsidP="001E4B43">
      <w:pPr>
        <w:pStyle w:val="Bullet"/>
      </w:pPr>
      <w:r w:rsidRPr="008625DC">
        <w:t>vest rule</w:t>
      </w:r>
      <w:r w:rsidR="00C74E19" w:rsidRPr="008625DC">
        <w:noBreakHyphen/>
      </w:r>
      <w:r w:rsidRPr="008625DC">
        <w:t>making and regulation with a body independent of government</w:t>
      </w:r>
      <w:r w:rsidR="00C74E19" w:rsidRPr="008625DC">
        <w:t>’</w:t>
      </w:r>
      <w:r w:rsidRPr="008625DC">
        <w:t>s policy role;</w:t>
      </w:r>
    </w:p>
    <w:p w14:paraId="08A165BB" w14:textId="77777777" w:rsidR="001E4B43" w:rsidRPr="008625DC" w:rsidRDefault="001E4B43" w:rsidP="001E4B43">
      <w:pPr>
        <w:pStyle w:val="Bullet"/>
      </w:pPr>
      <w:r w:rsidRPr="008625DC">
        <w:t>encourage contestability in service delivery, including through careful commissioning;</w:t>
      </w:r>
    </w:p>
    <w:p w14:paraId="32C87760" w14:textId="4004BE72" w:rsidR="001E4B43" w:rsidRPr="008625DC" w:rsidRDefault="001E4B43" w:rsidP="001E4B43">
      <w:pPr>
        <w:pStyle w:val="Bullet"/>
      </w:pPr>
      <w:r w:rsidRPr="008625DC">
        <w:t>allow funding to follow people</w:t>
      </w:r>
      <w:r w:rsidR="00C74E19" w:rsidRPr="008625DC">
        <w:t>’</w:t>
      </w:r>
      <w:r w:rsidRPr="008625DC">
        <w:t>s choices; and</w:t>
      </w:r>
    </w:p>
    <w:p w14:paraId="4F985971" w14:textId="77777777" w:rsidR="001E4B43" w:rsidRPr="008625DC" w:rsidRDefault="001E4B43" w:rsidP="001E4B43">
      <w:pPr>
        <w:pStyle w:val="Bullet"/>
        <w:spacing w:after="240"/>
      </w:pPr>
      <w:proofErr w:type="gramStart"/>
      <w:r w:rsidRPr="008625DC">
        <w:t>make</w:t>
      </w:r>
      <w:proofErr w:type="gramEnd"/>
      <w:r w:rsidRPr="008625DC">
        <w:t xml:space="preserve"> the funding of community service obligations transparent and contestable. </w:t>
      </w:r>
    </w:p>
    <w:p w14:paraId="22AC2D67" w14:textId="77777777" w:rsidR="001E4B43" w:rsidRPr="008625DC" w:rsidRDefault="001E4B43" w:rsidP="001E4B43">
      <w:pPr>
        <w:pStyle w:val="Bullet"/>
        <w:numPr>
          <w:ilvl w:val="0"/>
          <w:numId w:val="0"/>
        </w:numPr>
        <w:ind w:left="566" w:hanging="566"/>
      </w:pPr>
      <w:r w:rsidRPr="008625DC">
        <w:t>In encouraging a diversity of service providers, governments can:</w:t>
      </w:r>
    </w:p>
    <w:p w14:paraId="42568ABB" w14:textId="2E5E9954" w:rsidR="001E4B43" w:rsidRPr="008625DC" w:rsidRDefault="001E4B43" w:rsidP="001E4B43">
      <w:pPr>
        <w:pStyle w:val="Bullet"/>
      </w:pPr>
      <w:r w:rsidRPr="008625DC">
        <w:t>allow a regulator independent of government providers to license any provider that meets and</w:t>
      </w:r>
      <w:r w:rsidR="005C6A7D" w:rsidRPr="008625DC">
        <w:t> </w:t>
      </w:r>
      <w:r w:rsidRPr="008625DC">
        <w:t>maintains prescribed standards;</w:t>
      </w:r>
    </w:p>
    <w:p w14:paraId="0D14F843" w14:textId="77777777" w:rsidR="001E4B43" w:rsidRPr="008625DC" w:rsidRDefault="001E4B43" w:rsidP="001E4B43">
      <w:pPr>
        <w:pStyle w:val="Bullet"/>
      </w:pPr>
      <w:r w:rsidRPr="008625DC">
        <w:t>where governments directly commission services, recognise the beneficial impact on innovation and consumer responsiveness that arises from a diversity of providers;</w:t>
      </w:r>
    </w:p>
    <w:p w14:paraId="7884CB06" w14:textId="77777777" w:rsidR="001E4B43" w:rsidRPr="008625DC" w:rsidRDefault="001E4B43" w:rsidP="001E4B43">
      <w:pPr>
        <w:pStyle w:val="Bullet"/>
      </w:pPr>
      <w:r w:rsidRPr="008625DC">
        <w:t>encourage commissioning decisions that are sensitive and responsive to individual and community needs and recognise the contribution of community organisations and volunteers; and</w:t>
      </w:r>
    </w:p>
    <w:p w14:paraId="196D9739" w14:textId="77777777" w:rsidR="001E4B43" w:rsidRPr="008625DC" w:rsidRDefault="001E4B43" w:rsidP="001E4B43">
      <w:pPr>
        <w:pStyle w:val="Bullet"/>
        <w:spacing w:after="240"/>
      </w:pPr>
      <w:proofErr w:type="gramStart"/>
      <w:r w:rsidRPr="008625DC">
        <w:t>ensure</w:t>
      </w:r>
      <w:proofErr w:type="gramEnd"/>
      <w:r w:rsidRPr="008625DC">
        <w:t xml:space="preserve"> that commissioned services are contestable, and that service providers face replacement for poor performance.</w:t>
      </w:r>
    </w:p>
    <w:p w14:paraId="1C4F2AB8" w14:textId="77777777" w:rsidR="001E4B43" w:rsidRPr="008625DC" w:rsidRDefault="001E4B43" w:rsidP="001E4B43">
      <w:pPr>
        <w:pStyle w:val="Bullet"/>
        <w:numPr>
          <w:ilvl w:val="0"/>
          <w:numId w:val="0"/>
        </w:numPr>
        <w:ind w:left="566" w:hanging="566"/>
      </w:pPr>
      <w:r w:rsidRPr="008625DC">
        <w:t>In encouraging innovation in service delivery, governments can:</w:t>
      </w:r>
    </w:p>
    <w:p w14:paraId="2426937C" w14:textId="77777777" w:rsidR="001E4B43" w:rsidRPr="008625DC" w:rsidRDefault="001E4B43" w:rsidP="001E4B43">
      <w:pPr>
        <w:pStyle w:val="Bullet"/>
      </w:pPr>
      <w:r w:rsidRPr="008625DC">
        <w:t>encourage experimental service delivery trials whose results are disseminated via an intergovernmental process;</w:t>
      </w:r>
    </w:p>
    <w:p w14:paraId="76F4D030" w14:textId="3B338842" w:rsidR="001E4B43" w:rsidRPr="008625DC" w:rsidRDefault="001E4B43" w:rsidP="001E4B43">
      <w:pPr>
        <w:pStyle w:val="Bullet"/>
      </w:pPr>
      <w:r w:rsidRPr="008625DC">
        <w:t>establish targets and benchmarks for service providers based on outcomes, not processes or</w:t>
      </w:r>
      <w:r w:rsidR="005C6A7D" w:rsidRPr="008625DC">
        <w:t> </w:t>
      </w:r>
      <w:r w:rsidRPr="008625DC">
        <w:t>inputs;</w:t>
      </w:r>
    </w:p>
    <w:p w14:paraId="28E3C0F8" w14:textId="77777777" w:rsidR="001E4B43" w:rsidRPr="008625DC" w:rsidRDefault="001E4B43" w:rsidP="001E4B43">
      <w:pPr>
        <w:pStyle w:val="Bullet"/>
      </w:pPr>
      <w:r w:rsidRPr="008625DC">
        <w:t>offer financial rewards for performance above specified targets; and</w:t>
      </w:r>
    </w:p>
    <w:p w14:paraId="446EA36A" w14:textId="77777777" w:rsidR="001E4B43" w:rsidRPr="008625DC" w:rsidRDefault="001E4B43" w:rsidP="001E4B43">
      <w:pPr>
        <w:pStyle w:val="Bullet"/>
        <w:spacing w:after="240"/>
      </w:pPr>
      <w:proofErr w:type="gramStart"/>
      <w:r w:rsidRPr="008625DC">
        <w:t>encourage</w:t>
      </w:r>
      <w:proofErr w:type="gramEnd"/>
      <w:r w:rsidRPr="008625DC">
        <w:t xml:space="preserve"> jurisdictions to share knowledge and experience in the interests of continuous improvement.</w:t>
      </w:r>
    </w:p>
    <w:p w14:paraId="637FF19F" w14:textId="19751B60" w:rsidR="001E4B43" w:rsidRPr="008625DC" w:rsidRDefault="001E4B43" w:rsidP="001E4B43">
      <w:r w:rsidRPr="008625DC">
        <w:t xml:space="preserve">For further detail on human services, see </w:t>
      </w:r>
      <w:hyperlink w:anchor="Ch10" w:history="1">
        <w:r w:rsidRPr="008625DC">
          <w:rPr>
            <w:rStyle w:val="Hyperlink"/>
          </w:rPr>
          <w:t>Chapter 10</w:t>
        </w:r>
      </w:hyperlink>
      <w:r w:rsidRPr="008625DC">
        <w:t>.</w:t>
      </w:r>
    </w:p>
    <w:p w14:paraId="3E6551FB" w14:textId="77777777" w:rsidR="001E4B43" w:rsidRPr="008625DC" w:rsidRDefault="001E4B43" w:rsidP="001E4B43">
      <w:pPr>
        <w:pStyle w:val="Heading2"/>
        <w:ind w:left="851" w:hanging="851"/>
        <w:rPr>
          <w:lang w:val="en-AU"/>
        </w:rPr>
      </w:pPr>
      <w:bookmarkStart w:id="4214" w:name="_Toc396914433"/>
      <w:bookmarkStart w:id="4215" w:name="_Toc396915317"/>
      <w:bookmarkStart w:id="4216" w:name="_Toc396915711"/>
      <w:bookmarkStart w:id="4217" w:name="_Toc396921022"/>
      <w:bookmarkStart w:id="4218" w:name="_Toc396924362"/>
      <w:bookmarkStart w:id="4219" w:name="_Toc396925056"/>
      <w:bookmarkStart w:id="4220" w:name="_Toc396992176"/>
      <w:bookmarkStart w:id="4221" w:name="_Toc396992755"/>
      <w:bookmarkStart w:id="4222" w:name="_Toc396994419"/>
      <w:bookmarkStart w:id="4223" w:name="_Toc396998030"/>
      <w:bookmarkStart w:id="4224" w:name="_Toc397002190"/>
      <w:bookmarkStart w:id="4225" w:name="_Toc397008667"/>
      <w:bookmarkStart w:id="4226" w:name="_Toc397008885"/>
      <w:bookmarkStart w:id="4227" w:name="_Toc397011557"/>
      <w:bookmarkStart w:id="4228" w:name="_Toc397012618"/>
      <w:bookmarkStart w:id="4229" w:name="_Toc397014960"/>
      <w:bookmarkStart w:id="4230" w:name="_Toc397015447"/>
      <w:bookmarkStart w:id="4231" w:name="_Toc397070518"/>
      <w:bookmarkStart w:id="4232" w:name="_Toc397413256"/>
      <w:bookmarkStart w:id="4233" w:name="_Toc397413403"/>
      <w:bookmarkStart w:id="4234" w:name="_Toc397427988"/>
      <w:bookmarkStart w:id="4235" w:name="_Toc397439376"/>
      <w:bookmarkStart w:id="4236" w:name="_Toc397439546"/>
      <w:bookmarkStart w:id="4237" w:name="_Toc397439802"/>
      <w:bookmarkStart w:id="4238" w:name="_Toc397440104"/>
      <w:bookmarkStart w:id="4239" w:name="_Toc397441733"/>
      <w:bookmarkStart w:id="4240" w:name="_Toc397517435"/>
      <w:bookmarkStart w:id="4241" w:name="_Toc397522700"/>
      <w:bookmarkStart w:id="4242" w:name="_Toc397526118"/>
      <w:bookmarkStart w:id="4243" w:name="_Toc397528433"/>
      <w:bookmarkStart w:id="4244" w:name="_Toc397528908"/>
      <w:bookmarkStart w:id="4245" w:name="_Toc397601905"/>
      <w:bookmarkStart w:id="4246" w:name="_Toc397602640"/>
      <w:bookmarkStart w:id="4247" w:name="_Toc397605769"/>
      <w:bookmarkStart w:id="4248" w:name="_Toc397614913"/>
      <w:bookmarkStart w:id="4249" w:name="_Toc397616356"/>
      <w:bookmarkStart w:id="4250" w:name="_Toc397616750"/>
      <w:bookmarkStart w:id="4251" w:name="_Toc397679160"/>
      <w:bookmarkStart w:id="4252" w:name="_Toc397688048"/>
      <w:bookmarkStart w:id="4253" w:name="_Toc397689264"/>
      <w:bookmarkStart w:id="4254" w:name="_Toc397694544"/>
      <w:bookmarkStart w:id="4255" w:name="_Toc397696385"/>
      <w:bookmarkStart w:id="4256" w:name="_Toc397697119"/>
      <w:bookmarkStart w:id="4257" w:name="_Toc397698406"/>
      <w:bookmarkStart w:id="4258" w:name="_Toc397699772"/>
      <w:bookmarkStart w:id="4259" w:name="_Toc397700226"/>
      <w:bookmarkStart w:id="4260" w:name="_Toc397936618"/>
      <w:bookmarkStart w:id="4261" w:name="_Toc397936738"/>
      <w:bookmarkStart w:id="4262" w:name="_Toc397945746"/>
      <w:bookmarkStart w:id="4263" w:name="_Toc397945893"/>
      <w:bookmarkStart w:id="4264" w:name="_Toc397946919"/>
      <w:bookmarkStart w:id="4265" w:name="_Toc397948038"/>
      <w:bookmarkStart w:id="4266" w:name="_Toc397958444"/>
      <w:bookmarkStart w:id="4267" w:name="_Toc397958686"/>
      <w:bookmarkStart w:id="4268" w:name="_Toc397959101"/>
      <w:bookmarkStart w:id="4269" w:name="_Toc397962954"/>
      <w:bookmarkStart w:id="4270" w:name="_Toc397963320"/>
      <w:bookmarkStart w:id="4271" w:name="_Toc397965397"/>
      <w:bookmarkStart w:id="4272" w:name="_Toc398197335"/>
      <w:bookmarkStart w:id="4273" w:name="_Toc398201552"/>
      <w:bookmarkStart w:id="4274" w:name="_Toc398207157"/>
      <w:bookmarkStart w:id="4275" w:name="_Toc398210430"/>
      <w:bookmarkStart w:id="4276" w:name="_Toc398210944"/>
      <w:bookmarkStart w:id="4277" w:name="_Toc398211081"/>
      <w:bookmarkStart w:id="4278" w:name="_Toc398219752"/>
      <w:bookmarkStart w:id="4279" w:name="_Toc398220127"/>
      <w:bookmarkStart w:id="4280" w:name="_Toc398220514"/>
      <w:bookmarkStart w:id="4281" w:name="_Toc398221592"/>
      <w:bookmarkStart w:id="4282" w:name="_Toc398222278"/>
      <w:bookmarkStart w:id="4283" w:name="_Toc398222590"/>
      <w:bookmarkStart w:id="4284" w:name="_Toc398223007"/>
      <w:bookmarkStart w:id="4285" w:name="_Toc398223386"/>
      <w:bookmarkStart w:id="4286" w:name="_Toc398223513"/>
      <w:bookmarkStart w:id="4287" w:name="_Toc398224321"/>
      <w:bookmarkStart w:id="4288" w:name="_Toc398225658"/>
      <w:bookmarkStart w:id="4289" w:name="_Toc398225783"/>
      <w:bookmarkStart w:id="4290" w:name="_Toc398281270"/>
      <w:bookmarkStart w:id="4291" w:name="_Toc398282129"/>
      <w:bookmarkStart w:id="4292" w:name="_Toc398284799"/>
      <w:bookmarkStart w:id="4293" w:name="_Toc398287268"/>
      <w:bookmarkStart w:id="4294" w:name="_Toc398289151"/>
      <w:bookmarkStart w:id="4295" w:name="_Toc398297148"/>
      <w:bookmarkStart w:id="4296" w:name="_Toc398298622"/>
      <w:bookmarkStart w:id="4297" w:name="_Toc398300323"/>
      <w:bookmarkStart w:id="4298" w:name="_Toc398301220"/>
      <w:bookmarkStart w:id="4299" w:name="_Toc398302405"/>
      <w:bookmarkStart w:id="4300" w:name="_Toc398302568"/>
      <w:bookmarkStart w:id="4301" w:name="_Toc398549080"/>
      <w:bookmarkStart w:id="4302" w:name="_Toc398549330"/>
      <w:bookmarkStart w:id="4303" w:name="_Toc398555749"/>
      <w:bookmarkStart w:id="4304" w:name="_Toc398558953"/>
      <w:bookmarkStart w:id="4305" w:name="_Toc398563439"/>
      <w:bookmarkStart w:id="4306" w:name="_Toc398563572"/>
      <w:bookmarkStart w:id="4307" w:name="_Toc398563971"/>
      <w:bookmarkStart w:id="4308" w:name="_Toc398827309"/>
      <w:bookmarkStart w:id="4309" w:name="_Toc398827503"/>
      <w:bookmarkStart w:id="4310" w:name="s24"/>
      <w:r w:rsidRPr="008625DC">
        <w:rPr>
          <w:lang w:val="en-AU"/>
        </w:rPr>
        <w:lastRenderedPageBreak/>
        <w:t>Transport</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bookmarkEnd w:id="4310"/>
    <w:p w14:paraId="5006CF44" w14:textId="77777777" w:rsidR="001E4B43" w:rsidRPr="008625DC" w:rsidRDefault="001E4B43" w:rsidP="001E4B43">
      <w:pPr>
        <w:pStyle w:val="Heading3"/>
      </w:pPr>
      <w:r w:rsidRPr="008625DC">
        <w:t>Road transport</w:t>
      </w:r>
    </w:p>
    <w:p w14:paraId="304A4FAD" w14:textId="76BB7F08" w:rsidR="001E4B43" w:rsidRPr="008625DC" w:rsidRDefault="001E4B43" w:rsidP="001E4B43">
      <w:r w:rsidRPr="008625DC">
        <w:t>Road transport is a key input for business</w:t>
      </w:r>
      <w:r w:rsidR="00752E23" w:rsidRPr="008625DC">
        <w:noBreakHyphen/>
      </w:r>
      <w:r w:rsidRPr="008625DC">
        <w:t>to</w:t>
      </w:r>
      <w:r w:rsidR="00752E23" w:rsidRPr="008625DC">
        <w:noBreakHyphen/>
      </w:r>
      <w:r w:rsidRPr="008625DC">
        <w:t>business transactions and, with the rapid growth of online purchases, an increasingly important component of end</w:t>
      </w:r>
      <w:r w:rsidR="00C74E19" w:rsidRPr="008625DC">
        <w:noBreakHyphen/>
      </w:r>
      <w:r w:rsidRPr="008625DC">
        <w:t>point sales to consumers. An efficient road system is also essential for urban and regional access and amenity.</w:t>
      </w:r>
    </w:p>
    <w:p w14:paraId="2DDF6FDF" w14:textId="77777777" w:rsidR="001E4B43" w:rsidRPr="008625DC" w:rsidRDefault="001E4B43" w:rsidP="001E4B43">
      <w:r w:rsidRPr="008625DC">
        <w:t xml:space="preserve">Even small changes in productivity in this sector can cascade through the economy, boosting productivity and output in other sectors. Also, given the size of the road transport sector, enhanced productivity in road transport can deliver large gains to the economy. </w:t>
      </w:r>
    </w:p>
    <w:p w14:paraId="6FD3978C" w14:textId="77777777" w:rsidR="001E4B43" w:rsidRPr="008625DC" w:rsidRDefault="001E4B43" w:rsidP="001E4B43">
      <w:r w:rsidRPr="008625DC">
        <w:t>However, roads are the least reformed of all infrastructure sectors, with institutional arrangements around funding and provision remaining much the same as they were 20 years ago.</w:t>
      </w:r>
    </w:p>
    <w:p w14:paraId="2369D863" w14:textId="77777777" w:rsidR="001E4B43" w:rsidRPr="008625DC" w:rsidRDefault="001E4B43" w:rsidP="001E4B43">
      <w:r w:rsidRPr="008625DC">
        <w:t>More effective institutional arrangements are needed to promote efficient investment and usage of roads, and to put road transport on a similar footing to other infrastructure sectors. Lack of proper road pricing leads to inefficient road investment and distorts choices between transport modes, particularly between road and rail freight.</w:t>
      </w:r>
    </w:p>
    <w:p w14:paraId="2E9F117A" w14:textId="77777777" w:rsidR="001E4B43" w:rsidRPr="008625DC" w:rsidRDefault="001E4B43" w:rsidP="001E4B43">
      <w:r w:rsidRPr="008625DC">
        <w:t>The advent of new technology presents opportunities to improve the efficiency of road transport in ways that were unattainable two decades ago. Linking road user charges to road construction, maintenance and safety should make road investment decisions more responsive to the needs and preferences of road users. As in other sectors, where pricing is introduced it should be overseen by an independent regulator.</w:t>
      </w:r>
    </w:p>
    <w:p w14:paraId="276E420C" w14:textId="1AE81234" w:rsidR="001E4B43" w:rsidRPr="008625DC" w:rsidRDefault="001E4B43" w:rsidP="001E4B43">
      <w:r w:rsidRPr="008625DC">
        <w:t>There is currently indirect charging for road use through fuel excise and vehicle registration charges. These could be replaced with direct, cost</w:t>
      </w:r>
      <w:r w:rsidR="00C74E19" w:rsidRPr="008625DC">
        <w:noBreakHyphen/>
      </w:r>
      <w:r w:rsidRPr="008625DC">
        <w:t>reflective prices in a revenue</w:t>
      </w:r>
      <w:r w:rsidR="00C74E19" w:rsidRPr="008625DC">
        <w:noBreakHyphen/>
      </w:r>
      <w:r w:rsidRPr="008625DC">
        <w:t>neutral way.</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7CE93498" w14:textId="77777777" w:rsidTr="001E4B43">
        <w:tc>
          <w:tcPr>
            <w:tcW w:w="5000" w:type="pct"/>
            <w:shd w:val="clear" w:color="auto" w:fill="E9F7F3" w:themeFill="accent4" w:themeFillTint="33"/>
          </w:tcPr>
          <w:p w14:paraId="4BE8A033" w14:textId="77777777" w:rsidR="001E4B43" w:rsidRPr="008625DC" w:rsidRDefault="001E4B43" w:rsidP="001E4B43">
            <w:pPr>
              <w:pStyle w:val="RecommendationHeading"/>
            </w:pPr>
            <w:bookmarkStart w:id="4311" w:name="_Toc396138833"/>
            <w:bookmarkStart w:id="4312" w:name="_Toc396144094"/>
            <w:bookmarkStart w:id="4313" w:name="_Toc396145747"/>
            <w:bookmarkStart w:id="4314" w:name="_Toc396147569"/>
            <w:bookmarkStart w:id="4315" w:name="_Toc396148824"/>
            <w:bookmarkStart w:id="4316" w:name="_Toc396149251"/>
            <w:bookmarkStart w:id="4317" w:name="_Toc396149709"/>
            <w:bookmarkStart w:id="4318" w:name="_Toc396151439"/>
            <w:bookmarkStart w:id="4319" w:name="_Toc396202450"/>
            <w:bookmarkStart w:id="4320" w:name="_Toc396233266"/>
            <w:bookmarkStart w:id="4321" w:name="_Toc396234086"/>
            <w:bookmarkStart w:id="4322" w:name="_Toc396209486"/>
            <w:bookmarkStart w:id="4323" w:name="_Toc396211910"/>
            <w:bookmarkStart w:id="4324" w:name="_Toc396213254"/>
            <w:bookmarkStart w:id="4325" w:name="_Toc396214532"/>
            <w:bookmarkStart w:id="4326" w:name="_Toc396226644"/>
            <w:bookmarkStart w:id="4327" w:name="_Toc396228844"/>
            <w:bookmarkStart w:id="4328" w:name="_Toc396231629"/>
            <w:bookmarkStart w:id="4329" w:name="_Toc396234496"/>
            <w:bookmarkStart w:id="4330" w:name="_Toc396586223"/>
            <w:bookmarkStart w:id="4331" w:name="DR3"/>
            <w:bookmarkStart w:id="4332" w:name="_Toc396206658"/>
            <w:r w:rsidRPr="008625DC">
              <w:t xml:space="preserve">Draft Recommendation </w:t>
            </w:r>
            <w:r w:rsidRPr="008625DC">
              <w:fldChar w:fldCharType="begin"/>
            </w:r>
            <w:r w:rsidRPr="008625DC">
              <w:instrText xml:space="preserve"> AUTONUMLGL  \* Arabic \e </w:instrText>
            </w:r>
            <w:r w:rsidRPr="008625DC">
              <w:fldChar w:fldCharType="end"/>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r w:rsidRPr="008625DC">
              <w:t xml:space="preserve"> — Road transport</w:t>
            </w:r>
          </w:p>
          <w:p w14:paraId="36569633" w14:textId="63DFC05B" w:rsidR="001E4B43" w:rsidRPr="008625DC" w:rsidRDefault="001E4B43" w:rsidP="001E4B43">
            <w:pPr>
              <w:pStyle w:val="RecommendationText"/>
            </w:pPr>
            <w:bookmarkStart w:id="4333" w:name="_Toc396586224"/>
            <w:bookmarkStart w:id="4334" w:name="_Toc396233267"/>
            <w:bookmarkStart w:id="4335" w:name="_Toc396234087"/>
            <w:bookmarkStart w:id="4336" w:name="_Toc396234497"/>
            <w:bookmarkStart w:id="4337" w:name="_Toc396231630"/>
            <w:bookmarkStart w:id="4338" w:name="_Toc395868596"/>
            <w:bookmarkStart w:id="4339" w:name="_Toc395878977"/>
            <w:bookmarkStart w:id="4340" w:name="_Toc395882101"/>
            <w:bookmarkStart w:id="4341" w:name="_Toc395882432"/>
            <w:bookmarkStart w:id="4342" w:name="_Toc395880596"/>
            <w:bookmarkStart w:id="4343" w:name="_Toc395880927"/>
            <w:bookmarkStart w:id="4344" w:name="_Toc395881485"/>
            <w:bookmarkStart w:id="4345" w:name="_Toc395883870"/>
            <w:bookmarkStart w:id="4346" w:name="_Toc395880825"/>
            <w:bookmarkStart w:id="4347" w:name="_Toc395884532"/>
            <w:bookmarkStart w:id="4348" w:name="_Toc395883241"/>
            <w:bookmarkStart w:id="4349" w:name="_Toc395883571"/>
            <w:bookmarkStart w:id="4350" w:name="_Toc395884873"/>
            <w:bookmarkStart w:id="4351" w:name="_Toc396138834"/>
            <w:bookmarkStart w:id="4352" w:name="_Toc396144095"/>
            <w:bookmarkStart w:id="4353" w:name="_Toc396145748"/>
            <w:bookmarkStart w:id="4354" w:name="_Toc396147570"/>
            <w:bookmarkStart w:id="4355" w:name="_Toc396148825"/>
            <w:bookmarkStart w:id="4356" w:name="_Toc396149252"/>
            <w:bookmarkStart w:id="4357" w:name="_Toc396149710"/>
            <w:bookmarkStart w:id="4358" w:name="_Toc396151440"/>
            <w:bookmarkStart w:id="4359" w:name="_Toc396202451"/>
            <w:bookmarkStart w:id="4360" w:name="_Toc396206659"/>
            <w:bookmarkStart w:id="4361" w:name="_Toc396209487"/>
            <w:bookmarkStart w:id="4362" w:name="_Toc396211911"/>
            <w:bookmarkStart w:id="4363" w:name="_Toc396213255"/>
            <w:bookmarkStart w:id="4364" w:name="_Toc396214533"/>
            <w:bookmarkStart w:id="4365" w:name="_Toc396226645"/>
            <w:bookmarkStart w:id="4366" w:name="_Toc396228845"/>
            <w:bookmarkEnd w:id="4332"/>
            <w:r w:rsidRPr="008625DC">
              <w:t>Governments should introduce cost</w:t>
            </w:r>
            <w:r w:rsidR="00C74E19" w:rsidRPr="008625DC">
              <w:noBreakHyphen/>
            </w:r>
            <w:r w:rsidRPr="008625DC">
              <w:t>reflective road pricing with the aid of new technologies, with pricing subject to independent oversight and linked to road construction, maintenance and safety.</w:t>
            </w:r>
            <w:bookmarkEnd w:id="4333"/>
            <w:bookmarkEnd w:id="4334"/>
            <w:bookmarkEnd w:id="4335"/>
            <w:bookmarkEnd w:id="4336"/>
          </w:p>
          <w:p w14:paraId="32CCFBEB" w14:textId="40E2CFDA" w:rsidR="001E4B43" w:rsidRPr="008625DC" w:rsidRDefault="001E4B43" w:rsidP="001E4B43">
            <w:pPr>
              <w:pStyle w:val="RecommendationText"/>
              <w:rPr>
                <w:highlight w:val="yellow"/>
              </w:rPr>
            </w:pPr>
            <w:bookmarkStart w:id="4367" w:name="_Toc396586225"/>
            <w:bookmarkStart w:id="4368" w:name="_Toc396233268"/>
            <w:bookmarkStart w:id="4369" w:name="_Toc396234088"/>
            <w:bookmarkStart w:id="4370" w:name="_Toc396234498"/>
            <w:r w:rsidRPr="008625DC">
              <w:t xml:space="preserve">To avoid imposing higher overall charges on road users, </w:t>
            </w:r>
            <w:bookmarkEnd w:id="4337"/>
            <w:r w:rsidRPr="008625DC">
              <w:t>there should be a cross</w:t>
            </w:r>
            <w:r w:rsidR="00C74E19" w:rsidRPr="008625DC">
              <w:noBreakHyphen/>
            </w:r>
            <w:r w:rsidRPr="008625DC">
              <w:t xml:space="preserve">jurisdictional approach to road pricing. Indirect charges and taxes on road users should be reduced as direct pricing is introduced. Revenue implications for different levels of government should be managed by adjusting Commonwealth grants to the </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r w:rsidRPr="008625DC">
              <w:t>States and Territories.</w:t>
            </w:r>
          </w:p>
        </w:tc>
      </w:tr>
    </w:tbl>
    <w:p w14:paraId="19939D56" w14:textId="77777777" w:rsidR="001E4B43" w:rsidRPr="008625DC" w:rsidRDefault="001E4B43" w:rsidP="001E4B43">
      <w:pPr>
        <w:pStyle w:val="Heading3"/>
      </w:pPr>
      <w:r w:rsidRPr="008625DC">
        <w:t>Marine transport — liner shipping (Part X) and coastal shipping</w:t>
      </w:r>
    </w:p>
    <w:p w14:paraId="4F07B84B" w14:textId="6C6410CD" w:rsidR="001E4B43" w:rsidRPr="008625DC" w:rsidRDefault="001E4B43" w:rsidP="001E4B43">
      <w:r w:rsidRPr="008625DC">
        <w:t>The Review</w:t>
      </w:r>
      <w:r w:rsidR="00C74E19" w:rsidRPr="008625DC">
        <w:t>’</w:t>
      </w:r>
      <w:r w:rsidRPr="008625DC">
        <w:t>s Terms of Reference (3.3.5) require it to consider whether existing exemptions from competition law and/or historic sector</w:t>
      </w:r>
      <w:r w:rsidR="00C74E19" w:rsidRPr="008625DC">
        <w:noBreakHyphen/>
      </w:r>
      <w:r w:rsidRPr="008625DC">
        <w:t xml:space="preserve">specific arrangements are still warranted. </w:t>
      </w:r>
    </w:p>
    <w:p w14:paraId="7635FD18" w14:textId="77777777" w:rsidR="001E4B43" w:rsidRPr="008625DC" w:rsidRDefault="001E4B43" w:rsidP="001E4B43">
      <w:r w:rsidRPr="008625DC">
        <w:t>Reform of liner shipping is also unfinished business from the original NCP reforms.</w:t>
      </w:r>
    </w:p>
    <w:p w14:paraId="103B787C" w14:textId="5E608D22" w:rsidR="001E4B43" w:rsidRPr="008625DC" w:rsidRDefault="001E4B43" w:rsidP="001E4B43">
      <w:r w:rsidRPr="008625DC">
        <w:t>Liner shipping is a key mechanism through which goods cross Australia</w:t>
      </w:r>
      <w:r w:rsidR="00C74E19" w:rsidRPr="008625DC">
        <w:t>’</w:t>
      </w:r>
      <w:r w:rsidRPr="008625DC">
        <w:t xml:space="preserve">s borders, both for export and import. These include not only finished goods but also intermediate inputs for Australian businesses. Many items moved by sea cannot be transported by air because of their weight or volume. </w:t>
      </w:r>
    </w:p>
    <w:p w14:paraId="5489DCC6" w14:textId="30781C72" w:rsidR="001E4B43" w:rsidRPr="008625DC" w:rsidRDefault="001E4B43" w:rsidP="001E4B43">
      <w:r w:rsidRPr="008625DC">
        <w:t>The importance of international trade to Australia</w:t>
      </w:r>
      <w:r w:rsidR="00C74E19" w:rsidRPr="008625DC">
        <w:t>’</w:t>
      </w:r>
      <w:r w:rsidRPr="008625DC">
        <w:t>s economy and the prospects for stronger growth in trade as Asia develops focus attention on the need for efficient and competitive marine transportation.</w:t>
      </w:r>
    </w:p>
    <w:p w14:paraId="47E78CD1" w14:textId="59371DA7" w:rsidR="001E4B43" w:rsidRPr="008625DC" w:rsidRDefault="001E4B43" w:rsidP="001E4B43">
      <w:r w:rsidRPr="008625DC">
        <w:lastRenderedPageBreak/>
        <w:t>The Panel considers exemptions provided by Part X of the CCA to be too broad and predicated on anti</w:t>
      </w:r>
      <w:r w:rsidR="00C74E19" w:rsidRPr="008625DC">
        <w:noBreakHyphen/>
      </w:r>
      <w:r w:rsidRPr="008625DC">
        <w:t xml:space="preserve">competitive agreements in liner shipping being the norm. One possibility would be to subject all liner shipping agreements to individual authorisation by the </w:t>
      </w:r>
      <w:r w:rsidR="005A5F3E" w:rsidRPr="008625DC">
        <w:t>Australian Competition and Consumer Commission (</w:t>
      </w:r>
      <w:r w:rsidRPr="008625DC">
        <w:t>ACCC</w:t>
      </w:r>
      <w:r w:rsidR="005A5F3E" w:rsidRPr="008625DC">
        <w:t>)</w:t>
      </w:r>
      <w:r w:rsidRPr="008625DC">
        <w:t xml:space="preserve"> but this might lead to unnecessary compliance costs for some operators.</w:t>
      </w:r>
    </w:p>
    <w:p w14:paraId="1912158E" w14:textId="61473BAA" w:rsidR="001E4B43" w:rsidRPr="008625DC" w:rsidRDefault="001E4B43" w:rsidP="001E4B43">
      <w:r w:rsidRPr="008625DC">
        <w:t xml:space="preserve">The Panel believes instead that a </w:t>
      </w:r>
      <w:r w:rsidR="00C74E19" w:rsidRPr="008625DC">
        <w:t>‘</w:t>
      </w:r>
      <w:r w:rsidRPr="008625DC">
        <w:t>safe harbour</w:t>
      </w:r>
      <w:r w:rsidR="00C74E19" w:rsidRPr="008625DC">
        <w:t>’</w:t>
      </w:r>
      <w:r w:rsidRPr="008625DC">
        <w:t xml:space="preserve"> should be created via a block exemption granted by the ACCC for conference agreements that meet a minimum standard of pro</w:t>
      </w:r>
      <w:r w:rsidR="00C74E19" w:rsidRPr="008625DC">
        <w:noBreakHyphen/>
      </w:r>
      <w:r w:rsidRPr="008625DC">
        <w:t>competitive features. Block exemptions are discussed further in Draft Recommendation 35.</w:t>
      </w:r>
    </w:p>
    <w:p w14:paraId="65D1A414" w14:textId="77777777" w:rsidR="001E4B43" w:rsidRPr="008625DC" w:rsidRDefault="001E4B43" w:rsidP="001E4B43">
      <w:r w:rsidRPr="008625DC">
        <w:t>Repeal of Part X will mean that existing liner shipping agreements will no longer be exempt from the competition laws. A transition period will therefore be needed to establish which agreements qualify for the block exemption and for other agreements to either seek authorisation or be modified to comply with the CCA. The Panel considers a transition period of two years should be sufficient.</w:t>
      </w:r>
    </w:p>
    <w:p w14:paraId="369075A6" w14:textId="77777777" w:rsidR="001E4B43" w:rsidRPr="008625DC" w:rsidRDefault="001E4B43" w:rsidP="001E4B43">
      <w:r w:rsidRPr="008625DC">
        <w:t>The Panel notes that the Australian Government is undertaking a separate review of coastal shipping regulations but observes that cabotage restrictions raise the cost and administrative complexity of coastal shipping services. The Panel therefore considers that cabotage restrictions should be removed unless they can be shown to be in the public interest and there is no other means by which public interest objectives can be achieved.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32EF76DB" w14:textId="77777777" w:rsidTr="001E4B43">
        <w:tc>
          <w:tcPr>
            <w:tcW w:w="5000" w:type="pct"/>
            <w:shd w:val="clear" w:color="auto" w:fill="E9F7F3" w:themeFill="accent4" w:themeFillTint="33"/>
          </w:tcPr>
          <w:p w14:paraId="5EFE27BC" w14:textId="77777777" w:rsidR="001E4B43" w:rsidRPr="008625DC" w:rsidRDefault="001E4B43" w:rsidP="001E4B43">
            <w:pPr>
              <w:pStyle w:val="RecommendationHeading"/>
            </w:pPr>
            <w:bookmarkStart w:id="4371" w:name="_Toc396138835"/>
            <w:bookmarkStart w:id="4372" w:name="_Toc396144096"/>
            <w:bookmarkStart w:id="4373" w:name="_Toc396145749"/>
            <w:bookmarkStart w:id="4374" w:name="_Toc396147571"/>
            <w:bookmarkStart w:id="4375" w:name="_Toc396148826"/>
            <w:bookmarkStart w:id="4376" w:name="_Toc396149253"/>
            <w:bookmarkStart w:id="4377" w:name="_Toc396149711"/>
            <w:bookmarkStart w:id="4378" w:name="_Toc396151441"/>
            <w:bookmarkStart w:id="4379" w:name="_Toc396202452"/>
            <w:bookmarkStart w:id="4380" w:name="_Toc396206660"/>
            <w:bookmarkStart w:id="4381" w:name="_Toc396209488"/>
            <w:bookmarkStart w:id="4382" w:name="_Toc396211912"/>
            <w:bookmarkStart w:id="4383" w:name="_Toc396213256"/>
            <w:bookmarkStart w:id="4384" w:name="_Toc396214534"/>
            <w:bookmarkStart w:id="4385" w:name="_Toc396226646"/>
            <w:bookmarkStart w:id="4386" w:name="_Toc396228846"/>
            <w:bookmarkStart w:id="4387" w:name="_Toc396231631"/>
            <w:bookmarkStart w:id="4388" w:name="_Toc396233271"/>
            <w:bookmarkStart w:id="4389" w:name="_Toc396234091"/>
            <w:bookmarkStart w:id="4390" w:name="_Toc396234501"/>
            <w:bookmarkStart w:id="4391" w:name="_Toc396586226"/>
            <w:bookmarkStart w:id="4392" w:name="DR4"/>
            <w:r w:rsidRPr="008625DC">
              <w:t xml:space="preserve">Draft Recommendation </w:t>
            </w:r>
            <w:r w:rsidRPr="008625DC">
              <w:fldChar w:fldCharType="begin"/>
            </w:r>
            <w:r w:rsidRPr="008625DC">
              <w:instrText xml:space="preserve"> AUTONUMLGL  \* Arabic \e </w:instrText>
            </w:r>
            <w:r w:rsidRPr="008625DC">
              <w:fldChar w:fldCharType="end"/>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r w:rsidRPr="008625DC">
              <w:t xml:space="preserve"> — Liner shipping</w:t>
            </w:r>
          </w:p>
          <w:p w14:paraId="57474D9C" w14:textId="77777777" w:rsidR="001E4B43" w:rsidRPr="008625DC" w:rsidRDefault="001E4B43" w:rsidP="001E4B43">
            <w:pPr>
              <w:pStyle w:val="RecommendationText"/>
            </w:pPr>
            <w:bookmarkStart w:id="4393" w:name="_Toc396586227"/>
            <w:bookmarkStart w:id="4394" w:name="_Toc395868597"/>
            <w:bookmarkStart w:id="4395" w:name="_Toc395878978"/>
            <w:bookmarkStart w:id="4396" w:name="_Toc395882102"/>
            <w:bookmarkStart w:id="4397" w:name="_Toc395882433"/>
            <w:bookmarkStart w:id="4398" w:name="_Toc395880597"/>
            <w:bookmarkStart w:id="4399" w:name="_Toc395880928"/>
            <w:bookmarkStart w:id="4400" w:name="_Toc395881486"/>
            <w:bookmarkStart w:id="4401" w:name="_Toc395883871"/>
            <w:bookmarkStart w:id="4402" w:name="_Toc395880826"/>
            <w:bookmarkStart w:id="4403" w:name="_Toc395884533"/>
            <w:bookmarkStart w:id="4404" w:name="_Toc395883242"/>
            <w:bookmarkStart w:id="4405" w:name="_Toc395883572"/>
            <w:bookmarkStart w:id="4406" w:name="_Toc395884874"/>
            <w:bookmarkStart w:id="4407" w:name="_Toc396138836"/>
            <w:bookmarkStart w:id="4408" w:name="_Toc396144097"/>
            <w:bookmarkStart w:id="4409" w:name="_Toc396145750"/>
            <w:bookmarkStart w:id="4410" w:name="_Toc396147572"/>
            <w:bookmarkStart w:id="4411" w:name="_Toc396148827"/>
            <w:bookmarkStart w:id="4412" w:name="_Toc396149254"/>
            <w:bookmarkStart w:id="4413" w:name="_Toc396149712"/>
            <w:bookmarkStart w:id="4414" w:name="_Toc396151442"/>
            <w:bookmarkStart w:id="4415" w:name="_Toc396202453"/>
            <w:bookmarkStart w:id="4416" w:name="_Toc396206661"/>
            <w:bookmarkStart w:id="4417" w:name="_Toc396209489"/>
            <w:bookmarkStart w:id="4418" w:name="_Toc396211913"/>
            <w:bookmarkStart w:id="4419" w:name="_Toc396213257"/>
            <w:bookmarkStart w:id="4420" w:name="_Toc396214535"/>
            <w:bookmarkStart w:id="4421" w:name="_Toc396226647"/>
            <w:bookmarkStart w:id="4422" w:name="_Toc396228847"/>
            <w:bookmarkStart w:id="4423" w:name="_Toc396231632"/>
            <w:bookmarkStart w:id="4424" w:name="_Toc396233272"/>
            <w:bookmarkStart w:id="4425" w:name="_Toc396234092"/>
            <w:bookmarkStart w:id="4426" w:name="_Toc396234502"/>
            <w:r w:rsidRPr="008625DC">
              <w:t>The Australian Government should repeal Part X of the CCA.</w:t>
            </w:r>
          </w:p>
          <w:p w14:paraId="65792C3E" w14:textId="39193F28" w:rsidR="001E4B43" w:rsidRPr="008625DC" w:rsidRDefault="001E4B43" w:rsidP="001E4B43">
            <w:pPr>
              <w:pStyle w:val="RecommendationText"/>
            </w:pPr>
            <w:r w:rsidRPr="008625DC">
              <w:t>A block exemption granted by the ACCC should be available for liner shipping agreements that meet a minimum standard of pro</w:t>
            </w:r>
            <w:r w:rsidR="00C74E19" w:rsidRPr="008625DC">
              <w:noBreakHyphen/>
            </w:r>
            <w:r w:rsidRPr="008625DC">
              <w:t>competitive features</w:t>
            </w:r>
            <w:bookmarkEnd w:id="4393"/>
            <w:r w:rsidRPr="008625DC">
              <w:t xml:space="preserve"> (see Draft Recommendation 35). The minimum standard of pro</w:t>
            </w:r>
            <w:r w:rsidR="00C74E19" w:rsidRPr="008625DC">
              <w:noBreakHyphen/>
            </w:r>
            <w:r w:rsidRPr="008625DC">
              <w:t>competitive features to qualify for the block exemption should be determined by the ACCC in consultation with shippers and the liner shipping industry.</w:t>
            </w:r>
          </w:p>
          <w:p w14:paraId="74A326CE" w14:textId="77777777" w:rsidR="001E4B43" w:rsidRPr="008625DC" w:rsidRDefault="001E4B43" w:rsidP="001E4B43">
            <w:pPr>
              <w:pStyle w:val="RecommendationText"/>
            </w:pPr>
            <w:bookmarkStart w:id="4427" w:name="_Toc396586228"/>
            <w:r w:rsidRPr="008625DC">
              <w:t>Other agreements should be subject to individual authorisation by the ACCC.</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p>
          <w:p w14:paraId="32149656" w14:textId="77777777" w:rsidR="001E4B43" w:rsidRPr="008625DC" w:rsidRDefault="001E4B43" w:rsidP="001E4B43">
            <w:pPr>
              <w:pStyle w:val="RecommendationText"/>
            </w:pPr>
            <w:bookmarkStart w:id="4428" w:name="_Toc396586229"/>
            <w:bookmarkStart w:id="4429" w:name="_Toc395868598"/>
            <w:bookmarkStart w:id="4430" w:name="_Toc395878979"/>
            <w:bookmarkStart w:id="4431" w:name="_Toc395882103"/>
            <w:bookmarkStart w:id="4432" w:name="_Toc395882434"/>
            <w:bookmarkStart w:id="4433" w:name="_Toc395880598"/>
            <w:bookmarkStart w:id="4434" w:name="_Toc395880929"/>
            <w:bookmarkStart w:id="4435" w:name="_Toc395881487"/>
            <w:bookmarkStart w:id="4436" w:name="_Toc395883872"/>
            <w:bookmarkStart w:id="4437" w:name="_Toc395880827"/>
            <w:bookmarkStart w:id="4438" w:name="_Toc395884534"/>
            <w:bookmarkStart w:id="4439" w:name="_Toc395883243"/>
            <w:bookmarkStart w:id="4440" w:name="_Toc395883573"/>
            <w:bookmarkStart w:id="4441" w:name="_Toc395884875"/>
            <w:bookmarkStart w:id="4442" w:name="_Toc396138837"/>
            <w:bookmarkStart w:id="4443" w:name="_Toc396144098"/>
            <w:bookmarkStart w:id="4444" w:name="_Toc396145751"/>
            <w:bookmarkStart w:id="4445" w:name="_Toc396147573"/>
            <w:bookmarkStart w:id="4446" w:name="_Toc396148828"/>
            <w:bookmarkStart w:id="4447" w:name="_Toc396149255"/>
            <w:bookmarkStart w:id="4448" w:name="_Toc396149713"/>
            <w:bookmarkStart w:id="4449" w:name="_Toc396151443"/>
            <w:bookmarkStart w:id="4450" w:name="_Toc396202454"/>
            <w:bookmarkStart w:id="4451" w:name="_Toc396206662"/>
            <w:bookmarkStart w:id="4452" w:name="_Toc396209490"/>
            <w:bookmarkStart w:id="4453" w:name="_Toc396211914"/>
            <w:bookmarkStart w:id="4454" w:name="_Toc396213258"/>
            <w:bookmarkStart w:id="4455" w:name="_Toc396214536"/>
            <w:bookmarkStart w:id="4456" w:name="_Toc396226648"/>
            <w:bookmarkStart w:id="4457" w:name="_Toc396228848"/>
            <w:bookmarkStart w:id="4458" w:name="_Toc396231633"/>
            <w:bookmarkStart w:id="4459" w:name="_Toc396233273"/>
            <w:bookmarkStart w:id="4460" w:name="_Toc396234093"/>
            <w:bookmarkStart w:id="4461" w:name="_Toc396234503"/>
            <w:r w:rsidRPr="008625DC">
              <w:t>Repeal of Part X will mean that existing agreements are no longer exempt from the competition provisions of the CCA. Transitional arrangements are therefore warranted.</w:t>
            </w:r>
            <w:bookmarkEnd w:id="4428"/>
          </w:p>
          <w:p w14:paraId="5AD8317D" w14:textId="77777777" w:rsidR="001E4B43" w:rsidRPr="008625DC" w:rsidRDefault="001E4B43" w:rsidP="001E4B43">
            <w:pPr>
              <w:pStyle w:val="RecommendationText"/>
            </w:pPr>
            <w:bookmarkStart w:id="4462" w:name="_Toc396586230"/>
            <w:r w:rsidRPr="008625DC">
              <w:t>A transitional period of two years should allow for authorisations to be sought and to identify agreements that qualify for the proposed block exemption.</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tc>
      </w:tr>
    </w:tbl>
    <w:p w14:paraId="27AF7F5C" w14:textId="77777777" w:rsidR="001E4B43" w:rsidRPr="008625DC" w:rsidRDefault="001E4B43" w:rsidP="005C6A7D">
      <w:pPr>
        <w:spacing w:after="120"/>
      </w:pPr>
      <w:bookmarkStart w:id="4463" w:name="_Toc396397366"/>
      <w:bookmarkStart w:id="4464" w:name="_Toc395867676"/>
      <w:bookmarkStart w:id="4465" w:name="_Toc395868599"/>
      <w:bookmarkStart w:id="4466" w:name="_Toc395868808"/>
      <w:bookmarkStart w:id="4467" w:name="_Toc395878980"/>
      <w:bookmarkStart w:id="4468" w:name="_Toc395879187"/>
      <w:bookmarkStart w:id="4469" w:name="_Toc395882104"/>
      <w:bookmarkStart w:id="4470" w:name="_Toc395882311"/>
      <w:bookmarkStart w:id="4471" w:name="_Toc395882435"/>
      <w:bookmarkStart w:id="4472" w:name="_Toc395882642"/>
      <w:bookmarkStart w:id="4473" w:name="_Toc395880599"/>
      <w:bookmarkStart w:id="4474" w:name="_Toc395880930"/>
      <w:bookmarkStart w:id="4475" w:name="_Toc395881488"/>
      <w:bookmarkStart w:id="4476" w:name="_Toc395883873"/>
      <w:bookmarkStart w:id="4477" w:name="_Toc395884080"/>
      <w:bookmarkStart w:id="4478" w:name="_Toc395880828"/>
      <w:bookmarkStart w:id="4479" w:name="_Toc395884535"/>
      <w:bookmarkStart w:id="4480" w:name="_Toc395884742"/>
      <w:bookmarkStart w:id="4481" w:name="_Toc395883244"/>
      <w:bookmarkStart w:id="4482" w:name="_Toc395883451"/>
      <w:bookmarkStart w:id="4483" w:name="_Toc395883574"/>
      <w:bookmarkStart w:id="4484" w:name="_Toc395883781"/>
      <w:bookmarkStart w:id="4485" w:name="_Toc395884876"/>
      <w:bookmarkStart w:id="4486" w:name="_Toc396123891"/>
      <w:bookmarkStart w:id="4487" w:name="_Toc396130793"/>
      <w:bookmarkStart w:id="4488" w:name="_Toc396136371"/>
      <w:bookmarkStart w:id="4489" w:name="_Toc396138838"/>
      <w:bookmarkStart w:id="4490" w:name="_Toc396144099"/>
      <w:bookmarkStart w:id="4491" w:name="_Toc396145595"/>
      <w:bookmarkStart w:id="4492" w:name="_Toc396145752"/>
      <w:bookmarkStart w:id="4493" w:name="_Toc396147574"/>
      <w:bookmarkStart w:id="4494" w:name="_Toc396147847"/>
      <w:bookmarkStart w:id="4495" w:name="_Toc396149103"/>
      <w:bookmarkStart w:id="4496" w:name="_Toc396148829"/>
      <w:bookmarkStart w:id="4497" w:name="_Toc396149597"/>
      <w:bookmarkStart w:id="4498" w:name="_Toc396149256"/>
      <w:bookmarkStart w:id="4499" w:name="_Toc396150026"/>
      <w:bookmarkStart w:id="4500" w:name="_Toc396149951"/>
      <w:bookmarkStart w:id="4501" w:name="_Toc396149714"/>
      <w:bookmarkStart w:id="4502" w:name="_Toc396150542"/>
      <w:bookmarkStart w:id="4503" w:name="_Toc396151444"/>
      <w:bookmarkStart w:id="4504" w:name="_Toc396151725"/>
      <w:bookmarkStart w:id="4505" w:name="_Toc396202455"/>
      <w:bookmarkStart w:id="4506" w:name="_Toc396202737"/>
      <w:bookmarkStart w:id="4507" w:name="_Toc396206663"/>
      <w:bookmarkStart w:id="4508" w:name="_Toc396206944"/>
      <w:bookmarkStart w:id="4509" w:name="_Toc396209491"/>
      <w:bookmarkStart w:id="4510" w:name="_Toc396209772"/>
      <w:bookmarkStart w:id="4511" w:name="_Toc396211915"/>
      <w:bookmarkStart w:id="4512" w:name="_Toc396212196"/>
      <w:bookmarkStart w:id="4513" w:name="_Toc396213259"/>
      <w:bookmarkStart w:id="4514" w:name="_Toc396213538"/>
      <w:bookmarkStart w:id="4515" w:name="_Toc396214537"/>
      <w:bookmarkStart w:id="4516" w:name="_Toc396214814"/>
      <w:bookmarkStart w:id="4517" w:name="_Toc396226649"/>
      <w:bookmarkStart w:id="4518" w:name="_Toc396226925"/>
      <w:bookmarkStart w:id="4519" w:name="_Toc396228849"/>
      <w:bookmarkStart w:id="4520" w:name="_Toc396229131"/>
      <w:bookmarkStart w:id="4521" w:name="_Toc396230773"/>
      <w:bookmarkStart w:id="4522" w:name="_Toc396231634"/>
      <w:bookmarkStart w:id="4523" w:name="_Toc396231915"/>
      <w:bookmarkStart w:id="4524" w:name="_Toc396233274"/>
      <w:bookmarkStart w:id="4525" w:name="_Toc396233555"/>
      <w:bookmarkStart w:id="4526" w:name="_Toc396234094"/>
      <w:bookmarkStart w:id="4527" w:name="_Toc396234375"/>
      <w:bookmarkStart w:id="4528" w:name="_Toc396234504"/>
      <w:bookmarkStart w:id="4529" w:name="_Toc396236222"/>
      <w:bookmarkStart w:id="4530" w:name="_Toc396236000"/>
      <w:bookmarkStart w:id="4531" w:name="_Toc396304654"/>
      <w:bookmarkStart w:id="4532" w:name="_Toc396586231"/>
      <w:bookmarkStart w:id="4533" w:name="_Toc396815103"/>
      <w:bookmarkStart w:id="4534" w:name="_Toc396821052"/>
      <w:bookmarkStart w:id="4535" w:name="_Toc396821248"/>
      <w:bookmarkStart w:id="4536" w:name="_Toc396821660"/>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0D129F6D" w14:textId="77777777" w:rsidTr="001E4B43">
        <w:tc>
          <w:tcPr>
            <w:tcW w:w="5000" w:type="pct"/>
            <w:shd w:val="clear" w:color="auto" w:fill="E9F7F3" w:themeFill="accent4" w:themeFillTint="33"/>
          </w:tcPr>
          <w:p w14:paraId="12B5B10F" w14:textId="77777777" w:rsidR="001E4B43" w:rsidRPr="008625DC" w:rsidRDefault="001E4B43" w:rsidP="001E4B43">
            <w:pPr>
              <w:pStyle w:val="RecommendationHeading"/>
            </w:pPr>
            <w:bookmarkStart w:id="4537" w:name="DR5"/>
            <w:r w:rsidRPr="008625DC">
              <w:t xml:space="preserve">Draft Recommendation </w:t>
            </w:r>
            <w:r w:rsidRPr="008625DC">
              <w:fldChar w:fldCharType="begin"/>
            </w:r>
            <w:r w:rsidRPr="008625DC">
              <w:instrText xml:space="preserve"> AUTONUMLGL  \* Arabic \e </w:instrText>
            </w:r>
            <w:r w:rsidRPr="008625DC">
              <w:fldChar w:fldCharType="end"/>
            </w:r>
            <w:bookmarkEnd w:id="4537"/>
            <w:r w:rsidRPr="008625DC">
              <w:t xml:space="preserve"> — Coastal shipping</w:t>
            </w:r>
          </w:p>
          <w:p w14:paraId="5F564E9C" w14:textId="77777777" w:rsidR="001E4B43" w:rsidRPr="008625DC" w:rsidRDefault="001E4B43" w:rsidP="001E4B43">
            <w:pPr>
              <w:pStyle w:val="RecommendationText"/>
            </w:pPr>
            <w:r w:rsidRPr="008625DC">
              <w:t>Noting the current Australian Government Review of Coastal Trading, the Panel considers that cabotage restrictions should be removed, unless they can be shown to be in the public interest and there is no other means by which public interest objectives can be achieved.</w:t>
            </w:r>
          </w:p>
        </w:tc>
      </w:tr>
    </w:tbl>
    <w:p w14:paraId="1E7AC987" w14:textId="77777777" w:rsidR="001E4B43" w:rsidRPr="008625DC" w:rsidRDefault="001E4B43" w:rsidP="001E4B43">
      <w:pPr>
        <w:pStyle w:val="Heading3"/>
      </w:pPr>
      <w:bookmarkStart w:id="4538" w:name="_Toc396827510"/>
      <w:bookmarkStart w:id="4539" w:name="_Toc396828481"/>
      <w:bookmarkStart w:id="4540" w:name="_Toc396828591"/>
      <w:bookmarkStart w:id="4541" w:name="_Toc396837980"/>
      <w:bookmarkStart w:id="4542" w:name="_Toc396838378"/>
      <w:bookmarkStart w:id="4543" w:name="_Toc396904111"/>
      <w:bookmarkStart w:id="4544" w:name="_Toc396904701"/>
      <w:bookmarkStart w:id="4545" w:name="_Toc396907535"/>
      <w:r w:rsidRPr="008625DC">
        <w:t>Taxis</w:t>
      </w:r>
    </w:p>
    <w:p w14:paraId="67920AF8" w14:textId="77777777" w:rsidR="001E4B43" w:rsidRPr="008625DC" w:rsidRDefault="001E4B43" w:rsidP="001E4B43">
      <w:r w:rsidRPr="008625DC">
        <w:t>Reform of taxi regulation in most jurisdictions is long overdue. Regulation limiting the number of taxi licences and preventing other services from competing with taxis has raised costs for consumers, including elderly and disadvantaged consumers, and hindered the emergence of innovative transport services.</w:t>
      </w:r>
    </w:p>
    <w:p w14:paraId="68BBBE82" w14:textId="1B951E24" w:rsidR="001E4B43" w:rsidRPr="008625DC" w:rsidRDefault="001E4B43" w:rsidP="001E4B43">
      <w:r w:rsidRPr="008625DC">
        <w:t>Regulation of taxi and hire car services should be focused on ensuring minimum standards for the benefit of consumers rather than restricting competition or supporting a particular business model. This can be delivered through an independent regulator.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3CBDE0DA" w14:textId="77777777" w:rsidTr="001E4B43">
        <w:tc>
          <w:tcPr>
            <w:tcW w:w="5000" w:type="pct"/>
            <w:shd w:val="clear" w:color="auto" w:fill="E9F7F3" w:themeFill="accent4" w:themeFillTint="33"/>
          </w:tcPr>
          <w:p w14:paraId="05886915" w14:textId="77777777" w:rsidR="001E4B43" w:rsidRPr="008625DC" w:rsidRDefault="001E4B43" w:rsidP="001E4B43">
            <w:pPr>
              <w:pStyle w:val="RecommendationHeading"/>
            </w:pPr>
            <w:bookmarkStart w:id="4546" w:name="DR6"/>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4546"/>
            <w:r w:rsidRPr="008625DC">
              <w:t xml:space="preserve"> — Taxis</w:t>
            </w:r>
          </w:p>
          <w:p w14:paraId="5D33F4AA" w14:textId="77777777" w:rsidR="001E4B43" w:rsidRPr="008625DC" w:rsidRDefault="001E4B43" w:rsidP="001E4B43">
            <w:pPr>
              <w:pStyle w:val="RecommendationText"/>
            </w:pPr>
            <w:r w:rsidRPr="008625DC">
              <w:t>States and Territories should remove regulations that restrict competition in the taxi industry, including from services that compete with taxis, except where it would not be in the public interest.</w:t>
            </w:r>
          </w:p>
          <w:p w14:paraId="2D3DF3C7" w14:textId="7D33A7DC" w:rsidR="001E4B43" w:rsidRPr="008625DC" w:rsidRDefault="001E4B43" w:rsidP="005A249A">
            <w:pPr>
              <w:pStyle w:val="RecommendationText"/>
            </w:pPr>
            <w:r w:rsidRPr="008625DC">
              <w:t>If restrictions on numbers of taxi licences are to be retained, the number to be issued should be determined by independent regulators focused on the interests of consumers.</w:t>
            </w:r>
          </w:p>
        </w:tc>
      </w:tr>
    </w:tbl>
    <w:p w14:paraId="5B67D094" w14:textId="5F41B88C" w:rsidR="001E4B43" w:rsidRPr="008625DC" w:rsidRDefault="001E4B43" w:rsidP="001E4B43">
      <w:r w:rsidRPr="008625DC">
        <w:t xml:space="preserve">For further detail on transport, see </w:t>
      </w:r>
      <w:hyperlink w:anchor="s92" w:history="1">
        <w:r w:rsidRPr="008625DC">
          <w:rPr>
            <w:rStyle w:val="Hyperlink"/>
          </w:rPr>
          <w:t>Section 9.2</w:t>
        </w:r>
      </w:hyperlink>
      <w:r w:rsidRPr="008625DC">
        <w:t>.</w:t>
      </w:r>
    </w:p>
    <w:p w14:paraId="38B99F40" w14:textId="4994D3EF" w:rsidR="001E4B43" w:rsidRPr="008625DC" w:rsidRDefault="001E4B43" w:rsidP="001E4B43">
      <w:pPr>
        <w:pStyle w:val="Heading2"/>
        <w:ind w:left="851" w:hanging="851"/>
        <w:rPr>
          <w:lang w:val="en-AU"/>
        </w:rPr>
      </w:pPr>
      <w:bookmarkStart w:id="4547" w:name="_Toc396912454"/>
      <w:bookmarkStart w:id="4548" w:name="_Toc396914434"/>
      <w:bookmarkStart w:id="4549" w:name="_Toc396915318"/>
      <w:bookmarkStart w:id="4550" w:name="_Toc396915712"/>
      <w:bookmarkStart w:id="4551" w:name="_Toc396921023"/>
      <w:bookmarkStart w:id="4552" w:name="_Toc396924363"/>
      <w:bookmarkStart w:id="4553" w:name="_Toc396925057"/>
      <w:bookmarkStart w:id="4554" w:name="_Toc396992177"/>
      <w:bookmarkStart w:id="4555" w:name="_Toc396992756"/>
      <w:bookmarkStart w:id="4556" w:name="_Toc396994420"/>
      <w:bookmarkStart w:id="4557" w:name="_Toc396998031"/>
      <w:bookmarkStart w:id="4558" w:name="_Toc397002191"/>
      <w:bookmarkStart w:id="4559" w:name="_Toc397008668"/>
      <w:bookmarkStart w:id="4560" w:name="_Toc397008886"/>
      <w:bookmarkStart w:id="4561" w:name="_Toc397011558"/>
      <w:bookmarkStart w:id="4562" w:name="_Toc397012619"/>
      <w:bookmarkStart w:id="4563" w:name="_Toc397014961"/>
      <w:bookmarkStart w:id="4564" w:name="_Toc397015448"/>
      <w:bookmarkStart w:id="4565" w:name="_Toc397070519"/>
      <w:bookmarkStart w:id="4566" w:name="_Toc397413257"/>
      <w:bookmarkStart w:id="4567" w:name="_Toc397413404"/>
      <w:bookmarkStart w:id="4568" w:name="_Toc397427989"/>
      <w:bookmarkStart w:id="4569" w:name="_Toc397439377"/>
      <w:bookmarkStart w:id="4570" w:name="_Toc397439547"/>
      <w:bookmarkStart w:id="4571" w:name="_Toc397439803"/>
      <w:bookmarkStart w:id="4572" w:name="_Toc397440105"/>
      <w:bookmarkStart w:id="4573" w:name="_Toc397441734"/>
      <w:bookmarkStart w:id="4574" w:name="_Toc397517436"/>
      <w:bookmarkStart w:id="4575" w:name="_Toc397522701"/>
      <w:bookmarkStart w:id="4576" w:name="_Toc397526119"/>
      <w:bookmarkStart w:id="4577" w:name="_Toc397528434"/>
      <w:bookmarkStart w:id="4578" w:name="_Toc397528909"/>
      <w:bookmarkStart w:id="4579" w:name="_Toc397601906"/>
      <w:bookmarkStart w:id="4580" w:name="_Toc397602641"/>
      <w:bookmarkStart w:id="4581" w:name="_Toc397605770"/>
      <w:bookmarkStart w:id="4582" w:name="_Toc397614914"/>
      <w:bookmarkStart w:id="4583" w:name="_Toc397616357"/>
      <w:bookmarkStart w:id="4584" w:name="_Toc397616751"/>
      <w:bookmarkStart w:id="4585" w:name="_Toc397679161"/>
      <w:bookmarkStart w:id="4586" w:name="_Toc397688049"/>
      <w:bookmarkStart w:id="4587" w:name="_Toc397689265"/>
      <w:bookmarkStart w:id="4588" w:name="_Toc397694545"/>
      <w:bookmarkStart w:id="4589" w:name="_Toc397696386"/>
      <w:bookmarkStart w:id="4590" w:name="_Toc397697120"/>
      <w:bookmarkStart w:id="4591" w:name="_Toc397698407"/>
      <w:bookmarkStart w:id="4592" w:name="_Toc397699773"/>
      <w:bookmarkStart w:id="4593" w:name="_Toc397700227"/>
      <w:bookmarkStart w:id="4594" w:name="_Toc397936619"/>
      <w:bookmarkStart w:id="4595" w:name="_Toc397936739"/>
      <w:bookmarkStart w:id="4596" w:name="_Toc397945747"/>
      <w:bookmarkStart w:id="4597" w:name="_Toc397945894"/>
      <w:bookmarkStart w:id="4598" w:name="_Toc397946920"/>
      <w:bookmarkStart w:id="4599" w:name="_Toc397948039"/>
      <w:bookmarkStart w:id="4600" w:name="_Toc397958445"/>
      <w:bookmarkStart w:id="4601" w:name="_Toc397958687"/>
      <w:bookmarkStart w:id="4602" w:name="_Toc397959102"/>
      <w:bookmarkStart w:id="4603" w:name="_Toc397962955"/>
      <w:bookmarkStart w:id="4604" w:name="_Toc397963321"/>
      <w:bookmarkStart w:id="4605" w:name="_Toc397965398"/>
      <w:bookmarkStart w:id="4606" w:name="_Toc398197336"/>
      <w:bookmarkStart w:id="4607" w:name="_Toc398201553"/>
      <w:bookmarkStart w:id="4608" w:name="_Toc398207158"/>
      <w:bookmarkStart w:id="4609" w:name="_Toc398210431"/>
      <w:bookmarkStart w:id="4610" w:name="_Toc398210945"/>
      <w:bookmarkStart w:id="4611" w:name="_Toc398211082"/>
      <w:bookmarkStart w:id="4612" w:name="_Toc398219753"/>
      <w:bookmarkStart w:id="4613" w:name="_Toc398220128"/>
      <w:bookmarkStart w:id="4614" w:name="_Toc398220515"/>
      <w:bookmarkStart w:id="4615" w:name="_Toc398221593"/>
      <w:bookmarkStart w:id="4616" w:name="_Toc398222279"/>
      <w:bookmarkStart w:id="4617" w:name="_Toc398222591"/>
      <w:bookmarkStart w:id="4618" w:name="_Toc398223008"/>
      <w:bookmarkStart w:id="4619" w:name="_Toc398223387"/>
      <w:bookmarkStart w:id="4620" w:name="_Toc398223514"/>
      <w:bookmarkStart w:id="4621" w:name="_Toc398224322"/>
      <w:bookmarkStart w:id="4622" w:name="_Toc398225659"/>
      <w:bookmarkStart w:id="4623" w:name="_Toc398225784"/>
      <w:bookmarkStart w:id="4624" w:name="_Toc398281271"/>
      <w:bookmarkStart w:id="4625" w:name="_Toc398282130"/>
      <w:bookmarkStart w:id="4626" w:name="_Toc398284800"/>
      <w:bookmarkStart w:id="4627" w:name="_Toc398287269"/>
      <w:bookmarkStart w:id="4628" w:name="_Toc398289152"/>
      <w:bookmarkStart w:id="4629" w:name="_Toc398297149"/>
      <w:bookmarkStart w:id="4630" w:name="_Toc398298623"/>
      <w:bookmarkStart w:id="4631" w:name="_Toc398300324"/>
      <w:bookmarkStart w:id="4632" w:name="_Toc398301221"/>
      <w:bookmarkStart w:id="4633" w:name="_Toc398302406"/>
      <w:bookmarkStart w:id="4634" w:name="_Toc398302569"/>
      <w:bookmarkStart w:id="4635" w:name="_Toc398549081"/>
      <w:bookmarkStart w:id="4636" w:name="_Toc398549331"/>
      <w:bookmarkStart w:id="4637" w:name="_Toc398555750"/>
      <w:bookmarkStart w:id="4638" w:name="_Toc398558954"/>
      <w:bookmarkStart w:id="4639" w:name="_Toc398563440"/>
      <w:bookmarkStart w:id="4640" w:name="_Toc398563573"/>
      <w:bookmarkStart w:id="4641" w:name="_Toc398563972"/>
      <w:bookmarkStart w:id="4642" w:name="_Toc398827310"/>
      <w:bookmarkStart w:id="4643" w:name="_Toc398827504"/>
      <w:bookmarkStart w:id="4644" w:name="s25"/>
      <w:r w:rsidRPr="008625DC">
        <w:rPr>
          <w:lang w:val="en-AU"/>
        </w:rPr>
        <w:t>Intellectual property</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8"/>
      <w:bookmarkEnd w:id="4539"/>
      <w:bookmarkEnd w:id="4540"/>
      <w:bookmarkEnd w:id="4541"/>
      <w:bookmarkEnd w:id="4542"/>
      <w:bookmarkEnd w:id="4543"/>
      <w:bookmarkEnd w:id="4544"/>
      <w:bookmarkEnd w:id="4545"/>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bookmarkEnd w:id="4644"/>
    <w:p w14:paraId="441F19CA" w14:textId="77777777" w:rsidR="001E4B43" w:rsidRPr="008625DC" w:rsidRDefault="001E4B43" w:rsidP="001E4B43">
      <w:pPr>
        <w:rPr>
          <w:color w:val="auto"/>
        </w:rPr>
      </w:pPr>
      <w:r w:rsidRPr="008625DC">
        <w:t>Disruptive technologies, especially digital technologies, are a pervasive force for change in the Australian economy. New technologies foster innovation which in turn drives growth in living standards. Access to and creation of intellectual property (IP) will become increasingly important as Australia moves further into the digital age.</w:t>
      </w:r>
    </w:p>
    <w:p w14:paraId="782D356B" w14:textId="332E6D1E" w:rsidR="001E4B43" w:rsidRPr="008625DC" w:rsidRDefault="001E4B43" w:rsidP="001E4B43">
      <w:r w:rsidRPr="008625DC">
        <w:t>Australians are enthusiastic adopters and adapters of new technology. We stand to benefit greatly by exploiting technology to its full extent in our business production processes and as end</w:t>
      </w:r>
      <w:r w:rsidR="00C74E19" w:rsidRPr="008625DC">
        <w:noBreakHyphen/>
      </w:r>
      <w:r w:rsidRPr="008625DC">
        <w:t>consumers. Our IP policy settings should encourage us to do so.</w:t>
      </w:r>
    </w:p>
    <w:p w14:paraId="79673E4E" w14:textId="4CDD0C8C" w:rsidR="001E4B43" w:rsidRPr="008625DC" w:rsidRDefault="001E4B43" w:rsidP="001E4B43">
      <w:r w:rsidRPr="008625DC">
        <w:t>Nevertheless, there is an appropriate balance to be struck between fostering ideas and innovation on the one hand, and encouraging widespread adoption of new productivity</w:t>
      </w:r>
      <w:r w:rsidR="00752E23" w:rsidRPr="008625DC">
        <w:noBreakHyphen/>
      </w:r>
      <w:r w:rsidRPr="008625DC">
        <w:t>enhancing techniques, processes and systems on the other. Excessive IP protection can not only reduce the adoption of new technologies but also stifle innovation.</w:t>
      </w:r>
    </w:p>
    <w:p w14:paraId="08CE40E2" w14:textId="290B8925" w:rsidR="001E4B43" w:rsidRPr="008625DC" w:rsidRDefault="001E4B43" w:rsidP="001E4B43">
      <w:r w:rsidRPr="008625DC">
        <w:t>Given the influence that Australia</w:t>
      </w:r>
      <w:r w:rsidR="00C74E19" w:rsidRPr="008625DC">
        <w:t>’</w:t>
      </w:r>
      <w:r w:rsidRPr="008625DC">
        <w:t>s IP rights can have on facilitating (or inhibiting) innovation, competition and trade, the Panel believes it is crucial that the IP system be designed to operate in the best interests of Australians.</w:t>
      </w:r>
    </w:p>
    <w:p w14:paraId="6B9BCC08" w14:textId="21201C05" w:rsidR="001E4B43" w:rsidRPr="008625DC" w:rsidRDefault="001E4B43" w:rsidP="001E4B43">
      <w:r w:rsidRPr="008625DC">
        <w:t>The Panel therefore considers that Australia</w:t>
      </w:r>
      <w:r w:rsidR="00C74E19" w:rsidRPr="008625DC">
        <w:t>’</w:t>
      </w:r>
      <w:r w:rsidRPr="008625DC">
        <w:t>s IP rights regime is a priority area for review.</w:t>
      </w:r>
    </w:p>
    <w:p w14:paraId="52EF3602" w14:textId="0BB7B1D9" w:rsidR="001E4B43" w:rsidRPr="008625DC" w:rsidRDefault="001E4B43" w:rsidP="001E4B43">
      <w:r w:rsidRPr="008625DC">
        <w:t>Determining the appropriate extent of IP protection is complex. IP rights can help to break down barriers to entry but can also, when applied inappropriately, reduce exposure to competition and erect long</w:t>
      </w:r>
      <w:r w:rsidR="00C74E19" w:rsidRPr="008625DC">
        <w:noBreakHyphen/>
      </w:r>
      <w:r w:rsidRPr="008625DC">
        <w:t>lasting barriers to entry that fail to serve Australia</w:t>
      </w:r>
      <w:r w:rsidR="00C74E19" w:rsidRPr="008625DC">
        <w:t>’</w:t>
      </w:r>
      <w:r w:rsidRPr="008625DC">
        <w:t>s interests over the longer term. This risk is especially prevalent in commitments entered into as part of international trade agreements.</w:t>
      </w:r>
    </w:p>
    <w:p w14:paraId="3DF7C22B" w14:textId="77777777" w:rsidR="001E4B43" w:rsidRPr="008625DC" w:rsidRDefault="001E4B43" w:rsidP="001E4B43">
      <w:r w:rsidRPr="008625DC">
        <w:t xml:space="preserve">The Panel is concerned that there is no overarching IP policy framework or objectives guiding changes to IP protection or approaches to IP rights in the context of negotiations for international trade agreements.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51780576" w14:textId="77777777" w:rsidTr="001E4B43">
        <w:tc>
          <w:tcPr>
            <w:tcW w:w="5000" w:type="pct"/>
            <w:shd w:val="clear" w:color="auto" w:fill="E9F7F3" w:themeFill="accent4" w:themeFillTint="33"/>
          </w:tcPr>
          <w:p w14:paraId="64E0C47C" w14:textId="77777777" w:rsidR="001E4B43" w:rsidRPr="008625DC" w:rsidRDefault="001E4B43" w:rsidP="001E4B43">
            <w:pPr>
              <w:pStyle w:val="RecommendationHeading"/>
            </w:pPr>
            <w:bookmarkStart w:id="4645" w:name="_Toc396138839"/>
            <w:bookmarkStart w:id="4646" w:name="_Toc396144100"/>
            <w:bookmarkStart w:id="4647" w:name="_Toc396145753"/>
            <w:bookmarkStart w:id="4648" w:name="_Toc396147575"/>
            <w:bookmarkStart w:id="4649" w:name="_Toc396148830"/>
            <w:bookmarkStart w:id="4650" w:name="_Toc396149257"/>
            <w:bookmarkStart w:id="4651" w:name="_Toc396149715"/>
            <w:bookmarkStart w:id="4652" w:name="_Toc396151445"/>
            <w:bookmarkStart w:id="4653" w:name="_Toc396202456"/>
            <w:bookmarkStart w:id="4654" w:name="_Toc396206664"/>
            <w:bookmarkStart w:id="4655" w:name="_Toc396209492"/>
            <w:bookmarkStart w:id="4656" w:name="_Toc396211916"/>
            <w:bookmarkStart w:id="4657" w:name="_Toc396213260"/>
            <w:bookmarkStart w:id="4658" w:name="_Toc396214538"/>
            <w:bookmarkStart w:id="4659" w:name="_Toc396226650"/>
            <w:bookmarkStart w:id="4660" w:name="_Toc396228850"/>
            <w:bookmarkStart w:id="4661" w:name="_Toc396231635"/>
            <w:bookmarkStart w:id="4662" w:name="_Toc396233275"/>
            <w:bookmarkStart w:id="4663" w:name="_Toc396234095"/>
            <w:bookmarkStart w:id="4664" w:name="_Toc396234505"/>
            <w:bookmarkStart w:id="4665" w:name="_Toc396586232"/>
            <w:bookmarkStart w:id="4666" w:name="DR7"/>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rsidRPr="008625DC">
              <w:t xml:space="preserve"> — Intellectual property review</w:t>
            </w:r>
          </w:p>
          <w:p w14:paraId="1DDEB339" w14:textId="77777777" w:rsidR="001E4B43" w:rsidRPr="008625DC" w:rsidRDefault="001E4B43" w:rsidP="001E4B43">
            <w:pPr>
              <w:pStyle w:val="RecommendationText"/>
            </w:pPr>
            <w:bookmarkStart w:id="4667" w:name="_Toc396586233"/>
            <w:bookmarkStart w:id="4668" w:name="_Toc396234506"/>
            <w:bookmarkStart w:id="4669" w:name="_Toc395868600"/>
            <w:bookmarkStart w:id="4670" w:name="_Toc395878981"/>
            <w:bookmarkStart w:id="4671" w:name="_Toc395882105"/>
            <w:bookmarkStart w:id="4672" w:name="_Toc395882436"/>
            <w:bookmarkStart w:id="4673" w:name="_Toc395880600"/>
            <w:bookmarkStart w:id="4674" w:name="_Toc395880931"/>
            <w:bookmarkStart w:id="4675" w:name="_Toc395881489"/>
            <w:bookmarkStart w:id="4676" w:name="_Toc395883874"/>
            <w:bookmarkStart w:id="4677" w:name="_Toc395880829"/>
            <w:bookmarkStart w:id="4678" w:name="_Toc395884536"/>
            <w:bookmarkStart w:id="4679" w:name="_Toc395883245"/>
            <w:bookmarkStart w:id="4680" w:name="_Toc395883575"/>
            <w:bookmarkStart w:id="4681" w:name="_Toc395884877"/>
            <w:bookmarkStart w:id="4682" w:name="_Toc396138840"/>
            <w:bookmarkStart w:id="4683" w:name="_Toc396144101"/>
            <w:bookmarkStart w:id="4684" w:name="_Toc396145754"/>
            <w:bookmarkStart w:id="4685" w:name="_Toc396147576"/>
            <w:bookmarkStart w:id="4686" w:name="_Toc396148831"/>
            <w:bookmarkStart w:id="4687" w:name="_Toc396149258"/>
            <w:bookmarkStart w:id="4688" w:name="_Toc396149716"/>
            <w:bookmarkStart w:id="4689" w:name="_Toc396151446"/>
            <w:bookmarkStart w:id="4690" w:name="_Toc396202457"/>
            <w:bookmarkStart w:id="4691" w:name="_Toc396206665"/>
            <w:bookmarkStart w:id="4692" w:name="_Toc396209493"/>
            <w:bookmarkStart w:id="4693" w:name="_Toc396211917"/>
            <w:bookmarkStart w:id="4694" w:name="_Toc396213261"/>
            <w:bookmarkStart w:id="4695" w:name="_Toc396214539"/>
            <w:bookmarkStart w:id="4696" w:name="_Toc396226651"/>
            <w:bookmarkStart w:id="4697" w:name="_Toc396228851"/>
            <w:bookmarkStart w:id="4698" w:name="_Toc396231636"/>
            <w:bookmarkStart w:id="4699" w:name="_Toc396233276"/>
            <w:bookmarkStart w:id="4700" w:name="_Toc396234096"/>
            <w:r w:rsidRPr="008625DC">
              <w:t>The Panel recommends that an overarching review of intellectual property be undertaken by an independent body, such as the Productivity Commission.</w:t>
            </w:r>
            <w:bookmarkEnd w:id="4667"/>
          </w:p>
          <w:p w14:paraId="038E53F3" w14:textId="77777777" w:rsidR="001E4B43" w:rsidRPr="008625DC" w:rsidRDefault="001E4B43" w:rsidP="001E4B43">
            <w:pPr>
              <w:pStyle w:val="RecommendationText"/>
            </w:pPr>
            <w:bookmarkStart w:id="4701" w:name="_Toc396586234"/>
            <w:r w:rsidRPr="008625DC">
              <w:t>The review should focus on competition policy issues in intellectual property arising from new developments in technology and markets.</w:t>
            </w:r>
            <w:bookmarkEnd w:id="4701"/>
          </w:p>
          <w:p w14:paraId="06373446" w14:textId="77777777" w:rsidR="001E4B43" w:rsidRPr="008625DC" w:rsidRDefault="001E4B43" w:rsidP="001E4B43">
            <w:pPr>
              <w:pStyle w:val="RecommendationText"/>
            </w:pPr>
            <w:bookmarkStart w:id="4702" w:name="_Toc396586235"/>
            <w:r w:rsidRPr="008625DC">
              <w:t>The review should also assess the principles and processes followed by the Australian Government when establishing negotiating mandates to incorporate intellectual property provisions in international trade agreements.</w:t>
            </w:r>
            <w:bookmarkEnd w:id="4668"/>
            <w:bookmarkEnd w:id="4702"/>
            <w:r w:rsidRPr="008625DC">
              <w:t xml:space="preserve"> </w:t>
            </w:r>
          </w:p>
          <w:p w14:paraId="0EDD0E3D" w14:textId="77777777" w:rsidR="001E4B43" w:rsidRPr="008625DC" w:rsidRDefault="001E4B43" w:rsidP="001E4B43">
            <w:pPr>
              <w:pStyle w:val="RecommendationText"/>
            </w:pPr>
            <w:bookmarkStart w:id="4703" w:name="_Toc396234507"/>
            <w:bookmarkStart w:id="4704" w:name="_Toc396586236"/>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r w:rsidRPr="008625DC">
              <w:t>Trade negotiations should be informed by an independent and transparent analysis of the costs and benefits to Australia of any proposed IP provisions. Such an analysis should be undertaken and published before negotiations are concluded.</w:t>
            </w:r>
            <w:bookmarkEnd w:id="4703"/>
            <w:bookmarkEnd w:id="4704"/>
            <w:r w:rsidRPr="008625DC">
              <w:t xml:space="preserve"> </w:t>
            </w:r>
          </w:p>
        </w:tc>
      </w:tr>
    </w:tbl>
    <w:p w14:paraId="04766EC4" w14:textId="77777777" w:rsidR="001E4B43" w:rsidRPr="008625DC" w:rsidRDefault="001E4B43" w:rsidP="00752E23">
      <w:pPr>
        <w:spacing w:before="240"/>
      </w:pPr>
      <w:r w:rsidRPr="008625DC">
        <w:t>IP rights, like all property rights, can potentially be used in a manner that harms competition. It is therefore appropriate that commercial transactions involving IP rights, including the transfer and licensing of such rights, be subject to the CCA.</w:t>
      </w:r>
    </w:p>
    <w:p w14:paraId="4E840216" w14:textId="77777777" w:rsidR="001E4B43" w:rsidRPr="008625DC" w:rsidRDefault="001E4B43" w:rsidP="001E4B43">
      <w:r w:rsidRPr="008625DC">
        <w:t>Accordingly, the Panel considers that the IP licensing exception in subsection 51(3) of the CCA should be repealed.</w:t>
      </w:r>
    </w:p>
    <w:p w14:paraId="3950D844" w14:textId="77777777" w:rsidR="001E4B43" w:rsidRPr="008625DC" w:rsidRDefault="001E4B43" w:rsidP="001E4B43">
      <w:r w:rsidRPr="008625DC">
        <w:t>As is the case with other vertical supply arrangements, however, IP licences should remain exempt from the cartel provisions of the CCA (see Draft Recommendation 22).</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4F135E48" w14:textId="77777777" w:rsidTr="001E4B43">
        <w:tc>
          <w:tcPr>
            <w:tcW w:w="5000" w:type="pct"/>
            <w:shd w:val="clear" w:color="auto" w:fill="E9F7F3" w:themeFill="accent4" w:themeFillTint="33"/>
          </w:tcPr>
          <w:p w14:paraId="6D856D1C" w14:textId="77777777" w:rsidR="001E4B43" w:rsidRPr="008625DC" w:rsidRDefault="001E4B43" w:rsidP="001E4B43">
            <w:pPr>
              <w:pStyle w:val="RecommendationHeading"/>
            </w:pPr>
            <w:bookmarkStart w:id="4705" w:name="_Toc396138841"/>
            <w:bookmarkStart w:id="4706" w:name="_Toc396144102"/>
            <w:bookmarkStart w:id="4707" w:name="_Toc396145755"/>
            <w:bookmarkStart w:id="4708" w:name="_Toc396147577"/>
            <w:bookmarkStart w:id="4709" w:name="_Toc396148832"/>
            <w:bookmarkStart w:id="4710" w:name="_Toc396149259"/>
            <w:bookmarkStart w:id="4711" w:name="_Toc396149717"/>
            <w:bookmarkStart w:id="4712" w:name="_Toc396151447"/>
            <w:bookmarkStart w:id="4713" w:name="_Toc396202458"/>
            <w:bookmarkStart w:id="4714" w:name="_Toc396206666"/>
            <w:bookmarkStart w:id="4715" w:name="_Toc396209494"/>
            <w:bookmarkStart w:id="4716" w:name="_Toc396211918"/>
            <w:bookmarkStart w:id="4717" w:name="_Toc396213262"/>
            <w:bookmarkStart w:id="4718" w:name="_Toc396214540"/>
            <w:bookmarkStart w:id="4719" w:name="_Toc396226652"/>
            <w:bookmarkStart w:id="4720" w:name="_Toc396228852"/>
            <w:bookmarkStart w:id="4721" w:name="_Toc396231637"/>
            <w:bookmarkStart w:id="4722" w:name="_Toc396233277"/>
            <w:bookmarkStart w:id="4723" w:name="_Toc396234097"/>
            <w:bookmarkStart w:id="4724" w:name="_Toc396234508"/>
            <w:bookmarkStart w:id="4725" w:name="_Toc396586237"/>
            <w:bookmarkStart w:id="4726" w:name="DR8"/>
            <w:r w:rsidRPr="008625DC">
              <w:t xml:space="preserve">Draft Recommendation </w:t>
            </w:r>
            <w:r w:rsidRPr="008625DC">
              <w:fldChar w:fldCharType="begin"/>
            </w:r>
            <w:r w:rsidRPr="008625DC">
              <w:instrText xml:space="preserve"> AUTONUMLGL  \* Arabic \e </w:instrText>
            </w:r>
            <w:r w:rsidRPr="008625DC">
              <w:fldChar w:fldCharType="end"/>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rsidRPr="008625DC">
              <w:t xml:space="preserve"> — Intellectual property exception</w:t>
            </w:r>
          </w:p>
          <w:p w14:paraId="32B7C528" w14:textId="77777777" w:rsidR="001E4B43" w:rsidRPr="008625DC" w:rsidRDefault="001E4B43" w:rsidP="001E4B43">
            <w:pPr>
              <w:pStyle w:val="RecommendationText"/>
            </w:pPr>
            <w:bookmarkStart w:id="4727" w:name="_Toc396226653"/>
            <w:bookmarkStart w:id="4728" w:name="_Toc396228853"/>
            <w:bookmarkStart w:id="4729" w:name="_Toc396231638"/>
            <w:bookmarkStart w:id="4730" w:name="_Toc396233278"/>
            <w:bookmarkStart w:id="4731" w:name="_Toc396234098"/>
            <w:bookmarkStart w:id="4732" w:name="_Toc396586238"/>
            <w:bookmarkStart w:id="4733" w:name="_Toc395868601"/>
            <w:bookmarkStart w:id="4734" w:name="_Toc395878982"/>
            <w:bookmarkStart w:id="4735" w:name="_Toc395882106"/>
            <w:bookmarkStart w:id="4736" w:name="_Toc395882437"/>
            <w:bookmarkStart w:id="4737" w:name="_Toc395880601"/>
            <w:bookmarkStart w:id="4738" w:name="_Toc395880932"/>
            <w:bookmarkStart w:id="4739" w:name="_Toc395881490"/>
            <w:bookmarkStart w:id="4740" w:name="_Toc395883875"/>
            <w:bookmarkStart w:id="4741" w:name="_Toc395880830"/>
            <w:bookmarkStart w:id="4742" w:name="_Toc395884537"/>
            <w:bookmarkStart w:id="4743" w:name="_Toc395883246"/>
            <w:bookmarkStart w:id="4744" w:name="_Toc395883576"/>
            <w:bookmarkStart w:id="4745" w:name="_Toc395884878"/>
            <w:bookmarkStart w:id="4746" w:name="_Toc396138842"/>
            <w:bookmarkStart w:id="4747" w:name="_Toc396144103"/>
            <w:bookmarkStart w:id="4748" w:name="_Toc396145756"/>
            <w:bookmarkStart w:id="4749" w:name="_Toc396147578"/>
            <w:bookmarkStart w:id="4750" w:name="_Toc396148833"/>
            <w:bookmarkStart w:id="4751" w:name="_Toc396149260"/>
            <w:bookmarkStart w:id="4752" w:name="_Toc396149718"/>
            <w:bookmarkStart w:id="4753" w:name="_Toc396151448"/>
            <w:bookmarkStart w:id="4754" w:name="_Toc396202459"/>
            <w:bookmarkStart w:id="4755" w:name="_Toc396206667"/>
            <w:bookmarkStart w:id="4756" w:name="_Toc396209495"/>
            <w:bookmarkStart w:id="4757" w:name="_Toc396211919"/>
            <w:bookmarkStart w:id="4758" w:name="_Toc396213263"/>
            <w:bookmarkStart w:id="4759" w:name="_Toc396214541"/>
            <w:bookmarkStart w:id="4760" w:name="_Toc396234509"/>
            <w:bookmarkStart w:id="4761" w:name="_Toc396235728"/>
            <w:r w:rsidRPr="008625DC">
              <w:t>The Panel recommends that subsection 51(3) of the CCA</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r w:rsidRPr="008625DC">
              <w:t xml:space="preserve"> be repealed.</w:t>
            </w:r>
          </w:p>
        </w:tc>
      </w:tr>
    </w:tbl>
    <w:p w14:paraId="3514C653" w14:textId="3B46FED6" w:rsidR="001E4B43" w:rsidRPr="008625DC" w:rsidRDefault="001E4B43" w:rsidP="001E4B43">
      <w:pPr>
        <w:spacing w:before="240"/>
      </w:pPr>
      <w:bookmarkStart w:id="4762" w:name="_Toc396821053"/>
      <w:bookmarkStart w:id="4763" w:name="_Toc396821249"/>
      <w:bookmarkStart w:id="4764" w:name="_Toc396821661"/>
      <w:bookmarkStart w:id="4765" w:name="_Toc396827511"/>
      <w:bookmarkStart w:id="4766" w:name="_Toc396828482"/>
      <w:bookmarkStart w:id="4767" w:name="_Toc396828592"/>
      <w:bookmarkStart w:id="4768" w:name="_Toc396837981"/>
      <w:bookmarkStart w:id="4769" w:name="_Toc396838379"/>
      <w:bookmarkStart w:id="4770" w:name="_Toc396904112"/>
      <w:bookmarkStart w:id="4771" w:name="_Toc396904702"/>
      <w:bookmarkStart w:id="4772" w:name="_Toc396907536"/>
      <w:bookmarkStart w:id="4773" w:name="_Toc396397367"/>
      <w:bookmarkStart w:id="4774" w:name="_Toc395867677"/>
      <w:bookmarkStart w:id="4775" w:name="_Toc395868602"/>
      <w:bookmarkStart w:id="4776" w:name="_Toc395868809"/>
      <w:bookmarkStart w:id="4777" w:name="_Toc395878983"/>
      <w:bookmarkStart w:id="4778" w:name="_Toc395879188"/>
      <w:bookmarkStart w:id="4779" w:name="_Toc395882107"/>
      <w:bookmarkStart w:id="4780" w:name="_Toc395882312"/>
      <w:bookmarkStart w:id="4781" w:name="_Toc395882438"/>
      <w:bookmarkStart w:id="4782" w:name="_Toc395882643"/>
      <w:bookmarkStart w:id="4783" w:name="_Toc395880602"/>
      <w:bookmarkStart w:id="4784" w:name="_Toc395880933"/>
      <w:bookmarkStart w:id="4785" w:name="_Toc395881491"/>
      <w:bookmarkStart w:id="4786" w:name="_Toc395883876"/>
      <w:bookmarkStart w:id="4787" w:name="_Toc395884081"/>
      <w:bookmarkStart w:id="4788" w:name="_Toc395880831"/>
      <w:bookmarkStart w:id="4789" w:name="_Toc395884538"/>
      <w:bookmarkStart w:id="4790" w:name="_Toc395884743"/>
      <w:bookmarkStart w:id="4791" w:name="_Toc395883247"/>
      <w:bookmarkStart w:id="4792" w:name="_Toc395883452"/>
      <w:bookmarkStart w:id="4793" w:name="_Toc395883577"/>
      <w:bookmarkStart w:id="4794" w:name="_Toc395883782"/>
      <w:bookmarkStart w:id="4795" w:name="_Toc395884879"/>
      <w:bookmarkStart w:id="4796" w:name="_Toc396123892"/>
      <w:bookmarkStart w:id="4797" w:name="_Toc396130794"/>
      <w:bookmarkStart w:id="4798" w:name="_Toc396136372"/>
      <w:bookmarkStart w:id="4799" w:name="_Toc396138843"/>
      <w:bookmarkStart w:id="4800" w:name="_Toc396144104"/>
      <w:bookmarkStart w:id="4801" w:name="_Toc396145596"/>
      <w:bookmarkStart w:id="4802" w:name="_Toc396145757"/>
      <w:bookmarkStart w:id="4803" w:name="_Toc396147579"/>
      <w:bookmarkStart w:id="4804" w:name="_Toc396147848"/>
      <w:bookmarkStart w:id="4805" w:name="_Toc396149104"/>
      <w:bookmarkStart w:id="4806" w:name="_Toc396148834"/>
      <w:bookmarkStart w:id="4807" w:name="_Toc396149598"/>
      <w:bookmarkStart w:id="4808" w:name="_Toc396149261"/>
      <w:bookmarkStart w:id="4809" w:name="_Toc396150027"/>
      <w:bookmarkStart w:id="4810" w:name="_Toc396149952"/>
      <w:bookmarkStart w:id="4811" w:name="_Toc396149719"/>
      <w:bookmarkStart w:id="4812" w:name="_Toc396150543"/>
      <w:bookmarkStart w:id="4813" w:name="_Toc396151449"/>
      <w:bookmarkStart w:id="4814" w:name="_Toc396151726"/>
      <w:bookmarkStart w:id="4815" w:name="_Toc396202460"/>
      <w:bookmarkStart w:id="4816" w:name="_Toc396202738"/>
      <w:bookmarkStart w:id="4817" w:name="_Toc396206668"/>
      <w:bookmarkStart w:id="4818" w:name="_Toc396206945"/>
      <w:bookmarkStart w:id="4819" w:name="_Toc396209496"/>
      <w:bookmarkStart w:id="4820" w:name="_Toc396209773"/>
      <w:bookmarkStart w:id="4821" w:name="_Toc396211920"/>
      <w:bookmarkStart w:id="4822" w:name="_Toc396212197"/>
      <w:bookmarkStart w:id="4823" w:name="_Toc396213264"/>
      <w:bookmarkStart w:id="4824" w:name="_Toc396213539"/>
      <w:bookmarkStart w:id="4825" w:name="_Toc396214542"/>
      <w:bookmarkStart w:id="4826" w:name="_Toc396214815"/>
      <w:bookmarkStart w:id="4827" w:name="_Toc396226654"/>
      <w:bookmarkStart w:id="4828" w:name="_Toc396226926"/>
      <w:bookmarkStart w:id="4829" w:name="_Toc396228854"/>
      <w:bookmarkStart w:id="4830" w:name="_Toc396229132"/>
      <w:bookmarkStart w:id="4831" w:name="_Toc396230774"/>
      <w:bookmarkStart w:id="4832" w:name="_Toc396231639"/>
      <w:bookmarkStart w:id="4833" w:name="_Toc396231916"/>
      <w:bookmarkStart w:id="4834" w:name="_Toc396233279"/>
      <w:bookmarkStart w:id="4835" w:name="_Toc396233556"/>
      <w:bookmarkStart w:id="4836" w:name="_Toc396234099"/>
      <w:bookmarkStart w:id="4837" w:name="_Toc396234376"/>
      <w:bookmarkStart w:id="4838" w:name="_Toc396234510"/>
      <w:bookmarkStart w:id="4839" w:name="_Toc396235729"/>
      <w:bookmarkStart w:id="4840" w:name="_Toc396236223"/>
      <w:bookmarkStart w:id="4841" w:name="_Toc396236001"/>
      <w:bookmarkStart w:id="4842" w:name="_Toc396304655"/>
      <w:bookmarkStart w:id="4843" w:name="_Toc396586240"/>
      <w:bookmarkStart w:id="4844" w:name="_Toc396815104"/>
      <w:r w:rsidRPr="008625DC">
        <w:t xml:space="preserve">For further detail on intellectual property, see </w:t>
      </w:r>
      <w:hyperlink w:anchor="s81" w:history="1">
        <w:r w:rsidR="00626BC0" w:rsidRPr="008625DC">
          <w:rPr>
            <w:rStyle w:val="Hyperlink"/>
          </w:rPr>
          <w:t>Section 8.1</w:t>
        </w:r>
      </w:hyperlink>
      <w:r w:rsidR="00626BC0" w:rsidRPr="008625DC">
        <w:t>.</w:t>
      </w:r>
    </w:p>
    <w:p w14:paraId="790933A4" w14:textId="77777777" w:rsidR="001E4B43" w:rsidRPr="008625DC" w:rsidRDefault="001E4B43" w:rsidP="001E4B43">
      <w:pPr>
        <w:pStyle w:val="Heading2"/>
        <w:ind w:left="851" w:hanging="851"/>
        <w:rPr>
          <w:lang w:val="en-AU"/>
        </w:rPr>
      </w:pPr>
      <w:bookmarkStart w:id="4845" w:name="_Toc396912455"/>
      <w:bookmarkStart w:id="4846" w:name="_Toc396914435"/>
      <w:bookmarkStart w:id="4847" w:name="_Toc396915319"/>
      <w:bookmarkStart w:id="4848" w:name="_Toc396915713"/>
      <w:bookmarkStart w:id="4849" w:name="_Toc396921024"/>
      <w:bookmarkStart w:id="4850" w:name="_Toc396924364"/>
      <w:bookmarkStart w:id="4851" w:name="_Toc396925058"/>
      <w:bookmarkStart w:id="4852" w:name="_Toc396992178"/>
      <w:bookmarkStart w:id="4853" w:name="_Toc396992757"/>
      <w:bookmarkStart w:id="4854" w:name="_Toc396994421"/>
      <w:bookmarkStart w:id="4855" w:name="_Toc396998032"/>
      <w:bookmarkStart w:id="4856" w:name="_Toc397002192"/>
      <w:bookmarkStart w:id="4857" w:name="_Toc397008669"/>
      <w:bookmarkStart w:id="4858" w:name="_Toc397008887"/>
      <w:bookmarkStart w:id="4859" w:name="_Toc397011559"/>
      <w:bookmarkStart w:id="4860" w:name="_Toc397012620"/>
      <w:bookmarkStart w:id="4861" w:name="_Toc397014962"/>
      <w:bookmarkStart w:id="4862" w:name="_Toc397015449"/>
      <w:bookmarkStart w:id="4863" w:name="_Toc397070520"/>
      <w:bookmarkStart w:id="4864" w:name="_Toc397413258"/>
      <w:bookmarkStart w:id="4865" w:name="_Toc397413405"/>
      <w:bookmarkStart w:id="4866" w:name="_Toc397427990"/>
      <w:bookmarkStart w:id="4867" w:name="_Toc397439378"/>
      <w:bookmarkStart w:id="4868" w:name="_Toc397439548"/>
      <w:bookmarkStart w:id="4869" w:name="_Toc397439804"/>
      <w:bookmarkStart w:id="4870" w:name="_Toc397440106"/>
      <w:bookmarkStart w:id="4871" w:name="_Toc397441735"/>
      <w:bookmarkStart w:id="4872" w:name="_Toc397517437"/>
      <w:bookmarkStart w:id="4873" w:name="_Toc397522702"/>
      <w:bookmarkStart w:id="4874" w:name="_Toc397526120"/>
      <w:bookmarkStart w:id="4875" w:name="_Toc397528435"/>
      <w:bookmarkStart w:id="4876" w:name="_Toc397528910"/>
      <w:bookmarkStart w:id="4877" w:name="_Toc397601907"/>
      <w:bookmarkStart w:id="4878" w:name="_Toc397602642"/>
      <w:bookmarkStart w:id="4879" w:name="_Toc397605771"/>
      <w:bookmarkStart w:id="4880" w:name="_Toc397614915"/>
      <w:bookmarkStart w:id="4881" w:name="_Toc397616358"/>
      <w:bookmarkStart w:id="4882" w:name="_Toc397616752"/>
      <w:bookmarkStart w:id="4883" w:name="_Toc397679162"/>
      <w:bookmarkStart w:id="4884" w:name="_Toc397688050"/>
      <w:bookmarkStart w:id="4885" w:name="_Toc397689266"/>
      <w:bookmarkStart w:id="4886" w:name="_Toc397694546"/>
      <w:bookmarkStart w:id="4887" w:name="_Toc397696387"/>
      <w:bookmarkStart w:id="4888" w:name="_Toc397697121"/>
      <w:bookmarkStart w:id="4889" w:name="_Toc397698408"/>
      <w:bookmarkStart w:id="4890" w:name="_Toc397699774"/>
      <w:bookmarkStart w:id="4891" w:name="_Toc397700228"/>
      <w:bookmarkStart w:id="4892" w:name="_Toc397936620"/>
      <w:bookmarkStart w:id="4893" w:name="_Toc397936740"/>
      <w:bookmarkStart w:id="4894" w:name="_Toc397945748"/>
      <w:bookmarkStart w:id="4895" w:name="_Toc397945895"/>
      <w:bookmarkStart w:id="4896" w:name="_Toc397946921"/>
      <w:bookmarkStart w:id="4897" w:name="_Toc397948040"/>
      <w:bookmarkStart w:id="4898" w:name="_Toc397958446"/>
      <w:bookmarkStart w:id="4899" w:name="_Toc397958688"/>
      <w:bookmarkStart w:id="4900" w:name="_Toc397959103"/>
      <w:bookmarkStart w:id="4901" w:name="_Toc397962956"/>
      <w:bookmarkStart w:id="4902" w:name="_Toc397963322"/>
      <w:bookmarkStart w:id="4903" w:name="_Toc397965399"/>
      <w:bookmarkStart w:id="4904" w:name="_Toc398197337"/>
      <w:bookmarkStart w:id="4905" w:name="_Toc398201554"/>
      <w:bookmarkStart w:id="4906" w:name="_Toc398207159"/>
      <w:bookmarkStart w:id="4907" w:name="_Toc398210432"/>
      <w:bookmarkStart w:id="4908" w:name="_Toc398210946"/>
      <w:bookmarkStart w:id="4909" w:name="_Toc398211083"/>
      <w:bookmarkStart w:id="4910" w:name="_Toc398219754"/>
      <w:bookmarkStart w:id="4911" w:name="_Toc398220129"/>
      <w:bookmarkStart w:id="4912" w:name="_Toc398220516"/>
      <w:bookmarkStart w:id="4913" w:name="_Toc398221594"/>
      <w:bookmarkStart w:id="4914" w:name="_Toc398222280"/>
      <w:bookmarkStart w:id="4915" w:name="_Toc398222592"/>
      <w:bookmarkStart w:id="4916" w:name="_Toc398223009"/>
      <w:bookmarkStart w:id="4917" w:name="_Toc398223388"/>
      <w:bookmarkStart w:id="4918" w:name="_Toc398223515"/>
      <w:bookmarkStart w:id="4919" w:name="_Toc398224323"/>
      <w:bookmarkStart w:id="4920" w:name="_Toc398225660"/>
      <w:bookmarkStart w:id="4921" w:name="_Toc398225785"/>
      <w:bookmarkStart w:id="4922" w:name="_Toc398281272"/>
      <w:bookmarkStart w:id="4923" w:name="_Toc398282131"/>
      <w:bookmarkStart w:id="4924" w:name="_Toc398284801"/>
      <w:bookmarkStart w:id="4925" w:name="_Toc398287270"/>
      <w:bookmarkStart w:id="4926" w:name="_Toc398289153"/>
      <w:bookmarkStart w:id="4927" w:name="_Toc398297150"/>
      <w:bookmarkStart w:id="4928" w:name="_Toc398298624"/>
      <w:bookmarkStart w:id="4929" w:name="_Toc398300325"/>
      <w:bookmarkStart w:id="4930" w:name="_Toc398301222"/>
      <w:bookmarkStart w:id="4931" w:name="_Toc398302407"/>
      <w:bookmarkStart w:id="4932" w:name="_Toc398302570"/>
      <w:bookmarkStart w:id="4933" w:name="_Toc398549082"/>
      <w:bookmarkStart w:id="4934" w:name="_Toc398549332"/>
      <w:bookmarkStart w:id="4935" w:name="_Toc398555751"/>
      <w:bookmarkStart w:id="4936" w:name="_Toc398558955"/>
      <w:bookmarkStart w:id="4937" w:name="_Toc398563441"/>
      <w:bookmarkStart w:id="4938" w:name="_Toc398563574"/>
      <w:bookmarkStart w:id="4939" w:name="_Toc398563973"/>
      <w:bookmarkStart w:id="4940" w:name="_Toc398827311"/>
      <w:bookmarkStart w:id="4941" w:name="_Toc398827505"/>
      <w:bookmarkStart w:id="4942" w:name="s26"/>
      <w:r w:rsidRPr="008625DC">
        <w:rPr>
          <w:lang w:val="en-AU"/>
        </w:rPr>
        <w:t>Parallel imports</w:t>
      </w:r>
      <w:bookmarkEnd w:id="4762"/>
      <w:bookmarkEnd w:id="4763"/>
      <w:bookmarkEnd w:id="4764"/>
      <w:bookmarkEnd w:id="4765"/>
      <w:bookmarkEnd w:id="4766"/>
      <w:bookmarkEnd w:id="4767"/>
      <w:bookmarkEnd w:id="4768"/>
      <w:bookmarkEnd w:id="4769"/>
      <w:bookmarkEnd w:id="4770"/>
      <w:bookmarkEnd w:id="4771"/>
      <w:bookmarkEnd w:id="4772"/>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bookmarkEnd w:id="4942"/>
    <w:p w14:paraId="710F2472" w14:textId="77777777" w:rsidR="001E4B43" w:rsidRPr="008625DC" w:rsidRDefault="001E4B43" w:rsidP="001E4B43">
      <w:r w:rsidRPr="008625DC">
        <w:t xml:space="preserve">Parallel import restrictions are similar to other import restrictions (such as tariffs) in that they benefit local producers by shielding them from international competition. They are an implicit tax on Australian consumers and businesses. </w:t>
      </w:r>
    </w:p>
    <w:p w14:paraId="6CF60BA5" w14:textId="77777777" w:rsidR="001E4B43" w:rsidRPr="008625DC" w:rsidRDefault="001E4B43" w:rsidP="001E4B43">
      <w:r w:rsidRPr="008625DC">
        <w:t xml:space="preserve">The impact of changing technology and shifting consumer purchasing practices (such as purchasing books online) means that some of these restrictions are easily circumvented. However, the removal of remaining parallel import restrictions would promote competition and potentially deliver lower prices for many consumer goods. </w:t>
      </w:r>
    </w:p>
    <w:p w14:paraId="362997E0" w14:textId="46EC3884" w:rsidR="001E4B43" w:rsidRPr="008625DC" w:rsidRDefault="001E4B43" w:rsidP="001E4B43">
      <w:r w:rsidRPr="008625DC">
        <w:t xml:space="preserve">Many of the concerns </w:t>
      </w:r>
      <w:proofErr w:type="gramStart"/>
      <w:r w:rsidRPr="008625DC">
        <w:t>raised</w:t>
      </w:r>
      <w:proofErr w:type="gramEnd"/>
      <w:r w:rsidRPr="008625DC">
        <w:t xml:space="preserve"> in submissions around relaxing parallel import restrictions, including concerns about consumer safety, counterfeit products and inadequate enforcement, could be addressed directly through regulation and information. The threat of parallel imports may also induce international suppliers to re</w:t>
      </w:r>
      <w:r w:rsidR="00C74E19" w:rsidRPr="008625DC">
        <w:noBreakHyphen/>
      </w:r>
      <w:r w:rsidRPr="008625DC">
        <w:t xml:space="preserve">think their regional arrangements. </w:t>
      </w:r>
    </w:p>
    <w:p w14:paraId="74B44B9B" w14:textId="77777777" w:rsidR="001E4B43" w:rsidRPr="008625DC" w:rsidRDefault="001E4B43" w:rsidP="001E4B43">
      <w:r w:rsidRPr="008625DC">
        <w:t xml:space="preserve">Relaxing parallel import restrictions is expected to deliver net benefits to the community, provided appropriate regulatory and compliance frameworks and consumer education programs are in place. Transitional arrangements should be considered to ensure that affected individuals and businesses are given adequate notice in advance.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58F62B2F" w14:textId="77777777" w:rsidTr="001E4B43">
        <w:tc>
          <w:tcPr>
            <w:tcW w:w="5000" w:type="pct"/>
            <w:shd w:val="clear" w:color="auto" w:fill="E9F7F3" w:themeFill="accent4" w:themeFillTint="33"/>
          </w:tcPr>
          <w:p w14:paraId="43C57457" w14:textId="77777777" w:rsidR="001E4B43" w:rsidRPr="008625DC" w:rsidRDefault="001E4B43" w:rsidP="001E4B43">
            <w:pPr>
              <w:pStyle w:val="RecommendationHeading"/>
            </w:pPr>
            <w:bookmarkStart w:id="4943" w:name="DR9"/>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4943"/>
            <w:r w:rsidRPr="008625DC">
              <w:t xml:space="preserve"> — Parallel imports</w:t>
            </w:r>
          </w:p>
          <w:p w14:paraId="090D1130" w14:textId="77777777" w:rsidR="001E4B43" w:rsidRPr="008625DC" w:rsidRDefault="001E4B43" w:rsidP="001E4B43">
            <w:pPr>
              <w:pStyle w:val="RecommendationText"/>
            </w:pPr>
            <w:r w:rsidRPr="008625DC">
              <w:t>Remaining restrictions on parallel imports should be removed unless it can be shown that:</w:t>
            </w:r>
          </w:p>
          <w:p w14:paraId="55592146" w14:textId="77777777" w:rsidR="001E4B43" w:rsidRPr="008625DC" w:rsidRDefault="001E4B43" w:rsidP="00DB4ECC">
            <w:pPr>
              <w:pStyle w:val="RecommendationBullet"/>
            </w:pPr>
            <w:r w:rsidRPr="008625DC">
              <w:t xml:space="preserve">they are in the public interest; and </w:t>
            </w:r>
          </w:p>
          <w:p w14:paraId="575E552B" w14:textId="77777777" w:rsidR="001E4B43" w:rsidRPr="008625DC" w:rsidRDefault="001E4B43" w:rsidP="00DB4ECC">
            <w:pPr>
              <w:pStyle w:val="RecommendationBullet"/>
            </w:pPr>
            <w:proofErr w:type="gramStart"/>
            <w:r w:rsidRPr="008625DC">
              <w:t>the</w:t>
            </w:r>
            <w:proofErr w:type="gramEnd"/>
            <w:r w:rsidRPr="008625DC">
              <w:t xml:space="preserve"> objectives of the restrictions can only be achieved by restricting competition.</w:t>
            </w:r>
          </w:p>
        </w:tc>
      </w:tr>
    </w:tbl>
    <w:p w14:paraId="76E39EBC" w14:textId="7FC48E6A" w:rsidR="001E4B43" w:rsidRPr="008625DC" w:rsidRDefault="001E4B43" w:rsidP="001E4B43">
      <w:pPr>
        <w:spacing w:before="240"/>
      </w:pPr>
      <w:bookmarkStart w:id="4944" w:name="_Toc396821054"/>
      <w:bookmarkStart w:id="4945" w:name="_Toc396821250"/>
      <w:bookmarkStart w:id="4946" w:name="_Toc396821662"/>
      <w:bookmarkStart w:id="4947" w:name="_Toc396827512"/>
      <w:bookmarkStart w:id="4948" w:name="_Toc396828483"/>
      <w:bookmarkStart w:id="4949" w:name="_Toc396828593"/>
      <w:bookmarkStart w:id="4950" w:name="_Toc396837982"/>
      <w:bookmarkStart w:id="4951" w:name="_Toc396838380"/>
      <w:bookmarkStart w:id="4952" w:name="_Toc396904113"/>
      <w:bookmarkStart w:id="4953" w:name="_Toc396904703"/>
      <w:bookmarkStart w:id="4954" w:name="_Toc396907537"/>
      <w:r w:rsidRPr="008625DC">
        <w:t>For further detail on parallel imports, see</w:t>
      </w:r>
      <w:r w:rsidR="00626BC0" w:rsidRPr="008625DC">
        <w:t xml:space="preserve"> </w:t>
      </w:r>
      <w:hyperlink w:anchor="s82" w:history="1">
        <w:r w:rsidR="00626BC0" w:rsidRPr="008625DC">
          <w:rPr>
            <w:rStyle w:val="Hyperlink"/>
          </w:rPr>
          <w:t>Section 8.2</w:t>
        </w:r>
      </w:hyperlink>
      <w:r w:rsidR="00626BC0" w:rsidRPr="008625DC">
        <w:t>.</w:t>
      </w:r>
    </w:p>
    <w:p w14:paraId="154D8B62" w14:textId="77777777" w:rsidR="001E4B43" w:rsidRPr="008625DC" w:rsidRDefault="001E4B43" w:rsidP="001E4B43">
      <w:pPr>
        <w:pStyle w:val="Heading2"/>
        <w:ind w:left="851" w:hanging="851"/>
        <w:rPr>
          <w:lang w:val="en-AU"/>
        </w:rPr>
      </w:pPr>
      <w:bookmarkStart w:id="4955" w:name="_Toc396912456"/>
      <w:bookmarkStart w:id="4956" w:name="_Toc396914436"/>
      <w:bookmarkStart w:id="4957" w:name="_Toc396915320"/>
      <w:bookmarkStart w:id="4958" w:name="_Toc396915714"/>
      <w:bookmarkStart w:id="4959" w:name="_Toc396921025"/>
      <w:bookmarkStart w:id="4960" w:name="_Toc396924365"/>
      <w:bookmarkStart w:id="4961" w:name="_Toc396925059"/>
      <w:bookmarkStart w:id="4962" w:name="_Toc396992179"/>
      <w:bookmarkStart w:id="4963" w:name="_Toc396992758"/>
      <w:bookmarkStart w:id="4964" w:name="_Toc396994422"/>
      <w:bookmarkStart w:id="4965" w:name="_Toc396998033"/>
      <w:bookmarkStart w:id="4966" w:name="_Toc397002193"/>
      <w:bookmarkStart w:id="4967" w:name="_Toc397008670"/>
      <w:bookmarkStart w:id="4968" w:name="_Toc397008888"/>
      <w:bookmarkStart w:id="4969" w:name="_Toc397011560"/>
      <w:bookmarkStart w:id="4970" w:name="_Toc397012621"/>
      <w:bookmarkStart w:id="4971" w:name="_Toc397014963"/>
      <w:bookmarkStart w:id="4972" w:name="_Toc397015450"/>
      <w:bookmarkStart w:id="4973" w:name="_Toc397070521"/>
      <w:bookmarkStart w:id="4974" w:name="_Toc397413259"/>
      <w:bookmarkStart w:id="4975" w:name="_Toc397413406"/>
      <w:bookmarkStart w:id="4976" w:name="_Toc397427991"/>
      <w:bookmarkStart w:id="4977" w:name="_Toc397439379"/>
      <w:bookmarkStart w:id="4978" w:name="_Toc397439549"/>
      <w:bookmarkStart w:id="4979" w:name="_Toc397439805"/>
      <w:bookmarkStart w:id="4980" w:name="_Toc397440107"/>
      <w:bookmarkStart w:id="4981" w:name="_Toc397441736"/>
      <w:bookmarkStart w:id="4982" w:name="_Toc397517438"/>
      <w:bookmarkStart w:id="4983" w:name="_Toc397522703"/>
      <w:bookmarkStart w:id="4984" w:name="_Toc397526121"/>
      <w:bookmarkStart w:id="4985" w:name="_Toc397528436"/>
      <w:bookmarkStart w:id="4986" w:name="_Toc397528911"/>
      <w:bookmarkStart w:id="4987" w:name="_Toc397601908"/>
      <w:bookmarkStart w:id="4988" w:name="_Toc397602643"/>
      <w:bookmarkStart w:id="4989" w:name="_Toc397605772"/>
      <w:bookmarkStart w:id="4990" w:name="_Toc397614916"/>
      <w:bookmarkStart w:id="4991" w:name="_Toc397616359"/>
      <w:bookmarkStart w:id="4992" w:name="_Toc397616753"/>
      <w:bookmarkStart w:id="4993" w:name="_Toc397679163"/>
      <w:bookmarkStart w:id="4994" w:name="_Toc397688051"/>
      <w:bookmarkStart w:id="4995" w:name="_Toc397689267"/>
      <w:bookmarkStart w:id="4996" w:name="_Toc397694547"/>
      <w:bookmarkStart w:id="4997" w:name="_Toc397696388"/>
      <w:bookmarkStart w:id="4998" w:name="_Toc397697122"/>
      <w:bookmarkStart w:id="4999" w:name="_Toc397698409"/>
      <w:bookmarkStart w:id="5000" w:name="_Toc397699775"/>
      <w:bookmarkStart w:id="5001" w:name="_Toc397700229"/>
      <w:bookmarkStart w:id="5002" w:name="_Toc397936621"/>
      <w:bookmarkStart w:id="5003" w:name="_Toc397936741"/>
      <w:bookmarkStart w:id="5004" w:name="_Toc397945749"/>
      <w:bookmarkStart w:id="5005" w:name="_Toc397945896"/>
      <w:bookmarkStart w:id="5006" w:name="_Toc397946922"/>
      <w:bookmarkStart w:id="5007" w:name="_Toc397948041"/>
      <w:bookmarkStart w:id="5008" w:name="_Toc397958447"/>
      <w:bookmarkStart w:id="5009" w:name="_Toc397958689"/>
      <w:bookmarkStart w:id="5010" w:name="_Toc397959104"/>
      <w:bookmarkStart w:id="5011" w:name="_Toc397962957"/>
      <w:bookmarkStart w:id="5012" w:name="_Toc397963323"/>
      <w:bookmarkStart w:id="5013" w:name="_Toc397965400"/>
      <w:bookmarkStart w:id="5014" w:name="_Toc398197338"/>
      <w:bookmarkStart w:id="5015" w:name="_Toc398201555"/>
      <w:bookmarkStart w:id="5016" w:name="_Toc398207160"/>
      <w:bookmarkStart w:id="5017" w:name="_Toc398210433"/>
      <w:bookmarkStart w:id="5018" w:name="_Toc398210947"/>
      <w:bookmarkStart w:id="5019" w:name="_Toc398211084"/>
      <w:bookmarkStart w:id="5020" w:name="_Toc398219755"/>
      <w:bookmarkStart w:id="5021" w:name="_Toc398220130"/>
      <w:bookmarkStart w:id="5022" w:name="_Toc398220517"/>
      <w:bookmarkStart w:id="5023" w:name="_Toc398221595"/>
      <w:bookmarkStart w:id="5024" w:name="_Toc398222281"/>
      <w:bookmarkStart w:id="5025" w:name="_Toc398222593"/>
      <w:bookmarkStart w:id="5026" w:name="_Toc398223010"/>
      <w:bookmarkStart w:id="5027" w:name="_Toc398223389"/>
      <w:bookmarkStart w:id="5028" w:name="_Toc398223516"/>
      <w:bookmarkStart w:id="5029" w:name="_Toc398224324"/>
      <w:bookmarkStart w:id="5030" w:name="_Toc398225661"/>
      <w:bookmarkStart w:id="5031" w:name="_Toc398225786"/>
      <w:bookmarkStart w:id="5032" w:name="_Toc398281273"/>
      <w:bookmarkStart w:id="5033" w:name="_Toc398282132"/>
      <w:bookmarkStart w:id="5034" w:name="_Toc398284802"/>
      <w:bookmarkStart w:id="5035" w:name="_Toc398287271"/>
      <w:bookmarkStart w:id="5036" w:name="_Toc398289154"/>
      <w:bookmarkStart w:id="5037" w:name="_Toc398297151"/>
      <w:bookmarkStart w:id="5038" w:name="_Toc398298625"/>
      <w:bookmarkStart w:id="5039" w:name="_Toc398300326"/>
      <w:bookmarkStart w:id="5040" w:name="_Toc398301223"/>
      <w:bookmarkStart w:id="5041" w:name="_Toc398302408"/>
      <w:bookmarkStart w:id="5042" w:name="_Toc398302571"/>
      <w:bookmarkStart w:id="5043" w:name="_Toc398549083"/>
      <w:bookmarkStart w:id="5044" w:name="_Toc398549333"/>
      <w:bookmarkStart w:id="5045" w:name="_Toc398555752"/>
      <w:bookmarkStart w:id="5046" w:name="_Toc398558956"/>
      <w:bookmarkStart w:id="5047" w:name="_Toc398563442"/>
      <w:bookmarkStart w:id="5048" w:name="_Toc398563575"/>
      <w:bookmarkStart w:id="5049" w:name="_Toc398563974"/>
      <w:bookmarkStart w:id="5050" w:name="_Toc398827312"/>
      <w:bookmarkStart w:id="5051" w:name="_Toc398827506"/>
      <w:bookmarkStart w:id="5052" w:name="s27"/>
      <w:r w:rsidRPr="008625DC">
        <w:rPr>
          <w:lang w:val="en-AU"/>
        </w:rPr>
        <w:t>Planning and zoning</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p>
    <w:bookmarkEnd w:id="5052"/>
    <w:p w14:paraId="5AE8F675" w14:textId="77777777" w:rsidR="001E4B43" w:rsidRPr="008625DC" w:rsidRDefault="001E4B43" w:rsidP="001E4B43">
      <w:r w:rsidRPr="008625DC">
        <w:t>Land is a key input to the production of goods and services and a source of amenity for consumers. Even small policy improvements in this area could yield large benefits. The Panel has a range of concerns regarding the planning and zoning rules that govern land use for commercial activities in Australia.</w:t>
      </w:r>
    </w:p>
    <w:p w14:paraId="3643C7C3" w14:textId="77777777" w:rsidR="001E4B43" w:rsidRPr="008625DC" w:rsidRDefault="001E4B43" w:rsidP="001E4B43">
      <w:pPr>
        <w:keepNext/>
        <w:spacing w:after="120"/>
      </w:pPr>
      <w:r w:rsidRPr="008625DC">
        <w:t>Among these concerns are:</w:t>
      </w:r>
    </w:p>
    <w:p w14:paraId="615354D6" w14:textId="2AAD5311" w:rsidR="001E4B43" w:rsidRPr="008625DC" w:rsidRDefault="001E4B43" w:rsidP="001E4B43">
      <w:pPr>
        <w:pStyle w:val="Bullet"/>
      </w:pPr>
      <w:r w:rsidRPr="008625DC">
        <w:t>an overly</w:t>
      </w:r>
      <w:r w:rsidR="00C74E19" w:rsidRPr="008625DC">
        <w:noBreakHyphen/>
      </w:r>
      <w:r w:rsidRPr="008625DC">
        <w:t xml:space="preserve">localised focus, with little regard to the promotion of competition; </w:t>
      </w:r>
    </w:p>
    <w:p w14:paraId="54EA7D24" w14:textId="77777777" w:rsidR="001E4B43" w:rsidRPr="008625DC" w:rsidRDefault="001E4B43" w:rsidP="001E4B43">
      <w:pPr>
        <w:pStyle w:val="Bullet"/>
      </w:pPr>
      <w:r w:rsidRPr="008625DC">
        <w:t>arrangements that explicitly or implicitly favour incumbent operators and create barriers to new entrants in local markets; and</w:t>
      </w:r>
    </w:p>
    <w:p w14:paraId="42CFC165" w14:textId="1B6F036D" w:rsidR="001E4B43" w:rsidRPr="008625DC" w:rsidRDefault="001E4B43" w:rsidP="001E4B43">
      <w:pPr>
        <w:pStyle w:val="Bullet"/>
        <w:spacing w:after="240"/>
      </w:pPr>
      <w:proofErr w:type="gramStart"/>
      <w:r w:rsidRPr="008625DC">
        <w:t>complex</w:t>
      </w:r>
      <w:proofErr w:type="gramEnd"/>
      <w:r w:rsidRPr="008625DC">
        <w:t>, time</w:t>
      </w:r>
      <w:r w:rsidR="00C74E19" w:rsidRPr="008625DC">
        <w:noBreakHyphen/>
      </w:r>
      <w:r w:rsidRPr="008625DC">
        <w:t>consuming procedures that differ from one part of the country to another.</w:t>
      </w:r>
    </w:p>
    <w:p w14:paraId="373B0813" w14:textId="77777777" w:rsidR="001E4B43" w:rsidRPr="008625DC" w:rsidRDefault="001E4B43" w:rsidP="001E4B43">
      <w:r w:rsidRPr="008625DC">
        <w:t xml:space="preserve">Without a clear shift away from a planning and zoning focus on specific residents or existing businesses, all other members of the community are likely to pay higher prices and have fewer choices into the future. </w:t>
      </w:r>
    </w:p>
    <w:p w14:paraId="6EB18635" w14:textId="77777777" w:rsidR="001E4B43" w:rsidRPr="008625DC" w:rsidRDefault="001E4B43" w:rsidP="001E4B43">
      <w:r w:rsidRPr="008625DC">
        <w:t>Regulations relating to planning and zoning often restrict competition and impede structural change. Such restrictions can be addressed by including competition principles among the objectives of the various state and territory laws dealing with planning and zoning to ensure that competition issues are always considered.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1252BD62" w14:textId="77777777" w:rsidTr="001E4B43">
        <w:tc>
          <w:tcPr>
            <w:tcW w:w="5000" w:type="pct"/>
            <w:shd w:val="clear" w:color="auto" w:fill="E9F7F3" w:themeFill="accent4" w:themeFillTint="33"/>
          </w:tcPr>
          <w:p w14:paraId="2B76A022" w14:textId="77777777" w:rsidR="001E4B43" w:rsidRPr="008625DC" w:rsidRDefault="001E4B43" w:rsidP="001E4B43">
            <w:pPr>
              <w:pStyle w:val="RecommendationHeading"/>
            </w:pPr>
            <w:bookmarkStart w:id="5053" w:name="_Toc396138844"/>
            <w:bookmarkStart w:id="5054" w:name="_Toc396144105"/>
            <w:bookmarkStart w:id="5055" w:name="_Toc396145758"/>
            <w:bookmarkStart w:id="5056" w:name="_Toc396147580"/>
            <w:bookmarkStart w:id="5057" w:name="_Toc396148835"/>
            <w:bookmarkStart w:id="5058" w:name="_Toc396149262"/>
            <w:bookmarkStart w:id="5059" w:name="_Toc396149720"/>
            <w:bookmarkStart w:id="5060" w:name="_Toc396151450"/>
            <w:bookmarkStart w:id="5061" w:name="_Toc396202461"/>
            <w:bookmarkStart w:id="5062" w:name="_Toc396206669"/>
            <w:bookmarkStart w:id="5063" w:name="_Toc396209497"/>
            <w:bookmarkStart w:id="5064" w:name="_Toc396211921"/>
            <w:bookmarkStart w:id="5065" w:name="_Toc396213265"/>
            <w:bookmarkStart w:id="5066" w:name="_Toc396214543"/>
            <w:bookmarkStart w:id="5067" w:name="_Toc396226655"/>
            <w:bookmarkStart w:id="5068" w:name="_Toc396228855"/>
            <w:bookmarkStart w:id="5069" w:name="_Toc396231640"/>
            <w:bookmarkStart w:id="5070" w:name="_Toc396233280"/>
            <w:bookmarkStart w:id="5071" w:name="_Toc396234100"/>
            <w:bookmarkStart w:id="5072" w:name="_Toc396234511"/>
            <w:bookmarkStart w:id="5073" w:name="_Toc396235730"/>
            <w:bookmarkStart w:id="5074" w:name="_Toc396586241"/>
            <w:bookmarkStart w:id="5075" w:name="DR10"/>
            <w:r w:rsidRPr="008625DC">
              <w:t xml:space="preserve">Draft Recommendation </w:t>
            </w:r>
            <w:r w:rsidRPr="008625DC">
              <w:fldChar w:fldCharType="begin"/>
            </w:r>
            <w:r w:rsidRPr="008625DC">
              <w:instrText xml:space="preserve"> AUTONUMLGL  \* Arabic \e </w:instrText>
            </w:r>
            <w:r w:rsidRPr="008625DC">
              <w:fldChar w:fldCharType="end"/>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sidRPr="008625DC">
              <w:t xml:space="preserve"> — Planning and zoning</w:t>
            </w:r>
          </w:p>
          <w:p w14:paraId="00E9FC04" w14:textId="003B4B9D" w:rsidR="001E4B43" w:rsidRPr="008625DC" w:rsidRDefault="001E4B43" w:rsidP="001E4B43">
            <w:pPr>
              <w:pStyle w:val="RecommendationText"/>
            </w:pPr>
            <w:bookmarkStart w:id="5076" w:name="_Toc395868603"/>
            <w:bookmarkStart w:id="5077" w:name="_Toc395878984"/>
            <w:bookmarkStart w:id="5078" w:name="_Toc395882108"/>
            <w:bookmarkStart w:id="5079" w:name="_Toc395882439"/>
            <w:bookmarkStart w:id="5080" w:name="_Toc395880603"/>
            <w:bookmarkStart w:id="5081" w:name="_Toc395880934"/>
            <w:bookmarkStart w:id="5082" w:name="_Toc395881492"/>
            <w:bookmarkStart w:id="5083" w:name="_Toc395883877"/>
            <w:bookmarkStart w:id="5084" w:name="_Toc395880832"/>
            <w:bookmarkStart w:id="5085" w:name="_Toc395884539"/>
            <w:bookmarkStart w:id="5086" w:name="_Toc395883248"/>
            <w:bookmarkStart w:id="5087" w:name="_Toc395883578"/>
            <w:bookmarkStart w:id="5088" w:name="_Toc395884880"/>
            <w:bookmarkStart w:id="5089" w:name="_Toc396138845"/>
            <w:bookmarkStart w:id="5090" w:name="_Toc396144106"/>
            <w:bookmarkStart w:id="5091" w:name="_Toc396145759"/>
            <w:bookmarkStart w:id="5092" w:name="_Toc396147581"/>
            <w:bookmarkStart w:id="5093" w:name="_Toc396148836"/>
            <w:bookmarkStart w:id="5094" w:name="_Toc396149263"/>
            <w:bookmarkStart w:id="5095" w:name="_Toc396149721"/>
            <w:bookmarkStart w:id="5096" w:name="_Toc396151451"/>
            <w:bookmarkStart w:id="5097" w:name="_Toc396202462"/>
            <w:bookmarkStart w:id="5098" w:name="_Toc396206670"/>
            <w:bookmarkStart w:id="5099" w:name="_Toc396209498"/>
            <w:bookmarkStart w:id="5100" w:name="_Toc396211922"/>
            <w:bookmarkStart w:id="5101" w:name="_Toc396213266"/>
            <w:bookmarkStart w:id="5102" w:name="_Toc396214544"/>
            <w:bookmarkStart w:id="5103" w:name="_Toc396226656"/>
            <w:bookmarkStart w:id="5104" w:name="_Toc396228856"/>
            <w:bookmarkStart w:id="5105" w:name="_Toc396231641"/>
            <w:bookmarkStart w:id="5106" w:name="_Toc396233281"/>
            <w:bookmarkStart w:id="5107" w:name="_Toc396234101"/>
            <w:bookmarkStart w:id="5108" w:name="_Toc396234512"/>
            <w:bookmarkStart w:id="5109" w:name="_Toc396235731"/>
            <w:bookmarkStart w:id="5110" w:name="_Toc396586242"/>
            <w:r w:rsidRPr="008625DC">
              <w:t>All governments should include competition principles in the objectives of planning and zoning legislation so that they are given due weight in decision</w:t>
            </w:r>
            <w:r w:rsidR="00C74E19" w:rsidRPr="008625DC">
              <w:noBreakHyphen/>
            </w:r>
            <w:r w:rsidRPr="008625DC">
              <w:t>making.</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2B75D9C1" w14:textId="77777777" w:rsidR="001E4B43" w:rsidRPr="008625DC" w:rsidRDefault="001E4B43" w:rsidP="001E4B43">
            <w:pPr>
              <w:pStyle w:val="RecommendationText"/>
            </w:pPr>
            <w:bookmarkStart w:id="5111" w:name="_Toc396211923"/>
            <w:bookmarkStart w:id="5112" w:name="_Toc395868604"/>
            <w:bookmarkStart w:id="5113" w:name="_Toc395878985"/>
            <w:bookmarkStart w:id="5114" w:name="_Toc395882109"/>
            <w:bookmarkStart w:id="5115" w:name="_Toc395882440"/>
            <w:bookmarkStart w:id="5116" w:name="_Toc395880604"/>
            <w:bookmarkStart w:id="5117" w:name="_Toc395880935"/>
            <w:bookmarkStart w:id="5118" w:name="_Toc395881493"/>
            <w:bookmarkStart w:id="5119" w:name="_Toc395883878"/>
            <w:bookmarkStart w:id="5120" w:name="_Toc395880833"/>
            <w:bookmarkStart w:id="5121" w:name="_Toc395884540"/>
            <w:bookmarkStart w:id="5122" w:name="_Toc395883249"/>
            <w:bookmarkStart w:id="5123" w:name="_Toc395883579"/>
            <w:bookmarkStart w:id="5124" w:name="_Toc395884881"/>
            <w:bookmarkStart w:id="5125" w:name="_Toc396138846"/>
            <w:bookmarkStart w:id="5126" w:name="_Toc396144107"/>
            <w:bookmarkStart w:id="5127" w:name="_Toc396145760"/>
            <w:bookmarkStart w:id="5128" w:name="_Toc396147582"/>
            <w:bookmarkStart w:id="5129" w:name="_Toc396148837"/>
            <w:bookmarkStart w:id="5130" w:name="_Toc396149264"/>
            <w:bookmarkStart w:id="5131" w:name="_Toc396149722"/>
            <w:bookmarkStart w:id="5132" w:name="_Toc396151452"/>
            <w:bookmarkStart w:id="5133" w:name="_Toc396202463"/>
            <w:bookmarkStart w:id="5134" w:name="_Toc396206671"/>
            <w:bookmarkStart w:id="5135" w:name="_Toc396209499"/>
            <w:bookmarkStart w:id="5136" w:name="_Toc396213267"/>
            <w:bookmarkStart w:id="5137" w:name="_Toc396214545"/>
            <w:bookmarkStart w:id="5138" w:name="_Toc396226657"/>
            <w:bookmarkStart w:id="5139" w:name="_Toc396228857"/>
            <w:bookmarkStart w:id="5140" w:name="_Toc396231642"/>
            <w:bookmarkStart w:id="5141" w:name="_Toc396233282"/>
            <w:bookmarkStart w:id="5142" w:name="_Toc396234102"/>
            <w:bookmarkStart w:id="5143" w:name="_Toc396234513"/>
            <w:bookmarkStart w:id="5144" w:name="_Toc396235732"/>
            <w:bookmarkStart w:id="5145" w:name="_Toc396586243"/>
            <w:r w:rsidRPr="008625DC">
              <w:t>T</w:t>
            </w:r>
            <w:bookmarkEnd w:id="5111"/>
            <w:r w:rsidRPr="008625DC">
              <w:t>he principles should include:</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632F92B6" w14:textId="40F2325A" w:rsidR="001E4B43" w:rsidRPr="008625DC" w:rsidRDefault="001E4B43" w:rsidP="00DB4ECC">
            <w:pPr>
              <w:pStyle w:val="RecommendationBullet"/>
            </w:pPr>
            <w:bookmarkStart w:id="5146" w:name="_Toc395868605"/>
            <w:bookmarkStart w:id="5147" w:name="_Toc395878986"/>
            <w:bookmarkStart w:id="5148" w:name="_Toc395882110"/>
            <w:bookmarkStart w:id="5149" w:name="_Toc395882441"/>
            <w:bookmarkStart w:id="5150" w:name="_Toc395880605"/>
            <w:bookmarkStart w:id="5151" w:name="_Toc395880936"/>
            <w:bookmarkStart w:id="5152" w:name="_Toc395881494"/>
            <w:bookmarkStart w:id="5153" w:name="_Toc395883879"/>
            <w:bookmarkStart w:id="5154" w:name="_Toc395880834"/>
            <w:bookmarkStart w:id="5155" w:name="_Toc395884541"/>
            <w:bookmarkStart w:id="5156" w:name="_Toc395883250"/>
            <w:bookmarkStart w:id="5157" w:name="_Toc395883580"/>
            <w:bookmarkStart w:id="5158" w:name="_Toc395884882"/>
            <w:bookmarkStart w:id="5159" w:name="_Toc396138847"/>
            <w:bookmarkStart w:id="5160" w:name="_Toc396144108"/>
            <w:bookmarkStart w:id="5161" w:name="_Toc396145761"/>
            <w:bookmarkStart w:id="5162" w:name="_Toc396147583"/>
            <w:bookmarkStart w:id="5163" w:name="_Toc396148838"/>
            <w:bookmarkStart w:id="5164" w:name="_Toc396149265"/>
            <w:bookmarkStart w:id="5165" w:name="_Toc396149723"/>
            <w:bookmarkStart w:id="5166" w:name="_Toc396151453"/>
            <w:bookmarkStart w:id="5167" w:name="_Toc396202464"/>
            <w:bookmarkStart w:id="5168" w:name="_Toc396206672"/>
            <w:bookmarkStart w:id="5169" w:name="_Toc396209500"/>
            <w:bookmarkStart w:id="5170" w:name="_Toc396211924"/>
            <w:bookmarkStart w:id="5171" w:name="_Toc396213268"/>
            <w:bookmarkStart w:id="5172" w:name="_Toc396214546"/>
            <w:bookmarkStart w:id="5173" w:name="_Toc396226658"/>
            <w:bookmarkStart w:id="5174" w:name="_Toc396228858"/>
            <w:bookmarkStart w:id="5175" w:name="_Toc396231643"/>
            <w:bookmarkStart w:id="5176" w:name="_Toc396233283"/>
            <w:bookmarkStart w:id="5177" w:name="_Toc396234103"/>
            <w:bookmarkStart w:id="5178" w:name="_Toc396234514"/>
            <w:bookmarkStart w:id="5179" w:name="_Toc396235733"/>
            <w:bookmarkStart w:id="5180" w:name="_Toc396586244"/>
            <w:r w:rsidRPr="008625DC">
              <w:t>a focus on the long</w:t>
            </w:r>
            <w:r w:rsidR="00C74E19" w:rsidRPr="008625DC">
              <w:noBreakHyphen/>
            </w:r>
            <w:r w:rsidRPr="008625DC">
              <w:t>term interests of consumers generally (beyond purely local concerns);</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331C2E0A" w14:textId="77777777" w:rsidR="001E4B43" w:rsidRPr="008625DC" w:rsidRDefault="001E4B43" w:rsidP="00DB4ECC">
            <w:pPr>
              <w:pStyle w:val="RecommendationBullet"/>
            </w:pPr>
            <w:bookmarkStart w:id="5181" w:name="_Toc395868606"/>
            <w:bookmarkStart w:id="5182" w:name="_Toc395878987"/>
            <w:bookmarkStart w:id="5183" w:name="_Toc395882111"/>
            <w:bookmarkStart w:id="5184" w:name="_Toc395882442"/>
            <w:bookmarkStart w:id="5185" w:name="_Toc395880606"/>
            <w:bookmarkStart w:id="5186" w:name="_Toc395880937"/>
            <w:bookmarkStart w:id="5187" w:name="_Toc395881495"/>
            <w:bookmarkStart w:id="5188" w:name="_Toc395883880"/>
            <w:bookmarkStart w:id="5189" w:name="_Toc395880835"/>
            <w:bookmarkStart w:id="5190" w:name="_Toc395884542"/>
            <w:bookmarkStart w:id="5191" w:name="_Toc395883251"/>
            <w:bookmarkStart w:id="5192" w:name="_Toc395883581"/>
            <w:bookmarkStart w:id="5193" w:name="_Toc395884883"/>
            <w:bookmarkStart w:id="5194" w:name="_Toc396138848"/>
            <w:bookmarkStart w:id="5195" w:name="_Toc396144109"/>
            <w:bookmarkStart w:id="5196" w:name="_Toc396145762"/>
            <w:bookmarkStart w:id="5197" w:name="_Toc396147584"/>
            <w:bookmarkStart w:id="5198" w:name="_Toc396148839"/>
            <w:bookmarkStart w:id="5199" w:name="_Toc396149266"/>
            <w:bookmarkStart w:id="5200" w:name="_Toc396149724"/>
            <w:bookmarkStart w:id="5201" w:name="_Toc396151454"/>
            <w:bookmarkStart w:id="5202" w:name="_Toc396202465"/>
            <w:bookmarkStart w:id="5203" w:name="_Toc396206673"/>
            <w:bookmarkStart w:id="5204" w:name="_Toc396209501"/>
            <w:bookmarkStart w:id="5205" w:name="_Toc396211925"/>
            <w:bookmarkStart w:id="5206" w:name="_Toc396213269"/>
            <w:bookmarkStart w:id="5207" w:name="_Toc396214547"/>
            <w:bookmarkStart w:id="5208" w:name="_Toc396226659"/>
            <w:bookmarkStart w:id="5209" w:name="_Toc396228859"/>
            <w:bookmarkStart w:id="5210" w:name="_Toc396231644"/>
            <w:bookmarkStart w:id="5211" w:name="_Toc396233284"/>
            <w:bookmarkStart w:id="5212" w:name="_Toc396234104"/>
            <w:bookmarkStart w:id="5213" w:name="_Toc396234515"/>
            <w:bookmarkStart w:id="5214" w:name="_Toc396235734"/>
            <w:bookmarkStart w:id="5215" w:name="_Toc396586245"/>
            <w:r w:rsidRPr="008625DC">
              <w:t>ensuring arrangements do not explicitly or implicitly favour incumbent operators;</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5B1F16AA" w14:textId="77777777" w:rsidR="001E4B43" w:rsidRPr="008625DC" w:rsidRDefault="001E4B43" w:rsidP="00DB4ECC">
            <w:pPr>
              <w:pStyle w:val="RecommendationBullet"/>
            </w:pPr>
            <w:bookmarkStart w:id="5216" w:name="_Toc395868607"/>
            <w:bookmarkStart w:id="5217" w:name="_Toc395878988"/>
            <w:bookmarkStart w:id="5218" w:name="_Toc395882112"/>
            <w:bookmarkStart w:id="5219" w:name="_Toc395882443"/>
            <w:bookmarkStart w:id="5220" w:name="_Toc395880607"/>
            <w:bookmarkStart w:id="5221" w:name="_Toc395880938"/>
            <w:bookmarkStart w:id="5222" w:name="_Toc395881496"/>
            <w:bookmarkStart w:id="5223" w:name="_Toc395883881"/>
            <w:bookmarkStart w:id="5224" w:name="_Toc395880836"/>
            <w:bookmarkStart w:id="5225" w:name="_Toc395884543"/>
            <w:bookmarkStart w:id="5226" w:name="_Toc395883252"/>
            <w:bookmarkStart w:id="5227" w:name="_Toc395883582"/>
            <w:bookmarkStart w:id="5228" w:name="_Toc395884884"/>
            <w:bookmarkStart w:id="5229" w:name="_Toc396138849"/>
            <w:bookmarkStart w:id="5230" w:name="_Toc396144110"/>
            <w:bookmarkStart w:id="5231" w:name="_Toc396145763"/>
            <w:bookmarkStart w:id="5232" w:name="_Toc396147585"/>
            <w:bookmarkStart w:id="5233" w:name="_Toc396148840"/>
            <w:bookmarkStart w:id="5234" w:name="_Toc396149267"/>
            <w:bookmarkStart w:id="5235" w:name="_Toc396149725"/>
            <w:bookmarkStart w:id="5236" w:name="_Toc396151455"/>
            <w:bookmarkStart w:id="5237" w:name="_Toc396202466"/>
            <w:bookmarkStart w:id="5238" w:name="_Toc396206674"/>
            <w:bookmarkStart w:id="5239" w:name="_Toc396209502"/>
            <w:bookmarkStart w:id="5240" w:name="_Toc396211926"/>
            <w:bookmarkStart w:id="5241" w:name="_Toc396213270"/>
            <w:bookmarkStart w:id="5242" w:name="_Toc396214548"/>
            <w:bookmarkStart w:id="5243" w:name="_Toc396226660"/>
            <w:bookmarkStart w:id="5244" w:name="_Toc396228860"/>
            <w:bookmarkStart w:id="5245" w:name="_Toc396231645"/>
            <w:bookmarkStart w:id="5246" w:name="_Toc396233285"/>
            <w:bookmarkStart w:id="5247" w:name="_Toc396234105"/>
            <w:bookmarkStart w:id="5248" w:name="_Toc396234516"/>
            <w:bookmarkStart w:id="5249" w:name="_Toc396235735"/>
            <w:bookmarkStart w:id="5250" w:name="_Toc396586246"/>
            <w:r w:rsidRPr="008625DC">
              <w:t>internal review processes that can be triggered by new entrants to a local market; and</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14:paraId="52B55A36" w14:textId="77777777" w:rsidR="001E4B43" w:rsidRPr="008625DC" w:rsidRDefault="001E4B43" w:rsidP="00DB4ECC">
            <w:pPr>
              <w:pStyle w:val="RecommendationBullet"/>
            </w:pPr>
            <w:bookmarkStart w:id="5251" w:name="_Toc395868608"/>
            <w:bookmarkStart w:id="5252" w:name="_Toc395878989"/>
            <w:bookmarkStart w:id="5253" w:name="_Toc395882113"/>
            <w:bookmarkStart w:id="5254" w:name="_Toc395882444"/>
            <w:bookmarkStart w:id="5255" w:name="_Toc395880608"/>
            <w:bookmarkStart w:id="5256" w:name="_Toc395880939"/>
            <w:bookmarkStart w:id="5257" w:name="_Toc395881497"/>
            <w:bookmarkStart w:id="5258" w:name="_Toc395883882"/>
            <w:bookmarkStart w:id="5259" w:name="_Toc395880837"/>
            <w:bookmarkStart w:id="5260" w:name="_Toc395884544"/>
            <w:bookmarkStart w:id="5261" w:name="_Toc395883253"/>
            <w:bookmarkStart w:id="5262" w:name="_Toc395883583"/>
            <w:bookmarkStart w:id="5263" w:name="_Toc395884885"/>
            <w:bookmarkStart w:id="5264" w:name="_Toc396138850"/>
            <w:bookmarkStart w:id="5265" w:name="_Toc396144111"/>
            <w:bookmarkStart w:id="5266" w:name="_Toc396145764"/>
            <w:bookmarkStart w:id="5267" w:name="_Toc396147586"/>
            <w:bookmarkStart w:id="5268" w:name="_Toc396148841"/>
            <w:bookmarkStart w:id="5269" w:name="_Toc396149268"/>
            <w:bookmarkStart w:id="5270" w:name="_Toc396149726"/>
            <w:bookmarkStart w:id="5271" w:name="_Toc396151456"/>
            <w:bookmarkStart w:id="5272" w:name="_Toc396202467"/>
            <w:bookmarkStart w:id="5273" w:name="_Toc396206675"/>
            <w:bookmarkStart w:id="5274" w:name="_Toc396209503"/>
            <w:bookmarkStart w:id="5275" w:name="_Toc396211927"/>
            <w:bookmarkStart w:id="5276" w:name="_Toc396213271"/>
            <w:bookmarkStart w:id="5277" w:name="_Toc396214549"/>
            <w:bookmarkStart w:id="5278" w:name="_Toc396226661"/>
            <w:bookmarkStart w:id="5279" w:name="_Toc396228861"/>
            <w:bookmarkStart w:id="5280" w:name="_Toc396231646"/>
            <w:bookmarkStart w:id="5281" w:name="_Toc396233286"/>
            <w:bookmarkStart w:id="5282" w:name="_Toc396234106"/>
            <w:bookmarkStart w:id="5283" w:name="_Toc396234517"/>
            <w:bookmarkStart w:id="5284" w:name="_Toc396235736"/>
            <w:bookmarkStart w:id="5285" w:name="_Toc396586247"/>
            <w:proofErr w:type="gramStart"/>
            <w:r w:rsidRPr="008625DC">
              <w:t>reducing</w:t>
            </w:r>
            <w:proofErr w:type="gramEnd"/>
            <w:r w:rsidRPr="008625DC">
              <w:t xml:space="preserve"> the cost, complexity and time taken to challenge existing regulations.</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r w:rsidRPr="008625DC">
              <w:t xml:space="preserve"> </w:t>
            </w:r>
          </w:p>
        </w:tc>
      </w:tr>
    </w:tbl>
    <w:p w14:paraId="0B38246F" w14:textId="2F26E171" w:rsidR="001E4B43" w:rsidRPr="008625DC" w:rsidRDefault="001E4B43" w:rsidP="001E4B43">
      <w:pPr>
        <w:spacing w:before="240"/>
      </w:pPr>
      <w:bookmarkStart w:id="5286" w:name="_Toc396397368"/>
      <w:bookmarkStart w:id="5287" w:name="_Toc395867678"/>
      <w:bookmarkStart w:id="5288" w:name="_Toc395868609"/>
      <w:bookmarkStart w:id="5289" w:name="_Toc395868810"/>
      <w:bookmarkStart w:id="5290" w:name="_Toc395878990"/>
      <w:bookmarkStart w:id="5291" w:name="_Toc395879189"/>
      <w:bookmarkStart w:id="5292" w:name="_Toc395882114"/>
      <w:bookmarkStart w:id="5293" w:name="_Toc395882313"/>
      <w:bookmarkStart w:id="5294" w:name="_Toc395882445"/>
      <w:bookmarkStart w:id="5295" w:name="_Toc395882644"/>
      <w:bookmarkStart w:id="5296" w:name="_Toc395880609"/>
      <w:bookmarkStart w:id="5297" w:name="_Toc395880940"/>
      <w:bookmarkStart w:id="5298" w:name="_Toc395881498"/>
      <w:bookmarkStart w:id="5299" w:name="_Toc395883883"/>
      <w:bookmarkStart w:id="5300" w:name="_Toc395884082"/>
      <w:bookmarkStart w:id="5301" w:name="_Toc395880838"/>
      <w:bookmarkStart w:id="5302" w:name="_Toc395884545"/>
      <w:bookmarkStart w:id="5303" w:name="_Toc395884744"/>
      <w:bookmarkStart w:id="5304" w:name="_Toc395883254"/>
      <w:bookmarkStart w:id="5305" w:name="_Toc395883453"/>
      <w:bookmarkStart w:id="5306" w:name="_Toc395883584"/>
      <w:bookmarkStart w:id="5307" w:name="_Toc395883783"/>
      <w:bookmarkStart w:id="5308" w:name="_Toc395884886"/>
      <w:bookmarkStart w:id="5309" w:name="_Toc396123893"/>
      <w:bookmarkStart w:id="5310" w:name="_Toc396130795"/>
      <w:bookmarkStart w:id="5311" w:name="_Toc396136373"/>
      <w:bookmarkStart w:id="5312" w:name="_Toc396138851"/>
      <w:bookmarkStart w:id="5313" w:name="_Toc396145597"/>
      <w:bookmarkStart w:id="5314" w:name="_Toc396145765"/>
      <w:bookmarkStart w:id="5315" w:name="_Toc396147587"/>
      <w:bookmarkStart w:id="5316" w:name="_Toc396147849"/>
      <w:bookmarkStart w:id="5317" w:name="_Toc396149105"/>
      <w:bookmarkStart w:id="5318" w:name="_Toc396148842"/>
      <w:bookmarkStart w:id="5319" w:name="_Toc396149599"/>
      <w:bookmarkStart w:id="5320" w:name="_Toc396149269"/>
      <w:bookmarkStart w:id="5321" w:name="_Toc396150028"/>
      <w:bookmarkStart w:id="5322" w:name="_Toc396149953"/>
      <w:bookmarkStart w:id="5323" w:name="_Toc396149727"/>
      <w:bookmarkStart w:id="5324" w:name="_Toc396150544"/>
      <w:bookmarkStart w:id="5325" w:name="_Toc396151457"/>
      <w:bookmarkStart w:id="5326" w:name="_Toc396151727"/>
      <w:bookmarkStart w:id="5327" w:name="_Toc396202468"/>
      <w:bookmarkStart w:id="5328" w:name="_Toc396202739"/>
      <w:bookmarkStart w:id="5329" w:name="_Toc396206676"/>
      <w:bookmarkStart w:id="5330" w:name="_Toc396206946"/>
      <w:bookmarkStart w:id="5331" w:name="_Toc396209504"/>
      <w:bookmarkStart w:id="5332" w:name="_Toc396209774"/>
      <w:bookmarkStart w:id="5333" w:name="_Toc396211928"/>
      <w:bookmarkStart w:id="5334" w:name="_Toc396212198"/>
      <w:bookmarkStart w:id="5335" w:name="_Toc396213272"/>
      <w:bookmarkStart w:id="5336" w:name="_Toc396213540"/>
      <w:bookmarkStart w:id="5337" w:name="_Toc396214550"/>
      <w:bookmarkStart w:id="5338" w:name="_Toc396214816"/>
      <w:bookmarkStart w:id="5339" w:name="_Toc396226662"/>
      <w:bookmarkStart w:id="5340" w:name="_Toc396226927"/>
      <w:bookmarkStart w:id="5341" w:name="_Toc396228862"/>
      <w:bookmarkStart w:id="5342" w:name="_Toc396229133"/>
      <w:bookmarkStart w:id="5343" w:name="_Toc396230775"/>
      <w:bookmarkStart w:id="5344" w:name="_Toc396231647"/>
      <w:bookmarkStart w:id="5345" w:name="_Toc396231917"/>
      <w:bookmarkStart w:id="5346" w:name="_Toc396233287"/>
      <w:bookmarkStart w:id="5347" w:name="_Toc396233557"/>
      <w:bookmarkStart w:id="5348" w:name="_Toc396234107"/>
      <w:bookmarkStart w:id="5349" w:name="_Toc396234377"/>
      <w:bookmarkStart w:id="5350" w:name="_Toc396234518"/>
      <w:bookmarkStart w:id="5351" w:name="_Toc396235737"/>
      <w:bookmarkStart w:id="5352" w:name="_Toc396236224"/>
      <w:bookmarkStart w:id="5353" w:name="_Toc396236002"/>
      <w:bookmarkStart w:id="5354" w:name="_Toc396304656"/>
      <w:bookmarkStart w:id="5355" w:name="_Toc396586248"/>
      <w:bookmarkStart w:id="5356" w:name="_Toc396815105"/>
      <w:bookmarkStart w:id="5357" w:name="_Toc396821055"/>
      <w:bookmarkStart w:id="5358" w:name="_Toc396821251"/>
      <w:bookmarkStart w:id="5359" w:name="_Toc396821663"/>
      <w:bookmarkStart w:id="5360" w:name="_Toc396827513"/>
      <w:bookmarkStart w:id="5361" w:name="_Toc396828484"/>
      <w:bookmarkStart w:id="5362" w:name="_Toc396828594"/>
      <w:bookmarkStart w:id="5363" w:name="_Toc396837983"/>
      <w:bookmarkStart w:id="5364" w:name="_Toc396838381"/>
      <w:bookmarkStart w:id="5365" w:name="_Toc396904114"/>
      <w:bookmarkStart w:id="5366" w:name="_Toc396904704"/>
      <w:bookmarkStart w:id="5367" w:name="_Toc396907538"/>
      <w:r w:rsidRPr="008625DC">
        <w:t xml:space="preserve">For further detail on planning and zoning, see </w:t>
      </w:r>
      <w:hyperlink w:anchor="s83" w:history="1">
        <w:r w:rsidR="00626BC0" w:rsidRPr="008625DC">
          <w:rPr>
            <w:rStyle w:val="Hyperlink"/>
          </w:rPr>
          <w:t>Section 8.3</w:t>
        </w:r>
      </w:hyperlink>
      <w:r w:rsidR="00626BC0" w:rsidRPr="008625DC">
        <w:t>.</w:t>
      </w:r>
    </w:p>
    <w:p w14:paraId="03DA62E9" w14:textId="77777777" w:rsidR="001E4B43" w:rsidRPr="008625DC" w:rsidRDefault="001E4B43" w:rsidP="001E4B43">
      <w:pPr>
        <w:pStyle w:val="Heading2"/>
        <w:ind w:left="851" w:hanging="851"/>
        <w:rPr>
          <w:lang w:val="en-AU"/>
        </w:rPr>
      </w:pPr>
      <w:bookmarkStart w:id="5368" w:name="_Toc396912457"/>
      <w:bookmarkStart w:id="5369" w:name="_Toc396914437"/>
      <w:bookmarkStart w:id="5370" w:name="_Toc396915321"/>
      <w:bookmarkStart w:id="5371" w:name="_Toc396915715"/>
      <w:bookmarkStart w:id="5372" w:name="_Toc396921026"/>
      <w:bookmarkStart w:id="5373" w:name="_Toc396924366"/>
      <w:bookmarkStart w:id="5374" w:name="_Toc396925060"/>
      <w:bookmarkStart w:id="5375" w:name="_Toc396992180"/>
      <w:bookmarkStart w:id="5376" w:name="_Toc396992759"/>
      <w:bookmarkStart w:id="5377" w:name="_Toc396994423"/>
      <w:bookmarkStart w:id="5378" w:name="_Toc397002194"/>
      <w:bookmarkStart w:id="5379" w:name="_Toc397003113"/>
      <w:bookmarkStart w:id="5380" w:name="_Toc397008671"/>
      <w:bookmarkStart w:id="5381" w:name="_Toc397008889"/>
      <w:bookmarkStart w:id="5382" w:name="_Toc397011561"/>
      <w:bookmarkStart w:id="5383" w:name="_Toc397012622"/>
      <w:bookmarkStart w:id="5384" w:name="_Toc397014964"/>
      <w:bookmarkStart w:id="5385" w:name="_Toc397015451"/>
      <w:bookmarkStart w:id="5386" w:name="_Toc397070522"/>
      <w:bookmarkStart w:id="5387" w:name="_Toc397413260"/>
      <w:bookmarkStart w:id="5388" w:name="_Toc397413407"/>
      <w:bookmarkStart w:id="5389" w:name="_Toc397427992"/>
      <w:bookmarkStart w:id="5390" w:name="_Toc397439380"/>
      <w:bookmarkStart w:id="5391" w:name="_Toc397439550"/>
      <w:bookmarkStart w:id="5392" w:name="_Toc397439806"/>
      <w:bookmarkStart w:id="5393" w:name="_Toc397440108"/>
      <w:bookmarkStart w:id="5394" w:name="_Toc397441737"/>
      <w:bookmarkStart w:id="5395" w:name="_Toc397517439"/>
      <w:bookmarkStart w:id="5396" w:name="_Toc397522704"/>
      <w:bookmarkStart w:id="5397" w:name="_Toc397526122"/>
      <w:bookmarkStart w:id="5398" w:name="_Toc397528437"/>
      <w:bookmarkStart w:id="5399" w:name="_Toc397528912"/>
      <w:bookmarkStart w:id="5400" w:name="_Toc397601909"/>
      <w:bookmarkStart w:id="5401" w:name="_Toc397602644"/>
      <w:bookmarkStart w:id="5402" w:name="_Toc397605773"/>
      <w:bookmarkStart w:id="5403" w:name="_Toc397614917"/>
      <w:bookmarkStart w:id="5404" w:name="_Toc397616360"/>
      <w:bookmarkStart w:id="5405" w:name="_Toc397616754"/>
      <w:bookmarkStart w:id="5406" w:name="_Toc397679164"/>
      <w:bookmarkStart w:id="5407" w:name="_Toc397688052"/>
      <w:bookmarkStart w:id="5408" w:name="_Toc397689268"/>
      <w:bookmarkStart w:id="5409" w:name="_Toc397694548"/>
      <w:bookmarkStart w:id="5410" w:name="_Toc397696389"/>
      <w:bookmarkStart w:id="5411" w:name="_Toc397697123"/>
      <w:bookmarkStart w:id="5412" w:name="_Toc397698410"/>
      <w:bookmarkStart w:id="5413" w:name="_Toc397699776"/>
      <w:bookmarkStart w:id="5414" w:name="_Toc397700230"/>
      <w:bookmarkStart w:id="5415" w:name="_Toc397936622"/>
      <w:bookmarkStart w:id="5416" w:name="_Toc397936742"/>
      <w:bookmarkStart w:id="5417" w:name="_Toc397945750"/>
      <w:bookmarkStart w:id="5418" w:name="_Toc397945897"/>
      <w:bookmarkStart w:id="5419" w:name="_Toc397946923"/>
      <w:bookmarkStart w:id="5420" w:name="_Toc397948042"/>
      <w:bookmarkStart w:id="5421" w:name="_Toc397958448"/>
      <w:bookmarkStart w:id="5422" w:name="_Toc397958690"/>
      <w:bookmarkStart w:id="5423" w:name="_Toc397959105"/>
      <w:bookmarkStart w:id="5424" w:name="_Toc397962958"/>
      <w:bookmarkStart w:id="5425" w:name="_Toc397963324"/>
      <w:bookmarkStart w:id="5426" w:name="_Toc397965401"/>
      <w:bookmarkStart w:id="5427" w:name="_Toc398197339"/>
      <w:bookmarkStart w:id="5428" w:name="_Toc398201556"/>
      <w:bookmarkStart w:id="5429" w:name="_Toc398207161"/>
      <w:bookmarkStart w:id="5430" w:name="_Toc398210434"/>
      <w:bookmarkStart w:id="5431" w:name="_Toc398210948"/>
      <w:bookmarkStart w:id="5432" w:name="_Toc398211085"/>
      <w:bookmarkStart w:id="5433" w:name="_Toc398219756"/>
      <w:bookmarkStart w:id="5434" w:name="_Toc398220131"/>
      <w:bookmarkStart w:id="5435" w:name="_Toc398220518"/>
      <w:bookmarkStart w:id="5436" w:name="_Toc398221596"/>
      <w:bookmarkStart w:id="5437" w:name="_Toc398222282"/>
      <w:bookmarkStart w:id="5438" w:name="_Toc398222594"/>
      <w:bookmarkStart w:id="5439" w:name="_Toc398223011"/>
      <w:bookmarkStart w:id="5440" w:name="_Toc398223390"/>
      <w:bookmarkStart w:id="5441" w:name="_Toc398223517"/>
      <w:bookmarkStart w:id="5442" w:name="_Toc398224325"/>
      <w:bookmarkStart w:id="5443" w:name="_Toc398225662"/>
      <w:bookmarkStart w:id="5444" w:name="_Toc398225787"/>
      <w:bookmarkStart w:id="5445" w:name="_Toc398281274"/>
      <w:bookmarkStart w:id="5446" w:name="_Toc398282133"/>
      <w:bookmarkStart w:id="5447" w:name="_Toc398284803"/>
      <w:bookmarkStart w:id="5448" w:name="_Toc398287272"/>
      <w:bookmarkStart w:id="5449" w:name="_Toc398289155"/>
      <w:bookmarkStart w:id="5450" w:name="_Toc398297152"/>
      <w:bookmarkStart w:id="5451" w:name="_Toc398298626"/>
      <w:bookmarkStart w:id="5452" w:name="_Toc398300327"/>
      <w:bookmarkStart w:id="5453" w:name="_Toc398301224"/>
      <w:bookmarkStart w:id="5454" w:name="_Toc398302409"/>
      <w:bookmarkStart w:id="5455" w:name="_Toc398302572"/>
      <w:bookmarkStart w:id="5456" w:name="_Toc398549084"/>
      <w:bookmarkStart w:id="5457" w:name="_Toc398549334"/>
      <w:bookmarkStart w:id="5458" w:name="_Toc398555753"/>
      <w:bookmarkStart w:id="5459" w:name="_Toc398558957"/>
      <w:bookmarkStart w:id="5460" w:name="_Toc398563443"/>
      <w:bookmarkStart w:id="5461" w:name="_Toc398563576"/>
      <w:bookmarkStart w:id="5462" w:name="_Toc398563975"/>
      <w:bookmarkStart w:id="5463" w:name="_Toc398827313"/>
      <w:bookmarkStart w:id="5464" w:name="_Toc398827507"/>
      <w:bookmarkStart w:id="5465" w:name="s28"/>
      <w:r w:rsidRPr="008625DC">
        <w:rPr>
          <w:lang w:val="en-AU"/>
        </w:rPr>
        <w:lastRenderedPageBreak/>
        <w:t>Regulatory restrictions</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bookmarkEnd w:id="5465"/>
    <w:p w14:paraId="6C113B0A" w14:textId="760E6A82" w:rsidR="001E4B43" w:rsidRPr="008625DC" w:rsidRDefault="001E4B43" w:rsidP="001E4B43">
      <w:r w:rsidRPr="008625DC">
        <w:t>The NCP reforms substantially reduced the amount of anti</w:t>
      </w:r>
      <w:r w:rsidR="00C74E19" w:rsidRPr="008625DC">
        <w:noBreakHyphen/>
      </w:r>
      <w:r w:rsidRPr="008625DC">
        <w:t>competitive regulation. There was a concerted effort by governments to examine and reform regulation that restricted competition where those restrictions were not in the public interest.</w:t>
      </w:r>
    </w:p>
    <w:p w14:paraId="6C12E9E3" w14:textId="77777777" w:rsidR="001E4B43" w:rsidRPr="008625DC" w:rsidRDefault="001E4B43" w:rsidP="001E4B43">
      <w:r w:rsidRPr="008625DC">
        <w:t xml:space="preserve">However, the regulation review process, begun under the NCP, has flagged and there is a need for reinvigoration. </w:t>
      </w:r>
    </w:p>
    <w:p w14:paraId="2CA3A207" w14:textId="77777777" w:rsidR="001E4B43" w:rsidRPr="008625DC" w:rsidRDefault="001E4B43" w:rsidP="001E4B43">
      <w:pPr>
        <w:spacing w:after="120"/>
      </w:pPr>
      <w:r w:rsidRPr="008625DC">
        <w:t>The Panel has identified the following priority areas for reform that are covered in other Draft Recommendations. Each area was originally identified by the NCP process. Subsequent reviews have also recommended the removal of restrictions in each case:</w:t>
      </w:r>
    </w:p>
    <w:p w14:paraId="1C8BA410" w14:textId="77777777" w:rsidR="001E4B43" w:rsidRPr="008625DC" w:rsidRDefault="001E4B43" w:rsidP="001E4B43">
      <w:pPr>
        <w:pStyle w:val="Bullet"/>
      </w:pPr>
      <w:r w:rsidRPr="008625DC">
        <w:t>taxi licences (Draft Recommendation 6);</w:t>
      </w:r>
    </w:p>
    <w:p w14:paraId="3421B229" w14:textId="77777777" w:rsidR="001E4B43" w:rsidRPr="008625DC" w:rsidRDefault="001E4B43" w:rsidP="001E4B43">
      <w:pPr>
        <w:pStyle w:val="Bullet"/>
      </w:pPr>
      <w:r w:rsidRPr="008625DC">
        <w:t>intellectual property (Draft Recommendations 7 and 8);</w:t>
      </w:r>
    </w:p>
    <w:p w14:paraId="0BBC9927" w14:textId="32FC4D29" w:rsidR="001E4B43" w:rsidRPr="008625DC" w:rsidRDefault="001E4B43" w:rsidP="001E4B43">
      <w:pPr>
        <w:pStyle w:val="Bullet"/>
      </w:pPr>
      <w:r w:rsidRPr="008625DC">
        <w:t>parallel import restr</w:t>
      </w:r>
      <w:r w:rsidR="00ED3E75">
        <w:t>ictions (Draft Recommendation 9</w:t>
      </w:r>
      <w:r w:rsidRPr="008625DC">
        <w:t>);</w:t>
      </w:r>
    </w:p>
    <w:p w14:paraId="5D4C20DE" w14:textId="77777777" w:rsidR="001E4B43" w:rsidRPr="008625DC" w:rsidRDefault="001E4B43" w:rsidP="001E4B43">
      <w:pPr>
        <w:pStyle w:val="Bullet"/>
      </w:pPr>
      <w:r w:rsidRPr="008625DC">
        <w:t>planning and zoning rules (Draft Recommendation 10);</w:t>
      </w:r>
    </w:p>
    <w:p w14:paraId="4C95CB3A" w14:textId="77777777" w:rsidR="001E4B43" w:rsidRPr="008625DC" w:rsidRDefault="001E4B43" w:rsidP="001E4B43">
      <w:pPr>
        <w:pStyle w:val="Bullet"/>
      </w:pPr>
      <w:r w:rsidRPr="008625DC">
        <w:t>restrictions on retail trading hours (Draft Recommendation 51); and</w:t>
      </w:r>
    </w:p>
    <w:p w14:paraId="29A23D19" w14:textId="77777777" w:rsidR="001E4B43" w:rsidRPr="008625DC" w:rsidRDefault="001E4B43" w:rsidP="00635764">
      <w:pPr>
        <w:pStyle w:val="Bullet"/>
        <w:spacing w:after="240"/>
      </w:pPr>
      <w:proofErr w:type="gramStart"/>
      <w:r w:rsidRPr="008625DC">
        <w:t>pharmacy</w:t>
      </w:r>
      <w:proofErr w:type="gramEnd"/>
      <w:r w:rsidRPr="008625DC">
        <w:t xml:space="preserve"> ownership and location rules (Draft Recommendation 52).</w:t>
      </w:r>
    </w:p>
    <w:p w14:paraId="500EB76E" w14:textId="77777777" w:rsidR="001E4B43" w:rsidRPr="008625DC" w:rsidRDefault="001E4B43" w:rsidP="001E4B43">
      <w:r w:rsidRPr="008625DC">
        <w:t xml:space="preserve">There are other examples of regulatory restrictions on competition raised in submissions including occupational licensing and/or other professional standards, product standards and licensing, broadcast media rules, liquor and gambling regulation, private health insurance regulation, agricultural marketing rules and air service restrictions. </w:t>
      </w:r>
    </w:p>
    <w:p w14:paraId="5F9FDE83" w14:textId="77777777" w:rsidR="001E4B43" w:rsidRPr="008625DC" w:rsidRDefault="001E4B43" w:rsidP="001E4B43">
      <w:r w:rsidRPr="008625DC">
        <w:t>Cumulatively, such restrictions can have a significant impact on the economy. Many sectors facing regulatory restrictions supply significant inputs to other business activities.</w:t>
      </w:r>
    </w:p>
    <w:p w14:paraId="1328227B" w14:textId="1A3B7A14" w:rsidR="001E4B43" w:rsidRPr="008625DC" w:rsidRDefault="001E4B43" w:rsidP="001E4B43">
      <w:bookmarkStart w:id="5466" w:name="_Toc396138852"/>
      <w:bookmarkStart w:id="5467" w:name="_Toc396144600"/>
      <w:bookmarkStart w:id="5468" w:name="_Toc396145766"/>
      <w:bookmarkStart w:id="5469" w:name="_Toc396147588"/>
      <w:bookmarkStart w:id="5470" w:name="_Toc396148843"/>
      <w:bookmarkStart w:id="5471" w:name="_Toc396149270"/>
      <w:bookmarkStart w:id="5472" w:name="_Toc396149728"/>
      <w:bookmarkStart w:id="5473" w:name="_Toc396151458"/>
      <w:bookmarkStart w:id="5474" w:name="_Toc396202469"/>
      <w:bookmarkStart w:id="5475" w:name="_Toc396206677"/>
      <w:bookmarkStart w:id="5476" w:name="_Toc396209505"/>
      <w:bookmarkStart w:id="5477" w:name="_Toc396211929"/>
      <w:bookmarkStart w:id="5478" w:name="_Toc396213273"/>
      <w:bookmarkStart w:id="5479" w:name="_Toc396214551"/>
      <w:bookmarkStart w:id="5480" w:name="_Toc396226663"/>
      <w:bookmarkStart w:id="5481" w:name="_Toc396228863"/>
      <w:bookmarkStart w:id="5482" w:name="_Toc396231648"/>
      <w:bookmarkStart w:id="5483" w:name="_Toc396233288"/>
      <w:bookmarkStart w:id="5484" w:name="_Toc396234108"/>
      <w:bookmarkStart w:id="5485" w:name="_Toc396234519"/>
      <w:bookmarkStart w:id="5486" w:name="_Toc396235738"/>
      <w:bookmarkStart w:id="5487" w:name="_Toc396586249"/>
      <w:r w:rsidRPr="008625DC">
        <w:t>Maintaining a rigorous, transparent and independent assessment of whether regulations are in the public interest, with the onus on the party wishing to retain anti</w:t>
      </w:r>
      <w:r w:rsidR="00C74E19" w:rsidRPr="008625DC">
        <w:noBreakHyphen/>
      </w:r>
      <w:r w:rsidRPr="008625DC">
        <w:t>competitive regulation, is important to ensure regulation serves the long</w:t>
      </w:r>
      <w:r w:rsidR="00C74E19" w:rsidRPr="008625DC">
        <w:noBreakHyphen/>
      </w:r>
      <w:r w:rsidRPr="008625DC">
        <w:t xml:space="preserve">term interests of consumers. </w:t>
      </w:r>
    </w:p>
    <w:p w14:paraId="05BF88D3" w14:textId="505AAD2A" w:rsidR="001E4B43" w:rsidRPr="008625DC" w:rsidRDefault="001E4B43" w:rsidP="001E4B43">
      <w:r w:rsidRPr="008625DC">
        <w:t>Opportunities will also arise to examine regulations when reviews are undertaken for other purposes. For example, recently</w:t>
      </w:r>
      <w:r w:rsidR="00C74E19" w:rsidRPr="008625DC">
        <w:noBreakHyphen/>
      </w:r>
      <w:r w:rsidRPr="008625DC">
        <w:t>announced Australian Government reviews in the communications portfolio should consider the impact of the current restrictions on competition in that sector.</w:t>
      </w:r>
    </w:p>
    <w:p w14:paraId="1FF0CCB6" w14:textId="77777777" w:rsidR="001E4B43" w:rsidRPr="008625DC" w:rsidRDefault="001E4B43" w:rsidP="00635764">
      <w:pPr>
        <w:rPr>
          <w:rFonts w:ascii="Times New Roman" w:hAnsi="Times New Roman"/>
          <w:color w:val="auto"/>
          <w:sz w:val="24"/>
          <w:szCs w:val="24"/>
        </w:rPr>
      </w:pPr>
      <w:r w:rsidRPr="008625DC">
        <w:t xml:space="preserve">Certain activities can be exempted from the operation of the competition laws under Part IV of the CCA (apart from the merger laws) by being authorised in Commonwealth, state or territory legislation (subsection 51(1) of the CCA). </w:t>
      </w:r>
    </w:p>
    <w:p w14:paraId="73EA3596" w14:textId="77777777" w:rsidR="001E4B43" w:rsidRPr="008625DC" w:rsidRDefault="001E4B43" w:rsidP="00635764">
      <w:r w:rsidRPr="008625DC">
        <w:t>The Panel believes that such jurisdictional exemptions for conduct that would normally contravene the competition laws should be examined to ensure they remain necessary and appropriate in their scope. Any further exemptions should be drafted as narrowly as possible to give effect to their policy intent.</w:t>
      </w:r>
    </w:p>
    <w:p w14:paraId="7B16A2AA" w14:textId="77777777" w:rsidR="001E4B43" w:rsidRPr="008625DC" w:rsidRDefault="001E4B43" w:rsidP="00635764">
      <w:pPr>
        <w:pStyle w:val="SingleParagraph"/>
      </w:pP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340ACF11" w14:textId="77777777" w:rsidTr="001E4B43">
        <w:tc>
          <w:tcPr>
            <w:tcW w:w="5000" w:type="pct"/>
            <w:shd w:val="clear" w:color="auto" w:fill="E9F7F3" w:themeFill="accent4" w:themeFillTint="33"/>
          </w:tcPr>
          <w:p w14:paraId="2E6B589B" w14:textId="77777777" w:rsidR="001E4B43" w:rsidRPr="008625DC" w:rsidRDefault="001E4B43" w:rsidP="001E4B43">
            <w:pPr>
              <w:pStyle w:val="RecommendationHeading"/>
            </w:pPr>
            <w:bookmarkStart w:id="5488" w:name="DR11"/>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r w:rsidRPr="008625DC">
              <w:t xml:space="preserve"> — Regulation review</w:t>
            </w:r>
          </w:p>
          <w:p w14:paraId="67330E18" w14:textId="77777777" w:rsidR="001E4B43" w:rsidRPr="008625DC" w:rsidRDefault="001E4B43" w:rsidP="001E4B43">
            <w:pPr>
              <w:pStyle w:val="RecommendationText"/>
            </w:pPr>
            <w:bookmarkStart w:id="5489" w:name="_Toc396586250"/>
            <w:bookmarkStart w:id="5490" w:name="_Toc395868610"/>
            <w:bookmarkStart w:id="5491" w:name="_Toc395878991"/>
            <w:bookmarkStart w:id="5492" w:name="_Toc395882115"/>
            <w:bookmarkStart w:id="5493" w:name="_Toc395882446"/>
            <w:bookmarkStart w:id="5494" w:name="_Toc395880610"/>
            <w:bookmarkStart w:id="5495" w:name="_Toc395880941"/>
            <w:bookmarkStart w:id="5496" w:name="_Toc395881499"/>
            <w:bookmarkStart w:id="5497" w:name="_Toc395883884"/>
            <w:bookmarkStart w:id="5498" w:name="_Toc395880839"/>
            <w:bookmarkStart w:id="5499" w:name="_Toc395884546"/>
            <w:bookmarkStart w:id="5500" w:name="_Toc395883255"/>
            <w:bookmarkStart w:id="5501" w:name="_Toc395883585"/>
            <w:bookmarkStart w:id="5502" w:name="_Toc395884887"/>
            <w:bookmarkStart w:id="5503" w:name="_Toc396138853"/>
            <w:bookmarkStart w:id="5504" w:name="_Toc396145767"/>
            <w:bookmarkStart w:id="5505" w:name="_Toc396147589"/>
            <w:bookmarkStart w:id="5506" w:name="_Toc396148844"/>
            <w:bookmarkStart w:id="5507" w:name="_Toc396149271"/>
            <w:bookmarkStart w:id="5508" w:name="_Toc396149729"/>
            <w:bookmarkStart w:id="5509" w:name="_Toc396151459"/>
            <w:bookmarkStart w:id="5510" w:name="_Toc396202470"/>
            <w:bookmarkStart w:id="5511" w:name="_Toc396206678"/>
            <w:bookmarkStart w:id="5512" w:name="_Toc396209506"/>
            <w:bookmarkStart w:id="5513" w:name="_Toc396211930"/>
            <w:bookmarkStart w:id="5514" w:name="_Toc396213274"/>
            <w:bookmarkStart w:id="5515" w:name="_Toc396214552"/>
            <w:bookmarkStart w:id="5516" w:name="_Toc396226664"/>
            <w:bookmarkStart w:id="5517" w:name="_Toc396228864"/>
            <w:bookmarkStart w:id="5518" w:name="_Toc396231649"/>
            <w:bookmarkStart w:id="5519" w:name="_Toc396233289"/>
            <w:bookmarkStart w:id="5520" w:name="_Toc396234109"/>
            <w:bookmarkStart w:id="5521" w:name="_Toc396234520"/>
            <w:bookmarkStart w:id="5522" w:name="_Toc396235739"/>
            <w:r w:rsidRPr="008625DC">
              <w:t>All Australian governments, including local government, should review regulations in their jurisdictions to ensure that unnecessary restrictions on competition are removed.</w:t>
            </w:r>
            <w:bookmarkEnd w:id="5489"/>
            <w:r w:rsidRPr="008625DC">
              <w:t xml:space="preserve"> </w:t>
            </w:r>
          </w:p>
          <w:p w14:paraId="2CB09C1E" w14:textId="77777777" w:rsidR="001E4B43" w:rsidRPr="008625DC" w:rsidRDefault="001E4B43" w:rsidP="001E4B43">
            <w:pPr>
              <w:pStyle w:val="RecommendationText"/>
            </w:pPr>
            <w:bookmarkStart w:id="5523" w:name="_Toc395868611"/>
            <w:bookmarkStart w:id="5524" w:name="_Toc395878992"/>
            <w:bookmarkStart w:id="5525" w:name="_Toc395882116"/>
            <w:bookmarkStart w:id="5526" w:name="_Toc395882447"/>
            <w:bookmarkStart w:id="5527" w:name="_Toc395880611"/>
            <w:bookmarkStart w:id="5528" w:name="_Toc395880942"/>
            <w:bookmarkStart w:id="5529" w:name="_Toc395881500"/>
            <w:bookmarkStart w:id="5530" w:name="_Toc395883885"/>
            <w:bookmarkStart w:id="5531" w:name="_Toc395880840"/>
            <w:bookmarkStart w:id="5532" w:name="_Toc395884547"/>
            <w:bookmarkStart w:id="5533" w:name="_Toc395883256"/>
            <w:bookmarkStart w:id="5534" w:name="_Toc395883586"/>
            <w:bookmarkStart w:id="5535" w:name="_Toc395884888"/>
            <w:bookmarkStart w:id="5536" w:name="_Toc396138854"/>
            <w:bookmarkStart w:id="5537" w:name="_Toc396145768"/>
            <w:bookmarkStart w:id="5538" w:name="_Toc396147590"/>
            <w:bookmarkStart w:id="5539" w:name="_Toc396148845"/>
            <w:bookmarkStart w:id="5540" w:name="_Toc396149272"/>
            <w:bookmarkStart w:id="5541" w:name="_Toc396149730"/>
            <w:bookmarkStart w:id="5542" w:name="_Toc396151460"/>
            <w:bookmarkStart w:id="5543" w:name="_Toc396202471"/>
            <w:bookmarkStart w:id="5544" w:name="_Toc396206679"/>
            <w:bookmarkStart w:id="5545" w:name="_Toc396209507"/>
            <w:bookmarkStart w:id="5546" w:name="_Toc396211931"/>
            <w:bookmarkStart w:id="5547" w:name="_Toc396213275"/>
            <w:bookmarkStart w:id="5548" w:name="_Toc396214553"/>
            <w:bookmarkStart w:id="5549" w:name="_Toc396226665"/>
            <w:bookmarkStart w:id="5550" w:name="_Toc396228865"/>
            <w:bookmarkStart w:id="5551" w:name="_Toc396231650"/>
            <w:bookmarkStart w:id="5552" w:name="_Toc396233290"/>
            <w:bookmarkStart w:id="5553" w:name="_Toc396234110"/>
            <w:bookmarkStart w:id="5554" w:name="_Toc396234521"/>
            <w:bookmarkStart w:id="5555" w:name="_Toc396235740"/>
            <w:bookmarkStart w:id="5556" w:name="_Toc396586252"/>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r w:rsidRPr="008625DC">
              <w:t>Regulations should be subject to a public benefit test, so that any policies or rules restricting competition must demonstrate that:</w:t>
            </w:r>
          </w:p>
          <w:p w14:paraId="0E61E5DF" w14:textId="77777777" w:rsidR="001E4B43" w:rsidRPr="008625DC" w:rsidRDefault="001E4B43" w:rsidP="00DB4ECC">
            <w:pPr>
              <w:pStyle w:val="RecommendationBullet"/>
            </w:pPr>
            <w:r w:rsidRPr="008625DC">
              <w:t xml:space="preserve">they are in the public interest; and </w:t>
            </w:r>
          </w:p>
          <w:p w14:paraId="5CBC4D9D" w14:textId="77777777" w:rsidR="001E4B43" w:rsidRPr="008625DC" w:rsidRDefault="001E4B43" w:rsidP="00DB4ECC">
            <w:pPr>
              <w:pStyle w:val="RecommendationBullet"/>
            </w:pPr>
            <w:proofErr w:type="gramStart"/>
            <w:r w:rsidRPr="008625DC">
              <w:t>the</w:t>
            </w:r>
            <w:proofErr w:type="gramEnd"/>
            <w:r w:rsidRPr="008625DC">
              <w:t xml:space="preserve"> objectives of the legislation or government policy can only be achieved by restricting competition.</w:t>
            </w:r>
            <w:bookmarkStart w:id="5557" w:name="_Toc396586253"/>
            <w:bookmarkStart w:id="5558" w:name="_Toc395868612"/>
            <w:bookmarkStart w:id="5559" w:name="_Toc395878993"/>
            <w:bookmarkStart w:id="5560" w:name="_Toc395882117"/>
            <w:bookmarkStart w:id="5561" w:name="_Toc395882448"/>
            <w:bookmarkStart w:id="5562" w:name="_Toc395880612"/>
            <w:bookmarkStart w:id="5563" w:name="_Toc395880943"/>
            <w:bookmarkStart w:id="5564" w:name="_Toc395881501"/>
            <w:bookmarkStart w:id="5565" w:name="_Toc395883886"/>
            <w:bookmarkStart w:id="5566" w:name="_Toc395880841"/>
            <w:bookmarkStart w:id="5567" w:name="_Toc395884548"/>
            <w:bookmarkStart w:id="5568" w:name="_Toc395883257"/>
            <w:bookmarkStart w:id="5569" w:name="_Toc395883587"/>
            <w:bookmarkStart w:id="5570" w:name="_Toc395884889"/>
            <w:bookmarkStart w:id="5571" w:name="_Toc396138855"/>
            <w:bookmarkStart w:id="5572" w:name="_Toc396145769"/>
            <w:bookmarkStart w:id="5573" w:name="_Toc396147591"/>
            <w:bookmarkStart w:id="5574" w:name="_Toc396148846"/>
            <w:bookmarkStart w:id="5575" w:name="_Toc396149273"/>
            <w:bookmarkStart w:id="5576" w:name="_Toc396149731"/>
            <w:bookmarkStart w:id="5577" w:name="_Toc396151461"/>
            <w:bookmarkStart w:id="5578" w:name="_Toc396202472"/>
            <w:bookmarkStart w:id="5579" w:name="_Toc396206681"/>
            <w:bookmarkStart w:id="5580" w:name="_Toc396209509"/>
            <w:bookmarkStart w:id="5581" w:name="_Toc396211933"/>
            <w:bookmarkStart w:id="5582" w:name="_Toc396213277"/>
            <w:bookmarkStart w:id="5583" w:name="_Toc396214555"/>
            <w:bookmarkStart w:id="5584" w:name="_Toc396226667"/>
            <w:bookmarkStart w:id="5585" w:name="_Toc396228867"/>
            <w:bookmarkStart w:id="5586" w:name="_Toc396231652"/>
            <w:bookmarkStart w:id="5587" w:name="_Toc396233292"/>
            <w:bookmarkStart w:id="5588" w:name="_Toc396234112"/>
            <w:bookmarkStart w:id="5589" w:name="_Toc396234523"/>
            <w:bookmarkStart w:id="5590" w:name="_Toc39623574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14:paraId="3EFA6351" w14:textId="46854A46" w:rsidR="001E4B43" w:rsidRPr="008625DC" w:rsidRDefault="001E4B43" w:rsidP="001E4B43">
            <w:pPr>
              <w:pStyle w:val="RecommendationText"/>
            </w:pPr>
            <w:r w:rsidRPr="008625DC">
              <w:t>Factors to consider in assessing the public interest should be determined on a case</w:t>
            </w:r>
            <w:r w:rsidR="00C74E19" w:rsidRPr="008625DC">
              <w:noBreakHyphen/>
            </w:r>
            <w:r w:rsidRPr="008625DC">
              <w:t>by</w:t>
            </w:r>
            <w:r w:rsidR="00C74E19" w:rsidRPr="008625DC">
              <w:noBreakHyphen/>
            </w:r>
            <w:r w:rsidRPr="008625DC">
              <w:t>case basis and not narrowed to a specific set of indicators.</w:t>
            </w:r>
            <w:bookmarkEnd w:id="5557"/>
            <w:r w:rsidRPr="008625DC">
              <w:t xml:space="preserve"> </w:t>
            </w:r>
          </w:p>
          <w:p w14:paraId="26C0E7C1" w14:textId="77777777" w:rsidR="001E4B43" w:rsidRPr="008625DC" w:rsidRDefault="001E4B43" w:rsidP="001E4B43">
            <w:pPr>
              <w:pStyle w:val="RecommendationText"/>
            </w:pPr>
            <w:r w:rsidRPr="008625DC">
              <w:t>Jurisdictional exemptions for conduct that would normally contravene the competition laws (by virtue of subsection 51(1) of the CCA) should also be examined as part of this review, to ensure they remain necessary and appropriate in their scope. Any further exemptions should be drafted as narrowly as possible to give effect to their policy intent.</w:t>
            </w:r>
          </w:p>
          <w:p w14:paraId="51879BF9" w14:textId="77777777" w:rsidR="001E4B43" w:rsidRPr="008625DC" w:rsidRDefault="001E4B43" w:rsidP="001E4B43">
            <w:pPr>
              <w:pStyle w:val="RecommendationText"/>
            </w:pPr>
            <w:r w:rsidRPr="008625DC">
              <w:t>The review process should be transparent, with highest priority areas for review identified in each jurisdiction, and results published along with timetables for reform.</w:t>
            </w:r>
          </w:p>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14:paraId="5A777686" w14:textId="77777777" w:rsidR="001E4B43" w:rsidRPr="008625DC" w:rsidRDefault="001E4B43" w:rsidP="001E4B43">
            <w:pPr>
              <w:pStyle w:val="RecommendationText"/>
            </w:pPr>
            <w:r w:rsidRPr="008625DC">
              <w:t>The review process should be overseen by the proposed Australian Council for Competition Policy (see Draft Recommendation 39) with a focus on the outcomes achieved, rather than the process undertaken. The Australian Council for Competition Policy should conduct an annual review of regulatory restrictions and make its report available for public scrutiny.</w:t>
            </w:r>
          </w:p>
        </w:tc>
      </w:tr>
    </w:tbl>
    <w:p w14:paraId="1DB69798" w14:textId="64942B72" w:rsidR="001E4B43" w:rsidRPr="008625DC" w:rsidRDefault="001E4B43" w:rsidP="001E4B43">
      <w:pPr>
        <w:spacing w:before="240"/>
      </w:pPr>
      <w:r w:rsidRPr="008625DC">
        <w:t>Agreements relating to the implementation of Australian Standards are exempt from the operation of competition laws.</w:t>
      </w:r>
      <w:r w:rsidRPr="008625DC">
        <w:rPr>
          <w:rStyle w:val="FootnoteReference"/>
        </w:rPr>
        <w:footnoteReference w:id="10"/>
      </w:r>
      <w:r w:rsidRPr="008625DC">
        <w:t xml:space="preserve"> This exemption recognises that harmonisation through standards is generally thought to be a good thing, but that collaboration by industry in relation to standards could be considered anti</w:t>
      </w:r>
      <w:r w:rsidR="00C74E19" w:rsidRPr="008625DC">
        <w:noBreakHyphen/>
      </w:r>
      <w:r w:rsidRPr="008625DC">
        <w:t>competitive.</w:t>
      </w:r>
    </w:p>
    <w:p w14:paraId="00E26296" w14:textId="77777777" w:rsidR="001E4B43" w:rsidRPr="008625DC" w:rsidRDefault="001E4B43" w:rsidP="001E4B43">
      <w:r w:rsidRPr="008625DC">
        <w:t xml:space="preserve">Given that standards can raise barriers to entry, especially where they are incorporated into legislation and mandate particular technologies or systems rather than performance outcomes, it is appropriate that they too be subject to review.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5E87E674" w14:textId="77777777" w:rsidTr="001E4B43">
        <w:tc>
          <w:tcPr>
            <w:tcW w:w="5000" w:type="pct"/>
            <w:shd w:val="clear" w:color="auto" w:fill="E9F7F3" w:themeFill="accent4" w:themeFillTint="33"/>
          </w:tcPr>
          <w:p w14:paraId="07ECC918" w14:textId="77777777" w:rsidR="001E4B43" w:rsidRPr="008625DC" w:rsidRDefault="001E4B43" w:rsidP="001E4B43">
            <w:pPr>
              <w:pStyle w:val="RecommendationHeading"/>
            </w:pPr>
            <w:bookmarkStart w:id="5591" w:name="_Toc396138858"/>
            <w:bookmarkStart w:id="5592" w:name="_Toc396145772"/>
            <w:bookmarkStart w:id="5593" w:name="_Toc396147594"/>
            <w:bookmarkStart w:id="5594" w:name="_Toc396148849"/>
            <w:bookmarkStart w:id="5595" w:name="_Toc396149276"/>
            <w:bookmarkStart w:id="5596" w:name="_Toc396149734"/>
            <w:bookmarkStart w:id="5597" w:name="_Toc396151464"/>
            <w:bookmarkStart w:id="5598" w:name="_Toc396202475"/>
            <w:bookmarkStart w:id="5599" w:name="_Toc396206683"/>
            <w:bookmarkStart w:id="5600" w:name="_Toc396209511"/>
            <w:bookmarkStart w:id="5601" w:name="_Toc396211935"/>
            <w:bookmarkStart w:id="5602" w:name="_Toc396213278"/>
            <w:bookmarkStart w:id="5603" w:name="_Toc396214556"/>
            <w:bookmarkStart w:id="5604" w:name="_Toc396226668"/>
            <w:bookmarkStart w:id="5605" w:name="_Toc396228868"/>
            <w:bookmarkStart w:id="5606" w:name="_Toc396231653"/>
            <w:bookmarkStart w:id="5607" w:name="_Toc396233293"/>
            <w:bookmarkStart w:id="5608" w:name="_Toc396234113"/>
            <w:bookmarkStart w:id="5609" w:name="_Toc396234524"/>
            <w:bookmarkStart w:id="5610" w:name="_Toc396235743"/>
            <w:bookmarkStart w:id="5611" w:name="_Toc396586254"/>
            <w:bookmarkStart w:id="5612" w:name="DR12"/>
            <w:r w:rsidRPr="008625DC">
              <w:t xml:space="preserve">Draft Recommendation </w:t>
            </w:r>
            <w:r w:rsidRPr="008625DC">
              <w:fldChar w:fldCharType="begin"/>
            </w:r>
            <w:r w:rsidRPr="008625DC">
              <w:instrText xml:space="preserve"> AUTONUMLGL  \* Arabic \e </w:instrText>
            </w:r>
            <w:r w:rsidRPr="008625DC">
              <w:fldChar w:fldCharType="end"/>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r w:rsidRPr="008625DC">
              <w:t xml:space="preserve"> — Standards review</w:t>
            </w:r>
          </w:p>
          <w:p w14:paraId="21EB64D4" w14:textId="12BCA25B" w:rsidR="001E4B43" w:rsidRPr="008625DC" w:rsidRDefault="001E4B43" w:rsidP="001E4B43">
            <w:pPr>
              <w:pStyle w:val="RecommendationText"/>
            </w:pPr>
            <w:bookmarkStart w:id="5613" w:name="_Toc396586255"/>
            <w:bookmarkStart w:id="5614" w:name="_Toc395868615"/>
            <w:bookmarkStart w:id="5615" w:name="_Toc395878996"/>
            <w:bookmarkStart w:id="5616" w:name="_Toc395882120"/>
            <w:bookmarkStart w:id="5617" w:name="_Toc395882451"/>
            <w:bookmarkStart w:id="5618" w:name="_Toc395880615"/>
            <w:bookmarkStart w:id="5619" w:name="_Toc395880946"/>
            <w:bookmarkStart w:id="5620" w:name="_Toc395881504"/>
            <w:bookmarkStart w:id="5621" w:name="_Toc395883889"/>
            <w:bookmarkStart w:id="5622" w:name="_Toc395884551"/>
            <w:bookmarkStart w:id="5623" w:name="_Toc395883260"/>
            <w:bookmarkStart w:id="5624" w:name="_Toc395883590"/>
            <w:bookmarkStart w:id="5625" w:name="_Toc395884892"/>
            <w:bookmarkStart w:id="5626" w:name="_Toc396138859"/>
            <w:bookmarkStart w:id="5627" w:name="_Toc396145773"/>
            <w:bookmarkStart w:id="5628" w:name="_Toc396147595"/>
            <w:bookmarkStart w:id="5629" w:name="_Toc396148850"/>
            <w:bookmarkStart w:id="5630" w:name="_Toc396149277"/>
            <w:bookmarkStart w:id="5631" w:name="_Toc396149735"/>
            <w:bookmarkStart w:id="5632" w:name="_Toc396151465"/>
            <w:bookmarkStart w:id="5633" w:name="_Toc396202476"/>
            <w:bookmarkStart w:id="5634" w:name="_Toc396206684"/>
            <w:bookmarkStart w:id="5635" w:name="_Toc396209512"/>
            <w:bookmarkStart w:id="5636" w:name="_Toc396211936"/>
            <w:bookmarkStart w:id="5637" w:name="_Toc396213279"/>
            <w:bookmarkStart w:id="5638" w:name="_Toc396214557"/>
            <w:bookmarkStart w:id="5639" w:name="_Toc396226669"/>
            <w:bookmarkStart w:id="5640" w:name="_Toc396228869"/>
            <w:bookmarkStart w:id="5641" w:name="_Toc396231654"/>
            <w:bookmarkStart w:id="5642" w:name="_Toc396233294"/>
            <w:bookmarkStart w:id="5643" w:name="_Toc396234114"/>
            <w:bookmarkStart w:id="5644" w:name="_Toc396234525"/>
            <w:bookmarkStart w:id="5645" w:name="_Toc396235744"/>
            <w:r w:rsidRPr="008625DC">
              <w:t>Given the unique position of Australian Standards under paragraph 51(2)(c) of the CCA, the Australian Government</w:t>
            </w:r>
            <w:r w:rsidR="00C74E19" w:rsidRPr="008625DC">
              <w:t>’</w:t>
            </w:r>
            <w:r w:rsidRPr="008625DC">
              <w:t>s Memorandum of Understanding with Standards Australia should require that non</w:t>
            </w:r>
            <w:r w:rsidR="00C74E19" w:rsidRPr="008625DC">
              <w:noBreakHyphen/>
            </w:r>
            <w:r w:rsidRPr="008625DC">
              <w:t>government mandated standards be reviewed according to the same process specified in Draft Recommendation 11.</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tc>
      </w:tr>
    </w:tbl>
    <w:p w14:paraId="1EA0D2A3" w14:textId="7DEA4E5F" w:rsidR="001E4B43" w:rsidRPr="008625DC" w:rsidRDefault="001E4B43" w:rsidP="001E4B43">
      <w:pPr>
        <w:spacing w:before="240"/>
      </w:pPr>
      <w:bookmarkStart w:id="5646" w:name="_Toc396815106"/>
      <w:r w:rsidRPr="008625DC">
        <w:t xml:space="preserve">For further detail on regulatory restrictions, see </w:t>
      </w:r>
      <w:hyperlink w:anchor="Ch8" w:history="1">
        <w:r w:rsidRPr="008625DC">
          <w:rPr>
            <w:rStyle w:val="Hyperlink"/>
          </w:rPr>
          <w:t>Chapter 8</w:t>
        </w:r>
      </w:hyperlink>
      <w:r w:rsidRPr="008625DC">
        <w:t>.</w:t>
      </w:r>
    </w:p>
    <w:p w14:paraId="780ACDBF" w14:textId="77777777" w:rsidR="00635764" w:rsidRPr="008625DC" w:rsidRDefault="00635764" w:rsidP="00635764">
      <w:pPr>
        <w:pStyle w:val="SingleParagraph"/>
      </w:pPr>
    </w:p>
    <w:p w14:paraId="1ABD74F5" w14:textId="77777777" w:rsidR="001E4B43" w:rsidRPr="008625DC" w:rsidRDefault="001E4B43" w:rsidP="001E4B43">
      <w:pPr>
        <w:pStyle w:val="Heading2"/>
        <w:ind w:left="851" w:hanging="851"/>
        <w:rPr>
          <w:lang w:val="en-AU"/>
        </w:rPr>
      </w:pPr>
      <w:bookmarkStart w:id="5647" w:name="_Toc395867679"/>
      <w:bookmarkStart w:id="5648" w:name="_Toc395868617"/>
      <w:bookmarkStart w:id="5649" w:name="_Toc395868811"/>
      <w:bookmarkStart w:id="5650" w:name="_Toc395878998"/>
      <w:bookmarkStart w:id="5651" w:name="_Toc395879190"/>
      <w:bookmarkStart w:id="5652" w:name="_Toc395882122"/>
      <w:bookmarkStart w:id="5653" w:name="_Toc395882314"/>
      <w:bookmarkStart w:id="5654" w:name="_Toc395882453"/>
      <w:bookmarkStart w:id="5655" w:name="_Toc395882645"/>
      <w:bookmarkStart w:id="5656" w:name="_Toc395880617"/>
      <w:bookmarkStart w:id="5657" w:name="_Toc395880948"/>
      <w:bookmarkStart w:id="5658" w:name="_Toc395881506"/>
      <w:bookmarkStart w:id="5659" w:name="_Toc395883891"/>
      <w:bookmarkStart w:id="5660" w:name="_Toc395884083"/>
      <w:bookmarkStart w:id="5661" w:name="_Toc395884553"/>
      <w:bookmarkStart w:id="5662" w:name="_Toc395884745"/>
      <w:bookmarkStart w:id="5663" w:name="_Toc395883262"/>
      <w:bookmarkStart w:id="5664" w:name="_Toc395883454"/>
      <w:bookmarkStart w:id="5665" w:name="_Toc395883592"/>
      <w:bookmarkStart w:id="5666" w:name="_Toc395883784"/>
      <w:bookmarkStart w:id="5667" w:name="_Toc395884894"/>
      <w:bookmarkStart w:id="5668" w:name="_Toc396123894"/>
      <w:bookmarkStart w:id="5669" w:name="_Toc396130796"/>
      <w:bookmarkStart w:id="5670" w:name="_Toc396136374"/>
      <w:bookmarkStart w:id="5671" w:name="_Toc396138862"/>
      <w:bookmarkStart w:id="5672" w:name="_Toc396145598"/>
      <w:bookmarkStart w:id="5673" w:name="_Toc396145776"/>
      <w:bookmarkStart w:id="5674" w:name="_Toc396147598"/>
      <w:bookmarkStart w:id="5675" w:name="_Toc396147850"/>
      <w:bookmarkStart w:id="5676" w:name="_Toc396149106"/>
      <w:bookmarkStart w:id="5677" w:name="_Toc396148853"/>
      <w:bookmarkStart w:id="5678" w:name="_Toc396149600"/>
      <w:bookmarkStart w:id="5679" w:name="_Toc396149280"/>
      <w:bookmarkStart w:id="5680" w:name="_Toc396150029"/>
      <w:bookmarkStart w:id="5681" w:name="_Toc396149954"/>
      <w:bookmarkStart w:id="5682" w:name="_Toc396149738"/>
      <w:bookmarkStart w:id="5683" w:name="_Toc396150545"/>
      <w:bookmarkStart w:id="5684" w:name="_Toc396151468"/>
      <w:bookmarkStart w:id="5685" w:name="_Toc396151728"/>
      <w:bookmarkStart w:id="5686" w:name="_Toc396202479"/>
      <w:bookmarkStart w:id="5687" w:name="_Toc396202740"/>
      <w:bookmarkStart w:id="5688" w:name="_Toc396206687"/>
      <w:bookmarkStart w:id="5689" w:name="_Toc396206947"/>
      <w:bookmarkStart w:id="5690" w:name="_Toc396209515"/>
      <w:bookmarkStart w:id="5691" w:name="_Toc396209775"/>
      <w:bookmarkStart w:id="5692" w:name="_Toc396211939"/>
      <w:bookmarkStart w:id="5693" w:name="_Toc396212199"/>
      <w:bookmarkStart w:id="5694" w:name="_Toc396213282"/>
      <w:bookmarkStart w:id="5695" w:name="_Toc396213541"/>
      <w:bookmarkStart w:id="5696" w:name="_Toc396214560"/>
      <w:bookmarkStart w:id="5697" w:name="_Toc396214817"/>
      <w:bookmarkStart w:id="5698" w:name="_Toc396226672"/>
      <w:bookmarkStart w:id="5699" w:name="_Toc396226928"/>
      <w:bookmarkStart w:id="5700" w:name="_Toc396228872"/>
      <w:bookmarkStart w:id="5701" w:name="_Toc396229134"/>
      <w:bookmarkStart w:id="5702" w:name="_Toc396230514"/>
      <w:bookmarkStart w:id="5703" w:name="_Toc396230776"/>
      <w:bookmarkStart w:id="5704" w:name="_Toc396231657"/>
      <w:bookmarkStart w:id="5705" w:name="_Toc396231918"/>
      <w:bookmarkStart w:id="5706" w:name="_Toc396233297"/>
      <w:bookmarkStart w:id="5707" w:name="_Toc396233558"/>
      <w:bookmarkStart w:id="5708" w:name="_Toc396234117"/>
      <w:bookmarkStart w:id="5709" w:name="_Toc396234378"/>
      <w:bookmarkStart w:id="5710" w:name="_Toc396234528"/>
      <w:bookmarkStart w:id="5711" w:name="_Toc396235747"/>
      <w:bookmarkStart w:id="5712" w:name="_Toc396236225"/>
      <w:bookmarkStart w:id="5713" w:name="_Toc396236003"/>
      <w:bookmarkStart w:id="5714" w:name="_Toc396304657"/>
      <w:bookmarkStart w:id="5715" w:name="_Toc396586258"/>
      <w:bookmarkStart w:id="5716" w:name="_Toc396821056"/>
      <w:bookmarkStart w:id="5717" w:name="_Toc396821252"/>
      <w:bookmarkStart w:id="5718" w:name="_Toc396821664"/>
      <w:bookmarkStart w:id="5719" w:name="_Toc396827514"/>
      <w:bookmarkStart w:id="5720" w:name="_Toc396828485"/>
      <w:bookmarkStart w:id="5721" w:name="_Toc396828595"/>
      <w:bookmarkStart w:id="5722" w:name="_Toc396837984"/>
      <w:bookmarkStart w:id="5723" w:name="_Toc396838382"/>
      <w:bookmarkStart w:id="5724" w:name="_Toc396904115"/>
      <w:bookmarkStart w:id="5725" w:name="_Toc396904705"/>
      <w:bookmarkStart w:id="5726" w:name="_Toc396907539"/>
      <w:bookmarkStart w:id="5727" w:name="_Toc396912458"/>
      <w:bookmarkStart w:id="5728" w:name="_Toc396914438"/>
      <w:bookmarkStart w:id="5729" w:name="_Toc396915322"/>
      <w:bookmarkStart w:id="5730" w:name="_Toc396915716"/>
      <w:bookmarkStart w:id="5731" w:name="_Toc396921027"/>
      <w:bookmarkStart w:id="5732" w:name="_Toc396924367"/>
      <w:bookmarkStart w:id="5733" w:name="_Toc396925061"/>
      <w:bookmarkStart w:id="5734" w:name="_Toc396992181"/>
      <w:bookmarkStart w:id="5735" w:name="_Toc396992760"/>
      <w:bookmarkStart w:id="5736" w:name="_Toc396994424"/>
      <w:bookmarkStart w:id="5737" w:name="_Toc397002195"/>
      <w:bookmarkStart w:id="5738" w:name="_Toc397003114"/>
      <w:bookmarkStart w:id="5739" w:name="_Toc397008672"/>
      <w:bookmarkStart w:id="5740" w:name="_Toc397008890"/>
      <w:bookmarkStart w:id="5741" w:name="_Toc397011562"/>
      <w:bookmarkStart w:id="5742" w:name="_Toc397012623"/>
      <w:bookmarkStart w:id="5743" w:name="_Toc397014965"/>
      <w:bookmarkStart w:id="5744" w:name="_Toc397015452"/>
      <w:bookmarkStart w:id="5745" w:name="_Toc397070523"/>
      <w:bookmarkStart w:id="5746" w:name="_Toc397413261"/>
      <w:bookmarkStart w:id="5747" w:name="_Toc397413408"/>
      <w:bookmarkStart w:id="5748" w:name="_Toc397427993"/>
      <w:bookmarkStart w:id="5749" w:name="_Toc397439381"/>
      <w:bookmarkStart w:id="5750" w:name="_Toc397439551"/>
      <w:bookmarkStart w:id="5751" w:name="_Toc397439807"/>
      <w:bookmarkStart w:id="5752" w:name="_Toc397440109"/>
      <w:bookmarkStart w:id="5753" w:name="_Toc397441738"/>
      <w:bookmarkStart w:id="5754" w:name="_Toc397517440"/>
      <w:bookmarkStart w:id="5755" w:name="_Toc397522705"/>
      <w:bookmarkStart w:id="5756" w:name="_Toc397526123"/>
      <w:bookmarkStart w:id="5757" w:name="_Toc397528438"/>
      <w:bookmarkStart w:id="5758" w:name="_Toc397528913"/>
      <w:bookmarkStart w:id="5759" w:name="_Toc397601910"/>
      <w:bookmarkStart w:id="5760" w:name="_Toc397602645"/>
      <w:bookmarkStart w:id="5761" w:name="_Toc397605774"/>
      <w:bookmarkStart w:id="5762" w:name="_Toc397614918"/>
      <w:bookmarkStart w:id="5763" w:name="_Toc397616361"/>
      <w:bookmarkStart w:id="5764" w:name="_Toc397616755"/>
      <w:bookmarkStart w:id="5765" w:name="_Toc397679165"/>
      <w:bookmarkStart w:id="5766" w:name="_Toc397688053"/>
      <w:bookmarkStart w:id="5767" w:name="_Toc397689269"/>
      <w:bookmarkStart w:id="5768" w:name="_Toc397694549"/>
      <w:bookmarkStart w:id="5769" w:name="_Toc397696390"/>
      <w:bookmarkStart w:id="5770" w:name="_Toc397697124"/>
      <w:bookmarkStart w:id="5771" w:name="_Toc397698411"/>
      <w:bookmarkStart w:id="5772" w:name="_Toc397699777"/>
      <w:bookmarkStart w:id="5773" w:name="_Toc397700231"/>
      <w:bookmarkStart w:id="5774" w:name="_Toc397936623"/>
      <w:bookmarkStart w:id="5775" w:name="_Toc397936743"/>
      <w:bookmarkStart w:id="5776" w:name="_Toc397945751"/>
      <w:bookmarkStart w:id="5777" w:name="_Toc397945898"/>
      <w:bookmarkStart w:id="5778" w:name="_Toc397946924"/>
      <w:bookmarkStart w:id="5779" w:name="_Toc397948043"/>
      <w:bookmarkStart w:id="5780" w:name="_Toc397958449"/>
      <w:bookmarkStart w:id="5781" w:name="_Toc397958691"/>
      <w:bookmarkStart w:id="5782" w:name="_Toc397959106"/>
      <w:bookmarkStart w:id="5783" w:name="_Toc397962959"/>
      <w:bookmarkStart w:id="5784" w:name="_Toc397963325"/>
      <w:bookmarkStart w:id="5785" w:name="_Toc397965402"/>
      <w:bookmarkStart w:id="5786" w:name="_Toc398197340"/>
      <w:bookmarkStart w:id="5787" w:name="_Toc398201557"/>
      <w:bookmarkStart w:id="5788" w:name="_Toc398207162"/>
      <w:bookmarkStart w:id="5789" w:name="_Toc398210435"/>
      <w:bookmarkStart w:id="5790" w:name="_Toc398210949"/>
      <w:bookmarkStart w:id="5791" w:name="_Toc398211086"/>
      <w:bookmarkStart w:id="5792" w:name="_Toc398219757"/>
      <w:bookmarkStart w:id="5793" w:name="_Toc398220132"/>
      <w:bookmarkStart w:id="5794" w:name="_Toc398220519"/>
      <w:bookmarkStart w:id="5795" w:name="_Toc398221597"/>
      <w:bookmarkStart w:id="5796" w:name="_Toc398222283"/>
      <w:bookmarkStart w:id="5797" w:name="_Toc398222595"/>
      <w:bookmarkStart w:id="5798" w:name="_Toc398223012"/>
      <w:bookmarkStart w:id="5799" w:name="_Toc398223391"/>
      <w:bookmarkStart w:id="5800" w:name="_Toc398223518"/>
      <w:bookmarkStart w:id="5801" w:name="_Toc398224326"/>
      <w:bookmarkStart w:id="5802" w:name="_Toc398225663"/>
      <w:bookmarkStart w:id="5803" w:name="_Toc398225788"/>
      <w:bookmarkStart w:id="5804" w:name="_Toc398281275"/>
      <w:bookmarkStart w:id="5805" w:name="_Toc398282134"/>
      <w:bookmarkStart w:id="5806" w:name="_Toc398284804"/>
      <w:bookmarkStart w:id="5807" w:name="_Toc398287273"/>
      <w:bookmarkStart w:id="5808" w:name="_Toc398289156"/>
      <w:bookmarkStart w:id="5809" w:name="_Toc398297153"/>
      <w:bookmarkStart w:id="5810" w:name="_Toc398298627"/>
      <w:bookmarkStart w:id="5811" w:name="_Toc398300328"/>
      <w:bookmarkStart w:id="5812" w:name="_Toc398301225"/>
      <w:bookmarkStart w:id="5813" w:name="_Toc398302410"/>
      <w:bookmarkStart w:id="5814" w:name="_Toc398302573"/>
      <w:bookmarkStart w:id="5815" w:name="_Toc398549085"/>
      <w:bookmarkStart w:id="5816" w:name="_Toc398549335"/>
      <w:bookmarkStart w:id="5817" w:name="_Toc398555754"/>
      <w:bookmarkStart w:id="5818" w:name="_Toc398558958"/>
      <w:bookmarkStart w:id="5819" w:name="_Toc398563444"/>
      <w:bookmarkStart w:id="5820" w:name="_Toc398563577"/>
      <w:bookmarkStart w:id="5821" w:name="_Toc398563976"/>
      <w:bookmarkStart w:id="5822" w:name="_Toc398827314"/>
      <w:bookmarkStart w:id="5823" w:name="_Toc398827508"/>
      <w:bookmarkStart w:id="5824" w:name="s29"/>
      <w:r w:rsidRPr="008625DC">
        <w:rPr>
          <w:lang w:val="en-AU"/>
        </w:rPr>
        <w:lastRenderedPageBreak/>
        <w:t>Competitive neutrality</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p>
    <w:bookmarkEnd w:id="5824"/>
    <w:p w14:paraId="713CA841" w14:textId="77D50864" w:rsidR="001E4B43" w:rsidRPr="008625DC" w:rsidRDefault="001E4B43" w:rsidP="001E4B43">
      <w:r w:rsidRPr="008625DC">
        <w:t>There is overwhelming support from stakeholders for the principle of competitive neutrality and calls for Australian governments to re</w:t>
      </w:r>
      <w:r w:rsidR="00C74E19" w:rsidRPr="008625DC">
        <w:noBreakHyphen/>
      </w:r>
      <w:r w:rsidRPr="008625DC">
        <w:t>commit to competitive neutrality policy. The Organisation for Economic Co</w:t>
      </w:r>
      <w:r w:rsidR="00C74E19" w:rsidRPr="008625DC">
        <w:noBreakHyphen/>
      </w:r>
      <w:r w:rsidRPr="008625DC">
        <w:t>operation and Development (OECD) also recently stated that, among member nations, Australia has the most complete competitive neutrality framework, backed by separate implementation and complaint</w:t>
      </w:r>
      <w:r w:rsidR="00C74E19" w:rsidRPr="008625DC">
        <w:noBreakHyphen/>
      </w:r>
      <w:r w:rsidRPr="008625DC">
        <w:t xml:space="preserve">handling mechanisms. </w:t>
      </w:r>
    </w:p>
    <w:p w14:paraId="3F0FA9DE" w14:textId="3368523D" w:rsidR="001E4B43" w:rsidRPr="008625DC" w:rsidRDefault="001E4B43" w:rsidP="001E4B43">
      <w:r w:rsidRPr="008625DC">
        <w:t>But competitive neutrality remains an area of concern for many stakeholders, including small businesses. The Review</w:t>
      </w:r>
      <w:r w:rsidR="00C74E19" w:rsidRPr="008625DC">
        <w:t>’</w:t>
      </w:r>
      <w:r w:rsidRPr="008625DC">
        <w:t>s Terms of Reference also direct it to consider the proper boundaries for government in economic activity.</w:t>
      </w:r>
    </w:p>
    <w:p w14:paraId="56F484D6" w14:textId="36C41D4F" w:rsidR="001E4B43" w:rsidRPr="008625DC" w:rsidRDefault="001E4B43" w:rsidP="001E4B43">
      <w:r w:rsidRPr="008625DC">
        <w:t>The Panel considers that competitive neutrality policies should be reviewed and updated. Clearer guidelines should be provided on the application of competitive neutrality during the start</w:t>
      </w:r>
      <w:r w:rsidR="00C74E19" w:rsidRPr="008625DC">
        <w:noBreakHyphen/>
      </w:r>
      <w:r w:rsidRPr="008625DC">
        <w:t xml:space="preserve">up stages of government businesses </w:t>
      </w:r>
      <w:r w:rsidR="00094FE2" w:rsidRPr="008625DC">
        <w:t xml:space="preserve">and </w:t>
      </w:r>
      <w:r w:rsidRPr="008625DC">
        <w:t>the period of time over which start</w:t>
      </w:r>
      <w:r w:rsidR="00C74E19" w:rsidRPr="008625DC">
        <w:noBreakHyphen/>
      </w:r>
      <w:r w:rsidRPr="008625DC">
        <w:t>up government businesses should earn a commercial rate of return</w:t>
      </w:r>
      <w:r w:rsidR="00094FE2" w:rsidRPr="008625DC">
        <w:t>.</w:t>
      </w:r>
      <w:r w:rsidRPr="008625DC">
        <w:t xml:space="preserve"> </w:t>
      </w:r>
      <w:r w:rsidR="00094FE2" w:rsidRPr="008625DC">
        <w:t>T</w:t>
      </w:r>
      <w:r w:rsidRPr="008625DC">
        <w:t>he tests used to identify significant business activities</w:t>
      </w:r>
      <w:r w:rsidR="00094FE2" w:rsidRPr="008625DC">
        <w:t xml:space="preserve"> should also be reviewed</w:t>
      </w:r>
      <w:r w:rsidRPr="008625DC">
        <w:t>.</w:t>
      </w:r>
    </w:p>
    <w:p w14:paraId="7D98E1C0" w14:textId="77777777" w:rsidR="001E4B43" w:rsidRPr="008625DC" w:rsidRDefault="001E4B43" w:rsidP="001E4B43">
      <w:r w:rsidRPr="008625DC">
        <w:t xml:space="preserve">There is also scope to improve the transparency of compliance with competitive neutrality policy by requiring government businesses to report publicly on compliance with policy and governments to respond publicly to the findings of complaint investigations. </w:t>
      </w:r>
    </w:p>
    <w:p w14:paraId="6D19850C" w14:textId="6D4ABA32" w:rsidR="001E4B43" w:rsidRPr="008625DC" w:rsidRDefault="001E4B43" w:rsidP="001E4B43">
      <w:r w:rsidRPr="008625DC">
        <w:t xml:space="preserve">Since each jurisdiction is able to adopt its own approach to competitive neutrality, there is an opportunity to compare jurisdictions to determine </w:t>
      </w:r>
      <w:r w:rsidR="00C74E19" w:rsidRPr="008625DC">
        <w:t>‘</w:t>
      </w:r>
      <w:r w:rsidRPr="008625DC">
        <w:t>best practice</w:t>
      </w:r>
      <w:r w:rsidR="00C74E19" w:rsidRPr="008625DC">
        <w:t>’</w:t>
      </w:r>
      <w:r w:rsidRPr="008625DC">
        <w:t xml:space="preserve"> as a basis for updating policies and improving current arrangements.</w:t>
      </w:r>
    </w:p>
    <w:p w14:paraId="071218C5" w14:textId="77777777" w:rsidR="001E4B43" w:rsidRPr="008625DC" w:rsidRDefault="001E4B43" w:rsidP="001E4B43">
      <w:r w:rsidRPr="008625DC">
        <w:t>Competitive neutrality policies benefit consumers in markets where both governments and other providers deliver services. This will be especially important in areas where competition policy has yet to reach, such as human services. In these areas getting the right competitive neutrality policy settings in place will be crucial to securing the benefits of a diverse range of innovative providers.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0519D9DA" w14:textId="77777777" w:rsidTr="001E4B43">
        <w:tc>
          <w:tcPr>
            <w:tcW w:w="5000" w:type="pct"/>
            <w:shd w:val="clear" w:color="auto" w:fill="E9F7F3" w:themeFill="accent4" w:themeFillTint="33"/>
          </w:tcPr>
          <w:p w14:paraId="5C4CF756" w14:textId="77777777" w:rsidR="001E4B43" w:rsidRPr="008625DC" w:rsidRDefault="001E4B43" w:rsidP="001E4B43">
            <w:pPr>
              <w:pStyle w:val="RecommendationHeading"/>
            </w:pPr>
            <w:bookmarkStart w:id="5825" w:name="DR13"/>
            <w:bookmarkStart w:id="5826" w:name="_Toc396138863"/>
            <w:bookmarkStart w:id="5827" w:name="_Toc396145777"/>
            <w:bookmarkStart w:id="5828" w:name="_Toc396147599"/>
            <w:bookmarkStart w:id="5829" w:name="_Toc396148854"/>
            <w:bookmarkStart w:id="5830" w:name="_Toc396149281"/>
            <w:bookmarkStart w:id="5831" w:name="_Toc396149739"/>
            <w:bookmarkStart w:id="5832" w:name="_Toc396151469"/>
            <w:bookmarkStart w:id="5833" w:name="_Toc396202480"/>
            <w:bookmarkStart w:id="5834" w:name="_Toc396206688"/>
            <w:bookmarkStart w:id="5835" w:name="_Toc396209516"/>
            <w:bookmarkStart w:id="5836" w:name="_Toc396211940"/>
            <w:bookmarkStart w:id="5837" w:name="_Toc396213283"/>
            <w:bookmarkStart w:id="5838" w:name="_Toc396214561"/>
            <w:bookmarkStart w:id="5839" w:name="_Toc396226673"/>
            <w:bookmarkStart w:id="5840" w:name="_Toc396228873"/>
            <w:bookmarkStart w:id="5841" w:name="_Toc396230515"/>
            <w:bookmarkStart w:id="5842" w:name="_Toc396231658"/>
            <w:bookmarkStart w:id="5843" w:name="_Toc396233298"/>
            <w:bookmarkStart w:id="5844" w:name="_Toc396234118"/>
            <w:bookmarkStart w:id="5845" w:name="_Toc396234529"/>
            <w:bookmarkStart w:id="5846" w:name="_Toc396235748"/>
            <w:bookmarkStart w:id="5847" w:name="_Toc396586259"/>
            <w:r w:rsidRPr="008625DC">
              <w:t xml:space="preserve">Draft Recommendation </w:t>
            </w:r>
            <w:r w:rsidRPr="008625DC">
              <w:fldChar w:fldCharType="begin"/>
            </w:r>
            <w:r w:rsidRPr="008625DC">
              <w:instrText xml:space="preserve"> AUTONUMLGL  \* Arabic \e </w:instrText>
            </w:r>
            <w:r w:rsidRPr="008625DC">
              <w:fldChar w:fldCharType="end"/>
            </w:r>
            <w:bookmarkEnd w:id="5825"/>
            <w:r w:rsidRPr="008625DC">
              <w:t xml:space="preserve"> — Competitive neutrality policy</w:t>
            </w:r>
          </w:p>
          <w:p w14:paraId="0FB979CF" w14:textId="320AF911" w:rsidR="001E4B43" w:rsidRPr="008625DC" w:rsidRDefault="001E4B43" w:rsidP="001E4B43">
            <w:pPr>
              <w:pStyle w:val="RecommendationText"/>
            </w:pPr>
            <w:r w:rsidRPr="008625DC">
              <w:t>All Australian governments should review their competitive neutrality policies. Specific matters that should be considered include: guidelines on the application of competitive neutrality during the start</w:t>
            </w:r>
            <w:r w:rsidR="00C74E19" w:rsidRPr="008625DC">
              <w:noBreakHyphen/>
            </w:r>
            <w:r w:rsidRPr="008625DC">
              <w:t>up stages of government businesses; the period of time over which start</w:t>
            </w:r>
            <w:r w:rsidR="00C74E19" w:rsidRPr="008625DC">
              <w:noBreakHyphen/>
            </w:r>
            <w:r w:rsidRPr="008625DC">
              <w:t>up government businesses should earn a commercial rate of return; and threshold tests for identifying significant business activities.</w:t>
            </w:r>
          </w:p>
          <w:p w14:paraId="5982AC53" w14:textId="77777777" w:rsidR="001E4B43" w:rsidRPr="008625DC" w:rsidRDefault="001E4B43" w:rsidP="001E4B43">
            <w:pPr>
              <w:pStyle w:val="RecommendationText"/>
            </w:pPr>
            <w:r w:rsidRPr="008625DC">
              <w:t>The review of competitive neutrality policies should be overseen by an independent body, such as the proposed Australian Council for Competition Policy (see Draft Recommendation 39).</w:t>
            </w:r>
          </w:p>
        </w:tc>
      </w:tr>
    </w:tbl>
    <w:p w14:paraId="4BC730AC" w14:textId="77777777" w:rsidR="001E4B43" w:rsidRPr="008625DC" w:rsidRDefault="001E4B43" w:rsidP="001E4B43">
      <w:pPr>
        <w:pStyle w:val="SingleParagraph"/>
        <w:spacing w:after="120"/>
      </w:pP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1960CDDE" w14:textId="77777777" w:rsidTr="001E4B43">
        <w:tc>
          <w:tcPr>
            <w:tcW w:w="5000" w:type="pct"/>
            <w:shd w:val="clear" w:color="auto" w:fill="E9F7F3" w:themeFill="accent4" w:themeFillTint="33"/>
          </w:tcPr>
          <w:p w14:paraId="33A32455" w14:textId="77777777" w:rsidR="001E4B43" w:rsidRPr="008625DC" w:rsidRDefault="001E4B43" w:rsidP="001E4B43">
            <w:pPr>
              <w:pStyle w:val="RecommendationHeading"/>
            </w:pPr>
            <w:bookmarkStart w:id="5848" w:name="DR14"/>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r w:rsidRPr="008625DC">
              <w:t xml:space="preserve"> — Competitive neutrality complaints</w:t>
            </w:r>
          </w:p>
          <w:p w14:paraId="14B58F4C" w14:textId="77777777" w:rsidR="001E4B43" w:rsidRPr="008625DC" w:rsidRDefault="001E4B43" w:rsidP="001E4B43">
            <w:pPr>
              <w:pStyle w:val="RecommendationText"/>
            </w:pPr>
            <w:bookmarkStart w:id="5849" w:name="_Toc396202481"/>
            <w:bookmarkStart w:id="5850" w:name="_Toc396206689"/>
            <w:bookmarkStart w:id="5851" w:name="_Toc396209517"/>
            <w:bookmarkStart w:id="5852" w:name="_Toc396211941"/>
            <w:bookmarkStart w:id="5853" w:name="_Toc396213284"/>
            <w:bookmarkStart w:id="5854" w:name="_Toc396214562"/>
            <w:bookmarkStart w:id="5855" w:name="_Toc396226674"/>
            <w:bookmarkStart w:id="5856" w:name="_Toc396228874"/>
            <w:bookmarkStart w:id="5857" w:name="_Toc396230516"/>
            <w:bookmarkStart w:id="5858" w:name="_Toc396231659"/>
            <w:bookmarkStart w:id="5859" w:name="_Toc396233299"/>
            <w:bookmarkStart w:id="5860" w:name="_Toc396234119"/>
            <w:bookmarkStart w:id="5861" w:name="_Toc396234530"/>
            <w:bookmarkStart w:id="5862" w:name="_Toc396235749"/>
            <w:bookmarkStart w:id="5863" w:name="_Toc396586260"/>
            <w:bookmarkStart w:id="5864" w:name="_Toc395868618"/>
            <w:bookmarkStart w:id="5865" w:name="_Toc395878999"/>
            <w:bookmarkStart w:id="5866" w:name="_Toc395882123"/>
            <w:bookmarkStart w:id="5867" w:name="_Toc395882454"/>
            <w:bookmarkStart w:id="5868" w:name="_Toc395880618"/>
            <w:bookmarkStart w:id="5869" w:name="_Toc395880949"/>
            <w:bookmarkStart w:id="5870" w:name="_Toc395881507"/>
            <w:bookmarkStart w:id="5871" w:name="_Toc395883892"/>
            <w:bookmarkStart w:id="5872" w:name="_Toc395884554"/>
            <w:bookmarkStart w:id="5873" w:name="_Toc395883263"/>
            <w:bookmarkStart w:id="5874" w:name="_Toc395883593"/>
            <w:bookmarkStart w:id="5875" w:name="_Toc395884895"/>
            <w:bookmarkStart w:id="5876" w:name="_Toc396138864"/>
            <w:bookmarkStart w:id="5877" w:name="_Toc396145778"/>
            <w:bookmarkStart w:id="5878" w:name="_Toc396147600"/>
            <w:bookmarkStart w:id="5879" w:name="_Toc396148855"/>
            <w:bookmarkStart w:id="5880" w:name="_Toc396149282"/>
            <w:bookmarkStart w:id="5881" w:name="_Toc396149740"/>
            <w:bookmarkStart w:id="5882" w:name="_Toc396151470"/>
            <w:r w:rsidRPr="008625DC">
              <w:t>All Australian governments should increase the transparency and effectiveness of their competitive neutrality complaints processes. This should include at a minimum:</w:t>
            </w:r>
          </w:p>
          <w:p w14:paraId="144715DA" w14:textId="77777777" w:rsidR="001E4B43" w:rsidRPr="008625DC" w:rsidRDefault="001E4B43" w:rsidP="00DB4ECC">
            <w:pPr>
              <w:pStyle w:val="RecommendationBullet"/>
            </w:pPr>
            <w:r w:rsidRPr="008625DC">
              <w:t xml:space="preserve">assigning responsibility for investigation of complaints to a body independent of government; </w:t>
            </w:r>
          </w:p>
          <w:p w14:paraId="061E0B5D" w14:textId="77777777" w:rsidR="001E4B43" w:rsidRPr="008625DC" w:rsidRDefault="001E4B43" w:rsidP="00DB4ECC">
            <w:pPr>
              <w:pStyle w:val="RecommendationBullet"/>
            </w:pPr>
            <w:r w:rsidRPr="008625DC">
              <w:t>a requirement for the government to respond publicly to the findings of complaint investigations; and</w:t>
            </w:r>
          </w:p>
          <w:p w14:paraId="49A6A6FB" w14:textId="77777777" w:rsidR="001E4B43" w:rsidRPr="008625DC" w:rsidRDefault="001E4B43" w:rsidP="00DB4ECC">
            <w:pPr>
              <w:pStyle w:val="RecommendationBullet"/>
            </w:pPr>
            <w:proofErr w:type="gramStart"/>
            <w:r w:rsidRPr="008625DC">
              <w:t>annual</w:t>
            </w:r>
            <w:proofErr w:type="gramEnd"/>
            <w:r w:rsidRPr="008625DC">
              <w:t xml:space="preserve"> reporting by the independent complaints bodies to the proposed Australian Council for Competition Policy (see Draft Recommendation 39) on the number of complaints received and investigations undertaken.</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tc>
      </w:tr>
    </w:tbl>
    <w:p w14:paraId="31C67998" w14:textId="77777777" w:rsidR="001E4B43" w:rsidRPr="008625DC" w:rsidRDefault="001E4B43" w:rsidP="005C6A7D">
      <w:pPr>
        <w:spacing w:after="120"/>
      </w:pPr>
      <w:bookmarkStart w:id="5883" w:name="_Toc396397370"/>
      <w:bookmarkStart w:id="5884" w:name="_Toc396815107"/>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097DD824" w14:textId="77777777" w:rsidTr="001E4B43">
        <w:tc>
          <w:tcPr>
            <w:tcW w:w="5000" w:type="pct"/>
            <w:shd w:val="clear" w:color="auto" w:fill="E9F7F3" w:themeFill="accent4" w:themeFillTint="33"/>
          </w:tcPr>
          <w:p w14:paraId="26337BAF" w14:textId="77777777" w:rsidR="001E4B43" w:rsidRPr="008625DC" w:rsidRDefault="001E4B43" w:rsidP="001E4B43">
            <w:pPr>
              <w:pStyle w:val="RecommendationHeading"/>
            </w:pPr>
            <w:bookmarkStart w:id="5885" w:name="DR15"/>
            <w:r w:rsidRPr="008625DC">
              <w:t xml:space="preserve">Draft Recommendation </w:t>
            </w:r>
            <w:r w:rsidRPr="008625DC">
              <w:fldChar w:fldCharType="begin"/>
            </w:r>
            <w:r w:rsidRPr="008625DC">
              <w:instrText xml:space="preserve"> AUTONUMLGL  \* Arabic \e </w:instrText>
            </w:r>
            <w:r w:rsidRPr="008625DC">
              <w:fldChar w:fldCharType="end"/>
            </w:r>
            <w:bookmarkEnd w:id="5885"/>
            <w:r w:rsidRPr="008625DC">
              <w:t xml:space="preserve"> — Competitive neutrality reporting</w:t>
            </w:r>
          </w:p>
          <w:p w14:paraId="201CBCA5" w14:textId="77777777" w:rsidR="001E4B43" w:rsidRPr="008625DC" w:rsidRDefault="001E4B43" w:rsidP="001E4B43">
            <w:pPr>
              <w:pStyle w:val="RecommendationText"/>
            </w:pPr>
            <w:r w:rsidRPr="008625DC">
              <w:t xml:space="preserve">To strengthen accountability and transparency, all Australian governments should require government businesses to include a statement on compliance with competitive neutrality principles in their annual reports. </w:t>
            </w:r>
          </w:p>
        </w:tc>
      </w:tr>
    </w:tbl>
    <w:p w14:paraId="3BD99A85" w14:textId="54651189" w:rsidR="001E4B43" w:rsidRPr="008625DC" w:rsidRDefault="001E4B43" w:rsidP="005C6A7D">
      <w:pPr>
        <w:spacing w:before="240"/>
      </w:pPr>
      <w:bookmarkStart w:id="5886" w:name="_Toc396904116"/>
      <w:bookmarkStart w:id="5887" w:name="_Toc396904706"/>
      <w:bookmarkStart w:id="5888" w:name="_Toc396907540"/>
      <w:bookmarkStart w:id="5889" w:name="_Toc396912459"/>
      <w:r w:rsidRPr="008625DC">
        <w:t xml:space="preserve">For further detail on competitive neutrality, see </w:t>
      </w:r>
      <w:hyperlink w:anchor="Ch11" w:history="1">
        <w:r w:rsidRPr="008625DC">
          <w:rPr>
            <w:rStyle w:val="Hyperlink"/>
          </w:rPr>
          <w:t>Chapter 11</w:t>
        </w:r>
      </w:hyperlink>
      <w:r w:rsidRPr="008625DC">
        <w:t>.</w:t>
      </w:r>
    </w:p>
    <w:p w14:paraId="2609B80F" w14:textId="77777777" w:rsidR="001E4B43" w:rsidRPr="008625DC" w:rsidRDefault="001E4B43" w:rsidP="001E4B43">
      <w:pPr>
        <w:pStyle w:val="Heading2"/>
        <w:ind w:left="851" w:hanging="851"/>
        <w:rPr>
          <w:lang w:val="en-AU"/>
        </w:rPr>
      </w:pPr>
      <w:bookmarkStart w:id="5890" w:name="_Toc396914439"/>
      <w:bookmarkStart w:id="5891" w:name="_Toc396915323"/>
      <w:bookmarkStart w:id="5892" w:name="_Toc396915717"/>
      <w:bookmarkStart w:id="5893" w:name="_Toc396921028"/>
      <w:bookmarkStart w:id="5894" w:name="_Toc396924368"/>
      <w:bookmarkStart w:id="5895" w:name="_Toc396925062"/>
      <w:bookmarkStart w:id="5896" w:name="_Toc396992182"/>
      <w:bookmarkStart w:id="5897" w:name="_Toc396992761"/>
      <w:bookmarkStart w:id="5898" w:name="_Toc396994425"/>
      <w:bookmarkStart w:id="5899" w:name="_Toc397002196"/>
      <w:bookmarkStart w:id="5900" w:name="_Toc397003115"/>
      <w:bookmarkStart w:id="5901" w:name="_Toc397008673"/>
      <w:bookmarkStart w:id="5902" w:name="_Toc397008891"/>
      <w:bookmarkStart w:id="5903" w:name="_Toc397011563"/>
      <w:bookmarkStart w:id="5904" w:name="_Toc397012624"/>
      <w:bookmarkStart w:id="5905" w:name="_Toc397014966"/>
      <w:bookmarkStart w:id="5906" w:name="_Toc397015453"/>
      <w:bookmarkStart w:id="5907" w:name="_Toc397070524"/>
      <w:bookmarkStart w:id="5908" w:name="_Toc397413262"/>
      <w:bookmarkStart w:id="5909" w:name="_Toc397413409"/>
      <w:bookmarkStart w:id="5910" w:name="_Toc397427994"/>
      <w:bookmarkStart w:id="5911" w:name="_Toc397439382"/>
      <w:bookmarkStart w:id="5912" w:name="_Toc397439552"/>
      <w:bookmarkStart w:id="5913" w:name="_Toc397439808"/>
      <w:bookmarkStart w:id="5914" w:name="_Toc397440110"/>
      <w:bookmarkStart w:id="5915" w:name="_Toc397441739"/>
      <w:bookmarkStart w:id="5916" w:name="_Toc397517441"/>
      <w:bookmarkStart w:id="5917" w:name="_Toc397522706"/>
      <w:bookmarkStart w:id="5918" w:name="_Toc397526124"/>
      <w:bookmarkStart w:id="5919" w:name="_Toc397528439"/>
      <w:bookmarkStart w:id="5920" w:name="_Toc397528914"/>
      <w:bookmarkStart w:id="5921" w:name="_Toc396821057"/>
      <w:bookmarkStart w:id="5922" w:name="_Toc396821253"/>
      <w:bookmarkStart w:id="5923" w:name="_Toc396821665"/>
      <w:bookmarkStart w:id="5924" w:name="_Toc396827515"/>
      <w:bookmarkStart w:id="5925" w:name="_Toc396828486"/>
      <w:bookmarkStart w:id="5926" w:name="_Toc396828596"/>
      <w:bookmarkStart w:id="5927" w:name="_Toc396837985"/>
      <w:bookmarkStart w:id="5928" w:name="_Toc396838383"/>
      <w:bookmarkStart w:id="5929" w:name="_Toc397601911"/>
      <w:bookmarkStart w:id="5930" w:name="_Toc397602646"/>
      <w:bookmarkStart w:id="5931" w:name="_Toc397605775"/>
      <w:bookmarkStart w:id="5932" w:name="_Toc397614919"/>
      <w:bookmarkStart w:id="5933" w:name="_Toc397616362"/>
      <w:bookmarkStart w:id="5934" w:name="_Toc397616756"/>
      <w:bookmarkStart w:id="5935" w:name="_Toc397679166"/>
      <w:bookmarkStart w:id="5936" w:name="_Toc397688054"/>
      <w:bookmarkStart w:id="5937" w:name="_Toc397689270"/>
      <w:bookmarkStart w:id="5938" w:name="_Toc397694550"/>
      <w:bookmarkStart w:id="5939" w:name="_Toc397696391"/>
      <w:bookmarkStart w:id="5940" w:name="_Toc397697125"/>
      <w:bookmarkStart w:id="5941" w:name="_Toc397698412"/>
      <w:bookmarkStart w:id="5942" w:name="_Toc397699778"/>
      <w:bookmarkStart w:id="5943" w:name="_Toc397700232"/>
      <w:bookmarkStart w:id="5944" w:name="_Toc397936624"/>
      <w:bookmarkStart w:id="5945" w:name="_Toc397936744"/>
      <w:bookmarkStart w:id="5946" w:name="_Toc397945752"/>
      <w:bookmarkStart w:id="5947" w:name="_Toc397945899"/>
      <w:bookmarkStart w:id="5948" w:name="_Toc397946925"/>
      <w:bookmarkStart w:id="5949" w:name="_Toc397948044"/>
      <w:bookmarkStart w:id="5950" w:name="_Toc397958450"/>
      <w:bookmarkStart w:id="5951" w:name="_Toc397958692"/>
      <w:bookmarkStart w:id="5952" w:name="_Toc397959107"/>
      <w:bookmarkStart w:id="5953" w:name="_Toc397962960"/>
      <w:bookmarkStart w:id="5954" w:name="_Toc397963326"/>
      <w:bookmarkStart w:id="5955" w:name="_Toc397965403"/>
      <w:bookmarkStart w:id="5956" w:name="_Toc398197341"/>
      <w:bookmarkStart w:id="5957" w:name="_Toc398201558"/>
      <w:bookmarkStart w:id="5958" w:name="_Toc398207163"/>
      <w:bookmarkStart w:id="5959" w:name="_Toc398210436"/>
      <w:bookmarkStart w:id="5960" w:name="_Toc398210950"/>
      <w:bookmarkStart w:id="5961" w:name="_Toc398211087"/>
      <w:bookmarkStart w:id="5962" w:name="_Toc398219758"/>
      <w:bookmarkStart w:id="5963" w:name="_Toc398220133"/>
      <w:bookmarkStart w:id="5964" w:name="_Toc398220520"/>
      <w:bookmarkStart w:id="5965" w:name="_Toc398221598"/>
      <w:bookmarkStart w:id="5966" w:name="_Toc398222284"/>
      <w:bookmarkStart w:id="5967" w:name="_Toc398222596"/>
      <w:bookmarkStart w:id="5968" w:name="_Toc398223013"/>
      <w:bookmarkStart w:id="5969" w:name="_Toc398223392"/>
      <w:bookmarkStart w:id="5970" w:name="_Toc398223519"/>
      <w:bookmarkStart w:id="5971" w:name="_Toc398224327"/>
      <w:bookmarkStart w:id="5972" w:name="_Toc398225664"/>
      <w:bookmarkStart w:id="5973" w:name="_Toc398225789"/>
      <w:bookmarkStart w:id="5974" w:name="_Toc398281276"/>
      <w:bookmarkStart w:id="5975" w:name="_Toc398282135"/>
      <w:bookmarkStart w:id="5976" w:name="_Toc398284805"/>
      <w:bookmarkStart w:id="5977" w:name="_Toc398287274"/>
      <w:bookmarkStart w:id="5978" w:name="_Toc398289157"/>
      <w:bookmarkStart w:id="5979" w:name="_Toc398297154"/>
      <w:bookmarkStart w:id="5980" w:name="_Toc398298628"/>
      <w:bookmarkStart w:id="5981" w:name="_Toc398300329"/>
      <w:bookmarkStart w:id="5982" w:name="_Toc398301226"/>
      <w:bookmarkStart w:id="5983" w:name="_Toc398302411"/>
      <w:bookmarkStart w:id="5984" w:name="_Toc398302574"/>
      <w:bookmarkStart w:id="5985" w:name="_Toc398549086"/>
      <w:bookmarkStart w:id="5986" w:name="_Toc398549336"/>
      <w:bookmarkStart w:id="5987" w:name="_Toc398555755"/>
      <w:bookmarkStart w:id="5988" w:name="_Toc398558959"/>
      <w:bookmarkStart w:id="5989" w:name="_Toc398563445"/>
      <w:bookmarkStart w:id="5990" w:name="_Toc398563578"/>
      <w:bookmarkStart w:id="5991" w:name="_Toc398563977"/>
      <w:bookmarkStart w:id="5992" w:name="_Toc398827315"/>
      <w:bookmarkStart w:id="5993" w:name="_Toc398827509"/>
      <w:bookmarkStart w:id="5994" w:name="s210"/>
      <w:bookmarkEnd w:id="5886"/>
      <w:bookmarkEnd w:id="5887"/>
      <w:bookmarkEnd w:id="5888"/>
      <w:bookmarkEnd w:id="5889"/>
      <w:r w:rsidRPr="008625DC">
        <w:rPr>
          <w:lang w:val="en-AU"/>
        </w:rPr>
        <w:t>Electricity, gas and water</w:t>
      </w:r>
      <w:bookmarkEnd w:id="5883"/>
      <w:bookmarkEnd w:id="5884"/>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bookmarkEnd w:id="5994"/>
    <w:p w14:paraId="5DE6E5D3" w14:textId="77777777" w:rsidR="001E4B43" w:rsidRPr="008625DC" w:rsidRDefault="001E4B43" w:rsidP="001E4B43">
      <w:r w:rsidRPr="008625DC">
        <w:t>The Panel acknowledges significant progress in the reform of electricity, gas and water in Australia. However, reforms have not been finalised and the benefits are yet to be fully realised.</w:t>
      </w:r>
    </w:p>
    <w:p w14:paraId="7E0BA957" w14:textId="3D610012" w:rsidR="001E4B43" w:rsidRPr="008625DC" w:rsidRDefault="001E4B43" w:rsidP="001E4B43">
      <w:r w:rsidRPr="008625DC">
        <w:t xml:space="preserve">In electricity and gas, competition reforms have been a success but have slowed. The delay in applying the National Energy Retail Law by Victoria and Queensland without major derogations undermines the benefits of a national law. Continuing regulation of retail energy prices in jurisdictions other than South Australia, New South Wales </w:t>
      </w:r>
      <w:r w:rsidR="00E2620D" w:rsidRPr="008625DC">
        <w:t xml:space="preserve">(NSW) </w:t>
      </w:r>
      <w:r w:rsidRPr="008625DC">
        <w:t>and Victoria perpetuates the distortion of price signals and compromises timely investment in energy infrastructure.</w:t>
      </w:r>
      <w:r w:rsidR="003E126C" w:rsidRPr="008625DC">
        <w:t xml:space="preserve"> The Panel notes that the Queensland Government has recently legislated to deregulate electricity prices in South East Queensland from 1 July 2015.</w:t>
      </w:r>
    </w:p>
    <w:p w14:paraId="206C58B5" w14:textId="77777777" w:rsidR="001E4B43" w:rsidRPr="008625DC" w:rsidRDefault="001E4B43" w:rsidP="001E4B43">
      <w:r w:rsidRPr="008625DC">
        <w:t xml:space="preserve">The Panel strongly supports moves towards the inclusion of the Northern Territory and Western Australia into the National Electricity Market, noting that no physical connection is required to do so. </w:t>
      </w:r>
    </w:p>
    <w:p w14:paraId="7793D305" w14:textId="77777777" w:rsidR="001E4B43" w:rsidRPr="008625DC" w:rsidRDefault="001E4B43" w:rsidP="001E4B43">
      <w:r w:rsidRPr="008625DC">
        <w:t>The Panel notes calls for a more detailed review into competition in the gas market, echoing the proposal within the Eastern Australian Domestic Gas Study. The Panel strongly supports a detailed review of competition in the gas sector and encourages the Australian Government to commit to undertake such a review through the Energy White Paper.</w:t>
      </w:r>
    </w:p>
    <w:p w14:paraId="7D135AA7" w14:textId="60762594" w:rsidR="001E4B43" w:rsidRPr="008625DC" w:rsidRDefault="001E4B43" w:rsidP="001E4B43">
      <w:r w:rsidRPr="008625DC">
        <w:t>Water reform has been slow. A more national approach to water reform may re</w:t>
      </w:r>
      <w:r w:rsidR="00C74E19" w:rsidRPr="008625DC">
        <w:noBreakHyphen/>
      </w:r>
      <w:r w:rsidRPr="008625DC">
        <w:t>establish its momentum. An intergovernmental agreement founded on the assumption that a national framework is both achievable and desirable may clear some roadblocks. A consistent national framework may also assist in driving competition into the retailing of water and in creating more effective price signals.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4B43" w:rsidRPr="008625DC" w14:paraId="3119A95B" w14:textId="77777777" w:rsidTr="001E4B43">
        <w:tc>
          <w:tcPr>
            <w:tcW w:w="5000" w:type="pct"/>
            <w:shd w:val="clear" w:color="auto" w:fill="E9F7F3" w:themeFill="accent4" w:themeFillTint="33"/>
          </w:tcPr>
          <w:p w14:paraId="6A89B1D3" w14:textId="77777777" w:rsidR="001E4B43" w:rsidRPr="008625DC" w:rsidRDefault="001E4B43" w:rsidP="001E4B43">
            <w:pPr>
              <w:pStyle w:val="RecommendationHeading"/>
            </w:pPr>
            <w:bookmarkStart w:id="5995" w:name="_Toc396138875"/>
            <w:bookmarkStart w:id="5996" w:name="_Toc396145789"/>
            <w:bookmarkStart w:id="5997" w:name="_Toc396147611"/>
            <w:bookmarkStart w:id="5998" w:name="_Toc396148866"/>
            <w:bookmarkStart w:id="5999" w:name="_Toc396149293"/>
            <w:bookmarkStart w:id="6000" w:name="_Toc396149751"/>
            <w:bookmarkStart w:id="6001" w:name="_Toc396151481"/>
            <w:bookmarkStart w:id="6002" w:name="_Toc396202489"/>
            <w:bookmarkStart w:id="6003" w:name="_Toc396206697"/>
            <w:bookmarkStart w:id="6004" w:name="_Toc396209525"/>
            <w:bookmarkStart w:id="6005" w:name="_Toc396211949"/>
            <w:bookmarkStart w:id="6006" w:name="_Toc396213292"/>
            <w:bookmarkStart w:id="6007" w:name="_Toc396214570"/>
            <w:bookmarkStart w:id="6008" w:name="_Toc396226682"/>
            <w:bookmarkStart w:id="6009" w:name="_Toc396228882"/>
            <w:bookmarkStart w:id="6010" w:name="_Toc396230524"/>
            <w:bookmarkStart w:id="6011" w:name="_Toc396231665"/>
            <w:bookmarkStart w:id="6012" w:name="_Toc396233305"/>
            <w:bookmarkStart w:id="6013" w:name="_Toc396234125"/>
            <w:bookmarkStart w:id="6014" w:name="_Toc396234536"/>
            <w:bookmarkStart w:id="6015" w:name="_Toc396586267"/>
            <w:bookmarkStart w:id="6016" w:name="DR16"/>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r w:rsidRPr="008625DC">
              <w:t xml:space="preserve"> — Electricity, gas and water</w:t>
            </w:r>
          </w:p>
          <w:p w14:paraId="3F77E0EA" w14:textId="77777777" w:rsidR="001E4B43" w:rsidRPr="008625DC" w:rsidRDefault="001E4B43" w:rsidP="001E4B43">
            <w:pPr>
              <w:pStyle w:val="RecommendationText"/>
            </w:pPr>
            <w:bookmarkStart w:id="6017" w:name="_Toc395868627"/>
            <w:bookmarkStart w:id="6018" w:name="_Toc395879008"/>
            <w:bookmarkStart w:id="6019" w:name="_Toc395882132"/>
            <w:bookmarkStart w:id="6020" w:name="_Toc395882463"/>
            <w:bookmarkStart w:id="6021" w:name="_Toc395880627"/>
            <w:bookmarkStart w:id="6022" w:name="_Toc395880958"/>
            <w:bookmarkStart w:id="6023" w:name="_Toc395881516"/>
            <w:bookmarkStart w:id="6024" w:name="_Toc395883901"/>
            <w:bookmarkStart w:id="6025" w:name="_Toc395884563"/>
            <w:bookmarkStart w:id="6026" w:name="_Toc395883272"/>
            <w:bookmarkStart w:id="6027" w:name="_Toc395883602"/>
            <w:bookmarkStart w:id="6028" w:name="_Toc395884904"/>
            <w:bookmarkStart w:id="6029" w:name="_Toc396138876"/>
            <w:bookmarkStart w:id="6030" w:name="_Toc396145790"/>
            <w:bookmarkStart w:id="6031" w:name="_Toc396147612"/>
            <w:bookmarkStart w:id="6032" w:name="_Toc396148867"/>
            <w:bookmarkStart w:id="6033" w:name="_Toc396149294"/>
            <w:bookmarkStart w:id="6034" w:name="_Toc396149752"/>
            <w:bookmarkStart w:id="6035" w:name="_Toc396151482"/>
            <w:bookmarkStart w:id="6036" w:name="_Toc396202490"/>
            <w:bookmarkStart w:id="6037" w:name="_Toc396206698"/>
            <w:bookmarkStart w:id="6038" w:name="_Toc396209526"/>
            <w:bookmarkStart w:id="6039" w:name="_Toc396211950"/>
            <w:bookmarkStart w:id="6040" w:name="_Toc396213293"/>
            <w:bookmarkStart w:id="6041" w:name="_Toc396214571"/>
            <w:bookmarkStart w:id="6042" w:name="_Toc396226683"/>
            <w:bookmarkStart w:id="6043" w:name="_Toc396228883"/>
            <w:bookmarkStart w:id="6044" w:name="_Toc396230525"/>
            <w:bookmarkStart w:id="6045" w:name="_Toc396231666"/>
            <w:bookmarkStart w:id="6046" w:name="_Toc396233306"/>
            <w:bookmarkStart w:id="6047" w:name="_Toc396234126"/>
            <w:bookmarkStart w:id="6048" w:name="_Toc396234537"/>
            <w:bookmarkStart w:id="6049" w:name="_Toc396586268"/>
            <w:r w:rsidRPr="008625DC">
              <w:t>State and territory governments should finalise the energy reform agenda, including through:</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p>
          <w:p w14:paraId="74FC551C" w14:textId="77777777" w:rsidR="001E4B43" w:rsidRPr="008625DC" w:rsidRDefault="001E4B43" w:rsidP="00DB4ECC">
            <w:pPr>
              <w:pStyle w:val="RecommendationBullet"/>
            </w:pPr>
            <w:bookmarkStart w:id="6050" w:name="_Toc395868628"/>
            <w:bookmarkStart w:id="6051" w:name="_Toc395879009"/>
            <w:bookmarkStart w:id="6052" w:name="_Toc395882133"/>
            <w:bookmarkStart w:id="6053" w:name="_Toc395882464"/>
            <w:bookmarkStart w:id="6054" w:name="_Toc395880628"/>
            <w:bookmarkStart w:id="6055" w:name="_Toc395880959"/>
            <w:bookmarkStart w:id="6056" w:name="_Toc395881517"/>
            <w:bookmarkStart w:id="6057" w:name="_Toc395883902"/>
            <w:bookmarkStart w:id="6058" w:name="_Toc395884564"/>
            <w:bookmarkStart w:id="6059" w:name="_Toc395883273"/>
            <w:bookmarkStart w:id="6060" w:name="_Toc395883603"/>
            <w:bookmarkStart w:id="6061" w:name="_Toc395884905"/>
            <w:bookmarkStart w:id="6062" w:name="_Toc396138877"/>
            <w:bookmarkStart w:id="6063" w:name="_Toc396145791"/>
            <w:bookmarkStart w:id="6064" w:name="_Toc396147613"/>
            <w:bookmarkStart w:id="6065" w:name="_Toc396148868"/>
            <w:bookmarkStart w:id="6066" w:name="_Toc396149295"/>
            <w:bookmarkStart w:id="6067" w:name="_Toc396149753"/>
            <w:bookmarkStart w:id="6068" w:name="_Toc396151483"/>
            <w:bookmarkStart w:id="6069" w:name="_Toc396202491"/>
            <w:bookmarkStart w:id="6070" w:name="_Toc396206699"/>
            <w:bookmarkStart w:id="6071" w:name="_Toc396209527"/>
            <w:bookmarkStart w:id="6072" w:name="_Toc396211951"/>
            <w:bookmarkStart w:id="6073" w:name="_Toc396213294"/>
            <w:bookmarkStart w:id="6074" w:name="_Toc396214572"/>
            <w:bookmarkStart w:id="6075" w:name="_Toc396226684"/>
            <w:bookmarkStart w:id="6076" w:name="_Toc396228884"/>
            <w:bookmarkStart w:id="6077" w:name="_Toc396230526"/>
            <w:bookmarkStart w:id="6078" w:name="_Toc396231667"/>
            <w:bookmarkStart w:id="6079" w:name="_Toc396233307"/>
            <w:bookmarkStart w:id="6080" w:name="_Toc396234127"/>
            <w:bookmarkStart w:id="6081" w:name="_Toc396234538"/>
            <w:bookmarkStart w:id="6082" w:name="_Toc396586269"/>
            <w:r w:rsidRPr="008625DC">
              <w:t>application of the National Energy Retail Law with minimal derogation by all National Electricity Market jurisdictions;</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14:paraId="0F5A06CA" w14:textId="77777777" w:rsidR="001E4B43" w:rsidRPr="008625DC" w:rsidRDefault="001E4B43" w:rsidP="00DB4ECC">
            <w:pPr>
              <w:pStyle w:val="RecommendationBullet"/>
            </w:pPr>
            <w:bookmarkStart w:id="6083" w:name="_Toc395867496"/>
            <w:bookmarkStart w:id="6084" w:name="_Toc395868629"/>
            <w:bookmarkStart w:id="6085" w:name="_Toc395879010"/>
            <w:bookmarkStart w:id="6086" w:name="_Toc395882134"/>
            <w:bookmarkStart w:id="6087" w:name="_Toc395882465"/>
            <w:bookmarkStart w:id="6088" w:name="_Toc395880629"/>
            <w:bookmarkStart w:id="6089" w:name="_Toc395880960"/>
            <w:bookmarkStart w:id="6090" w:name="_Toc395881518"/>
            <w:bookmarkStart w:id="6091" w:name="_Toc395883903"/>
            <w:bookmarkStart w:id="6092" w:name="_Toc395884565"/>
            <w:bookmarkStart w:id="6093" w:name="_Toc395883274"/>
            <w:bookmarkStart w:id="6094" w:name="_Toc395883604"/>
            <w:bookmarkStart w:id="6095" w:name="_Toc395884906"/>
            <w:bookmarkStart w:id="6096" w:name="_Toc396138878"/>
            <w:bookmarkStart w:id="6097" w:name="_Toc396145792"/>
            <w:bookmarkStart w:id="6098" w:name="_Toc396147614"/>
            <w:bookmarkStart w:id="6099" w:name="_Toc396148869"/>
            <w:bookmarkStart w:id="6100" w:name="_Toc396149296"/>
            <w:bookmarkStart w:id="6101" w:name="_Toc396149754"/>
            <w:bookmarkStart w:id="6102" w:name="_Toc396151484"/>
            <w:bookmarkStart w:id="6103" w:name="_Toc396202492"/>
            <w:bookmarkStart w:id="6104" w:name="_Toc396206700"/>
            <w:bookmarkStart w:id="6105" w:name="_Toc396209528"/>
            <w:bookmarkStart w:id="6106" w:name="_Toc396211952"/>
            <w:bookmarkStart w:id="6107" w:name="_Toc396213295"/>
            <w:bookmarkStart w:id="6108" w:name="_Toc396214573"/>
            <w:bookmarkStart w:id="6109" w:name="_Toc396226685"/>
            <w:bookmarkStart w:id="6110" w:name="_Toc396228885"/>
            <w:bookmarkStart w:id="6111" w:name="_Toc396230527"/>
            <w:bookmarkStart w:id="6112" w:name="_Toc396231668"/>
            <w:bookmarkStart w:id="6113" w:name="_Toc396233308"/>
            <w:bookmarkStart w:id="6114" w:name="_Toc396234128"/>
            <w:bookmarkStart w:id="6115" w:name="_Toc396234539"/>
            <w:bookmarkStart w:id="6116" w:name="_Toc396586270"/>
            <w:r w:rsidRPr="008625DC">
              <w:t>deregulation of both electricity and gas retail prices; and</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p>
          <w:p w14:paraId="0BC3315A" w14:textId="77777777" w:rsidR="001E4B43" w:rsidRPr="008625DC" w:rsidRDefault="001E4B43" w:rsidP="005C6A7D">
            <w:pPr>
              <w:pStyle w:val="RecommendationBullet"/>
              <w:spacing w:after="180"/>
            </w:pPr>
            <w:bookmarkStart w:id="6117" w:name="_Toc395867497"/>
            <w:bookmarkStart w:id="6118" w:name="_Toc395868630"/>
            <w:bookmarkStart w:id="6119" w:name="_Toc395879011"/>
            <w:bookmarkStart w:id="6120" w:name="_Toc395882135"/>
            <w:bookmarkStart w:id="6121" w:name="_Toc395882466"/>
            <w:bookmarkStart w:id="6122" w:name="_Toc395880630"/>
            <w:bookmarkStart w:id="6123" w:name="_Toc395880961"/>
            <w:bookmarkStart w:id="6124" w:name="_Toc395881519"/>
            <w:bookmarkStart w:id="6125" w:name="_Toc395883904"/>
            <w:bookmarkStart w:id="6126" w:name="_Toc395884566"/>
            <w:bookmarkStart w:id="6127" w:name="_Toc395883275"/>
            <w:bookmarkStart w:id="6128" w:name="_Toc395883605"/>
            <w:bookmarkStart w:id="6129" w:name="_Toc395884907"/>
            <w:bookmarkStart w:id="6130" w:name="_Toc396138879"/>
            <w:bookmarkStart w:id="6131" w:name="_Toc396145793"/>
            <w:bookmarkStart w:id="6132" w:name="_Toc396147615"/>
            <w:bookmarkStart w:id="6133" w:name="_Toc396148870"/>
            <w:bookmarkStart w:id="6134" w:name="_Toc396149297"/>
            <w:bookmarkStart w:id="6135" w:name="_Toc396149755"/>
            <w:bookmarkStart w:id="6136" w:name="_Toc396151485"/>
            <w:bookmarkStart w:id="6137" w:name="_Toc396202493"/>
            <w:bookmarkStart w:id="6138" w:name="_Toc396206701"/>
            <w:bookmarkStart w:id="6139" w:name="_Toc396209529"/>
            <w:bookmarkStart w:id="6140" w:name="_Toc396211953"/>
            <w:bookmarkStart w:id="6141" w:name="_Toc396213296"/>
            <w:bookmarkStart w:id="6142" w:name="_Toc396214574"/>
            <w:bookmarkStart w:id="6143" w:name="_Toc396226686"/>
            <w:bookmarkStart w:id="6144" w:name="_Toc396228886"/>
            <w:bookmarkStart w:id="6145" w:name="_Toc396230528"/>
            <w:bookmarkStart w:id="6146" w:name="_Toc396231669"/>
            <w:bookmarkStart w:id="6147" w:name="_Toc396233309"/>
            <w:bookmarkStart w:id="6148" w:name="_Toc396234129"/>
            <w:bookmarkStart w:id="6149" w:name="_Toc396234540"/>
            <w:bookmarkStart w:id="6150" w:name="_Toc396586271"/>
            <w:proofErr w:type="gramStart"/>
            <w:r w:rsidRPr="008625DC">
              <w:t>the</w:t>
            </w:r>
            <w:proofErr w:type="gramEnd"/>
            <w:r w:rsidRPr="008625DC">
              <w:t xml:space="preserve"> transfer of responsibility for reliability standards to a national framework.</w:t>
            </w:r>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5A49057D" w14:textId="77777777" w:rsidR="001E4B43" w:rsidRPr="008625DC" w:rsidRDefault="001E4B43" w:rsidP="001E4B43">
            <w:pPr>
              <w:pStyle w:val="RecommendationText"/>
            </w:pPr>
            <w:bookmarkStart w:id="6151" w:name="_Toc395867498"/>
            <w:bookmarkStart w:id="6152" w:name="_Toc395868631"/>
            <w:bookmarkStart w:id="6153" w:name="_Toc395879012"/>
            <w:bookmarkStart w:id="6154" w:name="_Toc395882136"/>
            <w:bookmarkStart w:id="6155" w:name="_Toc395882467"/>
            <w:bookmarkStart w:id="6156" w:name="_Toc395880631"/>
            <w:bookmarkStart w:id="6157" w:name="_Toc395880962"/>
            <w:bookmarkStart w:id="6158" w:name="_Toc395881520"/>
            <w:bookmarkStart w:id="6159" w:name="_Toc395883905"/>
            <w:bookmarkStart w:id="6160" w:name="_Toc395884567"/>
            <w:bookmarkStart w:id="6161" w:name="_Toc395883276"/>
            <w:bookmarkStart w:id="6162" w:name="_Toc395883606"/>
            <w:bookmarkStart w:id="6163" w:name="_Toc395884908"/>
            <w:bookmarkStart w:id="6164" w:name="_Toc396138880"/>
            <w:bookmarkStart w:id="6165" w:name="_Toc396145794"/>
            <w:bookmarkStart w:id="6166" w:name="_Toc396146459"/>
            <w:bookmarkStart w:id="6167" w:name="_Toc396147616"/>
            <w:bookmarkStart w:id="6168" w:name="_Toc396148871"/>
            <w:bookmarkStart w:id="6169" w:name="_Toc396149298"/>
            <w:bookmarkStart w:id="6170" w:name="_Toc396149756"/>
            <w:bookmarkStart w:id="6171" w:name="_Toc396151486"/>
            <w:bookmarkStart w:id="6172" w:name="_Toc396202494"/>
            <w:bookmarkStart w:id="6173" w:name="_Toc396206702"/>
            <w:bookmarkStart w:id="6174" w:name="_Toc396209530"/>
            <w:bookmarkStart w:id="6175" w:name="_Toc396211954"/>
            <w:bookmarkStart w:id="6176" w:name="_Toc396213297"/>
            <w:bookmarkStart w:id="6177" w:name="_Toc396214575"/>
            <w:bookmarkStart w:id="6178" w:name="_Toc396226687"/>
            <w:bookmarkStart w:id="6179" w:name="_Toc396228887"/>
            <w:bookmarkStart w:id="6180" w:name="_Toc396230529"/>
            <w:bookmarkStart w:id="6181" w:name="_Toc396231670"/>
            <w:bookmarkStart w:id="6182" w:name="_Toc396233310"/>
            <w:bookmarkStart w:id="6183" w:name="_Toc396234130"/>
            <w:bookmarkStart w:id="6184" w:name="_Toc396234541"/>
            <w:bookmarkStart w:id="6185" w:name="_Toc396586272"/>
            <w:r w:rsidRPr="008625DC">
              <w:t>The Panel supports moves to include Western Australia and the Northern Territory in the National Electricity Market, noting that this does not require physical integration.</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3E64644D" w14:textId="3B745E8D" w:rsidR="001E4B43" w:rsidRPr="008625DC" w:rsidRDefault="001E4B43" w:rsidP="001E4B43">
            <w:pPr>
              <w:pStyle w:val="RecommendationText"/>
            </w:pPr>
            <w:bookmarkStart w:id="6186" w:name="_Toc395867499"/>
            <w:bookmarkStart w:id="6187" w:name="_Toc395868632"/>
            <w:bookmarkStart w:id="6188" w:name="_Toc395879013"/>
            <w:bookmarkStart w:id="6189" w:name="_Toc395882137"/>
            <w:bookmarkStart w:id="6190" w:name="_Toc395882468"/>
            <w:bookmarkStart w:id="6191" w:name="_Toc395880632"/>
            <w:bookmarkStart w:id="6192" w:name="_Toc395880963"/>
            <w:bookmarkStart w:id="6193" w:name="_Toc395881521"/>
            <w:bookmarkStart w:id="6194" w:name="_Toc395883906"/>
            <w:bookmarkStart w:id="6195" w:name="_Toc395884568"/>
            <w:bookmarkStart w:id="6196" w:name="_Toc395883277"/>
            <w:bookmarkStart w:id="6197" w:name="_Toc395883607"/>
            <w:bookmarkStart w:id="6198" w:name="_Toc395884909"/>
            <w:bookmarkStart w:id="6199" w:name="_Toc396138881"/>
            <w:bookmarkStart w:id="6200" w:name="_Toc396145795"/>
            <w:bookmarkStart w:id="6201" w:name="_Toc396146460"/>
            <w:bookmarkStart w:id="6202" w:name="_Toc396147617"/>
            <w:bookmarkStart w:id="6203" w:name="_Toc396148872"/>
            <w:bookmarkStart w:id="6204" w:name="_Toc396149299"/>
            <w:bookmarkStart w:id="6205" w:name="_Toc396149757"/>
            <w:bookmarkStart w:id="6206" w:name="_Toc396151487"/>
            <w:bookmarkStart w:id="6207" w:name="_Toc396202495"/>
            <w:bookmarkStart w:id="6208" w:name="_Toc396206703"/>
            <w:bookmarkStart w:id="6209" w:name="_Toc396209531"/>
            <w:bookmarkStart w:id="6210" w:name="_Toc396211955"/>
            <w:bookmarkStart w:id="6211" w:name="_Toc396213298"/>
            <w:bookmarkStart w:id="6212" w:name="_Toc396214576"/>
            <w:bookmarkStart w:id="6213" w:name="_Toc396226688"/>
            <w:bookmarkStart w:id="6214" w:name="_Toc396228888"/>
            <w:bookmarkStart w:id="6215" w:name="_Toc396230530"/>
            <w:bookmarkStart w:id="6216" w:name="_Toc396231671"/>
            <w:bookmarkStart w:id="6217" w:name="_Toc396233311"/>
            <w:bookmarkStart w:id="6218" w:name="_Toc396234131"/>
            <w:bookmarkStart w:id="6219" w:name="_Toc396234542"/>
            <w:bookmarkStart w:id="6220" w:name="_Toc396586273"/>
            <w:r w:rsidRPr="008625DC">
              <w:t>All governments should re</w:t>
            </w:r>
            <w:r w:rsidR="00C74E19" w:rsidRPr="008625DC">
              <w:noBreakHyphen/>
            </w:r>
            <w:r w:rsidRPr="008625DC">
              <w:t>commit to reform in the water sector, with a view to creating a national framework. An intergovernmental agreement should cover both urban and rural water and focus on:</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2C68BA49" w14:textId="77777777" w:rsidR="001E4B43" w:rsidRPr="008625DC" w:rsidRDefault="001E4B43" w:rsidP="00DB4ECC">
            <w:pPr>
              <w:pStyle w:val="RecommendationBullet"/>
            </w:pPr>
            <w:bookmarkStart w:id="6221" w:name="_Toc395867500"/>
            <w:bookmarkStart w:id="6222" w:name="_Toc395868633"/>
            <w:bookmarkStart w:id="6223" w:name="_Toc395879014"/>
            <w:bookmarkStart w:id="6224" w:name="_Toc395882138"/>
            <w:bookmarkStart w:id="6225" w:name="_Toc395882469"/>
            <w:bookmarkStart w:id="6226" w:name="_Toc395880633"/>
            <w:bookmarkStart w:id="6227" w:name="_Toc395880964"/>
            <w:bookmarkStart w:id="6228" w:name="_Toc395881522"/>
            <w:bookmarkStart w:id="6229" w:name="_Toc395883907"/>
            <w:bookmarkStart w:id="6230" w:name="_Toc395884569"/>
            <w:bookmarkStart w:id="6231" w:name="_Toc395883278"/>
            <w:bookmarkStart w:id="6232" w:name="_Toc395883608"/>
            <w:bookmarkStart w:id="6233" w:name="_Toc395884910"/>
            <w:bookmarkStart w:id="6234" w:name="_Toc396138882"/>
            <w:bookmarkStart w:id="6235" w:name="_Toc396146461"/>
            <w:bookmarkStart w:id="6236" w:name="_Toc396147618"/>
            <w:bookmarkStart w:id="6237" w:name="_Toc396148873"/>
            <w:bookmarkStart w:id="6238" w:name="_Toc396149300"/>
            <w:bookmarkStart w:id="6239" w:name="_Toc396149758"/>
            <w:bookmarkStart w:id="6240" w:name="_Toc396151488"/>
            <w:bookmarkStart w:id="6241" w:name="_Toc396202496"/>
            <w:bookmarkStart w:id="6242" w:name="_Toc396206704"/>
            <w:bookmarkStart w:id="6243" w:name="_Toc396209532"/>
            <w:bookmarkStart w:id="6244" w:name="_Toc396211956"/>
            <w:bookmarkStart w:id="6245" w:name="_Toc396213299"/>
            <w:bookmarkStart w:id="6246" w:name="_Toc396214577"/>
            <w:bookmarkStart w:id="6247" w:name="_Toc396226689"/>
            <w:bookmarkStart w:id="6248" w:name="_Toc396228889"/>
            <w:bookmarkStart w:id="6249" w:name="_Toc396230531"/>
            <w:bookmarkStart w:id="6250" w:name="_Toc396231672"/>
            <w:bookmarkStart w:id="6251" w:name="_Toc396233312"/>
            <w:bookmarkStart w:id="6252" w:name="_Toc396234132"/>
            <w:bookmarkStart w:id="6253" w:name="_Toc396234543"/>
            <w:bookmarkStart w:id="6254" w:name="_Toc396586274"/>
            <w:r w:rsidRPr="008625DC">
              <w:t>economic regulation of the sector; and</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p>
          <w:p w14:paraId="48BF53F7" w14:textId="77777777" w:rsidR="001E4B43" w:rsidRPr="008625DC" w:rsidRDefault="001E4B43" w:rsidP="005C6A7D">
            <w:pPr>
              <w:pStyle w:val="RecommendationBullet"/>
              <w:spacing w:after="180"/>
            </w:pPr>
            <w:bookmarkStart w:id="6255" w:name="_Toc395867501"/>
            <w:bookmarkStart w:id="6256" w:name="_Toc395868634"/>
            <w:bookmarkStart w:id="6257" w:name="_Toc395879015"/>
            <w:bookmarkStart w:id="6258" w:name="_Toc395882139"/>
            <w:bookmarkStart w:id="6259" w:name="_Toc395882470"/>
            <w:bookmarkStart w:id="6260" w:name="_Toc395880634"/>
            <w:bookmarkStart w:id="6261" w:name="_Toc395880965"/>
            <w:bookmarkStart w:id="6262" w:name="_Toc395881523"/>
            <w:bookmarkStart w:id="6263" w:name="_Toc395883908"/>
            <w:bookmarkStart w:id="6264" w:name="_Toc395884570"/>
            <w:bookmarkStart w:id="6265" w:name="_Toc395883279"/>
            <w:bookmarkStart w:id="6266" w:name="_Toc395883609"/>
            <w:bookmarkStart w:id="6267" w:name="_Toc395884911"/>
            <w:bookmarkStart w:id="6268" w:name="_Toc396138883"/>
            <w:bookmarkStart w:id="6269" w:name="_Toc396146462"/>
            <w:bookmarkStart w:id="6270" w:name="_Toc396147619"/>
            <w:bookmarkStart w:id="6271" w:name="_Toc396148874"/>
            <w:bookmarkStart w:id="6272" w:name="_Toc396149301"/>
            <w:bookmarkStart w:id="6273" w:name="_Toc396149759"/>
            <w:bookmarkStart w:id="6274" w:name="_Toc396151489"/>
            <w:bookmarkStart w:id="6275" w:name="_Toc396202497"/>
            <w:bookmarkStart w:id="6276" w:name="_Toc396206705"/>
            <w:bookmarkStart w:id="6277" w:name="_Toc396209533"/>
            <w:bookmarkStart w:id="6278" w:name="_Toc396211957"/>
            <w:bookmarkStart w:id="6279" w:name="_Toc396213300"/>
            <w:bookmarkStart w:id="6280" w:name="_Toc396214578"/>
            <w:bookmarkStart w:id="6281" w:name="_Toc396226690"/>
            <w:bookmarkStart w:id="6282" w:name="_Toc396228890"/>
            <w:bookmarkStart w:id="6283" w:name="_Toc396230532"/>
            <w:bookmarkStart w:id="6284" w:name="_Toc396231673"/>
            <w:bookmarkStart w:id="6285" w:name="_Toc396233313"/>
            <w:bookmarkStart w:id="6286" w:name="_Toc396234133"/>
            <w:bookmarkStart w:id="6287" w:name="_Toc396234544"/>
            <w:bookmarkStart w:id="6288" w:name="_Toc396586275"/>
            <w:proofErr w:type="gramStart"/>
            <w:r w:rsidRPr="008625DC">
              <w:t>harmonisation</w:t>
            </w:r>
            <w:proofErr w:type="gramEnd"/>
            <w:r w:rsidRPr="008625DC">
              <w:t xml:space="preserve"> of state and territory regulations where appropriate.</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14:paraId="6F051593" w14:textId="3C758F2F" w:rsidR="001E4B43" w:rsidRPr="008625DC" w:rsidRDefault="001E4B43" w:rsidP="001E4B43">
            <w:pPr>
              <w:pStyle w:val="RecommendationText"/>
            </w:pPr>
            <w:bookmarkStart w:id="6289" w:name="_Toc395867502"/>
            <w:bookmarkStart w:id="6290" w:name="_Toc395868635"/>
            <w:bookmarkStart w:id="6291" w:name="_Toc395879016"/>
            <w:bookmarkStart w:id="6292" w:name="_Toc395882140"/>
            <w:bookmarkStart w:id="6293" w:name="_Toc395882471"/>
            <w:bookmarkStart w:id="6294" w:name="_Toc395880635"/>
            <w:bookmarkStart w:id="6295" w:name="_Toc395880966"/>
            <w:bookmarkStart w:id="6296" w:name="_Toc395881524"/>
            <w:bookmarkStart w:id="6297" w:name="_Toc395883909"/>
            <w:bookmarkStart w:id="6298" w:name="_Toc395884571"/>
            <w:bookmarkStart w:id="6299" w:name="_Toc395883280"/>
            <w:bookmarkStart w:id="6300" w:name="_Toc395883610"/>
            <w:bookmarkStart w:id="6301" w:name="_Toc395884912"/>
            <w:bookmarkStart w:id="6302" w:name="_Toc396138884"/>
            <w:bookmarkStart w:id="6303" w:name="_Toc396145798"/>
            <w:bookmarkStart w:id="6304" w:name="_Toc396146463"/>
            <w:bookmarkStart w:id="6305" w:name="_Toc396147620"/>
            <w:bookmarkStart w:id="6306" w:name="_Toc396148875"/>
            <w:bookmarkStart w:id="6307" w:name="_Toc396149302"/>
            <w:bookmarkStart w:id="6308" w:name="_Toc396149760"/>
            <w:bookmarkStart w:id="6309" w:name="_Toc396151490"/>
            <w:bookmarkStart w:id="6310" w:name="_Toc396202498"/>
            <w:bookmarkStart w:id="6311" w:name="_Toc396206706"/>
            <w:bookmarkStart w:id="6312" w:name="_Toc396209534"/>
            <w:bookmarkStart w:id="6313" w:name="_Toc396211958"/>
            <w:bookmarkStart w:id="6314" w:name="_Toc396213301"/>
            <w:bookmarkStart w:id="6315" w:name="_Toc396214579"/>
            <w:bookmarkStart w:id="6316" w:name="_Toc396226691"/>
            <w:bookmarkStart w:id="6317" w:name="_Toc396228891"/>
            <w:bookmarkStart w:id="6318" w:name="_Toc396230533"/>
            <w:bookmarkStart w:id="6319" w:name="_Toc396231674"/>
            <w:bookmarkStart w:id="6320" w:name="_Toc396233314"/>
            <w:bookmarkStart w:id="6321" w:name="_Toc396234134"/>
            <w:bookmarkStart w:id="6322" w:name="_Toc396234545"/>
            <w:bookmarkStart w:id="6323" w:name="_Toc396586276"/>
            <w:r w:rsidRPr="008625DC">
              <w:t>Where water regulation is made national, the body responsible for its implementation should be the Panel</w:t>
            </w:r>
            <w:r w:rsidR="00C74E19" w:rsidRPr="008625DC">
              <w:t>’</w:t>
            </w:r>
            <w:r w:rsidRPr="008625DC">
              <w:t>s proposed national access and pricing regulator (see Draft Recommendation 46).</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tc>
      </w:tr>
    </w:tbl>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14:paraId="4082D2C3" w14:textId="562F8419" w:rsidR="001E4B43" w:rsidRPr="008625DC" w:rsidRDefault="001E4B43" w:rsidP="005C6A7D">
      <w:pPr>
        <w:spacing w:before="240"/>
      </w:pPr>
      <w:r w:rsidRPr="008625DC">
        <w:t xml:space="preserve">For further detail on electricity, gas and water, see </w:t>
      </w:r>
      <w:hyperlink w:anchor="s91" w:history="1">
        <w:r w:rsidRPr="008625DC">
          <w:rPr>
            <w:rStyle w:val="Hyperlink"/>
          </w:rPr>
          <w:t>Section 9.1</w:t>
        </w:r>
      </w:hyperlink>
      <w:r w:rsidRPr="008625DC">
        <w:t>.</w:t>
      </w:r>
    </w:p>
    <w:p w14:paraId="75DC6059" w14:textId="77777777" w:rsidR="001E4B43" w:rsidRPr="008625DC" w:rsidRDefault="001E4B43" w:rsidP="001E4B43">
      <w:r w:rsidRPr="008625DC">
        <w:br w:type="page"/>
      </w:r>
    </w:p>
    <w:p w14:paraId="40C148F9" w14:textId="6A6FDC2D" w:rsidR="00D226CF" w:rsidRPr="008625DC" w:rsidRDefault="00D226CF" w:rsidP="00864E0A">
      <w:pPr>
        <w:pStyle w:val="Heading1"/>
        <w:ind w:left="851" w:hanging="851"/>
      </w:pPr>
      <w:bookmarkStart w:id="6324" w:name="_Toc391906836"/>
      <w:bookmarkStart w:id="6325" w:name="_Toc391908245"/>
      <w:bookmarkStart w:id="6326" w:name="_Toc392149069"/>
      <w:bookmarkStart w:id="6327" w:name="_Toc392159521"/>
      <w:bookmarkStart w:id="6328" w:name="_Toc392161233"/>
      <w:bookmarkStart w:id="6329" w:name="_Toc392162288"/>
      <w:bookmarkStart w:id="6330" w:name="_Toc392164053"/>
      <w:bookmarkStart w:id="6331" w:name="_Toc392169001"/>
      <w:bookmarkStart w:id="6332" w:name="_Toc392169935"/>
      <w:bookmarkStart w:id="6333" w:name="_Toc392170629"/>
      <w:bookmarkStart w:id="6334" w:name="_Toc392170803"/>
      <w:bookmarkStart w:id="6335" w:name="_Toc392171218"/>
      <w:bookmarkStart w:id="6336" w:name="_Toc392172807"/>
      <w:bookmarkStart w:id="6337" w:name="_Toc392173171"/>
      <w:bookmarkStart w:id="6338" w:name="_Toc392173347"/>
      <w:bookmarkStart w:id="6339" w:name="_Toc392238336"/>
      <w:bookmarkStart w:id="6340" w:name="_Toc392247637"/>
      <w:bookmarkStart w:id="6341" w:name="_Toc392247912"/>
      <w:bookmarkStart w:id="6342" w:name="_Toc392248584"/>
      <w:bookmarkStart w:id="6343" w:name="_Toc392251117"/>
      <w:bookmarkStart w:id="6344" w:name="_Toc392253741"/>
      <w:bookmarkStart w:id="6345" w:name="_Toc392253918"/>
      <w:bookmarkStart w:id="6346" w:name="_Toc392255509"/>
      <w:bookmarkStart w:id="6347" w:name="_Toc392256304"/>
      <w:bookmarkStart w:id="6348" w:name="_Toc392257499"/>
      <w:bookmarkStart w:id="6349" w:name="_Toc392498515"/>
      <w:bookmarkStart w:id="6350" w:name="_Toc392500510"/>
      <w:bookmarkStart w:id="6351" w:name="_Toc392513325"/>
      <w:bookmarkStart w:id="6352" w:name="_Toc392514238"/>
      <w:bookmarkStart w:id="6353" w:name="_Toc392515425"/>
      <w:bookmarkStart w:id="6354" w:name="_Toc392517355"/>
      <w:bookmarkStart w:id="6355" w:name="_Toc392517361"/>
      <w:bookmarkStart w:id="6356" w:name="_Toc392517622"/>
      <w:bookmarkStart w:id="6357" w:name="_Toc392517775"/>
      <w:bookmarkStart w:id="6358" w:name="_Toc392517855"/>
      <w:bookmarkStart w:id="6359" w:name="_Toc392685056"/>
      <w:bookmarkStart w:id="6360" w:name="_Toc392685146"/>
      <w:bookmarkStart w:id="6361" w:name="_Toc392687309"/>
      <w:bookmarkStart w:id="6362" w:name="_Toc392688478"/>
      <w:bookmarkStart w:id="6363" w:name="_Toc392689478"/>
      <w:bookmarkStart w:id="6364" w:name="_Toc392690262"/>
      <w:bookmarkStart w:id="6365" w:name="_Toc392843485"/>
      <w:bookmarkStart w:id="6366" w:name="_Toc392853119"/>
      <w:bookmarkStart w:id="6367" w:name="_Toc392859874"/>
      <w:bookmarkStart w:id="6368" w:name="_Toc392860762"/>
      <w:bookmarkStart w:id="6369" w:name="_Toc392861532"/>
      <w:bookmarkStart w:id="6370" w:name="_Toc393203496"/>
      <w:bookmarkStart w:id="6371" w:name="_Toc393207276"/>
      <w:bookmarkStart w:id="6372" w:name="_Toc393207367"/>
      <w:bookmarkStart w:id="6373" w:name="_Toc393208140"/>
      <w:bookmarkStart w:id="6374" w:name="_Toc393208238"/>
      <w:bookmarkStart w:id="6375" w:name="_Toc393208327"/>
      <w:bookmarkStart w:id="6376" w:name="_Toc393208416"/>
      <w:bookmarkStart w:id="6377" w:name="_Toc393209740"/>
      <w:bookmarkStart w:id="6378" w:name="_Toc393276104"/>
      <w:bookmarkStart w:id="6379" w:name="_Toc393279006"/>
      <w:bookmarkStart w:id="6380" w:name="_Toc393289892"/>
      <w:bookmarkStart w:id="6381" w:name="_Toc393289987"/>
      <w:bookmarkStart w:id="6382" w:name="_Toc393292372"/>
      <w:bookmarkStart w:id="6383" w:name="_Toc393293994"/>
      <w:bookmarkStart w:id="6384" w:name="_Toc393295013"/>
      <w:bookmarkStart w:id="6385" w:name="_Toc393295318"/>
      <w:bookmarkStart w:id="6386" w:name="_Toc393296309"/>
      <w:bookmarkStart w:id="6387" w:name="_Toc393363248"/>
      <w:bookmarkStart w:id="6388" w:name="_Toc393372305"/>
      <w:bookmarkStart w:id="6389" w:name="_Toc393373399"/>
      <w:bookmarkStart w:id="6390" w:name="_Toc393374507"/>
      <w:bookmarkStart w:id="6391" w:name="_Toc393379277"/>
      <w:bookmarkStart w:id="6392" w:name="_Toc393379889"/>
      <w:bookmarkStart w:id="6393" w:name="_Toc393379985"/>
      <w:bookmarkStart w:id="6394" w:name="_Toc393879328"/>
      <w:bookmarkStart w:id="6395" w:name="_Toc393879559"/>
      <w:bookmarkStart w:id="6396" w:name="_Toc393903569"/>
      <w:bookmarkStart w:id="6397" w:name="_Toc393903668"/>
      <w:bookmarkStart w:id="6398" w:name="_Toc393902781"/>
      <w:bookmarkStart w:id="6399" w:name="_Toc393902880"/>
      <w:bookmarkStart w:id="6400" w:name="_Toc393905487"/>
      <w:bookmarkStart w:id="6401" w:name="_Toc393905586"/>
      <w:bookmarkStart w:id="6402" w:name="_Toc393904343"/>
      <w:bookmarkStart w:id="6403" w:name="_Toc393904441"/>
      <w:bookmarkStart w:id="6404" w:name="_Toc393903960"/>
      <w:bookmarkStart w:id="6405" w:name="_Toc393904812"/>
      <w:bookmarkStart w:id="6406" w:name="_Toc393905205"/>
      <w:bookmarkStart w:id="6407" w:name="_Toc393905797"/>
      <w:bookmarkStart w:id="6408" w:name="_Toc393905895"/>
      <w:bookmarkStart w:id="6409" w:name="_Toc393906178"/>
      <w:bookmarkStart w:id="6410" w:name="_Toc393906276"/>
      <w:bookmarkStart w:id="6411" w:name="_Toc393908156"/>
      <w:bookmarkStart w:id="6412" w:name="_Toc393908254"/>
      <w:bookmarkStart w:id="6413" w:name="_Toc393906597"/>
      <w:bookmarkStart w:id="6414" w:name="_Toc393906695"/>
      <w:bookmarkStart w:id="6415" w:name="_Toc393968124"/>
      <w:bookmarkStart w:id="6416" w:name="_Toc393968223"/>
      <w:bookmarkStart w:id="6417" w:name="_Toc393974255"/>
      <w:bookmarkStart w:id="6418" w:name="_Toc393974354"/>
      <w:bookmarkStart w:id="6419" w:name="_Toc393976848"/>
      <w:bookmarkStart w:id="6420" w:name="_Toc393977904"/>
      <w:bookmarkStart w:id="6421" w:name="_Toc393978002"/>
      <w:bookmarkStart w:id="6422" w:name="_Toc393985288"/>
      <w:bookmarkStart w:id="6423" w:name="_Toc393985387"/>
      <w:bookmarkStart w:id="6424" w:name="_Toc393985791"/>
      <w:bookmarkStart w:id="6425" w:name="_Toc393985891"/>
      <w:bookmarkStart w:id="6426" w:name="_Toc393986193"/>
      <w:bookmarkStart w:id="6427" w:name="_Toc393986293"/>
      <w:bookmarkStart w:id="6428" w:name="_Toc393986596"/>
      <w:bookmarkStart w:id="6429" w:name="_Toc393988203"/>
      <w:bookmarkStart w:id="6430" w:name="_Toc393988303"/>
      <w:bookmarkStart w:id="6431" w:name="_Toc393988605"/>
      <w:bookmarkStart w:id="6432" w:name="_Toc393988705"/>
      <w:bookmarkStart w:id="6433" w:name="_Toc393986697"/>
      <w:bookmarkStart w:id="6434" w:name="_Toc393989617"/>
      <w:bookmarkStart w:id="6435" w:name="_Toc393989716"/>
      <w:bookmarkStart w:id="6436" w:name="_Toc393989005"/>
      <w:bookmarkStart w:id="6437" w:name="_Toc393989104"/>
      <w:bookmarkStart w:id="6438" w:name="_Toc393991009"/>
      <w:bookmarkStart w:id="6439" w:name="_Toc393991108"/>
      <w:bookmarkStart w:id="6440" w:name="_Toc393991207"/>
      <w:bookmarkStart w:id="6441" w:name="_Toc393991993"/>
      <w:bookmarkStart w:id="6442" w:name="_Toc393992092"/>
      <w:bookmarkStart w:id="6443" w:name="_Toc394047657"/>
      <w:bookmarkStart w:id="6444" w:name="_Toc394047768"/>
      <w:bookmarkStart w:id="6445" w:name="_Toc394047867"/>
      <w:bookmarkStart w:id="6446" w:name="_Toc394048324"/>
      <w:bookmarkStart w:id="6447" w:name="_Toc394048423"/>
      <w:bookmarkStart w:id="6448" w:name="_Toc394049936"/>
      <w:bookmarkStart w:id="6449" w:name="_Toc394050035"/>
      <w:bookmarkStart w:id="6450" w:name="_Toc394051336"/>
      <w:bookmarkStart w:id="6451" w:name="_Toc394051435"/>
      <w:bookmarkStart w:id="6452" w:name="_Toc394062325"/>
      <w:bookmarkStart w:id="6453" w:name="_Toc394062582"/>
      <w:bookmarkStart w:id="6454" w:name="_Toc394069202"/>
      <w:bookmarkStart w:id="6455" w:name="_Toc394069297"/>
      <w:bookmarkStart w:id="6456" w:name="_Toc394071121"/>
      <w:bookmarkStart w:id="6457" w:name="_Toc394071216"/>
      <w:bookmarkStart w:id="6458" w:name="_Toc394312829"/>
      <w:bookmarkStart w:id="6459" w:name="_Toc394330488"/>
      <w:bookmarkStart w:id="6460" w:name="_Toc394330805"/>
      <w:bookmarkStart w:id="6461" w:name="_Toc394331320"/>
      <w:bookmarkStart w:id="6462" w:name="_Toc394331419"/>
      <w:bookmarkStart w:id="6463" w:name="_Toc394332667"/>
      <w:bookmarkStart w:id="6464" w:name="_Toc394333396"/>
      <w:bookmarkStart w:id="6465" w:name="_Toc394333494"/>
      <w:bookmarkStart w:id="6466" w:name="_Toc394333809"/>
      <w:bookmarkStart w:id="6467" w:name="_Toc394333907"/>
      <w:bookmarkStart w:id="6468" w:name="_Toc394334222"/>
      <w:bookmarkStart w:id="6469" w:name="_Toc394334320"/>
      <w:bookmarkStart w:id="6470" w:name="_Toc394335048"/>
      <w:bookmarkStart w:id="6471" w:name="_Toc394335146"/>
      <w:bookmarkStart w:id="6472" w:name="_Toc394415245"/>
      <w:bookmarkStart w:id="6473" w:name="_Toc394415364"/>
      <w:bookmarkStart w:id="6474" w:name="_Toc394412549"/>
      <w:bookmarkStart w:id="6475" w:name="_Toc394412672"/>
      <w:bookmarkStart w:id="6476" w:name="_Toc394420842"/>
      <w:bookmarkStart w:id="6477" w:name="_Toc394420965"/>
      <w:bookmarkStart w:id="6478" w:name="_Toc394423683"/>
      <w:bookmarkStart w:id="6479" w:name="_Toc394423805"/>
      <w:bookmarkStart w:id="6480" w:name="_Toc394422727"/>
      <w:bookmarkStart w:id="6481" w:name="_Toc394422849"/>
      <w:bookmarkStart w:id="6482" w:name="_Toc394423198"/>
      <w:bookmarkStart w:id="6483" w:name="_Toc394423320"/>
      <w:bookmarkStart w:id="6484" w:name="_Toc394424346"/>
      <w:bookmarkStart w:id="6485" w:name="_Toc394424469"/>
      <w:bookmarkStart w:id="6486" w:name="_Toc394492177"/>
      <w:bookmarkStart w:id="6487" w:name="_Toc394492302"/>
      <w:bookmarkStart w:id="6488" w:name="_Toc394495321"/>
      <w:bookmarkStart w:id="6489" w:name="_Toc394495446"/>
      <w:bookmarkStart w:id="6490" w:name="_Toc394498136"/>
      <w:bookmarkStart w:id="6491" w:name="_Toc394498261"/>
      <w:bookmarkStart w:id="6492" w:name="_Toc394500926"/>
      <w:bookmarkStart w:id="6493" w:name="_Toc394501051"/>
      <w:bookmarkStart w:id="6494" w:name="_Toc394502323"/>
      <w:bookmarkStart w:id="6495" w:name="_Toc394502441"/>
      <w:bookmarkStart w:id="6496" w:name="_Toc394503227"/>
      <w:bookmarkStart w:id="6497" w:name="_Toc394503800"/>
      <w:bookmarkStart w:id="6498" w:name="_Toc394502771"/>
      <w:bookmarkStart w:id="6499" w:name="_Toc394502889"/>
      <w:bookmarkStart w:id="6500" w:name="_Toc394505978"/>
      <w:bookmarkStart w:id="6501" w:name="_Toc394506218"/>
      <w:bookmarkStart w:id="6502" w:name="_Toc394506436"/>
      <w:bookmarkStart w:id="6503" w:name="_Toc394506555"/>
      <w:bookmarkStart w:id="6504" w:name="_Toc394506990"/>
      <w:bookmarkStart w:id="6505" w:name="_Toc394507109"/>
      <w:bookmarkStart w:id="6506" w:name="_Toc394561065"/>
      <w:bookmarkStart w:id="6507" w:name="_Toc394561188"/>
      <w:bookmarkStart w:id="6508" w:name="_Toc394561526"/>
      <w:bookmarkStart w:id="6509" w:name="_Toc394562021"/>
      <w:bookmarkStart w:id="6510" w:name="_Toc394583038"/>
      <w:bookmarkStart w:id="6511" w:name="_Toc394585709"/>
      <w:bookmarkStart w:id="6512" w:name="_Toc394586176"/>
      <w:bookmarkStart w:id="6513" w:name="_Toc394588108"/>
      <w:bookmarkStart w:id="6514" w:name="_Toc394588943"/>
      <w:bookmarkStart w:id="6515" w:name="_Toc394589068"/>
      <w:bookmarkStart w:id="6516" w:name="_Toc394590483"/>
      <w:bookmarkStart w:id="6517" w:name="_Toc394590676"/>
      <w:bookmarkStart w:id="6518" w:name="_Toc394654596"/>
      <w:bookmarkStart w:id="6519" w:name="_Toc394654736"/>
      <w:bookmarkStart w:id="6520" w:name="_Toc394656294"/>
      <w:bookmarkStart w:id="6521" w:name="_Toc394656433"/>
      <w:bookmarkStart w:id="6522" w:name="_Toc394659431"/>
      <w:bookmarkStart w:id="6523" w:name="_Toc394659571"/>
      <w:bookmarkStart w:id="6524" w:name="_Toc394663443"/>
      <w:bookmarkStart w:id="6525" w:name="_Toc394663581"/>
      <w:bookmarkStart w:id="6526" w:name="_Toc394667237"/>
      <w:bookmarkStart w:id="6527" w:name="_Toc394667375"/>
      <w:bookmarkStart w:id="6528" w:name="_Toc394671720"/>
      <w:bookmarkStart w:id="6529" w:name="_Toc394671859"/>
      <w:bookmarkStart w:id="6530" w:name="_Toc394674721"/>
      <w:bookmarkStart w:id="6531" w:name="_Toc394674863"/>
      <w:bookmarkStart w:id="6532" w:name="_Toc394675001"/>
      <w:bookmarkStart w:id="6533" w:name="_Toc394675143"/>
      <w:bookmarkStart w:id="6534" w:name="_Toc394676112"/>
      <w:bookmarkStart w:id="6535" w:name="_Toc394676250"/>
      <w:bookmarkStart w:id="6536" w:name="_Toc394675801"/>
      <w:bookmarkStart w:id="6537" w:name="_Toc394675939"/>
      <w:bookmarkStart w:id="6538" w:name="_Toc394918342"/>
      <w:bookmarkStart w:id="6539" w:name="_Toc394918856"/>
      <w:bookmarkStart w:id="6540" w:name="_Toc394930829"/>
      <w:bookmarkStart w:id="6541" w:name="_Toc394933798"/>
      <w:bookmarkStart w:id="6542" w:name="_Toc394938246"/>
      <w:bookmarkStart w:id="6543" w:name="_Toc394938572"/>
      <w:bookmarkStart w:id="6544" w:name="_Toc394938690"/>
      <w:bookmarkStart w:id="6545" w:name="_Toc394937527"/>
      <w:bookmarkStart w:id="6546" w:name="_Toc394937854"/>
      <w:bookmarkStart w:id="6547" w:name="_Toc394937972"/>
      <w:bookmarkStart w:id="6548" w:name="_Toc394941158"/>
      <w:bookmarkStart w:id="6549" w:name="_Toc394941483"/>
      <w:bookmarkStart w:id="6550" w:name="_Toc394941601"/>
      <w:bookmarkStart w:id="6551" w:name="_Toc394941774"/>
      <w:bookmarkStart w:id="6552" w:name="_Toc394942099"/>
      <w:bookmarkStart w:id="6553" w:name="_Toc394942217"/>
      <w:bookmarkStart w:id="6554" w:name="_Toc394939996"/>
      <w:bookmarkStart w:id="6555" w:name="_Toc394940321"/>
      <w:bookmarkStart w:id="6556" w:name="_Toc394940439"/>
      <w:bookmarkStart w:id="6557" w:name="_Toc394939606"/>
      <w:bookmarkStart w:id="6558" w:name="_Toc394940535"/>
      <w:bookmarkStart w:id="6559" w:name="_Toc394940652"/>
      <w:bookmarkStart w:id="6560" w:name="_Toc394993815"/>
      <w:bookmarkStart w:id="6561" w:name="_Toc394995185"/>
      <w:bookmarkStart w:id="6562" w:name="_Toc394995707"/>
      <w:bookmarkStart w:id="6563" w:name="_Toc394996021"/>
      <w:bookmarkStart w:id="6564" w:name="_Toc394996218"/>
      <w:bookmarkStart w:id="6565" w:name="_Toc394997943"/>
      <w:bookmarkStart w:id="6566" w:name="_Toc394998262"/>
      <w:bookmarkStart w:id="6567" w:name="_Toc394998457"/>
      <w:bookmarkStart w:id="6568" w:name="_Toc394998775"/>
      <w:bookmarkStart w:id="6569" w:name="_Toc395001953"/>
      <w:bookmarkStart w:id="6570" w:name="_Toc395002275"/>
      <w:bookmarkStart w:id="6571" w:name="_Toc395001483"/>
      <w:bookmarkStart w:id="6572" w:name="_Toc395001756"/>
      <w:bookmarkStart w:id="6573" w:name="_Toc393979269"/>
      <w:bookmarkStart w:id="6574" w:name="_Toc395003044"/>
      <w:bookmarkStart w:id="6575" w:name="_Toc395003307"/>
      <w:bookmarkStart w:id="6576" w:name="_Toc395003628"/>
      <w:bookmarkStart w:id="6577" w:name="_Toc395005126"/>
      <w:bookmarkStart w:id="6578" w:name="_Toc395005546"/>
      <w:bookmarkStart w:id="6579" w:name="_Toc395005870"/>
      <w:bookmarkStart w:id="6580" w:name="_Toc395009045"/>
      <w:bookmarkStart w:id="6581" w:name="_Toc395009856"/>
      <w:bookmarkStart w:id="6582" w:name="_Toc395010278"/>
      <w:bookmarkStart w:id="6583" w:name="_Toc395010703"/>
      <w:bookmarkStart w:id="6584" w:name="_Toc395010119"/>
      <w:bookmarkStart w:id="6585" w:name="_Toc395011477"/>
      <w:bookmarkStart w:id="6586" w:name="_Toc395011590"/>
      <w:bookmarkStart w:id="6587" w:name="_Toc395012463"/>
      <w:bookmarkStart w:id="6588" w:name="_Toc395012771"/>
      <w:bookmarkStart w:id="6589" w:name="_Toc395012998"/>
      <w:bookmarkStart w:id="6590" w:name="_Toc395012812"/>
      <w:bookmarkStart w:id="6591" w:name="_Toc395011926"/>
      <w:bookmarkStart w:id="6592" w:name="_Toc395014574"/>
      <w:bookmarkStart w:id="6593" w:name="_Toc395014687"/>
      <w:bookmarkStart w:id="6594" w:name="_Toc395011883"/>
      <w:bookmarkStart w:id="6595" w:name="_Toc395013333"/>
      <w:bookmarkStart w:id="6596" w:name="_Toc395084917"/>
      <w:bookmarkStart w:id="6597" w:name="_Toc395085218"/>
      <w:bookmarkStart w:id="6598" w:name="_Toc395090374"/>
      <w:bookmarkStart w:id="6599" w:name="_Toc395090684"/>
      <w:bookmarkStart w:id="6600" w:name="_Toc395090796"/>
      <w:bookmarkStart w:id="6601" w:name="_Toc395092958"/>
      <w:bookmarkStart w:id="6602" w:name="_Toc395093267"/>
      <w:bookmarkStart w:id="6603" w:name="_Toc395093379"/>
      <w:bookmarkStart w:id="6604" w:name="_Toc395097869"/>
      <w:bookmarkStart w:id="6605" w:name="_Toc395098177"/>
      <w:bookmarkStart w:id="6606" w:name="_Toc395098289"/>
      <w:bookmarkStart w:id="6607" w:name="_Toc395105362"/>
      <w:bookmarkStart w:id="6608" w:name="_Toc395105473"/>
      <w:bookmarkStart w:id="6609" w:name="_Toc395106965"/>
      <w:bookmarkStart w:id="6610" w:name="_Toc395107076"/>
      <w:bookmarkStart w:id="6611" w:name="_Toc395110009"/>
      <w:bookmarkStart w:id="6612" w:name="_Toc395109623"/>
      <w:bookmarkStart w:id="6613" w:name="_Toc395109734"/>
      <w:bookmarkStart w:id="6614" w:name="_Toc395112011"/>
      <w:bookmarkStart w:id="6615" w:name="_Toc395112328"/>
      <w:bookmarkStart w:id="6616" w:name="_Toc395112439"/>
      <w:bookmarkStart w:id="6617" w:name="_Toc395107148"/>
      <w:bookmarkStart w:id="6618" w:name="_Toc395107470"/>
      <w:bookmarkStart w:id="6619" w:name="_Toc395107584"/>
      <w:bookmarkStart w:id="6620" w:name="_Toc395108691"/>
      <w:bookmarkStart w:id="6621" w:name="_Toc395113931"/>
      <w:bookmarkStart w:id="6622" w:name="_Toc395114271"/>
      <w:bookmarkStart w:id="6623" w:name="_Toc395114391"/>
      <w:bookmarkStart w:id="6624" w:name="_Toc395116668"/>
      <w:bookmarkStart w:id="6625" w:name="_Toc395117008"/>
      <w:bookmarkStart w:id="6626" w:name="_Toc395117129"/>
      <w:bookmarkStart w:id="6627" w:name="_Toc395112605"/>
      <w:bookmarkStart w:id="6628" w:name="_Toc395113126"/>
      <w:bookmarkStart w:id="6629" w:name="_Toc395113247"/>
      <w:bookmarkStart w:id="6630" w:name="_Toc395115144"/>
      <w:bookmarkStart w:id="6631" w:name="_Toc395115485"/>
      <w:bookmarkStart w:id="6632" w:name="_Toc395115606"/>
      <w:bookmarkStart w:id="6633" w:name="_Toc395118299"/>
      <w:bookmarkStart w:id="6634" w:name="_Toc395118637"/>
      <w:bookmarkStart w:id="6635" w:name="_Toc395118756"/>
      <w:bookmarkStart w:id="6636" w:name="_Toc395178341"/>
      <w:bookmarkStart w:id="6637" w:name="_Toc395624830"/>
      <w:bookmarkStart w:id="6638" w:name="_Toc395625001"/>
      <w:bookmarkStart w:id="6639" w:name="_Toc395789860"/>
      <w:bookmarkStart w:id="6640" w:name="_Toc395790181"/>
      <w:bookmarkStart w:id="6641" w:name="_Toc395800939"/>
      <w:bookmarkStart w:id="6642" w:name="_Toc395802922"/>
      <w:bookmarkStart w:id="6643" w:name="_Toc395867538"/>
      <w:bookmarkStart w:id="6644" w:name="_Toc395867689"/>
      <w:bookmarkStart w:id="6645" w:name="_Toc395868670"/>
      <w:bookmarkStart w:id="6646" w:name="_Toc395868821"/>
      <w:bookmarkStart w:id="6647" w:name="_Toc395879051"/>
      <w:bookmarkStart w:id="6648" w:name="_Toc395879200"/>
      <w:bookmarkStart w:id="6649" w:name="_Toc395882175"/>
      <w:bookmarkStart w:id="6650" w:name="_Toc395882324"/>
      <w:bookmarkStart w:id="6651" w:name="_Toc395882506"/>
      <w:bookmarkStart w:id="6652" w:name="_Toc395882655"/>
      <w:bookmarkStart w:id="6653" w:name="_Toc395880670"/>
      <w:bookmarkStart w:id="6654" w:name="_Toc395881001"/>
      <w:bookmarkStart w:id="6655" w:name="_Toc395881559"/>
      <w:bookmarkStart w:id="6656" w:name="_Toc395883944"/>
      <w:bookmarkStart w:id="6657" w:name="_Toc395884093"/>
      <w:bookmarkStart w:id="6658" w:name="_Toc395884606"/>
      <w:bookmarkStart w:id="6659" w:name="_Toc395884755"/>
      <w:bookmarkStart w:id="6660" w:name="_Toc395883315"/>
      <w:bookmarkStart w:id="6661" w:name="_Toc395883464"/>
      <w:bookmarkStart w:id="6662" w:name="_Toc395883645"/>
      <w:bookmarkStart w:id="6663" w:name="_Toc395883794"/>
      <w:bookmarkStart w:id="6664" w:name="_Toc395884947"/>
      <w:bookmarkStart w:id="6665" w:name="_Toc396123904"/>
      <w:bookmarkStart w:id="6666" w:name="_Toc396130806"/>
      <w:bookmarkStart w:id="6667" w:name="_Toc396136384"/>
      <w:bookmarkStart w:id="6668" w:name="_Toc396138931"/>
      <w:bookmarkStart w:id="6669" w:name="_Toc396145608"/>
      <w:bookmarkStart w:id="6670" w:name="_Toc396145852"/>
      <w:bookmarkStart w:id="6671" w:name="_Toc396146510"/>
      <w:bookmarkStart w:id="6672" w:name="_Toc396147678"/>
      <w:bookmarkStart w:id="6673" w:name="_Toc396147860"/>
      <w:bookmarkStart w:id="6674" w:name="_Toc396149116"/>
      <w:bookmarkStart w:id="6675" w:name="_Toc396148933"/>
      <w:bookmarkStart w:id="6676" w:name="_Toc396149610"/>
      <w:bookmarkStart w:id="6677" w:name="_Toc396149360"/>
      <w:bookmarkStart w:id="6678" w:name="_Toc396150039"/>
      <w:bookmarkStart w:id="6679" w:name="_Toc396149964"/>
      <w:bookmarkStart w:id="6680" w:name="_Toc396149818"/>
      <w:bookmarkStart w:id="6681" w:name="_Toc396150555"/>
      <w:bookmarkStart w:id="6682" w:name="_Toc396151549"/>
      <w:bookmarkStart w:id="6683" w:name="_Toc396151738"/>
      <w:bookmarkStart w:id="6684" w:name="_Toc396202557"/>
      <w:bookmarkStart w:id="6685" w:name="_Toc396202750"/>
      <w:bookmarkStart w:id="6686" w:name="_Toc396206764"/>
      <w:bookmarkStart w:id="6687" w:name="_Toc396206957"/>
      <w:bookmarkStart w:id="6688" w:name="_Toc396209592"/>
      <w:bookmarkStart w:id="6689" w:name="_Toc396209785"/>
      <w:bookmarkStart w:id="6690" w:name="_Toc396212016"/>
      <w:bookmarkStart w:id="6691" w:name="_Toc396212209"/>
      <w:bookmarkStart w:id="6692" w:name="_Toc396213358"/>
      <w:bookmarkStart w:id="6693" w:name="_Toc396213551"/>
      <w:bookmarkStart w:id="6694" w:name="_Toc396214634"/>
      <w:bookmarkStart w:id="6695" w:name="_Toc396214827"/>
      <w:bookmarkStart w:id="6696" w:name="_Toc396226746"/>
      <w:bookmarkStart w:id="6697" w:name="_Toc396226938"/>
      <w:bookmarkStart w:id="6698" w:name="_Toc396228946"/>
      <w:bookmarkStart w:id="6699" w:name="_Toc396229144"/>
      <w:bookmarkStart w:id="6700" w:name="_Toc396230588"/>
      <w:bookmarkStart w:id="6701" w:name="_Toc396230786"/>
      <w:bookmarkStart w:id="6702" w:name="_Toc396231729"/>
      <w:bookmarkStart w:id="6703" w:name="_Toc396231928"/>
      <w:bookmarkStart w:id="6704" w:name="_Toc396233369"/>
      <w:bookmarkStart w:id="6705" w:name="_Toc396233568"/>
      <w:bookmarkStart w:id="6706" w:name="_Toc396234189"/>
      <w:bookmarkStart w:id="6707" w:name="_Toc396234388"/>
      <w:bookmarkStart w:id="6708" w:name="_Toc396234598"/>
      <w:bookmarkStart w:id="6709" w:name="_Toc396236227"/>
      <w:bookmarkStart w:id="6710" w:name="_Toc396236005"/>
      <w:bookmarkStart w:id="6711" w:name="_Toc396304659"/>
      <w:bookmarkStart w:id="6712" w:name="_Toc396586277"/>
      <w:bookmarkStart w:id="6713" w:name="_Toc396815108"/>
      <w:bookmarkStart w:id="6714" w:name="_Toc396821058"/>
      <w:bookmarkStart w:id="6715" w:name="_Toc396821254"/>
      <w:bookmarkStart w:id="6716" w:name="_Toc396821666"/>
      <w:bookmarkStart w:id="6717" w:name="_Toc396827516"/>
      <w:bookmarkStart w:id="6718" w:name="_Toc396828487"/>
      <w:bookmarkStart w:id="6719" w:name="_Toc396828597"/>
      <w:bookmarkStart w:id="6720" w:name="_Toc396837986"/>
      <w:bookmarkStart w:id="6721" w:name="_Toc396838384"/>
      <w:bookmarkStart w:id="6722" w:name="_Toc396904117"/>
      <w:bookmarkStart w:id="6723" w:name="_Toc396904707"/>
      <w:bookmarkStart w:id="6724" w:name="_Toc396907541"/>
      <w:bookmarkStart w:id="6725" w:name="_Toc396912460"/>
      <w:bookmarkStart w:id="6726" w:name="_Toc396914440"/>
      <w:bookmarkStart w:id="6727" w:name="_Toc396915324"/>
      <w:bookmarkStart w:id="6728" w:name="_Toc396915718"/>
      <w:bookmarkStart w:id="6729" w:name="_Toc396921029"/>
      <w:bookmarkStart w:id="6730" w:name="_Toc396924369"/>
      <w:bookmarkStart w:id="6731" w:name="_Toc396925063"/>
      <w:bookmarkStart w:id="6732" w:name="_Toc396992183"/>
      <w:bookmarkStart w:id="6733" w:name="_Toc396992762"/>
      <w:bookmarkStart w:id="6734" w:name="_Toc396994426"/>
      <w:bookmarkStart w:id="6735" w:name="_Toc397002197"/>
      <w:bookmarkStart w:id="6736" w:name="_Toc397003116"/>
      <w:bookmarkStart w:id="6737" w:name="_Toc397008674"/>
      <w:bookmarkStart w:id="6738" w:name="_Toc397008892"/>
      <w:bookmarkStart w:id="6739" w:name="_Toc397011564"/>
      <w:bookmarkStart w:id="6740" w:name="_Toc397012625"/>
      <w:bookmarkStart w:id="6741" w:name="_Toc397014967"/>
      <w:bookmarkStart w:id="6742" w:name="_Toc397015454"/>
      <w:bookmarkStart w:id="6743" w:name="_Toc397070525"/>
      <w:bookmarkStart w:id="6744" w:name="_Toc397413263"/>
      <w:bookmarkStart w:id="6745" w:name="_Toc397413410"/>
      <w:bookmarkStart w:id="6746" w:name="_Toc397427995"/>
      <w:bookmarkStart w:id="6747" w:name="_Toc397439383"/>
      <w:bookmarkStart w:id="6748" w:name="_Toc397439553"/>
      <w:bookmarkStart w:id="6749" w:name="_Toc397439809"/>
      <w:bookmarkStart w:id="6750" w:name="_Toc397440111"/>
      <w:bookmarkStart w:id="6751" w:name="_Toc397441740"/>
      <w:bookmarkStart w:id="6752" w:name="_Toc397517442"/>
      <w:bookmarkStart w:id="6753" w:name="_Toc397522707"/>
      <w:bookmarkStart w:id="6754" w:name="_Toc397526125"/>
      <w:bookmarkStart w:id="6755" w:name="_Toc397528440"/>
      <w:bookmarkStart w:id="6756" w:name="_Toc397528915"/>
      <w:bookmarkStart w:id="6757" w:name="_Toc397601912"/>
      <w:bookmarkStart w:id="6758" w:name="_Toc397602647"/>
      <w:bookmarkStart w:id="6759" w:name="_Toc397605776"/>
      <w:bookmarkStart w:id="6760" w:name="_Toc397614920"/>
      <w:bookmarkStart w:id="6761" w:name="_Toc397616363"/>
      <w:bookmarkStart w:id="6762" w:name="_Toc397616757"/>
      <w:bookmarkStart w:id="6763" w:name="_Toc397679167"/>
      <w:bookmarkStart w:id="6764" w:name="_Toc397688055"/>
      <w:bookmarkStart w:id="6765" w:name="_Toc397689271"/>
      <w:bookmarkStart w:id="6766" w:name="_Toc397694551"/>
      <w:bookmarkStart w:id="6767" w:name="_Toc397696392"/>
      <w:bookmarkStart w:id="6768" w:name="_Toc397697126"/>
      <w:bookmarkStart w:id="6769" w:name="_Toc397698413"/>
      <w:bookmarkStart w:id="6770" w:name="_Toc397699779"/>
      <w:bookmarkStart w:id="6771" w:name="_Toc397700233"/>
      <w:bookmarkStart w:id="6772" w:name="_Toc397936625"/>
      <w:bookmarkStart w:id="6773" w:name="_Toc397936745"/>
      <w:bookmarkStart w:id="6774" w:name="_Toc397945753"/>
      <w:bookmarkStart w:id="6775" w:name="_Toc397945900"/>
      <w:bookmarkStart w:id="6776" w:name="_Toc397946926"/>
      <w:bookmarkStart w:id="6777" w:name="_Toc397948045"/>
      <w:bookmarkStart w:id="6778" w:name="_Toc397958451"/>
      <w:bookmarkStart w:id="6779" w:name="_Toc397958693"/>
      <w:bookmarkStart w:id="6780" w:name="_Toc397959108"/>
      <w:bookmarkStart w:id="6781" w:name="_Toc397962961"/>
      <w:bookmarkStart w:id="6782" w:name="_Toc397963327"/>
      <w:bookmarkStart w:id="6783" w:name="_Toc397965404"/>
      <w:bookmarkStart w:id="6784" w:name="_Toc398197342"/>
      <w:bookmarkStart w:id="6785" w:name="_Toc398201559"/>
      <w:bookmarkStart w:id="6786" w:name="_Toc398207164"/>
      <w:bookmarkStart w:id="6787" w:name="_Toc398210437"/>
      <w:bookmarkStart w:id="6788" w:name="_Toc398210951"/>
      <w:bookmarkStart w:id="6789" w:name="_Toc398211088"/>
      <w:bookmarkStart w:id="6790" w:name="_Toc398219759"/>
      <w:bookmarkStart w:id="6791" w:name="_Toc398220134"/>
      <w:bookmarkStart w:id="6792" w:name="_Toc398220521"/>
      <w:bookmarkStart w:id="6793" w:name="_Toc398221599"/>
      <w:bookmarkStart w:id="6794" w:name="_Toc398222285"/>
      <w:bookmarkStart w:id="6795" w:name="_Toc398222597"/>
      <w:bookmarkStart w:id="6796" w:name="_Toc398223014"/>
      <w:bookmarkStart w:id="6797" w:name="_Toc398223393"/>
      <w:bookmarkStart w:id="6798" w:name="_Toc398223520"/>
      <w:bookmarkStart w:id="6799" w:name="_Toc398224328"/>
      <w:bookmarkStart w:id="6800" w:name="_Toc398225665"/>
      <w:bookmarkStart w:id="6801" w:name="_Toc398225790"/>
      <w:bookmarkStart w:id="6802" w:name="_Toc398281277"/>
      <w:bookmarkStart w:id="6803" w:name="_Toc398282136"/>
      <w:bookmarkStart w:id="6804" w:name="_Toc398284806"/>
      <w:bookmarkStart w:id="6805" w:name="_Toc398287275"/>
      <w:bookmarkStart w:id="6806" w:name="_Toc398289158"/>
      <w:bookmarkStart w:id="6807" w:name="_Toc398297155"/>
      <w:bookmarkStart w:id="6808" w:name="_Toc398298629"/>
      <w:bookmarkStart w:id="6809" w:name="_Toc398300330"/>
      <w:bookmarkStart w:id="6810" w:name="_Toc398301227"/>
      <w:bookmarkStart w:id="6811" w:name="_Toc398302412"/>
      <w:bookmarkStart w:id="6812" w:name="_Toc398302575"/>
      <w:bookmarkStart w:id="6813" w:name="_Toc398549087"/>
      <w:bookmarkStart w:id="6814" w:name="_Toc398549337"/>
      <w:bookmarkStart w:id="6815" w:name="_Toc398555756"/>
      <w:bookmarkStart w:id="6816" w:name="_Toc398558960"/>
      <w:bookmarkStart w:id="6817" w:name="_Toc398563446"/>
      <w:bookmarkStart w:id="6818" w:name="_Toc398563579"/>
      <w:bookmarkStart w:id="6819" w:name="_Toc398563978"/>
      <w:bookmarkStart w:id="6820" w:name="_Toc398827316"/>
      <w:bookmarkStart w:id="6821" w:name="_Toc398827510"/>
      <w:bookmarkStart w:id="6822" w:name="Ch3"/>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Pr="008625DC">
        <w:lastRenderedPageBreak/>
        <w:t>Competition laws</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14:paraId="52195538" w14:textId="77777777" w:rsidR="00D226CF" w:rsidRPr="008625DC" w:rsidRDefault="00D226CF" w:rsidP="000B5916">
      <w:pPr>
        <w:pStyle w:val="Heading2"/>
        <w:ind w:left="851" w:hanging="851"/>
        <w:rPr>
          <w:lang w:val="en-AU"/>
        </w:rPr>
      </w:pPr>
      <w:bookmarkStart w:id="6823" w:name="_Toc394415246"/>
      <w:bookmarkStart w:id="6824" w:name="_Toc394415365"/>
      <w:bookmarkStart w:id="6825" w:name="_Toc394412550"/>
      <w:bookmarkStart w:id="6826" w:name="_Toc394412673"/>
      <w:bookmarkStart w:id="6827" w:name="_Toc394420843"/>
      <w:bookmarkStart w:id="6828" w:name="_Toc394420966"/>
      <w:bookmarkStart w:id="6829" w:name="_Toc394423684"/>
      <w:bookmarkStart w:id="6830" w:name="_Toc394423806"/>
      <w:bookmarkStart w:id="6831" w:name="_Toc394422728"/>
      <w:bookmarkStart w:id="6832" w:name="_Toc394422850"/>
      <w:bookmarkStart w:id="6833" w:name="_Toc394423199"/>
      <w:bookmarkStart w:id="6834" w:name="_Toc394423321"/>
      <w:bookmarkStart w:id="6835" w:name="_Toc394424347"/>
      <w:bookmarkStart w:id="6836" w:name="_Toc394424470"/>
      <w:bookmarkStart w:id="6837" w:name="_Toc394492178"/>
      <w:bookmarkStart w:id="6838" w:name="_Toc394492303"/>
      <w:bookmarkStart w:id="6839" w:name="_Toc394495322"/>
      <w:bookmarkStart w:id="6840" w:name="_Toc394495447"/>
      <w:bookmarkStart w:id="6841" w:name="_Toc394498137"/>
      <w:bookmarkStart w:id="6842" w:name="_Toc394498262"/>
      <w:bookmarkStart w:id="6843" w:name="_Toc394500927"/>
      <w:bookmarkStart w:id="6844" w:name="_Toc394501052"/>
      <w:bookmarkStart w:id="6845" w:name="_Toc394502324"/>
      <w:bookmarkStart w:id="6846" w:name="_Toc394502442"/>
      <w:bookmarkStart w:id="6847" w:name="_Toc394503228"/>
      <w:bookmarkStart w:id="6848" w:name="_Toc394503801"/>
      <w:bookmarkStart w:id="6849" w:name="_Toc394502772"/>
      <w:bookmarkStart w:id="6850" w:name="_Toc394502890"/>
      <w:bookmarkStart w:id="6851" w:name="_Toc394505979"/>
      <w:bookmarkStart w:id="6852" w:name="_Toc394506219"/>
      <w:bookmarkStart w:id="6853" w:name="_Toc394506437"/>
      <w:bookmarkStart w:id="6854" w:name="_Toc394506556"/>
      <w:bookmarkStart w:id="6855" w:name="_Toc394506991"/>
      <w:bookmarkStart w:id="6856" w:name="_Toc394507110"/>
      <w:bookmarkStart w:id="6857" w:name="_Toc394561066"/>
      <w:bookmarkStart w:id="6858" w:name="_Toc394561189"/>
      <w:bookmarkStart w:id="6859" w:name="_Toc394561527"/>
      <w:bookmarkStart w:id="6860" w:name="_Toc394562022"/>
      <w:bookmarkStart w:id="6861" w:name="_Toc394583039"/>
      <w:bookmarkStart w:id="6862" w:name="_Toc394585710"/>
      <w:bookmarkStart w:id="6863" w:name="_Toc394586177"/>
      <w:bookmarkStart w:id="6864" w:name="_Toc394588109"/>
      <w:bookmarkStart w:id="6865" w:name="_Toc394588944"/>
      <w:bookmarkStart w:id="6866" w:name="_Toc394589069"/>
      <w:bookmarkStart w:id="6867" w:name="_Toc394590484"/>
      <w:bookmarkStart w:id="6868" w:name="_Toc394590677"/>
      <w:bookmarkStart w:id="6869" w:name="_Toc394654597"/>
      <w:bookmarkStart w:id="6870" w:name="_Toc394654737"/>
      <w:bookmarkStart w:id="6871" w:name="_Toc394656295"/>
      <w:bookmarkStart w:id="6872" w:name="_Toc394656434"/>
      <w:bookmarkStart w:id="6873" w:name="_Toc394659432"/>
      <w:bookmarkStart w:id="6874" w:name="_Toc394659572"/>
      <w:bookmarkStart w:id="6875" w:name="_Toc394663444"/>
      <w:bookmarkStart w:id="6876" w:name="_Toc394663582"/>
      <w:bookmarkStart w:id="6877" w:name="_Toc394667238"/>
      <w:bookmarkStart w:id="6878" w:name="_Toc394667376"/>
      <w:bookmarkStart w:id="6879" w:name="_Toc394671721"/>
      <w:bookmarkStart w:id="6880" w:name="_Toc394671860"/>
      <w:bookmarkStart w:id="6881" w:name="_Toc394674722"/>
      <w:bookmarkStart w:id="6882" w:name="_Toc394674864"/>
      <w:bookmarkStart w:id="6883" w:name="_Toc394675002"/>
      <w:bookmarkStart w:id="6884" w:name="_Toc394675144"/>
      <w:bookmarkStart w:id="6885" w:name="_Toc394676113"/>
      <w:bookmarkStart w:id="6886" w:name="_Toc394676251"/>
      <w:bookmarkStart w:id="6887" w:name="_Toc394675802"/>
      <w:bookmarkStart w:id="6888" w:name="_Toc394675940"/>
      <w:bookmarkStart w:id="6889" w:name="_Toc394918343"/>
      <w:bookmarkStart w:id="6890" w:name="_Toc394918857"/>
      <w:bookmarkStart w:id="6891" w:name="_Toc394930830"/>
      <w:bookmarkStart w:id="6892" w:name="_Toc394933799"/>
      <w:bookmarkStart w:id="6893" w:name="_Toc394938247"/>
      <w:bookmarkStart w:id="6894" w:name="_Toc394938573"/>
      <w:bookmarkStart w:id="6895" w:name="_Toc394938691"/>
      <w:bookmarkStart w:id="6896" w:name="_Toc394937528"/>
      <w:bookmarkStart w:id="6897" w:name="_Toc394937855"/>
      <w:bookmarkStart w:id="6898" w:name="_Toc394937973"/>
      <w:bookmarkStart w:id="6899" w:name="_Toc394941159"/>
      <w:bookmarkStart w:id="6900" w:name="_Toc394941484"/>
      <w:bookmarkStart w:id="6901" w:name="_Toc394941602"/>
      <w:bookmarkStart w:id="6902" w:name="_Toc394941775"/>
      <w:bookmarkStart w:id="6903" w:name="_Toc394942100"/>
      <w:bookmarkStart w:id="6904" w:name="_Toc394942218"/>
      <w:bookmarkStart w:id="6905" w:name="_Toc394939997"/>
      <w:bookmarkStart w:id="6906" w:name="_Toc394940322"/>
      <w:bookmarkStart w:id="6907" w:name="_Toc394940440"/>
      <w:bookmarkStart w:id="6908" w:name="_Toc394939607"/>
      <w:bookmarkStart w:id="6909" w:name="_Toc394940536"/>
      <w:bookmarkStart w:id="6910" w:name="_Toc394940653"/>
      <w:bookmarkStart w:id="6911" w:name="_Toc394993816"/>
      <w:bookmarkStart w:id="6912" w:name="_Toc394995186"/>
      <w:bookmarkStart w:id="6913" w:name="_Toc394995708"/>
      <w:bookmarkStart w:id="6914" w:name="_Toc394996022"/>
      <w:bookmarkStart w:id="6915" w:name="_Toc394996219"/>
      <w:bookmarkStart w:id="6916" w:name="_Toc394997944"/>
      <w:bookmarkStart w:id="6917" w:name="_Toc394998263"/>
      <w:bookmarkStart w:id="6918" w:name="_Toc394998458"/>
      <w:bookmarkStart w:id="6919" w:name="_Toc394998776"/>
      <w:bookmarkStart w:id="6920" w:name="_Toc395001954"/>
      <w:bookmarkStart w:id="6921" w:name="_Toc395002276"/>
      <w:bookmarkStart w:id="6922" w:name="_Toc395001484"/>
      <w:bookmarkStart w:id="6923" w:name="_Toc395001757"/>
      <w:bookmarkStart w:id="6924" w:name="_Toc395003045"/>
      <w:bookmarkStart w:id="6925" w:name="_Toc395003308"/>
      <w:bookmarkStart w:id="6926" w:name="_Toc395003629"/>
      <w:bookmarkStart w:id="6927" w:name="_Toc395005127"/>
      <w:bookmarkStart w:id="6928" w:name="_Toc395005547"/>
      <w:bookmarkStart w:id="6929" w:name="_Toc395005871"/>
      <w:bookmarkStart w:id="6930" w:name="_Toc395009046"/>
      <w:bookmarkStart w:id="6931" w:name="_Toc395009857"/>
      <w:bookmarkStart w:id="6932" w:name="_Toc395010279"/>
      <w:bookmarkStart w:id="6933" w:name="_Toc395010704"/>
      <w:bookmarkStart w:id="6934" w:name="_Toc395010120"/>
      <w:bookmarkStart w:id="6935" w:name="_Toc395011478"/>
      <w:bookmarkStart w:id="6936" w:name="_Toc395011591"/>
      <w:bookmarkStart w:id="6937" w:name="_Toc395012464"/>
      <w:bookmarkStart w:id="6938" w:name="_Toc395012772"/>
      <w:bookmarkStart w:id="6939" w:name="_Toc395012999"/>
      <w:bookmarkStart w:id="6940" w:name="_Toc395010869"/>
      <w:bookmarkStart w:id="6941" w:name="_Toc395012813"/>
      <w:bookmarkStart w:id="6942" w:name="_Toc395011927"/>
      <w:bookmarkStart w:id="6943" w:name="_Toc395014575"/>
      <w:bookmarkStart w:id="6944" w:name="_Toc395014688"/>
      <w:bookmarkStart w:id="6945" w:name="_Toc395011884"/>
      <w:bookmarkStart w:id="6946" w:name="_Toc395013334"/>
      <w:bookmarkStart w:id="6947" w:name="_Toc395084918"/>
      <w:bookmarkStart w:id="6948" w:name="_Toc395085219"/>
      <w:bookmarkStart w:id="6949" w:name="_Toc395090375"/>
      <w:bookmarkStart w:id="6950" w:name="_Toc395090685"/>
      <w:bookmarkStart w:id="6951" w:name="_Toc395090797"/>
      <w:bookmarkStart w:id="6952" w:name="_Toc395092959"/>
      <w:bookmarkStart w:id="6953" w:name="_Toc395093268"/>
      <w:bookmarkStart w:id="6954" w:name="_Toc395093380"/>
      <w:bookmarkStart w:id="6955" w:name="_Toc395097870"/>
      <w:bookmarkStart w:id="6956" w:name="_Toc395098178"/>
      <w:bookmarkStart w:id="6957" w:name="_Toc395098290"/>
      <w:bookmarkStart w:id="6958" w:name="_Toc395105363"/>
      <w:bookmarkStart w:id="6959" w:name="_Toc395105474"/>
      <w:bookmarkStart w:id="6960" w:name="_Toc395106966"/>
      <w:bookmarkStart w:id="6961" w:name="_Toc395107077"/>
      <w:bookmarkStart w:id="6962" w:name="_Toc395110010"/>
      <w:bookmarkStart w:id="6963" w:name="_Toc395109735"/>
      <w:bookmarkStart w:id="6964" w:name="_Toc395112012"/>
      <w:bookmarkStart w:id="6965" w:name="_Toc395112329"/>
      <w:bookmarkStart w:id="6966" w:name="_Toc395112440"/>
      <w:bookmarkStart w:id="6967" w:name="_Toc395107149"/>
      <w:bookmarkStart w:id="6968" w:name="_Toc395107471"/>
      <w:bookmarkStart w:id="6969" w:name="_Toc395107585"/>
      <w:bookmarkStart w:id="6970" w:name="_Toc395108692"/>
      <w:bookmarkStart w:id="6971" w:name="_Toc395113932"/>
      <w:bookmarkStart w:id="6972" w:name="_Toc395114272"/>
      <w:bookmarkStart w:id="6973" w:name="_Toc395114392"/>
      <w:bookmarkStart w:id="6974" w:name="_Toc395116669"/>
      <w:bookmarkStart w:id="6975" w:name="_Toc395117009"/>
      <w:bookmarkStart w:id="6976" w:name="_Toc395117130"/>
      <w:bookmarkStart w:id="6977" w:name="_Toc395112606"/>
      <w:bookmarkStart w:id="6978" w:name="_Toc395113127"/>
      <w:bookmarkStart w:id="6979" w:name="_Toc395113248"/>
      <w:bookmarkStart w:id="6980" w:name="_Toc395115145"/>
      <w:bookmarkStart w:id="6981" w:name="_Toc395115486"/>
      <w:bookmarkStart w:id="6982" w:name="_Toc395115607"/>
      <w:bookmarkStart w:id="6983" w:name="_Toc395118300"/>
      <w:bookmarkStart w:id="6984" w:name="_Toc395118638"/>
      <w:bookmarkStart w:id="6985" w:name="_Toc395118757"/>
      <w:bookmarkStart w:id="6986" w:name="_Toc395178342"/>
      <w:bookmarkStart w:id="6987" w:name="_Toc395624831"/>
      <w:bookmarkStart w:id="6988" w:name="_Toc395625002"/>
      <w:bookmarkStart w:id="6989" w:name="_Toc395789861"/>
      <w:bookmarkStart w:id="6990" w:name="_Toc395790182"/>
      <w:bookmarkStart w:id="6991" w:name="_Toc395800940"/>
      <w:bookmarkStart w:id="6992" w:name="_Toc395802923"/>
      <w:bookmarkStart w:id="6993" w:name="_Toc395867539"/>
      <w:bookmarkStart w:id="6994" w:name="_Toc395867690"/>
      <w:bookmarkStart w:id="6995" w:name="_Toc395868671"/>
      <w:bookmarkStart w:id="6996" w:name="_Toc395868822"/>
      <w:bookmarkStart w:id="6997" w:name="_Toc395879052"/>
      <w:bookmarkStart w:id="6998" w:name="_Toc395879201"/>
      <w:bookmarkStart w:id="6999" w:name="_Toc395882176"/>
      <w:bookmarkStart w:id="7000" w:name="_Toc395882325"/>
      <w:bookmarkStart w:id="7001" w:name="_Toc395882507"/>
      <w:bookmarkStart w:id="7002" w:name="_Toc395882656"/>
      <w:bookmarkStart w:id="7003" w:name="_Toc395880671"/>
      <w:bookmarkStart w:id="7004" w:name="_Toc395881002"/>
      <w:bookmarkStart w:id="7005" w:name="_Toc395881560"/>
      <w:bookmarkStart w:id="7006" w:name="_Toc395883945"/>
      <w:bookmarkStart w:id="7007" w:name="_Toc395884094"/>
      <w:bookmarkStart w:id="7008" w:name="_Toc395884607"/>
      <w:bookmarkStart w:id="7009" w:name="_Toc395884756"/>
      <w:bookmarkStart w:id="7010" w:name="_Toc395883316"/>
      <w:bookmarkStart w:id="7011" w:name="_Toc395883465"/>
      <w:bookmarkStart w:id="7012" w:name="_Toc395883646"/>
      <w:bookmarkStart w:id="7013" w:name="_Toc395883795"/>
      <w:bookmarkStart w:id="7014" w:name="_Toc395884948"/>
      <w:bookmarkStart w:id="7015" w:name="_Toc396123905"/>
      <w:bookmarkStart w:id="7016" w:name="_Toc396130807"/>
      <w:bookmarkStart w:id="7017" w:name="_Toc396136385"/>
      <w:bookmarkStart w:id="7018" w:name="_Toc396138932"/>
      <w:bookmarkStart w:id="7019" w:name="_Toc396145609"/>
      <w:bookmarkStart w:id="7020" w:name="_Toc396145853"/>
      <w:bookmarkStart w:id="7021" w:name="_Toc396146511"/>
      <w:bookmarkStart w:id="7022" w:name="_Toc396147679"/>
      <w:bookmarkStart w:id="7023" w:name="_Toc396147861"/>
      <w:bookmarkStart w:id="7024" w:name="_Toc396149117"/>
      <w:bookmarkStart w:id="7025" w:name="_Toc396148934"/>
      <w:bookmarkStart w:id="7026" w:name="_Toc396149611"/>
      <w:bookmarkStart w:id="7027" w:name="_Toc396149361"/>
      <w:bookmarkStart w:id="7028" w:name="_Toc396150040"/>
      <w:bookmarkStart w:id="7029" w:name="_Toc396149965"/>
      <w:bookmarkStart w:id="7030" w:name="_Toc396149819"/>
      <w:bookmarkStart w:id="7031" w:name="_Toc396150556"/>
      <w:bookmarkStart w:id="7032" w:name="_Toc396151550"/>
      <w:bookmarkStart w:id="7033" w:name="_Toc396151739"/>
      <w:bookmarkStart w:id="7034" w:name="_Toc396202558"/>
      <w:bookmarkStart w:id="7035" w:name="_Toc396202751"/>
      <w:bookmarkStart w:id="7036" w:name="_Toc396206765"/>
      <w:bookmarkStart w:id="7037" w:name="_Toc396206958"/>
      <w:bookmarkStart w:id="7038" w:name="_Toc396209593"/>
      <w:bookmarkStart w:id="7039" w:name="_Toc396209786"/>
      <w:bookmarkStart w:id="7040" w:name="_Toc396212017"/>
      <w:bookmarkStart w:id="7041" w:name="_Toc396212210"/>
      <w:bookmarkStart w:id="7042" w:name="_Toc396213359"/>
      <w:bookmarkStart w:id="7043" w:name="_Toc396213552"/>
      <w:bookmarkStart w:id="7044" w:name="_Toc396214635"/>
      <w:bookmarkStart w:id="7045" w:name="_Toc396214828"/>
      <w:bookmarkStart w:id="7046" w:name="_Toc396226747"/>
      <w:bookmarkStart w:id="7047" w:name="_Toc396226939"/>
      <w:bookmarkStart w:id="7048" w:name="_Toc396228947"/>
      <w:bookmarkStart w:id="7049" w:name="_Toc396229145"/>
      <w:bookmarkStart w:id="7050" w:name="_Toc396230589"/>
      <w:bookmarkStart w:id="7051" w:name="_Toc396230787"/>
      <w:bookmarkStart w:id="7052" w:name="_Toc396231730"/>
      <w:bookmarkStart w:id="7053" w:name="_Toc396231929"/>
      <w:bookmarkStart w:id="7054" w:name="_Toc396233370"/>
      <w:bookmarkStart w:id="7055" w:name="_Toc396233569"/>
      <w:bookmarkStart w:id="7056" w:name="_Toc396234190"/>
      <w:bookmarkStart w:id="7057" w:name="_Toc396234389"/>
      <w:bookmarkStart w:id="7058" w:name="_Toc396234599"/>
      <w:bookmarkStart w:id="7059" w:name="_Toc396236228"/>
      <w:bookmarkStart w:id="7060" w:name="_Toc396236006"/>
      <w:bookmarkStart w:id="7061" w:name="_Toc396304660"/>
      <w:bookmarkStart w:id="7062" w:name="_Toc396586278"/>
      <w:bookmarkStart w:id="7063" w:name="_Toc396815109"/>
      <w:bookmarkStart w:id="7064" w:name="_Toc396821059"/>
      <w:bookmarkStart w:id="7065" w:name="_Toc396821255"/>
      <w:bookmarkStart w:id="7066" w:name="_Toc396821667"/>
      <w:bookmarkStart w:id="7067" w:name="_Toc396827517"/>
      <w:bookmarkStart w:id="7068" w:name="_Toc396828488"/>
      <w:bookmarkStart w:id="7069" w:name="_Toc396828598"/>
      <w:bookmarkStart w:id="7070" w:name="_Toc396837987"/>
      <w:bookmarkStart w:id="7071" w:name="_Toc396838385"/>
      <w:bookmarkStart w:id="7072" w:name="_Toc396904118"/>
      <w:bookmarkStart w:id="7073" w:name="_Toc396904708"/>
      <w:bookmarkStart w:id="7074" w:name="_Toc396907542"/>
      <w:bookmarkStart w:id="7075" w:name="_Toc396912461"/>
      <w:bookmarkStart w:id="7076" w:name="_Toc396914441"/>
      <w:bookmarkStart w:id="7077" w:name="_Toc396915325"/>
      <w:bookmarkStart w:id="7078" w:name="_Toc396915719"/>
      <w:bookmarkStart w:id="7079" w:name="_Toc396921030"/>
      <w:bookmarkStart w:id="7080" w:name="_Toc396924370"/>
      <w:bookmarkStart w:id="7081" w:name="_Toc396925064"/>
      <w:bookmarkStart w:id="7082" w:name="_Toc396992184"/>
      <w:bookmarkStart w:id="7083" w:name="_Toc396992763"/>
      <w:bookmarkStart w:id="7084" w:name="_Toc396994427"/>
      <w:bookmarkStart w:id="7085" w:name="_Toc397002198"/>
      <w:bookmarkStart w:id="7086" w:name="_Toc397003117"/>
      <w:bookmarkStart w:id="7087" w:name="_Toc397008675"/>
      <w:bookmarkStart w:id="7088" w:name="_Toc397008893"/>
      <w:bookmarkStart w:id="7089" w:name="_Toc397011565"/>
      <w:bookmarkStart w:id="7090" w:name="_Toc397012626"/>
      <w:bookmarkStart w:id="7091" w:name="_Toc397014968"/>
      <w:bookmarkStart w:id="7092" w:name="_Toc397015455"/>
      <w:bookmarkStart w:id="7093" w:name="_Toc397070526"/>
      <w:bookmarkStart w:id="7094" w:name="_Toc397413264"/>
      <w:bookmarkStart w:id="7095" w:name="_Toc397413411"/>
      <w:bookmarkStart w:id="7096" w:name="_Toc397427996"/>
      <w:bookmarkStart w:id="7097" w:name="_Toc397439384"/>
      <w:bookmarkStart w:id="7098" w:name="_Toc397439554"/>
      <w:bookmarkStart w:id="7099" w:name="_Toc397439810"/>
      <w:bookmarkStart w:id="7100" w:name="_Toc397440112"/>
      <w:bookmarkStart w:id="7101" w:name="_Toc397441741"/>
      <w:bookmarkStart w:id="7102" w:name="_Toc397517443"/>
      <w:bookmarkStart w:id="7103" w:name="_Toc397522708"/>
      <w:bookmarkStart w:id="7104" w:name="_Toc397526126"/>
      <w:bookmarkStart w:id="7105" w:name="_Toc397528441"/>
      <w:bookmarkStart w:id="7106" w:name="_Toc397528916"/>
      <w:bookmarkStart w:id="7107" w:name="_Toc397601913"/>
      <w:bookmarkStart w:id="7108" w:name="_Toc397602648"/>
      <w:bookmarkStart w:id="7109" w:name="_Toc397605777"/>
      <w:bookmarkStart w:id="7110" w:name="_Toc397614921"/>
      <w:bookmarkStart w:id="7111" w:name="_Toc397616364"/>
      <w:bookmarkStart w:id="7112" w:name="_Toc397616758"/>
      <w:bookmarkStart w:id="7113" w:name="_Toc397679168"/>
      <w:bookmarkStart w:id="7114" w:name="_Toc397688056"/>
      <w:bookmarkStart w:id="7115" w:name="_Toc397689272"/>
      <w:bookmarkStart w:id="7116" w:name="_Toc397694552"/>
      <w:bookmarkStart w:id="7117" w:name="_Toc397696393"/>
      <w:bookmarkStart w:id="7118" w:name="_Toc397697127"/>
      <w:bookmarkStart w:id="7119" w:name="_Toc397698414"/>
      <w:bookmarkStart w:id="7120" w:name="_Toc397699780"/>
      <w:bookmarkStart w:id="7121" w:name="_Toc397700234"/>
      <w:bookmarkStart w:id="7122" w:name="_Toc397936626"/>
      <w:bookmarkStart w:id="7123" w:name="_Toc397936746"/>
      <w:bookmarkStart w:id="7124" w:name="_Toc397945754"/>
      <w:bookmarkStart w:id="7125" w:name="_Toc397945901"/>
      <w:bookmarkStart w:id="7126" w:name="_Toc397946927"/>
      <w:bookmarkStart w:id="7127" w:name="_Toc397948046"/>
      <w:bookmarkStart w:id="7128" w:name="_Toc397958452"/>
      <w:bookmarkStart w:id="7129" w:name="_Toc397958694"/>
      <w:bookmarkStart w:id="7130" w:name="_Toc397959109"/>
      <w:bookmarkStart w:id="7131" w:name="_Toc397962962"/>
      <w:bookmarkStart w:id="7132" w:name="_Toc397963328"/>
      <w:bookmarkStart w:id="7133" w:name="_Toc397965405"/>
      <w:bookmarkStart w:id="7134" w:name="_Toc398197343"/>
      <w:bookmarkStart w:id="7135" w:name="_Toc398201560"/>
      <w:bookmarkStart w:id="7136" w:name="_Toc398207165"/>
      <w:bookmarkStart w:id="7137" w:name="_Toc398210438"/>
      <w:bookmarkStart w:id="7138" w:name="_Toc398210952"/>
      <w:bookmarkStart w:id="7139" w:name="_Toc398211089"/>
      <w:bookmarkStart w:id="7140" w:name="_Toc398219760"/>
      <w:bookmarkStart w:id="7141" w:name="_Toc398220135"/>
      <w:bookmarkStart w:id="7142" w:name="_Toc398220522"/>
      <w:bookmarkStart w:id="7143" w:name="_Toc398221600"/>
      <w:bookmarkStart w:id="7144" w:name="_Toc398222286"/>
      <w:bookmarkStart w:id="7145" w:name="_Toc398222598"/>
      <w:bookmarkStart w:id="7146" w:name="_Toc398223015"/>
      <w:bookmarkStart w:id="7147" w:name="_Toc398223394"/>
      <w:bookmarkStart w:id="7148" w:name="_Toc398223521"/>
      <w:bookmarkStart w:id="7149" w:name="_Toc398224329"/>
      <w:bookmarkStart w:id="7150" w:name="_Toc398225666"/>
      <w:bookmarkStart w:id="7151" w:name="_Toc398225791"/>
      <w:bookmarkStart w:id="7152" w:name="_Toc398281278"/>
      <w:bookmarkStart w:id="7153" w:name="_Toc398282137"/>
      <w:bookmarkStart w:id="7154" w:name="_Toc398284807"/>
      <w:bookmarkStart w:id="7155" w:name="_Toc398287276"/>
      <w:bookmarkStart w:id="7156" w:name="_Toc398289159"/>
      <w:bookmarkStart w:id="7157" w:name="_Toc398297156"/>
      <w:bookmarkStart w:id="7158" w:name="_Toc398298630"/>
      <w:bookmarkStart w:id="7159" w:name="_Toc398300331"/>
      <w:bookmarkStart w:id="7160" w:name="_Toc398301228"/>
      <w:bookmarkStart w:id="7161" w:name="_Toc398302413"/>
      <w:bookmarkStart w:id="7162" w:name="_Toc398302576"/>
      <w:bookmarkStart w:id="7163" w:name="_Toc398549088"/>
      <w:bookmarkStart w:id="7164" w:name="_Toc398549338"/>
      <w:bookmarkStart w:id="7165" w:name="_Toc398555757"/>
      <w:bookmarkStart w:id="7166" w:name="_Toc398558961"/>
      <w:bookmarkStart w:id="7167" w:name="_Toc398563447"/>
      <w:bookmarkStart w:id="7168" w:name="_Toc398563580"/>
      <w:bookmarkStart w:id="7169" w:name="_Toc398563979"/>
      <w:bookmarkStart w:id="7170" w:name="_Toc398827317"/>
      <w:bookmarkStart w:id="7171" w:name="_Toc398827511"/>
      <w:bookmarkStart w:id="7172" w:name="s31"/>
      <w:bookmarkEnd w:id="6822"/>
      <w:r w:rsidRPr="008625DC">
        <w:rPr>
          <w:lang w:val="en-AU"/>
        </w:rPr>
        <w:t>S</w:t>
      </w:r>
      <w:bookmarkEnd w:id="6823"/>
      <w:bookmarkEnd w:id="6824"/>
      <w:r w:rsidRPr="008625DC">
        <w:rPr>
          <w:lang w:val="en-AU"/>
        </w:rPr>
        <w:t>implification</w:t>
      </w:r>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bookmarkEnd w:id="7172"/>
    <w:p w14:paraId="30E71A3D" w14:textId="69D57867" w:rsidR="00D226CF" w:rsidRPr="008625DC" w:rsidRDefault="00D226CF" w:rsidP="0006207D">
      <w:pPr>
        <w:spacing w:after="120"/>
      </w:pPr>
      <w:r w:rsidRPr="008625DC">
        <w:t xml:space="preserve">The Panel has asked the following questions in guiding its consideration of whether the </w:t>
      </w:r>
      <w:r w:rsidR="0006207D" w:rsidRPr="008625DC">
        <w:t>CCA</w:t>
      </w:r>
      <w:r w:rsidRPr="008625DC">
        <w:t xml:space="preserve"> is fit for purpose:</w:t>
      </w:r>
    </w:p>
    <w:p w14:paraId="2CE66848" w14:textId="77777777" w:rsidR="00D226CF" w:rsidRPr="008625DC" w:rsidRDefault="00D226CF" w:rsidP="00D226CF">
      <w:pPr>
        <w:pStyle w:val="Bullet"/>
      </w:pPr>
      <w:r w:rsidRPr="008625DC">
        <w:t>Does the law focus on enhancing consumer welfare over the long term?</w:t>
      </w:r>
    </w:p>
    <w:p w14:paraId="1E3B6EFF" w14:textId="769077CB" w:rsidR="00D226CF" w:rsidRPr="008625DC" w:rsidRDefault="00D226CF" w:rsidP="00D226CF">
      <w:pPr>
        <w:pStyle w:val="Bullet"/>
      </w:pPr>
      <w:r w:rsidRPr="008625DC">
        <w:t xml:space="preserve">Does the law protect competition </w:t>
      </w:r>
      <w:r w:rsidR="00BD08DE" w:rsidRPr="008625DC">
        <w:t xml:space="preserve">rather than </w:t>
      </w:r>
      <w:r w:rsidRPr="008625DC">
        <w:t>individual competitors?</w:t>
      </w:r>
    </w:p>
    <w:p w14:paraId="691DE222" w14:textId="738793BE" w:rsidR="00D226CF" w:rsidRPr="008625DC" w:rsidRDefault="00D226CF" w:rsidP="00D226CF">
      <w:pPr>
        <w:pStyle w:val="Bullet"/>
      </w:pPr>
      <w:r w:rsidRPr="008625DC">
        <w:t xml:space="preserve">Is </w:t>
      </w:r>
      <w:r w:rsidR="008C5417" w:rsidRPr="008625DC">
        <w:t xml:space="preserve">the </w:t>
      </w:r>
      <w:r w:rsidRPr="008625DC">
        <w:t>law as simple as it can be consistent with its purpose?</w:t>
      </w:r>
    </w:p>
    <w:p w14:paraId="3A7926B7" w14:textId="401A6A92" w:rsidR="00D226CF" w:rsidRPr="008625DC" w:rsidRDefault="00D226CF" w:rsidP="0006207D">
      <w:pPr>
        <w:pStyle w:val="Bullet"/>
        <w:spacing w:after="240"/>
      </w:pPr>
      <w:r w:rsidRPr="008625DC">
        <w:t xml:space="preserve">Does </w:t>
      </w:r>
      <w:r w:rsidR="008C5417" w:rsidRPr="008625DC">
        <w:t xml:space="preserve">the </w:t>
      </w:r>
      <w:r w:rsidRPr="008625DC">
        <w:t>law strike the right balance between prohibiting anti</w:t>
      </w:r>
      <w:r w:rsidR="00C74E19" w:rsidRPr="008625DC">
        <w:noBreakHyphen/>
      </w:r>
      <w:r w:rsidRPr="008625DC">
        <w:t>competitive conduct and allowing pro</w:t>
      </w:r>
      <w:r w:rsidR="00C74E19" w:rsidRPr="008625DC">
        <w:noBreakHyphen/>
      </w:r>
      <w:r w:rsidRPr="008625DC">
        <w:t>competitive conduct?</w:t>
      </w:r>
    </w:p>
    <w:p w14:paraId="54CF17B1" w14:textId="77777777" w:rsidR="00D226CF" w:rsidRPr="008625DC" w:rsidRDefault="00D226CF" w:rsidP="0006207D">
      <w:pPr>
        <w:spacing w:after="120"/>
      </w:pPr>
      <w:r w:rsidRPr="008625DC">
        <w:t>The Panel supports the general form and structure of the CCA, that is:</w:t>
      </w:r>
    </w:p>
    <w:p w14:paraId="27CCB9A5" w14:textId="5549CC53" w:rsidR="00D226CF" w:rsidRPr="008625DC" w:rsidRDefault="00D226CF" w:rsidP="00D226CF">
      <w:pPr>
        <w:pStyle w:val="Bullet"/>
      </w:pPr>
      <w:r w:rsidRPr="008625DC">
        <w:t>the law prohibits specific categories of anti</w:t>
      </w:r>
      <w:r w:rsidR="00C74E19" w:rsidRPr="008625DC">
        <w:noBreakHyphen/>
      </w:r>
      <w:r w:rsidRPr="008625DC">
        <w:t>competitive conduct, with economy</w:t>
      </w:r>
      <w:r w:rsidR="00C74E19" w:rsidRPr="008625DC">
        <w:noBreakHyphen/>
      </w:r>
      <w:r w:rsidRPr="008625DC">
        <w:t>wide application;</w:t>
      </w:r>
    </w:p>
    <w:p w14:paraId="73FAA855" w14:textId="5585C4B5" w:rsidR="00D226CF" w:rsidRPr="008625DC" w:rsidRDefault="00D226CF" w:rsidP="00D226CF">
      <w:pPr>
        <w:pStyle w:val="Bullet"/>
      </w:pPr>
      <w:r w:rsidRPr="008625DC">
        <w:t>only conduct that is anti</w:t>
      </w:r>
      <w:r w:rsidR="00C74E19" w:rsidRPr="008625DC">
        <w:noBreakHyphen/>
      </w:r>
      <w:r w:rsidRPr="008625DC">
        <w:t>competitive in most circumstances is prohibited per se</w:t>
      </w:r>
      <w:r w:rsidR="00C74E19" w:rsidRPr="008625DC">
        <w:t xml:space="preserve"> — </w:t>
      </w:r>
      <w:r w:rsidRPr="008625DC">
        <w:t>other conduct is prohibited only if it has the purpose</w:t>
      </w:r>
      <w:r w:rsidR="00A64A0F" w:rsidRPr="008625DC">
        <w:t>, effect</w:t>
      </w:r>
      <w:r w:rsidRPr="008625DC">
        <w:t xml:space="preserve"> or likely effect of substantially lessening competition; </w:t>
      </w:r>
    </w:p>
    <w:p w14:paraId="7218CA53" w14:textId="73C80E7C" w:rsidR="00D226CF" w:rsidRPr="008625DC" w:rsidRDefault="00D226CF" w:rsidP="00D226CF">
      <w:pPr>
        <w:pStyle w:val="Bullet"/>
      </w:pPr>
      <w:r w:rsidRPr="008625DC">
        <w:t xml:space="preserve">enforcement occurs through a public administrator </w:t>
      </w:r>
      <w:r w:rsidR="001E1B49" w:rsidRPr="008625DC">
        <w:t>and through</w:t>
      </w:r>
      <w:r w:rsidR="00A64A0F" w:rsidRPr="008625DC">
        <w:t xml:space="preserve"> private suit</w:t>
      </w:r>
      <w:r w:rsidR="00CC1C3F" w:rsidRPr="008625DC">
        <w:t>,</w:t>
      </w:r>
      <w:r w:rsidR="00A64A0F" w:rsidRPr="008625DC">
        <w:t xml:space="preserve"> </w:t>
      </w:r>
      <w:r w:rsidRPr="008625DC">
        <w:t>and</w:t>
      </w:r>
      <w:r w:rsidRPr="008625DC" w:rsidDel="00CC1C3F">
        <w:t xml:space="preserve"> </w:t>
      </w:r>
      <w:r w:rsidRPr="008625DC">
        <w:t xml:space="preserve">contraventions are adjudicated by the </w:t>
      </w:r>
      <w:r w:rsidR="002F554E" w:rsidRPr="008625DC">
        <w:t>court</w:t>
      </w:r>
      <w:r w:rsidRPr="008625DC">
        <w:t>; and</w:t>
      </w:r>
    </w:p>
    <w:p w14:paraId="3AF25F3E" w14:textId="77777777" w:rsidR="007939C7" w:rsidRPr="008625DC" w:rsidRDefault="007939C7" w:rsidP="0006207D">
      <w:pPr>
        <w:pStyle w:val="Bullet"/>
        <w:spacing w:after="240"/>
      </w:pPr>
      <w:proofErr w:type="gramStart"/>
      <w:r w:rsidRPr="008625DC">
        <w:t>there</w:t>
      </w:r>
      <w:proofErr w:type="gramEnd"/>
      <w:r w:rsidRPr="008625DC">
        <w:t xml:space="preserve"> is a facility to seek exemption from the law in individual cases on public benefit grounds.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7939C7" w:rsidRPr="008625DC" w14:paraId="2D549A75" w14:textId="77777777" w:rsidTr="00F81722">
        <w:tc>
          <w:tcPr>
            <w:tcW w:w="5000" w:type="pct"/>
            <w:shd w:val="clear" w:color="auto" w:fill="E9F7F3" w:themeFill="accent4" w:themeFillTint="33"/>
          </w:tcPr>
          <w:p w14:paraId="7F3CADE1" w14:textId="10098B7C" w:rsidR="007939C7" w:rsidRPr="008625DC" w:rsidRDefault="007939C7" w:rsidP="00F81722">
            <w:pPr>
              <w:pStyle w:val="RecommendationHeading"/>
            </w:pPr>
            <w:bookmarkStart w:id="7173" w:name="DR17"/>
            <w:r w:rsidRPr="008625DC">
              <w:t xml:space="preserve">Draft Recommendation </w:t>
            </w:r>
            <w:r w:rsidRPr="008625DC">
              <w:fldChar w:fldCharType="begin"/>
            </w:r>
            <w:r w:rsidRPr="008625DC">
              <w:instrText xml:space="preserve"> AUTONUMLGL  \* Arabic \e </w:instrText>
            </w:r>
            <w:r w:rsidRPr="008625DC">
              <w:fldChar w:fldCharType="end"/>
            </w:r>
            <w:bookmarkEnd w:id="7173"/>
            <w:r w:rsidR="00380141" w:rsidRPr="008625DC">
              <w:t xml:space="preserve"> — </w:t>
            </w:r>
            <w:r w:rsidR="002B336C" w:rsidRPr="008625DC">
              <w:t>Competition law concepts</w:t>
            </w:r>
          </w:p>
          <w:p w14:paraId="55E78134" w14:textId="0089C094" w:rsidR="007939C7" w:rsidRPr="008625DC" w:rsidRDefault="007E56D9" w:rsidP="00A64A0F">
            <w:pPr>
              <w:pStyle w:val="RecommendationText"/>
            </w:pPr>
            <w:r w:rsidRPr="008625DC">
              <w:t xml:space="preserve">The Panel recommends that the central </w:t>
            </w:r>
            <w:r w:rsidR="007939C7" w:rsidRPr="008625DC">
              <w:t xml:space="preserve">concepts, prohibitions and structure enshrined in the current </w:t>
            </w:r>
            <w:r w:rsidR="00D15AAA" w:rsidRPr="008625DC">
              <w:t>competition law</w:t>
            </w:r>
            <w:r w:rsidRPr="008625DC">
              <w:t xml:space="preserve"> be retained </w:t>
            </w:r>
            <w:r w:rsidRPr="008625DC" w:rsidDel="00A64A0F">
              <w:t>because</w:t>
            </w:r>
            <w:r w:rsidRPr="008625DC">
              <w:t xml:space="preserve"> they are the appropriate basis for the current and projected needs of the Australian economy</w:t>
            </w:r>
            <w:r w:rsidR="007939C7" w:rsidRPr="008625DC">
              <w:t>.</w:t>
            </w:r>
          </w:p>
        </w:tc>
      </w:tr>
    </w:tbl>
    <w:p w14:paraId="693EF79D" w14:textId="77777777" w:rsidR="007939C7" w:rsidRPr="008625DC" w:rsidRDefault="007939C7" w:rsidP="0006207D">
      <w:pPr>
        <w:spacing w:before="240"/>
      </w:pPr>
      <w:r w:rsidRPr="008625DC">
        <w:t>However, the Panel considers that the competition law provisions of the CCA, including the provisions regulating the granting of exemptions, are unnecessarily complex.</w:t>
      </w:r>
    </w:p>
    <w:p w14:paraId="2FAE3F2B" w14:textId="73E84532" w:rsidR="007939C7" w:rsidRPr="008625DC" w:rsidRDefault="007939C7" w:rsidP="002364D4">
      <w:r w:rsidRPr="008625DC">
        <w:t xml:space="preserve">Law that is complex imposes costs on the economy: </w:t>
      </w:r>
      <w:r w:rsidR="00BD08DE" w:rsidRPr="008625DC">
        <w:t xml:space="preserve">direct costs are imposed by reason of the need for legal advice and prolonged legal disputation; and </w:t>
      </w:r>
      <w:r w:rsidRPr="008625DC">
        <w:t>indirect costs are imposed by reason of business and regulatory uncertainty.</w:t>
      </w:r>
    </w:p>
    <w:p w14:paraId="4ABA1522" w14:textId="5AE8CF4A" w:rsidR="007939C7" w:rsidRPr="008625DC" w:rsidRDefault="007939C7" w:rsidP="002364D4">
      <w:r w:rsidRPr="008625DC">
        <w:t>The competition law provisions of the CCA would benefit from simplification</w:t>
      </w:r>
      <w:r w:rsidR="00A64A0F" w:rsidRPr="008625DC">
        <w:t>,</w:t>
      </w:r>
      <w:r w:rsidRPr="008625DC">
        <w:t xml:space="preserve"> while retaining their underlying policy intent.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226CF" w:rsidRPr="008625DC" w14:paraId="3F6883EE" w14:textId="77777777" w:rsidTr="00377EEF">
        <w:tc>
          <w:tcPr>
            <w:tcW w:w="5000" w:type="pct"/>
            <w:shd w:val="clear" w:color="auto" w:fill="E9F7F3" w:themeFill="accent4" w:themeFillTint="33"/>
          </w:tcPr>
          <w:p w14:paraId="4FB69FA7" w14:textId="30E3AB7E" w:rsidR="00D226CF" w:rsidRPr="008625DC" w:rsidRDefault="00D226CF" w:rsidP="00377EEF">
            <w:pPr>
              <w:pStyle w:val="RecommendationHeading"/>
            </w:pPr>
            <w:bookmarkStart w:id="7174" w:name="_Toc396138933"/>
            <w:bookmarkStart w:id="7175" w:name="_Toc396145854"/>
            <w:bookmarkStart w:id="7176" w:name="_Toc396146512"/>
            <w:bookmarkStart w:id="7177" w:name="_Toc396147680"/>
            <w:bookmarkStart w:id="7178" w:name="_Toc396148935"/>
            <w:bookmarkStart w:id="7179" w:name="_Toc396149362"/>
            <w:bookmarkStart w:id="7180" w:name="_Toc396149820"/>
            <w:bookmarkStart w:id="7181" w:name="_Toc396151551"/>
            <w:bookmarkStart w:id="7182" w:name="_Toc396202559"/>
            <w:bookmarkStart w:id="7183" w:name="_Toc396206766"/>
            <w:bookmarkStart w:id="7184" w:name="_Toc396209594"/>
            <w:bookmarkStart w:id="7185" w:name="_Toc396212018"/>
            <w:bookmarkStart w:id="7186" w:name="_Toc396213360"/>
            <w:bookmarkStart w:id="7187" w:name="_Toc396214636"/>
            <w:bookmarkStart w:id="7188" w:name="_Toc396226748"/>
            <w:bookmarkStart w:id="7189" w:name="_Toc396228948"/>
            <w:bookmarkStart w:id="7190" w:name="_Toc396230590"/>
            <w:bookmarkStart w:id="7191" w:name="_Toc396231731"/>
            <w:bookmarkStart w:id="7192" w:name="_Toc396233371"/>
            <w:bookmarkStart w:id="7193" w:name="_Toc396234191"/>
            <w:bookmarkStart w:id="7194" w:name="_Toc396234600"/>
            <w:bookmarkStart w:id="7195" w:name="_Toc396586279"/>
            <w:bookmarkStart w:id="7196" w:name="DR18"/>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r w:rsidR="00380141" w:rsidRPr="008625DC">
              <w:t xml:space="preserve"> — </w:t>
            </w:r>
            <w:r w:rsidR="002B336C" w:rsidRPr="008625DC">
              <w:t>Competition law simplification</w:t>
            </w:r>
          </w:p>
          <w:p w14:paraId="2C17B4F8" w14:textId="244E6890" w:rsidR="00D226CF" w:rsidRPr="008625DC" w:rsidRDefault="00D226CF" w:rsidP="00377EEF">
            <w:pPr>
              <w:pStyle w:val="RecommendationText"/>
            </w:pPr>
            <w:r w:rsidRPr="008625DC">
              <w:t>The competi</w:t>
            </w:r>
            <w:r w:rsidR="00BF065A" w:rsidRPr="008625DC">
              <w:t>tion law provisions of the CCA sh</w:t>
            </w:r>
            <w:r w:rsidRPr="008625DC">
              <w:t>ould be simplified</w:t>
            </w:r>
            <w:r w:rsidR="00BF065A" w:rsidRPr="008625DC">
              <w:t>,</w:t>
            </w:r>
            <w:r w:rsidR="00B93367" w:rsidRPr="008625DC">
              <w:t xml:space="preserve"> </w:t>
            </w:r>
            <w:r w:rsidR="00BF065A" w:rsidRPr="008625DC">
              <w:t>including by removing overly specified provisions</w:t>
            </w:r>
            <w:r w:rsidR="001E1B49" w:rsidRPr="008625DC">
              <w:t>,</w:t>
            </w:r>
            <w:r w:rsidR="00BF065A" w:rsidRPr="008625DC">
              <w:t xml:space="preserve"> </w:t>
            </w:r>
            <w:r w:rsidR="00BF065A" w:rsidRPr="008625DC" w:rsidDel="0096213A">
              <w:t>which</w:t>
            </w:r>
            <w:r w:rsidR="00BF065A" w:rsidRPr="008625DC">
              <w:t xml:space="preserve"> can have the effect of limit</w:t>
            </w:r>
            <w:r w:rsidR="00B93367" w:rsidRPr="008625DC">
              <w:t>in</w:t>
            </w:r>
            <w:r w:rsidR="00BF065A" w:rsidRPr="008625DC">
              <w:t>g</w:t>
            </w:r>
            <w:r w:rsidR="00B93367" w:rsidRPr="008625DC">
              <w:t xml:space="preserve"> the </w:t>
            </w:r>
            <w:r w:rsidR="00BF065A" w:rsidRPr="008625DC">
              <w:t xml:space="preserve">application </w:t>
            </w:r>
            <w:r w:rsidR="001E1B49" w:rsidRPr="008625DC">
              <w:t xml:space="preserve">and adaptability </w:t>
            </w:r>
            <w:r w:rsidR="00BF065A" w:rsidRPr="008625DC">
              <w:t>of competition laws, and by removing r</w:t>
            </w:r>
            <w:r w:rsidR="00B93367" w:rsidRPr="008625DC">
              <w:t>edundant provisions</w:t>
            </w:r>
            <w:r w:rsidR="00BF065A" w:rsidRPr="008625DC">
              <w:t>.</w:t>
            </w:r>
          </w:p>
          <w:p w14:paraId="5A0F2957" w14:textId="639665E9" w:rsidR="007E56D9" w:rsidRPr="008625DC" w:rsidRDefault="007E56D9" w:rsidP="007E56D9">
            <w:pPr>
              <w:pStyle w:val="RecommendationText"/>
            </w:pPr>
            <w:r w:rsidRPr="008625DC">
              <w:t xml:space="preserve">The Panel recommends that </w:t>
            </w:r>
            <w:r w:rsidR="00BF065A" w:rsidRPr="008625DC">
              <w:t>there be public consultation on achieving simplification</w:t>
            </w:r>
            <w:r w:rsidRPr="008625DC">
              <w:t>.</w:t>
            </w:r>
          </w:p>
          <w:p w14:paraId="661A0A46" w14:textId="26A7CB32" w:rsidR="007E56D9" w:rsidRPr="008625DC" w:rsidRDefault="007E56D9" w:rsidP="007E56D9">
            <w:pPr>
              <w:pStyle w:val="RecommendationText"/>
            </w:pPr>
            <w:r w:rsidRPr="008625DC">
              <w:t>Some of the provisions that should be removed include:</w:t>
            </w:r>
          </w:p>
          <w:p w14:paraId="100917C5" w14:textId="22564716" w:rsidR="007E56D9" w:rsidRPr="008625DC" w:rsidRDefault="007E56D9" w:rsidP="00DB4ECC">
            <w:pPr>
              <w:pStyle w:val="RecommendationBullet"/>
            </w:pPr>
            <w:r w:rsidRPr="008625DC">
              <w:t>subsection</w:t>
            </w:r>
            <w:r w:rsidR="00E44E73" w:rsidRPr="008625DC">
              <w:t> </w:t>
            </w:r>
            <w:r w:rsidRPr="008625DC">
              <w:t>45(1) concerning contracts made before 1977;</w:t>
            </w:r>
          </w:p>
          <w:p w14:paraId="47E1891A" w14:textId="1C5FA766" w:rsidR="007E56D9" w:rsidRPr="008625DC" w:rsidRDefault="007E56D9" w:rsidP="00DB4ECC">
            <w:pPr>
              <w:pStyle w:val="RecommendationBullet"/>
            </w:pPr>
            <w:r w:rsidRPr="008625DC">
              <w:t>sections</w:t>
            </w:r>
            <w:r w:rsidR="00E44E73" w:rsidRPr="008625DC">
              <w:t> </w:t>
            </w:r>
            <w:r w:rsidRPr="008625DC">
              <w:t>45B and</w:t>
            </w:r>
            <w:r w:rsidR="00E44E73" w:rsidRPr="008625DC">
              <w:t> </w:t>
            </w:r>
            <w:r w:rsidRPr="008625DC">
              <w:t>45C concerning covenants; and</w:t>
            </w:r>
          </w:p>
          <w:p w14:paraId="32558E8D" w14:textId="685AA9A2" w:rsidR="007E56D9" w:rsidRPr="008625DC" w:rsidRDefault="007E56D9" w:rsidP="00DB4ECC">
            <w:pPr>
              <w:pStyle w:val="RecommendationBullet"/>
            </w:pPr>
            <w:proofErr w:type="gramStart"/>
            <w:r w:rsidRPr="008625DC">
              <w:t>sections</w:t>
            </w:r>
            <w:proofErr w:type="gramEnd"/>
            <w:r w:rsidR="00E44E73" w:rsidRPr="008625DC">
              <w:t> </w:t>
            </w:r>
            <w:r w:rsidRPr="008625DC">
              <w:t>46A and</w:t>
            </w:r>
            <w:r w:rsidR="00E44E73" w:rsidRPr="008625DC">
              <w:t> </w:t>
            </w:r>
            <w:r w:rsidRPr="008625DC">
              <w:t>46B concerning misuse of market power in a trans</w:t>
            </w:r>
            <w:r w:rsidR="00C74E19" w:rsidRPr="008625DC">
              <w:noBreakHyphen/>
            </w:r>
            <w:r w:rsidRPr="008625DC">
              <w:t>Tasman market.</w:t>
            </w:r>
          </w:p>
          <w:p w14:paraId="14C0B18F" w14:textId="5FD3262C" w:rsidR="00D226CF" w:rsidRPr="008625DC" w:rsidRDefault="00D226CF" w:rsidP="005B28E5">
            <w:pPr>
              <w:pStyle w:val="RecommendationText"/>
            </w:pPr>
            <w:r w:rsidRPr="008625DC">
              <w:t xml:space="preserve">This task should be undertaken in conjunction with </w:t>
            </w:r>
            <w:r w:rsidR="007E56D9" w:rsidRPr="008625DC">
              <w:t>implement</w:t>
            </w:r>
            <w:r w:rsidR="004330D8" w:rsidRPr="008625DC">
              <w:t>ation of the other</w:t>
            </w:r>
            <w:r w:rsidRPr="008625DC">
              <w:t xml:space="preserve"> recommendations </w:t>
            </w:r>
            <w:r w:rsidR="00D15AAA" w:rsidRPr="008625DC">
              <w:t>of th</w:t>
            </w:r>
            <w:r w:rsidR="005B28E5" w:rsidRPr="008625DC">
              <w:t>is</w:t>
            </w:r>
            <w:r w:rsidR="00D15AAA" w:rsidRPr="008625DC">
              <w:t xml:space="preserve"> Review</w:t>
            </w:r>
            <w:r w:rsidRPr="008625DC">
              <w:t>.</w:t>
            </w:r>
          </w:p>
        </w:tc>
      </w:tr>
    </w:tbl>
    <w:p w14:paraId="6F0E3014" w14:textId="724F1A45" w:rsidR="001E1B49" w:rsidRPr="008625DC" w:rsidRDefault="001E1B49" w:rsidP="000B5916">
      <w:pPr>
        <w:pStyle w:val="Heading2"/>
        <w:ind w:left="851" w:hanging="851"/>
        <w:rPr>
          <w:lang w:val="en-AU"/>
        </w:rPr>
      </w:pPr>
      <w:bookmarkStart w:id="7197" w:name="_Toc398197344"/>
      <w:bookmarkStart w:id="7198" w:name="_Toc398201561"/>
      <w:bookmarkStart w:id="7199" w:name="_Toc398207166"/>
      <w:bookmarkStart w:id="7200" w:name="_Toc398210439"/>
      <w:bookmarkStart w:id="7201" w:name="_Toc398210953"/>
      <w:bookmarkStart w:id="7202" w:name="_Toc398211090"/>
      <w:bookmarkStart w:id="7203" w:name="_Toc398219761"/>
      <w:bookmarkStart w:id="7204" w:name="_Toc398220136"/>
      <w:bookmarkStart w:id="7205" w:name="_Toc398220523"/>
      <w:bookmarkStart w:id="7206" w:name="_Toc398221601"/>
      <w:bookmarkStart w:id="7207" w:name="_Toc398222287"/>
      <w:bookmarkStart w:id="7208" w:name="_Toc398222599"/>
      <w:bookmarkStart w:id="7209" w:name="_Toc398223016"/>
      <w:bookmarkStart w:id="7210" w:name="_Toc398223395"/>
      <w:bookmarkStart w:id="7211" w:name="_Toc398223522"/>
      <w:bookmarkStart w:id="7212" w:name="_Toc398224330"/>
      <w:bookmarkStart w:id="7213" w:name="_Toc398225667"/>
      <w:bookmarkStart w:id="7214" w:name="_Toc398225792"/>
      <w:bookmarkStart w:id="7215" w:name="_Toc398281279"/>
      <w:bookmarkStart w:id="7216" w:name="_Toc398282138"/>
      <w:bookmarkStart w:id="7217" w:name="_Toc398284808"/>
      <w:bookmarkStart w:id="7218" w:name="_Toc398287277"/>
      <w:bookmarkStart w:id="7219" w:name="_Toc398289160"/>
      <w:bookmarkStart w:id="7220" w:name="_Toc398297157"/>
      <w:bookmarkStart w:id="7221" w:name="_Toc398298631"/>
      <w:bookmarkStart w:id="7222" w:name="_Toc398300332"/>
      <w:bookmarkStart w:id="7223" w:name="_Toc398301229"/>
      <w:bookmarkStart w:id="7224" w:name="_Toc398302414"/>
      <w:bookmarkStart w:id="7225" w:name="_Toc398302577"/>
      <w:bookmarkStart w:id="7226" w:name="_Toc398549089"/>
      <w:bookmarkStart w:id="7227" w:name="_Toc398549339"/>
      <w:bookmarkStart w:id="7228" w:name="_Toc398555758"/>
      <w:bookmarkStart w:id="7229" w:name="_Toc398558962"/>
      <w:bookmarkStart w:id="7230" w:name="_Toc398563448"/>
      <w:bookmarkStart w:id="7231" w:name="_Toc398563581"/>
      <w:bookmarkStart w:id="7232" w:name="_Toc398563980"/>
      <w:bookmarkStart w:id="7233" w:name="_Toc398827318"/>
      <w:bookmarkStart w:id="7234" w:name="_Toc398827512"/>
      <w:bookmarkStart w:id="7235" w:name="s32"/>
      <w:bookmarkStart w:id="7236" w:name="_Toc396397373"/>
      <w:bookmarkStart w:id="7237" w:name="_Toc396815110"/>
      <w:bookmarkStart w:id="7238" w:name="_Toc396821060"/>
      <w:bookmarkStart w:id="7239" w:name="_Toc396821256"/>
      <w:bookmarkStart w:id="7240" w:name="_Toc396821668"/>
      <w:bookmarkStart w:id="7241" w:name="_Toc396827518"/>
      <w:bookmarkStart w:id="7242" w:name="_Toc396828489"/>
      <w:bookmarkStart w:id="7243" w:name="_Toc396828599"/>
      <w:bookmarkStart w:id="7244" w:name="_Toc396837988"/>
      <w:bookmarkStart w:id="7245" w:name="_Toc396838386"/>
      <w:bookmarkStart w:id="7246" w:name="_Toc396904119"/>
      <w:bookmarkStart w:id="7247" w:name="_Toc396904709"/>
      <w:bookmarkStart w:id="7248" w:name="_Toc396907543"/>
      <w:bookmarkStart w:id="7249" w:name="_Toc396912462"/>
      <w:bookmarkStart w:id="7250" w:name="_Toc396914442"/>
      <w:bookmarkStart w:id="7251" w:name="_Toc396915326"/>
      <w:bookmarkStart w:id="7252" w:name="_Toc396915720"/>
      <w:bookmarkStart w:id="7253" w:name="_Toc396921031"/>
      <w:bookmarkStart w:id="7254" w:name="_Toc396924371"/>
      <w:bookmarkStart w:id="7255" w:name="_Toc396925065"/>
      <w:bookmarkStart w:id="7256" w:name="_Toc396992185"/>
      <w:bookmarkStart w:id="7257" w:name="_Toc396992764"/>
      <w:bookmarkStart w:id="7258" w:name="_Toc396994428"/>
      <w:bookmarkStart w:id="7259" w:name="_Toc397002199"/>
      <w:bookmarkStart w:id="7260" w:name="_Toc397003118"/>
      <w:bookmarkStart w:id="7261" w:name="_Toc397008676"/>
      <w:bookmarkStart w:id="7262" w:name="_Toc397008894"/>
      <w:bookmarkStart w:id="7263" w:name="_Toc397011566"/>
      <w:bookmarkStart w:id="7264" w:name="_Toc397012627"/>
      <w:bookmarkStart w:id="7265" w:name="_Toc397014969"/>
      <w:bookmarkStart w:id="7266" w:name="_Toc397015456"/>
      <w:bookmarkStart w:id="7267" w:name="_Toc397070527"/>
      <w:bookmarkStart w:id="7268" w:name="_Toc397413265"/>
      <w:bookmarkStart w:id="7269" w:name="_Toc397413412"/>
      <w:bookmarkStart w:id="7270" w:name="_Toc397427997"/>
      <w:bookmarkStart w:id="7271" w:name="_Toc397439385"/>
      <w:bookmarkStart w:id="7272" w:name="_Toc397439555"/>
      <w:bookmarkStart w:id="7273" w:name="_Toc397439811"/>
      <w:bookmarkStart w:id="7274" w:name="_Toc397440113"/>
      <w:bookmarkStart w:id="7275" w:name="_Toc397441742"/>
      <w:bookmarkStart w:id="7276" w:name="_Toc397517444"/>
      <w:bookmarkStart w:id="7277" w:name="_Toc397522709"/>
      <w:bookmarkStart w:id="7278" w:name="_Toc397526127"/>
      <w:bookmarkStart w:id="7279" w:name="_Toc397528442"/>
      <w:bookmarkStart w:id="7280" w:name="_Toc397528917"/>
      <w:bookmarkStart w:id="7281" w:name="_Toc397601914"/>
      <w:bookmarkStart w:id="7282" w:name="_Toc397602649"/>
      <w:bookmarkStart w:id="7283" w:name="_Toc397605778"/>
      <w:bookmarkStart w:id="7284" w:name="_Toc397614922"/>
      <w:bookmarkStart w:id="7285" w:name="_Toc397616365"/>
      <w:bookmarkStart w:id="7286" w:name="_Toc397616759"/>
      <w:bookmarkStart w:id="7287" w:name="_Toc397679169"/>
      <w:bookmarkStart w:id="7288" w:name="_Toc397688057"/>
      <w:bookmarkStart w:id="7289" w:name="_Toc397689273"/>
      <w:bookmarkStart w:id="7290" w:name="_Toc397694553"/>
      <w:bookmarkStart w:id="7291" w:name="_Toc397696394"/>
      <w:bookmarkStart w:id="7292" w:name="_Toc397697128"/>
      <w:bookmarkStart w:id="7293" w:name="_Toc397698415"/>
      <w:bookmarkStart w:id="7294" w:name="_Toc397699781"/>
      <w:bookmarkStart w:id="7295" w:name="_Toc397700235"/>
      <w:bookmarkStart w:id="7296" w:name="_Toc397936627"/>
      <w:bookmarkStart w:id="7297" w:name="_Toc397936747"/>
      <w:bookmarkStart w:id="7298" w:name="_Toc397945755"/>
      <w:bookmarkStart w:id="7299" w:name="_Toc397945902"/>
      <w:bookmarkStart w:id="7300" w:name="_Toc397946928"/>
      <w:bookmarkStart w:id="7301" w:name="_Toc397948047"/>
      <w:bookmarkStart w:id="7302" w:name="_Toc397958453"/>
      <w:bookmarkStart w:id="7303" w:name="_Toc397958695"/>
      <w:bookmarkStart w:id="7304" w:name="_Toc397959110"/>
      <w:bookmarkStart w:id="7305" w:name="_Toc397962963"/>
      <w:bookmarkStart w:id="7306" w:name="_Toc397963329"/>
      <w:bookmarkStart w:id="7307" w:name="_Toc397965406"/>
      <w:r w:rsidRPr="008625DC">
        <w:rPr>
          <w:lang w:val="en-AU"/>
        </w:rPr>
        <w:t>Application to government activities in trade or commerce</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bookmarkEnd w:id="7235"/>
    <w:p w14:paraId="6305467A" w14:textId="3D4627D1" w:rsidR="001E1B49" w:rsidRPr="008625DC" w:rsidRDefault="001E1B49" w:rsidP="001E1B49">
      <w:r w:rsidRPr="008625DC">
        <w:t xml:space="preserve">As a consequence of the Hilmer Review, the CCA was extended to apply to the Crown, but only </w:t>
      </w:r>
      <w:r w:rsidR="00836D17" w:rsidRPr="008625DC">
        <w:t>insofar</w:t>
      </w:r>
      <w:r w:rsidRPr="008625DC">
        <w:t xml:space="preserve"> as the Crown carried on a business, either directly or by an authority of the Crown.</w:t>
      </w:r>
    </w:p>
    <w:p w14:paraId="5C6DA85C" w14:textId="77777777" w:rsidR="001E1B49" w:rsidRPr="008625DC" w:rsidRDefault="001E1B49" w:rsidP="001E1B49">
      <w:r w:rsidRPr="008625DC">
        <w:t>There are many circumstances in which the Crown (whether as a department or an authority) undertakes commercial transactions but does not carry on a business. This is particularly the case in the area of procurement: whether for the delivery of large infrastructure projects or the regular requirements of the health or education systems.</w:t>
      </w:r>
    </w:p>
    <w:p w14:paraId="75E0C841" w14:textId="341DD28E" w:rsidR="001E1B49" w:rsidRPr="008625DC" w:rsidRDefault="001E1B49" w:rsidP="001E1B49">
      <w:r w:rsidRPr="008625DC">
        <w:t xml:space="preserve">Through commercial transactions entered into with market participants, the Crown (whether in right of the Commonwealth, </w:t>
      </w:r>
      <w:r w:rsidR="0046149D" w:rsidRPr="008625DC">
        <w:t>s</w:t>
      </w:r>
      <w:r w:rsidRPr="008625DC">
        <w:t xml:space="preserve">tate, </w:t>
      </w:r>
      <w:r w:rsidR="0046149D" w:rsidRPr="008625DC">
        <w:t>t</w:t>
      </w:r>
      <w:r w:rsidRPr="008625DC">
        <w:t xml:space="preserve">erritory or local governments) has the potential to harm competition. The Panel considers that the Hilmer reforms should be carried a step further and that the Crown should be subject to the competition law insofar as it undertakes activity in trade or commerce.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E1B49" w:rsidRPr="008625DC" w14:paraId="16B4D205" w14:textId="77777777" w:rsidTr="001A2089">
        <w:tc>
          <w:tcPr>
            <w:tcW w:w="5000" w:type="pct"/>
            <w:shd w:val="clear" w:color="auto" w:fill="E9F7F3" w:themeFill="accent4" w:themeFillTint="33"/>
          </w:tcPr>
          <w:p w14:paraId="694038A0" w14:textId="2B4522DF" w:rsidR="001E1B49" w:rsidRPr="008625DC" w:rsidRDefault="001E1B49" w:rsidP="001A2089">
            <w:pPr>
              <w:pStyle w:val="RecommendationHeading"/>
            </w:pPr>
            <w:bookmarkStart w:id="7308" w:name="DR19"/>
            <w:r w:rsidRPr="008625DC">
              <w:t xml:space="preserve">Draft Recommendation </w:t>
            </w:r>
            <w:r w:rsidRPr="008625DC">
              <w:fldChar w:fldCharType="begin"/>
            </w:r>
            <w:r w:rsidRPr="008625DC">
              <w:instrText xml:space="preserve"> AUTONUMLGL  \* Arabic \e </w:instrText>
            </w:r>
            <w:r w:rsidRPr="008625DC">
              <w:fldChar w:fldCharType="end"/>
            </w:r>
            <w:bookmarkEnd w:id="7308"/>
            <w:r w:rsidRPr="008625DC">
              <w:t xml:space="preserve"> — Application of the law to government activities</w:t>
            </w:r>
          </w:p>
          <w:p w14:paraId="44F8C545" w14:textId="6A30CE5F" w:rsidR="001E1B49" w:rsidRPr="008625DC" w:rsidRDefault="001E1B49" w:rsidP="001A2089">
            <w:pPr>
              <w:pStyle w:val="RecommendationText"/>
            </w:pPr>
            <w:r w:rsidRPr="008625DC">
              <w:t>The CCA should be amended so that the competition law provisions apply to the Crown in right of the Commonwealth and the States and Territories (including local government) insofar as they undertake activity in trade or commerce.</w:t>
            </w:r>
          </w:p>
        </w:tc>
      </w:tr>
    </w:tbl>
    <w:p w14:paraId="5453F67E" w14:textId="77777777" w:rsidR="00BD08DE" w:rsidRPr="008625DC" w:rsidRDefault="00BD08DE" w:rsidP="00BD08DE">
      <w:pPr>
        <w:pStyle w:val="Heading2"/>
        <w:ind w:left="851" w:hanging="851"/>
        <w:rPr>
          <w:lang w:val="en-AU"/>
        </w:rPr>
      </w:pPr>
      <w:bookmarkStart w:id="7309" w:name="_Toc398281280"/>
      <w:bookmarkStart w:id="7310" w:name="_Toc398282139"/>
      <w:bookmarkStart w:id="7311" w:name="_Toc398284809"/>
      <w:bookmarkStart w:id="7312" w:name="_Toc398287278"/>
      <w:bookmarkStart w:id="7313" w:name="_Toc398289161"/>
      <w:bookmarkStart w:id="7314" w:name="_Toc398297158"/>
      <w:bookmarkStart w:id="7315" w:name="_Toc398298632"/>
      <w:bookmarkStart w:id="7316" w:name="_Toc398300333"/>
      <w:bookmarkStart w:id="7317" w:name="_Toc398301230"/>
      <w:bookmarkStart w:id="7318" w:name="_Toc398302415"/>
      <w:bookmarkStart w:id="7319" w:name="_Toc398302578"/>
      <w:bookmarkStart w:id="7320" w:name="_Toc398549090"/>
      <w:bookmarkStart w:id="7321" w:name="_Toc398549340"/>
      <w:bookmarkStart w:id="7322" w:name="_Toc398555759"/>
      <w:bookmarkStart w:id="7323" w:name="_Toc398558963"/>
      <w:bookmarkStart w:id="7324" w:name="_Toc398563449"/>
      <w:bookmarkStart w:id="7325" w:name="_Toc398563582"/>
      <w:bookmarkStart w:id="7326" w:name="_Toc398563981"/>
      <w:bookmarkStart w:id="7327" w:name="_Toc398827319"/>
      <w:bookmarkStart w:id="7328" w:name="_Toc398827513"/>
      <w:bookmarkStart w:id="7329" w:name="s33"/>
      <w:bookmarkStart w:id="7330" w:name="_Toc398197345"/>
      <w:bookmarkStart w:id="7331" w:name="_Toc398201562"/>
      <w:bookmarkStart w:id="7332" w:name="_Toc398207167"/>
      <w:bookmarkStart w:id="7333" w:name="_Toc398210440"/>
      <w:bookmarkStart w:id="7334" w:name="_Toc398210954"/>
      <w:bookmarkStart w:id="7335" w:name="_Toc398211091"/>
      <w:bookmarkStart w:id="7336" w:name="_Toc398219762"/>
      <w:bookmarkStart w:id="7337" w:name="_Toc398220137"/>
      <w:bookmarkStart w:id="7338" w:name="_Toc398220524"/>
      <w:bookmarkStart w:id="7339" w:name="_Toc398221602"/>
      <w:bookmarkStart w:id="7340" w:name="_Toc398222288"/>
      <w:bookmarkStart w:id="7341" w:name="_Toc398222600"/>
      <w:bookmarkStart w:id="7342" w:name="_Toc398223017"/>
      <w:bookmarkStart w:id="7343" w:name="_Toc398223396"/>
      <w:bookmarkStart w:id="7344" w:name="_Toc398223523"/>
      <w:bookmarkStart w:id="7345" w:name="_Toc398224331"/>
      <w:bookmarkStart w:id="7346" w:name="_Toc398225668"/>
      <w:bookmarkStart w:id="7347" w:name="_Toc398225793"/>
      <w:r w:rsidRPr="008625DC">
        <w:rPr>
          <w:lang w:val="en-AU"/>
        </w:rPr>
        <w:t>Market definition</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p>
    <w:bookmarkEnd w:id="7329"/>
    <w:p w14:paraId="3424284D" w14:textId="4D0EB13C" w:rsidR="00BD08DE" w:rsidRPr="008625DC" w:rsidRDefault="00BD08DE" w:rsidP="00BD08DE">
      <w:r w:rsidRPr="008625DC">
        <w:t xml:space="preserve">The Panel considers that the competition law provisions of the CCA are correctly focused on conduct that damages competition in markets in Australia and that the current definition of </w:t>
      </w:r>
      <w:r w:rsidR="00C74E19" w:rsidRPr="008625DC">
        <w:t>‘</w:t>
      </w:r>
      <w:r w:rsidRPr="008625DC">
        <w:t>market</w:t>
      </w:r>
      <w:r w:rsidR="00C74E19" w:rsidRPr="008625DC">
        <w:t>’</w:t>
      </w:r>
      <w:r w:rsidRPr="008625DC">
        <w:t xml:space="preserve"> (being a market in Australia) is appropriate.</w:t>
      </w:r>
    </w:p>
    <w:p w14:paraId="6A2AD45B" w14:textId="77777777" w:rsidR="00BD08DE" w:rsidRPr="008625DC" w:rsidRDefault="00BD08DE" w:rsidP="00BD08DE">
      <w:r w:rsidRPr="008625DC">
        <w:t>This reflects the object of the law to protect the welfare of Australians. There is no sound reason for Australian law to regulate conduct affecting competition in overseas markets.</w:t>
      </w:r>
    </w:p>
    <w:p w14:paraId="0821A4B8" w14:textId="4EA28A45" w:rsidR="00BD08DE" w:rsidRPr="008625DC" w:rsidRDefault="00BD08DE" w:rsidP="00BD08DE">
      <w:r w:rsidRPr="008625DC">
        <w:t xml:space="preserve">That should not mean, though, that the CCA ignores the forces of competition that arise outside Australia but which </w:t>
      </w:r>
      <w:r w:rsidR="005B28E5" w:rsidRPr="008625DC">
        <w:t xml:space="preserve">affect </w:t>
      </w:r>
      <w:r w:rsidRPr="008625DC">
        <w:t>Australian markets. Today, more than ever, Australian consumers are able to use the internet to browse for and purchase goods and services from overseas suppliers. While the objective of the CCA is to protect and promote competition in Australian markets, frequently the sources of competition in Australian markets are global.</w:t>
      </w:r>
    </w:p>
    <w:p w14:paraId="0DB8CB6A" w14:textId="5D116679" w:rsidR="00BD08DE" w:rsidRPr="008625DC" w:rsidRDefault="00BD08DE" w:rsidP="00BD08DE">
      <w:r w:rsidRPr="008625DC">
        <w:lastRenderedPageBreak/>
        <w:t xml:space="preserve">The CCA has been framed to take account of all sources of competition that </w:t>
      </w:r>
      <w:r w:rsidR="005B28E5" w:rsidRPr="008625DC">
        <w:t xml:space="preserve">affect </w:t>
      </w:r>
      <w:r w:rsidRPr="008625DC">
        <w:t xml:space="preserve">markets in Australia. The definition of the term </w:t>
      </w:r>
      <w:r w:rsidR="00C74E19" w:rsidRPr="008625DC">
        <w:t>‘</w:t>
      </w:r>
      <w:r w:rsidRPr="008625DC">
        <w:t>competition</w:t>
      </w:r>
      <w:r w:rsidR="00C74E19" w:rsidRPr="008625DC">
        <w:t>’</w:t>
      </w:r>
      <w:r w:rsidRPr="008625DC">
        <w:t xml:space="preserve"> in the CCA is important. In the CCA, </w:t>
      </w:r>
      <w:r w:rsidR="00C74E19" w:rsidRPr="008625DC">
        <w:t>‘</w:t>
      </w:r>
      <w:r w:rsidRPr="008625DC">
        <w:t>competition</w:t>
      </w:r>
      <w:r w:rsidR="00C74E19" w:rsidRPr="008625DC">
        <w:t>’</w:t>
      </w:r>
      <w:r w:rsidRPr="008625DC">
        <w:t xml:space="preserve"> is defined to include competition from imported goods and services. Nevertheless, given the importance of ensuring that global sources of competition are considered where relevant, the current definition of </w:t>
      </w:r>
      <w:r w:rsidR="00C74E19" w:rsidRPr="008625DC">
        <w:t>‘</w:t>
      </w:r>
      <w:r w:rsidRPr="008625DC">
        <w:t>competition</w:t>
      </w:r>
      <w:r w:rsidR="00C74E19" w:rsidRPr="008625DC">
        <w:t>’</w:t>
      </w:r>
      <w:r w:rsidRPr="008625DC">
        <w:t xml:space="preserve"> in the CCA could be strengthened so that there can be no doubt that it includes competition from </w:t>
      </w:r>
      <w:r w:rsidRPr="008625DC">
        <w:rPr>
          <w:i/>
        </w:rPr>
        <w:t>potential</w:t>
      </w:r>
      <w:r w:rsidRPr="008625DC">
        <w:t xml:space="preserve"> imports of goods and services, not just </w:t>
      </w:r>
      <w:r w:rsidRPr="008625DC">
        <w:rPr>
          <w:i/>
        </w:rPr>
        <w:t xml:space="preserve">actual </w:t>
      </w:r>
      <w:r w:rsidRPr="008625DC">
        <w:t>imports.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BD08DE" w:rsidRPr="008625DC" w14:paraId="3E9D36DA" w14:textId="77777777" w:rsidTr="00B64EE7">
        <w:tc>
          <w:tcPr>
            <w:tcW w:w="5000" w:type="pct"/>
            <w:shd w:val="clear" w:color="auto" w:fill="E9F7F3" w:themeFill="accent4" w:themeFillTint="33"/>
          </w:tcPr>
          <w:p w14:paraId="05604733" w14:textId="77777777" w:rsidR="00BD08DE" w:rsidRPr="008625DC" w:rsidRDefault="00BD08DE" w:rsidP="00B64EE7">
            <w:pPr>
              <w:pStyle w:val="RecommendationHeading"/>
            </w:pPr>
            <w:bookmarkStart w:id="7348" w:name="DR20"/>
            <w:r w:rsidRPr="008625DC">
              <w:t xml:space="preserve">Draft Recommendation </w:t>
            </w:r>
            <w:r w:rsidRPr="008625DC">
              <w:fldChar w:fldCharType="begin"/>
            </w:r>
            <w:r w:rsidRPr="008625DC">
              <w:instrText xml:space="preserve"> AUTONUMLGL  \* Arabic \e </w:instrText>
            </w:r>
            <w:r w:rsidRPr="008625DC">
              <w:fldChar w:fldCharType="end"/>
            </w:r>
            <w:bookmarkEnd w:id="7348"/>
            <w:r w:rsidRPr="008625DC">
              <w:t xml:space="preserve"> — Definition of market</w:t>
            </w:r>
          </w:p>
          <w:p w14:paraId="59983103" w14:textId="32F3E7E0" w:rsidR="00BD08DE" w:rsidRPr="008625DC" w:rsidRDefault="00BD08DE" w:rsidP="008C1921">
            <w:pPr>
              <w:pStyle w:val="RecommendationText"/>
              <w:spacing w:after="240"/>
            </w:pPr>
            <w:r w:rsidRPr="008625DC">
              <w:t xml:space="preserve">The current definition of </w:t>
            </w:r>
            <w:r w:rsidR="00C74E19" w:rsidRPr="008625DC">
              <w:t>‘</w:t>
            </w:r>
            <w:r w:rsidRPr="008625DC">
              <w:t>market</w:t>
            </w:r>
            <w:r w:rsidR="00C74E19" w:rsidRPr="008625DC">
              <w:t>’</w:t>
            </w:r>
            <w:r w:rsidRPr="008625DC">
              <w:t xml:space="preserve"> in the CCA should be retained but the current definition of </w:t>
            </w:r>
            <w:r w:rsidR="00C74E19" w:rsidRPr="008625DC">
              <w:t>‘</w:t>
            </w:r>
            <w:r w:rsidRPr="008625DC">
              <w:t>competition</w:t>
            </w:r>
            <w:r w:rsidR="00C74E19" w:rsidRPr="008625DC">
              <w:t>’</w:t>
            </w:r>
            <w:r w:rsidRPr="008625DC">
              <w:t xml:space="preserve"> should be re</w:t>
            </w:r>
            <w:r w:rsidR="00C74E19" w:rsidRPr="008625DC">
              <w:noBreakHyphen/>
            </w:r>
            <w:r w:rsidRPr="008625DC">
              <w:t xml:space="preserve">worded </w:t>
            </w:r>
            <w:r w:rsidR="00BB3214" w:rsidRPr="008625DC">
              <w:t xml:space="preserve">to ensure </w:t>
            </w:r>
            <w:r w:rsidRPr="008625DC">
              <w:t>that competition in Australian markets includes competition from goods imported or capable of being imported into Australia and from services supplied or capable of being supplied by persons located outside of Australia to persons located within Australia.</w:t>
            </w:r>
          </w:p>
        </w:tc>
      </w:tr>
    </w:tbl>
    <w:p w14:paraId="5D9D7013" w14:textId="08BB6105" w:rsidR="00D226CF" w:rsidRPr="008625DC" w:rsidRDefault="00D226CF" w:rsidP="000B5916">
      <w:pPr>
        <w:pStyle w:val="Heading2"/>
        <w:ind w:left="851" w:hanging="851"/>
        <w:rPr>
          <w:lang w:val="en-AU"/>
        </w:rPr>
      </w:pPr>
      <w:bookmarkStart w:id="7349" w:name="_Toc398281281"/>
      <w:bookmarkStart w:id="7350" w:name="_Toc398282140"/>
      <w:bookmarkStart w:id="7351" w:name="_Toc398284810"/>
      <w:bookmarkStart w:id="7352" w:name="_Toc398287279"/>
      <w:bookmarkStart w:id="7353" w:name="_Toc398289162"/>
      <w:bookmarkStart w:id="7354" w:name="_Toc398297159"/>
      <w:bookmarkStart w:id="7355" w:name="_Toc398298633"/>
      <w:bookmarkStart w:id="7356" w:name="_Toc398300334"/>
      <w:bookmarkStart w:id="7357" w:name="_Toc398301231"/>
      <w:bookmarkStart w:id="7358" w:name="_Toc398302416"/>
      <w:bookmarkStart w:id="7359" w:name="_Toc398302579"/>
      <w:bookmarkStart w:id="7360" w:name="_Toc398549091"/>
      <w:bookmarkStart w:id="7361" w:name="_Toc398549341"/>
      <w:bookmarkStart w:id="7362" w:name="_Toc398555760"/>
      <w:bookmarkStart w:id="7363" w:name="_Toc398558964"/>
      <w:bookmarkStart w:id="7364" w:name="_Toc398563450"/>
      <w:bookmarkStart w:id="7365" w:name="_Toc398563583"/>
      <w:bookmarkStart w:id="7366" w:name="_Toc398563982"/>
      <w:bookmarkStart w:id="7367" w:name="_Toc398827320"/>
      <w:bookmarkStart w:id="7368" w:name="_Toc398827514"/>
      <w:bookmarkStart w:id="7369" w:name="s34"/>
      <w:r w:rsidRPr="008625DC">
        <w:rPr>
          <w:lang w:val="en-AU"/>
        </w:rPr>
        <w:t>Extra</w:t>
      </w:r>
      <w:r w:rsidR="00C74E19" w:rsidRPr="008625DC">
        <w:rPr>
          <w:lang w:val="en-AU"/>
        </w:rPr>
        <w:noBreakHyphen/>
      </w:r>
      <w:r w:rsidRPr="008625DC">
        <w:rPr>
          <w:lang w:val="en-AU"/>
        </w:rPr>
        <w:t xml:space="preserve">territorial reach of the </w:t>
      </w:r>
      <w:bookmarkEnd w:id="7236"/>
      <w:bookmarkEnd w:id="7237"/>
      <w:bookmarkEnd w:id="7238"/>
      <w:bookmarkEnd w:id="7239"/>
      <w:bookmarkEnd w:id="7240"/>
      <w:bookmarkEnd w:id="7241"/>
      <w:r w:rsidRPr="008625DC">
        <w:rPr>
          <w:lang w:val="en-AU"/>
        </w:rPr>
        <w:t>law</w:t>
      </w:r>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bookmarkEnd w:id="7369"/>
    <w:p w14:paraId="096B4A9F" w14:textId="44AF2B6B" w:rsidR="007939C7" w:rsidRPr="008625DC" w:rsidRDefault="007939C7" w:rsidP="00F81722">
      <w:r w:rsidRPr="008625DC">
        <w:t xml:space="preserve">The Panel considers that the competition law provisions of the CCA ought to apply to firms engaging in conduct outside Australia if that conduct damages competition in markets in Australia. The application of the law in those circumstances ought not </w:t>
      </w:r>
      <w:r w:rsidR="009E7BB1" w:rsidRPr="008625DC">
        <w:t xml:space="preserve">to </w:t>
      </w:r>
      <w:r w:rsidRPr="008625DC">
        <w:t>depend on whether the firm is incorporated in, or carries on business within, Australia.</w:t>
      </w:r>
    </w:p>
    <w:p w14:paraId="741A7D51" w14:textId="55A43EBE" w:rsidR="007939C7" w:rsidRPr="008625DC" w:rsidRDefault="007939C7" w:rsidP="007939C7">
      <w:r w:rsidRPr="008625DC">
        <w:t xml:space="preserve">Private actions are also an important part of the competition law framework. The requirement for private parties to seek ministerial consent in connection with proceedings involving conduct </w:t>
      </w:r>
      <w:r w:rsidR="001E1B49" w:rsidRPr="008625DC">
        <w:t xml:space="preserve">that occurs outside Australia </w:t>
      </w:r>
      <w:r w:rsidRPr="008625DC">
        <w:t xml:space="preserve">is an unnecessary roadblock to possible redress </w:t>
      </w:r>
      <w:r w:rsidR="001E1B49" w:rsidRPr="008625DC">
        <w:t>for harm</w:t>
      </w:r>
      <w:r w:rsidRPr="008625DC">
        <w:t xml:space="preserve"> suffered as a result of </w:t>
      </w:r>
      <w:r w:rsidR="001E1B49" w:rsidRPr="008625DC">
        <w:t>a</w:t>
      </w:r>
      <w:r w:rsidRPr="008625DC">
        <w:t xml:space="preserve"> breach of competition law.</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226CF" w:rsidRPr="008625DC" w14:paraId="385A4A5D" w14:textId="77777777" w:rsidTr="00377EEF">
        <w:tc>
          <w:tcPr>
            <w:tcW w:w="5000" w:type="pct"/>
            <w:shd w:val="clear" w:color="auto" w:fill="E9F7F3" w:themeFill="accent4" w:themeFillTint="33"/>
          </w:tcPr>
          <w:p w14:paraId="6DA2CD38" w14:textId="014FC1D3" w:rsidR="00D226CF" w:rsidRPr="008625DC" w:rsidRDefault="00D226CF" w:rsidP="00377EEF">
            <w:pPr>
              <w:pStyle w:val="RecommendationHeading"/>
            </w:pPr>
            <w:bookmarkStart w:id="7370" w:name="_Toc396138935"/>
            <w:bookmarkStart w:id="7371" w:name="_Toc396145856"/>
            <w:bookmarkStart w:id="7372" w:name="_Toc396146514"/>
            <w:bookmarkStart w:id="7373" w:name="_Toc396147682"/>
            <w:bookmarkStart w:id="7374" w:name="_Toc396148937"/>
            <w:bookmarkStart w:id="7375" w:name="_Toc396149364"/>
            <w:bookmarkStart w:id="7376" w:name="_Toc396149822"/>
            <w:bookmarkStart w:id="7377" w:name="_Toc396151553"/>
            <w:bookmarkStart w:id="7378" w:name="_Toc396202561"/>
            <w:bookmarkStart w:id="7379" w:name="_Toc396206768"/>
            <w:bookmarkStart w:id="7380" w:name="_Toc396209596"/>
            <w:bookmarkStart w:id="7381" w:name="_Toc396212020"/>
            <w:bookmarkStart w:id="7382" w:name="_Toc396213362"/>
            <w:bookmarkStart w:id="7383" w:name="_Toc396214638"/>
            <w:bookmarkStart w:id="7384" w:name="_Toc396226750"/>
            <w:bookmarkStart w:id="7385" w:name="_Toc396228950"/>
            <w:bookmarkStart w:id="7386" w:name="_Toc396230592"/>
            <w:bookmarkStart w:id="7387" w:name="_Toc396231733"/>
            <w:bookmarkStart w:id="7388" w:name="_Toc396233373"/>
            <w:bookmarkStart w:id="7389" w:name="_Toc396234193"/>
            <w:bookmarkStart w:id="7390" w:name="_Toc396234602"/>
            <w:bookmarkStart w:id="7391" w:name="_Toc396586281"/>
            <w:bookmarkStart w:id="7392" w:name="DR21"/>
            <w:r w:rsidRPr="008625DC">
              <w:t xml:space="preserve">Draft Recommendation </w:t>
            </w:r>
            <w:r w:rsidRPr="008625DC">
              <w:fldChar w:fldCharType="begin"/>
            </w:r>
            <w:r w:rsidRPr="008625DC">
              <w:instrText xml:space="preserve"> AUTONUMLGL  \* Arabic \e </w:instrText>
            </w:r>
            <w:r w:rsidRPr="008625DC">
              <w:fldChar w:fldCharType="end"/>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r w:rsidR="00380141" w:rsidRPr="008625DC">
              <w:t xml:space="preserve"> — </w:t>
            </w:r>
            <w:r w:rsidR="00D762C5" w:rsidRPr="008625DC">
              <w:t>Extra</w:t>
            </w:r>
            <w:r w:rsidR="00C74E19" w:rsidRPr="008625DC">
              <w:noBreakHyphen/>
            </w:r>
            <w:r w:rsidR="00D762C5" w:rsidRPr="008625DC">
              <w:t>territorial reach of the law</w:t>
            </w:r>
          </w:p>
          <w:p w14:paraId="52EECF07" w14:textId="7567C2B0" w:rsidR="00D226CF" w:rsidRPr="008625DC" w:rsidRDefault="007939C7" w:rsidP="00377EEF">
            <w:pPr>
              <w:pStyle w:val="RecommendationText"/>
              <w:rPr>
                <w:b/>
              </w:rPr>
            </w:pPr>
            <w:bookmarkStart w:id="7393" w:name="_Toc395867541"/>
            <w:bookmarkStart w:id="7394" w:name="_Toc395868673"/>
            <w:bookmarkStart w:id="7395" w:name="_Toc395879054"/>
            <w:bookmarkStart w:id="7396" w:name="_Toc395882178"/>
            <w:bookmarkStart w:id="7397" w:name="_Toc395882509"/>
            <w:bookmarkStart w:id="7398" w:name="_Toc395880673"/>
            <w:bookmarkStart w:id="7399" w:name="_Toc395881004"/>
            <w:bookmarkStart w:id="7400" w:name="_Toc395881562"/>
            <w:bookmarkStart w:id="7401" w:name="_Toc395883947"/>
            <w:bookmarkStart w:id="7402" w:name="_Toc395884609"/>
            <w:bookmarkStart w:id="7403" w:name="_Toc395883318"/>
            <w:bookmarkStart w:id="7404" w:name="_Toc395883648"/>
            <w:bookmarkStart w:id="7405" w:name="_Toc395884950"/>
            <w:bookmarkStart w:id="7406" w:name="_Toc396138936"/>
            <w:bookmarkStart w:id="7407" w:name="_Toc396145857"/>
            <w:bookmarkStart w:id="7408" w:name="_Toc396146515"/>
            <w:bookmarkStart w:id="7409" w:name="_Toc396147683"/>
            <w:bookmarkStart w:id="7410" w:name="_Toc396148938"/>
            <w:bookmarkStart w:id="7411" w:name="_Toc396149365"/>
            <w:bookmarkStart w:id="7412" w:name="_Toc396149823"/>
            <w:bookmarkStart w:id="7413" w:name="_Toc396151554"/>
            <w:bookmarkStart w:id="7414" w:name="_Toc396202562"/>
            <w:bookmarkStart w:id="7415" w:name="_Toc396206769"/>
            <w:bookmarkStart w:id="7416" w:name="_Toc396209597"/>
            <w:bookmarkStart w:id="7417" w:name="_Toc396212021"/>
            <w:bookmarkStart w:id="7418" w:name="_Toc396213363"/>
            <w:bookmarkStart w:id="7419" w:name="_Toc396214639"/>
            <w:bookmarkStart w:id="7420" w:name="_Toc396226752"/>
            <w:bookmarkStart w:id="7421" w:name="_Toc396228952"/>
            <w:bookmarkStart w:id="7422" w:name="_Toc396230594"/>
            <w:bookmarkStart w:id="7423" w:name="_Toc396231735"/>
            <w:bookmarkStart w:id="7424" w:name="_Toc396233375"/>
            <w:bookmarkStart w:id="7425" w:name="_Toc396234195"/>
            <w:bookmarkStart w:id="7426" w:name="_Toc396234604"/>
            <w:bookmarkStart w:id="7427" w:name="_Toc396586283"/>
            <w:r w:rsidRPr="008625DC">
              <w:t>Section</w:t>
            </w:r>
            <w:r w:rsidR="00E44E73" w:rsidRPr="008625DC">
              <w:t> </w:t>
            </w:r>
            <w:r w:rsidR="00D226CF" w:rsidRPr="008625DC">
              <w:t xml:space="preserve">5 of the CCA should be amended to remove the requirement that the contravening firm </w:t>
            </w:r>
            <w:r w:rsidR="001E1B49" w:rsidRPr="008625DC">
              <w:t>has</w:t>
            </w:r>
            <w:r w:rsidR="00D226CF" w:rsidRPr="008625DC">
              <w:t xml:space="preserve"> a connection with Australia in the nature of residence, incorporation or business presence and to remove the requirement for private parties to seek ministerial consent before relying on extra</w:t>
            </w:r>
            <w:r w:rsidR="00C74E19" w:rsidRPr="008625DC">
              <w:noBreakHyphen/>
            </w:r>
            <w:r w:rsidR="00D226CF" w:rsidRPr="008625DC">
              <w:t>territorial conduct in private competition law actions.</w:t>
            </w:r>
          </w:p>
          <w:p w14:paraId="5BD93F32" w14:textId="5329D8AD" w:rsidR="00D226CF" w:rsidRPr="008625DC" w:rsidRDefault="00D226CF" w:rsidP="008C1921">
            <w:pPr>
              <w:pStyle w:val="RecommendationText"/>
              <w:spacing w:after="240"/>
            </w:pPr>
            <w:bookmarkStart w:id="7428" w:name="_Toc396226753"/>
            <w:bookmarkStart w:id="7429" w:name="_Toc396228953"/>
            <w:bookmarkStart w:id="7430" w:name="_Toc396230595"/>
            <w:bookmarkStart w:id="7431" w:name="_Toc396230521"/>
            <w:bookmarkStart w:id="7432" w:name="_Toc396231736"/>
            <w:bookmarkStart w:id="7433" w:name="_Toc396233376"/>
            <w:bookmarkStart w:id="7434" w:name="_Toc396234196"/>
            <w:bookmarkStart w:id="7435" w:name="_Toc396234605"/>
            <w:bookmarkStart w:id="7436" w:name="_Toc396586287"/>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r w:rsidRPr="008625DC">
              <w:t xml:space="preserve">The </w:t>
            </w:r>
            <w:r w:rsidR="007E56D9" w:rsidRPr="008625DC">
              <w:t>in</w:t>
            </w:r>
            <w:r w:rsidR="00C74E19" w:rsidRPr="008625DC">
              <w:noBreakHyphen/>
            </w:r>
            <w:r w:rsidR="007E56D9" w:rsidRPr="008625DC">
              <w:t>principle view</w:t>
            </w:r>
            <w:r w:rsidRPr="008625DC">
              <w:t xml:space="preserve"> of the </w:t>
            </w:r>
            <w:r w:rsidR="00821070" w:rsidRPr="008625DC">
              <w:t>P</w:t>
            </w:r>
            <w:r w:rsidR="007E56D9" w:rsidRPr="008625DC">
              <w:t>anel is that</w:t>
            </w:r>
            <w:r w:rsidRPr="008625DC">
              <w:t xml:space="preserve"> the removal of the foregoing requirements </w:t>
            </w:r>
            <w:r w:rsidR="00D720FF" w:rsidRPr="008625DC">
              <w:t xml:space="preserve">should also </w:t>
            </w:r>
            <w:r w:rsidR="001E1B49" w:rsidRPr="008625DC">
              <w:t>be removed in respect of</w:t>
            </w:r>
            <w:r w:rsidRPr="008625DC">
              <w:t xml:space="preserve"> </w:t>
            </w:r>
            <w:r w:rsidR="00D720FF" w:rsidRPr="008625DC">
              <w:t xml:space="preserve">actions under </w:t>
            </w:r>
            <w:r w:rsidRPr="008625DC">
              <w:t>the Australian Consumer Law.</w:t>
            </w:r>
            <w:bookmarkEnd w:id="7428"/>
            <w:bookmarkEnd w:id="7429"/>
            <w:bookmarkEnd w:id="7430"/>
            <w:bookmarkEnd w:id="7431"/>
            <w:bookmarkEnd w:id="7432"/>
            <w:bookmarkEnd w:id="7433"/>
            <w:bookmarkEnd w:id="7434"/>
            <w:bookmarkEnd w:id="7435"/>
            <w:bookmarkEnd w:id="7436"/>
          </w:p>
        </w:tc>
      </w:tr>
    </w:tbl>
    <w:p w14:paraId="1C66EBD3" w14:textId="77777777" w:rsidR="008C1921" w:rsidRPr="008625DC" w:rsidRDefault="008C1921" w:rsidP="008C1921">
      <w:pPr>
        <w:pStyle w:val="SingleParagraph"/>
      </w:pPr>
      <w:bookmarkStart w:id="7437" w:name="_Toc396397375"/>
      <w:bookmarkStart w:id="7438" w:name="_Toc396815112"/>
      <w:bookmarkStart w:id="7439" w:name="_Toc396821062"/>
      <w:bookmarkStart w:id="7440" w:name="_Toc396821258"/>
      <w:bookmarkStart w:id="7441" w:name="_Toc396821670"/>
      <w:bookmarkStart w:id="7442" w:name="_Toc396827520"/>
      <w:bookmarkStart w:id="7443" w:name="_Toc396828491"/>
      <w:bookmarkStart w:id="7444" w:name="_Toc396828601"/>
      <w:bookmarkStart w:id="7445" w:name="_Toc396837990"/>
      <w:bookmarkStart w:id="7446" w:name="_Toc396838388"/>
      <w:bookmarkStart w:id="7447" w:name="_Toc396904121"/>
      <w:bookmarkStart w:id="7448" w:name="_Toc396904711"/>
      <w:bookmarkStart w:id="7449" w:name="_Toc396907545"/>
      <w:bookmarkStart w:id="7450" w:name="_Toc396912464"/>
      <w:bookmarkStart w:id="7451" w:name="_Toc396914444"/>
      <w:bookmarkStart w:id="7452" w:name="_Toc396915328"/>
      <w:bookmarkStart w:id="7453" w:name="_Toc396915722"/>
      <w:bookmarkStart w:id="7454" w:name="_Toc396921033"/>
      <w:bookmarkStart w:id="7455" w:name="_Toc396924373"/>
      <w:bookmarkStart w:id="7456" w:name="_Toc396925067"/>
      <w:bookmarkStart w:id="7457" w:name="_Toc396992187"/>
      <w:bookmarkStart w:id="7458" w:name="_Toc396992766"/>
      <w:bookmarkStart w:id="7459" w:name="_Toc396994430"/>
      <w:bookmarkStart w:id="7460" w:name="_Toc397002201"/>
      <w:bookmarkStart w:id="7461" w:name="_Toc397003120"/>
      <w:bookmarkStart w:id="7462" w:name="_Toc397008678"/>
      <w:bookmarkStart w:id="7463" w:name="_Toc397008896"/>
      <w:bookmarkStart w:id="7464" w:name="_Toc397011568"/>
      <w:bookmarkStart w:id="7465" w:name="_Toc397012629"/>
      <w:bookmarkStart w:id="7466" w:name="_Toc397014971"/>
      <w:bookmarkStart w:id="7467" w:name="_Toc397015458"/>
      <w:bookmarkStart w:id="7468" w:name="_Toc397070529"/>
      <w:bookmarkStart w:id="7469" w:name="_Toc397413267"/>
      <w:bookmarkStart w:id="7470" w:name="_Toc397413414"/>
      <w:bookmarkStart w:id="7471" w:name="_Toc397427999"/>
      <w:bookmarkStart w:id="7472" w:name="_Toc397439387"/>
      <w:bookmarkStart w:id="7473" w:name="_Toc397439557"/>
      <w:bookmarkStart w:id="7474" w:name="_Toc397439813"/>
      <w:bookmarkStart w:id="7475" w:name="_Toc397440115"/>
      <w:bookmarkStart w:id="7476" w:name="_Toc397441744"/>
      <w:bookmarkStart w:id="7477" w:name="_Toc397517446"/>
      <w:bookmarkStart w:id="7478" w:name="_Toc397522711"/>
      <w:bookmarkStart w:id="7479" w:name="_Toc397526129"/>
      <w:bookmarkStart w:id="7480" w:name="_Toc397528444"/>
      <w:bookmarkStart w:id="7481" w:name="_Toc397528919"/>
      <w:bookmarkStart w:id="7482" w:name="_Toc397601916"/>
      <w:bookmarkStart w:id="7483" w:name="_Toc397602651"/>
      <w:bookmarkStart w:id="7484" w:name="_Toc397605780"/>
      <w:bookmarkStart w:id="7485" w:name="_Toc397614924"/>
      <w:bookmarkStart w:id="7486" w:name="_Toc397616367"/>
      <w:bookmarkStart w:id="7487" w:name="_Toc397616761"/>
      <w:bookmarkStart w:id="7488" w:name="_Toc397679171"/>
      <w:bookmarkStart w:id="7489" w:name="_Toc397688059"/>
      <w:bookmarkStart w:id="7490" w:name="_Toc397689275"/>
      <w:bookmarkStart w:id="7491" w:name="_Toc397694555"/>
      <w:bookmarkStart w:id="7492" w:name="_Toc397696396"/>
      <w:bookmarkStart w:id="7493" w:name="_Toc397697130"/>
      <w:bookmarkStart w:id="7494" w:name="_Toc397698417"/>
      <w:bookmarkStart w:id="7495" w:name="_Toc397699783"/>
      <w:bookmarkStart w:id="7496" w:name="_Toc397700237"/>
      <w:bookmarkStart w:id="7497" w:name="_Toc397936629"/>
      <w:bookmarkStart w:id="7498" w:name="_Toc397936749"/>
      <w:bookmarkStart w:id="7499" w:name="_Toc397945904"/>
      <w:bookmarkStart w:id="7500" w:name="_Toc397946930"/>
      <w:bookmarkStart w:id="7501" w:name="_Toc397948049"/>
      <w:bookmarkStart w:id="7502" w:name="_Toc397958455"/>
      <w:bookmarkStart w:id="7503" w:name="_Toc397958697"/>
      <w:bookmarkStart w:id="7504" w:name="_Toc397959112"/>
      <w:bookmarkStart w:id="7505" w:name="_Toc397962965"/>
      <w:bookmarkStart w:id="7506" w:name="_Toc397963331"/>
      <w:bookmarkStart w:id="7507" w:name="_Toc397965408"/>
      <w:bookmarkStart w:id="7508" w:name="_Toc398197347"/>
      <w:bookmarkStart w:id="7509" w:name="_Toc398199850"/>
      <w:bookmarkStart w:id="7510" w:name="_Toc398201564"/>
      <w:bookmarkStart w:id="7511" w:name="_Toc398207169"/>
      <w:bookmarkStart w:id="7512" w:name="_Toc398210442"/>
      <w:bookmarkStart w:id="7513" w:name="_Toc398210956"/>
      <w:bookmarkStart w:id="7514" w:name="_Toc398211093"/>
      <w:bookmarkStart w:id="7515" w:name="_Toc398219764"/>
      <w:bookmarkStart w:id="7516" w:name="_Toc398220139"/>
      <w:bookmarkStart w:id="7517" w:name="_Toc398220526"/>
      <w:bookmarkStart w:id="7518" w:name="_Toc398221604"/>
      <w:bookmarkStart w:id="7519" w:name="_Toc398222290"/>
      <w:bookmarkStart w:id="7520" w:name="_Toc398222602"/>
      <w:bookmarkStart w:id="7521" w:name="_Toc398223019"/>
      <w:bookmarkStart w:id="7522" w:name="_Toc398223398"/>
      <w:bookmarkStart w:id="7523" w:name="_Toc398223525"/>
      <w:bookmarkStart w:id="7524" w:name="_Toc398224333"/>
      <w:bookmarkStart w:id="7525" w:name="_Toc398225670"/>
      <w:bookmarkStart w:id="7526" w:name="_Toc398225795"/>
      <w:bookmarkStart w:id="7527" w:name="_Toc398281282"/>
      <w:bookmarkStart w:id="7528" w:name="_Toc398282141"/>
      <w:bookmarkStart w:id="7529" w:name="_Toc398284811"/>
      <w:bookmarkStart w:id="7530" w:name="_Toc398287280"/>
      <w:bookmarkStart w:id="7531" w:name="_Toc398289163"/>
      <w:bookmarkStart w:id="7532" w:name="_Toc398297160"/>
      <w:bookmarkStart w:id="7533" w:name="_Toc398298634"/>
      <w:bookmarkStart w:id="7534" w:name="_Toc398300335"/>
      <w:bookmarkStart w:id="7535" w:name="_Toc398301232"/>
      <w:bookmarkStart w:id="7536" w:name="_Toc398302417"/>
      <w:bookmarkStart w:id="7537" w:name="_Toc398302580"/>
      <w:bookmarkStart w:id="7538" w:name="_Toc398549092"/>
      <w:bookmarkStart w:id="7539" w:name="_Toc398549342"/>
      <w:bookmarkStart w:id="7540" w:name="_Toc398555761"/>
      <w:bookmarkStart w:id="7541" w:name="_Toc398558965"/>
      <w:bookmarkStart w:id="7542" w:name="_Toc398563451"/>
      <w:bookmarkStart w:id="7543" w:name="_Toc398563584"/>
      <w:bookmarkStart w:id="7544" w:name="_Toc398563983"/>
      <w:bookmarkStart w:id="7545" w:name="s35"/>
      <w:bookmarkStart w:id="7546" w:name="_Toc394656312"/>
      <w:bookmarkStart w:id="7547" w:name="_Toc394656441"/>
      <w:bookmarkStart w:id="7548" w:name="_Toc394659450"/>
      <w:bookmarkStart w:id="7549" w:name="_Toc394659579"/>
      <w:bookmarkStart w:id="7550" w:name="_Toc394663462"/>
      <w:bookmarkStart w:id="7551" w:name="_Toc394663589"/>
      <w:bookmarkStart w:id="7552" w:name="_Toc394667256"/>
      <w:bookmarkStart w:id="7553" w:name="_Toc394667383"/>
      <w:bookmarkStart w:id="7554" w:name="_Toc394671739"/>
      <w:bookmarkStart w:id="7555" w:name="_Toc394671867"/>
      <w:bookmarkStart w:id="7556" w:name="_Toc394674741"/>
      <w:bookmarkStart w:id="7557" w:name="_Toc394674871"/>
      <w:bookmarkStart w:id="7558" w:name="_Toc394675021"/>
      <w:bookmarkStart w:id="7559" w:name="_Toc394675151"/>
      <w:bookmarkStart w:id="7560" w:name="_Toc394676131"/>
      <w:bookmarkStart w:id="7561" w:name="_Toc394676258"/>
      <w:bookmarkStart w:id="7562" w:name="_Toc394675820"/>
      <w:bookmarkStart w:id="7563" w:name="_Toc394675947"/>
      <w:bookmarkStart w:id="7564" w:name="_Toc394918350"/>
      <w:bookmarkStart w:id="7565" w:name="_Toc394918864"/>
      <w:bookmarkStart w:id="7566" w:name="_Toc394930837"/>
      <w:bookmarkStart w:id="7567" w:name="_Toc394933816"/>
      <w:bookmarkStart w:id="7568" w:name="_Toc394938264"/>
      <w:bookmarkStart w:id="7569" w:name="_Toc394938580"/>
      <w:bookmarkStart w:id="7570" w:name="_Toc394938698"/>
      <w:bookmarkStart w:id="7571" w:name="_Toc394937545"/>
      <w:bookmarkStart w:id="7572" w:name="_Toc394937862"/>
      <w:bookmarkStart w:id="7573" w:name="_Toc394937980"/>
      <w:bookmarkStart w:id="7574" w:name="_Toc394941176"/>
      <w:bookmarkStart w:id="7575" w:name="_Toc394941491"/>
      <w:bookmarkStart w:id="7576" w:name="_Toc394941609"/>
      <w:bookmarkStart w:id="7577" w:name="_Toc394941792"/>
      <w:bookmarkStart w:id="7578" w:name="_Toc394942107"/>
      <w:bookmarkStart w:id="7579" w:name="_Toc394942225"/>
      <w:bookmarkStart w:id="7580" w:name="_Toc394940014"/>
      <w:bookmarkStart w:id="7581" w:name="_Toc394940329"/>
      <w:bookmarkStart w:id="7582" w:name="_Toc394940447"/>
      <w:bookmarkStart w:id="7583" w:name="_Toc394939624"/>
      <w:bookmarkStart w:id="7584" w:name="_Toc394940543"/>
      <w:bookmarkStart w:id="7585" w:name="_Toc394940660"/>
      <w:bookmarkStart w:id="7586" w:name="_Toc394993823"/>
      <w:bookmarkStart w:id="7587" w:name="_Toc394995193"/>
      <w:bookmarkStart w:id="7588" w:name="_Toc394995715"/>
      <w:bookmarkStart w:id="7589" w:name="_Toc394996029"/>
      <w:bookmarkStart w:id="7590" w:name="_Toc394996236"/>
      <w:bookmarkStart w:id="7591" w:name="_Toc394997961"/>
      <w:bookmarkStart w:id="7592" w:name="_Toc394998270"/>
      <w:bookmarkStart w:id="7593" w:name="_Toc394998475"/>
      <w:bookmarkStart w:id="7594" w:name="_Toc394998783"/>
      <w:bookmarkStart w:id="7595" w:name="_Toc395001974"/>
      <w:bookmarkStart w:id="7596" w:name="_Toc395002284"/>
      <w:bookmarkStart w:id="7597" w:name="_Toc395001492"/>
      <w:bookmarkStart w:id="7598" w:name="_Toc395001765"/>
      <w:bookmarkStart w:id="7599" w:name="_Toc395003053"/>
      <w:bookmarkStart w:id="7600" w:name="_Toc395003328"/>
      <w:bookmarkStart w:id="7601" w:name="_Toc395003637"/>
      <w:bookmarkStart w:id="7602" w:name="_Toc395005135"/>
      <w:bookmarkStart w:id="7603" w:name="_Toc395005567"/>
      <w:bookmarkStart w:id="7604" w:name="_Toc395005879"/>
      <w:bookmarkStart w:id="7605" w:name="_Toc395009054"/>
      <w:bookmarkStart w:id="7606" w:name="_Toc395009865"/>
      <w:bookmarkStart w:id="7607" w:name="_Toc395010300"/>
      <w:bookmarkStart w:id="7608" w:name="_Toc395010712"/>
      <w:bookmarkStart w:id="7609" w:name="_Toc395011486"/>
      <w:bookmarkStart w:id="7610" w:name="_Toc395011599"/>
      <w:bookmarkStart w:id="7611" w:name="_Toc395012485"/>
      <w:bookmarkStart w:id="7612" w:name="_Toc395012780"/>
      <w:bookmarkStart w:id="7613" w:name="_Toc395013007"/>
      <w:bookmarkStart w:id="7614" w:name="_Toc395010890"/>
      <w:bookmarkStart w:id="7615" w:name="_Toc395012834"/>
      <w:bookmarkStart w:id="7616" w:name="_Toc395011948"/>
      <w:bookmarkStart w:id="7617" w:name="_Toc395014583"/>
      <w:bookmarkStart w:id="7618" w:name="_Toc395014696"/>
      <w:bookmarkStart w:id="7619" w:name="_Toc395012766"/>
      <w:bookmarkStart w:id="7620" w:name="_Toc395013355"/>
      <w:bookmarkStart w:id="7621" w:name="_Toc395084926"/>
      <w:bookmarkStart w:id="7622" w:name="_Toc395085227"/>
      <w:bookmarkStart w:id="7623" w:name="_Toc395090396"/>
      <w:bookmarkStart w:id="7624" w:name="_Toc395090693"/>
      <w:bookmarkStart w:id="7625" w:name="_Toc395090805"/>
      <w:bookmarkStart w:id="7626" w:name="_Toc395093772"/>
      <w:bookmarkStart w:id="7627" w:name="_Toc395092980"/>
      <w:bookmarkStart w:id="7628" w:name="_Toc395093276"/>
      <w:bookmarkStart w:id="7629" w:name="_Toc395093388"/>
      <w:bookmarkStart w:id="7630" w:name="_Toc395097891"/>
      <w:bookmarkStart w:id="7631" w:name="_Toc395098186"/>
      <w:bookmarkStart w:id="7632" w:name="_Toc395098298"/>
      <w:bookmarkStart w:id="7633" w:name="_Toc395105371"/>
      <w:bookmarkStart w:id="7634" w:name="_Toc395105482"/>
      <w:bookmarkStart w:id="7635" w:name="_Toc395106974"/>
      <w:bookmarkStart w:id="7636" w:name="_Toc395107085"/>
      <w:bookmarkStart w:id="7637" w:name="_Toc395110030"/>
      <w:bookmarkStart w:id="7638" w:name="_Toc395109632"/>
      <w:bookmarkStart w:id="7639" w:name="_Toc395109743"/>
      <w:bookmarkStart w:id="7640" w:name="_Toc395112032"/>
      <w:bookmarkStart w:id="7641" w:name="_Toc395112448"/>
      <w:bookmarkStart w:id="7642" w:name="_Toc395107169"/>
      <w:bookmarkStart w:id="7643" w:name="_Toc395107479"/>
      <w:bookmarkStart w:id="7644" w:name="_Toc395107593"/>
      <w:bookmarkStart w:id="7645" w:name="_Toc395108710"/>
      <w:bookmarkStart w:id="7646" w:name="_Toc395113950"/>
      <w:bookmarkStart w:id="7647" w:name="_Toc395114285"/>
      <w:bookmarkStart w:id="7648" w:name="_Toc395114400"/>
      <w:bookmarkStart w:id="7649" w:name="_Toc395116687"/>
      <w:bookmarkStart w:id="7650" w:name="_Toc395117022"/>
      <w:bookmarkStart w:id="7651" w:name="_Toc395117138"/>
      <w:bookmarkStart w:id="7652" w:name="_Toc395112624"/>
      <w:bookmarkStart w:id="7653" w:name="_Toc395113140"/>
      <w:bookmarkStart w:id="7654" w:name="_Toc395113256"/>
      <w:bookmarkStart w:id="7655" w:name="_Toc395115164"/>
      <w:bookmarkStart w:id="7656" w:name="_Toc395115499"/>
      <w:bookmarkStart w:id="7657" w:name="_Toc395115615"/>
      <w:bookmarkStart w:id="7658" w:name="_Toc395118319"/>
      <w:bookmarkStart w:id="7659" w:name="_Toc395118651"/>
      <w:bookmarkStart w:id="7660" w:name="_Toc395118765"/>
      <w:bookmarkStart w:id="7661" w:name="_Toc395178343"/>
      <w:bookmarkStart w:id="7662" w:name="_Toc395624832"/>
      <w:bookmarkStart w:id="7663" w:name="_Toc395625005"/>
      <w:bookmarkStart w:id="7664" w:name="_Toc395789864"/>
      <w:bookmarkStart w:id="7665" w:name="_Toc395790183"/>
      <w:bookmarkStart w:id="7666" w:name="_Toc395800941"/>
    </w:p>
    <w:p w14:paraId="7F06597E" w14:textId="77777777" w:rsidR="00D226CF" w:rsidRPr="008625DC" w:rsidRDefault="00D226CF" w:rsidP="000B5916">
      <w:pPr>
        <w:pStyle w:val="Heading2"/>
        <w:ind w:left="851" w:hanging="851"/>
        <w:rPr>
          <w:lang w:val="en-AU"/>
        </w:rPr>
      </w:pPr>
      <w:bookmarkStart w:id="7667" w:name="_Toc398827321"/>
      <w:bookmarkStart w:id="7668" w:name="_Toc398827515"/>
      <w:r w:rsidRPr="008625DC">
        <w:rPr>
          <w:lang w:val="en-AU"/>
        </w:rPr>
        <w:t>Cartels</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667"/>
      <w:bookmarkEnd w:id="7668"/>
    </w:p>
    <w:bookmarkEnd w:id="7545"/>
    <w:p w14:paraId="4557D040" w14:textId="11781D2C" w:rsidR="007939C7" w:rsidRPr="008625DC" w:rsidRDefault="007939C7" w:rsidP="007939C7">
      <w:r w:rsidRPr="008625DC">
        <w:t>Cartel conduct between competitors is anti</w:t>
      </w:r>
      <w:r w:rsidR="00C74E19" w:rsidRPr="008625DC">
        <w:noBreakHyphen/>
      </w:r>
      <w:r w:rsidRPr="008625DC">
        <w:t>competitive in most circumstances and should be prohibited per se. The Panel supports the intent of the cartel conduct prohibitions, including the combined criminal and civil sanctions that are imposed.</w:t>
      </w:r>
    </w:p>
    <w:p w14:paraId="0B63BA83" w14:textId="77777777" w:rsidR="008C1921" w:rsidRPr="008625DC" w:rsidRDefault="008C1921">
      <w:pPr>
        <w:spacing w:before="0" w:after="0"/>
      </w:pPr>
      <w:r w:rsidRPr="008625DC">
        <w:br w:type="page"/>
      </w:r>
    </w:p>
    <w:p w14:paraId="54DD134C" w14:textId="4221953E" w:rsidR="007939C7" w:rsidRPr="008625DC" w:rsidRDefault="007939C7" w:rsidP="0006207D">
      <w:pPr>
        <w:spacing w:after="120"/>
      </w:pPr>
      <w:r w:rsidRPr="008625DC">
        <w:lastRenderedPageBreak/>
        <w:t>However, the Panel considers that there are significant deficiencies in the current framework of the cartel prohibitions, particularly having regard to the criminal sanctions that are imposed. In particular, the Panel considers that:</w:t>
      </w:r>
    </w:p>
    <w:p w14:paraId="403A219A" w14:textId="77777777" w:rsidR="007939C7" w:rsidRPr="008625DC" w:rsidRDefault="007939C7" w:rsidP="007939C7">
      <w:pPr>
        <w:pStyle w:val="Bullet"/>
      </w:pPr>
      <w:r w:rsidRPr="008625DC">
        <w:t>the provisions are excessively complex, which undermines compliance and enforcement;</w:t>
      </w:r>
    </w:p>
    <w:p w14:paraId="3BD7AC1A" w14:textId="508ADD52" w:rsidR="00BC4382" w:rsidRPr="008625DC" w:rsidRDefault="00BC4382" w:rsidP="00BC4382">
      <w:pPr>
        <w:pStyle w:val="Bullet"/>
      </w:pPr>
      <w:r w:rsidRPr="008625DC">
        <w:t>the cartel provisions, consistent with Australia</w:t>
      </w:r>
      <w:r w:rsidR="00C74E19" w:rsidRPr="008625DC">
        <w:t>’</w:t>
      </w:r>
      <w:r w:rsidRPr="008625DC">
        <w:t>s competition laws generally, should be directed to cartel conduct that affects goods and services traded in markets in Australia;</w:t>
      </w:r>
    </w:p>
    <w:p w14:paraId="1127E65E" w14:textId="77777777" w:rsidR="007939C7" w:rsidRPr="008625DC" w:rsidRDefault="007939C7" w:rsidP="007939C7">
      <w:pPr>
        <w:pStyle w:val="Bullet"/>
      </w:pPr>
      <w:r w:rsidRPr="008625DC">
        <w:t>given the potential for criminal sanctions, the provisions ought to be confined to conduct involving firms that are actual competitors and not firms for whom competition is a mere possibility;</w:t>
      </w:r>
    </w:p>
    <w:p w14:paraId="42BD5A52" w14:textId="77777777" w:rsidR="007939C7" w:rsidRPr="008625DC" w:rsidRDefault="007939C7" w:rsidP="007939C7">
      <w:pPr>
        <w:pStyle w:val="Bullet"/>
      </w:pPr>
      <w:r w:rsidRPr="008625DC">
        <w:t>joint ventures and similar forms of business collaboration should not be subject to cartel prohibitions and should only be unlawful if they substantially lessen competition; and</w:t>
      </w:r>
    </w:p>
    <w:p w14:paraId="753EE223" w14:textId="60FC2A20" w:rsidR="007939C7" w:rsidRPr="008625DC" w:rsidRDefault="007939C7" w:rsidP="0006207D">
      <w:pPr>
        <w:pStyle w:val="Bullet"/>
        <w:spacing w:after="240"/>
      </w:pPr>
      <w:proofErr w:type="gramStart"/>
      <w:r w:rsidRPr="008625DC">
        <w:t>similarly</w:t>
      </w:r>
      <w:proofErr w:type="gramEnd"/>
      <w:r w:rsidRPr="008625DC">
        <w:t>, trading restrictions that are imposed by one firm on another in connection with the supply or acquisition of goods or services</w:t>
      </w:r>
      <w:r w:rsidR="001E1B49" w:rsidRPr="008625DC">
        <w:t xml:space="preserve"> (including IP licensing)</w:t>
      </w:r>
      <w:r w:rsidRPr="008625DC">
        <w:t xml:space="preserve"> should not be subject to cartel prohibitions</w:t>
      </w:r>
      <w:r w:rsidR="009E7BB1" w:rsidRPr="008625DC">
        <w:t>,</w:t>
      </w:r>
      <w:r w:rsidRPr="008625DC">
        <w:t xml:space="preserve"> and should only be unlawful if they substantially lessen competition.</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7939C7" w:rsidRPr="008625DC" w14:paraId="465AC614" w14:textId="77777777" w:rsidTr="00F81722">
        <w:tc>
          <w:tcPr>
            <w:tcW w:w="5000" w:type="pct"/>
            <w:shd w:val="clear" w:color="auto" w:fill="E9F7F3" w:themeFill="accent4" w:themeFillTint="33"/>
          </w:tcPr>
          <w:p w14:paraId="08765D91" w14:textId="04E4615E" w:rsidR="007939C7" w:rsidRPr="008625DC" w:rsidRDefault="007939C7" w:rsidP="00F81722">
            <w:pPr>
              <w:pStyle w:val="RecommendationHeading"/>
            </w:pPr>
            <w:bookmarkStart w:id="7669" w:name="DR22"/>
            <w:r w:rsidRPr="008625DC">
              <w:t xml:space="preserve">Draft Recommendation </w:t>
            </w:r>
            <w:r w:rsidRPr="008625DC">
              <w:fldChar w:fldCharType="begin"/>
            </w:r>
            <w:r w:rsidRPr="008625DC">
              <w:instrText xml:space="preserve"> AUTONUMLGL  \* Arabic \e </w:instrText>
            </w:r>
            <w:r w:rsidRPr="008625DC">
              <w:fldChar w:fldCharType="end"/>
            </w:r>
            <w:bookmarkEnd w:id="7669"/>
            <w:r w:rsidR="00380141" w:rsidRPr="008625DC">
              <w:t xml:space="preserve"> — </w:t>
            </w:r>
            <w:r w:rsidR="00D762C5" w:rsidRPr="008625DC">
              <w:t>Cartel</w:t>
            </w:r>
            <w:r w:rsidR="001E1B49" w:rsidRPr="008625DC">
              <w:t xml:space="preserve"> conduct</w:t>
            </w:r>
            <w:r w:rsidR="00D762C5" w:rsidRPr="008625DC">
              <w:t xml:space="preserve"> prohibition</w:t>
            </w:r>
          </w:p>
          <w:p w14:paraId="3FF0391A" w14:textId="77777777" w:rsidR="007939C7" w:rsidRPr="008625DC" w:rsidRDefault="007939C7" w:rsidP="00F81722">
            <w:pPr>
              <w:pStyle w:val="RecommendationText"/>
            </w:pPr>
            <w:r w:rsidRPr="008625DC">
              <w:t>The prohibitions against cartel conduct should be simplified and the following specific changes made:</w:t>
            </w:r>
          </w:p>
          <w:p w14:paraId="4DEBF303" w14:textId="77777777" w:rsidR="00BC4382" w:rsidRPr="008625DC" w:rsidRDefault="00BC4382" w:rsidP="00DB4ECC">
            <w:pPr>
              <w:pStyle w:val="RecommendationBullet"/>
            </w:pPr>
            <w:r w:rsidRPr="008625DC">
              <w:t>the provisions should apply to cartel conduct affecting goods or services supplied or acquired in Australian markets;</w:t>
            </w:r>
          </w:p>
          <w:p w14:paraId="7DCB6179" w14:textId="1FBBD184" w:rsidR="007939C7" w:rsidRPr="008625DC" w:rsidRDefault="007939C7" w:rsidP="00DB4ECC">
            <w:pPr>
              <w:pStyle w:val="RecommendationBullet"/>
            </w:pPr>
            <w:r w:rsidRPr="008625DC">
              <w:t>the provisions ought be confined to conduct involving firms that are actual competitors and not firms for whom competition is a mere possibility;</w:t>
            </w:r>
          </w:p>
          <w:p w14:paraId="7E6766A6" w14:textId="297E1790" w:rsidR="007939C7" w:rsidRPr="008625DC" w:rsidRDefault="007939C7" w:rsidP="00DB4ECC">
            <w:pPr>
              <w:pStyle w:val="RecommendationBullet"/>
            </w:pPr>
            <w:r w:rsidRPr="008625DC">
              <w:t>a broad exemption should be included for joint ventures and similar forms of business collaboration (whether relating to the supply or the acquisition of goods or services), recognising that such conduct will be prohibited by section 45 of the CCA if it has the purpose</w:t>
            </w:r>
            <w:r w:rsidR="00CC1C3F" w:rsidRPr="008625DC">
              <w:t>, effect</w:t>
            </w:r>
            <w:r w:rsidRPr="008625DC">
              <w:t xml:space="preserve"> or likely effect of substantially lessening competition; </w:t>
            </w:r>
          </w:p>
          <w:p w14:paraId="5FD9ECB5" w14:textId="6FC956F8" w:rsidR="004B7BD0" w:rsidRPr="008625DC" w:rsidRDefault="007939C7" w:rsidP="00DB4ECC">
            <w:pPr>
              <w:pStyle w:val="RecommendationBullet"/>
            </w:pPr>
            <w:r w:rsidRPr="008625DC">
              <w:t>an exemption should be included for trading restrictions that are imposed by one firm on another in connection with the supply or acquisition of goods or services</w:t>
            </w:r>
            <w:r w:rsidR="001E1B49" w:rsidRPr="008625DC">
              <w:t xml:space="preserve"> (including IP licensing)</w:t>
            </w:r>
            <w:r w:rsidRPr="008625DC">
              <w:t xml:space="preserve">, recognising that such conduct will be prohibited by section 47 of the CCA (revised in accordance with </w:t>
            </w:r>
            <w:r w:rsidR="00CC1C3F" w:rsidRPr="008625DC">
              <w:t>Draft Recommendation 2</w:t>
            </w:r>
            <w:r w:rsidR="009371D0" w:rsidRPr="008625DC">
              <w:t>8</w:t>
            </w:r>
            <w:r w:rsidRPr="008625DC">
              <w:t>) if it has the purpose</w:t>
            </w:r>
            <w:r w:rsidR="00CC1C3F" w:rsidRPr="008625DC">
              <w:t xml:space="preserve">, </w:t>
            </w:r>
            <w:r w:rsidR="005504C5" w:rsidRPr="008625DC">
              <w:t xml:space="preserve">or has or is likely to have the </w:t>
            </w:r>
            <w:r w:rsidR="00CC1C3F" w:rsidRPr="008625DC">
              <w:t>effect</w:t>
            </w:r>
            <w:r w:rsidRPr="008625DC">
              <w:t xml:space="preserve"> or likely effect of subs</w:t>
            </w:r>
            <w:r w:rsidR="004B7BD0" w:rsidRPr="008625DC">
              <w:t>tantially lessening competition.</w:t>
            </w:r>
          </w:p>
        </w:tc>
      </w:tr>
    </w:tbl>
    <w:p w14:paraId="76F66610" w14:textId="5B566CDA" w:rsidR="00170CD3" w:rsidRPr="008625DC" w:rsidRDefault="00170CD3" w:rsidP="00170CD3">
      <w:pPr>
        <w:spacing w:before="240"/>
      </w:pPr>
      <w:r w:rsidRPr="008625DC">
        <w:t>The Panel also considers that the per se prohibition of exclusionary provisions, as defined in section</w:t>
      </w:r>
      <w:r w:rsidR="009E7BB1" w:rsidRPr="008625DC">
        <w:t> </w:t>
      </w:r>
      <w:r w:rsidRPr="008625DC">
        <w:t xml:space="preserve">4D, is no longer necessary as, in practice, that conduct is materially the same as cartel conduct in the form of market sharing. </w:t>
      </w:r>
    </w:p>
    <w:p w14:paraId="4409592A" w14:textId="65B65CDC" w:rsidR="007939C7" w:rsidRPr="008625DC" w:rsidRDefault="007939C7" w:rsidP="0006207D">
      <w:pPr>
        <w:spacing w:before="240"/>
      </w:pPr>
      <w:r w:rsidRPr="008625DC">
        <w:t xml:space="preserve">Accordingly, the Panel believes </w:t>
      </w:r>
      <w:r w:rsidR="00170CD3" w:rsidRPr="008625DC">
        <w:t>that the</w:t>
      </w:r>
      <w:r w:rsidRPr="008625DC">
        <w:t xml:space="preserve"> prohibition </w:t>
      </w:r>
      <w:r w:rsidR="00D720FF" w:rsidRPr="008625DC">
        <w:t>against</w:t>
      </w:r>
      <w:r w:rsidRPr="008625DC">
        <w:t xml:space="preserve"> exclusionary provisions should be removed from the CCA.</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7939C7" w:rsidRPr="008625DC" w14:paraId="59E33224" w14:textId="77777777" w:rsidTr="00F81722">
        <w:tc>
          <w:tcPr>
            <w:tcW w:w="5000" w:type="pct"/>
            <w:shd w:val="clear" w:color="auto" w:fill="E9F7F3" w:themeFill="accent4" w:themeFillTint="33"/>
          </w:tcPr>
          <w:p w14:paraId="35AE742E" w14:textId="35DDFB95" w:rsidR="007939C7" w:rsidRPr="008625DC" w:rsidRDefault="007939C7" w:rsidP="00F81722">
            <w:pPr>
              <w:pStyle w:val="RecommendationHeading"/>
            </w:pPr>
            <w:bookmarkStart w:id="7670" w:name="DR23"/>
            <w:r w:rsidRPr="008625DC">
              <w:t xml:space="preserve">Draft Recommendation </w:t>
            </w:r>
            <w:r w:rsidRPr="008625DC">
              <w:fldChar w:fldCharType="begin"/>
            </w:r>
            <w:r w:rsidRPr="008625DC">
              <w:instrText xml:space="preserve"> AUTONUMLGL  \* Arabic \e </w:instrText>
            </w:r>
            <w:r w:rsidRPr="008625DC">
              <w:fldChar w:fldCharType="end"/>
            </w:r>
            <w:bookmarkEnd w:id="7670"/>
            <w:r w:rsidR="00380141" w:rsidRPr="008625DC">
              <w:t xml:space="preserve"> — </w:t>
            </w:r>
            <w:r w:rsidR="00FC1492" w:rsidRPr="008625DC">
              <w:t>Exclusionary provisions</w:t>
            </w:r>
          </w:p>
          <w:p w14:paraId="00ABCCFA" w14:textId="42B1B5C8" w:rsidR="007939C7" w:rsidRPr="008625DC" w:rsidRDefault="007939C7" w:rsidP="00F81722">
            <w:pPr>
              <w:pStyle w:val="RecommendationText"/>
            </w:pPr>
            <w:r w:rsidRPr="008625DC">
              <w:t xml:space="preserve">The CCA should be amended to remove the prohibition of exclusionary provisions </w:t>
            </w:r>
            <w:r w:rsidR="00D720FF" w:rsidRPr="008625DC">
              <w:t xml:space="preserve">in </w:t>
            </w:r>
            <w:r w:rsidR="001214F2" w:rsidRPr="008625DC">
              <w:t>subparagraph</w:t>
            </w:r>
            <w:r w:rsidR="00170CD3" w:rsidRPr="008625DC">
              <w:t>s </w:t>
            </w:r>
            <w:r w:rsidR="001214F2" w:rsidRPr="008625DC">
              <w:t>45(2</w:t>
            </w:r>
            <w:proofErr w:type="gramStart"/>
            <w:r w:rsidR="001214F2" w:rsidRPr="008625DC">
              <w:t>)(</w:t>
            </w:r>
            <w:proofErr w:type="gramEnd"/>
            <w:r w:rsidR="001214F2" w:rsidRPr="008625DC">
              <w:t>a)(i)</w:t>
            </w:r>
            <w:r w:rsidR="00170CD3" w:rsidRPr="008625DC">
              <w:t xml:space="preserve"> and 45(2)(b)(i)</w:t>
            </w:r>
            <w:r w:rsidR="00D720FF" w:rsidRPr="008625DC">
              <w:t>.</w:t>
            </w:r>
          </w:p>
        </w:tc>
      </w:tr>
    </w:tbl>
    <w:p w14:paraId="7D46DCB5" w14:textId="680F3393" w:rsidR="00254D5D" w:rsidRPr="008625DC" w:rsidRDefault="00254D5D" w:rsidP="0006207D">
      <w:pPr>
        <w:spacing w:before="240"/>
      </w:pPr>
      <w:bookmarkStart w:id="7671" w:name="_Toc396397376"/>
      <w:bookmarkStart w:id="7672" w:name="_Toc396815113"/>
      <w:bookmarkStart w:id="7673" w:name="_Toc396821063"/>
      <w:bookmarkStart w:id="7674" w:name="_Toc396821671"/>
      <w:bookmarkStart w:id="7675" w:name="_Toc396827521"/>
      <w:bookmarkStart w:id="7676" w:name="_Toc396828492"/>
      <w:bookmarkStart w:id="7677" w:name="_Toc396828602"/>
      <w:bookmarkStart w:id="7678" w:name="_Toc396837991"/>
      <w:bookmarkStart w:id="7679" w:name="_Toc396838389"/>
      <w:bookmarkStart w:id="7680" w:name="_Toc396904122"/>
      <w:bookmarkStart w:id="7681" w:name="_Toc396904712"/>
      <w:bookmarkStart w:id="7682" w:name="_Toc396907546"/>
      <w:bookmarkStart w:id="7683" w:name="_Toc396912465"/>
      <w:bookmarkStart w:id="7684" w:name="_Toc394654026"/>
      <w:bookmarkStart w:id="7685" w:name="_Toc394918345"/>
      <w:bookmarkStart w:id="7686" w:name="_Toc394918859"/>
      <w:bookmarkStart w:id="7687" w:name="_Toc394930832"/>
      <w:bookmarkStart w:id="7688" w:name="_Toc394933804"/>
      <w:bookmarkStart w:id="7689" w:name="_Toc394938252"/>
      <w:bookmarkStart w:id="7690" w:name="_Toc394938575"/>
      <w:bookmarkStart w:id="7691" w:name="_Toc394938693"/>
      <w:bookmarkStart w:id="7692" w:name="_Toc394937533"/>
      <w:bookmarkStart w:id="7693" w:name="_Toc394937857"/>
      <w:bookmarkStart w:id="7694" w:name="_Toc394937975"/>
      <w:bookmarkStart w:id="7695" w:name="_Toc394941164"/>
      <w:bookmarkStart w:id="7696" w:name="_Toc394941486"/>
      <w:bookmarkStart w:id="7697" w:name="_Toc394941604"/>
      <w:bookmarkStart w:id="7698" w:name="_Toc394941780"/>
      <w:bookmarkStart w:id="7699" w:name="_Toc394942102"/>
      <w:bookmarkStart w:id="7700" w:name="_Toc394942220"/>
      <w:bookmarkStart w:id="7701" w:name="_Toc394940002"/>
      <w:bookmarkStart w:id="7702" w:name="_Toc394940324"/>
      <w:bookmarkStart w:id="7703" w:name="_Toc394940442"/>
      <w:bookmarkStart w:id="7704" w:name="_Toc394939612"/>
      <w:bookmarkStart w:id="7705" w:name="_Toc394940538"/>
      <w:bookmarkStart w:id="7706" w:name="_Toc394940655"/>
      <w:bookmarkStart w:id="7707" w:name="_Toc394993818"/>
      <w:bookmarkStart w:id="7708" w:name="_Toc394995188"/>
      <w:bookmarkStart w:id="7709" w:name="_Toc394995710"/>
      <w:bookmarkStart w:id="7710" w:name="_Toc394996024"/>
      <w:bookmarkStart w:id="7711" w:name="_Toc394996224"/>
      <w:bookmarkStart w:id="7712" w:name="_Toc394997949"/>
      <w:bookmarkStart w:id="7713" w:name="_Toc394998265"/>
      <w:bookmarkStart w:id="7714" w:name="_Toc394998463"/>
      <w:bookmarkStart w:id="7715" w:name="_Toc394998778"/>
      <w:bookmarkStart w:id="7716" w:name="_Toc395001959"/>
      <w:bookmarkStart w:id="7717" w:name="_Toc395002278"/>
      <w:bookmarkStart w:id="7718" w:name="_Toc395001486"/>
      <w:bookmarkStart w:id="7719" w:name="_Toc395001759"/>
      <w:bookmarkStart w:id="7720" w:name="_Toc395003047"/>
      <w:bookmarkStart w:id="7721" w:name="_Toc395003313"/>
      <w:bookmarkStart w:id="7722" w:name="_Toc395003631"/>
      <w:bookmarkStart w:id="7723" w:name="_Toc395005129"/>
      <w:bookmarkStart w:id="7724" w:name="_Toc395005552"/>
      <w:bookmarkStart w:id="7725" w:name="_Toc395005873"/>
      <w:bookmarkStart w:id="7726" w:name="_Toc395009048"/>
      <w:bookmarkStart w:id="7727" w:name="_Toc395009859"/>
      <w:bookmarkStart w:id="7728" w:name="_Toc395010284"/>
      <w:bookmarkStart w:id="7729" w:name="_Toc395010706"/>
      <w:bookmarkStart w:id="7730" w:name="_Toc395010125"/>
      <w:bookmarkStart w:id="7731" w:name="_Toc395011480"/>
      <w:bookmarkStart w:id="7732" w:name="_Toc395011593"/>
      <w:bookmarkStart w:id="7733" w:name="_Toc395012469"/>
      <w:bookmarkStart w:id="7734" w:name="_Toc395012774"/>
      <w:bookmarkStart w:id="7735" w:name="_Toc395013001"/>
      <w:bookmarkStart w:id="7736" w:name="_Toc395010874"/>
      <w:bookmarkStart w:id="7737" w:name="_Toc395012818"/>
      <w:bookmarkStart w:id="7738" w:name="_Toc395011932"/>
      <w:bookmarkStart w:id="7739" w:name="_Toc395014577"/>
      <w:bookmarkStart w:id="7740" w:name="_Toc395014690"/>
      <w:bookmarkStart w:id="7741" w:name="_Toc395011886"/>
      <w:bookmarkStart w:id="7742" w:name="_Toc395013339"/>
      <w:bookmarkStart w:id="7743" w:name="_Toc395084920"/>
      <w:bookmarkStart w:id="7744" w:name="_Toc395085221"/>
      <w:bookmarkStart w:id="7745" w:name="_Toc395090380"/>
      <w:bookmarkStart w:id="7746" w:name="_Toc395090687"/>
      <w:bookmarkStart w:id="7747" w:name="_Toc395090799"/>
      <w:bookmarkStart w:id="7748" w:name="_Toc395092964"/>
      <w:bookmarkStart w:id="7749" w:name="_Toc395093270"/>
      <w:bookmarkStart w:id="7750" w:name="_Toc395093382"/>
      <w:bookmarkStart w:id="7751" w:name="_Toc395097875"/>
      <w:bookmarkStart w:id="7752" w:name="_Toc395098180"/>
      <w:bookmarkStart w:id="7753" w:name="_Toc395098292"/>
      <w:bookmarkStart w:id="7754" w:name="_Toc395105365"/>
      <w:bookmarkStart w:id="7755" w:name="_Toc395105476"/>
      <w:bookmarkStart w:id="7756" w:name="_Toc395106968"/>
      <w:bookmarkStart w:id="7757" w:name="_Toc395107079"/>
      <w:bookmarkStart w:id="7758" w:name="_Toc395110015"/>
      <w:bookmarkStart w:id="7759" w:name="_Toc395109626"/>
      <w:bookmarkStart w:id="7760" w:name="_Toc395109737"/>
      <w:bookmarkStart w:id="7761" w:name="_Toc395112017"/>
      <w:bookmarkStart w:id="7762" w:name="_Toc395112331"/>
      <w:bookmarkStart w:id="7763" w:name="_Toc395112442"/>
      <w:bookmarkStart w:id="7764" w:name="_Toc395107154"/>
      <w:bookmarkStart w:id="7765" w:name="_Toc395107473"/>
      <w:bookmarkStart w:id="7766" w:name="_Toc395107587"/>
      <w:bookmarkStart w:id="7767" w:name="_Toc395108697"/>
      <w:bookmarkStart w:id="7768" w:name="_Toc395113937"/>
      <w:bookmarkStart w:id="7769" w:name="_Toc395114274"/>
      <w:bookmarkStart w:id="7770" w:name="_Toc395114394"/>
      <w:bookmarkStart w:id="7771" w:name="_Toc395116674"/>
      <w:bookmarkStart w:id="7772" w:name="_Toc395117011"/>
      <w:bookmarkStart w:id="7773" w:name="_Toc395117132"/>
      <w:bookmarkStart w:id="7774" w:name="_Toc395112611"/>
      <w:bookmarkStart w:id="7775" w:name="_Toc395113129"/>
      <w:bookmarkStart w:id="7776" w:name="_Toc395113250"/>
      <w:bookmarkStart w:id="7777" w:name="_Toc395115150"/>
      <w:bookmarkStart w:id="7778" w:name="_Toc395115488"/>
      <w:bookmarkStart w:id="7779" w:name="_Toc395115609"/>
      <w:bookmarkStart w:id="7780" w:name="_Toc395118305"/>
      <w:bookmarkStart w:id="7781" w:name="_Toc395118640"/>
      <w:bookmarkStart w:id="7782" w:name="_Toc395118759"/>
      <w:bookmarkStart w:id="7783" w:name="_Toc395178345"/>
      <w:bookmarkStart w:id="7784" w:name="_Toc395624834"/>
      <w:bookmarkStart w:id="7785" w:name="_Toc395625015"/>
      <w:bookmarkStart w:id="7786" w:name="_Toc395789874"/>
      <w:bookmarkStart w:id="7787" w:name="_Toc395790185"/>
      <w:bookmarkStart w:id="7788" w:name="_Toc395800943"/>
      <w:bookmarkStart w:id="7789" w:name="_Toc394412553"/>
      <w:bookmarkStart w:id="7790" w:name="_Toc394412676"/>
      <w:bookmarkStart w:id="7791" w:name="_Toc394420846"/>
      <w:bookmarkStart w:id="7792" w:name="_Toc394420969"/>
      <w:bookmarkStart w:id="7793" w:name="_Toc394423687"/>
      <w:bookmarkStart w:id="7794" w:name="_Toc394423809"/>
      <w:bookmarkStart w:id="7795" w:name="_Toc394422731"/>
      <w:bookmarkStart w:id="7796" w:name="_Toc394422853"/>
      <w:bookmarkStart w:id="7797" w:name="_Toc394423202"/>
      <w:bookmarkStart w:id="7798" w:name="_Toc394423324"/>
      <w:bookmarkStart w:id="7799" w:name="_Toc394424350"/>
      <w:bookmarkStart w:id="7800" w:name="_Toc394424473"/>
      <w:bookmarkStart w:id="7801" w:name="_Toc394492181"/>
      <w:bookmarkStart w:id="7802" w:name="_Toc394492306"/>
      <w:bookmarkStart w:id="7803" w:name="_Toc394495325"/>
      <w:bookmarkStart w:id="7804" w:name="_Toc394495450"/>
      <w:bookmarkStart w:id="7805" w:name="_Toc394498140"/>
      <w:bookmarkStart w:id="7806" w:name="_Toc394498265"/>
      <w:bookmarkStart w:id="7807" w:name="_Toc394500930"/>
      <w:bookmarkStart w:id="7808" w:name="_Toc394501055"/>
      <w:bookmarkStart w:id="7809" w:name="_Toc394502327"/>
      <w:bookmarkStart w:id="7810" w:name="_Toc394502445"/>
      <w:bookmarkStart w:id="7811" w:name="_Toc394503231"/>
      <w:bookmarkStart w:id="7812" w:name="_Toc394503804"/>
      <w:bookmarkStart w:id="7813" w:name="_Toc394502775"/>
      <w:bookmarkStart w:id="7814" w:name="_Toc394505982"/>
      <w:bookmarkStart w:id="7815" w:name="_Toc394506222"/>
      <w:bookmarkStart w:id="7816" w:name="_Toc394506440"/>
      <w:bookmarkStart w:id="7817" w:name="_Toc394506559"/>
      <w:bookmarkStart w:id="7818" w:name="_Toc394506994"/>
      <w:bookmarkStart w:id="7819" w:name="_Toc394507113"/>
      <w:bookmarkStart w:id="7820" w:name="_Toc394561069"/>
      <w:bookmarkStart w:id="7821" w:name="_Toc394561192"/>
      <w:bookmarkStart w:id="7822" w:name="_Toc394561530"/>
      <w:bookmarkStart w:id="7823" w:name="_Toc394562025"/>
      <w:bookmarkStart w:id="7824" w:name="_Toc394583042"/>
      <w:bookmarkStart w:id="7825" w:name="_Toc394585713"/>
      <w:bookmarkStart w:id="7826" w:name="_Toc394586180"/>
      <w:bookmarkStart w:id="7827" w:name="_Toc394588112"/>
      <w:bookmarkStart w:id="7828" w:name="_Toc394588947"/>
      <w:bookmarkStart w:id="7829" w:name="_Toc394589072"/>
      <w:bookmarkStart w:id="7830" w:name="_Toc394590487"/>
      <w:bookmarkStart w:id="7831" w:name="_Toc394590680"/>
      <w:bookmarkStart w:id="7832" w:name="_Toc394654604"/>
      <w:bookmarkStart w:id="7833" w:name="_Toc394654740"/>
      <w:bookmarkStart w:id="7834" w:name="_Toc394656301"/>
      <w:bookmarkStart w:id="7835" w:name="_Toc394656436"/>
      <w:bookmarkStart w:id="7836" w:name="_Toc394659438"/>
      <w:bookmarkStart w:id="7837" w:name="_Toc394659574"/>
      <w:bookmarkStart w:id="7838" w:name="_Toc394663450"/>
      <w:bookmarkStart w:id="7839" w:name="_Toc394663584"/>
      <w:bookmarkStart w:id="7840" w:name="_Toc394667244"/>
      <w:bookmarkStart w:id="7841" w:name="_Toc394667378"/>
      <w:bookmarkStart w:id="7842" w:name="_Toc394671727"/>
      <w:bookmarkStart w:id="7843" w:name="_Toc394671862"/>
      <w:bookmarkStart w:id="7844" w:name="_Toc394674728"/>
      <w:bookmarkStart w:id="7845" w:name="_Toc394674866"/>
      <w:bookmarkStart w:id="7846" w:name="_Toc394675008"/>
      <w:bookmarkStart w:id="7847" w:name="_Toc394675146"/>
      <w:bookmarkStart w:id="7848" w:name="_Toc394676119"/>
      <w:bookmarkStart w:id="7849" w:name="_Toc394676253"/>
      <w:bookmarkStart w:id="7850" w:name="_Toc394675808"/>
      <w:bookmarkStart w:id="7851" w:name="_Toc394675942"/>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r w:rsidRPr="008625DC">
        <w:t xml:space="preserve">For further </w:t>
      </w:r>
      <w:r w:rsidR="00734B17" w:rsidRPr="008625DC">
        <w:t>detail</w:t>
      </w:r>
      <w:r w:rsidRPr="008625DC">
        <w:t xml:space="preserve"> on </w:t>
      </w:r>
      <w:r w:rsidR="00BF180A" w:rsidRPr="008625DC">
        <w:t>cartel conduct</w:t>
      </w:r>
      <w:r w:rsidRPr="008625DC">
        <w:t xml:space="preserve">, see </w:t>
      </w:r>
      <w:hyperlink w:anchor="s171" w:history="1">
        <w:r w:rsidR="00C538EE" w:rsidRPr="008625DC">
          <w:rPr>
            <w:rStyle w:val="Hyperlink"/>
          </w:rPr>
          <w:t>Section</w:t>
        </w:r>
        <w:r w:rsidRPr="008625DC">
          <w:rPr>
            <w:rStyle w:val="Hyperlink"/>
          </w:rPr>
          <w:t xml:space="preserve"> </w:t>
        </w:r>
        <w:r w:rsidR="00BF180A" w:rsidRPr="008625DC">
          <w:rPr>
            <w:rStyle w:val="Hyperlink"/>
          </w:rPr>
          <w:t>1</w:t>
        </w:r>
        <w:r w:rsidR="00BC47E4" w:rsidRPr="008625DC">
          <w:rPr>
            <w:rStyle w:val="Hyperlink"/>
          </w:rPr>
          <w:t>7</w:t>
        </w:r>
        <w:r w:rsidR="00BF180A" w:rsidRPr="008625DC">
          <w:rPr>
            <w:rStyle w:val="Hyperlink"/>
          </w:rPr>
          <w:t>.1</w:t>
        </w:r>
      </w:hyperlink>
      <w:r w:rsidRPr="008625DC">
        <w:t xml:space="preserve">. </w:t>
      </w:r>
    </w:p>
    <w:p w14:paraId="5B05838A" w14:textId="59787C51" w:rsidR="00D226CF" w:rsidRPr="008625DC" w:rsidRDefault="00D226CF" w:rsidP="000B5916">
      <w:pPr>
        <w:pStyle w:val="Heading2"/>
        <w:ind w:left="851" w:hanging="851"/>
        <w:rPr>
          <w:lang w:val="en-AU"/>
        </w:rPr>
      </w:pPr>
      <w:bookmarkStart w:id="7852" w:name="_Toc396914445"/>
      <w:bookmarkStart w:id="7853" w:name="_Toc396915329"/>
      <w:bookmarkStart w:id="7854" w:name="_Toc396915723"/>
      <w:bookmarkStart w:id="7855" w:name="_Toc396921034"/>
      <w:bookmarkStart w:id="7856" w:name="_Toc396924374"/>
      <w:bookmarkStart w:id="7857" w:name="_Toc396925068"/>
      <w:bookmarkStart w:id="7858" w:name="_Toc396992188"/>
      <w:bookmarkStart w:id="7859" w:name="_Toc396992767"/>
      <w:bookmarkStart w:id="7860" w:name="_Toc396994431"/>
      <w:bookmarkStart w:id="7861" w:name="_Toc397002202"/>
      <w:bookmarkStart w:id="7862" w:name="_Toc397003121"/>
      <w:bookmarkStart w:id="7863" w:name="_Toc397008679"/>
      <w:bookmarkStart w:id="7864" w:name="_Toc397008897"/>
      <w:bookmarkStart w:id="7865" w:name="_Toc397011569"/>
      <w:bookmarkStart w:id="7866" w:name="_Toc397012630"/>
      <w:bookmarkStart w:id="7867" w:name="_Toc397014972"/>
      <w:bookmarkStart w:id="7868" w:name="_Toc397015459"/>
      <w:bookmarkStart w:id="7869" w:name="_Toc397070530"/>
      <w:bookmarkStart w:id="7870" w:name="_Toc397413268"/>
      <w:bookmarkStart w:id="7871" w:name="_Toc397413415"/>
      <w:bookmarkStart w:id="7872" w:name="_Toc397428000"/>
      <w:bookmarkStart w:id="7873" w:name="_Toc397439388"/>
      <w:bookmarkStart w:id="7874" w:name="_Toc397439558"/>
      <w:bookmarkStart w:id="7875" w:name="_Toc397439814"/>
      <w:bookmarkStart w:id="7876" w:name="_Toc397440116"/>
      <w:bookmarkStart w:id="7877" w:name="_Toc397441745"/>
      <w:bookmarkStart w:id="7878" w:name="_Toc397517447"/>
      <w:bookmarkStart w:id="7879" w:name="_Toc397522712"/>
      <w:bookmarkStart w:id="7880" w:name="_Toc397526130"/>
      <w:bookmarkStart w:id="7881" w:name="_Toc397528445"/>
      <w:bookmarkStart w:id="7882" w:name="_Toc397528920"/>
      <w:bookmarkStart w:id="7883" w:name="_Toc397601917"/>
      <w:bookmarkStart w:id="7884" w:name="_Toc397602652"/>
      <w:bookmarkStart w:id="7885" w:name="_Toc397605781"/>
      <w:bookmarkStart w:id="7886" w:name="_Toc397614925"/>
      <w:bookmarkStart w:id="7887" w:name="_Toc397616368"/>
      <w:bookmarkStart w:id="7888" w:name="_Toc397616762"/>
      <w:bookmarkStart w:id="7889" w:name="_Toc397679172"/>
      <w:bookmarkStart w:id="7890" w:name="_Toc397688060"/>
      <w:bookmarkStart w:id="7891" w:name="_Toc397689276"/>
      <w:bookmarkStart w:id="7892" w:name="_Toc397694556"/>
      <w:bookmarkStart w:id="7893" w:name="_Toc397696397"/>
      <w:bookmarkStart w:id="7894" w:name="_Toc397697131"/>
      <w:bookmarkStart w:id="7895" w:name="_Toc397698418"/>
      <w:bookmarkStart w:id="7896" w:name="_Toc397699784"/>
      <w:bookmarkStart w:id="7897" w:name="_Toc397700238"/>
      <w:bookmarkStart w:id="7898" w:name="_Toc397936630"/>
      <w:bookmarkStart w:id="7899" w:name="_Toc397936750"/>
      <w:bookmarkStart w:id="7900" w:name="_Toc397945905"/>
      <w:bookmarkStart w:id="7901" w:name="_Toc397946931"/>
      <w:bookmarkStart w:id="7902" w:name="_Toc397948050"/>
      <w:bookmarkStart w:id="7903" w:name="_Toc397958456"/>
      <w:bookmarkStart w:id="7904" w:name="_Toc397958698"/>
      <w:bookmarkStart w:id="7905" w:name="_Toc397959113"/>
      <w:bookmarkStart w:id="7906" w:name="_Toc397962966"/>
      <w:bookmarkStart w:id="7907" w:name="_Toc397963332"/>
      <w:bookmarkStart w:id="7908" w:name="_Toc397965409"/>
      <w:bookmarkStart w:id="7909" w:name="_Toc398197348"/>
      <w:bookmarkStart w:id="7910" w:name="_Toc398199851"/>
      <w:bookmarkStart w:id="7911" w:name="_Toc398201565"/>
      <w:bookmarkStart w:id="7912" w:name="_Toc398207170"/>
      <w:bookmarkStart w:id="7913" w:name="_Toc398210443"/>
      <w:bookmarkStart w:id="7914" w:name="_Toc398210957"/>
      <w:bookmarkStart w:id="7915" w:name="_Toc398211094"/>
      <w:bookmarkStart w:id="7916" w:name="_Toc398219765"/>
      <w:bookmarkStart w:id="7917" w:name="_Toc398220140"/>
      <w:bookmarkStart w:id="7918" w:name="_Toc398220527"/>
      <w:bookmarkStart w:id="7919" w:name="_Toc398221605"/>
      <w:bookmarkStart w:id="7920" w:name="_Toc398222291"/>
      <w:bookmarkStart w:id="7921" w:name="_Toc398222603"/>
      <w:bookmarkStart w:id="7922" w:name="_Toc398223020"/>
      <w:bookmarkStart w:id="7923" w:name="_Toc398223399"/>
      <w:bookmarkStart w:id="7924" w:name="_Toc398223526"/>
      <w:bookmarkStart w:id="7925" w:name="_Toc398224334"/>
      <w:bookmarkStart w:id="7926" w:name="_Toc398225671"/>
      <w:bookmarkStart w:id="7927" w:name="_Toc398225796"/>
      <w:bookmarkStart w:id="7928" w:name="_Toc398281283"/>
      <w:bookmarkStart w:id="7929" w:name="_Toc398282142"/>
      <w:bookmarkStart w:id="7930" w:name="_Toc398284812"/>
      <w:bookmarkStart w:id="7931" w:name="_Toc398287281"/>
      <w:bookmarkStart w:id="7932" w:name="_Toc398289164"/>
      <w:bookmarkStart w:id="7933" w:name="_Toc398297161"/>
      <w:bookmarkStart w:id="7934" w:name="_Toc398298635"/>
      <w:bookmarkStart w:id="7935" w:name="_Toc398300336"/>
      <w:bookmarkStart w:id="7936" w:name="_Toc398301233"/>
      <w:bookmarkStart w:id="7937" w:name="_Toc398302418"/>
      <w:bookmarkStart w:id="7938" w:name="_Toc398302581"/>
      <w:bookmarkStart w:id="7939" w:name="_Toc398549093"/>
      <w:bookmarkStart w:id="7940" w:name="_Toc398549343"/>
      <w:bookmarkStart w:id="7941" w:name="_Toc398555762"/>
      <w:bookmarkStart w:id="7942" w:name="_Toc398558966"/>
      <w:bookmarkStart w:id="7943" w:name="_Toc398563452"/>
      <w:bookmarkStart w:id="7944" w:name="_Toc398563585"/>
      <w:bookmarkStart w:id="7945" w:name="_Toc398563984"/>
      <w:bookmarkStart w:id="7946" w:name="_Toc398827322"/>
      <w:bookmarkStart w:id="7947" w:name="_Toc398827516"/>
      <w:bookmarkStart w:id="7948" w:name="s36"/>
      <w:r w:rsidRPr="008625DC">
        <w:rPr>
          <w:lang w:val="en-AU"/>
        </w:rPr>
        <w:lastRenderedPageBreak/>
        <w:t>Anti</w:t>
      </w:r>
      <w:r w:rsidR="00C74E19" w:rsidRPr="008625DC">
        <w:rPr>
          <w:lang w:val="en-AU"/>
        </w:rPr>
        <w:noBreakHyphen/>
      </w:r>
      <w:r w:rsidRPr="008625DC">
        <w:rPr>
          <w:lang w:val="en-AU"/>
        </w:rPr>
        <w:t>competitive disclosure of information</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p>
    <w:bookmarkEnd w:id="7948"/>
    <w:p w14:paraId="48BBA96A" w14:textId="5FB320E9" w:rsidR="007939C7" w:rsidRPr="008625DC" w:rsidRDefault="007939C7" w:rsidP="007939C7">
      <w:r w:rsidRPr="008625DC">
        <w:t xml:space="preserve">The Panel considers that, in their current form, the prohibitions against </w:t>
      </w:r>
      <w:r w:rsidR="00C74E19" w:rsidRPr="008625DC">
        <w:t>‘</w:t>
      </w:r>
      <w:r w:rsidRPr="008625DC">
        <w:t>price signalling</w:t>
      </w:r>
      <w:r w:rsidR="00C74E19" w:rsidRPr="008625DC">
        <w:t>’</w:t>
      </w:r>
      <w:r w:rsidRPr="008625DC">
        <w:t xml:space="preserve"> in the CCA do not strike the right balance in distinguishing between anti</w:t>
      </w:r>
      <w:r w:rsidR="00C74E19" w:rsidRPr="008625DC">
        <w:noBreakHyphen/>
      </w:r>
      <w:r w:rsidRPr="008625DC">
        <w:t>competitive and pro</w:t>
      </w:r>
      <w:r w:rsidR="00C74E19" w:rsidRPr="008625DC">
        <w:noBreakHyphen/>
      </w:r>
      <w:r w:rsidRPr="008625DC">
        <w:t xml:space="preserve">competitive conduct. Being confined in their operation to a single industry (banking), the current provisions are also inconsistent with the principle that the CCA </w:t>
      </w:r>
      <w:r w:rsidR="00A779D0" w:rsidRPr="008625DC">
        <w:t>should</w:t>
      </w:r>
      <w:r w:rsidRPr="008625DC">
        <w:t xml:space="preserve"> apply to all businesses generally. </w:t>
      </w:r>
    </w:p>
    <w:p w14:paraId="625F2398" w14:textId="2CF3F76A" w:rsidR="007939C7" w:rsidRPr="008625DC" w:rsidRDefault="007939C7" w:rsidP="007939C7">
      <w:r w:rsidRPr="008625DC">
        <w:t xml:space="preserve">The Panel considers that public price disclosure can help consumers make informed choices and is unlikely to raise significant competition concerns. </w:t>
      </w:r>
      <w:r w:rsidR="00A779D0" w:rsidRPr="008625DC">
        <w:t>Accordingly</w:t>
      </w:r>
      <w:r w:rsidRPr="008625DC">
        <w:t>, the Panel believe</w:t>
      </w:r>
      <w:r w:rsidR="00A779D0" w:rsidRPr="008625DC">
        <w:t>s</w:t>
      </w:r>
      <w:r w:rsidRPr="008625DC">
        <w:t xml:space="preserve"> there is </w:t>
      </w:r>
      <w:r w:rsidR="00A779D0" w:rsidRPr="008625DC">
        <w:t>no</w:t>
      </w:r>
      <w:r w:rsidRPr="008625DC">
        <w:t xml:space="preserve"> sound basis for prohibiting public price disclosure, either in the banking industry or more generally.</w:t>
      </w:r>
      <w:r w:rsidR="00343742" w:rsidRPr="008625DC">
        <w:rPr>
          <w:rStyle w:val="FootnoteReference"/>
        </w:rPr>
        <w:footnoteReference w:id="11"/>
      </w:r>
      <w:r w:rsidRPr="008625DC">
        <w:t xml:space="preserve"> </w:t>
      </w:r>
    </w:p>
    <w:p w14:paraId="76E5611F" w14:textId="45286860" w:rsidR="007939C7" w:rsidRPr="008625DC" w:rsidRDefault="007939C7" w:rsidP="007939C7">
      <w:r w:rsidRPr="008625DC">
        <w:t xml:space="preserve">Private </w:t>
      </w:r>
      <w:proofErr w:type="gramStart"/>
      <w:r w:rsidRPr="008625DC">
        <w:t>price</w:t>
      </w:r>
      <w:proofErr w:type="gramEnd"/>
      <w:r w:rsidRPr="008625DC">
        <w:t xml:space="preserve"> disclosure to a competitor will generally have more potential to harm competition as it may be used to facilitate collusion </w:t>
      </w:r>
      <w:r w:rsidR="00D15AAA" w:rsidRPr="008625DC">
        <w:t>among</w:t>
      </w:r>
      <w:r w:rsidRPr="008625DC">
        <w:t xml:space="preserve"> competitors. However, there are business circumstances in which private disclosure is necessary or in the ordinary course of business, particularly in connection with joint ventures or similar types of business collaboration. For that reason, a per se prohibition has the potential to over</w:t>
      </w:r>
      <w:r w:rsidR="00C74E19" w:rsidRPr="008625DC">
        <w:noBreakHyphen/>
      </w:r>
      <w:r w:rsidRPr="008625DC">
        <w:t>reach.</w:t>
      </w:r>
    </w:p>
    <w:p w14:paraId="58CBD979" w14:textId="44E505B8" w:rsidR="007939C7" w:rsidRPr="008625DC" w:rsidRDefault="007939C7" w:rsidP="007939C7">
      <w:r w:rsidRPr="008625DC">
        <w:t>The Panel considers that anti</w:t>
      </w:r>
      <w:r w:rsidR="00C74E19" w:rsidRPr="008625DC">
        <w:noBreakHyphen/>
      </w:r>
      <w:r w:rsidRPr="008625DC">
        <w:t>competitive price signalling does not need its own separate Division in</w:t>
      </w:r>
      <w:r w:rsidR="008C1921" w:rsidRPr="008625DC">
        <w:t> </w:t>
      </w:r>
      <w:r w:rsidRPr="008625DC">
        <w:t xml:space="preserve">the CCA; rather, price signalling can be addressed by extending section 45 to </w:t>
      </w:r>
      <w:r w:rsidR="00A779D0" w:rsidRPr="008625DC">
        <w:t xml:space="preserve">cover </w:t>
      </w:r>
      <w:r w:rsidRPr="008625DC">
        <w:t xml:space="preserve">concerted practices that </w:t>
      </w:r>
      <w:r w:rsidR="00170CD3" w:rsidRPr="008625DC">
        <w:t>have the purpose, or would have or be likely to have the effect, of substantially lessening</w:t>
      </w:r>
      <w:r w:rsidRPr="008625DC">
        <w:t xml:space="preserve"> competition.</w:t>
      </w:r>
      <w:r w:rsidR="00170CD3" w:rsidRPr="008625DC">
        <w:t xml:space="preserve"> A concerted practice is a regular practice undertaken by two or more firms. It</w:t>
      </w:r>
      <w:r w:rsidR="008C1921" w:rsidRPr="008625DC">
        <w:t> </w:t>
      </w:r>
      <w:r w:rsidR="00170CD3" w:rsidRPr="008625DC">
        <w:t>would include the regular disclosure or exchange of price information between two firms, whether or not it is possible to show that the firms had reached an understanding about the disclosure or exchange.</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7939C7" w:rsidRPr="008625DC" w14:paraId="412D6EC6" w14:textId="77777777" w:rsidTr="00F81722">
        <w:tc>
          <w:tcPr>
            <w:tcW w:w="5000" w:type="pct"/>
            <w:shd w:val="clear" w:color="auto" w:fill="E9F7F3" w:themeFill="accent4" w:themeFillTint="33"/>
          </w:tcPr>
          <w:p w14:paraId="1F62D080" w14:textId="233D5C63" w:rsidR="007939C7" w:rsidRPr="008625DC" w:rsidRDefault="007939C7" w:rsidP="00F81722">
            <w:pPr>
              <w:pStyle w:val="RecommendationHeading"/>
            </w:pPr>
            <w:bookmarkStart w:id="7949" w:name="DR24"/>
            <w:r w:rsidRPr="008625DC">
              <w:t xml:space="preserve">Draft Recommendation </w:t>
            </w:r>
            <w:r w:rsidRPr="008625DC">
              <w:fldChar w:fldCharType="begin"/>
            </w:r>
            <w:r w:rsidRPr="008625DC">
              <w:instrText xml:space="preserve"> AUTONUMLGL  \* Arabic \e </w:instrText>
            </w:r>
            <w:r w:rsidRPr="008625DC">
              <w:fldChar w:fldCharType="end"/>
            </w:r>
            <w:bookmarkEnd w:id="7949"/>
            <w:r w:rsidR="00380141" w:rsidRPr="008625DC">
              <w:t xml:space="preserve"> — </w:t>
            </w:r>
            <w:r w:rsidR="00FC1492" w:rsidRPr="008625DC">
              <w:t>Price signalling</w:t>
            </w:r>
          </w:p>
          <w:p w14:paraId="2CE5744D" w14:textId="563E6C45" w:rsidR="007939C7" w:rsidRPr="008625DC" w:rsidRDefault="007939C7" w:rsidP="00F81722">
            <w:pPr>
              <w:pStyle w:val="RecommendationText"/>
            </w:pPr>
            <w:r w:rsidRPr="008625DC">
              <w:t xml:space="preserve">The </w:t>
            </w:r>
            <w:r w:rsidR="00C74E19" w:rsidRPr="008625DC">
              <w:t>‘</w:t>
            </w:r>
            <w:r w:rsidRPr="008625DC">
              <w:t>price signalling</w:t>
            </w:r>
            <w:r w:rsidR="00C74E19" w:rsidRPr="008625DC">
              <w:t>’</w:t>
            </w:r>
            <w:r w:rsidRPr="008625DC">
              <w:t xml:space="preserve"> provisions of Division 1A of the CCA are not fit for purpose in their current form and should be repealed.</w:t>
            </w:r>
          </w:p>
          <w:p w14:paraId="79AB717B" w14:textId="4959058A" w:rsidR="007939C7" w:rsidRPr="008625DC" w:rsidRDefault="007939C7" w:rsidP="00F81722">
            <w:pPr>
              <w:pStyle w:val="RecommendationText"/>
            </w:pPr>
            <w:r w:rsidRPr="008625DC">
              <w:t>Section</w:t>
            </w:r>
            <w:r w:rsidR="00170CD3" w:rsidRPr="008625DC">
              <w:t xml:space="preserve"> </w:t>
            </w:r>
            <w:r w:rsidRPr="008625DC">
              <w:t xml:space="preserve">45 should be extended to </w:t>
            </w:r>
            <w:r w:rsidR="00D95111" w:rsidRPr="008625DC">
              <w:t xml:space="preserve">cover </w:t>
            </w:r>
            <w:r w:rsidRPr="008625DC">
              <w:t>concerted practices which have the purpose</w:t>
            </w:r>
            <w:r w:rsidR="00CC1C3F" w:rsidRPr="008625DC">
              <w:t xml:space="preserve">, </w:t>
            </w:r>
            <w:r w:rsidRPr="008625DC">
              <w:t xml:space="preserve">or </w:t>
            </w:r>
            <w:r w:rsidR="00170CD3" w:rsidRPr="008625DC">
              <w:t xml:space="preserve">would have or be </w:t>
            </w:r>
            <w:r w:rsidRPr="008625DC">
              <w:t xml:space="preserve">likely </w:t>
            </w:r>
            <w:r w:rsidR="00170CD3" w:rsidRPr="008625DC">
              <w:t>to have the effect,</w:t>
            </w:r>
            <w:r w:rsidRPr="008625DC">
              <w:t xml:space="preserve"> of substantially lessening competition.</w:t>
            </w:r>
          </w:p>
        </w:tc>
      </w:tr>
    </w:tbl>
    <w:p w14:paraId="5A62D343" w14:textId="4DCD2100" w:rsidR="00254D5D" w:rsidRPr="008625DC" w:rsidRDefault="00254D5D" w:rsidP="0006207D">
      <w:pPr>
        <w:spacing w:before="240"/>
      </w:pPr>
      <w:bookmarkStart w:id="7950" w:name="_Toc396397377"/>
      <w:bookmarkStart w:id="7951" w:name="_Toc396815114"/>
      <w:bookmarkStart w:id="7952" w:name="_Toc396821064"/>
      <w:bookmarkStart w:id="7953" w:name="_Toc396821672"/>
      <w:bookmarkStart w:id="7954" w:name="_Toc396827522"/>
      <w:bookmarkStart w:id="7955" w:name="_Toc396828493"/>
      <w:bookmarkStart w:id="7956" w:name="_Toc396828603"/>
      <w:bookmarkStart w:id="7957" w:name="_Toc396837992"/>
      <w:bookmarkStart w:id="7958" w:name="_Toc396838390"/>
      <w:bookmarkStart w:id="7959" w:name="_Toc396904123"/>
      <w:bookmarkStart w:id="7960" w:name="_Toc396904713"/>
      <w:bookmarkStart w:id="7961" w:name="_Toc396907547"/>
      <w:bookmarkStart w:id="7962" w:name="_Toc396912466"/>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r w:rsidRPr="008625DC">
        <w:t xml:space="preserve">For further </w:t>
      </w:r>
      <w:r w:rsidR="00D15AAA" w:rsidRPr="008625DC">
        <w:t>detail</w:t>
      </w:r>
      <w:r w:rsidRPr="008625DC">
        <w:t xml:space="preserve"> on anti</w:t>
      </w:r>
      <w:r w:rsidR="00C74E19" w:rsidRPr="008625DC">
        <w:noBreakHyphen/>
      </w:r>
      <w:r w:rsidRPr="008625DC">
        <w:t xml:space="preserve">competitive disclosure of information, see </w:t>
      </w:r>
      <w:hyperlink w:anchor="s172" w:history="1">
        <w:r w:rsidR="00C538EE" w:rsidRPr="008625DC">
          <w:rPr>
            <w:rStyle w:val="Hyperlink"/>
          </w:rPr>
          <w:t>Section</w:t>
        </w:r>
        <w:r w:rsidRPr="008625DC">
          <w:rPr>
            <w:rStyle w:val="Hyperlink"/>
          </w:rPr>
          <w:t xml:space="preserve"> 1</w:t>
        </w:r>
        <w:r w:rsidR="00BC47E4" w:rsidRPr="008625DC">
          <w:rPr>
            <w:rStyle w:val="Hyperlink"/>
          </w:rPr>
          <w:t>7</w:t>
        </w:r>
        <w:r w:rsidRPr="008625DC">
          <w:rPr>
            <w:rStyle w:val="Hyperlink"/>
          </w:rPr>
          <w:t>.2</w:t>
        </w:r>
      </w:hyperlink>
      <w:r w:rsidRPr="008625DC">
        <w:t>.</w:t>
      </w:r>
    </w:p>
    <w:p w14:paraId="11919A52" w14:textId="77777777" w:rsidR="00D226CF" w:rsidRPr="008625DC" w:rsidRDefault="00D226CF" w:rsidP="000B5916">
      <w:pPr>
        <w:pStyle w:val="Heading2"/>
        <w:ind w:left="851" w:hanging="851"/>
        <w:rPr>
          <w:lang w:val="en-AU"/>
        </w:rPr>
      </w:pPr>
      <w:bookmarkStart w:id="7963" w:name="_Toc396914446"/>
      <w:bookmarkStart w:id="7964" w:name="_Toc396915330"/>
      <w:bookmarkStart w:id="7965" w:name="_Toc396915724"/>
      <w:bookmarkStart w:id="7966" w:name="_Toc396921035"/>
      <w:bookmarkStart w:id="7967" w:name="_Toc396924375"/>
      <w:bookmarkStart w:id="7968" w:name="_Toc396925069"/>
      <w:bookmarkStart w:id="7969" w:name="_Toc396992189"/>
      <w:bookmarkStart w:id="7970" w:name="_Toc396992768"/>
      <w:bookmarkStart w:id="7971" w:name="_Toc396994432"/>
      <w:bookmarkStart w:id="7972" w:name="_Toc397002203"/>
      <w:bookmarkStart w:id="7973" w:name="_Toc397003122"/>
      <w:bookmarkStart w:id="7974" w:name="_Toc397008680"/>
      <w:bookmarkStart w:id="7975" w:name="_Toc397008898"/>
      <w:bookmarkStart w:id="7976" w:name="_Toc397011570"/>
      <w:bookmarkStart w:id="7977" w:name="_Toc397012631"/>
      <w:bookmarkStart w:id="7978" w:name="_Toc397014973"/>
      <w:bookmarkStart w:id="7979" w:name="_Toc397015460"/>
      <w:bookmarkStart w:id="7980" w:name="_Toc397070531"/>
      <w:bookmarkStart w:id="7981" w:name="_Toc397413269"/>
      <w:bookmarkStart w:id="7982" w:name="_Toc397413416"/>
      <w:bookmarkStart w:id="7983" w:name="_Toc397428001"/>
      <w:bookmarkStart w:id="7984" w:name="_Toc397439389"/>
      <w:bookmarkStart w:id="7985" w:name="_Toc397439559"/>
      <w:bookmarkStart w:id="7986" w:name="_Toc397439815"/>
      <w:bookmarkStart w:id="7987" w:name="_Toc397440117"/>
      <w:bookmarkStart w:id="7988" w:name="_Toc397441746"/>
      <w:bookmarkStart w:id="7989" w:name="_Toc397517448"/>
      <w:bookmarkStart w:id="7990" w:name="_Toc397522713"/>
      <w:bookmarkStart w:id="7991" w:name="_Toc397526131"/>
      <w:bookmarkStart w:id="7992" w:name="_Toc397528446"/>
      <w:bookmarkStart w:id="7993" w:name="_Toc397528921"/>
      <w:bookmarkStart w:id="7994" w:name="_Toc397601918"/>
      <w:bookmarkStart w:id="7995" w:name="_Toc397602653"/>
      <w:bookmarkStart w:id="7996" w:name="_Toc397605782"/>
      <w:bookmarkStart w:id="7997" w:name="_Toc397614926"/>
      <w:bookmarkStart w:id="7998" w:name="_Toc397616369"/>
      <w:bookmarkStart w:id="7999" w:name="_Toc397616763"/>
      <w:bookmarkStart w:id="8000" w:name="_Toc397679173"/>
      <w:bookmarkStart w:id="8001" w:name="_Toc397688061"/>
      <w:bookmarkStart w:id="8002" w:name="_Toc397689277"/>
      <w:bookmarkStart w:id="8003" w:name="_Toc397694557"/>
      <w:bookmarkStart w:id="8004" w:name="_Toc397696398"/>
      <w:bookmarkStart w:id="8005" w:name="_Toc397697132"/>
      <w:bookmarkStart w:id="8006" w:name="_Toc397698419"/>
      <w:bookmarkStart w:id="8007" w:name="_Toc397699785"/>
      <w:bookmarkStart w:id="8008" w:name="_Toc397700239"/>
      <w:bookmarkStart w:id="8009" w:name="_Toc397936631"/>
      <w:bookmarkStart w:id="8010" w:name="_Toc397936751"/>
      <w:bookmarkStart w:id="8011" w:name="_Toc397945906"/>
      <w:bookmarkStart w:id="8012" w:name="_Toc397946932"/>
      <w:bookmarkStart w:id="8013" w:name="_Toc397948051"/>
      <w:bookmarkStart w:id="8014" w:name="_Toc397958457"/>
      <w:bookmarkStart w:id="8015" w:name="_Toc397958699"/>
      <w:bookmarkStart w:id="8016" w:name="_Toc397959114"/>
      <w:bookmarkStart w:id="8017" w:name="_Toc397962967"/>
      <w:bookmarkStart w:id="8018" w:name="_Toc397963333"/>
      <w:bookmarkStart w:id="8019" w:name="_Toc397965410"/>
      <w:bookmarkStart w:id="8020" w:name="_Toc398197349"/>
      <w:bookmarkStart w:id="8021" w:name="_Toc398199852"/>
      <w:bookmarkStart w:id="8022" w:name="_Toc398201566"/>
      <w:bookmarkStart w:id="8023" w:name="_Toc398207171"/>
      <w:bookmarkStart w:id="8024" w:name="_Toc398210444"/>
      <w:bookmarkStart w:id="8025" w:name="_Toc398210958"/>
      <w:bookmarkStart w:id="8026" w:name="_Toc398211095"/>
      <w:bookmarkStart w:id="8027" w:name="_Toc398219766"/>
      <w:bookmarkStart w:id="8028" w:name="_Toc398220141"/>
      <w:bookmarkStart w:id="8029" w:name="_Toc398220528"/>
      <w:bookmarkStart w:id="8030" w:name="_Toc398221606"/>
      <w:bookmarkStart w:id="8031" w:name="_Toc398222292"/>
      <w:bookmarkStart w:id="8032" w:name="_Toc398222604"/>
      <w:bookmarkStart w:id="8033" w:name="_Toc398223021"/>
      <w:bookmarkStart w:id="8034" w:name="_Toc398223400"/>
      <w:bookmarkStart w:id="8035" w:name="_Toc398223527"/>
      <w:bookmarkStart w:id="8036" w:name="_Toc398224335"/>
      <w:bookmarkStart w:id="8037" w:name="_Toc398225672"/>
      <w:bookmarkStart w:id="8038" w:name="_Toc398225797"/>
      <w:bookmarkStart w:id="8039" w:name="_Toc398281284"/>
      <w:bookmarkStart w:id="8040" w:name="_Toc398282143"/>
      <w:bookmarkStart w:id="8041" w:name="_Toc398284813"/>
      <w:bookmarkStart w:id="8042" w:name="_Toc398287282"/>
      <w:bookmarkStart w:id="8043" w:name="_Toc398289165"/>
      <w:bookmarkStart w:id="8044" w:name="_Toc398297162"/>
      <w:bookmarkStart w:id="8045" w:name="_Toc398298636"/>
      <w:bookmarkStart w:id="8046" w:name="_Toc398300337"/>
      <w:bookmarkStart w:id="8047" w:name="_Toc398301234"/>
      <w:bookmarkStart w:id="8048" w:name="_Toc398302419"/>
      <w:bookmarkStart w:id="8049" w:name="_Toc398302582"/>
      <w:bookmarkStart w:id="8050" w:name="_Toc398549094"/>
      <w:bookmarkStart w:id="8051" w:name="_Toc398549344"/>
      <w:bookmarkStart w:id="8052" w:name="_Toc398555763"/>
      <w:bookmarkStart w:id="8053" w:name="_Toc398558967"/>
      <w:bookmarkStart w:id="8054" w:name="_Toc398563453"/>
      <w:bookmarkStart w:id="8055" w:name="_Toc398563586"/>
      <w:bookmarkStart w:id="8056" w:name="_Toc398563985"/>
      <w:bookmarkStart w:id="8057" w:name="_Toc398827323"/>
      <w:bookmarkStart w:id="8058" w:name="_Toc398827517"/>
      <w:bookmarkStart w:id="8059" w:name="s37"/>
      <w:r w:rsidRPr="008625DC">
        <w:rPr>
          <w:lang w:val="en-AU"/>
        </w:rPr>
        <w:t>Misuse of market power</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bookmarkEnd w:id="8059"/>
    <w:p w14:paraId="7A396216" w14:textId="5400F4B1" w:rsidR="003C5F76" w:rsidRPr="008625DC" w:rsidRDefault="007939C7" w:rsidP="007939C7">
      <w:r w:rsidRPr="008625DC">
        <w:t xml:space="preserve">The Panel </w:t>
      </w:r>
      <w:r w:rsidR="00D95111" w:rsidRPr="008625DC">
        <w:t>believes</w:t>
      </w:r>
      <w:r w:rsidRPr="008625DC">
        <w:t xml:space="preserve"> that an effective unilateral anti</w:t>
      </w:r>
      <w:r w:rsidR="00C74E19" w:rsidRPr="008625DC">
        <w:noBreakHyphen/>
      </w:r>
      <w:r w:rsidRPr="008625DC">
        <w:t>competitive conduct provision is essential to the proper functioning of Australia</w:t>
      </w:r>
      <w:r w:rsidR="00C74E19" w:rsidRPr="008625DC">
        <w:t>’</w:t>
      </w:r>
      <w:r w:rsidRPr="008625DC">
        <w:t>s national competition policy framework</w:t>
      </w:r>
      <w:r w:rsidR="008A7535" w:rsidRPr="008625DC">
        <w:t>,</w:t>
      </w:r>
      <w:r w:rsidR="003C5F76" w:rsidRPr="008625DC">
        <w:t xml:space="preserve"> but </w:t>
      </w:r>
      <w:r w:rsidR="0006207D" w:rsidRPr="008625DC">
        <w:t xml:space="preserve">considers that section 46 can be </w:t>
      </w:r>
      <w:r w:rsidR="004E3403" w:rsidRPr="008625DC">
        <w:t>focused</w:t>
      </w:r>
      <w:r w:rsidRPr="008625DC">
        <w:t xml:space="preserve"> more clearly on the long</w:t>
      </w:r>
      <w:r w:rsidR="00C74E19" w:rsidRPr="008625DC">
        <w:noBreakHyphen/>
      </w:r>
      <w:r w:rsidRPr="008625DC">
        <w:t>term interests of consumers and enhanced to restore its policy intent.</w:t>
      </w:r>
    </w:p>
    <w:p w14:paraId="1C90CE70" w14:textId="46E36440" w:rsidR="003C5F76" w:rsidRPr="008625DC" w:rsidRDefault="007939C7" w:rsidP="007939C7">
      <w:r w:rsidRPr="008625DC">
        <w:t xml:space="preserve">The Panel </w:t>
      </w:r>
      <w:r w:rsidR="003C5F76" w:rsidRPr="008625DC">
        <w:t>regards</w:t>
      </w:r>
      <w:r w:rsidRPr="008625DC">
        <w:t xml:space="preserve"> the threshold test of </w:t>
      </w:r>
      <w:r w:rsidR="00C74E19" w:rsidRPr="008625DC">
        <w:t>‘</w:t>
      </w:r>
      <w:r w:rsidRPr="008625DC">
        <w:t>substantial degree of power in a market</w:t>
      </w:r>
      <w:r w:rsidR="00C74E19" w:rsidRPr="008625DC">
        <w:t>’</w:t>
      </w:r>
      <w:r w:rsidRPr="008625DC">
        <w:t xml:space="preserve"> </w:t>
      </w:r>
      <w:r w:rsidR="003C5F76" w:rsidRPr="008625DC">
        <w:t>a</w:t>
      </w:r>
      <w:r w:rsidRPr="008625DC">
        <w:t xml:space="preserve">s appropriate and well understood. In contrast, the central element of </w:t>
      </w:r>
      <w:r w:rsidR="00C74E19" w:rsidRPr="008625DC">
        <w:t>‘</w:t>
      </w:r>
      <w:r w:rsidRPr="008625DC">
        <w:t>taking advantage of market power</w:t>
      </w:r>
      <w:r w:rsidR="00C74E19" w:rsidRPr="008625DC">
        <w:t>’</w:t>
      </w:r>
      <w:r w:rsidRPr="008625DC">
        <w:t xml:space="preserve"> is difficult to interpret and apply in practice.</w:t>
      </w:r>
    </w:p>
    <w:p w14:paraId="3DF9B165" w14:textId="33000A2A" w:rsidR="007939C7" w:rsidRPr="008625DC" w:rsidRDefault="007939C7" w:rsidP="007939C7">
      <w:r w:rsidRPr="008625DC">
        <w:lastRenderedPageBreak/>
        <w:t xml:space="preserve">Further, the focus of the prohibition on showing a purpose of damaging a competitor is inconsistent with the overriding policy </w:t>
      </w:r>
      <w:r w:rsidR="00BD08DE" w:rsidRPr="008625DC">
        <w:t>objective</w:t>
      </w:r>
      <w:r w:rsidRPr="008625DC">
        <w:t xml:space="preserve"> of the CCA being to protect competition, not competitors. The Panel also considers that the supplementary prohibitions</w:t>
      </w:r>
      <w:r w:rsidR="00170CD3" w:rsidRPr="008625DC">
        <w:t>,</w:t>
      </w:r>
      <w:r w:rsidRPr="008625DC">
        <w:t xml:space="preserve"> </w:t>
      </w:r>
      <w:r w:rsidR="00360C52" w:rsidRPr="008625DC">
        <w:t>which attempt to address concerns about predatory pricing</w:t>
      </w:r>
      <w:r w:rsidR="00170CD3" w:rsidRPr="008625DC">
        <w:t>,</w:t>
      </w:r>
      <w:r w:rsidR="00360C52" w:rsidRPr="008625DC">
        <w:rPr>
          <w:rStyle w:val="FootnoteReference"/>
        </w:rPr>
        <w:footnoteReference w:id="12"/>
      </w:r>
      <w:r w:rsidRPr="008625DC">
        <w:t xml:space="preserve"> </w:t>
      </w:r>
      <w:r w:rsidR="00520A27" w:rsidRPr="008625DC">
        <w:t>do</w:t>
      </w:r>
      <w:r w:rsidRPr="008625DC">
        <w:t xml:space="preserve"> not advance the policy intent of section</w:t>
      </w:r>
      <w:r w:rsidR="00E44E73" w:rsidRPr="008625DC">
        <w:t> </w:t>
      </w:r>
      <w:r w:rsidRPr="008625DC">
        <w:t>46.</w:t>
      </w:r>
    </w:p>
    <w:p w14:paraId="217B3226" w14:textId="0F8FDCA0" w:rsidR="00170CD3" w:rsidRPr="008625DC" w:rsidRDefault="00170CD3" w:rsidP="00170CD3">
      <w:r w:rsidRPr="008625DC">
        <w:t xml:space="preserve">In general, </w:t>
      </w:r>
      <w:r w:rsidR="001F68A5" w:rsidRPr="008625DC">
        <w:t xml:space="preserve">all prohibitions should focus on protecting competition and not individual competitors; that is, </w:t>
      </w:r>
      <w:r w:rsidRPr="008625DC">
        <w:t>business and trading conduct should be prohibited if it has the purpose, or would have or be likely to have the effect, of substantially lessening competition. That gives all firms, big and small, an opportunity to compete on merit (that is, based on the value to consumers of the competing products they offer).</w:t>
      </w:r>
    </w:p>
    <w:p w14:paraId="0E3FA84F" w14:textId="5BC7C569" w:rsidR="00170CD3" w:rsidRPr="008625DC" w:rsidRDefault="00170CD3" w:rsidP="00170CD3">
      <w:r w:rsidRPr="008625DC">
        <w:t>While this is true of unilateral and multilateral conduct alike, the Panel recognises that a business might be deterred from undertaking a business strategy that enhances its competitiveness and creates durable consumer benefit for fear that, if the strategy is successful, it might be assessed as having the effect of substantially lessening competition.</w:t>
      </w:r>
    </w:p>
    <w:p w14:paraId="3B28A3A2" w14:textId="3E9270E8" w:rsidR="00170CD3" w:rsidRPr="008625DC" w:rsidRDefault="007939C7" w:rsidP="00170CD3">
      <w:r w:rsidRPr="008625DC">
        <w:t xml:space="preserve">To </w:t>
      </w:r>
      <w:r w:rsidR="00520A27" w:rsidRPr="008625DC">
        <w:t>allay</w:t>
      </w:r>
      <w:r w:rsidRPr="008625DC">
        <w:t xml:space="preserve"> any such concern, the prohibition against unilateral anti</w:t>
      </w:r>
      <w:r w:rsidR="00C74E19" w:rsidRPr="008625DC">
        <w:noBreakHyphen/>
      </w:r>
      <w:r w:rsidRPr="008625DC">
        <w:t xml:space="preserve">competitive conduct should be made subject to an </w:t>
      </w:r>
      <w:r w:rsidR="00170CD3" w:rsidRPr="008625DC">
        <w:t>exception for such business strategies or decisions.</w:t>
      </w:r>
    </w:p>
    <w:p w14:paraId="2F173FDE" w14:textId="211A5BE4" w:rsidR="007939C7" w:rsidRPr="008625DC" w:rsidRDefault="00170CD3" w:rsidP="007939C7">
      <w:r w:rsidRPr="008625DC">
        <w:t>The proposed reform to section 46 is intended to improve its clarity, force and effectiveness, so that it can be used to prevent unilateral conduct that substantially harms competition and that has no economic justification</w:t>
      </w:r>
      <w:r w:rsidR="007939C7" w:rsidRPr="008625DC">
        <w: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34547C" w:rsidRPr="008625DC" w14:paraId="7CC737F7" w14:textId="77777777" w:rsidTr="0034547C">
        <w:tc>
          <w:tcPr>
            <w:tcW w:w="5000" w:type="pct"/>
            <w:shd w:val="clear" w:color="auto" w:fill="E9F7F3" w:themeFill="accent4" w:themeFillTint="33"/>
          </w:tcPr>
          <w:p w14:paraId="15A7BCED" w14:textId="77777777" w:rsidR="0034547C" w:rsidRPr="008625DC" w:rsidRDefault="0034547C" w:rsidP="0034547C">
            <w:pPr>
              <w:pStyle w:val="RecommendationHeading"/>
            </w:pPr>
            <w:bookmarkStart w:id="8060" w:name="DR25"/>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8060"/>
            <w:r w:rsidRPr="008625DC">
              <w:t xml:space="preserve"> — Misuse of market power</w:t>
            </w:r>
          </w:p>
          <w:p w14:paraId="5F079794" w14:textId="5BEBBC61" w:rsidR="0034547C" w:rsidRPr="008625DC" w:rsidRDefault="0034547C" w:rsidP="0034547C">
            <w:pPr>
              <w:pStyle w:val="RecommendationText"/>
            </w:pPr>
            <w:r w:rsidRPr="008625DC">
              <w:t>The Panel considers that the primary prohibition in section 46 should be re</w:t>
            </w:r>
            <w:r w:rsidR="00C74E19" w:rsidRPr="008625DC">
              <w:noBreakHyphen/>
            </w:r>
            <w:r w:rsidRPr="008625DC">
              <w:t>framed to prohibit a corporation that has a substantial degree of power in a market from engaging in conduct if the proposed conduct has the purpose, or would have or be likely to have the effect, of substantially lessening competition in that or any other market.</w:t>
            </w:r>
          </w:p>
          <w:p w14:paraId="414EED8B" w14:textId="53107FCD" w:rsidR="0034547C" w:rsidRPr="008625DC" w:rsidRDefault="0034547C" w:rsidP="0034547C">
            <w:pPr>
              <w:pStyle w:val="RecommendationText"/>
            </w:pPr>
            <w:r w:rsidRPr="008625DC">
              <w:t>However, the Panel is concerned to minimise unintended impacts from any change to the provision that would not be in the long</w:t>
            </w:r>
            <w:r w:rsidR="00C74E19" w:rsidRPr="008625DC">
              <w:noBreakHyphen/>
            </w:r>
            <w:r w:rsidRPr="008625DC">
              <w:t>term interests of consumers, including the possibility of inadvertently capturing pro</w:t>
            </w:r>
            <w:r w:rsidR="00C74E19" w:rsidRPr="008625DC">
              <w:noBreakHyphen/>
            </w:r>
            <w:r w:rsidRPr="008625DC">
              <w:t>competitive conduct.</w:t>
            </w:r>
          </w:p>
          <w:p w14:paraId="0BFBD31A" w14:textId="1BD90700" w:rsidR="0034547C" w:rsidRPr="008625DC" w:rsidRDefault="0034547C" w:rsidP="0034547C">
            <w:pPr>
              <w:pStyle w:val="RecommendationText"/>
              <w:rPr>
                <w:b/>
              </w:rPr>
            </w:pPr>
            <w:r w:rsidRPr="008625DC">
              <w:t>To mitigate concerns about over</w:t>
            </w:r>
            <w:r w:rsidR="00C74E19" w:rsidRPr="008625DC">
              <w:noBreakHyphen/>
            </w:r>
            <w:r w:rsidRPr="008625DC">
              <w:t>capture, the Panel proposes that a defence be introduced so that the primary prohibition would not apply if the conduct in question:</w:t>
            </w:r>
          </w:p>
          <w:p w14:paraId="56DE4B9C" w14:textId="77777777" w:rsidR="0034547C" w:rsidRPr="008625DC" w:rsidRDefault="0034547C" w:rsidP="00DB4ECC">
            <w:pPr>
              <w:pStyle w:val="RecommendationBullet"/>
            </w:pPr>
            <w:r w:rsidRPr="008625DC">
              <w:t xml:space="preserve">would be a rational business decision or strategy by a corporation that did not have a substantial degree of power in the market; and </w:t>
            </w:r>
          </w:p>
          <w:p w14:paraId="29077E3C" w14:textId="22BCF609" w:rsidR="0034547C" w:rsidRPr="008625DC" w:rsidRDefault="0034547C" w:rsidP="00DB4ECC">
            <w:pPr>
              <w:pStyle w:val="RecommendationBullet"/>
            </w:pPr>
            <w:proofErr w:type="gramStart"/>
            <w:r w:rsidRPr="008625DC">
              <w:t>the</w:t>
            </w:r>
            <w:proofErr w:type="gramEnd"/>
            <w:r w:rsidRPr="008625DC">
              <w:t xml:space="preserve"> effect or likely effect of the conduct is to benefit the long</w:t>
            </w:r>
            <w:r w:rsidR="00C74E19" w:rsidRPr="008625DC">
              <w:noBreakHyphen/>
            </w:r>
            <w:r w:rsidRPr="008625DC">
              <w:t xml:space="preserve">term interests of consumers. </w:t>
            </w:r>
          </w:p>
          <w:p w14:paraId="1F82801E" w14:textId="77777777" w:rsidR="0034547C" w:rsidRPr="008625DC" w:rsidRDefault="0034547C" w:rsidP="0034547C">
            <w:pPr>
              <w:pStyle w:val="RecommendationText"/>
            </w:pPr>
            <w:r w:rsidRPr="008625DC">
              <w:t>The onus of proving that the defence applies should fall on the corporation engaging in the conduct.</w:t>
            </w:r>
          </w:p>
          <w:p w14:paraId="6C79BAD7" w14:textId="5B28C377" w:rsidR="0034547C" w:rsidRPr="008625DC" w:rsidRDefault="0034547C" w:rsidP="0034547C">
            <w:pPr>
              <w:pStyle w:val="RecommendationText"/>
              <w:rPr>
                <w:b/>
              </w:rPr>
            </w:pPr>
            <w:r w:rsidRPr="008625DC">
              <w:rPr>
                <w:b/>
              </w:rPr>
              <w:t>The Panel seeks submissions on the scope of this defence, whether it would be too broad, and whether there are other ways to ensure anti</w:t>
            </w:r>
            <w:r w:rsidR="00C74E19" w:rsidRPr="008625DC">
              <w:rPr>
                <w:b/>
              </w:rPr>
              <w:noBreakHyphen/>
            </w:r>
            <w:r w:rsidRPr="008625DC">
              <w:rPr>
                <w:b/>
              </w:rPr>
              <w:t>competitive conduct is caught by the provision but not exempted by way of a defence.</w:t>
            </w:r>
          </w:p>
          <w:p w14:paraId="1501AFF0" w14:textId="6FBE7334" w:rsidR="0034547C" w:rsidRPr="008625DC" w:rsidRDefault="0034547C" w:rsidP="0034547C">
            <w:pPr>
              <w:pStyle w:val="RecommendationText"/>
            </w:pPr>
            <w:r w:rsidRPr="008625DC">
              <w:t>Such a re</w:t>
            </w:r>
            <w:r w:rsidR="00C74E19" w:rsidRPr="008625DC">
              <w:noBreakHyphen/>
            </w:r>
            <w:r w:rsidRPr="008625DC">
              <w:t xml:space="preserve">framing would allow the provision to be simplified. Amendments introduced since 2007 would be unnecessary and could be repealed. These include specific provisions prohibiting predatory pricing, and amendments clarifying the meaning of </w:t>
            </w:r>
            <w:r w:rsidR="00C74E19" w:rsidRPr="008625DC">
              <w:t>‘</w:t>
            </w:r>
            <w:r w:rsidRPr="008625DC">
              <w:t>take advantage</w:t>
            </w:r>
            <w:r w:rsidR="00C74E19" w:rsidRPr="008625DC">
              <w:t>’</w:t>
            </w:r>
            <w:r w:rsidRPr="008625DC">
              <w:t xml:space="preserve"> and how the causal link between the substantial degree of power and anti</w:t>
            </w:r>
            <w:r w:rsidR="00C74E19" w:rsidRPr="008625DC">
              <w:noBreakHyphen/>
            </w:r>
            <w:r w:rsidRPr="008625DC">
              <w:t>competitive purpose may be determined.</w:t>
            </w:r>
          </w:p>
        </w:tc>
      </w:tr>
    </w:tbl>
    <w:p w14:paraId="01BAFE43" w14:textId="491F1FF3" w:rsidR="0034547C" w:rsidRPr="008625DC" w:rsidRDefault="0034547C" w:rsidP="0034547C">
      <w:pPr>
        <w:spacing w:before="240"/>
      </w:pPr>
      <w:r w:rsidRPr="008625DC">
        <w:t xml:space="preserve">For further detail on misuse of market power, see </w:t>
      </w:r>
      <w:hyperlink w:anchor="s161" w:history="1">
        <w:r w:rsidRPr="008625DC">
          <w:rPr>
            <w:rStyle w:val="Hyperlink"/>
          </w:rPr>
          <w:t>Section 16.1</w:t>
        </w:r>
      </w:hyperlink>
      <w:r w:rsidRPr="008625DC">
        <w:t xml:space="preserve">. </w:t>
      </w:r>
    </w:p>
    <w:p w14:paraId="136C3861" w14:textId="6042CC88" w:rsidR="00F2061F" w:rsidRPr="008625DC" w:rsidRDefault="00F2061F" w:rsidP="00696E29">
      <w:pPr>
        <w:pStyle w:val="Heading2"/>
        <w:spacing w:before="0" w:after="0"/>
        <w:ind w:left="851" w:hanging="851"/>
        <w:rPr>
          <w:lang w:val="en-AU"/>
        </w:rPr>
      </w:pPr>
      <w:bookmarkStart w:id="8061" w:name="_Toc398549095"/>
      <w:bookmarkStart w:id="8062" w:name="_Toc398549345"/>
      <w:bookmarkStart w:id="8063" w:name="_Toc398555764"/>
      <w:bookmarkStart w:id="8064" w:name="_Toc398558968"/>
      <w:bookmarkStart w:id="8065" w:name="_Toc398563454"/>
      <w:bookmarkStart w:id="8066" w:name="_Toc398563587"/>
      <w:bookmarkStart w:id="8067" w:name="_Toc398563986"/>
      <w:bookmarkStart w:id="8068" w:name="_Toc398827324"/>
      <w:bookmarkStart w:id="8069" w:name="_Toc398827518"/>
      <w:bookmarkStart w:id="8070" w:name="s38"/>
      <w:r w:rsidRPr="008625DC">
        <w:rPr>
          <w:lang w:val="en-AU"/>
        </w:rPr>
        <w:t>Unconscionable conduct</w:t>
      </w:r>
      <w:bookmarkEnd w:id="8061"/>
      <w:bookmarkEnd w:id="8062"/>
      <w:bookmarkEnd w:id="8063"/>
      <w:bookmarkEnd w:id="8064"/>
      <w:bookmarkEnd w:id="8065"/>
      <w:bookmarkEnd w:id="8066"/>
      <w:bookmarkEnd w:id="8067"/>
      <w:bookmarkEnd w:id="8068"/>
      <w:bookmarkEnd w:id="8069"/>
    </w:p>
    <w:bookmarkEnd w:id="8070"/>
    <w:p w14:paraId="6CE50A8D" w14:textId="704751AD" w:rsidR="00821ED3" w:rsidRPr="008625DC" w:rsidRDefault="00821ED3" w:rsidP="007939C7">
      <w:r w:rsidRPr="008625DC">
        <w:t>The business community as well as the wider community expect</w:t>
      </w:r>
      <w:r w:rsidR="0033708D" w:rsidRPr="008625DC">
        <w:t>s</w:t>
      </w:r>
      <w:r w:rsidRPr="008625DC">
        <w:t xml:space="preserve"> business to be conducted according to a minimum standard of fair dealing. There are sound economic and social reasons for enshrining minimum standards of fair dealing within the law.</w:t>
      </w:r>
    </w:p>
    <w:p w14:paraId="3F46670C" w14:textId="77777777" w:rsidR="001643EC" w:rsidRPr="008625DC" w:rsidRDefault="001643EC" w:rsidP="0033708D">
      <w:r w:rsidRPr="008625DC">
        <w:t>The Panel has heard concerns expressed by small businesses and suppliers in respect of behaviours of larger businesses in their supply chains. The business unconscionable conduct provisions were introduced specifically to address these concerns.</w:t>
      </w:r>
    </w:p>
    <w:p w14:paraId="488A32BF" w14:textId="57F6E192" w:rsidR="001643EC" w:rsidRPr="008625DC" w:rsidRDefault="001643EC">
      <w:r w:rsidRPr="008625DC">
        <w:t xml:space="preserve">The Panel finds there is not a strong case that the current unconscionable conduct provisions are not working as intended to meet their policy goals. </w:t>
      </w:r>
    </w:p>
    <w:p w14:paraId="138A4054" w14:textId="4D05D290" w:rsidR="001643EC" w:rsidRPr="008625DC" w:rsidRDefault="001643EC" w:rsidP="001643EC">
      <w:r w:rsidRPr="008625DC">
        <w:t>Enforcing</w:t>
      </w:r>
      <w:r w:rsidR="00343A79" w:rsidRPr="008625DC">
        <w:t xml:space="preserve"> business</w:t>
      </w:r>
      <w:r w:rsidR="00DB4ECC" w:rsidRPr="008625DC">
        <w:noBreakHyphen/>
      </w:r>
      <w:r w:rsidR="00343A79" w:rsidRPr="008625DC">
        <w:t>to</w:t>
      </w:r>
      <w:r w:rsidR="00C74E19" w:rsidRPr="008625DC">
        <w:noBreakHyphen/>
      </w:r>
      <w:r w:rsidR="00343A79" w:rsidRPr="008625DC">
        <w:t xml:space="preserve">business unconscionable conduct </w:t>
      </w:r>
      <w:r w:rsidRPr="008625DC">
        <w:t>provisions</w:t>
      </w:r>
      <w:r w:rsidR="00343A79" w:rsidRPr="008625DC">
        <w:t xml:space="preserve"> is an important function of the ACCC</w:t>
      </w:r>
      <w:r w:rsidRPr="008625DC">
        <w:t xml:space="preserve"> and the Panel notes the Commission</w:t>
      </w:r>
      <w:r w:rsidR="00C74E19" w:rsidRPr="008625DC">
        <w:t>’</w:t>
      </w:r>
      <w:r w:rsidRPr="008625DC">
        <w:t>s current action</w:t>
      </w:r>
      <w:r w:rsidR="008931AC" w:rsidRPr="008625DC">
        <w:t>s</w:t>
      </w:r>
      <w:r w:rsidRPr="008625DC">
        <w:t xml:space="preserve"> </w:t>
      </w:r>
      <w:r w:rsidR="00825698" w:rsidRPr="008625DC">
        <w:t>in the supermarket sector</w:t>
      </w:r>
      <w:r w:rsidRPr="008625DC">
        <w:t xml:space="preserve"> alleg</w:t>
      </w:r>
      <w:r w:rsidR="00825698" w:rsidRPr="008625DC">
        <w:t>ing</w:t>
      </w:r>
      <w:r w:rsidRPr="008625DC">
        <w:t xml:space="preserve"> unconscionable conduct </w:t>
      </w:r>
      <w:r w:rsidR="000A2DBF" w:rsidRPr="008625DC">
        <w:t>in dealings with</w:t>
      </w:r>
      <w:r w:rsidRPr="008625DC">
        <w:t xml:space="preserve"> suppliers.</w:t>
      </w:r>
    </w:p>
    <w:p w14:paraId="1E8712AE" w14:textId="6CCCE257" w:rsidR="00E62487" w:rsidRPr="008625DC" w:rsidRDefault="00343A79" w:rsidP="001643EC">
      <w:r w:rsidRPr="008625DC">
        <w:t>A</w:t>
      </w:r>
      <w:r w:rsidR="00E62487" w:rsidRPr="008625DC">
        <w:t>ctive and ongoing review of these provisions should occur as matters progress through the courts to ensure the provisions meet their policy goals.</w:t>
      </w:r>
      <w:r w:rsidR="00825698" w:rsidRPr="008625DC">
        <w:t xml:space="preserve"> If deficiencies </w:t>
      </w:r>
      <w:r w:rsidR="00586686" w:rsidRPr="008625DC">
        <w:t>become</w:t>
      </w:r>
      <w:r w:rsidR="00825698" w:rsidRPr="008625DC">
        <w:t xml:space="preserve"> evident, </w:t>
      </w:r>
      <w:r w:rsidR="00586686" w:rsidRPr="008625DC">
        <w:t>they</w:t>
      </w:r>
      <w:r w:rsidR="00825698" w:rsidRPr="008625DC">
        <w:t xml:space="preserve"> should be promptly remedied.</w:t>
      </w:r>
    </w:p>
    <w:p w14:paraId="1A46E3D1" w14:textId="7007062A" w:rsidR="004B0AAB" w:rsidRPr="008625DC" w:rsidRDefault="004B0AAB" w:rsidP="007939C7">
      <w:r w:rsidRPr="008625DC">
        <w:t xml:space="preserve">For further detail on unconscionable conduct, see </w:t>
      </w:r>
      <w:hyperlink w:anchor="s163" w:history="1">
        <w:r w:rsidRPr="008625DC">
          <w:rPr>
            <w:rStyle w:val="Hyperlink"/>
          </w:rPr>
          <w:t>Section 16.3</w:t>
        </w:r>
      </w:hyperlink>
      <w:r w:rsidRPr="008625DC">
        <w:t>.</w:t>
      </w:r>
    </w:p>
    <w:p w14:paraId="5DEA05AF" w14:textId="77777777" w:rsidR="00D226CF" w:rsidRPr="008625DC" w:rsidRDefault="00D226CF" w:rsidP="000B5916">
      <w:pPr>
        <w:pStyle w:val="Heading2"/>
        <w:ind w:left="851" w:hanging="851"/>
        <w:rPr>
          <w:lang w:val="en-AU"/>
        </w:rPr>
      </w:pPr>
      <w:bookmarkStart w:id="8071" w:name="_Toc396397378"/>
      <w:bookmarkStart w:id="8072" w:name="_Toc396815115"/>
      <w:bookmarkStart w:id="8073" w:name="_Toc396821065"/>
      <w:bookmarkStart w:id="8074" w:name="_Toc396821673"/>
      <w:bookmarkStart w:id="8075" w:name="_Toc396827523"/>
      <w:bookmarkStart w:id="8076" w:name="_Toc396828494"/>
      <w:bookmarkStart w:id="8077" w:name="_Toc396828604"/>
      <w:bookmarkStart w:id="8078" w:name="_Toc396837993"/>
      <w:bookmarkStart w:id="8079" w:name="_Toc396838391"/>
      <w:bookmarkStart w:id="8080" w:name="_Toc396904124"/>
      <w:bookmarkStart w:id="8081" w:name="_Toc396904714"/>
      <w:bookmarkStart w:id="8082" w:name="_Toc396907548"/>
      <w:bookmarkStart w:id="8083" w:name="_Toc396912467"/>
      <w:bookmarkStart w:id="8084" w:name="_Toc396914447"/>
      <w:bookmarkStart w:id="8085" w:name="_Toc396915331"/>
      <w:bookmarkStart w:id="8086" w:name="_Toc396915725"/>
      <w:bookmarkStart w:id="8087" w:name="_Toc396921036"/>
      <w:bookmarkStart w:id="8088" w:name="_Toc396924376"/>
      <w:bookmarkStart w:id="8089" w:name="_Toc396925070"/>
      <w:bookmarkStart w:id="8090" w:name="_Toc396992190"/>
      <w:bookmarkStart w:id="8091" w:name="_Toc396992769"/>
      <w:bookmarkStart w:id="8092" w:name="_Toc396994433"/>
      <w:bookmarkStart w:id="8093" w:name="_Toc397002204"/>
      <w:bookmarkStart w:id="8094" w:name="_Toc397003123"/>
      <w:bookmarkStart w:id="8095" w:name="_Toc397008681"/>
      <w:bookmarkStart w:id="8096" w:name="_Toc397008899"/>
      <w:bookmarkStart w:id="8097" w:name="_Toc397011571"/>
      <w:bookmarkStart w:id="8098" w:name="_Toc397012632"/>
      <w:bookmarkStart w:id="8099" w:name="_Toc397014974"/>
      <w:bookmarkStart w:id="8100" w:name="_Toc397015461"/>
      <w:bookmarkStart w:id="8101" w:name="_Toc397070532"/>
      <w:bookmarkStart w:id="8102" w:name="_Toc397413270"/>
      <w:bookmarkStart w:id="8103" w:name="_Toc397413417"/>
      <w:bookmarkStart w:id="8104" w:name="_Toc397428002"/>
      <w:bookmarkStart w:id="8105" w:name="_Toc397439390"/>
      <w:bookmarkStart w:id="8106" w:name="_Toc397439560"/>
      <w:bookmarkStart w:id="8107" w:name="_Toc397439816"/>
      <w:bookmarkStart w:id="8108" w:name="_Toc397440118"/>
      <w:bookmarkStart w:id="8109" w:name="_Toc397441747"/>
      <w:bookmarkStart w:id="8110" w:name="_Toc397517449"/>
      <w:bookmarkStart w:id="8111" w:name="_Toc397522714"/>
      <w:bookmarkStart w:id="8112" w:name="_Toc397526132"/>
      <w:bookmarkStart w:id="8113" w:name="_Toc397528447"/>
      <w:bookmarkStart w:id="8114" w:name="_Toc397528922"/>
      <w:bookmarkStart w:id="8115" w:name="_Toc397601919"/>
      <w:bookmarkStart w:id="8116" w:name="_Toc397602654"/>
      <w:bookmarkStart w:id="8117" w:name="_Toc397605783"/>
      <w:bookmarkStart w:id="8118" w:name="_Toc397614927"/>
      <w:bookmarkStart w:id="8119" w:name="_Toc397616370"/>
      <w:bookmarkStart w:id="8120" w:name="_Toc397616764"/>
      <w:bookmarkStart w:id="8121" w:name="_Toc397679174"/>
      <w:bookmarkStart w:id="8122" w:name="_Toc397688062"/>
      <w:bookmarkStart w:id="8123" w:name="_Toc397689278"/>
      <w:bookmarkStart w:id="8124" w:name="_Toc397694558"/>
      <w:bookmarkStart w:id="8125" w:name="_Toc397696399"/>
      <w:bookmarkStart w:id="8126" w:name="_Toc397697133"/>
      <w:bookmarkStart w:id="8127" w:name="_Toc397698420"/>
      <w:bookmarkStart w:id="8128" w:name="_Toc397699786"/>
      <w:bookmarkStart w:id="8129" w:name="_Toc397700240"/>
      <w:bookmarkStart w:id="8130" w:name="_Toc397936632"/>
      <w:bookmarkStart w:id="8131" w:name="_Toc397936752"/>
      <w:bookmarkStart w:id="8132" w:name="_Toc397945907"/>
      <w:bookmarkStart w:id="8133" w:name="_Toc397946933"/>
      <w:bookmarkStart w:id="8134" w:name="_Toc397948052"/>
      <w:bookmarkStart w:id="8135" w:name="_Toc397958458"/>
      <w:bookmarkStart w:id="8136" w:name="_Toc397958700"/>
      <w:bookmarkStart w:id="8137" w:name="_Toc397959115"/>
      <w:bookmarkStart w:id="8138" w:name="_Toc397962968"/>
      <w:bookmarkStart w:id="8139" w:name="_Toc397963334"/>
      <w:bookmarkStart w:id="8140" w:name="_Toc397965411"/>
      <w:bookmarkStart w:id="8141" w:name="_Toc398197350"/>
      <w:bookmarkStart w:id="8142" w:name="_Toc398199853"/>
      <w:bookmarkStart w:id="8143" w:name="_Toc398201567"/>
      <w:bookmarkStart w:id="8144" w:name="_Toc398207172"/>
      <w:bookmarkStart w:id="8145" w:name="_Toc398210445"/>
      <w:bookmarkStart w:id="8146" w:name="_Toc398210959"/>
      <w:bookmarkStart w:id="8147" w:name="_Toc398211096"/>
      <w:bookmarkStart w:id="8148" w:name="_Toc398219767"/>
      <w:bookmarkStart w:id="8149" w:name="_Toc398220142"/>
      <w:bookmarkStart w:id="8150" w:name="_Toc398220529"/>
      <w:bookmarkStart w:id="8151" w:name="_Toc398221607"/>
      <w:bookmarkStart w:id="8152" w:name="_Toc398222293"/>
      <w:bookmarkStart w:id="8153" w:name="_Toc398222605"/>
      <w:bookmarkStart w:id="8154" w:name="_Toc398223022"/>
      <w:bookmarkStart w:id="8155" w:name="_Toc398223401"/>
      <w:bookmarkStart w:id="8156" w:name="_Toc398223528"/>
      <w:bookmarkStart w:id="8157" w:name="_Toc398224336"/>
      <w:bookmarkStart w:id="8158" w:name="_Toc398225673"/>
      <w:bookmarkStart w:id="8159" w:name="_Toc398225798"/>
      <w:bookmarkStart w:id="8160" w:name="_Toc398281285"/>
      <w:bookmarkStart w:id="8161" w:name="_Toc398282144"/>
      <w:bookmarkStart w:id="8162" w:name="_Toc398284814"/>
      <w:bookmarkStart w:id="8163" w:name="_Toc398287283"/>
      <w:bookmarkStart w:id="8164" w:name="_Toc398289166"/>
      <w:bookmarkStart w:id="8165" w:name="_Toc398297163"/>
      <w:bookmarkStart w:id="8166" w:name="_Toc398298637"/>
      <w:bookmarkStart w:id="8167" w:name="_Toc398300338"/>
      <w:bookmarkStart w:id="8168" w:name="_Toc398301235"/>
      <w:bookmarkStart w:id="8169" w:name="_Toc398302420"/>
      <w:bookmarkStart w:id="8170" w:name="_Toc398302583"/>
      <w:bookmarkStart w:id="8171" w:name="_Toc398549096"/>
      <w:bookmarkStart w:id="8172" w:name="_Toc398549346"/>
      <w:bookmarkStart w:id="8173" w:name="_Toc398555765"/>
      <w:bookmarkStart w:id="8174" w:name="_Toc398558969"/>
      <w:bookmarkStart w:id="8175" w:name="_Toc398563455"/>
      <w:bookmarkStart w:id="8176" w:name="_Toc398563588"/>
      <w:bookmarkStart w:id="8177" w:name="_Toc398563987"/>
      <w:bookmarkStart w:id="8178" w:name="_Toc398827325"/>
      <w:bookmarkStart w:id="8179" w:name="_Toc398827519"/>
      <w:bookmarkStart w:id="8180" w:name="s39"/>
      <w:r w:rsidRPr="008625DC">
        <w:rPr>
          <w:lang w:val="en-AU"/>
        </w:rPr>
        <w:lastRenderedPageBreak/>
        <w:t>Price discrimination</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bookmarkEnd w:id="8180"/>
    <w:p w14:paraId="17B38955" w14:textId="2548B777" w:rsidR="00170CD3" w:rsidRPr="008625DC" w:rsidRDefault="00170CD3" w:rsidP="00170CD3">
      <w:r w:rsidRPr="008625DC">
        <w:t>The Panel recognises that some small businesses and consumers hav</w:t>
      </w:r>
      <w:r w:rsidR="005C6A7D" w:rsidRPr="008625DC">
        <w:t>e concerns about the impacts of </w:t>
      </w:r>
      <w:r w:rsidRPr="008625DC">
        <w:t xml:space="preserve">price discrimination. However, the former prohibition on price discrimination (contained in the repealed section 49) was found to be likely to result in price inflexibility, which would negatively </w:t>
      </w:r>
      <w:r w:rsidR="0034547C" w:rsidRPr="008625DC">
        <w:t>affect</w:t>
      </w:r>
      <w:r w:rsidRPr="008625DC">
        <w:t xml:space="preserve"> consumer welfare.</w:t>
      </w:r>
    </w:p>
    <w:p w14:paraId="1D69C738" w14:textId="1D0C62B7" w:rsidR="007939C7" w:rsidRPr="008625DC" w:rsidRDefault="007939C7" w:rsidP="007939C7">
      <w:r w:rsidRPr="008625DC">
        <w:t>In relation to international price discrimination, the Panel considers there would be significant implementation difficulties associated with any attempt to prohibit international price discrimination. A prohibition on international price discrimination could lead to significant negative consequences, ultimately limiting consumer choice. The Panel favours encouraging the development and use of market</w:t>
      </w:r>
      <w:r w:rsidR="00C74E19" w:rsidRPr="008625DC">
        <w:noBreakHyphen/>
      </w:r>
      <w:r w:rsidRPr="008625DC">
        <w:t>based mechanisms to put downward pressure on prices.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7939C7" w:rsidRPr="008625DC" w14:paraId="15C0462A" w14:textId="77777777" w:rsidTr="00F81722">
        <w:tc>
          <w:tcPr>
            <w:tcW w:w="5000" w:type="pct"/>
            <w:shd w:val="clear" w:color="auto" w:fill="E9F7F3" w:themeFill="accent4" w:themeFillTint="33"/>
          </w:tcPr>
          <w:p w14:paraId="7E0C6D62" w14:textId="7204265D" w:rsidR="007939C7" w:rsidRPr="008625DC" w:rsidRDefault="007939C7" w:rsidP="00F81722">
            <w:pPr>
              <w:pStyle w:val="RecommendationHeading"/>
            </w:pPr>
            <w:bookmarkStart w:id="8181" w:name="DR26"/>
            <w:r w:rsidRPr="008625DC">
              <w:t xml:space="preserve">Draft Recommendation </w:t>
            </w:r>
            <w:r w:rsidRPr="008625DC">
              <w:fldChar w:fldCharType="begin"/>
            </w:r>
            <w:r w:rsidRPr="008625DC">
              <w:instrText xml:space="preserve"> AUTONUMLGL  \* Arabic \e </w:instrText>
            </w:r>
            <w:r w:rsidRPr="008625DC">
              <w:fldChar w:fldCharType="end"/>
            </w:r>
            <w:bookmarkEnd w:id="8181"/>
            <w:r w:rsidR="00380141" w:rsidRPr="008625DC">
              <w:t xml:space="preserve"> — </w:t>
            </w:r>
            <w:r w:rsidR="00FC1492" w:rsidRPr="008625DC">
              <w:t>Price discrimination</w:t>
            </w:r>
          </w:p>
          <w:p w14:paraId="3DCD31BA" w14:textId="7E663E31" w:rsidR="007939C7" w:rsidRPr="008625DC" w:rsidRDefault="007939C7" w:rsidP="00F81722">
            <w:pPr>
              <w:pStyle w:val="RecommendationText"/>
            </w:pPr>
            <w:r w:rsidRPr="008625DC">
              <w:t>A specific prohibition on price discrimination should not be reintroduced into the CCA. Where price discrimination has an anti</w:t>
            </w:r>
            <w:r w:rsidR="00C74E19" w:rsidRPr="008625DC">
              <w:noBreakHyphen/>
            </w:r>
            <w:r w:rsidRPr="008625DC">
              <w:t>competitive impact on markets, it can be dealt with by the existing provisions of the law (including through the recommended revisions to section</w:t>
            </w:r>
            <w:r w:rsidR="00E44E73" w:rsidRPr="008625DC">
              <w:t> </w:t>
            </w:r>
            <w:r w:rsidRPr="008625DC">
              <w:t>46</w:t>
            </w:r>
            <w:r w:rsidR="0058003F" w:rsidRPr="008625DC">
              <w:t xml:space="preserve">, see Draft Recommendation </w:t>
            </w:r>
            <w:r w:rsidR="009371D0" w:rsidRPr="008625DC">
              <w:t>25</w:t>
            </w:r>
            <w:r w:rsidRPr="008625DC">
              <w:t>).</w:t>
            </w:r>
          </w:p>
          <w:p w14:paraId="03F9806B" w14:textId="3565C619" w:rsidR="007939C7" w:rsidRPr="008625DC" w:rsidRDefault="007939C7" w:rsidP="00907820">
            <w:pPr>
              <w:pStyle w:val="RecommendationText"/>
            </w:pPr>
            <w:r w:rsidRPr="008625DC">
              <w:t xml:space="preserve">Attempts to prohibit international price discrimination should not be introduced into the CCA </w:t>
            </w:r>
            <w:r w:rsidR="00D37180" w:rsidRPr="008625DC">
              <w:t>on account of</w:t>
            </w:r>
            <w:r w:rsidRPr="008625DC">
              <w:t xml:space="preserve"> significant implementation and enforcement complexities and the risk of negative unintended consequences.</w:t>
            </w:r>
            <w:r w:rsidR="00A94EBF" w:rsidRPr="008625DC">
              <w:t xml:space="preserve"> Instead the Panel supports moves to address </w:t>
            </w:r>
            <w:r w:rsidR="00907820" w:rsidRPr="008625DC">
              <w:t xml:space="preserve">international </w:t>
            </w:r>
            <w:r w:rsidR="00A94EBF" w:rsidRPr="008625DC">
              <w:t>price di</w:t>
            </w:r>
            <w:r w:rsidR="003E6A52" w:rsidRPr="008625DC">
              <w:t xml:space="preserve">scrimination through market solutions that </w:t>
            </w:r>
            <w:r w:rsidR="00A94EBF" w:rsidRPr="008625DC">
              <w:t>empower consumers</w:t>
            </w:r>
            <w:r w:rsidR="003E6A52" w:rsidRPr="008625DC">
              <w:t xml:space="preserve">. These include the removal of restrictions on parallel imports (see </w:t>
            </w:r>
            <w:r w:rsidR="00987FEE" w:rsidRPr="008625DC">
              <w:t xml:space="preserve">Draft </w:t>
            </w:r>
            <w:r w:rsidR="003E6A52" w:rsidRPr="008625DC">
              <w:t xml:space="preserve">Recommendation </w:t>
            </w:r>
            <w:r w:rsidR="00987FEE" w:rsidRPr="008625DC">
              <w:t>9</w:t>
            </w:r>
            <w:r w:rsidR="003E6A52" w:rsidRPr="008625DC">
              <w:t xml:space="preserve">) and ensuring that consumers are able to take legal steps to circumvent attempts to prevent their access to cheaper legitimate goods. </w:t>
            </w:r>
          </w:p>
        </w:tc>
      </w:tr>
    </w:tbl>
    <w:p w14:paraId="0F59BDE0" w14:textId="0CEC09F9" w:rsidR="00254D5D" w:rsidRPr="008625DC" w:rsidRDefault="00254D5D" w:rsidP="0006207D">
      <w:pPr>
        <w:spacing w:before="240"/>
      </w:pPr>
      <w:bookmarkStart w:id="8182" w:name="_Toc396397379"/>
      <w:bookmarkStart w:id="8183" w:name="_Toc396815116"/>
      <w:bookmarkStart w:id="8184" w:name="_Toc396821066"/>
      <w:bookmarkStart w:id="8185" w:name="_Toc396821674"/>
      <w:bookmarkStart w:id="8186" w:name="_Toc396827524"/>
      <w:bookmarkStart w:id="8187" w:name="_Toc396828495"/>
      <w:bookmarkStart w:id="8188" w:name="_Toc396828605"/>
      <w:bookmarkStart w:id="8189" w:name="_Toc396837994"/>
      <w:bookmarkStart w:id="8190" w:name="_Toc396838392"/>
      <w:bookmarkStart w:id="8191" w:name="_Toc396904125"/>
      <w:bookmarkStart w:id="8192" w:name="_Toc396904715"/>
      <w:bookmarkStart w:id="8193" w:name="_Toc396907549"/>
      <w:bookmarkStart w:id="8194" w:name="_Toc396912468"/>
      <w:r w:rsidRPr="008625DC">
        <w:t xml:space="preserve">For further </w:t>
      </w:r>
      <w:r w:rsidR="00734B17" w:rsidRPr="008625DC">
        <w:t>detail</w:t>
      </w:r>
      <w:r w:rsidRPr="008625DC">
        <w:t xml:space="preserve"> on price discrimination, see </w:t>
      </w:r>
      <w:hyperlink w:anchor="s162" w:history="1">
        <w:r w:rsidR="00C538EE" w:rsidRPr="008625DC">
          <w:rPr>
            <w:rStyle w:val="Hyperlink"/>
          </w:rPr>
          <w:t>Section</w:t>
        </w:r>
        <w:r w:rsidRPr="008625DC">
          <w:rPr>
            <w:rStyle w:val="Hyperlink"/>
          </w:rPr>
          <w:t xml:space="preserve"> 1</w:t>
        </w:r>
        <w:r w:rsidR="00BC47E4" w:rsidRPr="008625DC">
          <w:rPr>
            <w:rStyle w:val="Hyperlink"/>
          </w:rPr>
          <w:t>6</w:t>
        </w:r>
        <w:r w:rsidRPr="008625DC">
          <w:rPr>
            <w:rStyle w:val="Hyperlink"/>
          </w:rPr>
          <w:t>.2</w:t>
        </w:r>
      </w:hyperlink>
      <w:r w:rsidRPr="008625DC">
        <w:t xml:space="preserve">. </w:t>
      </w:r>
    </w:p>
    <w:p w14:paraId="591D0ED4" w14:textId="77777777" w:rsidR="00D226CF" w:rsidRPr="008625DC" w:rsidRDefault="00D226CF" w:rsidP="000B5916">
      <w:pPr>
        <w:pStyle w:val="Heading2"/>
        <w:ind w:left="851" w:hanging="851"/>
        <w:rPr>
          <w:lang w:val="en-AU"/>
        </w:rPr>
      </w:pPr>
      <w:bookmarkStart w:id="8195" w:name="_Toc396914448"/>
      <w:bookmarkStart w:id="8196" w:name="_Toc396915332"/>
      <w:bookmarkStart w:id="8197" w:name="_Toc396915726"/>
      <w:bookmarkStart w:id="8198" w:name="_Toc396921037"/>
      <w:bookmarkStart w:id="8199" w:name="_Toc396924377"/>
      <w:bookmarkStart w:id="8200" w:name="_Toc396925071"/>
      <w:bookmarkStart w:id="8201" w:name="_Toc396992191"/>
      <w:bookmarkStart w:id="8202" w:name="_Toc396992770"/>
      <w:bookmarkStart w:id="8203" w:name="_Toc396994434"/>
      <w:bookmarkStart w:id="8204" w:name="_Toc397002205"/>
      <w:bookmarkStart w:id="8205" w:name="_Toc397003124"/>
      <w:bookmarkStart w:id="8206" w:name="_Toc397008682"/>
      <w:bookmarkStart w:id="8207" w:name="_Toc397008900"/>
      <w:bookmarkStart w:id="8208" w:name="_Toc397011572"/>
      <w:bookmarkStart w:id="8209" w:name="_Toc397012633"/>
      <w:bookmarkStart w:id="8210" w:name="_Toc397014975"/>
      <w:bookmarkStart w:id="8211" w:name="_Toc397015462"/>
      <w:bookmarkStart w:id="8212" w:name="_Toc397070533"/>
      <w:bookmarkStart w:id="8213" w:name="_Toc397413271"/>
      <w:bookmarkStart w:id="8214" w:name="_Toc397413418"/>
      <w:bookmarkStart w:id="8215" w:name="_Toc397428003"/>
      <w:bookmarkStart w:id="8216" w:name="_Toc397439391"/>
      <w:bookmarkStart w:id="8217" w:name="_Toc397439561"/>
      <w:bookmarkStart w:id="8218" w:name="_Toc397439817"/>
      <w:bookmarkStart w:id="8219" w:name="_Toc397440119"/>
      <w:bookmarkStart w:id="8220" w:name="_Toc397441748"/>
      <w:bookmarkStart w:id="8221" w:name="_Toc397517450"/>
      <w:bookmarkStart w:id="8222" w:name="_Toc397522715"/>
      <w:bookmarkStart w:id="8223" w:name="_Toc397526133"/>
      <w:bookmarkStart w:id="8224" w:name="_Toc397528448"/>
      <w:bookmarkStart w:id="8225" w:name="_Toc397528923"/>
      <w:bookmarkStart w:id="8226" w:name="_Toc397601920"/>
      <w:bookmarkStart w:id="8227" w:name="_Toc397602655"/>
      <w:bookmarkStart w:id="8228" w:name="_Toc397605784"/>
      <w:bookmarkStart w:id="8229" w:name="_Toc397614928"/>
      <w:bookmarkStart w:id="8230" w:name="_Toc397616371"/>
      <w:bookmarkStart w:id="8231" w:name="_Toc397616765"/>
      <w:bookmarkStart w:id="8232" w:name="_Toc397679175"/>
      <w:bookmarkStart w:id="8233" w:name="_Toc397688063"/>
      <w:bookmarkStart w:id="8234" w:name="_Toc397689279"/>
      <w:bookmarkStart w:id="8235" w:name="_Toc397694559"/>
      <w:bookmarkStart w:id="8236" w:name="_Toc397696400"/>
      <w:bookmarkStart w:id="8237" w:name="_Toc397697134"/>
      <w:bookmarkStart w:id="8238" w:name="_Toc397698421"/>
      <w:bookmarkStart w:id="8239" w:name="_Toc397699787"/>
      <w:bookmarkStart w:id="8240" w:name="_Toc397700241"/>
      <w:bookmarkStart w:id="8241" w:name="_Toc397936633"/>
      <w:bookmarkStart w:id="8242" w:name="_Toc397936753"/>
      <w:bookmarkStart w:id="8243" w:name="_Toc397945908"/>
      <w:bookmarkStart w:id="8244" w:name="_Toc397946934"/>
      <w:bookmarkStart w:id="8245" w:name="_Toc397948053"/>
      <w:bookmarkStart w:id="8246" w:name="_Toc397958459"/>
      <w:bookmarkStart w:id="8247" w:name="_Toc397958701"/>
      <w:bookmarkStart w:id="8248" w:name="_Toc397959116"/>
      <w:bookmarkStart w:id="8249" w:name="_Toc397962969"/>
      <w:bookmarkStart w:id="8250" w:name="_Toc397963335"/>
      <w:bookmarkStart w:id="8251" w:name="_Toc397965412"/>
      <w:bookmarkStart w:id="8252" w:name="_Toc398197351"/>
      <w:bookmarkStart w:id="8253" w:name="_Toc398199854"/>
      <w:bookmarkStart w:id="8254" w:name="_Toc398201568"/>
      <w:bookmarkStart w:id="8255" w:name="_Toc398207173"/>
      <w:bookmarkStart w:id="8256" w:name="_Toc398210446"/>
      <w:bookmarkStart w:id="8257" w:name="_Toc398210960"/>
      <w:bookmarkStart w:id="8258" w:name="_Toc398211097"/>
      <w:bookmarkStart w:id="8259" w:name="_Toc398219768"/>
      <w:bookmarkStart w:id="8260" w:name="_Toc398220143"/>
      <w:bookmarkStart w:id="8261" w:name="_Toc398220530"/>
      <w:bookmarkStart w:id="8262" w:name="_Toc398221608"/>
      <w:bookmarkStart w:id="8263" w:name="_Toc398222294"/>
      <w:bookmarkStart w:id="8264" w:name="_Toc398222606"/>
      <w:bookmarkStart w:id="8265" w:name="_Toc398223023"/>
      <w:bookmarkStart w:id="8266" w:name="_Toc398223402"/>
      <w:bookmarkStart w:id="8267" w:name="_Toc398223529"/>
      <w:bookmarkStart w:id="8268" w:name="_Toc398224337"/>
      <w:bookmarkStart w:id="8269" w:name="_Toc398225674"/>
      <w:bookmarkStart w:id="8270" w:name="_Toc398225799"/>
      <w:bookmarkStart w:id="8271" w:name="_Toc398281286"/>
      <w:bookmarkStart w:id="8272" w:name="_Toc398282145"/>
      <w:bookmarkStart w:id="8273" w:name="_Toc398284815"/>
      <w:bookmarkStart w:id="8274" w:name="_Toc398287284"/>
      <w:bookmarkStart w:id="8275" w:name="_Toc398289167"/>
      <w:bookmarkStart w:id="8276" w:name="_Toc398297164"/>
      <w:bookmarkStart w:id="8277" w:name="_Toc398298638"/>
      <w:bookmarkStart w:id="8278" w:name="_Toc398300339"/>
      <w:bookmarkStart w:id="8279" w:name="_Toc398301236"/>
      <w:bookmarkStart w:id="8280" w:name="_Toc398302421"/>
      <w:bookmarkStart w:id="8281" w:name="_Toc398302584"/>
      <w:bookmarkStart w:id="8282" w:name="_Toc398549097"/>
      <w:bookmarkStart w:id="8283" w:name="_Toc398549347"/>
      <w:bookmarkStart w:id="8284" w:name="_Toc398555766"/>
      <w:bookmarkStart w:id="8285" w:name="_Toc398558970"/>
      <w:bookmarkStart w:id="8286" w:name="_Toc398563456"/>
      <w:bookmarkStart w:id="8287" w:name="_Toc398563589"/>
      <w:bookmarkStart w:id="8288" w:name="_Toc398563988"/>
      <w:bookmarkStart w:id="8289" w:name="_Toc398827326"/>
      <w:bookmarkStart w:id="8290" w:name="_Toc398827520"/>
      <w:bookmarkStart w:id="8291" w:name="s310"/>
      <w:r w:rsidRPr="008625DC">
        <w:rPr>
          <w:lang w:val="en-AU"/>
        </w:rPr>
        <w:t>Vertical restrictions (other than resale price maintenance)</w:t>
      </w:r>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bookmarkEnd w:id="8291"/>
    <w:p w14:paraId="1335B12D" w14:textId="77777777" w:rsidR="00170CD3" w:rsidRPr="008625DC" w:rsidRDefault="00170CD3" w:rsidP="00170CD3">
      <w:r w:rsidRPr="008625DC">
        <w:t xml:space="preserve">As a general principle, the CCA should not interfere with trading conditions agreed between buyers and sellers in connection with the acquisition and supply of goods and services unless those conditions have the purpose, or would have or be likely to have the effect, of substantially lessening competition. </w:t>
      </w:r>
    </w:p>
    <w:p w14:paraId="7A91FDF9" w14:textId="51732D2F" w:rsidR="00D226CF" w:rsidRPr="008625DC" w:rsidRDefault="00D226CF" w:rsidP="00D226CF">
      <w:r w:rsidRPr="008625DC">
        <w:t>Consistent with that principle, the Panel sees no need for third</w:t>
      </w:r>
      <w:r w:rsidR="00C74E19" w:rsidRPr="008625DC">
        <w:noBreakHyphen/>
      </w:r>
      <w:r w:rsidRPr="008625DC">
        <w:t>line forcing to be singled out from other forms of vertical trading conditions and prohibited per se. As notifications to the ACCC demonstrate, third</w:t>
      </w:r>
      <w:r w:rsidR="00C74E19" w:rsidRPr="008625DC">
        <w:noBreakHyphen/>
      </w:r>
      <w:r w:rsidRPr="008625DC">
        <w:t xml:space="preserve">line forcing is a common business practice and </w:t>
      </w:r>
      <w:r w:rsidR="00907820" w:rsidRPr="008625DC">
        <w:t xml:space="preserve">very infrequently </w:t>
      </w:r>
      <w:r w:rsidRPr="008625DC">
        <w:t>has anti</w:t>
      </w:r>
      <w:r w:rsidR="00C74E19" w:rsidRPr="008625DC">
        <w:noBreakHyphen/>
      </w:r>
      <w:r w:rsidRPr="008625DC">
        <w:t>competitive effects.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226CF" w:rsidRPr="008625DC" w14:paraId="459712E7" w14:textId="77777777" w:rsidTr="00377EEF">
        <w:tc>
          <w:tcPr>
            <w:tcW w:w="5000" w:type="pct"/>
            <w:shd w:val="clear" w:color="auto" w:fill="E9F7F3" w:themeFill="accent4" w:themeFillTint="33"/>
          </w:tcPr>
          <w:p w14:paraId="3A1ACC90" w14:textId="72289FDA" w:rsidR="00D226CF" w:rsidRPr="008625DC" w:rsidRDefault="00D226CF" w:rsidP="00377EEF">
            <w:pPr>
              <w:pStyle w:val="RecommendationHeading"/>
            </w:pPr>
            <w:bookmarkStart w:id="8292" w:name="_Toc396148969"/>
            <w:bookmarkStart w:id="8293" w:name="_Toc396138968"/>
            <w:bookmarkStart w:id="8294" w:name="_Toc396145888"/>
            <w:bookmarkStart w:id="8295" w:name="_Toc396146546"/>
            <w:bookmarkStart w:id="8296" w:name="_Toc396147714"/>
            <w:bookmarkStart w:id="8297" w:name="_Toc396149396"/>
            <w:bookmarkStart w:id="8298" w:name="_Toc396149854"/>
            <w:bookmarkStart w:id="8299" w:name="_Toc396151585"/>
            <w:bookmarkStart w:id="8300" w:name="_Toc396202593"/>
            <w:bookmarkStart w:id="8301" w:name="_Toc396206800"/>
            <w:bookmarkStart w:id="8302" w:name="_Toc396209628"/>
            <w:bookmarkStart w:id="8303" w:name="_Toc396212052"/>
            <w:bookmarkStart w:id="8304" w:name="_Toc396213394"/>
            <w:bookmarkStart w:id="8305" w:name="_Toc396214670"/>
            <w:bookmarkStart w:id="8306" w:name="_Toc396226782"/>
            <w:bookmarkStart w:id="8307" w:name="_Toc396228982"/>
            <w:bookmarkStart w:id="8308" w:name="_Toc396230624"/>
            <w:bookmarkStart w:id="8309" w:name="_Toc396231765"/>
            <w:bookmarkStart w:id="8310" w:name="_Toc396233405"/>
            <w:bookmarkStart w:id="8311" w:name="_Toc396234225"/>
            <w:bookmarkStart w:id="8312" w:name="_Toc396234634"/>
            <w:bookmarkStart w:id="8313" w:name="_Toc396586318"/>
            <w:bookmarkStart w:id="8314" w:name="DR27"/>
            <w:r w:rsidRPr="008625DC">
              <w:t xml:space="preserve">Draft Recommendation </w:t>
            </w:r>
            <w:r w:rsidRPr="008625DC">
              <w:fldChar w:fldCharType="begin"/>
            </w:r>
            <w:bookmarkEnd w:id="8292"/>
            <w:r w:rsidRPr="008625DC">
              <w:instrText xml:space="preserve"> AUTONUMLGL  \* Arabic \e </w:instrText>
            </w:r>
            <w:r w:rsidRPr="008625DC">
              <w:fldChar w:fldCharType="end"/>
            </w:r>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r w:rsidR="00380141" w:rsidRPr="008625DC">
              <w:t xml:space="preserve"> — </w:t>
            </w:r>
            <w:r w:rsidR="00FC1492" w:rsidRPr="008625DC">
              <w:t>Third</w:t>
            </w:r>
            <w:r w:rsidR="00C74E19" w:rsidRPr="008625DC">
              <w:noBreakHyphen/>
            </w:r>
            <w:r w:rsidR="00FC1492" w:rsidRPr="008625DC">
              <w:t>line forcing test</w:t>
            </w:r>
          </w:p>
          <w:p w14:paraId="2AD196E8" w14:textId="04C93F88" w:rsidR="00D226CF" w:rsidRPr="008625DC" w:rsidRDefault="00147D34" w:rsidP="001C34C1">
            <w:pPr>
              <w:pStyle w:val="RecommendationText"/>
            </w:pPr>
            <w:r w:rsidRPr="008625DC">
              <w:t xml:space="preserve">The provisions on </w:t>
            </w:r>
            <w:r w:rsidR="00C74E19" w:rsidRPr="008625DC">
              <w:t>‘</w:t>
            </w:r>
            <w:r w:rsidRPr="008625DC">
              <w:t>third</w:t>
            </w:r>
            <w:r w:rsidR="00C74E19" w:rsidRPr="008625DC">
              <w:noBreakHyphen/>
            </w:r>
            <w:r w:rsidRPr="008625DC">
              <w:t xml:space="preserve">line </w:t>
            </w:r>
            <w:r w:rsidR="00170CD3" w:rsidRPr="008625DC">
              <w:t>forcing</w:t>
            </w:r>
            <w:r w:rsidR="00C74E19" w:rsidRPr="008625DC">
              <w:t>’</w:t>
            </w:r>
            <w:r w:rsidR="00170CD3" w:rsidRPr="008625DC">
              <w:t xml:space="preserve"> </w:t>
            </w:r>
            <w:r w:rsidRPr="008625DC">
              <w:t>(subsections</w:t>
            </w:r>
            <w:r w:rsidR="00BD3105" w:rsidRPr="008625DC">
              <w:t> </w:t>
            </w:r>
            <w:r w:rsidRPr="008625DC">
              <w:t xml:space="preserve">47(6) </w:t>
            </w:r>
            <w:r w:rsidR="0006207D" w:rsidRPr="008625DC">
              <w:t>and</w:t>
            </w:r>
            <w:r w:rsidR="00170CD3" w:rsidRPr="008625DC">
              <w:t xml:space="preserve"> </w:t>
            </w:r>
            <w:r w:rsidRPr="008625DC">
              <w:t>(7)) should be brought into line with the rest of section</w:t>
            </w:r>
            <w:r w:rsidR="00170CD3" w:rsidRPr="008625DC">
              <w:t xml:space="preserve"> </w:t>
            </w:r>
            <w:r w:rsidRPr="008625DC">
              <w:t>47</w:t>
            </w:r>
            <w:r w:rsidR="00170CD3" w:rsidRPr="008625DC">
              <w:t>. Third</w:t>
            </w:r>
            <w:r w:rsidR="00C74E19" w:rsidRPr="008625DC">
              <w:noBreakHyphen/>
            </w:r>
            <w:r w:rsidR="00170CD3" w:rsidRPr="008625DC">
              <w:t>line forcing should only be prohibited</w:t>
            </w:r>
            <w:r w:rsidRPr="008625DC">
              <w:t xml:space="preserve"> where </w:t>
            </w:r>
            <w:r w:rsidR="00170CD3" w:rsidRPr="008625DC">
              <w:t xml:space="preserve">it has </w:t>
            </w:r>
            <w:r w:rsidRPr="008625DC">
              <w:t xml:space="preserve">the purpose, </w:t>
            </w:r>
            <w:r w:rsidRPr="008625DC" w:rsidDel="001C34C1">
              <w:t xml:space="preserve">or </w:t>
            </w:r>
            <w:r w:rsidR="00170CD3" w:rsidRPr="008625DC">
              <w:t>has</w:t>
            </w:r>
            <w:r w:rsidRPr="008625DC">
              <w:t xml:space="preserve"> or </w:t>
            </w:r>
            <w:r w:rsidR="00170CD3" w:rsidRPr="008625DC">
              <w:t xml:space="preserve">is </w:t>
            </w:r>
            <w:r w:rsidRPr="008625DC">
              <w:t xml:space="preserve">likely </w:t>
            </w:r>
            <w:r w:rsidR="00170CD3" w:rsidRPr="008625DC">
              <w:t>to have the effect, of substantially</w:t>
            </w:r>
            <w:r w:rsidRPr="008625DC">
              <w:t xml:space="preserve"> lessening competition.</w:t>
            </w:r>
          </w:p>
        </w:tc>
      </w:tr>
    </w:tbl>
    <w:p w14:paraId="2AD52F1F" w14:textId="7C68BB2D" w:rsidR="00170CD3" w:rsidRPr="008625DC" w:rsidRDefault="00170CD3" w:rsidP="00170CD3">
      <w:pPr>
        <w:spacing w:before="240"/>
      </w:pPr>
      <w:r w:rsidRPr="008625DC">
        <w:t xml:space="preserve">The Panel agrees with the view expressed in many submissions that section 47 is unnecessarily complex and therefore difficult for business to understand and apply. The section focuses attention on particular forms of vertical restraints and directs attention away from the central issue: whether </w:t>
      </w:r>
      <w:r w:rsidRPr="008625DC">
        <w:lastRenderedPageBreak/>
        <w:t>the restriction is anti</w:t>
      </w:r>
      <w:r w:rsidR="00C74E19" w:rsidRPr="008625DC">
        <w:noBreakHyphen/>
      </w:r>
      <w:r w:rsidRPr="008625DC">
        <w:t>competitive. Vertical restraints that are not included in section 47 are nevertheless subject to assessment under section 45, applying the same competition test.</w:t>
      </w:r>
    </w:p>
    <w:p w14:paraId="4F7D8E5B" w14:textId="64029505" w:rsidR="00170CD3" w:rsidRPr="008625DC" w:rsidRDefault="00170CD3" w:rsidP="00170CD3">
      <w:r w:rsidRPr="008625DC">
        <w:t>It may be possible to leave vertical restrictions to be addressed by section 45 alone. However, section 45 does not address conduct consisting of a refusal to supply or acquire goods or services for the reason that a buyer or seller will not agree to a particular anti</w:t>
      </w:r>
      <w:r w:rsidR="00C74E19" w:rsidRPr="008625DC">
        <w:noBreakHyphen/>
      </w:r>
      <w:r w:rsidRPr="008625DC">
        <w:t>competitive trading condition.</w:t>
      </w:r>
    </w:p>
    <w:p w14:paraId="38C391B9" w14:textId="5F3DB875" w:rsidR="00147D34" w:rsidRPr="008625DC" w:rsidRDefault="00147D34" w:rsidP="00147D34">
      <w:r w:rsidRPr="008625DC">
        <w:t>Therefore, the Panel sees merit in revising section</w:t>
      </w:r>
      <w:r w:rsidR="00E44E73" w:rsidRPr="008625DC">
        <w:t> </w:t>
      </w:r>
      <w:r w:rsidRPr="008625DC">
        <w:t>47 to simplify its language</w:t>
      </w:r>
      <w:r w:rsidR="001C34C1" w:rsidRPr="008625DC">
        <w:t xml:space="preserve">, while ensuring </w:t>
      </w:r>
      <w:r w:rsidRPr="008625DC">
        <w:t>it continues to address both the imposition of anti</w:t>
      </w:r>
      <w:r w:rsidR="00C74E19" w:rsidRPr="008625DC">
        <w:noBreakHyphen/>
      </w:r>
      <w:r w:rsidRPr="008625DC">
        <w:t>competitive trading conditions and a refusal to trade because a person will not agree to an anti</w:t>
      </w:r>
      <w:r w:rsidR="00C74E19" w:rsidRPr="008625DC">
        <w:noBreakHyphen/>
      </w:r>
      <w:r w:rsidRPr="008625DC">
        <w:t>competitive trading condition.</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226CF" w:rsidRPr="008625DC" w14:paraId="26FAF769" w14:textId="77777777" w:rsidTr="00377EEF">
        <w:tc>
          <w:tcPr>
            <w:tcW w:w="5000" w:type="pct"/>
            <w:shd w:val="clear" w:color="auto" w:fill="E9F7F3" w:themeFill="accent4" w:themeFillTint="33"/>
          </w:tcPr>
          <w:p w14:paraId="4BFB7744" w14:textId="532431C6" w:rsidR="00D226CF" w:rsidRPr="008625DC" w:rsidRDefault="00D226CF" w:rsidP="00377EEF">
            <w:pPr>
              <w:pStyle w:val="RecommendationHeading"/>
            </w:pPr>
            <w:bookmarkStart w:id="8315" w:name="_Toc396148973"/>
            <w:bookmarkStart w:id="8316" w:name="_Toc396138972"/>
            <w:bookmarkStart w:id="8317" w:name="_Toc396145892"/>
            <w:bookmarkStart w:id="8318" w:name="_Toc396146550"/>
            <w:bookmarkStart w:id="8319" w:name="_Toc396147718"/>
            <w:bookmarkStart w:id="8320" w:name="_Toc396149400"/>
            <w:bookmarkStart w:id="8321" w:name="_Toc396149858"/>
            <w:bookmarkStart w:id="8322" w:name="_Toc396151589"/>
            <w:bookmarkStart w:id="8323" w:name="_Toc396202597"/>
            <w:bookmarkStart w:id="8324" w:name="_Toc396206804"/>
            <w:bookmarkStart w:id="8325" w:name="_Toc396209632"/>
            <w:bookmarkStart w:id="8326" w:name="_Toc396212056"/>
            <w:bookmarkStart w:id="8327" w:name="_Toc396213398"/>
            <w:bookmarkStart w:id="8328" w:name="_Toc396214674"/>
            <w:bookmarkStart w:id="8329" w:name="_Toc396226786"/>
            <w:bookmarkStart w:id="8330" w:name="_Toc396228986"/>
            <w:bookmarkStart w:id="8331" w:name="_Toc396231769"/>
            <w:bookmarkStart w:id="8332" w:name="_Toc396233409"/>
            <w:bookmarkStart w:id="8333" w:name="_Toc396234229"/>
            <w:bookmarkStart w:id="8334" w:name="_Toc396234638"/>
            <w:bookmarkStart w:id="8335" w:name="_Toc396586322"/>
            <w:bookmarkStart w:id="8336" w:name="DR28"/>
            <w:r w:rsidRPr="008625DC">
              <w:t xml:space="preserve">Draft Recommendation </w:t>
            </w:r>
            <w:r w:rsidRPr="008625DC">
              <w:fldChar w:fldCharType="begin"/>
            </w:r>
            <w:bookmarkEnd w:id="8315"/>
            <w:r w:rsidRPr="008625DC">
              <w:instrText xml:space="preserve"> AUTONUMLGL  \* Arabic \e </w:instrText>
            </w:r>
            <w:r w:rsidRPr="008625DC">
              <w:fldChar w:fldCharType="end"/>
            </w:r>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r w:rsidR="00380141" w:rsidRPr="008625DC">
              <w:t xml:space="preserve"> — </w:t>
            </w:r>
            <w:r w:rsidR="006E1B20" w:rsidRPr="008625DC">
              <w:t>Exclusive dealing</w:t>
            </w:r>
            <w:r w:rsidR="00FC1492" w:rsidRPr="008625DC">
              <w:t xml:space="preserve"> coverage</w:t>
            </w:r>
          </w:p>
          <w:p w14:paraId="504294DC" w14:textId="77777777" w:rsidR="00170CD3" w:rsidRPr="008625DC" w:rsidRDefault="00170CD3" w:rsidP="00170CD3">
            <w:pPr>
              <w:pStyle w:val="RecommendationText"/>
            </w:pPr>
            <w:r w:rsidRPr="008625DC">
              <w:t>Section 47 should apply to all forms of vertical conduct rather than specified types of vertical conduct.</w:t>
            </w:r>
          </w:p>
          <w:p w14:paraId="25558D39" w14:textId="194D6483" w:rsidR="00170CD3" w:rsidRPr="008625DC" w:rsidRDefault="00170CD3" w:rsidP="00170CD3">
            <w:pPr>
              <w:pStyle w:val="RecommendationText"/>
            </w:pPr>
            <w:r w:rsidRPr="008625DC">
              <w:t>The provision should be re</w:t>
            </w:r>
            <w:r w:rsidR="00C74E19" w:rsidRPr="008625DC">
              <w:noBreakHyphen/>
            </w:r>
            <w:r w:rsidRPr="008625DC">
              <w:t xml:space="preserve">drafted so it prohibits the following categories of vertical conduct </w:t>
            </w:r>
            <w:r w:rsidR="00F734CD" w:rsidRPr="008625DC">
              <w:t>concerning the supply of goods and services</w:t>
            </w:r>
            <w:r w:rsidRPr="008625DC">
              <w:t>:</w:t>
            </w:r>
          </w:p>
          <w:p w14:paraId="5E177A41" w14:textId="7229D511" w:rsidR="00170CD3" w:rsidRPr="008625DC" w:rsidRDefault="00170CD3" w:rsidP="00DB4ECC">
            <w:pPr>
              <w:pStyle w:val="RecommendationBullet"/>
            </w:pPr>
            <w:r w:rsidRPr="008625DC">
              <w:t>supplying goods or services to a person, or doing so at a particular price or with a particular discount, allowance, rebate or credit, subject to a condition imposed on the person that has the</w:t>
            </w:r>
            <w:r w:rsidR="005C6A7D" w:rsidRPr="008625DC">
              <w:t> </w:t>
            </w:r>
            <w:r w:rsidRPr="008625DC">
              <w:t>purpose, or has or is likely to have the effect, of substantially lessening competition;</w:t>
            </w:r>
            <w:r w:rsidR="00F734CD" w:rsidRPr="008625DC">
              <w:t xml:space="preserve"> and</w:t>
            </w:r>
          </w:p>
          <w:p w14:paraId="4D27D204" w14:textId="4104E06B" w:rsidR="00F734CD" w:rsidRPr="008625DC" w:rsidRDefault="00F734CD" w:rsidP="005C6A7D">
            <w:pPr>
              <w:pStyle w:val="RecommendationBullet"/>
              <w:spacing w:after="180"/>
            </w:pPr>
            <w:r w:rsidRPr="008625DC">
              <w:t>refusing to supply goods or services to a person, or at a particular price or with a particular discount, allowance, rebate or credit, for the reason that the person has not agreed to a condition imposed on the person that has the purpose, or has or is likely to have the effect, of substantially lessening competition.</w:t>
            </w:r>
          </w:p>
          <w:p w14:paraId="18D65736" w14:textId="0809E7E5" w:rsidR="00F734CD" w:rsidRPr="008625DC" w:rsidRDefault="00F734CD" w:rsidP="00DB4ECC">
            <w:pPr>
              <w:spacing w:after="120"/>
            </w:pPr>
            <w:r w:rsidRPr="008625DC">
              <w:t>The provision should also prohibit the following two reciprocal categories of vertical conduct concerning the acquisition of goods and services:</w:t>
            </w:r>
          </w:p>
          <w:p w14:paraId="6573A78B" w14:textId="2EBECF37" w:rsidR="00F734CD" w:rsidRPr="008625DC" w:rsidRDefault="00F734CD" w:rsidP="00DB4ECC">
            <w:pPr>
              <w:pStyle w:val="RecommendationBullet"/>
            </w:pPr>
            <w:r w:rsidRPr="008625DC">
              <w:t>acquiring goods or services from a person, or doing so at a particular price or with a particular discount, allowance, rebate or credit, subject to a condition imposed on the person that has the purpose, or has or is likely to have the effect, of substantially lessening competition; and</w:t>
            </w:r>
          </w:p>
          <w:p w14:paraId="6B90A446" w14:textId="78B51FD4" w:rsidR="00D226CF" w:rsidRPr="008625DC" w:rsidRDefault="00170CD3" w:rsidP="00DB4ECC">
            <w:pPr>
              <w:pStyle w:val="RecommendationBullet"/>
            </w:pPr>
            <w:r w:rsidRPr="008625DC">
              <w:t>refusing to acquire goods or services from a person, or at a particular price or with a particular discount, allowance, rebate or credit, for the reason that the person has not agreed to a condition imposed on the person that has the purpose, or has or is</w:t>
            </w:r>
            <w:r w:rsidR="00147D34" w:rsidRPr="008625DC">
              <w:t xml:space="preserve"> likely to have the effect,</w:t>
            </w:r>
            <w:r w:rsidR="009807D3" w:rsidRPr="008625DC">
              <w:t xml:space="preserve"> </w:t>
            </w:r>
            <w:r w:rsidR="00147D34" w:rsidRPr="008625DC">
              <w:t>of substantially lessening</w:t>
            </w:r>
            <w:r w:rsidR="009807D3" w:rsidRPr="008625DC">
              <w:t xml:space="preserve"> </w:t>
            </w:r>
            <w:r w:rsidR="00147D34" w:rsidRPr="008625DC">
              <w:t>competition.</w:t>
            </w:r>
          </w:p>
        </w:tc>
      </w:tr>
    </w:tbl>
    <w:p w14:paraId="228033AB" w14:textId="0E48F4AA" w:rsidR="00254D5D" w:rsidRPr="008625DC" w:rsidRDefault="00254D5D" w:rsidP="0006207D">
      <w:pPr>
        <w:spacing w:before="240"/>
      </w:pPr>
      <w:bookmarkStart w:id="8337" w:name="_Toc396397380"/>
      <w:bookmarkStart w:id="8338" w:name="_Toc396815117"/>
      <w:bookmarkStart w:id="8339" w:name="_Toc396821067"/>
      <w:bookmarkStart w:id="8340" w:name="_Toc396821675"/>
      <w:bookmarkStart w:id="8341" w:name="_Toc396827525"/>
      <w:bookmarkStart w:id="8342" w:name="_Toc396828496"/>
      <w:bookmarkStart w:id="8343" w:name="_Toc396828606"/>
      <w:bookmarkStart w:id="8344" w:name="_Toc396837995"/>
      <w:bookmarkStart w:id="8345" w:name="_Toc396838393"/>
      <w:bookmarkStart w:id="8346" w:name="_Toc396904126"/>
      <w:bookmarkStart w:id="8347" w:name="_Toc396904716"/>
      <w:bookmarkStart w:id="8348" w:name="_Toc396907550"/>
      <w:bookmarkStart w:id="8349" w:name="_Toc396912469"/>
      <w:r w:rsidRPr="008625DC">
        <w:t xml:space="preserve">For further </w:t>
      </w:r>
      <w:r w:rsidR="00734B17" w:rsidRPr="008625DC">
        <w:t>detail</w:t>
      </w:r>
      <w:r w:rsidRPr="008625DC">
        <w:t xml:space="preserve"> on vertical restrictions (other than resale price maintenance)</w:t>
      </w:r>
      <w:r w:rsidR="002664C8" w:rsidRPr="008625DC">
        <w:t>,</w:t>
      </w:r>
      <w:r w:rsidRPr="008625DC">
        <w:t xml:space="preserve"> see </w:t>
      </w:r>
      <w:hyperlink w:anchor="s173" w:history="1">
        <w:r w:rsidR="00C538EE" w:rsidRPr="008625DC">
          <w:rPr>
            <w:rStyle w:val="Hyperlink"/>
          </w:rPr>
          <w:t>Section</w:t>
        </w:r>
        <w:r w:rsidRPr="008625DC">
          <w:rPr>
            <w:rStyle w:val="Hyperlink"/>
          </w:rPr>
          <w:t xml:space="preserve"> 1</w:t>
        </w:r>
        <w:r w:rsidR="00BC47E4" w:rsidRPr="008625DC">
          <w:rPr>
            <w:rStyle w:val="Hyperlink"/>
          </w:rPr>
          <w:t>7</w:t>
        </w:r>
        <w:r w:rsidR="001E06C4" w:rsidRPr="008625DC">
          <w:rPr>
            <w:rStyle w:val="Hyperlink"/>
          </w:rPr>
          <w:t>.</w:t>
        </w:r>
        <w:r w:rsidRPr="008625DC">
          <w:rPr>
            <w:rStyle w:val="Hyperlink"/>
          </w:rPr>
          <w:t>3</w:t>
        </w:r>
      </w:hyperlink>
      <w:r w:rsidRPr="008625DC">
        <w:t xml:space="preserve">. </w:t>
      </w:r>
    </w:p>
    <w:p w14:paraId="04F232DE" w14:textId="77777777" w:rsidR="00D226CF" w:rsidRPr="008625DC" w:rsidRDefault="00D226CF" w:rsidP="000B5916">
      <w:pPr>
        <w:pStyle w:val="Heading2"/>
        <w:ind w:left="851" w:hanging="851"/>
        <w:rPr>
          <w:lang w:val="en-AU"/>
        </w:rPr>
      </w:pPr>
      <w:bookmarkStart w:id="8350" w:name="_Toc396914449"/>
      <w:bookmarkStart w:id="8351" w:name="_Toc396915333"/>
      <w:bookmarkStart w:id="8352" w:name="_Toc396915727"/>
      <w:bookmarkStart w:id="8353" w:name="_Toc396921038"/>
      <w:bookmarkStart w:id="8354" w:name="_Toc396924378"/>
      <w:bookmarkStart w:id="8355" w:name="_Toc396925072"/>
      <w:bookmarkStart w:id="8356" w:name="_Toc396992192"/>
      <w:bookmarkStart w:id="8357" w:name="_Toc396992771"/>
      <w:bookmarkStart w:id="8358" w:name="_Toc396994435"/>
      <w:bookmarkStart w:id="8359" w:name="_Toc397002206"/>
      <w:bookmarkStart w:id="8360" w:name="_Toc397003125"/>
      <w:bookmarkStart w:id="8361" w:name="_Toc397008683"/>
      <w:bookmarkStart w:id="8362" w:name="_Toc397008901"/>
      <w:bookmarkStart w:id="8363" w:name="_Toc397011573"/>
      <w:bookmarkStart w:id="8364" w:name="_Toc397012634"/>
      <w:bookmarkStart w:id="8365" w:name="_Toc397014976"/>
      <w:bookmarkStart w:id="8366" w:name="_Toc397015463"/>
      <w:bookmarkStart w:id="8367" w:name="_Toc397070534"/>
      <w:bookmarkStart w:id="8368" w:name="_Toc397413272"/>
      <w:bookmarkStart w:id="8369" w:name="_Toc397413419"/>
      <w:bookmarkStart w:id="8370" w:name="_Toc397428004"/>
      <w:bookmarkStart w:id="8371" w:name="_Toc397439392"/>
      <w:bookmarkStart w:id="8372" w:name="_Toc397439562"/>
      <w:bookmarkStart w:id="8373" w:name="_Toc397439818"/>
      <w:bookmarkStart w:id="8374" w:name="_Toc397440120"/>
      <w:bookmarkStart w:id="8375" w:name="_Toc397441749"/>
      <w:bookmarkStart w:id="8376" w:name="_Toc397517451"/>
      <w:bookmarkStart w:id="8377" w:name="_Toc397522716"/>
      <w:bookmarkStart w:id="8378" w:name="_Toc397526134"/>
      <w:bookmarkStart w:id="8379" w:name="_Toc397528449"/>
      <w:bookmarkStart w:id="8380" w:name="_Toc397528924"/>
      <w:bookmarkStart w:id="8381" w:name="_Toc397601921"/>
      <w:bookmarkStart w:id="8382" w:name="_Toc397602656"/>
      <w:bookmarkStart w:id="8383" w:name="_Toc397605785"/>
      <w:bookmarkStart w:id="8384" w:name="_Toc397614929"/>
      <w:bookmarkStart w:id="8385" w:name="_Toc397616372"/>
      <w:bookmarkStart w:id="8386" w:name="_Toc397616766"/>
      <w:bookmarkStart w:id="8387" w:name="_Toc397679176"/>
      <w:bookmarkStart w:id="8388" w:name="_Toc397688064"/>
      <w:bookmarkStart w:id="8389" w:name="_Toc397689280"/>
      <w:bookmarkStart w:id="8390" w:name="_Toc397694560"/>
      <w:bookmarkStart w:id="8391" w:name="_Toc397696401"/>
      <w:bookmarkStart w:id="8392" w:name="_Toc397697135"/>
      <w:bookmarkStart w:id="8393" w:name="_Toc397698422"/>
      <w:bookmarkStart w:id="8394" w:name="_Toc397699788"/>
      <w:bookmarkStart w:id="8395" w:name="_Toc397700242"/>
      <w:bookmarkStart w:id="8396" w:name="_Toc397936634"/>
      <w:bookmarkStart w:id="8397" w:name="_Toc397936754"/>
      <w:bookmarkStart w:id="8398" w:name="_Toc397945909"/>
      <w:bookmarkStart w:id="8399" w:name="_Toc397946935"/>
      <w:bookmarkStart w:id="8400" w:name="_Toc397948054"/>
      <w:bookmarkStart w:id="8401" w:name="_Toc397958460"/>
      <w:bookmarkStart w:id="8402" w:name="_Toc397958702"/>
      <w:bookmarkStart w:id="8403" w:name="_Toc397959117"/>
      <w:bookmarkStart w:id="8404" w:name="_Toc397962970"/>
      <w:bookmarkStart w:id="8405" w:name="_Toc397963336"/>
      <w:bookmarkStart w:id="8406" w:name="_Toc397965413"/>
      <w:bookmarkStart w:id="8407" w:name="_Toc398197352"/>
      <w:bookmarkStart w:id="8408" w:name="_Toc398199855"/>
      <w:bookmarkStart w:id="8409" w:name="_Toc398201569"/>
      <w:bookmarkStart w:id="8410" w:name="_Toc398207174"/>
      <w:bookmarkStart w:id="8411" w:name="_Toc398210447"/>
      <w:bookmarkStart w:id="8412" w:name="_Toc398210961"/>
      <w:bookmarkStart w:id="8413" w:name="_Toc398211098"/>
      <w:bookmarkStart w:id="8414" w:name="_Toc398219769"/>
      <w:bookmarkStart w:id="8415" w:name="_Toc398220144"/>
      <w:bookmarkStart w:id="8416" w:name="_Toc398220531"/>
      <w:bookmarkStart w:id="8417" w:name="_Toc398221609"/>
      <w:bookmarkStart w:id="8418" w:name="_Toc398222295"/>
      <w:bookmarkStart w:id="8419" w:name="_Toc398222607"/>
      <w:bookmarkStart w:id="8420" w:name="_Toc398223024"/>
      <w:bookmarkStart w:id="8421" w:name="_Toc398223403"/>
      <w:bookmarkStart w:id="8422" w:name="_Toc398223530"/>
      <w:bookmarkStart w:id="8423" w:name="_Toc398224338"/>
      <w:bookmarkStart w:id="8424" w:name="_Toc398225675"/>
      <w:bookmarkStart w:id="8425" w:name="_Toc398225800"/>
      <w:bookmarkStart w:id="8426" w:name="_Toc398281287"/>
      <w:bookmarkStart w:id="8427" w:name="_Toc398282146"/>
      <w:bookmarkStart w:id="8428" w:name="_Toc398284816"/>
      <w:bookmarkStart w:id="8429" w:name="_Toc398287285"/>
      <w:bookmarkStart w:id="8430" w:name="_Toc398289168"/>
      <w:bookmarkStart w:id="8431" w:name="_Toc398297165"/>
      <w:bookmarkStart w:id="8432" w:name="_Toc398298639"/>
      <w:bookmarkStart w:id="8433" w:name="_Toc398300340"/>
      <w:bookmarkStart w:id="8434" w:name="_Toc398301237"/>
      <w:bookmarkStart w:id="8435" w:name="_Toc398302422"/>
      <w:bookmarkStart w:id="8436" w:name="_Toc398302585"/>
      <w:bookmarkStart w:id="8437" w:name="_Toc398549098"/>
      <w:bookmarkStart w:id="8438" w:name="_Toc398549348"/>
      <w:bookmarkStart w:id="8439" w:name="_Toc398555767"/>
      <w:bookmarkStart w:id="8440" w:name="_Toc398558971"/>
      <w:bookmarkStart w:id="8441" w:name="_Toc398563457"/>
      <w:bookmarkStart w:id="8442" w:name="_Toc398563590"/>
      <w:bookmarkStart w:id="8443" w:name="_Toc398563989"/>
      <w:bookmarkStart w:id="8444" w:name="_Toc398827327"/>
      <w:bookmarkStart w:id="8445" w:name="_Toc398827521"/>
      <w:bookmarkStart w:id="8446" w:name="s311"/>
      <w:r w:rsidRPr="008625DC">
        <w:rPr>
          <w:lang w:val="en-AU"/>
        </w:rPr>
        <w:t>Resale price maintenance</w:t>
      </w:r>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bookmarkEnd w:id="8446"/>
    <w:p w14:paraId="4892A607" w14:textId="1507293C" w:rsidR="00170CD3" w:rsidRPr="008625DC" w:rsidRDefault="00170CD3" w:rsidP="00170CD3">
      <w:r w:rsidRPr="008625DC">
        <w:t xml:space="preserve">The appropriateness of a per se prohibition of </w:t>
      </w:r>
      <w:r w:rsidR="005B7C2E" w:rsidRPr="008625DC">
        <w:t>resale price maintenance (</w:t>
      </w:r>
      <w:r w:rsidRPr="008625DC">
        <w:t>RPM</w:t>
      </w:r>
      <w:r w:rsidR="005B7C2E" w:rsidRPr="008625DC">
        <w:t>)</w:t>
      </w:r>
      <w:r w:rsidRPr="008625DC">
        <w:t xml:space="preserve"> has been debated for many years, both in Australia and overseas. When the per se prohibition was enacted in Australia in the mid</w:t>
      </w:r>
      <w:r w:rsidR="00C74E19" w:rsidRPr="008625DC">
        <w:noBreakHyphen/>
      </w:r>
      <w:r w:rsidRPr="008625DC">
        <w:t>1970s, it reflected the law in many comparable jurisdictions. However, over the last 20 years some countries — particularly the US and Canada — have moved away from the per se prohibition of resale price maintenance. Other countries, including Europe and New Zealand, have retained the per</w:t>
      </w:r>
      <w:r w:rsidR="003D58C6" w:rsidRPr="008625DC">
        <w:t> </w:t>
      </w:r>
      <w:r w:rsidRPr="008625DC">
        <w:t xml:space="preserve">se prohibition. </w:t>
      </w:r>
    </w:p>
    <w:p w14:paraId="3CF82D7D" w14:textId="77416326" w:rsidR="00170CD3" w:rsidRPr="008625DC" w:rsidRDefault="00170CD3" w:rsidP="00170CD3">
      <w:r w:rsidRPr="008625DC">
        <w:t>The Panel considers that there is not a sufficient case at this time for changing the prohibition of RPM from a per se prohibition to a competition</w:t>
      </w:r>
      <w:r w:rsidR="00C74E19" w:rsidRPr="008625DC">
        <w:noBreakHyphen/>
      </w:r>
      <w:r w:rsidRPr="008625DC">
        <w:t xml:space="preserve">based test. It would be appropriate, though, to allow business to seek exemption from the prohibition more easily. This could be achieved through </w:t>
      </w:r>
      <w:r w:rsidRPr="008625DC">
        <w:lastRenderedPageBreak/>
        <w:t>allowing RPM to be assessed through the notification process, which is quicker and less expensive for business</w:t>
      </w:r>
      <w:r w:rsidR="003D58C6" w:rsidRPr="008625DC">
        <w:t>es</w:t>
      </w:r>
      <w:r w:rsidRPr="008625DC">
        <w:t xml:space="preserve"> than authorisation. This change would also have the advantage of allowing the ACCC to assess RPM trading strategies more frequently, and thereby provide better evidence as to the </w:t>
      </w:r>
      <w:r w:rsidR="00BD08DE" w:rsidRPr="008625DC">
        <w:t>competitive effects</w:t>
      </w:r>
      <w:r w:rsidRPr="008625DC">
        <w:t xml:space="preserve"> of RPM in Australia.</w:t>
      </w:r>
    </w:p>
    <w:p w14:paraId="17F5F12D" w14:textId="338726D9" w:rsidR="00170CD3" w:rsidRPr="008625DC" w:rsidRDefault="00170CD3" w:rsidP="00170CD3">
      <w:r w:rsidRPr="008625DC">
        <w:t>A general tenet of competition law is that companies within a corporate group are treated as a single economic entity and are not considered to be competitors. For that reason, the prohibitions in sections</w:t>
      </w:r>
      <w:r w:rsidR="009E7BB1" w:rsidRPr="008625DC">
        <w:t> </w:t>
      </w:r>
      <w:r w:rsidRPr="008625DC">
        <w:t>45 and</w:t>
      </w:r>
      <w:r w:rsidR="009E7BB1" w:rsidRPr="008625DC">
        <w:t> </w:t>
      </w:r>
      <w:r w:rsidRPr="008625DC">
        <w:t>47 do not apply to trading arrangements entered into between related companies.</w:t>
      </w:r>
      <w:r w:rsidRPr="008625DC">
        <w:rPr>
          <w:rStyle w:val="FootnoteReference"/>
        </w:rPr>
        <w:footnoteReference w:id="13"/>
      </w:r>
      <w:r w:rsidRPr="008625DC">
        <w:t xml:space="preserve"> A similar principle ought to apply to RPM. Currently, there is no exemption for RPM between a manufacturer and a retailer that is a subsidiary of the manufacturer.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147D34" w:rsidRPr="008625DC" w14:paraId="64C75985" w14:textId="77777777" w:rsidTr="00F81722">
        <w:tc>
          <w:tcPr>
            <w:tcW w:w="5000" w:type="pct"/>
            <w:shd w:val="clear" w:color="auto" w:fill="E9F7F3" w:themeFill="accent4" w:themeFillTint="33"/>
          </w:tcPr>
          <w:p w14:paraId="550F819F" w14:textId="2426F67C" w:rsidR="00147D34" w:rsidRPr="008625DC" w:rsidRDefault="00147D34" w:rsidP="00F81722">
            <w:pPr>
              <w:pStyle w:val="RecommendationHeading"/>
            </w:pPr>
            <w:bookmarkStart w:id="8447" w:name="DR29"/>
            <w:r w:rsidRPr="008625DC">
              <w:t xml:space="preserve">Draft Recommendation </w:t>
            </w:r>
            <w:r w:rsidRPr="008625DC">
              <w:fldChar w:fldCharType="begin"/>
            </w:r>
            <w:r w:rsidRPr="008625DC">
              <w:instrText xml:space="preserve"> AUTONUMLGL  \* Arabic \e </w:instrText>
            </w:r>
            <w:r w:rsidRPr="008625DC">
              <w:fldChar w:fldCharType="end"/>
            </w:r>
            <w:bookmarkEnd w:id="8447"/>
            <w:r w:rsidR="00380141" w:rsidRPr="008625DC">
              <w:t xml:space="preserve"> — </w:t>
            </w:r>
            <w:r w:rsidR="00FC1492" w:rsidRPr="008625DC">
              <w:t>Resale price maintenance</w:t>
            </w:r>
          </w:p>
          <w:p w14:paraId="693DE64D" w14:textId="7E1005BA" w:rsidR="00170CD3" w:rsidRPr="008625DC" w:rsidRDefault="00147D34" w:rsidP="00170CD3">
            <w:pPr>
              <w:pStyle w:val="RecommendationText"/>
            </w:pPr>
            <w:r w:rsidRPr="008625DC">
              <w:t xml:space="preserve">The prohibition on resale price maintenance </w:t>
            </w:r>
            <w:r w:rsidR="00050A9C" w:rsidRPr="008625DC">
              <w:t xml:space="preserve">(RPM) </w:t>
            </w:r>
            <w:r w:rsidRPr="008625DC">
              <w:t>should be retained in its current form as a per</w:t>
            </w:r>
            <w:r w:rsidR="00DB4ECC" w:rsidRPr="008625DC">
              <w:t> </w:t>
            </w:r>
            <w:r w:rsidRPr="008625DC">
              <w:t>se prohibition, but the notification process should be extended to include resale price maintenance.</w:t>
            </w:r>
          </w:p>
          <w:p w14:paraId="4EEC92C4" w14:textId="74FE0B5D" w:rsidR="00147D34" w:rsidRPr="008625DC" w:rsidRDefault="00170CD3" w:rsidP="00F81722">
            <w:pPr>
              <w:pStyle w:val="RecommendationText"/>
            </w:pPr>
            <w:r w:rsidRPr="008625DC">
              <w:t>The prohibition should also be amended to include an exemption for RPM conduct between related bodies corporate, as is the case under sections 45 and 47.</w:t>
            </w:r>
          </w:p>
        </w:tc>
      </w:tr>
    </w:tbl>
    <w:p w14:paraId="7892148D" w14:textId="45B55E99" w:rsidR="00254D5D" w:rsidRPr="008625DC" w:rsidRDefault="00254D5D" w:rsidP="0006207D">
      <w:pPr>
        <w:spacing w:before="240"/>
      </w:pPr>
      <w:bookmarkStart w:id="8448" w:name="_Toc396397381"/>
      <w:bookmarkStart w:id="8449" w:name="_Toc396806588"/>
      <w:bookmarkStart w:id="8450" w:name="_Toc396815118"/>
      <w:bookmarkStart w:id="8451" w:name="_Toc396821068"/>
      <w:bookmarkStart w:id="8452" w:name="_Toc396821676"/>
      <w:bookmarkStart w:id="8453" w:name="_Toc396827526"/>
      <w:bookmarkStart w:id="8454" w:name="_Toc396828497"/>
      <w:bookmarkStart w:id="8455" w:name="_Toc396828607"/>
      <w:bookmarkStart w:id="8456" w:name="_Toc396837996"/>
      <w:bookmarkStart w:id="8457" w:name="_Toc396838394"/>
      <w:bookmarkStart w:id="8458" w:name="_Toc396904127"/>
      <w:bookmarkStart w:id="8459" w:name="_Toc396904717"/>
      <w:bookmarkStart w:id="8460" w:name="_Toc396907551"/>
      <w:bookmarkStart w:id="8461" w:name="_Toc396912470"/>
      <w:bookmarkStart w:id="8462" w:name="_Toc396397387"/>
      <w:bookmarkStart w:id="8463" w:name="_Toc394656316"/>
      <w:bookmarkStart w:id="8464" w:name="_Toc394656442"/>
      <w:bookmarkStart w:id="8465" w:name="_Toc394659454"/>
      <w:bookmarkStart w:id="8466" w:name="_Toc394659580"/>
      <w:bookmarkStart w:id="8467" w:name="_Toc394663466"/>
      <w:bookmarkStart w:id="8468" w:name="_Toc394663590"/>
      <w:bookmarkStart w:id="8469" w:name="_Toc394667260"/>
      <w:bookmarkStart w:id="8470" w:name="_Toc394667384"/>
      <w:bookmarkStart w:id="8471" w:name="_Toc394671743"/>
      <w:bookmarkStart w:id="8472" w:name="_Toc394671868"/>
      <w:bookmarkStart w:id="8473" w:name="_Toc394674745"/>
      <w:bookmarkStart w:id="8474" w:name="_Toc394674872"/>
      <w:bookmarkStart w:id="8475" w:name="_Toc394675026"/>
      <w:bookmarkStart w:id="8476" w:name="_Toc394675152"/>
      <w:bookmarkStart w:id="8477" w:name="_Toc394676135"/>
      <w:bookmarkStart w:id="8478" w:name="_Toc394676259"/>
      <w:bookmarkStart w:id="8479" w:name="_Toc394675824"/>
      <w:bookmarkStart w:id="8480" w:name="_Toc394675948"/>
      <w:bookmarkStart w:id="8481" w:name="_Toc394918351"/>
      <w:bookmarkStart w:id="8482" w:name="_Toc394918865"/>
      <w:bookmarkStart w:id="8483" w:name="_Toc394930838"/>
      <w:bookmarkStart w:id="8484" w:name="_Toc394933820"/>
      <w:bookmarkStart w:id="8485" w:name="_Toc394938268"/>
      <w:bookmarkStart w:id="8486" w:name="_Toc394938581"/>
      <w:bookmarkStart w:id="8487" w:name="_Toc394938699"/>
      <w:bookmarkStart w:id="8488" w:name="_Toc394937549"/>
      <w:bookmarkStart w:id="8489" w:name="_Toc394937863"/>
      <w:bookmarkStart w:id="8490" w:name="_Toc394937981"/>
      <w:bookmarkStart w:id="8491" w:name="_Toc394941180"/>
      <w:bookmarkStart w:id="8492" w:name="_Toc394941492"/>
      <w:bookmarkStart w:id="8493" w:name="_Toc394941610"/>
      <w:bookmarkStart w:id="8494" w:name="_Toc394941796"/>
      <w:bookmarkStart w:id="8495" w:name="_Toc394942108"/>
      <w:bookmarkStart w:id="8496" w:name="_Toc394942226"/>
      <w:bookmarkStart w:id="8497" w:name="_Toc394940018"/>
      <w:bookmarkStart w:id="8498" w:name="_Toc394940330"/>
      <w:bookmarkStart w:id="8499" w:name="_Toc394940448"/>
      <w:bookmarkStart w:id="8500" w:name="_Toc394939628"/>
      <w:bookmarkStart w:id="8501" w:name="_Toc394940544"/>
      <w:bookmarkStart w:id="8502" w:name="_Toc394940661"/>
      <w:bookmarkStart w:id="8503" w:name="_Toc394993824"/>
      <w:bookmarkStart w:id="8504" w:name="_Toc394995194"/>
      <w:bookmarkStart w:id="8505" w:name="_Toc394995716"/>
      <w:bookmarkStart w:id="8506" w:name="_Toc394996030"/>
      <w:bookmarkStart w:id="8507" w:name="_Toc394996237"/>
      <w:bookmarkStart w:id="8508" w:name="_Toc394997962"/>
      <w:bookmarkStart w:id="8509" w:name="_Toc394998271"/>
      <w:bookmarkStart w:id="8510" w:name="_Toc394998476"/>
      <w:bookmarkStart w:id="8511" w:name="_Toc394998784"/>
      <w:bookmarkStart w:id="8512" w:name="_Toc395001975"/>
      <w:bookmarkStart w:id="8513" w:name="_Toc395002285"/>
      <w:bookmarkStart w:id="8514" w:name="_Toc395001493"/>
      <w:bookmarkStart w:id="8515" w:name="_Toc395001766"/>
      <w:bookmarkStart w:id="8516" w:name="_Toc395003054"/>
      <w:bookmarkStart w:id="8517" w:name="_Toc395003329"/>
      <w:bookmarkStart w:id="8518" w:name="_Toc395003638"/>
      <w:bookmarkStart w:id="8519" w:name="_Toc395005136"/>
      <w:bookmarkStart w:id="8520" w:name="_Toc395005568"/>
      <w:bookmarkStart w:id="8521" w:name="_Toc395005880"/>
      <w:bookmarkStart w:id="8522" w:name="_Toc395009055"/>
      <w:bookmarkStart w:id="8523" w:name="_Toc395009866"/>
      <w:bookmarkStart w:id="8524" w:name="_Toc395011487"/>
      <w:bookmarkStart w:id="8525" w:name="_Toc395011600"/>
      <w:bookmarkStart w:id="8526" w:name="_Toc395012486"/>
      <w:bookmarkStart w:id="8527" w:name="_Toc395012781"/>
      <w:bookmarkStart w:id="8528" w:name="_Toc395013008"/>
      <w:bookmarkStart w:id="8529" w:name="_Toc395010891"/>
      <w:bookmarkStart w:id="8530" w:name="_Toc395012835"/>
      <w:bookmarkStart w:id="8531" w:name="_Toc395011949"/>
      <w:bookmarkStart w:id="8532" w:name="_Toc395014584"/>
      <w:bookmarkStart w:id="8533" w:name="_Toc395014697"/>
      <w:bookmarkStart w:id="8534" w:name="_Toc395013180"/>
      <w:bookmarkStart w:id="8535" w:name="_Toc395013356"/>
      <w:bookmarkStart w:id="8536" w:name="_Toc395084927"/>
      <w:bookmarkStart w:id="8537" w:name="_Toc395085228"/>
      <w:bookmarkStart w:id="8538" w:name="_Toc395090403"/>
      <w:bookmarkStart w:id="8539" w:name="_Toc395090694"/>
      <w:bookmarkStart w:id="8540" w:name="_Toc395090806"/>
      <w:bookmarkStart w:id="8541" w:name="_Toc395093773"/>
      <w:bookmarkStart w:id="8542" w:name="_Toc395092987"/>
      <w:bookmarkStart w:id="8543" w:name="_Toc395093277"/>
      <w:bookmarkStart w:id="8544" w:name="_Toc395093389"/>
      <w:bookmarkStart w:id="8545" w:name="_Toc395097898"/>
      <w:bookmarkStart w:id="8546" w:name="_Toc395098187"/>
      <w:bookmarkStart w:id="8547" w:name="_Toc395098299"/>
      <w:bookmarkStart w:id="8548" w:name="_Toc395105372"/>
      <w:bookmarkStart w:id="8549" w:name="_Toc395105483"/>
      <w:bookmarkStart w:id="8550" w:name="_Toc395106975"/>
      <w:bookmarkStart w:id="8551" w:name="_Toc395107086"/>
      <w:bookmarkStart w:id="8552" w:name="_Toc395110037"/>
      <w:bookmarkStart w:id="8553" w:name="_Toc395109633"/>
      <w:bookmarkStart w:id="8554" w:name="_Toc395109744"/>
      <w:bookmarkStart w:id="8555" w:name="_Toc395112039"/>
      <w:bookmarkStart w:id="8556" w:name="_Toc395112338"/>
      <w:bookmarkStart w:id="8557" w:name="_Toc395112449"/>
      <w:bookmarkStart w:id="8558" w:name="_Toc395107176"/>
      <w:bookmarkStart w:id="8559" w:name="_Toc395107480"/>
      <w:bookmarkStart w:id="8560" w:name="_Toc395107594"/>
      <w:bookmarkStart w:id="8561" w:name="_Toc395108718"/>
      <w:bookmarkStart w:id="8562" w:name="_Toc395113958"/>
      <w:bookmarkStart w:id="8563" w:name="_Toc395114286"/>
      <w:bookmarkStart w:id="8564" w:name="_Toc395114401"/>
      <w:bookmarkStart w:id="8565" w:name="_Toc395116695"/>
      <w:bookmarkStart w:id="8566" w:name="_Toc395117023"/>
      <w:bookmarkStart w:id="8567" w:name="_Toc395117139"/>
      <w:bookmarkStart w:id="8568" w:name="_Toc395112632"/>
      <w:bookmarkStart w:id="8569" w:name="_Toc395113141"/>
      <w:bookmarkStart w:id="8570" w:name="_Toc395113257"/>
      <w:bookmarkStart w:id="8571" w:name="_Toc395115172"/>
      <w:bookmarkStart w:id="8572" w:name="_Toc395115500"/>
      <w:bookmarkStart w:id="8573" w:name="_Toc395115616"/>
      <w:bookmarkStart w:id="8574" w:name="_Toc395118327"/>
      <w:bookmarkStart w:id="8575" w:name="_Toc395118652"/>
      <w:bookmarkStart w:id="8576" w:name="_Toc395118766"/>
      <w:bookmarkStart w:id="8577" w:name="_Toc395178351"/>
      <w:bookmarkStart w:id="8578" w:name="_Toc395624840"/>
      <w:bookmarkStart w:id="8579" w:name="_Toc395625032"/>
      <w:bookmarkStart w:id="8580" w:name="_Toc395789891"/>
      <w:bookmarkStart w:id="8581" w:name="_Toc395790191"/>
      <w:bookmarkStart w:id="8582" w:name="_Toc395800949"/>
      <w:bookmarkStart w:id="8583" w:name="_Toc395802937"/>
      <w:bookmarkStart w:id="8584" w:name="_Toc395867587"/>
      <w:bookmarkStart w:id="8585" w:name="_Toc395867704"/>
      <w:bookmarkStart w:id="8586" w:name="_Toc395868719"/>
      <w:bookmarkStart w:id="8587" w:name="_Toc395868836"/>
      <w:bookmarkStart w:id="8588" w:name="_Toc395879100"/>
      <w:bookmarkStart w:id="8589" w:name="_Toc395879215"/>
      <w:bookmarkStart w:id="8590" w:name="_Toc395882224"/>
      <w:bookmarkStart w:id="8591" w:name="_Toc395882339"/>
      <w:bookmarkStart w:id="8592" w:name="_Toc395882555"/>
      <w:bookmarkStart w:id="8593" w:name="_Toc395882670"/>
      <w:bookmarkStart w:id="8594" w:name="_Toc395880719"/>
      <w:bookmarkStart w:id="8595" w:name="_Toc395881050"/>
      <w:bookmarkStart w:id="8596" w:name="_Toc395881608"/>
      <w:bookmarkStart w:id="8597" w:name="_Toc395883993"/>
      <w:bookmarkStart w:id="8598" w:name="_Toc395884108"/>
      <w:bookmarkStart w:id="8599" w:name="_Toc395884655"/>
      <w:bookmarkStart w:id="8600" w:name="_Toc395884770"/>
      <w:bookmarkStart w:id="8601" w:name="_Toc395883364"/>
      <w:bookmarkStart w:id="8602" w:name="_Toc395883479"/>
      <w:bookmarkStart w:id="8603" w:name="_Toc395883694"/>
      <w:bookmarkStart w:id="8604" w:name="_Toc395883809"/>
      <w:bookmarkStart w:id="8605" w:name="_Toc395884996"/>
      <w:bookmarkStart w:id="8606" w:name="_Toc396123919"/>
      <w:bookmarkStart w:id="8607" w:name="_Toc396130821"/>
      <w:bookmarkStart w:id="8608" w:name="_Toc396136399"/>
      <w:bookmarkStart w:id="8609" w:name="_Toc396139011"/>
      <w:bookmarkStart w:id="8610" w:name="_Toc396145623"/>
      <w:bookmarkStart w:id="8611" w:name="_Toc396147757"/>
      <w:bookmarkStart w:id="8612" w:name="_Toc396147875"/>
      <w:bookmarkStart w:id="8613" w:name="_Toc396149131"/>
      <w:bookmarkStart w:id="8614" w:name="_Toc396149012"/>
      <w:bookmarkStart w:id="8615" w:name="_Toc396149625"/>
      <w:bookmarkStart w:id="8616" w:name="_Toc396149439"/>
      <w:bookmarkStart w:id="8617" w:name="_Toc396150054"/>
      <w:bookmarkStart w:id="8618" w:name="_Toc396149979"/>
      <w:bookmarkStart w:id="8619" w:name="_Toc396150007"/>
      <w:bookmarkStart w:id="8620" w:name="_Toc396151352"/>
      <w:bookmarkStart w:id="8621" w:name="_Toc396151629"/>
      <w:bookmarkStart w:id="8622" w:name="_Toc396151753"/>
      <w:bookmarkStart w:id="8623" w:name="_Toc396202637"/>
      <w:bookmarkStart w:id="8624" w:name="_Toc396202765"/>
      <w:bookmarkStart w:id="8625" w:name="_Toc396206844"/>
      <w:bookmarkStart w:id="8626" w:name="_Toc396206972"/>
      <w:bookmarkStart w:id="8627" w:name="_Toc396209672"/>
      <w:bookmarkStart w:id="8628" w:name="_Toc396209800"/>
      <w:bookmarkStart w:id="8629" w:name="_Toc396212096"/>
      <w:bookmarkStart w:id="8630" w:name="_Toc396212224"/>
      <w:bookmarkStart w:id="8631" w:name="_Toc396213438"/>
      <w:bookmarkStart w:id="8632" w:name="_Toc396213566"/>
      <w:bookmarkStart w:id="8633" w:name="_Toc396214714"/>
      <w:bookmarkStart w:id="8634" w:name="_Toc396214842"/>
      <w:bookmarkStart w:id="8635" w:name="_Toc396226825"/>
      <w:bookmarkStart w:id="8636" w:name="_Toc396226953"/>
      <w:bookmarkStart w:id="8637" w:name="_Toc396229025"/>
      <w:bookmarkStart w:id="8638" w:name="_Toc396229159"/>
      <w:bookmarkStart w:id="8639" w:name="_Toc396230667"/>
      <w:bookmarkStart w:id="8640" w:name="_Toc396230801"/>
      <w:bookmarkStart w:id="8641" w:name="_Toc396230396"/>
      <w:bookmarkStart w:id="8642" w:name="_Toc396231808"/>
      <w:bookmarkStart w:id="8643" w:name="_Toc396231943"/>
      <w:bookmarkStart w:id="8644" w:name="_Toc396233448"/>
      <w:bookmarkStart w:id="8645" w:name="_Toc396233583"/>
      <w:bookmarkStart w:id="8646" w:name="_Toc396234268"/>
      <w:bookmarkStart w:id="8647" w:name="_Toc396234403"/>
      <w:bookmarkStart w:id="8648" w:name="_Toc396234676"/>
      <w:bookmarkStart w:id="8649" w:name="_Toc396236242"/>
      <w:bookmarkStart w:id="8650" w:name="_Toc396236020"/>
      <w:bookmarkStart w:id="8651" w:name="_Toc396304674"/>
      <w:bookmarkStart w:id="8652" w:name="_Toc396586358"/>
      <w:bookmarkStart w:id="8653" w:name="_Toc395010301"/>
      <w:bookmarkStart w:id="8654" w:name="_Toc395010713"/>
      <w:r w:rsidRPr="008625DC">
        <w:t xml:space="preserve">For further </w:t>
      </w:r>
      <w:r w:rsidR="00734B17" w:rsidRPr="008625DC">
        <w:t>detail</w:t>
      </w:r>
      <w:r w:rsidRPr="008625DC">
        <w:t xml:space="preserve"> on resale price maintenance</w:t>
      </w:r>
      <w:r w:rsidR="002664C8" w:rsidRPr="008625DC">
        <w:t>,</w:t>
      </w:r>
      <w:r w:rsidRPr="008625DC">
        <w:t xml:space="preserve"> see </w:t>
      </w:r>
      <w:hyperlink w:anchor="s174" w:history="1">
        <w:r w:rsidR="00C538EE" w:rsidRPr="008625DC">
          <w:rPr>
            <w:rStyle w:val="Hyperlink"/>
          </w:rPr>
          <w:t>Section</w:t>
        </w:r>
        <w:r w:rsidRPr="008625DC">
          <w:rPr>
            <w:rStyle w:val="Hyperlink"/>
          </w:rPr>
          <w:t xml:space="preserve"> 1</w:t>
        </w:r>
        <w:r w:rsidR="00BC47E4" w:rsidRPr="008625DC">
          <w:rPr>
            <w:rStyle w:val="Hyperlink"/>
          </w:rPr>
          <w:t>7</w:t>
        </w:r>
        <w:r w:rsidR="001E06C4" w:rsidRPr="008625DC">
          <w:rPr>
            <w:rStyle w:val="Hyperlink"/>
          </w:rPr>
          <w:t>.4</w:t>
        </w:r>
      </w:hyperlink>
      <w:r w:rsidRPr="008625DC">
        <w:t xml:space="preserve">. </w:t>
      </w:r>
    </w:p>
    <w:p w14:paraId="773F9C09" w14:textId="77777777" w:rsidR="000752DD" w:rsidRPr="008625DC" w:rsidRDefault="000752DD" w:rsidP="000B5916">
      <w:pPr>
        <w:pStyle w:val="Heading2"/>
        <w:ind w:left="851" w:hanging="851"/>
        <w:rPr>
          <w:lang w:val="en-AU"/>
        </w:rPr>
      </w:pPr>
      <w:bookmarkStart w:id="8655" w:name="_Toc396397382"/>
      <w:bookmarkStart w:id="8656" w:name="_Toc396806589"/>
      <w:bookmarkStart w:id="8657" w:name="_Toc396815119"/>
      <w:bookmarkStart w:id="8658" w:name="_Toc396821069"/>
      <w:bookmarkStart w:id="8659" w:name="_Toc396821677"/>
      <w:bookmarkStart w:id="8660" w:name="_Toc396827527"/>
      <w:bookmarkStart w:id="8661" w:name="_Toc396828498"/>
      <w:bookmarkStart w:id="8662" w:name="_Toc396828608"/>
      <w:bookmarkStart w:id="8663" w:name="_Toc396837997"/>
      <w:bookmarkStart w:id="8664" w:name="_Toc396838395"/>
      <w:bookmarkStart w:id="8665" w:name="_Toc396904128"/>
      <w:bookmarkStart w:id="8666" w:name="_Toc396904718"/>
      <w:bookmarkStart w:id="8667" w:name="_Toc396907552"/>
      <w:bookmarkStart w:id="8668" w:name="_Toc396912471"/>
      <w:bookmarkStart w:id="8669" w:name="_Toc396914451"/>
      <w:bookmarkStart w:id="8670" w:name="_Toc396915335"/>
      <w:bookmarkStart w:id="8671" w:name="_Toc396915729"/>
      <w:bookmarkStart w:id="8672" w:name="_Toc396921040"/>
      <w:bookmarkStart w:id="8673" w:name="_Toc396924380"/>
      <w:bookmarkStart w:id="8674" w:name="_Toc396925074"/>
      <w:bookmarkStart w:id="8675" w:name="_Toc396992194"/>
      <w:bookmarkStart w:id="8676" w:name="_Toc396992773"/>
      <w:bookmarkStart w:id="8677" w:name="_Toc396994437"/>
      <w:bookmarkStart w:id="8678" w:name="_Toc397002208"/>
      <w:bookmarkStart w:id="8679" w:name="_Toc397003127"/>
      <w:bookmarkStart w:id="8680" w:name="_Toc397008685"/>
      <w:bookmarkStart w:id="8681" w:name="_Toc397008903"/>
      <w:bookmarkStart w:id="8682" w:name="_Toc397011575"/>
      <w:bookmarkStart w:id="8683" w:name="_Toc397012636"/>
      <w:bookmarkStart w:id="8684" w:name="_Toc397014978"/>
      <w:bookmarkStart w:id="8685" w:name="_Toc397015465"/>
      <w:bookmarkStart w:id="8686" w:name="_Toc397070536"/>
      <w:bookmarkStart w:id="8687" w:name="_Toc397413274"/>
      <w:bookmarkStart w:id="8688" w:name="_Toc397413421"/>
      <w:bookmarkStart w:id="8689" w:name="_Toc397428006"/>
      <w:bookmarkStart w:id="8690" w:name="_Toc397439394"/>
      <w:bookmarkStart w:id="8691" w:name="_Toc397439564"/>
      <w:bookmarkStart w:id="8692" w:name="_Toc397439820"/>
      <w:bookmarkStart w:id="8693" w:name="_Toc397440122"/>
      <w:bookmarkStart w:id="8694" w:name="_Toc397441751"/>
      <w:bookmarkStart w:id="8695" w:name="_Toc397517453"/>
      <w:bookmarkStart w:id="8696" w:name="_Toc397522718"/>
      <w:bookmarkStart w:id="8697" w:name="_Toc397526136"/>
      <w:bookmarkStart w:id="8698" w:name="_Toc397528451"/>
      <w:bookmarkStart w:id="8699" w:name="_Toc397528926"/>
      <w:bookmarkStart w:id="8700" w:name="_Toc397601923"/>
      <w:bookmarkStart w:id="8701" w:name="_Toc397602658"/>
      <w:bookmarkStart w:id="8702" w:name="_Toc397605787"/>
      <w:bookmarkStart w:id="8703" w:name="_Toc397614931"/>
      <w:bookmarkStart w:id="8704" w:name="_Toc397616374"/>
      <w:bookmarkStart w:id="8705" w:name="_Toc397616768"/>
      <w:bookmarkStart w:id="8706" w:name="_Toc397679178"/>
      <w:bookmarkStart w:id="8707" w:name="_Toc397688066"/>
      <w:bookmarkStart w:id="8708" w:name="_Toc397689282"/>
      <w:bookmarkStart w:id="8709" w:name="_Toc397694562"/>
      <w:bookmarkStart w:id="8710" w:name="_Toc397696403"/>
      <w:bookmarkStart w:id="8711" w:name="_Toc397697137"/>
      <w:bookmarkStart w:id="8712" w:name="_Toc397698424"/>
      <w:bookmarkStart w:id="8713" w:name="_Toc397699790"/>
      <w:bookmarkStart w:id="8714" w:name="_Toc397700244"/>
      <w:bookmarkStart w:id="8715" w:name="_Toc397936636"/>
      <w:bookmarkStart w:id="8716" w:name="_Toc397936756"/>
      <w:bookmarkStart w:id="8717" w:name="_Toc397945911"/>
      <w:bookmarkStart w:id="8718" w:name="_Toc397946937"/>
      <w:bookmarkStart w:id="8719" w:name="_Toc397948056"/>
      <w:bookmarkStart w:id="8720" w:name="_Toc397958462"/>
      <w:bookmarkStart w:id="8721" w:name="_Toc397958704"/>
      <w:bookmarkStart w:id="8722" w:name="_Toc397959119"/>
      <w:bookmarkStart w:id="8723" w:name="_Toc397962972"/>
      <w:bookmarkStart w:id="8724" w:name="_Toc397963338"/>
      <w:bookmarkStart w:id="8725" w:name="_Toc397965415"/>
      <w:bookmarkStart w:id="8726" w:name="_Toc398197353"/>
      <w:bookmarkStart w:id="8727" w:name="_Toc398199856"/>
      <w:bookmarkStart w:id="8728" w:name="_Toc398201570"/>
      <w:bookmarkStart w:id="8729" w:name="_Toc398207175"/>
      <w:bookmarkStart w:id="8730" w:name="_Toc398210448"/>
      <w:bookmarkStart w:id="8731" w:name="_Toc398210962"/>
      <w:bookmarkStart w:id="8732" w:name="_Toc398219770"/>
      <w:bookmarkStart w:id="8733" w:name="_Toc398220145"/>
      <w:bookmarkStart w:id="8734" w:name="_Toc398220532"/>
      <w:bookmarkStart w:id="8735" w:name="_Toc398221610"/>
      <w:bookmarkStart w:id="8736" w:name="_Toc398222296"/>
      <w:bookmarkStart w:id="8737" w:name="_Toc398222608"/>
      <w:bookmarkStart w:id="8738" w:name="_Toc398223025"/>
      <w:bookmarkStart w:id="8739" w:name="_Toc398223404"/>
      <w:bookmarkStart w:id="8740" w:name="_Toc398223531"/>
      <w:bookmarkStart w:id="8741" w:name="_Toc398224339"/>
      <w:bookmarkStart w:id="8742" w:name="_Toc398225676"/>
      <w:bookmarkStart w:id="8743" w:name="_Toc398225801"/>
      <w:bookmarkStart w:id="8744" w:name="_Toc398281288"/>
      <w:bookmarkStart w:id="8745" w:name="_Toc398282147"/>
      <w:bookmarkStart w:id="8746" w:name="_Toc398284817"/>
      <w:bookmarkStart w:id="8747" w:name="_Toc398287286"/>
      <w:bookmarkStart w:id="8748" w:name="_Toc398289169"/>
      <w:bookmarkStart w:id="8749" w:name="_Toc398297166"/>
      <w:bookmarkStart w:id="8750" w:name="_Toc398298640"/>
      <w:bookmarkStart w:id="8751" w:name="_Toc398300341"/>
      <w:bookmarkStart w:id="8752" w:name="_Toc398301238"/>
      <w:bookmarkStart w:id="8753" w:name="_Toc398302423"/>
      <w:bookmarkStart w:id="8754" w:name="_Toc398302586"/>
      <w:bookmarkStart w:id="8755" w:name="_Toc398549099"/>
      <w:bookmarkStart w:id="8756" w:name="_Toc398549349"/>
      <w:bookmarkStart w:id="8757" w:name="_Toc398555768"/>
      <w:bookmarkStart w:id="8758" w:name="_Toc398558972"/>
      <w:bookmarkStart w:id="8759" w:name="_Toc398563458"/>
      <w:bookmarkStart w:id="8760" w:name="_Toc398563591"/>
      <w:bookmarkStart w:id="8761" w:name="_Toc398563990"/>
      <w:bookmarkStart w:id="8762" w:name="_Toc398827328"/>
      <w:bookmarkStart w:id="8763" w:name="_Toc398827522"/>
      <w:bookmarkStart w:id="8764" w:name="s312"/>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r w:rsidRPr="008625DC">
        <w:rPr>
          <w:lang w:val="en-AU"/>
        </w:rPr>
        <w:t>Mergers</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p>
    <w:bookmarkEnd w:id="8764"/>
    <w:p w14:paraId="5E51FCB4" w14:textId="29001F10" w:rsidR="000752DD" w:rsidRPr="008625DC" w:rsidRDefault="000752DD" w:rsidP="000752DD">
      <w:r w:rsidRPr="008625DC">
        <w:t xml:space="preserve">The Panel considers that the current prohibition of mergers that </w:t>
      </w:r>
      <w:r w:rsidR="00B348F2" w:rsidRPr="008625DC">
        <w:t xml:space="preserve">are likely to </w:t>
      </w:r>
      <w:r w:rsidRPr="008625DC">
        <w:t>substantially lessen competition in Australian markets is appropriate.</w:t>
      </w:r>
    </w:p>
    <w:p w14:paraId="10B532AD" w14:textId="4C307460" w:rsidR="00170CD3" w:rsidRPr="008625DC" w:rsidRDefault="00170CD3" w:rsidP="001A2089">
      <w:r w:rsidRPr="008625DC">
        <w:t>Concerns have been raised that Australia</w:t>
      </w:r>
      <w:r w:rsidR="00C74E19" w:rsidRPr="008625DC">
        <w:t>’</w:t>
      </w:r>
      <w:r w:rsidRPr="008625DC">
        <w:t xml:space="preserve">s merger law does not give proper consideration to global markets within which many businesses compete. Some submissions argue that the term </w:t>
      </w:r>
      <w:r w:rsidR="00C74E19" w:rsidRPr="008625DC">
        <w:t>‘</w:t>
      </w:r>
      <w:r w:rsidRPr="008625DC">
        <w:t>market</w:t>
      </w:r>
      <w:r w:rsidR="00C74E19" w:rsidRPr="008625DC">
        <w:t>’</w:t>
      </w:r>
      <w:r w:rsidRPr="008625DC">
        <w:t xml:space="preserve"> in the CCA is defined as a market </w:t>
      </w:r>
      <w:r w:rsidR="00C74E19" w:rsidRPr="008625DC">
        <w:t>‘</w:t>
      </w:r>
      <w:r w:rsidRPr="008625DC">
        <w:t>in Australia</w:t>
      </w:r>
      <w:r w:rsidR="00C74E19" w:rsidRPr="008625DC">
        <w:t>’</w:t>
      </w:r>
      <w:r w:rsidRPr="008625DC">
        <w:t xml:space="preserve"> and that causes the competition analysis to be narrowly </w:t>
      </w:r>
      <w:r w:rsidR="005A249A">
        <w:t>focus</w:t>
      </w:r>
      <w:r w:rsidR="004E3403" w:rsidRPr="008625DC">
        <w:t>ed</w:t>
      </w:r>
      <w:r w:rsidRPr="008625DC">
        <w:t>. As noted above (</w:t>
      </w:r>
      <w:hyperlink w:anchor="s33" w:history="1">
        <w:r w:rsidR="002664C8" w:rsidRPr="008625DC">
          <w:rPr>
            <w:rStyle w:val="Hyperlink"/>
          </w:rPr>
          <w:t>S</w:t>
        </w:r>
        <w:r w:rsidRPr="008625DC">
          <w:rPr>
            <w:rStyle w:val="Hyperlink"/>
          </w:rPr>
          <w:t>ection 3.</w:t>
        </w:r>
        <w:r w:rsidR="003A0F88" w:rsidRPr="008625DC">
          <w:rPr>
            <w:rStyle w:val="Hyperlink"/>
          </w:rPr>
          <w:t>3</w:t>
        </w:r>
      </w:hyperlink>
      <w:r w:rsidRPr="008625DC">
        <w:t>), while the Panel considers that the CCA correctly focu</w:t>
      </w:r>
      <w:r w:rsidR="005C6A7D" w:rsidRPr="008625DC">
        <w:t>s</w:t>
      </w:r>
      <w:r w:rsidRPr="008625DC">
        <w:t xml:space="preserve">es upon conduct that damages competition in markets in Australia (to protect Australian consumers), the CCA has been framed to take account of all sources of competition that </w:t>
      </w:r>
      <w:r w:rsidR="0034547C" w:rsidRPr="008625DC">
        <w:t xml:space="preserve">affect </w:t>
      </w:r>
      <w:r w:rsidRPr="008625DC">
        <w:t xml:space="preserve">Australian markets. Recommendation </w:t>
      </w:r>
      <w:r w:rsidR="007E33F6" w:rsidRPr="008625DC">
        <w:t>20</w:t>
      </w:r>
      <w:r w:rsidRPr="008625DC">
        <w:t xml:space="preserve"> is intended to strengthen that principle.</w:t>
      </w:r>
    </w:p>
    <w:p w14:paraId="1265BF03" w14:textId="7297FDA9" w:rsidR="00170CD3" w:rsidRPr="008625DC" w:rsidRDefault="00170CD3" w:rsidP="003D416A">
      <w:r w:rsidRPr="008625DC">
        <w:t>Some stakeholders have also questioned whether the ACCC</w:t>
      </w:r>
      <w:r w:rsidR="00C74E19" w:rsidRPr="008625DC">
        <w:t>’</w:t>
      </w:r>
      <w:r w:rsidRPr="008625DC">
        <w:t xml:space="preserve">s application of the CCA is constraining the ability of Australian businesses to achieve efficient scale in order to become globally competitive. </w:t>
      </w:r>
      <w:r w:rsidR="00B64EE7" w:rsidRPr="008625DC">
        <w:t>T</w:t>
      </w:r>
      <w:r w:rsidRPr="008625DC">
        <w:t>o compete effectively, businesses must continuously pursue economic efficiency. In many industries efficiency requires scale. Business</w:t>
      </w:r>
      <w:r w:rsidR="003D58C6" w:rsidRPr="008625DC">
        <w:t>es</w:t>
      </w:r>
      <w:r w:rsidRPr="008625DC">
        <w:t xml:space="preserve"> may pursue mergers in order to achieve efficient scale to compete more effectively in global markets. </w:t>
      </w:r>
    </w:p>
    <w:p w14:paraId="645D975A" w14:textId="6124B194" w:rsidR="00170CD3" w:rsidRPr="008625DC" w:rsidRDefault="00170CD3" w:rsidP="001A2089">
      <w:r w:rsidRPr="008625DC">
        <w:t xml:space="preserve">In many markets in Australia achieving efficient scale will not substantially lessen competition because of the constraining influence of imports. Such mergers are allowed under the CCA. However, in some markets, the opposite will be the case: the influence of imports may be weak and unable to constrain the resulting market power of the merged businesses. When that occurs, there are conflicting interests: the gain to the businesses that wish to merge through achieving greater efficiency </w:t>
      </w:r>
      <w:r w:rsidR="0034547C" w:rsidRPr="008625DC">
        <w:t xml:space="preserve">against </w:t>
      </w:r>
      <w:r w:rsidRPr="008625DC">
        <w:t>the potential detriment to Australian consumers due to the reduction in competition.</w:t>
      </w:r>
    </w:p>
    <w:p w14:paraId="7584398C" w14:textId="28088EA4" w:rsidR="00170CD3" w:rsidRPr="008625DC" w:rsidRDefault="00170CD3" w:rsidP="001A2089">
      <w:r w:rsidRPr="008625DC">
        <w:lastRenderedPageBreak/>
        <w:t>The Panel considers that the CCA has sufficient flexibility to allow such issues to be adjudicated and determined by the ACCC or the Australian Competition Tribunal. The merger authorisation process applies a public benefit test that covers all potential benefits and detriments, including economies of scale. There may be occasions where it is in the public interest to allow a particular merger in order to achieve efficient scale to compete globally, notwithstanding that the merger adversely affects competition in Australia.</w:t>
      </w:r>
    </w:p>
    <w:p w14:paraId="6557190A" w14:textId="77777777" w:rsidR="00BC4382" w:rsidRPr="008625DC" w:rsidRDefault="00BC4382" w:rsidP="00BC4382">
      <w:r w:rsidRPr="008625DC">
        <w:t>However, the Panel considers that improvements can be made to the administration of the merger law.</w:t>
      </w:r>
    </w:p>
    <w:p w14:paraId="11D5CB70" w14:textId="1F21AA4A" w:rsidR="00BC4382" w:rsidRPr="008625DC" w:rsidRDefault="00BC4382" w:rsidP="00BC4382">
      <w:r w:rsidRPr="008625DC">
        <w:t>There is widespread support for an informal review process. However, strong concerns have been expressed about the timeliness and transparency of the process.</w:t>
      </w:r>
    </w:p>
    <w:p w14:paraId="7EDDB51E" w14:textId="698E9D97" w:rsidR="00BC4382" w:rsidRPr="008625DC" w:rsidRDefault="00BC4382" w:rsidP="00BC4382">
      <w:r w:rsidRPr="008625DC">
        <w:t>The Panel considers that it is not sensible to attempt to regulate an informal process which, by definition, operates outside any formal legal framework. The flexibility of the informal process is widely recognised as being beneficial and should not be interfered with. However, the public interest is served by timely merger decisions and by transparency in the public administration of the merger law. The Panel considers that there is scope for further consultation between the ACCC and business representatives with the objective of developing an informal review process that delivers more timely decisions.</w:t>
      </w:r>
    </w:p>
    <w:p w14:paraId="1A7A3CA8" w14:textId="77777777" w:rsidR="00BC4382" w:rsidRPr="008625DC" w:rsidRDefault="00BC4382" w:rsidP="00BC4382">
      <w:r w:rsidRPr="008625DC">
        <w:t>The Panel considers that concerns about the timeliness and transparency of merger review can also be addressed through a more streamlined formal exemption process. There is excessive complexity and prescription associated with the current formal exemption processes, being a formal clearance application to the ACCC and an alternative authorisation application to the Australian Competition Tribunal. The complexity and prescription have deterred the use of these mechanisms and fuelled complaints about the application of the informal process to large mergers that involve contested facts and issues.</w:t>
      </w:r>
    </w:p>
    <w:p w14:paraId="5E75BD24" w14:textId="770226A0" w:rsidR="00BC4382" w:rsidRPr="008625DC" w:rsidRDefault="00BC4382" w:rsidP="00BC4382">
      <w:r w:rsidRPr="008625DC">
        <w:t>The Panel also considers that, if a more streamlined formal exemption process were introduced, it would be preferable for the ACCC to be the first instance decision</w:t>
      </w:r>
      <w:r w:rsidR="00C74E19" w:rsidRPr="008625DC">
        <w:noBreakHyphen/>
      </w:r>
      <w:r w:rsidRPr="008625DC">
        <w:t xml:space="preserve">maker, rather than the Australian Competition Tribunal. The ACCC, having regard to its composition and powers, is better suited to investigation and first instance decision making in the administration of the competition law, including mergers. In comparison, the Australian Competition Tribunal, having regard to its constitution and powers, is better suited to an appellate or review role. </w:t>
      </w:r>
    </w:p>
    <w:p w14:paraId="65FC1616" w14:textId="77777777" w:rsidR="001A3976" w:rsidRPr="008625DC" w:rsidRDefault="00696E29" w:rsidP="001A3976">
      <w:pPr>
        <w:pStyle w:val="Heading3"/>
      </w:pPr>
      <w:r w:rsidRPr="008625DC">
        <w:t>Creeping acquisitions</w:t>
      </w:r>
    </w:p>
    <w:p w14:paraId="62490DB8" w14:textId="33907DCB" w:rsidR="00FE5BA6" w:rsidRPr="008625DC" w:rsidRDefault="00FE5BA6" w:rsidP="00FE5BA6">
      <w:r w:rsidRPr="008625DC">
        <w:t xml:space="preserve">A legitimate question arises regarding whether, in assessing the likely effect of a proposed merger, the merger provisions of the CCA should also take account of </w:t>
      </w:r>
      <w:r w:rsidR="00EE6E43" w:rsidRPr="008625DC">
        <w:t xml:space="preserve">the </w:t>
      </w:r>
      <w:r w:rsidRPr="008625DC">
        <w:t>aggregate effect of the corporation</w:t>
      </w:r>
      <w:r w:rsidR="00C74E19" w:rsidRPr="008625DC">
        <w:t>’</w:t>
      </w:r>
      <w:r w:rsidRPr="008625DC">
        <w:t xml:space="preserve">s previous acquisitions within, for example, the previous three years. The complicating factor is that market conditions may have altered materially over the period chosen. </w:t>
      </w:r>
      <w:r w:rsidR="009436F0" w:rsidRPr="008625DC">
        <w:t>Such a change</w:t>
      </w:r>
      <w:r w:rsidRPr="008625DC">
        <w:t xml:space="preserve"> would impose additional costs associated with merger review.</w:t>
      </w:r>
      <w:r w:rsidR="009436F0" w:rsidRPr="008625DC">
        <w:t xml:space="preserve"> </w:t>
      </w:r>
      <w:r w:rsidRPr="008625DC">
        <w:t>On balance, in the absence of evidence of harmful acquisitions proceeding because of a gap in the law on creeping acquisitions, the</w:t>
      </w:r>
      <w:r w:rsidR="005C6A7D" w:rsidRPr="008625DC">
        <w:t> </w:t>
      </w:r>
      <w:r w:rsidRPr="008625DC">
        <w:t>Panel does not consider that the case for change has been made.</w:t>
      </w:r>
    </w:p>
    <w:p w14:paraId="3C782B38" w14:textId="72A4880D" w:rsidR="00696E29" w:rsidRPr="008625DC" w:rsidRDefault="00696E29" w:rsidP="001A3976"/>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2C6D9985" w14:textId="77777777" w:rsidTr="00F81722">
        <w:tc>
          <w:tcPr>
            <w:tcW w:w="5000" w:type="pct"/>
            <w:shd w:val="clear" w:color="auto" w:fill="E9F7F3" w:themeFill="accent4" w:themeFillTint="33"/>
          </w:tcPr>
          <w:p w14:paraId="69C76ED2" w14:textId="2522C08D" w:rsidR="000752DD" w:rsidRPr="008625DC" w:rsidRDefault="000752DD" w:rsidP="00F81722">
            <w:pPr>
              <w:pStyle w:val="RecommendationHeading"/>
            </w:pPr>
            <w:bookmarkStart w:id="8765" w:name="DR30"/>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8765"/>
            <w:r w:rsidR="00380141" w:rsidRPr="008625DC">
              <w:t xml:space="preserve"> — </w:t>
            </w:r>
            <w:r w:rsidR="00FC1492" w:rsidRPr="008625DC">
              <w:t>Mergers</w:t>
            </w:r>
          </w:p>
          <w:p w14:paraId="51BE1BF7" w14:textId="0253E2E1" w:rsidR="00BC4382" w:rsidRPr="008625DC" w:rsidRDefault="00BC4382" w:rsidP="00BC4382">
            <w:pPr>
              <w:pStyle w:val="RecommendationText"/>
            </w:pPr>
            <w:r w:rsidRPr="008625DC">
              <w:t xml:space="preserve">There </w:t>
            </w:r>
            <w:r w:rsidR="000A6F88" w:rsidRPr="008625DC">
              <w:t xml:space="preserve">should be </w:t>
            </w:r>
            <w:r w:rsidRPr="008625DC">
              <w:t xml:space="preserve">further consultation between the ACCC and business representatives with the objective of </w:t>
            </w:r>
            <w:r w:rsidR="000A6F88" w:rsidRPr="008625DC">
              <w:t>delivering more timely decisions in the</w:t>
            </w:r>
            <w:r w:rsidRPr="008625DC">
              <w:t xml:space="preserve"> informal review process.</w:t>
            </w:r>
          </w:p>
          <w:p w14:paraId="4044871C" w14:textId="36B4C09B" w:rsidR="001A2089" w:rsidRPr="008625DC" w:rsidRDefault="001A2089" w:rsidP="001A2089">
            <w:pPr>
              <w:pStyle w:val="RecommendationText"/>
            </w:pPr>
            <w:r w:rsidRPr="008625DC">
              <w:t xml:space="preserve">The formal merger </w:t>
            </w:r>
            <w:r w:rsidR="00B27BCA" w:rsidRPr="008625DC">
              <w:t xml:space="preserve">exemption </w:t>
            </w:r>
            <w:r w:rsidRPr="008625DC">
              <w:t>process</w:t>
            </w:r>
            <w:r w:rsidR="00B27BCA" w:rsidRPr="008625DC">
              <w:t xml:space="preserve">es (i.e. the formal merger clearance </w:t>
            </w:r>
            <w:r w:rsidRPr="008625DC">
              <w:t xml:space="preserve">process </w:t>
            </w:r>
            <w:r w:rsidR="00B27BCA" w:rsidRPr="008625DC">
              <w:t>and the merger authorisation process)</w:t>
            </w:r>
            <w:r w:rsidRPr="008625DC">
              <w:t xml:space="preserve"> should be </w:t>
            </w:r>
            <w:r w:rsidR="00B27BCA" w:rsidRPr="008625DC">
              <w:t xml:space="preserve">combined and </w:t>
            </w:r>
            <w:r w:rsidRPr="008625DC">
              <w:t xml:space="preserve">reformed to remove unnecessary restrictions and requirements that may have </w:t>
            </w:r>
            <w:r w:rsidR="00930BE1" w:rsidRPr="008625DC">
              <w:t>deterred</w:t>
            </w:r>
            <w:r w:rsidRPr="008625DC">
              <w:t xml:space="preserve"> </w:t>
            </w:r>
            <w:r w:rsidR="00B27BCA" w:rsidRPr="008625DC">
              <w:t xml:space="preserve">their </w:t>
            </w:r>
            <w:r w:rsidRPr="008625DC">
              <w:t>use. The specific features of the review process should be settled in consultation with business, competition law practitioners and the ACCC. However, the general framework should contain the following elements:</w:t>
            </w:r>
          </w:p>
          <w:p w14:paraId="20000900" w14:textId="538D8544" w:rsidR="001A2089" w:rsidRPr="008625DC" w:rsidRDefault="001A2089" w:rsidP="00DB4ECC">
            <w:pPr>
              <w:pStyle w:val="RecommendationBullet"/>
            </w:pPr>
            <w:r w:rsidRPr="008625DC">
              <w:t>the ACCC should be the decision</w:t>
            </w:r>
            <w:r w:rsidR="00C74E19" w:rsidRPr="008625DC">
              <w:noBreakHyphen/>
            </w:r>
            <w:r w:rsidRPr="008625DC">
              <w:t xml:space="preserve">maker at first instance; </w:t>
            </w:r>
          </w:p>
          <w:p w14:paraId="3C6617F2" w14:textId="3127B431" w:rsidR="001A2089" w:rsidRPr="008625DC" w:rsidRDefault="001A2089" w:rsidP="00DB4ECC">
            <w:pPr>
              <w:pStyle w:val="RecommendationBullet"/>
            </w:pPr>
            <w:r w:rsidRPr="008625DC">
              <w:t>the ACCC should be empowered to approve a merger if it is satisfied that the merger does not substantially lessen competition or it is satisfied that the merger results in public benefits that outweigh the anti</w:t>
            </w:r>
            <w:r w:rsidR="00C74E19" w:rsidRPr="008625DC">
              <w:noBreakHyphen/>
            </w:r>
            <w:r w:rsidRPr="008625DC">
              <w:t>competitive detriments;</w:t>
            </w:r>
          </w:p>
          <w:p w14:paraId="33B17BAD" w14:textId="77777777" w:rsidR="001A2089" w:rsidRPr="008625DC" w:rsidRDefault="001A2089" w:rsidP="00DB4ECC">
            <w:pPr>
              <w:pStyle w:val="RecommendationBullet"/>
            </w:pPr>
            <w:r w:rsidRPr="008625DC">
              <w:t xml:space="preserve">the formal process should not be subject to any prescriptive </w:t>
            </w:r>
            <w:r w:rsidR="000752DD" w:rsidRPr="008625DC">
              <w:t xml:space="preserve">information </w:t>
            </w:r>
            <w:r w:rsidRPr="008625DC">
              <w:t>requirements</w:t>
            </w:r>
            <w:r w:rsidR="000752DD" w:rsidRPr="008625DC">
              <w:t>, but the ACCC should be empowered to require the production of business and market information</w:t>
            </w:r>
            <w:r w:rsidRPr="008625DC">
              <w:t xml:space="preserve">; </w:t>
            </w:r>
          </w:p>
          <w:p w14:paraId="3AE270BE" w14:textId="77777777" w:rsidR="001A2089" w:rsidRPr="008625DC" w:rsidRDefault="001A2089" w:rsidP="00DB4ECC">
            <w:pPr>
              <w:pStyle w:val="RecommendationBullet"/>
            </w:pPr>
            <w:r w:rsidRPr="008625DC">
              <w:t>the formal process should be subject to strict timelines that cannot be extended except with the consent of the merger parties; and</w:t>
            </w:r>
          </w:p>
          <w:p w14:paraId="37BB6DBC" w14:textId="6D7B16C2" w:rsidR="000752DD" w:rsidRPr="008625DC" w:rsidRDefault="001A2089" w:rsidP="00DB4ECC">
            <w:pPr>
              <w:pStyle w:val="RecommendationBullet"/>
            </w:pPr>
            <w:proofErr w:type="gramStart"/>
            <w:r w:rsidRPr="008625DC">
              <w:t>decisions</w:t>
            </w:r>
            <w:proofErr w:type="gramEnd"/>
            <w:r w:rsidRPr="008625DC">
              <w:t xml:space="preserve"> of the ACCC should be subject to review by the </w:t>
            </w:r>
            <w:r w:rsidR="00736394" w:rsidRPr="008625DC">
              <w:t xml:space="preserve">Australian </w:t>
            </w:r>
            <w:r w:rsidRPr="008625DC">
              <w:t>Competition Tribunal</w:t>
            </w:r>
            <w:r w:rsidR="00E04B55" w:rsidRPr="008625DC">
              <w:t xml:space="preserve"> </w:t>
            </w:r>
            <w:r w:rsidR="00BC4382" w:rsidRPr="008625DC">
              <w:t>under a process that is also governed by strict timelines.</w:t>
            </w:r>
          </w:p>
        </w:tc>
      </w:tr>
    </w:tbl>
    <w:p w14:paraId="3946B2B2" w14:textId="46EFEAFA" w:rsidR="00D81D7A" w:rsidRPr="008625DC" w:rsidRDefault="00D81D7A" w:rsidP="0006207D">
      <w:pPr>
        <w:spacing w:before="240"/>
      </w:pPr>
      <w:bookmarkStart w:id="8766" w:name="_Toc396397383"/>
      <w:bookmarkStart w:id="8767" w:name="_Toc396806590"/>
      <w:bookmarkStart w:id="8768" w:name="_Toc396815120"/>
      <w:bookmarkStart w:id="8769" w:name="_Toc396821070"/>
      <w:bookmarkStart w:id="8770" w:name="_Toc396821678"/>
      <w:bookmarkStart w:id="8771" w:name="_Toc396827528"/>
      <w:bookmarkStart w:id="8772" w:name="_Toc396828499"/>
      <w:bookmarkStart w:id="8773" w:name="_Toc396828609"/>
      <w:bookmarkStart w:id="8774" w:name="_Toc396837998"/>
      <w:bookmarkStart w:id="8775" w:name="_Toc396838396"/>
      <w:bookmarkStart w:id="8776" w:name="_Toc396904129"/>
      <w:bookmarkStart w:id="8777" w:name="_Toc396904719"/>
      <w:bookmarkStart w:id="8778" w:name="_Toc396907553"/>
      <w:bookmarkStart w:id="8779" w:name="_Toc396912472"/>
      <w:r w:rsidRPr="008625DC">
        <w:t xml:space="preserve">For further </w:t>
      </w:r>
      <w:r w:rsidR="006D05B4" w:rsidRPr="008625DC">
        <w:t>detail</w:t>
      </w:r>
      <w:r w:rsidRPr="008625DC">
        <w:t xml:space="preserve"> on mergers</w:t>
      </w:r>
      <w:r w:rsidR="002664C8" w:rsidRPr="008625DC">
        <w:t>,</w:t>
      </w:r>
      <w:r w:rsidRPr="008625DC">
        <w:t xml:space="preserve"> see </w:t>
      </w:r>
      <w:hyperlink w:anchor="Ch15" w:history="1">
        <w:r w:rsidRPr="008625DC">
          <w:rPr>
            <w:rStyle w:val="Hyperlink"/>
          </w:rPr>
          <w:t>Chapter 1</w:t>
        </w:r>
        <w:r w:rsidR="00BC47E4" w:rsidRPr="008625DC">
          <w:rPr>
            <w:rStyle w:val="Hyperlink"/>
          </w:rPr>
          <w:t>5</w:t>
        </w:r>
      </w:hyperlink>
      <w:r w:rsidRPr="008625DC">
        <w:t>.</w:t>
      </w:r>
    </w:p>
    <w:p w14:paraId="03A73D17" w14:textId="228160E5" w:rsidR="000752DD" w:rsidRPr="008625DC" w:rsidRDefault="00AD0D21" w:rsidP="000B5916">
      <w:pPr>
        <w:pStyle w:val="Heading2"/>
        <w:ind w:left="851" w:hanging="851"/>
        <w:rPr>
          <w:lang w:val="en-AU"/>
        </w:rPr>
      </w:pPr>
      <w:bookmarkStart w:id="8780" w:name="_Toc398197354"/>
      <w:bookmarkStart w:id="8781" w:name="_Toc398199857"/>
      <w:bookmarkStart w:id="8782" w:name="_Toc398201571"/>
      <w:bookmarkStart w:id="8783" w:name="_Toc398207176"/>
      <w:bookmarkStart w:id="8784" w:name="_Toc398210449"/>
      <w:bookmarkStart w:id="8785" w:name="_Toc398210963"/>
      <w:bookmarkStart w:id="8786" w:name="_Toc398219771"/>
      <w:bookmarkStart w:id="8787" w:name="_Toc398220146"/>
      <w:bookmarkStart w:id="8788" w:name="_Toc398220533"/>
      <w:bookmarkStart w:id="8789" w:name="_Toc398221611"/>
      <w:bookmarkStart w:id="8790" w:name="_Toc398222297"/>
      <w:bookmarkStart w:id="8791" w:name="_Toc398222609"/>
      <w:bookmarkStart w:id="8792" w:name="_Toc398223026"/>
      <w:bookmarkStart w:id="8793" w:name="_Toc398223405"/>
      <w:bookmarkStart w:id="8794" w:name="_Toc398223532"/>
      <w:bookmarkStart w:id="8795" w:name="_Toc398224340"/>
      <w:bookmarkStart w:id="8796" w:name="_Toc398225677"/>
      <w:bookmarkStart w:id="8797" w:name="_Toc398225802"/>
      <w:bookmarkStart w:id="8798" w:name="_Toc398281289"/>
      <w:bookmarkStart w:id="8799" w:name="_Toc398282148"/>
      <w:bookmarkStart w:id="8800" w:name="_Toc398284818"/>
      <w:bookmarkStart w:id="8801" w:name="_Toc398287287"/>
      <w:bookmarkStart w:id="8802" w:name="_Toc398289170"/>
      <w:bookmarkStart w:id="8803" w:name="_Toc398297167"/>
      <w:bookmarkStart w:id="8804" w:name="_Toc398298641"/>
      <w:bookmarkStart w:id="8805" w:name="_Toc398300342"/>
      <w:bookmarkStart w:id="8806" w:name="_Toc398301239"/>
      <w:bookmarkStart w:id="8807" w:name="_Toc398302424"/>
      <w:bookmarkStart w:id="8808" w:name="_Toc398302587"/>
      <w:bookmarkStart w:id="8809" w:name="_Toc398549100"/>
      <w:bookmarkStart w:id="8810" w:name="_Toc398549350"/>
      <w:bookmarkStart w:id="8811" w:name="_Toc398555769"/>
      <w:bookmarkStart w:id="8812" w:name="_Toc398558973"/>
      <w:bookmarkStart w:id="8813" w:name="_Toc398563459"/>
      <w:bookmarkStart w:id="8814" w:name="_Toc398563592"/>
      <w:bookmarkStart w:id="8815" w:name="_Toc398563991"/>
      <w:bookmarkStart w:id="8816" w:name="_Toc398827329"/>
      <w:bookmarkStart w:id="8817" w:name="_Toc398827523"/>
      <w:bookmarkStart w:id="8818" w:name="s313"/>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r w:rsidRPr="008625DC">
        <w:rPr>
          <w:lang w:val="en-AU"/>
        </w:rPr>
        <w:t>Employment</w:t>
      </w:r>
      <w:r w:rsidR="00C74E19" w:rsidRPr="008625DC">
        <w:rPr>
          <w:lang w:val="en-AU"/>
        </w:rPr>
        <w:noBreakHyphen/>
      </w:r>
      <w:r w:rsidRPr="008625DC">
        <w:rPr>
          <w:lang w:val="en-AU"/>
        </w:rPr>
        <w:t>related matters</w:t>
      </w:r>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p>
    <w:bookmarkEnd w:id="8818"/>
    <w:p w14:paraId="39552FC0" w14:textId="78800E1E" w:rsidR="00AD0D21" w:rsidRPr="008625DC" w:rsidRDefault="00AD0D21" w:rsidP="00AD0D21">
      <w:r w:rsidRPr="008625DC">
        <w:t xml:space="preserve">The negotiation of employment terms and conditions (remuneration, conditions of employment, hours of work or working conditions of employees) has always been excluded from most of the competition law provisions of the CCA by paragraph 51(2)(a). The reason for that exclusion is that the negotiation and determination of employment terms and conditions is governed by a separate regulatory regime, currently contained in the </w:t>
      </w:r>
      <w:r w:rsidRPr="008625DC">
        <w:rPr>
          <w:i/>
        </w:rPr>
        <w:t>Fair Work Act</w:t>
      </w:r>
      <w:r w:rsidRPr="008625DC">
        <w:t xml:space="preserve"> </w:t>
      </w:r>
      <w:r w:rsidRPr="008625DC">
        <w:rPr>
          <w:i/>
        </w:rPr>
        <w:t>2009</w:t>
      </w:r>
      <w:r w:rsidRPr="008625DC">
        <w:t>. The policy rationale is that labour markets are not in all respects comparable to other product or service markets. As a general principle, the Panel agrees with that view.</w:t>
      </w:r>
    </w:p>
    <w:p w14:paraId="1415B30B" w14:textId="31F3BE09" w:rsidR="00AD0D21" w:rsidRPr="008625DC" w:rsidRDefault="00AD0D21" w:rsidP="00DB4ECC">
      <w:pPr>
        <w:spacing w:after="120"/>
      </w:pPr>
      <w:r w:rsidRPr="008625DC">
        <w:t>However, there are two categories of employment</w:t>
      </w:r>
      <w:r w:rsidR="00C74E19" w:rsidRPr="008625DC">
        <w:noBreakHyphen/>
      </w:r>
      <w:r w:rsidRPr="008625DC">
        <w:t>related conduct that are not within that general exclusion:</w:t>
      </w:r>
    </w:p>
    <w:p w14:paraId="1F825BC1" w14:textId="77777777" w:rsidR="00AD0D21" w:rsidRPr="008625DC" w:rsidRDefault="00AD0D21" w:rsidP="00AD0D21">
      <w:pPr>
        <w:pStyle w:val="Bullet"/>
      </w:pPr>
      <w:r w:rsidRPr="008625DC">
        <w:t>secondary boycotts, which are prohibited by sections 45D, 45DA and 45DB; and</w:t>
      </w:r>
    </w:p>
    <w:p w14:paraId="6706BBC6" w14:textId="59196360" w:rsidR="00AD0D21" w:rsidRPr="008625DC" w:rsidRDefault="00AD0D21" w:rsidP="00AD0D21">
      <w:pPr>
        <w:pStyle w:val="Bullet"/>
      </w:pPr>
      <w:proofErr w:type="gramStart"/>
      <w:r w:rsidRPr="008625DC">
        <w:t>trading</w:t>
      </w:r>
      <w:proofErr w:type="gramEnd"/>
      <w:r w:rsidRPr="008625DC">
        <w:t xml:space="preserve"> restrictions in industrial agreements, which are prohibited by sections 45E and 45EA.</w:t>
      </w:r>
    </w:p>
    <w:p w14:paraId="085E91C5" w14:textId="77777777" w:rsidR="00AD0D21" w:rsidRPr="008625DC" w:rsidRDefault="00AD0D21" w:rsidP="00AD0D21">
      <w:pPr>
        <w:pStyle w:val="Heading3"/>
      </w:pPr>
      <w:r w:rsidRPr="008625DC">
        <w:t>Secondary boycotts</w:t>
      </w:r>
    </w:p>
    <w:p w14:paraId="2F0AE931" w14:textId="77777777" w:rsidR="00AD0D21" w:rsidRPr="008625DC" w:rsidRDefault="00AD0D21" w:rsidP="00AD0D21">
      <w:r w:rsidRPr="008625DC">
        <w:t>Prohibitions on secondary boycotts have been a central feature of the scheme of the CCA since its early years. Secondary boycott prohibitions, with effective enforcement capability, have a significant deterrent effect on behaviour that would otherwise compromise the capacity of businesses to provide goods and services in a competitive market.</w:t>
      </w:r>
    </w:p>
    <w:p w14:paraId="50A0C03C" w14:textId="77777777" w:rsidR="00AD0D21" w:rsidRPr="008625DC" w:rsidRDefault="00AD0D21" w:rsidP="00AD0D21">
      <w:r w:rsidRPr="008625DC">
        <w:t>The Panel considers that prohibitions on secondary boycotts of the CCA serve the public interest and a sufficient case has not been made for changes to those provisions.</w:t>
      </w:r>
    </w:p>
    <w:p w14:paraId="557A47BC" w14:textId="6D600116" w:rsidR="0034547C" w:rsidRPr="008625DC" w:rsidRDefault="00AD0D21" w:rsidP="00AD0D21">
      <w:r w:rsidRPr="008625DC">
        <w:lastRenderedPageBreak/>
        <w:t>There is a strong perception by organisations representing business</w:t>
      </w:r>
      <w:r w:rsidR="00205F7C" w:rsidRPr="008625DC">
        <w:t>, especially</w:t>
      </w:r>
      <w:r w:rsidRPr="008625DC">
        <w:t xml:space="preserve"> in building, construction and mining</w:t>
      </w:r>
      <w:r w:rsidR="00205F7C" w:rsidRPr="008625DC">
        <w:t>,</w:t>
      </w:r>
      <w:r w:rsidRPr="008625DC">
        <w:t xml:space="preserve"> that there is </w:t>
      </w:r>
      <w:r w:rsidR="00205F7C" w:rsidRPr="008625DC">
        <w:t>insufficient</w:t>
      </w:r>
      <w:r w:rsidRPr="008625DC">
        <w:t xml:space="preserve"> public enforcement of the secondary boycott provisions. Timely and effective </w:t>
      </w:r>
      <w:r w:rsidR="00205F7C" w:rsidRPr="008625DC">
        <w:t xml:space="preserve">public </w:t>
      </w:r>
      <w:r w:rsidRPr="008625DC">
        <w:t>enforcement serves as a deterrent to boycott activity, and needs to exist both in regulatory culture and capability.</w:t>
      </w:r>
      <w:r w:rsidR="0034547C" w:rsidRPr="008625DC">
        <w:t xml:space="preserve"> </w:t>
      </w:r>
      <w:r w:rsidR="00205F7C" w:rsidRPr="008625DC">
        <w:t>This deterrent effect contributes to a lower incidence of secondary boycott activity and should be taken into account by the ACCC in exercising its enforcement powers.</w:t>
      </w:r>
    </w:p>
    <w:p w14:paraId="41FBA9EB" w14:textId="52D2BD9F" w:rsidR="00AD0D21" w:rsidRPr="008625DC" w:rsidRDefault="00AD0D21" w:rsidP="00AD0D21">
      <w:r w:rsidRPr="008625DC">
        <w:t xml:space="preserve">Where legislation confers a comparable enforcement jurisdiction on a specialist regulator in respect of secondary boycott laws, such as has occurred in the building and construction industry, it would </w:t>
      </w:r>
      <w:r w:rsidR="00B64EE7" w:rsidRPr="008625DC">
        <w:t xml:space="preserve">be </w:t>
      </w:r>
      <w:r w:rsidRPr="008625DC">
        <w:t>appropriate for the ACCC to establish protocols for enforcement and investigation. There would also be value in the ACCC including in its annual report the number of complaints made to it in respect of secondary boycott matters and the number of such matters investigated and resolved each financial year.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4A350E99" w14:textId="77777777" w:rsidTr="00F81722">
        <w:tc>
          <w:tcPr>
            <w:tcW w:w="5000" w:type="pct"/>
            <w:shd w:val="clear" w:color="auto" w:fill="E9F7F3" w:themeFill="accent4" w:themeFillTint="33"/>
          </w:tcPr>
          <w:p w14:paraId="568A626C" w14:textId="1292611A" w:rsidR="000752DD" w:rsidRPr="008625DC" w:rsidRDefault="000752DD" w:rsidP="00F81722">
            <w:pPr>
              <w:pStyle w:val="RecommendationHeading"/>
            </w:pPr>
            <w:bookmarkStart w:id="8819" w:name="DR31"/>
            <w:r w:rsidRPr="008625DC">
              <w:t xml:space="preserve">Draft Recommendation </w:t>
            </w:r>
            <w:r w:rsidRPr="008625DC">
              <w:fldChar w:fldCharType="begin"/>
            </w:r>
            <w:r w:rsidRPr="008625DC">
              <w:instrText xml:space="preserve"> AUTONUMLGL  \* Arabic \e </w:instrText>
            </w:r>
            <w:r w:rsidRPr="008625DC">
              <w:fldChar w:fldCharType="end"/>
            </w:r>
            <w:bookmarkEnd w:id="8819"/>
            <w:r w:rsidR="00380141" w:rsidRPr="008625DC">
              <w:t xml:space="preserve"> — </w:t>
            </w:r>
            <w:r w:rsidR="00B61871" w:rsidRPr="008625DC">
              <w:t>Secondary boycotts</w:t>
            </w:r>
            <w:r w:rsidR="00AD0D21" w:rsidRPr="008625DC">
              <w:t xml:space="preserve"> enforcement</w:t>
            </w:r>
          </w:p>
          <w:p w14:paraId="01F25F0C" w14:textId="0205A933" w:rsidR="000752DD" w:rsidRPr="008625DC" w:rsidRDefault="00AD0D21" w:rsidP="00F81722">
            <w:pPr>
              <w:pStyle w:val="RecommendationText"/>
            </w:pPr>
            <w:r w:rsidRPr="008625DC">
              <w:t>The ACCC should include in its annual report the number of complaints made to it in respect of secondary boycott conduct and the number of such matters investigated and resolved each year.</w:t>
            </w:r>
          </w:p>
        </w:tc>
      </w:tr>
    </w:tbl>
    <w:p w14:paraId="547C667F" w14:textId="75D1171A" w:rsidR="00AD0D21" w:rsidRPr="008625DC" w:rsidRDefault="00AD0D21" w:rsidP="00AD0D21">
      <w:pPr>
        <w:spacing w:before="240"/>
      </w:pPr>
      <w:r w:rsidRPr="008625DC">
        <w:t>Currently, the Federal Court has exclusive jurisdiction in respect of the prohibitions in sections 45D, 45DA, 45DB, 45E and 45EA (subsection</w:t>
      </w:r>
      <w:r w:rsidR="00C26226" w:rsidRPr="008625DC">
        <w:t> </w:t>
      </w:r>
      <w:r w:rsidRPr="008625DC">
        <w:t xml:space="preserve">4(4) of the </w:t>
      </w:r>
      <w:r w:rsidRPr="008625DC">
        <w:rPr>
          <w:i/>
        </w:rPr>
        <w:t>Jurisdiction of Courts (Cross</w:t>
      </w:r>
      <w:r w:rsidR="00C74E19" w:rsidRPr="008625DC">
        <w:rPr>
          <w:i/>
        </w:rPr>
        <w:noBreakHyphen/>
      </w:r>
      <w:r w:rsidRPr="008625DC">
        <w:rPr>
          <w:i/>
        </w:rPr>
        <w:t>Vesting) Act 1987</w:t>
      </w:r>
      <w:r w:rsidRPr="008625DC">
        <w:t xml:space="preserve"> (Cth)). A contravention of these sections may arise in connection with other common law disputes between employers and employee organisations. Such common law disputes can be, and often are, determined within State courts. It is not apparent that there is a particular reason for the Federal Court to have exclusive jurisdiction over disputes arising under these sections, particularly when </w:t>
      </w:r>
      <w:r w:rsidR="0046149D" w:rsidRPr="008625DC">
        <w:t>s</w:t>
      </w:r>
      <w:r w:rsidRPr="008625DC">
        <w:t xml:space="preserve">tate and </w:t>
      </w:r>
      <w:r w:rsidR="0046149D" w:rsidRPr="008625DC">
        <w:t>t</w:t>
      </w:r>
      <w:r w:rsidRPr="008625DC">
        <w:t>erritory courts have jurisdiction in respect of common law actions that often raise similar issues.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BD5863" w:rsidRPr="008625DC" w14:paraId="42584163" w14:textId="77777777" w:rsidTr="00BD5863">
        <w:tc>
          <w:tcPr>
            <w:tcW w:w="5000" w:type="pct"/>
            <w:shd w:val="clear" w:color="auto" w:fill="E9F7F3" w:themeFill="accent4" w:themeFillTint="33"/>
          </w:tcPr>
          <w:p w14:paraId="11130670" w14:textId="6595D37B" w:rsidR="00BD5863" w:rsidRPr="008625DC" w:rsidRDefault="00BD5863" w:rsidP="00BD5863">
            <w:pPr>
              <w:pStyle w:val="RecommendationHeading"/>
            </w:pPr>
            <w:bookmarkStart w:id="8820" w:name="DR32"/>
            <w:r w:rsidRPr="008625DC">
              <w:t xml:space="preserve">Draft Recommendation </w:t>
            </w:r>
            <w:r w:rsidRPr="008625DC">
              <w:fldChar w:fldCharType="begin"/>
            </w:r>
            <w:r w:rsidRPr="008625DC">
              <w:instrText xml:space="preserve"> AUTONUMLGL  \* Arabic \e </w:instrText>
            </w:r>
            <w:r w:rsidRPr="008625DC">
              <w:fldChar w:fldCharType="end"/>
            </w:r>
            <w:bookmarkEnd w:id="8820"/>
            <w:r w:rsidR="00380141" w:rsidRPr="008625DC">
              <w:t xml:space="preserve"> — </w:t>
            </w:r>
            <w:r w:rsidRPr="008625DC">
              <w:t>Secondary boycotts proceedings</w:t>
            </w:r>
          </w:p>
          <w:p w14:paraId="21EAA8BE" w14:textId="012A107B" w:rsidR="00BD5863" w:rsidRPr="008625DC" w:rsidRDefault="00BD5863" w:rsidP="0006207D">
            <w:pPr>
              <w:pStyle w:val="RecommendationText"/>
            </w:pPr>
            <w:r w:rsidRPr="008625DC">
              <w:t>Jurisdiction in respect of the prohibitions in sections 45D, 45DA, 45DB</w:t>
            </w:r>
            <w:r w:rsidR="00AD0D21" w:rsidRPr="008625DC">
              <w:t xml:space="preserve">, </w:t>
            </w:r>
            <w:r w:rsidR="0006207D" w:rsidRPr="008625DC">
              <w:t xml:space="preserve">45E </w:t>
            </w:r>
            <w:r w:rsidR="00AD0D21" w:rsidRPr="008625DC">
              <w:t xml:space="preserve">and 45EA </w:t>
            </w:r>
            <w:r w:rsidR="0006207D" w:rsidRPr="008625DC">
              <w:t xml:space="preserve">should be extended to the </w:t>
            </w:r>
            <w:r w:rsidR="001730B9" w:rsidRPr="008625DC">
              <w:t>s</w:t>
            </w:r>
            <w:r w:rsidRPr="008625DC">
              <w:t xml:space="preserve">tate and </w:t>
            </w:r>
            <w:r w:rsidR="001730B9" w:rsidRPr="008625DC">
              <w:t>t</w:t>
            </w:r>
            <w:r w:rsidRPr="008625DC">
              <w:t>erritory Supreme Courts.</w:t>
            </w:r>
          </w:p>
        </w:tc>
      </w:tr>
    </w:tbl>
    <w:p w14:paraId="7551402E" w14:textId="726230E9" w:rsidR="00AD0D21" w:rsidRPr="008625DC" w:rsidRDefault="00AD0D21" w:rsidP="00DB4ECC">
      <w:pPr>
        <w:spacing w:before="240"/>
      </w:pPr>
      <w:r w:rsidRPr="008625DC">
        <w:t xml:space="preserve">A number of submissions </w:t>
      </w:r>
      <w:r w:rsidR="00B64EE7" w:rsidRPr="008625DC">
        <w:t xml:space="preserve">raised the issue of </w:t>
      </w:r>
      <w:r w:rsidRPr="008625DC">
        <w:t>the environmental and consumer exception to the secondary boycott prohibition. Consumer and environmental organis</w:t>
      </w:r>
      <w:r w:rsidR="005C6A7D" w:rsidRPr="008625DC">
        <w:t>ations argued for retention (or </w:t>
      </w:r>
      <w:r w:rsidRPr="008625DC">
        <w:t>expansion) of the exception, while industry groups and others argued for its removal.</w:t>
      </w:r>
    </w:p>
    <w:p w14:paraId="49182AC2" w14:textId="684CFD63" w:rsidR="00AD0D21" w:rsidRPr="008625DC" w:rsidRDefault="00AD0D21" w:rsidP="00AD0D21">
      <w:r w:rsidRPr="008625DC">
        <w:t xml:space="preserve">During consultations undertaken by the Panel, it appeared that the primary concern expressed </w:t>
      </w:r>
      <w:r w:rsidR="00D76920" w:rsidRPr="008625DC">
        <w:t>by</w:t>
      </w:r>
      <w:r w:rsidRPr="008625DC">
        <w:t xml:space="preserve"> industry representatives is that environmental groups may damage a supplier in a market through a</w:t>
      </w:r>
      <w:r w:rsidR="005C6A7D" w:rsidRPr="008625DC">
        <w:t> </w:t>
      </w:r>
      <w:r w:rsidRPr="008625DC">
        <w:t>public campaign targeting the supplier that may be based on false or misleading information.</w:t>
      </w:r>
    </w:p>
    <w:p w14:paraId="51999F68" w14:textId="09BB5F86" w:rsidR="0034547C" w:rsidRPr="008625DC" w:rsidRDefault="00AD0D21" w:rsidP="00BD5863">
      <w:r w:rsidRPr="008625DC">
        <w:t xml:space="preserve">A question might arise whether a public campaign undertaken by an environmental or consumer organisation against a trading business, advocating that customers </w:t>
      </w:r>
      <w:r w:rsidR="00673472" w:rsidRPr="008625DC">
        <w:t xml:space="preserve">ought </w:t>
      </w:r>
      <w:proofErr w:type="gramStart"/>
      <w:r w:rsidRPr="008625DC">
        <w:t>not</w:t>
      </w:r>
      <w:proofErr w:type="gramEnd"/>
      <w:r w:rsidRPr="008625DC">
        <w:t xml:space="preserve"> purchase products from the business, should be subject to the laws prohibiting false, misleading and deceptive conduct. Presently, those laws only apply </w:t>
      </w:r>
      <w:r w:rsidR="00836D17" w:rsidRPr="008625DC">
        <w:t>insofar</w:t>
      </w:r>
      <w:r w:rsidRPr="008625DC">
        <w:t xml:space="preserve"> as a person is engaged in trade or commerce.</w:t>
      </w:r>
      <w:r w:rsidR="0034547C" w:rsidRPr="008625DC">
        <w:t xml:space="preserve"> </w:t>
      </w:r>
    </w:p>
    <w:p w14:paraId="74F34EB7" w14:textId="77777777" w:rsidR="00F93767" w:rsidRPr="008625DC" w:rsidRDefault="00AD0D21" w:rsidP="00F93767">
      <w:r w:rsidRPr="008625DC">
        <w:t>However, expanding the laws concerning false, misleading or deceptive conduct to organisations involved in public advocacy campaigns directed at trading businesses raises complex issues. Many public advocacy campaigns directed at trading businesses concern health issues (e</w:t>
      </w:r>
      <w:r w:rsidR="00617CCB" w:rsidRPr="008625DC">
        <w:t>.</w:t>
      </w:r>
      <w:r w:rsidRPr="008625DC">
        <w:t>g</w:t>
      </w:r>
      <w:r w:rsidR="00617CCB" w:rsidRPr="008625DC">
        <w:t>.</w:t>
      </w:r>
      <w:r w:rsidRPr="008625DC">
        <w:t xml:space="preserve"> tobacco, alcohol and fast food) or social issues (</w:t>
      </w:r>
      <w:r w:rsidR="009D2EFB" w:rsidRPr="008625DC">
        <w:t>e.g.</w:t>
      </w:r>
      <w:r w:rsidRPr="008625DC">
        <w:t xml:space="preserve"> gambling). Consideration of the expansion of those laws in that context is beyond the </w:t>
      </w:r>
      <w:r w:rsidR="0059370B" w:rsidRPr="008625DC">
        <w:t>T</w:t>
      </w:r>
      <w:r w:rsidRPr="008625DC">
        <w:t xml:space="preserve">erms of </w:t>
      </w:r>
      <w:r w:rsidR="0059370B" w:rsidRPr="008625DC">
        <w:t>R</w:t>
      </w:r>
      <w:r w:rsidRPr="008625DC">
        <w:t xml:space="preserve">eference of the </w:t>
      </w:r>
      <w:r w:rsidR="00046B31" w:rsidRPr="008625DC">
        <w:t>Review</w:t>
      </w:r>
      <w:r w:rsidRPr="008625DC">
        <w:t>.</w:t>
      </w:r>
    </w:p>
    <w:p w14:paraId="7529A7FA" w14:textId="40C84D6C" w:rsidR="00F93767" w:rsidRPr="008625DC" w:rsidRDefault="00F93767" w:rsidP="00F93767">
      <w:r w:rsidRPr="008625DC">
        <w:lastRenderedPageBreak/>
        <w:t xml:space="preserve">On the other hand, where an environmental or consumer group takes action that directly impedes the lawful commercial activity of others (as distinct from merely exercising free speech), a question arises whether that activity should be encompassed by the secondary boycott prohibition. </w:t>
      </w:r>
      <w:r w:rsidRPr="008625DC">
        <w:rPr>
          <w:b/>
        </w:rPr>
        <w:t>The Panel invites further comment on this issue.</w:t>
      </w:r>
    </w:p>
    <w:p w14:paraId="58CD1B95" w14:textId="6BEAA7A7" w:rsidR="00AD0D21" w:rsidRPr="008625DC" w:rsidRDefault="00AD0D21" w:rsidP="00AD0D21">
      <w:pPr>
        <w:pStyle w:val="Heading3"/>
      </w:pPr>
      <w:r w:rsidRPr="008625DC">
        <w:t>Trading Restrictions in Industrial Agreements</w:t>
      </w:r>
    </w:p>
    <w:p w14:paraId="4FA812C5" w14:textId="7CEB35C1" w:rsidR="00AD0D21" w:rsidRPr="008625DC" w:rsidRDefault="00AD0D21" w:rsidP="00AD0D21">
      <w:pPr>
        <w:spacing w:before="240"/>
      </w:pPr>
      <w:r w:rsidRPr="008625DC">
        <w:t>Section 45E of the CCA prohibits a person (an employer) from making a contract, arrangement or understanding with an organisation of employees that contains a provision restricting the freedom of the employer to supply goods or services to, or acquire goods or services from, another person.</w:t>
      </w:r>
      <w:r w:rsidR="00D52947" w:rsidRPr="008625DC">
        <w:t xml:space="preserve"> Section 45EA prohibits a person from giving effect to such a contract, arrangement or understanding.</w:t>
      </w:r>
    </w:p>
    <w:p w14:paraId="7DE50221" w14:textId="4665851C" w:rsidR="00AD0D21" w:rsidRPr="008625DC" w:rsidRDefault="00AD0D21" w:rsidP="00AD0D21">
      <w:pPr>
        <w:spacing w:before="240"/>
      </w:pPr>
      <w:r w:rsidRPr="008625DC">
        <w:t>The Panel considers that section</w:t>
      </w:r>
      <w:r w:rsidR="00D52947" w:rsidRPr="008625DC">
        <w:t>s</w:t>
      </w:r>
      <w:r w:rsidRPr="008625DC">
        <w:t xml:space="preserve"> 45E </w:t>
      </w:r>
      <w:r w:rsidR="00D52947" w:rsidRPr="008625DC">
        <w:t xml:space="preserve">and 45EA are </w:t>
      </w:r>
      <w:r w:rsidRPr="008625DC">
        <w:t>important provision</w:t>
      </w:r>
      <w:r w:rsidR="00D52947" w:rsidRPr="008625DC">
        <w:t>s</w:t>
      </w:r>
      <w:r w:rsidRPr="008625DC">
        <w:t xml:space="preserve"> that protect trading freedoms.</w:t>
      </w:r>
    </w:p>
    <w:p w14:paraId="558FA1C6" w14:textId="0CDB2A50" w:rsidR="00AD0D21" w:rsidRPr="008625DC" w:rsidRDefault="00AD0D21" w:rsidP="003147A0">
      <w:pPr>
        <w:spacing w:before="240" w:after="120"/>
      </w:pPr>
      <w:r w:rsidRPr="008625DC">
        <w:t>It has become apparent that there is a possible conflict between the intended operation of section</w:t>
      </w:r>
      <w:r w:rsidR="006804D9" w:rsidRPr="008625DC">
        <w:t>s</w:t>
      </w:r>
      <w:r w:rsidR="003147A0" w:rsidRPr="008625DC">
        <w:t> </w:t>
      </w:r>
      <w:r w:rsidRPr="008625DC">
        <w:t>45E</w:t>
      </w:r>
      <w:r w:rsidR="006804D9" w:rsidRPr="008625DC">
        <w:t xml:space="preserve"> and 45EA</w:t>
      </w:r>
      <w:r w:rsidRPr="008625DC">
        <w:t xml:space="preserve"> and the regulation of awards and enterprise agreements under the </w:t>
      </w:r>
      <w:r w:rsidRPr="008625DC">
        <w:rPr>
          <w:i/>
        </w:rPr>
        <w:t>Fair Work Act 2009</w:t>
      </w:r>
      <w:r w:rsidRPr="008625DC">
        <w:t>.</w:t>
      </w:r>
      <w:r w:rsidR="00C878F2" w:rsidRPr="008625DC">
        <w:t xml:space="preserve"> </w:t>
      </w:r>
      <w:r w:rsidRPr="008625DC">
        <w:t xml:space="preserve">This issue has been brought into focus by the 2012 decision of the Full Court of the Federal Court, </w:t>
      </w:r>
      <w:r w:rsidRPr="008625DC">
        <w:rPr>
          <w:i/>
        </w:rPr>
        <w:t>Australian Industry Group v Fair Work Australia</w:t>
      </w:r>
      <w:r w:rsidRPr="008625DC">
        <w:t xml:space="preserve">. The case considered whether it was lawful for </w:t>
      </w:r>
      <w:r w:rsidR="00575A09" w:rsidRPr="008625DC">
        <w:t>the</w:t>
      </w:r>
      <w:r w:rsidR="00C878F2" w:rsidRPr="008625DC">
        <w:t xml:space="preserve"> </w:t>
      </w:r>
      <w:r w:rsidRPr="008625DC">
        <w:t xml:space="preserve">Fair Work </w:t>
      </w:r>
      <w:r w:rsidR="00575A09" w:rsidRPr="008625DC">
        <w:t>Commission</w:t>
      </w:r>
      <w:r w:rsidRPr="008625DC">
        <w:t xml:space="preserve"> to approve an enterprise agreement under the Fair Work Act which contained a provision requiring the employer to only engage or deal with those contractors who applied wages and conditions no less favourable than those provided for in the agreement for its employees. The Full Court concluded that it was lawful for </w:t>
      </w:r>
      <w:r w:rsidR="00A21D9B" w:rsidRPr="008625DC">
        <w:t xml:space="preserve">the </w:t>
      </w:r>
      <w:r w:rsidRPr="008625DC">
        <w:t xml:space="preserve">Fair Work </w:t>
      </w:r>
      <w:r w:rsidR="00553211" w:rsidRPr="008625DC">
        <w:t>Commission</w:t>
      </w:r>
      <w:r w:rsidRPr="008625DC">
        <w:t xml:space="preserve"> to approve the agreement, and that the enterprise agreement did not involve any contravention of section 45E because:</w:t>
      </w:r>
    </w:p>
    <w:p w14:paraId="023E1774" w14:textId="79E49166" w:rsidR="00AD0D21" w:rsidRPr="008625DC" w:rsidRDefault="00AD0D21" w:rsidP="00AD0D21">
      <w:pPr>
        <w:pStyle w:val="Bullet"/>
      </w:pPr>
      <w:r w:rsidRPr="008625DC">
        <w:t>it was not an agreement with an organisation of employees in the sense required by section</w:t>
      </w:r>
      <w:r w:rsidR="00BD3105" w:rsidRPr="008625DC">
        <w:t> </w:t>
      </w:r>
      <w:r w:rsidRPr="008625DC">
        <w:t>45E; and</w:t>
      </w:r>
    </w:p>
    <w:p w14:paraId="23166D8C" w14:textId="7C5F797C" w:rsidR="00AD0D21" w:rsidRPr="008625DC" w:rsidRDefault="00AD0D21" w:rsidP="00AD0D21">
      <w:pPr>
        <w:pStyle w:val="Bullet"/>
      </w:pPr>
      <w:proofErr w:type="gramStart"/>
      <w:r w:rsidRPr="008625DC">
        <w:t>as</w:t>
      </w:r>
      <w:proofErr w:type="gramEnd"/>
      <w:r w:rsidRPr="008625DC">
        <w:t xml:space="preserve"> the agreement had statutory force, it was not a contract, arrangement or understanding within the meaning of section 45E.</w:t>
      </w:r>
    </w:p>
    <w:p w14:paraId="2E755460" w14:textId="7B24E9C5" w:rsidR="00AD0D21" w:rsidRPr="008625DC" w:rsidRDefault="00AD0D21" w:rsidP="00AD0D21">
      <w:pPr>
        <w:spacing w:before="240"/>
      </w:pPr>
      <w:r w:rsidRPr="008625DC">
        <w:t>It appears that there may be a conflict between the purposes of the CCA, as reflected in section</w:t>
      </w:r>
      <w:r w:rsidR="00DF26F4" w:rsidRPr="008625DC">
        <w:t>s</w:t>
      </w:r>
      <w:r w:rsidR="007E6809" w:rsidRPr="008625DC">
        <w:t> </w:t>
      </w:r>
      <w:r w:rsidRPr="008625DC">
        <w:t>45E</w:t>
      </w:r>
      <w:r w:rsidR="00DF26F4" w:rsidRPr="008625DC">
        <w:t xml:space="preserve"> and 45EA</w:t>
      </w:r>
      <w:r w:rsidRPr="008625DC">
        <w:t>, and industrial conduct that is permitted under the Fair Work Act. The apparent purpose of sections</w:t>
      </w:r>
      <w:r w:rsidR="007E6809" w:rsidRPr="008625DC">
        <w:t> </w:t>
      </w:r>
      <w:r w:rsidRPr="008625DC">
        <w:t>51(2)</w:t>
      </w:r>
      <w:r w:rsidR="00DF26F4" w:rsidRPr="008625DC">
        <w:t>,</w:t>
      </w:r>
      <w:r w:rsidRPr="008625DC">
        <w:t xml:space="preserve"> 45E</w:t>
      </w:r>
      <w:r w:rsidR="00DF26F4" w:rsidRPr="008625DC">
        <w:t xml:space="preserve"> and 45EA</w:t>
      </w:r>
      <w:r w:rsidRPr="008625DC">
        <w:t xml:space="preserve"> of the CCA is to exempt from the CCA contracts governing the conditions of employment of employees, while prohibiting contracts between employers and employee organisations that otherwise hinder the trading freedom of the employer (in respect of the supply and acquisition of goods and services, which would include contractors). However, it appears to be lawful under the Fair Work Act to make awards and register enterprise agreements that place restrictions on the freedom of employers to engage contractors or source certain goods or non</w:t>
      </w:r>
      <w:r w:rsidR="00C74E19" w:rsidRPr="008625DC">
        <w:noBreakHyphen/>
      </w:r>
      <w:r w:rsidRPr="008625DC">
        <w:t>labour services.</w:t>
      </w:r>
    </w:p>
    <w:p w14:paraId="6632C06A" w14:textId="7223E039" w:rsidR="00AD0D21" w:rsidRPr="008625DC" w:rsidRDefault="00AD0D21" w:rsidP="00AD0D21">
      <w:pPr>
        <w:spacing w:before="240"/>
      </w:pPr>
      <w:r w:rsidRPr="008625DC">
        <w:t>It is desirable that the apparent conflict be resolved. The Panel favours competition over restrictions and believes that business</w:t>
      </w:r>
      <w:r w:rsidR="00A21D9B" w:rsidRPr="008625DC">
        <w:t>es</w:t>
      </w:r>
      <w:r w:rsidRPr="008625DC">
        <w:t xml:space="preserve"> should generally be free to supply and acquire goods and services, including contract labour, if they choose.</w:t>
      </w:r>
    </w:p>
    <w:p w14:paraId="4DBBC853" w14:textId="0F0584BB" w:rsidR="00AD0D21" w:rsidRPr="008625DC" w:rsidRDefault="00AD0D21" w:rsidP="00AD0D21">
      <w:pPr>
        <w:spacing w:before="240"/>
      </w:pPr>
      <w:r w:rsidRPr="008625DC">
        <w:t>Further, section</w:t>
      </w:r>
      <w:r w:rsidR="00DF26F4" w:rsidRPr="008625DC">
        <w:t>s</w:t>
      </w:r>
      <w:r w:rsidRPr="008625DC">
        <w:t xml:space="preserve"> 45E</w:t>
      </w:r>
      <w:r w:rsidR="00DF26F4" w:rsidRPr="008625DC">
        <w:t xml:space="preserve"> and 45EA</w:t>
      </w:r>
      <w:r w:rsidRPr="008625DC">
        <w:t xml:space="preserve"> </w:t>
      </w:r>
      <w:r w:rsidR="00DF26F4" w:rsidRPr="008625DC">
        <w:t xml:space="preserve">are </w:t>
      </w:r>
      <w:r w:rsidRPr="008625DC">
        <w:t>presently framed in narrow terms. The prohibition</w:t>
      </w:r>
      <w:r w:rsidR="00DF26F4" w:rsidRPr="008625DC">
        <w:t>s</w:t>
      </w:r>
      <w:r w:rsidRPr="008625DC">
        <w:t xml:space="preserve"> only </w:t>
      </w:r>
      <w:r w:rsidR="00DF26F4" w:rsidRPr="008625DC">
        <w:t xml:space="preserve">apply </w:t>
      </w:r>
      <w:r w:rsidRPr="008625DC">
        <w:t xml:space="preserve">to restrictions affecting persons with whom the employer </w:t>
      </w:r>
      <w:r w:rsidR="00C74E19" w:rsidRPr="008625DC">
        <w:t>‘</w:t>
      </w:r>
      <w:r w:rsidRPr="008625DC">
        <w:t>has been accustomed, or is under an obligation</w:t>
      </w:r>
      <w:r w:rsidR="00C74E19" w:rsidRPr="008625DC">
        <w:t>’</w:t>
      </w:r>
      <w:r w:rsidRPr="008625DC">
        <w:t xml:space="preserve"> to deal. As framed, the prohibition</w:t>
      </w:r>
      <w:r w:rsidR="00DF26F4" w:rsidRPr="008625DC">
        <w:t>s</w:t>
      </w:r>
      <w:r w:rsidRPr="008625DC">
        <w:t xml:space="preserve"> would not apply to a restriction in relation to any contractor with whom the employer had not previously dealt. The policy rationale for limiting the scope of section</w:t>
      </w:r>
      <w:r w:rsidR="00DF26F4" w:rsidRPr="008625DC">
        <w:t>s</w:t>
      </w:r>
      <w:r w:rsidRPr="008625DC">
        <w:t xml:space="preserve"> 45E </w:t>
      </w:r>
      <w:r w:rsidR="00DF26F4" w:rsidRPr="008625DC">
        <w:t xml:space="preserve">and 45EA </w:t>
      </w:r>
      <w:r w:rsidRPr="008625DC">
        <w:t xml:space="preserve">in those terms is not apparent to the Panel. The Panel considers that that </w:t>
      </w:r>
      <w:r w:rsidR="00254B79" w:rsidRPr="008625DC">
        <w:t xml:space="preserve">the </w:t>
      </w:r>
      <w:r w:rsidRPr="008625DC">
        <w:t>limitation</w:t>
      </w:r>
      <w:r w:rsidR="00254B79" w:rsidRPr="008625DC">
        <w:t>s</w:t>
      </w:r>
      <w:r w:rsidRPr="008625DC">
        <w:t xml:space="preserve"> in section</w:t>
      </w:r>
      <w:r w:rsidR="00DF26F4" w:rsidRPr="008625DC">
        <w:t>s</w:t>
      </w:r>
      <w:r w:rsidRPr="008625DC">
        <w:t xml:space="preserve"> 45E </w:t>
      </w:r>
      <w:r w:rsidR="00DF26F4" w:rsidRPr="008625DC">
        <w:t xml:space="preserve">and 45EA </w:t>
      </w:r>
      <w:r w:rsidRPr="008625DC">
        <w:t>should be removed.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AD0D21" w:rsidRPr="008625DC" w14:paraId="6B75166A" w14:textId="77777777" w:rsidTr="00DD1583">
        <w:tc>
          <w:tcPr>
            <w:tcW w:w="5000" w:type="pct"/>
            <w:shd w:val="clear" w:color="auto" w:fill="E9F7F3" w:themeFill="accent4" w:themeFillTint="33"/>
          </w:tcPr>
          <w:p w14:paraId="6EBDBCD5" w14:textId="08E18FFD" w:rsidR="00AD0D21" w:rsidRPr="008625DC" w:rsidRDefault="00AD0D21" w:rsidP="00DD1583">
            <w:pPr>
              <w:pStyle w:val="RecommendationHeading"/>
            </w:pPr>
            <w:bookmarkStart w:id="8821" w:name="DR33"/>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8821"/>
            <w:r w:rsidRPr="008625DC">
              <w:t xml:space="preserve"> — Restricting supply or acquisition</w:t>
            </w:r>
          </w:p>
          <w:p w14:paraId="6F9AD7D5" w14:textId="0A6D47AF" w:rsidR="00AD0D21" w:rsidRPr="008625DC" w:rsidRDefault="00AD0D21" w:rsidP="00DD1583">
            <w:pPr>
              <w:pStyle w:val="RecommendationText"/>
            </w:pPr>
            <w:r w:rsidRPr="008625DC">
              <w:t>The present limitation in section</w:t>
            </w:r>
            <w:r w:rsidR="006341D7" w:rsidRPr="008625DC">
              <w:t>s</w:t>
            </w:r>
            <w:r w:rsidRPr="008625DC">
              <w:t xml:space="preserve"> 45E</w:t>
            </w:r>
            <w:r w:rsidR="006341D7" w:rsidRPr="008625DC">
              <w:t xml:space="preserve"> and 45EA</w:t>
            </w:r>
            <w:r w:rsidRPr="008625DC">
              <w:t>, such that the prohibition</w:t>
            </w:r>
            <w:r w:rsidR="00DF26F4" w:rsidRPr="008625DC">
              <w:t>s</w:t>
            </w:r>
            <w:r w:rsidRPr="008625DC">
              <w:t xml:space="preserve"> only </w:t>
            </w:r>
            <w:r w:rsidR="00DF26F4" w:rsidRPr="008625DC">
              <w:t xml:space="preserve">apply </w:t>
            </w:r>
            <w:r w:rsidRPr="008625DC">
              <w:t xml:space="preserve">to restrictions affecting persons with whom an employer </w:t>
            </w:r>
            <w:r w:rsidR="00C74E19" w:rsidRPr="008625DC">
              <w:t>‘</w:t>
            </w:r>
            <w:r w:rsidRPr="008625DC">
              <w:t>has been accustomed, or is under an obligation</w:t>
            </w:r>
            <w:r w:rsidR="00C74E19" w:rsidRPr="008625DC">
              <w:t>’</w:t>
            </w:r>
            <w:r w:rsidRPr="008625DC">
              <w:t xml:space="preserve"> to deal with, should be removed.</w:t>
            </w:r>
          </w:p>
          <w:p w14:paraId="22570695" w14:textId="77777777" w:rsidR="00C73994" w:rsidRPr="008625DC" w:rsidRDefault="00C73994" w:rsidP="003147A0">
            <w:pPr>
              <w:pStyle w:val="RecommendationText"/>
              <w:rPr>
                <w:rStyle w:val="Bold"/>
              </w:rPr>
            </w:pPr>
            <w:r w:rsidRPr="008625DC">
              <w:rPr>
                <w:rStyle w:val="Bold"/>
              </w:rPr>
              <w:t>The Panel invites further submissions on possible solutions to the apparent conflict between the CCA and the Fair Work Act including:</w:t>
            </w:r>
          </w:p>
          <w:p w14:paraId="7FA453DF" w14:textId="78C82146" w:rsidR="00C73994" w:rsidRPr="008625DC" w:rsidRDefault="00C73994" w:rsidP="003147A0">
            <w:pPr>
              <w:pStyle w:val="RecommendationBullet"/>
              <w:rPr>
                <w:rStyle w:val="Bold"/>
              </w:rPr>
            </w:pPr>
            <w:r w:rsidRPr="008625DC">
              <w:rPr>
                <w:rStyle w:val="Bold"/>
              </w:rPr>
              <w:t>a procedural right for the ACCC to be notified by the Fair Work Commission of proceedings for approval of workplace agreements which contain potential restrictions of the kind referred to in section</w:t>
            </w:r>
            <w:r w:rsidR="006341D7" w:rsidRPr="008625DC">
              <w:rPr>
                <w:rStyle w:val="Bold"/>
              </w:rPr>
              <w:t>s</w:t>
            </w:r>
            <w:r w:rsidRPr="008625DC">
              <w:rPr>
                <w:rStyle w:val="Bold"/>
              </w:rPr>
              <w:t xml:space="preserve"> 45E</w:t>
            </w:r>
            <w:r w:rsidR="006341D7" w:rsidRPr="008625DC">
              <w:rPr>
                <w:rStyle w:val="Bold"/>
              </w:rPr>
              <w:t xml:space="preserve"> and 45EA</w:t>
            </w:r>
            <w:r w:rsidR="00290889" w:rsidRPr="008625DC">
              <w:rPr>
                <w:rStyle w:val="Bold"/>
              </w:rPr>
              <w:t>,</w:t>
            </w:r>
            <w:r w:rsidR="00A21D9B" w:rsidRPr="008625DC">
              <w:rPr>
                <w:rStyle w:val="Bold"/>
              </w:rPr>
              <w:t xml:space="preserve"> and to intervene and make submissions</w:t>
            </w:r>
            <w:r w:rsidRPr="008625DC">
              <w:rPr>
                <w:rStyle w:val="Bold"/>
              </w:rPr>
              <w:t>;</w:t>
            </w:r>
          </w:p>
          <w:p w14:paraId="5E3298BB" w14:textId="19F3E9FE" w:rsidR="00C73994" w:rsidRPr="008625DC" w:rsidRDefault="00DF26F4" w:rsidP="003147A0">
            <w:pPr>
              <w:pStyle w:val="RecommendationBullet"/>
              <w:rPr>
                <w:rStyle w:val="Bold"/>
              </w:rPr>
            </w:pPr>
            <w:r w:rsidRPr="008625DC">
              <w:rPr>
                <w:rStyle w:val="Bold"/>
              </w:rPr>
              <w:t>amending</w:t>
            </w:r>
            <w:r w:rsidR="00C73994" w:rsidRPr="008625DC">
              <w:rPr>
                <w:rStyle w:val="Bold"/>
              </w:rPr>
              <w:t xml:space="preserve"> section</w:t>
            </w:r>
            <w:r w:rsidR="006341D7" w:rsidRPr="008625DC">
              <w:rPr>
                <w:rStyle w:val="Bold"/>
              </w:rPr>
              <w:t>s</w:t>
            </w:r>
            <w:r w:rsidR="00C73994" w:rsidRPr="008625DC">
              <w:rPr>
                <w:rStyle w:val="Bold"/>
              </w:rPr>
              <w:t xml:space="preserve"> 45E</w:t>
            </w:r>
            <w:r w:rsidRPr="008625DC">
              <w:rPr>
                <w:rStyle w:val="Bold"/>
              </w:rPr>
              <w:t xml:space="preserve"> </w:t>
            </w:r>
            <w:r w:rsidR="006341D7" w:rsidRPr="008625DC">
              <w:rPr>
                <w:rStyle w:val="Bold"/>
              </w:rPr>
              <w:t xml:space="preserve">and 45EA </w:t>
            </w:r>
            <w:r w:rsidR="00C73994" w:rsidRPr="008625DC">
              <w:rPr>
                <w:rStyle w:val="Bold"/>
              </w:rPr>
              <w:t xml:space="preserve">so that </w:t>
            </w:r>
            <w:r w:rsidR="006341D7" w:rsidRPr="008625DC">
              <w:rPr>
                <w:rStyle w:val="Bold"/>
              </w:rPr>
              <w:t>they</w:t>
            </w:r>
            <w:r w:rsidRPr="008625DC">
              <w:rPr>
                <w:rStyle w:val="Bold"/>
              </w:rPr>
              <w:t xml:space="preserve"> </w:t>
            </w:r>
            <w:r w:rsidR="00C73994" w:rsidRPr="008625DC">
              <w:rPr>
                <w:rStyle w:val="Bold"/>
              </w:rPr>
              <w:t>expressly include awards and enterprise agreements;</w:t>
            </w:r>
            <w:r w:rsidR="00F65A5E" w:rsidRPr="008625DC">
              <w:rPr>
                <w:rStyle w:val="Bold"/>
              </w:rPr>
              <w:t xml:space="preserve"> and</w:t>
            </w:r>
          </w:p>
          <w:p w14:paraId="00021891" w14:textId="7BEE2152" w:rsidR="00AD0D21" w:rsidRPr="008625DC" w:rsidRDefault="00DF26F4" w:rsidP="003147A0">
            <w:pPr>
              <w:pStyle w:val="RecommendationBullet"/>
            </w:pPr>
            <w:proofErr w:type="gramStart"/>
            <w:r w:rsidRPr="008625DC">
              <w:rPr>
                <w:rStyle w:val="Bold"/>
              </w:rPr>
              <w:t>amending</w:t>
            </w:r>
            <w:proofErr w:type="gramEnd"/>
            <w:r w:rsidR="00C73994" w:rsidRPr="008625DC">
              <w:rPr>
                <w:rStyle w:val="Bold"/>
              </w:rPr>
              <w:t xml:space="preserve"> section</w:t>
            </w:r>
            <w:r w:rsidR="006341D7" w:rsidRPr="008625DC">
              <w:rPr>
                <w:rStyle w:val="Bold"/>
              </w:rPr>
              <w:t>s</w:t>
            </w:r>
            <w:r w:rsidR="00C73994" w:rsidRPr="008625DC">
              <w:rPr>
                <w:rStyle w:val="Bold"/>
              </w:rPr>
              <w:t xml:space="preserve"> 45E</w:t>
            </w:r>
            <w:r w:rsidR="006341D7" w:rsidRPr="008625DC">
              <w:rPr>
                <w:rStyle w:val="Bold"/>
              </w:rPr>
              <w:t>, 45EA</w:t>
            </w:r>
            <w:r w:rsidR="00C73994" w:rsidRPr="008625DC">
              <w:rPr>
                <w:rStyle w:val="Bold"/>
              </w:rPr>
              <w:t xml:space="preserve"> and possibly paragraph 51(2)(a) to exempt workplace agreements approved under the Fair Work Act.</w:t>
            </w:r>
          </w:p>
        </w:tc>
      </w:tr>
    </w:tbl>
    <w:p w14:paraId="17071517" w14:textId="73F17B79" w:rsidR="000752DD" w:rsidRPr="008625DC" w:rsidRDefault="000752DD" w:rsidP="000B5916">
      <w:pPr>
        <w:pStyle w:val="Heading2"/>
        <w:ind w:left="851" w:hanging="851"/>
        <w:rPr>
          <w:lang w:val="en-AU"/>
        </w:rPr>
      </w:pPr>
      <w:bookmarkStart w:id="8822" w:name="_Toc396914047"/>
      <w:bookmarkStart w:id="8823" w:name="_Toc396914048"/>
      <w:bookmarkStart w:id="8824" w:name="_Toc396914052"/>
      <w:bookmarkStart w:id="8825" w:name="_Toc396914053"/>
      <w:bookmarkStart w:id="8826" w:name="_Toc396914057"/>
      <w:bookmarkStart w:id="8827" w:name="_Toc396397384"/>
      <w:bookmarkStart w:id="8828" w:name="_Toc396806591"/>
      <w:bookmarkStart w:id="8829" w:name="_Toc396815121"/>
      <w:bookmarkStart w:id="8830" w:name="_Toc396821071"/>
      <w:bookmarkStart w:id="8831" w:name="_Toc396821679"/>
      <w:bookmarkStart w:id="8832" w:name="_Toc396827529"/>
      <w:bookmarkStart w:id="8833" w:name="_Toc396828500"/>
      <w:bookmarkStart w:id="8834" w:name="_Toc396828610"/>
      <w:bookmarkStart w:id="8835" w:name="_Toc396837999"/>
      <w:bookmarkStart w:id="8836" w:name="_Toc396838397"/>
      <w:bookmarkStart w:id="8837" w:name="_Toc396904130"/>
      <w:bookmarkStart w:id="8838" w:name="_Toc396904720"/>
      <w:bookmarkStart w:id="8839" w:name="_Toc396907554"/>
      <w:bookmarkStart w:id="8840" w:name="_Toc396912473"/>
      <w:bookmarkStart w:id="8841" w:name="_Toc396914453"/>
      <w:bookmarkStart w:id="8842" w:name="_Toc396915337"/>
      <w:bookmarkStart w:id="8843" w:name="_Toc396915731"/>
      <w:bookmarkStart w:id="8844" w:name="_Toc396921042"/>
      <w:bookmarkStart w:id="8845" w:name="_Toc396924382"/>
      <w:bookmarkStart w:id="8846" w:name="_Toc396925076"/>
      <w:bookmarkStart w:id="8847" w:name="_Toc396992196"/>
      <w:bookmarkStart w:id="8848" w:name="_Toc396992775"/>
      <w:bookmarkStart w:id="8849" w:name="_Toc396994439"/>
      <w:bookmarkStart w:id="8850" w:name="_Toc397002210"/>
      <w:bookmarkStart w:id="8851" w:name="_Toc397003129"/>
      <w:bookmarkStart w:id="8852" w:name="_Toc397008687"/>
      <w:bookmarkStart w:id="8853" w:name="_Toc397008905"/>
      <w:bookmarkStart w:id="8854" w:name="_Toc397011577"/>
      <w:bookmarkStart w:id="8855" w:name="_Toc397012638"/>
      <w:bookmarkStart w:id="8856" w:name="_Toc397014980"/>
      <w:bookmarkStart w:id="8857" w:name="_Toc397015467"/>
      <w:bookmarkStart w:id="8858" w:name="_Toc397070538"/>
      <w:bookmarkStart w:id="8859" w:name="_Toc397413276"/>
      <w:bookmarkStart w:id="8860" w:name="_Toc397413423"/>
      <w:bookmarkStart w:id="8861" w:name="_Toc397428008"/>
      <w:bookmarkStart w:id="8862" w:name="_Toc397439396"/>
      <w:bookmarkStart w:id="8863" w:name="_Toc397439566"/>
      <w:bookmarkStart w:id="8864" w:name="_Toc397439822"/>
      <w:bookmarkStart w:id="8865" w:name="_Toc397440124"/>
      <w:bookmarkStart w:id="8866" w:name="_Toc397441753"/>
      <w:bookmarkStart w:id="8867" w:name="_Toc397517455"/>
      <w:bookmarkStart w:id="8868" w:name="_Toc397522720"/>
      <w:bookmarkStart w:id="8869" w:name="_Toc397526138"/>
      <w:bookmarkStart w:id="8870" w:name="_Toc397528453"/>
      <w:bookmarkStart w:id="8871" w:name="_Toc397528928"/>
      <w:bookmarkStart w:id="8872" w:name="_Toc397601925"/>
      <w:bookmarkStart w:id="8873" w:name="_Toc397602660"/>
      <w:bookmarkStart w:id="8874" w:name="_Toc397605789"/>
      <w:bookmarkStart w:id="8875" w:name="_Toc397614933"/>
      <w:bookmarkStart w:id="8876" w:name="_Toc397616376"/>
      <w:bookmarkStart w:id="8877" w:name="_Toc397616770"/>
      <w:bookmarkStart w:id="8878" w:name="_Toc397679180"/>
      <w:bookmarkStart w:id="8879" w:name="_Toc397688068"/>
      <w:bookmarkStart w:id="8880" w:name="_Toc397689284"/>
      <w:bookmarkStart w:id="8881" w:name="_Toc397694564"/>
      <w:bookmarkStart w:id="8882" w:name="_Toc397696405"/>
      <w:bookmarkStart w:id="8883" w:name="_Toc397697139"/>
      <w:bookmarkStart w:id="8884" w:name="_Toc397698426"/>
      <w:bookmarkStart w:id="8885" w:name="_Toc397699792"/>
      <w:bookmarkStart w:id="8886" w:name="_Toc397700246"/>
      <w:bookmarkStart w:id="8887" w:name="_Toc397936638"/>
      <w:bookmarkStart w:id="8888" w:name="_Toc397936758"/>
      <w:bookmarkStart w:id="8889" w:name="_Toc397945913"/>
      <w:bookmarkStart w:id="8890" w:name="_Toc397946939"/>
      <w:bookmarkStart w:id="8891" w:name="_Toc397948058"/>
      <w:bookmarkStart w:id="8892" w:name="_Toc397958464"/>
      <w:bookmarkStart w:id="8893" w:name="_Toc397958706"/>
      <w:bookmarkStart w:id="8894" w:name="_Toc397959121"/>
      <w:bookmarkStart w:id="8895" w:name="_Toc397962974"/>
      <w:bookmarkStart w:id="8896" w:name="_Toc397963340"/>
      <w:bookmarkStart w:id="8897" w:name="_Toc397965417"/>
      <w:bookmarkStart w:id="8898" w:name="_Toc398197355"/>
      <w:bookmarkStart w:id="8899" w:name="_Toc398199858"/>
      <w:bookmarkStart w:id="8900" w:name="_Toc398201572"/>
      <w:bookmarkStart w:id="8901" w:name="_Toc398207177"/>
      <w:bookmarkStart w:id="8902" w:name="_Toc398210450"/>
      <w:bookmarkStart w:id="8903" w:name="_Toc398210964"/>
      <w:bookmarkStart w:id="8904" w:name="_Toc398219772"/>
      <w:bookmarkStart w:id="8905" w:name="_Toc398220147"/>
      <w:bookmarkStart w:id="8906" w:name="_Toc398220534"/>
      <w:bookmarkStart w:id="8907" w:name="_Toc398221612"/>
      <w:bookmarkStart w:id="8908" w:name="_Toc398222298"/>
      <w:bookmarkStart w:id="8909" w:name="_Toc398222610"/>
      <w:bookmarkStart w:id="8910" w:name="_Toc398223027"/>
      <w:bookmarkStart w:id="8911" w:name="_Toc398223406"/>
      <w:bookmarkStart w:id="8912" w:name="_Toc398223533"/>
      <w:bookmarkStart w:id="8913" w:name="_Toc398224341"/>
      <w:bookmarkStart w:id="8914" w:name="_Toc398225678"/>
      <w:bookmarkStart w:id="8915" w:name="_Toc398225803"/>
      <w:bookmarkStart w:id="8916" w:name="_Toc398281290"/>
      <w:bookmarkStart w:id="8917" w:name="_Toc398282149"/>
      <w:bookmarkStart w:id="8918" w:name="_Toc398284819"/>
      <w:bookmarkStart w:id="8919" w:name="_Toc398287288"/>
      <w:bookmarkStart w:id="8920" w:name="_Toc398289171"/>
      <w:bookmarkStart w:id="8921" w:name="_Toc398297168"/>
      <w:bookmarkStart w:id="8922" w:name="_Toc398298642"/>
      <w:bookmarkStart w:id="8923" w:name="_Toc398300343"/>
      <w:bookmarkStart w:id="8924" w:name="_Toc398301240"/>
      <w:bookmarkStart w:id="8925" w:name="_Toc398302425"/>
      <w:bookmarkStart w:id="8926" w:name="_Toc398302588"/>
      <w:bookmarkStart w:id="8927" w:name="_Toc398549101"/>
      <w:bookmarkStart w:id="8928" w:name="_Toc398549351"/>
      <w:bookmarkStart w:id="8929" w:name="_Toc398555770"/>
      <w:bookmarkStart w:id="8930" w:name="_Toc398558974"/>
      <w:bookmarkStart w:id="8931" w:name="_Toc398563460"/>
      <w:bookmarkStart w:id="8932" w:name="_Toc398563593"/>
      <w:bookmarkStart w:id="8933" w:name="_Toc398563992"/>
      <w:bookmarkStart w:id="8934" w:name="_Toc398827330"/>
      <w:bookmarkStart w:id="8935" w:name="_Toc398827524"/>
      <w:bookmarkStart w:id="8936" w:name="s314"/>
      <w:bookmarkEnd w:id="8822"/>
      <w:bookmarkEnd w:id="8823"/>
      <w:bookmarkEnd w:id="8824"/>
      <w:bookmarkEnd w:id="8825"/>
      <w:bookmarkEnd w:id="8826"/>
      <w:r w:rsidRPr="008625DC">
        <w:rPr>
          <w:lang w:val="en-AU"/>
        </w:rPr>
        <w:t>Exemption</w:t>
      </w:r>
      <w:r w:rsidR="00040986" w:rsidRPr="008625DC">
        <w:rPr>
          <w:lang w:val="en-AU"/>
        </w:rPr>
        <w:t xml:space="preserve"> processes</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p>
    <w:bookmarkEnd w:id="8936"/>
    <w:p w14:paraId="5090A115" w14:textId="77777777" w:rsidR="00612D73" w:rsidRPr="008625DC" w:rsidRDefault="000752DD" w:rsidP="000752DD">
      <w:r w:rsidRPr="008625DC">
        <w:t>The exemption processes in the CCA, authorisation and notification, are important. They recognise that, in certain circumstances, particular conduct may not harm competition or may give rise to public benefits that outweigh any competitive harm.</w:t>
      </w:r>
    </w:p>
    <w:p w14:paraId="7A24C9F1" w14:textId="52C67F82" w:rsidR="00040986" w:rsidRPr="008625DC" w:rsidRDefault="00040986" w:rsidP="00DD1583">
      <w:r w:rsidRPr="008625DC">
        <w:t xml:space="preserve">Like much of the CCA, the authorisation and notification procedures have </w:t>
      </w:r>
      <w:r w:rsidR="00B64EE7" w:rsidRPr="008625DC">
        <w:t>become overly</w:t>
      </w:r>
      <w:r w:rsidRPr="008625DC">
        <w:t xml:space="preserve"> complex, which imposes costs on business. Wherever possible, it is desirable to remove unnecessary complexity.</w:t>
      </w:r>
    </w:p>
    <w:p w14:paraId="70641D35" w14:textId="2B0C7B86" w:rsidR="00040986" w:rsidRPr="008625DC" w:rsidRDefault="00040986" w:rsidP="00040986">
      <w:r w:rsidRPr="008625DC">
        <w:t>Significant steps can be taken to simplify the authorisation and notification procedures. First, in respect of authorisation, it should be permissible to apply for authorisation of a business arrangement through a single application and without regard to the specific provisions of the CCA that might be contravened by the proposed conduct. Second, for both authorisation and notification, the ACCC should be empowered to grant the exemption (including for per se prohibitions) if it is satisfied that either the proposed conduct is unlikely to substantially lessen competition or that the proposed conduct is likely to result in a net public benefit. Each of those changes would assist in focusing the exemption process on the issues of substance and away from technicalities.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5C21875F" w14:textId="77777777" w:rsidTr="00F81722">
        <w:tc>
          <w:tcPr>
            <w:tcW w:w="5000" w:type="pct"/>
            <w:shd w:val="clear" w:color="auto" w:fill="E9F7F3" w:themeFill="accent4" w:themeFillTint="33"/>
          </w:tcPr>
          <w:p w14:paraId="3E9A800D" w14:textId="2290C2A4" w:rsidR="000752DD" w:rsidRPr="008625DC" w:rsidRDefault="000752DD" w:rsidP="00F81722">
            <w:pPr>
              <w:pStyle w:val="RecommendationHeading"/>
            </w:pPr>
            <w:bookmarkStart w:id="8937" w:name="DR34"/>
            <w:r w:rsidRPr="008625DC">
              <w:t xml:space="preserve">Draft Recommendation </w:t>
            </w:r>
            <w:r w:rsidRPr="008625DC">
              <w:fldChar w:fldCharType="begin"/>
            </w:r>
            <w:r w:rsidRPr="008625DC">
              <w:instrText xml:space="preserve"> AUTONUMLGL  \* Arabic \e </w:instrText>
            </w:r>
            <w:r w:rsidRPr="008625DC">
              <w:fldChar w:fldCharType="end"/>
            </w:r>
            <w:bookmarkEnd w:id="8937"/>
            <w:r w:rsidR="00380141" w:rsidRPr="008625DC">
              <w:t xml:space="preserve"> — </w:t>
            </w:r>
            <w:r w:rsidR="00B61871" w:rsidRPr="008625DC">
              <w:t>Authorisation and notification</w:t>
            </w:r>
          </w:p>
          <w:p w14:paraId="482F4B70" w14:textId="520FFAC1" w:rsidR="000752DD" w:rsidRPr="008625DC" w:rsidRDefault="000752DD" w:rsidP="00F81722">
            <w:pPr>
              <w:pStyle w:val="RecommendationText"/>
            </w:pPr>
            <w:r w:rsidRPr="008625DC">
              <w:t>The authorisation and notification provisions in the CCA should be simplifie</w:t>
            </w:r>
            <w:r w:rsidR="00E41196" w:rsidRPr="008625DC">
              <w:t>d</w:t>
            </w:r>
            <w:r w:rsidRPr="008625DC">
              <w:t>:</w:t>
            </w:r>
          </w:p>
          <w:p w14:paraId="4DD33BE7" w14:textId="77777777" w:rsidR="00040986" w:rsidRPr="008625DC" w:rsidRDefault="00040986" w:rsidP="00040986">
            <w:pPr>
              <w:pStyle w:val="Bullet"/>
            </w:pPr>
            <w:r w:rsidRPr="008625DC">
              <w:t>to ensure that only a single authorisation application is required for a single business transaction or arrangement; and</w:t>
            </w:r>
          </w:p>
          <w:p w14:paraId="67CDC593" w14:textId="3BADF3CC" w:rsidR="000752DD" w:rsidRPr="008625DC" w:rsidRDefault="00040986" w:rsidP="009807D3">
            <w:pPr>
              <w:pStyle w:val="Bullet"/>
            </w:pPr>
            <w:proofErr w:type="gramStart"/>
            <w:r w:rsidRPr="008625DC">
              <w:t>to</w:t>
            </w:r>
            <w:proofErr w:type="gramEnd"/>
            <w:r w:rsidRPr="008625DC">
              <w:t xml:space="preserve"> empower the ACCC to grant an exemption (including for per se prohibitions) if it is satisfied that either the proposed conduct is unlikely to substantially lessen competition or that the proposed conduct is likely to result in a net public benefit.</w:t>
            </w:r>
          </w:p>
        </w:tc>
      </w:tr>
    </w:tbl>
    <w:p w14:paraId="0D5321BB" w14:textId="77777777" w:rsidR="000752DD" w:rsidRPr="008625DC" w:rsidRDefault="000752DD" w:rsidP="0006207D">
      <w:pPr>
        <w:spacing w:before="240"/>
      </w:pPr>
      <w:r w:rsidRPr="008625DC">
        <w:t>The Panel also considers that the ACCC should be empowered to grant a block exemption in respect of specified conduct in particular market conditions. This would enable the ACCC to create safe harbours for businesses where they engage in conduct that is unlikely to lead to a substantial lessening of competition and avoids the time and resources required to seek an authorisation or notification.</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5086C35F" w14:textId="77777777" w:rsidTr="00F81722">
        <w:tc>
          <w:tcPr>
            <w:tcW w:w="5000" w:type="pct"/>
            <w:shd w:val="clear" w:color="auto" w:fill="E9F7F3" w:themeFill="accent4" w:themeFillTint="33"/>
          </w:tcPr>
          <w:p w14:paraId="4941AAB8" w14:textId="41E35DCD" w:rsidR="000752DD" w:rsidRPr="008625DC" w:rsidRDefault="000752DD" w:rsidP="00F81722">
            <w:pPr>
              <w:pStyle w:val="RecommendationHeading"/>
            </w:pPr>
            <w:bookmarkStart w:id="8938" w:name="DR35"/>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8938"/>
            <w:r w:rsidR="00380141" w:rsidRPr="008625DC">
              <w:t xml:space="preserve"> — </w:t>
            </w:r>
            <w:r w:rsidR="00B61871" w:rsidRPr="008625DC">
              <w:t>Block exemption power</w:t>
            </w:r>
          </w:p>
          <w:p w14:paraId="773F3FFD" w14:textId="0508C93D" w:rsidR="000752DD" w:rsidRPr="008625DC" w:rsidRDefault="00040986" w:rsidP="00F81722">
            <w:pPr>
              <w:pStyle w:val="RecommendationText"/>
            </w:pPr>
            <w:r w:rsidRPr="008625DC">
              <w:t>Exemption powers based on the block exemption framework in the UK and EU should be introduced to supplement the authorisation and notification frameworks.</w:t>
            </w:r>
          </w:p>
        </w:tc>
      </w:tr>
    </w:tbl>
    <w:p w14:paraId="4E72A5DB" w14:textId="11DBCF73" w:rsidR="008517D0" w:rsidRPr="008625DC" w:rsidRDefault="008517D0" w:rsidP="0006207D">
      <w:pPr>
        <w:spacing w:before="240"/>
      </w:pPr>
      <w:bookmarkStart w:id="8939" w:name="_Toc396397386"/>
      <w:bookmarkStart w:id="8940" w:name="_Toc396806593"/>
      <w:bookmarkStart w:id="8941" w:name="_Toc396815123"/>
      <w:bookmarkStart w:id="8942" w:name="_Toc396821072"/>
      <w:bookmarkStart w:id="8943" w:name="_Toc396821680"/>
      <w:bookmarkStart w:id="8944" w:name="_Toc396827530"/>
      <w:bookmarkStart w:id="8945" w:name="_Toc396828501"/>
      <w:bookmarkStart w:id="8946" w:name="_Toc396828611"/>
      <w:bookmarkStart w:id="8947" w:name="_Toc396838000"/>
      <w:bookmarkStart w:id="8948" w:name="_Toc396838398"/>
      <w:bookmarkStart w:id="8949" w:name="_Toc396904721"/>
      <w:bookmarkStart w:id="8950" w:name="_Toc396907555"/>
      <w:bookmarkStart w:id="8951" w:name="_Toc396912474"/>
      <w:r w:rsidRPr="008625DC">
        <w:t xml:space="preserve">For further </w:t>
      </w:r>
      <w:r w:rsidR="00734B17" w:rsidRPr="008625DC">
        <w:t>detail</w:t>
      </w:r>
      <w:r w:rsidRPr="008625DC">
        <w:t xml:space="preserve"> on authorisation, notification and block exemption</w:t>
      </w:r>
      <w:r w:rsidR="00E41196" w:rsidRPr="008625DC">
        <w:t>,</w:t>
      </w:r>
      <w:r w:rsidRPr="008625DC">
        <w:t xml:space="preserve"> see </w:t>
      </w:r>
      <w:hyperlink w:anchor="Ch19" w:history="1">
        <w:r w:rsidRPr="008625DC">
          <w:rPr>
            <w:rStyle w:val="Hyperlink"/>
          </w:rPr>
          <w:t>Chapter 1</w:t>
        </w:r>
        <w:r w:rsidR="00BC47E4" w:rsidRPr="008625DC">
          <w:rPr>
            <w:rStyle w:val="Hyperlink"/>
          </w:rPr>
          <w:t>9</w:t>
        </w:r>
      </w:hyperlink>
      <w:r w:rsidR="00E41196" w:rsidRPr="008625DC">
        <w:t>,</w:t>
      </w:r>
      <w:r w:rsidR="00447909" w:rsidRPr="008625DC">
        <w:t xml:space="preserve"> and </w:t>
      </w:r>
      <w:r w:rsidR="008D4063" w:rsidRPr="008625DC">
        <w:t xml:space="preserve">Draft </w:t>
      </w:r>
      <w:r w:rsidR="00447909" w:rsidRPr="008625DC">
        <w:t xml:space="preserve">Recommendation </w:t>
      </w:r>
      <w:r w:rsidR="00463F7F" w:rsidRPr="008625DC">
        <w:t>50</w:t>
      </w:r>
      <w:r w:rsidR="00447909" w:rsidRPr="008625DC">
        <w:t xml:space="preserve"> </w:t>
      </w:r>
      <w:r w:rsidR="005125B6" w:rsidRPr="008625DC">
        <w:t xml:space="preserve">in </w:t>
      </w:r>
      <w:r w:rsidR="00447909" w:rsidRPr="008625DC">
        <w:t>relat</w:t>
      </w:r>
      <w:r w:rsidR="005125B6" w:rsidRPr="008625DC">
        <w:t xml:space="preserve">ion </w:t>
      </w:r>
      <w:r w:rsidR="00447909" w:rsidRPr="008625DC">
        <w:t>to collective bargaining</w:t>
      </w:r>
      <w:r w:rsidR="00040986" w:rsidRPr="008625DC">
        <w:t xml:space="preserve"> notification</w:t>
      </w:r>
      <w:r w:rsidRPr="008625DC">
        <w:t xml:space="preserve">. </w:t>
      </w:r>
    </w:p>
    <w:p w14:paraId="0DDA36DF" w14:textId="68AB28E2" w:rsidR="000752DD" w:rsidRPr="008625DC" w:rsidRDefault="000752DD" w:rsidP="000B5916">
      <w:pPr>
        <w:pStyle w:val="Heading2"/>
        <w:ind w:left="851" w:hanging="851"/>
        <w:rPr>
          <w:lang w:val="en-AU"/>
        </w:rPr>
      </w:pPr>
      <w:bookmarkStart w:id="8952" w:name="_Toc396914454"/>
      <w:bookmarkStart w:id="8953" w:name="_Toc396915338"/>
      <w:bookmarkStart w:id="8954" w:name="_Toc396915732"/>
      <w:bookmarkStart w:id="8955" w:name="_Toc396921043"/>
      <w:bookmarkStart w:id="8956" w:name="_Toc396924383"/>
      <w:bookmarkStart w:id="8957" w:name="_Toc396925077"/>
      <w:bookmarkStart w:id="8958" w:name="_Toc396992197"/>
      <w:bookmarkStart w:id="8959" w:name="_Toc396992776"/>
      <w:bookmarkStart w:id="8960" w:name="_Toc396994440"/>
      <w:bookmarkStart w:id="8961" w:name="_Toc397002211"/>
      <w:bookmarkStart w:id="8962" w:name="_Toc397003130"/>
      <w:bookmarkStart w:id="8963" w:name="_Toc397008688"/>
      <w:bookmarkStart w:id="8964" w:name="_Toc397008906"/>
      <w:bookmarkStart w:id="8965" w:name="_Toc397011578"/>
      <w:bookmarkStart w:id="8966" w:name="_Toc397012639"/>
      <w:bookmarkStart w:id="8967" w:name="_Toc397014981"/>
      <w:bookmarkStart w:id="8968" w:name="_Toc397015468"/>
      <w:bookmarkStart w:id="8969" w:name="_Toc397070539"/>
      <w:bookmarkStart w:id="8970" w:name="_Toc397413277"/>
      <w:bookmarkStart w:id="8971" w:name="_Toc397413424"/>
      <w:bookmarkStart w:id="8972" w:name="_Toc397428009"/>
      <w:bookmarkStart w:id="8973" w:name="_Toc397439397"/>
      <w:bookmarkStart w:id="8974" w:name="_Toc397439567"/>
      <w:bookmarkStart w:id="8975" w:name="_Toc397439823"/>
      <w:bookmarkStart w:id="8976" w:name="_Toc397440125"/>
      <w:bookmarkStart w:id="8977" w:name="_Toc397441754"/>
      <w:bookmarkStart w:id="8978" w:name="_Toc397517456"/>
      <w:bookmarkStart w:id="8979" w:name="_Toc397522721"/>
      <w:bookmarkStart w:id="8980" w:name="_Toc397526139"/>
      <w:bookmarkStart w:id="8981" w:name="_Toc397528454"/>
      <w:bookmarkStart w:id="8982" w:name="_Toc397528929"/>
      <w:bookmarkStart w:id="8983" w:name="_Toc397601926"/>
      <w:bookmarkStart w:id="8984" w:name="_Toc397602661"/>
      <w:bookmarkStart w:id="8985" w:name="_Toc397605790"/>
      <w:bookmarkStart w:id="8986" w:name="_Toc397614934"/>
      <w:bookmarkStart w:id="8987" w:name="_Toc397616377"/>
      <w:bookmarkStart w:id="8988" w:name="_Toc397616771"/>
      <w:bookmarkStart w:id="8989" w:name="_Toc397679181"/>
      <w:bookmarkStart w:id="8990" w:name="_Toc397688069"/>
      <w:bookmarkStart w:id="8991" w:name="_Toc397689285"/>
      <w:bookmarkStart w:id="8992" w:name="_Toc397694565"/>
      <w:bookmarkStart w:id="8993" w:name="_Toc397696406"/>
      <w:bookmarkStart w:id="8994" w:name="_Toc397697140"/>
      <w:bookmarkStart w:id="8995" w:name="_Toc397698427"/>
      <w:bookmarkStart w:id="8996" w:name="_Toc397699793"/>
      <w:bookmarkStart w:id="8997" w:name="_Toc397700247"/>
      <w:bookmarkStart w:id="8998" w:name="_Toc397936639"/>
      <w:bookmarkStart w:id="8999" w:name="_Toc397936759"/>
      <w:bookmarkStart w:id="9000" w:name="_Toc397945914"/>
      <w:bookmarkStart w:id="9001" w:name="_Toc397946940"/>
      <w:bookmarkStart w:id="9002" w:name="_Toc397948059"/>
      <w:bookmarkStart w:id="9003" w:name="_Toc397958465"/>
      <w:bookmarkStart w:id="9004" w:name="_Toc397958707"/>
      <w:bookmarkStart w:id="9005" w:name="_Toc397959122"/>
      <w:bookmarkStart w:id="9006" w:name="_Toc397962975"/>
      <w:bookmarkStart w:id="9007" w:name="_Toc397963341"/>
      <w:bookmarkStart w:id="9008" w:name="_Toc397965418"/>
      <w:bookmarkStart w:id="9009" w:name="_Toc398221613"/>
      <w:bookmarkStart w:id="9010" w:name="_Toc398222299"/>
      <w:bookmarkStart w:id="9011" w:name="_Toc398219773"/>
      <w:bookmarkStart w:id="9012" w:name="_Toc398220148"/>
      <w:bookmarkStart w:id="9013" w:name="_Toc398220535"/>
      <w:bookmarkStart w:id="9014" w:name="_Toc398222611"/>
      <w:bookmarkStart w:id="9015" w:name="_Toc398223028"/>
      <w:bookmarkStart w:id="9016" w:name="_Toc398223407"/>
      <w:bookmarkStart w:id="9017" w:name="_Toc398223534"/>
      <w:bookmarkStart w:id="9018" w:name="_Toc398224342"/>
      <w:bookmarkStart w:id="9019" w:name="_Toc398225679"/>
      <w:bookmarkStart w:id="9020" w:name="_Toc398225804"/>
      <w:bookmarkStart w:id="9021" w:name="_Toc398197356"/>
      <w:bookmarkStart w:id="9022" w:name="_Toc398199859"/>
      <w:bookmarkStart w:id="9023" w:name="_Toc398201573"/>
      <w:bookmarkStart w:id="9024" w:name="_Toc398207178"/>
      <w:bookmarkStart w:id="9025" w:name="_Toc398210451"/>
      <w:bookmarkStart w:id="9026" w:name="_Toc398210965"/>
      <w:bookmarkStart w:id="9027" w:name="_Toc398281291"/>
      <w:bookmarkStart w:id="9028" w:name="_Toc398282150"/>
      <w:bookmarkStart w:id="9029" w:name="_Toc398284820"/>
      <w:bookmarkStart w:id="9030" w:name="_Toc398287289"/>
      <w:bookmarkStart w:id="9031" w:name="_Toc398289172"/>
      <w:bookmarkStart w:id="9032" w:name="_Toc398297169"/>
      <w:bookmarkStart w:id="9033" w:name="_Toc398298643"/>
      <w:bookmarkStart w:id="9034" w:name="_Toc398300344"/>
      <w:bookmarkStart w:id="9035" w:name="_Toc398301241"/>
      <w:bookmarkStart w:id="9036" w:name="_Toc398302426"/>
      <w:bookmarkStart w:id="9037" w:name="_Toc398302589"/>
      <w:bookmarkStart w:id="9038" w:name="_Toc398549102"/>
      <w:bookmarkStart w:id="9039" w:name="_Toc398549352"/>
      <w:bookmarkStart w:id="9040" w:name="_Toc398555771"/>
      <w:bookmarkStart w:id="9041" w:name="_Toc398558975"/>
      <w:bookmarkStart w:id="9042" w:name="_Toc398563461"/>
      <w:bookmarkStart w:id="9043" w:name="_Toc398563594"/>
      <w:bookmarkStart w:id="9044" w:name="_Toc398563993"/>
      <w:bookmarkStart w:id="9045" w:name="_Toc398827331"/>
      <w:bookmarkStart w:id="9046" w:name="_Toc398827525"/>
      <w:bookmarkStart w:id="9047" w:name="s315"/>
      <w:r w:rsidRPr="008625DC">
        <w:rPr>
          <w:lang w:val="en-AU"/>
        </w:rPr>
        <w:t xml:space="preserve">Enforcement and </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r w:rsidR="00A7225E" w:rsidRPr="008625DC">
        <w:rPr>
          <w:lang w:val="en-AU"/>
        </w:rPr>
        <w:t>remedies</w:t>
      </w:r>
      <w:bookmarkEnd w:id="9045"/>
      <w:bookmarkEnd w:id="9046"/>
    </w:p>
    <w:bookmarkEnd w:id="9047"/>
    <w:p w14:paraId="6071481C" w14:textId="77777777" w:rsidR="00040986" w:rsidRPr="008625DC" w:rsidRDefault="00040986" w:rsidP="00DD1583">
      <w:r w:rsidRPr="008625DC">
        <w:t>The Panel supports the enforcement regime under the CCA, which confers both public and private enforcement rights in respect of the competition laws.</w:t>
      </w:r>
    </w:p>
    <w:p w14:paraId="74E8556D" w14:textId="23DBE3D3" w:rsidR="00040986" w:rsidRPr="008625DC" w:rsidRDefault="00040986" w:rsidP="00DD1583">
      <w:pPr>
        <w:pStyle w:val="Keyfindingtext"/>
      </w:pPr>
      <w:r w:rsidRPr="008625DC">
        <w:t>In relation to public enforcement by the ACCC, there appears to be general approval of the severity of the sanctions for contravention of the competition laws. However, the Panel agrees with the view of the ACCC that the current sanction for a corporation failing to comply with section 155 of the CCA is inadequate</w:t>
      </w:r>
      <w:r w:rsidR="00C74E19" w:rsidRPr="008625DC">
        <w:t xml:space="preserve">. </w:t>
      </w:r>
      <w:r w:rsidRPr="008625DC">
        <w:rPr>
          <w:b/>
        </w:rPr>
        <w:t>Further comment is invited on whether the current sanction</w:t>
      </w:r>
      <w:r w:rsidR="003147A0" w:rsidRPr="008625DC">
        <w:rPr>
          <w:b/>
        </w:rPr>
        <w:t>s for contravention of sections </w:t>
      </w:r>
      <w:r w:rsidRPr="008625DC">
        <w:rPr>
          <w:b/>
        </w:rPr>
        <w:t>45D</w:t>
      </w:r>
      <w:r w:rsidR="002F3D8A" w:rsidRPr="008625DC">
        <w:rPr>
          <w:b/>
        </w:rPr>
        <w:t xml:space="preserve">, 45DB, </w:t>
      </w:r>
      <w:r w:rsidRPr="008625DC">
        <w:rPr>
          <w:b/>
        </w:rPr>
        <w:t xml:space="preserve">45E </w:t>
      </w:r>
      <w:r w:rsidR="002F3D8A" w:rsidRPr="008625DC">
        <w:rPr>
          <w:b/>
        </w:rPr>
        <w:t>and 45EA</w:t>
      </w:r>
      <w:r w:rsidRPr="008625DC">
        <w:rPr>
          <w:b/>
        </w:rPr>
        <w:t xml:space="preserve"> are adequate.</w:t>
      </w:r>
    </w:p>
    <w:p w14:paraId="10222F16" w14:textId="16C94EB0" w:rsidR="00040986" w:rsidRPr="008625DC" w:rsidRDefault="00040986" w:rsidP="00DD1583">
      <w:r w:rsidRPr="008625DC">
        <w:t>Compulsory evidence gathering powers under section 155 of the CCA are important to the ACCC</w:t>
      </w:r>
      <w:r w:rsidR="00C74E19" w:rsidRPr="008625DC">
        <w:t>’</w:t>
      </w:r>
      <w:r w:rsidRPr="008625DC">
        <w:t xml:space="preserve">s ability to enforce the CCA, but can impose a regulatory burden on recipients of compulsory notices. The Panel acknowledges concerns </w:t>
      </w:r>
      <w:proofErr w:type="gramStart"/>
      <w:r w:rsidRPr="008625DC">
        <w:t>raised</w:t>
      </w:r>
      <w:proofErr w:type="gramEnd"/>
      <w:r w:rsidRPr="008625DC">
        <w:t xml:space="preserve"> in submissions about the costs of compliance with section</w:t>
      </w:r>
      <w:r w:rsidR="00C26226" w:rsidRPr="008625DC">
        <w:t> </w:t>
      </w:r>
      <w:r w:rsidRPr="008625DC">
        <w:t>155 notices issued by the ACCC. This is in part due to the increased use of technology leading to more electronic material being retained by businesses that m</w:t>
      </w:r>
      <w:r w:rsidR="00B64EE7" w:rsidRPr="008625DC">
        <w:t>ay</w:t>
      </w:r>
      <w:r w:rsidRPr="008625DC">
        <w:t xml:space="preserve"> need to be searched in order to comply with a notice. </w:t>
      </w:r>
    </w:p>
    <w:p w14:paraId="0A751578" w14:textId="326FAEBC" w:rsidR="00040986" w:rsidRPr="008625DC" w:rsidRDefault="00040986" w:rsidP="00040986">
      <w:r w:rsidRPr="008625DC">
        <w:t>Means are available to reduce the regulatory burden associated with section 155 notices. First, the ACCC should accept a responsibility to frame section 155 notices in the narrowest form possible, consistent with the scope of the matter being investigated. Seco</w:t>
      </w:r>
      <w:r w:rsidR="003147A0" w:rsidRPr="008625DC">
        <w:t>nd, in complying with a section </w:t>
      </w:r>
      <w:r w:rsidRPr="008625DC">
        <w:t>155 notice, the recipient should be required to undertake a reasonable search, taking into account factors such as the number of documents involved and the ease and cost of retrieving the documents. That requirement could be introduced into the CCA or recognised in a guideline issued by the ACCC.</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40986" w:rsidRPr="008625DC" w14:paraId="127B10B7" w14:textId="77777777" w:rsidTr="00DD1583">
        <w:tc>
          <w:tcPr>
            <w:tcW w:w="5000" w:type="pct"/>
            <w:shd w:val="clear" w:color="auto" w:fill="E9F7F3" w:themeFill="accent4" w:themeFillTint="33"/>
          </w:tcPr>
          <w:p w14:paraId="19C9F10D" w14:textId="77777777" w:rsidR="00040986" w:rsidRPr="008625DC" w:rsidRDefault="00040986" w:rsidP="00DD1583">
            <w:pPr>
              <w:pStyle w:val="RecommendationHeading"/>
            </w:pPr>
            <w:bookmarkStart w:id="9048" w:name="DR36"/>
            <w:r w:rsidRPr="008625DC">
              <w:t xml:space="preserve">Draft Recommendation </w:t>
            </w:r>
            <w:r w:rsidRPr="008625DC">
              <w:fldChar w:fldCharType="begin"/>
            </w:r>
            <w:r w:rsidRPr="008625DC">
              <w:instrText xml:space="preserve"> AUTONUMLGL  \* Arabic \e </w:instrText>
            </w:r>
            <w:r w:rsidRPr="008625DC">
              <w:fldChar w:fldCharType="end"/>
            </w:r>
            <w:bookmarkEnd w:id="9048"/>
            <w:r w:rsidRPr="008625DC">
              <w:t xml:space="preserve"> — Section 155 notices</w:t>
            </w:r>
          </w:p>
          <w:p w14:paraId="7331501E" w14:textId="77777777" w:rsidR="00040986" w:rsidRPr="008625DC" w:rsidRDefault="00040986" w:rsidP="00DD1583">
            <w:pPr>
              <w:pStyle w:val="RecommendationText"/>
            </w:pPr>
            <w:r w:rsidRPr="008625DC">
              <w:t>The ACCC should review its guidelines on section 155 notices having regard to the increasing burden imposed by notices in the digital age.</w:t>
            </w:r>
          </w:p>
          <w:p w14:paraId="45DB8B48" w14:textId="654B1AF3" w:rsidR="00040986" w:rsidRPr="008625DC" w:rsidRDefault="00040986" w:rsidP="00DD1583">
            <w:pPr>
              <w:pStyle w:val="RecommendationText"/>
            </w:pPr>
            <w:r w:rsidRPr="008625DC">
              <w:t>Either by law or guideline, the requirement of a person to produce documents in resp</w:t>
            </w:r>
            <w:r w:rsidR="003147A0" w:rsidRPr="008625DC">
              <w:t>onse to a section </w:t>
            </w:r>
            <w:r w:rsidRPr="008625DC">
              <w:t>155 notice should be qualified by an obligation to undertake a reasonable search, taking into account factors such as the number of documents involved and the ease and cost of retrieving the documents.</w:t>
            </w:r>
          </w:p>
        </w:tc>
      </w:tr>
    </w:tbl>
    <w:p w14:paraId="3F064FD5" w14:textId="77777777" w:rsidR="00040986" w:rsidRPr="008625DC" w:rsidRDefault="00040986" w:rsidP="003147A0">
      <w:pPr>
        <w:pStyle w:val="Keyfindingtext"/>
        <w:spacing w:before="240"/>
      </w:pPr>
      <w:r w:rsidRPr="008625DC">
        <w:t>Private enforcement of competition laws is an important right. However, there are many regulatory and practical impediments to the exercise of those rights. It is important to find ways to reduce those impediments.</w:t>
      </w:r>
    </w:p>
    <w:p w14:paraId="1A5AE8B8" w14:textId="23E30199" w:rsidR="00040986" w:rsidRPr="008625DC" w:rsidRDefault="00040986" w:rsidP="00555C58">
      <w:r w:rsidRPr="008625DC" w:rsidDel="000A78FE">
        <w:t>Section 83 of the CCA is intended to facilitate private actions by enabling findings of fact made against a corporation in one proceeding (typically a proceeding brought by the ACCC) to be prima</w:t>
      </w:r>
      <w:r w:rsidR="003147A0" w:rsidRPr="008625DC">
        <w:t> </w:t>
      </w:r>
      <w:r w:rsidRPr="008625DC" w:rsidDel="000A78FE">
        <w:t xml:space="preserve">facie evidence against the corporation in another proceeding (typically a proceeding brought by a private litigant). Many ACCC proceedings are resolved by a corporation making admissions of </w:t>
      </w:r>
      <w:r w:rsidRPr="008625DC" w:rsidDel="000A78FE">
        <w:lastRenderedPageBreak/>
        <w:t xml:space="preserve">facts that establish the contravention, but it is uncertain whether section 83 applies to admissions. </w:t>
      </w:r>
      <w:r w:rsidRPr="008625DC">
        <w:t>The effectiveness of section 83 as a means of reducing the costs of private actions would be enhanced if the section were amended to apply to admissions of fact made by a corporation in another proceeding, in addition to findings of facts.</w:t>
      </w:r>
      <w:r w:rsidR="00F24940" w:rsidRPr="008625DC" w:rsidDel="00F24940">
        <w:t xml:space="preserv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759DEDE8" w14:textId="77777777" w:rsidTr="00F81722">
        <w:tc>
          <w:tcPr>
            <w:tcW w:w="5000" w:type="pct"/>
            <w:shd w:val="clear" w:color="auto" w:fill="E9F7F3" w:themeFill="accent4" w:themeFillTint="33"/>
          </w:tcPr>
          <w:p w14:paraId="62375D4D" w14:textId="6A25107C" w:rsidR="000752DD" w:rsidRPr="008625DC" w:rsidRDefault="000752DD" w:rsidP="00F81722">
            <w:pPr>
              <w:pStyle w:val="RecommendationHeading"/>
            </w:pPr>
            <w:bookmarkStart w:id="9049" w:name="DR37"/>
            <w:r w:rsidRPr="008625DC">
              <w:t xml:space="preserve">Draft Recommendation </w:t>
            </w:r>
            <w:r w:rsidRPr="008625DC">
              <w:fldChar w:fldCharType="begin"/>
            </w:r>
            <w:r w:rsidRPr="008625DC">
              <w:instrText xml:space="preserve"> AUTONUMLGL  \* Arabic \e </w:instrText>
            </w:r>
            <w:r w:rsidRPr="008625DC">
              <w:fldChar w:fldCharType="end"/>
            </w:r>
            <w:bookmarkEnd w:id="9049"/>
            <w:r w:rsidR="00380141" w:rsidRPr="008625DC">
              <w:t xml:space="preserve"> — </w:t>
            </w:r>
            <w:r w:rsidR="006708E0" w:rsidRPr="008625DC">
              <w:t>Facilitating private actions</w:t>
            </w:r>
          </w:p>
          <w:p w14:paraId="010345EB" w14:textId="0C5D588F" w:rsidR="000752DD" w:rsidRPr="008625DC" w:rsidRDefault="000752DD" w:rsidP="00F81722">
            <w:pPr>
              <w:pStyle w:val="RecommendationText"/>
            </w:pPr>
            <w:r w:rsidRPr="008625DC">
              <w:t>Section 83 should be amended so that it extends to admissions of fact made by the person against whom the proceedings are brought in addition to findings of fact made by the court.</w:t>
            </w:r>
          </w:p>
        </w:tc>
      </w:tr>
    </w:tbl>
    <w:p w14:paraId="6BFD43AA" w14:textId="3EA79732" w:rsidR="00F24940" w:rsidRPr="008625DC" w:rsidRDefault="00F24940" w:rsidP="00A33169">
      <w:pPr>
        <w:spacing w:before="240"/>
      </w:pPr>
      <w:r w:rsidRPr="008625DC">
        <w:t xml:space="preserve">In respect of contravening conduct that occurs overseas, a foreign corporation should be subject to Australian competition law regardless of whether it carries on business in Australia. Given that competition laws and policies are now commonplace around the world, there is no reason why private parties should have to seek ministerial consent before launching a proceeding that involves overseas conduct. This is addressed in </w:t>
      </w:r>
      <w:r w:rsidR="003306A1">
        <w:t xml:space="preserve">Draft </w:t>
      </w:r>
      <w:r w:rsidRPr="008625DC">
        <w:t>Recommendation 21.</w:t>
      </w:r>
    </w:p>
    <w:p w14:paraId="597971A7" w14:textId="2BD90CF9" w:rsidR="00965FD2" w:rsidRPr="008625DC" w:rsidRDefault="00965FD2" w:rsidP="00A33169">
      <w:pPr>
        <w:spacing w:before="240"/>
      </w:pPr>
      <w:r w:rsidRPr="008625DC">
        <w:t xml:space="preserve">The Panel considers that small business needs greater assurance that competition complaints can be dealt with. Recommendation </w:t>
      </w:r>
      <w:r w:rsidR="00463F7F" w:rsidRPr="008625DC">
        <w:t>49</w:t>
      </w:r>
      <w:r w:rsidRPr="008625DC">
        <w:t xml:space="preserve"> deals with small business access to </w:t>
      </w:r>
      <w:r w:rsidR="00BA07DD" w:rsidRPr="008625DC">
        <w:t>remedies</w:t>
      </w:r>
      <w:r w:rsidRPr="008625DC">
        <w:t>.</w:t>
      </w:r>
    </w:p>
    <w:p w14:paraId="1653CEBC" w14:textId="01C367FA" w:rsidR="008517D0" w:rsidRPr="008625DC" w:rsidRDefault="008517D0" w:rsidP="00A33169">
      <w:pPr>
        <w:spacing w:before="240"/>
      </w:pPr>
      <w:r w:rsidRPr="008625DC">
        <w:t xml:space="preserve">For further </w:t>
      </w:r>
      <w:r w:rsidR="00734B17" w:rsidRPr="008625DC">
        <w:t>detail</w:t>
      </w:r>
      <w:r w:rsidRPr="008625DC">
        <w:t xml:space="preserve"> on enforcement and remedies</w:t>
      </w:r>
      <w:r w:rsidR="002664C8" w:rsidRPr="008625DC">
        <w:t>,</w:t>
      </w:r>
      <w:r w:rsidRPr="008625DC">
        <w:t xml:space="preserve"> see </w:t>
      </w:r>
      <w:hyperlink w:anchor="Ch20" w:history="1">
        <w:r w:rsidRPr="008625DC">
          <w:rPr>
            <w:rStyle w:val="Hyperlink"/>
          </w:rPr>
          <w:t xml:space="preserve">Chapter </w:t>
        </w:r>
        <w:r w:rsidR="00BC47E4" w:rsidRPr="008625DC">
          <w:rPr>
            <w:rStyle w:val="Hyperlink"/>
          </w:rPr>
          <w:t>20</w:t>
        </w:r>
      </w:hyperlink>
      <w:r w:rsidRPr="008625DC">
        <w:t xml:space="preserve">. </w:t>
      </w:r>
    </w:p>
    <w:p w14:paraId="445E57C0" w14:textId="1F9BE89B" w:rsidR="0021287D" w:rsidRPr="008625DC" w:rsidRDefault="0021287D" w:rsidP="000B5916">
      <w:pPr>
        <w:pStyle w:val="Heading2"/>
        <w:ind w:left="851" w:hanging="851"/>
        <w:rPr>
          <w:lang w:val="en-AU"/>
        </w:rPr>
      </w:pPr>
      <w:bookmarkStart w:id="9050" w:name="_Toc397945915"/>
      <w:bookmarkStart w:id="9051" w:name="_Toc397946941"/>
      <w:bookmarkStart w:id="9052" w:name="_Toc397948060"/>
      <w:bookmarkStart w:id="9053" w:name="_Toc397958466"/>
      <w:bookmarkStart w:id="9054" w:name="_Toc397958708"/>
      <w:bookmarkStart w:id="9055" w:name="_Toc397959123"/>
      <w:bookmarkStart w:id="9056" w:name="_Toc397962976"/>
      <w:bookmarkStart w:id="9057" w:name="_Toc397963342"/>
      <w:bookmarkStart w:id="9058" w:name="_Toc397965419"/>
      <w:bookmarkStart w:id="9059" w:name="_Toc398197357"/>
      <w:bookmarkStart w:id="9060" w:name="_Toc398199860"/>
      <w:bookmarkStart w:id="9061" w:name="_Toc398201574"/>
      <w:bookmarkStart w:id="9062" w:name="_Toc398207179"/>
      <w:bookmarkStart w:id="9063" w:name="_Toc398210452"/>
      <w:bookmarkStart w:id="9064" w:name="_Toc398210966"/>
      <w:bookmarkStart w:id="9065" w:name="_Toc398219774"/>
      <w:bookmarkStart w:id="9066" w:name="_Toc398220149"/>
      <w:bookmarkStart w:id="9067" w:name="_Toc398220536"/>
      <w:bookmarkStart w:id="9068" w:name="_Toc398221614"/>
      <w:bookmarkStart w:id="9069" w:name="_Toc398222300"/>
      <w:bookmarkStart w:id="9070" w:name="_Toc398222612"/>
      <w:bookmarkStart w:id="9071" w:name="_Toc398223029"/>
      <w:bookmarkStart w:id="9072" w:name="_Toc398223408"/>
      <w:bookmarkStart w:id="9073" w:name="_Toc398223535"/>
      <w:bookmarkStart w:id="9074" w:name="_Toc398224343"/>
      <w:bookmarkStart w:id="9075" w:name="_Toc398225680"/>
      <w:bookmarkStart w:id="9076" w:name="_Toc398225805"/>
      <w:bookmarkStart w:id="9077" w:name="_Toc398281292"/>
      <w:bookmarkStart w:id="9078" w:name="_Toc398282151"/>
      <w:bookmarkStart w:id="9079" w:name="_Toc398284821"/>
      <w:bookmarkStart w:id="9080" w:name="_Toc398287290"/>
      <w:bookmarkStart w:id="9081" w:name="_Toc398289173"/>
      <w:bookmarkStart w:id="9082" w:name="_Toc398297170"/>
      <w:bookmarkStart w:id="9083" w:name="_Toc398298644"/>
      <w:bookmarkStart w:id="9084" w:name="_Toc398300345"/>
      <w:bookmarkStart w:id="9085" w:name="_Toc398301242"/>
      <w:bookmarkStart w:id="9086" w:name="_Toc398302427"/>
      <w:bookmarkStart w:id="9087" w:name="_Toc398302590"/>
      <w:bookmarkStart w:id="9088" w:name="_Toc398549103"/>
      <w:bookmarkStart w:id="9089" w:name="_Toc398549353"/>
      <w:bookmarkStart w:id="9090" w:name="_Toc398555772"/>
      <w:bookmarkStart w:id="9091" w:name="_Toc398558976"/>
      <w:bookmarkStart w:id="9092" w:name="_Toc398563462"/>
      <w:bookmarkStart w:id="9093" w:name="_Toc398563595"/>
      <w:bookmarkStart w:id="9094" w:name="_Toc398563994"/>
      <w:bookmarkStart w:id="9095" w:name="_Toc398827332"/>
      <w:bookmarkStart w:id="9096" w:name="_Toc398827526"/>
      <w:bookmarkStart w:id="9097" w:name="s316"/>
      <w:r w:rsidRPr="008625DC">
        <w:rPr>
          <w:lang w:val="en-AU"/>
        </w:rPr>
        <w:t>National Access Regime</w:t>
      </w:r>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bookmarkEnd w:id="9097"/>
    <w:p w14:paraId="42CB8047" w14:textId="120F85A9" w:rsidR="008943CE" w:rsidRPr="008625DC" w:rsidRDefault="008943CE" w:rsidP="003147A0">
      <w:r w:rsidRPr="008625DC">
        <w:t>The National Access Regime was originally established to enable third</w:t>
      </w:r>
      <w:r w:rsidR="00C74E19" w:rsidRPr="008625DC">
        <w:noBreakHyphen/>
      </w:r>
      <w:r w:rsidRPr="008625DC">
        <w:t>party access to identified bottleneck infrastructure where it was apparent that economic efficiency would be enhanced by promoting competition in markets that were dependent upon access to that infrastructure.</w:t>
      </w:r>
    </w:p>
    <w:p w14:paraId="1404EF06" w14:textId="687439B7" w:rsidR="008943CE" w:rsidRPr="008625DC" w:rsidRDefault="008943CE" w:rsidP="003147A0">
      <w:r w:rsidRPr="008625DC">
        <w:t xml:space="preserve">The bottleneck infrastructure </w:t>
      </w:r>
      <w:r w:rsidR="002F78E3" w:rsidRPr="008625DC">
        <w:t>cited</w:t>
      </w:r>
      <w:r w:rsidRPr="008625DC">
        <w:t xml:space="preserve"> by the Hilmer Review is now subject to a range of access regimes. Those regimes appear to be achieving the original policy goals identified by the Hilmer Review. Today, Part IIIA</w:t>
      </w:r>
      <w:r w:rsidR="007C3F66" w:rsidRPr="008625DC">
        <w:t xml:space="preserve"> </w:t>
      </w:r>
      <w:r w:rsidRPr="008625DC">
        <w:t>has only a limited role in the regulation of that bottleneck infrastructure.</w:t>
      </w:r>
    </w:p>
    <w:p w14:paraId="22994AFF" w14:textId="4B65DEA6" w:rsidR="00040986" w:rsidRPr="008625DC" w:rsidRDefault="00040986" w:rsidP="003147A0">
      <w:r w:rsidRPr="008625DC">
        <w:t>The question that arises today is: what are the infrastructure facilities for which access regulation will be required under Part IIIA in the future? Unless it is possible to identify those facilities or categories of facilities, it is difficult to reach a conclusion that the regulatory burden and costs imposed by Part</w:t>
      </w:r>
      <w:r w:rsidR="003147A0" w:rsidRPr="008625DC">
        <w:t> </w:t>
      </w:r>
      <w:r w:rsidRPr="008625DC">
        <w:t>IIIA on Australian businesses is outweighed by economic benefits, or that the benefits can only be achieved through the Part IIIA framework.</w:t>
      </w:r>
    </w:p>
    <w:p w14:paraId="0D11FE70" w14:textId="4712971C" w:rsidR="00040986" w:rsidRPr="008625DC" w:rsidRDefault="00040986" w:rsidP="003147A0">
      <w:r w:rsidRPr="008625DC">
        <w:t xml:space="preserve">The recent </w:t>
      </w:r>
      <w:r w:rsidR="00C27077" w:rsidRPr="008625DC">
        <w:t>Productivity Commission (</w:t>
      </w:r>
      <w:r w:rsidRPr="008625DC">
        <w:t>PC</w:t>
      </w:r>
      <w:r w:rsidR="00C27077" w:rsidRPr="008625DC">
        <w:t>)</w:t>
      </w:r>
      <w:r w:rsidRPr="008625DC">
        <w:t xml:space="preserve"> inquiry concluded that the Regime is likely to generate net benefits to the community, but that its scope should be confined to ensure its use is limited to the exceptional cases where the benefits arising from increased competition in dependent markets are likely to outweigh the costs of regulated third</w:t>
      </w:r>
      <w:r w:rsidR="00C74E19" w:rsidRPr="008625DC">
        <w:noBreakHyphen/>
      </w:r>
      <w:r w:rsidRPr="008625DC">
        <w:t>party access. The Panel agrees that</w:t>
      </w:r>
      <w:r w:rsidR="0034547C" w:rsidRPr="008625DC">
        <w:t>,</w:t>
      </w:r>
      <w:r w:rsidRPr="008625DC">
        <w:t xml:space="preserve"> if the Regime is to be retained, the scope of the Regime should be confined because of the potential costs of regulation. </w:t>
      </w:r>
    </w:p>
    <w:p w14:paraId="065AC278" w14:textId="408CB81A" w:rsidR="00040986" w:rsidRPr="008625DC" w:rsidRDefault="00040986" w:rsidP="003147A0">
      <w:pPr>
        <w:spacing w:after="120"/>
      </w:pPr>
      <w:r w:rsidRPr="008625DC">
        <w:t>In its report the PC recommended the following changes to the declaration criteria in Part IIIA:</w:t>
      </w:r>
    </w:p>
    <w:p w14:paraId="62E31669" w14:textId="77777777" w:rsidR="00040986" w:rsidRPr="008625DC" w:rsidRDefault="00040986" w:rsidP="00040986">
      <w:pPr>
        <w:pStyle w:val="Bullet"/>
      </w:pPr>
      <w:r w:rsidRPr="008625DC">
        <w:t>that criterion (a) will be satisfied if access to an infrastructure service on reasonable terms and conditions through declaration (rather than access per se) would promote a material increase in competition in a dependent market;</w:t>
      </w:r>
    </w:p>
    <w:p w14:paraId="3CDFA96A" w14:textId="77777777" w:rsidR="00040986" w:rsidRPr="008625DC" w:rsidRDefault="00040986" w:rsidP="00040986">
      <w:pPr>
        <w:pStyle w:val="Bullet"/>
      </w:pPr>
      <w:r w:rsidRPr="008625DC">
        <w:t>that criterion (b) will be satisfied where total foreseeable market demand for the infrastructure service over the declaration period could be met at least cost by the facility;</w:t>
      </w:r>
    </w:p>
    <w:p w14:paraId="6B73173B" w14:textId="77777777" w:rsidR="00040986" w:rsidRPr="008625DC" w:rsidRDefault="00040986" w:rsidP="00040986">
      <w:pPr>
        <w:pStyle w:val="Bullet"/>
      </w:pPr>
      <w:r w:rsidRPr="008625DC">
        <w:lastRenderedPageBreak/>
        <w:t>as an alternative recommendation, that criterion (b) will be satisfied where it would be uneconomical for anyone (other than the service provider) to develop another facility to provide the service; and</w:t>
      </w:r>
    </w:p>
    <w:p w14:paraId="394F1677" w14:textId="77777777" w:rsidR="00040986" w:rsidRPr="008625DC" w:rsidRDefault="00040986" w:rsidP="003147A0">
      <w:pPr>
        <w:pStyle w:val="Bullet"/>
        <w:spacing w:after="240"/>
      </w:pPr>
      <w:proofErr w:type="gramStart"/>
      <w:r w:rsidRPr="008625DC">
        <w:t>that</w:t>
      </w:r>
      <w:proofErr w:type="gramEnd"/>
      <w:r w:rsidRPr="008625DC">
        <w:t xml:space="preserve"> criterion (f) will be satisfied if access on reasonable terms and conditions through declaration would promote the public interest.</w:t>
      </w:r>
    </w:p>
    <w:p w14:paraId="2A1D9997" w14:textId="7D3A3158" w:rsidR="00040986" w:rsidRPr="008625DC" w:rsidRDefault="00040986" w:rsidP="003147A0">
      <w:r w:rsidRPr="008625DC">
        <w:t>The Panel supports the PC</w:t>
      </w:r>
      <w:r w:rsidR="00C74E19" w:rsidRPr="008625DC">
        <w:t>’</w:t>
      </w:r>
      <w:r w:rsidRPr="008625DC">
        <w:t>s recommendations in relation to criterion (a) and (f) and the alternative recommendation in respect of criterion (b)</w:t>
      </w:r>
      <w:r w:rsidR="00C74E19" w:rsidRPr="008625DC">
        <w:t xml:space="preserve">. </w:t>
      </w:r>
    </w:p>
    <w:p w14:paraId="4C99FED6" w14:textId="0B799079" w:rsidR="00040986" w:rsidRPr="008625DC" w:rsidRDefault="00040986" w:rsidP="003147A0">
      <w:r w:rsidRPr="008625DC">
        <w:t>The alternative recommendation for criterion (b) essentially maintains it in its current form, while clarifying that duplication of the facility by the owner of the existing facility is not a relevant consideration. As recently interpreted by the High Court in the Pilbara rail access case, the current form of criterion (b) asks a practical question whether it would be profitable for another facility to be developed</w:t>
      </w:r>
      <w:r w:rsidR="00C74E19" w:rsidRPr="008625DC">
        <w:t xml:space="preserve"> — </w:t>
      </w:r>
      <w:r w:rsidRPr="008625DC">
        <w:t>if it would, the facility is not a bottleneck. The Panel considers that this test can be more easily applied than the alternative test proposed by the PC, which would require predictions of total market demand over the proposed period of declaration and an assessment of production costs rising from third</w:t>
      </w:r>
      <w:r w:rsidR="00C74E19" w:rsidRPr="008625DC">
        <w:noBreakHyphen/>
      </w:r>
      <w:r w:rsidRPr="008625DC">
        <w:t>party access to the facility.</w:t>
      </w:r>
    </w:p>
    <w:p w14:paraId="4AD22E6F" w14:textId="521E9640" w:rsidR="00040986" w:rsidRPr="008625DC" w:rsidRDefault="00040986" w:rsidP="003147A0">
      <w:r w:rsidRPr="008625DC">
        <w:t xml:space="preserve">Decisions to declare a service under Part IIIA, or determine terms and conditions of </w:t>
      </w:r>
      <w:proofErr w:type="gramStart"/>
      <w:r w:rsidRPr="008625DC">
        <w:t>access,</w:t>
      </w:r>
      <w:proofErr w:type="gramEnd"/>
      <w:r w:rsidRPr="008625DC">
        <w:t xml:space="preserve"> are very significant economic decisions where the costs of getting the decision wrong are likely to be high. The Panel favours empowering the </w:t>
      </w:r>
      <w:r w:rsidR="00736394" w:rsidRPr="008625DC">
        <w:t xml:space="preserve">Australian </w:t>
      </w:r>
      <w:r w:rsidRPr="008625DC">
        <w:t>Competition Tribunal to undertake merits review of access decisions, including hearing directly from employees of the business concerned and relevant experts where that would assist, while maintaining suitable statutory time limits for the review process.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21287D" w:rsidRPr="008625DC" w14:paraId="69F97E3A" w14:textId="77777777" w:rsidTr="00E81DCF">
        <w:tc>
          <w:tcPr>
            <w:tcW w:w="5000" w:type="pct"/>
            <w:shd w:val="clear" w:color="auto" w:fill="E9F7F3" w:themeFill="accent4" w:themeFillTint="33"/>
          </w:tcPr>
          <w:p w14:paraId="0E26E82B" w14:textId="71DBA608" w:rsidR="0021287D" w:rsidRPr="008625DC" w:rsidRDefault="0021287D" w:rsidP="00E81DCF">
            <w:pPr>
              <w:pStyle w:val="RecommendationHeading"/>
            </w:pPr>
            <w:bookmarkStart w:id="9098" w:name="DR38"/>
            <w:r w:rsidRPr="008625DC">
              <w:t xml:space="preserve">Draft Recommendation </w:t>
            </w:r>
            <w:r w:rsidRPr="008625DC">
              <w:fldChar w:fldCharType="begin"/>
            </w:r>
            <w:r w:rsidRPr="008625DC">
              <w:instrText xml:space="preserve"> AUTONUMLGL  \* Arabic \e </w:instrText>
            </w:r>
            <w:r w:rsidRPr="008625DC">
              <w:fldChar w:fldCharType="end"/>
            </w:r>
            <w:bookmarkEnd w:id="9098"/>
            <w:r w:rsidRPr="008625DC">
              <w:t xml:space="preserve"> — National Access Regime</w:t>
            </w:r>
          </w:p>
          <w:p w14:paraId="0272CEF9" w14:textId="38F9A120" w:rsidR="005E2D00" w:rsidRPr="008625DC" w:rsidRDefault="005E2D00" w:rsidP="003147A0">
            <w:pPr>
              <w:pStyle w:val="RecommendationText"/>
            </w:pPr>
            <w:r w:rsidRPr="008625DC">
              <w:t>The declaration criteria in Part IIIA should be targeted to ensure that third</w:t>
            </w:r>
            <w:r w:rsidR="00C74E19" w:rsidRPr="008625DC">
              <w:noBreakHyphen/>
            </w:r>
            <w:r w:rsidRPr="008625DC">
              <w:t xml:space="preserve">party access only </w:t>
            </w:r>
            <w:r w:rsidR="00DF3ADA" w:rsidRPr="008625DC">
              <w:t>be</w:t>
            </w:r>
            <w:r w:rsidRPr="008625DC">
              <w:t xml:space="preserve"> mandated where it is in the public interest. To that end:</w:t>
            </w:r>
          </w:p>
          <w:p w14:paraId="097AC70E" w14:textId="207DC50D" w:rsidR="005E2D00" w:rsidRPr="008625DC" w:rsidRDefault="005E2D00" w:rsidP="003147A0">
            <w:pPr>
              <w:pStyle w:val="RecommendationBullet"/>
            </w:pPr>
            <w:r w:rsidRPr="008625DC">
              <w:t>criterion (a) should require that access on reasonable terms and conditions through declaration promote a material increase in competition in a dependent market;</w:t>
            </w:r>
          </w:p>
          <w:p w14:paraId="46331817" w14:textId="77777777" w:rsidR="005E2D00" w:rsidRPr="008625DC" w:rsidRDefault="005E2D00" w:rsidP="003147A0">
            <w:pPr>
              <w:pStyle w:val="RecommendationBullet"/>
            </w:pPr>
            <w:r w:rsidRPr="008625DC">
              <w:t>criterion (b) should require that it be uneconomical for anyone (other than the service provider) to develop another facility to provide the service; and</w:t>
            </w:r>
          </w:p>
          <w:p w14:paraId="312FF713" w14:textId="77DB57AC" w:rsidR="005E2D00" w:rsidRPr="008625DC" w:rsidRDefault="005E2D00" w:rsidP="003147A0">
            <w:pPr>
              <w:pStyle w:val="RecommendationBullet"/>
            </w:pPr>
            <w:proofErr w:type="gramStart"/>
            <w:r w:rsidRPr="008625DC">
              <w:t>criterion</w:t>
            </w:r>
            <w:proofErr w:type="gramEnd"/>
            <w:r w:rsidRPr="008625DC">
              <w:t xml:space="preserve"> (f) should require that access on reasonable terms and conditions through declaration promote the public interest.</w:t>
            </w:r>
          </w:p>
          <w:p w14:paraId="68D3F854" w14:textId="77777777" w:rsidR="0021287D" w:rsidRPr="008625DC" w:rsidRDefault="005E2D00" w:rsidP="005E2D00">
            <w:pPr>
              <w:pStyle w:val="RecommendationText"/>
            </w:pPr>
            <w:r w:rsidRPr="008625DC">
              <w:t>The Competition Principles Agreement should be updated to reflect the revised declaration criteria.</w:t>
            </w:r>
          </w:p>
          <w:p w14:paraId="75021FC6" w14:textId="77777777" w:rsidR="0021287D" w:rsidRPr="008625DC" w:rsidRDefault="00040986" w:rsidP="003147A0">
            <w:pPr>
              <w:pStyle w:val="RecommendationText"/>
            </w:pPr>
            <w:r w:rsidRPr="008625DC">
              <w:t xml:space="preserve">The </w:t>
            </w:r>
            <w:r w:rsidR="004625C9" w:rsidRPr="008625DC">
              <w:t xml:space="preserve">Australian </w:t>
            </w:r>
            <w:r w:rsidRPr="008625DC">
              <w:t>Competition Tribunal should be empowered to undertake merits review of access decisions while maintaining suitable statutory time limits for the review process.</w:t>
            </w:r>
          </w:p>
          <w:p w14:paraId="6D89EC35" w14:textId="77777777" w:rsidR="00C73994" w:rsidRPr="008625DC" w:rsidRDefault="00C73994" w:rsidP="00C73994">
            <w:pPr>
              <w:pStyle w:val="Keyfindingtext"/>
              <w:rPr>
                <w:b/>
              </w:rPr>
            </w:pPr>
            <w:r w:rsidRPr="008625DC">
              <w:rPr>
                <w:b/>
              </w:rPr>
              <w:t>The Panel invites further comment on:</w:t>
            </w:r>
          </w:p>
          <w:p w14:paraId="5F37A211" w14:textId="77777777" w:rsidR="00C73994" w:rsidRPr="008625DC" w:rsidRDefault="00C73994" w:rsidP="003147A0">
            <w:pPr>
              <w:pStyle w:val="RecommendationBullet"/>
              <w:rPr>
                <w:rStyle w:val="Bold"/>
              </w:rPr>
            </w:pPr>
            <w:r w:rsidRPr="008625DC">
              <w:rPr>
                <w:rStyle w:val="Bold"/>
              </w:rPr>
              <w:t>the categories of infrastructure to which Part IIIA might be applied in the future, particularly in the mining sector, and the costs and benefits that would arise from access regulation of that infrastructure; and</w:t>
            </w:r>
          </w:p>
          <w:p w14:paraId="38D54D0B" w14:textId="3B564D74" w:rsidR="0021287D" w:rsidRPr="008625DC" w:rsidRDefault="00C73994" w:rsidP="003147A0">
            <w:pPr>
              <w:pStyle w:val="RecommendationBullet"/>
            </w:pPr>
            <w:proofErr w:type="gramStart"/>
            <w:r w:rsidRPr="008625DC">
              <w:rPr>
                <w:rStyle w:val="Bold"/>
              </w:rPr>
              <w:t>whether</w:t>
            </w:r>
            <w:proofErr w:type="gramEnd"/>
            <w:r w:rsidRPr="008625DC">
              <w:rPr>
                <w:rStyle w:val="Bold"/>
              </w:rPr>
              <w:t xml:space="preserve"> Part IIIA should be confined in its scope to the categories of bottleneck infrastructure </w:t>
            </w:r>
            <w:r w:rsidR="000032B8" w:rsidRPr="008625DC">
              <w:rPr>
                <w:rStyle w:val="Bold"/>
              </w:rPr>
              <w:t>cited</w:t>
            </w:r>
            <w:r w:rsidRPr="008625DC">
              <w:rPr>
                <w:rStyle w:val="Bold"/>
              </w:rPr>
              <w:t xml:space="preserve"> by the Hilmer Review.</w:t>
            </w:r>
          </w:p>
        </w:tc>
      </w:tr>
    </w:tbl>
    <w:p w14:paraId="115A449F" w14:textId="58AF2069" w:rsidR="00696E29" w:rsidRPr="008625DC" w:rsidRDefault="00696E29" w:rsidP="003147A0">
      <w:pPr>
        <w:pStyle w:val="SingleParagraph"/>
      </w:pPr>
    </w:p>
    <w:p w14:paraId="568C9B21" w14:textId="1E1B6A30" w:rsidR="000752DD" w:rsidRPr="008625DC" w:rsidRDefault="000752DD" w:rsidP="000752DD">
      <w:pPr>
        <w:spacing w:before="0" w:after="0"/>
      </w:pPr>
      <w:r w:rsidRPr="008625DC">
        <w:br w:type="page"/>
      </w:r>
    </w:p>
    <w:p w14:paraId="76BB887A" w14:textId="77777777" w:rsidR="00D226CF" w:rsidRPr="008625DC" w:rsidRDefault="00D226CF" w:rsidP="00864E0A">
      <w:pPr>
        <w:pStyle w:val="Heading1"/>
        <w:ind w:left="851" w:hanging="851"/>
      </w:pPr>
      <w:bookmarkStart w:id="9099" w:name="_Toc395867503"/>
      <w:bookmarkStart w:id="9100" w:name="_Toc395867681"/>
      <w:bookmarkStart w:id="9101" w:name="_Toc395868636"/>
      <w:bookmarkStart w:id="9102" w:name="_Toc395868813"/>
      <w:bookmarkStart w:id="9103" w:name="_Toc395879017"/>
      <w:bookmarkStart w:id="9104" w:name="_Toc395879192"/>
      <w:bookmarkStart w:id="9105" w:name="_Toc395882141"/>
      <w:bookmarkStart w:id="9106" w:name="_Toc395882316"/>
      <w:bookmarkStart w:id="9107" w:name="_Toc395882472"/>
      <w:bookmarkStart w:id="9108" w:name="_Toc395882647"/>
      <w:bookmarkStart w:id="9109" w:name="_Toc395880636"/>
      <w:bookmarkStart w:id="9110" w:name="_Toc395880967"/>
      <w:bookmarkStart w:id="9111" w:name="_Toc395881525"/>
      <w:bookmarkStart w:id="9112" w:name="_Toc395883910"/>
      <w:bookmarkStart w:id="9113" w:name="_Toc395884085"/>
      <w:bookmarkStart w:id="9114" w:name="_Toc395884572"/>
      <w:bookmarkStart w:id="9115" w:name="_Toc395884747"/>
      <w:bookmarkStart w:id="9116" w:name="_Toc395883281"/>
      <w:bookmarkStart w:id="9117" w:name="_Toc395883456"/>
      <w:bookmarkStart w:id="9118" w:name="_Toc395883611"/>
      <w:bookmarkStart w:id="9119" w:name="_Toc395883786"/>
      <w:bookmarkStart w:id="9120" w:name="_Toc395884913"/>
      <w:bookmarkStart w:id="9121" w:name="_Toc396123896"/>
      <w:bookmarkStart w:id="9122" w:name="_Toc396130798"/>
      <w:bookmarkStart w:id="9123" w:name="_Toc396136376"/>
      <w:bookmarkStart w:id="9124" w:name="_Toc396138885"/>
      <w:bookmarkStart w:id="9125" w:name="_Toc396145600"/>
      <w:bookmarkStart w:id="9126" w:name="_Toc396145799"/>
      <w:bookmarkStart w:id="9127" w:name="_Toc396146464"/>
      <w:bookmarkStart w:id="9128" w:name="_Toc396147621"/>
      <w:bookmarkStart w:id="9129" w:name="_Toc396147852"/>
      <w:bookmarkStart w:id="9130" w:name="_Toc396149108"/>
      <w:bookmarkStart w:id="9131" w:name="_Toc396148876"/>
      <w:bookmarkStart w:id="9132" w:name="_Toc396149602"/>
      <w:bookmarkStart w:id="9133" w:name="_Toc396149303"/>
      <w:bookmarkStart w:id="9134" w:name="_Toc396150031"/>
      <w:bookmarkStart w:id="9135" w:name="_Toc396149956"/>
      <w:bookmarkStart w:id="9136" w:name="_Toc396149761"/>
      <w:bookmarkStart w:id="9137" w:name="_Toc396150547"/>
      <w:bookmarkStart w:id="9138" w:name="_Toc396151491"/>
      <w:bookmarkStart w:id="9139" w:name="_Toc396151730"/>
      <w:bookmarkStart w:id="9140" w:name="_Toc396202499"/>
      <w:bookmarkStart w:id="9141" w:name="_Toc396202742"/>
      <w:bookmarkStart w:id="9142" w:name="_Toc396206707"/>
      <w:bookmarkStart w:id="9143" w:name="_Toc396206949"/>
      <w:bookmarkStart w:id="9144" w:name="_Toc396209535"/>
      <w:bookmarkStart w:id="9145" w:name="_Toc396209777"/>
      <w:bookmarkStart w:id="9146" w:name="_Toc396211959"/>
      <w:bookmarkStart w:id="9147" w:name="_Toc396212201"/>
      <w:bookmarkStart w:id="9148" w:name="_Toc396213302"/>
      <w:bookmarkStart w:id="9149" w:name="_Toc396213543"/>
      <w:bookmarkStart w:id="9150" w:name="_Toc396214580"/>
      <w:bookmarkStart w:id="9151" w:name="_Toc396214819"/>
      <w:bookmarkStart w:id="9152" w:name="_Toc396226692"/>
      <w:bookmarkStart w:id="9153" w:name="_Toc396226930"/>
      <w:bookmarkStart w:id="9154" w:name="_Toc396228892"/>
      <w:bookmarkStart w:id="9155" w:name="_Toc396229136"/>
      <w:bookmarkStart w:id="9156" w:name="_Toc396230534"/>
      <w:bookmarkStart w:id="9157" w:name="_Toc396230778"/>
      <w:bookmarkStart w:id="9158" w:name="_Toc396231675"/>
      <w:bookmarkStart w:id="9159" w:name="_Toc396231920"/>
      <w:bookmarkStart w:id="9160" w:name="_Toc396233315"/>
      <w:bookmarkStart w:id="9161" w:name="_Toc396233560"/>
      <w:bookmarkStart w:id="9162" w:name="_Toc396234135"/>
      <w:bookmarkStart w:id="9163" w:name="_Toc396234380"/>
      <w:bookmarkStart w:id="9164" w:name="_Toc396234546"/>
      <w:bookmarkStart w:id="9165" w:name="_Toc396236243"/>
      <w:bookmarkStart w:id="9166" w:name="_Toc396236021"/>
      <w:bookmarkStart w:id="9167" w:name="_Toc396304675"/>
      <w:bookmarkStart w:id="9168" w:name="_Toc396586361"/>
      <w:bookmarkStart w:id="9169" w:name="_Toc396815124"/>
      <w:bookmarkStart w:id="9170" w:name="_Toc396821073"/>
      <w:bookmarkStart w:id="9171" w:name="_Toc396821681"/>
      <w:bookmarkStart w:id="9172" w:name="_Toc396827531"/>
      <w:bookmarkStart w:id="9173" w:name="_Toc396828502"/>
      <w:bookmarkStart w:id="9174" w:name="_Toc396828612"/>
      <w:bookmarkStart w:id="9175" w:name="_Toc396838001"/>
      <w:bookmarkStart w:id="9176" w:name="_Toc396838399"/>
      <w:bookmarkStart w:id="9177" w:name="_Toc396904722"/>
      <w:bookmarkStart w:id="9178" w:name="_Toc396907556"/>
      <w:bookmarkStart w:id="9179" w:name="_Toc396912475"/>
      <w:bookmarkStart w:id="9180" w:name="_Toc396914455"/>
      <w:bookmarkStart w:id="9181" w:name="_Toc396915339"/>
      <w:bookmarkStart w:id="9182" w:name="_Toc396915733"/>
      <w:bookmarkStart w:id="9183" w:name="_Toc396921044"/>
      <w:bookmarkStart w:id="9184" w:name="_Toc396924384"/>
      <w:bookmarkStart w:id="9185" w:name="_Toc396925078"/>
      <w:bookmarkStart w:id="9186" w:name="_Toc396992198"/>
      <w:bookmarkStart w:id="9187" w:name="_Toc396992777"/>
      <w:bookmarkStart w:id="9188" w:name="_Toc396994441"/>
      <w:bookmarkStart w:id="9189" w:name="_Toc397002212"/>
      <w:bookmarkStart w:id="9190" w:name="_Toc397003131"/>
      <w:bookmarkStart w:id="9191" w:name="_Toc397008689"/>
      <w:bookmarkStart w:id="9192" w:name="_Toc397008907"/>
      <w:bookmarkStart w:id="9193" w:name="_Toc397011579"/>
      <w:bookmarkStart w:id="9194" w:name="_Toc397012640"/>
      <w:bookmarkStart w:id="9195" w:name="_Toc397014982"/>
      <w:bookmarkStart w:id="9196" w:name="_Toc397015469"/>
      <w:bookmarkStart w:id="9197" w:name="_Toc397070540"/>
      <w:bookmarkStart w:id="9198" w:name="_Toc397413278"/>
      <w:bookmarkStart w:id="9199" w:name="_Toc397413425"/>
      <w:bookmarkStart w:id="9200" w:name="_Toc397428010"/>
      <w:bookmarkStart w:id="9201" w:name="_Toc397439398"/>
      <w:bookmarkStart w:id="9202" w:name="_Toc397439568"/>
      <w:bookmarkStart w:id="9203" w:name="_Toc397439824"/>
      <w:bookmarkStart w:id="9204" w:name="_Toc397440126"/>
      <w:bookmarkStart w:id="9205" w:name="_Toc397441755"/>
      <w:bookmarkStart w:id="9206" w:name="_Toc397517457"/>
      <w:bookmarkStart w:id="9207" w:name="_Toc397522722"/>
      <w:bookmarkStart w:id="9208" w:name="_Toc397526140"/>
      <w:bookmarkStart w:id="9209" w:name="_Toc397528455"/>
      <w:bookmarkStart w:id="9210" w:name="_Toc397528930"/>
      <w:bookmarkStart w:id="9211" w:name="_Toc397601927"/>
      <w:bookmarkStart w:id="9212" w:name="_Toc397602662"/>
      <w:bookmarkStart w:id="9213" w:name="_Toc397605791"/>
      <w:bookmarkStart w:id="9214" w:name="_Toc397614935"/>
      <w:bookmarkStart w:id="9215" w:name="_Toc397616378"/>
      <w:bookmarkStart w:id="9216" w:name="_Toc397616772"/>
      <w:bookmarkStart w:id="9217" w:name="_Toc397679182"/>
      <w:bookmarkStart w:id="9218" w:name="_Toc397688070"/>
      <w:bookmarkStart w:id="9219" w:name="_Toc397689286"/>
      <w:bookmarkStart w:id="9220" w:name="_Toc397694566"/>
      <w:bookmarkStart w:id="9221" w:name="_Toc397696407"/>
      <w:bookmarkStart w:id="9222" w:name="_Toc397697141"/>
      <w:bookmarkStart w:id="9223" w:name="_Toc397698428"/>
      <w:bookmarkStart w:id="9224" w:name="_Toc397699794"/>
      <w:bookmarkStart w:id="9225" w:name="_Toc397700248"/>
      <w:bookmarkStart w:id="9226" w:name="_Toc397936640"/>
      <w:bookmarkStart w:id="9227" w:name="_Toc397936760"/>
      <w:bookmarkStart w:id="9228" w:name="_Toc397945916"/>
      <w:bookmarkStart w:id="9229" w:name="_Toc397946942"/>
      <w:bookmarkStart w:id="9230" w:name="_Toc397948061"/>
      <w:bookmarkStart w:id="9231" w:name="_Toc397958467"/>
      <w:bookmarkStart w:id="9232" w:name="_Toc397958709"/>
      <w:bookmarkStart w:id="9233" w:name="_Toc397959124"/>
      <w:bookmarkStart w:id="9234" w:name="_Toc397962977"/>
      <w:bookmarkStart w:id="9235" w:name="_Toc397963343"/>
      <w:bookmarkStart w:id="9236" w:name="_Toc397965420"/>
      <w:bookmarkStart w:id="9237" w:name="_Toc398197358"/>
      <w:bookmarkStart w:id="9238" w:name="_Toc398199861"/>
      <w:bookmarkStart w:id="9239" w:name="_Toc398201575"/>
      <w:bookmarkStart w:id="9240" w:name="_Toc398207180"/>
      <w:bookmarkStart w:id="9241" w:name="_Toc398210453"/>
      <w:bookmarkStart w:id="9242" w:name="_Toc398210967"/>
      <w:bookmarkStart w:id="9243" w:name="_Toc398219775"/>
      <w:bookmarkStart w:id="9244" w:name="_Toc398220150"/>
      <w:bookmarkStart w:id="9245" w:name="_Toc398220537"/>
      <w:bookmarkStart w:id="9246" w:name="_Toc398221615"/>
      <w:bookmarkStart w:id="9247" w:name="_Toc398222301"/>
      <w:bookmarkStart w:id="9248" w:name="_Toc398222613"/>
      <w:bookmarkStart w:id="9249" w:name="_Toc398223030"/>
      <w:bookmarkStart w:id="9250" w:name="_Toc398223409"/>
      <w:bookmarkStart w:id="9251" w:name="_Toc398223536"/>
      <w:bookmarkStart w:id="9252" w:name="_Toc398224344"/>
      <w:bookmarkStart w:id="9253" w:name="_Toc398225681"/>
      <w:bookmarkStart w:id="9254" w:name="_Toc398225806"/>
      <w:bookmarkStart w:id="9255" w:name="_Toc398281293"/>
      <w:bookmarkStart w:id="9256" w:name="_Toc398282152"/>
      <w:bookmarkStart w:id="9257" w:name="_Toc398284822"/>
      <w:bookmarkStart w:id="9258" w:name="_Toc398287291"/>
      <w:bookmarkStart w:id="9259" w:name="_Toc398289174"/>
      <w:bookmarkStart w:id="9260" w:name="_Toc398297171"/>
      <w:bookmarkStart w:id="9261" w:name="_Toc398298645"/>
      <w:bookmarkStart w:id="9262" w:name="_Toc398300346"/>
      <w:bookmarkStart w:id="9263" w:name="_Toc398301243"/>
      <w:bookmarkStart w:id="9264" w:name="_Toc398302428"/>
      <w:bookmarkStart w:id="9265" w:name="_Toc398302591"/>
      <w:bookmarkStart w:id="9266" w:name="_Toc398549104"/>
      <w:bookmarkStart w:id="9267" w:name="_Toc398549354"/>
      <w:bookmarkStart w:id="9268" w:name="_Toc398555773"/>
      <w:bookmarkStart w:id="9269" w:name="_Toc398558977"/>
      <w:bookmarkStart w:id="9270" w:name="_Toc398563463"/>
      <w:bookmarkStart w:id="9271" w:name="_Toc398563596"/>
      <w:bookmarkStart w:id="9272" w:name="_Toc398563995"/>
      <w:bookmarkStart w:id="9273" w:name="_Toc398827333"/>
      <w:bookmarkStart w:id="9274" w:name="_Toc398827527"/>
      <w:bookmarkStart w:id="9275" w:name="Ch4"/>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r w:rsidRPr="008625DC">
        <w:lastRenderedPageBreak/>
        <w:t>Institutions and governance</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p>
    <w:p w14:paraId="191AA2B7" w14:textId="77777777" w:rsidR="000752DD" w:rsidRPr="008625DC" w:rsidRDefault="000752DD" w:rsidP="000B5916">
      <w:pPr>
        <w:pStyle w:val="Heading2"/>
        <w:ind w:left="851" w:hanging="851"/>
        <w:rPr>
          <w:lang w:val="en-AU"/>
        </w:rPr>
      </w:pPr>
      <w:bookmarkStart w:id="9276" w:name="_Toc394995162"/>
      <w:bookmarkStart w:id="9277" w:name="_Toc394995684"/>
      <w:bookmarkStart w:id="9278" w:name="_Toc394995998"/>
      <w:bookmarkStart w:id="9279" w:name="_Toc394996116"/>
      <w:bookmarkStart w:id="9280" w:name="_Toc394997841"/>
      <w:bookmarkStart w:id="9281" w:name="_Toc394998239"/>
      <w:bookmarkStart w:id="9282" w:name="_Toc394998356"/>
      <w:bookmarkStart w:id="9283" w:name="_Toc394998753"/>
      <w:bookmarkStart w:id="9284" w:name="_Toc395001851"/>
      <w:bookmarkStart w:id="9285" w:name="_Toc395002252"/>
      <w:bookmarkStart w:id="9286" w:name="_Toc395001460"/>
      <w:bookmarkStart w:id="9287" w:name="_Toc395001732"/>
      <w:bookmarkStart w:id="9288" w:name="_Toc395003021"/>
      <w:bookmarkStart w:id="9289" w:name="_Toc395003205"/>
      <w:bookmarkStart w:id="9290" w:name="_Toc395003605"/>
      <w:bookmarkStart w:id="9291" w:name="_Toc395005102"/>
      <w:bookmarkStart w:id="9292" w:name="_Toc395005444"/>
      <w:bookmarkStart w:id="9293" w:name="_Toc395005846"/>
      <w:bookmarkStart w:id="9294" w:name="_Toc395009021"/>
      <w:bookmarkStart w:id="9295" w:name="_Toc395009832"/>
      <w:bookmarkStart w:id="9296" w:name="_Toc395010207"/>
      <w:bookmarkStart w:id="9297" w:name="_Toc395010688"/>
      <w:bookmarkStart w:id="9298" w:name="_Toc395010049"/>
      <w:bookmarkStart w:id="9299" w:name="_Toc395011462"/>
      <w:bookmarkStart w:id="9300" w:name="_Toc395011575"/>
      <w:bookmarkStart w:id="9301" w:name="_Toc395012393"/>
      <w:bookmarkStart w:id="9302" w:name="_Toc395012756"/>
      <w:bookmarkStart w:id="9303" w:name="_Toc395012983"/>
      <w:bookmarkStart w:id="9304" w:name="_Toc395010798"/>
      <w:bookmarkStart w:id="9305" w:name="_Toc395012271"/>
      <w:bookmarkStart w:id="9306" w:name="_Toc395014559"/>
      <w:bookmarkStart w:id="9307" w:name="_Toc395014672"/>
      <w:bookmarkStart w:id="9308" w:name="_Toc395011868"/>
      <w:bookmarkStart w:id="9309" w:name="_Toc395013263"/>
      <w:bookmarkStart w:id="9310" w:name="_Toc395084902"/>
      <w:bookmarkStart w:id="9311" w:name="_Toc395085203"/>
      <w:bookmarkStart w:id="9312" w:name="_Toc395090302"/>
      <w:bookmarkStart w:id="9313" w:name="_Toc395090669"/>
      <w:bookmarkStart w:id="9314" w:name="_Toc395090781"/>
      <w:bookmarkStart w:id="9315" w:name="_Toc395092670"/>
      <w:bookmarkStart w:id="9316" w:name="_Toc395092882"/>
      <w:bookmarkStart w:id="9317" w:name="_Toc395093252"/>
      <w:bookmarkStart w:id="9318" w:name="_Toc395093364"/>
      <w:bookmarkStart w:id="9319" w:name="_Toc395097793"/>
      <w:bookmarkStart w:id="9320" w:name="_Toc395098162"/>
      <w:bookmarkStart w:id="9321" w:name="_Toc395098274"/>
      <w:bookmarkStart w:id="9322" w:name="_Toc395105347"/>
      <w:bookmarkStart w:id="9323" w:name="_Toc395105458"/>
      <w:bookmarkStart w:id="9324" w:name="_Toc395106950"/>
      <w:bookmarkStart w:id="9325" w:name="_Toc395107061"/>
      <w:bookmarkStart w:id="9326" w:name="_Toc395109932"/>
      <w:bookmarkStart w:id="9327" w:name="_Toc395109607"/>
      <w:bookmarkStart w:id="9328" w:name="_Toc395109718"/>
      <w:bookmarkStart w:id="9329" w:name="_Toc395111935"/>
      <w:bookmarkStart w:id="9330" w:name="_Toc395112423"/>
      <w:bookmarkStart w:id="9331" w:name="_Toc395107454"/>
      <w:bookmarkStart w:id="9332" w:name="_Toc395107568"/>
      <w:bookmarkStart w:id="9333" w:name="_Toc395110107"/>
      <w:bookmarkStart w:id="9334" w:name="_Toc395108615"/>
      <w:bookmarkStart w:id="9335" w:name="_Toc395109016"/>
      <w:bookmarkStart w:id="9336" w:name="_Toc395113855"/>
      <w:bookmarkStart w:id="9337" w:name="_Toc395114255"/>
      <w:bookmarkStart w:id="9338" w:name="_Toc395114375"/>
      <w:bookmarkStart w:id="9339" w:name="_Toc395116591"/>
      <w:bookmarkStart w:id="9340" w:name="_Toc395116992"/>
      <w:bookmarkStart w:id="9341" w:name="_Toc395117113"/>
      <w:bookmarkStart w:id="9342" w:name="_Toc395112528"/>
      <w:bookmarkStart w:id="9343" w:name="_Toc395113110"/>
      <w:bookmarkStart w:id="9344" w:name="_Toc395113231"/>
      <w:bookmarkStart w:id="9345" w:name="_Toc395115067"/>
      <w:bookmarkStart w:id="9346" w:name="_Toc395115469"/>
      <w:bookmarkStart w:id="9347" w:name="_Toc395115590"/>
      <w:bookmarkStart w:id="9348" w:name="_Toc395118222"/>
      <w:bookmarkStart w:id="9349" w:name="_Toc395118621"/>
      <w:bookmarkStart w:id="9350" w:name="_Toc395118740"/>
      <w:bookmarkStart w:id="9351" w:name="_Toc395178325"/>
      <w:bookmarkStart w:id="9352" w:name="_Toc395624814"/>
      <w:bookmarkStart w:id="9353" w:name="_Toc395624921"/>
      <w:bookmarkStart w:id="9354" w:name="_Toc395789775"/>
      <w:bookmarkStart w:id="9355" w:name="_Toc395790165"/>
      <w:bookmarkStart w:id="9356" w:name="_Toc395800923"/>
      <w:bookmarkStart w:id="9357" w:name="_Toc395802906"/>
      <w:bookmarkStart w:id="9358" w:name="_Toc395867504"/>
      <w:bookmarkStart w:id="9359" w:name="_Toc395867682"/>
      <w:bookmarkStart w:id="9360" w:name="_Toc395868637"/>
      <w:bookmarkStart w:id="9361" w:name="_Toc395868814"/>
      <w:bookmarkStart w:id="9362" w:name="_Toc395879018"/>
      <w:bookmarkStart w:id="9363" w:name="_Toc395879193"/>
      <w:bookmarkStart w:id="9364" w:name="_Toc395882142"/>
      <w:bookmarkStart w:id="9365" w:name="_Toc395882317"/>
      <w:bookmarkStart w:id="9366" w:name="_Toc395882473"/>
      <w:bookmarkStart w:id="9367" w:name="_Toc395882648"/>
      <w:bookmarkStart w:id="9368" w:name="_Toc395880637"/>
      <w:bookmarkStart w:id="9369" w:name="_Toc395880968"/>
      <w:bookmarkStart w:id="9370" w:name="_Toc395881526"/>
      <w:bookmarkStart w:id="9371" w:name="_Toc395883911"/>
      <w:bookmarkStart w:id="9372" w:name="_Toc395884086"/>
      <w:bookmarkStart w:id="9373" w:name="_Toc395884573"/>
      <w:bookmarkStart w:id="9374" w:name="_Toc395884748"/>
      <w:bookmarkStart w:id="9375" w:name="_Toc395883282"/>
      <w:bookmarkStart w:id="9376" w:name="_Toc395883457"/>
      <w:bookmarkStart w:id="9377" w:name="_Toc395883612"/>
      <w:bookmarkStart w:id="9378" w:name="_Toc395883787"/>
      <w:bookmarkStart w:id="9379" w:name="_Toc395884914"/>
      <w:bookmarkStart w:id="9380" w:name="_Toc396123897"/>
      <w:bookmarkStart w:id="9381" w:name="_Toc396130799"/>
      <w:bookmarkStart w:id="9382" w:name="_Toc396136377"/>
      <w:bookmarkStart w:id="9383" w:name="_Toc396138886"/>
      <w:bookmarkStart w:id="9384" w:name="_Toc396145601"/>
      <w:bookmarkStart w:id="9385" w:name="_Toc396145800"/>
      <w:bookmarkStart w:id="9386" w:name="_Toc396146465"/>
      <w:bookmarkStart w:id="9387" w:name="_Toc396147622"/>
      <w:bookmarkStart w:id="9388" w:name="_Toc396147853"/>
      <w:bookmarkStart w:id="9389" w:name="_Toc396149109"/>
      <w:bookmarkStart w:id="9390" w:name="_Toc396148877"/>
      <w:bookmarkStart w:id="9391" w:name="_Toc396149603"/>
      <w:bookmarkStart w:id="9392" w:name="_Toc396149304"/>
      <w:bookmarkStart w:id="9393" w:name="_Toc396150032"/>
      <w:bookmarkStart w:id="9394" w:name="_Toc396149957"/>
      <w:bookmarkStart w:id="9395" w:name="_Toc396149762"/>
      <w:bookmarkStart w:id="9396" w:name="_Toc396150548"/>
      <w:bookmarkStart w:id="9397" w:name="_Toc396151492"/>
      <w:bookmarkStart w:id="9398" w:name="_Toc396151731"/>
      <w:bookmarkStart w:id="9399" w:name="_Toc396202500"/>
      <w:bookmarkStart w:id="9400" w:name="_Toc396202743"/>
      <w:bookmarkStart w:id="9401" w:name="_Toc396206708"/>
      <w:bookmarkStart w:id="9402" w:name="_Toc396206950"/>
      <w:bookmarkStart w:id="9403" w:name="_Toc396209536"/>
      <w:bookmarkStart w:id="9404" w:name="_Toc396209778"/>
      <w:bookmarkStart w:id="9405" w:name="_Toc396211960"/>
      <w:bookmarkStart w:id="9406" w:name="_Toc396212202"/>
      <w:bookmarkStart w:id="9407" w:name="_Toc396213303"/>
      <w:bookmarkStart w:id="9408" w:name="_Toc396213544"/>
      <w:bookmarkStart w:id="9409" w:name="_Toc396214581"/>
      <w:bookmarkStart w:id="9410" w:name="_Toc396214820"/>
      <w:bookmarkStart w:id="9411" w:name="_Toc396226693"/>
      <w:bookmarkStart w:id="9412" w:name="_Toc396226931"/>
      <w:bookmarkStart w:id="9413" w:name="_Toc396228893"/>
      <w:bookmarkStart w:id="9414" w:name="_Toc396229137"/>
      <w:bookmarkStart w:id="9415" w:name="_Toc396230535"/>
      <w:bookmarkStart w:id="9416" w:name="_Toc396230779"/>
      <w:bookmarkStart w:id="9417" w:name="_Toc396231676"/>
      <w:bookmarkStart w:id="9418" w:name="_Toc396231921"/>
      <w:bookmarkStart w:id="9419" w:name="_Toc396233316"/>
      <w:bookmarkStart w:id="9420" w:name="_Toc396233561"/>
      <w:bookmarkStart w:id="9421" w:name="_Toc396234136"/>
      <w:bookmarkStart w:id="9422" w:name="_Toc396234381"/>
      <w:bookmarkStart w:id="9423" w:name="_Toc396234547"/>
      <w:bookmarkStart w:id="9424" w:name="_Toc396236244"/>
      <w:bookmarkStart w:id="9425" w:name="_Toc396236022"/>
      <w:bookmarkStart w:id="9426" w:name="_Toc396304676"/>
      <w:bookmarkStart w:id="9427" w:name="_Toc396586362"/>
      <w:bookmarkStart w:id="9428" w:name="_Toc396815125"/>
      <w:bookmarkStart w:id="9429" w:name="_Toc396821074"/>
      <w:bookmarkStart w:id="9430" w:name="_Toc396821682"/>
      <w:bookmarkStart w:id="9431" w:name="_Toc396827532"/>
      <w:bookmarkStart w:id="9432" w:name="_Toc396828503"/>
      <w:bookmarkStart w:id="9433" w:name="_Toc396828613"/>
      <w:bookmarkStart w:id="9434" w:name="_Toc396838002"/>
      <w:bookmarkStart w:id="9435" w:name="_Toc396838400"/>
      <w:bookmarkStart w:id="9436" w:name="_Toc396904723"/>
      <w:bookmarkStart w:id="9437" w:name="_Toc396907557"/>
      <w:bookmarkStart w:id="9438" w:name="_Toc396912476"/>
      <w:bookmarkStart w:id="9439" w:name="_Toc396914456"/>
      <w:bookmarkStart w:id="9440" w:name="_Toc396915340"/>
      <w:bookmarkStart w:id="9441" w:name="_Toc396915734"/>
      <w:bookmarkStart w:id="9442" w:name="_Toc396921045"/>
      <w:bookmarkStart w:id="9443" w:name="_Toc396924385"/>
      <w:bookmarkStart w:id="9444" w:name="_Toc396925079"/>
      <w:bookmarkStart w:id="9445" w:name="_Toc396992199"/>
      <w:bookmarkStart w:id="9446" w:name="_Toc396992778"/>
      <w:bookmarkStart w:id="9447" w:name="_Toc396994442"/>
      <w:bookmarkStart w:id="9448" w:name="_Toc397002213"/>
      <w:bookmarkStart w:id="9449" w:name="_Toc397003132"/>
      <w:bookmarkStart w:id="9450" w:name="_Toc397008690"/>
      <w:bookmarkStart w:id="9451" w:name="_Toc397008908"/>
      <w:bookmarkStart w:id="9452" w:name="_Toc397011580"/>
      <w:bookmarkStart w:id="9453" w:name="_Toc397012641"/>
      <w:bookmarkStart w:id="9454" w:name="_Toc397014983"/>
      <w:bookmarkStart w:id="9455" w:name="_Toc397015470"/>
      <w:bookmarkStart w:id="9456" w:name="_Toc397070541"/>
      <w:bookmarkStart w:id="9457" w:name="_Toc397413279"/>
      <w:bookmarkStart w:id="9458" w:name="_Toc397413426"/>
      <w:bookmarkStart w:id="9459" w:name="_Toc397428011"/>
      <w:bookmarkStart w:id="9460" w:name="_Toc397439399"/>
      <w:bookmarkStart w:id="9461" w:name="_Toc397439569"/>
      <w:bookmarkStart w:id="9462" w:name="_Toc397439825"/>
      <w:bookmarkStart w:id="9463" w:name="_Toc397440127"/>
      <w:bookmarkStart w:id="9464" w:name="_Toc397441756"/>
      <w:bookmarkStart w:id="9465" w:name="_Toc397517458"/>
      <w:bookmarkStart w:id="9466" w:name="_Toc397522723"/>
      <w:bookmarkStart w:id="9467" w:name="_Toc397526141"/>
      <w:bookmarkStart w:id="9468" w:name="_Toc397528456"/>
      <w:bookmarkStart w:id="9469" w:name="_Toc397528931"/>
      <w:bookmarkStart w:id="9470" w:name="_Toc397601928"/>
      <w:bookmarkStart w:id="9471" w:name="_Toc397602663"/>
      <w:bookmarkStart w:id="9472" w:name="_Toc397605792"/>
      <w:bookmarkStart w:id="9473" w:name="_Toc397614936"/>
      <w:bookmarkStart w:id="9474" w:name="_Toc397616379"/>
      <w:bookmarkStart w:id="9475" w:name="_Toc397616773"/>
      <w:bookmarkStart w:id="9476" w:name="_Toc397679183"/>
      <w:bookmarkStart w:id="9477" w:name="_Toc397688071"/>
      <w:bookmarkStart w:id="9478" w:name="_Toc397689287"/>
      <w:bookmarkStart w:id="9479" w:name="_Toc397694567"/>
      <w:bookmarkStart w:id="9480" w:name="_Toc397696408"/>
      <w:bookmarkStart w:id="9481" w:name="_Toc397697142"/>
      <w:bookmarkStart w:id="9482" w:name="_Toc397698429"/>
      <w:bookmarkStart w:id="9483" w:name="_Toc397699795"/>
      <w:bookmarkStart w:id="9484" w:name="_Toc397700249"/>
      <w:bookmarkStart w:id="9485" w:name="_Toc397936641"/>
      <w:bookmarkStart w:id="9486" w:name="_Toc397936761"/>
      <w:bookmarkStart w:id="9487" w:name="_Toc397945917"/>
      <w:bookmarkStart w:id="9488" w:name="_Toc397946943"/>
      <w:bookmarkStart w:id="9489" w:name="_Toc397948062"/>
      <w:bookmarkStart w:id="9490" w:name="_Toc397958468"/>
      <w:bookmarkStart w:id="9491" w:name="_Toc397958710"/>
      <w:bookmarkStart w:id="9492" w:name="_Toc397959125"/>
      <w:bookmarkStart w:id="9493" w:name="_Toc397962978"/>
      <w:bookmarkStart w:id="9494" w:name="_Toc397963344"/>
      <w:bookmarkStart w:id="9495" w:name="_Toc397965421"/>
      <w:bookmarkStart w:id="9496" w:name="_Toc398197359"/>
      <w:bookmarkStart w:id="9497" w:name="_Toc398199862"/>
      <w:bookmarkStart w:id="9498" w:name="_Toc398201576"/>
      <w:bookmarkStart w:id="9499" w:name="_Toc398207181"/>
      <w:bookmarkStart w:id="9500" w:name="_Toc398210454"/>
      <w:bookmarkStart w:id="9501" w:name="_Toc398210968"/>
      <w:bookmarkStart w:id="9502" w:name="_Toc398219776"/>
      <w:bookmarkStart w:id="9503" w:name="_Toc398220151"/>
      <w:bookmarkStart w:id="9504" w:name="_Toc398220538"/>
      <w:bookmarkStart w:id="9505" w:name="_Toc398221616"/>
      <w:bookmarkStart w:id="9506" w:name="_Toc398222302"/>
      <w:bookmarkStart w:id="9507" w:name="_Toc398222614"/>
      <w:bookmarkStart w:id="9508" w:name="_Toc398223031"/>
      <w:bookmarkStart w:id="9509" w:name="_Toc398223410"/>
      <w:bookmarkStart w:id="9510" w:name="_Toc398223537"/>
      <w:bookmarkStart w:id="9511" w:name="_Toc398224345"/>
      <w:bookmarkStart w:id="9512" w:name="_Toc398225682"/>
      <w:bookmarkStart w:id="9513" w:name="_Toc398225807"/>
      <w:bookmarkStart w:id="9514" w:name="_Toc398281294"/>
      <w:bookmarkStart w:id="9515" w:name="_Toc398282153"/>
      <w:bookmarkStart w:id="9516" w:name="_Toc398284823"/>
      <w:bookmarkStart w:id="9517" w:name="_Toc398287292"/>
      <w:bookmarkStart w:id="9518" w:name="_Toc398289175"/>
      <w:bookmarkStart w:id="9519" w:name="_Toc398297172"/>
      <w:bookmarkStart w:id="9520" w:name="_Toc398298646"/>
      <w:bookmarkStart w:id="9521" w:name="_Toc398300347"/>
      <w:bookmarkStart w:id="9522" w:name="_Toc398301244"/>
      <w:bookmarkStart w:id="9523" w:name="_Toc398302429"/>
      <w:bookmarkStart w:id="9524" w:name="_Toc398302592"/>
      <w:bookmarkStart w:id="9525" w:name="_Toc398549105"/>
      <w:bookmarkStart w:id="9526" w:name="_Toc398549355"/>
      <w:bookmarkStart w:id="9527" w:name="_Toc398555774"/>
      <w:bookmarkStart w:id="9528" w:name="_Toc398558978"/>
      <w:bookmarkStart w:id="9529" w:name="_Toc398563464"/>
      <w:bookmarkStart w:id="9530" w:name="_Toc398563597"/>
      <w:bookmarkStart w:id="9531" w:name="_Toc398563996"/>
      <w:bookmarkStart w:id="9532" w:name="_Toc398827334"/>
      <w:bookmarkStart w:id="9533" w:name="_Toc398827528"/>
      <w:bookmarkEnd w:id="9275"/>
      <w:r w:rsidRPr="008625DC">
        <w:rPr>
          <w:lang w:val="en-AU"/>
        </w:rPr>
        <w:t>A national competition body</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p>
    <w:p w14:paraId="2DE10C8A" w14:textId="72CF4B0F" w:rsidR="000752DD" w:rsidRPr="008625DC" w:rsidRDefault="000752DD" w:rsidP="00A33169">
      <w:pPr>
        <w:spacing w:after="120"/>
      </w:pPr>
      <w:r w:rsidRPr="008625DC">
        <w:t>Several lessons may be drawn from Australia</w:t>
      </w:r>
      <w:r w:rsidR="00C74E19" w:rsidRPr="008625DC">
        <w:t>’</w:t>
      </w:r>
      <w:r w:rsidRPr="008625DC">
        <w:t>s experience of implementing NCP:</w:t>
      </w:r>
    </w:p>
    <w:p w14:paraId="2DAADD9B" w14:textId="77777777" w:rsidR="000752DD" w:rsidRPr="008625DC" w:rsidRDefault="000752DD" w:rsidP="000752DD">
      <w:pPr>
        <w:pStyle w:val="Bullet"/>
      </w:pPr>
      <w:r w:rsidRPr="008625DC">
        <w:t>all jurisdictions need to commit to the policy and its implementation;</w:t>
      </w:r>
    </w:p>
    <w:p w14:paraId="0F044420" w14:textId="74097849" w:rsidR="000752DD" w:rsidRPr="008625DC" w:rsidRDefault="000752DD" w:rsidP="000752DD">
      <w:pPr>
        <w:pStyle w:val="Bullet"/>
      </w:pPr>
      <w:r w:rsidRPr="008625DC">
        <w:t xml:space="preserve">oversight of progress should be independent and transparent to </w:t>
      </w:r>
      <w:r w:rsidR="00C74E19" w:rsidRPr="008625DC">
        <w:t>‘</w:t>
      </w:r>
      <w:r w:rsidRPr="008625DC">
        <w:t>hold governments to account</w:t>
      </w:r>
      <w:r w:rsidR="00C74E19" w:rsidRPr="008625DC">
        <w:t>’</w:t>
      </w:r>
      <w:r w:rsidRPr="008625DC">
        <w:t>; and</w:t>
      </w:r>
    </w:p>
    <w:p w14:paraId="31B637AC" w14:textId="77777777" w:rsidR="000752DD" w:rsidRPr="008625DC" w:rsidRDefault="000752DD" w:rsidP="00A33169">
      <w:pPr>
        <w:pStyle w:val="Bullet"/>
        <w:spacing w:after="240"/>
      </w:pPr>
      <w:proofErr w:type="gramStart"/>
      <w:r w:rsidRPr="008625DC">
        <w:t>the</w:t>
      </w:r>
      <w:proofErr w:type="gramEnd"/>
      <w:r w:rsidRPr="008625DC">
        <w:t xml:space="preserve"> benefits of reform need to be argued and where possible measured.</w:t>
      </w:r>
    </w:p>
    <w:p w14:paraId="3682963B" w14:textId="1F236E2B" w:rsidR="000752DD" w:rsidRPr="008625DC" w:rsidRDefault="000752DD" w:rsidP="000752DD">
      <w:r w:rsidRPr="008625DC">
        <w:t>The establishment of governance arrangements to implement reforms must be undertaken in the context of Australia</w:t>
      </w:r>
      <w:r w:rsidR="00C74E19" w:rsidRPr="008625DC">
        <w:t>’</w:t>
      </w:r>
      <w:r w:rsidRPr="008625DC">
        <w:t>s federal structure. Many of the competition policy reforms outlined in this Draft Report are overseen by state and territory governments.</w:t>
      </w:r>
    </w:p>
    <w:p w14:paraId="4ACA199E" w14:textId="77777777" w:rsidR="000752DD" w:rsidRPr="008625DC" w:rsidRDefault="000752DD" w:rsidP="000752DD">
      <w:r w:rsidRPr="008625DC">
        <w:t>All Australian governments must have confidence in the governance arrangements for a reinvigorated round of competition policy reform to succeed.</w:t>
      </w:r>
    </w:p>
    <w:p w14:paraId="4645A77A" w14:textId="291DBB1F" w:rsidR="000752DD" w:rsidRPr="008625DC" w:rsidRDefault="000752DD" w:rsidP="000752DD">
      <w:r w:rsidRPr="008625DC">
        <w:t>The Panel believes that reinvigorating competition policy requires leadership from an institution specifically constituted for the purpose. Leadership encompasses advocacy for competition policy</w:t>
      </w:r>
      <w:r w:rsidRPr="008625DC" w:rsidDel="00E33E42">
        <w:t xml:space="preserve">, </w:t>
      </w:r>
      <w:r w:rsidRPr="008625DC">
        <w:t>driving implementation of the decisions made and conducting independent, transparent reviews of progress.</w:t>
      </w:r>
    </w:p>
    <w:p w14:paraId="7936CE6E" w14:textId="385DC069" w:rsidR="000752DD" w:rsidRPr="008625DC" w:rsidRDefault="000752DD" w:rsidP="000752DD">
      <w:r w:rsidRPr="008625DC">
        <w:t>The N</w:t>
      </w:r>
      <w:r w:rsidR="00A76A15" w:rsidRPr="008625DC">
        <w:t xml:space="preserve">ational </w:t>
      </w:r>
      <w:r w:rsidRPr="008625DC">
        <w:t>C</w:t>
      </w:r>
      <w:r w:rsidR="00A76A15" w:rsidRPr="008625DC">
        <w:t xml:space="preserve">ompetition </w:t>
      </w:r>
      <w:r w:rsidRPr="008625DC">
        <w:t>C</w:t>
      </w:r>
      <w:r w:rsidR="00A76A15" w:rsidRPr="008625DC">
        <w:t>ouncil (</w:t>
      </w:r>
      <w:r w:rsidRPr="008625DC">
        <w:t>NCC</w:t>
      </w:r>
      <w:r w:rsidR="00A76A15" w:rsidRPr="008625DC">
        <w:t>)</w:t>
      </w:r>
      <w:r w:rsidRPr="008625DC">
        <w:t xml:space="preserve">, which oversaw </w:t>
      </w:r>
      <w:r w:rsidR="00F670B7" w:rsidRPr="008625DC">
        <w:t xml:space="preserve">the </w:t>
      </w:r>
      <w:r w:rsidRPr="008625DC">
        <w:t xml:space="preserve">NCP, now has a considerably diminished role. It has been put to the Panel that the NCC no longer has the capacity to </w:t>
      </w:r>
      <w:r w:rsidR="007B19A2" w:rsidRPr="008625DC">
        <w:t>provide</w:t>
      </w:r>
      <w:r w:rsidRPr="008625DC">
        <w:t xml:space="preserve"> leadership </w:t>
      </w:r>
      <w:r w:rsidR="007B19A2" w:rsidRPr="008625DC">
        <w:t>in this domain</w:t>
      </w:r>
      <w:r w:rsidRPr="008625DC">
        <w:t>.</w:t>
      </w:r>
      <w:r w:rsidR="00E02128" w:rsidRPr="008625DC">
        <w:t xml:space="preserve"> Draft Recommendation 46</w:t>
      </w:r>
      <w:r w:rsidR="00CC50FC" w:rsidRPr="008625DC">
        <w:t xml:space="preserve"> proposes that the remaining functions of the NCC, associated with the National Access Regime, be transferred to a new national access and pricing regulator. The NCC could then be dissolved.</w:t>
      </w:r>
    </w:p>
    <w:p w14:paraId="469A4D5E" w14:textId="0BD6688B" w:rsidR="000752DD" w:rsidRPr="008625DC" w:rsidRDefault="000752DD" w:rsidP="000752DD">
      <w:r w:rsidRPr="008625DC">
        <w:rPr>
          <w:color w:val="auto"/>
        </w:rPr>
        <w:t xml:space="preserve">The </w:t>
      </w:r>
      <w:r w:rsidR="00A76A15" w:rsidRPr="008625DC">
        <w:rPr>
          <w:color w:val="auto"/>
        </w:rPr>
        <w:t>PC</w:t>
      </w:r>
      <w:r w:rsidRPr="008625DC">
        <w:rPr>
          <w:color w:val="auto"/>
        </w:rPr>
        <w:t xml:space="preserve"> is the only existing body with the necessary credibility and expertise to undertake this function, given its role as an</w:t>
      </w:r>
      <w:r w:rsidRPr="008625DC">
        <w:t xml:space="preserve"> independent research and advisory body on a range of economic, social and environmental issues affecting the welfare of Australians. But the PC</w:t>
      </w:r>
      <w:r w:rsidR="00C74E19" w:rsidRPr="008625DC">
        <w:t>’</w:t>
      </w:r>
      <w:r w:rsidRPr="008625DC">
        <w:t>s work is driven by the Commonwealth and, if it were to have the competition policy function as well, its legislation and governance would need significant change.</w:t>
      </w:r>
      <w:bookmarkStart w:id="9534" w:name="_Toc396211961"/>
    </w:p>
    <w:bookmarkEnd w:id="9534"/>
    <w:p w14:paraId="2896EF48" w14:textId="49CFB645" w:rsidR="000752DD" w:rsidRPr="008625DC" w:rsidRDefault="000752DD" w:rsidP="000752DD">
      <w:r w:rsidRPr="008625DC">
        <w:t xml:space="preserve">The </w:t>
      </w:r>
      <w:r w:rsidRPr="008625DC">
        <w:rPr>
          <w:iCs/>
        </w:rPr>
        <w:t>Australian Energy Market Commission</w:t>
      </w:r>
      <w:r w:rsidRPr="008625DC">
        <w:t xml:space="preserve"> (AEMC) is an example of an independent</w:t>
      </w:r>
      <w:r w:rsidR="00E02128" w:rsidRPr="008625DC">
        <w:t>,</w:t>
      </w:r>
      <w:r w:rsidRPr="008625DC">
        <w:t xml:space="preserve"> national organisation, operating in an area of state government responsibility that has a governance structure supported by both the Commonwealth </w:t>
      </w:r>
      <w:r w:rsidR="00203BB2" w:rsidRPr="008625DC">
        <w:t xml:space="preserve">and the </w:t>
      </w:r>
      <w:r w:rsidR="00E02128" w:rsidRPr="008625DC">
        <w:t>S</w:t>
      </w:r>
      <w:r w:rsidR="00203BB2" w:rsidRPr="008625DC">
        <w:t xml:space="preserve">tates and </w:t>
      </w:r>
      <w:r w:rsidR="00E02128" w:rsidRPr="008625DC">
        <w:t>T</w:t>
      </w:r>
      <w:r w:rsidR="00203BB2" w:rsidRPr="008625DC">
        <w:t>erritories.</w:t>
      </w:r>
    </w:p>
    <w:p w14:paraId="4A80D747" w14:textId="7FAB53BB" w:rsidR="00203BB2" w:rsidRPr="008625DC" w:rsidRDefault="00203BB2" w:rsidP="000752DD">
      <w:r w:rsidRPr="008625DC">
        <w:t>The Panel considers that a new national competition body</w:t>
      </w:r>
      <w:r w:rsidR="00817AAE" w:rsidRPr="008625DC">
        <w:t xml:space="preserve"> — </w:t>
      </w:r>
      <w:r w:rsidR="00040986" w:rsidRPr="008625DC">
        <w:t>the Australian Council for Competition Policy (ACCP)</w:t>
      </w:r>
      <w:r w:rsidR="00817AAE" w:rsidRPr="008625DC">
        <w:t xml:space="preserve"> —</w:t>
      </w:r>
      <w:r w:rsidRPr="008625DC">
        <w:t xml:space="preserve"> should be established with a mandate to provide leadership and drive implementation of the evolving competition policy agenda.</w:t>
      </w:r>
    </w:p>
    <w:p w14:paraId="4A1D7177" w14:textId="36B99734" w:rsidR="000752DD" w:rsidRPr="008625DC" w:rsidRDefault="00040986" w:rsidP="00A33169">
      <w:pPr>
        <w:spacing w:before="240"/>
      </w:pPr>
      <w:r w:rsidRPr="008625DC">
        <w:t>The ACCP</w:t>
      </w:r>
      <w:r w:rsidR="000752DD" w:rsidRPr="008625DC">
        <w:t xml:space="preserve"> cannot be accountable to </w:t>
      </w:r>
      <w:r w:rsidR="0075156F" w:rsidRPr="008625DC">
        <w:t>just</w:t>
      </w:r>
      <w:r w:rsidR="000752DD" w:rsidRPr="008625DC">
        <w:t xml:space="preserve"> one jurisdiction but </w:t>
      </w:r>
      <w:r w:rsidR="0075156F" w:rsidRPr="008625DC">
        <w:t xml:space="preserve">must be accountable </w:t>
      </w:r>
      <w:r w:rsidR="000752DD" w:rsidRPr="008625DC">
        <w:t>to them all. This suggests an intergovernmental agreement and oversight by a specific Ministerial council. Given the economy</w:t>
      </w:r>
      <w:r w:rsidR="00C74E19" w:rsidRPr="008625DC">
        <w:noBreakHyphen/>
      </w:r>
      <w:r w:rsidR="000752DD" w:rsidRPr="008625DC">
        <w:t>wide nature of competition issues, the Panel recommends this responsibility be assigned to Treasurers.</w:t>
      </w:r>
    </w:p>
    <w:p w14:paraId="6696C6C8" w14:textId="76475D77" w:rsidR="000752DD" w:rsidRPr="008625DC" w:rsidRDefault="000752DD" w:rsidP="000752DD">
      <w:r w:rsidRPr="008625DC">
        <w:t xml:space="preserve">The intergovernmental agreement would set out the functions of </w:t>
      </w:r>
      <w:r w:rsidR="00817AAE" w:rsidRPr="008625DC">
        <w:t>the</w:t>
      </w:r>
      <w:r w:rsidR="00040986" w:rsidRPr="008625DC">
        <w:t xml:space="preserve"> </w:t>
      </w:r>
      <w:r w:rsidRPr="008625DC">
        <w:t xml:space="preserve">ACCP and the process of appointing its members. While there should be scope for members to be nominated and appointed </w:t>
      </w:r>
      <w:r w:rsidRPr="008625DC">
        <w:lastRenderedPageBreak/>
        <w:t>by state and territory governments, their role would not be to represent jurisdictional interests, but rather to view competition policy from a national perspective.</w:t>
      </w:r>
    </w:p>
    <w:p w14:paraId="4154DDB8" w14:textId="77777777" w:rsidR="000752DD" w:rsidRPr="008625DC" w:rsidRDefault="000752DD" w:rsidP="000752DD">
      <w:r w:rsidRPr="008625DC">
        <w:t>The secretariat should be independent of any one government and there may be merit in rotating the right to nominate the Chair.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60638929" w14:textId="77777777" w:rsidTr="00F81722">
        <w:tc>
          <w:tcPr>
            <w:tcW w:w="5000" w:type="pct"/>
            <w:shd w:val="clear" w:color="auto" w:fill="E9F7F3" w:themeFill="accent4" w:themeFillTint="33"/>
          </w:tcPr>
          <w:p w14:paraId="6FCAA75E" w14:textId="0AAD657B" w:rsidR="000752DD" w:rsidRPr="008625DC" w:rsidRDefault="000752DD" w:rsidP="00F81722">
            <w:pPr>
              <w:pStyle w:val="RecommendationHeading"/>
            </w:pPr>
            <w:bookmarkStart w:id="9535" w:name="_Toc396138891"/>
            <w:bookmarkStart w:id="9536" w:name="_Toc396145805"/>
            <w:bookmarkStart w:id="9537" w:name="_Toc396146470"/>
            <w:bookmarkStart w:id="9538" w:name="_Toc396147627"/>
            <w:bookmarkStart w:id="9539" w:name="_Toc396148882"/>
            <w:bookmarkStart w:id="9540" w:name="_Toc396149309"/>
            <w:bookmarkStart w:id="9541" w:name="_Toc396149767"/>
            <w:bookmarkStart w:id="9542" w:name="_Toc396151497"/>
            <w:bookmarkStart w:id="9543" w:name="_Toc396202505"/>
            <w:bookmarkStart w:id="9544" w:name="_Toc396206712"/>
            <w:bookmarkStart w:id="9545" w:name="_Toc396209540"/>
            <w:bookmarkStart w:id="9546" w:name="_Toc396211964"/>
            <w:bookmarkStart w:id="9547" w:name="_Toc396213306"/>
            <w:bookmarkStart w:id="9548" w:name="_Toc396214584"/>
            <w:bookmarkStart w:id="9549" w:name="_Toc396226696"/>
            <w:bookmarkStart w:id="9550" w:name="_Toc396228896"/>
            <w:bookmarkStart w:id="9551" w:name="_Toc396230538"/>
            <w:bookmarkStart w:id="9552" w:name="_Toc396231679"/>
            <w:bookmarkStart w:id="9553" w:name="_Toc396233319"/>
            <w:bookmarkStart w:id="9554" w:name="_Toc396234139"/>
            <w:bookmarkStart w:id="9555" w:name="_Toc396234550"/>
            <w:bookmarkStart w:id="9556" w:name="_Toc396586366"/>
            <w:bookmarkStart w:id="9557" w:name="DR39"/>
            <w:r w:rsidRPr="008625DC">
              <w:t xml:space="preserve">Draft Recommendation </w:t>
            </w:r>
            <w:r w:rsidRPr="008625DC">
              <w:fldChar w:fldCharType="begin"/>
            </w:r>
            <w:r w:rsidRPr="008625DC">
              <w:instrText xml:space="preserve"> AUTONUMLGL  \* Arabic \e </w:instrText>
            </w:r>
            <w:r w:rsidRPr="008625DC">
              <w:fldChar w:fldCharType="end"/>
            </w:r>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r w:rsidR="00380141" w:rsidRPr="008625DC">
              <w:t xml:space="preserve"> — </w:t>
            </w:r>
            <w:r w:rsidR="006708E0" w:rsidRPr="008625DC">
              <w:t xml:space="preserve">Establishment of </w:t>
            </w:r>
            <w:r w:rsidR="00E33E42" w:rsidRPr="008625DC">
              <w:t xml:space="preserve">the </w:t>
            </w:r>
            <w:r w:rsidR="006708E0" w:rsidRPr="008625DC">
              <w:t>Australian Council for Competition Policy</w:t>
            </w:r>
          </w:p>
          <w:p w14:paraId="74CD155B" w14:textId="6174A85C" w:rsidR="0075156F" w:rsidRPr="008625DC" w:rsidRDefault="0075156F" w:rsidP="0075156F">
            <w:pPr>
              <w:pStyle w:val="RecommendationText"/>
            </w:pPr>
            <w:bookmarkStart w:id="9558" w:name="_Toc394996119"/>
            <w:bookmarkStart w:id="9559" w:name="_Toc394997844"/>
            <w:bookmarkStart w:id="9560" w:name="_Toc394998359"/>
            <w:bookmarkStart w:id="9561" w:name="_Toc395001854"/>
            <w:bookmarkStart w:id="9562" w:name="_Toc395003208"/>
            <w:bookmarkStart w:id="9563" w:name="_Toc395005447"/>
            <w:bookmarkStart w:id="9564" w:name="_Toc395010210"/>
            <w:bookmarkStart w:id="9565" w:name="_Toc395010052"/>
            <w:bookmarkStart w:id="9566" w:name="_Toc395012396"/>
            <w:bookmarkStart w:id="9567" w:name="_Toc395010801"/>
            <w:bookmarkStart w:id="9568" w:name="_Toc395012274"/>
            <w:bookmarkStart w:id="9569" w:name="_Toc395013266"/>
            <w:bookmarkStart w:id="9570" w:name="_Toc395090305"/>
            <w:bookmarkStart w:id="9571" w:name="_Toc395092673"/>
            <w:bookmarkStart w:id="9572" w:name="_Toc395092885"/>
            <w:bookmarkStart w:id="9573" w:name="_Toc395097796"/>
            <w:bookmarkStart w:id="9574" w:name="_Toc395109935"/>
            <w:bookmarkStart w:id="9575" w:name="_Toc395111938"/>
            <w:bookmarkStart w:id="9576" w:name="_Toc395106858"/>
            <w:bookmarkStart w:id="9577" w:name="_Toc395110110"/>
            <w:bookmarkStart w:id="9578" w:name="_Toc395108618"/>
            <w:bookmarkStart w:id="9579" w:name="_Toc395113858"/>
            <w:bookmarkStart w:id="9580" w:name="_Toc395116594"/>
            <w:bookmarkStart w:id="9581" w:name="_Toc395112531"/>
            <w:bookmarkStart w:id="9582" w:name="_Toc395115070"/>
            <w:bookmarkStart w:id="9583" w:name="_Toc395118225"/>
            <w:bookmarkStart w:id="9584" w:name="_Toc395624924"/>
            <w:bookmarkStart w:id="9585" w:name="_Toc395789778"/>
            <w:bookmarkStart w:id="9586" w:name="_Toc395867507"/>
            <w:bookmarkStart w:id="9587" w:name="_Toc395868640"/>
            <w:bookmarkStart w:id="9588" w:name="_Toc395879021"/>
            <w:bookmarkStart w:id="9589" w:name="_Toc395882145"/>
            <w:bookmarkStart w:id="9590" w:name="_Toc395882476"/>
            <w:bookmarkStart w:id="9591" w:name="_Toc395880640"/>
            <w:bookmarkStart w:id="9592" w:name="_Toc395880971"/>
            <w:bookmarkStart w:id="9593" w:name="_Toc395881529"/>
            <w:bookmarkStart w:id="9594" w:name="_Toc395883914"/>
            <w:bookmarkStart w:id="9595" w:name="_Toc395884576"/>
            <w:bookmarkStart w:id="9596" w:name="_Toc395883285"/>
            <w:bookmarkStart w:id="9597" w:name="_Toc395883615"/>
            <w:bookmarkStart w:id="9598" w:name="_Toc395884917"/>
            <w:bookmarkStart w:id="9599" w:name="_Toc396138892"/>
            <w:bookmarkStart w:id="9600" w:name="_Toc396145806"/>
            <w:bookmarkStart w:id="9601" w:name="_Toc396146471"/>
            <w:bookmarkStart w:id="9602" w:name="_Toc396147628"/>
            <w:bookmarkStart w:id="9603" w:name="_Toc396148883"/>
            <w:bookmarkStart w:id="9604" w:name="_Toc396149310"/>
            <w:bookmarkStart w:id="9605" w:name="_Toc396149768"/>
            <w:bookmarkStart w:id="9606" w:name="_Toc396151498"/>
            <w:bookmarkStart w:id="9607" w:name="_Toc396202506"/>
            <w:bookmarkStart w:id="9608" w:name="_Toc396206713"/>
            <w:bookmarkStart w:id="9609" w:name="_Toc396209541"/>
            <w:bookmarkStart w:id="9610" w:name="_Toc396211965"/>
            <w:bookmarkStart w:id="9611" w:name="_Toc396213307"/>
            <w:bookmarkStart w:id="9612" w:name="_Toc396214585"/>
            <w:bookmarkStart w:id="9613" w:name="_Toc396226697"/>
            <w:bookmarkStart w:id="9614" w:name="_Toc396228897"/>
            <w:bookmarkStart w:id="9615" w:name="_Toc396230539"/>
            <w:bookmarkStart w:id="9616" w:name="_Toc396231680"/>
            <w:bookmarkStart w:id="9617" w:name="_Toc396233320"/>
            <w:bookmarkStart w:id="9618" w:name="_Toc396234140"/>
            <w:bookmarkStart w:id="9619" w:name="_Toc396234551"/>
            <w:bookmarkStart w:id="9620" w:name="_Toc396586367"/>
            <w:r w:rsidRPr="008625DC">
              <w:t xml:space="preserve">The National Competition Council should be </w:t>
            </w:r>
            <w:r w:rsidR="00CC50FC" w:rsidRPr="008625DC">
              <w:t xml:space="preserve">dissolved </w:t>
            </w:r>
            <w:r w:rsidR="00160D95" w:rsidRPr="008625DC">
              <w:t xml:space="preserve">and the </w:t>
            </w:r>
            <w:r w:rsidRPr="008625DC">
              <w:t xml:space="preserve">Australian Council for Competition Policy </w:t>
            </w:r>
            <w:r w:rsidR="000F1E0A" w:rsidRPr="008625DC">
              <w:t xml:space="preserve">established. </w:t>
            </w:r>
            <w:r w:rsidR="008C2686" w:rsidRPr="008625DC">
              <w:t>Its</w:t>
            </w:r>
            <w:r w:rsidRPr="008625DC">
              <w:t xml:space="preserve"> mandate </w:t>
            </w:r>
            <w:r w:rsidR="00543959" w:rsidRPr="008625DC">
              <w:t>should</w:t>
            </w:r>
            <w:r w:rsidRPr="008625DC">
              <w:t xml:space="preserve"> be to provide leadership and drive implementation of the evolving competition policy agenda.</w:t>
            </w:r>
          </w:p>
          <w:p w14:paraId="3309C2FE" w14:textId="0B9CA46C" w:rsidR="0075156F" w:rsidRPr="008625DC" w:rsidRDefault="0075156F" w:rsidP="0075156F">
            <w:pPr>
              <w:pStyle w:val="RecommendationText"/>
            </w:pPr>
            <w:bookmarkStart w:id="9621" w:name="_Toc396586365"/>
            <w:r w:rsidRPr="008625DC">
              <w:t xml:space="preserve">The </w:t>
            </w:r>
            <w:r w:rsidR="00E02128" w:rsidRPr="008625DC">
              <w:t xml:space="preserve">Australian Council for Competition Policy </w:t>
            </w:r>
            <w:r w:rsidRPr="008625DC">
              <w:t xml:space="preserve">should be established under legislation by one </w:t>
            </w:r>
            <w:r w:rsidR="00E33E42" w:rsidRPr="008625DC">
              <w:t>S</w:t>
            </w:r>
            <w:r w:rsidRPr="008625DC">
              <w:t xml:space="preserve">tate and then by application in all other </w:t>
            </w:r>
            <w:r w:rsidR="00E33E42" w:rsidRPr="008625DC">
              <w:t>S</w:t>
            </w:r>
            <w:r w:rsidRPr="008625DC">
              <w:t xml:space="preserve">tates and the Commonwealth. It should be funded jointly by the Commonwealth, </w:t>
            </w:r>
            <w:r w:rsidR="00E33E42" w:rsidRPr="008625DC">
              <w:t>S</w:t>
            </w:r>
            <w:r w:rsidRPr="008625DC">
              <w:t xml:space="preserve">tates and </w:t>
            </w:r>
            <w:r w:rsidR="00E33E42" w:rsidRPr="008625DC">
              <w:t>T</w:t>
            </w:r>
            <w:r w:rsidRPr="008625DC">
              <w:t>erritories.</w:t>
            </w:r>
            <w:bookmarkEnd w:id="9621"/>
          </w:p>
          <w:p w14:paraId="4C83C4F2" w14:textId="3CB80652" w:rsidR="000752DD" w:rsidRPr="008625DC" w:rsidRDefault="000752DD" w:rsidP="00F81722">
            <w:pPr>
              <w:pStyle w:val="RecommendationText"/>
            </w:pPr>
            <w:r w:rsidRPr="008625DC">
              <w:t xml:space="preserve">Treasurers, through the Standing Committee of Federal Financial Relations, should oversee preparation of an intergovernmental agreement and subsequent legislation, for COAG agreement, to establish </w:t>
            </w:r>
            <w:r w:rsidR="00040986" w:rsidRPr="008625DC">
              <w:t>the</w:t>
            </w:r>
            <w:r w:rsidRPr="008625DC">
              <w:t xml:space="preserve"> </w:t>
            </w:r>
            <w:r w:rsidR="00BC4B34" w:rsidRPr="008625DC">
              <w:t>Australian Council for Competition Policy</w:t>
            </w:r>
            <w:r w:rsidRPr="008625DC">
              <w:t>.</w:t>
            </w:r>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r w:rsidRPr="008625DC">
              <w:t xml:space="preserve"> </w:t>
            </w:r>
          </w:p>
          <w:p w14:paraId="7627653B" w14:textId="5D87D1D4" w:rsidR="000752DD" w:rsidRPr="008625DC" w:rsidRDefault="00615F97" w:rsidP="0034547C">
            <w:pPr>
              <w:pStyle w:val="RecommendationText"/>
            </w:pPr>
            <w:bookmarkStart w:id="9622" w:name="_Toc395867508"/>
            <w:bookmarkStart w:id="9623" w:name="_Toc395868641"/>
            <w:bookmarkStart w:id="9624" w:name="_Toc395879022"/>
            <w:bookmarkStart w:id="9625" w:name="_Toc395882146"/>
            <w:bookmarkStart w:id="9626" w:name="_Toc395882477"/>
            <w:bookmarkStart w:id="9627" w:name="_Toc395880641"/>
            <w:bookmarkStart w:id="9628" w:name="_Toc395880972"/>
            <w:bookmarkStart w:id="9629" w:name="_Toc395881530"/>
            <w:bookmarkStart w:id="9630" w:name="_Toc395883915"/>
            <w:bookmarkStart w:id="9631" w:name="_Toc395884577"/>
            <w:bookmarkStart w:id="9632" w:name="_Toc395883286"/>
            <w:bookmarkStart w:id="9633" w:name="_Toc395883616"/>
            <w:bookmarkStart w:id="9634" w:name="_Toc395884918"/>
            <w:bookmarkStart w:id="9635" w:name="_Toc396138893"/>
            <w:bookmarkStart w:id="9636" w:name="_Toc396145807"/>
            <w:bookmarkStart w:id="9637" w:name="_Toc396146472"/>
            <w:bookmarkStart w:id="9638" w:name="_Toc396147629"/>
            <w:bookmarkStart w:id="9639" w:name="_Toc396148884"/>
            <w:bookmarkStart w:id="9640" w:name="_Toc396149311"/>
            <w:bookmarkStart w:id="9641" w:name="_Toc396149769"/>
            <w:bookmarkStart w:id="9642" w:name="_Toc396151499"/>
            <w:bookmarkStart w:id="9643" w:name="_Toc396202507"/>
            <w:bookmarkStart w:id="9644" w:name="_Toc396206714"/>
            <w:bookmarkStart w:id="9645" w:name="_Toc396209542"/>
            <w:bookmarkStart w:id="9646" w:name="_Toc396211966"/>
            <w:bookmarkStart w:id="9647" w:name="_Toc396213308"/>
            <w:bookmarkStart w:id="9648" w:name="_Toc396214586"/>
            <w:bookmarkStart w:id="9649" w:name="_Toc396226698"/>
            <w:bookmarkStart w:id="9650" w:name="_Toc396228898"/>
            <w:bookmarkStart w:id="9651" w:name="_Toc396230540"/>
            <w:bookmarkStart w:id="9652" w:name="_Toc396231681"/>
            <w:bookmarkStart w:id="9653" w:name="_Toc396233321"/>
            <w:bookmarkStart w:id="9654" w:name="_Toc396234141"/>
            <w:bookmarkStart w:id="9655" w:name="_Toc396234552"/>
            <w:bookmarkStart w:id="9656" w:name="_Toc396586368"/>
            <w:r w:rsidRPr="008625DC">
              <w:t xml:space="preserve">The Treasurer of any jurisdiction </w:t>
            </w:r>
            <w:r w:rsidR="0034547C" w:rsidRPr="008625DC">
              <w:t>should be empowered to</w:t>
            </w:r>
            <w:r w:rsidRPr="008625DC">
              <w:t xml:space="preserve"> nominate </w:t>
            </w:r>
            <w:r w:rsidR="000752DD" w:rsidRPr="008625DC">
              <w:t xml:space="preserve">Members of the </w:t>
            </w:r>
            <w:r w:rsidR="00E02128" w:rsidRPr="008625DC">
              <w:t>Australian Council for Competition Policy</w:t>
            </w:r>
            <w:r w:rsidR="000752DD" w:rsidRPr="008625DC">
              <w:t>.</w:t>
            </w:r>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p>
        </w:tc>
      </w:tr>
    </w:tbl>
    <w:p w14:paraId="6591C5FB" w14:textId="77777777" w:rsidR="000752DD" w:rsidRPr="008625DC" w:rsidRDefault="000752DD" w:rsidP="000B5916">
      <w:pPr>
        <w:pStyle w:val="Heading2"/>
        <w:ind w:left="851" w:hanging="851"/>
        <w:rPr>
          <w:lang w:val="en-AU"/>
        </w:rPr>
      </w:pPr>
      <w:bookmarkStart w:id="9657" w:name="_Toc394995163"/>
      <w:bookmarkStart w:id="9658" w:name="_Toc394995685"/>
      <w:bookmarkStart w:id="9659" w:name="_Toc394995999"/>
      <w:bookmarkStart w:id="9660" w:name="_Toc394996120"/>
      <w:bookmarkStart w:id="9661" w:name="_Toc394997845"/>
      <w:bookmarkStart w:id="9662" w:name="_Toc394998240"/>
      <w:bookmarkStart w:id="9663" w:name="_Toc394998360"/>
      <w:bookmarkStart w:id="9664" w:name="_Toc394998754"/>
      <w:bookmarkStart w:id="9665" w:name="_Toc395001855"/>
      <w:bookmarkStart w:id="9666" w:name="_Toc395002253"/>
      <w:bookmarkStart w:id="9667" w:name="_Toc395001461"/>
      <w:bookmarkStart w:id="9668" w:name="_Toc395001733"/>
      <w:bookmarkStart w:id="9669" w:name="_Toc395003022"/>
      <w:bookmarkStart w:id="9670" w:name="_Toc395003209"/>
      <w:bookmarkStart w:id="9671" w:name="_Toc395003606"/>
      <w:bookmarkStart w:id="9672" w:name="_Toc395005103"/>
      <w:bookmarkStart w:id="9673" w:name="_Toc395005448"/>
      <w:bookmarkStart w:id="9674" w:name="_Toc395005847"/>
      <w:bookmarkStart w:id="9675" w:name="_Toc395009022"/>
      <w:bookmarkStart w:id="9676" w:name="_Toc395009833"/>
      <w:bookmarkStart w:id="9677" w:name="_Toc395010211"/>
      <w:bookmarkStart w:id="9678" w:name="_Toc395010689"/>
      <w:bookmarkStart w:id="9679" w:name="_Toc395010053"/>
      <w:bookmarkStart w:id="9680" w:name="_Toc395011463"/>
      <w:bookmarkStart w:id="9681" w:name="_Toc395011576"/>
      <w:bookmarkStart w:id="9682" w:name="_Toc395012397"/>
      <w:bookmarkStart w:id="9683" w:name="_Toc395012757"/>
      <w:bookmarkStart w:id="9684" w:name="_Toc395012984"/>
      <w:bookmarkStart w:id="9685" w:name="_Toc395010802"/>
      <w:bookmarkStart w:id="9686" w:name="_Toc395012275"/>
      <w:bookmarkStart w:id="9687" w:name="_Toc395014560"/>
      <w:bookmarkStart w:id="9688" w:name="_Toc395014673"/>
      <w:bookmarkStart w:id="9689" w:name="_Toc395011869"/>
      <w:bookmarkStart w:id="9690" w:name="_Toc395013267"/>
      <w:bookmarkStart w:id="9691" w:name="_Toc395084903"/>
      <w:bookmarkStart w:id="9692" w:name="_Toc395085204"/>
      <w:bookmarkStart w:id="9693" w:name="_Toc395090306"/>
      <w:bookmarkStart w:id="9694" w:name="_Toc395090670"/>
      <w:bookmarkStart w:id="9695" w:name="_Toc395090782"/>
      <w:bookmarkStart w:id="9696" w:name="_Toc395092674"/>
      <w:bookmarkStart w:id="9697" w:name="_Toc395092886"/>
      <w:bookmarkStart w:id="9698" w:name="_Toc395093253"/>
      <w:bookmarkStart w:id="9699" w:name="_Toc395093365"/>
      <w:bookmarkStart w:id="9700" w:name="_Toc395097797"/>
      <w:bookmarkStart w:id="9701" w:name="_Toc395098163"/>
      <w:bookmarkStart w:id="9702" w:name="_Toc395098275"/>
      <w:bookmarkStart w:id="9703" w:name="_Toc395105348"/>
      <w:bookmarkStart w:id="9704" w:name="_Toc395105459"/>
      <w:bookmarkStart w:id="9705" w:name="_Toc395106951"/>
      <w:bookmarkStart w:id="9706" w:name="_Toc395107062"/>
      <w:bookmarkStart w:id="9707" w:name="_Toc395109936"/>
      <w:bookmarkStart w:id="9708" w:name="_Toc395109608"/>
      <w:bookmarkStart w:id="9709" w:name="_Toc395109719"/>
      <w:bookmarkStart w:id="9710" w:name="_Toc395111939"/>
      <w:bookmarkStart w:id="9711" w:name="_Toc395112313"/>
      <w:bookmarkStart w:id="9712" w:name="_Toc395112424"/>
      <w:bookmarkStart w:id="9713" w:name="_Toc395106859"/>
      <w:bookmarkStart w:id="9714" w:name="_Toc395107455"/>
      <w:bookmarkStart w:id="9715" w:name="_Toc395110111"/>
      <w:bookmarkStart w:id="9716" w:name="_Toc395108619"/>
      <w:bookmarkStart w:id="9717" w:name="_Toc395109017"/>
      <w:bookmarkStart w:id="9718" w:name="_Toc395113859"/>
      <w:bookmarkStart w:id="9719" w:name="_Toc395114256"/>
      <w:bookmarkStart w:id="9720" w:name="_Toc395114376"/>
      <w:bookmarkStart w:id="9721" w:name="_Toc395116595"/>
      <w:bookmarkStart w:id="9722" w:name="_Toc395116993"/>
      <w:bookmarkStart w:id="9723" w:name="_Toc395117114"/>
      <w:bookmarkStart w:id="9724" w:name="_Toc395112532"/>
      <w:bookmarkStart w:id="9725" w:name="_Toc395113111"/>
      <w:bookmarkStart w:id="9726" w:name="_Toc395113232"/>
      <w:bookmarkStart w:id="9727" w:name="_Toc395115071"/>
      <w:bookmarkStart w:id="9728" w:name="_Toc395115470"/>
      <w:bookmarkStart w:id="9729" w:name="_Toc395115591"/>
      <w:bookmarkStart w:id="9730" w:name="_Toc395118226"/>
      <w:bookmarkStart w:id="9731" w:name="_Toc395118622"/>
      <w:bookmarkStart w:id="9732" w:name="_Toc395118741"/>
      <w:bookmarkStart w:id="9733" w:name="_Toc395178326"/>
      <w:bookmarkStart w:id="9734" w:name="_Toc395624815"/>
      <w:bookmarkStart w:id="9735" w:name="_Toc395624925"/>
      <w:bookmarkStart w:id="9736" w:name="_Toc395789779"/>
      <w:bookmarkStart w:id="9737" w:name="_Toc395790166"/>
      <w:bookmarkStart w:id="9738" w:name="_Toc395800924"/>
      <w:bookmarkStart w:id="9739" w:name="_Toc395802907"/>
      <w:bookmarkStart w:id="9740" w:name="_Toc395867509"/>
      <w:bookmarkStart w:id="9741" w:name="_Toc395867683"/>
      <w:bookmarkStart w:id="9742" w:name="_Toc395868642"/>
      <w:bookmarkStart w:id="9743" w:name="_Toc395868815"/>
      <w:bookmarkStart w:id="9744" w:name="_Toc395879023"/>
      <w:bookmarkStart w:id="9745" w:name="_Toc395879194"/>
      <w:bookmarkStart w:id="9746" w:name="_Toc395882147"/>
      <w:bookmarkStart w:id="9747" w:name="_Toc395882318"/>
      <w:bookmarkStart w:id="9748" w:name="_Toc395882478"/>
      <w:bookmarkStart w:id="9749" w:name="_Toc395882649"/>
      <w:bookmarkStart w:id="9750" w:name="_Toc395880642"/>
      <w:bookmarkStart w:id="9751" w:name="_Toc395880973"/>
      <w:bookmarkStart w:id="9752" w:name="_Toc395881531"/>
      <w:bookmarkStart w:id="9753" w:name="_Toc395883916"/>
      <w:bookmarkStart w:id="9754" w:name="_Toc395884087"/>
      <w:bookmarkStart w:id="9755" w:name="_Toc395884578"/>
      <w:bookmarkStart w:id="9756" w:name="_Toc395884749"/>
      <w:bookmarkStart w:id="9757" w:name="_Toc395883287"/>
      <w:bookmarkStart w:id="9758" w:name="_Toc395883458"/>
      <w:bookmarkStart w:id="9759" w:name="_Toc395883617"/>
      <w:bookmarkStart w:id="9760" w:name="_Toc395883788"/>
      <w:bookmarkStart w:id="9761" w:name="_Toc395884919"/>
      <w:bookmarkStart w:id="9762" w:name="_Toc396123898"/>
      <w:bookmarkStart w:id="9763" w:name="_Toc396130800"/>
      <w:bookmarkStart w:id="9764" w:name="_Toc396136378"/>
      <w:bookmarkStart w:id="9765" w:name="_Toc396138894"/>
      <w:bookmarkStart w:id="9766" w:name="_Toc396145602"/>
      <w:bookmarkStart w:id="9767" w:name="_Toc396145808"/>
      <w:bookmarkStart w:id="9768" w:name="_Toc396146473"/>
      <w:bookmarkStart w:id="9769" w:name="_Toc396147630"/>
      <w:bookmarkStart w:id="9770" w:name="_Toc396147854"/>
      <w:bookmarkStart w:id="9771" w:name="_Toc396149110"/>
      <w:bookmarkStart w:id="9772" w:name="_Toc396148885"/>
      <w:bookmarkStart w:id="9773" w:name="_Toc396149604"/>
      <w:bookmarkStart w:id="9774" w:name="_Toc396149312"/>
      <w:bookmarkStart w:id="9775" w:name="_Toc396150033"/>
      <w:bookmarkStart w:id="9776" w:name="_Toc396149958"/>
      <w:bookmarkStart w:id="9777" w:name="_Toc396149770"/>
      <w:bookmarkStart w:id="9778" w:name="_Toc396150549"/>
      <w:bookmarkStart w:id="9779" w:name="_Toc396151500"/>
      <w:bookmarkStart w:id="9780" w:name="_Toc396151732"/>
      <w:bookmarkStart w:id="9781" w:name="_Toc396202508"/>
      <w:bookmarkStart w:id="9782" w:name="_Toc396202744"/>
      <w:bookmarkStart w:id="9783" w:name="_Toc396206715"/>
      <w:bookmarkStart w:id="9784" w:name="_Toc396206951"/>
      <w:bookmarkStart w:id="9785" w:name="_Toc396209543"/>
      <w:bookmarkStart w:id="9786" w:name="_Toc396209779"/>
      <w:bookmarkStart w:id="9787" w:name="_Toc396211967"/>
      <w:bookmarkStart w:id="9788" w:name="_Toc396212203"/>
      <w:bookmarkStart w:id="9789" w:name="_Toc396213309"/>
      <w:bookmarkStart w:id="9790" w:name="_Toc396213545"/>
      <w:bookmarkStart w:id="9791" w:name="_Toc396214587"/>
      <w:bookmarkStart w:id="9792" w:name="_Toc396214821"/>
      <w:bookmarkStart w:id="9793" w:name="_Toc396226699"/>
      <w:bookmarkStart w:id="9794" w:name="_Toc396226932"/>
      <w:bookmarkStart w:id="9795" w:name="_Toc396228899"/>
      <w:bookmarkStart w:id="9796" w:name="_Toc396229138"/>
      <w:bookmarkStart w:id="9797" w:name="_Toc396230541"/>
      <w:bookmarkStart w:id="9798" w:name="_Toc396230780"/>
      <w:bookmarkStart w:id="9799" w:name="_Toc396231682"/>
      <w:bookmarkStart w:id="9800" w:name="_Toc396231922"/>
      <w:bookmarkStart w:id="9801" w:name="_Toc396233322"/>
      <w:bookmarkStart w:id="9802" w:name="_Toc396233562"/>
      <w:bookmarkStart w:id="9803" w:name="_Toc396234142"/>
      <w:bookmarkStart w:id="9804" w:name="_Toc396234382"/>
      <w:bookmarkStart w:id="9805" w:name="_Toc396234553"/>
      <w:bookmarkStart w:id="9806" w:name="_Toc396236245"/>
      <w:bookmarkStart w:id="9807" w:name="_Toc396236023"/>
      <w:bookmarkStart w:id="9808" w:name="_Toc396304677"/>
      <w:bookmarkStart w:id="9809" w:name="_Toc396586369"/>
      <w:bookmarkStart w:id="9810" w:name="_Toc396815126"/>
      <w:bookmarkStart w:id="9811" w:name="_Toc396821075"/>
      <w:bookmarkStart w:id="9812" w:name="_Toc396821683"/>
      <w:bookmarkStart w:id="9813" w:name="_Toc396827533"/>
      <w:bookmarkStart w:id="9814" w:name="_Toc396828504"/>
      <w:bookmarkStart w:id="9815" w:name="_Toc396828614"/>
      <w:bookmarkStart w:id="9816" w:name="_Toc396838003"/>
      <w:bookmarkStart w:id="9817" w:name="_Toc396838401"/>
      <w:bookmarkStart w:id="9818" w:name="_Toc396904724"/>
      <w:bookmarkStart w:id="9819" w:name="_Toc396907558"/>
      <w:bookmarkStart w:id="9820" w:name="_Toc396912477"/>
      <w:bookmarkStart w:id="9821" w:name="_Toc396914457"/>
      <w:bookmarkStart w:id="9822" w:name="_Toc396915341"/>
      <w:bookmarkStart w:id="9823" w:name="_Toc396915735"/>
      <w:bookmarkStart w:id="9824" w:name="_Toc396921046"/>
      <w:bookmarkStart w:id="9825" w:name="_Toc396924386"/>
      <w:bookmarkStart w:id="9826" w:name="_Toc396925080"/>
      <w:bookmarkStart w:id="9827" w:name="_Toc396992200"/>
      <w:bookmarkStart w:id="9828" w:name="_Toc396992779"/>
      <w:bookmarkStart w:id="9829" w:name="_Toc396994443"/>
      <w:bookmarkStart w:id="9830" w:name="_Toc397002214"/>
      <w:bookmarkStart w:id="9831" w:name="_Toc397003133"/>
      <w:bookmarkStart w:id="9832" w:name="_Toc397008691"/>
      <w:bookmarkStart w:id="9833" w:name="_Toc397008909"/>
      <w:bookmarkStart w:id="9834" w:name="_Toc397011581"/>
      <w:bookmarkStart w:id="9835" w:name="_Toc397012642"/>
      <w:bookmarkStart w:id="9836" w:name="_Toc397014984"/>
      <w:bookmarkStart w:id="9837" w:name="_Toc397015471"/>
      <w:bookmarkStart w:id="9838" w:name="_Toc397070542"/>
      <w:bookmarkStart w:id="9839" w:name="_Toc397413280"/>
      <w:bookmarkStart w:id="9840" w:name="_Toc397413427"/>
      <w:bookmarkStart w:id="9841" w:name="_Toc397428012"/>
      <w:bookmarkStart w:id="9842" w:name="_Toc397439400"/>
      <w:bookmarkStart w:id="9843" w:name="_Toc397439570"/>
      <w:bookmarkStart w:id="9844" w:name="_Toc397439826"/>
      <w:bookmarkStart w:id="9845" w:name="_Toc397440128"/>
      <w:bookmarkStart w:id="9846" w:name="_Toc397441757"/>
      <w:bookmarkStart w:id="9847" w:name="_Toc397517459"/>
      <w:bookmarkStart w:id="9848" w:name="_Toc397522724"/>
      <w:bookmarkStart w:id="9849" w:name="_Toc397526142"/>
      <w:bookmarkStart w:id="9850" w:name="_Toc397528457"/>
      <w:bookmarkStart w:id="9851" w:name="_Toc397528932"/>
      <w:bookmarkStart w:id="9852" w:name="_Toc397601929"/>
      <w:bookmarkStart w:id="9853" w:name="_Toc397602664"/>
      <w:bookmarkStart w:id="9854" w:name="_Toc397605793"/>
      <w:bookmarkStart w:id="9855" w:name="_Toc397614937"/>
      <w:bookmarkStart w:id="9856" w:name="_Toc397616380"/>
      <w:bookmarkStart w:id="9857" w:name="_Toc397616774"/>
      <w:bookmarkStart w:id="9858" w:name="_Toc397679184"/>
      <w:bookmarkStart w:id="9859" w:name="_Toc397688072"/>
      <w:bookmarkStart w:id="9860" w:name="_Toc397689288"/>
      <w:bookmarkStart w:id="9861" w:name="_Toc397694568"/>
      <w:bookmarkStart w:id="9862" w:name="_Toc397696409"/>
      <w:bookmarkStart w:id="9863" w:name="_Toc397697143"/>
      <w:bookmarkStart w:id="9864" w:name="_Toc397698430"/>
      <w:bookmarkStart w:id="9865" w:name="_Toc397699796"/>
      <w:bookmarkStart w:id="9866" w:name="_Toc397700250"/>
      <w:bookmarkStart w:id="9867" w:name="_Toc397936642"/>
      <w:bookmarkStart w:id="9868" w:name="_Toc397936762"/>
      <w:bookmarkStart w:id="9869" w:name="_Toc397945918"/>
      <w:bookmarkStart w:id="9870" w:name="_Toc397946944"/>
      <w:bookmarkStart w:id="9871" w:name="_Toc397948063"/>
      <w:bookmarkStart w:id="9872" w:name="_Toc397958469"/>
      <w:bookmarkStart w:id="9873" w:name="_Toc397958711"/>
      <w:bookmarkStart w:id="9874" w:name="_Toc397959126"/>
      <w:bookmarkStart w:id="9875" w:name="_Toc397962979"/>
      <w:bookmarkStart w:id="9876" w:name="_Toc397963345"/>
      <w:bookmarkStart w:id="9877" w:name="_Toc397965422"/>
      <w:bookmarkStart w:id="9878" w:name="_Toc398197360"/>
      <w:bookmarkStart w:id="9879" w:name="_Toc398199863"/>
      <w:bookmarkStart w:id="9880" w:name="_Toc398201577"/>
      <w:bookmarkStart w:id="9881" w:name="_Toc398207182"/>
      <w:bookmarkStart w:id="9882" w:name="_Toc398210455"/>
      <w:bookmarkStart w:id="9883" w:name="_Toc398210969"/>
      <w:bookmarkStart w:id="9884" w:name="_Toc398219777"/>
      <w:bookmarkStart w:id="9885" w:name="_Toc398220152"/>
      <w:bookmarkStart w:id="9886" w:name="_Toc398220539"/>
      <w:bookmarkStart w:id="9887" w:name="_Toc398221617"/>
      <w:bookmarkStart w:id="9888" w:name="_Toc398222303"/>
      <w:bookmarkStart w:id="9889" w:name="_Toc398222615"/>
      <w:bookmarkStart w:id="9890" w:name="_Toc398223032"/>
      <w:bookmarkStart w:id="9891" w:name="_Toc398223411"/>
      <w:bookmarkStart w:id="9892" w:name="_Toc398223538"/>
      <w:bookmarkStart w:id="9893" w:name="_Toc398224346"/>
      <w:bookmarkStart w:id="9894" w:name="_Toc398225683"/>
      <w:bookmarkStart w:id="9895" w:name="_Toc398225808"/>
      <w:bookmarkStart w:id="9896" w:name="_Toc398281295"/>
      <w:bookmarkStart w:id="9897" w:name="_Toc398282154"/>
      <w:bookmarkStart w:id="9898" w:name="_Toc398284824"/>
      <w:bookmarkStart w:id="9899" w:name="_Toc398287293"/>
      <w:bookmarkStart w:id="9900" w:name="_Toc398289176"/>
      <w:bookmarkStart w:id="9901" w:name="_Toc398297173"/>
      <w:bookmarkStart w:id="9902" w:name="_Toc398298647"/>
      <w:bookmarkStart w:id="9903" w:name="_Toc398300348"/>
      <w:bookmarkStart w:id="9904" w:name="_Toc398301245"/>
      <w:bookmarkStart w:id="9905" w:name="_Toc398302430"/>
      <w:bookmarkStart w:id="9906" w:name="_Toc398302593"/>
      <w:bookmarkStart w:id="9907" w:name="_Toc398549106"/>
      <w:bookmarkStart w:id="9908" w:name="_Toc398549356"/>
      <w:bookmarkStart w:id="9909" w:name="_Toc398555775"/>
      <w:bookmarkStart w:id="9910" w:name="_Toc398558979"/>
      <w:bookmarkStart w:id="9911" w:name="_Toc398563465"/>
      <w:bookmarkStart w:id="9912" w:name="_Toc398563598"/>
      <w:bookmarkStart w:id="9913" w:name="_Toc398563997"/>
      <w:bookmarkStart w:id="9914" w:name="_Toc398827335"/>
      <w:bookmarkStart w:id="9915" w:name="_Toc398827529"/>
      <w:r w:rsidRPr="008625DC">
        <w:rPr>
          <w:lang w:val="en-AU"/>
        </w:rPr>
        <w:t>Functions of the national body</w:t>
      </w:r>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p>
    <w:p w14:paraId="24651117" w14:textId="1C81555C" w:rsidR="000752DD" w:rsidRPr="008625DC" w:rsidRDefault="000752DD" w:rsidP="000752DD">
      <w:r w:rsidRPr="008625DC">
        <w:t>The proposed ACCP should have a broad role. In particular, the ACCP should advise governments on how to adapt competition policy to changing circumstances facing consumers and business. The ACCP should therefore develop an understanding of the state of competition across the Australian economy and report on it regularly.</w:t>
      </w:r>
    </w:p>
    <w:p w14:paraId="544D7034" w14:textId="6AC630D6" w:rsidR="000752DD" w:rsidRPr="008625DC" w:rsidRDefault="000752DD" w:rsidP="000752DD">
      <w:r w:rsidRPr="008625DC">
        <w:t>There needs to be a clear advocate for competition policy in Australia</w:t>
      </w:r>
      <w:r w:rsidR="00C74E19" w:rsidRPr="008625DC">
        <w:t>’</w:t>
      </w:r>
      <w:r w:rsidRPr="008625DC">
        <w:t>s institutional structure. Too often this has fallen by default to the ACCC, which can be an uneasy role for a regulator to fulfil. The</w:t>
      </w:r>
      <w:r w:rsidR="005C6A7D" w:rsidRPr="008625DC">
        <w:t> </w:t>
      </w:r>
      <w:r w:rsidRPr="008625DC">
        <w:t>Panel sees advocacy for competition as a central function of the ACCP.</w:t>
      </w:r>
    </w:p>
    <w:p w14:paraId="58840B25" w14:textId="66BFF78F" w:rsidR="005E1E44" w:rsidRPr="008625DC" w:rsidRDefault="000752DD" w:rsidP="000752DD">
      <w:bookmarkStart w:id="9916" w:name="_Toc396138895"/>
      <w:bookmarkStart w:id="9917" w:name="_Toc396145809"/>
      <w:bookmarkStart w:id="9918" w:name="_Toc396146474"/>
      <w:bookmarkStart w:id="9919" w:name="_Toc396147631"/>
      <w:bookmarkStart w:id="9920" w:name="_Toc396148886"/>
      <w:bookmarkStart w:id="9921" w:name="_Toc396149313"/>
      <w:bookmarkStart w:id="9922" w:name="_Toc396149771"/>
      <w:bookmarkStart w:id="9923" w:name="_Toc396151501"/>
      <w:bookmarkStart w:id="9924" w:name="_Toc396202509"/>
      <w:r w:rsidRPr="008625DC">
        <w:t>The ACCP should also act as an independent assessor of progress on reform, holding governments at all levels to account. Priority areas for reform identified in this Draft Report could form an initial program of work for the ACCP.</w:t>
      </w:r>
      <w:r w:rsidR="004517D6" w:rsidRPr="008625DC" w:rsidDel="004517D6">
        <w:t xml:space="preserve"> </w:t>
      </w:r>
      <w:bookmarkStart w:id="9925" w:name="_Toc396206716"/>
      <w:bookmarkStart w:id="9926" w:name="_Toc396209544"/>
      <w:bookmarkStart w:id="9927" w:name="_Toc396211968"/>
      <w:bookmarkStart w:id="9928" w:name="_Toc396213310"/>
      <w:bookmarkStart w:id="9929" w:name="_Toc396214588"/>
      <w:bookmarkStart w:id="9930" w:name="_Toc396226700"/>
      <w:bookmarkStart w:id="9931" w:name="_Toc396228900"/>
      <w:bookmarkStart w:id="9932" w:name="_Toc396230542"/>
      <w:bookmarkStart w:id="9933" w:name="_Toc396231683"/>
      <w:bookmarkStart w:id="9934" w:name="_Toc396233323"/>
      <w:bookmarkStart w:id="9935" w:name="_Toc396234143"/>
      <w:bookmarkStart w:id="9936" w:name="_Toc396234554"/>
      <w:bookmarkStart w:id="9937" w:name="_Toc396586370"/>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3FA577B3" w14:textId="77777777" w:rsidTr="00F81722">
        <w:tc>
          <w:tcPr>
            <w:tcW w:w="5000" w:type="pct"/>
            <w:shd w:val="clear" w:color="auto" w:fill="E9F7F3" w:themeFill="accent4" w:themeFillTint="33"/>
          </w:tcPr>
          <w:p w14:paraId="6E6EFC40" w14:textId="6A2F8B16" w:rsidR="000752DD" w:rsidRPr="008625DC" w:rsidRDefault="000752DD" w:rsidP="00F81722">
            <w:pPr>
              <w:pStyle w:val="RecommendationHeading"/>
            </w:pPr>
            <w:bookmarkStart w:id="9938" w:name="DR40"/>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r w:rsidR="00380141" w:rsidRPr="008625DC">
              <w:t xml:space="preserve"> — </w:t>
            </w:r>
            <w:r w:rsidR="006708E0" w:rsidRPr="008625DC">
              <w:t xml:space="preserve">Role of </w:t>
            </w:r>
            <w:r w:rsidR="00E33E42" w:rsidRPr="008625DC">
              <w:t xml:space="preserve">the </w:t>
            </w:r>
            <w:r w:rsidR="006708E0" w:rsidRPr="008625DC">
              <w:t>Australian Council for Competition Policy</w:t>
            </w:r>
          </w:p>
          <w:p w14:paraId="2797ABF7" w14:textId="77777777" w:rsidR="00040986" w:rsidRPr="008625DC" w:rsidRDefault="00040986" w:rsidP="00040986">
            <w:pPr>
              <w:pStyle w:val="RecommendationText"/>
            </w:pPr>
            <w:r w:rsidRPr="008625DC">
              <w:t>The Australian Council for Competition Policy should have a broad role encompassing:</w:t>
            </w:r>
          </w:p>
          <w:p w14:paraId="00ACEE30" w14:textId="77777777" w:rsidR="00040986" w:rsidRPr="008625DC" w:rsidRDefault="00040986" w:rsidP="003147A0">
            <w:pPr>
              <w:pStyle w:val="RecommendationBullet"/>
            </w:pPr>
            <w:r w:rsidRPr="008625DC">
              <w:t>advocate and educator in competition policy;</w:t>
            </w:r>
          </w:p>
          <w:p w14:paraId="053A578C" w14:textId="77777777" w:rsidR="00040986" w:rsidRPr="008625DC" w:rsidRDefault="00040986" w:rsidP="003147A0">
            <w:pPr>
              <w:pStyle w:val="RecommendationBullet"/>
            </w:pPr>
            <w:r w:rsidRPr="008625DC">
              <w:t>independently monitoring progress in implementing agreed reforms and publicly reporting on progress annually;</w:t>
            </w:r>
          </w:p>
          <w:p w14:paraId="2A3D3A81" w14:textId="77777777" w:rsidR="00040986" w:rsidRPr="008625DC" w:rsidRDefault="00040986" w:rsidP="003147A0">
            <w:pPr>
              <w:pStyle w:val="RecommendationBullet"/>
            </w:pPr>
            <w:r w:rsidRPr="008625DC">
              <w:t>identifying potential areas of competition reform across all levels of government;</w:t>
            </w:r>
          </w:p>
          <w:p w14:paraId="09FA1F07" w14:textId="77777777" w:rsidR="00040986" w:rsidRPr="008625DC" w:rsidRDefault="00040986" w:rsidP="003147A0">
            <w:pPr>
              <w:pStyle w:val="RecommendationBullet"/>
            </w:pPr>
            <w:r w:rsidRPr="008625DC">
              <w:t>making recommendations to governments on specific market design and regulatory issues, including proposed privatisations; and</w:t>
            </w:r>
          </w:p>
          <w:p w14:paraId="33CFA2CE" w14:textId="5B84F531" w:rsidR="000752DD" w:rsidRPr="008625DC" w:rsidRDefault="00040986" w:rsidP="003147A0">
            <w:pPr>
              <w:pStyle w:val="RecommendationBullet"/>
            </w:pPr>
            <w:proofErr w:type="gramStart"/>
            <w:r w:rsidRPr="008625DC">
              <w:t>undertaking</w:t>
            </w:r>
            <w:proofErr w:type="gramEnd"/>
            <w:r w:rsidR="000752DD" w:rsidRPr="008625DC">
              <w:t xml:space="preserve"> research into competition policy developments </w:t>
            </w:r>
            <w:r w:rsidR="0075156F" w:rsidRPr="008625DC">
              <w:t>in Australia</w:t>
            </w:r>
            <w:r w:rsidR="000752DD" w:rsidRPr="008625DC">
              <w:t xml:space="preserve"> and overseas</w:t>
            </w:r>
            <w:r w:rsidR="008E762D" w:rsidRPr="008625DC">
              <w:t>.</w:t>
            </w:r>
          </w:p>
        </w:tc>
      </w:tr>
    </w:tbl>
    <w:p w14:paraId="49EDF714" w14:textId="6D891658" w:rsidR="000752DD" w:rsidRPr="008625DC" w:rsidRDefault="000752DD" w:rsidP="000752DD">
      <w:pPr>
        <w:spacing w:before="240"/>
      </w:pPr>
      <w:r w:rsidRPr="008625DC">
        <w:t xml:space="preserve">The </w:t>
      </w:r>
      <w:r w:rsidR="0075156F" w:rsidRPr="008625DC">
        <w:t xml:space="preserve">effectiveness </w:t>
      </w:r>
      <w:r w:rsidRPr="008625DC">
        <w:t xml:space="preserve">of the ACCP could </w:t>
      </w:r>
      <w:r w:rsidR="0075156F" w:rsidRPr="008625DC">
        <w:t xml:space="preserve">be strengthened </w:t>
      </w:r>
      <w:r w:rsidRPr="008625DC">
        <w:t xml:space="preserve">by </w:t>
      </w:r>
      <w:r w:rsidR="0075156F" w:rsidRPr="008625DC">
        <w:t xml:space="preserve">assigning it a </w:t>
      </w:r>
      <w:r w:rsidRPr="008625DC">
        <w:t>market stud</w:t>
      </w:r>
      <w:r w:rsidR="0075156F" w:rsidRPr="008625DC">
        <w:t>ies</w:t>
      </w:r>
      <w:r w:rsidRPr="008625DC">
        <w:t xml:space="preserve"> function which would create a consistent, effective and independent way for governments to seek advice and recommendations on </w:t>
      </w:r>
      <w:r w:rsidRPr="008625DC" w:rsidDel="00E33E42">
        <w:t>re</w:t>
      </w:r>
      <w:r w:rsidRPr="008625DC">
        <w:t xml:space="preserve">current and emerging competition policy issues. </w:t>
      </w:r>
    </w:p>
    <w:p w14:paraId="492C8711" w14:textId="44F8F4CF" w:rsidR="000752DD" w:rsidRPr="008625DC" w:rsidRDefault="000752DD" w:rsidP="000752DD">
      <w:r w:rsidRPr="008625DC">
        <w:t>Given the potential for conflicts between the ACCC</w:t>
      </w:r>
      <w:r w:rsidR="00C74E19" w:rsidRPr="008625DC">
        <w:t>’</w:t>
      </w:r>
      <w:r w:rsidRPr="008625DC">
        <w:t xml:space="preserve">s investigation and enforcement responsibilities and the scope of a market studies function, the Panel believes it is appropriate to vest </w:t>
      </w:r>
      <w:r w:rsidR="00115617" w:rsidRPr="008625DC">
        <w:t xml:space="preserve">such </w:t>
      </w:r>
      <w:r w:rsidRPr="008625DC">
        <w:t>a power with the ACCP rather than the ACCC.</w:t>
      </w:r>
    </w:p>
    <w:p w14:paraId="4C4677FC" w14:textId="36B3108F" w:rsidR="000752DD" w:rsidRPr="008625DC" w:rsidRDefault="000752DD" w:rsidP="000752DD">
      <w:r w:rsidRPr="008625DC">
        <w:t>Th</w:t>
      </w:r>
      <w:r w:rsidR="00115617" w:rsidRPr="008625DC">
        <w:t>e market studies</w:t>
      </w:r>
      <w:r w:rsidRPr="008625DC">
        <w:t xml:space="preserve"> function would have a competition policy focus and complement but not duplicate the work of other bodies such as the PC. For example, </w:t>
      </w:r>
      <w:r w:rsidR="00DF3ADA" w:rsidRPr="008625DC">
        <w:t>S</w:t>
      </w:r>
      <w:r w:rsidRPr="008625DC">
        <w:t xml:space="preserve">tates and </w:t>
      </w:r>
      <w:r w:rsidR="00DF3ADA" w:rsidRPr="008625DC">
        <w:t>T</w:t>
      </w:r>
      <w:r w:rsidRPr="008625DC">
        <w:t xml:space="preserve">erritories could </w:t>
      </w:r>
      <w:r w:rsidR="002F1867" w:rsidRPr="008625DC">
        <w:t>request</w:t>
      </w:r>
      <w:r w:rsidRPr="008625DC">
        <w:t xml:space="preserve"> the ACCP to undertake market studies of the provision of human services in their jurisdiction as part of implementing </w:t>
      </w:r>
      <w:r w:rsidR="007D5B2D" w:rsidRPr="008625DC">
        <w:t xml:space="preserve">the </w:t>
      </w:r>
      <w:r w:rsidRPr="008625DC">
        <w:t>principles of choice and diversity of providers</w:t>
      </w:r>
      <w:r w:rsidR="007D5B2D" w:rsidRPr="008625DC">
        <w:t xml:space="preserve"> set out in Draft Recommendation</w:t>
      </w:r>
      <w:r w:rsidR="003147A0" w:rsidRPr="008625DC">
        <w:t> </w:t>
      </w:r>
      <w:r w:rsidR="007D5B2D" w:rsidRPr="008625DC">
        <w:t>2</w:t>
      </w:r>
      <w:r w:rsidRPr="008625DC">
        <w:t>.</w:t>
      </w:r>
    </w:p>
    <w:p w14:paraId="4B83C7F6" w14:textId="26CE5F22" w:rsidR="00C5674D" w:rsidRPr="008625DC" w:rsidRDefault="00C5674D" w:rsidP="00C5674D">
      <w:pPr>
        <w:rPr>
          <w:szCs w:val="22"/>
        </w:rPr>
      </w:pPr>
      <w:r w:rsidRPr="008625DC">
        <w:rPr>
          <w:szCs w:val="22"/>
        </w:rPr>
        <w:t xml:space="preserve">The use of </w:t>
      </w:r>
      <w:r w:rsidRPr="008625DC">
        <w:t>mandatory information</w:t>
      </w:r>
      <w:r w:rsidR="00C74E19" w:rsidRPr="008625DC">
        <w:noBreakHyphen/>
      </w:r>
      <w:r w:rsidRPr="008625DC">
        <w:t xml:space="preserve">gathering powers </w:t>
      </w:r>
      <w:r w:rsidR="00115617" w:rsidRPr="008625DC">
        <w:t xml:space="preserve">can </w:t>
      </w:r>
      <w:r w:rsidRPr="008625DC">
        <w:t>help to ensure that a market study builds an accurate picture of the market but</w:t>
      </w:r>
      <w:r w:rsidR="00115617" w:rsidRPr="008625DC">
        <w:t>, on the other hand,</w:t>
      </w:r>
      <w:r w:rsidRPr="008625DC">
        <w:t xml:space="preserve"> may create an adversarial environment where participants show reluctance to cooperate and share information with the market </w:t>
      </w:r>
      <w:r w:rsidR="00B827FB" w:rsidRPr="008625DC">
        <w:t>studies</w:t>
      </w:r>
      <w:r w:rsidRPr="008625DC">
        <w:t xml:space="preserve"> body. The approach adopted by the PC</w:t>
      </w:r>
      <w:r w:rsidR="00A33169" w:rsidRPr="008625DC">
        <w:t xml:space="preserve"> </w:t>
      </w:r>
      <w:r w:rsidRPr="008625DC">
        <w:t>—</w:t>
      </w:r>
      <w:r w:rsidR="00A33169" w:rsidRPr="008625DC">
        <w:t xml:space="preserve"> </w:t>
      </w:r>
      <w:r w:rsidRPr="008625DC">
        <w:t>inviting interested parties to comment on issues and undertaking independent research</w:t>
      </w:r>
      <w:r w:rsidR="00A33169" w:rsidRPr="008625DC">
        <w:t xml:space="preserve"> </w:t>
      </w:r>
      <w:r w:rsidRPr="008625DC">
        <w:t>—</w:t>
      </w:r>
      <w:r w:rsidR="00A33169" w:rsidRPr="008625DC">
        <w:t xml:space="preserve"> </w:t>
      </w:r>
      <w:r w:rsidRPr="008625DC">
        <w:t>appears to achieve desired outcomes without the need to invoke mandatory legal powers.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7F9201FE" w14:textId="77777777" w:rsidTr="00F81722">
        <w:tc>
          <w:tcPr>
            <w:tcW w:w="5000" w:type="pct"/>
            <w:shd w:val="clear" w:color="auto" w:fill="E9F7F3" w:themeFill="accent4" w:themeFillTint="33"/>
          </w:tcPr>
          <w:p w14:paraId="48A60BB6" w14:textId="66BD99CD" w:rsidR="000752DD" w:rsidRPr="008625DC" w:rsidRDefault="000752DD" w:rsidP="00F81722">
            <w:pPr>
              <w:pStyle w:val="RecommendationHeading"/>
            </w:pPr>
            <w:bookmarkStart w:id="9939" w:name="_Toc396138897"/>
            <w:bookmarkStart w:id="9940" w:name="_Toc396145817"/>
            <w:bookmarkStart w:id="9941" w:name="_Toc396146476"/>
            <w:bookmarkStart w:id="9942" w:name="_Toc396147639"/>
            <w:bookmarkStart w:id="9943" w:name="_Toc396148894"/>
            <w:bookmarkStart w:id="9944" w:name="_Toc396149321"/>
            <w:bookmarkStart w:id="9945" w:name="_Toc396149779"/>
            <w:bookmarkStart w:id="9946" w:name="_Toc396151509"/>
            <w:bookmarkStart w:id="9947" w:name="_Toc396202517"/>
            <w:bookmarkStart w:id="9948" w:name="_Toc396206724"/>
            <w:bookmarkStart w:id="9949" w:name="_Toc396209552"/>
            <w:bookmarkStart w:id="9950" w:name="_Toc396211976"/>
            <w:bookmarkStart w:id="9951" w:name="_Toc396213318"/>
            <w:bookmarkStart w:id="9952" w:name="_Toc396214596"/>
            <w:bookmarkStart w:id="9953" w:name="_Toc396226708"/>
            <w:bookmarkStart w:id="9954" w:name="_Toc396228908"/>
            <w:bookmarkStart w:id="9955" w:name="_Toc396230550"/>
            <w:bookmarkStart w:id="9956" w:name="_Toc396231691"/>
            <w:bookmarkStart w:id="9957" w:name="_Toc396233331"/>
            <w:bookmarkStart w:id="9958" w:name="_Toc396234151"/>
            <w:bookmarkStart w:id="9959" w:name="_Toc396234562"/>
            <w:bookmarkStart w:id="9960" w:name="_Toc396586372"/>
            <w:bookmarkStart w:id="9961" w:name="DR41"/>
            <w:r w:rsidRPr="008625DC">
              <w:t xml:space="preserve">Draft Recommendation </w:t>
            </w:r>
            <w:r w:rsidRPr="008625DC">
              <w:fldChar w:fldCharType="begin"/>
            </w:r>
            <w:r w:rsidRPr="008625DC">
              <w:instrText xml:space="preserve"> AUTONUMLGL  \* Arabic \e </w:instrText>
            </w:r>
            <w:r w:rsidRPr="008625DC">
              <w:fldChar w:fldCharType="end"/>
            </w:r>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r w:rsidR="00380141" w:rsidRPr="008625DC">
              <w:t xml:space="preserve"> — </w:t>
            </w:r>
            <w:r w:rsidR="006708E0" w:rsidRPr="008625DC">
              <w:t>Market studies power</w:t>
            </w:r>
          </w:p>
          <w:p w14:paraId="251C30F1" w14:textId="60E5D048" w:rsidR="000752DD" w:rsidRPr="008625DC" w:rsidRDefault="000752DD" w:rsidP="00F81722">
            <w:pPr>
              <w:pStyle w:val="RecommendationText"/>
            </w:pPr>
            <w:bookmarkStart w:id="9962" w:name="_Toc394996124"/>
            <w:bookmarkStart w:id="9963" w:name="_Toc394997849"/>
            <w:bookmarkStart w:id="9964" w:name="_Toc394998364"/>
            <w:bookmarkStart w:id="9965" w:name="_Toc395001859"/>
            <w:bookmarkStart w:id="9966" w:name="_Toc395003213"/>
            <w:bookmarkStart w:id="9967" w:name="_Toc395005452"/>
            <w:bookmarkStart w:id="9968" w:name="_Toc395010215"/>
            <w:bookmarkStart w:id="9969" w:name="_Toc395010057"/>
            <w:bookmarkStart w:id="9970" w:name="_Toc395012401"/>
            <w:bookmarkStart w:id="9971" w:name="_Toc395010806"/>
            <w:bookmarkStart w:id="9972" w:name="_Toc395012279"/>
            <w:bookmarkStart w:id="9973" w:name="_Toc395013271"/>
            <w:bookmarkStart w:id="9974" w:name="_Toc395090310"/>
            <w:bookmarkStart w:id="9975" w:name="_Toc395092678"/>
            <w:bookmarkStart w:id="9976" w:name="_Toc395092890"/>
            <w:bookmarkStart w:id="9977" w:name="_Toc395097801"/>
            <w:bookmarkStart w:id="9978" w:name="_Toc395109940"/>
            <w:bookmarkStart w:id="9979" w:name="_Toc395111943"/>
            <w:bookmarkStart w:id="9980" w:name="_Toc395106863"/>
            <w:bookmarkStart w:id="9981" w:name="_Toc395110115"/>
            <w:bookmarkStart w:id="9982" w:name="_Toc395108623"/>
            <w:bookmarkStart w:id="9983" w:name="_Toc395113863"/>
            <w:bookmarkStart w:id="9984" w:name="_Toc395116599"/>
            <w:bookmarkStart w:id="9985" w:name="_Toc395112536"/>
            <w:bookmarkStart w:id="9986" w:name="_Toc395115075"/>
            <w:bookmarkStart w:id="9987" w:name="_Toc395118230"/>
            <w:bookmarkStart w:id="9988" w:name="_Toc395624929"/>
            <w:bookmarkStart w:id="9989" w:name="_Toc395789783"/>
            <w:bookmarkStart w:id="9990" w:name="_Toc395867511"/>
            <w:bookmarkStart w:id="9991" w:name="_Toc395868644"/>
            <w:bookmarkStart w:id="9992" w:name="_Toc395879025"/>
            <w:bookmarkStart w:id="9993" w:name="_Toc395882149"/>
            <w:bookmarkStart w:id="9994" w:name="_Toc395882480"/>
            <w:bookmarkStart w:id="9995" w:name="_Toc395880644"/>
            <w:bookmarkStart w:id="9996" w:name="_Toc395880975"/>
            <w:bookmarkStart w:id="9997" w:name="_Toc395881533"/>
            <w:bookmarkStart w:id="9998" w:name="_Toc395883918"/>
            <w:bookmarkStart w:id="9999" w:name="_Toc395884580"/>
            <w:bookmarkStart w:id="10000" w:name="_Toc395883289"/>
            <w:bookmarkStart w:id="10001" w:name="_Toc395883619"/>
            <w:bookmarkStart w:id="10002" w:name="_Toc395884921"/>
            <w:bookmarkStart w:id="10003" w:name="_Toc396138898"/>
            <w:bookmarkStart w:id="10004" w:name="_Toc396145818"/>
            <w:bookmarkStart w:id="10005" w:name="_Toc396146477"/>
            <w:bookmarkStart w:id="10006" w:name="_Toc396147640"/>
            <w:bookmarkStart w:id="10007" w:name="_Toc396148895"/>
            <w:bookmarkStart w:id="10008" w:name="_Toc396149322"/>
            <w:bookmarkStart w:id="10009" w:name="_Toc396149780"/>
            <w:bookmarkStart w:id="10010" w:name="_Toc396151510"/>
            <w:bookmarkStart w:id="10011" w:name="_Toc396202518"/>
            <w:bookmarkStart w:id="10012" w:name="_Toc396206725"/>
            <w:bookmarkStart w:id="10013" w:name="_Toc396209553"/>
            <w:bookmarkStart w:id="10014" w:name="_Toc396211977"/>
            <w:bookmarkStart w:id="10015" w:name="_Toc396213319"/>
            <w:bookmarkStart w:id="10016" w:name="_Toc396214597"/>
            <w:bookmarkStart w:id="10017" w:name="_Toc396226709"/>
            <w:bookmarkStart w:id="10018" w:name="_Toc396228909"/>
            <w:bookmarkStart w:id="10019" w:name="_Toc396230551"/>
            <w:bookmarkStart w:id="10020" w:name="_Toc396231692"/>
            <w:bookmarkStart w:id="10021" w:name="_Toc396233332"/>
            <w:bookmarkStart w:id="10022" w:name="_Toc396234152"/>
            <w:bookmarkStart w:id="10023" w:name="_Toc396234563"/>
            <w:bookmarkStart w:id="10024" w:name="_Toc396235863"/>
            <w:bookmarkStart w:id="10025" w:name="_Toc396586373"/>
            <w:r w:rsidRPr="008625DC">
              <w:t xml:space="preserve">The </w:t>
            </w:r>
            <w:r w:rsidR="00115617" w:rsidRPr="008625DC">
              <w:t xml:space="preserve">proposed </w:t>
            </w:r>
            <w:r w:rsidRPr="008625DC">
              <w:t>Australian Council for Competition Policy should have the power to undertake competition studies of markets in Australia and make recommendations to relevant governments on changes to regulation or to the ACCC for investigation of potential breaches of the CCA.</w:t>
            </w:r>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p>
          <w:p w14:paraId="458E4FA3" w14:textId="3A606367" w:rsidR="000752DD" w:rsidRPr="008625DC" w:rsidRDefault="000752DD" w:rsidP="00115617">
            <w:pPr>
              <w:pStyle w:val="RecommendationText"/>
              <w:rPr>
                <w:b/>
              </w:rPr>
            </w:pPr>
            <w:bookmarkStart w:id="10026" w:name="_Toc395867512"/>
            <w:bookmarkStart w:id="10027" w:name="_Toc395868645"/>
            <w:bookmarkStart w:id="10028" w:name="_Toc395879026"/>
            <w:bookmarkStart w:id="10029" w:name="_Toc395882150"/>
            <w:bookmarkStart w:id="10030" w:name="_Toc395882481"/>
            <w:bookmarkStart w:id="10031" w:name="_Toc395880645"/>
            <w:bookmarkStart w:id="10032" w:name="_Toc395880976"/>
            <w:bookmarkStart w:id="10033" w:name="_Toc395881534"/>
            <w:bookmarkStart w:id="10034" w:name="_Toc395883919"/>
            <w:bookmarkStart w:id="10035" w:name="_Toc395884581"/>
            <w:bookmarkStart w:id="10036" w:name="_Toc395883290"/>
            <w:bookmarkStart w:id="10037" w:name="_Toc395883620"/>
            <w:bookmarkStart w:id="10038" w:name="_Toc395884922"/>
            <w:bookmarkStart w:id="10039" w:name="_Toc396138899"/>
            <w:bookmarkStart w:id="10040" w:name="_Toc396145819"/>
            <w:bookmarkStart w:id="10041" w:name="_Toc396146478"/>
            <w:bookmarkStart w:id="10042" w:name="_Toc396147641"/>
            <w:bookmarkStart w:id="10043" w:name="_Toc396148896"/>
            <w:bookmarkStart w:id="10044" w:name="_Toc396149323"/>
            <w:bookmarkStart w:id="10045" w:name="_Toc396149781"/>
            <w:bookmarkStart w:id="10046" w:name="_Toc396151511"/>
            <w:bookmarkStart w:id="10047" w:name="_Toc396202519"/>
            <w:bookmarkStart w:id="10048" w:name="_Toc396206726"/>
            <w:bookmarkStart w:id="10049" w:name="_Toc396209554"/>
            <w:bookmarkStart w:id="10050" w:name="_Toc396211978"/>
            <w:bookmarkStart w:id="10051" w:name="_Toc396213320"/>
            <w:bookmarkStart w:id="10052" w:name="_Toc396214598"/>
            <w:bookmarkStart w:id="10053" w:name="_Toc396226710"/>
            <w:bookmarkStart w:id="10054" w:name="_Toc396228910"/>
            <w:bookmarkStart w:id="10055" w:name="_Toc396230552"/>
            <w:bookmarkStart w:id="10056" w:name="_Toc396231693"/>
            <w:bookmarkStart w:id="10057" w:name="_Toc396233333"/>
            <w:bookmarkStart w:id="10058" w:name="_Toc396234153"/>
            <w:bookmarkStart w:id="10059" w:name="_Toc396234564"/>
            <w:bookmarkStart w:id="10060" w:name="_Toc396235864"/>
            <w:bookmarkStart w:id="10061" w:name="_Toc396586374"/>
            <w:r w:rsidRPr="008625DC">
              <w:rPr>
                <w:b/>
              </w:rPr>
              <w:t>The Panel seeks comments on the issue of mandatory</w:t>
            </w:r>
            <w:r w:rsidR="00B827FB" w:rsidRPr="008625DC">
              <w:rPr>
                <w:b/>
              </w:rPr>
              <w:t xml:space="preserve"> </w:t>
            </w:r>
            <w:r w:rsidRPr="008625DC">
              <w:rPr>
                <w:b/>
              </w:rPr>
              <w:t>information</w:t>
            </w:r>
            <w:r w:rsidR="00C74E19" w:rsidRPr="008625DC">
              <w:rPr>
                <w:b/>
              </w:rPr>
              <w:noBreakHyphen/>
            </w:r>
            <w:r w:rsidRPr="008625DC">
              <w:rPr>
                <w:b/>
              </w:rPr>
              <w:t>gathering powers and in particular whether the PC model of having information</w:t>
            </w:r>
            <w:r w:rsidR="00C74E19" w:rsidRPr="008625DC">
              <w:rPr>
                <w:b/>
              </w:rPr>
              <w:noBreakHyphen/>
            </w:r>
            <w:r w:rsidRPr="008625DC">
              <w:rPr>
                <w:b/>
              </w:rPr>
              <w:t>gathering powers but generally choo</w:t>
            </w:r>
            <w:r w:rsidR="00C5674D" w:rsidRPr="008625DC">
              <w:rPr>
                <w:b/>
              </w:rPr>
              <w:t>sing not to use the</w:t>
            </w:r>
            <w:r w:rsidR="00115617" w:rsidRPr="008625DC">
              <w:rPr>
                <w:b/>
              </w:rPr>
              <w:t>m</w:t>
            </w:r>
            <w:r w:rsidR="00C5674D" w:rsidRPr="008625DC">
              <w:rPr>
                <w:b/>
              </w:rPr>
              <w:t xml:space="preserve"> </w:t>
            </w:r>
            <w:r w:rsidR="00040986" w:rsidRPr="008625DC">
              <w:rPr>
                <w:b/>
              </w:rPr>
              <w:t>should</w:t>
            </w:r>
            <w:r w:rsidR="00C5674D" w:rsidRPr="008625DC">
              <w:rPr>
                <w:b/>
              </w:rPr>
              <w:t xml:space="preserve"> be replicated</w:t>
            </w:r>
            <w:r w:rsidR="00115617" w:rsidRPr="008625DC">
              <w:rPr>
                <w:b/>
              </w:rPr>
              <w:t xml:space="preserve"> </w:t>
            </w:r>
            <w:r w:rsidR="00384E9E" w:rsidRPr="008625DC">
              <w:rPr>
                <w:b/>
              </w:rPr>
              <w:t xml:space="preserve">in the </w:t>
            </w:r>
            <w:r w:rsidR="00115617" w:rsidRPr="008625DC">
              <w:rPr>
                <w:b/>
              </w:rPr>
              <w:t>A</w:t>
            </w:r>
            <w:r w:rsidR="00C1084C" w:rsidRPr="008625DC">
              <w:rPr>
                <w:b/>
              </w:rPr>
              <w:t xml:space="preserve">ustralian </w:t>
            </w:r>
            <w:r w:rsidR="00115617" w:rsidRPr="008625DC">
              <w:rPr>
                <w:b/>
              </w:rPr>
              <w:t>C</w:t>
            </w:r>
            <w:r w:rsidR="00C1084C" w:rsidRPr="008625DC">
              <w:rPr>
                <w:b/>
              </w:rPr>
              <w:t xml:space="preserve">ouncil for </w:t>
            </w:r>
            <w:r w:rsidR="00115617" w:rsidRPr="008625DC">
              <w:rPr>
                <w:b/>
              </w:rPr>
              <w:t>C</w:t>
            </w:r>
            <w:r w:rsidR="00C1084C" w:rsidRPr="008625DC">
              <w:rPr>
                <w:b/>
              </w:rPr>
              <w:t xml:space="preserve">ompetition </w:t>
            </w:r>
            <w:r w:rsidR="00115617" w:rsidRPr="008625DC">
              <w:rPr>
                <w:b/>
              </w:rPr>
              <w:t>P</w:t>
            </w:r>
            <w:r w:rsidR="00C1084C" w:rsidRPr="008625DC">
              <w:rPr>
                <w:b/>
              </w:rPr>
              <w:t>olicy</w:t>
            </w:r>
            <w:r w:rsidRPr="008625DC">
              <w:rPr>
                <w:b/>
              </w:rPr>
              <w:t>.</w:t>
            </w:r>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p>
        </w:tc>
      </w:tr>
    </w:tbl>
    <w:p w14:paraId="44A81047" w14:textId="7FBBDAA0" w:rsidR="000752DD" w:rsidRPr="008625DC" w:rsidRDefault="007D5B2D" w:rsidP="00A33169">
      <w:pPr>
        <w:spacing w:before="240"/>
      </w:pPr>
      <w:r w:rsidRPr="008625DC">
        <w:t>T</w:t>
      </w:r>
      <w:r w:rsidR="00F670B7" w:rsidRPr="008625DC">
        <w:t xml:space="preserve">he </w:t>
      </w:r>
      <w:r w:rsidR="000752DD" w:rsidRPr="008625DC">
        <w:t xml:space="preserve">NCP </w:t>
      </w:r>
      <w:r w:rsidRPr="008625DC">
        <w:t>recognised</w:t>
      </w:r>
      <w:r w:rsidR="000752DD" w:rsidRPr="008625DC">
        <w:t xml:space="preserve"> that there were different circumstances </w:t>
      </w:r>
      <w:r w:rsidR="00817AAE" w:rsidRPr="008625DC">
        <w:t xml:space="preserve">across the </w:t>
      </w:r>
      <w:r w:rsidR="000752DD" w:rsidRPr="008625DC">
        <w:t xml:space="preserve">jurisdictions that could lead to different approaches to either the scope or timing of reform. The Panel, in agreeing with this </w:t>
      </w:r>
      <w:r w:rsidRPr="008625DC">
        <w:t>approach</w:t>
      </w:r>
      <w:r w:rsidR="000752DD" w:rsidRPr="008625DC">
        <w:t>, considers that the ACCP should be able to receive referrals from jurisdictions collectively as well as individually.</w:t>
      </w:r>
    </w:p>
    <w:p w14:paraId="7E85435D" w14:textId="7FF2B86F" w:rsidR="000752DD" w:rsidRPr="008625DC" w:rsidRDefault="000752DD" w:rsidP="000752DD">
      <w:pPr>
        <w:rPr>
          <w:color w:val="auto"/>
        </w:rPr>
      </w:pPr>
      <w:r w:rsidRPr="008625DC">
        <w:rPr>
          <w:color w:val="auto"/>
        </w:rPr>
        <w:t>This would ensure that each jurisdiction has the freedom to identify its own concerns, while allowing the ACCP the flexibility to consider whether those concerns have broader or cross</w:t>
      </w:r>
      <w:r w:rsidR="00C74E19" w:rsidRPr="008625DC">
        <w:rPr>
          <w:color w:val="auto"/>
        </w:rPr>
        <w:noBreakHyphen/>
      </w:r>
      <w:r w:rsidRPr="008625DC">
        <w:rPr>
          <w:color w:val="auto"/>
        </w:rPr>
        <w:t xml:space="preserve">jurisdictional impacts. </w:t>
      </w:r>
    </w:p>
    <w:p w14:paraId="5976433D" w14:textId="5F203CB0" w:rsidR="000752DD" w:rsidRPr="008625DC" w:rsidRDefault="000752DD" w:rsidP="000752DD">
      <w:pPr>
        <w:rPr>
          <w:color w:val="auto"/>
        </w:rPr>
      </w:pPr>
      <w:r w:rsidRPr="008625DC">
        <w:rPr>
          <w:color w:val="auto"/>
        </w:rPr>
        <w:lastRenderedPageBreak/>
        <w:t>In addition, the Panel considers that all market participants, including small business and regulators, should have the opportunity to raise issues they would like to see become the subject of market studies. Funding could be set aside in the ACCP budget to undertake studies in addition to those refer</w:t>
      </w:r>
      <w:r w:rsidR="00A113C8" w:rsidRPr="008625DC">
        <w:rPr>
          <w:color w:val="auto"/>
        </w:rPr>
        <w:t>r</w:t>
      </w:r>
      <w:r w:rsidRPr="008625DC">
        <w:rPr>
          <w:color w:val="auto"/>
        </w:rPr>
        <w:t>ed by the Ministerial Council. The decision would rest with the ACCP as to which of these outside requests it might take u</w:t>
      </w:r>
      <w:r w:rsidR="00AA380B" w:rsidRPr="008625DC">
        <w:rPr>
          <w:color w:val="auto"/>
        </w:rPr>
        <w:t>p</w:t>
      </w:r>
      <w:r w:rsidR="00EE7A06" w:rsidRPr="008625DC">
        <w:rPr>
          <w:color w:val="auto"/>
        </w:rPr>
        <w:t>, and it would not be obliged to agree to all requests</w:t>
      </w:r>
      <w:r w:rsidR="00F92E05" w:rsidRPr="008625DC">
        <w:rPr>
          <w:color w:val="auto"/>
        </w:rPr>
        <w:t>.</w:t>
      </w:r>
    </w:p>
    <w:p w14:paraId="28FE7020" w14:textId="764BE926" w:rsidR="000752DD" w:rsidRPr="008625DC" w:rsidRDefault="000752DD" w:rsidP="00102AEC">
      <w:r w:rsidRPr="008625DC">
        <w:t xml:space="preserve">The Ministerial Council </w:t>
      </w:r>
      <w:r w:rsidR="00040986" w:rsidRPr="008625DC">
        <w:t>would</w:t>
      </w:r>
      <w:r w:rsidRPr="008625DC">
        <w:t xml:space="preserve"> need to oversee priorities and resourcing so that the ACCP has the capacity to focus on the priorities of governments and market participants.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06110D2A" w14:textId="77777777" w:rsidTr="00F81722">
        <w:tc>
          <w:tcPr>
            <w:tcW w:w="5000" w:type="pct"/>
            <w:shd w:val="clear" w:color="auto" w:fill="E9F7F3" w:themeFill="accent4" w:themeFillTint="33"/>
          </w:tcPr>
          <w:p w14:paraId="24D8064C" w14:textId="41D786C8" w:rsidR="000752DD" w:rsidRPr="008625DC" w:rsidRDefault="000752DD" w:rsidP="00F81722">
            <w:pPr>
              <w:pStyle w:val="RecommendationHeading"/>
            </w:pPr>
            <w:bookmarkStart w:id="10062" w:name="_Toc396138900"/>
            <w:bookmarkStart w:id="10063" w:name="_Toc396145820"/>
            <w:bookmarkStart w:id="10064" w:name="_Toc396146479"/>
            <w:bookmarkStart w:id="10065" w:name="_Toc396147642"/>
            <w:bookmarkStart w:id="10066" w:name="_Toc396148897"/>
            <w:bookmarkStart w:id="10067" w:name="_Toc396149324"/>
            <w:bookmarkStart w:id="10068" w:name="_Toc396149782"/>
            <w:bookmarkStart w:id="10069" w:name="_Toc396151512"/>
            <w:bookmarkStart w:id="10070" w:name="_Toc396202520"/>
            <w:bookmarkStart w:id="10071" w:name="_Toc396206727"/>
            <w:bookmarkStart w:id="10072" w:name="_Toc396209555"/>
            <w:bookmarkStart w:id="10073" w:name="_Toc396211979"/>
            <w:bookmarkStart w:id="10074" w:name="_Toc396213321"/>
            <w:bookmarkStart w:id="10075" w:name="_Toc396214599"/>
            <w:bookmarkStart w:id="10076" w:name="_Toc396226711"/>
            <w:bookmarkStart w:id="10077" w:name="_Toc396228911"/>
            <w:bookmarkStart w:id="10078" w:name="_Toc396230553"/>
            <w:bookmarkStart w:id="10079" w:name="_Toc396231694"/>
            <w:bookmarkStart w:id="10080" w:name="_Toc396233334"/>
            <w:bookmarkStart w:id="10081" w:name="_Toc396234154"/>
            <w:bookmarkStart w:id="10082" w:name="_Toc396234565"/>
            <w:bookmarkStart w:id="10083" w:name="_Toc396235865"/>
            <w:bookmarkStart w:id="10084" w:name="_Toc396586375"/>
            <w:bookmarkStart w:id="10085" w:name="DR42"/>
            <w:r w:rsidRPr="008625DC">
              <w:t xml:space="preserve">Draft Recommendation </w:t>
            </w:r>
            <w:r w:rsidRPr="008625DC">
              <w:fldChar w:fldCharType="begin"/>
            </w:r>
            <w:r w:rsidRPr="008625DC">
              <w:instrText xml:space="preserve"> AUTONUMLGL  \* Arabic \e </w:instrText>
            </w:r>
            <w:r w:rsidRPr="008625DC">
              <w:fldChar w:fldCharType="end"/>
            </w:r>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r w:rsidR="00380141" w:rsidRPr="008625DC">
              <w:t xml:space="preserve"> — </w:t>
            </w:r>
            <w:r w:rsidR="006708E0" w:rsidRPr="008625DC">
              <w:t>Market studies requests</w:t>
            </w:r>
          </w:p>
          <w:p w14:paraId="0E764E01" w14:textId="77777777" w:rsidR="000752DD" w:rsidRPr="008625DC" w:rsidRDefault="000752DD" w:rsidP="00F81722">
            <w:pPr>
              <w:pStyle w:val="RecommendationText"/>
            </w:pPr>
            <w:bookmarkStart w:id="10086" w:name="_Toc396586376"/>
            <w:bookmarkStart w:id="10087" w:name="_Toc395090311"/>
            <w:bookmarkStart w:id="10088" w:name="_Toc395092679"/>
            <w:bookmarkStart w:id="10089" w:name="_Toc395092891"/>
            <w:bookmarkStart w:id="10090" w:name="_Toc395097802"/>
            <w:bookmarkStart w:id="10091" w:name="_Toc395109941"/>
            <w:bookmarkStart w:id="10092" w:name="_Toc395111944"/>
            <w:bookmarkStart w:id="10093" w:name="_Toc395106864"/>
            <w:bookmarkStart w:id="10094" w:name="_Toc395110116"/>
            <w:bookmarkStart w:id="10095" w:name="_Toc395108624"/>
            <w:bookmarkStart w:id="10096" w:name="_Toc395113864"/>
            <w:bookmarkStart w:id="10097" w:name="_Toc395116600"/>
            <w:bookmarkStart w:id="10098" w:name="_Toc395112537"/>
            <w:bookmarkStart w:id="10099" w:name="_Toc395115076"/>
            <w:bookmarkStart w:id="10100" w:name="_Toc395118231"/>
            <w:bookmarkStart w:id="10101" w:name="_Toc395624930"/>
            <w:bookmarkStart w:id="10102" w:name="_Toc395789784"/>
            <w:bookmarkStart w:id="10103" w:name="_Toc395867513"/>
            <w:bookmarkStart w:id="10104" w:name="_Toc395868646"/>
            <w:bookmarkStart w:id="10105" w:name="_Toc395879027"/>
            <w:bookmarkStart w:id="10106" w:name="_Toc395882151"/>
            <w:bookmarkStart w:id="10107" w:name="_Toc395882482"/>
            <w:bookmarkStart w:id="10108" w:name="_Toc395880646"/>
            <w:bookmarkStart w:id="10109" w:name="_Toc395880977"/>
            <w:bookmarkStart w:id="10110" w:name="_Toc395881535"/>
            <w:bookmarkStart w:id="10111" w:name="_Toc395883920"/>
            <w:bookmarkStart w:id="10112" w:name="_Toc395884582"/>
            <w:bookmarkStart w:id="10113" w:name="_Toc395883291"/>
            <w:bookmarkStart w:id="10114" w:name="_Toc395883621"/>
            <w:bookmarkStart w:id="10115" w:name="_Toc395884923"/>
            <w:bookmarkStart w:id="10116" w:name="_Toc396138901"/>
            <w:bookmarkStart w:id="10117" w:name="_Toc396145821"/>
            <w:bookmarkStart w:id="10118" w:name="_Toc396146480"/>
            <w:bookmarkStart w:id="10119" w:name="_Toc396147643"/>
            <w:bookmarkStart w:id="10120" w:name="_Toc396148898"/>
            <w:bookmarkStart w:id="10121" w:name="_Toc396149325"/>
            <w:bookmarkStart w:id="10122" w:name="_Toc396149783"/>
            <w:bookmarkStart w:id="10123" w:name="_Toc396151513"/>
            <w:bookmarkStart w:id="10124" w:name="_Toc396202521"/>
            <w:bookmarkStart w:id="10125" w:name="_Toc396206728"/>
            <w:bookmarkStart w:id="10126" w:name="_Toc396209556"/>
            <w:bookmarkStart w:id="10127" w:name="_Toc396211980"/>
            <w:bookmarkStart w:id="10128" w:name="_Toc396213322"/>
            <w:bookmarkStart w:id="10129" w:name="_Toc396214600"/>
            <w:bookmarkStart w:id="10130" w:name="_Toc396226712"/>
            <w:bookmarkStart w:id="10131" w:name="_Toc396228912"/>
            <w:bookmarkStart w:id="10132" w:name="_Toc396230554"/>
            <w:bookmarkStart w:id="10133" w:name="_Toc396231695"/>
            <w:bookmarkStart w:id="10134" w:name="_Toc396233335"/>
            <w:bookmarkStart w:id="10135" w:name="_Toc396234155"/>
            <w:bookmarkStart w:id="10136" w:name="_Toc396234566"/>
            <w:bookmarkStart w:id="10137" w:name="_Toc396235866"/>
            <w:bookmarkStart w:id="10138" w:name="_Toc394996125"/>
            <w:bookmarkStart w:id="10139" w:name="_Toc394997850"/>
            <w:bookmarkStart w:id="10140" w:name="_Toc394998365"/>
            <w:bookmarkStart w:id="10141" w:name="_Toc395001860"/>
            <w:bookmarkStart w:id="10142" w:name="_Toc395003214"/>
            <w:bookmarkStart w:id="10143" w:name="_Toc395005453"/>
            <w:bookmarkStart w:id="10144" w:name="_Toc395010216"/>
            <w:bookmarkStart w:id="10145" w:name="_Toc395010058"/>
            <w:bookmarkStart w:id="10146" w:name="_Toc395012402"/>
            <w:bookmarkStart w:id="10147" w:name="_Toc395012280"/>
            <w:bookmarkStart w:id="10148" w:name="_Toc395013272"/>
            <w:r w:rsidRPr="008625DC">
              <w:t>All governments, jointly or individually, should have the capacity to issue a reference to the Australian Council for Competition Policy to undertake a competition study of a particular market or competition issue.</w:t>
            </w:r>
            <w:bookmarkEnd w:id="10086"/>
          </w:p>
          <w:p w14:paraId="6B9B3F46" w14:textId="744E1472" w:rsidR="000752DD" w:rsidRPr="008625DC" w:rsidRDefault="000752DD" w:rsidP="00F81722">
            <w:pPr>
              <w:pStyle w:val="RecommendationText"/>
            </w:pPr>
            <w:bookmarkStart w:id="10149" w:name="_Toc396586377"/>
            <w:r w:rsidRPr="008625DC">
              <w:t xml:space="preserve">All market participants, including small business and regulators (such as the ACCC), should have the capacity to request market studies be undertaken by the </w:t>
            </w:r>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49"/>
            <w:r w:rsidR="00A76A15" w:rsidRPr="008625DC">
              <w:t>Australian Council for Competition Policy</w:t>
            </w:r>
            <w:r w:rsidR="00F92E05" w:rsidRPr="008625DC">
              <w:t>.</w:t>
            </w:r>
            <w:r w:rsidR="00AA380B" w:rsidRPr="008625DC">
              <w:t xml:space="preserve"> </w:t>
            </w:r>
          </w:p>
          <w:p w14:paraId="3DD74223" w14:textId="4BE933F7" w:rsidR="0058205E" w:rsidRPr="008625DC" w:rsidRDefault="000752DD" w:rsidP="00F81722">
            <w:pPr>
              <w:pStyle w:val="RecommendationText"/>
            </w:pPr>
            <w:bookmarkStart w:id="10150" w:name="_Toc395090312"/>
            <w:bookmarkStart w:id="10151" w:name="_Toc395092892"/>
            <w:bookmarkStart w:id="10152" w:name="_Toc395097803"/>
            <w:bookmarkStart w:id="10153" w:name="_Toc395109942"/>
            <w:bookmarkStart w:id="10154" w:name="_Toc395111945"/>
            <w:bookmarkStart w:id="10155" w:name="_Toc395106865"/>
            <w:bookmarkStart w:id="10156" w:name="_Toc395110117"/>
            <w:bookmarkStart w:id="10157" w:name="_Toc395108625"/>
            <w:bookmarkStart w:id="10158" w:name="_Toc395113865"/>
            <w:bookmarkStart w:id="10159" w:name="_Toc395116601"/>
            <w:bookmarkStart w:id="10160" w:name="_Toc395112538"/>
            <w:bookmarkStart w:id="10161" w:name="_Toc395115077"/>
            <w:bookmarkStart w:id="10162" w:name="_Toc395118232"/>
            <w:bookmarkStart w:id="10163" w:name="_Toc395624931"/>
            <w:bookmarkStart w:id="10164" w:name="_Toc395789785"/>
            <w:bookmarkStart w:id="10165" w:name="_Toc395867514"/>
            <w:bookmarkStart w:id="10166" w:name="_Toc395868647"/>
            <w:bookmarkStart w:id="10167" w:name="_Toc395879028"/>
            <w:bookmarkStart w:id="10168" w:name="_Toc395882152"/>
            <w:bookmarkStart w:id="10169" w:name="_Toc395882483"/>
            <w:bookmarkStart w:id="10170" w:name="_Toc395880647"/>
            <w:bookmarkStart w:id="10171" w:name="_Toc395880978"/>
            <w:bookmarkStart w:id="10172" w:name="_Toc395881536"/>
            <w:bookmarkStart w:id="10173" w:name="_Toc395883921"/>
            <w:bookmarkStart w:id="10174" w:name="_Toc395884583"/>
            <w:bookmarkStart w:id="10175" w:name="_Toc395883292"/>
            <w:bookmarkStart w:id="10176" w:name="_Toc395883622"/>
            <w:bookmarkStart w:id="10177" w:name="_Toc395884924"/>
            <w:bookmarkStart w:id="10178" w:name="_Toc396138902"/>
            <w:bookmarkStart w:id="10179" w:name="_Toc396145823"/>
            <w:bookmarkStart w:id="10180" w:name="_Toc396146481"/>
            <w:bookmarkStart w:id="10181" w:name="_Toc396147645"/>
            <w:bookmarkStart w:id="10182" w:name="_Toc396148900"/>
            <w:bookmarkStart w:id="10183" w:name="_Toc396149327"/>
            <w:bookmarkStart w:id="10184" w:name="_Toc396149785"/>
            <w:bookmarkStart w:id="10185" w:name="_Toc396151515"/>
            <w:bookmarkStart w:id="10186" w:name="_Toc396202523"/>
            <w:bookmarkStart w:id="10187" w:name="_Toc396206730"/>
            <w:bookmarkStart w:id="10188" w:name="_Toc396209558"/>
            <w:bookmarkStart w:id="10189" w:name="_Toc396211982"/>
            <w:bookmarkStart w:id="10190" w:name="_Toc396213324"/>
            <w:bookmarkStart w:id="10191" w:name="_Toc396214601"/>
            <w:bookmarkStart w:id="10192" w:name="_Toc396226713"/>
            <w:bookmarkStart w:id="10193" w:name="_Toc396228913"/>
            <w:bookmarkStart w:id="10194" w:name="_Toc396230555"/>
            <w:bookmarkStart w:id="10195" w:name="_Toc396231696"/>
            <w:bookmarkStart w:id="10196" w:name="_Toc396233336"/>
            <w:bookmarkStart w:id="10197" w:name="_Toc396234156"/>
            <w:bookmarkStart w:id="10198" w:name="_Toc396234567"/>
            <w:bookmarkStart w:id="10199" w:name="_Toc396235867"/>
            <w:bookmarkStart w:id="10200" w:name="_Toc396586378"/>
            <w:r w:rsidRPr="008625DC">
              <w:t xml:space="preserve">The work program </w:t>
            </w:r>
            <w:r w:rsidR="00A76A15" w:rsidRPr="008625DC">
              <w:t>of the</w:t>
            </w:r>
            <w:r w:rsidRPr="008625DC">
              <w:t xml:space="preserve"> </w:t>
            </w:r>
            <w:r w:rsidR="00A76A15" w:rsidRPr="008625DC">
              <w:t xml:space="preserve">Australian Council for Competition Policy </w:t>
            </w:r>
            <w:r w:rsidR="00D92287" w:rsidRPr="008625DC">
              <w:t>should</w:t>
            </w:r>
            <w:r w:rsidRPr="008625DC">
              <w:t xml:space="preserve"> be overseen by the Ministerial Council</w:t>
            </w:r>
            <w:bookmarkEnd w:id="10138"/>
            <w:bookmarkEnd w:id="10139"/>
            <w:bookmarkEnd w:id="10140"/>
            <w:bookmarkEnd w:id="10141"/>
            <w:bookmarkEnd w:id="10142"/>
            <w:bookmarkEnd w:id="10143"/>
            <w:bookmarkEnd w:id="10144"/>
            <w:bookmarkEnd w:id="10145"/>
            <w:bookmarkEnd w:id="10146"/>
            <w:bookmarkEnd w:id="10147"/>
            <w:bookmarkEnd w:id="10148"/>
            <w:r w:rsidRPr="008625DC">
              <w:t xml:space="preserve"> on Federal Financial Re</w:t>
            </w:r>
            <w:r w:rsidR="00D92287" w:rsidRPr="008625DC">
              <w:t>lations</w:t>
            </w:r>
            <w:r w:rsidRPr="008625DC">
              <w:t xml:space="preserve"> to ensure that resourcing address</w:t>
            </w:r>
            <w:r w:rsidR="00D92287" w:rsidRPr="008625DC">
              <w:t>es</w:t>
            </w:r>
            <w:r w:rsidRPr="008625DC">
              <w:t xml:space="preserve"> priority issues.</w:t>
            </w:r>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p>
        </w:tc>
      </w:tr>
    </w:tbl>
    <w:p w14:paraId="6CD9D82C" w14:textId="585D9C54" w:rsidR="00183670" w:rsidRPr="008625DC" w:rsidRDefault="00183670" w:rsidP="00A33169">
      <w:pPr>
        <w:spacing w:before="240"/>
      </w:pPr>
      <w:r w:rsidRPr="008625DC">
        <w:t xml:space="preserve">For further </w:t>
      </w:r>
      <w:r w:rsidR="00115617" w:rsidRPr="008625DC">
        <w:t>detail</w:t>
      </w:r>
      <w:r w:rsidRPr="008625DC">
        <w:t xml:space="preserve"> on market studies</w:t>
      </w:r>
      <w:r w:rsidR="002664C8" w:rsidRPr="008625DC">
        <w:t>,</w:t>
      </w:r>
      <w:r w:rsidRPr="008625DC">
        <w:t xml:space="preserve"> see </w:t>
      </w:r>
      <w:hyperlink w:anchor="s222mkt" w:history="1">
        <w:r w:rsidR="00C538EE" w:rsidRPr="008625DC">
          <w:rPr>
            <w:rStyle w:val="Hyperlink"/>
          </w:rPr>
          <w:t>Section</w:t>
        </w:r>
        <w:r w:rsidRPr="008625DC">
          <w:rPr>
            <w:rStyle w:val="Hyperlink"/>
          </w:rPr>
          <w:t xml:space="preserve"> 2</w:t>
        </w:r>
        <w:r w:rsidR="00D07739" w:rsidRPr="008625DC">
          <w:rPr>
            <w:rStyle w:val="Hyperlink"/>
          </w:rPr>
          <w:t>2.2</w:t>
        </w:r>
      </w:hyperlink>
      <w:r w:rsidRPr="008625DC">
        <w:t xml:space="preserve">. </w:t>
      </w:r>
    </w:p>
    <w:p w14:paraId="4E132C3D" w14:textId="41A56C17" w:rsidR="000752DD" w:rsidRPr="008625DC" w:rsidRDefault="000752DD" w:rsidP="000752DD">
      <w:r w:rsidRPr="008625DC">
        <w:t>The competition policy environment is not static. New technologies can raise new issues and resolve older ones. The Panel considers that governments would benefit from an annual analysis of developments in the competition policy environment.</w:t>
      </w:r>
    </w:p>
    <w:p w14:paraId="5094F9C6" w14:textId="1C5047F1" w:rsidR="000752DD" w:rsidRPr="008625DC" w:rsidRDefault="000752DD" w:rsidP="000752DD">
      <w:r w:rsidRPr="008625DC">
        <w:t>This would include more detail on the specific priority issues or markets that should receive greater attention, and could include recommending review mechanisms, particularly for more heavily regulated markets, to ensure more burdensome or intrusive regulatory frameworks remain fit</w:t>
      </w:r>
      <w:r w:rsidR="00452F93" w:rsidRPr="008625DC">
        <w:t xml:space="preserve"> </w:t>
      </w:r>
      <w:r w:rsidRPr="008625DC">
        <w:t>for</w:t>
      </w:r>
      <w:r w:rsidR="00452F93" w:rsidRPr="008625DC">
        <w:t xml:space="preserve"> </w:t>
      </w:r>
      <w:r w:rsidRPr="008625DC">
        <w:t>purpose.</w:t>
      </w:r>
    </w:p>
    <w:p w14:paraId="7E3F040E" w14:textId="07FD836C" w:rsidR="000752DD" w:rsidRPr="008625DC" w:rsidRDefault="000752DD" w:rsidP="000752DD">
      <w:r w:rsidRPr="008625DC">
        <w:t xml:space="preserve">Commenting on best practice and international developments would provide opportunities for governments to consider whether the outcomes of different approaches to reform in other jurisdictions apply </w:t>
      </w:r>
      <w:r w:rsidR="00384E9E" w:rsidRPr="008625DC">
        <w:t>within their own</w:t>
      </w:r>
      <w:r w:rsidRPr="008625DC">
        <w: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06A7E298" w14:textId="77777777" w:rsidTr="00F81722">
        <w:tc>
          <w:tcPr>
            <w:tcW w:w="5000" w:type="pct"/>
            <w:shd w:val="clear" w:color="auto" w:fill="E9F7F3" w:themeFill="accent4" w:themeFillTint="33"/>
          </w:tcPr>
          <w:p w14:paraId="528B9933" w14:textId="1D11F00E" w:rsidR="000752DD" w:rsidRPr="008625DC" w:rsidRDefault="000752DD" w:rsidP="00F81722">
            <w:pPr>
              <w:pStyle w:val="RecommendationHeading"/>
            </w:pPr>
            <w:bookmarkStart w:id="10201" w:name="_Toc396138903"/>
            <w:bookmarkStart w:id="10202" w:name="_Toc396145824"/>
            <w:bookmarkStart w:id="10203" w:name="_Toc396146482"/>
            <w:bookmarkStart w:id="10204" w:name="_Toc396147646"/>
            <w:bookmarkStart w:id="10205" w:name="_Toc396148901"/>
            <w:bookmarkStart w:id="10206" w:name="_Toc396149328"/>
            <w:bookmarkStart w:id="10207" w:name="_Toc396149786"/>
            <w:bookmarkStart w:id="10208" w:name="_Toc396151516"/>
            <w:bookmarkStart w:id="10209" w:name="_Toc396202524"/>
            <w:bookmarkStart w:id="10210" w:name="_Toc396206731"/>
            <w:bookmarkStart w:id="10211" w:name="_Toc396209559"/>
            <w:bookmarkStart w:id="10212" w:name="_Toc396211983"/>
            <w:bookmarkStart w:id="10213" w:name="_Toc396213325"/>
            <w:bookmarkStart w:id="10214" w:name="_Toc396214602"/>
            <w:bookmarkStart w:id="10215" w:name="_Toc396226714"/>
            <w:bookmarkStart w:id="10216" w:name="_Toc396228914"/>
            <w:bookmarkStart w:id="10217" w:name="_Toc396230556"/>
            <w:bookmarkStart w:id="10218" w:name="_Toc396231697"/>
            <w:bookmarkStart w:id="10219" w:name="_Toc396233337"/>
            <w:bookmarkStart w:id="10220" w:name="_Toc396234157"/>
            <w:bookmarkStart w:id="10221" w:name="_Toc396234568"/>
            <w:bookmarkStart w:id="10222" w:name="_Toc396235868"/>
            <w:bookmarkStart w:id="10223" w:name="_Toc396586379"/>
            <w:bookmarkStart w:id="10224" w:name="DR43"/>
            <w:r w:rsidRPr="008625DC">
              <w:t xml:space="preserve">Draft Recommendation </w:t>
            </w:r>
            <w:r w:rsidRPr="008625DC">
              <w:fldChar w:fldCharType="begin"/>
            </w:r>
            <w:r w:rsidRPr="008625DC">
              <w:instrText xml:space="preserve"> AUTONUMLGL  \* Arabic \e </w:instrText>
            </w:r>
            <w:r w:rsidRPr="008625DC">
              <w:fldChar w:fldCharType="end"/>
            </w:r>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r w:rsidR="00380141" w:rsidRPr="008625DC">
              <w:t xml:space="preserve"> — </w:t>
            </w:r>
            <w:r w:rsidR="006708E0" w:rsidRPr="008625DC">
              <w:t>Annual competition analysis</w:t>
            </w:r>
          </w:p>
          <w:p w14:paraId="50812CFE" w14:textId="0E01C651" w:rsidR="000752DD" w:rsidRPr="008625DC" w:rsidRDefault="0080360A" w:rsidP="000032B8">
            <w:pPr>
              <w:pStyle w:val="RecommendationText"/>
            </w:pPr>
            <w:bookmarkStart w:id="10225" w:name="_Toc394996126"/>
            <w:bookmarkStart w:id="10226" w:name="_Toc394997851"/>
            <w:bookmarkStart w:id="10227" w:name="_Toc394998366"/>
            <w:bookmarkStart w:id="10228" w:name="_Toc395001861"/>
            <w:bookmarkStart w:id="10229" w:name="_Toc395003215"/>
            <w:bookmarkStart w:id="10230" w:name="_Toc395005454"/>
            <w:bookmarkStart w:id="10231" w:name="_Toc395010217"/>
            <w:bookmarkStart w:id="10232" w:name="_Toc395010059"/>
            <w:bookmarkStart w:id="10233" w:name="_Toc395012403"/>
            <w:bookmarkStart w:id="10234" w:name="_Toc395010808"/>
            <w:bookmarkStart w:id="10235" w:name="_Toc395012281"/>
            <w:bookmarkStart w:id="10236" w:name="_Toc395013273"/>
            <w:bookmarkStart w:id="10237" w:name="_Toc395090313"/>
            <w:bookmarkStart w:id="10238" w:name="_Toc395092681"/>
            <w:bookmarkStart w:id="10239" w:name="_Toc395092893"/>
            <w:bookmarkStart w:id="10240" w:name="_Toc395097804"/>
            <w:bookmarkStart w:id="10241" w:name="_Toc395109943"/>
            <w:bookmarkStart w:id="10242" w:name="_Toc395111946"/>
            <w:bookmarkStart w:id="10243" w:name="_Toc395106866"/>
            <w:bookmarkStart w:id="10244" w:name="_Toc395110118"/>
            <w:bookmarkStart w:id="10245" w:name="_Toc395108626"/>
            <w:bookmarkStart w:id="10246" w:name="_Toc395113866"/>
            <w:bookmarkStart w:id="10247" w:name="_Toc395116602"/>
            <w:bookmarkStart w:id="10248" w:name="_Toc395112539"/>
            <w:bookmarkStart w:id="10249" w:name="_Toc395115078"/>
            <w:bookmarkStart w:id="10250" w:name="_Toc395118233"/>
            <w:bookmarkStart w:id="10251" w:name="_Toc395624932"/>
            <w:bookmarkStart w:id="10252" w:name="_Toc395789786"/>
            <w:bookmarkStart w:id="10253" w:name="_Toc395867515"/>
            <w:bookmarkStart w:id="10254" w:name="_Toc395868648"/>
            <w:bookmarkStart w:id="10255" w:name="_Toc395879029"/>
            <w:bookmarkStart w:id="10256" w:name="_Toc395882153"/>
            <w:bookmarkStart w:id="10257" w:name="_Toc395882484"/>
            <w:bookmarkStart w:id="10258" w:name="_Toc395880648"/>
            <w:bookmarkStart w:id="10259" w:name="_Toc395880979"/>
            <w:bookmarkStart w:id="10260" w:name="_Toc395881537"/>
            <w:bookmarkStart w:id="10261" w:name="_Toc395883922"/>
            <w:bookmarkStart w:id="10262" w:name="_Toc395884584"/>
            <w:bookmarkStart w:id="10263" w:name="_Toc395883293"/>
            <w:bookmarkStart w:id="10264" w:name="_Toc395883623"/>
            <w:bookmarkStart w:id="10265" w:name="_Toc395884925"/>
            <w:bookmarkStart w:id="10266" w:name="_Toc396138904"/>
            <w:bookmarkStart w:id="10267" w:name="_Toc396145825"/>
            <w:bookmarkStart w:id="10268" w:name="_Toc396146483"/>
            <w:bookmarkStart w:id="10269" w:name="_Toc396147647"/>
            <w:bookmarkStart w:id="10270" w:name="_Toc396148902"/>
            <w:bookmarkStart w:id="10271" w:name="_Toc396149329"/>
            <w:bookmarkStart w:id="10272" w:name="_Toc396149787"/>
            <w:bookmarkStart w:id="10273" w:name="_Toc396151517"/>
            <w:bookmarkStart w:id="10274" w:name="_Toc396202525"/>
            <w:bookmarkStart w:id="10275" w:name="_Toc396206732"/>
            <w:bookmarkStart w:id="10276" w:name="_Toc396209560"/>
            <w:bookmarkStart w:id="10277" w:name="_Toc396211984"/>
            <w:bookmarkStart w:id="10278" w:name="_Toc396213326"/>
            <w:bookmarkStart w:id="10279" w:name="_Toc396214603"/>
            <w:bookmarkStart w:id="10280" w:name="_Toc396226715"/>
            <w:bookmarkStart w:id="10281" w:name="_Toc396228915"/>
            <w:bookmarkStart w:id="10282" w:name="_Toc396230557"/>
            <w:bookmarkStart w:id="10283" w:name="_Toc396231698"/>
            <w:bookmarkStart w:id="10284" w:name="_Toc396233338"/>
            <w:bookmarkStart w:id="10285" w:name="_Toc396234158"/>
            <w:bookmarkStart w:id="10286" w:name="_Toc396234569"/>
            <w:bookmarkStart w:id="10287" w:name="_Toc396235869"/>
            <w:bookmarkStart w:id="10288" w:name="_Toc396586380"/>
            <w:r w:rsidRPr="008625DC">
              <w:t>The Australian Council for Competition Policy should be required to undertake an annual analysis of developments in the competition policy environment</w:t>
            </w:r>
            <w:r w:rsidR="00384E9E" w:rsidRPr="008625DC">
              <w:t>,</w:t>
            </w:r>
            <w:r w:rsidRPr="008625DC">
              <w:t xml:space="preserve"> </w:t>
            </w:r>
            <w:r w:rsidR="00384E9E" w:rsidRPr="008625DC">
              <w:t xml:space="preserve">both </w:t>
            </w:r>
            <w:r w:rsidRPr="008625DC">
              <w:t xml:space="preserve">in Australia and </w:t>
            </w:r>
            <w:r w:rsidR="00384E9E" w:rsidRPr="008625DC">
              <w:t xml:space="preserve">internationally, </w:t>
            </w:r>
            <w:r w:rsidR="007B19A2" w:rsidRPr="008625DC">
              <w:t xml:space="preserve">and identify </w:t>
            </w:r>
            <w:r w:rsidRPr="008625DC">
              <w:t>specific issues or markets that should receive greater attention.</w:t>
            </w:r>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r w:rsidR="00384E9E" w:rsidRPr="008625DC">
              <w:t xml:space="preserve"> </w:t>
            </w:r>
          </w:p>
        </w:tc>
      </w:tr>
    </w:tbl>
    <w:p w14:paraId="71AC9E48" w14:textId="77777777" w:rsidR="000752DD" w:rsidRPr="008625DC" w:rsidRDefault="000752DD" w:rsidP="000B5916">
      <w:pPr>
        <w:pStyle w:val="Heading2"/>
        <w:ind w:left="851" w:hanging="851"/>
        <w:rPr>
          <w:lang w:val="en-AU"/>
        </w:rPr>
      </w:pPr>
      <w:bookmarkStart w:id="10289" w:name="_Toc395000822"/>
      <w:bookmarkStart w:id="10290" w:name="_Toc395001214"/>
      <w:bookmarkStart w:id="10291" w:name="_Toc395001341"/>
      <w:bookmarkStart w:id="10292" w:name="_Toc395001734"/>
      <w:bookmarkStart w:id="10293" w:name="_Toc395001862"/>
      <w:bookmarkStart w:id="10294" w:name="_Toc395002254"/>
      <w:bookmarkStart w:id="10295" w:name="_Toc395000509"/>
      <w:bookmarkStart w:id="10296" w:name="_Toc395002381"/>
      <w:bookmarkStart w:id="10297" w:name="_Toc395002774"/>
      <w:bookmarkStart w:id="10298" w:name="_Toc395001462"/>
      <w:bookmarkStart w:id="10299" w:name="_Toc395003023"/>
      <w:bookmarkStart w:id="10300" w:name="_Toc395003145"/>
      <w:bookmarkStart w:id="10301" w:name="_Toc395003216"/>
      <w:bookmarkStart w:id="10302" w:name="_Toc395003607"/>
      <w:bookmarkStart w:id="10303" w:name="_Toc395003728"/>
      <w:bookmarkStart w:id="10304" w:name="_Toc395003851"/>
      <w:bookmarkStart w:id="10305" w:name="_Toc395004243"/>
      <w:bookmarkStart w:id="10306" w:name="_Toc395004365"/>
      <w:bookmarkStart w:id="10307" w:name="_Toc395004493"/>
      <w:bookmarkStart w:id="10308" w:name="_Toc395005007"/>
      <w:bookmarkStart w:id="10309" w:name="_Toc395005104"/>
      <w:bookmarkStart w:id="10310" w:name="_Toc395005239"/>
      <w:bookmarkStart w:id="10311" w:name="_Toc395005455"/>
      <w:bookmarkStart w:id="10312" w:name="_Toc395005848"/>
      <w:bookmarkStart w:id="10313" w:name="_Toc395005972"/>
      <w:bookmarkStart w:id="10314" w:name="_Toc395006912"/>
      <w:bookmarkStart w:id="10315" w:name="_Toc395007034"/>
      <w:bookmarkStart w:id="10316" w:name="_Toc395004059"/>
      <w:bookmarkStart w:id="10317" w:name="_Toc395004349"/>
      <w:bookmarkStart w:id="10318" w:name="_Toc395006577"/>
      <w:bookmarkStart w:id="10319" w:name="_Toc395007126"/>
      <w:bookmarkStart w:id="10320" w:name="_Toc395007506"/>
      <w:bookmarkStart w:id="10321" w:name="_Toc395007628"/>
      <w:bookmarkStart w:id="10322" w:name="_Toc395004585"/>
      <w:bookmarkStart w:id="10323" w:name="_Toc395004965"/>
      <w:bookmarkStart w:id="10324" w:name="_Toc395007756"/>
      <w:bookmarkStart w:id="10325" w:name="_Toc395008142"/>
      <w:bookmarkStart w:id="10326" w:name="_Toc395008264"/>
      <w:bookmarkStart w:id="10327" w:name="_Toc395005965"/>
      <w:bookmarkStart w:id="10328" w:name="_Toc395008392"/>
      <w:bookmarkStart w:id="10329" w:name="_Toc395008778"/>
      <w:bookmarkStart w:id="10330" w:name="_Toc395008900"/>
      <w:bookmarkStart w:id="10331" w:name="_Toc395009023"/>
      <w:bookmarkStart w:id="10332" w:name="_Toc395009321"/>
      <w:bookmarkStart w:id="10333" w:name="_Toc395009448"/>
      <w:bookmarkStart w:id="10334" w:name="_Toc395008393"/>
      <w:bookmarkStart w:id="10335" w:name="_Toc395008908"/>
      <w:bookmarkStart w:id="10336" w:name="_Toc395009834"/>
      <w:bookmarkStart w:id="10337" w:name="_Toc395009961"/>
      <w:bookmarkStart w:id="10338" w:name="_Toc395010348"/>
      <w:bookmarkStart w:id="10339" w:name="_Toc395010470"/>
      <w:bookmarkStart w:id="10340" w:name="_Toc395008387"/>
      <w:bookmarkStart w:id="10341" w:name="_Toc395008686"/>
      <w:bookmarkStart w:id="10342" w:name="_Toc395008808"/>
      <w:bookmarkStart w:id="10343" w:name="_Toc395010598"/>
      <w:bookmarkStart w:id="10344" w:name="_Toc395010979"/>
      <w:bookmarkStart w:id="10345" w:name="_Toc395011100"/>
      <w:bookmarkStart w:id="10346" w:name="_Toc395006096"/>
      <w:bookmarkStart w:id="10347" w:name="_Toc395006484"/>
      <w:bookmarkStart w:id="10348" w:name="_Toc395006607"/>
      <w:bookmarkStart w:id="10349" w:name="_Toc395007968"/>
      <w:bookmarkStart w:id="10350" w:name="_Toc395008352"/>
      <w:bookmarkStart w:id="10351" w:name="_Toc395008890"/>
      <w:bookmarkStart w:id="10352" w:name="_Toc396235870"/>
      <w:bookmarkStart w:id="10353" w:name="_Toc396236246"/>
      <w:bookmarkStart w:id="10354" w:name="_Toc396236024"/>
      <w:bookmarkStart w:id="10355" w:name="_Toc396235871"/>
      <w:bookmarkStart w:id="10356" w:name="_Toc396235872"/>
      <w:bookmarkStart w:id="10357" w:name="_Toc396235873"/>
      <w:bookmarkStart w:id="10358" w:name="_Toc396235874"/>
      <w:bookmarkStart w:id="10359" w:name="_Toc396235875"/>
      <w:bookmarkStart w:id="10360" w:name="_Toc396235876"/>
      <w:bookmarkStart w:id="10361" w:name="_Toc396235877"/>
      <w:bookmarkStart w:id="10362" w:name="_Toc395178328"/>
      <w:bookmarkStart w:id="10363" w:name="_Toc395624817"/>
      <w:bookmarkStart w:id="10364" w:name="_Toc395624936"/>
      <w:bookmarkStart w:id="10365" w:name="_Toc395789795"/>
      <w:bookmarkStart w:id="10366" w:name="_Toc395790168"/>
      <w:bookmarkStart w:id="10367" w:name="_Toc395800926"/>
      <w:bookmarkStart w:id="10368" w:name="_Toc395802909"/>
      <w:bookmarkStart w:id="10369" w:name="_Toc395867524"/>
      <w:bookmarkStart w:id="10370" w:name="_Toc395867685"/>
      <w:bookmarkStart w:id="10371" w:name="_Toc395868657"/>
      <w:bookmarkStart w:id="10372" w:name="_Toc395868817"/>
      <w:bookmarkStart w:id="10373" w:name="_Toc395879038"/>
      <w:bookmarkStart w:id="10374" w:name="_Toc395879196"/>
      <w:bookmarkStart w:id="10375" w:name="_Toc395882162"/>
      <w:bookmarkStart w:id="10376" w:name="_Toc395882320"/>
      <w:bookmarkStart w:id="10377" w:name="_Toc395882493"/>
      <w:bookmarkStart w:id="10378" w:name="_Toc395882651"/>
      <w:bookmarkStart w:id="10379" w:name="_Toc395880657"/>
      <w:bookmarkStart w:id="10380" w:name="_Toc395880988"/>
      <w:bookmarkStart w:id="10381" w:name="_Toc395881546"/>
      <w:bookmarkStart w:id="10382" w:name="_Toc395883931"/>
      <w:bookmarkStart w:id="10383" w:name="_Toc395884089"/>
      <w:bookmarkStart w:id="10384" w:name="_Toc395884593"/>
      <w:bookmarkStart w:id="10385" w:name="_Toc395884751"/>
      <w:bookmarkStart w:id="10386" w:name="_Toc395883302"/>
      <w:bookmarkStart w:id="10387" w:name="_Toc395883460"/>
      <w:bookmarkStart w:id="10388" w:name="_Toc395883632"/>
      <w:bookmarkStart w:id="10389" w:name="_Toc395883790"/>
      <w:bookmarkStart w:id="10390" w:name="_Toc395884934"/>
      <w:bookmarkStart w:id="10391" w:name="_Toc396123900"/>
      <w:bookmarkStart w:id="10392" w:name="_Toc396130802"/>
      <w:bookmarkStart w:id="10393" w:name="_Toc396136380"/>
      <w:bookmarkStart w:id="10394" w:name="_Toc396138914"/>
      <w:bookmarkStart w:id="10395" w:name="_Toc396145604"/>
      <w:bookmarkStart w:id="10396" w:name="_Toc396145835"/>
      <w:bookmarkStart w:id="10397" w:name="_Toc396146493"/>
      <w:bookmarkStart w:id="10398" w:name="_Toc396147657"/>
      <w:bookmarkStart w:id="10399" w:name="_Toc396147856"/>
      <w:bookmarkStart w:id="10400" w:name="_Toc396149112"/>
      <w:bookmarkStart w:id="10401" w:name="_Toc396148912"/>
      <w:bookmarkStart w:id="10402" w:name="_Toc396149606"/>
      <w:bookmarkStart w:id="10403" w:name="_Toc396149339"/>
      <w:bookmarkStart w:id="10404" w:name="_Toc396150035"/>
      <w:bookmarkStart w:id="10405" w:name="_Toc396149960"/>
      <w:bookmarkStart w:id="10406" w:name="_Toc396149797"/>
      <w:bookmarkStart w:id="10407" w:name="_Toc396150551"/>
      <w:bookmarkStart w:id="10408" w:name="_Toc396151528"/>
      <w:bookmarkStart w:id="10409" w:name="_Toc396151734"/>
      <w:bookmarkStart w:id="10410" w:name="_Toc396202536"/>
      <w:bookmarkStart w:id="10411" w:name="_Toc396202746"/>
      <w:bookmarkStart w:id="10412" w:name="_Toc396206743"/>
      <w:bookmarkStart w:id="10413" w:name="_Toc396206953"/>
      <w:bookmarkStart w:id="10414" w:name="_Toc396209571"/>
      <w:bookmarkStart w:id="10415" w:name="_Toc396209781"/>
      <w:bookmarkStart w:id="10416" w:name="_Toc396211995"/>
      <w:bookmarkStart w:id="10417" w:name="_Toc396212205"/>
      <w:bookmarkStart w:id="10418" w:name="_Toc396213337"/>
      <w:bookmarkStart w:id="10419" w:name="_Toc396213547"/>
      <w:bookmarkStart w:id="10420" w:name="_Toc396214614"/>
      <w:bookmarkStart w:id="10421" w:name="_Toc396214823"/>
      <w:bookmarkStart w:id="10422" w:name="_Toc396226726"/>
      <w:bookmarkStart w:id="10423" w:name="_Toc396226934"/>
      <w:bookmarkStart w:id="10424" w:name="_Toc396228926"/>
      <w:bookmarkStart w:id="10425" w:name="_Toc396229140"/>
      <w:bookmarkStart w:id="10426" w:name="_Toc396230568"/>
      <w:bookmarkStart w:id="10427" w:name="_Toc396230782"/>
      <w:bookmarkStart w:id="10428" w:name="_Toc396231709"/>
      <w:bookmarkStart w:id="10429" w:name="_Toc396231924"/>
      <w:bookmarkStart w:id="10430" w:name="_Toc396233349"/>
      <w:bookmarkStart w:id="10431" w:name="_Toc396233564"/>
      <w:bookmarkStart w:id="10432" w:name="_Toc396234169"/>
      <w:bookmarkStart w:id="10433" w:name="_Toc396234384"/>
      <w:bookmarkStart w:id="10434" w:name="_Toc396234578"/>
      <w:bookmarkStart w:id="10435" w:name="_Toc396235878"/>
      <w:bookmarkStart w:id="10436" w:name="_Toc396236247"/>
      <w:bookmarkStart w:id="10437" w:name="_Toc396236025"/>
      <w:bookmarkStart w:id="10438" w:name="_Toc396304678"/>
      <w:bookmarkStart w:id="10439" w:name="_Toc396586381"/>
      <w:bookmarkStart w:id="10440" w:name="_Toc396815127"/>
      <w:bookmarkStart w:id="10441" w:name="_Toc396821076"/>
      <w:bookmarkStart w:id="10442" w:name="_Toc396821684"/>
      <w:bookmarkStart w:id="10443" w:name="_Toc396827534"/>
      <w:bookmarkStart w:id="10444" w:name="_Toc396828505"/>
      <w:bookmarkStart w:id="10445" w:name="_Toc396828615"/>
      <w:bookmarkStart w:id="10446" w:name="_Toc396838004"/>
      <w:bookmarkStart w:id="10447" w:name="_Toc396838402"/>
      <w:bookmarkStart w:id="10448" w:name="_Toc396904725"/>
      <w:bookmarkStart w:id="10449" w:name="_Toc396907559"/>
      <w:bookmarkStart w:id="10450" w:name="_Toc396912478"/>
      <w:bookmarkStart w:id="10451" w:name="_Toc396914458"/>
      <w:bookmarkStart w:id="10452" w:name="_Toc396915342"/>
      <w:bookmarkStart w:id="10453" w:name="_Toc396915736"/>
      <w:bookmarkStart w:id="10454" w:name="_Toc396921047"/>
      <w:bookmarkStart w:id="10455" w:name="_Toc396924387"/>
      <w:bookmarkStart w:id="10456" w:name="_Toc396925081"/>
      <w:bookmarkStart w:id="10457" w:name="_Toc396992201"/>
      <w:bookmarkStart w:id="10458" w:name="_Toc396992780"/>
      <w:bookmarkStart w:id="10459" w:name="_Toc396994444"/>
      <w:bookmarkStart w:id="10460" w:name="_Toc397002215"/>
      <w:bookmarkStart w:id="10461" w:name="_Toc397003134"/>
      <w:bookmarkStart w:id="10462" w:name="_Toc397008692"/>
      <w:bookmarkStart w:id="10463" w:name="_Toc397008910"/>
      <w:bookmarkStart w:id="10464" w:name="_Toc397011582"/>
      <w:bookmarkStart w:id="10465" w:name="_Toc397012643"/>
      <w:bookmarkStart w:id="10466" w:name="_Toc397014985"/>
      <w:bookmarkStart w:id="10467" w:name="_Toc397015472"/>
      <w:bookmarkStart w:id="10468" w:name="_Toc397070543"/>
      <w:bookmarkStart w:id="10469" w:name="_Toc397413281"/>
      <w:bookmarkStart w:id="10470" w:name="_Toc397413428"/>
      <w:bookmarkStart w:id="10471" w:name="_Toc397428013"/>
      <w:bookmarkStart w:id="10472" w:name="_Toc397439401"/>
      <w:bookmarkStart w:id="10473" w:name="_Toc397439571"/>
      <w:bookmarkStart w:id="10474" w:name="_Toc397439827"/>
      <w:bookmarkStart w:id="10475" w:name="_Toc397440129"/>
      <w:bookmarkStart w:id="10476" w:name="_Toc397441758"/>
      <w:bookmarkStart w:id="10477" w:name="_Toc397517460"/>
      <w:bookmarkStart w:id="10478" w:name="_Toc397522725"/>
      <w:bookmarkStart w:id="10479" w:name="_Toc397526143"/>
      <w:bookmarkStart w:id="10480" w:name="_Toc397528458"/>
      <w:bookmarkStart w:id="10481" w:name="_Toc397528933"/>
      <w:bookmarkStart w:id="10482" w:name="_Toc397601930"/>
      <w:bookmarkStart w:id="10483" w:name="_Toc397602665"/>
      <w:bookmarkStart w:id="10484" w:name="_Toc397605794"/>
      <w:bookmarkStart w:id="10485" w:name="_Toc397614938"/>
      <w:bookmarkStart w:id="10486" w:name="_Toc397616381"/>
      <w:bookmarkStart w:id="10487" w:name="_Toc397616775"/>
      <w:bookmarkStart w:id="10488" w:name="_Toc397679185"/>
      <w:bookmarkStart w:id="10489" w:name="_Toc397688073"/>
      <w:bookmarkStart w:id="10490" w:name="_Toc397689289"/>
      <w:bookmarkStart w:id="10491" w:name="_Toc397694569"/>
      <w:bookmarkStart w:id="10492" w:name="_Toc397696410"/>
      <w:bookmarkStart w:id="10493" w:name="_Toc397697144"/>
      <w:bookmarkStart w:id="10494" w:name="_Toc397698431"/>
      <w:bookmarkStart w:id="10495" w:name="_Toc397699797"/>
      <w:bookmarkStart w:id="10496" w:name="_Toc397700251"/>
      <w:bookmarkStart w:id="10497" w:name="_Toc397936643"/>
      <w:bookmarkStart w:id="10498" w:name="_Toc397936763"/>
      <w:bookmarkStart w:id="10499" w:name="_Toc397945919"/>
      <w:bookmarkStart w:id="10500" w:name="_Toc397946945"/>
      <w:bookmarkStart w:id="10501" w:name="_Toc397948064"/>
      <w:bookmarkStart w:id="10502" w:name="_Toc397958470"/>
      <w:bookmarkStart w:id="10503" w:name="_Toc397958712"/>
      <w:bookmarkStart w:id="10504" w:name="_Toc397959127"/>
      <w:bookmarkStart w:id="10505" w:name="_Toc397962980"/>
      <w:bookmarkStart w:id="10506" w:name="_Toc397963346"/>
      <w:bookmarkStart w:id="10507" w:name="_Toc397965423"/>
      <w:bookmarkStart w:id="10508" w:name="_Toc398197361"/>
      <w:bookmarkStart w:id="10509" w:name="_Toc398199864"/>
      <w:bookmarkStart w:id="10510" w:name="_Toc398201578"/>
      <w:bookmarkStart w:id="10511" w:name="_Toc398207183"/>
      <w:bookmarkStart w:id="10512" w:name="_Toc398210456"/>
      <w:bookmarkStart w:id="10513" w:name="_Toc398210970"/>
      <w:bookmarkStart w:id="10514" w:name="_Toc398219778"/>
      <w:bookmarkStart w:id="10515" w:name="_Toc398220153"/>
      <w:bookmarkStart w:id="10516" w:name="_Toc398220540"/>
      <w:bookmarkStart w:id="10517" w:name="_Toc398221618"/>
      <w:bookmarkStart w:id="10518" w:name="_Toc398222304"/>
      <w:bookmarkStart w:id="10519" w:name="_Toc398222616"/>
      <w:bookmarkStart w:id="10520" w:name="_Toc398223033"/>
      <w:bookmarkStart w:id="10521" w:name="_Toc398223412"/>
      <w:bookmarkStart w:id="10522" w:name="_Toc398223539"/>
      <w:bookmarkStart w:id="10523" w:name="_Toc398224347"/>
      <w:bookmarkStart w:id="10524" w:name="_Toc398225684"/>
      <w:bookmarkStart w:id="10525" w:name="_Toc398225809"/>
      <w:bookmarkStart w:id="10526" w:name="_Toc398281296"/>
      <w:bookmarkStart w:id="10527" w:name="_Toc398282155"/>
      <w:bookmarkStart w:id="10528" w:name="_Toc398284825"/>
      <w:bookmarkStart w:id="10529" w:name="_Toc398287294"/>
      <w:bookmarkStart w:id="10530" w:name="_Toc398289177"/>
      <w:bookmarkStart w:id="10531" w:name="_Toc398297174"/>
      <w:bookmarkStart w:id="10532" w:name="_Toc398298648"/>
      <w:bookmarkStart w:id="10533" w:name="_Toc398300349"/>
      <w:bookmarkStart w:id="10534" w:name="_Toc398301246"/>
      <w:bookmarkStart w:id="10535" w:name="_Toc398302431"/>
      <w:bookmarkStart w:id="10536" w:name="_Toc398302594"/>
      <w:bookmarkStart w:id="10537" w:name="_Toc398549107"/>
      <w:bookmarkStart w:id="10538" w:name="_Toc398549357"/>
      <w:bookmarkStart w:id="10539" w:name="_Toc398555776"/>
      <w:bookmarkStart w:id="10540" w:name="_Toc398558980"/>
      <w:bookmarkStart w:id="10541" w:name="_Toc398563466"/>
      <w:bookmarkStart w:id="10542" w:name="_Toc398563599"/>
      <w:bookmarkStart w:id="10543" w:name="_Toc398563998"/>
      <w:bookmarkStart w:id="10544" w:name="_Toc398827336"/>
      <w:bookmarkStart w:id="10545" w:name="_Toc398827530"/>
      <w:bookmarkStart w:id="10546" w:name="_Toc394995165"/>
      <w:bookmarkStart w:id="10547" w:name="_Toc394995687"/>
      <w:bookmarkStart w:id="10548" w:name="_Toc394996001"/>
      <w:bookmarkStart w:id="10549" w:name="_Toc394996128"/>
      <w:bookmarkStart w:id="10550" w:name="_Toc394997853"/>
      <w:bookmarkStart w:id="10551" w:name="_Toc394998242"/>
      <w:bookmarkStart w:id="10552" w:name="_Toc394998367"/>
      <w:bookmarkStart w:id="10553" w:name="_Toc394998755"/>
      <w:bookmarkStart w:id="10554" w:name="_Toc395000823"/>
      <w:bookmarkStart w:id="10555" w:name="_Toc395001863"/>
      <w:bookmarkStart w:id="10556" w:name="_Toc395002255"/>
      <w:bookmarkStart w:id="10557" w:name="_Toc395001463"/>
      <w:bookmarkStart w:id="10558" w:name="_Toc395001735"/>
      <w:bookmarkStart w:id="10559" w:name="_Toc395003024"/>
      <w:bookmarkStart w:id="10560" w:name="_Toc395003217"/>
      <w:bookmarkStart w:id="10561" w:name="_Toc395003608"/>
      <w:bookmarkStart w:id="10562" w:name="_Toc395005105"/>
      <w:bookmarkStart w:id="10563" w:name="_Toc395005456"/>
      <w:bookmarkStart w:id="10564" w:name="_Toc395005849"/>
      <w:bookmarkStart w:id="10565" w:name="_Toc395009024"/>
      <w:bookmarkStart w:id="10566" w:name="_Toc395009835"/>
      <w:bookmarkStart w:id="10567" w:name="_Toc395010218"/>
      <w:bookmarkStart w:id="10568" w:name="_Toc395010690"/>
      <w:bookmarkStart w:id="10569" w:name="_Toc395010060"/>
      <w:bookmarkStart w:id="10570" w:name="_Toc395011464"/>
      <w:bookmarkStart w:id="10571" w:name="_Toc395011577"/>
      <w:bookmarkStart w:id="10572" w:name="_Toc395012404"/>
      <w:bookmarkStart w:id="10573" w:name="_Toc395012758"/>
      <w:bookmarkStart w:id="10574" w:name="_Toc395012985"/>
      <w:bookmarkStart w:id="10575" w:name="_Toc395010809"/>
      <w:bookmarkStart w:id="10576" w:name="_Toc395012282"/>
      <w:bookmarkStart w:id="10577" w:name="_Toc395014561"/>
      <w:bookmarkStart w:id="10578" w:name="_Toc395014674"/>
      <w:bookmarkStart w:id="10579" w:name="_Toc395011870"/>
      <w:bookmarkStart w:id="10580" w:name="_Toc395013274"/>
      <w:bookmarkStart w:id="10581" w:name="_Toc395084904"/>
      <w:bookmarkStart w:id="10582" w:name="_Toc395085205"/>
      <w:bookmarkStart w:id="10583" w:name="_Toc395090314"/>
      <w:bookmarkStart w:id="10584" w:name="_Toc395090671"/>
      <w:bookmarkStart w:id="10585" w:name="_Toc395090783"/>
      <w:bookmarkStart w:id="10586" w:name="_Toc395092682"/>
      <w:bookmarkStart w:id="10587" w:name="_Toc395092894"/>
      <w:bookmarkStart w:id="10588" w:name="_Toc395093254"/>
      <w:bookmarkStart w:id="10589" w:name="_Toc395093366"/>
      <w:bookmarkStart w:id="10590" w:name="_Toc395097805"/>
      <w:bookmarkStart w:id="10591" w:name="_Toc395098164"/>
      <w:bookmarkStart w:id="10592" w:name="_Toc395098276"/>
      <w:bookmarkStart w:id="10593" w:name="_Toc395105349"/>
      <w:bookmarkStart w:id="10594" w:name="_Toc395105460"/>
      <w:bookmarkStart w:id="10595" w:name="_Toc395106952"/>
      <w:bookmarkStart w:id="10596" w:name="_Toc395107063"/>
      <w:bookmarkStart w:id="10597" w:name="_Toc395109944"/>
      <w:bookmarkStart w:id="10598" w:name="_Toc395109610"/>
      <w:bookmarkStart w:id="10599" w:name="_Toc395109721"/>
      <w:bookmarkStart w:id="10600" w:name="_Toc395111949"/>
      <w:bookmarkStart w:id="10601" w:name="_Toc395112315"/>
      <w:bookmarkStart w:id="10602" w:name="_Toc395112426"/>
      <w:bookmarkStart w:id="10603" w:name="_Toc395106869"/>
      <w:bookmarkStart w:id="10604" w:name="_Toc395107457"/>
      <w:bookmarkStart w:id="10605" w:name="_Toc395107571"/>
      <w:bookmarkStart w:id="10606" w:name="_Toc395110121"/>
      <w:bookmarkStart w:id="10607" w:name="_Toc395108629"/>
      <w:bookmarkStart w:id="10608" w:name="_Toc395109019"/>
      <w:bookmarkStart w:id="10609" w:name="_Toc395113869"/>
      <w:bookmarkStart w:id="10610" w:name="_Toc395114258"/>
      <w:bookmarkStart w:id="10611" w:name="_Toc395114378"/>
      <w:bookmarkStart w:id="10612" w:name="_Toc395116606"/>
      <w:bookmarkStart w:id="10613" w:name="_Toc395116995"/>
      <w:bookmarkStart w:id="10614" w:name="_Toc395117116"/>
      <w:bookmarkStart w:id="10615" w:name="_Toc395112543"/>
      <w:bookmarkStart w:id="10616" w:name="_Toc395113113"/>
      <w:bookmarkStart w:id="10617" w:name="_Toc395113234"/>
      <w:bookmarkStart w:id="10618" w:name="_Toc395115082"/>
      <w:bookmarkStart w:id="10619" w:name="_Toc395115472"/>
      <w:bookmarkStart w:id="10620" w:name="_Toc395115593"/>
      <w:bookmarkStart w:id="10621" w:name="_Toc395118237"/>
      <w:bookmarkStart w:id="10622" w:name="_Toc395118624"/>
      <w:bookmarkStart w:id="10623" w:name="_Toc395118743"/>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r w:rsidRPr="008625DC">
        <w:rPr>
          <w:lang w:val="en-AU"/>
        </w:rPr>
        <w:t>C</w:t>
      </w:r>
      <w:bookmarkEnd w:id="10352"/>
      <w:bookmarkEnd w:id="10353"/>
      <w:bookmarkEnd w:id="10354"/>
      <w:bookmarkEnd w:id="10355"/>
      <w:bookmarkEnd w:id="10356"/>
      <w:bookmarkEnd w:id="10357"/>
      <w:bookmarkEnd w:id="10358"/>
      <w:bookmarkEnd w:id="10359"/>
      <w:bookmarkEnd w:id="10360"/>
      <w:bookmarkEnd w:id="10361"/>
      <w:r w:rsidRPr="008625DC">
        <w:rPr>
          <w:lang w:val="en-AU"/>
        </w:rPr>
        <w:t>ompetition payments</w:t>
      </w:r>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p>
    <w:p w14:paraId="064131C9" w14:textId="30D5EB51" w:rsidR="000752DD" w:rsidRPr="008625DC" w:rsidRDefault="000752DD" w:rsidP="000752DD">
      <w:r w:rsidRPr="008625DC">
        <w:t xml:space="preserve">There is widespread support for competition payments </w:t>
      </w:r>
      <w:r w:rsidR="00384E9E" w:rsidRPr="008625DC">
        <w:t xml:space="preserve">that were </w:t>
      </w:r>
      <w:r w:rsidRPr="008625DC">
        <w:t xml:space="preserve">made by the Commonwealth to </w:t>
      </w:r>
      <w:r w:rsidR="00384E9E" w:rsidRPr="008625DC">
        <w:t>s</w:t>
      </w:r>
      <w:r w:rsidR="00660F63" w:rsidRPr="008625DC">
        <w:t>t</w:t>
      </w:r>
      <w:r w:rsidRPr="008625DC">
        <w:t xml:space="preserve">ate and </w:t>
      </w:r>
      <w:r w:rsidR="00384E9E" w:rsidRPr="008625DC">
        <w:t>t</w:t>
      </w:r>
      <w:r w:rsidR="00660F63" w:rsidRPr="008625DC">
        <w:t xml:space="preserve">erritory </w:t>
      </w:r>
      <w:r w:rsidR="00384E9E" w:rsidRPr="008625DC">
        <w:t>g</w:t>
      </w:r>
      <w:r w:rsidRPr="008625DC">
        <w:t xml:space="preserve">overnments </w:t>
      </w:r>
      <w:r w:rsidR="00660F63" w:rsidRPr="008625DC">
        <w:t xml:space="preserve">to recognise that the Commonwealth received a disproportionate share of the increased revenue </w:t>
      </w:r>
      <w:r w:rsidR="00384E9E" w:rsidRPr="008625DC">
        <w:t xml:space="preserve">flowing from </w:t>
      </w:r>
      <w:r w:rsidR="00F670B7" w:rsidRPr="008625DC">
        <w:t xml:space="preserve">the </w:t>
      </w:r>
      <w:r w:rsidR="00384E9E" w:rsidRPr="008625DC">
        <w:t>NCP reforms</w:t>
      </w:r>
      <w:r w:rsidRPr="008625DC">
        <w:t xml:space="preserve">. </w:t>
      </w:r>
    </w:p>
    <w:p w14:paraId="0E1FA8A4" w14:textId="5848150E" w:rsidR="000752DD" w:rsidRPr="008625DC" w:rsidRDefault="000752DD" w:rsidP="000752DD">
      <w:r w:rsidRPr="008625DC">
        <w:t xml:space="preserve">While the quantum of the payments was not large compared to total state and territory revenues, the Panel consistently </w:t>
      </w:r>
      <w:r w:rsidR="00384E9E" w:rsidRPr="008625DC">
        <w:t xml:space="preserve">heard </w:t>
      </w:r>
      <w:r w:rsidRPr="008625DC">
        <w:t xml:space="preserve">that their existence provided an additional argument that could be used </w:t>
      </w:r>
      <w:r w:rsidR="00384E9E" w:rsidRPr="008625DC">
        <w:lastRenderedPageBreak/>
        <w:t xml:space="preserve">to </w:t>
      </w:r>
      <w:r w:rsidRPr="008625DC">
        <w:t xml:space="preserve">support reform. The Panel was also told, however, that their effectiveness was limited </w:t>
      </w:r>
      <w:r w:rsidRPr="008625DC" w:rsidDel="000929DF">
        <w:t xml:space="preserve">by </w:t>
      </w:r>
      <w:r w:rsidRPr="008625DC">
        <w:t xml:space="preserve">not being applied to the Commonwealth </w:t>
      </w:r>
      <w:proofErr w:type="gramStart"/>
      <w:r w:rsidR="00303AED" w:rsidRPr="008625DC">
        <w:t>n</w:t>
      </w:r>
      <w:r w:rsidRPr="008625DC">
        <w:t>or</w:t>
      </w:r>
      <w:proofErr w:type="gramEnd"/>
      <w:r w:rsidRPr="008625DC">
        <w:t xml:space="preserve"> consistently to local government.</w:t>
      </w:r>
    </w:p>
    <w:p w14:paraId="6F954D07" w14:textId="187CFA65" w:rsidR="000752DD" w:rsidRPr="008625DC" w:rsidRDefault="000752DD" w:rsidP="000752DD">
      <w:r w:rsidRPr="008625DC">
        <w:t xml:space="preserve">On the other hand, as noted by the PC, a focus on payments and penalties </w:t>
      </w:r>
      <w:r w:rsidR="00C74E19" w:rsidRPr="008625DC">
        <w:t>‘</w:t>
      </w:r>
      <w:r w:rsidRPr="008625DC">
        <w:t>has from time to time almost certainly misled the community as to the main rationale for reform</w:t>
      </w:r>
      <w:r w:rsidR="0031183F" w:rsidRPr="008625DC">
        <w:t xml:space="preserve"> </w:t>
      </w:r>
      <w:r w:rsidR="00A74398" w:rsidRPr="008625DC">
        <w:t>…</w:t>
      </w:r>
      <w:r w:rsidR="00C74E19" w:rsidRPr="008625DC">
        <w:t>’</w:t>
      </w:r>
      <w:r w:rsidRPr="008625DC">
        <w:rPr>
          <w:rStyle w:val="FootnoteReference"/>
        </w:rPr>
        <w:footnoteReference w:id="14"/>
      </w:r>
      <w:r w:rsidRPr="008625DC">
        <w:t xml:space="preserve"> This appears to underlie the observation made by many stakeholders that progress with competition policy reform waned once competition payments ceased. </w:t>
      </w:r>
    </w:p>
    <w:p w14:paraId="4DB90140" w14:textId="3AF44935" w:rsidR="000752DD" w:rsidRPr="008625DC" w:rsidRDefault="000752DD" w:rsidP="000752DD">
      <w:r w:rsidRPr="008625DC">
        <w:t>That said</w:t>
      </w:r>
      <w:proofErr w:type="gramStart"/>
      <w:r w:rsidRPr="008625DC">
        <w:t>,</w:t>
      </w:r>
      <w:proofErr w:type="gramEnd"/>
      <w:r w:rsidRPr="008625DC">
        <w:t xml:space="preserve"> there is a case to be made that the benefits of reform, including any fiscal dividend, should be commensurate with the reform effort made. The differing revenue bases of the Commonwealth and the </w:t>
      </w:r>
      <w:r w:rsidR="00640F23" w:rsidRPr="008625DC">
        <w:t>States</w:t>
      </w:r>
      <w:r w:rsidRPr="008625DC">
        <w:t xml:space="preserve"> and </w:t>
      </w:r>
      <w:r w:rsidR="00640F23" w:rsidRPr="008625DC">
        <w:t>T</w:t>
      </w:r>
      <w:r w:rsidRPr="008625DC">
        <w:t>erritories mean that revenue may not flow in proportion to reform effort.</w:t>
      </w:r>
    </w:p>
    <w:p w14:paraId="4D71C9E4" w14:textId="0DE0020C" w:rsidR="000752DD" w:rsidRPr="008625DC" w:rsidRDefault="00660F63" w:rsidP="000752DD">
      <w:r w:rsidRPr="008625DC">
        <w:t xml:space="preserve">The PC should be tasked to undertake a study of reforms agreed to by the Commonwealth and </w:t>
      </w:r>
      <w:r w:rsidR="00384E9E" w:rsidRPr="008625DC">
        <w:t>s</w:t>
      </w:r>
      <w:r w:rsidRPr="008625DC">
        <w:t>tate and</w:t>
      </w:r>
      <w:r w:rsidR="00384E9E" w:rsidRPr="008625DC">
        <w:t xml:space="preserve"> t</w:t>
      </w:r>
      <w:r w:rsidRPr="008625DC">
        <w:t xml:space="preserve">erritory </w:t>
      </w:r>
      <w:r w:rsidR="00384E9E" w:rsidRPr="008625DC">
        <w:t>g</w:t>
      </w:r>
      <w:r w:rsidRPr="008625DC">
        <w:t>overnments to estimate the</w:t>
      </w:r>
      <w:r w:rsidR="00384E9E" w:rsidRPr="008625DC">
        <w:t>ir</w:t>
      </w:r>
      <w:r w:rsidRPr="008625DC">
        <w:t xml:space="preserve"> effect on revenue in each jurisdiction.</w:t>
      </w:r>
      <w:r w:rsidR="00BB57BC" w:rsidRPr="008625DC">
        <w:t xml:space="preserve"> </w:t>
      </w:r>
      <w:r w:rsidR="000752DD" w:rsidRPr="008625DC">
        <w:t xml:space="preserve">The ACCP could </w:t>
      </w:r>
      <w:r w:rsidR="00384E9E" w:rsidRPr="008625DC">
        <w:t>then assess</w:t>
      </w:r>
      <w:r w:rsidR="000752DD" w:rsidRPr="008625DC">
        <w:t xml:space="preserve"> whether reforms had been undertaken to a sufficient standard to warrant compensation payment</w:t>
      </w:r>
      <w:r w:rsidR="00384E9E" w:rsidRPr="008625DC">
        <w:t>s</w:t>
      </w:r>
      <w:r w:rsidR="000752DD" w:rsidRPr="008625DC">
        <w:t>. That assessment would be based on actual implementation of reforms, not on the basis of undertaking reviews or other processes.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3754019D" w14:textId="77777777" w:rsidTr="00F81722">
        <w:tc>
          <w:tcPr>
            <w:tcW w:w="5000" w:type="pct"/>
            <w:shd w:val="clear" w:color="auto" w:fill="E9F7F3" w:themeFill="accent4" w:themeFillTint="33"/>
          </w:tcPr>
          <w:p w14:paraId="215B2146" w14:textId="45BC1334" w:rsidR="000752DD" w:rsidRPr="008625DC" w:rsidRDefault="000752DD" w:rsidP="00F81722">
            <w:pPr>
              <w:pStyle w:val="RecommendationHeading"/>
            </w:pPr>
            <w:bookmarkStart w:id="10624" w:name="_Toc396138915"/>
            <w:bookmarkStart w:id="10625" w:name="_Toc396145836"/>
            <w:bookmarkStart w:id="10626" w:name="_Toc396146494"/>
            <w:bookmarkStart w:id="10627" w:name="_Toc396147658"/>
            <w:bookmarkStart w:id="10628" w:name="_Toc396148913"/>
            <w:bookmarkStart w:id="10629" w:name="_Toc396149340"/>
            <w:bookmarkStart w:id="10630" w:name="_Toc396149798"/>
            <w:bookmarkStart w:id="10631" w:name="_Toc396151529"/>
            <w:bookmarkStart w:id="10632" w:name="_Toc396202537"/>
            <w:bookmarkStart w:id="10633" w:name="_Toc396206744"/>
            <w:bookmarkStart w:id="10634" w:name="_Toc396209572"/>
            <w:bookmarkStart w:id="10635" w:name="_Toc396211996"/>
            <w:bookmarkStart w:id="10636" w:name="_Toc396213338"/>
            <w:bookmarkStart w:id="10637" w:name="_Toc396214615"/>
            <w:bookmarkStart w:id="10638" w:name="_Toc396226727"/>
            <w:bookmarkStart w:id="10639" w:name="_Toc396228927"/>
            <w:bookmarkStart w:id="10640" w:name="_Toc396230569"/>
            <w:bookmarkStart w:id="10641" w:name="_Toc396231710"/>
            <w:bookmarkStart w:id="10642" w:name="_Toc396233350"/>
            <w:bookmarkStart w:id="10643" w:name="_Toc396234170"/>
            <w:bookmarkStart w:id="10644" w:name="_Toc396234579"/>
            <w:bookmarkStart w:id="10645" w:name="_Toc396235879"/>
            <w:bookmarkStart w:id="10646" w:name="_Toc396586382"/>
            <w:bookmarkStart w:id="10647" w:name="DR44"/>
            <w:r w:rsidRPr="008625DC">
              <w:t xml:space="preserve">Draft Recommendation </w:t>
            </w:r>
            <w:r w:rsidRPr="008625DC">
              <w:fldChar w:fldCharType="begin"/>
            </w:r>
            <w:r w:rsidRPr="008625DC">
              <w:instrText xml:space="preserve"> AUTONUMLGL  \* Arabic \e </w:instrText>
            </w:r>
            <w:r w:rsidRPr="008625DC">
              <w:fldChar w:fldCharType="end"/>
            </w:r>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r w:rsidR="00380141" w:rsidRPr="008625DC">
              <w:t xml:space="preserve"> — </w:t>
            </w:r>
            <w:r w:rsidR="006708E0" w:rsidRPr="008625DC">
              <w:t>Competition payments</w:t>
            </w:r>
          </w:p>
          <w:p w14:paraId="4E4E1CA9" w14:textId="04D4469C" w:rsidR="000032B8" w:rsidRPr="008625DC" w:rsidDel="000929DF" w:rsidRDefault="00507F29" w:rsidP="000032B8">
            <w:pPr>
              <w:pStyle w:val="RecommendationText"/>
            </w:pPr>
            <w:bookmarkStart w:id="10648" w:name="_Toc396206745"/>
            <w:bookmarkStart w:id="10649" w:name="_Toc396209573"/>
            <w:bookmarkStart w:id="10650" w:name="_Toc396211997"/>
            <w:bookmarkStart w:id="10651" w:name="_Toc396213339"/>
            <w:bookmarkStart w:id="10652" w:name="_Toc396214616"/>
            <w:bookmarkStart w:id="10653" w:name="_Toc396226728"/>
            <w:bookmarkStart w:id="10654" w:name="_Toc396228928"/>
            <w:bookmarkStart w:id="10655" w:name="_Toc396230570"/>
            <w:bookmarkStart w:id="10656" w:name="_Toc396231711"/>
            <w:bookmarkStart w:id="10657" w:name="_Toc396233351"/>
            <w:bookmarkStart w:id="10658" w:name="_Toc396234171"/>
            <w:bookmarkStart w:id="10659" w:name="_Toc396234580"/>
            <w:bookmarkStart w:id="10660" w:name="_Toc396235880"/>
            <w:bookmarkStart w:id="10661" w:name="_Toc396586383"/>
            <w:bookmarkStart w:id="10662" w:name="_Toc395868658"/>
            <w:bookmarkStart w:id="10663" w:name="_Toc395879039"/>
            <w:bookmarkStart w:id="10664" w:name="_Toc395882163"/>
            <w:bookmarkStart w:id="10665" w:name="_Toc395882494"/>
            <w:bookmarkStart w:id="10666" w:name="_Toc395880658"/>
            <w:bookmarkStart w:id="10667" w:name="_Toc395880989"/>
            <w:bookmarkStart w:id="10668" w:name="_Toc395881547"/>
            <w:bookmarkStart w:id="10669" w:name="_Toc395883932"/>
            <w:bookmarkStart w:id="10670" w:name="_Toc395884594"/>
            <w:bookmarkStart w:id="10671" w:name="_Toc395883303"/>
            <w:bookmarkStart w:id="10672" w:name="_Toc395883633"/>
            <w:bookmarkStart w:id="10673" w:name="_Toc395884935"/>
            <w:bookmarkStart w:id="10674" w:name="_Toc396138916"/>
            <w:bookmarkStart w:id="10675" w:name="_Toc396145837"/>
            <w:bookmarkStart w:id="10676" w:name="_Toc396146495"/>
            <w:bookmarkStart w:id="10677" w:name="_Toc396147659"/>
            <w:bookmarkStart w:id="10678" w:name="_Toc396148914"/>
            <w:bookmarkStart w:id="10679" w:name="_Toc396149341"/>
            <w:bookmarkStart w:id="10680" w:name="_Toc396149799"/>
            <w:bookmarkStart w:id="10681" w:name="_Toc396151530"/>
            <w:bookmarkStart w:id="10682" w:name="_Toc396202538"/>
            <w:bookmarkStart w:id="10683" w:name="_Toc395867525"/>
            <w:bookmarkStart w:id="10684" w:name="_Toc395624937"/>
            <w:bookmarkStart w:id="10685" w:name="_Toc395789796"/>
            <w:r w:rsidRPr="008625DC">
              <w:t>The P</w:t>
            </w:r>
            <w:r w:rsidR="00057C92" w:rsidRPr="008625DC">
              <w:t xml:space="preserve">roductivity </w:t>
            </w:r>
            <w:r w:rsidRPr="008625DC">
              <w:t>C</w:t>
            </w:r>
            <w:r w:rsidR="00057C92" w:rsidRPr="008625DC">
              <w:t>ommission</w:t>
            </w:r>
            <w:r w:rsidRPr="008625DC">
              <w:t xml:space="preserve"> should be tasked to undertake a study of reforms agreed to by the Commonwealth and state and territory governments to estimate their effect on revenue in each jurisdiction.</w:t>
            </w:r>
            <w:r w:rsidRPr="008625DC" w:rsidDel="00507F29">
              <w:t xml:space="preserve"> </w:t>
            </w:r>
          </w:p>
          <w:p w14:paraId="25AE54BD" w14:textId="635407CC" w:rsidR="000032B8" w:rsidRPr="008625DC" w:rsidRDefault="000032B8" w:rsidP="000032B8">
            <w:pPr>
              <w:pStyle w:val="RecommendationText"/>
            </w:pPr>
            <w:r w:rsidRPr="008625DC">
              <w:t xml:space="preserve">If </w:t>
            </w:r>
            <w:r w:rsidR="00507F29" w:rsidRPr="008625DC">
              <w:t>disproportionate effects across jurisdictions are estimated,</w:t>
            </w:r>
            <w:r w:rsidRPr="008625DC">
              <w:t xml:space="preserve"> the Panel favours competition policy payments to ensure that revenue gains flowing from reform accrue to the jurisdictions undertaking the reform.</w:t>
            </w:r>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r w:rsidRPr="008625DC">
              <w:t xml:space="preserve"> </w:t>
            </w:r>
          </w:p>
          <w:p w14:paraId="2759B3D0" w14:textId="594E7227" w:rsidR="000752DD" w:rsidRPr="008625DC" w:rsidRDefault="000032B8" w:rsidP="000032B8">
            <w:pPr>
              <w:pStyle w:val="RecommendationText"/>
            </w:pPr>
            <w:bookmarkStart w:id="10686" w:name="_Toc396206747"/>
            <w:bookmarkStart w:id="10687" w:name="_Toc396209575"/>
            <w:bookmarkStart w:id="10688" w:name="_Toc396211999"/>
            <w:bookmarkStart w:id="10689" w:name="_Toc396213341"/>
            <w:bookmarkStart w:id="10690" w:name="_Toc396214618"/>
            <w:bookmarkStart w:id="10691" w:name="_Toc396226730"/>
            <w:bookmarkStart w:id="10692" w:name="_Toc396228930"/>
            <w:bookmarkStart w:id="10693" w:name="_Toc396230572"/>
            <w:bookmarkStart w:id="10694" w:name="_Toc396231713"/>
            <w:bookmarkStart w:id="10695" w:name="_Toc396233353"/>
            <w:bookmarkStart w:id="10696" w:name="_Toc396234173"/>
            <w:bookmarkStart w:id="10697" w:name="_Toc396234582"/>
            <w:bookmarkStart w:id="10698" w:name="_Toc396235882"/>
            <w:bookmarkStart w:id="10699" w:name="_Toc396586385"/>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r w:rsidRPr="008625DC">
              <w:t>Reform effort would be assessed by the Australian Council for Competition Policy based on actual implementation of reform measures, not on undertaking reviews.</w:t>
            </w:r>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p>
        </w:tc>
      </w:tr>
    </w:tbl>
    <w:p w14:paraId="3A80F0BF" w14:textId="6FC00505" w:rsidR="00183670" w:rsidRPr="008625DC" w:rsidRDefault="00BB57BC" w:rsidP="00A33169">
      <w:pPr>
        <w:spacing w:before="240"/>
      </w:pPr>
      <w:bookmarkStart w:id="10700" w:name="_Toc395178329"/>
      <w:bookmarkStart w:id="10701" w:name="_Toc395624818"/>
      <w:bookmarkStart w:id="10702" w:name="_Toc395624940"/>
      <w:bookmarkStart w:id="10703" w:name="_Toc395789799"/>
      <w:bookmarkStart w:id="10704" w:name="_Toc395790169"/>
      <w:bookmarkStart w:id="10705" w:name="_Toc395800927"/>
      <w:bookmarkStart w:id="10706" w:name="_Toc395802910"/>
      <w:bookmarkStart w:id="10707" w:name="_Toc395867528"/>
      <w:bookmarkStart w:id="10708" w:name="_Toc395867686"/>
      <w:bookmarkStart w:id="10709" w:name="_Toc395868660"/>
      <w:bookmarkStart w:id="10710" w:name="_Toc395868818"/>
      <w:bookmarkStart w:id="10711" w:name="_Toc395879041"/>
      <w:bookmarkStart w:id="10712" w:name="_Toc395879197"/>
      <w:bookmarkStart w:id="10713" w:name="_Toc395882165"/>
      <w:bookmarkStart w:id="10714" w:name="_Toc395882321"/>
      <w:bookmarkStart w:id="10715" w:name="_Toc395882496"/>
      <w:bookmarkStart w:id="10716" w:name="_Toc395882652"/>
      <w:bookmarkStart w:id="10717" w:name="_Toc395880660"/>
      <w:bookmarkStart w:id="10718" w:name="_Toc395880991"/>
      <w:bookmarkStart w:id="10719" w:name="_Toc395881549"/>
      <w:bookmarkStart w:id="10720" w:name="_Toc395883934"/>
      <w:bookmarkStart w:id="10721" w:name="_Toc395884090"/>
      <w:bookmarkStart w:id="10722" w:name="_Toc395884596"/>
      <w:bookmarkStart w:id="10723" w:name="_Toc395884752"/>
      <w:bookmarkStart w:id="10724" w:name="_Toc395883305"/>
      <w:bookmarkStart w:id="10725" w:name="_Toc395883461"/>
      <w:bookmarkStart w:id="10726" w:name="_Toc395883635"/>
      <w:bookmarkStart w:id="10727" w:name="_Toc395883791"/>
      <w:bookmarkStart w:id="10728" w:name="_Toc395884937"/>
      <w:bookmarkStart w:id="10729" w:name="_Toc396123901"/>
      <w:bookmarkStart w:id="10730" w:name="_Toc396130803"/>
      <w:bookmarkStart w:id="10731" w:name="_Toc396136381"/>
      <w:bookmarkStart w:id="10732" w:name="_Toc396138918"/>
      <w:bookmarkStart w:id="10733" w:name="_Toc396145605"/>
      <w:bookmarkStart w:id="10734" w:name="_Toc396145839"/>
      <w:bookmarkStart w:id="10735" w:name="_Toc396146497"/>
      <w:bookmarkStart w:id="10736" w:name="_Toc396147661"/>
      <w:bookmarkStart w:id="10737" w:name="_Toc396147857"/>
      <w:bookmarkStart w:id="10738" w:name="_Toc396149113"/>
      <w:bookmarkStart w:id="10739" w:name="_Toc396148916"/>
      <w:bookmarkStart w:id="10740" w:name="_Toc396149607"/>
      <w:bookmarkStart w:id="10741" w:name="_Toc396149343"/>
      <w:bookmarkStart w:id="10742" w:name="_Toc396150036"/>
      <w:bookmarkStart w:id="10743" w:name="_Toc396149961"/>
      <w:bookmarkStart w:id="10744" w:name="_Toc396149801"/>
      <w:bookmarkStart w:id="10745" w:name="_Toc396150552"/>
      <w:bookmarkStart w:id="10746" w:name="_Toc396151532"/>
      <w:bookmarkStart w:id="10747" w:name="_Toc396151735"/>
      <w:bookmarkStart w:id="10748" w:name="_Toc396202540"/>
      <w:bookmarkStart w:id="10749" w:name="_Toc396202747"/>
      <w:bookmarkStart w:id="10750" w:name="_Toc396206748"/>
      <w:bookmarkStart w:id="10751" w:name="_Toc396206954"/>
      <w:bookmarkStart w:id="10752" w:name="_Toc396209576"/>
      <w:bookmarkStart w:id="10753" w:name="_Toc396209782"/>
      <w:bookmarkStart w:id="10754" w:name="_Toc396212000"/>
      <w:bookmarkStart w:id="10755" w:name="_Toc396212206"/>
      <w:bookmarkStart w:id="10756" w:name="_Toc396213342"/>
      <w:bookmarkStart w:id="10757" w:name="_Toc396213548"/>
      <w:bookmarkStart w:id="10758" w:name="_Toc396214619"/>
      <w:bookmarkStart w:id="10759" w:name="_Toc396214824"/>
      <w:bookmarkStart w:id="10760" w:name="_Toc396226731"/>
      <w:bookmarkStart w:id="10761" w:name="_Toc396226935"/>
      <w:bookmarkStart w:id="10762" w:name="_Toc396228931"/>
      <w:bookmarkStart w:id="10763" w:name="_Toc396229141"/>
      <w:bookmarkStart w:id="10764" w:name="_Toc396230573"/>
      <w:bookmarkStart w:id="10765" w:name="_Toc396230783"/>
      <w:bookmarkStart w:id="10766" w:name="_Toc396231714"/>
      <w:bookmarkStart w:id="10767" w:name="_Toc396231925"/>
      <w:bookmarkStart w:id="10768" w:name="_Toc396233354"/>
      <w:bookmarkStart w:id="10769" w:name="_Toc396233565"/>
      <w:bookmarkStart w:id="10770" w:name="_Toc396234174"/>
      <w:bookmarkStart w:id="10771" w:name="_Toc396234385"/>
      <w:bookmarkStart w:id="10772" w:name="_Toc396234583"/>
      <w:bookmarkStart w:id="10773" w:name="_Toc396235883"/>
      <w:bookmarkStart w:id="10774" w:name="_Toc396236248"/>
      <w:bookmarkStart w:id="10775" w:name="_Toc396236026"/>
      <w:bookmarkStart w:id="10776" w:name="_Toc396304679"/>
      <w:bookmarkStart w:id="10777" w:name="_Toc396586386"/>
      <w:bookmarkStart w:id="10778" w:name="_Toc396815128"/>
      <w:bookmarkStart w:id="10779" w:name="_Toc396821077"/>
      <w:bookmarkStart w:id="10780" w:name="_Toc396821685"/>
      <w:bookmarkStart w:id="10781" w:name="_Toc396827535"/>
      <w:bookmarkStart w:id="10782" w:name="_Toc396828506"/>
      <w:bookmarkStart w:id="10783" w:name="_Toc396828616"/>
      <w:bookmarkStart w:id="10784" w:name="_Toc396838005"/>
      <w:bookmarkStart w:id="10785" w:name="_Toc396838403"/>
      <w:bookmarkStart w:id="10786" w:name="_Toc396904726"/>
      <w:bookmarkStart w:id="10787" w:name="_Toc396907560"/>
      <w:bookmarkStart w:id="10788" w:name="_Toc396912479"/>
      <w:bookmarkStart w:id="10789" w:name="_Toc396914459"/>
      <w:r w:rsidRPr="008625DC">
        <w:t>For further detail</w:t>
      </w:r>
      <w:r w:rsidR="00183670" w:rsidRPr="008625DC">
        <w:t xml:space="preserve"> on competition payments</w:t>
      </w:r>
      <w:r w:rsidR="002664C8" w:rsidRPr="008625DC">
        <w:t>,</w:t>
      </w:r>
      <w:r w:rsidR="00183670" w:rsidRPr="008625DC">
        <w:t xml:space="preserve"> see </w:t>
      </w:r>
      <w:hyperlink w:anchor="s222pay" w:history="1">
        <w:r w:rsidR="00C538EE" w:rsidRPr="008625DC">
          <w:rPr>
            <w:rStyle w:val="Hyperlink"/>
          </w:rPr>
          <w:t>Section</w:t>
        </w:r>
        <w:r w:rsidR="00183670" w:rsidRPr="008625DC">
          <w:rPr>
            <w:rStyle w:val="Hyperlink"/>
          </w:rPr>
          <w:t xml:space="preserve"> 2</w:t>
        </w:r>
        <w:r w:rsidR="00D07739" w:rsidRPr="008625DC">
          <w:rPr>
            <w:rStyle w:val="Hyperlink"/>
          </w:rPr>
          <w:t>2.2</w:t>
        </w:r>
      </w:hyperlink>
      <w:r w:rsidR="00183670" w:rsidRPr="008625DC">
        <w:t xml:space="preserve">. </w:t>
      </w:r>
    </w:p>
    <w:p w14:paraId="2CCEAFB7" w14:textId="77777777" w:rsidR="000752DD" w:rsidRPr="008625DC" w:rsidRDefault="000752DD" w:rsidP="000B5916">
      <w:pPr>
        <w:pStyle w:val="Heading2"/>
        <w:ind w:left="851" w:hanging="851"/>
        <w:rPr>
          <w:lang w:val="en-AU"/>
        </w:rPr>
      </w:pPr>
      <w:bookmarkStart w:id="10790" w:name="_Toc396915343"/>
      <w:bookmarkStart w:id="10791" w:name="_Toc396915737"/>
      <w:bookmarkStart w:id="10792" w:name="_Toc396921048"/>
      <w:bookmarkStart w:id="10793" w:name="_Toc396924388"/>
      <w:bookmarkStart w:id="10794" w:name="_Toc396925082"/>
      <w:bookmarkStart w:id="10795" w:name="_Toc396992202"/>
      <w:bookmarkStart w:id="10796" w:name="_Toc396992781"/>
      <w:bookmarkStart w:id="10797" w:name="_Toc396994445"/>
      <w:bookmarkStart w:id="10798" w:name="_Toc397002216"/>
      <w:bookmarkStart w:id="10799" w:name="_Toc397003135"/>
      <w:bookmarkStart w:id="10800" w:name="_Toc397008693"/>
      <w:bookmarkStart w:id="10801" w:name="_Toc397008911"/>
      <w:bookmarkStart w:id="10802" w:name="_Toc397011583"/>
      <w:bookmarkStart w:id="10803" w:name="_Toc397012644"/>
      <w:bookmarkStart w:id="10804" w:name="_Toc397014986"/>
      <w:bookmarkStart w:id="10805" w:name="_Toc397015473"/>
      <w:bookmarkStart w:id="10806" w:name="_Toc397070544"/>
      <w:bookmarkStart w:id="10807" w:name="_Toc397413282"/>
      <w:bookmarkStart w:id="10808" w:name="_Toc397413429"/>
      <w:bookmarkStart w:id="10809" w:name="_Toc397428014"/>
      <w:bookmarkStart w:id="10810" w:name="_Toc397439402"/>
      <w:bookmarkStart w:id="10811" w:name="_Toc397439572"/>
      <w:bookmarkStart w:id="10812" w:name="_Toc397439828"/>
      <w:bookmarkStart w:id="10813" w:name="_Toc397440130"/>
      <w:bookmarkStart w:id="10814" w:name="_Toc397441759"/>
      <w:bookmarkStart w:id="10815" w:name="_Toc397517461"/>
      <w:bookmarkStart w:id="10816" w:name="_Toc397522726"/>
      <w:bookmarkStart w:id="10817" w:name="_Toc397526144"/>
      <w:bookmarkStart w:id="10818" w:name="_Toc397528459"/>
      <w:bookmarkStart w:id="10819" w:name="_Toc397528934"/>
      <w:bookmarkStart w:id="10820" w:name="_Toc397601931"/>
      <w:bookmarkStart w:id="10821" w:name="_Toc397602666"/>
      <w:bookmarkStart w:id="10822" w:name="_Toc397605795"/>
      <w:bookmarkStart w:id="10823" w:name="_Toc397614939"/>
      <w:bookmarkStart w:id="10824" w:name="_Toc397616382"/>
      <w:bookmarkStart w:id="10825" w:name="_Toc397616776"/>
      <w:bookmarkStart w:id="10826" w:name="_Toc397679186"/>
      <w:bookmarkStart w:id="10827" w:name="_Toc397688074"/>
      <w:bookmarkStart w:id="10828" w:name="_Toc397689290"/>
      <w:bookmarkStart w:id="10829" w:name="_Toc397694570"/>
      <w:bookmarkStart w:id="10830" w:name="_Toc397696411"/>
      <w:bookmarkStart w:id="10831" w:name="_Toc397697145"/>
      <w:bookmarkStart w:id="10832" w:name="_Toc397698432"/>
      <w:bookmarkStart w:id="10833" w:name="_Toc397699798"/>
      <w:bookmarkStart w:id="10834" w:name="_Toc397700252"/>
      <w:bookmarkStart w:id="10835" w:name="_Toc397936644"/>
      <w:bookmarkStart w:id="10836" w:name="_Toc397936764"/>
      <w:bookmarkStart w:id="10837" w:name="_Toc397945920"/>
      <w:bookmarkStart w:id="10838" w:name="_Toc397946946"/>
      <w:bookmarkStart w:id="10839" w:name="_Toc397948065"/>
      <w:bookmarkStart w:id="10840" w:name="_Toc397958471"/>
      <w:bookmarkStart w:id="10841" w:name="_Toc397958713"/>
      <w:bookmarkStart w:id="10842" w:name="_Toc397959128"/>
      <w:bookmarkStart w:id="10843" w:name="_Toc397962981"/>
      <w:bookmarkStart w:id="10844" w:name="_Toc397963347"/>
      <w:bookmarkStart w:id="10845" w:name="_Toc397965424"/>
      <w:bookmarkStart w:id="10846" w:name="_Toc398197362"/>
      <w:bookmarkStart w:id="10847" w:name="_Toc398199865"/>
      <w:bookmarkStart w:id="10848" w:name="_Toc398201579"/>
      <w:bookmarkStart w:id="10849" w:name="_Toc398207184"/>
      <w:bookmarkStart w:id="10850" w:name="_Toc398210457"/>
      <w:bookmarkStart w:id="10851" w:name="_Toc398210971"/>
      <w:bookmarkStart w:id="10852" w:name="_Toc398219779"/>
      <w:bookmarkStart w:id="10853" w:name="_Toc398220154"/>
      <w:bookmarkStart w:id="10854" w:name="_Toc398220541"/>
      <w:bookmarkStart w:id="10855" w:name="_Toc398221619"/>
      <w:bookmarkStart w:id="10856" w:name="_Toc398222305"/>
      <w:bookmarkStart w:id="10857" w:name="_Toc398222617"/>
      <w:bookmarkStart w:id="10858" w:name="_Toc398223034"/>
      <w:bookmarkStart w:id="10859" w:name="_Toc398223413"/>
      <w:bookmarkStart w:id="10860" w:name="_Toc398223540"/>
      <w:bookmarkStart w:id="10861" w:name="_Toc398224348"/>
      <w:bookmarkStart w:id="10862" w:name="_Toc398225685"/>
      <w:bookmarkStart w:id="10863" w:name="_Toc398225810"/>
      <w:bookmarkStart w:id="10864" w:name="_Toc398281297"/>
      <w:bookmarkStart w:id="10865" w:name="_Toc398282156"/>
      <w:bookmarkStart w:id="10866" w:name="_Toc398284826"/>
      <w:bookmarkStart w:id="10867" w:name="_Toc398287295"/>
      <w:bookmarkStart w:id="10868" w:name="_Toc398289178"/>
      <w:bookmarkStart w:id="10869" w:name="_Toc398297175"/>
      <w:bookmarkStart w:id="10870" w:name="_Toc398298649"/>
      <w:bookmarkStart w:id="10871" w:name="_Toc398300350"/>
      <w:bookmarkStart w:id="10872" w:name="_Toc398301247"/>
      <w:bookmarkStart w:id="10873" w:name="_Toc398302432"/>
      <w:bookmarkStart w:id="10874" w:name="_Toc398302595"/>
      <w:bookmarkStart w:id="10875" w:name="_Toc398549108"/>
      <w:bookmarkStart w:id="10876" w:name="_Toc398549358"/>
      <w:bookmarkStart w:id="10877" w:name="_Toc398555777"/>
      <w:bookmarkStart w:id="10878" w:name="_Toc398558981"/>
      <w:bookmarkStart w:id="10879" w:name="_Toc398563467"/>
      <w:bookmarkStart w:id="10880" w:name="_Toc398563600"/>
      <w:bookmarkStart w:id="10881" w:name="_Toc398563999"/>
      <w:bookmarkStart w:id="10882" w:name="_Toc398827337"/>
      <w:bookmarkStart w:id="10883" w:name="_Toc398827531"/>
      <w:r w:rsidRPr="008625DC">
        <w:rPr>
          <w:lang w:val="en-AU"/>
        </w:rPr>
        <w:t>Competition and consumer regulator</w:t>
      </w:r>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p>
    <w:p w14:paraId="1037C47E" w14:textId="24C2235A" w:rsidR="000752DD" w:rsidRPr="008625DC" w:rsidRDefault="000752DD" w:rsidP="000752DD">
      <w:r w:rsidRPr="008625DC">
        <w:t xml:space="preserve">The Panel </w:t>
      </w:r>
      <w:r w:rsidR="00BB57BC" w:rsidRPr="008625DC">
        <w:t xml:space="preserve">accepts </w:t>
      </w:r>
      <w:r w:rsidRPr="008625DC">
        <w:t xml:space="preserve">that enforcement of competition policy and </w:t>
      </w:r>
      <w:proofErr w:type="gramStart"/>
      <w:r w:rsidRPr="008625DC">
        <w:t>consumer protection matters complement each other</w:t>
      </w:r>
      <w:r w:rsidR="00A33169" w:rsidRPr="008625DC">
        <w:t>,</w:t>
      </w:r>
      <w:r w:rsidRPr="008625DC">
        <w:t xml:space="preserve"> and recommends</w:t>
      </w:r>
      <w:proofErr w:type="gramEnd"/>
      <w:r w:rsidRPr="008625DC">
        <w:t xml:space="preserve"> </w:t>
      </w:r>
      <w:r w:rsidR="00BB57BC" w:rsidRPr="008625DC">
        <w:t xml:space="preserve">they continue to be </w:t>
      </w:r>
      <w:r w:rsidRPr="008625DC">
        <w:t>administ</w:t>
      </w:r>
      <w:r w:rsidR="00BB57BC" w:rsidRPr="008625DC">
        <w:t>ered</w:t>
      </w:r>
      <w:r w:rsidRPr="008625DC">
        <w:t xml:space="preserve"> by one body. </w:t>
      </w:r>
    </w:p>
    <w:p w14:paraId="6820AB0E" w14:textId="77777777" w:rsidR="000929DF" w:rsidRPr="008625DC" w:rsidRDefault="000752DD" w:rsidP="0031183F">
      <w:pPr>
        <w:spacing w:after="120"/>
      </w:pPr>
      <w:r w:rsidRPr="008625DC">
        <w:t>Having a single body</w:t>
      </w:r>
      <w:r w:rsidR="000929DF" w:rsidRPr="008625DC">
        <w:t>:</w:t>
      </w:r>
      <w:r w:rsidRPr="008625DC">
        <w:t xml:space="preserve"> </w:t>
      </w:r>
    </w:p>
    <w:p w14:paraId="2EB8B52B" w14:textId="49B1C658" w:rsidR="000929DF" w:rsidRPr="008625DC" w:rsidRDefault="000752DD" w:rsidP="00952A56">
      <w:pPr>
        <w:pStyle w:val="Bullet"/>
      </w:pPr>
      <w:r w:rsidRPr="008625DC">
        <w:t>fosters a pro</w:t>
      </w:r>
      <w:r w:rsidR="00C74E19" w:rsidRPr="008625DC">
        <w:noBreakHyphen/>
      </w:r>
      <w:r w:rsidRPr="008625DC">
        <w:t>market culture</w:t>
      </w:r>
      <w:r w:rsidR="000929DF" w:rsidRPr="008625DC">
        <w:t>;</w:t>
      </w:r>
      <w:r w:rsidRPr="008625DC">
        <w:t xml:space="preserve"> </w:t>
      </w:r>
    </w:p>
    <w:p w14:paraId="33DCB518" w14:textId="28999C47" w:rsidR="000929DF" w:rsidRPr="008625DC" w:rsidRDefault="000752DD">
      <w:pPr>
        <w:pStyle w:val="Bullet"/>
      </w:pPr>
      <w:r w:rsidRPr="008625DC">
        <w:t>facilitates co</w:t>
      </w:r>
      <w:r w:rsidR="00C74E19" w:rsidRPr="008625DC">
        <w:noBreakHyphen/>
      </w:r>
      <w:r w:rsidRPr="008625DC">
        <w:t>ordination and depth across the functions</w:t>
      </w:r>
      <w:r w:rsidR="000929DF" w:rsidRPr="008625DC">
        <w:t>;</w:t>
      </w:r>
      <w:r w:rsidRPr="008625DC">
        <w:t xml:space="preserve"> </w:t>
      </w:r>
    </w:p>
    <w:p w14:paraId="11A0186A" w14:textId="4F76B220" w:rsidR="000929DF" w:rsidRPr="008625DC" w:rsidRDefault="000752DD">
      <w:pPr>
        <w:pStyle w:val="Bullet"/>
      </w:pPr>
      <w:r w:rsidRPr="008625DC">
        <w:t>provides a source of consistent information to business and consumers about their rights</w:t>
      </w:r>
      <w:r w:rsidR="000929DF" w:rsidRPr="008625DC">
        <w:t>;</w:t>
      </w:r>
      <w:r w:rsidRPr="008625DC">
        <w:t xml:space="preserve"> and </w:t>
      </w:r>
    </w:p>
    <w:p w14:paraId="222C60B0" w14:textId="21E9EC61" w:rsidR="000929DF" w:rsidRPr="008625DC" w:rsidRDefault="000752DD" w:rsidP="0031183F">
      <w:pPr>
        <w:pStyle w:val="Bullet"/>
        <w:spacing w:after="240"/>
      </w:pPr>
      <w:proofErr w:type="gramStart"/>
      <w:r w:rsidRPr="008625DC">
        <w:t>provides</w:t>
      </w:r>
      <w:proofErr w:type="gramEnd"/>
      <w:r w:rsidRPr="008625DC">
        <w:t xml:space="preserve"> administrative savings and skill</w:t>
      </w:r>
      <w:r w:rsidR="00BE4299" w:rsidRPr="008625DC">
        <w:t>s</w:t>
      </w:r>
      <w:r w:rsidRPr="008625DC">
        <w:t xml:space="preserve"> enhancement through the pooling of information, skills and expertise. </w:t>
      </w:r>
    </w:p>
    <w:p w14:paraId="4679D46A" w14:textId="1B85F716" w:rsidR="000752DD" w:rsidRPr="008625DC" w:rsidRDefault="00203BB2" w:rsidP="00A33169">
      <w:r w:rsidRPr="008625DC">
        <w:t>A single body also ensures that the issues of small business are not overlooked, as could be the case if the competition and consumer functions were separated into different bodies.</w:t>
      </w:r>
    </w:p>
    <w:p w14:paraId="4AD6BAA7" w14:textId="168B1C82" w:rsidR="000752DD" w:rsidRPr="008625DC" w:rsidRDefault="00C34D67" w:rsidP="000752DD">
      <w:r w:rsidRPr="008625DC">
        <w:lastRenderedPageBreak/>
        <w:t xml:space="preserve">However, the Panel notes that </w:t>
      </w:r>
      <w:r w:rsidR="00BB57BC" w:rsidRPr="008625DC">
        <w:t>tensions can also arise between the two functions</w:t>
      </w:r>
      <w:r w:rsidR="00BB57BC" w:rsidRPr="008625DC" w:rsidDel="000929DF">
        <w:t>;</w:t>
      </w:r>
      <w:r w:rsidR="00BB57BC" w:rsidRPr="008625DC">
        <w:t xml:space="preserve"> so </w:t>
      </w:r>
      <w:r w:rsidRPr="008625DC">
        <w:t xml:space="preserve">it is important that the ACCC continue to </w:t>
      </w:r>
      <w:r w:rsidR="00043A87" w:rsidRPr="008625DC">
        <w:t xml:space="preserve">maintain an appropriate </w:t>
      </w:r>
      <w:r w:rsidRPr="008625DC">
        <w:t xml:space="preserve">balance </w:t>
      </w:r>
      <w:r w:rsidR="00DF3ADA" w:rsidRPr="008625DC">
        <w:t xml:space="preserve">between </w:t>
      </w:r>
      <w:r w:rsidRPr="008625DC">
        <w:t>its competition</w:t>
      </w:r>
      <w:r w:rsidR="00C74E19" w:rsidRPr="008625DC">
        <w:noBreakHyphen/>
      </w:r>
      <w:r w:rsidRPr="008625DC">
        <w:t xml:space="preserve">related regulatory tasks </w:t>
      </w:r>
      <w:r w:rsidR="00DF3ADA" w:rsidRPr="008625DC">
        <w:t>and</w:t>
      </w:r>
      <w:r w:rsidRPr="008625DC">
        <w:t xml:space="preserve"> its </w:t>
      </w:r>
      <w:r w:rsidR="00BB57BC" w:rsidRPr="008625DC">
        <w:t xml:space="preserve">role in protecting </w:t>
      </w:r>
      <w:r w:rsidRPr="008625DC">
        <w:t>consumer</w:t>
      </w:r>
      <w:r w:rsidR="00BB57BC" w:rsidRPr="008625DC">
        <w:t>s</w:t>
      </w:r>
      <w:r w:rsidRPr="008625DC">
        <w:t>.</w:t>
      </w:r>
      <w:r w:rsidR="000752DD" w:rsidRPr="008625DC">
        <w:t xml:space="preserv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4D57B5ED" w14:textId="77777777" w:rsidTr="00F81722">
        <w:tc>
          <w:tcPr>
            <w:tcW w:w="5000" w:type="pct"/>
            <w:shd w:val="clear" w:color="auto" w:fill="E9F7F3" w:themeFill="accent4" w:themeFillTint="33"/>
          </w:tcPr>
          <w:p w14:paraId="2AC371D6" w14:textId="4C1F3AAC" w:rsidR="000752DD" w:rsidRPr="008625DC" w:rsidRDefault="000752DD" w:rsidP="00F81722">
            <w:pPr>
              <w:pStyle w:val="RecommendationHeading"/>
            </w:pPr>
            <w:bookmarkStart w:id="10884" w:name="_Toc396138919"/>
            <w:bookmarkStart w:id="10885" w:name="_Toc396145840"/>
            <w:bookmarkStart w:id="10886" w:name="_Toc396146498"/>
            <w:bookmarkStart w:id="10887" w:name="_Toc396147662"/>
            <w:bookmarkStart w:id="10888" w:name="_Toc396148917"/>
            <w:bookmarkStart w:id="10889" w:name="_Toc396149344"/>
            <w:bookmarkStart w:id="10890" w:name="_Toc396149802"/>
            <w:bookmarkStart w:id="10891" w:name="_Toc396151533"/>
            <w:bookmarkStart w:id="10892" w:name="_Toc396202541"/>
            <w:bookmarkStart w:id="10893" w:name="_Toc396206749"/>
            <w:bookmarkStart w:id="10894" w:name="_Toc396209577"/>
            <w:bookmarkStart w:id="10895" w:name="_Toc396212001"/>
            <w:bookmarkStart w:id="10896" w:name="_Toc396213343"/>
            <w:bookmarkStart w:id="10897" w:name="_Toc396214620"/>
            <w:bookmarkStart w:id="10898" w:name="_Toc396226732"/>
            <w:bookmarkStart w:id="10899" w:name="_Toc396228932"/>
            <w:bookmarkStart w:id="10900" w:name="_Toc396230574"/>
            <w:bookmarkStart w:id="10901" w:name="_Toc396231715"/>
            <w:bookmarkStart w:id="10902" w:name="_Toc396233355"/>
            <w:bookmarkStart w:id="10903" w:name="_Toc396234175"/>
            <w:bookmarkStart w:id="10904" w:name="_Toc396234584"/>
            <w:bookmarkStart w:id="10905" w:name="_Toc396235884"/>
            <w:bookmarkStart w:id="10906" w:name="_Toc396586387"/>
            <w:bookmarkStart w:id="10907" w:name="DR45"/>
            <w:r w:rsidRPr="008625DC">
              <w:t xml:space="preserve">Draft Recommendation </w:t>
            </w:r>
            <w:r w:rsidRPr="008625DC">
              <w:fldChar w:fldCharType="begin"/>
            </w:r>
            <w:r w:rsidRPr="008625DC">
              <w:instrText xml:space="preserve"> AUTONUMLGL  \* Arabic \e </w:instrText>
            </w:r>
            <w:r w:rsidRPr="008625DC">
              <w:fldChar w:fldCharType="end"/>
            </w:r>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r w:rsidR="00380141" w:rsidRPr="008625DC">
              <w:t xml:space="preserve"> — </w:t>
            </w:r>
            <w:r w:rsidR="009D51A4" w:rsidRPr="008625DC">
              <w:t>ACCC functions</w:t>
            </w:r>
          </w:p>
          <w:p w14:paraId="26F2D810" w14:textId="55B45AA0" w:rsidR="000752DD" w:rsidRPr="008625DC" w:rsidRDefault="000929DF" w:rsidP="000929DF">
            <w:pPr>
              <w:pStyle w:val="RecommendationText"/>
            </w:pPr>
            <w:bookmarkStart w:id="10908" w:name="_Toc395882166"/>
            <w:bookmarkStart w:id="10909" w:name="_Toc395882497"/>
            <w:bookmarkStart w:id="10910" w:name="_Toc395880992"/>
            <w:bookmarkStart w:id="10911" w:name="_Toc395010219"/>
            <w:bookmarkStart w:id="10912" w:name="_Toc395010061"/>
            <w:bookmarkStart w:id="10913" w:name="_Toc395012405"/>
            <w:bookmarkStart w:id="10914" w:name="_Toc395010810"/>
            <w:bookmarkStart w:id="10915" w:name="_Toc395012283"/>
            <w:bookmarkStart w:id="10916" w:name="_Toc395013275"/>
            <w:bookmarkStart w:id="10917" w:name="_Toc395090315"/>
            <w:bookmarkStart w:id="10918" w:name="_Toc395092683"/>
            <w:bookmarkStart w:id="10919" w:name="_Toc395092895"/>
            <w:bookmarkStart w:id="10920" w:name="_Toc395097806"/>
            <w:bookmarkStart w:id="10921" w:name="_Toc395109945"/>
            <w:bookmarkStart w:id="10922" w:name="_Toc395111950"/>
            <w:bookmarkStart w:id="10923" w:name="_Toc395106870"/>
            <w:bookmarkStart w:id="10924" w:name="_Toc395110122"/>
            <w:bookmarkStart w:id="10925" w:name="_Toc395108630"/>
            <w:bookmarkStart w:id="10926" w:name="_Toc395113870"/>
            <w:bookmarkStart w:id="10927" w:name="_Toc395116607"/>
            <w:bookmarkStart w:id="10928" w:name="_Toc395112544"/>
            <w:bookmarkStart w:id="10929" w:name="_Toc395115083"/>
            <w:bookmarkStart w:id="10930" w:name="_Toc395118238"/>
            <w:bookmarkStart w:id="10931" w:name="_Toc395624941"/>
            <w:bookmarkStart w:id="10932" w:name="_Toc395789800"/>
            <w:bookmarkStart w:id="10933" w:name="_Toc395868661"/>
            <w:bookmarkStart w:id="10934" w:name="_Toc395867529"/>
            <w:bookmarkStart w:id="10935" w:name="_Toc395879042"/>
            <w:bookmarkStart w:id="10936" w:name="_Toc396206750"/>
            <w:bookmarkStart w:id="10937" w:name="_Toc396209578"/>
            <w:bookmarkStart w:id="10938" w:name="_Toc396212002"/>
            <w:bookmarkStart w:id="10939" w:name="_Toc395881550"/>
            <w:bookmarkStart w:id="10940" w:name="_Toc395883935"/>
            <w:bookmarkStart w:id="10941" w:name="_Toc395884597"/>
            <w:bookmarkStart w:id="10942" w:name="_Toc395883306"/>
            <w:bookmarkStart w:id="10943" w:name="_Toc395883636"/>
            <w:bookmarkStart w:id="10944" w:name="_Toc395884938"/>
            <w:bookmarkStart w:id="10945" w:name="_Toc396138920"/>
            <w:bookmarkStart w:id="10946" w:name="_Toc396146499"/>
            <w:bookmarkStart w:id="10947" w:name="_Toc396147663"/>
            <w:bookmarkStart w:id="10948" w:name="_Toc396148918"/>
            <w:bookmarkStart w:id="10949" w:name="_Toc396149345"/>
            <w:bookmarkStart w:id="10950" w:name="_Toc396149803"/>
            <w:bookmarkStart w:id="10951" w:name="_Toc396151534"/>
            <w:bookmarkStart w:id="10952" w:name="_Toc396202542"/>
            <w:bookmarkStart w:id="10953" w:name="_Toc396213344"/>
            <w:bookmarkStart w:id="10954" w:name="_Toc396214621"/>
            <w:bookmarkStart w:id="10955" w:name="_Toc396226733"/>
            <w:bookmarkStart w:id="10956" w:name="_Toc396228933"/>
            <w:bookmarkStart w:id="10957" w:name="_Toc396230575"/>
            <w:bookmarkStart w:id="10958" w:name="_Toc396231716"/>
            <w:bookmarkStart w:id="10959" w:name="_Toc396233356"/>
            <w:bookmarkStart w:id="10960" w:name="_Toc396234176"/>
            <w:bookmarkStart w:id="10961" w:name="_Toc396234585"/>
            <w:bookmarkStart w:id="10962" w:name="_Toc396235885"/>
            <w:bookmarkStart w:id="10963" w:name="_Toc396586388"/>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r w:rsidRPr="008625DC">
              <w:t>C</w:t>
            </w:r>
            <w:r w:rsidR="000752DD" w:rsidRPr="008625DC">
              <w:t xml:space="preserve">ompetition and consumer functions should be retained within </w:t>
            </w:r>
            <w:r w:rsidR="000752DD" w:rsidRPr="008625DC" w:rsidDel="000929DF">
              <w:t xml:space="preserve">the single agency of </w:t>
            </w:r>
            <w:r w:rsidR="000752DD" w:rsidRPr="008625DC">
              <w:t>the ACCC.</w:t>
            </w:r>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p>
        </w:tc>
      </w:tr>
    </w:tbl>
    <w:p w14:paraId="38EB3651" w14:textId="1B2F882F" w:rsidR="000752DD" w:rsidRPr="008625DC" w:rsidRDefault="003A0C30" w:rsidP="000B5916">
      <w:pPr>
        <w:pStyle w:val="Heading2"/>
        <w:ind w:left="851" w:hanging="851"/>
        <w:rPr>
          <w:lang w:val="en-AU"/>
        </w:rPr>
      </w:pPr>
      <w:bookmarkStart w:id="10964" w:name="_Toc397439403"/>
      <w:bookmarkStart w:id="10965" w:name="_Toc397439573"/>
      <w:bookmarkStart w:id="10966" w:name="_Toc397439829"/>
      <w:bookmarkStart w:id="10967" w:name="_Toc397440131"/>
      <w:bookmarkStart w:id="10968" w:name="_Toc394995166"/>
      <w:bookmarkStart w:id="10969" w:name="_Toc394995688"/>
      <w:bookmarkStart w:id="10970" w:name="_Toc394996002"/>
      <w:bookmarkStart w:id="10971" w:name="_Toc394996132"/>
      <w:bookmarkStart w:id="10972" w:name="_Toc394997857"/>
      <w:bookmarkStart w:id="10973" w:name="_Toc394998243"/>
      <w:bookmarkStart w:id="10974" w:name="_Toc394998371"/>
      <w:bookmarkStart w:id="10975" w:name="_Toc394998756"/>
      <w:bookmarkStart w:id="10976" w:name="_Toc395001867"/>
      <w:bookmarkStart w:id="10977" w:name="_Toc395002256"/>
      <w:bookmarkStart w:id="10978" w:name="_Toc395001464"/>
      <w:bookmarkStart w:id="10979" w:name="_Toc395001736"/>
      <w:bookmarkStart w:id="10980" w:name="_Toc395003025"/>
      <w:bookmarkStart w:id="10981" w:name="_Toc395003221"/>
      <w:bookmarkStart w:id="10982" w:name="_Toc395003609"/>
      <w:bookmarkStart w:id="10983" w:name="_Toc395005106"/>
      <w:bookmarkStart w:id="10984" w:name="_Toc395005460"/>
      <w:bookmarkStart w:id="10985" w:name="_Toc395005850"/>
      <w:bookmarkStart w:id="10986" w:name="_Toc395009025"/>
      <w:bookmarkStart w:id="10987" w:name="_Toc395009836"/>
      <w:bookmarkStart w:id="10988" w:name="_Toc395010222"/>
      <w:bookmarkStart w:id="10989" w:name="_Toc395010691"/>
      <w:bookmarkStart w:id="10990" w:name="_Toc395010064"/>
      <w:bookmarkStart w:id="10991" w:name="_Toc395011465"/>
      <w:bookmarkStart w:id="10992" w:name="_Toc395011578"/>
      <w:bookmarkStart w:id="10993" w:name="_Toc395012408"/>
      <w:bookmarkStart w:id="10994" w:name="_Toc395012759"/>
      <w:bookmarkStart w:id="10995" w:name="_Toc395012986"/>
      <w:bookmarkStart w:id="10996" w:name="_Toc395010813"/>
      <w:bookmarkStart w:id="10997" w:name="_Toc395012286"/>
      <w:bookmarkStart w:id="10998" w:name="_Toc395014562"/>
      <w:bookmarkStart w:id="10999" w:name="_Toc395014675"/>
      <w:bookmarkStart w:id="11000" w:name="_Toc395011871"/>
      <w:bookmarkStart w:id="11001" w:name="_Toc395013278"/>
      <w:bookmarkStart w:id="11002" w:name="_Toc395084905"/>
      <w:bookmarkStart w:id="11003" w:name="_Toc395085206"/>
      <w:bookmarkStart w:id="11004" w:name="_Toc395090318"/>
      <w:bookmarkStart w:id="11005" w:name="_Toc395090672"/>
      <w:bookmarkStart w:id="11006" w:name="_Toc395090784"/>
      <w:bookmarkStart w:id="11007" w:name="_Toc395092686"/>
      <w:bookmarkStart w:id="11008" w:name="_Toc395092898"/>
      <w:bookmarkStart w:id="11009" w:name="_Toc395093255"/>
      <w:bookmarkStart w:id="11010" w:name="_Toc395093367"/>
      <w:bookmarkStart w:id="11011" w:name="_Toc395097809"/>
      <w:bookmarkStart w:id="11012" w:name="_Toc395098165"/>
      <w:bookmarkStart w:id="11013" w:name="_Toc395098277"/>
      <w:bookmarkStart w:id="11014" w:name="_Toc395105350"/>
      <w:bookmarkStart w:id="11015" w:name="_Toc395105461"/>
      <w:bookmarkStart w:id="11016" w:name="_Toc395106953"/>
      <w:bookmarkStart w:id="11017" w:name="_Toc395107064"/>
      <w:bookmarkStart w:id="11018" w:name="_Toc395109948"/>
      <w:bookmarkStart w:id="11019" w:name="_Toc395109611"/>
      <w:bookmarkStart w:id="11020" w:name="_Toc395109722"/>
      <w:bookmarkStart w:id="11021" w:name="_Toc395111953"/>
      <w:bookmarkStart w:id="11022" w:name="_Toc395112316"/>
      <w:bookmarkStart w:id="11023" w:name="_Toc395112427"/>
      <w:bookmarkStart w:id="11024" w:name="_Toc395107458"/>
      <w:bookmarkStart w:id="11025" w:name="_Toc395107572"/>
      <w:bookmarkStart w:id="11026" w:name="_Toc395110125"/>
      <w:bookmarkStart w:id="11027" w:name="_Toc395108633"/>
      <w:bookmarkStart w:id="11028" w:name="_Toc395109020"/>
      <w:bookmarkStart w:id="11029" w:name="_Toc395113873"/>
      <w:bookmarkStart w:id="11030" w:name="_Toc395114259"/>
      <w:bookmarkStart w:id="11031" w:name="_Toc395114379"/>
      <w:bookmarkStart w:id="11032" w:name="_Toc395116610"/>
      <w:bookmarkStart w:id="11033" w:name="_Toc395116996"/>
      <w:bookmarkStart w:id="11034" w:name="_Toc395117117"/>
      <w:bookmarkStart w:id="11035" w:name="_Toc395112547"/>
      <w:bookmarkStart w:id="11036" w:name="_Toc395113114"/>
      <w:bookmarkStart w:id="11037" w:name="_Toc395113235"/>
      <w:bookmarkStart w:id="11038" w:name="_Toc395115086"/>
      <w:bookmarkStart w:id="11039" w:name="_Toc395115473"/>
      <w:bookmarkStart w:id="11040" w:name="_Toc395115594"/>
      <w:bookmarkStart w:id="11041" w:name="_Toc395118241"/>
      <w:bookmarkStart w:id="11042" w:name="_Toc395118625"/>
      <w:bookmarkStart w:id="11043" w:name="_Toc395118744"/>
      <w:bookmarkStart w:id="11044" w:name="_Toc395178330"/>
      <w:bookmarkStart w:id="11045" w:name="_Toc395624819"/>
      <w:bookmarkStart w:id="11046" w:name="_Toc395624944"/>
      <w:bookmarkStart w:id="11047" w:name="_Toc395789803"/>
      <w:bookmarkStart w:id="11048" w:name="_Toc395790170"/>
      <w:bookmarkStart w:id="11049" w:name="_Toc395800928"/>
      <w:bookmarkStart w:id="11050" w:name="_Toc395802911"/>
      <w:bookmarkStart w:id="11051" w:name="_Toc395867532"/>
      <w:bookmarkStart w:id="11052" w:name="_Toc395867687"/>
      <w:bookmarkStart w:id="11053" w:name="_Toc395868664"/>
      <w:bookmarkStart w:id="11054" w:name="_Toc395868819"/>
      <w:bookmarkStart w:id="11055" w:name="_Toc395879045"/>
      <w:bookmarkStart w:id="11056" w:name="_Toc395879198"/>
      <w:bookmarkStart w:id="11057" w:name="_Toc395882169"/>
      <w:bookmarkStart w:id="11058" w:name="_Toc395882322"/>
      <w:bookmarkStart w:id="11059" w:name="_Toc395882500"/>
      <w:bookmarkStart w:id="11060" w:name="_Toc395882653"/>
      <w:bookmarkStart w:id="11061" w:name="_Toc395880664"/>
      <w:bookmarkStart w:id="11062" w:name="_Toc395880995"/>
      <w:bookmarkStart w:id="11063" w:name="_Toc395881553"/>
      <w:bookmarkStart w:id="11064" w:name="_Toc395883938"/>
      <w:bookmarkStart w:id="11065" w:name="_Toc395884091"/>
      <w:bookmarkStart w:id="11066" w:name="_Toc395884600"/>
      <w:bookmarkStart w:id="11067" w:name="_Toc395884753"/>
      <w:bookmarkStart w:id="11068" w:name="_Toc395883309"/>
      <w:bookmarkStart w:id="11069" w:name="_Toc395883462"/>
      <w:bookmarkStart w:id="11070" w:name="_Toc395883639"/>
      <w:bookmarkStart w:id="11071" w:name="_Toc395883792"/>
      <w:bookmarkStart w:id="11072" w:name="_Toc395884941"/>
      <w:bookmarkStart w:id="11073" w:name="_Toc396123902"/>
      <w:bookmarkStart w:id="11074" w:name="_Toc396130804"/>
      <w:bookmarkStart w:id="11075" w:name="_Toc396136382"/>
      <w:bookmarkStart w:id="11076" w:name="_Toc396138923"/>
      <w:bookmarkStart w:id="11077" w:name="_Toc396145606"/>
      <w:bookmarkStart w:id="11078" w:name="_Toc396145844"/>
      <w:bookmarkStart w:id="11079" w:name="_Toc396146502"/>
      <w:bookmarkStart w:id="11080" w:name="_Toc396147666"/>
      <w:bookmarkStart w:id="11081" w:name="_Toc396147858"/>
      <w:bookmarkStart w:id="11082" w:name="_Toc396149114"/>
      <w:bookmarkStart w:id="11083" w:name="_Toc396148921"/>
      <w:bookmarkStart w:id="11084" w:name="_Toc396149608"/>
      <w:bookmarkStart w:id="11085" w:name="_Toc396149348"/>
      <w:bookmarkStart w:id="11086" w:name="_Toc396150037"/>
      <w:bookmarkStart w:id="11087" w:name="_Toc396149962"/>
      <w:bookmarkStart w:id="11088" w:name="_Toc396149806"/>
      <w:bookmarkStart w:id="11089" w:name="_Toc396150553"/>
      <w:bookmarkStart w:id="11090" w:name="_Toc396151537"/>
      <w:bookmarkStart w:id="11091" w:name="_Toc396151736"/>
      <w:bookmarkStart w:id="11092" w:name="_Toc396202545"/>
      <w:bookmarkStart w:id="11093" w:name="_Toc396202748"/>
      <w:bookmarkStart w:id="11094" w:name="_Toc396206752"/>
      <w:bookmarkStart w:id="11095" w:name="_Toc396206955"/>
      <w:bookmarkStart w:id="11096" w:name="_Toc396209580"/>
      <w:bookmarkStart w:id="11097" w:name="_Toc396209783"/>
      <w:bookmarkStart w:id="11098" w:name="_Toc396212004"/>
      <w:bookmarkStart w:id="11099" w:name="_Toc396212207"/>
      <w:bookmarkStart w:id="11100" w:name="_Toc396213346"/>
      <w:bookmarkStart w:id="11101" w:name="_Toc396213549"/>
      <w:bookmarkStart w:id="11102" w:name="_Toc396214622"/>
      <w:bookmarkStart w:id="11103" w:name="_Toc396214825"/>
      <w:bookmarkStart w:id="11104" w:name="_Toc396226734"/>
      <w:bookmarkStart w:id="11105" w:name="_Toc396226936"/>
      <w:bookmarkStart w:id="11106" w:name="_Toc396228934"/>
      <w:bookmarkStart w:id="11107" w:name="_Toc396229142"/>
      <w:bookmarkStart w:id="11108" w:name="_Toc396230576"/>
      <w:bookmarkStart w:id="11109" w:name="_Toc396230784"/>
      <w:bookmarkStart w:id="11110" w:name="_Toc396231717"/>
      <w:bookmarkStart w:id="11111" w:name="_Toc396231926"/>
      <w:bookmarkStart w:id="11112" w:name="_Toc396233357"/>
      <w:bookmarkStart w:id="11113" w:name="_Toc396233566"/>
      <w:bookmarkStart w:id="11114" w:name="_Toc396234177"/>
      <w:bookmarkStart w:id="11115" w:name="_Toc396234386"/>
      <w:bookmarkStart w:id="11116" w:name="_Toc396234586"/>
      <w:bookmarkStart w:id="11117" w:name="_Toc396235886"/>
      <w:bookmarkStart w:id="11118" w:name="_Toc396236249"/>
      <w:bookmarkStart w:id="11119" w:name="_Toc396236027"/>
      <w:bookmarkStart w:id="11120" w:name="_Toc396304680"/>
      <w:bookmarkStart w:id="11121" w:name="_Toc396586389"/>
      <w:bookmarkStart w:id="11122" w:name="_Toc396815129"/>
      <w:bookmarkStart w:id="11123" w:name="_Toc396821078"/>
      <w:bookmarkStart w:id="11124" w:name="_Toc396821686"/>
      <w:bookmarkStart w:id="11125" w:name="_Toc396827536"/>
      <w:bookmarkStart w:id="11126" w:name="_Toc396828507"/>
      <w:bookmarkStart w:id="11127" w:name="_Toc396828617"/>
      <w:bookmarkStart w:id="11128" w:name="_Toc396838006"/>
      <w:bookmarkStart w:id="11129" w:name="_Toc396838404"/>
      <w:bookmarkStart w:id="11130" w:name="_Toc396904727"/>
      <w:bookmarkStart w:id="11131" w:name="_Toc396907561"/>
      <w:bookmarkStart w:id="11132" w:name="_Toc396912480"/>
      <w:bookmarkStart w:id="11133" w:name="_Toc396914460"/>
      <w:bookmarkStart w:id="11134" w:name="_Toc396915344"/>
      <w:bookmarkStart w:id="11135" w:name="_Toc396915738"/>
      <w:bookmarkStart w:id="11136" w:name="_Toc396921049"/>
      <w:bookmarkStart w:id="11137" w:name="_Toc396924389"/>
      <w:bookmarkStart w:id="11138" w:name="_Toc396925083"/>
      <w:bookmarkStart w:id="11139" w:name="_Toc396992203"/>
      <w:bookmarkStart w:id="11140" w:name="_Toc396992782"/>
      <w:bookmarkStart w:id="11141" w:name="_Toc396994446"/>
      <w:bookmarkStart w:id="11142" w:name="_Toc397002217"/>
      <w:bookmarkStart w:id="11143" w:name="_Toc397003136"/>
      <w:bookmarkStart w:id="11144" w:name="_Toc397008694"/>
      <w:bookmarkStart w:id="11145" w:name="_Toc397008912"/>
      <w:bookmarkStart w:id="11146" w:name="_Toc397011584"/>
      <w:bookmarkStart w:id="11147" w:name="_Toc397012645"/>
      <w:bookmarkStart w:id="11148" w:name="_Toc397014987"/>
      <w:bookmarkStart w:id="11149" w:name="_Toc397015474"/>
      <w:bookmarkStart w:id="11150" w:name="_Toc397070545"/>
      <w:bookmarkStart w:id="11151" w:name="_Toc397413283"/>
      <w:bookmarkStart w:id="11152" w:name="_Toc397413430"/>
      <w:bookmarkStart w:id="11153" w:name="_Toc397428015"/>
      <w:bookmarkStart w:id="11154" w:name="_Toc397441760"/>
      <w:bookmarkStart w:id="11155" w:name="_Toc397517462"/>
      <w:bookmarkStart w:id="11156" w:name="_Toc397522727"/>
      <w:bookmarkStart w:id="11157" w:name="_Toc397526145"/>
      <w:bookmarkStart w:id="11158" w:name="_Toc397528460"/>
      <w:bookmarkStart w:id="11159" w:name="_Toc397528935"/>
      <w:bookmarkStart w:id="11160" w:name="_Toc397601932"/>
      <w:bookmarkStart w:id="11161" w:name="_Toc397602667"/>
      <w:bookmarkStart w:id="11162" w:name="_Toc397605796"/>
      <w:bookmarkStart w:id="11163" w:name="_Toc397614940"/>
      <w:bookmarkStart w:id="11164" w:name="_Toc397616383"/>
      <w:bookmarkStart w:id="11165" w:name="_Toc397616777"/>
      <w:bookmarkStart w:id="11166" w:name="_Toc397679187"/>
      <w:bookmarkStart w:id="11167" w:name="_Toc397688075"/>
      <w:bookmarkStart w:id="11168" w:name="_Toc397689291"/>
      <w:bookmarkStart w:id="11169" w:name="_Toc397694571"/>
      <w:bookmarkStart w:id="11170" w:name="_Toc397696412"/>
      <w:bookmarkStart w:id="11171" w:name="_Toc397697146"/>
      <w:bookmarkStart w:id="11172" w:name="_Toc397698433"/>
      <w:bookmarkStart w:id="11173" w:name="_Toc397699799"/>
      <w:bookmarkStart w:id="11174" w:name="_Toc397700253"/>
      <w:bookmarkStart w:id="11175" w:name="_Toc397936645"/>
      <w:bookmarkStart w:id="11176" w:name="_Toc397936765"/>
      <w:bookmarkStart w:id="11177" w:name="_Toc397945921"/>
      <w:bookmarkStart w:id="11178" w:name="_Toc397946947"/>
      <w:bookmarkStart w:id="11179" w:name="_Toc397948066"/>
      <w:bookmarkStart w:id="11180" w:name="_Toc397958472"/>
      <w:bookmarkStart w:id="11181" w:name="_Toc397958714"/>
      <w:bookmarkStart w:id="11182" w:name="_Toc397959129"/>
      <w:bookmarkStart w:id="11183" w:name="_Toc397962982"/>
      <w:bookmarkStart w:id="11184" w:name="_Toc397963348"/>
      <w:bookmarkStart w:id="11185" w:name="_Toc397965425"/>
      <w:bookmarkStart w:id="11186" w:name="_Toc398197363"/>
      <w:bookmarkStart w:id="11187" w:name="_Toc398199866"/>
      <w:bookmarkStart w:id="11188" w:name="_Toc398201580"/>
      <w:bookmarkStart w:id="11189" w:name="_Toc398207185"/>
      <w:bookmarkStart w:id="11190" w:name="_Toc398210458"/>
      <w:bookmarkStart w:id="11191" w:name="_Toc398210972"/>
      <w:bookmarkStart w:id="11192" w:name="_Toc398219780"/>
      <w:bookmarkStart w:id="11193" w:name="_Toc398220155"/>
      <w:bookmarkStart w:id="11194" w:name="_Toc398220542"/>
      <w:bookmarkStart w:id="11195" w:name="_Toc398221620"/>
      <w:bookmarkStart w:id="11196" w:name="_Toc398222306"/>
      <w:bookmarkStart w:id="11197" w:name="_Toc398222618"/>
      <w:bookmarkStart w:id="11198" w:name="_Toc398223035"/>
      <w:bookmarkStart w:id="11199" w:name="_Toc398223414"/>
      <w:bookmarkStart w:id="11200" w:name="_Toc398223541"/>
      <w:bookmarkStart w:id="11201" w:name="_Toc398224349"/>
      <w:bookmarkStart w:id="11202" w:name="_Toc398225686"/>
      <w:bookmarkStart w:id="11203" w:name="_Toc398225811"/>
      <w:bookmarkStart w:id="11204" w:name="_Toc398281298"/>
      <w:bookmarkStart w:id="11205" w:name="_Toc398282157"/>
      <w:bookmarkStart w:id="11206" w:name="_Toc398284827"/>
      <w:bookmarkStart w:id="11207" w:name="_Toc398287296"/>
      <w:bookmarkStart w:id="11208" w:name="_Toc398289179"/>
      <w:bookmarkStart w:id="11209" w:name="_Toc398297176"/>
      <w:bookmarkStart w:id="11210" w:name="_Toc398298650"/>
      <w:bookmarkStart w:id="11211" w:name="_Toc398300351"/>
      <w:bookmarkStart w:id="11212" w:name="_Toc398301248"/>
      <w:bookmarkStart w:id="11213" w:name="_Toc398302433"/>
      <w:bookmarkStart w:id="11214" w:name="_Toc398302596"/>
      <w:bookmarkStart w:id="11215" w:name="_Toc398549109"/>
      <w:bookmarkStart w:id="11216" w:name="_Toc398549359"/>
      <w:bookmarkStart w:id="11217" w:name="_Toc398555778"/>
      <w:bookmarkStart w:id="11218" w:name="_Toc398558982"/>
      <w:bookmarkStart w:id="11219" w:name="_Toc398563468"/>
      <w:bookmarkStart w:id="11220" w:name="_Toc398563601"/>
      <w:bookmarkStart w:id="11221" w:name="_Toc398564000"/>
      <w:bookmarkStart w:id="11222" w:name="_Toc398827338"/>
      <w:bookmarkStart w:id="11223" w:name="_Toc398827532"/>
      <w:r w:rsidRPr="008625DC">
        <w:rPr>
          <w:lang w:val="en-AU"/>
        </w:rPr>
        <w:t>A</w:t>
      </w:r>
      <w:bookmarkEnd w:id="10964"/>
      <w:bookmarkEnd w:id="10965"/>
      <w:bookmarkEnd w:id="10966"/>
      <w:bookmarkEnd w:id="10967"/>
      <w:r w:rsidRPr="008625DC">
        <w:rPr>
          <w:lang w:val="en-AU"/>
        </w:rPr>
        <w:t xml:space="preserve">ccess and </w:t>
      </w:r>
      <w:r w:rsidR="007E035E" w:rsidRPr="008625DC">
        <w:rPr>
          <w:lang w:val="en-AU"/>
        </w:rPr>
        <w:t>p</w:t>
      </w:r>
      <w:r w:rsidRPr="008625DC">
        <w:rPr>
          <w:lang w:val="en-AU"/>
        </w:rPr>
        <w:t>ricing</w:t>
      </w:r>
      <w:r w:rsidR="000752DD" w:rsidRPr="008625DC">
        <w:rPr>
          <w:lang w:val="en-AU"/>
        </w:rPr>
        <w:t xml:space="preserve"> regulator</w:t>
      </w:r>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p>
    <w:p w14:paraId="328F8683" w14:textId="2FD48236" w:rsidR="000752DD" w:rsidRPr="008625DC" w:rsidRDefault="000752DD" w:rsidP="000752DD">
      <w:r w:rsidRPr="008625DC">
        <w:t xml:space="preserve">The Panel accepts that there are synergies among the functions of competition, consumer protection and economic regulation that </w:t>
      </w:r>
      <w:r w:rsidRPr="008625DC" w:rsidDel="000929DF">
        <w:t xml:space="preserve">can </w:t>
      </w:r>
      <w:r w:rsidRPr="008625DC">
        <w:t xml:space="preserve">assist the </w:t>
      </w:r>
      <w:r w:rsidR="0034547C" w:rsidRPr="008625DC">
        <w:t xml:space="preserve">ACCC </w:t>
      </w:r>
      <w:r w:rsidRPr="008625DC">
        <w:t xml:space="preserve">perform its functions and allow it to develop both wide and deep skills in understanding the operation of markets. </w:t>
      </w:r>
    </w:p>
    <w:p w14:paraId="0528758B" w14:textId="16353F83" w:rsidR="00343742" w:rsidRPr="008625DC" w:rsidRDefault="00FF2243" w:rsidP="00343742">
      <w:r w:rsidRPr="008625DC">
        <w:rPr>
          <w:rFonts w:cs="Arial"/>
        </w:rPr>
        <w:t xml:space="preserve">However, on balance, the Panel sees benefit in separating the access and pricing regulatory functions from the other functions of the ACCC. The access and pricing functions include access arbitration functions under the National Access Regime, declaration and access arbitration functions under the telecommunications access regime in Part XIC of the CCA and price monitoring functions under the Water Act 2007. The functions are </w:t>
      </w:r>
      <w:r w:rsidR="00343742" w:rsidRPr="008625DC">
        <w:t xml:space="preserve">sufficiently </w:t>
      </w:r>
      <w:r w:rsidR="00507F29" w:rsidRPr="008625DC">
        <w:t xml:space="preserve">distinct </w:t>
      </w:r>
      <w:r w:rsidR="00343742" w:rsidRPr="008625DC">
        <w:t>in the type of analysis required and the nature of the relationship with industry</w:t>
      </w:r>
      <w:r w:rsidR="007D5B2D" w:rsidRPr="008625DC">
        <w:t>,</w:t>
      </w:r>
      <w:r w:rsidR="00507F29" w:rsidRPr="008625DC">
        <w:t xml:space="preserve"> as compared with the competition and consumer functions</w:t>
      </w:r>
      <w:r w:rsidR="00343742" w:rsidRPr="008625DC">
        <w:t>.</w:t>
      </w:r>
    </w:p>
    <w:p w14:paraId="7C320AEB" w14:textId="7B93525A" w:rsidR="00507F29" w:rsidRPr="008625DC" w:rsidRDefault="00507F29" w:rsidP="00507F29">
      <w:bookmarkStart w:id="11224" w:name="_Toc396138924"/>
      <w:bookmarkStart w:id="11225" w:name="_Toc396145845"/>
      <w:bookmarkStart w:id="11226" w:name="_Toc396146503"/>
      <w:bookmarkStart w:id="11227" w:name="_Toc396147667"/>
      <w:bookmarkStart w:id="11228" w:name="_Toc396148922"/>
      <w:bookmarkStart w:id="11229" w:name="_Toc396149349"/>
      <w:bookmarkStart w:id="11230" w:name="_Toc396149807"/>
      <w:bookmarkStart w:id="11231" w:name="_Toc396151538"/>
      <w:bookmarkStart w:id="11232" w:name="_Toc396202546"/>
      <w:r w:rsidRPr="008625DC">
        <w:t xml:space="preserve">The Panel notes strong support, especially in consultation with state governments, for the functions of the Australian Energy Regulator </w:t>
      </w:r>
      <w:r w:rsidR="00CA3B7F" w:rsidRPr="008625DC">
        <w:t>(AER)</w:t>
      </w:r>
      <w:r w:rsidR="00343742" w:rsidRPr="008625DC">
        <w:t xml:space="preserve"> </w:t>
      </w:r>
      <w:r w:rsidRPr="008625DC">
        <w:t>to be separated out. The Panel also notes concerns expressed in submissions and consultations that an industry</w:t>
      </w:r>
      <w:r w:rsidR="00C74E19" w:rsidRPr="008625DC">
        <w:noBreakHyphen/>
      </w:r>
      <w:r w:rsidRPr="008625DC">
        <w:t xml:space="preserve">specific regulator might be susceptible to </w:t>
      </w:r>
      <w:r w:rsidR="00C74E19" w:rsidRPr="008625DC">
        <w:t>‘</w:t>
      </w:r>
      <w:r w:rsidRPr="008625DC">
        <w:t>capture</w:t>
      </w:r>
      <w:r w:rsidR="00C74E19" w:rsidRPr="008625DC">
        <w:t>’</w:t>
      </w:r>
      <w:r w:rsidRPr="008625DC">
        <w:t xml:space="preserve"> by the regulated industry. </w:t>
      </w:r>
    </w:p>
    <w:p w14:paraId="26D9C6C5" w14:textId="6633C17B" w:rsidR="00507F29" w:rsidRPr="008625DC" w:rsidRDefault="00FF2243" w:rsidP="00507F29">
      <w:r w:rsidRPr="008625DC">
        <w:t>T</w:t>
      </w:r>
      <w:r w:rsidR="00507F29" w:rsidRPr="008625DC">
        <w:t>he proposed body would also administer the National Access Regime and take on the NCC</w:t>
      </w:r>
      <w:r w:rsidR="00C74E19" w:rsidRPr="008625DC">
        <w:t>’</w:t>
      </w:r>
      <w:r w:rsidR="00507F29" w:rsidRPr="008625DC">
        <w:t>s functions under the National Gas Law, which would allow the NCC to be dissolved. This would result in the access and pricing regulator undertaking both the declaration function under the National Access Regime and the current ACCC role in arbitrating</w:t>
      </w:r>
      <w:r w:rsidR="00507F29" w:rsidRPr="008625DC" w:rsidDel="000929DF">
        <w:t xml:space="preserve"> </w:t>
      </w:r>
      <w:r w:rsidR="00507F29" w:rsidRPr="008625DC">
        <w:t>the terms and conditions where a facility is declared, but where terms and conditions are not able to be commercially negotiated.</w:t>
      </w:r>
    </w:p>
    <w:p w14:paraId="0BAB2E8A" w14:textId="1B6BB57E" w:rsidR="00507F29" w:rsidRPr="008625DC" w:rsidRDefault="00507F29" w:rsidP="00507F29">
      <w:r w:rsidRPr="008625DC">
        <w:t>The Panel does not foresee any conflict in a single regulator performing both functions and anticipates that there may be benefits. The Panel notes that, under the current telecommunications access regime (in Part XIC of the CCA)</w:t>
      </w:r>
      <w:proofErr w:type="gramStart"/>
      <w:r w:rsidRPr="008625DC">
        <w:t>,</w:t>
      </w:r>
      <w:proofErr w:type="gramEnd"/>
      <w:r w:rsidRPr="008625DC">
        <w:t xml:space="preserve"> the ACCC currently performs both the declaration and arbitration functions.</w:t>
      </w:r>
    </w:p>
    <w:p w14:paraId="6D816400" w14:textId="7C69C1DC" w:rsidR="00507F29" w:rsidRPr="008625DC" w:rsidRDefault="00507F29" w:rsidP="00507F29">
      <w:r w:rsidRPr="008625DC">
        <w:t xml:space="preserve">The regulator could, over time, assume responsibility for other functions if and when they were elevated into a national framework. One function that could be transferred from States and Territories is national regulation of urban and rural water </w:t>
      </w:r>
      <w:r w:rsidRPr="008625DC" w:rsidDel="000929DF">
        <w:t xml:space="preserve">should </w:t>
      </w:r>
      <w:r w:rsidRPr="008625DC">
        <w:t xml:space="preserve">a national framework </w:t>
      </w:r>
      <w:r w:rsidRPr="008625DC" w:rsidDel="000929DF">
        <w:t xml:space="preserve">be </w:t>
      </w:r>
      <w:r w:rsidRPr="008625DC">
        <w:t xml:space="preserve">agreed.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56FE1633" w14:textId="77777777" w:rsidTr="00F81722">
        <w:tc>
          <w:tcPr>
            <w:tcW w:w="5000" w:type="pct"/>
            <w:shd w:val="clear" w:color="auto" w:fill="E9F7F3" w:themeFill="accent4" w:themeFillTint="33"/>
          </w:tcPr>
          <w:p w14:paraId="17E63DE0" w14:textId="03F2E181" w:rsidR="000752DD" w:rsidRPr="008625DC" w:rsidRDefault="000752DD" w:rsidP="00F81722">
            <w:pPr>
              <w:pStyle w:val="RecommendationHeading"/>
            </w:pPr>
            <w:bookmarkStart w:id="11233" w:name="_Toc396206753"/>
            <w:bookmarkStart w:id="11234" w:name="_Toc396209581"/>
            <w:bookmarkStart w:id="11235" w:name="_Toc396212005"/>
            <w:bookmarkStart w:id="11236" w:name="_Toc396213347"/>
            <w:bookmarkStart w:id="11237" w:name="_Toc396214623"/>
            <w:bookmarkStart w:id="11238" w:name="_Toc396226735"/>
            <w:bookmarkStart w:id="11239" w:name="_Toc396228935"/>
            <w:bookmarkStart w:id="11240" w:name="_Toc396230577"/>
            <w:bookmarkStart w:id="11241" w:name="_Toc396231718"/>
            <w:bookmarkStart w:id="11242" w:name="_Toc396233358"/>
            <w:bookmarkStart w:id="11243" w:name="_Toc396234178"/>
            <w:bookmarkStart w:id="11244" w:name="_Toc396234587"/>
            <w:bookmarkStart w:id="11245" w:name="_Toc396235887"/>
            <w:bookmarkStart w:id="11246" w:name="_Toc396586390"/>
            <w:bookmarkStart w:id="11247" w:name="DR46"/>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r w:rsidR="00380141" w:rsidRPr="008625DC">
              <w:t xml:space="preserve"> — </w:t>
            </w:r>
            <w:r w:rsidR="003A0C30" w:rsidRPr="008625DC">
              <w:t>Access and pricing</w:t>
            </w:r>
            <w:r w:rsidR="009D51A4" w:rsidRPr="008625DC">
              <w:t xml:space="preserve"> regulator</w:t>
            </w:r>
            <w:r w:rsidR="000929DF" w:rsidRPr="008625DC">
              <w:t xml:space="preserve"> functions</w:t>
            </w:r>
          </w:p>
          <w:p w14:paraId="0109D37F" w14:textId="60E06C37" w:rsidR="00841377" w:rsidRPr="008625DC" w:rsidRDefault="00841377" w:rsidP="00841377">
            <w:pPr>
              <w:pStyle w:val="RecommendationText"/>
            </w:pPr>
            <w:bookmarkStart w:id="11248" w:name="_Toc395010223"/>
            <w:bookmarkStart w:id="11249" w:name="_Toc395010065"/>
            <w:bookmarkStart w:id="11250" w:name="_Toc395012409"/>
            <w:bookmarkStart w:id="11251" w:name="_Toc395010814"/>
            <w:bookmarkStart w:id="11252" w:name="_Toc395012287"/>
            <w:bookmarkStart w:id="11253" w:name="_Toc395013279"/>
            <w:bookmarkStart w:id="11254" w:name="_Toc395090319"/>
            <w:bookmarkStart w:id="11255" w:name="_Toc395092687"/>
            <w:bookmarkStart w:id="11256" w:name="_Toc395092899"/>
            <w:bookmarkStart w:id="11257" w:name="_Toc395097810"/>
            <w:bookmarkStart w:id="11258" w:name="_Toc395109949"/>
            <w:bookmarkStart w:id="11259" w:name="_Toc395111954"/>
            <w:bookmarkStart w:id="11260" w:name="_Toc395106892"/>
            <w:bookmarkStart w:id="11261" w:name="_Toc395110126"/>
            <w:bookmarkStart w:id="11262" w:name="_Toc395108634"/>
            <w:bookmarkStart w:id="11263" w:name="_Toc395113874"/>
            <w:bookmarkStart w:id="11264" w:name="_Toc395116611"/>
            <w:bookmarkStart w:id="11265" w:name="_Toc395112548"/>
            <w:bookmarkStart w:id="11266" w:name="_Toc395115087"/>
            <w:bookmarkStart w:id="11267" w:name="_Toc395118242"/>
            <w:bookmarkStart w:id="11268" w:name="_Toc395624945"/>
            <w:bookmarkStart w:id="11269" w:name="_Toc395789804"/>
            <w:bookmarkStart w:id="11270" w:name="_Toc395867533"/>
            <w:bookmarkStart w:id="11271" w:name="_Toc395868665"/>
            <w:bookmarkStart w:id="11272" w:name="_Toc395879046"/>
            <w:bookmarkStart w:id="11273" w:name="_Toc395882170"/>
            <w:bookmarkStart w:id="11274" w:name="_Toc395882501"/>
            <w:bookmarkStart w:id="11275" w:name="_Toc395880665"/>
            <w:bookmarkStart w:id="11276" w:name="_Toc395880996"/>
            <w:bookmarkStart w:id="11277" w:name="_Toc395881554"/>
            <w:bookmarkStart w:id="11278" w:name="_Toc395883939"/>
            <w:bookmarkStart w:id="11279" w:name="_Toc395884601"/>
            <w:bookmarkStart w:id="11280" w:name="_Toc395883310"/>
            <w:bookmarkStart w:id="11281" w:name="_Toc395883640"/>
            <w:bookmarkStart w:id="11282" w:name="_Toc395884942"/>
            <w:bookmarkStart w:id="11283" w:name="_Toc396138925"/>
            <w:bookmarkStart w:id="11284" w:name="_Toc396146504"/>
            <w:bookmarkStart w:id="11285" w:name="_Toc396147668"/>
            <w:bookmarkStart w:id="11286" w:name="_Toc396148923"/>
            <w:bookmarkStart w:id="11287" w:name="_Toc396149350"/>
            <w:bookmarkStart w:id="11288" w:name="_Toc396149808"/>
            <w:bookmarkStart w:id="11289" w:name="_Toc396151539"/>
            <w:bookmarkStart w:id="11290" w:name="_Toc396202547"/>
            <w:bookmarkStart w:id="11291" w:name="_Toc396206754"/>
            <w:bookmarkStart w:id="11292" w:name="_Toc396209582"/>
            <w:bookmarkStart w:id="11293" w:name="_Toc396212006"/>
            <w:bookmarkStart w:id="11294" w:name="_Toc396213348"/>
            <w:bookmarkStart w:id="11295" w:name="_Toc396214624"/>
            <w:bookmarkStart w:id="11296" w:name="_Toc396226736"/>
            <w:bookmarkStart w:id="11297" w:name="_Toc396228936"/>
            <w:bookmarkStart w:id="11298" w:name="_Toc396230578"/>
            <w:bookmarkStart w:id="11299" w:name="_Toc396231719"/>
            <w:bookmarkStart w:id="11300" w:name="_Toc396233359"/>
            <w:bookmarkStart w:id="11301" w:name="_Toc396234179"/>
            <w:bookmarkStart w:id="11302" w:name="_Toc396234588"/>
            <w:bookmarkStart w:id="11303" w:name="_Toc396235888"/>
            <w:bookmarkStart w:id="11304" w:name="_Toc396586391"/>
            <w:r w:rsidRPr="008625DC">
              <w:t xml:space="preserve">The following regulatory functions should be transferred from the ACCC and the NCC and be undertaken within a single </w:t>
            </w:r>
            <w:r w:rsidR="001D5EF7" w:rsidRPr="008625DC">
              <w:t xml:space="preserve">national </w:t>
            </w:r>
            <w:r w:rsidRPr="008625DC">
              <w:t>access and pricing regulator:</w:t>
            </w:r>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p>
          <w:p w14:paraId="7103525A" w14:textId="77777777" w:rsidR="00841377" w:rsidRPr="008625DC" w:rsidRDefault="00841377" w:rsidP="0031183F">
            <w:pPr>
              <w:pStyle w:val="RecommendationBullet"/>
            </w:pPr>
            <w:bookmarkStart w:id="11305" w:name="_Toc395092689"/>
            <w:bookmarkStart w:id="11306" w:name="_Toc395092901"/>
            <w:bookmarkStart w:id="11307" w:name="_Toc395097812"/>
            <w:bookmarkStart w:id="11308" w:name="_Toc396147670"/>
            <w:bookmarkStart w:id="11309" w:name="_Toc396148925"/>
            <w:bookmarkStart w:id="11310" w:name="_Toc396149352"/>
            <w:bookmarkStart w:id="11311" w:name="_Toc396149810"/>
            <w:bookmarkStart w:id="11312" w:name="_Toc396151541"/>
            <w:bookmarkStart w:id="11313" w:name="_Toc396202549"/>
            <w:bookmarkStart w:id="11314" w:name="_Toc396206756"/>
            <w:bookmarkStart w:id="11315" w:name="_Toc396209584"/>
            <w:bookmarkStart w:id="11316" w:name="_Toc396212008"/>
            <w:bookmarkStart w:id="11317" w:name="_Toc396213350"/>
            <w:bookmarkStart w:id="11318" w:name="_Toc396214626"/>
            <w:bookmarkStart w:id="11319" w:name="_Toc396226738"/>
            <w:bookmarkStart w:id="11320" w:name="_Toc396228938"/>
            <w:bookmarkStart w:id="11321" w:name="_Toc396230580"/>
            <w:bookmarkStart w:id="11322" w:name="_Toc396231721"/>
            <w:bookmarkStart w:id="11323" w:name="_Toc396233361"/>
            <w:bookmarkStart w:id="11324" w:name="_Toc396234181"/>
            <w:bookmarkStart w:id="11325" w:name="_Toc396234590"/>
            <w:bookmarkStart w:id="11326" w:name="_Toc396235890"/>
            <w:bookmarkStart w:id="11327" w:name="_Toc395109951"/>
            <w:r w:rsidRPr="008625DC">
              <w:t>the powers given to the NCC and the ACCC under the National Access Regime;</w:t>
            </w:r>
          </w:p>
          <w:p w14:paraId="277B2EC6" w14:textId="77777777" w:rsidR="00507F29" w:rsidRPr="008625DC" w:rsidRDefault="00507F29" w:rsidP="0031183F">
            <w:pPr>
              <w:pStyle w:val="RecommendationBullet"/>
            </w:pPr>
            <w:r w:rsidRPr="008625DC">
              <w:t>the powers given to the NCC under the National Gas Law;</w:t>
            </w:r>
          </w:p>
          <w:p w14:paraId="3BBE2C56" w14:textId="77777777" w:rsidR="00507F29" w:rsidRPr="008625DC" w:rsidRDefault="00507F29" w:rsidP="0031183F">
            <w:pPr>
              <w:pStyle w:val="RecommendationBullet"/>
            </w:pPr>
            <w:r w:rsidRPr="008625DC">
              <w:t>the functions undertaken by the Australian Energy Regulator under the National Electricity Law and the National Gas Law;</w:t>
            </w:r>
          </w:p>
          <w:p w14:paraId="09B7A0E2" w14:textId="67F8CF66" w:rsidR="00841377" w:rsidRPr="008625DC" w:rsidRDefault="00841377" w:rsidP="0031183F">
            <w:pPr>
              <w:pStyle w:val="RecommendationBullet"/>
            </w:pPr>
            <w:r w:rsidRPr="008625DC">
              <w:t>the telecommunications access and pricing functions of the ACCC;</w:t>
            </w:r>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r w:rsidRPr="008625DC">
              <w:t xml:space="preserve"> </w:t>
            </w:r>
          </w:p>
          <w:p w14:paraId="64A3B612" w14:textId="587E4CF1" w:rsidR="00841377" w:rsidRPr="008625DC" w:rsidRDefault="00EF1B09" w:rsidP="0031183F">
            <w:pPr>
              <w:pStyle w:val="RecommendationBullet"/>
            </w:pPr>
            <w:bookmarkStart w:id="11328" w:name="_Toc395092690"/>
            <w:bookmarkStart w:id="11329" w:name="_Toc395092902"/>
            <w:bookmarkStart w:id="11330" w:name="_Toc395097813"/>
            <w:bookmarkStart w:id="11331" w:name="_Toc396147671"/>
            <w:bookmarkStart w:id="11332" w:name="_Toc396148926"/>
            <w:bookmarkStart w:id="11333" w:name="_Toc396149353"/>
            <w:bookmarkStart w:id="11334" w:name="_Toc396149811"/>
            <w:bookmarkStart w:id="11335" w:name="_Toc396151542"/>
            <w:bookmarkStart w:id="11336" w:name="_Toc396202550"/>
            <w:bookmarkStart w:id="11337" w:name="_Toc396206757"/>
            <w:bookmarkStart w:id="11338" w:name="_Toc396209585"/>
            <w:bookmarkStart w:id="11339" w:name="_Toc396212009"/>
            <w:bookmarkStart w:id="11340" w:name="_Toc396213351"/>
            <w:bookmarkStart w:id="11341" w:name="_Toc396214627"/>
            <w:bookmarkStart w:id="11342" w:name="_Toc396226739"/>
            <w:bookmarkStart w:id="11343" w:name="_Toc396228939"/>
            <w:bookmarkStart w:id="11344" w:name="_Toc396230581"/>
            <w:bookmarkStart w:id="11345" w:name="_Toc396231722"/>
            <w:bookmarkStart w:id="11346" w:name="_Toc396233362"/>
            <w:bookmarkStart w:id="11347" w:name="_Toc396234182"/>
            <w:bookmarkStart w:id="11348" w:name="_Toc396234591"/>
            <w:bookmarkStart w:id="11349" w:name="_Toc396235891"/>
            <w:bookmarkStart w:id="11350" w:name="_Toc395109952"/>
            <w:proofErr w:type="gramStart"/>
            <w:r w:rsidRPr="008625DC">
              <w:t>price</w:t>
            </w:r>
            <w:proofErr w:type="gramEnd"/>
            <w:r w:rsidRPr="008625DC">
              <w:t xml:space="preserve"> regulation and related advisory roles under the </w:t>
            </w:r>
            <w:r w:rsidRPr="008625DC">
              <w:rPr>
                <w:i/>
              </w:rPr>
              <w:t xml:space="preserve">Water Act 2007 </w:t>
            </w:r>
            <w:r w:rsidRPr="008625DC">
              <w:t>(Cth)</w:t>
            </w:r>
            <w:r w:rsidRPr="008625DC">
              <w:rPr>
                <w:i/>
              </w:rPr>
              <w:t>.</w:t>
            </w:r>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p>
          <w:p w14:paraId="778CC4AD" w14:textId="77777777" w:rsidR="00841377" w:rsidRPr="008625DC" w:rsidRDefault="00841377" w:rsidP="0031183F">
            <w:pPr>
              <w:pStyle w:val="RecommendationText"/>
            </w:pPr>
            <w:r w:rsidRPr="008625DC">
              <w:t xml:space="preserve">Consumer protection </w:t>
            </w:r>
            <w:r w:rsidR="001D5EF7" w:rsidRPr="008625DC">
              <w:t xml:space="preserve">and competition </w:t>
            </w:r>
            <w:r w:rsidRPr="008625DC">
              <w:t>functions should remain with the ACCC.</w:t>
            </w:r>
          </w:p>
          <w:p w14:paraId="525D0E65" w14:textId="6E620F84" w:rsidR="000752DD" w:rsidRPr="008625DC" w:rsidRDefault="00841377" w:rsidP="0031183F">
            <w:pPr>
              <w:pStyle w:val="RecommendationText"/>
            </w:pPr>
            <w:r w:rsidRPr="008625DC">
              <w:t>The access and pricing regulator should be established with a view to it gaining further functions as other sectors are transferred to national regimes.</w:t>
            </w:r>
          </w:p>
        </w:tc>
      </w:tr>
    </w:tbl>
    <w:p w14:paraId="6CA696BD" w14:textId="77777777" w:rsidR="000752DD" w:rsidRPr="008625DC" w:rsidRDefault="000752DD" w:rsidP="000B5916">
      <w:pPr>
        <w:pStyle w:val="Heading2"/>
        <w:ind w:left="851" w:hanging="851"/>
        <w:rPr>
          <w:lang w:val="en-AU"/>
        </w:rPr>
      </w:pPr>
      <w:bookmarkStart w:id="11351" w:name="_Toc394995167"/>
      <w:bookmarkStart w:id="11352" w:name="_Toc394995689"/>
      <w:bookmarkStart w:id="11353" w:name="_Toc394996003"/>
      <w:bookmarkStart w:id="11354" w:name="_Toc394996140"/>
      <w:bookmarkStart w:id="11355" w:name="_Toc394997865"/>
      <w:bookmarkStart w:id="11356" w:name="_Toc394998244"/>
      <w:bookmarkStart w:id="11357" w:name="_Toc394998379"/>
      <w:bookmarkStart w:id="11358" w:name="_Toc394998757"/>
      <w:bookmarkStart w:id="11359" w:name="_Toc395001875"/>
      <w:bookmarkStart w:id="11360" w:name="_Toc395002257"/>
      <w:bookmarkStart w:id="11361" w:name="_Toc395001737"/>
      <w:bookmarkStart w:id="11362" w:name="_Toc395003026"/>
      <w:bookmarkStart w:id="11363" w:name="_Toc395003229"/>
      <w:bookmarkStart w:id="11364" w:name="_Toc395003610"/>
      <w:bookmarkStart w:id="11365" w:name="_Toc395005107"/>
      <w:bookmarkStart w:id="11366" w:name="_Toc395005468"/>
      <w:bookmarkStart w:id="11367" w:name="_Toc395005851"/>
      <w:bookmarkStart w:id="11368" w:name="_Toc395009026"/>
      <w:bookmarkStart w:id="11369" w:name="_Toc395009837"/>
      <w:bookmarkStart w:id="11370" w:name="_Toc395010225"/>
      <w:bookmarkStart w:id="11371" w:name="_Toc395010692"/>
      <w:bookmarkStart w:id="11372" w:name="_Toc395010067"/>
      <w:bookmarkStart w:id="11373" w:name="_Toc395011466"/>
      <w:bookmarkStart w:id="11374" w:name="_Toc395011579"/>
      <w:bookmarkStart w:id="11375" w:name="_Toc395012411"/>
      <w:bookmarkStart w:id="11376" w:name="_Toc395012760"/>
      <w:bookmarkStart w:id="11377" w:name="_Toc395012987"/>
      <w:bookmarkStart w:id="11378" w:name="_Toc395010816"/>
      <w:bookmarkStart w:id="11379" w:name="_Toc395012289"/>
      <w:bookmarkStart w:id="11380" w:name="_Toc395014563"/>
      <w:bookmarkStart w:id="11381" w:name="_Toc395014676"/>
      <w:bookmarkStart w:id="11382" w:name="_Toc395011872"/>
      <w:bookmarkStart w:id="11383" w:name="_Toc395013281"/>
      <w:bookmarkStart w:id="11384" w:name="_Toc395084906"/>
      <w:bookmarkStart w:id="11385" w:name="_Toc395085207"/>
      <w:bookmarkStart w:id="11386" w:name="_Toc395090321"/>
      <w:bookmarkStart w:id="11387" w:name="_Toc395090673"/>
      <w:bookmarkStart w:id="11388" w:name="_Toc395090785"/>
      <w:bookmarkStart w:id="11389" w:name="_Toc395092905"/>
      <w:bookmarkStart w:id="11390" w:name="_Toc395093256"/>
      <w:bookmarkStart w:id="11391" w:name="_Toc395093368"/>
      <w:bookmarkStart w:id="11392" w:name="_Toc395097816"/>
      <w:bookmarkStart w:id="11393" w:name="_Toc395098166"/>
      <w:bookmarkStart w:id="11394" w:name="_Toc395098278"/>
      <w:bookmarkStart w:id="11395" w:name="_Toc395105351"/>
      <w:bookmarkStart w:id="11396" w:name="_Toc395105462"/>
      <w:bookmarkStart w:id="11397" w:name="_Toc395106954"/>
      <w:bookmarkStart w:id="11398" w:name="_Toc395107065"/>
      <w:bookmarkStart w:id="11399" w:name="_Toc395109955"/>
      <w:bookmarkStart w:id="11400" w:name="_Toc395109612"/>
      <w:bookmarkStart w:id="11401" w:name="_Toc395109723"/>
      <w:bookmarkStart w:id="11402" w:name="_Toc395111956"/>
      <w:bookmarkStart w:id="11403" w:name="_Toc395112317"/>
      <w:bookmarkStart w:id="11404" w:name="_Toc395112428"/>
      <w:bookmarkStart w:id="11405" w:name="_Toc395107046"/>
      <w:bookmarkStart w:id="11406" w:name="_Toc395107459"/>
      <w:bookmarkStart w:id="11407" w:name="_Toc395107573"/>
      <w:bookmarkStart w:id="11408" w:name="_Toc395110128"/>
      <w:bookmarkStart w:id="11409" w:name="_Toc395108636"/>
      <w:bookmarkStart w:id="11410" w:name="_Toc395109021"/>
      <w:bookmarkStart w:id="11411" w:name="_Toc395113876"/>
      <w:bookmarkStart w:id="11412" w:name="_Toc395114260"/>
      <w:bookmarkStart w:id="11413" w:name="_Toc395114380"/>
      <w:bookmarkStart w:id="11414" w:name="_Toc395116613"/>
      <w:bookmarkStart w:id="11415" w:name="_Toc395116997"/>
      <w:bookmarkStart w:id="11416" w:name="_Toc395117118"/>
      <w:bookmarkStart w:id="11417" w:name="_Toc395112550"/>
      <w:bookmarkStart w:id="11418" w:name="_Toc395113115"/>
      <w:bookmarkStart w:id="11419" w:name="_Toc395113236"/>
      <w:bookmarkStart w:id="11420" w:name="_Toc395115089"/>
      <w:bookmarkStart w:id="11421" w:name="_Toc395115474"/>
      <w:bookmarkStart w:id="11422" w:name="_Toc395115595"/>
      <w:bookmarkStart w:id="11423" w:name="_Toc395118244"/>
      <w:bookmarkStart w:id="11424" w:name="_Toc395118626"/>
      <w:bookmarkStart w:id="11425" w:name="_Toc395118745"/>
      <w:bookmarkStart w:id="11426" w:name="_Toc395178331"/>
      <w:bookmarkStart w:id="11427" w:name="_Toc395624820"/>
      <w:bookmarkStart w:id="11428" w:name="_Toc395624947"/>
      <w:bookmarkStart w:id="11429" w:name="_Toc395789806"/>
      <w:bookmarkStart w:id="11430" w:name="_Toc395790171"/>
      <w:bookmarkStart w:id="11431" w:name="_Toc395800929"/>
      <w:bookmarkStart w:id="11432" w:name="_Toc395802912"/>
      <w:bookmarkStart w:id="11433" w:name="_Toc395867535"/>
      <w:bookmarkStart w:id="11434" w:name="_Toc395867688"/>
      <w:bookmarkStart w:id="11435" w:name="_Toc395868667"/>
      <w:bookmarkStart w:id="11436" w:name="_Toc395868820"/>
      <w:bookmarkStart w:id="11437" w:name="_Toc395879048"/>
      <w:bookmarkStart w:id="11438" w:name="_Toc395879199"/>
      <w:bookmarkStart w:id="11439" w:name="_Toc395882172"/>
      <w:bookmarkStart w:id="11440" w:name="_Toc395882323"/>
      <w:bookmarkStart w:id="11441" w:name="_Toc395882503"/>
      <w:bookmarkStart w:id="11442" w:name="_Toc395882654"/>
      <w:bookmarkStart w:id="11443" w:name="_Toc395880667"/>
      <w:bookmarkStart w:id="11444" w:name="_Toc395880998"/>
      <w:bookmarkStart w:id="11445" w:name="_Toc395881556"/>
      <w:bookmarkStart w:id="11446" w:name="_Toc395883941"/>
      <w:bookmarkStart w:id="11447" w:name="_Toc395884092"/>
      <w:bookmarkStart w:id="11448" w:name="_Toc395884603"/>
      <w:bookmarkStart w:id="11449" w:name="_Toc395884754"/>
      <w:bookmarkStart w:id="11450" w:name="_Toc395883312"/>
      <w:bookmarkStart w:id="11451" w:name="_Toc395883463"/>
      <w:bookmarkStart w:id="11452" w:name="_Toc395883642"/>
      <w:bookmarkStart w:id="11453" w:name="_Toc395883793"/>
      <w:bookmarkStart w:id="11454" w:name="_Toc395884944"/>
      <w:bookmarkStart w:id="11455" w:name="_Toc396123903"/>
      <w:bookmarkStart w:id="11456" w:name="_Toc396130805"/>
      <w:bookmarkStart w:id="11457" w:name="_Toc396136383"/>
      <w:bookmarkStart w:id="11458" w:name="_Toc396138927"/>
      <w:bookmarkStart w:id="11459" w:name="_Toc396145607"/>
      <w:bookmarkStart w:id="11460" w:name="_Toc396145848"/>
      <w:bookmarkStart w:id="11461" w:name="_Toc396146506"/>
      <w:bookmarkStart w:id="11462" w:name="_Toc396147674"/>
      <w:bookmarkStart w:id="11463" w:name="_Toc396147859"/>
      <w:bookmarkStart w:id="11464" w:name="_Toc396149115"/>
      <w:bookmarkStart w:id="11465" w:name="_Toc396148929"/>
      <w:bookmarkStart w:id="11466" w:name="_Toc396149609"/>
      <w:bookmarkStart w:id="11467" w:name="_Toc396149356"/>
      <w:bookmarkStart w:id="11468" w:name="_Toc396150038"/>
      <w:bookmarkStart w:id="11469" w:name="_Toc396149963"/>
      <w:bookmarkStart w:id="11470" w:name="_Toc396149814"/>
      <w:bookmarkStart w:id="11471" w:name="_Toc396150554"/>
      <w:bookmarkStart w:id="11472" w:name="_Toc396151545"/>
      <w:bookmarkStart w:id="11473" w:name="_Toc396151737"/>
      <w:bookmarkStart w:id="11474" w:name="_Toc396202553"/>
      <w:bookmarkStart w:id="11475" w:name="_Toc396202749"/>
      <w:bookmarkStart w:id="11476" w:name="_Toc396206760"/>
      <w:bookmarkStart w:id="11477" w:name="_Toc396206956"/>
      <w:bookmarkStart w:id="11478" w:name="_Toc396209588"/>
      <w:bookmarkStart w:id="11479" w:name="_Toc396209784"/>
      <w:bookmarkStart w:id="11480" w:name="_Toc396212012"/>
      <w:bookmarkStart w:id="11481" w:name="_Toc396212208"/>
      <w:bookmarkStart w:id="11482" w:name="_Toc396213354"/>
      <w:bookmarkStart w:id="11483" w:name="_Toc396213550"/>
      <w:bookmarkStart w:id="11484" w:name="_Toc396214630"/>
      <w:bookmarkStart w:id="11485" w:name="_Toc396214826"/>
      <w:bookmarkStart w:id="11486" w:name="_Toc396226742"/>
      <w:bookmarkStart w:id="11487" w:name="_Toc396226937"/>
      <w:bookmarkStart w:id="11488" w:name="_Toc396228942"/>
      <w:bookmarkStart w:id="11489" w:name="_Toc396229143"/>
      <w:bookmarkStart w:id="11490" w:name="_Toc396230584"/>
      <w:bookmarkStart w:id="11491" w:name="_Toc396230785"/>
      <w:bookmarkStart w:id="11492" w:name="_Toc396231725"/>
      <w:bookmarkStart w:id="11493" w:name="_Toc396231927"/>
      <w:bookmarkStart w:id="11494" w:name="_Toc396233365"/>
      <w:bookmarkStart w:id="11495" w:name="_Toc396233567"/>
      <w:bookmarkStart w:id="11496" w:name="_Toc396234185"/>
      <w:bookmarkStart w:id="11497" w:name="_Toc396234387"/>
      <w:bookmarkStart w:id="11498" w:name="_Toc396234594"/>
      <w:bookmarkStart w:id="11499" w:name="_Toc396235894"/>
      <w:bookmarkStart w:id="11500" w:name="_Toc396236250"/>
      <w:bookmarkStart w:id="11501" w:name="_Toc396236028"/>
      <w:bookmarkStart w:id="11502" w:name="_Toc396304681"/>
      <w:bookmarkStart w:id="11503" w:name="_Toc396586392"/>
      <w:bookmarkStart w:id="11504" w:name="_Toc396815130"/>
      <w:bookmarkStart w:id="11505" w:name="_Toc396821079"/>
      <w:bookmarkStart w:id="11506" w:name="_Toc396821687"/>
      <w:bookmarkStart w:id="11507" w:name="_Toc396827537"/>
      <w:bookmarkStart w:id="11508" w:name="_Toc396828508"/>
      <w:bookmarkStart w:id="11509" w:name="_Toc396828618"/>
      <w:bookmarkStart w:id="11510" w:name="_Toc396838007"/>
      <w:bookmarkStart w:id="11511" w:name="_Toc396838405"/>
      <w:bookmarkStart w:id="11512" w:name="_Toc396904728"/>
      <w:bookmarkStart w:id="11513" w:name="_Toc396907562"/>
      <w:bookmarkStart w:id="11514" w:name="_Toc396912481"/>
      <w:bookmarkStart w:id="11515" w:name="_Toc396914461"/>
      <w:bookmarkStart w:id="11516" w:name="_Toc396915345"/>
      <w:bookmarkStart w:id="11517" w:name="_Toc396915739"/>
      <w:bookmarkStart w:id="11518" w:name="_Toc396921050"/>
      <w:bookmarkStart w:id="11519" w:name="_Toc396924390"/>
      <w:bookmarkStart w:id="11520" w:name="_Toc396925084"/>
      <w:bookmarkStart w:id="11521" w:name="_Toc396992204"/>
      <w:bookmarkStart w:id="11522" w:name="_Toc396992783"/>
      <w:bookmarkStart w:id="11523" w:name="_Toc396994447"/>
      <w:bookmarkStart w:id="11524" w:name="_Toc397002218"/>
      <w:bookmarkStart w:id="11525" w:name="_Toc397003137"/>
      <w:bookmarkStart w:id="11526" w:name="_Toc397008695"/>
      <w:bookmarkStart w:id="11527" w:name="_Toc397008913"/>
      <w:bookmarkStart w:id="11528" w:name="_Toc397011585"/>
      <w:bookmarkStart w:id="11529" w:name="_Toc397012646"/>
      <w:bookmarkStart w:id="11530" w:name="_Toc397014988"/>
      <w:bookmarkStart w:id="11531" w:name="_Toc397015475"/>
      <w:bookmarkStart w:id="11532" w:name="_Toc397070546"/>
      <w:bookmarkStart w:id="11533" w:name="_Toc397413284"/>
      <w:bookmarkStart w:id="11534" w:name="_Toc397413431"/>
      <w:bookmarkStart w:id="11535" w:name="_Toc397428016"/>
      <w:bookmarkStart w:id="11536" w:name="_Toc397439404"/>
      <w:bookmarkStart w:id="11537" w:name="_Toc397439574"/>
      <w:bookmarkStart w:id="11538" w:name="_Toc397439830"/>
      <w:bookmarkStart w:id="11539" w:name="_Toc397440132"/>
      <w:bookmarkStart w:id="11540" w:name="_Toc397441761"/>
      <w:bookmarkStart w:id="11541" w:name="_Toc397517463"/>
      <w:bookmarkStart w:id="11542" w:name="_Toc397522728"/>
      <w:bookmarkStart w:id="11543" w:name="_Toc397526146"/>
      <w:bookmarkStart w:id="11544" w:name="_Toc397528461"/>
      <w:bookmarkStart w:id="11545" w:name="_Toc397528936"/>
      <w:bookmarkStart w:id="11546" w:name="_Toc397601933"/>
      <w:bookmarkStart w:id="11547" w:name="_Toc397602668"/>
      <w:bookmarkStart w:id="11548" w:name="_Toc397605797"/>
      <w:bookmarkStart w:id="11549" w:name="_Toc397614941"/>
      <w:bookmarkStart w:id="11550" w:name="_Toc397616384"/>
      <w:bookmarkStart w:id="11551" w:name="_Toc397616778"/>
      <w:bookmarkStart w:id="11552" w:name="_Toc397679188"/>
      <w:bookmarkStart w:id="11553" w:name="_Toc397688076"/>
      <w:bookmarkStart w:id="11554" w:name="_Toc397689292"/>
      <w:bookmarkStart w:id="11555" w:name="_Toc397694572"/>
      <w:bookmarkStart w:id="11556" w:name="_Toc397696413"/>
      <w:bookmarkStart w:id="11557" w:name="_Toc397697147"/>
      <w:bookmarkStart w:id="11558" w:name="_Toc397698434"/>
      <w:bookmarkStart w:id="11559" w:name="_Toc397699800"/>
      <w:bookmarkStart w:id="11560" w:name="_Toc397700254"/>
      <w:bookmarkStart w:id="11561" w:name="_Toc397936646"/>
      <w:bookmarkStart w:id="11562" w:name="_Toc397936766"/>
      <w:bookmarkStart w:id="11563" w:name="_Toc397945922"/>
      <w:bookmarkStart w:id="11564" w:name="_Toc397946948"/>
      <w:bookmarkStart w:id="11565" w:name="_Toc397948067"/>
      <w:bookmarkStart w:id="11566" w:name="_Toc397958473"/>
      <w:bookmarkStart w:id="11567" w:name="_Toc397958715"/>
      <w:bookmarkStart w:id="11568" w:name="_Toc397959130"/>
      <w:bookmarkStart w:id="11569" w:name="_Toc397962983"/>
      <w:bookmarkStart w:id="11570" w:name="_Toc397963349"/>
      <w:bookmarkStart w:id="11571" w:name="_Toc397965426"/>
      <w:bookmarkStart w:id="11572" w:name="_Toc398197364"/>
      <w:bookmarkStart w:id="11573" w:name="_Toc398199867"/>
      <w:bookmarkStart w:id="11574" w:name="_Toc398201581"/>
      <w:bookmarkStart w:id="11575" w:name="_Toc398207186"/>
      <w:bookmarkStart w:id="11576" w:name="_Toc398210459"/>
      <w:bookmarkStart w:id="11577" w:name="_Toc398210973"/>
      <w:bookmarkStart w:id="11578" w:name="_Toc398219781"/>
      <w:bookmarkStart w:id="11579" w:name="_Toc398220156"/>
      <w:bookmarkStart w:id="11580" w:name="_Toc398220543"/>
      <w:bookmarkStart w:id="11581" w:name="_Toc398221621"/>
      <w:bookmarkStart w:id="11582" w:name="_Toc398222307"/>
      <w:bookmarkStart w:id="11583" w:name="_Toc398222619"/>
      <w:bookmarkStart w:id="11584" w:name="_Toc398223036"/>
      <w:bookmarkStart w:id="11585" w:name="_Toc398223415"/>
      <w:bookmarkStart w:id="11586" w:name="_Toc398223542"/>
      <w:bookmarkStart w:id="11587" w:name="_Toc398224350"/>
      <w:bookmarkStart w:id="11588" w:name="_Toc398225687"/>
      <w:bookmarkStart w:id="11589" w:name="_Toc398225812"/>
      <w:bookmarkStart w:id="11590" w:name="_Toc398281299"/>
      <w:bookmarkStart w:id="11591" w:name="_Toc398282158"/>
      <w:bookmarkStart w:id="11592" w:name="_Toc398284828"/>
      <w:bookmarkStart w:id="11593" w:name="_Toc398287297"/>
      <w:bookmarkStart w:id="11594" w:name="_Toc398289180"/>
      <w:bookmarkStart w:id="11595" w:name="_Toc398297177"/>
      <w:bookmarkStart w:id="11596" w:name="_Toc398298651"/>
      <w:bookmarkStart w:id="11597" w:name="_Toc398300352"/>
      <w:bookmarkStart w:id="11598" w:name="_Toc398301249"/>
      <w:bookmarkStart w:id="11599" w:name="_Toc398302434"/>
      <w:bookmarkStart w:id="11600" w:name="_Toc398302597"/>
      <w:bookmarkStart w:id="11601" w:name="_Toc398549110"/>
      <w:bookmarkStart w:id="11602" w:name="_Toc398549360"/>
      <w:bookmarkStart w:id="11603" w:name="_Toc398555779"/>
      <w:bookmarkStart w:id="11604" w:name="_Toc398558983"/>
      <w:bookmarkStart w:id="11605" w:name="_Toc398563469"/>
      <w:bookmarkStart w:id="11606" w:name="_Toc398563602"/>
      <w:bookmarkStart w:id="11607" w:name="_Toc398564001"/>
      <w:bookmarkStart w:id="11608" w:name="_Toc398827339"/>
      <w:bookmarkStart w:id="11609" w:name="_Toc398827533"/>
      <w:r w:rsidRPr="008625DC">
        <w:rPr>
          <w:lang w:val="en-AU"/>
        </w:rPr>
        <w:t>ACCC governance</w:t>
      </w:r>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p>
    <w:p w14:paraId="1B9A6163" w14:textId="4FB4106A" w:rsidR="00DD1583" w:rsidRPr="008625DC" w:rsidRDefault="00DD1583" w:rsidP="00DD1583">
      <w:pPr>
        <w:rPr>
          <w:rFonts w:ascii="Calibri" w:eastAsia="Calibri" w:hAnsi="Calibri"/>
          <w:color w:val="auto"/>
          <w:szCs w:val="22"/>
          <w:lang w:eastAsia="en-US"/>
        </w:rPr>
      </w:pPr>
      <w:r w:rsidRPr="008625DC">
        <w:rPr>
          <w:rFonts w:ascii="Calibri" w:eastAsia="Calibri" w:hAnsi="Calibri"/>
          <w:color w:val="auto"/>
          <w:szCs w:val="22"/>
          <w:lang w:eastAsia="en-US"/>
        </w:rPr>
        <w:t>The ACCC is established under the CCA as a statutory corporation. It is governed by a chairperson and other persons appointed as members of the Commission (usually called commissioners). Decisions are made by the chairperson and commissioners meeting together (or as a division of the Commission), save where a power has been delegated to a member of the Commission. The Commission is assisted by its staff. In practice, the chairperson and commissioners are appointed on a full</w:t>
      </w:r>
      <w:r w:rsidR="00C74E19" w:rsidRPr="008625DC">
        <w:rPr>
          <w:rFonts w:ascii="Calibri" w:eastAsia="Calibri" w:hAnsi="Calibri"/>
          <w:color w:val="auto"/>
          <w:szCs w:val="22"/>
          <w:lang w:eastAsia="en-US"/>
        </w:rPr>
        <w:noBreakHyphen/>
      </w:r>
      <w:r w:rsidRPr="008625DC">
        <w:rPr>
          <w:rFonts w:ascii="Calibri" w:eastAsia="Calibri" w:hAnsi="Calibri"/>
          <w:color w:val="auto"/>
          <w:szCs w:val="22"/>
          <w:lang w:eastAsia="en-US"/>
        </w:rPr>
        <w:t>time basis; in other words, they perform an executive role.</w:t>
      </w:r>
    </w:p>
    <w:p w14:paraId="58334809" w14:textId="1DB74006" w:rsidR="00BE7269" w:rsidRPr="008625DC" w:rsidRDefault="008C64DA" w:rsidP="000752DD">
      <w:r w:rsidRPr="008625DC">
        <w:t xml:space="preserve">The Panel considers that the </w:t>
      </w:r>
      <w:r w:rsidR="00FA4A07" w:rsidRPr="008625DC">
        <w:t>ACCC</w:t>
      </w:r>
      <w:r w:rsidR="00156C1E" w:rsidRPr="008625DC">
        <w:t xml:space="preserve"> is a well</w:t>
      </w:r>
      <w:r w:rsidR="00C74E19" w:rsidRPr="008625DC">
        <w:noBreakHyphen/>
      </w:r>
      <w:r w:rsidR="00156C1E" w:rsidRPr="008625DC">
        <w:t>regarded and effective</w:t>
      </w:r>
      <w:r w:rsidR="00FA4A07" w:rsidRPr="008625DC">
        <w:t xml:space="preserve"> </w:t>
      </w:r>
      <w:r w:rsidR="00156C1E" w:rsidRPr="008625DC">
        <w:t>body</w:t>
      </w:r>
      <w:r w:rsidRPr="008625DC">
        <w:t xml:space="preserve">. </w:t>
      </w:r>
      <w:r w:rsidR="006B3D3F" w:rsidRPr="008625DC">
        <w:t>Recognising the fundamental role</w:t>
      </w:r>
      <w:r w:rsidRPr="008625DC">
        <w:t xml:space="preserve"> that </w:t>
      </w:r>
      <w:r w:rsidR="00C74E19" w:rsidRPr="008625DC">
        <w:t>‘</w:t>
      </w:r>
      <w:r w:rsidR="006B3D3F" w:rsidRPr="008625DC">
        <w:t>checks and balances</w:t>
      </w:r>
      <w:r w:rsidR="00C74E19" w:rsidRPr="008625DC">
        <w:t>’</w:t>
      </w:r>
      <w:r w:rsidR="006B3D3F" w:rsidRPr="008625DC">
        <w:t xml:space="preserve"> play in </w:t>
      </w:r>
      <w:r w:rsidR="005D5562" w:rsidRPr="008625DC">
        <w:t>governance structures</w:t>
      </w:r>
      <w:r w:rsidRPr="008625DC">
        <w:t>, t</w:t>
      </w:r>
      <w:r w:rsidR="000752DD" w:rsidRPr="008625DC">
        <w:t xml:space="preserve">he Panel considers that governance of the ACCC </w:t>
      </w:r>
      <w:r w:rsidR="00156C1E" w:rsidRPr="008625DC">
        <w:t xml:space="preserve">would </w:t>
      </w:r>
      <w:r w:rsidR="000752DD" w:rsidRPr="008625DC">
        <w:t xml:space="preserve">benefit from </w:t>
      </w:r>
      <w:r w:rsidR="00FA4A07" w:rsidRPr="008625DC">
        <w:t>input from</w:t>
      </w:r>
      <w:r w:rsidR="000752DD" w:rsidRPr="008625DC">
        <w:t xml:space="preserve"> </w:t>
      </w:r>
      <w:r w:rsidR="002778C2" w:rsidRPr="008625DC">
        <w:t xml:space="preserve">individuals </w:t>
      </w:r>
      <w:r w:rsidR="00FA4A07" w:rsidRPr="008625DC">
        <w:t>who do</w:t>
      </w:r>
      <w:r w:rsidR="002778C2" w:rsidRPr="008625DC">
        <w:t xml:space="preserve"> not </w:t>
      </w:r>
      <w:r w:rsidR="00FA4A07" w:rsidRPr="008625DC">
        <w:t>have responsibility for</w:t>
      </w:r>
      <w:r w:rsidR="002778C2" w:rsidRPr="008625DC">
        <w:t xml:space="preserve"> </w:t>
      </w:r>
      <w:r w:rsidR="006B3D3F" w:rsidRPr="008625DC">
        <w:t>its</w:t>
      </w:r>
      <w:r w:rsidR="002778C2" w:rsidRPr="008625DC">
        <w:t xml:space="preserve"> day</w:t>
      </w:r>
      <w:r w:rsidR="00C74E19" w:rsidRPr="008625DC">
        <w:noBreakHyphen/>
      </w:r>
      <w:r w:rsidR="002778C2" w:rsidRPr="008625DC">
        <w:t>to</w:t>
      </w:r>
      <w:r w:rsidR="00C74E19" w:rsidRPr="008625DC">
        <w:noBreakHyphen/>
      </w:r>
      <w:r w:rsidR="002778C2" w:rsidRPr="008625DC">
        <w:t>day operations</w:t>
      </w:r>
      <w:r w:rsidR="006B3D3F" w:rsidRPr="008625DC">
        <w:t>.</w:t>
      </w:r>
      <w:r w:rsidR="00FA4A07" w:rsidRPr="008625DC">
        <w:t xml:space="preserve"> </w:t>
      </w:r>
      <w:r w:rsidR="006B3D3F" w:rsidRPr="008625DC">
        <w:t xml:space="preserve">This would </w:t>
      </w:r>
      <w:r w:rsidR="00FA4A07" w:rsidRPr="008625DC">
        <w:t xml:space="preserve">bring an </w:t>
      </w:r>
      <w:r w:rsidR="00C74E19" w:rsidRPr="008625DC">
        <w:t>‘</w:t>
      </w:r>
      <w:r w:rsidR="00FA4A07" w:rsidRPr="008625DC">
        <w:t>outsider</w:t>
      </w:r>
      <w:r w:rsidR="00C74E19" w:rsidRPr="008625DC">
        <w:t>’</w:t>
      </w:r>
      <w:r w:rsidR="00FA4A07" w:rsidRPr="008625DC">
        <w:t>s view</w:t>
      </w:r>
      <w:r w:rsidR="00C74E19" w:rsidRPr="008625DC">
        <w:t>’</w:t>
      </w:r>
      <w:r w:rsidR="00FA4A07" w:rsidRPr="008625DC">
        <w:t xml:space="preserve"> of policy and decision</w:t>
      </w:r>
      <w:r w:rsidR="00C74E19" w:rsidRPr="008625DC">
        <w:noBreakHyphen/>
      </w:r>
      <w:r w:rsidR="00FA4A07" w:rsidRPr="008625DC">
        <w:t>making</w:t>
      </w:r>
      <w:r w:rsidR="006B3D3F" w:rsidRPr="008625DC">
        <w:t>, and</w:t>
      </w:r>
      <w:r w:rsidR="00FA4A07" w:rsidRPr="008625DC">
        <w:t xml:space="preserve"> provide an opportunity to bring business</w:t>
      </w:r>
      <w:r w:rsidR="000D4840" w:rsidRPr="008625DC">
        <w:t>, consumer</w:t>
      </w:r>
      <w:r w:rsidR="00FA4A07" w:rsidRPr="008625DC">
        <w:t xml:space="preserve"> </w:t>
      </w:r>
      <w:r w:rsidR="00DF3ADA" w:rsidRPr="008625DC">
        <w:t xml:space="preserve">and academic </w:t>
      </w:r>
      <w:r w:rsidR="00FA4A07" w:rsidRPr="008625DC">
        <w:t>perspectives to bear</w:t>
      </w:r>
      <w:r w:rsidR="00BE7269" w:rsidRPr="008625DC">
        <w:t xml:space="preserve">. </w:t>
      </w:r>
    </w:p>
    <w:p w14:paraId="2C3C5F55" w14:textId="0D1A1C66" w:rsidR="00BE7269" w:rsidRPr="008625DC" w:rsidRDefault="00BE7269" w:rsidP="000752DD">
      <w:r w:rsidRPr="008625DC">
        <w:t xml:space="preserve">The Panel has </w:t>
      </w:r>
      <w:r w:rsidR="008C64DA" w:rsidRPr="008625DC">
        <w:t>contemplated two options</w:t>
      </w:r>
      <w:r w:rsidRPr="008625DC">
        <w:t xml:space="preserve"> to introduce this diversity of views into the decision</w:t>
      </w:r>
      <w:r w:rsidR="00C74E19" w:rsidRPr="008625DC">
        <w:noBreakHyphen/>
      </w:r>
      <w:r w:rsidRPr="008625DC">
        <w:t>making of the ACCC.</w:t>
      </w:r>
    </w:p>
    <w:p w14:paraId="79CE5F73" w14:textId="7420C1DE" w:rsidR="006B3D3F" w:rsidRPr="008625DC" w:rsidRDefault="00BE7269" w:rsidP="006B3D3F">
      <w:r w:rsidRPr="008625DC">
        <w:t xml:space="preserve">The first is </w:t>
      </w:r>
      <w:r w:rsidR="00D044EE" w:rsidRPr="008625DC">
        <w:t>to</w:t>
      </w:r>
      <w:r w:rsidRPr="008625DC">
        <w:t xml:space="preserve"> replace the current Commission with a Board, </w:t>
      </w:r>
      <w:r w:rsidR="00D044EE" w:rsidRPr="008625DC">
        <w:t xml:space="preserve">comprising </w:t>
      </w:r>
      <w:r w:rsidR="0089169E" w:rsidRPr="008625DC">
        <w:t xml:space="preserve">a number of members akin to the current </w:t>
      </w:r>
      <w:r w:rsidR="00DD1583" w:rsidRPr="008625DC">
        <w:t>c</w:t>
      </w:r>
      <w:r w:rsidR="0089169E" w:rsidRPr="008625DC">
        <w:t xml:space="preserve">ommissioners, who </w:t>
      </w:r>
      <w:r w:rsidR="005C218F" w:rsidRPr="008625DC">
        <w:t xml:space="preserve">would </w:t>
      </w:r>
      <w:r w:rsidR="0089169E" w:rsidRPr="008625DC">
        <w:t>work full</w:t>
      </w:r>
      <w:r w:rsidR="00C74E19" w:rsidRPr="008625DC">
        <w:noBreakHyphen/>
      </w:r>
      <w:r w:rsidR="0089169E" w:rsidRPr="008625DC">
        <w:t>time in the operations of the ACCC, and</w:t>
      </w:r>
      <w:r w:rsidRPr="008625DC">
        <w:t xml:space="preserve"> </w:t>
      </w:r>
      <w:r w:rsidR="00FA4A07" w:rsidRPr="008625DC">
        <w:t xml:space="preserve">a number of </w:t>
      </w:r>
      <w:r w:rsidR="008C64DA" w:rsidRPr="008625DC">
        <w:t xml:space="preserve">independent </w:t>
      </w:r>
      <w:r w:rsidRPr="008625DC">
        <w:t>non</w:t>
      </w:r>
      <w:r w:rsidR="00C74E19" w:rsidRPr="008625DC">
        <w:noBreakHyphen/>
      </w:r>
      <w:r w:rsidRPr="008625DC">
        <w:t xml:space="preserve">executive members </w:t>
      </w:r>
      <w:r w:rsidR="005C218F" w:rsidRPr="008625DC">
        <w:t xml:space="preserve">with </w:t>
      </w:r>
      <w:r w:rsidR="00A74398" w:rsidRPr="008625DC">
        <w:t>business</w:t>
      </w:r>
      <w:r w:rsidR="005C218F" w:rsidRPr="008625DC">
        <w:t>, consumer</w:t>
      </w:r>
      <w:r w:rsidR="00A74398" w:rsidRPr="008625DC">
        <w:t xml:space="preserve"> and academi</w:t>
      </w:r>
      <w:r w:rsidR="005C218F" w:rsidRPr="008625DC">
        <w:t>c expertise</w:t>
      </w:r>
      <w:r w:rsidR="00A74398" w:rsidRPr="008625DC">
        <w:t xml:space="preserve">, who </w:t>
      </w:r>
      <w:r w:rsidR="005C218F" w:rsidRPr="008625DC">
        <w:t xml:space="preserve">would </w:t>
      </w:r>
      <w:r w:rsidRPr="008625DC">
        <w:t xml:space="preserve">not </w:t>
      </w:r>
      <w:r w:rsidR="005C218F" w:rsidRPr="008625DC">
        <w:t xml:space="preserve">be </w:t>
      </w:r>
      <w:r w:rsidR="0089169E" w:rsidRPr="008625DC">
        <w:t>involved</w:t>
      </w:r>
      <w:r w:rsidRPr="008625DC">
        <w:t xml:space="preserve"> </w:t>
      </w:r>
      <w:r w:rsidR="00480C37" w:rsidRPr="008625DC">
        <w:t xml:space="preserve">in </w:t>
      </w:r>
      <w:r w:rsidRPr="008625DC">
        <w:t>the day</w:t>
      </w:r>
      <w:r w:rsidR="00C74E19" w:rsidRPr="008625DC">
        <w:noBreakHyphen/>
      </w:r>
      <w:r w:rsidRPr="008625DC">
        <w:t>to</w:t>
      </w:r>
      <w:r w:rsidR="00C74E19" w:rsidRPr="008625DC">
        <w:noBreakHyphen/>
      </w:r>
      <w:r w:rsidRPr="008625DC">
        <w:t xml:space="preserve">day </w:t>
      </w:r>
      <w:r w:rsidR="00D044EE" w:rsidRPr="008625DC">
        <w:t>functions</w:t>
      </w:r>
      <w:r w:rsidRPr="008625DC">
        <w:t xml:space="preserve"> of the ACCC. </w:t>
      </w:r>
      <w:r w:rsidR="006B3D3F" w:rsidRPr="008625DC">
        <w:t xml:space="preserve">This option would strengthen accountability of the </w:t>
      </w:r>
      <w:r w:rsidR="00DD1583" w:rsidRPr="008625DC">
        <w:t>ACCC</w:t>
      </w:r>
      <w:r w:rsidR="006B3D3F" w:rsidRPr="008625DC">
        <w:t xml:space="preserve"> to the broader community as represented by the non</w:t>
      </w:r>
      <w:r w:rsidR="00C74E19" w:rsidRPr="008625DC">
        <w:noBreakHyphen/>
      </w:r>
      <w:r w:rsidR="006B3D3F" w:rsidRPr="008625DC">
        <w:t>executive members of the Board.</w:t>
      </w:r>
      <w:r w:rsidR="009C265C" w:rsidRPr="008625DC">
        <w:t xml:space="preserve"> </w:t>
      </w:r>
    </w:p>
    <w:p w14:paraId="58DF0C81" w14:textId="312F5DA3" w:rsidR="005C218F" w:rsidRPr="008625DC" w:rsidRDefault="005C218F" w:rsidP="006B3D3F">
      <w:r w:rsidRPr="008625DC">
        <w:t>The Panel has no strong view on whether the Board should be chaired by an executive or non</w:t>
      </w:r>
      <w:r w:rsidR="00C74E19" w:rsidRPr="008625DC">
        <w:noBreakHyphen/>
      </w:r>
      <w:r w:rsidRPr="008625DC">
        <w:t>executive member.</w:t>
      </w:r>
    </w:p>
    <w:p w14:paraId="1C2D8727" w14:textId="5951648E" w:rsidR="005342DB" w:rsidRPr="008625DC" w:rsidRDefault="00C02F46" w:rsidP="008246E4">
      <w:r w:rsidRPr="008625DC">
        <w:t>An alternative</w:t>
      </w:r>
      <w:r w:rsidR="005342DB" w:rsidRPr="008625DC">
        <w:t xml:space="preserve"> means of </w:t>
      </w:r>
      <w:r w:rsidR="00D044EE" w:rsidRPr="008625DC">
        <w:t xml:space="preserve">adding to the </w:t>
      </w:r>
      <w:r w:rsidR="005342DB" w:rsidRPr="008625DC">
        <w:t xml:space="preserve">diversity of </w:t>
      </w:r>
      <w:r w:rsidR="00FA4A07" w:rsidRPr="008625DC">
        <w:t>views</w:t>
      </w:r>
      <w:r w:rsidR="005342DB" w:rsidRPr="008625DC">
        <w:t xml:space="preserve"> may be through retaining the current Commission structure </w:t>
      </w:r>
      <w:r w:rsidR="00D044EE" w:rsidRPr="008625DC">
        <w:t>but</w:t>
      </w:r>
      <w:r w:rsidR="005342DB" w:rsidRPr="008625DC">
        <w:t xml:space="preserve"> adding an Advisory Board with</w:t>
      </w:r>
      <w:r w:rsidR="00D044EE" w:rsidRPr="008625DC">
        <w:t>out</w:t>
      </w:r>
      <w:r w:rsidR="005342DB" w:rsidRPr="008625DC">
        <w:t xml:space="preserve"> decision</w:t>
      </w:r>
      <w:r w:rsidR="00C74E19" w:rsidRPr="008625DC">
        <w:noBreakHyphen/>
      </w:r>
      <w:r w:rsidR="005342DB" w:rsidRPr="008625DC">
        <w:t xml:space="preserve">making powers. The Advisory Board would </w:t>
      </w:r>
      <w:r w:rsidR="00D044EE" w:rsidRPr="008625DC">
        <w:t>comprise</w:t>
      </w:r>
      <w:r w:rsidR="008C64DA" w:rsidRPr="008625DC">
        <w:t xml:space="preserve"> independent non</w:t>
      </w:r>
      <w:r w:rsidR="00C74E19" w:rsidRPr="008625DC">
        <w:noBreakHyphen/>
      </w:r>
      <w:r w:rsidR="008C64DA" w:rsidRPr="008625DC">
        <w:t>executive</w:t>
      </w:r>
      <w:r w:rsidR="005342DB" w:rsidRPr="008625DC">
        <w:t xml:space="preserve"> </w:t>
      </w:r>
      <w:r w:rsidR="008C64DA" w:rsidRPr="008625DC">
        <w:t>directors</w:t>
      </w:r>
      <w:r w:rsidR="005342DB" w:rsidRPr="008625DC">
        <w:t xml:space="preserve"> </w:t>
      </w:r>
      <w:r w:rsidR="00941F4F" w:rsidRPr="008625DC">
        <w:t xml:space="preserve">with </w:t>
      </w:r>
      <w:r w:rsidR="005342DB" w:rsidRPr="008625DC">
        <w:t>business</w:t>
      </w:r>
      <w:r w:rsidR="00941F4F" w:rsidRPr="008625DC">
        <w:t>, consumer</w:t>
      </w:r>
      <w:r w:rsidR="005342DB" w:rsidRPr="008625DC">
        <w:t xml:space="preserve"> a</w:t>
      </w:r>
      <w:r w:rsidR="008C64DA" w:rsidRPr="008625DC">
        <w:t>nd academi</w:t>
      </w:r>
      <w:r w:rsidR="00941F4F" w:rsidRPr="008625DC">
        <w:t>c expertise</w:t>
      </w:r>
      <w:r w:rsidR="008C64DA" w:rsidRPr="008625DC">
        <w:t xml:space="preserve"> and w</w:t>
      </w:r>
      <w:r w:rsidR="005342DB" w:rsidRPr="008625DC">
        <w:t xml:space="preserve">ould advise the Commission </w:t>
      </w:r>
      <w:r w:rsidR="00681D69" w:rsidRPr="008625DC">
        <w:t xml:space="preserve">on </w:t>
      </w:r>
      <w:r w:rsidR="00CB5167" w:rsidRPr="008625DC">
        <w:t>operational and administrative policies</w:t>
      </w:r>
      <w:r w:rsidR="00681D69" w:rsidRPr="008625DC">
        <w:t xml:space="preserve">. The Advisory Board would be </w:t>
      </w:r>
      <w:r w:rsidR="00D044EE" w:rsidRPr="008625DC">
        <w:t>c</w:t>
      </w:r>
      <w:r w:rsidR="00681D69" w:rsidRPr="008625DC">
        <w:t xml:space="preserve">haired by the Chair of the Commission, with other </w:t>
      </w:r>
      <w:r w:rsidR="00DD1583" w:rsidRPr="008625DC">
        <w:t>c</w:t>
      </w:r>
      <w:r w:rsidR="00681D69" w:rsidRPr="008625DC">
        <w:t xml:space="preserve">ommissioners also potentially </w:t>
      </w:r>
      <w:r w:rsidR="00D044EE" w:rsidRPr="008625DC">
        <w:t>serving as</w:t>
      </w:r>
      <w:r w:rsidR="00681D69" w:rsidRPr="008625DC">
        <w:t xml:space="preserve"> </w:t>
      </w:r>
      <w:r w:rsidR="00DD1583" w:rsidRPr="008625DC">
        <w:t>m</w:t>
      </w:r>
      <w:r w:rsidR="00681D69" w:rsidRPr="008625DC">
        <w:t>embers.</w:t>
      </w:r>
    </w:p>
    <w:p w14:paraId="1C4FDD3A" w14:textId="57D5115E" w:rsidR="00681D69" w:rsidRPr="008625DC" w:rsidRDefault="00681D69" w:rsidP="008246E4">
      <w:r w:rsidRPr="008625DC">
        <w:lastRenderedPageBreak/>
        <w:t xml:space="preserve">The Panel considers that, whichever option may be </w:t>
      </w:r>
      <w:r w:rsidR="0089169E" w:rsidRPr="008625DC">
        <w:t>adopted</w:t>
      </w:r>
      <w:r w:rsidRPr="008625DC">
        <w:t xml:space="preserve">, a fundamental </w:t>
      </w:r>
      <w:r w:rsidR="00D044EE" w:rsidRPr="008625DC">
        <w:t xml:space="preserve">requirement </w:t>
      </w:r>
      <w:r w:rsidRPr="008625DC">
        <w:t>is the appointment of non</w:t>
      </w:r>
      <w:r w:rsidR="00C74E19" w:rsidRPr="008625DC">
        <w:noBreakHyphen/>
      </w:r>
      <w:r w:rsidRPr="008625DC">
        <w:t xml:space="preserve">executive </w:t>
      </w:r>
      <w:r w:rsidR="00DD1583" w:rsidRPr="008625DC">
        <w:t>m</w:t>
      </w:r>
      <w:r w:rsidRPr="008625DC">
        <w:t xml:space="preserve">embers </w:t>
      </w:r>
      <w:r w:rsidR="00D044EE" w:rsidRPr="008625DC">
        <w:t xml:space="preserve">who would not have other roles in the </w:t>
      </w:r>
      <w:r w:rsidRPr="008625DC">
        <w:t xml:space="preserve">ACCC </w:t>
      </w:r>
      <w:r w:rsidR="00D044EE" w:rsidRPr="008625DC">
        <w:t xml:space="preserve">or its </w:t>
      </w:r>
      <w:r w:rsidR="00DD1583" w:rsidRPr="008625DC">
        <w:t>c</w:t>
      </w:r>
      <w:r w:rsidRPr="008625DC">
        <w:t>ommittee</w:t>
      </w:r>
      <w:r w:rsidR="00D044EE" w:rsidRPr="008625DC">
        <w:t>s</w:t>
      </w:r>
      <w:r w:rsidRPr="008625DC">
        <w:t xml:space="preserve"> and who </w:t>
      </w:r>
      <w:r w:rsidR="00D044EE" w:rsidRPr="008625DC">
        <w:t xml:space="preserve">would be </w:t>
      </w:r>
      <w:r w:rsidRPr="008625DC">
        <w:t xml:space="preserve">independent </w:t>
      </w:r>
      <w:r w:rsidR="00D044EE" w:rsidRPr="008625DC">
        <w:t>of</w:t>
      </w:r>
      <w:r w:rsidRPr="008625DC">
        <w:t xml:space="preserve"> the day</w:t>
      </w:r>
      <w:r w:rsidR="00C74E19" w:rsidRPr="008625DC">
        <w:noBreakHyphen/>
      </w:r>
      <w:r w:rsidRPr="008625DC">
        <w:t>to</w:t>
      </w:r>
      <w:r w:rsidR="00C74E19" w:rsidRPr="008625DC">
        <w:noBreakHyphen/>
      </w:r>
      <w:r w:rsidRPr="008625DC">
        <w:t>day operation</w:t>
      </w:r>
      <w:r w:rsidR="00D044EE" w:rsidRPr="008625DC">
        <w:t>s</w:t>
      </w:r>
      <w:r w:rsidRPr="008625DC">
        <w:t xml:space="preserve"> of the agency.</w:t>
      </w:r>
    </w:p>
    <w:p w14:paraId="2286F2A6" w14:textId="65783126" w:rsidR="00DC79DD" w:rsidRPr="008625DC" w:rsidRDefault="00DC79DD" w:rsidP="00DC79DD">
      <w:r w:rsidRPr="008625DC">
        <w:t xml:space="preserve">The ACCC could also report regularly to a </w:t>
      </w:r>
      <w:r w:rsidR="00CA2FD5" w:rsidRPr="008625DC">
        <w:t>broadly</w:t>
      </w:r>
      <w:r w:rsidR="00C74E19" w:rsidRPr="008625DC">
        <w:noBreakHyphen/>
      </w:r>
      <w:r w:rsidR="00CA2FD5" w:rsidRPr="008625DC">
        <w:t xml:space="preserve">based committee of the Parliament, such as the </w:t>
      </w:r>
      <w:r w:rsidR="00CB5D6F" w:rsidRPr="008625DC">
        <w:t>House of Representatives Standing Committee on Economics</w:t>
      </w:r>
      <w:r w:rsidR="00CA2FD5" w:rsidRPr="008625DC">
        <w:t xml:space="preserve">, </w:t>
      </w:r>
      <w:r w:rsidRPr="008625DC">
        <w:t xml:space="preserve">to build profile and credibility for the agency as well as </w:t>
      </w:r>
      <w:r w:rsidR="00CA2FD5" w:rsidRPr="008625DC">
        <w:t xml:space="preserve">to </w:t>
      </w:r>
      <w:r w:rsidRPr="008625DC">
        <w:t xml:space="preserve">subject it to </w:t>
      </w:r>
      <w:r w:rsidR="00841377" w:rsidRPr="008625DC">
        <w:t xml:space="preserve">additional </w:t>
      </w:r>
      <w:r w:rsidRPr="008625DC">
        <w:t>accountability to the Parliament.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0752DD" w:rsidRPr="008625DC" w14:paraId="346B03D4" w14:textId="77777777" w:rsidTr="00F81722">
        <w:tc>
          <w:tcPr>
            <w:tcW w:w="5000" w:type="pct"/>
            <w:shd w:val="clear" w:color="auto" w:fill="E9F7F3" w:themeFill="accent4" w:themeFillTint="33"/>
          </w:tcPr>
          <w:p w14:paraId="4E82A3BD" w14:textId="1EA218EB" w:rsidR="000752DD" w:rsidRPr="008625DC" w:rsidRDefault="000752DD" w:rsidP="00F81722">
            <w:pPr>
              <w:pStyle w:val="RecommendationHeading"/>
            </w:pPr>
            <w:r w:rsidRPr="008625DC">
              <w:br w:type="page"/>
            </w:r>
            <w:bookmarkStart w:id="11610" w:name="DR47"/>
            <w:r w:rsidRPr="008625DC">
              <w:t xml:space="preserve">Draft Recommendation </w:t>
            </w:r>
            <w:r w:rsidRPr="008625DC">
              <w:fldChar w:fldCharType="begin"/>
            </w:r>
            <w:r w:rsidRPr="008625DC">
              <w:instrText xml:space="preserve"> AUTONUMLGL  \* Arabic \e </w:instrText>
            </w:r>
            <w:r w:rsidRPr="008625DC">
              <w:fldChar w:fldCharType="end"/>
            </w:r>
            <w:bookmarkEnd w:id="11610"/>
            <w:r w:rsidR="00380141" w:rsidRPr="008625DC">
              <w:t xml:space="preserve"> — </w:t>
            </w:r>
            <w:r w:rsidR="009D51A4" w:rsidRPr="008625DC">
              <w:t>ACCC governance</w:t>
            </w:r>
          </w:p>
          <w:p w14:paraId="779F292A" w14:textId="0FE54965" w:rsidR="00681D69" w:rsidRPr="008625DC" w:rsidRDefault="00681D69" w:rsidP="00F81722">
            <w:pPr>
              <w:pStyle w:val="RecommendationText"/>
            </w:pPr>
            <w:r w:rsidRPr="008625DC">
              <w:t xml:space="preserve">The Panel </w:t>
            </w:r>
            <w:r w:rsidR="00D044EE" w:rsidRPr="008625DC">
              <w:t>believes that incorporating a wider range of business</w:t>
            </w:r>
            <w:r w:rsidR="005C218F" w:rsidRPr="008625DC">
              <w:t>, consumer</w:t>
            </w:r>
            <w:r w:rsidR="00D044EE" w:rsidRPr="008625DC">
              <w:t xml:space="preserve"> and academ</w:t>
            </w:r>
            <w:r w:rsidR="00A74398" w:rsidRPr="008625DC">
              <w:t>i</w:t>
            </w:r>
            <w:r w:rsidR="005C218F" w:rsidRPr="008625DC">
              <w:t>c</w:t>
            </w:r>
            <w:r w:rsidR="00D044EE" w:rsidRPr="008625DC">
              <w:t xml:space="preserve"> </w:t>
            </w:r>
            <w:r w:rsidR="005C218F" w:rsidRPr="008625DC">
              <w:t xml:space="preserve">viewpoints </w:t>
            </w:r>
            <w:r w:rsidR="00D044EE" w:rsidRPr="008625DC">
              <w:t xml:space="preserve">would improve the governance of the </w:t>
            </w:r>
            <w:r w:rsidRPr="008625DC">
              <w:t>ACCC</w:t>
            </w:r>
            <w:r w:rsidR="00D044EE" w:rsidRPr="008625DC">
              <w:t>.</w:t>
            </w:r>
          </w:p>
          <w:p w14:paraId="4BAAFE78" w14:textId="2BD4A29B" w:rsidR="000752DD" w:rsidRPr="008625DC" w:rsidRDefault="00681D69" w:rsidP="00F81722">
            <w:pPr>
              <w:pStyle w:val="RecommendationText"/>
              <w:rPr>
                <w:b/>
              </w:rPr>
            </w:pPr>
            <w:r w:rsidRPr="008625DC">
              <w:rPr>
                <w:b/>
              </w:rPr>
              <w:t xml:space="preserve">The Panel seeks views on the best means </w:t>
            </w:r>
            <w:r w:rsidR="006A35C8" w:rsidRPr="008625DC">
              <w:rPr>
                <w:b/>
              </w:rPr>
              <w:t>of</w:t>
            </w:r>
            <w:r w:rsidRPr="008625DC">
              <w:rPr>
                <w:b/>
              </w:rPr>
              <w:t xml:space="preserve"> achiev</w:t>
            </w:r>
            <w:r w:rsidR="006A35C8" w:rsidRPr="008625DC">
              <w:rPr>
                <w:b/>
              </w:rPr>
              <w:t>ing</w:t>
            </w:r>
            <w:r w:rsidRPr="008625DC">
              <w:rPr>
                <w:b/>
              </w:rPr>
              <w:t xml:space="preserve"> this</w:t>
            </w:r>
            <w:r w:rsidR="006A35C8" w:rsidRPr="008625DC">
              <w:rPr>
                <w:b/>
              </w:rPr>
              <w:t xml:space="preserve"> outcome</w:t>
            </w:r>
            <w:r w:rsidRPr="008625DC">
              <w:rPr>
                <w:b/>
              </w:rPr>
              <w:t xml:space="preserve">, including but not limited to, the </w:t>
            </w:r>
            <w:r w:rsidR="006A35C8" w:rsidRPr="008625DC">
              <w:rPr>
                <w:b/>
              </w:rPr>
              <w:t xml:space="preserve">following </w:t>
            </w:r>
            <w:r w:rsidRPr="008625DC">
              <w:rPr>
                <w:b/>
              </w:rPr>
              <w:t>options</w:t>
            </w:r>
            <w:r w:rsidR="006A35C8" w:rsidRPr="008625DC">
              <w:rPr>
                <w:b/>
              </w:rPr>
              <w:t>:</w:t>
            </w:r>
          </w:p>
          <w:p w14:paraId="599EAF21" w14:textId="318F4027" w:rsidR="00DD1583" w:rsidRPr="008625DC" w:rsidRDefault="00DD1583" w:rsidP="0031183F">
            <w:pPr>
              <w:pStyle w:val="RecommendationBullet"/>
              <w:rPr>
                <w:rStyle w:val="Bold"/>
              </w:rPr>
            </w:pPr>
            <w:r w:rsidRPr="008625DC">
              <w:rPr>
                <w:rStyle w:val="Bold"/>
              </w:rPr>
              <w:t>replacing the current Commission with a Board comprising executive members, and non</w:t>
            </w:r>
            <w:r w:rsidR="00C74E19" w:rsidRPr="008625DC">
              <w:rPr>
                <w:rStyle w:val="Bold"/>
              </w:rPr>
              <w:noBreakHyphen/>
            </w:r>
            <w:r w:rsidRPr="008625DC">
              <w:rPr>
                <w:rStyle w:val="Bold"/>
              </w:rPr>
              <w:t xml:space="preserve">executive members </w:t>
            </w:r>
            <w:r w:rsidR="005C218F" w:rsidRPr="008625DC">
              <w:rPr>
                <w:rStyle w:val="Bold"/>
              </w:rPr>
              <w:t xml:space="preserve">with </w:t>
            </w:r>
            <w:r w:rsidRPr="008625DC">
              <w:rPr>
                <w:rStyle w:val="Bold"/>
              </w:rPr>
              <w:t>business</w:t>
            </w:r>
            <w:r w:rsidR="005C218F" w:rsidRPr="008625DC">
              <w:rPr>
                <w:rStyle w:val="Bold"/>
              </w:rPr>
              <w:t>, consumer</w:t>
            </w:r>
            <w:r w:rsidRPr="008625DC">
              <w:rPr>
                <w:rStyle w:val="Bold"/>
              </w:rPr>
              <w:t xml:space="preserve"> and academi</w:t>
            </w:r>
            <w:r w:rsidR="005C218F" w:rsidRPr="008625DC">
              <w:rPr>
                <w:rStyle w:val="Bold"/>
              </w:rPr>
              <w:t>c expertise</w:t>
            </w:r>
            <w:r w:rsidRPr="008625DC">
              <w:rPr>
                <w:rStyle w:val="Bold"/>
              </w:rPr>
              <w:t xml:space="preserve"> (with either an executive or non</w:t>
            </w:r>
            <w:r w:rsidR="00C74E19" w:rsidRPr="008625DC">
              <w:rPr>
                <w:rStyle w:val="Bold"/>
              </w:rPr>
              <w:noBreakHyphen/>
            </w:r>
            <w:r w:rsidRPr="008625DC">
              <w:rPr>
                <w:rStyle w:val="Bold"/>
              </w:rPr>
              <w:t>executive Chair of the Board); or</w:t>
            </w:r>
          </w:p>
          <w:p w14:paraId="182121D6" w14:textId="2084A4DA" w:rsidR="00681D69" w:rsidRPr="008625DC" w:rsidRDefault="00681D69" w:rsidP="0031183F">
            <w:pPr>
              <w:pStyle w:val="RecommendationBullet"/>
              <w:rPr>
                <w:rStyle w:val="Bold"/>
              </w:rPr>
            </w:pPr>
            <w:proofErr w:type="gramStart"/>
            <w:r w:rsidRPr="008625DC">
              <w:rPr>
                <w:rStyle w:val="Bold"/>
              </w:rPr>
              <w:t>adding</w:t>
            </w:r>
            <w:proofErr w:type="gramEnd"/>
            <w:r w:rsidRPr="008625DC">
              <w:rPr>
                <w:rStyle w:val="Bold"/>
              </w:rPr>
              <w:t xml:space="preserve"> an Advisory Board, </w:t>
            </w:r>
            <w:r w:rsidR="006A35C8" w:rsidRPr="008625DC">
              <w:rPr>
                <w:rStyle w:val="Bold"/>
              </w:rPr>
              <w:t>c</w:t>
            </w:r>
            <w:r w:rsidRPr="008625DC">
              <w:rPr>
                <w:rStyle w:val="Bold"/>
              </w:rPr>
              <w:t>haired by the Chair of the Commission, which would provide advice</w:t>
            </w:r>
            <w:r w:rsidR="00F505F0" w:rsidRPr="008625DC">
              <w:rPr>
                <w:rStyle w:val="Bold"/>
              </w:rPr>
              <w:t>, including</w:t>
            </w:r>
            <w:r w:rsidRPr="008625DC">
              <w:rPr>
                <w:rStyle w:val="Bold"/>
              </w:rPr>
              <w:t xml:space="preserve"> on matters of strategy</w:t>
            </w:r>
            <w:r w:rsidR="00F505F0" w:rsidRPr="008625DC">
              <w:rPr>
                <w:rStyle w:val="Bold"/>
              </w:rPr>
              <w:t>, to</w:t>
            </w:r>
            <w:r w:rsidRPr="008625DC">
              <w:rPr>
                <w:rStyle w:val="Bold"/>
              </w:rPr>
              <w:t xml:space="preserve"> the ACCC</w:t>
            </w:r>
            <w:r w:rsidR="004A1F07" w:rsidRPr="008625DC">
              <w:rPr>
                <w:rStyle w:val="Bold"/>
              </w:rPr>
              <w:t xml:space="preserve"> but would have no decision</w:t>
            </w:r>
            <w:r w:rsidR="00C74E19" w:rsidRPr="008625DC">
              <w:rPr>
                <w:rStyle w:val="Bold"/>
              </w:rPr>
              <w:noBreakHyphen/>
            </w:r>
            <w:r w:rsidR="004A1F07" w:rsidRPr="008625DC">
              <w:rPr>
                <w:rStyle w:val="Bold"/>
              </w:rPr>
              <w:t>making power</w:t>
            </w:r>
            <w:r w:rsidR="006A35C8" w:rsidRPr="008625DC">
              <w:rPr>
                <w:rStyle w:val="Bold"/>
              </w:rPr>
              <w:t>s</w:t>
            </w:r>
            <w:r w:rsidRPr="008625DC">
              <w:rPr>
                <w:rStyle w:val="Bold"/>
              </w:rPr>
              <w:t>.</w:t>
            </w:r>
          </w:p>
          <w:p w14:paraId="79F12D7D" w14:textId="0B609909" w:rsidR="000752DD" w:rsidRPr="008625DC" w:rsidRDefault="00DC79DD" w:rsidP="005C218F">
            <w:pPr>
              <w:pStyle w:val="RecommendationText"/>
            </w:pPr>
            <w:r w:rsidRPr="008625DC">
              <w:t xml:space="preserve">The credibility of the ACCC could also be strengthened </w:t>
            </w:r>
            <w:r w:rsidR="005C218F" w:rsidRPr="008625DC">
              <w:t xml:space="preserve">with additional </w:t>
            </w:r>
            <w:r w:rsidRPr="008625DC">
              <w:t xml:space="preserve">accountability to the Parliament through regular appearance before a </w:t>
            </w:r>
            <w:r w:rsidR="005C218F" w:rsidRPr="008625DC">
              <w:t>broadly</w:t>
            </w:r>
            <w:r w:rsidR="00C74E19" w:rsidRPr="008625DC">
              <w:noBreakHyphen/>
            </w:r>
            <w:r w:rsidR="005C218F" w:rsidRPr="008625DC">
              <w:t xml:space="preserve">based </w:t>
            </w:r>
            <w:r w:rsidRPr="008625DC">
              <w:t>Parliamentary Committee.</w:t>
            </w:r>
          </w:p>
        </w:tc>
      </w:tr>
    </w:tbl>
    <w:p w14:paraId="01DE7934" w14:textId="5391AC55" w:rsidR="00DD1583" w:rsidRPr="008625DC" w:rsidRDefault="00DD1583" w:rsidP="0031183F">
      <w:pPr>
        <w:spacing w:before="240"/>
      </w:pPr>
      <w:r w:rsidRPr="008625DC">
        <w:t>The ACCC</w:t>
      </w:r>
      <w:r w:rsidR="00C74E19" w:rsidRPr="008625DC">
        <w:t>’</w:t>
      </w:r>
      <w:r w:rsidRPr="008625DC">
        <w:t>s use of the media has been criticised in submissions to the Panel as undermining the perceived impartiality of the agency in undertaking enforcement action. Advocating for competition policy would become the responsibility of the new ACCP, if established, but the ACCC would continue to communicate with the public through the media, including explaining enforcement priorities, educating business about compliance, and publishing enforcement outcomes.</w:t>
      </w:r>
    </w:p>
    <w:p w14:paraId="7AAA93A3" w14:textId="0930E2E3" w:rsidR="00DD1583" w:rsidRPr="008625DC" w:rsidRDefault="00DD1583" w:rsidP="00455001">
      <w:r w:rsidRPr="008625DC">
        <w:t>The Panel believes that the ACCC should establish, publish and report against a Media Code of Conduct. This should counter the perception of partiality on the part of the ACCC, especially in enforcement actions.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D1583" w:rsidRPr="008625DC" w14:paraId="0E809EA8" w14:textId="77777777" w:rsidTr="00DD1583">
        <w:tc>
          <w:tcPr>
            <w:tcW w:w="5000" w:type="pct"/>
            <w:shd w:val="clear" w:color="auto" w:fill="E9F7F3" w:themeFill="accent4" w:themeFillTint="33"/>
          </w:tcPr>
          <w:p w14:paraId="576D8FC8" w14:textId="77777777" w:rsidR="00DD1583" w:rsidRPr="008625DC" w:rsidRDefault="00DD1583" w:rsidP="00DD1583">
            <w:pPr>
              <w:pStyle w:val="RecommendationHeading"/>
            </w:pPr>
            <w:r w:rsidRPr="008625DC">
              <w:br w:type="page"/>
            </w:r>
            <w:bookmarkStart w:id="11611" w:name="DR48"/>
            <w:r w:rsidRPr="008625DC">
              <w:t xml:space="preserve">Draft Recommendation </w:t>
            </w:r>
            <w:r w:rsidRPr="008625DC">
              <w:fldChar w:fldCharType="begin"/>
            </w:r>
            <w:r w:rsidRPr="008625DC">
              <w:instrText xml:space="preserve"> AUTONUMLGL  \* Arabic \e </w:instrText>
            </w:r>
            <w:r w:rsidRPr="008625DC">
              <w:fldChar w:fldCharType="end"/>
            </w:r>
            <w:bookmarkEnd w:id="11611"/>
            <w:r w:rsidRPr="008625DC">
              <w:t xml:space="preserve"> — Media Code of Conduct</w:t>
            </w:r>
          </w:p>
          <w:p w14:paraId="2131CC8A" w14:textId="77777777" w:rsidR="00DD1583" w:rsidRPr="008625DC" w:rsidRDefault="00DD1583" w:rsidP="00DD1583">
            <w:pPr>
              <w:pStyle w:val="RecommendationText"/>
            </w:pPr>
            <w:r w:rsidRPr="008625DC">
              <w:t>The ACCC should also develop a Code of Conduct for its dealings with the media with the aim of strengthening the perception of its impartiality in enforcing the law.</w:t>
            </w:r>
          </w:p>
        </w:tc>
      </w:tr>
    </w:tbl>
    <w:p w14:paraId="1CEE9E05" w14:textId="77777777" w:rsidR="00DD1583" w:rsidRPr="008625DC" w:rsidRDefault="00DD1583" w:rsidP="00455001"/>
    <w:p w14:paraId="087EB9C1" w14:textId="77777777" w:rsidR="000752DD" w:rsidRPr="008625DC" w:rsidRDefault="000752DD" w:rsidP="00455001">
      <w:r w:rsidRPr="008625DC">
        <w:br w:type="page"/>
      </w:r>
    </w:p>
    <w:p w14:paraId="7337A724" w14:textId="77777777" w:rsidR="00D226CF" w:rsidRPr="008625DC" w:rsidRDefault="00D226CF" w:rsidP="00864E0A">
      <w:pPr>
        <w:pStyle w:val="Heading1"/>
        <w:ind w:left="851" w:hanging="851"/>
      </w:pPr>
      <w:bookmarkStart w:id="11612" w:name="Ch5"/>
      <w:bookmarkStart w:id="11613" w:name="_Toc394412560"/>
      <w:bookmarkStart w:id="11614" w:name="_Toc394412683"/>
      <w:bookmarkStart w:id="11615" w:name="_Toc394420853"/>
      <w:bookmarkStart w:id="11616" w:name="_Toc394420976"/>
      <w:bookmarkStart w:id="11617" w:name="_Toc394423694"/>
      <w:bookmarkStart w:id="11618" w:name="_Toc394423816"/>
      <w:bookmarkStart w:id="11619" w:name="_Toc394422738"/>
      <w:bookmarkStart w:id="11620" w:name="_Toc394422860"/>
      <w:bookmarkStart w:id="11621" w:name="_Toc394423209"/>
      <w:bookmarkStart w:id="11622" w:name="_Toc394423331"/>
      <w:bookmarkStart w:id="11623" w:name="_Toc394424357"/>
      <w:bookmarkStart w:id="11624" w:name="_Toc394424480"/>
      <w:bookmarkStart w:id="11625" w:name="_Toc394492188"/>
      <w:bookmarkStart w:id="11626" w:name="_Toc394492313"/>
      <w:bookmarkStart w:id="11627" w:name="_Toc394495332"/>
      <w:bookmarkStart w:id="11628" w:name="_Toc394495457"/>
      <w:bookmarkStart w:id="11629" w:name="_Toc394498147"/>
      <w:bookmarkStart w:id="11630" w:name="_Toc394498272"/>
      <w:bookmarkStart w:id="11631" w:name="_Toc394500937"/>
      <w:bookmarkStart w:id="11632" w:name="_Toc394501062"/>
      <w:bookmarkStart w:id="11633" w:name="_Toc394502334"/>
      <w:bookmarkStart w:id="11634" w:name="_Toc394502452"/>
      <w:bookmarkStart w:id="11635" w:name="_Toc394502897"/>
      <w:bookmarkStart w:id="11636" w:name="_Toc394503238"/>
      <w:bookmarkStart w:id="11637" w:name="_Toc394503811"/>
      <w:bookmarkStart w:id="11638" w:name="_Toc394502782"/>
      <w:bookmarkStart w:id="11639" w:name="_Toc394505989"/>
      <w:bookmarkStart w:id="11640" w:name="_Toc394506229"/>
      <w:bookmarkStart w:id="11641" w:name="_Toc394506447"/>
      <w:bookmarkStart w:id="11642" w:name="_Toc394506566"/>
      <w:bookmarkStart w:id="11643" w:name="_Toc394507001"/>
      <w:bookmarkStart w:id="11644" w:name="_Toc394507120"/>
      <w:bookmarkStart w:id="11645" w:name="_Toc394561076"/>
      <w:bookmarkStart w:id="11646" w:name="_Toc394561199"/>
      <w:bookmarkStart w:id="11647" w:name="_Toc394561537"/>
      <w:bookmarkStart w:id="11648" w:name="_Toc394562032"/>
      <w:bookmarkStart w:id="11649" w:name="_Toc394583049"/>
      <w:bookmarkStart w:id="11650" w:name="_Toc394585720"/>
      <w:bookmarkStart w:id="11651" w:name="_Toc394586187"/>
      <w:bookmarkStart w:id="11652" w:name="_Toc394588119"/>
      <w:bookmarkStart w:id="11653" w:name="_Toc394588954"/>
      <w:bookmarkStart w:id="11654" w:name="_Toc394589079"/>
      <w:bookmarkStart w:id="11655" w:name="_Toc394590494"/>
      <w:bookmarkStart w:id="11656" w:name="_Toc394590687"/>
      <w:bookmarkStart w:id="11657" w:name="_Toc394654621"/>
      <w:bookmarkStart w:id="11658" w:name="_Toc394654747"/>
      <w:bookmarkStart w:id="11659" w:name="_Toc394656320"/>
      <w:bookmarkStart w:id="11660" w:name="_Toc394656443"/>
      <w:bookmarkStart w:id="11661" w:name="_Toc394659458"/>
      <w:bookmarkStart w:id="11662" w:name="_Toc394659581"/>
      <w:bookmarkStart w:id="11663" w:name="_Toc394663470"/>
      <w:bookmarkStart w:id="11664" w:name="_Toc394663591"/>
      <w:bookmarkStart w:id="11665" w:name="_Toc394667264"/>
      <w:bookmarkStart w:id="11666" w:name="_Toc394667385"/>
      <w:bookmarkStart w:id="11667" w:name="_Toc394671747"/>
      <w:bookmarkStart w:id="11668" w:name="_Toc394671869"/>
      <w:bookmarkStart w:id="11669" w:name="_Toc394674750"/>
      <w:bookmarkStart w:id="11670" w:name="_Toc394674873"/>
      <w:bookmarkStart w:id="11671" w:name="_Toc394675032"/>
      <w:bookmarkStart w:id="11672" w:name="_Toc394675153"/>
      <w:bookmarkStart w:id="11673" w:name="_Toc394676139"/>
      <w:bookmarkStart w:id="11674" w:name="_Toc394676260"/>
      <w:bookmarkStart w:id="11675" w:name="_Toc394675828"/>
      <w:bookmarkStart w:id="11676" w:name="_Toc394675949"/>
      <w:bookmarkStart w:id="11677" w:name="_Toc394918352"/>
      <w:bookmarkStart w:id="11678" w:name="_Toc394918866"/>
      <w:bookmarkStart w:id="11679" w:name="_Toc394930839"/>
      <w:bookmarkStart w:id="11680" w:name="_Toc394933824"/>
      <w:bookmarkStart w:id="11681" w:name="_Toc394938273"/>
      <w:bookmarkStart w:id="11682" w:name="_Toc394938582"/>
      <w:bookmarkStart w:id="11683" w:name="_Toc394938700"/>
      <w:bookmarkStart w:id="11684" w:name="_Toc394937553"/>
      <w:bookmarkStart w:id="11685" w:name="_Toc394937864"/>
      <w:bookmarkStart w:id="11686" w:name="_Toc394937982"/>
      <w:bookmarkStart w:id="11687" w:name="_Toc394941184"/>
      <w:bookmarkStart w:id="11688" w:name="_Toc394941493"/>
      <w:bookmarkStart w:id="11689" w:name="_Toc394941611"/>
      <w:bookmarkStart w:id="11690" w:name="_Toc394941800"/>
      <w:bookmarkStart w:id="11691" w:name="_Toc394942109"/>
      <w:bookmarkStart w:id="11692" w:name="_Toc394942227"/>
      <w:bookmarkStart w:id="11693" w:name="_Toc394940022"/>
      <w:bookmarkStart w:id="11694" w:name="_Toc394940331"/>
      <w:bookmarkStart w:id="11695" w:name="_Toc394940449"/>
      <w:bookmarkStart w:id="11696" w:name="_Toc394939632"/>
      <w:bookmarkStart w:id="11697" w:name="_Toc394940545"/>
      <w:bookmarkStart w:id="11698" w:name="_Toc394940662"/>
      <w:bookmarkStart w:id="11699" w:name="_Toc394993825"/>
      <w:bookmarkStart w:id="11700" w:name="_Toc394995195"/>
      <w:bookmarkStart w:id="11701" w:name="_Toc394995717"/>
      <w:bookmarkStart w:id="11702" w:name="_Toc394996031"/>
      <w:bookmarkStart w:id="11703" w:name="_Toc394996241"/>
      <w:bookmarkStart w:id="11704" w:name="_Toc394997966"/>
      <w:bookmarkStart w:id="11705" w:name="_Toc394998272"/>
      <w:bookmarkStart w:id="11706" w:name="_Toc394998480"/>
      <w:bookmarkStart w:id="11707" w:name="_Toc394998785"/>
      <w:bookmarkStart w:id="11708" w:name="_Toc395001979"/>
      <w:bookmarkStart w:id="11709" w:name="_Toc395002286"/>
      <w:bookmarkStart w:id="11710" w:name="_Toc395001494"/>
      <w:bookmarkStart w:id="11711" w:name="_Toc395001767"/>
      <w:bookmarkStart w:id="11712" w:name="_Toc395003055"/>
      <w:bookmarkStart w:id="11713" w:name="_Toc395003333"/>
      <w:bookmarkStart w:id="11714" w:name="_Toc395003639"/>
      <w:bookmarkStart w:id="11715" w:name="_Toc395005137"/>
      <w:bookmarkStart w:id="11716" w:name="_Toc395005572"/>
      <w:bookmarkStart w:id="11717" w:name="_Toc395005881"/>
      <w:bookmarkStart w:id="11718" w:name="_Toc395009056"/>
      <w:bookmarkStart w:id="11719" w:name="_Toc395009867"/>
      <w:bookmarkStart w:id="11720" w:name="_Toc395010306"/>
      <w:bookmarkStart w:id="11721" w:name="_Toc395010714"/>
      <w:bookmarkStart w:id="11722" w:name="_Toc395011488"/>
      <w:bookmarkStart w:id="11723" w:name="_Toc395011601"/>
      <w:bookmarkStart w:id="11724" w:name="_Toc395012491"/>
      <w:bookmarkStart w:id="11725" w:name="_Toc395012782"/>
      <w:bookmarkStart w:id="11726" w:name="_Toc395013009"/>
      <w:bookmarkStart w:id="11727" w:name="_Toc395010896"/>
      <w:bookmarkStart w:id="11728" w:name="_Toc395012840"/>
      <w:bookmarkStart w:id="11729" w:name="_Toc395011954"/>
      <w:bookmarkStart w:id="11730" w:name="_Toc395014585"/>
      <w:bookmarkStart w:id="11731" w:name="_Toc395014698"/>
      <w:bookmarkStart w:id="11732" w:name="_Toc395013181"/>
      <w:bookmarkStart w:id="11733" w:name="_Toc395013361"/>
      <w:bookmarkStart w:id="11734" w:name="_Toc395084928"/>
      <w:bookmarkStart w:id="11735" w:name="_Toc395085229"/>
      <w:bookmarkStart w:id="11736" w:name="_Toc395090408"/>
      <w:bookmarkStart w:id="11737" w:name="_Toc395090695"/>
      <w:bookmarkStart w:id="11738" w:name="_Toc395090807"/>
      <w:bookmarkStart w:id="11739" w:name="_Toc395093774"/>
      <w:bookmarkStart w:id="11740" w:name="_Toc395092992"/>
      <w:bookmarkStart w:id="11741" w:name="_Toc395093278"/>
      <w:bookmarkStart w:id="11742" w:name="_Toc395093390"/>
      <w:bookmarkStart w:id="11743" w:name="_Toc395097903"/>
      <w:bookmarkStart w:id="11744" w:name="_Toc395098188"/>
      <w:bookmarkStart w:id="11745" w:name="_Toc395098300"/>
      <w:bookmarkStart w:id="11746" w:name="_Toc395105373"/>
      <w:bookmarkStart w:id="11747" w:name="_Toc395105484"/>
      <w:bookmarkStart w:id="11748" w:name="_Toc395106976"/>
      <w:bookmarkStart w:id="11749" w:name="_Toc395107087"/>
      <w:bookmarkStart w:id="11750" w:name="_Toc395110042"/>
      <w:bookmarkStart w:id="11751" w:name="_Toc395109634"/>
      <w:bookmarkStart w:id="11752" w:name="_Toc395109745"/>
      <w:bookmarkStart w:id="11753" w:name="_Toc395112043"/>
      <w:bookmarkStart w:id="11754" w:name="_Toc395112339"/>
      <w:bookmarkStart w:id="11755" w:name="_Toc395112450"/>
      <w:bookmarkStart w:id="11756" w:name="_Toc395107180"/>
      <w:bookmarkStart w:id="11757" w:name="_Toc395107481"/>
      <w:bookmarkStart w:id="11758" w:name="_Toc395107595"/>
      <w:bookmarkStart w:id="11759" w:name="_Toc395108721"/>
      <w:bookmarkStart w:id="11760" w:name="_Toc395113961"/>
      <w:bookmarkStart w:id="11761" w:name="_Toc395114287"/>
      <w:bookmarkStart w:id="11762" w:name="_Toc395114402"/>
      <w:bookmarkStart w:id="11763" w:name="_Toc395116698"/>
      <w:bookmarkStart w:id="11764" w:name="_Toc395117024"/>
      <w:bookmarkStart w:id="11765" w:name="_Toc395117140"/>
      <w:bookmarkStart w:id="11766" w:name="_Toc395112635"/>
      <w:bookmarkStart w:id="11767" w:name="_Toc395113142"/>
      <w:bookmarkStart w:id="11768" w:name="_Toc395113258"/>
      <w:bookmarkStart w:id="11769" w:name="_Toc395115175"/>
      <w:bookmarkStart w:id="11770" w:name="_Toc395115501"/>
      <w:bookmarkStart w:id="11771" w:name="_Toc395115617"/>
      <w:bookmarkStart w:id="11772" w:name="_Toc395118330"/>
      <w:bookmarkStart w:id="11773" w:name="_Toc395118653"/>
      <w:bookmarkStart w:id="11774" w:name="_Toc395118767"/>
      <w:bookmarkStart w:id="11775" w:name="_Toc395178352"/>
      <w:bookmarkStart w:id="11776" w:name="_Toc395624841"/>
      <w:bookmarkStart w:id="11777" w:name="_Toc395625035"/>
      <w:bookmarkStart w:id="11778" w:name="_Toc395789894"/>
      <w:bookmarkStart w:id="11779" w:name="_Toc395790192"/>
      <w:bookmarkStart w:id="11780" w:name="_Toc395800950"/>
      <w:bookmarkStart w:id="11781" w:name="_Toc395802938"/>
      <w:bookmarkStart w:id="11782" w:name="_Toc395867589"/>
      <w:bookmarkStart w:id="11783" w:name="_Toc395867705"/>
      <w:bookmarkStart w:id="11784" w:name="_Toc395868721"/>
      <w:bookmarkStart w:id="11785" w:name="_Toc395868837"/>
      <w:bookmarkStart w:id="11786" w:name="_Toc395879102"/>
      <w:bookmarkStart w:id="11787" w:name="_Toc395879216"/>
      <w:bookmarkStart w:id="11788" w:name="_Toc395882226"/>
      <w:bookmarkStart w:id="11789" w:name="_Toc395882340"/>
      <w:bookmarkStart w:id="11790" w:name="_Toc395882557"/>
      <w:bookmarkStart w:id="11791" w:name="_Toc395882671"/>
      <w:bookmarkStart w:id="11792" w:name="_Toc395880721"/>
      <w:bookmarkStart w:id="11793" w:name="_Toc395881052"/>
      <w:bookmarkStart w:id="11794" w:name="_Toc395881610"/>
      <w:bookmarkStart w:id="11795" w:name="_Toc395883995"/>
      <w:bookmarkStart w:id="11796" w:name="_Toc395884109"/>
      <w:bookmarkStart w:id="11797" w:name="_Toc395884657"/>
      <w:bookmarkStart w:id="11798" w:name="_Toc395884771"/>
      <w:bookmarkStart w:id="11799" w:name="_Toc395883366"/>
      <w:bookmarkStart w:id="11800" w:name="_Toc395883480"/>
      <w:bookmarkStart w:id="11801" w:name="_Toc395883696"/>
      <w:bookmarkStart w:id="11802" w:name="_Toc395884118"/>
      <w:bookmarkStart w:id="11803" w:name="_Toc395884998"/>
      <w:bookmarkStart w:id="11804" w:name="_Toc396123920"/>
      <w:bookmarkStart w:id="11805" w:name="_Toc396130822"/>
      <w:bookmarkStart w:id="11806" w:name="_Toc396136400"/>
      <w:bookmarkStart w:id="11807" w:name="_Toc396139014"/>
      <w:bookmarkStart w:id="11808" w:name="_Toc396145624"/>
      <w:bookmarkStart w:id="11809" w:name="_Toc396145934"/>
      <w:bookmarkStart w:id="11810" w:name="_Toc396147760"/>
      <w:bookmarkStart w:id="11811" w:name="_Toc396147876"/>
      <w:bookmarkStart w:id="11812" w:name="_Toc396149132"/>
      <w:bookmarkStart w:id="11813" w:name="_Toc396149015"/>
      <w:bookmarkStart w:id="11814" w:name="_Toc396149626"/>
      <w:bookmarkStart w:id="11815" w:name="_Toc396149442"/>
      <w:bookmarkStart w:id="11816" w:name="_Toc396150055"/>
      <w:bookmarkStart w:id="11817" w:name="_Toc396149980"/>
      <w:bookmarkStart w:id="11818" w:name="_Toc396150010"/>
      <w:bookmarkStart w:id="11819" w:name="_Toc396151353"/>
      <w:bookmarkStart w:id="11820" w:name="_Toc396151632"/>
      <w:bookmarkStart w:id="11821" w:name="_Toc396151754"/>
      <w:bookmarkStart w:id="11822" w:name="_Toc396202640"/>
      <w:bookmarkStart w:id="11823" w:name="_Toc396202766"/>
      <w:bookmarkStart w:id="11824" w:name="_Toc396206847"/>
      <w:bookmarkStart w:id="11825" w:name="_Toc396206973"/>
      <w:bookmarkStart w:id="11826" w:name="_Toc396209675"/>
      <w:bookmarkStart w:id="11827" w:name="_Toc396209801"/>
      <w:bookmarkStart w:id="11828" w:name="_Toc396212099"/>
      <w:bookmarkStart w:id="11829" w:name="_Toc396212225"/>
      <w:bookmarkStart w:id="11830" w:name="_Toc396213441"/>
      <w:bookmarkStart w:id="11831" w:name="_Toc396213567"/>
      <w:bookmarkStart w:id="11832" w:name="_Toc396214717"/>
      <w:bookmarkStart w:id="11833" w:name="_Toc396214843"/>
      <w:bookmarkStart w:id="11834" w:name="_Toc396226828"/>
      <w:bookmarkStart w:id="11835" w:name="_Toc396226954"/>
      <w:bookmarkStart w:id="11836" w:name="_Toc396229028"/>
      <w:bookmarkStart w:id="11837" w:name="_Toc396229160"/>
      <w:bookmarkStart w:id="11838" w:name="_Toc396230670"/>
      <w:bookmarkStart w:id="11839" w:name="_Toc396230802"/>
      <w:bookmarkStart w:id="11840" w:name="_Toc396230397"/>
      <w:bookmarkStart w:id="11841" w:name="_Toc396231811"/>
      <w:bookmarkStart w:id="11842" w:name="_Toc396231944"/>
      <w:bookmarkStart w:id="11843" w:name="_Toc396233451"/>
      <w:bookmarkStart w:id="11844" w:name="_Toc396233584"/>
      <w:bookmarkStart w:id="11845" w:name="_Toc396234271"/>
      <w:bookmarkStart w:id="11846" w:name="_Toc396234404"/>
      <w:bookmarkStart w:id="11847" w:name="_Toc396234679"/>
      <w:bookmarkStart w:id="11848" w:name="_Toc396235898"/>
      <w:bookmarkStart w:id="11849" w:name="_Toc396236251"/>
      <w:bookmarkStart w:id="11850" w:name="_Toc396236029"/>
      <w:bookmarkStart w:id="11851" w:name="_Toc396304682"/>
      <w:bookmarkStart w:id="11852" w:name="_Toc396586397"/>
      <w:bookmarkStart w:id="11853" w:name="_Toc396815131"/>
      <w:bookmarkStart w:id="11854" w:name="_Toc396821080"/>
      <w:bookmarkStart w:id="11855" w:name="_Toc396821688"/>
      <w:bookmarkStart w:id="11856" w:name="_Toc396827538"/>
      <w:bookmarkStart w:id="11857" w:name="_Toc396828509"/>
      <w:bookmarkStart w:id="11858" w:name="_Toc396828619"/>
      <w:bookmarkStart w:id="11859" w:name="_Toc396838008"/>
      <w:bookmarkStart w:id="11860" w:name="_Toc396838406"/>
      <w:bookmarkStart w:id="11861" w:name="_Toc396904729"/>
      <w:bookmarkStart w:id="11862" w:name="_Toc396907563"/>
      <w:bookmarkStart w:id="11863" w:name="_Toc396912482"/>
      <w:bookmarkStart w:id="11864" w:name="_Toc396914462"/>
      <w:bookmarkStart w:id="11865" w:name="_Toc396915346"/>
      <w:bookmarkStart w:id="11866" w:name="_Toc396915740"/>
      <w:bookmarkStart w:id="11867" w:name="_Toc396921051"/>
      <w:bookmarkStart w:id="11868" w:name="_Toc396924391"/>
      <w:bookmarkStart w:id="11869" w:name="_Toc396925085"/>
      <w:bookmarkStart w:id="11870" w:name="_Toc396992205"/>
      <w:bookmarkStart w:id="11871" w:name="_Toc396992784"/>
      <w:bookmarkStart w:id="11872" w:name="_Toc396994448"/>
      <w:bookmarkStart w:id="11873" w:name="_Toc397002219"/>
      <w:bookmarkStart w:id="11874" w:name="_Toc397003138"/>
      <w:bookmarkStart w:id="11875" w:name="_Toc397008696"/>
      <w:bookmarkStart w:id="11876" w:name="_Toc397008914"/>
      <w:bookmarkStart w:id="11877" w:name="_Toc397011586"/>
      <w:bookmarkStart w:id="11878" w:name="_Toc397012647"/>
      <w:bookmarkStart w:id="11879" w:name="_Toc397014989"/>
      <w:bookmarkStart w:id="11880" w:name="_Toc397015476"/>
      <w:bookmarkStart w:id="11881" w:name="_Toc397070547"/>
      <w:bookmarkStart w:id="11882" w:name="_Toc397413285"/>
      <w:bookmarkStart w:id="11883" w:name="_Toc397413432"/>
      <w:bookmarkStart w:id="11884" w:name="_Toc397428017"/>
      <w:bookmarkStart w:id="11885" w:name="_Toc397439405"/>
      <w:bookmarkStart w:id="11886" w:name="_Toc397439575"/>
      <w:bookmarkStart w:id="11887" w:name="_Toc397439831"/>
      <w:bookmarkStart w:id="11888" w:name="_Toc397440133"/>
      <w:bookmarkStart w:id="11889" w:name="_Toc397441762"/>
      <w:bookmarkStart w:id="11890" w:name="_Toc397517464"/>
      <w:bookmarkStart w:id="11891" w:name="_Toc397522729"/>
      <w:bookmarkStart w:id="11892" w:name="_Toc397526147"/>
      <w:bookmarkStart w:id="11893" w:name="_Toc397528462"/>
      <w:bookmarkStart w:id="11894" w:name="_Toc397528937"/>
      <w:bookmarkStart w:id="11895" w:name="_Toc397601934"/>
      <w:bookmarkStart w:id="11896" w:name="_Toc397602669"/>
      <w:bookmarkStart w:id="11897" w:name="_Toc397605798"/>
      <w:bookmarkStart w:id="11898" w:name="_Toc397614942"/>
      <w:bookmarkStart w:id="11899" w:name="_Toc397616385"/>
      <w:bookmarkStart w:id="11900" w:name="_Toc397616779"/>
      <w:bookmarkStart w:id="11901" w:name="_Toc397679189"/>
      <w:bookmarkStart w:id="11902" w:name="_Toc397688077"/>
      <w:bookmarkStart w:id="11903" w:name="_Toc397689293"/>
      <w:bookmarkStart w:id="11904" w:name="_Toc397694573"/>
      <w:bookmarkStart w:id="11905" w:name="_Toc397696414"/>
      <w:bookmarkStart w:id="11906" w:name="_Toc397697148"/>
      <w:bookmarkStart w:id="11907" w:name="_Toc397698435"/>
      <w:bookmarkStart w:id="11908" w:name="_Toc397699801"/>
      <w:bookmarkStart w:id="11909" w:name="_Toc397700255"/>
      <w:bookmarkStart w:id="11910" w:name="_Toc397936647"/>
      <w:bookmarkStart w:id="11911" w:name="_Toc397936767"/>
      <w:bookmarkStart w:id="11912" w:name="_Toc397945923"/>
      <w:bookmarkStart w:id="11913" w:name="_Toc397946949"/>
      <w:bookmarkStart w:id="11914" w:name="_Toc397948068"/>
      <w:bookmarkStart w:id="11915" w:name="_Toc397958474"/>
      <w:bookmarkStart w:id="11916" w:name="_Toc397958716"/>
      <w:bookmarkStart w:id="11917" w:name="_Toc397959131"/>
      <w:bookmarkStart w:id="11918" w:name="_Toc397962984"/>
      <w:bookmarkStart w:id="11919" w:name="_Toc397963350"/>
      <w:bookmarkStart w:id="11920" w:name="_Toc397965427"/>
      <w:bookmarkStart w:id="11921" w:name="_Toc398197365"/>
      <w:bookmarkStart w:id="11922" w:name="_Toc398199868"/>
      <w:bookmarkStart w:id="11923" w:name="_Toc398201582"/>
      <w:bookmarkStart w:id="11924" w:name="_Toc398207187"/>
      <w:bookmarkStart w:id="11925" w:name="_Toc398210460"/>
      <w:bookmarkStart w:id="11926" w:name="_Toc398210974"/>
      <w:bookmarkStart w:id="11927" w:name="_Toc398219782"/>
      <w:bookmarkStart w:id="11928" w:name="_Toc398220157"/>
      <w:bookmarkStart w:id="11929" w:name="_Toc398220544"/>
      <w:bookmarkStart w:id="11930" w:name="_Toc398221622"/>
      <w:bookmarkStart w:id="11931" w:name="_Toc398222308"/>
      <w:bookmarkStart w:id="11932" w:name="_Toc398222620"/>
      <w:bookmarkStart w:id="11933" w:name="_Toc398223037"/>
      <w:bookmarkStart w:id="11934" w:name="_Toc398223416"/>
      <w:bookmarkStart w:id="11935" w:name="_Toc398223543"/>
      <w:bookmarkStart w:id="11936" w:name="_Toc398224351"/>
      <w:bookmarkStart w:id="11937" w:name="_Toc398225688"/>
      <w:bookmarkStart w:id="11938" w:name="_Toc398225813"/>
      <w:bookmarkStart w:id="11939" w:name="_Toc398281300"/>
      <w:bookmarkStart w:id="11940" w:name="_Toc398282159"/>
      <w:bookmarkStart w:id="11941" w:name="_Toc398284829"/>
      <w:bookmarkStart w:id="11942" w:name="_Toc398287298"/>
      <w:bookmarkStart w:id="11943" w:name="_Toc398289181"/>
      <w:bookmarkStart w:id="11944" w:name="_Toc398297178"/>
      <w:bookmarkStart w:id="11945" w:name="_Toc398298652"/>
      <w:bookmarkStart w:id="11946" w:name="_Toc398300353"/>
      <w:bookmarkStart w:id="11947" w:name="_Toc398301250"/>
      <w:bookmarkStart w:id="11948" w:name="_Toc398302435"/>
      <w:bookmarkStart w:id="11949" w:name="_Toc398302598"/>
      <w:bookmarkStart w:id="11950" w:name="_Toc398549111"/>
      <w:bookmarkStart w:id="11951" w:name="_Toc398549361"/>
      <w:bookmarkStart w:id="11952" w:name="_Toc398555780"/>
      <w:bookmarkStart w:id="11953" w:name="_Toc398558984"/>
      <w:bookmarkStart w:id="11954" w:name="_Toc398563470"/>
      <w:bookmarkStart w:id="11955" w:name="_Toc398563603"/>
      <w:bookmarkStart w:id="11956" w:name="_Toc398564002"/>
      <w:bookmarkStart w:id="11957" w:name="_Toc398827340"/>
      <w:bookmarkStart w:id="11958" w:name="_Toc398827534"/>
      <w:bookmarkEnd w:id="11612"/>
      <w:r w:rsidRPr="008625DC">
        <w:lastRenderedPageBreak/>
        <w:t>Small Business</w:t>
      </w:r>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p>
    <w:p w14:paraId="391417C6" w14:textId="77777777" w:rsidR="00D226CF" w:rsidRPr="008625DC" w:rsidRDefault="00D226CF" w:rsidP="00E51E50">
      <w:pPr>
        <w:pStyle w:val="Heading2NotNumbered"/>
      </w:pPr>
      <w:bookmarkStart w:id="11959" w:name="_Toc397413286"/>
      <w:bookmarkStart w:id="11960" w:name="_Toc397413433"/>
      <w:r w:rsidRPr="008625DC">
        <w:t>Introduction</w:t>
      </w:r>
      <w:bookmarkEnd w:id="11959"/>
      <w:bookmarkEnd w:id="11960"/>
    </w:p>
    <w:p w14:paraId="52E0DEF8" w14:textId="3C4D9771" w:rsidR="00D226CF" w:rsidRPr="008625DC" w:rsidRDefault="00F24448" w:rsidP="00D226CF">
      <w:r w:rsidRPr="008625DC">
        <w:t>Small b</w:t>
      </w:r>
      <w:r w:rsidR="00D226CF" w:rsidRPr="008625DC">
        <w:t>usiness makes a vital contribution to Australia</w:t>
      </w:r>
      <w:r w:rsidR="00C74E19" w:rsidRPr="008625DC">
        <w:t>’</w:t>
      </w:r>
      <w:r w:rsidR="00D226CF" w:rsidRPr="008625DC">
        <w:t>s economy. The Panel has been particularly mindful of the concerns and interests of small business in the context of the Review.</w:t>
      </w:r>
    </w:p>
    <w:p w14:paraId="17D6BA58" w14:textId="1F8A5DE5" w:rsidR="00D226CF" w:rsidRPr="008625DC" w:rsidRDefault="00D226CF" w:rsidP="00D226CF">
      <w:r w:rsidRPr="008625DC">
        <w:t xml:space="preserve">During the course of consultations, the Panel met in forums with over 150 </w:t>
      </w:r>
      <w:r w:rsidR="00EE0178" w:rsidRPr="008625DC">
        <w:t xml:space="preserve">small </w:t>
      </w:r>
      <w:r w:rsidRPr="008625DC">
        <w:t xml:space="preserve">businesses. These meetings supplemented the written submissions made to the Review. </w:t>
      </w:r>
    </w:p>
    <w:p w14:paraId="214B1914" w14:textId="046A60F5" w:rsidR="00F24448" w:rsidRPr="008625DC" w:rsidRDefault="00D226CF" w:rsidP="00D226CF">
      <w:pPr>
        <w:rPr>
          <w:color w:val="auto"/>
        </w:rPr>
      </w:pPr>
      <w:r w:rsidRPr="008625DC">
        <w:t xml:space="preserve">The issues </w:t>
      </w:r>
      <w:proofErr w:type="gramStart"/>
      <w:r w:rsidRPr="008625DC">
        <w:t>raised</w:t>
      </w:r>
      <w:proofErr w:type="gramEnd"/>
      <w:r w:rsidRPr="008625DC">
        <w:t xml:space="preserve"> in forums and submissions were broad</w:t>
      </w:r>
      <w:r w:rsidR="00C74E19" w:rsidRPr="008625DC">
        <w:noBreakHyphen/>
      </w:r>
      <w:r w:rsidRPr="008625DC">
        <w:t>ranging, including unequal bargaining power in dealing with larger businesses</w:t>
      </w:r>
      <w:r w:rsidR="00BB049C" w:rsidRPr="008625DC">
        <w:t xml:space="preserve"> (including concerns about collective bargaining)</w:t>
      </w:r>
      <w:r w:rsidRPr="008625DC">
        <w:t>; the compliance burden of regulation; and difficulties in competing with (local) government</w:t>
      </w:r>
      <w:r w:rsidR="00C74E19" w:rsidRPr="008625DC">
        <w:noBreakHyphen/>
      </w:r>
      <w:r w:rsidRPr="008625DC">
        <w:rPr>
          <w:color w:val="auto"/>
        </w:rPr>
        <w:t>run enterprises, particularly where government is also the rule</w:t>
      </w:r>
      <w:r w:rsidR="00C74E19" w:rsidRPr="008625DC">
        <w:rPr>
          <w:color w:val="auto"/>
        </w:rPr>
        <w:noBreakHyphen/>
      </w:r>
      <w:r w:rsidR="00F24448" w:rsidRPr="008625DC">
        <w:rPr>
          <w:color w:val="auto"/>
        </w:rPr>
        <w:t>maker.</w:t>
      </w:r>
    </w:p>
    <w:p w14:paraId="2AA7E586" w14:textId="4AAE3D4C" w:rsidR="008F68A2" w:rsidRPr="008625DC" w:rsidRDefault="008F68A2" w:rsidP="00D226CF">
      <w:pPr>
        <w:rPr>
          <w:color w:val="auto"/>
        </w:rPr>
      </w:pPr>
      <w:bookmarkStart w:id="11961" w:name="_Toc394412561"/>
      <w:bookmarkStart w:id="11962" w:name="_Toc394412684"/>
      <w:bookmarkStart w:id="11963" w:name="_Toc394420854"/>
      <w:bookmarkStart w:id="11964" w:name="_Toc394420977"/>
      <w:bookmarkStart w:id="11965" w:name="_Toc394423695"/>
      <w:bookmarkStart w:id="11966" w:name="_Toc394423817"/>
      <w:bookmarkStart w:id="11967" w:name="_Toc394422739"/>
      <w:bookmarkStart w:id="11968" w:name="_Toc394422861"/>
      <w:bookmarkStart w:id="11969" w:name="_Toc394423210"/>
      <w:bookmarkStart w:id="11970" w:name="_Toc394423332"/>
      <w:bookmarkStart w:id="11971" w:name="_Toc394424358"/>
      <w:bookmarkStart w:id="11972" w:name="_Toc394424481"/>
      <w:bookmarkStart w:id="11973" w:name="_Toc394492189"/>
      <w:bookmarkStart w:id="11974" w:name="_Toc394492314"/>
      <w:bookmarkStart w:id="11975" w:name="_Toc394495333"/>
      <w:bookmarkStart w:id="11976" w:name="_Toc394495458"/>
      <w:bookmarkStart w:id="11977" w:name="_Toc394498148"/>
      <w:bookmarkStart w:id="11978" w:name="_Toc394498273"/>
      <w:bookmarkStart w:id="11979" w:name="_Toc394500938"/>
      <w:bookmarkStart w:id="11980" w:name="_Toc394501063"/>
      <w:bookmarkStart w:id="11981" w:name="_Toc394502335"/>
      <w:bookmarkStart w:id="11982" w:name="_Toc394502453"/>
      <w:bookmarkStart w:id="11983" w:name="_Toc394502898"/>
      <w:bookmarkStart w:id="11984" w:name="_Toc394503694"/>
      <w:bookmarkStart w:id="11985" w:name="_Toc394503812"/>
      <w:bookmarkStart w:id="11986" w:name="_Toc394502783"/>
      <w:bookmarkStart w:id="11987" w:name="_Toc394505990"/>
      <w:bookmarkStart w:id="11988" w:name="_Toc394506230"/>
      <w:bookmarkStart w:id="11989" w:name="_Toc394506448"/>
      <w:bookmarkStart w:id="11990" w:name="_Toc394506567"/>
      <w:bookmarkStart w:id="11991" w:name="_Toc394507002"/>
      <w:bookmarkStart w:id="11992" w:name="_Toc394507121"/>
      <w:bookmarkStart w:id="11993" w:name="_Toc394561077"/>
      <w:bookmarkStart w:id="11994" w:name="_Toc394561200"/>
      <w:bookmarkStart w:id="11995" w:name="_Toc394561538"/>
      <w:bookmarkStart w:id="11996" w:name="_Toc394562033"/>
      <w:bookmarkStart w:id="11997" w:name="_Toc394583050"/>
      <w:bookmarkStart w:id="11998" w:name="_Toc394585721"/>
      <w:bookmarkStart w:id="11999" w:name="_Toc394586188"/>
      <w:bookmarkStart w:id="12000" w:name="_Toc394588120"/>
      <w:bookmarkStart w:id="12001" w:name="_Toc394588955"/>
      <w:bookmarkStart w:id="12002" w:name="_Toc394589080"/>
      <w:bookmarkStart w:id="12003" w:name="_Toc394590495"/>
      <w:bookmarkStart w:id="12004" w:name="_Toc394590688"/>
      <w:bookmarkStart w:id="12005" w:name="_Toc394654622"/>
      <w:bookmarkStart w:id="12006" w:name="_Toc394654748"/>
      <w:bookmarkStart w:id="12007" w:name="_Toc394656321"/>
      <w:bookmarkStart w:id="12008" w:name="_Toc394656444"/>
      <w:bookmarkStart w:id="12009" w:name="_Toc394659459"/>
      <w:bookmarkStart w:id="12010" w:name="_Toc394659582"/>
      <w:bookmarkStart w:id="12011" w:name="_Toc394663471"/>
      <w:bookmarkStart w:id="12012" w:name="_Toc394663592"/>
      <w:bookmarkStart w:id="12013" w:name="_Toc394667265"/>
      <w:bookmarkStart w:id="12014" w:name="_Toc394667386"/>
      <w:bookmarkStart w:id="12015" w:name="_Toc394671748"/>
      <w:bookmarkStart w:id="12016" w:name="_Toc394671870"/>
      <w:bookmarkStart w:id="12017" w:name="_Toc394674752"/>
      <w:bookmarkStart w:id="12018" w:name="_Toc394674874"/>
      <w:bookmarkStart w:id="12019" w:name="_Toc394675033"/>
      <w:bookmarkStart w:id="12020" w:name="_Toc394675154"/>
      <w:bookmarkStart w:id="12021" w:name="_Toc394676140"/>
      <w:bookmarkStart w:id="12022" w:name="_Toc394676261"/>
      <w:bookmarkStart w:id="12023" w:name="_Toc394675829"/>
      <w:bookmarkStart w:id="12024" w:name="_Toc394675950"/>
      <w:bookmarkStart w:id="12025" w:name="_Toc394918353"/>
      <w:bookmarkStart w:id="12026" w:name="_Toc394918867"/>
      <w:bookmarkStart w:id="12027" w:name="_Toc394930840"/>
      <w:bookmarkStart w:id="12028" w:name="_Toc394933825"/>
      <w:bookmarkStart w:id="12029" w:name="_Toc394938274"/>
      <w:bookmarkStart w:id="12030" w:name="_Toc394938583"/>
      <w:bookmarkStart w:id="12031" w:name="_Toc394938701"/>
      <w:bookmarkStart w:id="12032" w:name="_Toc394937554"/>
      <w:bookmarkStart w:id="12033" w:name="_Toc394937865"/>
      <w:bookmarkStart w:id="12034" w:name="_Toc394937983"/>
      <w:bookmarkStart w:id="12035" w:name="_Toc394941185"/>
      <w:bookmarkStart w:id="12036" w:name="_Toc394941494"/>
      <w:bookmarkStart w:id="12037" w:name="_Toc394941612"/>
      <w:bookmarkStart w:id="12038" w:name="_Toc394941801"/>
      <w:bookmarkStart w:id="12039" w:name="_Toc394942110"/>
      <w:bookmarkStart w:id="12040" w:name="_Toc394942228"/>
      <w:bookmarkStart w:id="12041" w:name="_Toc394940023"/>
      <w:bookmarkStart w:id="12042" w:name="_Toc394940332"/>
      <w:bookmarkStart w:id="12043" w:name="_Toc394940450"/>
      <w:bookmarkStart w:id="12044" w:name="_Toc394939633"/>
      <w:bookmarkStart w:id="12045" w:name="_Toc394940546"/>
      <w:bookmarkStart w:id="12046" w:name="_Toc394940663"/>
      <w:bookmarkStart w:id="12047" w:name="_Toc394993826"/>
      <w:bookmarkStart w:id="12048" w:name="_Toc394995196"/>
      <w:bookmarkStart w:id="12049" w:name="_Toc394995718"/>
      <w:bookmarkStart w:id="12050" w:name="_Toc394996032"/>
      <w:bookmarkStart w:id="12051" w:name="_Toc394996242"/>
      <w:bookmarkStart w:id="12052" w:name="_Toc394997967"/>
      <w:bookmarkStart w:id="12053" w:name="_Toc394998273"/>
      <w:bookmarkStart w:id="12054" w:name="_Toc394998481"/>
      <w:bookmarkStart w:id="12055" w:name="_Toc394998786"/>
      <w:bookmarkStart w:id="12056" w:name="_Toc395001980"/>
      <w:bookmarkStart w:id="12057" w:name="_Toc395002287"/>
      <w:bookmarkStart w:id="12058" w:name="_Toc395001495"/>
      <w:bookmarkStart w:id="12059" w:name="_Toc395001768"/>
      <w:bookmarkStart w:id="12060" w:name="_Toc395003056"/>
      <w:bookmarkStart w:id="12061" w:name="_Toc395003334"/>
      <w:bookmarkStart w:id="12062" w:name="_Toc395003640"/>
      <w:bookmarkStart w:id="12063" w:name="_Toc395005138"/>
      <w:bookmarkStart w:id="12064" w:name="_Toc395005573"/>
      <w:bookmarkStart w:id="12065" w:name="_Toc395005882"/>
      <w:bookmarkStart w:id="12066" w:name="_Toc395009057"/>
      <w:bookmarkStart w:id="12067" w:name="_Toc395009868"/>
      <w:bookmarkStart w:id="12068" w:name="_Toc395010307"/>
      <w:bookmarkStart w:id="12069" w:name="_Toc395010715"/>
      <w:bookmarkStart w:id="12070" w:name="_Toc395011489"/>
      <w:bookmarkStart w:id="12071" w:name="_Toc395011602"/>
      <w:bookmarkStart w:id="12072" w:name="_Toc395012492"/>
      <w:bookmarkStart w:id="12073" w:name="_Toc395012783"/>
      <w:bookmarkStart w:id="12074" w:name="_Toc395013010"/>
      <w:bookmarkStart w:id="12075" w:name="_Toc395010897"/>
      <w:bookmarkStart w:id="12076" w:name="_Toc395012841"/>
      <w:bookmarkStart w:id="12077" w:name="_Toc395011955"/>
      <w:bookmarkStart w:id="12078" w:name="_Toc395014586"/>
      <w:bookmarkStart w:id="12079" w:name="_Toc395014699"/>
      <w:bookmarkStart w:id="12080" w:name="_Toc395013182"/>
      <w:bookmarkStart w:id="12081" w:name="_Toc395013362"/>
      <w:bookmarkStart w:id="12082" w:name="_Toc395084929"/>
      <w:bookmarkStart w:id="12083" w:name="_Toc395085230"/>
      <w:bookmarkStart w:id="12084" w:name="_Toc395090409"/>
      <w:bookmarkStart w:id="12085" w:name="_Toc395090696"/>
      <w:bookmarkStart w:id="12086" w:name="_Toc395090808"/>
      <w:bookmarkStart w:id="12087" w:name="_Toc395093775"/>
      <w:bookmarkStart w:id="12088" w:name="_Toc395092993"/>
      <w:bookmarkStart w:id="12089" w:name="_Toc395093279"/>
      <w:bookmarkStart w:id="12090" w:name="_Toc395093391"/>
      <w:bookmarkStart w:id="12091" w:name="_Toc395097904"/>
      <w:bookmarkStart w:id="12092" w:name="_Toc395098189"/>
      <w:bookmarkStart w:id="12093" w:name="_Toc395098301"/>
      <w:bookmarkStart w:id="12094" w:name="_Toc395105374"/>
      <w:bookmarkStart w:id="12095" w:name="_Toc395105485"/>
      <w:bookmarkStart w:id="12096" w:name="_Toc395106977"/>
      <w:bookmarkStart w:id="12097" w:name="_Toc395107088"/>
      <w:bookmarkStart w:id="12098" w:name="_Toc395110043"/>
      <w:bookmarkStart w:id="12099" w:name="_Toc395109635"/>
      <w:bookmarkStart w:id="12100" w:name="_Toc395109746"/>
      <w:bookmarkStart w:id="12101" w:name="_Toc395112044"/>
      <w:bookmarkStart w:id="12102" w:name="_Toc395112340"/>
      <w:bookmarkStart w:id="12103" w:name="_Toc395112451"/>
      <w:r w:rsidRPr="008625DC">
        <w:rPr>
          <w:color w:val="auto"/>
        </w:rPr>
        <w:t>This Draft Report contains a number of recommendations that address these and other concerns of small business.</w:t>
      </w:r>
    </w:p>
    <w:p w14:paraId="1C0653E7" w14:textId="453560CE" w:rsidR="00EE0178" w:rsidRPr="008625DC" w:rsidRDefault="00EE0178" w:rsidP="00D226CF">
      <w:pPr>
        <w:rPr>
          <w:color w:val="auto"/>
        </w:rPr>
      </w:pPr>
      <w:r w:rsidRPr="008625DC">
        <w:rPr>
          <w:color w:val="auto"/>
        </w:rPr>
        <w:t xml:space="preserve">The Panel has proposed changes to the </w:t>
      </w:r>
      <w:r w:rsidR="00C74E19" w:rsidRPr="008625DC">
        <w:rPr>
          <w:color w:val="auto"/>
        </w:rPr>
        <w:t>‘</w:t>
      </w:r>
      <w:r w:rsidRPr="008625DC">
        <w:rPr>
          <w:color w:val="auto"/>
        </w:rPr>
        <w:t>misuse of market power</w:t>
      </w:r>
      <w:r w:rsidR="00C74E19" w:rsidRPr="008625DC">
        <w:rPr>
          <w:color w:val="auto"/>
        </w:rPr>
        <w:t>’</w:t>
      </w:r>
      <w:r w:rsidRPr="008625DC">
        <w:rPr>
          <w:color w:val="auto"/>
        </w:rPr>
        <w:t xml:space="preserve"> provisions of the CCA at </w:t>
      </w:r>
      <w:r w:rsidR="008C5CA8" w:rsidRPr="008625DC">
        <w:rPr>
          <w:color w:val="auto"/>
        </w:rPr>
        <w:t xml:space="preserve">Draft </w:t>
      </w:r>
      <w:r w:rsidRPr="008625DC">
        <w:rPr>
          <w:color w:val="auto"/>
        </w:rPr>
        <w:t xml:space="preserve">Recommendation </w:t>
      </w:r>
      <w:r w:rsidR="008C5CA8" w:rsidRPr="008625DC">
        <w:rPr>
          <w:color w:val="auto"/>
        </w:rPr>
        <w:t>2</w:t>
      </w:r>
      <w:r w:rsidR="00463F7F" w:rsidRPr="008625DC">
        <w:rPr>
          <w:color w:val="auto"/>
        </w:rPr>
        <w:t>5</w:t>
      </w:r>
      <w:r w:rsidRPr="008625DC">
        <w:rPr>
          <w:color w:val="auto"/>
        </w:rPr>
        <w:t xml:space="preserve">, </w:t>
      </w:r>
      <w:r w:rsidR="00384168" w:rsidRPr="008625DC">
        <w:rPr>
          <w:color w:val="auto"/>
        </w:rPr>
        <w:t xml:space="preserve">and set out its views on the </w:t>
      </w:r>
      <w:r w:rsidRPr="008625DC">
        <w:rPr>
          <w:color w:val="auto"/>
        </w:rPr>
        <w:t xml:space="preserve">unconscionable conduct </w:t>
      </w:r>
      <w:r w:rsidR="00384168" w:rsidRPr="008625DC">
        <w:rPr>
          <w:color w:val="auto"/>
        </w:rPr>
        <w:t xml:space="preserve">provisions in </w:t>
      </w:r>
      <w:hyperlink w:anchor="s163" w:history="1">
        <w:r w:rsidR="00C538EE" w:rsidRPr="008625DC">
          <w:rPr>
            <w:rStyle w:val="Hyperlink"/>
          </w:rPr>
          <w:t xml:space="preserve">Section </w:t>
        </w:r>
        <w:r w:rsidR="008C5CA8" w:rsidRPr="008625DC">
          <w:rPr>
            <w:rStyle w:val="Hyperlink"/>
          </w:rPr>
          <w:t>1</w:t>
        </w:r>
        <w:r w:rsidR="00BC47E4" w:rsidRPr="008625DC">
          <w:rPr>
            <w:rStyle w:val="Hyperlink"/>
          </w:rPr>
          <w:t>6</w:t>
        </w:r>
        <w:r w:rsidR="008C5CA8" w:rsidRPr="008625DC">
          <w:rPr>
            <w:rStyle w:val="Hyperlink"/>
          </w:rPr>
          <w:t>.3</w:t>
        </w:r>
      </w:hyperlink>
      <w:r w:rsidR="00384168" w:rsidRPr="008625DC">
        <w:rPr>
          <w:color w:val="auto"/>
        </w:rPr>
        <w:t xml:space="preserve">. </w:t>
      </w:r>
      <w:r w:rsidR="008F68A2" w:rsidRPr="008625DC">
        <w:rPr>
          <w:color w:val="auto"/>
        </w:rPr>
        <w:t>We have also considered</w:t>
      </w:r>
      <w:r w:rsidR="008F68A2" w:rsidRPr="008625DC">
        <w:t xml:space="preserve"> other issues affecting small business</w:t>
      </w:r>
      <w:r w:rsidR="00FA4F8C" w:rsidRPr="008625DC">
        <w:t>,</w:t>
      </w:r>
      <w:r w:rsidR="008F68A2" w:rsidRPr="008625DC">
        <w:t xml:space="preserve"> such as standards, licensing, planning and zoning and competitive neutrality elsewhere in this Draft Report.</w:t>
      </w:r>
    </w:p>
    <w:p w14:paraId="53630295" w14:textId="15880943" w:rsidR="00D226CF" w:rsidRPr="008625DC" w:rsidRDefault="008F68A2" w:rsidP="00D226CF">
      <w:r w:rsidRPr="008625DC">
        <w:t>In this chapter we consider access to remedies, collective bargaining and industry codes.</w:t>
      </w:r>
    </w:p>
    <w:p w14:paraId="7BEB1F28" w14:textId="7E2413D0" w:rsidR="00DD1583" w:rsidRPr="008625DC" w:rsidRDefault="00DD1583" w:rsidP="00DD1583">
      <w:bookmarkStart w:id="12104" w:name="_Toc395107181"/>
      <w:bookmarkStart w:id="12105" w:name="_Toc395107482"/>
      <w:bookmarkStart w:id="12106" w:name="_Toc395107596"/>
      <w:bookmarkStart w:id="12107" w:name="_Toc395108722"/>
      <w:bookmarkStart w:id="12108" w:name="_Toc395113962"/>
      <w:bookmarkStart w:id="12109" w:name="_Toc395114288"/>
      <w:bookmarkStart w:id="12110" w:name="_Toc395114403"/>
      <w:bookmarkStart w:id="12111" w:name="_Toc395116699"/>
      <w:bookmarkStart w:id="12112" w:name="_Toc395117025"/>
      <w:bookmarkStart w:id="12113" w:name="_Toc395117141"/>
      <w:bookmarkStart w:id="12114" w:name="_Toc395112636"/>
      <w:bookmarkStart w:id="12115" w:name="_Toc395113143"/>
      <w:bookmarkStart w:id="12116" w:name="_Toc395113259"/>
      <w:bookmarkStart w:id="12117" w:name="_Toc395115176"/>
      <w:bookmarkStart w:id="12118" w:name="_Toc395115502"/>
      <w:bookmarkStart w:id="12119" w:name="_Toc395115618"/>
      <w:bookmarkStart w:id="12120" w:name="_Toc395118331"/>
      <w:bookmarkStart w:id="12121" w:name="_Toc395118654"/>
      <w:bookmarkStart w:id="12122" w:name="_Toc395118768"/>
      <w:bookmarkStart w:id="12123" w:name="_Toc395178353"/>
      <w:bookmarkStart w:id="12124" w:name="_Toc395624842"/>
      <w:bookmarkStart w:id="12125" w:name="_Toc395625036"/>
      <w:bookmarkStart w:id="12126" w:name="_Toc395789895"/>
      <w:bookmarkStart w:id="12127" w:name="_Toc395790193"/>
      <w:bookmarkStart w:id="12128" w:name="_Toc395800951"/>
      <w:bookmarkStart w:id="12129" w:name="_Toc395802939"/>
      <w:bookmarkStart w:id="12130" w:name="_Toc395867590"/>
      <w:bookmarkStart w:id="12131" w:name="_Toc395867706"/>
      <w:bookmarkStart w:id="12132" w:name="_Toc395868722"/>
      <w:bookmarkStart w:id="12133" w:name="_Toc395868838"/>
      <w:bookmarkStart w:id="12134" w:name="_Toc395879103"/>
      <w:bookmarkStart w:id="12135" w:name="_Toc395879217"/>
      <w:bookmarkStart w:id="12136" w:name="_Toc395882227"/>
      <w:bookmarkStart w:id="12137" w:name="_Toc395882341"/>
      <w:bookmarkStart w:id="12138" w:name="_Toc395882558"/>
      <w:bookmarkStart w:id="12139" w:name="_Toc395882672"/>
      <w:bookmarkStart w:id="12140" w:name="_Toc395880722"/>
      <w:bookmarkStart w:id="12141" w:name="_Toc395881053"/>
      <w:bookmarkStart w:id="12142" w:name="_Toc395881611"/>
      <w:bookmarkStart w:id="12143" w:name="_Toc395883996"/>
      <w:bookmarkStart w:id="12144" w:name="_Toc395884110"/>
      <w:bookmarkStart w:id="12145" w:name="_Toc395884658"/>
      <w:bookmarkStart w:id="12146" w:name="_Toc395884772"/>
      <w:bookmarkStart w:id="12147" w:name="_Toc395883367"/>
      <w:bookmarkStart w:id="12148" w:name="_Toc395883481"/>
      <w:bookmarkStart w:id="12149" w:name="_Toc395883697"/>
      <w:bookmarkStart w:id="12150" w:name="_Toc395884119"/>
      <w:bookmarkStart w:id="12151" w:name="_Toc395884999"/>
      <w:bookmarkStart w:id="12152" w:name="_Toc396123921"/>
      <w:bookmarkStart w:id="12153" w:name="_Toc396130823"/>
      <w:bookmarkStart w:id="12154" w:name="_Toc396136401"/>
      <w:bookmarkStart w:id="12155" w:name="_Toc396139015"/>
      <w:bookmarkStart w:id="12156" w:name="_Toc396145625"/>
      <w:bookmarkStart w:id="12157" w:name="_Toc396145935"/>
      <w:bookmarkStart w:id="12158" w:name="_Toc396147761"/>
      <w:bookmarkStart w:id="12159" w:name="_Toc396147877"/>
      <w:bookmarkStart w:id="12160" w:name="_Toc396149133"/>
      <w:bookmarkStart w:id="12161" w:name="_Toc396149016"/>
      <w:bookmarkStart w:id="12162" w:name="_Toc396149627"/>
      <w:bookmarkStart w:id="12163" w:name="_Toc396149443"/>
      <w:bookmarkStart w:id="12164" w:name="_Toc396150056"/>
      <w:bookmarkStart w:id="12165" w:name="_Toc396149981"/>
      <w:bookmarkStart w:id="12166" w:name="_Toc396150011"/>
      <w:bookmarkStart w:id="12167" w:name="_Toc396151354"/>
      <w:bookmarkStart w:id="12168" w:name="_Toc396151633"/>
      <w:bookmarkStart w:id="12169" w:name="_Toc396151755"/>
      <w:bookmarkStart w:id="12170" w:name="_Toc396202641"/>
      <w:bookmarkStart w:id="12171" w:name="_Toc396202767"/>
      <w:bookmarkStart w:id="12172" w:name="_Toc396206848"/>
      <w:bookmarkStart w:id="12173" w:name="_Toc396206974"/>
      <w:bookmarkStart w:id="12174" w:name="_Toc396209676"/>
      <w:bookmarkStart w:id="12175" w:name="_Toc396209802"/>
      <w:bookmarkStart w:id="12176" w:name="_Toc396212100"/>
      <w:bookmarkStart w:id="12177" w:name="_Toc396212226"/>
      <w:bookmarkStart w:id="12178" w:name="_Toc396213442"/>
      <w:bookmarkStart w:id="12179" w:name="_Toc396213568"/>
      <w:bookmarkStart w:id="12180" w:name="_Toc396214718"/>
      <w:bookmarkStart w:id="12181" w:name="_Toc396214844"/>
      <w:bookmarkStart w:id="12182" w:name="_Toc396226829"/>
      <w:bookmarkStart w:id="12183" w:name="_Toc396226955"/>
      <w:bookmarkStart w:id="12184" w:name="_Toc396229029"/>
      <w:bookmarkStart w:id="12185" w:name="_Toc396229161"/>
      <w:bookmarkStart w:id="12186" w:name="_Toc396230671"/>
      <w:bookmarkStart w:id="12187" w:name="_Toc396230803"/>
      <w:bookmarkStart w:id="12188" w:name="_Toc396230398"/>
      <w:bookmarkStart w:id="12189" w:name="_Toc396231812"/>
      <w:bookmarkStart w:id="12190" w:name="_Toc396231945"/>
      <w:bookmarkStart w:id="12191" w:name="_Toc396233452"/>
      <w:bookmarkStart w:id="12192" w:name="_Toc396233585"/>
      <w:bookmarkStart w:id="12193" w:name="_Toc396234272"/>
      <w:bookmarkStart w:id="12194" w:name="_Toc396234405"/>
      <w:bookmarkStart w:id="12195" w:name="_Toc396234680"/>
      <w:bookmarkStart w:id="12196" w:name="_Toc396235899"/>
      <w:bookmarkStart w:id="12197" w:name="_Toc396236252"/>
      <w:bookmarkStart w:id="12198" w:name="_Toc396236030"/>
      <w:bookmarkStart w:id="12199" w:name="_Toc396304683"/>
      <w:bookmarkStart w:id="12200" w:name="_Toc396586398"/>
      <w:bookmarkStart w:id="12201" w:name="_Toc396815132"/>
      <w:bookmarkStart w:id="12202" w:name="_Toc396821081"/>
      <w:bookmarkStart w:id="12203" w:name="_Toc396821689"/>
      <w:bookmarkStart w:id="12204" w:name="_Toc396827539"/>
      <w:bookmarkStart w:id="12205" w:name="_Toc396828510"/>
      <w:bookmarkStart w:id="12206" w:name="_Toc396828620"/>
      <w:bookmarkStart w:id="12207" w:name="_Toc396838009"/>
      <w:bookmarkStart w:id="12208" w:name="_Toc396838407"/>
      <w:bookmarkStart w:id="12209" w:name="_Toc396904730"/>
      <w:bookmarkStart w:id="12210" w:name="_Toc396907564"/>
      <w:bookmarkStart w:id="12211" w:name="_Toc396912483"/>
      <w:bookmarkStart w:id="12212" w:name="_Toc396914463"/>
      <w:bookmarkStart w:id="12213" w:name="_Toc396915347"/>
      <w:bookmarkStart w:id="12214" w:name="_Toc396915741"/>
      <w:bookmarkStart w:id="12215" w:name="_Toc396921052"/>
      <w:bookmarkStart w:id="12216" w:name="_Toc396924392"/>
      <w:bookmarkStart w:id="12217" w:name="_Toc396925086"/>
      <w:bookmarkStart w:id="12218" w:name="_Toc396992206"/>
      <w:bookmarkStart w:id="12219" w:name="_Toc396992785"/>
      <w:bookmarkStart w:id="12220" w:name="_Toc396994449"/>
      <w:bookmarkStart w:id="12221" w:name="_Toc397002220"/>
      <w:bookmarkStart w:id="12222" w:name="_Toc397003139"/>
      <w:bookmarkStart w:id="12223" w:name="_Toc397008697"/>
      <w:bookmarkStart w:id="12224" w:name="_Toc397008915"/>
      <w:bookmarkStart w:id="12225" w:name="_Toc397011587"/>
      <w:bookmarkStart w:id="12226" w:name="_Toc397012648"/>
      <w:bookmarkStart w:id="12227" w:name="_Toc397014990"/>
      <w:bookmarkStart w:id="12228" w:name="_Toc397015477"/>
      <w:bookmarkStart w:id="12229" w:name="_Toc397070548"/>
      <w:bookmarkStart w:id="12230" w:name="_Toc397413287"/>
      <w:bookmarkStart w:id="12231" w:name="_Toc397413434"/>
      <w:bookmarkStart w:id="12232" w:name="_Toc397428018"/>
      <w:bookmarkStart w:id="12233" w:name="_Toc397439406"/>
      <w:bookmarkStart w:id="12234" w:name="_Toc397439576"/>
      <w:bookmarkStart w:id="12235" w:name="_Toc397439832"/>
      <w:bookmarkStart w:id="12236" w:name="_Toc397440134"/>
      <w:bookmarkStart w:id="12237" w:name="_Toc397441763"/>
      <w:bookmarkStart w:id="12238" w:name="_Toc397517465"/>
      <w:bookmarkStart w:id="12239" w:name="_Toc397522730"/>
      <w:bookmarkStart w:id="12240" w:name="_Toc397526148"/>
      <w:bookmarkStart w:id="12241" w:name="_Toc397528463"/>
      <w:bookmarkStart w:id="12242" w:name="_Toc397528938"/>
      <w:bookmarkStart w:id="12243" w:name="_Toc397601935"/>
      <w:bookmarkStart w:id="12244" w:name="_Toc397602670"/>
      <w:bookmarkStart w:id="12245" w:name="_Toc397605799"/>
      <w:bookmarkStart w:id="12246" w:name="_Toc397614943"/>
      <w:bookmarkStart w:id="12247" w:name="_Toc397616386"/>
      <w:bookmarkStart w:id="12248" w:name="_Toc397616780"/>
      <w:bookmarkStart w:id="12249" w:name="_Toc397679190"/>
      <w:bookmarkStart w:id="12250" w:name="_Toc397688078"/>
      <w:bookmarkStart w:id="12251" w:name="_Toc397689294"/>
      <w:bookmarkStart w:id="12252" w:name="_Toc397694574"/>
      <w:bookmarkStart w:id="12253" w:name="_Toc397696415"/>
      <w:bookmarkStart w:id="12254" w:name="_Toc397697149"/>
      <w:bookmarkStart w:id="12255" w:name="_Toc397698436"/>
      <w:bookmarkStart w:id="12256" w:name="_Toc397699802"/>
      <w:bookmarkStart w:id="12257" w:name="_Toc397700256"/>
      <w:bookmarkStart w:id="12258" w:name="_Toc397936648"/>
      <w:bookmarkStart w:id="12259" w:name="_Toc397936768"/>
      <w:bookmarkStart w:id="12260" w:name="_Toc397945924"/>
      <w:bookmarkStart w:id="12261" w:name="_Toc397946950"/>
      <w:bookmarkStart w:id="12262" w:name="_Toc397948069"/>
      <w:bookmarkStart w:id="12263" w:name="_Toc397958475"/>
      <w:bookmarkStart w:id="12264" w:name="_Toc397958717"/>
      <w:bookmarkStart w:id="12265" w:name="_Toc397959132"/>
      <w:bookmarkStart w:id="12266" w:name="_Toc397962985"/>
      <w:bookmarkStart w:id="12267" w:name="_Toc397963351"/>
      <w:bookmarkStart w:id="12268" w:name="_Toc397965428"/>
      <w:r w:rsidRPr="008625DC">
        <w:t xml:space="preserve">Concern was </w:t>
      </w:r>
      <w:r w:rsidR="008F68A2" w:rsidRPr="008625DC">
        <w:t xml:space="preserve">also </w:t>
      </w:r>
      <w:r w:rsidRPr="008625DC">
        <w:t>expressed that, for various reasons including resource priorities, the ACCC is unable to enforce the law and that small businesses either lack the time and financial resources to take action themselves or are concerned about the impact this might have on their ongoing business relationships.</w:t>
      </w:r>
    </w:p>
    <w:p w14:paraId="1866E1AD" w14:textId="77777777" w:rsidR="00D226CF" w:rsidRPr="008625DC" w:rsidRDefault="00D226CF" w:rsidP="000B5916">
      <w:pPr>
        <w:pStyle w:val="Heading2"/>
        <w:ind w:left="851" w:hanging="851"/>
        <w:rPr>
          <w:lang w:val="en-AU"/>
        </w:rPr>
      </w:pPr>
      <w:bookmarkStart w:id="12269" w:name="_Toc398197366"/>
      <w:bookmarkStart w:id="12270" w:name="_Toc398199869"/>
      <w:bookmarkStart w:id="12271" w:name="_Toc398201583"/>
      <w:bookmarkStart w:id="12272" w:name="_Toc398207188"/>
      <w:bookmarkStart w:id="12273" w:name="_Toc398210461"/>
      <w:bookmarkStart w:id="12274" w:name="_Toc398210975"/>
      <w:bookmarkStart w:id="12275" w:name="_Toc398219783"/>
      <w:bookmarkStart w:id="12276" w:name="_Toc398220158"/>
      <w:bookmarkStart w:id="12277" w:name="_Toc398220545"/>
      <w:bookmarkStart w:id="12278" w:name="_Toc398221623"/>
      <w:bookmarkStart w:id="12279" w:name="_Toc398222309"/>
      <w:bookmarkStart w:id="12280" w:name="_Toc398222621"/>
      <w:bookmarkStart w:id="12281" w:name="_Toc398223038"/>
      <w:bookmarkStart w:id="12282" w:name="_Toc398223417"/>
      <w:bookmarkStart w:id="12283" w:name="_Toc398223544"/>
      <w:bookmarkStart w:id="12284" w:name="_Toc398224352"/>
      <w:bookmarkStart w:id="12285" w:name="_Toc398225689"/>
      <w:bookmarkStart w:id="12286" w:name="_Toc398225814"/>
      <w:bookmarkStart w:id="12287" w:name="_Toc398281301"/>
      <w:bookmarkStart w:id="12288" w:name="_Toc398282160"/>
      <w:bookmarkStart w:id="12289" w:name="_Toc398284830"/>
      <w:bookmarkStart w:id="12290" w:name="_Toc398287299"/>
      <w:bookmarkStart w:id="12291" w:name="_Toc398289182"/>
      <w:bookmarkStart w:id="12292" w:name="_Toc398297179"/>
      <w:bookmarkStart w:id="12293" w:name="_Toc398298653"/>
      <w:bookmarkStart w:id="12294" w:name="_Toc398300354"/>
      <w:bookmarkStart w:id="12295" w:name="_Toc398301251"/>
      <w:bookmarkStart w:id="12296" w:name="_Toc398302436"/>
      <w:bookmarkStart w:id="12297" w:name="_Toc398302599"/>
      <w:bookmarkStart w:id="12298" w:name="_Toc398549112"/>
      <w:bookmarkStart w:id="12299" w:name="_Toc398549362"/>
      <w:bookmarkStart w:id="12300" w:name="_Toc398555781"/>
      <w:bookmarkStart w:id="12301" w:name="_Toc398558985"/>
      <w:bookmarkStart w:id="12302" w:name="_Toc398563471"/>
      <w:bookmarkStart w:id="12303" w:name="_Toc398563604"/>
      <w:bookmarkStart w:id="12304" w:name="_Toc398564003"/>
      <w:bookmarkStart w:id="12305" w:name="_Toc398827341"/>
      <w:bookmarkStart w:id="12306" w:name="_Toc398827535"/>
      <w:r w:rsidRPr="008625DC">
        <w:rPr>
          <w:lang w:val="en-AU"/>
        </w:rPr>
        <w:t xml:space="preserve">Access to </w:t>
      </w:r>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r w:rsidRPr="008625DC">
        <w:rPr>
          <w:lang w:val="en-AU"/>
        </w:rPr>
        <w:t>remedies</w:t>
      </w:r>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p>
    <w:p w14:paraId="54075D76" w14:textId="5512C2AD" w:rsidR="00384168" w:rsidRPr="008625DC" w:rsidRDefault="00384168" w:rsidP="00384168">
      <w:bookmarkStart w:id="12307" w:name="_Toc395117027"/>
      <w:bookmarkStart w:id="12308" w:name="_Toc395113145"/>
      <w:bookmarkStart w:id="12309" w:name="_Toc395115504"/>
      <w:bookmarkStart w:id="12310" w:name="_Toc395118656"/>
      <w:r w:rsidRPr="008625DC">
        <w:t>The Panel notes the P</w:t>
      </w:r>
      <w:r w:rsidR="007572A7" w:rsidRPr="008625DC">
        <w:t>C</w:t>
      </w:r>
      <w:r w:rsidR="00C74E19" w:rsidRPr="008625DC">
        <w:t>’</w:t>
      </w:r>
      <w:r w:rsidRPr="008625DC">
        <w:t xml:space="preserve">s </w:t>
      </w:r>
      <w:r w:rsidR="00F24448" w:rsidRPr="008625DC">
        <w:t xml:space="preserve">review of </w:t>
      </w:r>
      <w:r w:rsidRPr="008625DC">
        <w:t xml:space="preserve">Access to Justice Arrangements </w:t>
      </w:r>
      <w:r w:rsidR="00303AED" w:rsidRPr="008625DC">
        <w:t>(which has been provided</w:t>
      </w:r>
      <w:r w:rsidR="00D805C5" w:rsidRPr="008625DC">
        <w:t xml:space="preserve"> to </w:t>
      </w:r>
      <w:r w:rsidR="001126AD" w:rsidRPr="008625DC">
        <w:t>the Australian G</w:t>
      </w:r>
      <w:r w:rsidR="00303AED" w:rsidRPr="008625DC">
        <w:t>overnment but not yet released)</w:t>
      </w:r>
      <w:r w:rsidRPr="008625DC">
        <w:t xml:space="preserve">, the Small Business and Family Enterprise Ombudsman </w:t>
      </w:r>
      <w:r w:rsidR="00303AED" w:rsidRPr="008625DC">
        <w:t xml:space="preserve">that </w:t>
      </w:r>
      <w:r w:rsidRPr="008625DC">
        <w:t>is in the process of being established, and the current proposal to extend unfair contract terms to small business contracts.</w:t>
      </w:r>
    </w:p>
    <w:bookmarkEnd w:id="12307"/>
    <w:bookmarkEnd w:id="12308"/>
    <w:bookmarkEnd w:id="12309"/>
    <w:bookmarkEnd w:id="12310"/>
    <w:p w14:paraId="3916316A" w14:textId="77777777" w:rsidR="00B64EE7" w:rsidRPr="008625DC" w:rsidRDefault="00DD1583" w:rsidP="0031183F">
      <w:r w:rsidRPr="008625DC">
        <w:t>However, the Panel considers that small business</w:t>
      </w:r>
      <w:r w:rsidR="00B64EE7" w:rsidRPr="008625DC">
        <w:t>es</w:t>
      </w:r>
      <w:r w:rsidRPr="008625DC">
        <w:t xml:space="preserve"> need greater assurance that competition complaints can be dealt with. </w:t>
      </w:r>
      <w:r w:rsidR="00B64EE7" w:rsidRPr="008625DC">
        <w:t xml:space="preserve">There are significant practical difficulties in small business exercising rights of private enforcement. Understandably, the ACCC is not able to take proceedings in respect of all complaints that are brought to it. It is important, though, that the ACCC places some priority upon its response to small business complaints concerning competition laws. </w:t>
      </w:r>
    </w:p>
    <w:p w14:paraId="23727352" w14:textId="77777777" w:rsidR="00B64EE7" w:rsidRPr="008625DC" w:rsidRDefault="00B64EE7" w:rsidP="0031183F">
      <w:r w:rsidRPr="008625DC">
        <w:t xml:space="preserve">If the ACCC determines that it is unable to pursue a particular complaint on behalf of a small business, it is important that the ACCC communicates clearly and promptly its reasons for not acting and directs the business to available dispute resolution procedures. </w:t>
      </w:r>
    </w:p>
    <w:p w14:paraId="78BED306" w14:textId="3861FB42" w:rsidR="00B64EE7" w:rsidRPr="008625DC" w:rsidRDefault="00B64EE7" w:rsidP="0031183F">
      <w:r w:rsidRPr="008625DC">
        <w:t xml:space="preserve">Small business would be assisted by an effective dispute resolution system in respect of competition law issues. Such a system would support the operation and effectiveness of competitive markets, which in turn foster a diversity of businesses that provide consumer choice. While some small </w:t>
      </w:r>
      <w:r w:rsidRPr="008625DC">
        <w:lastRenderedPageBreak/>
        <w:t xml:space="preserve">business dispute resolution services exist at the state, territory and </w:t>
      </w:r>
      <w:r w:rsidR="0046149D" w:rsidRPr="008625DC">
        <w:t>C</w:t>
      </w:r>
      <w:r w:rsidRPr="008625DC">
        <w:t>ommonwealth levels, it is clear small business feel</w:t>
      </w:r>
      <w:r w:rsidR="001D5EF7" w:rsidRPr="008625DC">
        <w:t>s</w:t>
      </w:r>
      <w:r w:rsidRPr="008625DC">
        <w:t xml:space="preserve"> that laws are difficult to enforce.</w:t>
      </w:r>
    </w:p>
    <w:p w14:paraId="3E323DDB" w14:textId="61BCEA23" w:rsidR="00DD1583" w:rsidRPr="008625DC" w:rsidRDefault="00DD1583" w:rsidP="00D226CF">
      <w:r w:rsidRPr="008625DC">
        <w:t xml:space="preserve">The ACCC should take a more active role in connecting small business with dispute resolution schemes, where the </w:t>
      </w:r>
      <w:r w:rsidR="007B7612" w:rsidRPr="008625DC">
        <w:t>ACCC</w:t>
      </w:r>
      <w:r w:rsidRPr="008625DC">
        <w:t xml:space="preserve"> considers a complaint has merit but is not a priority for public enforcement.</w:t>
      </w:r>
      <w:r w:rsidR="00965FD2" w:rsidRPr="008625DC">
        <w:t xml:space="preserve"> The ACCC should also test the law on a regular basis to assure small business that the law is being enforced.</w:t>
      </w:r>
    </w:p>
    <w:p w14:paraId="6B65025C" w14:textId="7252E39D" w:rsidR="00D226CF" w:rsidRPr="008625DC" w:rsidRDefault="00705F7C" w:rsidP="00D226CF">
      <w:r w:rsidRPr="008625DC">
        <w:t>The Panel is interested in views</w:t>
      </w:r>
      <w:r w:rsidR="00040BD2" w:rsidRPr="008625DC">
        <w:t xml:space="preserve"> on whether there should be a specific dispute resolution scheme for small business </w:t>
      </w:r>
      <w:r w:rsidR="00F24448" w:rsidRPr="008625DC">
        <w:t>for matters covered by the CCA.</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315636" w:rsidRPr="008625DC" w14:paraId="041A7520" w14:textId="77777777" w:rsidTr="00430EE8">
        <w:tc>
          <w:tcPr>
            <w:tcW w:w="5000" w:type="pct"/>
            <w:shd w:val="clear" w:color="auto" w:fill="E9F7F3" w:themeFill="accent4" w:themeFillTint="33"/>
          </w:tcPr>
          <w:p w14:paraId="5124FDCC" w14:textId="3D814023" w:rsidR="00315636" w:rsidRPr="008625DC" w:rsidRDefault="00315636" w:rsidP="00430EE8">
            <w:pPr>
              <w:pStyle w:val="RecommendationHeading"/>
            </w:pPr>
            <w:bookmarkStart w:id="12311" w:name="DR49"/>
            <w:r w:rsidRPr="008625DC">
              <w:t xml:space="preserve">Draft Recommendation </w:t>
            </w:r>
            <w:r w:rsidRPr="008625DC">
              <w:fldChar w:fldCharType="begin"/>
            </w:r>
            <w:r w:rsidRPr="008625DC">
              <w:instrText xml:space="preserve"> AUTONUMLGL  \* Arabic \e </w:instrText>
            </w:r>
            <w:r w:rsidRPr="008625DC">
              <w:fldChar w:fldCharType="end"/>
            </w:r>
            <w:bookmarkEnd w:id="12311"/>
            <w:r w:rsidR="00380141" w:rsidRPr="008625DC">
              <w:t xml:space="preserve"> — </w:t>
            </w:r>
            <w:r w:rsidRPr="008625DC">
              <w:t>Small business access to remedies</w:t>
            </w:r>
          </w:p>
          <w:p w14:paraId="132969EE" w14:textId="08474528" w:rsidR="00315636" w:rsidRPr="008625DC" w:rsidRDefault="00315636" w:rsidP="00430EE8">
            <w:pPr>
              <w:pStyle w:val="RecommendationText"/>
            </w:pPr>
            <w:r w:rsidRPr="008625DC">
              <w:t xml:space="preserve">The ACCC should take a more active approach </w:t>
            </w:r>
            <w:r w:rsidR="00F24448" w:rsidRPr="008625DC">
              <w:t>in</w:t>
            </w:r>
            <w:r w:rsidRPr="008625DC">
              <w:t xml:space="preserve"> connecting small business to alternative dispute resolution schemes where it considers complaints have merit but are not a priority for public enforcement.</w:t>
            </w:r>
          </w:p>
          <w:p w14:paraId="36D19BBD" w14:textId="77777777" w:rsidR="00315636" w:rsidRPr="008625DC" w:rsidRDefault="00315636" w:rsidP="00430EE8">
            <w:pPr>
              <w:pStyle w:val="RecommendationText"/>
              <w:rPr>
                <w:b/>
              </w:rPr>
            </w:pPr>
            <w:r w:rsidRPr="008625DC">
              <w:rPr>
                <w:b/>
              </w:rPr>
              <w:t>The Panel invites views on whether there should be a specific dispute resolution scheme for small business for matters covered by the CCA.</w:t>
            </w:r>
          </w:p>
          <w:p w14:paraId="2250780E" w14:textId="36AFB5FE" w:rsidR="00315636" w:rsidRPr="008625DC" w:rsidRDefault="00315636">
            <w:pPr>
              <w:pStyle w:val="RecommendationText"/>
              <w:spacing w:after="180"/>
            </w:pPr>
            <w:r w:rsidRPr="008625DC">
              <w:t xml:space="preserve">Resourcing of the ACCC should </w:t>
            </w:r>
            <w:r w:rsidR="00646353" w:rsidRPr="008625DC">
              <w:t>allow</w:t>
            </w:r>
            <w:r w:rsidRPr="008625DC">
              <w:t xml:space="preserve"> it to test the law on a regular basis to </w:t>
            </w:r>
            <w:r w:rsidR="00DD1583" w:rsidRPr="008625DC">
              <w:t>ensure</w:t>
            </w:r>
            <w:r w:rsidRPr="008625DC">
              <w:t xml:space="preserve"> </w:t>
            </w:r>
            <w:r w:rsidR="00646353" w:rsidRPr="008625DC">
              <w:t xml:space="preserve">that the law is </w:t>
            </w:r>
            <w:r w:rsidR="00DD1583" w:rsidRPr="008625DC">
              <w:t>acting as a deterrent to unlawful behaviour</w:t>
            </w:r>
            <w:r w:rsidR="00646353" w:rsidRPr="008625DC">
              <w:t>.</w:t>
            </w:r>
          </w:p>
        </w:tc>
      </w:tr>
    </w:tbl>
    <w:p w14:paraId="0A4A0D98" w14:textId="77777777" w:rsidR="00646353" w:rsidRPr="008625DC" w:rsidRDefault="00646353" w:rsidP="000B5916">
      <w:pPr>
        <w:pStyle w:val="Heading2"/>
        <w:ind w:left="851" w:hanging="851"/>
        <w:rPr>
          <w:lang w:val="en-AU"/>
        </w:rPr>
      </w:pPr>
      <w:bookmarkStart w:id="12312" w:name="_Toc397439407"/>
      <w:bookmarkStart w:id="12313" w:name="_Toc397439577"/>
      <w:bookmarkStart w:id="12314" w:name="_Toc397439833"/>
      <w:bookmarkStart w:id="12315" w:name="_Toc397440135"/>
      <w:bookmarkStart w:id="12316" w:name="_Toc397441764"/>
      <w:bookmarkStart w:id="12317" w:name="_Toc397517466"/>
      <w:bookmarkStart w:id="12318" w:name="_Toc397522731"/>
      <w:bookmarkStart w:id="12319" w:name="_Toc397526149"/>
      <w:bookmarkStart w:id="12320" w:name="_Toc397528464"/>
      <w:bookmarkStart w:id="12321" w:name="_Toc397528939"/>
      <w:bookmarkStart w:id="12322" w:name="_Toc397601936"/>
      <w:bookmarkStart w:id="12323" w:name="_Toc397602671"/>
      <w:bookmarkStart w:id="12324" w:name="_Toc397605800"/>
      <w:bookmarkStart w:id="12325" w:name="_Toc397614944"/>
      <w:bookmarkStart w:id="12326" w:name="_Toc397616387"/>
      <w:bookmarkStart w:id="12327" w:name="_Toc397616781"/>
      <w:bookmarkStart w:id="12328" w:name="_Toc397679191"/>
      <w:bookmarkStart w:id="12329" w:name="_Toc397688079"/>
      <w:bookmarkStart w:id="12330" w:name="_Toc397689295"/>
      <w:bookmarkStart w:id="12331" w:name="_Toc397694575"/>
      <w:bookmarkStart w:id="12332" w:name="_Toc397696416"/>
      <w:bookmarkStart w:id="12333" w:name="_Toc397697150"/>
      <w:bookmarkStart w:id="12334" w:name="_Toc397698437"/>
      <w:bookmarkStart w:id="12335" w:name="_Toc397699803"/>
      <w:bookmarkStart w:id="12336" w:name="_Toc397700257"/>
      <w:bookmarkStart w:id="12337" w:name="_Toc397936649"/>
      <w:bookmarkStart w:id="12338" w:name="_Toc397936769"/>
      <w:bookmarkStart w:id="12339" w:name="_Toc397945925"/>
      <w:bookmarkStart w:id="12340" w:name="_Toc397946951"/>
      <w:bookmarkStart w:id="12341" w:name="_Toc397948070"/>
      <w:bookmarkStart w:id="12342" w:name="_Toc397958476"/>
      <w:bookmarkStart w:id="12343" w:name="_Toc397958718"/>
      <w:bookmarkStart w:id="12344" w:name="_Toc397959133"/>
      <w:bookmarkStart w:id="12345" w:name="_Toc397962986"/>
      <w:bookmarkStart w:id="12346" w:name="_Toc397963352"/>
      <w:bookmarkStart w:id="12347" w:name="_Toc397965429"/>
      <w:bookmarkStart w:id="12348" w:name="_Toc398197367"/>
      <w:bookmarkStart w:id="12349" w:name="_Toc398199870"/>
      <w:bookmarkStart w:id="12350" w:name="_Toc398201584"/>
      <w:bookmarkStart w:id="12351" w:name="_Toc398207189"/>
      <w:bookmarkStart w:id="12352" w:name="_Toc398210462"/>
      <w:bookmarkStart w:id="12353" w:name="_Toc398210976"/>
      <w:bookmarkStart w:id="12354" w:name="_Toc398219784"/>
      <w:bookmarkStart w:id="12355" w:name="_Toc398220159"/>
      <w:bookmarkStart w:id="12356" w:name="_Toc398220546"/>
      <w:bookmarkStart w:id="12357" w:name="_Toc398221624"/>
      <w:bookmarkStart w:id="12358" w:name="_Toc398222310"/>
      <w:bookmarkStart w:id="12359" w:name="_Toc398222622"/>
      <w:bookmarkStart w:id="12360" w:name="_Toc398223039"/>
      <w:bookmarkStart w:id="12361" w:name="_Toc398223418"/>
      <w:bookmarkStart w:id="12362" w:name="_Toc398223545"/>
      <w:bookmarkStart w:id="12363" w:name="_Toc398224353"/>
      <w:bookmarkStart w:id="12364" w:name="_Toc398225690"/>
      <w:bookmarkStart w:id="12365" w:name="_Toc398225815"/>
      <w:bookmarkStart w:id="12366" w:name="_Toc398281302"/>
      <w:bookmarkStart w:id="12367" w:name="_Toc398282161"/>
      <w:bookmarkStart w:id="12368" w:name="_Toc398284831"/>
      <w:bookmarkStart w:id="12369" w:name="_Toc398287300"/>
      <w:bookmarkStart w:id="12370" w:name="_Toc398289183"/>
      <w:bookmarkStart w:id="12371" w:name="_Toc398297180"/>
      <w:bookmarkStart w:id="12372" w:name="_Toc398298654"/>
      <w:bookmarkStart w:id="12373" w:name="_Toc398300355"/>
      <w:bookmarkStart w:id="12374" w:name="_Toc398301252"/>
      <w:bookmarkStart w:id="12375" w:name="_Toc398302437"/>
      <w:bookmarkStart w:id="12376" w:name="_Toc398302600"/>
      <w:bookmarkStart w:id="12377" w:name="_Toc398549113"/>
      <w:bookmarkStart w:id="12378" w:name="_Toc398549363"/>
      <w:bookmarkStart w:id="12379" w:name="_Toc398555782"/>
      <w:bookmarkStart w:id="12380" w:name="_Toc398558986"/>
      <w:bookmarkStart w:id="12381" w:name="_Toc398563472"/>
      <w:bookmarkStart w:id="12382" w:name="_Toc398563605"/>
      <w:bookmarkStart w:id="12383" w:name="_Toc398564004"/>
      <w:bookmarkStart w:id="12384" w:name="_Toc398827342"/>
      <w:bookmarkStart w:id="12385" w:name="_Toc398827536"/>
      <w:bookmarkStart w:id="12386" w:name="_Toc397002221"/>
      <w:bookmarkStart w:id="12387" w:name="_Toc397003140"/>
      <w:bookmarkStart w:id="12388" w:name="_Toc397008698"/>
      <w:bookmarkStart w:id="12389" w:name="_Toc397008916"/>
      <w:bookmarkStart w:id="12390" w:name="_Toc397011588"/>
      <w:bookmarkStart w:id="12391" w:name="_Toc397012649"/>
      <w:bookmarkStart w:id="12392" w:name="_Toc397014991"/>
      <w:bookmarkStart w:id="12393" w:name="_Toc397015478"/>
      <w:bookmarkStart w:id="12394" w:name="_Toc397070549"/>
      <w:bookmarkStart w:id="12395" w:name="_Toc397413288"/>
      <w:bookmarkStart w:id="12396" w:name="_Toc397413435"/>
      <w:bookmarkStart w:id="12397" w:name="_Toc397428019"/>
      <w:bookmarkStart w:id="12398" w:name="_Toc396149017"/>
      <w:bookmarkStart w:id="12399" w:name="_Toc396145936"/>
      <w:bookmarkStart w:id="12400" w:name="_Toc396147762"/>
      <w:bookmarkStart w:id="12401" w:name="_Toc396149444"/>
      <w:bookmarkStart w:id="12402" w:name="_Toc396150012"/>
      <w:bookmarkStart w:id="12403" w:name="_Toc396150451"/>
      <w:bookmarkStart w:id="12404" w:name="_Toc396151634"/>
      <w:bookmarkStart w:id="12405" w:name="_Toc396202642"/>
      <w:bookmarkStart w:id="12406" w:name="_Toc396206849"/>
      <w:bookmarkStart w:id="12407" w:name="_Toc396209677"/>
      <w:bookmarkStart w:id="12408" w:name="_Toc396212101"/>
      <w:bookmarkStart w:id="12409" w:name="_Toc396213443"/>
      <w:bookmarkStart w:id="12410" w:name="_Toc396214719"/>
      <w:bookmarkStart w:id="12411" w:name="_Toc396226830"/>
      <w:bookmarkStart w:id="12412" w:name="_Toc396229030"/>
      <w:bookmarkStart w:id="12413" w:name="_Toc396230672"/>
      <w:bookmarkStart w:id="12414" w:name="_Toc396231813"/>
      <w:bookmarkStart w:id="12415" w:name="_Toc396233453"/>
      <w:bookmarkStart w:id="12416" w:name="_Toc396234273"/>
      <w:bookmarkStart w:id="12417" w:name="_Toc396234681"/>
      <w:bookmarkStart w:id="12418" w:name="_Toc396235900"/>
      <w:bookmarkStart w:id="12419" w:name="_Toc396586399"/>
      <w:r w:rsidRPr="008625DC">
        <w:rPr>
          <w:lang w:val="en-AU"/>
        </w:rPr>
        <w:t>Collective bargaining</w:t>
      </w:r>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p>
    <w:p w14:paraId="71A13642" w14:textId="2A0274C9" w:rsidR="00DD1583" w:rsidRPr="008625DC" w:rsidRDefault="00DD1583" w:rsidP="00DD1583">
      <w:r w:rsidRPr="008625DC">
        <w:t>There is broad support for the exemption process for collective bargaining by small business which is designed to recognise unequal bargaining power between parties to a business transaction. The process of exemption through notification should be capable of addressing a number of the issues raised by small business in their dealings with big business.</w:t>
      </w:r>
    </w:p>
    <w:p w14:paraId="773AB170" w14:textId="77777777" w:rsidR="001126AD" w:rsidRPr="008625DC" w:rsidRDefault="00646353" w:rsidP="001126AD">
      <w:r w:rsidRPr="008625DC">
        <w:t>However, the provisions are not being used as frequently as they might be. Various improvements could be made, including increasing the flexibility of collective bargaining and improving the framework for collective boycott activities.</w:t>
      </w:r>
      <w:r w:rsidR="001126AD" w:rsidRPr="008625DC">
        <w:t xml:space="preserve"> For example, one change would be to enable the group of businesses covered by a notification to be altered without the need for a fresh notification to be filed.</w:t>
      </w:r>
    </w:p>
    <w:p w14:paraId="3EFE06FA" w14:textId="07BB590B" w:rsidR="00A658B6" w:rsidRPr="008625DC" w:rsidRDefault="00646353" w:rsidP="0031183F">
      <w:r w:rsidRPr="008625DC">
        <w:t>Raisin</w:t>
      </w:r>
      <w:r w:rsidR="00150C8B" w:rsidRPr="008625DC">
        <w:t>g awareness of these provisions, including but not limited to raising awareness of co</w:t>
      </w:r>
      <w:r w:rsidR="00C74E19" w:rsidRPr="008625DC">
        <w:noBreakHyphen/>
      </w:r>
      <w:r w:rsidR="00150C8B" w:rsidRPr="008625DC">
        <w:t xml:space="preserve">operatives, </w:t>
      </w:r>
      <w:r w:rsidRPr="008625DC">
        <w:t>will promote their use and potentially strengthen the bargaining position of small business</w:t>
      </w:r>
      <w:r w:rsidR="00D805C5" w:rsidRPr="008625DC">
        <w:t>es</w:t>
      </w:r>
      <w:r w:rsidRPr="008625DC">
        <w:t xml:space="preserve"> in dealing with large business</w:t>
      </w:r>
      <w:r w:rsidR="00D805C5" w:rsidRPr="008625DC">
        <w:t>es</w:t>
      </w:r>
      <w:r w:rsidRPr="008625DC">
        <w: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646353" w:rsidRPr="008625DC" w14:paraId="644528B4" w14:textId="77777777" w:rsidTr="00646353">
        <w:tc>
          <w:tcPr>
            <w:tcW w:w="5000" w:type="pct"/>
            <w:shd w:val="clear" w:color="auto" w:fill="E9F7F3" w:themeFill="accent4" w:themeFillTint="33"/>
          </w:tcPr>
          <w:p w14:paraId="56C13406" w14:textId="77777777" w:rsidR="00646353" w:rsidRPr="008625DC" w:rsidRDefault="00646353" w:rsidP="00646353">
            <w:pPr>
              <w:pStyle w:val="RecommendationHeading"/>
            </w:pPr>
            <w:bookmarkStart w:id="12420" w:name="DR50"/>
            <w:r w:rsidRPr="008625DC">
              <w:lastRenderedPageBreak/>
              <w:t xml:space="preserve">Draft Recommendation </w:t>
            </w:r>
            <w:r w:rsidRPr="008625DC">
              <w:fldChar w:fldCharType="begin"/>
            </w:r>
            <w:r w:rsidRPr="008625DC">
              <w:instrText xml:space="preserve"> AUTONUMLGL  \* Arabic \e </w:instrText>
            </w:r>
            <w:r w:rsidRPr="008625DC">
              <w:fldChar w:fldCharType="end"/>
            </w:r>
            <w:bookmarkEnd w:id="12420"/>
            <w:r w:rsidRPr="008625DC">
              <w:t xml:space="preserve"> — Collective bargaining</w:t>
            </w:r>
          </w:p>
          <w:p w14:paraId="5AB1AD8F" w14:textId="1D13EBEC" w:rsidR="00DD1583" w:rsidRPr="008625DC" w:rsidRDefault="00DD1583" w:rsidP="00DD1583">
            <w:pPr>
              <w:pStyle w:val="RecommendationText"/>
            </w:pPr>
            <w:r w:rsidRPr="008625DC">
              <w:t>The CCA should be amended to introduce greater flexibility into the notification process for collective bargaining by small business. One change would be to enable the group of businesses covered by a notification to be altered without the need for a fresh notification to be filed (although there ought to be a process by which the businesses covered by the notification from time to time are recorded on the ACCC</w:t>
            </w:r>
            <w:r w:rsidR="00C74E19" w:rsidRPr="008625DC">
              <w:t>’</w:t>
            </w:r>
            <w:r w:rsidRPr="008625DC">
              <w:t>s notification register).</w:t>
            </w:r>
          </w:p>
          <w:p w14:paraId="06BEE433" w14:textId="41C2B58C" w:rsidR="00646353" w:rsidRPr="008625DC" w:rsidRDefault="00646353" w:rsidP="00C562D9">
            <w:pPr>
              <w:pStyle w:val="RecommendationText"/>
              <w:spacing w:after="180"/>
            </w:pPr>
            <w:r w:rsidRPr="008625DC">
              <w:t xml:space="preserve">The ACCC should take actions to enhance awareness of the </w:t>
            </w:r>
            <w:r w:rsidR="00DD1583" w:rsidRPr="008625DC">
              <w:t xml:space="preserve">exemption process for </w:t>
            </w:r>
            <w:r w:rsidRPr="008625DC">
              <w:t xml:space="preserve">collective bargaining and how </w:t>
            </w:r>
            <w:r w:rsidR="00C562D9" w:rsidRPr="008625DC">
              <w:t>it</w:t>
            </w:r>
            <w:r w:rsidRPr="008625DC">
              <w:t xml:space="preserve"> might be used to improve the bargaining position of small business</w:t>
            </w:r>
            <w:r w:rsidR="003B5704" w:rsidRPr="008625DC">
              <w:t>es</w:t>
            </w:r>
            <w:r w:rsidRPr="008625DC">
              <w:t xml:space="preserve"> in dealings with large business</w:t>
            </w:r>
            <w:r w:rsidR="00303AED" w:rsidRPr="008625DC">
              <w:t>es</w:t>
            </w:r>
            <w:r w:rsidRPr="008625DC">
              <w:t>.</w:t>
            </w:r>
          </w:p>
        </w:tc>
      </w:tr>
    </w:tbl>
    <w:p w14:paraId="1B45D566" w14:textId="77777777" w:rsidR="00A658B6" w:rsidRPr="008625DC" w:rsidRDefault="00A658B6" w:rsidP="00A658B6">
      <w:pPr>
        <w:pStyle w:val="Heading2"/>
        <w:ind w:left="851" w:hanging="851"/>
        <w:rPr>
          <w:lang w:val="en-AU"/>
        </w:rPr>
      </w:pPr>
      <w:bookmarkStart w:id="12421" w:name="_Toc398827343"/>
      <w:bookmarkStart w:id="12422" w:name="_Toc398827537"/>
      <w:bookmarkStart w:id="12423" w:name="_Toc397439408"/>
      <w:bookmarkStart w:id="12424" w:name="_Toc397439578"/>
      <w:bookmarkStart w:id="12425" w:name="_Toc397439834"/>
      <w:bookmarkStart w:id="12426" w:name="_Toc397440136"/>
      <w:bookmarkStart w:id="12427" w:name="_Toc397441765"/>
      <w:bookmarkStart w:id="12428" w:name="_Toc397517467"/>
      <w:bookmarkStart w:id="12429" w:name="_Toc397522732"/>
      <w:bookmarkStart w:id="12430" w:name="_Toc397526150"/>
      <w:bookmarkStart w:id="12431" w:name="_Toc397528465"/>
      <w:bookmarkStart w:id="12432" w:name="_Toc397528940"/>
      <w:bookmarkStart w:id="12433" w:name="_Toc397601937"/>
      <w:bookmarkStart w:id="12434" w:name="_Toc397602672"/>
      <w:bookmarkStart w:id="12435" w:name="_Toc397605801"/>
      <w:bookmarkStart w:id="12436" w:name="_Toc397614945"/>
      <w:bookmarkStart w:id="12437" w:name="_Toc397616388"/>
      <w:bookmarkStart w:id="12438" w:name="_Toc397616782"/>
      <w:bookmarkStart w:id="12439" w:name="_Toc397679192"/>
      <w:bookmarkStart w:id="12440" w:name="_Toc397688080"/>
      <w:bookmarkStart w:id="12441" w:name="_Toc397689296"/>
      <w:bookmarkStart w:id="12442" w:name="_Toc397694576"/>
      <w:bookmarkStart w:id="12443" w:name="_Toc397696417"/>
      <w:bookmarkStart w:id="12444" w:name="_Toc397697151"/>
      <w:bookmarkStart w:id="12445" w:name="_Toc397698438"/>
      <w:bookmarkStart w:id="12446" w:name="_Toc397699804"/>
      <w:bookmarkStart w:id="12447" w:name="_Toc397700258"/>
      <w:bookmarkStart w:id="12448" w:name="_Toc397936650"/>
      <w:bookmarkStart w:id="12449" w:name="_Toc397936770"/>
      <w:bookmarkStart w:id="12450" w:name="_Toc397945926"/>
      <w:bookmarkStart w:id="12451" w:name="_Toc397946952"/>
      <w:bookmarkStart w:id="12452" w:name="_Toc397948071"/>
      <w:bookmarkStart w:id="12453" w:name="_Toc397958477"/>
      <w:bookmarkStart w:id="12454" w:name="_Toc397958719"/>
      <w:bookmarkStart w:id="12455" w:name="_Toc397959134"/>
      <w:bookmarkStart w:id="12456" w:name="_Toc397962987"/>
      <w:bookmarkStart w:id="12457" w:name="_Toc397963353"/>
      <w:bookmarkStart w:id="12458" w:name="_Toc397965430"/>
      <w:bookmarkStart w:id="12459" w:name="_Toc398197368"/>
      <w:bookmarkStart w:id="12460" w:name="_Toc398199871"/>
      <w:bookmarkStart w:id="12461" w:name="_Toc398201585"/>
      <w:bookmarkStart w:id="12462" w:name="_Toc398207190"/>
      <w:bookmarkStart w:id="12463" w:name="_Toc398210463"/>
      <w:bookmarkStart w:id="12464" w:name="_Toc398210977"/>
      <w:bookmarkStart w:id="12465" w:name="_Toc398219785"/>
      <w:bookmarkStart w:id="12466" w:name="_Toc398220160"/>
      <w:bookmarkStart w:id="12467" w:name="_Toc398220547"/>
      <w:bookmarkStart w:id="12468" w:name="_Toc398221625"/>
      <w:bookmarkStart w:id="12469" w:name="_Toc398222311"/>
      <w:bookmarkStart w:id="12470" w:name="_Toc398222623"/>
      <w:bookmarkStart w:id="12471" w:name="_Toc398223040"/>
      <w:bookmarkStart w:id="12472" w:name="_Toc398223419"/>
      <w:bookmarkStart w:id="12473" w:name="_Toc398223546"/>
      <w:bookmarkStart w:id="12474" w:name="_Toc398224354"/>
      <w:bookmarkStart w:id="12475" w:name="_Toc398225691"/>
      <w:bookmarkStart w:id="12476" w:name="_Toc398225816"/>
      <w:bookmarkStart w:id="12477" w:name="_Toc398281303"/>
      <w:bookmarkStart w:id="12478" w:name="_Toc398282162"/>
      <w:bookmarkStart w:id="12479" w:name="_Toc398284832"/>
      <w:bookmarkStart w:id="12480" w:name="_Toc398287301"/>
      <w:bookmarkStart w:id="12481" w:name="_Toc398289184"/>
      <w:bookmarkStart w:id="12482" w:name="_Toc398297181"/>
      <w:bookmarkStart w:id="12483" w:name="_Toc398298655"/>
      <w:bookmarkStart w:id="12484" w:name="_Toc398300356"/>
      <w:bookmarkStart w:id="12485" w:name="_Toc398301253"/>
      <w:bookmarkStart w:id="12486" w:name="_Toc398302438"/>
      <w:bookmarkStart w:id="12487" w:name="_Toc398302601"/>
      <w:bookmarkStart w:id="12488" w:name="_Toc398549114"/>
      <w:bookmarkStart w:id="12489" w:name="_Toc398549364"/>
      <w:bookmarkStart w:id="12490" w:name="_Toc398555783"/>
      <w:bookmarkStart w:id="12491" w:name="_Toc398558987"/>
      <w:bookmarkStart w:id="12492" w:name="_Toc398563473"/>
      <w:bookmarkStart w:id="12493" w:name="_Toc398563606"/>
      <w:bookmarkStart w:id="12494" w:name="_Toc398564005"/>
      <w:r w:rsidRPr="008625DC">
        <w:rPr>
          <w:lang w:val="en-AU"/>
        </w:rPr>
        <w:t>Industry codes</w:t>
      </w:r>
      <w:bookmarkEnd w:id="12421"/>
      <w:bookmarkEnd w:id="12422"/>
    </w:p>
    <w:p w14:paraId="61185DD4" w14:textId="77777777" w:rsidR="00A658B6" w:rsidRPr="008625DC" w:rsidRDefault="00A658B6" w:rsidP="0031183F">
      <w:r w:rsidRPr="008625DC">
        <w:t xml:space="preserve">Codes of conduct play an important role under the CCA by providing for a flexible regulatory framework to set norms of behaviour. The </w:t>
      </w:r>
      <w:proofErr w:type="gramStart"/>
      <w:r w:rsidRPr="008625DC">
        <w:t>operation of codes of conduct complements the provisions of the CCA and are</w:t>
      </w:r>
      <w:proofErr w:type="gramEnd"/>
      <w:r w:rsidRPr="008625DC">
        <w:t xml:space="preserve"> generally applied to relationships between businesses within a particular industry. Codes also provide a mechanism to implement industry specific dispute resolution frameworks.</w:t>
      </w:r>
    </w:p>
    <w:p w14:paraId="7ED47B8F" w14:textId="77777777" w:rsidR="00A658B6" w:rsidRPr="008625DC" w:rsidRDefault="00A658B6" w:rsidP="0031183F">
      <w:r w:rsidRPr="008625DC">
        <w:t xml:space="preserve">For further detail on industry codes, see </w:t>
      </w:r>
      <w:hyperlink w:anchor="s164" w:history="1">
        <w:r w:rsidRPr="008625DC">
          <w:rPr>
            <w:rStyle w:val="Hyperlink"/>
          </w:rPr>
          <w:t>Section 16.4</w:t>
        </w:r>
      </w:hyperlink>
      <w:r w:rsidRPr="008625DC">
        <w:t>.</w:t>
      </w:r>
    </w:p>
    <w:p w14:paraId="205468A0" w14:textId="77777777" w:rsidR="002A0035" w:rsidRPr="008625DC" w:rsidRDefault="002A0035" w:rsidP="000B5916">
      <w:pPr>
        <w:pStyle w:val="Heading2"/>
        <w:ind w:left="851" w:hanging="851"/>
        <w:rPr>
          <w:lang w:val="en-AU"/>
        </w:rPr>
      </w:pPr>
      <w:bookmarkStart w:id="12495" w:name="_Toc398827344"/>
      <w:bookmarkStart w:id="12496" w:name="_Toc398827538"/>
      <w:r w:rsidRPr="008625DC">
        <w:rPr>
          <w:lang w:val="en-AU"/>
        </w:rPr>
        <w:t>Competitive neutrality</w:t>
      </w:r>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p>
    <w:p w14:paraId="613E97C4" w14:textId="1C14FD5B" w:rsidR="002A0035" w:rsidRPr="008625DC" w:rsidRDefault="002A0035" w:rsidP="002A0035">
      <w:r w:rsidRPr="008625DC">
        <w:t xml:space="preserve">For many small businesses, competitive neutrality is a persistent area of concern. </w:t>
      </w:r>
      <w:r w:rsidR="00965FD2" w:rsidRPr="008625DC">
        <w:t>Governments compete with small businesses in a variety of markets and if they have an undue advantage, this can result in them having lower costs and therefore able to charge lower prices than private sector competitors.</w:t>
      </w:r>
    </w:p>
    <w:p w14:paraId="39512BA5" w14:textId="46D9EF72" w:rsidR="002A0035" w:rsidRPr="008625DC" w:rsidRDefault="002A0035" w:rsidP="002A0035">
      <w:r w:rsidRPr="008625DC">
        <w:t xml:space="preserve">The Panel considers that transparency of current competitive neutrality arrangements </w:t>
      </w:r>
      <w:r w:rsidR="00646353" w:rsidRPr="008625DC">
        <w:t xml:space="preserve">should be improved </w:t>
      </w:r>
      <w:r w:rsidRPr="008625DC">
        <w:t xml:space="preserve">and obligations on governments </w:t>
      </w:r>
      <w:r w:rsidR="00BF180A" w:rsidRPr="008625DC">
        <w:t xml:space="preserve">not </w:t>
      </w:r>
      <w:r w:rsidRPr="008625DC">
        <w:t xml:space="preserve">to </w:t>
      </w:r>
      <w:r w:rsidR="00646353" w:rsidRPr="008625DC">
        <w:t xml:space="preserve">breach </w:t>
      </w:r>
      <w:r w:rsidRPr="008625DC">
        <w:t xml:space="preserve">competitive neutrality </w:t>
      </w:r>
      <w:r w:rsidR="00646353" w:rsidRPr="008625DC">
        <w:t xml:space="preserve">principles </w:t>
      </w:r>
      <w:r w:rsidR="00BF180A" w:rsidRPr="008625DC">
        <w:t xml:space="preserve">be </w:t>
      </w:r>
      <w:r w:rsidR="00646353" w:rsidRPr="008625DC">
        <w:t>strengthened</w:t>
      </w:r>
      <w:r w:rsidRPr="008625DC">
        <w:t>. The Panel has made t</w:t>
      </w:r>
      <w:r w:rsidR="00BF180A" w:rsidRPr="008625DC">
        <w:t>hree</w:t>
      </w:r>
      <w:r w:rsidRPr="008625DC">
        <w:t xml:space="preserve"> </w:t>
      </w:r>
      <w:r w:rsidR="00050A9C" w:rsidRPr="008625DC">
        <w:t>draft</w:t>
      </w:r>
      <w:r w:rsidRPr="008625DC">
        <w:t xml:space="preserve"> recommendations in this regard (see Draft Recommendations 1</w:t>
      </w:r>
      <w:r w:rsidR="00F851D1" w:rsidRPr="008625DC">
        <w:t>3</w:t>
      </w:r>
      <w:r w:rsidR="00BF180A" w:rsidRPr="008625DC">
        <w:t>, 1</w:t>
      </w:r>
      <w:r w:rsidR="00F851D1" w:rsidRPr="008625DC">
        <w:t>4</w:t>
      </w:r>
      <w:r w:rsidRPr="008625DC">
        <w:t xml:space="preserve"> and 1</w:t>
      </w:r>
      <w:r w:rsidR="00F851D1" w:rsidRPr="008625DC">
        <w:t>5</w:t>
      </w:r>
      <w:r w:rsidRPr="008625DC">
        <w:t>).</w:t>
      </w:r>
    </w:p>
    <w:p w14:paraId="7A0432ED" w14:textId="10ADE1FE" w:rsidR="002A0035" w:rsidRPr="008625DC" w:rsidRDefault="002A0035" w:rsidP="002A0035">
      <w:r w:rsidRPr="008625DC">
        <w:t xml:space="preserve">For further </w:t>
      </w:r>
      <w:r w:rsidR="00646353" w:rsidRPr="008625DC">
        <w:t>detail</w:t>
      </w:r>
      <w:r w:rsidRPr="008625DC">
        <w:t xml:space="preserve"> on competitive neutrality see </w:t>
      </w:r>
      <w:hyperlink w:anchor="Ch11" w:history="1">
        <w:r w:rsidRPr="008625DC">
          <w:rPr>
            <w:rStyle w:val="Hyperlink"/>
          </w:rPr>
          <w:t xml:space="preserve">Chapter </w:t>
        </w:r>
        <w:r w:rsidR="00BC47E4" w:rsidRPr="008625DC">
          <w:rPr>
            <w:rStyle w:val="Hyperlink"/>
          </w:rPr>
          <w:t>11</w:t>
        </w:r>
      </w:hyperlink>
      <w:r w:rsidRPr="008625DC">
        <w:t xml:space="preserve">. </w:t>
      </w:r>
    </w:p>
    <w:p w14:paraId="0E22B413" w14:textId="2C2E0479" w:rsidR="002A0035" w:rsidRPr="008625DC" w:rsidRDefault="002A0035" w:rsidP="000B5916">
      <w:pPr>
        <w:pStyle w:val="Heading2"/>
        <w:ind w:left="851" w:hanging="851"/>
        <w:rPr>
          <w:lang w:val="en-AU"/>
        </w:rPr>
      </w:pPr>
      <w:bookmarkStart w:id="12497" w:name="_Toc397002222"/>
      <w:bookmarkStart w:id="12498" w:name="_Toc397003141"/>
      <w:bookmarkStart w:id="12499" w:name="_Toc397008699"/>
      <w:bookmarkStart w:id="12500" w:name="_Toc397008917"/>
      <w:bookmarkStart w:id="12501" w:name="_Toc397011589"/>
      <w:bookmarkStart w:id="12502" w:name="_Toc397012651"/>
      <w:bookmarkStart w:id="12503" w:name="_Toc397014993"/>
      <w:bookmarkStart w:id="12504" w:name="_Toc397015480"/>
      <w:bookmarkStart w:id="12505" w:name="_Toc397070551"/>
      <w:bookmarkStart w:id="12506" w:name="_Toc397413290"/>
      <w:bookmarkStart w:id="12507" w:name="_Toc397413437"/>
      <w:bookmarkStart w:id="12508" w:name="_Toc397428021"/>
      <w:bookmarkStart w:id="12509" w:name="_Toc397439409"/>
      <w:bookmarkStart w:id="12510" w:name="_Toc397439579"/>
      <w:bookmarkStart w:id="12511" w:name="_Toc397439835"/>
      <w:bookmarkStart w:id="12512" w:name="_Toc397440137"/>
      <w:bookmarkStart w:id="12513" w:name="_Toc397441766"/>
      <w:bookmarkStart w:id="12514" w:name="_Toc397517468"/>
      <w:bookmarkStart w:id="12515" w:name="_Toc397522733"/>
      <w:bookmarkStart w:id="12516" w:name="_Toc397526151"/>
      <w:bookmarkStart w:id="12517" w:name="_Toc397528466"/>
      <w:bookmarkStart w:id="12518" w:name="_Toc397528941"/>
      <w:bookmarkStart w:id="12519" w:name="_Toc397601938"/>
      <w:bookmarkStart w:id="12520" w:name="_Toc397602673"/>
      <w:bookmarkStart w:id="12521" w:name="_Toc397605802"/>
      <w:bookmarkStart w:id="12522" w:name="_Toc397614946"/>
      <w:bookmarkStart w:id="12523" w:name="_Toc397616389"/>
      <w:bookmarkStart w:id="12524" w:name="_Toc397616783"/>
      <w:bookmarkStart w:id="12525" w:name="_Toc397679193"/>
      <w:bookmarkStart w:id="12526" w:name="_Toc397688081"/>
      <w:bookmarkStart w:id="12527" w:name="_Toc397689297"/>
      <w:bookmarkStart w:id="12528" w:name="_Toc397694577"/>
      <w:bookmarkStart w:id="12529" w:name="_Toc397696418"/>
      <w:bookmarkStart w:id="12530" w:name="_Toc397697152"/>
      <w:bookmarkStart w:id="12531" w:name="_Toc397698439"/>
      <w:bookmarkStart w:id="12532" w:name="_Toc397699805"/>
      <w:bookmarkStart w:id="12533" w:name="_Toc397700259"/>
      <w:bookmarkStart w:id="12534" w:name="_Toc397936651"/>
      <w:bookmarkStart w:id="12535" w:name="_Toc397936771"/>
      <w:bookmarkStart w:id="12536" w:name="_Toc397945927"/>
      <w:bookmarkStart w:id="12537" w:name="_Toc397946953"/>
      <w:bookmarkStart w:id="12538" w:name="_Toc397948072"/>
      <w:bookmarkStart w:id="12539" w:name="_Toc397958478"/>
      <w:bookmarkStart w:id="12540" w:name="_Toc397958720"/>
      <w:bookmarkStart w:id="12541" w:name="_Toc397959135"/>
      <w:bookmarkStart w:id="12542" w:name="_Toc397962988"/>
      <w:bookmarkStart w:id="12543" w:name="_Toc397963354"/>
      <w:bookmarkStart w:id="12544" w:name="_Toc397965431"/>
      <w:bookmarkStart w:id="12545" w:name="_Toc398197369"/>
      <w:bookmarkStart w:id="12546" w:name="_Toc398199872"/>
      <w:bookmarkStart w:id="12547" w:name="_Toc398201586"/>
      <w:bookmarkStart w:id="12548" w:name="_Toc398207191"/>
      <w:bookmarkStart w:id="12549" w:name="_Toc398210464"/>
      <w:bookmarkStart w:id="12550" w:name="_Toc398210978"/>
      <w:bookmarkStart w:id="12551" w:name="_Toc398219786"/>
      <w:bookmarkStart w:id="12552" w:name="_Toc398220161"/>
      <w:bookmarkStart w:id="12553" w:name="_Toc398220548"/>
      <w:bookmarkStart w:id="12554" w:name="_Toc398221626"/>
      <w:bookmarkStart w:id="12555" w:name="_Toc398222312"/>
      <w:bookmarkStart w:id="12556" w:name="_Toc398222624"/>
      <w:bookmarkStart w:id="12557" w:name="_Toc398223041"/>
      <w:bookmarkStart w:id="12558" w:name="_Toc398223420"/>
      <w:bookmarkStart w:id="12559" w:name="_Toc398223547"/>
      <w:bookmarkStart w:id="12560" w:name="_Toc398224355"/>
      <w:bookmarkStart w:id="12561" w:name="_Toc398225692"/>
      <w:bookmarkStart w:id="12562" w:name="_Toc398225817"/>
      <w:bookmarkStart w:id="12563" w:name="_Toc398281304"/>
      <w:bookmarkStart w:id="12564" w:name="_Toc398282163"/>
      <w:bookmarkStart w:id="12565" w:name="_Toc398284833"/>
      <w:bookmarkStart w:id="12566" w:name="_Toc398287302"/>
      <w:bookmarkStart w:id="12567" w:name="_Toc398289185"/>
      <w:bookmarkStart w:id="12568" w:name="_Toc398297182"/>
      <w:bookmarkStart w:id="12569" w:name="_Toc398298656"/>
      <w:bookmarkStart w:id="12570" w:name="_Toc398300357"/>
      <w:bookmarkStart w:id="12571" w:name="_Toc398301254"/>
      <w:bookmarkStart w:id="12572" w:name="_Toc398302439"/>
      <w:bookmarkStart w:id="12573" w:name="_Toc398302602"/>
      <w:bookmarkStart w:id="12574" w:name="_Toc398549115"/>
      <w:bookmarkStart w:id="12575" w:name="_Toc398549365"/>
      <w:bookmarkStart w:id="12576" w:name="_Toc398555784"/>
      <w:bookmarkStart w:id="12577" w:name="_Toc398558988"/>
      <w:bookmarkStart w:id="12578" w:name="_Toc398563474"/>
      <w:bookmarkStart w:id="12579" w:name="_Toc398563607"/>
      <w:bookmarkStart w:id="12580" w:name="_Toc398564006"/>
      <w:bookmarkStart w:id="12581" w:name="_Toc398827345"/>
      <w:bookmarkStart w:id="12582" w:name="_Toc398827539"/>
      <w:r w:rsidRPr="008625DC">
        <w:rPr>
          <w:lang w:val="en-AU"/>
        </w:rPr>
        <w:t>Regulatory restrictions</w:t>
      </w:r>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p>
    <w:p w14:paraId="4F7BFC64" w14:textId="7DB4C7F5" w:rsidR="00A47692" w:rsidRPr="008625DC" w:rsidRDefault="00A47692" w:rsidP="002A0035">
      <w:r w:rsidRPr="008625DC">
        <w:t>The ability of s</w:t>
      </w:r>
      <w:r w:rsidR="002A0035" w:rsidRPr="008625DC">
        <w:t xml:space="preserve">mall businesses to compete will also be enhanced by a number of </w:t>
      </w:r>
      <w:r w:rsidRPr="008625DC">
        <w:t>the Panel</w:t>
      </w:r>
      <w:r w:rsidR="00C74E19" w:rsidRPr="008625DC">
        <w:t>’</w:t>
      </w:r>
      <w:r w:rsidRPr="008625DC">
        <w:t xml:space="preserve">s </w:t>
      </w:r>
      <w:r w:rsidR="00050A9C" w:rsidRPr="008625DC">
        <w:t xml:space="preserve">draft </w:t>
      </w:r>
      <w:r w:rsidR="002A0035" w:rsidRPr="008625DC">
        <w:t>recommendations to remove regulatory restrictions.</w:t>
      </w:r>
    </w:p>
    <w:p w14:paraId="6462E7AF" w14:textId="0C407458" w:rsidR="002A0035" w:rsidRPr="008625DC" w:rsidRDefault="002A0035" w:rsidP="002A0035">
      <w:r w:rsidRPr="008625DC">
        <w:t xml:space="preserve">In particular, the Panel notes that </w:t>
      </w:r>
      <w:r w:rsidR="00050A9C" w:rsidRPr="008625DC">
        <w:t xml:space="preserve">draft </w:t>
      </w:r>
      <w:r w:rsidRPr="008625DC">
        <w:t>recommendations concerning planning and zoning and a review of regulatory restrictions (including standards) will assist sma</w:t>
      </w:r>
      <w:r w:rsidR="008625DC" w:rsidRPr="008625DC">
        <w:t>ll business if implemented (see </w:t>
      </w:r>
      <w:r w:rsidRPr="008625DC">
        <w:t xml:space="preserve">Draft Recommendations </w:t>
      </w:r>
      <w:r w:rsidR="00AE24BF" w:rsidRPr="008625DC">
        <w:t>10,</w:t>
      </w:r>
      <w:r w:rsidRPr="008625DC">
        <w:t xml:space="preserve"> </w:t>
      </w:r>
      <w:r w:rsidR="00AE24BF" w:rsidRPr="008625DC">
        <w:t>11</w:t>
      </w:r>
      <w:r w:rsidRPr="008625DC">
        <w:t xml:space="preserve"> and </w:t>
      </w:r>
      <w:r w:rsidR="00AE24BF" w:rsidRPr="008625DC">
        <w:t>12</w:t>
      </w:r>
      <w:r w:rsidRPr="008625DC">
        <w:t>).</w:t>
      </w:r>
    </w:p>
    <w:p w14:paraId="415F19EA" w14:textId="70B78DEB" w:rsidR="002A0035" w:rsidRPr="008625DC" w:rsidRDefault="002A0035" w:rsidP="002A0035">
      <w:r w:rsidRPr="008625DC">
        <w:t xml:space="preserve">For further </w:t>
      </w:r>
      <w:r w:rsidR="00646353" w:rsidRPr="008625DC">
        <w:t>detail</w:t>
      </w:r>
      <w:r w:rsidRPr="008625DC">
        <w:t xml:space="preserve"> on regulatory restrictions</w:t>
      </w:r>
      <w:r w:rsidR="002664C8" w:rsidRPr="008625DC">
        <w:t>,</w:t>
      </w:r>
      <w:r w:rsidRPr="008625DC">
        <w:t xml:space="preserve"> see </w:t>
      </w:r>
      <w:hyperlink w:anchor="Ch8" w:history="1">
        <w:r w:rsidRPr="008625DC">
          <w:rPr>
            <w:rStyle w:val="Hyperlink"/>
          </w:rPr>
          <w:t xml:space="preserve">Chapter </w:t>
        </w:r>
        <w:r w:rsidR="00BC47E4" w:rsidRPr="008625DC">
          <w:rPr>
            <w:rStyle w:val="Hyperlink"/>
          </w:rPr>
          <w:t>8</w:t>
        </w:r>
      </w:hyperlink>
      <w:r w:rsidRPr="008625DC">
        <w:t xml:space="preserve">. </w:t>
      </w:r>
    </w:p>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p w14:paraId="36230B91" w14:textId="77777777" w:rsidR="00D226CF" w:rsidRPr="008625DC" w:rsidRDefault="00D226CF" w:rsidP="00D226CF">
      <w:pPr>
        <w:spacing w:before="0" w:after="0"/>
      </w:pPr>
      <w:r w:rsidRPr="008625DC">
        <w:br w:type="page"/>
      </w:r>
    </w:p>
    <w:p w14:paraId="797F7C82" w14:textId="77777777" w:rsidR="00D226CF" w:rsidRPr="008625DC" w:rsidRDefault="00D226CF" w:rsidP="00864E0A">
      <w:pPr>
        <w:pStyle w:val="Heading1"/>
        <w:ind w:left="851" w:hanging="851"/>
      </w:pPr>
      <w:bookmarkStart w:id="12583" w:name="_Toc396397399"/>
      <w:bookmarkStart w:id="12584" w:name="_Toc396815135"/>
      <w:bookmarkStart w:id="12585" w:name="_Toc396821084"/>
      <w:bookmarkStart w:id="12586" w:name="_Toc396821692"/>
      <w:bookmarkStart w:id="12587" w:name="_Toc396827542"/>
      <w:bookmarkStart w:id="12588" w:name="_Toc396828513"/>
      <w:bookmarkStart w:id="12589" w:name="_Toc396828623"/>
      <w:bookmarkStart w:id="12590" w:name="_Toc396838012"/>
      <w:bookmarkStart w:id="12591" w:name="_Toc396838410"/>
      <w:bookmarkStart w:id="12592" w:name="_Toc396904733"/>
      <w:bookmarkStart w:id="12593" w:name="_Toc396907567"/>
      <w:bookmarkStart w:id="12594" w:name="_Toc396912486"/>
      <w:bookmarkStart w:id="12595" w:name="_Toc396914466"/>
      <w:bookmarkStart w:id="12596" w:name="_Toc396915350"/>
      <w:bookmarkStart w:id="12597" w:name="_Toc396915744"/>
      <w:bookmarkStart w:id="12598" w:name="_Toc396921055"/>
      <w:bookmarkStart w:id="12599" w:name="_Toc396924395"/>
      <w:bookmarkStart w:id="12600" w:name="_Toc396925089"/>
      <w:bookmarkStart w:id="12601" w:name="_Toc396992209"/>
      <w:bookmarkStart w:id="12602" w:name="_Toc396992788"/>
      <w:bookmarkStart w:id="12603" w:name="_Toc396994452"/>
      <w:bookmarkStart w:id="12604" w:name="_Toc397002223"/>
      <w:bookmarkStart w:id="12605" w:name="_Toc397003142"/>
      <w:bookmarkStart w:id="12606" w:name="_Toc397008700"/>
      <w:bookmarkStart w:id="12607" w:name="_Toc397008918"/>
      <w:bookmarkStart w:id="12608" w:name="_Toc397011590"/>
      <w:bookmarkStart w:id="12609" w:name="_Toc397012652"/>
      <w:bookmarkStart w:id="12610" w:name="_Toc397014994"/>
      <w:bookmarkStart w:id="12611" w:name="_Toc397015481"/>
      <w:bookmarkStart w:id="12612" w:name="_Toc397070552"/>
      <w:bookmarkStart w:id="12613" w:name="_Toc397413291"/>
      <w:bookmarkStart w:id="12614" w:name="_Toc397413438"/>
      <w:bookmarkStart w:id="12615" w:name="_Toc397428022"/>
      <w:bookmarkStart w:id="12616" w:name="_Toc397439410"/>
      <w:bookmarkStart w:id="12617" w:name="_Toc397439580"/>
      <w:bookmarkStart w:id="12618" w:name="_Toc397439836"/>
      <w:bookmarkStart w:id="12619" w:name="_Toc397440138"/>
      <w:bookmarkStart w:id="12620" w:name="_Toc397441767"/>
      <w:bookmarkStart w:id="12621" w:name="_Toc397517469"/>
      <w:bookmarkStart w:id="12622" w:name="_Toc397522734"/>
      <w:bookmarkStart w:id="12623" w:name="_Toc397526152"/>
      <w:bookmarkStart w:id="12624" w:name="_Toc397528467"/>
      <w:bookmarkStart w:id="12625" w:name="_Toc397528942"/>
      <w:bookmarkStart w:id="12626" w:name="_Toc397601939"/>
      <w:bookmarkStart w:id="12627" w:name="_Toc397602674"/>
      <w:bookmarkStart w:id="12628" w:name="_Toc397605803"/>
      <w:bookmarkStart w:id="12629" w:name="_Toc397614504"/>
      <w:bookmarkStart w:id="12630" w:name="_Toc397614947"/>
      <w:bookmarkStart w:id="12631" w:name="_Toc397616390"/>
      <w:bookmarkStart w:id="12632" w:name="_Toc397616784"/>
      <w:bookmarkStart w:id="12633" w:name="_Toc397679194"/>
      <w:bookmarkStart w:id="12634" w:name="_Toc397688082"/>
      <w:bookmarkStart w:id="12635" w:name="_Toc397689298"/>
      <w:bookmarkStart w:id="12636" w:name="_Toc397694578"/>
      <w:bookmarkStart w:id="12637" w:name="_Toc397696419"/>
      <w:bookmarkStart w:id="12638" w:name="_Toc397697153"/>
      <w:bookmarkStart w:id="12639" w:name="_Toc397698440"/>
      <w:bookmarkStart w:id="12640" w:name="_Toc397699806"/>
      <w:bookmarkStart w:id="12641" w:name="_Toc397700260"/>
      <w:bookmarkStart w:id="12642" w:name="_Toc397936652"/>
      <w:bookmarkStart w:id="12643" w:name="_Toc397936772"/>
      <w:bookmarkStart w:id="12644" w:name="_Toc397945928"/>
      <w:bookmarkStart w:id="12645" w:name="_Toc397946954"/>
      <w:bookmarkStart w:id="12646" w:name="_Toc397948073"/>
      <w:bookmarkStart w:id="12647" w:name="_Toc397958479"/>
      <w:bookmarkStart w:id="12648" w:name="_Toc397958721"/>
      <w:bookmarkStart w:id="12649" w:name="_Toc397959136"/>
      <w:bookmarkStart w:id="12650" w:name="_Toc397962989"/>
      <w:bookmarkStart w:id="12651" w:name="_Toc397963355"/>
      <w:bookmarkStart w:id="12652" w:name="_Toc397965432"/>
      <w:bookmarkStart w:id="12653" w:name="_Toc398197370"/>
      <w:bookmarkStart w:id="12654" w:name="_Toc398199873"/>
      <w:bookmarkStart w:id="12655" w:name="_Toc398201587"/>
      <w:bookmarkStart w:id="12656" w:name="_Toc398207192"/>
      <w:bookmarkStart w:id="12657" w:name="_Toc398210465"/>
      <w:bookmarkStart w:id="12658" w:name="_Toc398210979"/>
      <w:bookmarkStart w:id="12659" w:name="_Toc398219787"/>
      <w:bookmarkStart w:id="12660" w:name="_Toc398220162"/>
      <w:bookmarkStart w:id="12661" w:name="_Toc398220549"/>
      <w:bookmarkStart w:id="12662" w:name="_Toc398221627"/>
      <w:bookmarkStart w:id="12663" w:name="_Toc398222313"/>
      <w:bookmarkStart w:id="12664" w:name="_Toc398222625"/>
      <w:bookmarkStart w:id="12665" w:name="_Toc398223042"/>
      <w:bookmarkStart w:id="12666" w:name="_Toc398223421"/>
      <w:bookmarkStart w:id="12667" w:name="_Toc398223548"/>
      <w:bookmarkStart w:id="12668" w:name="_Toc398224356"/>
      <w:bookmarkStart w:id="12669" w:name="_Toc398225693"/>
      <w:bookmarkStart w:id="12670" w:name="_Toc398225818"/>
      <w:bookmarkStart w:id="12671" w:name="_Toc398281305"/>
      <w:bookmarkStart w:id="12672" w:name="_Toc398282164"/>
      <w:bookmarkStart w:id="12673" w:name="_Toc398284834"/>
      <w:bookmarkStart w:id="12674" w:name="_Toc398287303"/>
      <w:bookmarkStart w:id="12675" w:name="_Toc398289186"/>
      <w:bookmarkStart w:id="12676" w:name="_Toc398297183"/>
      <w:bookmarkStart w:id="12677" w:name="_Toc398298657"/>
      <w:bookmarkStart w:id="12678" w:name="_Toc398300358"/>
      <w:bookmarkStart w:id="12679" w:name="_Toc398301255"/>
      <w:bookmarkStart w:id="12680" w:name="_Toc398302440"/>
      <w:bookmarkStart w:id="12681" w:name="_Toc398302603"/>
      <w:bookmarkStart w:id="12682" w:name="_Toc398549117"/>
      <w:bookmarkStart w:id="12683" w:name="_Toc398549367"/>
      <w:bookmarkStart w:id="12684" w:name="_Toc398555786"/>
      <w:bookmarkStart w:id="12685" w:name="_Toc398558990"/>
      <w:bookmarkStart w:id="12686" w:name="_Toc398563476"/>
      <w:bookmarkStart w:id="12687" w:name="_Toc398563609"/>
      <w:bookmarkStart w:id="12688" w:name="_Toc398564008"/>
      <w:bookmarkStart w:id="12689" w:name="_Toc398827346"/>
      <w:bookmarkStart w:id="12690" w:name="_Toc398827540"/>
      <w:bookmarkStart w:id="12691" w:name="Ch6"/>
      <w:r w:rsidRPr="008625DC">
        <w:lastRenderedPageBreak/>
        <w:t>Retail markets</w:t>
      </w:r>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p>
    <w:p w14:paraId="2AD88854" w14:textId="77777777" w:rsidR="00D226CF" w:rsidRPr="008625DC" w:rsidRDefault="00D226CF" w:rsidP="00E51E50">
      <w:pPr>
        <w:pStyle w:val="Heading2NotNumbered"/>
      </w:pPr>
      <w:bookmarkStart w:id="12692" w:name="_Toc397413292"/>
      <w:bookmarkStart w:id="12693" w:name="_Toc397413439"/>
      <w:bookmarkEnd w:id="12691"/>
      <w:r w:rsidRPr="008625DC">
        <w:t>Introduction</w:t>
      </w:r>
      <w:bookmarkEnd w:id="12692"/>
      <w:bookmarkEnd w:id="12693"/>
    </w:p>
    <w:p w14:paraId="4FF2D728" w14:textId="2E180F91" w:rsidR="00D226CF" w:rsidRPr="008625DC" w:rsidRDefault="00D226CF" w:rsidP="00D226CF">
      <w:r w:rsidRPr="008625DC">
        <w:t xml:space="preserve">Competition in retail markets has been an important focus for submissions and the </w:t>
      </w:r>
      <w:r w:rsidR="0021584D" w:rsidRPr="008625DC">
        <w:t>R</w:t>
      </w:r>
      <w:r w:rsidRPr="008625DC">
        <w:t xml:space="preserve">eview. This includes issues relating to how competition is operating in grocery and fuel retailing, regulations on planning, zoning and trading hours, and specific regulations like those </w:t>
      </w:r>
      <w:r w:rsidR="00A47692" w:rsidRPr="008625DC">
        <w:t>affecting</w:t>
      </w:r>
      <w:r w:rsidRPr="008625DC">
        <w:t xml:space="preserve"> pharmacy and liquor retailing.</w:t>
      </w:r>
    </w:p>
    <w:p w14:paraId="3234EECD" w14:textId="1A525618" w:rsidR="00D226CF" w:rsidRPr="008625DC" w:rsidRDefault="00D226CF" w:rsidP="00D226CF">
      <w:r w:rsidRPr="008625DC">
        <w:t>Some of these issues are dealt with elsewhere</w:t>
      </w:r>
      <w:r w:rsidR="00A47692" w:rsidRPr="008625DC">
        <w:t xml:space="preserve"> in this Draft Report</w:t>
      </w:r>
      <w:r w:rsidRPr="008625DC">
        <w:t xml:space="preserve">; there is a separate recommendation on planning and zoning (Draft Recommendation </w:t>
      </w:r>
      <w:r w:rsidR="00375079" w:rsidRPr="008625DC">
        <w:t>10</w:t>
      </w:r>
      <w:r w:rsidRPr="008625DC">
        <w:t xml:space="preserve">), while </w:t>
      </w:r>
      <w:r w:rsidR="00BE0519" w:rsidRPr="008625DC">
        <w:t>retail liquor licensing should be prioritised as part of a new review of regu</w:t>
      </w:r>
      <w:r w:rsidR="00BB2D5C" w:rsidRPr="008625DC">
        <w:t>latory restrictions proposed at</w:t>
      </w:r>
      <w:r w:rsidR="00BE0519" w:rsidRPr="008625DC">
        <w:t> Draft Recommendation 11</w:t>
      </w:r>
      <w:r w:rsidRPr="008625DC">
        <w:t xml:space="preserve">. No specific recommendations have been made in relation to fuel retailing, although a number of recommendations are relevant to submissions made in that context. </w:t>
      </w:r>
    </w:p>
    <w:p w14:paraId="012E8A23" w14:textId="77777777" w:rsidR="00D226CF" w:rsidRPr="008625DC" w:rsidRDefault="00D226CF" w:rsidP="000B5916">
      <w:pPr>
        <w:pStyle w:val="Heading2"/>
        <w:ind w:left="851" w:hanging="851"/>
        <w:rPr>
          <w:lang w:val="en-AU"/>
        </w:rPr>
      </w:pPr>
      <w:bookmarkStart w:id="12694" w:name="_Toc396815136"/>
      <w:bookmarkStart w:id="12695" w:name="_Toc396821085"/>
      <w:bookmarkStart w:id="12696" w:name="_Toc396821693"/>
      <w:bookmarkStart w:id="12697" w:name="_Toc396827543"/>
      <w:bookmarkStart w:id="12698" w:name="_Toc396828514"/>
      <w:bookmarkStart w:id="12699" w:name="_Toc396828624"/>
      <w:bookmarkStart w:id="12700" w:name="_Toc396838013"/>
      <w:bookmarkStart w:id="12701" w:name="_Toc396838411"/>
      <w:bookmarkStart w:id="12702" w:name="_Toc396904734"/>
      <w:bookmarkStart w:id="12703" w:name="_Toc396907568"/>
      <w:bookmarkStart w:id="12704" w:name="_Toc396912487"/>
      <w:bookmarkStart w:id="12705" w:name="_Toc396914467"/>
      <w:bookmarkStart w:id="12706" w:name="_Toc396915351"/>
      <w:bookmarkStart w:id="12707" w:name="_Toc396915745"/>
      <w:bookmarkStart w:id="12708" w:name="_Toc396921056"/>
      <w:bookmarkStart w:id="12709" w:name="_Toc396924396"/>
      <w:bookmarkStart w:id="12710" w:name="_Toc396925090"/>
      <w:bookmarkStart w:id="12711" w:name="_Toc396992210"/>
      <w:bookmarkStart w:id="12712" w:name="_Toc396992789"/>
      <w:bookmarkStart w:id="12713" w:name="_Toc396994453"/>
      <w:bookmarkStart w:id="12714" w:name="_Toc397002224"/>
      <w:bookmarkStart w:id="12715" w:name="_Toc397003143"/>
      <w:bookmarkStart w:id="12716" w:name="_Toc397008701"/>
      <w:bookmarkStart w:id="12717" w:name="_Toc397008919"/>
      <w:bookmarkStart w:id="12718" w:name="_Toc397011591"/>
      <w:bookmarkStart w:id="12719" w:name="_Toc397012653"/>
      <w:bookmarkStart w:id="12720" w:name="_Toc397014995"/>
      <w:bookmarkStart w:id="12721" w:name="_Toc397015482"/>
      <w:bookmarkStart w:id="12722" w:name="_Toc397070553"/>
      <w:bookmarkStart w:id="12723" w:name="_Toc397413293"/>
      <w:bookmarkStart w:id="12724" w:name="_Toc397413440"/>
      <w:bookmarkStart w:id="12725" w:name="_Toc397428023"/>
      <w:bookmarkStart w:id="12726" w:name="_Toc397439411"/>
      <w:bookmarkStart w:id="12727" w:name="_Toc397439581"/>
      <w:bookmarkStart w:id="12728" w:name="_Toc397439837"/>
      <w:bookmarkStart w:id="12729" w:name="_Toc397440139"/>
      <w:bookmarkStart w:id="12730" w:name="_Toc397441768"/>
      <w:bookmarkStart w:id="12731" w:name="_Toc397517470"/>
      <w:bookmarkStart w:id="12732" w:name="_Toc397522735"/>
      <w:bookmarkStart w:id="12733" w:name="_Toc397526153"/>
      <w:bookmarkStart w:id="12734" w:name="_Toc397528468"/>
      <w:bookmarkStart w:id="12735" w:name="_Toc397528943"/>
      <w:bookmarkStart w:id="12736" w:name="_Toc397601940"/>
      <w:bookmarkStart w:id="12737" w:name="_Toc397602675"/>
      <w:bookmarkStart w:id="12738" w:name="_Toc397605804"/>
      <w:bookmarkStart w:id="12739" w:name="_Toc397614505"/>
      <w:bookmarkStart w:id="12740" w:name="_Toc397614948"/>
      <w:bookmarkStart w:id="12741" w:name="_Toc397616391"/>
      <w:bookmarkStart w:id="12742" w:name="_Toc397616785"/>
      <w:bookmarkStart w:id="12743" w:name="_Toc397679195"/>
      <w:bookmarkStart w:id="12744" w:name="_Toc397688083"/>
      <w:bookmarkStart w:id="12745" w:name="_Toc397689299"/>
      <w:bookmarkStart w:id="12746" w:name="_Toc397694579"/>
      <w:bookmarkStart w:id="12747" w:name="_Toc397696420"/>
      <w:bookmarkStart w:id="12748" w:name="_Toc397697154"/>
      <w:bookmarkStart w:id="12749" w:name="_Toc397698441"/>
      <w:bookmarkStart w:id="12750" w:name="_Toc397699807"/>
      <w:bookmarkStart w:id="12751" w:name="_Toc397700261"/>
      <w:bookmarkStart w:id="12752" w:name="_Toc397936653"/>
      <w:bookmarkStart w:id="12753" w:name="_Toc397936773"/>
      <w:bookmarkStart w:id="12754" w:name="_Toc397945929"/>
      <w:bookmarkStart w:id="12755" w:name="_Toc397946955"/>
      <w:bookmarkStart w:id="12756" w:name="_Toc397948074"/>
      <w:bookmarkStart w:id="12757" w:name="_Toc397958480"/>
      <w:bookmarkStart w:id="12758" w:name="_Toc397958722"/>
      <w:bookmarkStart w:id="12759" w:name="_Toc397959137"/>
      <w:bookmarkStart w:id="12760" w:name="_Toc397962990"/>
      <w:bookmarkStart w:id="12761" w:name="_Toc397963356"/>
      <w:bookmarkStart w:id="12762" w:name="_Toc397965433"/>
      <w:bookmarkStart w:id="12763" w:name="_Toc398197371"/>
      <w:bookmarkStart w:id="12764" w:name="_Toc398199874"/>
      <w:bookmarkStart w:id="12765" w:name="_Toc398201588"/>
      <w:bookmarkStart w:id="12766" w:name="_Toc398207193"/>
      <w:bookmarkStart w:id="12767" w:name="_Toc398210466"/>
      <w:bookmarkStart w:id="12768" w:name="_Toc398210980"/>
      <w:bookmarkStart w:id="12769" w:name="_Toc398219788"/>
      <w:bookmarkStart w:id="12770" w:name="_Toc398220163"/>
      <w:bookmarkStart w:id="12771" w:name="_Toc398220550"/>
      <w:bookmarkStart w:id="12772" w:name="_Toc398221628"/>
      <w:bookmarkStart w:id="12773" w:name="_Toc398222314"/>
      <w:bookmarkStart w:id="12774" w:name="_Toc398222626"/>
      <w:bookmarkStart w:id="12775" w:name="_Toc398223043"/>
      <w:bookmarkStart w:id="12776" w:name="_Toc398223422"/>
      <w:bookmarkStart w:id="12777" w:name="_Toc398223549"/>
      <w:bookmarkStart w:id="12778" w:name="_Toc398224357"/>
      <w:bookmarkStart w:id="12779" w:name="_Toc398225694"/>
      <w:bookmarkStart w:id="12780" w:name="_Toc398225819"/>
      <w:bookmarkStart w:id="12781" w:name="_Toc398281306"/>
      <w:bookmarkStart w:id="12782" w:name="_Toc398282165"/>
      <w:bookmarkStart w:id="12783" w:name="_Toc398284835"/>
      <w:bookmarkStart w:id="12784" w:name="_Toc398287304"/>
      <w:bookmarkStart w:id="12785" w:name="_Toc398289187"/>
      <w:bookmarkStart w:id="12786" w:name="_Toc398297184"/>
      <w:bookmarkStart w:id="12787" w:name="_Toc398298658"/>
      <w:bookmarkStart w:id="12788" w:name="_Toc398300359"/>
      <w:bookmarkStart w:id="12789" w:name="_Toc398301256"/>
      <w:bookmarkStart w:id="12790" w:name="_Toc398302441"/>
      <w:bookmarkStart w:id="12791" w:name="_Toc398302604"/>
      <w:bookmarkStart w:id="12792" w:name="_Toc398549118"/>
      <w:bookmarkStart w:id="12793" w:name="_Toc398549368"/>
      <w:bookmarkStart w:id="12794" w:name="_Toc398555787"/>
      <w:bookmarkStart w:id="12795" w:name="_Toc398558991"/>
      <w:bookmarkStart w:id="12796" w:name="_Toc398563477"/>
      <w:bookmarkStart w:id="12797" w:name="_Toc398563610"/>
      <w:bookmarkStart w:id="12798" w:name="_Toc398564009"/>
      <w:bookmarkStart w:id="12799" w:name="_Toc398827347"/>
      <w:bookmarkStart w:id="12800" w:name="_Toc398827541"/>
      <w:bookmarkStart w:id="12801" w:name="_Toc396397400"/>
      <w:r w:rsidRPr="008625DC">
        <w:rPr>
          <w:lang w:val="en-AU"/>
        </w:rPr>
        <w:t>Retail trading hours</w:t>
      </w:r>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r w:rsidRPr="008625DC">
        <w:rPr>
          <w:lang w:val="en-AU"/>
        </w:rPr>
        <w:t xml:space="preserve"> </w:t>
      </w:r>
    </w:p>
    <w:p w14:paraId="28EC626D" w14:textId="3CAD8B2C" w:rsidR="00A47692" w:rsidRPr="008625DC" w:rsidRDefault="00A47692" w:rsidP="00A47692">
      <w:r w:rsidRPr="008625DC">
        <w:t xml:space="preserve">Trading hours have been progressively deregulated by state and territory governments over recent years. This has widened choices for consumers. Yet consumers have continued to demand greater diversity in how and when they shop, as </w:t>
      </w:r>
      <w:r w:rsidR="007572A7" w:rsidRPr="008625DC">
        <w:t xml:space="preserve">is </w:t>
      </w:r>
      <w:r w:rsidRPr="008625DC">
        <w:t>evident in the rapid take</w:t>
      </w:r>
      <w:r w:rsidR="00C74E19" w:rsidRPr="008625DC">
        <w:noBreakHyphen/>
      </w:r>
      <w:r w:rsidRPr="008625DC">
        <w:t>up of online shopping.</w:t>
      </w:r>
    </w:p>
    <w:p w14:paraId="0F88A912" w14:textId="2EE2EE5A" w:rsidR="00A47692" w:rsidRPr="008625DC" w:rsidRDefault="00A47692" w:rsidP="00A47692">
      <w:r w:rsidRPr="008625DC">
        <w:t xml:space="preserve">The growing use of the internet for retail purchases is undermining the original intent of restrictions on retail trading hours, while at the same time disadvantaging </w:t>
      </w:r>
      <w:r w:rsidR="00C74E19" w:rsidRPr="008625DC">
        <w:t>‘</w:t>
      </w:r>
      <w:r w:rsidRPr="008625DC">
        <w:t>bricks and mortar</w:t>
      </w:r>
      <w:r w:rsidR="00C74E19" w:rsidRPr="008625DC">
        <w:t>’</w:t>
      </w:r>
      <w:r w:rsidRPr="008625DC">
        <w:t xml:space="preserve"> retailers. This provides strong grounds for abandoning remaining limits on retail trading hours. </w:t>
      </w:r>
    </w:p>
    <w:p w14:paraId="08CAD73B" w14:textId="77777777" w:rsidR="00A47692" w:rsidRPr="008625DC" w:rsidRDefault="00A47692" w:rsidP="0085352D">
      <w:r w:rsidRPr="008625DC">
        <w:t>Deregulation of retail trading hours across the country has varied. The ACT, Northern Territory, Victoria, Tasmania and NSW have largely deregulated trading hours altogether, whereas Western Australia, South Australia and Queensland have retained restrictions.</w:t>
      </w:r>
    </w:p>
    <w:p w14:paraId="6F084211" w14:textId="20C2AE1A" w:rsidR="00202882" w:rsidRPr="008625DC" w:rsidRDefault="00A47692" w:rsidP="0085352D">
      <w:r w:rsidRPr="008625DC">
        <w:t>The Panel believes that full deregulation of retail trading hours is overdue, and that remaining restrictions should be removed as soon as possible. To the extent that jurisdictions choose to retain restrictions, these should be strictly limited to Christmas Day, Good Friday and the morning of ANZAC</w:t>
      </w:r>
      <w:r w:rsidR="0031183F" w:rsidRPr="008625DC">
        <w:t> </w:t>
      </w:r>
      <w:r w:rsidRPr="008625DC">
        <w:t>Day.</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202882" w:rsidRPr="008625DC" w14:paraId="0FB824F6" w14:textId="77777777" w:rsidTr="00F81722">
        <w:tc>
          <w:tcPr>
            <w:tcW w:w="5000" w:type="pct"/>
            <w:shd w:val="clear" w:color="auto" w:fill="E9F7F3" w:themeFill="accent4" w:themeFillTint="33"/>
          </w:tcPr>
          <w:p w14:paraId="2ADB7A8B" w14:textId="6067D2E8" w:rsidR="00202882" w:rsidRPr="008625DC" w:rsidRDefault="00202882" w:rsidP="00F81722">
            <w:pPr>
              <w:pStyle w:val="RecommendationHeading"/>
            </w:pPr>
            <w:bookmarkStart w:id="12802" w:name="DR51"/>
            <w:r w:rsidRPr="008625DC">
              <w:t xml:space="preserve">Draft Recommendation </w:t>
            </w:r>
            <w:r w:rsidRPr="008625DC">
              <w:fldChar w:fldCharType="begin"/>
            </w:r>
            <w:r w:rsidRPr="008625DC">
              <w:instrText xml:space="preserve"> AUTONUMLGL  \* Arabic \e </w:instrText>
            </w:r>
            <w:r w:rsidRPr="008625DC">
              <w:fldChar w:fldCharType="end"/>
            </w:r>
            <w:bookmarkEnd w:id="12802"/>
            <w:r w:rsidR="00380141" w:rsidRPr="008625DC">
              <w:t xml:space="preserve"> — </w:t>
            </w:r>
            <w:r w:rsidR="00652EFD" w:rsidRPr="008625DC">
              <w:t>Retail trading hours</w:t>
            </w:r>
          </w:p>
          <w:p w14:paraId="71456ECA" w14:textId="040E78F1" w:rsidR="00202882" w:rsidRPr="008625DC" w:rsidRDefault="00A47692" w:rsidP="0031183F">
            <w:pPr>
              <w:pStyle w:val="RecommendationText"/>
            </w:pPr>
            <w:r w:rsidRPr="008625DC">
              <w:t>The Panel notes the generally beneficial effect for consumers of deregulation of retail trading hours to date and the growth of online competition in some retail markets. The Panel recommends that remaining restrictions on retail trading hours be removed. To the extent that jurisdictions choose to retain restrictions, these should be strictly limited to Christmas Day, Good</w:t>
            </w:r>
            <w:r w:rsidR="0031183F" w:rsidRPr="008625DC">
              <w:t> </w:t>
            </w:r>
            <w:r w:rsidRPr="008625DC">
              <w:t>Friday and the morning of ANZAC Day.</w:t>
            </w:r>
          </w:p>
        </w:tc>
      </w:tr>
    </w:tbl>
    <w:p w14:paraId="178364A5" w14:textId="49BDF542" w:rsidR="00A33169" w:rsidRPr="008625DC" w:rsidRDefault="005E3B7C" w:rsidP="0031183F">
      <w:pPr>
        <w:spacing w:before="240"/>
      </w:pPr>
      <w:bookmarkStart w:id="12803" w:name="_Toc396150461"/>
      <w:bookmarkStart w:id="12804" w:name="_Toc396151359"/>
      <w:bookmarkStart w:id="12805" w:name="_Toc396151644"/>
      <w:bookmarkStart w:id="12806" w:name="_Toc396151760"/>
      <w:bookmarkStart w:id="12807" w:name="_Toc396202653"/>
      <w:bookmarkStart w:id="12808" w:name="_Toc396202772"/>
      <w:bookmarkStart w:id="12809" w:name="_Toc396206860"/>
      <w:bookmarkStart w:id="12810" w:name="_Toc396206979"/>
      <w:bookmarkStart w:id="12811" w:name="_Toc396209688"/>
      <w:bookmarkStart w:id="12812" w:name="_Toc396209807"/>
      <w:bookmarkStart w:id="12813" w:name="_Toc396212112"/>
      <w:bookmarkStart w:id="12814" w:name="_Toc396212231"/>
      <w:bookmarkStart w:id="12815" w:name="_Toc396213454"/>
      <w:bookmarkStart w:id="12816" w:name="_Toc396213573"/>
      <w:bookmarkStart w:id="12817" w:name="_Toc396214730"/>
      <w:bookmarkStart w:id="12818" w:name="_Toc396214849"/>
      <w:bookmarkStart w:id="12819" w:name="_Toc396226841"/>
      <w:bookmarkStart w:id="12820" w:name="_Toc396226960"/>
      <w:bookmarkStart w:id="12821" w:name="_Toc396229041"/>
      <w:bookmarkStart w:id="12822" w:name="_Toc396229166"/>
      <w:bookmarkStart w:id="12823" w:name="_Toc396230683"/>
      <w:bookmarkStart w:id="12824" w:name="_Toc396230808"/>
      <w:bookmarkStart w:id="12825" w:name="_Toc396230403"/>
      <w:bookmarkStart w:id="12826" w:name="_Toc396231824"/>
      <w:bookmarkStart w:id="12827" w:name="_Toc396231950"/>
      <w:bookmarkStart w:id="12828" w:name="_Toc396233464"/>
      <w:bookmarkStart w:id="12829" w:name="_Toc396233590"/>
      <w:bookmarkStart w:id="12830" w:name="_Toc396234284"/>
      <w:bookmarkStart w:id="12831" w:name="_Toc396234410"/>
      <w:bookmarkStart w:id="12832" w:name="_Toc396234692"/>
      <w:bookmarkStart w:id="12833" w:name="_Toc396235911"/>
      <w:bookmarkStart w:id="12834" w:name="_Toc396236257"/>
      <w:bookmarkStart w:id="12835" w:name="_Toc396236035"/>
      <w:bookmarkStart w:id="12836" w:name="_Toc396304688"/>
      <w:bookmarkStart w:id="12837" w:name="_Toc396586410"/>
      <w:bookmarkStart w:id="12838" w:name="_Toc396815137"/>
      <w:bookmarkStart w:id="12839" w:name="_Toc396821086"/>
      <w:bookmarkStart w:id="12840" w:name="_Toc396821694"/>
      <w:bookmarkStart w:id="12841" w:name="_Toc396827544"/>
      <w:bookmarkStart w:id="12842" w:name="_Toc396828515"/>
      <w:bookmarkStart w:id="12843" w:name="_Toc396828625"/>
      <w:bookmarkStart w:id="12844" w:name="_Toc396838014"/>
      <w:bookmarkStart w:id="12845" w:name="_Toc396838412"/>
      <w:bookmarkStart w:id="12846" w:name="_Toc396904735"/>
      <w:bookmarkStart w:id="12847" w:name="_Toc396907569"/>
      <w:bookmarkStart w:id="12848" w:name="_Toc396912488"/>
      <w:r w:rsidRPr="008625DC">
        <w:t xml:space="preserve">For further </w:t>
      </w:r>
      <w:r w:rsidR="00734B17" w:rsidRPr="008625DC">
        <w:t>detail</w:t>
      </w:r>
      <w:r w:rsidRPr="008625DC">
        <w:t xml:space="preserve"> on retail trading hours</w:t>
      </w:r>
      <w:r w:rsidR="002664C8" w:rsidRPr="008625DC">
        <w:t>,</w:t>
      </w:r>
      <w:r w:rsidRPr="008625DC">
        <w:t xml:space="preserve"> see </w:t>
      </w:r>
      <w:hyperlink w:anchor="s86" w:history="1">
        <w:r w:rsidR="005031FF" w:rsidRPr="008625DC">
          <w:rPr>
            <w:rStyle w:val="Hyperlink"/>
          </w:rPr>
          <w:t>Section 8.6</w:t>
        </w:r>
      </w:hyperlink>
      <w:r w:rsidR="005031FF" w:rsidRPr="008625DC">
        <w:t>.</w:t>
      </w:r>
    </w:p>
    <w:p w14:paraId="2B5B38FB" w14:textId="3A426FEC" w:rsidR="00D226CF" w:rsidRPr="008625DC" w:rsidRDefault="00D226CF" w:rsidP="000B5916">
      <w:pPr>
        <w:pStyle w:val="Heading2"/>
        <w:ind w:left="851" w:hanging="851"/>
        <w:rPr>
          <w:lang w:val="en-AU"/>
        </w:rPr>
      </w:pPr>
      <w:bookmarkStart w:id="12849" w:name="_Toc396914468"/>
      <w:bookmarkStart w:id="12850" w:name="_Toc396915352"/>
      <w:bookmarkStart w:id="12851" w:name="_Toc396915746"/>
      <w:bookmarkStart w:id="12852" w:name="_Toc396921057"/>
      <w:bookmarkStart w:id="12853" w:name="_Toc396924397"/>
      <w:bookmarkStart w:id="12854" w:name="_Toc396925091"/>
      <w:bookmarkStart w:id="12855" w:name="_Toc396992211"/>
      <w:bookmarkStart w:id="12856" w:name="_Toc396992790"/>
      <w:bookmarkStart w:id="12857" w:name="_Toc396994454"/>
      <w:bookmarkStart w:id="12858" w:name="_Toc397002225"/>
      <w:bookmarkStart w:id="12859" w:name="_Toc397003144"/>
      <w:bookmarkStart w:id="12860" w:name="_Toc397008702"/>
      <w:bookmarkStart w:id="12861" w:name="_Toc397008920"/>
      <w:bookmarkStart w:id="12862" w:name="_Toc397011592"/>
      <w:bookmarkStart w:id="12863" w:name="_Toc397012654"/>
      <w:bookmarkStart w:id="12864" w:name="_Toc397014996"/>
      <w:bookmarkStart w:id="12865" w:name="_Toc397015483"/>
      <w:bookmarkStart w:id="12866" w:name="_Toc397070554"/>
      <w:bookmarkStart w:id="12867" w:name="_Toc397413294"/>
      <w:bookmarkStart w:id="12868" w:name="_Toc397413441"/>
      <w:bookmarkStart w:id="12869" w:name="_Toc397428024"/>
      <w:bookmarkStart w:id="12870" w:name="_Toc397439412"/>
      <w:bookmarkStart w:id="12871" w:name="_Toc397439582"/>
      <w:bookmarkStart w:id="12872" w:name="_Toc397439838"/>
      <w:bookmarkStart w:id="12873" w:name="_Toc397440140"/>
      <w:bookmarkStart w:id="12874" w:name="_Toc397441769"/>
      <w:bookmarkStart w:id="12875" w:name="_Toc397517471"/>
      <w:bookmarkStart w:id="12876" w:name="_Toc397522736"/>
      <w:bookmarkStart w:id="12877" w:name="_Toc397526154"/>
      <w:bookmarkStart w:id="12878" w:name="_Toc397528469"/>
      <w:bookmarkStart w:id="12879" w:name="_Toc397528944"/>
      <w:bookmarkStart w:id="12880" w:name="_Toc397601941"/>
      <w:bookmarkStart w:id="12881" w:name="_Toc397602676"/>
      <w:bookmarkStart w:id="12882" w:name="_Toc397605805"/>
      <w:bookmarkStart w:id="12883" w:name="_Toc397614506"/>
      <w:bookmarkStart w:id="12884" w:name="_Toc397614949"/>
      <w:bookmarkStart w:id="12885" w:name="_Toc397616392"/>
      <w:bookmarkStart w:id="12886" w:name="_Toc397616786"/>
      <w:bookmarkStart w:id="12887" w:name="_Toc397679196"/>
      <w:bookmarkStart w:id="12888" w:name="_Toc397688084"/>
      <w:bookmarkStart w:id="12889" w:name="_Toc397689300"/>
      <w:bookmarkStart w:id="12890" w:name="_Toc397694580"/>
      <w:bookmarkStart w:id="12891" w:name="_Toc397696421"/>
      <w:bookmarkStart w:id="12892" w:name="_Toc397697155"/>
      <w:bookmarkStart w:id="12893" w:name="_Toc397698442"/>
      <w:bookmarkStart w:id="12894" w:name="_Toc397699808"/>
      <w:bookmarkStart w:id="12895" w:name="_Toc397700262"/>
      <w:bookmarkStart w:id="12896" w:name="_Toc397936654"/>
      <w:bookmarkStart w:id="12897" w:name="_Toc397936774"/>
      <w:bookmarkStart w:id="12898" w:name="_Toc397945930"/>
      <w:bookmarkStart w:id="12899" w:name="_Toc397946956"/>
      <w:bookmarkStart w:id="12900" w:name="_Toc397948075"/>
      <w:bookmarkStart w:id="12901" w:name="_Toc397958481"/>
      <w:bookmarkStart w:id="12902" w:name="_Toc397958723"/>
      <w:bookmarkStart w:id="12903" w:name="_Toc397959138"/>
      <w:bookmarkStart w:id="12904" w:name="_Toc397962991"/>
      <w:bookmarkStart w:id="12905" w:name="_Toc397963357"/>
      <w:bookmarkStart w:id="12906" w:name="_Toc397965434"/>
      <w:bookmarkStart w:id="12907" w:name="_Toc398197372"/>
      <w:bookmarkStart w:id="12908" w:name="_Toc398199875"/>
      <w:bookmarkStart w:id="12909" w:name="_Toc398201589"/>
      <w:bookmarkStart w:id="12910" w:name="_Toc398207194"/>
      <w:bookmarkStart w:id="12911" w:name="_Toc398210467"/>
      <w:bookmarkStart w:id="12912" w:name="_Toc398210981"/>
      <w:bookmarkStart w:id="12913" w:name="_Toc398219789"/>
      <w:bookmarkStart w:id="12914" w:name="_Toc398220164"/>
      <w:bookmarkStart w:id="12915" w:name="_Toc398220551"/>
      <w:bookmarkStart w:id="12916" w:name="_Toc398221629"/>
      <w:bookmarkStart w:id="12917" w:name="_Toc398222315"/>
      <w:bookmarkStart w:id="12918" w:name="_Toc398222627"/>
      <w:bookmarkStart w:id="12919" w:name="_Toc398223044"/>
      <w:bookmarkStart w:id="12920" w:name="_Toc398223423"/>
      <w:bookmarkStart w:id="12921" w:name="_Toc398223550"/>
      <w:bookmarkStart w:id="12922" w:name="_Toc398224358"/>
      <w:bookmarkStart w:id="12923" w:name="_Toc398225695"/>
      <w:bookmarkStart w:id="12924" w:name="_Toc398225820"/>
      <w:bookmarkStart w:id="12925" w:name="_Toc398281307"/>
      <w:bookmarkStart w:id="12926" w:name="_Toc398282166"/>
      <w:bookmarkStart w:id="12927" w:name="_Toc398284836"/>
      <w:bookmarkStart w:id="12928" w:name="_Toc398287305"/>
      <w:bookmarkStart w:id="12929" w:name="_Toc398289188"/>
      <w:bookmarkStart w:id="12930" w:name="_Toc398297185"/>
      <w:bookmarkStart w:id="12931" w:name="_Toc398298659"/>
      <w:bookmarkStart w:id="12932" w:name="_Toc398300360"/>
      <w:bookmarkStart w:id="12933" w:name="_Toc398301257"/>
      <w:bookmarkStart w:id="12934" w:name="_Toc398302442"/>
      <w:bookmarkStart w:id="12935" w:name="_Toc398302605"/>
      <w:bookmarkStart w:id="12936" w:name="_Toc398549119"/>
      <w:bookmarkStart w:id="12937" w:name="_Toc398549369"/>
      <w:bookmarkStart w:id="12938" w:name="_Toc398555788"/>
      <w:bookmarkStart w:id="12939" w:name="_Toc398558992"/>
      <w:bookmarkStart w:id="12940" w:name="_Toc398563478"/>
      <w:bookmarkStart w:id="12941" w:name="_Toc398563611"/>
      <w:bookmarkStart w:id="12942" w:name="_Toc398564010"/>
      <w:bookmarkStart w:id="12943" w:name="_Toc398827348"/>
      <w:bookmarkStart w:id="12944" w:name="_Toc398827542"/>
      <w:r w:rsidRPr="008625DC">
        <w:rPr>
          <w:lang w:val="en-AU"/>
        </w:rPr>
        <w:t>Supermarkets</w:t>
      </w:r>
      <w:bookmarkEnd w:id="12801"/>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p>
    <w:p w14:paraId="65A5B026" w14:textId="33E7E308" w:rsidR="00D226CF" w:rsidRPr="008625DC" w:rsidRDefault="00D226CF" w:rsidP="00A33169">
      <w:r w:rsidRPr="008625DC">
        <w:t xml:space="preserve">A large number of submissions raised issues </w:t>
      </w:r>
      <w:r w:rsidR="00D15937" w:rsidRPr="008625DC">
        <w:t>relating</w:t>
      </w:r>
      <w:r w:rsidRPr="008625DC">
        <w:t xml:space="preserve"> to supermarkets. </w:t>
      </w:r>
      <w:proofErr w:type="gramStart"/>
      <w:r w:rsidR="00A47692" w:rsidRPr="008625DC">
        <w:t>On further investigation, however, most turned out to be p</w:t>
      </w:r>
      <w:r w:rsidRPr="008625DC">
        <w:t>olicy and legal issues that apply more broadly</w:t>
      </w:r>
      <w:r w:rsidR="00A47692" w:rsidRPr="008625DC">
        <w:t xml:space="preserve"> than </w:t>
      </w:r>
      <w:r w:rsidR="00D15937" w:rsidRPr="008625DC">
        <w:t xml:space="preserve">just to </w:t>
      </w:r>
      <w:r w:rsidR="00A47692" w:rsidRPr="008625DC">
        <w:t>supermarkets</w:t>
      </w:r>
      <w:r w:rsidRPr="008625DC">
        <w:t>.</w:t>
      </w:r>
      <w:proofErr w:type="gramEnd"/>
      <w:r w:rsidRPr="008625DC">
        <w:t xml:space="preserve"> Accordingly</w:t>
      </w:r>
      <w:r w:rsidR="00A47692" w:rsidRPr="008625DC">
        <w:t>,</w:t>
      </w:r>
      <w:r w:rsidRPr="008625DC">
        <w:t xml:space="preserve"> many of the recommendations that the Panel has made to deal with these issues have wider application beyond the supermarket context.</w:t>
      </w:r>
    </w:p>
    <w:p w14:paraId="2063A023" w14:textId="47FEF6E7" w:rsidR="00D226CF" w:rsidRPr="008625DC" w:rsidRDefault="00D226CF" w:rsidP="00A33169">
      <w:r w:rsidRPr="008625DC">
        <w:lastRenderedPageBreak/>
        <w:t xml:space="preserve">Some small supermarkets have alleged that the major supermarkets are misusing their market power, including through </w:t>
      </w:r>
      <w:r w:rsidR="00C74E19" w:rsidRPr="008625DC">
        <w:t>‘</w:t>
      </w:r>
      <w:r w:rsidRPr="008625DC">
        <w:t>predatory capacity</w:t>
      </w:r>
      <w:r w:rsidR="00C74E19" w:rsidRPr="008625DC">
        <w:t>’</w:t>
      </w:r>
      <w:r w:rsidRPr="008625DC">
        <w:t xml:space="preserve"> and targeting particular retailers. Suppliers have raised concerns about misuse of market power and unconscionable conduct by the major supermarket chains. </w:t>
      </w:r>
    </w:p>
    <w:p w14:paraId="29031BA2" w14:textId="5F1FB1DB" w:rsidR="00D226CF" w:rsidRPr="008625DC" w:rsidRDefault="00D226CF" w:rsidP="00A33169">
      <w:r w:rsidRPr="008625DC">
        <w:t xml:space="preserve">The Panel cannot adjudicate </w:t>
      </w:r>
      <w:r w:rsidR="00A47692" w:rsidRPr="008625DC">
        <w:t xml:space="preserve">instances where breaches of the CCA are alleged to have occurred but notes that </w:t>
      </w:r>
      <w:r w:rsidRPr="008625DC">
        <w:t xml:space="preserve">the </w:t>
      </w:r>
      <w:r w:rsidR="00695EA5" w:rsidRPr="008625DC">
        <w:t xml:space="preserve">CCA generally prohibits </w:t>
      </w:r>
      <w:r w:rsidRPr="008625DC">
        <w:t xml:space="preserve">conduct </w:t>
      </w:r>
      <w:r w:rsidR="00695EA5" w:rsidRPr="008625DC">
        <w:t>that</w:t>
      </w:r>
      <w:r w:rsidRPr="008625DC">
        <w:t xml:space="preserve"> harms </w:t>
      </w:r>
      <w:r w:rsidR="00A47692" w:rsidRPr="008625DC">
        <w:t xml:space="preserve">the </w:t>
      </w:r>
      <w:r w:rsidRPr="008625DC">
        <w:t>competiti</w:t>
      </w:r>
      <w:r w:rsidR="00A47692" w:rsidRPr="008625DC">
        <w:t>ve process</w:t>
      </w:r>
      <w:r w:rsidRPr="008625DC">
        <w:t xml:space="preserve">, not individual competitors. </w:t>
      </w:r>
    </w:p>
    <w:p w14:paraId="1A9181F1" w14:textId="5404A377" w:rsidR="00A47692" w:rsidRPr="008625DC" w:rsidRDefault="00A47692" w:rsidP="0031183F">
      <w:bookmarkStart w:id="12945" w:name="_Toc396397401"/>
      <w:bookmarkStart w:id="12946" w:name="_Toc396815138"/>
      <w:bookmarkStart w:id="12947" w:name="_Toc396821087"/>
      <w:bookmarkStart w:id="12948" w:name="_Toc396821695"/>
      <w:bookmarkStart w:id="12949" w:name="_Toc396827545"/>
      <w:bookmarkStart w:id="12950" w:name="_Toc396828516"/>
      <w:bookmarkStart w:id="12951" w:name="_Toc396828626"/>
      <w:bookmarkStart w:id="12952" w:name="_Toc396838015"/>
      <w:bookmarkStart w:id="12953" w:name="_Toc396838413"/>
      <w:bookmarkStart w:id="12954" w:name="_Toc396904736"/>
      <w:bookmarkStart w:id="12955" w:name="_Toc396907570"/>
      <w:bookmarkStart w:id="12956" w:name="_Toc396912489"/>
      <w:bookmarkStart w:id="12957" w:name="_Toc396914469"/>
      <w:bookmarkStart w:id="12958" w:name="_Toc396915353"/>
      <w:bookmarkStart w:id="12959" w:name="_Toc396915747"/>
      <w:bookmarkStart w:id="12960" w:name="_Toc396921058"/>
      <w:bookmarkStart w:id="12961" w:name="_Toc396924398"/>
      <w:bookmarkStart w:id="12962" w:name="_Toc396925092"/>
      <w:bookmarkStart w:id="12963" w:name="_Toc396992212"/>
      <w:bookmarkStart w:id="12964" w:name="_Toc396992791"/>
      <w:bookmarkStart w:id="12965" w:name="_Toc396994455"/>
      <w:bookmarkStart w:id="12966" w:name="_Toc397002226"/>
      <w:bookmarkStart w:id="12967" w:name="_Toc397003145"/>
      <w:bookmarkStart w:id="12968" w:name="_Toc397008703"/>
      <w:bookmarkStart w:id="12969" w:name="_Toc397008921"/>
      <w:bookmarkStart w:id="12970" w:name="_Toc397011593"/>
      <w:bookmarkStart w:id="12971" w:name="_Toc397012655"/>
      <w:bookmarkStart w:id="12972" w:name="_Toc397014997"/>
      <w:bookmarkStart w:id="12973" w:name="_Toc397015484"/>
      <w:bookmarkStart w:id="12974" w:name="_Toc397070555"/>
      <w:bookmarkStart w:id="12975" w:name="_Toc397413295"/>
      <w:bookmarkStart w:id="12976" w:name="_Toc397413442"/>
      <w:bookmarkStart w:id="12977" w:name="_Toc397428025"/>
      <w:bookmarkStart w:id="12978" w:name="_Toc397439413"/>
      <w:r w:rsidRPr="008625DC">
        <w:t xml:space="preserve">The Panel recommends changes to the misuse of market power provisions of the CCA at </w:t>
      </w:r>
      <w:r w:rsidR="00BF180A" w:rsidRPr="008625DC">
        <w:t xml:space="preserve">Draft </w:t>
      </w:r>
      <w:r w:rsidRPr="008625DC">
        <w:t xml:space="preserve">Recommendation </w:t>
      </w:r>
      <w:r w:rsidR="00BF180A" w:rsidRPr="008625DC">
        <w:t>2</w:t>
      </w:r>
      <w:r w:rsidR="00463F7F" w:rsidRPr="008625DC">
        <w:t>5</w:t>
      </w:r>
      <w:r w:rsidRPr="008625DC">
        <w:t>. The current unconscionable conduct provisions appear to be working as intended to meet the policy goals, but active and ongoing review of these provisions should occur as matters progress before the courts. In this context the Panel</w:t>
      </w:r>
      <w:r w:rsidRPr="008625DC" w:rsidDel="002A0035">
        <w:t xml:space="preserve"> </w:t>
      </w:r>
      <w:r w:rsidRPr="008625DC">
        <w:t>notes the present litigation concerning the ACCC</w:t>
      </w:r>
      <w:r w:rsidR="00C74E19" w:rsidRPr="008625DC">
        <w:t>’</w:t>
      </w:r>
      <w:r w:rsidRPr="008625DC">
        <w:t xml:space="preserve">s allegations of unconscionable conduct </w:t>
      </w:r>
      <w:r w:rsidR="004A32BA" w:rsidRPr="008625DC">
        <w:t>in the supermarket sector</w:t>
      </w:r>
      <w:r w:rsidRPr="008625DC">
        <w:t>.</w:t>
      </w:r>
    </w:p>
    <w:p w14:paraId="5B32A841" w14:textId="4BF8808E" w:rsidR="00A47692" w:rsidRPr="008625DC" w:rsidRDefault="00A47692" w:rsidP="0031183F">
      <w:r w:rsidRPr="008625DC">
        <w:t xml:space="preserve">The introduction of a properly designed and effective industry code </w:t>
      </w:r>
      <w:r w:rsidR="00D15937" w:rsidRPr="008625DC">
        <w:t>should</w:t>
      </w:r>
      <w:r w:rsidRPr="008625DC">
        <w:t xml:space="preserve"> also assist in ensuring that suppliers are able to contract fairly and efficiently. The Panel notes that </w:t>
      </w:r>
      <w:r w:rsidR="00290837" w:rsidRPr="008625DC">
        <w:t xml:space="preserve">Australian </w:t>
      </w:r>
      <w:r w:rsidRPr="008625DC">
        <w:t xml:space="preserve">Government consultation </w:t>
      </w:r>
      <w:r w:rsidR="00290837" w:rsidRPr="008625DC">
        <w:t>on</w:t>
      </w:r>
      <w:r w:rsidRPr="008625DC">
        <w:t xml:space="preserve"> a proposed code is currently underway.</w:t>
      </w:r>
    </w:p>
    <w:p w14:paraId="7365582E" w14:textId="70234E2E" w:rsidR="00A47692" w:rsidRPr="008625DC" w:rsidRDefault="00A47692" w:rsidP="0031183F">
      <w:r w:rsidRPr="008625DC">
        <w:t xml:space="preserve">The removal of some regulatory barriers would strengthen competition in the supermarket sector. Planning and zoning restrictions are limiting the growth of </w:t>
      </w:r>
      <w:r w:rsidR="0015308D" w:rsidRPr="008625DC">
        <w:t>ALDI</w:t>
      </w:r>
      <w:r w:rsidRPr="008625DC">
        <w:t>, and the ACCC has previously identified that they particularly affect the ability of independent supermarkets to compete. The Panel recommends changes to address concerns about planning and zoning (</w:t>
      </w:r>
      <w:r w:rsidR="00BF180A" w:rsidRPr="008625DC">
        <w:t xml:space="preserve">Draft </w:t>
      </w:r>
      <w:r w:rsidRPr="008625DC">
        <w:t xml:space="preserve">Recommendation </w:t>
      </w:r>
      <w:r w:rsidR="00BF180A" w:rsidRPr="008625DC">
        <w:t>10</w:t>
      </w:r>
      <w:r w:rsidRPr="008625DC">
        <w:t xml:space="preserve">). </w:t>
      </w:r>
    </w:p>
    <w:p w14:paraId="11F4C012" w14:textId="50131833" w:rsidR="00A47692" w:rsidRPr="008625DC" w:rsidRDefault="00A47692" w:rsidP="0031183F">
      <w:r w:rsidRPr="008625DC">
        <w:t xml:space="preserve">Trading </w:t>
      </w:r>
      <w:proofErr w:type="gramStart"/>
      <w:r w:rsidRPr="008625DC">
        <w:t>hours</w:t>
      </w:r>
      <w:proofErr w:type="gramEnd"/>
      <w:r w:rsidRPr="008625DC">
        <w:t xml:space="preserve"> restrictions and restrictions preventing supermarkets from selling liquor impede competition. The Panel recommends that restrictions preventing supermarkets from selling liquor be </w:t>
      </w:r>
      <w:r w:rsidR="00BE0519" w:rsidRPr="008625DC">
        <w:t>prioritised as part of the renewed round of regulatory review p</w:t>
      </w:r>
      <w:r w:rsidR="0031183F" w:rsidRPr="008625DC">
        <w:t>roposed at Draft Recommendation </w:t>
      </w:r>
      <w:r w:rsidR="00BE0519" w:rsidRPr="008625DC">
        <w:t>11</w:t>
      </w:r>
      <w:r w:rsidRPr="008625DC">
        <w:t xml:space="preserve"> and that retail trading hours be fully deregulated (</w:t>
      </w:r>
      <w:r w:rsidR="00BF180A" w:rsidRPr="008625DC">
        <w:t xml:space="preserve">Draft </w:t>
      </w:r>
      <w:r w:rsidRPr="008625DC">
        <w:t xml:space="preserve">Recommendation </w:t>
      </w:r>
      <w:r w:rsidR="00463F7F" w:rsidRPr="008625DC">
        <w:t>51</w:t>
      </w:r>
      <w:r w:rsidRPr="008625DC">
        <w:t>).</w:t>
      </w:r>
    </w:p>
    <w:p w14:paraId="7BF0FA1F" w14:textId="3713B764" w:rsidR="00A47692" w:rsidRPr="008625DC" w:rsidRDefault="00A47692" w:rsidP="0031183F">
      <w:r w:rsidRPr="008625DC">
        <w:t xml:space="preserve">There have been a number of structural changes in the operation of supermarkets, such as greater vertical integration and use of </w:t>
      </w:r>
      <w:r w:rsidR="00C74E19" w:rsidRPr="008625DC">
        <w:t>‘</w:t>
      </w:r>
      <w:r w:rsidRPr="008625DC">
        <w:t>home brands</w:t>
      </w:r>
      <w:r w:rsidR="00C74E19" w:rsidRPr="008625DC">
        <w:t>’</w:t>
      </w:r>
      <w:r w:rsidRPr="008625DC">
        <w:t>, an increase in the range and categories of goods sold within supermarkets, and greater participation by supermarket operators in other sectors.</w:t>
      </w:r>
    </w:p>
    <w:p w14:paraId="75792078" w14:textId="71F88BE6" w:rsidR="00A47692" w:rsidRPr="008625DC" w:rsidRDefault="00A47692" w:rsidP="0031183F">
      <w:r w:rsidRPr="008625DC">
        <w:t xml:space="preserve">Like all structural changes, these can result in dislocation and other costs that affect the </w:t>
      </w:r>
      <w:r w:rsidR="00580D32" w:rsidRPr="008625DC">
        <w:t>wellbeing</w:t>
      </w:r>
      <w:r w:rsidRPr="008625DC">
        <w:t xml:space="preserve"> of other parties. The move of larger supermarket chains into regional areas can also raise concerns about a loss of amenity and changes to the community.</w:t>
      </w:r>
    </w:p>
    <w:p w14:paraId="6AAA0195" w14:textId="27B8A7F5" w:rsidR="00A47692" w:rsidRPr="008625DC" w:rsidRDefault="00A47692" w:rsidP="00A47692">
      <w:r w:rsidRPr="008625DC">
        <w:t>While the Panel is sensitive to these concerns, they do not of themselves raise issues for competition policy or law.</w:t>
      </w:r>
      <w:r w:rsidRPr="008625DC" w:rsidDel="00B83C5F">
        <w:t xml:space="preserve"> </w:t>
      </w:r>
    </w:p>
    <w:p w14:paraId="4C6889A8" w14:textId="58CA3C03" w:rsidR="00A47692" w:rsidRPr="008625DC" w:rsidRDefault="00A47692" w:rsidP="00A47692">
      <w:r w:rsidRPr="008625DC">
        <w:t>For further detail on supermarkets</w:t>
      </w:r>
      <w:r w:rsidR="002664C8" w:rsidRPr="008625DC">
        <w:t>,</w:t>
      </w:r>
      <w:r w:rsidRPr="008625DC">
        <w:t xml:space="preserve"> see </w:t>
      </w:r>
      <w:hyperlink w:anchor="s131" w:history="1">
        <w:r w:rsidR="00C538EE" w:rsidRPr="008625DC">
          <w:rPr>
            <w:rStyle w:val="Hyperlink"/>
          </w:rPr>
          <w:t>Section</w:t>
        </w:r>
        <w:r w:rsidRPr="008625DC">
          <w:rPr>
            <w:rStyle w:val="Hyperlink"/>
          </w:rPr>
          <w:t xml:space="preserve"> 1</w:t>
        </w:r>
        <w:r w:rsidR="00BC47E4" w:rsidRPr="008625DC">
          <w:rPr>
            <w:rStyle w:val="Hyperlink"/>
          </w:rPr>
          <w:t>3</w:t>
        </w:r>
        <w:r w:rsidRPr="008625DC">
          <w:rPr>
            <w:rStyle w:val="Hyperlink"/>
          </w:rPr>
          <w:t>.1</w:t>
        </w:r>
      </w:hyperlink>
      <w:r w:rsidRPr="008625DC">
        <w:t xml:space="preserve">. </w:t>
      </w:r>
    </w:p>
    <w:p w14:paraId="170BB3F5" w14:textId="77777777" w:rsidR="00D226CF" w:rsidRPr="008625DC" w:rsidRDefault="00D226CF" w:rsidP="000B5916">
      <w:pPr>
        <w:pStyle w:val="Heading2"/>
        <w:ind w:left="851" w:hanging="851"/>
        <w:rPr>
          <w:lang w:val="en-AU"/>
        </w:rPr>
      </w:pPr>
      <w:bookmarkStart w:id="12979" w:name="_Toc397439583"/>
      <w:bookmarkStart w:id="12980" w:name="_Toc397439839"/>
      <w:bookmarkStart w:id="12981" w:name="_Toc397440141"/>
      <w:bookmarkStart w:id="12982" w:name="_Toc397441770"/>
      <w:bookmarkStart w:id="12983" w:name="_Toc397517472"/>
      <w:bookmarkStart w:id="12984" w:name="_Toc397522737"/>
      <w:bookmarkStart w:id="12985" w:name="_Toc397526155"/>
      <w:bookmarkStart w:id="12986" w:name="_Toc397528470"/>
      <w:bookmarkStart w:id="12987" w:name="_Toc397528945"/>
      <w:bookmarkStart w:id="12988" w:name="_Toc397601942"/>
      <w:bookmarkStart w:id="12989" w:name="_Toc397602677"/>
      <w:bookmarkStart w:id="12990" w:name="_Toc397605806"/>
      <w:bookmarkStart w:id="12991" w:name="_Toc397614507"/>
      <w:bookmarkStart w:id="12992" w:name="_Toc397614950"/>
      <w:bookmarkStart w:id="12993" w:name="_Toc397616393"/>
      <w:bookmarkStart w:id="12994" w:name="_Toc397616787"/>
      <w:bookmarkStart w:id="12995" w:name="_Toc397679197"/>
      <w:bookmarkStart w:id="12996" w:name="_Toc397688085"/>
      <w:bookmarkStart w:id="12997" w:name="_Toc397689301"/>
      <w:bookmarkStart w:id="12998" w:name="_Toc397694581"/>
      <w:bookmarkStart w:id="12999" w:name="_Toc397696422"/>
      <w:bookmarkStart w:id="13000" w:name="_Toc397697156"/>
      <w:bookmarkStart w:id="13001" w:name="_Toc397698443"/>
      <w:bookmarkStart w:id="13002" w:name="_Toc397699809"/>
      <w:bookmarkStart w:id="13003" w:name="_Toc397700263"/>
      <w:bookmarkStart w:id="13004" w:name="_Toc397936655"/>
      <w:bookmarkStart w:id="13005" w:name="_Toc397936775"/>
      <w:bookmarkStart w:id="13006" w:name="_Toc397945931"/>
      <w:bookmarkStart w:id="13007" w:name="_Toc397946957"/>
      <w:bookmarkStart w:id="13008" w:name="_Toc397948076"/>
      <w:bookmarkStart w:id="13009" w:name="_Toc397958482"/>
      <w:bookmarkStart w:id="13010" w:name="_Toc397958724"/>
      <w:bookmarkStart w:id="13011" w:name="_Toc397959139"/>
      <w:bookmarkStart w:id="13012" w:name="_Toc397962992"/>
      <w:bookmarkStart w:id="13013" w:name="_Toc397963358"/>
      <w:bookmarkStart w:id="13014" w:name="_Toc397965435"/>
      <w:bookmarkStart w:id="13015" w:name="_Toc398197373"/>
      <w:bookmarkStart w:id="13016" w:name="_Toc398199876"/>
      <w:bookmarkStart w:id="13017" w:name="_Toc398201590"/>
      <w:bookmarkStart w:id="13018" w:name="_Toc398207195"/>
      <w:bookmarkStart w:id="13019" w:name="_Toc398210468"/>
      <w:bookmarkStart w:id="13020" w:name="_Toc398210982"/>
      <w:bookmarkStart w:id="13021" w:name="_Toc398219790"/>
      <w:bookmarkStart w:id="13022" w:name="_Toc398220165"/>
      <w:bookmarkStart w:id="13023" w:name="_Toc398220552"/>
      <w:bookmarkStart w:id="13024" w:name="_Toc398221630"/>
      <w:bookmarkStart w:id="13025" w:name="_Toc398222316"/>
      <w:bookmarkStart w:id="13026" w:name="_Toc398222628"/>
      <w:bookmarkStart w:id="13027" w:name="_Toc398223045"/>
      <w:bookmarkStart w:id="13028" w:name="_Toc398223424"/>
      <w:bookmarkStart w:id="13029" w:name="_Toc398223551"/>
      <w:bookmarkStart w:id="13030" w:name="_Toc398224359"/>
      <w:bookmarkStart w:id="13031" w:name="_Toc398225696"/>
      <w:bookmarkStart w:id="13032" w:name="_Toc398225821"/>
      <w:bookmarkStart w:id="13033" w:name="_Toc398281308"/>
      <w:bookmarkStart w:id="13034" w:name="_Toc398282167"/>
      <w:bookmarkStart w:id="13035" w:name="_Toc398284837"/>
      <w:bookmarkStart w:id="13036" w:name="_Toc398287306"/>
      <w:bookmarkStart w:id="13037" w:name="_Toc398289189"/>
      <w:bookmarkStart w:id="13038" w:name="_Toc398297186"/>
      <w:bookmarkStart w:id="13039" w:name="_Toc398298660"/>
      <w:bookmarkStart w:id="13040" w:name="_Toc398300361"/>
      <w:bookmarkStart w:id="13041" w:name="_Toc398301258"/>
      <w:bookmarkStart w:id="13042" w:name="_Toc398302443"/>
      <w:bookmarkStart w:id="13043" w:name="_Toc398302606"/>
      <w:bookmarkStart w:id="13044" w:name="_Toc398549120"/>
      <w:bookmarkStart w:id="13045" w:name="_Toc398549370"/>
      <w:bookmarkStart w:id="13046" w:name="_Toc398555789"/>
      <w:bookmarkStart w:id="13047" w:name="_Toc398558993"/>
      <w:bookmarkStart w:id="13048" w:name="_Toc398563479"/>
      <w:bookmarkStart w:id="13049" w:name="_Toc398563612"/>
      <w:bookmarkStart w:id="13050" w:name="_Toc398564011"/>
      <w:bookmarkStart w:id="13051" w:name="_Toc398827349"/>
      <w:bookmarkStart w:id="13052" w:name="_Toc398827543"/>
      <w:r w:rsidRPr="008625DC">
        <w:rPr>
          <w:lang w:val="en-AU"/>
        </w:rPr>
        <w:t>Pharmacy</w:t>
      </w:r>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p>
    <w:p w14:paraId="29AA0DB5" w14:textId="6A7E5C51" w:rsidR="00A47692" w:rsidRPr="008625DC" w:rsidRDefault="00A47692" w:rsidP="00A47692">
      <w:r w:rsidRPr="008625DC">
        <w:t>It is generally accepted that some regulation of pharmacy is justified to recognise patient and community safety, ensuring pharmacists provide consumers with appropriate information and advice about their medication, providing equitable access to medication regardless of the patient</w:t>
      </w:r>
      <w:r w:rsidR="00C74E19" w:rsidRPr="008625DC">
        <w:t>’</w:t>
      </w:r>
      <w:r w:rsidRPr="008625DC">
        <w:t>s wealth or location and managing costs to patients and government.</w:t>
      </w:r>
    </w:p>
    <w:p w14:paraId="1F930F60" w14:textId="397B4695" w:rsidR="007065B7" w:rsidRPr="008625DC" w:rsidRDefault="00A47692" w:rsidP="00A47692">
      <w:r w:rsidRPr="008625DC">
        <w:t xml:space="preserve">It is not </w:t>
      </w:r>
      <w:r w:rsidR="00DD1583" w:rsidRPr="008625DC">
        <w:t>apparent that</w:t>
      </w:r>
      <w:r w:rsidRPr="008625DC">
        <w:t xml:space="preserve"> the current restrictions on location of pharmacies or the requirement that only pharmacists can own a pharmacy ensure the quality of advice provided to a consumer. </w:t>
      </w:r>
      <w:r w:rsidR="00DD1583" w:rsidRPr="008625DC">
        <w:t>S</w:t>
      </w:r>
      <w:r w:rsidRPr="008625DC">
        <w:t xml:space="preserve">uch </w:t>
      </w:r>
      <w:r w:rsidRPr="008625DC">
        <w:lastRenderedPageBreak/>
        <w:t>restrictions limit the ability of consumers to choose where to obtain pharmacy services and limit the ability of suppliers to meet consumers</w:t>
      </w:r>
      <w:r w:rsidR="00C74E19" w:rsidRPr="008625DC">
        <w:t>’</w:t>
      </w:r>
      <w:r w:rsidRPr="008625DC">
        <w:t xml:space="preserve"> demands.</w:t>
      </w:r>
      <w:r w:rsidR="007065B7" w:rsidRPr="008625DC">
        <w:t xml:space="preserve"> </w:t>
      </w:r>
    </w:p>
    <w:p w14:paraId="781D15AD" w14:textId="4ADE379A" w:rsidR="007065B7" w:rsidRPr="008625DC" w:rsidRDefault="007065B7" w:rsidP="00A47692">
      <w:r w:rsidRPr="008625DC">
        <w:t>A range of alternatives are available to governments to ensure pharmacies meet community expectations of safety, access and standard of care without the need for anti</w:t>
      </w:r>
      <w:r w:rsidR="00C74E19" w:rsidRPr="008625DC">
        <w:noBreakHyphen/>
      </w:r>
      <w:r w:rsidRPr="008625DC">
        <w:t xml:space="preserve">competitive regulation. These include imposing obligations directly on pharmacies as a condition of their licensing and/or remuneration. The Panel recognises that such a change will have a significant impact on the pharmacy sector and a transition period will be necessary. </w:t>
      </w:r>
    </w:p>
    <w:p w14:paraId="1D21EAF5" w14:textId="49E36CE7" w:rsidR="00A47692" w:rsidRPr="008625DC" w:rsidRDefault="007065B7" w:rsidP="00A47692">
      <w:r w:rsidRPr="008625DC">
        <w:t xml:space="preserve">The Panel also notes that the current Fifth Community Pharmacy Agreement expires on 1 July 2015, and negotiations for the next agreement are anticipated to commence in the second half of 2014. </w:t>
      </w:r>
      <w:r w:rsidR="009E4143" w:rsidRPr="008625DC">
        <w:t>This provides an opportunity for the Australian Government to remove the location rules, with appropriate transitional arrangements.</w:t>
      </w:r>
    </w:p>
    <w:p w14:paraId="75F8AE8E" w14:textId="42EC4916" w:rsidR="0058205E" w:rsidRPr="008625DC" w:rsidRDefault="00A14BC7" w:rsidP="00A47692">
      <w:r w:rsidRPr="008625DC">
        <w:t xml:space="preserve">The recent National Commission of Audit recommended </w:t>
      </w:r>
      <w:r w:rsidR="00C74E19" w:rsidRPr="008625DC">
        <w:t>‘</w:t>
      </w:r>
      <w:r w:rsidRPr="008625DC">
        <w:t>opening up the pharmacy sector to competition, including through the deregulation of ownership and location rules</w:t>
      </w:r>
      <w:r w:rsidR="00C74E19" w:rsidRPr="008625DC">
        <w:t>’</w:t>
      </w:r>
      <w:r w:rsidRPr="008625DC">
        <w:rPr>
          <w:rFonts w:ascii="Calibri" w:hAnsi="Calibri" w:cs="Calibri"/>
          <w:color w:val="auto"/>
          <w:sz w:val="24"/>
          <w:szCs w:val="24"/>
        </w:rPr>
        <w:t>.</w:t>
      </w:r>
      <w:r w:rsidRPr="008625DC">
        <w:rPr>
          <w:rStyle w:val="FootnoteReference"/>
          <w:rFonts w:ascii="Calibri" w:hAnsi="Calibri" w:cs="Calibri"/>
          <w:color w:val="auto"/>
          <w:szCs w:val="22"/>
        </w:rPr>
        <w:footnoteReference w:id="15"/>
      </w:r>
      <w:r w:rsidRPr="008625DC" w:rsidDel="00A14BC7">
        <w:t xml:space="preserv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E9F7F3" w:themeFill="accent4" w:themeFillTint="33"/>
        <w:tblLook w:val="01E0" w:firstRow="1" w:lastRow="1" w:firstColumn="1" w:lastColumn="1" w:noHBand="0" w:noVBand="0"/>
      </w:tblPr>
      <w:tblGrid>
        <w:gridCol w:w="9072"/>
      </w:tblGrid>
      <w:tr w:rsidR="00D226CF" w:rsidRPr="008625DC" w14:paraId="33D3B658" w14:textId="77777777" w:rsidTr="00377EEF">
        <w:tc>
          <w:tcPr>
            <w:tcW w:w="5000" w:type="pct"/>
            <w:shd w:val="clear" w:color="auto" w:fill="E9F7F3" w:themeFill="accent4" w:themeFillTint="33"/>
          </w:tcPr>
          <w:p w14:paraId="393F7C5D" w14:textId="2ACBBCB1" w:rsidR="00D226CF" w:rsidRPr="008625DC" w:rsidRDefault="00D226CF" w:rsidP="00377EEF">
            <w:pPr>
              <w:pStyle w:val="RecommendationHeading"/>
            </w:pPr>
            <w:bookmarkStart w:id="13053" w:name="_Toc396150465"/>
            <w:bookmarkStart w:id="13054" w:name="_Toc396151648"/>
            <w:bookmarkStart w:id="13055" w:name="_Toc396202657"/>
            <w:bookmarkStart w:id="13056" w:name="_Toc396206864"/>
            <w:bookmarkStart w:id="13057" w:name="_Toc396209692"/>
            <w:bookmarkStart w:id="13058" w:name="_Toc396212116"/>
            <w:bookmarkStart w:id="13059" w:name="_Toc396213458"/>
            <w:bookmarkStart w:id="13060" w:name="_Toc396214734"/>
            <w:bookmarkStart w:id="13061" w:name="_Toc396226845"/>
            <w:bookmarkStart w:id="13062" w:name="_Toc396229051"/>
            <w:bookmarkStart w:id="13063" w:name="_Toc396230693"/>
            <w:bookmarkStart w:id="13064" w:name="_Toc396231835"/>
            <w:bookmarkStart w:id="13065" w:name="_Toc396233475"/>
            <w:bookmarkStart w:id="13066" w:name="_Toc396234295"/>
            <w:bookmarkStart w:id="13067" w:name="_Toc396234703"/>
            <w:bookmarkStart w:id="13068" w:name="_Toc396235922"/>
            <w:bookmarkStart w:id="13069" w:name="_Toc396586424"/>
            <w:bookmarkStart w:id="13070" w:name="DR52"/>
            <w:r w:rsidRPr="008625DC">
              <w:t xml:space="preserve">Draft Recommendation </w:t>
            </w:r>
            <w:r w:rsidRPr="008625DC">
              <w:fldChar w:fldCharType="begin"/>
            </w:r>
            <w:r w:rsidRPr="008625DC">
              <w:instrText xml:space="preserve"> AUTONUMLGL  \* Arabic \e </w:instrText>
            </w:r>
            <w:r w:rsidRPr="008625DC">
              <w:fldChar w:fldCharType="end"/>
            </w:r>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r w:rsidR="00380141" w:rsidRPr="008625DC">
              <w:t xml:space="preserve"> — </w:t>
            </w:r>
            <w:r w:rsidR="00652EFD" w:rsidRPr="008625DC">
              <w:t>Pharmac</w:t>
            </w:r>
            <w:r w:rsidR="00264F4D" w:rsidRPr="008625DC">
              <w:t>y</w:t>
            </w:r>
          </w:p>
          <w:p w14:paraId="5392E0F0" w14:textId="47EA3675" w:rsidR="00A47692" w:rsidRPr="008625DC" w:rsidRDefault="00A47692" w:rsidP="007572A7">
            <w:pPr>
              <w:pStyle w:val="RecommendationText"/>
            </w:pPr>
            <w:bookmarkStart w:id="13071" w:name="_Toc396202658"/>
            <w:bookmarkStart w:id="13072" w:name="_Toc396206865"/>
            <w:bookmarkStart w:id="13073" w:name="_Toc396209693"/>
            <w:bookmarkStart w:id="13074" w:name="_Toc396212117"/>
            <w:bookmarkStart w:id="13075" w:name="_Toc396213459"/>
            <w:bookmarkStart w:id="13076" w:name="_Toc396214735"/>
            <w:bookmarkStart w:id="13077" w:name="_Toc396226846"/>
            <w:bookmarkStart w:id="13078" w:name="_Toc396229052"/>
            <w:bookmarkStart w:id="13079" w:name="_Toc396230694"/>
            <w:bookmarkStart w:id="13080" w:name="_Toc396231836"/>
            <w:bookmarkStart w:id="13081" w:name="_Toc396233476"/>
            <w:bookmarkStart w:id="13082" w:name="_Toc396234296"/>
            <w:bookmarkStart w:id="13083" w:name="_Toc396234704"/>
            <w:bookmarkStart w:id="13084" w:name="_Toc396235923"/>
            <w:bookmarkStart w:id="13085" w:name="_Toc396586425"/>
            <w:r w:rsidRPr="008625DC">
              <w:t xml:space="preserve">The Panel does not consider that current restrictions on ownership and location of pharmacies are necessary to ensure the quality of advice and care provided to patients. </w:t>
            </w:r>
            <w:r w:rsidR="00DD1583" w:rsidRPr="008625DC">
              <w:t>S</w:t>
            </w:r>
            <w:r w:rsidRPr="008625DC">
              <w:t>uch restrictions limit the ability of consumers to choose where to obtain pharmacy products and services, and the ability of providers to meet consumers</w:t>
            </w:r>
            <w:r w:rsidR="00C74E19" w:rsidRPr="008625DC">
              <w:t>’</w:t>
            </w:r>
            <w:r w:rsidRPr="008625DC">
              <w:t xml:space="preserve"> preferences.</w:t>
            </w:r>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p>
          <w:p w14:paraId="67820A2D" w14:textId="2E57633A" w:rsidR="001B749B" w:rsidRPr="008625DC" w:rsidRDefault="00A47692" w:rsidP="007572A7">
            <w:pPr>
              <w:pStyle w:val="RecommendationText"/>
            </w:pPr>
            <w:bookmarkStart w:id="13086" w:name="_Toc396202659"/>
            <w:bookmarkStart w:id="13087" w:name="_Toc396206866"/>
            <w:bookmarkStart w:id="13088" w:name="_Toc396209694"/>
            <w:bookmarkStart w:id="13089" w:name="_Toc396212118"/>
            <w:bookmarkStart w:id="13090" w:name="_Toc396213460"/>
            <w:bookmarkStart w:id="13091" w:name="_Toc396214736"/>
            <w:bookmarkStart w:id="13092" w:name="_Toc396226847"/>
            <w:bookmarkStart w:id="13093" w:name="_Toc396229053"/>
            <w:bookmarkStart w:id="13094" w:name="_Toc396230695"/>
            <w:bookmarkStart w:id="13095" w:name="_Toc396231837"/>
            <w:bookmarkStart w:id="13096" w:name="_Toc396233477"/>
            <w:bookmarkStart w:id="13097" w:name="_Toc396234297"/>
            <w:bookmarkStart w:id="13098" w:name="_Toc396234705"/>
            <w:bookmarkStart w:id="13099" w:name="_Toc396235924"/>
            <w:bookmarkStart w:id="13100" w:name="_Toc396586426"/>
            <w:bookmarkStart w:id="13101" w:name="_Toc396150466"/>
            <w:bookmarkStart w:id="13102" w:name="_Toc396151649"/>
            <w:bookmarkStart w:id="13103" w:name="_Toc396202660"/>
            <w:bookmarkStart w:id="13104" w:name="_Toc396206867"/>
            <w:bookmarkStart w:id="13105" w:name="_Toc396209695"/>
            <w:bookmarkStart w:id="13106" w:name="_Toc396212119"/>
            <w:bookmarkStart w:id="13107" w:name="_Toc396213461"/>
            <w:bookmarkStart w:id="13108" w:name="_Toc396214737"/>
            <w:bookmarkStart w:id="13109" w:name="_Toc396226848"/>
            <w:bookmarkStart w:id="13110" w:name="_Toc396229054"/>
            <w:bookmarkStart w:id="13111" w:name="_Toc396230696"/>
            <w:bookmarkStart w:id="13112" w:name="_Toc396231838"/>
            <w:bookmarkStart w:id="13113" w:name="_Toc396233478"/>
            <w:bookmarkStart w:id="13114" w:name="_Toc396234298"/>
            <w:bookmarkStart w:id="13115" w:name="_Toc396234706"/>
            <w:bookmarkStart w:id="13116" w:name="_Toc396235925"/>
            <w:bookmarkStart w:id="13117" w:name="_Toc396586427"/>
            <w:r w:rsidRPr="008625DC">
              <w:t xml:space="preserve">The Panel considers that the pharmacy ownership and location rules should be </w:t>
            </w:r>
            <w:r w:rsidR="00DD1583" w:rsidRPr="008625DC">
              <w:t>removed</w:t>
            </w:r>
            <w:r w:rsidRPr="008625DC">
              <w:t xml:space="preserve"> in the long</w:t>
            </w:r>
            <w:r w:rsidR="00C74E19" w:rsidRPr="008625DC">
              <w:noBreakHyphen/>
            </w:r>
            <w:r w:rsidRPr="008625DC">
              <w:t xml:space="preserve">term interests of consumers. </w:t>
            </w:r>
            <w:r w:rsidR="001B749B" w:rsidRPr="008625DC">
              <w:t xml:space="preserve">They should be replaced with regulations to ensure access and quality of advice on pharmaceuticals that do not unduly restrict competition. </w:t>
            </w:r>
          </w:p>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p w14:paraId="69BDDCFD" w14:textId="68A0CFC4" w:rsidR="00D226CF" w:rsidRPr="008625DC" w:rsidRDefault="001B749B">
            <w:pPr>
              <w:pStyle w:val="RecommendationText"/>
            </w:pPr>
            <w:r w:rsidRPr="008625DC">
              <w:t xml:space="preserve">Negotiations on the next Community Pharmacy Agreement offer an opportunity for the Australian Government to </w:t>
            </w:r>
            <w:r w:rsidR="008D419C" w:rsidRPr="008625DC">
              <w:t xml:space="preserve">remove </w:t>
            </w:r>
            <w:r w:rsidRPr="008625DC">
              <w:t>the location rules</w:t>
            </w:r>
            <w:r w:rsidR="008D419C" w:rsidRPr="008625DC">
              <w:t>, with appropriate transitional arrangements</w:t>
            </w:r>
            <w:r w:rsidRPr="008625DC">
              <w:t>.</w:t>
            </w:r>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p>
        </w:tc>
      </w:tr>
    </w:tbl>
    <w:p w14:paraId="4979D92B" w14:textId="0CC5976A" w:rsidR="005E3B7C" w:rsidRPr="008625DC" w:rsidRDefault="005E3B7C" w:rsidP="00A33169">
      <w:pPr>
        <w:spacing w:before="240"/>
      </w:pPr>
      <w:r w:rsidRPr="008625DC">
        <w:t xml:space="preserve">For further </w:t>
      </w:r>
      <w:r w:rsidR="00734B17" w:rsidRPr="008625DC">
        <w:t>detail</w:t>
      </w:r>
      <w:r w:rsidRPr="008625DC">
        <w:t xml:space="preserve"> on pharmacy</w:t>
      </w:r>
      <w:r w:rsidR="00827665" w:rsidRPr="008625DC">
        <w:t>,</w:t>
      </w:r>
      <w:r w:rsidRPr="008625DC">
        <w:t xml:space="preserve"> see </w:t>
      </w:r>
      <w:hyperlink w:anchor="s89" w:history="1">
        <w:r w:rsidR="005031FF" w:rsidRPr="008625DC">
          <w:rPr>
            <w:rStyle w:val="Hyperlink"/>
          </w:rPr>
          <w:t>Section 8.9</w:t>
        </w:r>
      </w:hyperlink>
      <w:r w:rsidR="005031FF" w:rsidRPr="008625DC">
        <w:t>.</w:t>
      </w:r>
    </w:p>
    <w:p w14:paraId="21AEE93B" w14:textId="77777777" w:rsidR="00A95C90" w:rsidRPr="008625DC" w:rsidRDefault="00D226CF">
      <w:pPr>
        <w:spacing w:before="0" w:after="0"/>
        <w:sectPr w:rsidR="00A95C90" w:rsidRPr="008625DC" w:rsidSect="00806FD9">
          <w:headerReference w:type="default" r:id="rId41"/>
          <w:pgSz w:w="11906" w:h="16838" w:code="9"/>
          <w:pgMar w:top="1418" w:right="1418" w:bottom="1418" w:left="1418" w:header="709" w:footer="709" w:gutter="0"/>
          <w:cols w:space="708"/>
          <w:docGrid w:linePitch="360"/>
        </w:sectPr>
      </w:pPr>
      <w:r w:rsidRPr="008625DC">
        <w:br w:type="page"/>
      </w:r>
    </w:p>
    <w:p w14:paraId="6B171699" w14:textId="0E2C9715" w:rsidR="00882FB3" w:rsidRPr="008625DC" w:rsidRDefault="00882FB3" w:rsidP="00392423">
      <w:pPr>
        <w:pStyle w:val="PartHeading"/>
      </w:pPr>
      <w:bookmarkStart w:id="13118" w:name="Pt3"/>
      <w:bookmarkStart w:id="13119" w:name="_Toc396815139"/>
      <w:bookmarkStart w:id="13120" w:name="_Toc396821088"/>
      <w:bookmarkStart w:id="13121" w:name="_Toc396821696"/>
      <w:bookmarkStart w:id="13122" w:name="_Toc396827546"/>
      <w:bookmarkStart w:id="13123" w:name="_Toc396828517"/>
      <w:bookmarkStart w:id="13124" w:name="_Toc396828627"/>
      <w:bookmarkStart w:id="13125" w:name="_Toc396838016"/>
      <w:bookmarkStart w:id="13126" w:name="_Toc396838414"/>
      <w:bookmarkStart w:id="13127" w:name="_Toc396904737"/>
      <w:bookmarkStart w:id="13128" w:name="_Toc396907571"/>
      <w:bookmarkStart w:id="13129" w:name="_Toc396912490"/>
      <w:bookmarkStart w:id="13130" w:name="_Toc396914470"/>
      <w:bookmarkStart w:id="13131" w:name="_Toc396915354"/>
      <w:bookmarkStart w:id="13132" w:name="_Toc396915748"/>
      <w:bookmarkStart w:id="13133" w:name="_Toc396921059"/>
      <w:bookmarkStart w:id="13134" w:name="_Toc396924399"/>
      <w:bookmarkStart w:id="13135" w:name="_Toc396925093"/>
      <w:bookmarkStart w:id="13136" w:name="_Toc396992213"/>
      <w:bookmarkStart w:id="13137" w:name="_Toc396992792"/>
      <w:bookmarkStart w:id="13138" w:name="_Toc396994456"/>
      <w:bookmarkStart w:id="13139" w:name="_Toc397002227"/>
      <w:bookmarkStart w:id="13140" w:name="_Toc397003146"/>
      <w:bookmarkStart w:id="13141" w:name="_Toc397008704"/>
      <w:bookmarkStart w:id="13142" w:name="_Toc397008922"/>
      <w:bookmarkStart w:id="13143" w:name="_Toc397011594"/>
      <w:bookmarkStart w:id="13144" w:name="_Toc397012656"/>
      <w:bookmarkStart w:id="13145" w:name="_Toc397014998"/>
      <w:bookmarkStart w:id="13146" w:name="_Toc397015485"/>
      <w:bookmarkStart w:id="13147" w:name="_Toc397070556"/>
      <w:bookmarkStart w:id="13148" w:name="_Toc397413296"/>
      <w:bookmarkStart w:id="13149" w:name="_Toc397413443"/>
      <w:bookmarkStart w:id="13150" w:name="_Toc397428026"/>
      <w:bookmarkStart w:id="13151" w:name="_Toc397439414"/>
      <w:bookmarkStart w:id="13152" w:name="_Toc397439584"/>
      <w:bookmarkStart w:id="13153" w:name="_Toc397439840"/>
      <w:bookmarkStart w:id="13154" w:name="_Toc397440142"/>
      <w:bookmarkStart w:id="13155" w:name="_Toc397441771"/>
      <w:bookmarkStart w:id="13156" w:name="_Toc397517473"/>
      <w:bookmarkStart w:id="13157" w:name="_Toc397522738"/>
      <w:bookmarkStart w:id="13158" w:name="_Toc397526156"/>
      <w:bookmarkStart w:id="13159" w:name="_Toc397528471"/>
      <w:bookmarkStart w:id="13160" w:name="_Toc397528946"/>
      <w:bookmarkStart w:id="13161" w:name="_Toc397601943"/>
      <w:bookmarkStart w:id="13162" w:name="_Toc397602678"/>
      <w:bookmarkStart w:id="13163" w:name="_Toc397605807"/>
      <w:bookmarkStart w:id="13164" w:name="_Toc397614508"/>
      <w:bookmarkStart w:id="13165" w:name="_Toc397614951"/>
      <w:bookmarkStart w:id="13166" w:name="_Toc397616394"/>
      <w:bookmarkStart w:id="13167" w:name="_Toc397616788"/>
      <w:bookmarkStart w:id="13168" w:name="_Toc397679198"/>
      <w:bookmarkStart w:id="13169" w:name="_Toc397688086"/>
      <w:bookmarkStart w:id="13170" w:name="_Toc397689302"/>
      <w:bookmarkStart w:id="13171" w:name="_Toc397694582"/>
      <w:bookmarkStart w:id="13172" w:name="_Toc397696423"/>
      <w:bookmarkStart w:id="13173" w:name="_Toc397697157"/>
      <w:bookmarkStart w:id="13174" w:name="_Toc397698444"/>
      <w:bookmarkStart w:id="13175" w:name="_Toc397699810"/>
      <w:bookmarkStart w:id="13176" w:name="_Toc397700264"/>
      <w:bookmarkStart w:id="13177" w:name="_Toc397936656"/>
      <w:bookmarkStart w:id="13178" w:name="_Toc397936776"/>
      <w:bookmarkStart w:id="13179" w:name="_Toc397945932"/>
      <w:bookmarkStart w:id="13180" w:name="_Toc397946958"/>
      <w:bookmarkStart w:id="13181" w:name="_Toc397948077"/>
      <w:bookmarkStart w:id="13182" w:name="_Toc397958483"/>
      <w:bookmarkStart w:id="13183" w:name="_Toc397958725"/>
      <w:bookmarkStart w:id="13184" w:name="_Toc397959140"/>
      <w:bookmarkStart w:id="13185" w:name="_Toc397962993"/>
      <w:bookmarkStart w:id="13186" w:name="_Toc397963359"/>
      <w:bookmarkStart w:id="13187" w:name="_Toc397965436"/>
      <w:bookmarkStart w:id="13188" w:name="_Toc398197374"/>
      <w:bookmarkStart w:id="13189" w:name="_Toc398199877"/>
      <w:bookmarkStart w:id="13190" w:name="_Toc398201591"/>
      <w:bookmarkStart w:id="13191" w:name="_Toc398207196"/>
      <w:bookmarkStart w:id="13192" w:name="_Toc398210469"/>
      <w:bookmarkStart w:id="13193" w:name="_Toc398210983"/>
      <w:bookmarkStart w:id="13194" w:name="_Toc398219791"/>
      <w:bookmarkStart w:id="13195" w:name="_Toc398220166"/>
      <w:bookmarkStart w:id="13196" w:name="_Toc398220553"/>
      <w:bookmarkStart w:id="13197" w:name="_Toc398221631"/>
      <w:bookmarkStart w:id="13198" w:name="_Toc398222317"/>
      <w:bookmarkStart w:id="13199" w:name="_Toc398222629"/>
      <w:bookmarkStart w:id="13200" w:name="_Toc398223046"/>
      <w:bookmarkStart w:id="13201" w:name="_Toc398223425"/>
      <w:bookmarkStart w:id="13202" w:name="_Toc398223552"/>
      <w:bookmarkStart w:id="13203" w:name="_Toc398224360"/>
      <w:bookmarkStart w:id="13204" w:name="_Toc398225697"/>
      <w:bookmarkStart w:id="13205" w:name="_Toc398225822"/>
      <w:bookmarkStart w:id="13206" w:name="_Toc398281309"/>
      <w:bookmarkStart w:id="13207" w:name="_Toc398282168"/>
      <w:bookmarkStart w:id="13208" w:name="_Toc398284838"/>
      <w:bookmarkStart w:id="13209" w:name="_Toc398287307"/>
      <w:bookmarkStart w:id="13210" w:name="_Toc398289190"/>
      <w:bookmarkStart w:id="13211" w:name="_Toc398297187"/>
      <w:bookmarkStart w:id="13212" w:name="_Toc398298661"/>
      <w:bookmarkStart w:id="13213" w:name="_Toc398300362"/>
      <w:bookmarkStart w:id="13214" w:name="_Toc398301259"/>
      <w:bookmarkStart w:id="13215" w:name="_Toc398302444"/>
      <w:bookmarkStart w:id="13216" w:name="_Toc398302607"/>
      <w:bookmarkStart w:id="13217" w:name="_Toc398549121"/>
      <w:bookmarkStart w:id="13218" w:name="_Toc398549371"/>
      <w:bookmarkStart w:id="13219" w:name="_Toc398555790"/>
      <w:bookmarkStart w:id="13220" w:name="_Toc398558994"/>
      <w:bookmarkStart w:id="13221" w:name="_Toc398563480"/>
      <w:bookmarkStart w:id="13222" w:name="_Toc398563613"/>
      <w:bookmarkStart w:id="13223" w:name="_Toc398564012"/>
      <w:bookmarkStart w:id="13224" w:name="_Toc398827350"/>
      <w:bookmarkStart w:id="13225" w:name="_Toc398827544"/>
      <w:r w:rsidRPr="008625DC">
        <w:lastRenderedPageBreak/>
        <w:t xml:space="preserve">Part </w:t>
      </w:r>
      <w:r w:rsidR="008A4E71" w:rsidRPr="008625DC">
        <w:t>3</w:t>
      </w:r>
      <w:bookmarkEnd w:id="13118"/>
      <w:r w:rsidR="00380141" w:rsidRPr="008625DC">
        <w:t xml:space="preserve"> — </w:t>
      </w:r>
      <w:r w:rsidR="001E3246" w:rsidRPr="008625DC">
        <w:t xml:space="preserve">Competition </w:t>
      </w:r>
      <w:r w:rsidR="007A2861" w:rsidRPr="008625DC">
        <w:t>P</w:t>
      </w:r>
      <w:r w:rsidR="001E3246" w:rsidRPr="008625DC">
        <w:t>olicy</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1896"/>
      <w:bookmarkEnd w:id="1897"/>
      <w:bookmarkEnd w:id="1898"/>
      <w:bookmarkEnd w:id="1899"/>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p>
    <w:p w14:paraId="49F3655C" w14:textId="3C084768" w:rsidR="007403CC" w:rsidRPr="008625DC" w:rsidRDefault="006109A1" w:rsidP="006109A1">
      <w:bookmarkStart w:id="13226" w:name="_Toc394995417"/>
      <w:bookmarkStart w:id="13227" w:name="_Toc394995731"/>
      <w:r w:rsidRPr="008625DC">
        <w:t xml:space="preserve">In this Part we examine </w:t>
      </w:r>
      <w:r w:rsidR="007A2861" w:rsidRPr="008625DC">
        <w:t xml:space="preserve">the current state of </w:t>
      </w:r>
      <w:r w:rsidRPr="008625DC">
        <w:t>Australia</w:t>
      </w:r>
      <w:r w:rsidR="00C74E19" w:rsidRPr="008625DC">
        <w:t>’</w:t>
      </w:r>
      <w:r w:rsidRPr="008625DC">
        <w:t>s competition policy</w:t>
      </w:r>
      <w:r w:rsidR="007A2861" w:rsidRPr="008625DC">
        <w:t xml:space="preserve"> and test its fitness for purpose against the criteria identified in </w:t>
      </w:r>
      <w:hyperlink w:anchor="Pt1" w:history="1">
        <w:r w:rsidR="007A2861" w:rsidRPr="008625DC">
          <w:rPr>
            <w:rStyle w:val="Hyperlink"/>
          </w:rPr>
          <w:t>Part 1</w:t>
        </w:r>
      </w:hyperlink>
      <w:r w:rsidR="007A2861" w:rsidRPr="008625DC">
        <w:t>.</w:t>
      </w:r>
      <w:r w:rsidR="00A273D9" w:rsidRPr="008625DC">
        <w:t xml:space="preserve"> </w:t>
      </w:r>
    </w:p>
    <w:p w14:paraId="21C96DE3" w14:textId="6358D12F" w:rsidR="00B938DF" w:rsidRPr="008625DC" w:rsidRDefault="00B938DF" w:rsidP="00B938DF">
      <w:r w:rsidRPr="008625DC">
        <w:t xml:space="preserve">We identify </w:t>
      </w:r>
      <w:r w:rsidR="007A2861" w:rsidRPr="008625DC">
        <w:t>areas where existing</w:t>
      </w:r>
      <w:r w:rsidRPr="008625DC">
        <w:t xml:space="preserve"> </w:t>
      </w:r>
      <w:r w:rsidR="00A273D9" w:rsidRPr="008625DC">
        <w:t xml:space="preserve">competition policy </w:t>
      </w:r>
      <w:r w:rsidR="00B0577D" w:rsidRPr="008625DC">
        <w:t xml:space="preserve">may </w:t>
      </w:r>
      <w:r w:rsidR="007A2861" w:rsidRPr="008625DC">
        <w:t>not serve the long</w:t>
      </w:r>
      <w:r w:rsidR="00C74E19" w:rsidRPr="008625DC">
        <w:noBreakHyphen/>
      </w:r>
      <w:r w:rsidR="007A2861" w:rsidRPr="008625DC">
        <w:t>term interests of</w:t>
      </w:r>
      <w:r w:rsidRPr="008625DC">
        <w:t xml:space="preserve"> consumer</w:t>
      </w:r>
      <w:r w:rsidR="007A2861" w:rsidRPr="008625DC">
        <w:t>s</w:t>
      </w:r>
      <w:r w:rsidR="00B0577D" w:rsidRPr="008625DC">
        <w:t>, especially in light of the forces for change bearing on the Australian economy</w:t>
      </w:r>
      <w:r w:rsidRPr="008625DC">
        <w:t>.</w:t>
      </w:r>
    </w:p>
    <w:p w14:paraId="28F653C0" w14:textId="69202E5D" w:rsidR="003B4948" w:rsidRPr="008625DC" w:rsidRDefault="00F774EA" w:rsidP="00B938DF">
      <w:bookmarkStart w:id="13228" w:name="_Toc395084961"/>
      <w:bookmarkStart w:id="13229" w:name="_Toc394330401"/>
      <w:bookmarkStart w:id="13230" w:name="_Toc394330498"/>
      <w:bookmarkStart w:id="13231" w:name="_Toc394331332"/>
      <w:bookmarkStart w:id="13232" w:name="_Toc394330117"/>
      <w:bookmarkStart w:id="13233" w:name="_Toc394333091"/>
      <w:bookmarkStart w:id="13234" w:name="_Toc394333408"/>
      <w:bookmarkStart w:id="13235" w:name="_Toc394333504"/>
      <w:bookmarkStart w:id="13236" w:name="_Toc394333821"/>
      <w:bookmarkStart w:id="13237" w:name="_Toc394333917"/>
      <w:bookmarkStart w:id="13238" w:name="_Toc394334234"/>
      <w:bookmarkStart w:id="13239" w:name="_Toc394334743"/>
      <w:bookmarkStart w:id="13240" w:name="_Toc394335060"/>
      <w:bookmarkStart w:id="13241" w:name="_Toc394414932"/>
      <w:bookmarkStart w:id="13242" w:name="_Toc394415264"/>
      <w:bookmarkStart w:id="13243" w:name="_Toc394412237"/>
      <w:bookmarkStart w:id="13244" w:name="_Toc394412573"/>
      <w:bookmarkStart w:id="13245" w:name="_Toc394420513"/>
      <w:bookmarkStart w:id="13246" w:name="_Toc394420866"/>
      <w:bookmarkStart w:id="13247" w:name="_Toc394420987"/>
      <w:bookmarkStart w:id="13248" w:name="_Toc394423357"/>
      <w:bookmarkStart w:id="13249" w:name="_Toc394423707"/>
      <w:bookmarkStart w:id="13250" w:name="_Toc394420291"/>
      <w:bookmarkStart w:id="13251" w:name="_Toc394422400"/>
      <w:bookmarkStart w:id="13252" w:name="_Toc394422751"/>
      <w:bookmarkStart w:id="13253" w:name="_Toc394422871"/>
      <w:bookmarkStart w:id="13254" w:name="_Toc394423222"/>
      <w:bookmarkStart w:id="13255" w:name="_Toc394424021"/>
      <w:bookmarkStart w:id="13256" w:name="_Toc394424370"/>
      <w:bookmarkStart w:id="13257" w:name="_Toc394491856"/>
      <w:bookmarkStart w:id="13258" w:name="_Toc394492201"/>
      <w:bookmarkStart w:id="13259" w:name="_Toc394495001"/>
      <w:bookmarkStart w:id="13260" w:name="_Toc394495345"/>
      <w:bookmarkStart w:id="13261" w:name="_Toc394497813"/>
      <w:bookmarkStart w:id="13262" w:name="_Toc394498160"/>
      <w:bookmarkStart w:id="13263" w:name="_Toc394500605"/>
      <w:bookmarkStart w:id="13264" w:name="_Toc394500950"/>
      <w:bookmarkStart w:id="13265" w:name="_Toc394502009"/>
      <w:bookmarkStart w:id="13266" w:name="_Toc394502347"/>
      <w:bookmarkStart w:id="13267" w:name="_Toc394502911"/>
      <w:bookmarkStart w:id="13268" w:name="_Toc394503706"/>
      <w:bookmarkStart w:id="13269" w:name="_Toc394502146"/>
      <w:bookmarkStart w:id="13270" w:name="_Toc394502795"/>
      <w:bookmarkStart w:id="13271" w:name="_Toc394505662"/>
      <w:bookmarkStart w:id="13272" w:name="_Toc394506123"/>
      <w:bookmarkStart w:id="13273" w:name="_Toc394506001"/>
      <w:bookmarkStart w:id="13274" w:name="_Toc394506461"/>
      <w:bookmarkStart w:id="13275" w:name="_Toc394506675"/>
      <w:bookmarkStart w:id="13276" w:name="_Toc394507015"/>
      <w:bookmarkStart w:id="13277" w:name="_Toc394560748"/>
      <w:bookmarkStart w:id="13278" w:name="_Toc394561090"/>
      <w:bookmarkStart w:id="13279" w:name="_Toc394561212"/>
      <w:bookmarkStart w:id="13280" w:name="_Toc394561923"/>
      <w:bookmarkStart w:id="13281" w:name="_Toc394582940"/>
      <w:bookmarkStart w:id="13282" w:name="_Toc394585611"/>
      <w:bookmarkStart w:id="13283" w:name="_Toc394586077"/>
      <w:bookmarkStart w:id="13284" w:name="_Toc394588009"/>
      <w:bookmarkStart w:id="13285" w:name="_Toc394588844"/>
      <w:bookmarkStart w:id="13286" w:name="_Toc394588969"/>
      <w:bookmarkStart w:id="13287" w:name="_Toc394590385"/>
      <w:bookmarkStart w:id="13288" w:name="_Toc394590578"/>
      <w:bookmarkStart w:id="13289" w:name="_Toc394654482"/>
      <w:bookmarkStart w:id="13290" w:name="_Toc394654640"/>
      <w:bookmarkStart w:id="13291" w:name="_Toc394656182"/>
      <w:bookmarkStart w:id="13292" w:name="_Toc394656339"/>
      <w:bookmarkStart w:id="13293" w:name="_Toc394659319"/>
      <w:bookmarkStart w:id="13294" w:name="_Toc394659477"/>
      <w:bookmarkStart w:id="13295" w:name="_Toc394663332"/>
      <w:bookmarkStart w:id="13296" w:name="_Toc394663488"/>
      <w:bookmarkStart w:id="13297" w:name="_Toc394667126"/>
      <w:bookmarkStart w:id="13298" w:name="_Toc394667282"/>
      <w:bookmarkStart w:id="13299" w:name="_Toc394671605"/>
      <w:bookmarkStart w:id="13300" w:name="_Toc394671765"/>
      <w:bookmarkStart w:id="13301" w:name="_Toc394674607"/>
      <w:bookmarkStart w:id="13302" w:name="_Toc394674770"/>
      <w:bookmarkStart w:id="13303" w:name="_Toc394674884"/>
      <w:bookmarkStart w:id="13304" w:name="_Toc394675050"/>
      <w:bookmarkStart w:id="13305" w:name="_Toc394675995"/>
      <w:bookmarkStart w:id="13306" w:name="_Toc394676157"/>
      <w:bookmarkStart w:id="13307" w:name="_Toc394675683"/>
      <w:bookmarkStart w:id="13308" w:name="_Toc394675846"/>
      <w:bookmarkStart w:id="13309" w:name="_Toc394918246"/>
      <w:bookmarkStart w:id="13310" w:name="_Toc394918760"/>
      <w:bookmarkStart w:id="13311" w:name="_Toc394930732"/>
      <w:bookmarkStart w:id="13312" w:name="_Toc394933646"/>
      <w:bookmarkStart w:id="13313" w:name="_Toc394938092"/>
      <w:bookmarkStart w:id="13314" w:name="_Toc394938594"/>
      <w:bookmarkStart w:id="13315" w:name="_Toc394937876"/>
      <w:bookmarkStart w:id="13316" w:name="_Toc394941004"/>
      <w:bookmarkStart w:id="13317" w:name="_Toc394941505"/>
      <w:bookmarkStart w:id="13318" w:name="_Toc394941620"/>
      <w:bookmarkStart w:id="13319" w:name="_Toc394942121"/>
      <w:bookmarkStart w:id="13320" w:name="_Toc394939841"/>
      <w:bookmarkStart w:id="13321" w:name="_Toc394940343"/>
      <w:bookmarkStart w:id="13322" w:name="_Toc394939453"/>
      <w:bookmarkStart w:id="13323" w:name="_Toc394940557"/>
      <w:bookmarkStart w:id="13324" w:name="_Toc394996039"/>
      <w:bookmarkStart w:id="13325" w:name="_Toc394997765"/>
      <w:bookmarkStart w:id="13326" w:name="_Toc394997976"/>
      <w:bookmarkStart w:id="13327" w:name="_Toc394998280"/>
      <w:bookmarkStart w:id="13328" w:name="_Toc394998490"/>
      <w:bookmarkStart w:id="13329" w:name="_Toc395001775"/>
      <w:bookmarkStart w:id="13330" w:name="_Toc395001989"/>
      <w:bookmarkStart w:id="13331" w:name="_Toc395003343"/>
      <w:bookmarkStart w:id="13332" w:name="_Toc395005153"/>
      <w:bookmarkStart w:id="13333" w:name="_Toc395005369"/>
      <w:bookmarkStart w:id="13334" w:name="_Toc395005584"/>
      <w:bookmarkStart w:id="13335" w:name="_Toc395005147"/>
      <w:bookmarkStart w:id="13336" w:name="_Toc395008946"/>
      <w:bookmarkStart w:id="13337" w:name="_Toc395011732"/>
      <w:bookmarkStart w:id="13338" w:name="_Toc395010132"/>
      <w:bookmarkStart w:id="13339" w:name="_Toc395010316"/>
      <w:bookmarkStart w:id="13340" w:name="_Toc395009974"/>
      <w:bookmarkStart w:id="13341" w:name="_Toc395011500"/>
      <w:bookmarkStart w:id="13342" w:name="_Toc395012318"/>
      <w:bookmarkStart w:id="13343" w:name="_Toc395012501"/>
      <w:bookmarkStart w:id="13344" w:name="_Toc395012908"/>
      <w:bookmarkStart w:id="13345" w:name="_Toc395010723"/>
      <w:bookmarkStart w:id="13346" w:name="_Toc395010906"/>
      <w:bookmarkStart w:id="13347" w:name="_Toc395012196"/>
      <w:bookmarkStart w:id="13348" w:name="_Toc395012850"/>
      <w:bookmarkStart w:id="13349" w:name="_Toc395011964"/>
      <w:bookmarkStart w:id="13350" w:name="_Toc395014597"/>
      <w:bookmarkStart w:id="13351" w:name="_Toc395013188"/>
      <w:bookmarkStart w:id="13352" w:name="_Toc395084660"/>
      <w:bookmarkStart w:id="13353" w:name="_Toc395090225"/>
      <w:bookmarkStart w:id="13354" w:name="_Toc395090415"/>
      <w:bookmarkStart w:id="13355" w:name="_Toc395090704"/>
      <w:bookmarkStart w:id="13356" w:name="_Toc395092805"/>
      <w:bookmarkStart w:id="13357" w:name="_Toc395092999"/>
      <w:bookmarkStart w:id="13358" w:name="_Toc395093287"/>
      <w:bookmarkStart w:id="13359" w:name="_Toc395097716"/>
      <w:bookmarkStart w:id="13360" w:name="_Toc395097910"/>
      <w:bookmarkStart w:id="13361" w:name="_Toc395098197"/>
      <w:bookmarkStart w:id="13362" w:name="_Toc395105382"/>
      <w:bookmarkStart w:id="13363" w:name="_Toc395106985"/>
      <w:bookmarkStart w:id="13364" w:name="_Toc395109857"/>
      <w:bookmarkStart w:id="13365" w:name="_Toc395110049"/>
      <w:bookmarkStart w:id="13366" w:name="_Toc395109643"/>
      <w:bookmarkStart w:id="13367" w:name="_Toc395111860"/>
      <w:bookmarkStart w:id="13368" w:name="_Toc395112050"/>
      <w:bookmarkStart w:id="13369" w:name="_Toc395112348"/>
      <w:bookmarkStart w:id="13370" w:name="_Toc395106780"/>
      <w:bookmarkStart w:id="13371" w:name="_Toc395107190"/>
      <w:bookmarkStart w:id="13372" w:name="_Toc395107493"/>
      <w:bookmarkStart w:id="13373" w:name="_Toc395109448"/>
      <w:bookmarkStart w:id="13374" w:name="_Toc395108540"/>
      <w:bookmarkStart w:id="13375" w:name="_Toc395108753"/>
      <w:bookmarkStart w:id="13376" w:name="_Toc395113780"/>
      <w:bookmarkStart w:id="13377" w:name="_Toc395113993"/>
      <w:bookmarkStart w:id="13378" w:name="_Toc395114300"/>
      <w:bookmarkStart w:id="13379" w:name="_Toc395116516"/>
      <w:bookmarkStart w:id="13380" w:name="_Toc395116730"/>
      <w:bookmarkStart w:id="13381" w:name="_Toc395117038"/>
      <w:bookmarkStart w:id="13382" w:name="_Toc395112247"/>
      <w:bookmarkStart w:id="13383" w:name="_Toc395113156"/>
      <w:bookmarkStart w:id="13384" w:name="_Toc395114992"/>
      <w:bookmarkStart w:id="13385" w:name="_Toc395115207"/>
      <w:bookmarkStart w:id="13386" w:name="_Toc395115515"/>
      <w:bookmarkStart w:id="13387" w:name="_Toc395118149"/>
      <w:bookmarkStart w:id="13388" w:name="_Toc395118362"/>
      <w:bookmarkStart w:id="13389" w:name="_Toc395118667"/>
      <w:bookmarkStart w:id="13390" w:name="_Toc395178359"/>
      <w:bookmarkStart w:id="13391" w:name="_Toc395178691"/>
      <w:bookmarkStart w:id="13392" w:name="_Toc395624554"/>
      <w:bookmarkStart w:id="13393" w:name="_Toc395624848"/>
      <w:bookmarkStart w:id="13394" w:name="_Toc395789702"/>
      <w:bookmarkStart w:id="13395" w:name="_Toc395789906"/>
      <w:bookmarkStart w:id="13396" w:name="_Toc395800663"/>
      <w:r w:rsidRPr="008625DC">
        <w:t xml:space="preserve">The discussion is structured </w:t>
      </w:r>
      <w:r w:rsidR="009E1194" w:rsidRPr="008625DC">
        <w:t>to reflect</w:t>
      </w:r>
      <w:r w:rsidR="003B4948" w:rsidRPr="008625DC">
        <w:t xml:space="preserve"> </w:t>
      </w:r>
      <w:r w:rsidR="008B6A40" w:rsidRPr="008625DC">
        <w:t>six</w:t>
      </w:r>
      <w:r w:rsidR="003B4948" w:rsidRPr="008625DC">
        <w:t xml:space="preserve"> themes </w:t>
      </w:r>
      <w:r w:rsidR="009E1194" w:rsidRPr="008625DC">
        <w:t>as outlined</w:t>
      </w:r>
      <w:r w:rsidR="003B4948" w:rsidRPr="008625DC">
        <w:t xml:space="preserve"> in the diagram below.</w:t>
      </w:r>
    </w:p>
    <w:p w14:paraId="208015A9" w14:textId="0729DC4C" w:rsidR="004F63E5" w:rsidRPr="008625DC" w:rsidRDefault="007B2543" w:rsidP="00B938DF">
      <w:r w:rsidRPr="008625DC">
        <w:rPr>
          <w:noProof/>
        </w:rPr>
        <w:drawing>
          <wp:inline distT="0" distB="0" distL="0" distR="0" wp14:anchorId="5B656FA3" wp14:editId="4821FCF0">
            <wp:extent cx="5759450" cy="2165128"/>
            <wp:effectExtent l="0" t="0" r="0" b="6985"/>
            <wp:docPr id="9" name="Picture 9" descr="The diagram shows the discussion themes: anti-competitive regulation still remains; progress on infrastructure has been mixed; the human services sector presents opportunities to widen consumer choice and improve service quality; competitive neutrality policy and enforcement are no longer best practice; government procurement can inhibit innovation; and key retail markets are concentrated, but not uniquely so." title="Competition policy - discussio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165128"/>
                    </a:xfrm>
                    <a:prstGeom prst="rect">
                      <a:avLst/>
                    </a:prstGeom>
                    <a:noFill/>
                    <a:ln>
                      <a:noFill/>
                    </a:ln>
                  </pic:spPr>
                </pic:pic>
              </a:graphicData>
            </a:graphic>
          </wp:inline>
        </w:drawing>
      </w:r>
    </w:p>
    <w:p w14:paraId="43CE6830" w14:textId="77777777" w:rsidR="001F2F96" w:rsidRPr="008625DC" w:rsidRDefault="001F2F96">
      <w:pPr>
        <w:spacing w:before="0" w:after="0"/>
        <w:sectPr w:rsidR="001F2F96" w:rsidRPr="008625DC" w:rsidSect="00AA577F">
          <w:headerReference w:type="default" r:id="rId43"/>
          <w:footerReference w:type="default" r:id="rId44"/>
          <w:pgSz w:w="11906" w:h="16838" w:code="9"/>
          <w:pgMar w:top="1418" w:right="1418" w:bottom="1418" w:left="1418" w:header="709" w:footer="709" w:gutter="0"/>
          <w:cols w:space="708"/>
          <w:docGrid w:linePitch="360"/>
        </w:sectPr>
      </w:pPr>
      <w:bookmarkStart w:id="13397" w:name="_Toc396201583"/>
      <w:bookmarkStart w:id="13398" w:name="_Toc396202373"/>
      <w:bookmarkStart w:id="13399" w:name="_Toc396202668"/>
      <w:bookmarkStart w:id="13400" w:name="_Toc396203285"/>
      <w:bookmarkStart w:id="13401" w:name="_Toc396206581"/>
      <w:bookmarkStart w:id="13402" w:name="_Toc396206875"/>
      <w:bookmarkStart w:id="13403" w:name="_Toc396209409"/>
      <w:bookmarkStart w:id="13404" w:name="_Toc396209703"/>
      <w:bookmarkStart w:id="13405" w:name="_Toc396211833"/>
      <w:bookmarkStart w:id="13406" w:name="_Toc396212127"/>
      <w:bookmarkStart w:id="13407" w:name="_Toc396213177"/>
      <w:bookmarkStart w:id="13408" w:name="_Toc396213469"/>
      <w:bookmarkStart w:id="13409" w:name="_Toc396214020"/>
      <w:bookmarkStart w:id="13410" w:name="_Toc396214455"/>
      <w:bookmarkStart w:id="13411" w:name="_Toc396214745"/>
      <w:bookmarkStart w:id="13412" w:name="_Toc396220305"/>
      <w:bookmarkStart w:id="13413" w:name="_Toc396226567"/>
      <w:bookmarkStart w:id="13414" w:name="_Toc396226856"/>
      <w:bookmarkStart w:id="13415" w:name="_Toc396229062"/>
      <w:bookmarkStart w:id="13416" w:name="_Toc396230409"/>
      <w:bookmarkStart w:id="13417" w:name="_Toc396230704"/>
      <w:bookmarkStart w:id="13418" w:name="_Toc396231846"/>
      <w:bookmarkStart w:id="13419" w:name="_Toc396233189"/>
      <w:bookmarkStart w:id="13420" w:name="_Toc396233486"/>
      <w:bookmarkStart w:id="13421" w:name="_Toc396234009"/>
      <w:bookmarkStart w:id="13422" w:name="_Toc396234306"/>
      <w:bookmarkStart w:id="13423" w:name="_Toc396234419"/>
      <w:bookmarkStart w:id="13424" w:name="_Toc396236153"/>
      <w:bookmarkStart w:id="13425" w:name="_Toc396235931"/>
      <w:bookmarkStart w:id="13426" w:name="_Toc396236541"/>
      <w:bookmarkStart w:id="13427" w:name="_Toc396237060"/>
      <w:bookmarkStart w:id="13428" w:name="_Toc396304584"/>
      <w:bookmarkStart w:id="13429" w:name="_Toc396586119"/>
      <w:bookmarkStart w:id="13430" w:name="_Toc396815140"/>
      <w:bookmarkStart w:id="13431" w:name="_Toc396821089"/>
      <w:bookmarkStart w:id="13432" w:name="_Toc396821697"/>
      <w:bookmarkStart w:id="13433" w:name="_Toc396827547"/>
      <w:bookmarkStart w:id="13434" w:name="_Toc396828518"/>
      <w:bookmarkStart w:id="13435" w:name="_Toc396828628"/>
      <w:bookmarkStart w:id="13436" w:name="_Toc396838017"/>
      <w:bookmarkStart w:id="13437" w:name="_Toc396838415"/>
      <w:bookmarkStart w:id="13438" w:name="_Toc396904738"/>
      <w:bookmarkStart w:id="13439" w:name="_Toc396907572"/>
      <w:bookmarkStart w:id="13440" w:name="_Toc396912491"/>
      <w:bookmarkStart w:id="13441" w:name="_Toc396914471"/>
      <w:bookmarkStart w:id="13442" w:name="_Toc396915355"/>
      <w:bookmarkStart w:id="13443" w:name="_Toc396915749"/>
      <w:bookmarkStart w:id="13444" w:name="_Toc396921060"/>
      <w:bookmarkStart w:id="13445" w:name="_Toc396924400"/>
      <w:bookmarkStart w:id="13446" w:name="_Toc396925094"/>
      <w:bookmarkStart w:id="13447" w:name="_Toc396992214"/>
      <w:bookmarkStart w:id="13448" w:name="_Toc396992793"/>
      <w:bookmarkStart w:id="13449" w:name="_Toc396994457"/>
      <w:bookmarkStart w:id="13450" w:name="_Toc397002228"/>
      <w:bookmarkStart w:id="13451" w:name="_Toc397003147"/>
      <w:bookmarkStart w:id="13452" w:name="_Toc397008705"/>
      <w:bookmarkStart w:id="13453" w:name="_Toc397008923"/>
      <w:bookmarkStart w:id="13454" w:name="_Toc397011595"/>
      <w:bookmarkStart w:id="13455" w:name="_Toc397012657"/>
      <w:bookmarkStart w:id="13456" w:name="_Toc397014999"/>
      <w:bookmarkStart w:id="13457" w:name="_Toc397015486"/>
      <w:bookmarkStart w:id="13458" w:name="_Toc397413297"/>
      <w:bookmarkStart w:id="13459" w:name="_Toc397413444"/>
      <w:bookmarkStart w:id="13460" w:name="_Toc397428027"/>
      <w:bookmarkStart w:id="13461" w:name="_Toc397439415"/>
      <w:bookmarkStart w:id="13462" w:name="_Toc397439585"/>
      <w:bookmarkStart w:id="13463" w:name="_Toc397439841"/>
      <w:bookmarkStart w:id="13464" w:name="_Toc397440143"/>
      <w:bookmarkStart w:id="13465" w:name="_Toc397441772"/>
      <w:bookmarkStart w:id="13466" w:name="_Toc397517474"/>
      <w:bookmarkStart w:id="13467" w:name="_Toc397522739"/>
      <w:bookmarkStart w:id="13468" w:name="_Toc397526157"/>
      <w:bookmarkStart w:id="13469" w:name="_Toc397528472"/>
      <w:bookmarkStart w:id="13470" w:name="_Toc397528947"/>
      <w:bookmarkStart w:id="13471" w:name="_Toc397601944"/>
      <w:bookmarkStart w:id="13472" w:name="_Toc397602679"/>
      <w:bookmarkStart w:id="13473" w:name="_Toc397605808"/>
      <w:bookmarkStart w:id="13474" w:name="_Toc397614509"/>
      <w:bookmarkStart w:id="13475" w:name="_Toc397614952"/>
      <w:bookmarkStart w:id="13476" w:name="_Toc397616395"/>
      <w:bookmarkStart w:id="13477" w:name="_Toc397616789"/>
      <w:bookmarkStart w:id="13478" w:name="_Toc397679199"/>
      <w:bookmarkStart w:id="13479" w:name="_Toc397688087"/>
      <w:bookmarkStart w:id="13480" w:name="_Toc397689303"/>
      <w:bookmarkStart w:id="13481" w:name="_Toc397694583"/>
      <w:bookmarkStart w:id="13482" w:name="_Toc397696424"/>
      <w:bookmarkStart w:id="13483" w:name="_Toc397697158"/>
      <w:bookmarkStart w:id="13484" w:name="_Toc397698445"/>
      <w:bookmarkStart w:id="13485" w:name="_Toc397699811"/>
      <w:bookmarkStart w:id="13486" w:name="_Toc397700265"/>
      <w:bookmarkStart w:id="13487" w:name="_Toc397936657"/>
      <w:bookmarkStart w:id="13488" w:name="_Toc397936777"/>
      <w:bookmarkStart w:id="13489" w:name="_Toc397945933"/>
      <w:bookmarkStart w:id="13490" w:name="_Toc392149035"/>
      <w:bookmarkStart w:id="13491" w:name="_Toc392159485"/>
      <w:bookmarkStart w:id="13492" w:name="_Toc392162250"/>
      <w:bookmarkStart w:id="13493" w:name="_Toc392163926"/>
      <w:bookmarkStart w:id="13494" w:name="_Toc392168961"/>
      <w:bookmarkStart w:id="13495" w:name="_Toc392169893"/>
      <w:bookmarkStart w:id="13496" w:name="_Toc392170587"/>
      <w:bookmarkStart w:id="13497" w:name="_Toc392170761"/>
      <w:bookmarkStart w:id="13498" w:name="_Toc392171176"/>
      <w:bookmarkStart w:id="13499" w:name="_Toc392172765"/>
      <w:bookmarkStart w:id="13500" w:name="_Toc392173128"/>
      <w:bookmarkStart w:id="13501" w:name="_Toc392173304"/>
      <w:bookmarkStart w:id="13502" w:name="_Toc392238293"/>
      <w:bookmarkStart w:id="13503" w:name="_Toc392247595"/>
      <w:bookmarkStart w:id="13504" w:name="_Toc392247870"/>
      <w:bookmarkStart w:id="13505" w:name="_Toc392248542"/>
      <w:bookmarkStart w:id="13506" w:name="_Toc392251075"/>
      <w:bookmarkStart w:id="13507" w:name="_Toc392253699"/>
      <w:bookmarkStart w:id="13508" w:name="_Toc392253876"/>
      <w:bookmarkStart w:id="13509" w:name="_Toc392255467"/>
      <w:bookmarkStart w:id="13510" w:name="_Toc392256262"/>
      <w:bookmarkStart w:id="13511" w:name="_Toc392257457"/>
      <w:bookmarkStart w:id="13512" w:name="_Toc392498474"/>
      <w:bookmarkStart w:id="13513" w:name="_Toc392500468"/>
      <w:bookmarkStart w:id="13514" w:name="_Toc392513282"/>
      <w:bookmarkStart w:id="13515" w:name="_Toc392514195"/>
      <w:bookmarkStart w:id="13516" w:name="_Toc392515382"/>
      <w:bookmarkStart w:id="13517" w:name="_Toc392516481"/>
      <w:bookmarkStart w:id="13518" w:name="_Toc392517310"/>
      <w:bookmarkStart w:id="13519" w:name="_Toc392517229"/>
      <w:bookmarkStart w:id="13520" w:name="_Toc392517577"/>
      <w:bookmarkStart w:id="13521" w:name="_Toc392517731"/>
      <w:bookmarkStart w:id="13522" w:name="_Toc392517811"/>
      <w:bookmarkStart w:id="13523" w:name="_Toc392685011"/>
      <w:bookmarkStart w:id="13524" w:name="_Toc392685101"/>
      <w:bookmarkStart w:id="13525" w:name="_Toc392687264"/>
      <w:bookmarkStart w:id="13526" w:name="_Toc392688432"/>
      <w:bookmarkStart w:id="13527" w:name="_Toc392689432"/>
      <w:bookmarkStart w:id="13528" w:name="_Toc392690216"/>
      <w:bookmarkStart w:id="13529" w:name="_Toc392843430"/>
      <w:bookmarkStart w:id="13530" w:name="_Toc392853064"/>
      <w:bookmarkStart w:id="13531" w:name="_Toc392859821"/>
      <w:bookmarkStart w:id="13532" w:name="_Toc392860709"/>
      <w:bookmarkStart w:id="13533" w:name="_Toc392861479"/>
      <w:bookmarkStart w:id="13534" w:name="_Toc393203436"/>
      <w:bookmarkStart w:id="13535" w:name="_Toc393207216"/>
      <w:bookmarkStart w:id="13536" w:name="_Toc393207307"/>
      <w:bookmarkStart w:id="13537" w:name="_Toc393208080"/>
      <w:bookmarkStart w:id="13538" w:name="_Toc393208178"/>
      <w:bookmarkStart w:id="13539" w:name="_Toc393208267"/>
      <w:bookmarkStart w:id="13540" w:name="_Toc393208356"/>
      <w:bookmarkStart w:id="13541" w:name="_Toc393209680"/>
      <w:bookmarkStart w:id="13542" w:name="_Toc393276043"/>
      <w:bookmarkStart w:id="13543" w:name="_Toc393278945"/>
      <w:bookmarkStart w:id="13544" w:name="_Toc393289830"/>
      <w:bookmarkStart w:id="13545" w:name="_Toc393289925"/>
      <w:bookmarkStart w:id="13546" w:name="_Toc393292310"/>
      <w:bookmarkStart w:id="13547" w:name="_Toc393293932"/>
      <w:bookmarkStart w:id="13548" w:name="_Toc393294951"/>
      <w:bookmarkStart w:id="13549" w:name="_Toc393295256"/>
      <w:bookmarkStart w:id="13550" w:name="_Toc393296247"/>
      <w:bookmarkStart w:id="13551" w:name="_Toc393363185"/>
      <w:bookmarkStart w:id="13552" w:name="_Toc393372242"/>
      <w:bookmarkStart w:id="13553" w:name="_Toc393373336"/>
      <w:bookmarkStart w:id="13554" w:name="_Toc393374444"/>
      <w:bookmarkStart w:id="13555" w:name="_Toc393379214"/>
      <w:bookmarkStart w:id="13556" w:name="_Toc393379826"/>
      <w:bookmarkStart w:id="13557" w:name="_Toc393379922"/>
      <w:bookmarkStart w:id="13558" w:name="_Toc393879190"/>
      <w:bookmarkStart w:id="13559" w:name="_Toc393879421"/>
      <w:bookmarkStart w:id="13560" w:name="_Toc393903400"/>
      <w:bookmarkStart w:id="13561" w:name="_Toc393903604"/>
      <w:bookmarkStart w:id="13562" w:name="_Toc393902612"/>
      <w:bookmarkStart w:id="13563" w:name="_Toc393902816"/>
      <w:bookmarkStart w:id="13564" w:name="_Toc393905318"/>
      <w:bookmarkStart w:id="13565" w:name="_Toc393905522"/>
      <w:bookmarkStart w:id="13566" w:name="_Toc393904175"/>
      <w:bookmarkStart w:id="13567" w:name="_Toc393904378"/>
      <w:bookmarkStart w:id="13568" w:name="_Toc393903791"/>
      <w:bookmarkStart w:id="13569" w:name="_Toc393903995"/>
      <w:bookmarkStart w:id="13570" w:name="_Toc393905629"/>
      <w:bookmarkStart w:id="13571" w:name="_Toc393905832"/>
      <w:bookmarkStart w:id="13572" w:name="_Toc393906008"/>
      <w:bookmarkStart w:id="13573" w:name="_Toc393906213"/>
      <w:bookmarkStart w:id="13574" w:name="_Toc393907985"/>
      <w:bookmarkStart w:id="13575" w:name="_Toc393908191"/>
      <w:bookmarkStart w:id="13576" w:name="_Toc393906426"/>
      <w:bookmarkStart w:id="13577" w:name="_Toc393906632"/>
      <w:bookmarkStart w:id="13578" w:name="_Toc393967951"/>
      <w:bookmarkStart w:id="13579" w:name="_Toc393968159"/>
      <w:bookmarkStart w:id="13580" w:name="_Toc393974078"/>
      <w:bookmarkStart w:id="13581" w:name="_Toc393974290"/>
      <w:bookmarkStart w:id="13582" w:name="_Toc393977723"/>
      <w:bookmarkStart w:id="13583" w:name="_Toc393977939"/>
      <w:bookmarkStart w:id="13584" w:name="_Toc393985106"/>
      <w:bookmarkStart w:id="13585" w:name="_Toc393985324"/>
      <w:bookmarkStart w:id="13586" w:name="_Toc393985609"/>
      <w:bookmarkStart w:id="13587" w:name="_Toc393985828"/>
      <w:bookmarkStart w:id="13588" w:name="_Toc393986011"/>
      <w:bookmarkStart w:id="13589" w:name="_Toc393986230"/>
      <w:bookmarkStart w:id="13590" w:name="_Toc393986414"/>
      <w:bookmarkStart w:id="13591" w:name="_Toc393988021"/>
      <w:bookmarkStart w:id="13592" w:name="_Toc393988240"/>
      <w:bookmarkStart w:id="13593" w:name="_Toc393988423"/>
      <w:bookmarkStart w:id="13594" w:name="_Toc393988642"/>
      <w:bookmarkStart w:id="13595" w:name="_Toc393986634"/>
      <w:bookmarkStart w:id="13596" w:name="_Toc393989435"/>
      <w:bookmarkStart w:id="13597" w:name="_Toc393989654"/>
      <w:bookmarkStart w:id="13598" w:name="_Toc393988823"/>
      <w:bookmarkStart w:id="13599" w:name="_Toc393989042"/>
      <w:bookmarkStart w:id="13600" w:name="_Toc393990827"/>
      <w:bookmarkStart w:id="13601" w:name="_Toc393991046"/>
      <w:bookmarkStart w:id="13602" w:name="_Toc393991145"/>
      <w:bookmarkStart w:id="13603" w:name="_Toc393991809"/>
      <w:bookmarkStart w:id="13604" w:name="_Toc393992030"/>
      <w:bookmarkStart w:id="13605" w:name="_Toc394047472"/>
      <w:bookmarkStart w:id="13606" w:name="_Toc394047694"/>
      <w:bookmarkStart w:id="13607" w:name="_Toc394047805"/>
      <w:bookmarkStart w:id="13608" w:name="_Toc394048361"/>
      <w:bookmarkStart w:id="13609" w:name="_Toc394049748"/>
      <w:bookmarkStart w:id="13610" w:name="_Toc394049973"/>
      <w:bookmarkStart w:id="13611" w:name="_Toc394051148"/>
      <w:bookmarkStart w:id="13612" w:name="_Toc394051373"/>
      <w:bookmarkStart w:id="13613" w:name="_Toc394062137"/>
      <w:bookmarkStart w:id="13614" w:name="_Toc394062520"/>
      <w:bookmarkStart w:id="13615" w:name="_Toc394069012"/>
      <w:bookmarkStart w:id="13616" w:name="_Toc394069235"/>
      <w:bookmarkStart w:id="13617" w:name="_Toc394070930"/>
      <w:bookmarkStart w:id="13618" w:name="_Toc394071153"/>
      <w:bookmarkStart w:id="13619" w:name="_Toc394312333"/>
      <w:bookmarkStart w:id="13620" w:name="_Toc394330427"/>
      <w:bookmarkStart w:id="13621" w:name="_Toc394330625"/>
      <w:bookmarkStart w:id="13622" w:name="_Toc394331358"/>
      <w:bookmarkStart w:id="13623" w:name="_Toc394330245"/>
      <w:bookmarkStart w:id="13624" w:name="_Toc394333219"/>
      <w:bookmarkStart w:id="13625" w:name="_Toc394333434"/>
      <w:bookmarkStart w:id="13626" w:name="_Toc394332797"/>
      <w:bookmarkStart w:id="13627" w:name="_Toc394333632"/>
      <w:bookmarkStart w:id="13628" w:name="_Toc394333847"/>
      <w:bookmarkStart w:id="13629" w:name="_Toc394334045"/>
      <w:bookmarkStart w:id="13630" w:name="_Toc394334260"/>
      <w:bookmarkStart w:id="13631" w:name="_Toc394334871"/>
      <w:bookmarkStart w:id="13632" w:name="_Toc394335086"/>
      <w:bookmarkStart w:id="13633" w:name="_Toc394415055"/>
      <w:bookmarkStart w:id="13634" w:name="_Toc394415290"/>
      <w:bookmarkStart w:id="13635" w:name="_Toc394412360"/>
      <w:bookmarkStart w:id="13636" w:name="_Toc394412599"/>
      <w:bookmarkStart w:id="13637" w:name="_Toc394420650"/>
      <w:bookmarkStart w:id="13638" w:name="_Toc394420892"/>
      <w:bookmarkStart w:id="13639" w:name="_Toc394421124"/>
      <w:bookmarkStart w:id="13640" w:name="_Toc394423494"/>
      <w:bookmarkStart w:id="13641" w:name="_Toc394423733"/>
      <w:bookmarkStart w:id="13642" w:name="_Toc394420428"/>
      <w:bookmarkStart w:id="13643" w:name="_Toc394422538"/>
      <w:bookmarkStart w:id="13644" w:name="_Toc394422777"/>
      <w:bookmarkStart w:id="13645" w:name="_Toc394423009"/>
      <w:bookmarkStart w:id="13646" w:name="_Toc394423248"/>
      <w:bookmarkStart w:id="13647" w:name="_Toc394424159"/>
      <w:bookmarkStart w:id="13648" w:name="_Toc394424396"/>
      <w:bookmarkStart w:id="13649" w:name="_Toc394491992"/>
      <w:bookmarkStart w:id="13650" w:name="_Toc394492227"/>
      <w:bookmarkStart w:id="13651" w:name="_Toc394495137"/>
      <w:bookmarkStart w:id="13652" w:name="_Toc394495371"/>
      <w:bookmarkStart w:id="13653" w:name="_Toc394497952"/>
      <w:bookmarkStart w:id="13654" w:name="_Toc394498186"/>
      <w:bookmarkStart w:id="13655" w:name="_Toc394500744"/>
      <w:bookmarkStart w:id="13656" w:name="_Toc394500976"/>
      <w:bookmarkStart w:id="13657" w:name="_Toc394502148"/>
      <w:bookmarkStart w:id="13658" w:name="_Toc394502373"/>
      <w:bookmarkStart w:id="13659" w:name="_Toc394503050"/>
      <w:bookmarkStart w:id="13660" w:name="_Toc394503732"/>
      <w:bookmarkStart w:id="13661" w:name="_Toc394502594"/>
      <w:bookmarkStart w:id="13662" w:name="_Toc394502821"/>
      <w:bookmarkStart w:id="13663" w:name="_Toc394505801"/>
      <w:bookmarkStart w:id="13664" w:name="_Toc394506150"/>
      <w:bookmarkStart w:id="13665" w:name="_Toc394506260"/>
      <w:bookmarkStart w:id="13666" w:name="_Toc394506488"/>
      <w:bookmarkStart w:id="13667" w:name="_Toc394506814"/>
      <w:bookmarkStart w:id="13668" w:name="_Toc394507042"/>
      <w:bookmarkStart w:id="13669" w:name="_Toc394560891"/>
      <w:bookmarkStart w:id="13670" w:name="_Toc394561119"/>
      <w:bookmarkStart w:id="13671" w:name="_Toc394561352"/>
      <w:bookmarkStart w:id="13672" w:name="_Toc394561953"/>
      <w:bookmarkStart w:id="13673" w:name="_Toc394582957"/>
      <w:bookmarkStart w:id="13674" w:name="_Toc394585628"/>
      <w:bookmarkStart w:id="13675" w:name="_Toc394586094"/>
      <w:bookmarkStart w:id="13676" w:name="_Toc394588026"/>
      <w:bookmarkStart w:id="13677" w:name="_Toc394588861"/>
      <w:bookmarkStart w:id="13678" w:name="_Toc394588986"/>
      <w:bookmarkStart w:id="13679" w:name="_Toc394590402"/>
      <w:bookmarkStart w:id="13680" w:name="_Toc394590595"/>
      <w:bookmarkStart w:id="13681" w:name="_Toc394654497"/>
      <w:bookmarkStart w:id="13682" w:name="_Toc394654655"/>
      <w:bookmarkStart w:id="13683" w:name="_Toc394656197"/>
      <w:bookmarkStart w:id="13684" w:name="_Toc394656354"/>
      <w:bookmarkStart w:id="13685" w:name="_Toc394659334"/>
      <w:bookmarkStart w:id="13686" w:name="_Toc394659492"/>
      <w:bookmarkStart w:id="13687" w:name="_Toc394663347"/>
      <w:bookmarkStart w:id="13688" w:name="_Toc394663503"/>
      <w:bookmarkStart w:id="13689" w:name="_Toc394667141"/>
      <w:bookmarkStart w:id="13690" w:name="_Toc394667297"/>
      <w:bookmarkStart w:id="13691" w:name="_Toc394671620"/>
      <w:bookmarkStart w:id="13692" w:name="_Toc394671780"/>
      <w:bookmarkStart w:id="13693" w:name="_Toc394674622"/>
      <w:bookmarkStart w:id="13694" w:name="_Toc394674785"/>
      <w:bookmarkStart w:id="13695" w:name="_Toc394674899"/>
      <w:bookmarkStart w:id="13696" w:name="_Toc394675065"/>
      <w:bookmarkStart w:id="13697" w:name="_Toc394676010"/>
      <w:bookmarkStart w:id="13698" w:name="_Toc394676172"/>
      <w:bookmarkStart w:id="13699" w:name="_Toc394675698"/>
      <w:bookmarkStart w:id="13700" w:name="_Toc394675861"/>
      <w:bookmarkStart w:id="13701" w:name="_Toc394918261"/>
      <w:bookmarkStart w:id="13702" w:name="_Toc394918775"/>
      <w:bookmarkStart w:id="13703" w:name="_Toc394930747"/>
      <w:bookmarkStart w:id="13704" w:name="_Toc394933660"/>
      <w:bookmarkStart w:id="13705" w:name="_Toc394938106"/>
      <w:bookmarkStart w:id="13706" w:name="_Toc394938320"/>
      <w:bookmarkStart w:id="13707" w:name="_Toc394938608"/>
      <w:bookmarkStart w:id="13708" w:name="_Toc394937600"/>
      <w:bookmarkStart w:id="13709" w:name="_Toc394937890"/>
      <w:bookmarkStart w:id="13710" w:name="_Toc394941018"/>
      <w:bookmarkStart w:id="13711" w:name="_Toc394941231"/>
      <w:bookmarkStart w:id="13712" w:name="_Toc394941519"/>
      <w:bookmarkStart w:id="13713" w:name="_Toc394941634"/>
      <w:bookmarkStart w:id="13714" w:name="_Toc394941847"/>
      <w:bookmarkStart w:id="13715" w:name="_Toc394942135"/>
      <w:bookmarkStart w:id="13716" w:name="_Toc394939855"/>
      <w:bookmarkStart w:id="13717" w:name="_Toc394940069"/>
      <w:bookmarkStart w:id="13718" w:name="_Toc394940357"/>
      <w:bookmarkStart w:id="13719" w:name="_Toc394939467"/>
      <w:bookmarkStart w:id="13720" w:name="_Toc394939679"/>
      <w:bookmarkStart w:id="13721" w:name="_Toc394940571"/>
      <w:bookmarkStart w:id="13722" w:name="_Toc394993576"/>
      <w:bookmarkStart w:id="13723" w:name="_Toc394995457"/>
      <w:bookmarkStart w:id="13724" w:name="_Toc394995771"/>
      <w:bookmarkStart w:id="13725" w:name="_Toc394996053"/>
      <w:bookmarkStart w:id="13726" w:name="_Toc394997779"/>
      <w:bookmarkStart w:id="13727" w:name="_Toc394998016"/>
      <w:bookmarkStart w:id="13728" w:name="_Toc394998294"/>
      <w:bookmarkStart w:id="13729" w:name="_Toc394998530"/>
      <w:bookmarkStart w:id="13730" w:name="_Toc395001789"/>
      <w:bookmarkStart w:id="13731" w:name="_Toc395002029"/>
      <w:bookmarkStart w:id="13732" w:name="_Toc395001509"/>
      <w:bookmarkStart w:id="13733" w:name="_Toc395003383"/>
      <w:bookmarkStart w:id="13734" w:name="_Toc395005167"/>
      <w:bookmarkStart w:id="13735" w:name="_Toc395005383"/>
      <w:bookmarkStart w:id="13736" w:name="_Toc395005624"/>
      <w:bookmarkStart w:id="13737" w:name="_Toc395008960"/>
      <w:bookmarkStart w:id="13738" w:name="_Toc395009618"/>
      <w:bookmarkStart w:id="13739" w:name="_Toc395011746"/>
      <w:bookmarkStart w:id="13740" w:name="_Toc395010146"/>
      <w:bookmarkStart w:id="13741" w:name="_Toc395010357"/>
      <w:bookmarkStart w:id="13742" w:name="_Toc395009988"/>
      <w:bookmarkStart w:id="13743" w:name="_Toc395011514"/>
      <w:bookmarkStart w:id="13744" w:name="_Toc395012332"/>
      <w:bookmarkStart w:id="13745" w:name="_Toc395012541"/>
      <w:bookmarkStart w:id="13746" w:name="_Toc395012922"/>
      <w:bookmarkStart w:id="13747" w:name="_Toc395010737"/>
      <w:bookmarkStart w:id="13748" w:name="_Toc395010946"/>
      <w:bookmarkStart w:id="13749" w:name="_Toc395012210"/>
      <w:bookmarkStart w:id="13750" w:name="_Toc395012890"/>
      <w:bookmarkStart w:id="13751" w:name="_Toc395012006"/>
      <w:bookmarkStart w:id="13752" w:name="_Toc395014611"/>
      <w:bookmarkStart w:id="13753" w:name="_Toc395013202"/>
      <w:bookmarkStart w:id="13754" w:name="_Toc395084697"/>
      <w:bookmarkStart w:id="13755" w:name="_Toc395084998"/>
      <w:bookmarkStart w:id="13756" w:name="_Toc395090239"/>
      <w:bookmarkStart w:id="13757" w:name="_Toc395090461"/>
      <w:bookmarkStart w:id="13758" w:name="_Toc395090718"/>
      <w:bookmarkStart w:id="13759" w:name="_Toc395092607"/>
      <w:bookmarkStart w:id="13760" w:name="_Toc395092819"/>
      <w:bookmarkStart w:id="13761" w:name="_Toc395093045"/>
      <w:bookmarkStart w:id="13762" w:name="_Toc395093301"/>
      <w:bookmarkStart w:id="13763" w:name="_Toc395097730"/>
      <w:bookmarkStart w:id="13764" w:name="_Toc395097957"/>
      <w:bookmarkStart w:id="13765" w:name="_Toc395098211"/>
      <w:bookmarkStart w:id="13766" w:name="_Toc395105396"/>
      <w:bookmarkStart w:id="13767" w:name="_Toc395106142"/>
      <w:bookmarkStart w:id="13768" w:name="_Toc395106999"/>
      <w:bookmarkStart w:id="13769" w:name="_Toc395109871"/>
      <w:bookmarkStart w:id="13770" w:name="_Toc395109657"/>
      <w:bookmarkStart w:id="13771" w:name="_Toc395111874"/>
      <w:bookmarkStart w:id="13772" w:name="_Toc395112112"/>
      <w:bookmarkStart w:id="13773" w:name="_Toc395112362"/>
      <w:bookmarkStart w:id="13774" w:name="_Toc395106794"/>
      <w:bookmarkStart w:id="13775" w:name="_Toc395107252"/>
      <w:bookmarkStart w:id="13776" w:name="_Toc395109462"/>
      <w:bookmarkStart w:id="13777" w:name="_Toc395108554"/>
      <w:bookmarkStart w:id="13778" w:name="_Toc395108815"/>
      <w:bookmarkStart w:id="13779" w:name="_Toc395113794"/>
      <w:bookmarkStart w:id="13780" w:name="_Toc395114055"/>
      <w:bookmarkStart w:id="13781" w:name="_Toc395114314"/>
      <w:bookmarkStart w:id="13782" w:name="_Toc395116530"/>
      <w:bookmarkStart w:id="13783" w:name="_Toc395116792"/>
      <w:bookmarkStart w:id="13784" w:name="_Toc395117052"/>
      <w:bookmarkStart w:id="13785" w:name="_Toc395112467"/>
      <w:bookmarkStart w:id="13786" w:name="_Toc395112729"/>
      <w:bookmarkStart w:id="13787" w:name="_Toc395113170"/>
      <w:bookmarkStart w:id="13788" w:name="_Toc395115006"/>
      <w:bookmarkStart w:id="13789" w:name="_Toc395115269"/>
      <w:bookmarkStart w:id="13790" w:name="_Toc395115529"/>
      <w:bookmarkStart w:id="13791" w:name="_Toc395118161"/>
      <w:bookmarkStart w:id="13792" w:name="_Toc395118421"/>
      <w:bookmarkStart w:id="13793" w:name="_Toc395118679"/>
      <w:bookmarkStart w:id="13794" w:name="_Toc395178371"/>
      <w:bookmarkStart w:id="13795" w:name="_Toc395178703"/>
      <w:bookmarkStart w:id="13796" w:name="_Toc395789714"/>
      <w:bookmarkStart w:id="13797" w:name="_Toc395789967"/>
      <w:bookmarkStart w:id="13798" w:name="_Toc395624616"/>
      <w:bookmarkStart w:id="13799" w:name="_Toc395624860"/>
      <w:bookmarkStart w:id="13800" w:name="_Toc395800725"/>
      <w:bookmarkStart w:id="13801" w:name="_Toc395802843"/>
      <w:bookmarkStart w:id="13802" w:name="_Toc395880847"/>
      <w:bookmarkStart w:id="13803" w:name="_Toc395881069"/>
      <w:bookmarkStart w:id="13804" w:name="_Toc395881405"/>
      <w:bookmarkStart w:id="13805" w:name="_Toc395881627"/>
      <w:bookmarkStart w:id="13806" w:name="_Toc395884012"/>
      <w:bookmarkStart w:id="13807" w:name="_Toc395880745"/>
      <w:bookmarkStart w:id="13808" w:name="_Toc395884452"/>
      <w:bookmarkStart w:id="13809" w:name="_Toc395884674"/>
      <w:bookmarkStart w:id="13810" w:name="_Toc395883161"/>
      <w:bookmarkStart w:id="13811" w:name="_Toc395883383"/>
      <w:bookmarkStart w:id="13812" w:name="_Toc395883491"/>
      <w:bookmarkStart w:id="13813" w:name="_Toc395883713"/>
      <w:bookmarkStart w:id="13814" w:name="_Toc395884793"/>
      <w:bookmarkStart w:id="13815" w:name="_Toc396123822"/>
      <w:bookmarkStart w:id="13816" w:name="_Toc396130725"/>
      <w:bookmarkStart w:id="13817" w:name="_Toc396136303"/>
      <w:bookmarkStart w:id="13818" w:name="_Toc396138757"/>
      <w:bookmarkStart w:id="13819" w:name="_Toc396144018"/>
      <w:bookmarkStart w:id="13820" w:name="_Toc396145527"/>
      <w:bookmarkStart w:id="13821" w:name="_Toc396145671"/>
      <w:bookmarkStart w:id="13822" w:name="_Toc396145953"/>
      <w:bookmarkStart w:id="13823" w:name="_Toc396147493"/>
      <w:bookmarkStart w:id="13824" w:name="_Toc396147779"/>
      <w:bookmarkStart w:id="13825" w:name="_Toc396149035"/>
      <w:bookmarkStart w:id="13826" w:name="_Toc396148749"/>
      <w:bookmarkStart w:id="13827" w:name="_Toc396149530"/>
      <w:bookmarkStart w:id="13828" w:name="_Toc396149175"/>
      <w:bookmarkStart w:id="13829" w:name="_Toc396149461"/>
      <w:bookmarkStart w:id="13830" w:name="_Toc396149138"/>
      <w:bookmarkStart w:id="13831" w:name="_Toc396149883"/>
      <w:bookmarkStart w:id="13832" w:name="_Toc396149633"/>
      <w:bookmarkStart w:id="13833" w:name="_Toc396150474"/>
      <w:bookmarkStart w:id="13834" w:name="_Toc396151363"/>
      <w:bookmarkStart w:id="13835" w:name="_Toc396151657"/>
      <w:bookmarkStart w:id="13836" w:name="_Toc396201584"/>
      <w:bookmarkStart w:id="13837" w:name="_Toc396202374"/>
      <w:bookmarkStart w:id="13838" w:name="_Toc396202669"/>
      <w:bookmarkStart w:id="13839" w:name="_Toc396203286"/>
      <w:bookmarkStart w:id="13840" w:name="_Toc396206582"/>
      <w:bookmarkStart w:id="13841" w:name="_Toc396206876"/>
      <w:bookmarkStart w:id="13842" w:name="_Toc396209410"/>
      <w:bookmarkStart w:id="13843" w:name="_Toc396209704"/>
      <w:bookmarkStart w:id="13844" w:name="_Toc396211834"/>
      <w:bookmarkStart w:id="13845" w:name="_Toc396212128"/>
      <w:bookmarkStart w:id="13846" w:name="_Toc396213178"/>
      <w:bookmarkStart w:id="13847" w:name="_Toc396213470"/>
      <w:bookmarkStart w:id="13848" w:name="_Toc396214021"/>
      <w:bookmarkStart w:id="13849" w:name="_Toc396214456"/>
      <w:bookmarkStart w:id="13850" w:name="_Toc396214746"/>
      <w:bookmarkStart w:id="13851" w:name="_Toc396220306"/>
      <w:bookmarkStart w:id="13852" w:name="_Toc396226568"/>
      <w:bookmarkStart w:id="13853" w:name="_Toc396226857"/>
      <w:bookmarkStart w:id="13854" w:name="_Toc396229063"/>
      <w:bookmarkStart w:id="13855" w:name="_Toc396230410"/>
      <w:bookmarkStart w:id="13856" w:name="_Toc396231847"/>
      <w:bookmarkStart w:id="13857" w:name="_Toc396233190"/>
      <w:bookmarkStart w:id="13858" w:name="_Toc396233487"/>
      <w:bookmarkStart w:id="13859" w:name="_Toc396234010"/>
      <w:bookmarkStart w:id="13860" w:name="_Toc396234307"/>
      <w:bookmarkStart w:id="13861" w:name="_Toc396234420"/>
      <w:bookmarkStart w:id="13862" w:name="_Toc396236154"/>
      <w:bookmarkStart w:id="13863" w:name="_Toc396235932"/>
      <w:bookmarkStart w:id="13864" w:name="_Toc396236542"/>
      <w:bookmarkStart w:id="13865" w:name="_Toc396237061"/>
      <w:bookmarkStart w:id="13866" w:name="_Toc396397404"/>
      <w:bookmarkStart w:id="13867" w:name="_Toc395867606"/>
      <w:bookmarkStart w:id="13868" w:name="_Toc395868515"/>
      <w:bookmarkStart w:id="13869" w:name="_Toc395868738"/>
      <w:bookmarkStart w:id="13870" w:name="_Toc395879119"/>
      <w:bookmarkStart w:id="13871" w:name="_Toc395882021"/>
      <w:bookmarkStart w:id="13872" w:name="_Toc395882243"/>
      <w:bookmarkStart w:id="13873" w:name="_Toc395882352"/>
      <w:bookmarkStart w:id="13874" w:name="_Toc395882574"/>
      <w:bookmarkStart w:id="13875" w:name="_Toc395880738"/>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r w:rsidRPr="008625DC">
        <w:br w:type="page"/>
      </w:r>
    </w:p>
    <w:p w14:paraId="08F9FDD7" w14:textId="787E5AD9" w:rsidR="008D30A0" w:rsidRPr="008625DC" w:rsidRDefault="00205922" w:rsidP="00864E0A">
      <w:pPr>
        <w:pStyle w:val="Heading1"/>
        <w:ind w:left="851" w:hanging="851"/>
      </w:pPr>
      <w:bookmarkStart w:id="13876" w:name="_Toc397946959"/>
      <w:bookmarkStart w:id="13877" w:name="_Toc397948078"/>
      <w:bookmarkStart w:id="13878" w:name="_Toc397958484"/>
      <w:bookmarkStart w:id="13879" w:name="_Toc397958726"/>
      <w:bookmarkStart w:id="13880" w:name="_Toc397959141"/>
      <w:bookmarkStart w:id="13881" w:name="_Toc397962994"/>
      <w:bookmarkStart w:id="13882" w:name="_Toc397963360"/>
      <w:bookmarkStart w:id="13883" w:name="_Toc397965437"/>
      <w:bookmarkStart w:id="13884" w:name="_Toc398197375"/>
      <w:bookmarkStart w:id="13885" w:name="_Toc398199878"/>
      <w:bookmarkStart w:id="13886" w:name="_Toc398201592"/>
      <w:bookmarkStart w:id="13887" w:name="_Toc398207197"/>
      <w:bookmarkStart w:id="13888" w:name="_Toc398210470"/>
      <w:bookmarkStart w:id="13889" w:name="_Toc398210984"/>
      <w:bookmarkStart w:id="13890" w:name="_Toc398219792"/>
      <w:bookmarkStart w:id="13891" w:name="_Toc398220167"/>
      <w:bookmarkStart w:id="13892" w:name="_Toc398220554"/>
      <w:bookmarkStart w:id="13893" w:name="_Toc398221632"/>
      <w:bookmarkStart w:id="13894" w:name="_Toc398222318"/>
      <w:bookmarkStart w:id="13895" w:name="_Toc398222630"/>
      <w:bookmarkStart w:id="13896" w:name="_Toc398223047"/>
      <w:bookmarkStart w:id="13897" w:name="_Toc398223426"/>
      <w:bookmarkStart w:id="13898" w:name="_Toc398223553"/>
      <w:bookmarkStart w:id="13899" w:name="_Toc398224361"/>
      <w:bookmarkStart w:id="13900" w:name="_Toc398225698"/>
      <w:bookmarkStart w:id="13901" w:name="_Toc398225823"/>
      <w:bookmarkStart w:id="13902" w:name="_Toc398281310"/>
      <w:bookmarkStart w:id="13903" w:name="_Toc398282169"/>
      <w:bookmarkStart w:id="13904" w:name="_Toc398284839"/>
      <w:bookmarkStart w:id="13905" w:name="_Toc398287308"/>
      <w:bookmarkStart w:id="13906" w:name="_Toc398289191"/>
      <w:bookmarkStart w:id="13907" w:name="_Toc398297188"/>
      <w:bookmarkStart w:id="13908" w:name="_Toc398298662"/>
      <w:bookmarkStart w:id="13909" w:name="_Toc398300363"/>
      <w:bookmarkStart w:id="13910" w:name="_Toc398301260"/>
      <w:bookmarkStart w:id="13911" w:name="_Toc398302445"/>
      <w:bookmarkStart w:id="13912" w:name="_Toc398302608"/>
      <w:bookmarkStart w:id="13913" w:name="_Toc398549122"/>
      <w:bookmarkStart w:id="13914" w:name="_Toc398549372"/>
      <w:bookmarkStart w:id="13915" w:name="_Toc398555791"/>
      <w:bookmarkStart w:id="13916" w:name="_Toc398558995"/>
      <w:bookmarkStart w:id="13917" w:name="_Toc398563481"/>
      <w:bookmarkStart w:id="13918" w:name="_Toc398563614"/>
      <w:bookmarkStart w:id="13919" w:name="_Toc398564013"/>
      <w:bookmarkStart w:id="13920" w:name="_Toc398827351"/>
      <w:bookmarkStart w:id="13921" w:name="_Toc398827545"/>
      <w:bookmarkStart w:id="13922" w:name="Ch7"/>
      <w:r w:rsidRPr="008625DC">
        <w:lastRenderedPageBreak/>
        <w:t>C</w:t>
      </w:r>
      <w:r w:rsidR="008D30A0" w:rsidRPr="008625DC">
        <w:t xml:space="preserve">ompetition </w:t>
      </w:r>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r w:rsidR="00A835A1" w:rsidRPr="008625DC">
        <w:t>P</w:t>
      </w:r>
      <w:r w:rsidRPr="008625DC">
        <w:t>rinciples</w:t>
      </w:r>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p>
    <w:bookmarkEnd w:id="13922"/>
    <w:p w14:paraId="0DD631FF" w14:textId="2D70EC6B" w:rsidR="001E5B84" w:rsidRPr="008625DC" w:rsidRDefault="001E5B84" w:rsidP="00A33169">
      <w:pPr>
        <w:spacing w:after="120"/>
      </w:pPr>
      <w:r w:rsidRPr="008625DC">
        <w:t xml:space="preserve">The environment that led to the Hilmer </w:t>
      </w:r>
      <w:r w:rsidR="00E61ADC" w:rsidRPr="008625DC">
        <w:t>Review</w:t>
      </w:r>
      <w:r w:rsidRPr="008625DC">
        <w:t xml:space="preserve"> and then </w:t>
      </w:r>
      <w:r w:rsidR="007314C3" w:rsidRPr="008625DC">
        <w:t xml:space="preserve">to </w:t>
      </w:r>
      <w:r w:rsidRPr="008625DC">
        <w:t xml:space="preserve">all Australian governments agreeing to the National Competition Policy (NCP) is reflected in </w:t>
      </w:r>
      <w:r w:rsidR="00551AD5" w:rsidRPr="008625DC">
        <w:t>a</w:t>
      </w:r>
      <w:r w:rsidRPr="008625DC">
        <w:t xml:space="preserve"> Prime Ministerial statement</w:t>
      </w:r>
      <w:r w:rsidR="00551AD5" w:rsidRPr="008625DC">
        <w:t xml:space="preserve"> from 1991:</w:t>
      </w:r>
      <w:r w:rsidR="00551AD5" w:rsidRPr="008625DC">
        <w:rPr>
          <w:rStyle w:val="Hyperlink"/>
        </w:rPr>
        <w:t xml:space="preserve"> </w:t>
      </w:r>
    </w:p>
    <w:p w14:paraId="6D48C32C" w14:textId="77777777" w:rsidR="001E5B84" w:rsidRPr="008625DC" w:rsidRDefault="001E5B84" w:rsidP="008625DC">
      <w:pPr>
        <w:pStyle w:val="Quotes"/>
        <w:spacing w:after="120"/>
      </w:pPr>
      <w:r w:rsidRPr="008625DC">
        <w:t xml:space="preserve">The Trade Practices Act is our principal legislative weapon to ensure consumers get the best deal from competition. But there are many areas of the Australian economy today that are </w:t>
      </w:r>
      <w:r w:rsidRPr="008625DC">
        <w:rPr>
          <w:b/>
        </w:rPr>
        <w:t>immune from that Act</w:t>
      </w:r>
      <w:r w:rsidRPr="008625DC">
        <w:t xml:space="preserve">: some Commonwealth enterprises, State public sector businesses, and significant areas of the private sector, including the professions. </w:t>
      </w:r>
    </w:p>
    <w:p w14:paraId="1B747063" w14:textId="19599DB5" w:rsidR="001E5B84" w:rsidRPr="008625DC" w:rsidRDefault="001E5B84" w:rsidP="001E5B84">
      <w:pPr>
        <w:pStyle w:val="Quotes"/>
      </w:pPr>
      <w:r w:rsidRPr="008625DC">
        <w:t xml:space="preserve">This patchwork coverage reflects historical and constitutional factors, not economic efficiencies; it is another important instance of the way </w:t>
      </w:r>
      <w:r w:rsidRPr="008625DC">
        <w:rPr>
          <w:b/>
        </w:rPr>
        <w:t>we operate as six economies</w:t>
      </w:r>
      <w:r w:rsidRPr="008625DC">
        <w:t>, rather than one. The benefits for the consumer of expanding the scope of the Trade Practices Act could be immense: potentially lower professional fees, cheaper road and rail fares, cheaper electricity.</w:t>
      </w:r>
      <w:r w:rsidR="00551AD5" w:rsidRPr="008625DC">
        <w:rPr>
          <w:rStyle w:val="FootnoteReference"/>
        </w:rPr>
        <w:t xml:space="preserve"> </w:t>
      </w:r>
      <w:r w:rsidR="00551AD5" w:rsidRPr="008625DC">
        <w:rPr>
          <w:rStyle w:val="FootnoteReference"/>
        </w:rPr>
        <w:footnoteReference w:id="16"/>
      </w:r>
      <w:r w:rsidR="005B606E" w:rsidRPr="008625DC">
        <w:t xml:space="preserve"> </w:t>
      </w:r>
      <w:r w:rsidR="005B606E" w:rsidRPr="008625DC">
        <w:rPr>
          <w:color w:val="auto"/>
        </w:rPr>
        <w:t>(</w:t>
      </w:r>
      <w:proofErr w:type="gramStart"/>
      <w:r w:rsidR="005B606E" w:rsidRPr="008625DC">
        <w:rPr>
          <w:color w:val="auto"/>
        </w:rPr>
        <w:t>emphasis</w:t>
      </w:r>
      <w:proofErr w:type="gramEnd"/>
      <w:r w:rsidR="005B606E" w:rsidRPr="008625DC">
        <w:rPr>
          <w:color w:val="auto"/>
        </w:rPr>
        <w:t xml:space="preserve"> added)</w:t>
      </w:r>
    </w:p>
    <w:p w14:paraId="7A261155" w14:textId="06925AE6" w:rsidR="00CB4ADB" w:rsidRPr="008625DC" w:rsidRDefault="00F670B7" w:rsidP="00583321">
      <w:r w:rsidRPr="008625DC">
        <w:t xml:space="preserve">The </w:t>
      </w:r>
      <w:r w:rsidR="00CB4ADB" w:rsidRPr="008625DC">
        <w:t>NCP</w:t>
      </w:r>
      <w:r w:rsidR="00583321" w:rsidRPr="008625DC">
        <w:t xml:space="preserve"> </w:t>
      </w:r>
      <w:r w:rsidR="00CB4ADB" w:rsidRPr="008625DC">
        <w:t>reflect</w:t>
      </w:r>
      <w:r w:rsidR="00A835A1" w:rsidRPr="008625DC">
        <w:t>ed</w:t>
      </w:r>
      <w:r w:rsidR="00583321" w:rsidRPr="008625DC">
        <w:t xml:space="preserve"> the challenges Australia </w:t>
      </w:r>
      <w:r w:rsidR="00CB4ADB" w:rsidRPr="008625DC">
        <w:t>faced</w:t>
      </w:r>
      <w:r w:rsidR="00583321" w:rsidRPr="008625DC">
        <w:t xml:space="preserve"> </w:t>
      </w:r>
      <w:r w:rsidR="00CB4ADB" w:rsidRPr="008625DC">
        <w:t>at the time</w:t>
      </w:r>
      <w:r w:rsidR="00A33169" w:rsidRPr="008625DC">
        <w:t xml:space="preserve"> </w:t>
      </w:r>
      <w:r w:rsidR="00CB4ADB" w:rsidRPr="008625DC">
        <w:t>—</w:t>
      </w:r>
      <w:r w:rsidR="00A33169" w:rsidRPr="008625DC">
        <w:t xml:space="preserve"> </w:t>
      </w:r>
      <w:r w:rsidR="00CB4ADB" w:rsidRPr="008625DC">
        <w:t xml:space="preserve">more than </w:t>
      </w:r>
      <w:r w:rsidR="00583321" w:rsidRPr="008625DC">
        <w:t xml:space="preserve">20 years ago </w:t>
      </w:r>
      <w:r w:rsidR="00CB4ADB" w:rsidRPr="008625DC">
        <w:t xml:space="preserve">now. The focus of the NCP reforms was </w:t>
      </w:r>
      <w:r w:rsidR="00583321" w:rsidRPr="008625DC">
        <w:t xml:space="preserve">exposing previously sheltered activities to competition and </w:t>
      </w:r>
      <w:r w:rsidR="00CB4ADB" w:rsidRPr="008625DC">
        <w:t xml:space="preserve">applying </w:t>
      </w:r>
      <w:r w:rsidR="00583321" w:rsidRPr="008625DC">
        <w:t xml:space="preserve">a more national approach to </w:t>
      </w:r>
      <w:r w:rsidR="00CB4ADB" w:rsidRPr="008625DC">
        <w:t>competition issues</w:t>
      </w:r>
      <w:r w:rsidR="00A835A1" w:rsidRPr="008625DC">
        <w:t>.</w:t>
      </w:r>
    </w:p>
    <w:p w14:paraId="305F3AFF" w14:textId="453289FE" w:rsidR="00385595" w:rsidRPr="008625DC" w:rsidRDefault="00F670B7" w:rsidP="00A33169">
      <w:pPr>
        <w:spacing w:after="120"/>
      </w:pPr>
      <w:r w:rsidRPr="008625DC">
        <w:t xml:space="preserve">The </w:t>
      </w:r>
      <w:r w:rsidR="001E5B84" w:rsidRPr="008625DC">
        <w:t>NCP</w:t>
      </w:r>
      <w:r w:rsidR="00A835A1" w:rsidRPr="008625DC">
        <w:t xml:space="preserve"> was set out in three intergovernmental agreements which reflected t</w:t>
      </w:r>
      <w:r w:rsidR="00385595" w:rsidRPr="008625DC">
        <w:t>he six elements of Competition Policy identified in the Hilmer report:</w:t>
      </w:r>
    </w:p>
    <w:p w14:paraId="5067277F" w14:textId="698F758E" w:rsidR="00385595" w:rsidRPr="008625DC" w:rsidRDefault="00A33169" w:rsidP="0076626D">
      <w:pPr>
        <w:pStyle w:val="Bullet"/>
      </w:pPr>
      <w:r w:rsidRPr="008625DC">
        <w:t>l</w:t>
      </w:r>
      <w:r w:rsidR="00385595" w:rsidRPr="008625DC">
        <w:t>imiting anti</w:t>
      </w:r>
      <w:r w:rsidR="00C74E19" w:rsidRPr="008625DC">
        <w:noBreakHyphen/>
      </w:r>
      <w:r w:rsidR="00385595" w:rsidRPr="008625DC">
        <w:t>compe</w:t>
      </w:r>
      <w:r w:rsidRPr="008625DC">
        <w:t>titive conduct of firms;</w:t>
      </w:r>
    </w:p>
    <w:p w14:paraId="20630B54" w14:textId="6D98EE09" w:rsidR="00385595" w:rsidRPr="008625DC" w:rsidRDefault="00A33169" w:rsidP="0076626D">
      <w:pPr>
        <w:pStyle w:val="Bullet"/>
      </w:pPr>
      <w:r w:rsidRPr="008625DC">
        <w:t>r</w:t>
      </w:r>
      <w:r w:rsidR="00385595" w:rsidRPr="008625DC">
        <w:t>eforming regulation which unju</w:t>
      </w:r>
      <w:r w:rsidRPr="008625DC">
        <w:t>stifiably restricts competition;</w:t>
      </w:r>
    </w:p>
    <w:p w14:paraId="12B66757" w14:textId="142C7C31" w:rsidR="00385595" w:rsidRPr="008625DC" w:rsidRDefault="00A33169" w:rsidP="0076626D">
      <w:pPr>
        <w:pStyle w:val="Bullet"/>
      </w:pPr>
      <w:r w:rsidRPr="008625DC">
        <w:t>r</w:t>
      </w:r>
      <w:r w:rsidR="00385595" w:rsidRPr="008625DC">
        <w:t>eforming the structure of public monop</w:t>
      </w:r>
      <w:r w:rsidRPr="008625DC">
        <w:t>olies to facilitate competition;</w:t>
      </w:r>
    </w:p>
    <w:p w14:paraId="7AA73591" w14:textId="1F166E22" w:rsidR="00385595" w:rsidRPr="008625DC" w:rsidRDefault="00A33169" w:rsidP="0076626D">
      <w:pPr>
        <w:pStyle w:val="Bullet"/>
      </w:pPr>
      <w:r w:rsidRPr="008625DC">
        <w:t>p</w:t>
      </w:r>
      <w:r w:rsidR="00385595" w:rsidRPr="008625DC">
        <w:t>roviding third</w:t>
      </w:r>
      <w:r w:rsidR="00C74E19" w:rsidRPr="008625DC">
        <w:noBreakHyphen/>
      </w:r>
      <w:r w:rsidR="00385595" w:rsidRPr="008625DC">
        <w:t>party access to certain facilities tha</w:t>
      </w:r>
      <w:r w:rsidRPr="008625DC">
        <w:t>t are essential for competition;</w:t>
      </w:r>
    </w:p>
    <w:p w14:paraId="7BBEE805" w14:textId="1611E435" w:rsidR="00385595" w:rsidRPr="008625DC" w:rsidRDefault="00A33169" w:rsidP="0076626D">
      <w:pPr>
        <w:pStyle w:val="Bullet"/>
      </w:pPr>
      <w:r w:rsidRPr="008625DC">
        <w:t>r</w:t>
      </w:r>
      <w:r w:rsidR="00385595" w:rsidRPr="008625DC">
        <w:t>estrain</w:t>
      </w:r>
      <w:r w:rsidRPr="008625DC">
        <w:t>ing monopoly pricing behaviour;</w:t>
      </w:r>
      <w:r w:rsidR="0076626D" w:rsidRPr="008625DC">
        <w:t xml:space="preserve"> and</w:t>
      </w:r>
    </w:p>
    <w:p w14:paraId="65D7FAAE" w14:textId="694F039E" w:rsidR="00385595" w:rsidRPr="008625DC" w:rsidRDefault="00A33169" w:rsidP="0076626D">
      <w:pPr>
        <w:pStyle w:val="Bullet"/>
      </w:pPr>
      <w:proofErr w:type="gramStart"/>
      <w:r w:rsidRPr="008625DC">
        <w:t>f</w:t>
      </w:r>
      <w:r w:rsidR="00385595" w:rsidRPr="008625DC">
        <w:t>ostering</w:t>
      </w:r>
      <w:proofErr w:type="gramEnd"/>
      <w:r w:rsidR="00385595" w:rsidRPr="008625DC">
        <w:t xml:space="preserve"> </w:t>
      </w:r>
      <w:r w:rsidR="00C74E19" w:rsidRPr="008625DC">
        <w:t>‘</w:t>
      </w:r>
      <w:r w:rsidR="00385595" w:rsidRPr="008625DC">
        <w:t>competitive neutrality</w:t>
      </w:r>
      <w:r w:rsidR="00C74E19" w:rsidRPr="008625DC">
        <w:t>’</w:t>
      </w:r>
      <w:r w:rsidR="00385595" w:rsidRPr="008625DC">
        <w:t xml:space="preserve"> between government and private businesses when they compete.</w:t>
      </w:r>
    </w:p>
    <w:tbl>
      <w:tblPr>
        <w:tblW w:w="9072" w:type="dxa"/>
        <w:tblInd w:w="108" w:type="dxa"/>
        <w:shd w:val="clear" w:color="auto" w:fill="E6E6E6"/>
        <w:tblLook w:val="01E0" w:firstRow="1" w:lastRow="1" w:firstColumn="1" w:lastColumn="1" w:noHBand="0" w:noVBand="0"/>
      </w:tblPr>
      <w:tblGrid>
        <w:gridCol w:w="9072"/>
      </w:tblGrid>
      <w:tr w:rsidR="004A3737" w:rsidRPr="008625DC" w14:paraId="3B41139E" w14:textId="77777777">
        <w:tc>
          <w:tcPr>
            <w:tcW w:w="5000" w:type="pct"/>
            <w:shd w:val="clear" w:color="auto" w:fill="E6E6E6"/>
          </w:tcPr>
          <w:p w14:paraId="0279795A" w14:textId="111A4F6F" w:rsidR="004A3737" w:rsidRPr="008625DC" w:rsidRDefault="00C0524C">
            <w:pPr>
              <w:pStyle w:val="BoxHeading"/>
            </w:pPr>
            <w:r w:rsidRPr="008625DC">
              <w:lastRenderedPageBreak/>
              <w:t xml:space="preserve">Box </w:t>
            </w:r>
            <w:r w:rsidR="00677026" w:rsidRPr="008625DC">
              <w:t>7</w:t>
            </w:r>
            <w:r w:rsidRPr="008625DC">
              <w:t xml:space="preserve">.1: </w:t>
            </w:r>
            <w:r w:rsidR="004A3737" w:rsidRPr="008625DC">
              <w:t>National Competition Policy</w:t>
            </w:r>
            <w:r w:rsidR="00380141" w:rsidRPr="008625DC">
              <w:t xml:space="preserve"> — </w:t>
            </w:r>
            <w:r w:rsidR="004A3737" w:rsidRPr="008625DC">
              <w:t>Intergovernmental agreements</w:t>
            </w:r>
          </w:p>
          <w:p w14:paraId="20B7A479" w14:textId="2C3BF2F0" w:rsidR="004A3737" w:rsidRPr="008625DC" w:rsidRDefault="004A3737">
            <w:pPr>
              <w:pStyle w:val="BoxText"/>
            </w:pPr>
            <w:r w:rsidRPr="008625DC">
              <w:t>In 1995 Australian governments committed to three intergovernmental agreements — the Competition Principles Agreement (CPA), the Conduct Code Agreement and the Agreement to Implement the National Competition Policy and Related Reforms.</w:t>
            </w:r>
            <w:r w:rsidRPr="008625DC">
              <w:rPr>
                <w:rStyle w:val="FootnoteReference"/>
              </w:rPr>
              <w:footnoteReference w:id="17"/>
            </w:r>
            <w:r w:rsidRPr="008625DC">
              <w:t xml:space="preserve"> The elements of these agreements were:</w:t>
            </w:r>
          </w:p>
          <w:p w14:paraId="510A76C3" w14:textId="04392DF2" w:rsidR="004A3737" w:rsidRPr="008625DC" w:rsidRDefault="004A3737" w:rsidP="00467524">
            <w:pPr>
              <w:pStyle w:val="BoxBullet"/>
              <w:rPr>
                <w:lang w:val="en-AU"/>
              </w:rPr>
            </w:pPr>
            <w:r w:rsidRPr="008625DC">
              <w:rPr>
                <w:lang w:val="en-AU"/>
              </w:rPr>
              <w:t>exten</w:t>
            </w:r>
            <w:r w:rsidR="00783CA8" w:rsidRPr="008625DC">
              <w:rPr>
                <w:lang w:val="en-AU"/>
              </w:rPr>
              <w:t>ding</w:t>
            </w:r>
            <w:r w:rsidRPr="008625DC">
              <w:rPr>
                <w:lang w:val="en-AU"/>
              </w:rPr>
              <w:t xml:space="preserve"> the </w:t>
            </w:r>
            <w:r w:rsidRPr="008625DC">
              <w:rPr>
                <w:i/>
                <w:lang w:val="en-AU"/>
              </w:rPr>
              <w:t xml:space="preserve">Trade Practices Act </w:t>
            </w:r>
            <w:r w:rsidR="00CB6406" w:rsidRPr="008625DC">
              <w:rPr>
                <w:i/>
                <w:lang w:val="en-AU"/>
              </w:rPr>
              <w:t>1974</w:t>
            </w:r>
            <w:r w:rsidR="00CB6406" w:rsidRPr="008625DC">
              <w:rPr>
                <w:lang w:val="en-AU"/>
              </w:rPr>
              <w:t xml:space="preserve"> </w:t>
            </w:r>
            <w:r w:rsidRPr="008625DC">
              <w:rPr>
                <w:lang w:val="en-AU"/>
              </w:rPr>
              <w:t>(TPA) to previously excluded businesses (unincorporated businesses and state, territory and local government businesses);</w:t>
            </w:r>
          </w:p>
          <w:p w14:paraId="197AE90B" w14:textId="09221B60" w:rsidR="004A3737" w:rsidRPr="008625DC" w:rsidRDefault="00C402DE" w:rsidP="00467524">
            <w:pPr>
              <w:pStyle w:val="BoxBullet"/>
              <w:rPr>
                <w:lang w:val="en-AU"/>
              </w:rPr>
            </w:pPr>
            <w:r w:rsidRPr="008625DC">
              <w:rPr>
                <w:lang w:val="en-AU"/>
              </w:rPr>
              <w:t>establish</w:t>
            </w:r>
            <w:r w:rsidR="00783CA8" w:rsidRPr="008625DC">
              <w:rPr>
                <w:lang w:val="en-AU"/>
              </w:rPr>
              <w:t>ing</w:t>
            </w:r>
            <w:r w:rsidRPr="008625DC">
              <w:rPr>
                <w:lang w:val="en-AU"/>
              </w:rPr>
              <w:t xml:space="preserve"> independent price oversight</w:t>
            </w:r>
            <w:r w:rsidR="004A3737" w:rsidRPr="008625DC">
              <w:rPr>
                <w:lang w:val="en-AU"/>
              </w:rPr>
              <w:t xml:space="preserve"> </w:t>
            </w:r>
            <w:r w:rsidRPr="008625DC">
              <w:rPr>
                <w:lang w:val="en-AU"/>
              </w:rPr>
              <w:t>of</w:t>
            </w:r>
            <w:r w:rsidR="004A3737" w:rsidRPr="008625DC">
              <w:rPr>
                <w:lang w:val="en-AU"/>
              </w:rPr>
              <w:t xml:space="preserve"> state and territory government businesses;</w:t>
            </w:r>
          </w:p>
          <w:p w14:paraId="1B4AF914" w14:textId="3810C997" w:rsidR="004A3737" w:rsidRPr="008625DC" w:rsidRDefault="00EC543A" w:rsidP="00467524">
            <w:pPr>
              <w:pStyle w:val="BoxBullet"/>
              <w:rPr>
                <w:lang w:val="en-AU"/>
              </w:rPr>
            </w:pPr>
            <w:r w:rsidRPr="008625DC">
              <w:rPr>
                <w:lang w:val="en-AU"/>
              </w:rPr>
              <w:t>c</w:t>
            </w:r>
            <w:r w:rsidR="00C402DE" w:rsidRPr="008625DC">
              <w:rPr>
                <w:lang w:val="en-AU"/>
              </w:rPr>
              <w:t>orporati</w:t>
            </w:r>
            <w:r w:rsidR="00DF114F" w:rsidRPr="008625DC">
              <w:rPr>
                <w:lang w:val="en-AU"/>
              </w:rPr>
              <w:t>s</w:t>
            </w:r>
            <w:r w:rsidR="00783CA8" w:rsidRPr="008625DC">
              <w:rPr>
                <w:lang w:val="en-AU"/>
              </w:rPr>
              <w:t xml:space="preserve">ing </w:t>
            </w:r>
            <w:r w:rsidR="00C402DE" w:rsidRPr="008625DC">
              <w:rPr>
                <w:lang w:val="en-AU"/>
              </w:rPr>
              <w:t>and appl</w:t>
            </w:r>
            <w:r w:rsidR="00783CA8" w:rsidRPr="008625DC">
              <w:rPr>
                <w:lang w:val="en-AU"/>
              </w:rPr>
              <w:t xml:space="preserve">ying </w:t>
            </w:r>
            <w:r w:rsidR="004A3737" w:rsidRPr="008625DC">
              <w:rPr>
                <w:lang w:val="en-AU"/>
              </w:rPr>
              <w:t xml:space="preserve">competitive neutrality principles so that government businesses did not enjoy a </w:t>
            </w:r>
            <w:r w:rsidR="00C402DE" w:rsidRPr="008625DC">
              <w:rPr>
                <w:lang w:val="en-AU"/>
              </w:rPr>
              <w:t xml:space="preserve">net </w:t>
            </w:r>
            <w:r w:rsidR="004A3737" w:rsidRPr="008625DC">
              <w:rPr>
                <w:lang w:val="en-AU"/>
              </w:rPr>
              <w:t xml:space="preserve">competitive advantage as a result of </w:t>
            </w:r>
            <w:r w:rsidR="00C402DE" w:rsidRPr="008625DC">
              <w:rPr>
                <w:lang w:val="en-AU"/>
              </w:rPr>
              <w:t xml:space="preserve">public sector </w:t>
            </w:r>
            <w:r w:rsidR="004A3737" w:rsidRPr="008625DC">
              <w:rPr>
                <w:lang w:val="en-AU"/>
              </w:rPr>
              <w:t>ownership;</w:t>
            </w:r>
          </w:p>
          <w:p w14:paraId="264242F1" w14:textId="48034C7C" w:rsidR="004A3737" w:rsidRPr="008625DC" w:rsidRDefault="004A3737" w:rsidP="00467524">
            <w:pPr>
              <w:pStyle w:val="BoxBullet"/>
              <w:rPr>
                <w:lang w:val="en-AU"/>
              </w:rPr>
            </w:pPr>
            <w:r w:rsidRPr="008625DC">
              <w:rPr>
                <w:lang w:val="en-AU"/>
              </w:rPr>
              <w:t>structural</w:t>
            </w:r>
            <w:r w:rsidR="00EC543A" w:rsidRPr="008625DC">
              <w:rPr>
                <w:lang w:val="en-AU"/>
              </w:rPr>
              <w:t>ly</w:t>
            </w:r>
            <w:r w:rsidRPr="008625DC">
              <w:rPr>
                <w:lang w:val="en-AU"/>
              </w:rPr>
              <w:t xml:space="preserve"> reform</w:t>
            </w:r>
            <w:r w:rsidR="00EC543A" w:rsidRPr="008625DC">
              <w:rPr>
                <w:lang w:val="en-AU"/>
              </w:rPr>
              <w:t>ing</w:t>
            </w:r>
            <w:r w:rsidR="007314C3" w:rsidRPr="008625DC">
              <w:rPr>
                <w:lang w:val="en-AU"/>
              </w:rPr>
              <w:t xml:space="preserve"> </w:t>
            </w:r>
            <w:r w:rsidR="007314C3" w:rsidRPr="008625DC" w:rsidDel="007314C3">
              <w:rPr>
                <w:lang w:val="en-AU"/>
              </w:rPr>
              <w:t>public</w:t>
            </w:r>
            <w:r w:rsidR="007314C3" w:rsidRPr="008625DC">
              <w:rPr>
                <w:lang w:val="en-AU"/>
              </w:rPr>
              <w:t xml:space="preserve"> monopolies</w:t>
            </w:r>
            <w:r w:rsidRPr="008625DC">
              <w:rPr>
                <w:lang w:val="en-AU"/>
              </w:rPr>
              <w:t xml:space="preserve"> to </w:t>
            </w:r>
            <w:r w:rsidR="007314C3" w:rsidRPr="008625DC">
              <w:rPr>
                <w:lang w:val="en-AU"/>
              </w:rPr>
              <w:t xml:space="preserve">separate out industry regulation </w:t>
            </w:r>
            <w:r w:rsidR="00C402DE" w:rsidRPr="008625DC">
              <w:rPr>
                <w:lang w:val="en-AU"/>
              </w:rPr>
              <w:t xml:space="preserve">and where possible </w:t>
            </w:r>
            <w:r w:rsidR="00783CA8" w:rsidRPr="008625DC">
              <w:rPr>
                <w:lang w:val="en-AU"/>
              </w:rPr>
              <w:t>further disaggregati</w:t>
            </w:r>
            <w:r w:rsidR="00EC543A" w:rsidRPr="008625DC">
              <w:rPr>
                <w:lang w:val="en-AU"/>
              </w:rPr>
              <w:t>ng</w:t>
            </w:r>
            <w:r w:rsidR="00C402DE" w:rsidRPr="008625DC">
              <w:rPr>
                <w:lang w:val="en-AU"/>
              </w:rPr>
              <w:t xml:space="preserve"> </w:t>
            </w:r>
            <w:r w:rsidR="00783CA8" w:rsidRPr="008625DC">
              <w:rPr>
                <w:lang w:val="en-AU"/>
              </w:rPr>
              <w:t>potentially competitive parts of the monopoly</w:t>
            </w:r>
            <w:r w:rsidRPr="008625DC">
              <w:rPr>
                <w:lang w:val="en-AU"/>
              </w:rPr>
              <w:t>;</w:t>
            </w:r>
          </w:p>
          <w:p w14:paraId="570EE6C0" w14:textId="1F1BEDBE" w:rsidR="004A3737" w:rsidRPr="008625DC" w:rsidRDefault="00C402DE" w:rsidP="00467524">
            <w:pPr>
              <w:pStyle w:val="BoxBullet"/>
              <w:rPr>
                <w:lang w:val="en-AU"/>
              </w:rPr>
            </w:pPr>
            <w:r w:rsidRPr="008625DC">
              <w:rPr>
                <w:lang w:val="en-AU"/>
              </w:rPr>
              <w:t>establish</w:t>
            </w:r>
            <w:r w:rsidR="00783CA8" w:rsidRPr="008625DC">
              <w:rPr>
                <w:lang w:val="en-AU"/>
              </w:rPr>
              <w:t>ing</w:t>
            </w:r>
            <w:r w:rsidRPr="008625DC">
              <w:rPr>
                <w:lang w:val="en-AU"/>
              </w:rPr>
              <w:t xml:space="preserve"> a</w:t>
            </w:r>
            <w:r w:rsidR="004A3737" w:rsidRPr="008625DC" w:rsidDel="00C402DE">
              <w:rPr>
                <w:lang w:val="en-AU"/>
              </w:rPr>
              <w:t xml:space="preserve"> </w:t>
            </w:r>
            <w:r w:rsidR="004A3737" w:rsidRPr="008625DC">
              <w:rPr>
                <w:lang w:val="en-AU"/>
              </w:rPr>
              <w:t>third</w:t>
            </w:r>
            <w:r w:rsidR="00C74E19" w:rsidRPr="008625DC">
              <w:rPr>
                <w:lang w:val="en-AU"/>
              </w:rPr>
              <w:noBreakHyphen/>
            </w:r>
            <w:r w:rsidR="004A3737" w:rsidRPr="008625DC">
              <w:rPr>
                <w:lang w:val="en-AU"/>
              </w:rPr>
              <w:t xml:space="preserve">party access </w:t>
            </w:r>
            <w:r w:rsidRPr="008625DC">
              <w:rPr>
                <w:lang w:val="en-AU"/>
              </w:rPr>
              <w:t xml:space="preserve">regime for significant </w:t>
            </w:r>
            <w:r w:rsidR="00351263" w:rsidRPr="008625DC">
              <w:rPr>
                <w:lang w:val="en-AU"/>
              </w:rPr>
              <w:t xml:space="preserve">bottleneck </w:t>
            </w:r>
            <w:r w:rsidR="004A3737" w:rsidRPr="008625DC">
              <w:rPr>
                <w:lang w:val="en-AU"/>
              </w:rPr>
              <w:t xml:space="preserve">infrastructure; </w:t>
            </w:r>
          </w:p>
          <w:p w14:paraId="2155CD6B" w14:textId="77777777" w:rsidR="004A3737" w:rsidRPr="008625DC" w:rsidRDefault="004A3737" w:rsidP="00467524">
            <w:pPr>
              <w:pStyle w:val="BoxBullet"/>
              <w:rPr>
                <w:lang w:val="en-AU"/>
              </w:rPr>
            </w:pPr>
            <w:r w:rsidRPr="008625DC">
              <w:rPr>
                <w:lang w:val="en-AU"/>
              </w:rPr>
              <w:t>reviewing all legislation restricting competition;</w:t>
            </w:r>
          </w:p>
          <w:p w14:paraId="58B3C63D" w14:textId="2F2EB034" w:rsidR="00C402DE" w:rsidRPr="008625DC" w:rsidRDefault="00DD1278" w:rsidP="00467524">
            <w:pPr>
              <w:pStyle w:val="BoxBullet"/>
              <w:rPr>
                <w:lang w:val="en-AU"/>
              </w:rPr>
            </w:pPr>
            <w:r w:rsidRPr="008625DC">
              <w:rPr>
                <w:lang w:val="en-AU"/>
              </w:rPr>
              <w:t>appl</w:t>
            </w:r>
            <w:r w:rsidR="00EC543A" w:rsidRPr="008625DC">
              <w:rPr>
                <w:lang w:val="en-AU"/>
              </w:rPr>
              <w:t>ying</w:t>
            </w:r>
            <w:r w:rsidRPr="008625DC">
              <w:rPr>
                <w:lang w:val="en-AU"/>
              </w:rPr>
              <w:t xml:space="preserve"> the agreement</w:t>
            </w:r>
            <w:r w:rsidR="00CB6406" w:rsidRPr="008625DC">
              <w:rPr>
                <w:lang w:val="en-AU"/>
              </w:rPr>
              <w:t>s</w:t>
            </w:r>
            <w:r w:rsidRPr="008625DC">
              <w:rPr>
                <w:lang w:val="en-AU"/>
              </w:rPr>
              <w:t xml:space="preserve"> to local government;</w:t>
            </w:r>
          </w:p>
          <w:p w14:paraId="63A79CE3" w14:textId="789548D1" w:rsidR="004A3737" w:rsidRPr="008625DC" w:rsidRDefault="004A3737" w:rsidP="00467524">
            <w:pPr>
              <w:pStyle w:val="BoxBullet"/>
              <w:rPr>
                <w:lang w:val="en-AU"/>
              </w:rPr>
            </w:pPr>
            <w:r w:rsidRPr="008625DC">
              <w:rPr>
                <w:lang w:val="en-AU"/>
              </w:rPr>
              <w:t>establish</w:t>
            </w:r>
            <w:r w:rsidR="00EC543A" w:rsidRPr="008625DC">
              <w:rPr>
                <w:lang w:val="en-AU"/>
              </w:rPr>
              <w:t>ing</w:t>
            </w:r>
            <w:r w:rsidRPr="008625DC">
              <w:rPr>
                <w:lang w:val="en-AU"/>
              </w:rPr>
              <w:t xml:space="preserve"> the N</w:t>
            </w:r>
            <w:r w:rsidR="00CB6406" w:rsidRPr="008625DC">
              <w:rPr>
                <w:lang w:val="en-AU"/>
              </w:rPr>
              <w:t xml:space="preserve">ational </w:t>
            </w:r>
            <w:r w:rsidRPr="008625DC">
              <w:rPr>
                <w:lang w:val="en-AU"/>
              </w:rPr>
              <w:t>C</w:t>
            </w:r>
            <w:r w:rsidR="00CB6406" w:rsidRPr="008625DC">
              <w:rPr>
                <w:lang w:val="en-AU"/>
              </w:rPr>
              <w:t xml:space="preserve">ompetition </w:t>
            </w:r>
            <w:r w:rsidRPr="008625DC">
              <w:rPr>
                <w:lang w:val="en-AU"/>
              </w:rPr>
              <w:t>C</w:t>
            </w:r>
            <w:r w:rsidR="00CB6406" w:rsidRPr="008625DC">
              <w:rPr>
                <w:lang w:val="en-AU"/>
              </w:rPr>
              <w:t>ouncil</w:t>
            </w:r>
            <w:r w:rsidRPr="008625DC">
              <w:rPr>
                <w:lang w:val="en-AU"/>
              </w:rPr>
              <w:t xml:space="preserve">, including funding, appointments and work program; </w:t>
            </w:r>
          </w:p>
          <w:p w14:paraId="33B433DE" w14:textId="71C4B122" w:rsidR="00DD1278" w:rsidRPr="008625DC" w:rsidRDefault="00CB6406" w:rsidP="00467524">
            <w:pPr>
              <w:pStyle w:val="BoxBullet"/>
              <w:rPr>
                <w:lang w:val="en-AU"/>
              </w:rPr>
            </w:pPr>
            <w:r w:rsidRPr="008625DC">
              <w:rPr>
                <w:lang w:val="en-AU"/>
              </w:rPr>
              <w:t>imposing conditions on governments seeking to exempt conduct from the competition law;</w:t>
            </w:r>
            <w:r w:rsidR="00EC543A" w:rsidRPr="008625DC">
              <w:rPr>
                <w:lang w:val="en-AU"/>
              </w:rPr>
              <w:t xml:space="preserve"> and</w:t>
            </w:r>
          </w:p>
          <w:p w14:paraId="093116B7" w14:textId="2A1A27A8" w:rsidR="004A3737" w:rsidRPr="008625DC" w:rsidRDefault="00EC543A" w:rsidP="00467524">
            <w:pPr>
              <w:pStyle w:val="BoxBullet"/>
              <w:rPr>
                <w:lang w:val="en-AU"/>
              </w:rPr>
            </w:pPr>
            <w:proofErr w:type="gramStart"/>
            <w:r w:rsidRPr="008625DC">
              <w:rPr>
                <w:lang w:val="en-AU"/>
              </w:rPr>
              <w:t>p</w:t>
            </w:r>
            <w:r w:rsidR="00DD1278" w:rsidRPr="008625DC">
              <w:rPr>
                <w:lang w:val="en-AU"/>
              </w:rPr>
              <w:t>r</w:t>
            </w:r>
            <w:r w:rsidR="00783CA8" w:rsidRPr="008625DC">
              <w:rPr>
                <w:lang w:val="en-AU"/>
              </w:rPr>
              <w:t>ov</w:t>
            </w:r>
            <w:r w:rsidR="00DD1278" w:rsidRPr="008625DC">
              <w:rPr>
                <w:lang w:val="en-AU"/>
              </w:rPr>
              <w:t>i</w:t>
            </w:r>
            <w:r w:rsidR="00783CA8" w:rsidRPr="008625DC">
              <w:rPr>
                <w:lang w:val="en-AU"/>
              </w:rPr>
              <w:t>d</w:t>
            </w:r>
            <w:r w:rsidR="001752A4" w:rsidRPr="008625DC">
              <w:rPr>
                <w:lang w:val="en-AU"/>
              </w:rPr>
              <w:t>ing</w:t>
            </w:r>
            <w:proofErr w:type="gramEnd"/>
            <w:r w:rsidR="00DD1278" w:rsidRPr="008625DC">
              <w:rPr>
                <w:lang w:val="en-AU"/>
              </w:rPr>
              <w:t xml:space="preserve"> financial assistance to the </w:t>
            </w:r>
            <w:r w:rsidR="0046149D" w:rsidRPr="008625DC">
              <w:rPr>
                <w:lang w:val="en-AU"/>
              </w:rPr>
              <w:t>S</w:t>
            </w:r>
            <w:r w:rsidR="00DD1278" w:rsidRPr="008625DC">
              <w:rPr>
                <w:lang w:val="en-AU"/>
              </w:rPr>
              <w:t xml:space="preserve">tates </w:t>
            </w:r>
            <w:r w:rsidR="00CB6406" w:rsidRPr="008625DC">
              <w:rPr>
                <w:lang w:val="en-AU"/>
              </w:rPr>
              <w:t xml:space="preserve">and Territories </w:t>
            </w:r>
            <w:r w:rsidR="00DD1278" w:rsidRPr="008625DC">
              <w:rPr>
                <w:lang w:val="en-AU"/>
              </w:rPr>
              <w:t xml:space="preserve">conditional on progress in implementing </w:t>
            </w:r>
            <w:r w:rsidR="00F670B7" w:rsidRPr="008625DC">
              <w:rPr>
                <w:lang w:val="en-AU"/>
              </w:rPr>
              <w:t xml:space="preserve">the </w:t>
            </w:r>
            <w:r w:rsidR="00DD1278" w:rsidRPr="008625DC">
              <w:rPr>
                <w:lang w:val="en-AU"/>
              </w:rPr>
              <w:t>NCP</w:t>
            </w:r>
            <w:r w:rsidR="004A3737" w:rsidRPr="008625DC" w:rsidDel="00DD1278">
              <w:rPr>
                <w:lang w:val="en-AU"/>
              </w:rPr>
              <w:t>.</w:t>
            </w:r>
          </w:p>
        </w:tc>
      </w:tr>
    </w:tbl>
    <w:p w14:paraId="35842E43" w14:textId="2A182C39" w:rsidR="006D76AC" w:rsidRPr="008625DC" w:rsidRDefault="00583321" w:rsidP="00E05574">
      <w:pPr>
        <w:spacing w:before="240"/>
      </w:pPr>
      <w:r w:rsidRPr="008625DC">
        <w:t xml:space="preserve">While the NCP agreements provided a framework for agreed </w:t>
      </w:r>
      <w:r w:rsidR="001E5B84" w:rsidRPr="008625DC">
        <w:t>policies</w:t>
      </w:r>
      <w:r w:rsidRPr="008625DC">
        <w:t xml:space="preserve">, the </w:t>
      </w:r>
      <w:r w:rsidR="00656342" w:rsidRPr="008625DC">
        <w:t>S</w:t>
      </w:r>
      <w:r w:rsidRPr="008625DC">
        <w:t xml:space="preserve">tates and </w:t>
      </w:r>
      <w:r w:rsidR="00656342" w:rsidRPr="008625DC">
        <w:t>T</w:t>
      </w:r>
      <w:r w:rsidRPr="008625DC">
        <w:t xml:space="preserve">erritories </w:t>
      </w:r>
      <w:r w:rsidR="00A835A1" w:rsidRPr="008625DC">
        <w:t>had</w:t>
      </w:r>
      <w:r w:rsidRPr="008625DC">
        <w:t xml:space="preserve"> flexibility in </w:t>
      </w:r>
      <w:r w:rsidR="006D76AC" w:rsidRPr="008625DC">
        <w:t>implementing</w:t>
      </w:r>
      <w:r w:rsidRPr="008625DC">
        <w:t xml:space="preserve"> </w:t>
      </w:r>
      <w:r w:rsidR="00A835A1" w:rsidRPr="008625DC">
        <w:t xml:space="preserve">what </w:t>
      </w:r>
      <w:r w:rsidR="00EC543A" w:rsidRPr="008625DC">
        <w:t>was</w:t>
      </w:r>
      <w:r w:rsidR="00A835A1" w:rsidRPr="008625DC">
        <w:t xml:space="preserve"> agreed</w:t>
      </w:r>
      <w:r w:rsidRPr="008625DC">
        <w:t xml:space="preserve">. The Panel considers that flexibility continues to be important, particularly in the context of a federation where responsibility for reform lies with various </w:t>
      </w:r>
      <w:r w:rsidR="006D76AC" w:rsidRPr="008625DC">
        <w:t xml:space="preserve">levels of </w:t>
      </w:r>
      <w:r w:rsidRPr="008625DC">
        <w:t>government.</w:t>
      </w:r>
      <w:r w:rsidR="00385595" w:rsidRPr="008625DC">
        <w:t xml:space="preserve"> The importance of local government in implementing aspects of competition policy is sometimes overlooked. The role of local government in competition policy should be explicitly addressed</w:t>
      </w:r>
      <w:r w:rsidR="00783CA8" w:rsidRPr="008625DC">
        <w:t xml:space="preserve"> going forward</w:t>
      </w:r>
      <w:r w:rsidR="00385595" w:rsidRPr="008625DC">
        <w:t xml:space="preserve">. </w:t>
      </w:r>
    </w:p>
    <w:p w14:paraId="608273A4" w14:textId="280182FE" w:rsidR="00583321" w:rsidRPr="008625DC" w:rsidRDefault="00583321" w:rsidP="00E05574">
      <w:pPr>
        <w:spacing w:after="120"/>
      </w:pPr>
      <w:r w:rsidRPr="008625DC">
        <w:t>The P</w:t>
      </w:r>
      <w:r w:rsidR="006D76AC" w:rsidRPr="008625DC">
        <w:t>roductivity Commission</w:t>
      </w:r>
      <w:r w:rsidRPr="008625DC">
        <w:t xml:space="preserve"> </w:t>
      </w:r>
      <w:r w:rsidR="00057C92" w:rsidRPr="008625DC">
        <w:t xml:space="preserve">(PC) </w:t>
      </w:r>
      <w:r w:rsidRPr="008625DC">
        <w:t xml:space="preserve">in its Review of </w:t>
      </w:r>
      <w:r w:rsidR="00F670B7" w:rsidRPr="008625DC">
        <w:t xml:space="preserve">the </w:t>
      </w:r>
      <w:r w:rsidRPr="008625DC">
        <w:t xml:space="preserve">NCP </w:t>
      </w:r>
      <w:r w:rsidR="006D76AC" w:rsidRPr="008625DC">
        <w:t xml:space="preserve">noted </w:t>
      </w:r>
      <w:r w:rsidRPr="008625DC">
        <w:t>that flexibility provide</w:t>
      </w:r>
      <w:r w:rsidR="006D76AC" w:rsidRPr="008625DC">
        <w:t>s</w:t>
      </w:r>
      <w:r w:rsidRPr="008625DC">
        <w:t xml:space="preserve"> the opportunity for governments to learn from different approaches to reform: </w:t>
      </w:r>
    </w:p>
    <w:p w14:paraId="079B461B" w14:textId="4EF96B53" w:rsidR="00583321" w:rsidRPr="008625DC" w:rsidRDefault="00DF114F" w:rsidP="00D226CF">
      <w:pPr>
        <w:pStyle w:val="Quotes"/>
      </w:pPr>
      <w:r w:rsidRPr="008625DC">
        <w:t>[</w:t>
      </w:r>
      <w:r w:rsidR="004E04F2">
        <w:t>F</w:t>
      </w:r>
      <w:r w:rsidRPr="008625DC">
        <w:t>]</w:t>
      </w:r>
      <w:r w:rsidR="00583321" w:rsidRPr="008625DC">
        <w:t xml:space="preserve">lexibility has in turn harnessed the benefits of </w:t>
      </w:r>
      <w:r w:rsidR="00C74E19" w:rsidRPr="008625DC">
        <w:t>‘</w:t>
      </w:r>
      <w:r w:rsidR="00583321" w:rsidRPr="008625DC">
        <w:t>competitive federalism</w:t>
      </w:r>
      <w:r w:rsidR="00C74E19" w:rsidRPr="008625DC">
        <w:t>’</w:t>
      </w:r>
      <w:r w:rsidR="00583321" w:rsidRPr="008625DC">
        <w:t xml:space="preserve"> to advance the reform process. That is, the NCP framework has provided opportunities for governments to learn from the outcomes of different approaches to reform in other jurisdictions.</w:t>
      </w:r>
      <w:r w:rsidR="00583321" w:rsidRPr="008625DC">
        <w:rPr>
          <w:rStyle w:val="FootnoteReference"/>
        </w:rPr>
        <w:footnoteReference w:id="18"/>
      </w:r>
    </w:p>
    <w:p w14:paraId="6ADD2005" w14:textId="4DDE4C33" w:rsidR="00583321" w:rsidRPr="008625DC" w:rsidRDefault="00583321" w:rsidP="00D226CF">
      <w:pPr>
        <w:spacing w:before="240"/>
      </w:pPr>
      <w:r w:rsidRPr="008625DC">
        <w:t>That said</w:t>
      </w:r>
      <w:proofErr w:type="gramStart"/>
      <w:r w:rsidRPr="008625DC">
        <w:t>,</w:t>
      </w:r>
      <w:proofErr w:type="gramEnd"/>
      <w:r w:rsidRPr="008625DC">
        <w:t xml:space="preserve"> flexibility should not </w:t>
      </w:r>
      <w:r w:rsidR="00B10DEC" w:rsidRPr="008625DC">
        <w:t xml:space="preserve">compromise </w:t>
      </w:r>
      <w:r w:rsidRPr="008625DC">
        <w:t xml:space="preserve">the agreed outcomes of particular reforms. </w:t>
      </w:r>
      <w:r w:rsidR="00EC543A" w:rsidRPr="008625DC">
        <w:t>Moreover</w:t>
      </w:r>
      <w:r w:rsidRPr="008625DC">
        <w:t xml:space="preserve">, where different approaches have been adopted by various jurisdictions, </w:t>
      </w:r>
      <w:r w:rsidR="00C74E19" w:rsidRPr="008625DC">
        <w:t>‘</w:t>
      </w:r>
      <w:r w:rsidRPr="008625DC">
        <w:t>best</w:t>
      </w:r>
      <w:r w:rsidR="00C74E19" w:rsidRPr="008625DC">
        <w:noBreakHyphen/>
      </w:r>
      <w:r w:rsidRPr="008625DC">
        <w:t>practice</w:t>
      </w:r>
      <w:r w:rsidR="00C74E19" w:rsidRPr="008625DC">
        <w:t>’</w:t>
      </w:r>
      <w:r w:rsidRPr="008625DC">
        <w:t xml:space="preserve"> approaches to implementing NCP principles should be identified. </w:t>
      </w:r>
    </w:p>
    <w:p w14:paraId="056AEF14" w14:textId="192A8222" w:rsidR="00583321" w:rsidRPr="008625DC" w:rsidRDefault="00583321" w:rsidP="00583321">
      <w:r w:rsidRPr="008625DC">
        <w:lastRenderedPageBreak/>
        <w:t xml:space="preserve">The NCP recognised that restrictions on competition can sometimes be desirable. The Panel endorses this approach and considers that the </w:t>
      </w:r>
      <w:r w:rsidR="00C74E19" w:rsidRPr="008625DC">
        <w:t>‘</w:t>
      </w:r>
      <w:r w:rsidRPr="008625DC">
        <w:t>public interest</w:t>
      </w:r>
      <w:r w:rsidR="00C74E19" w:rsidRPr="008625DC">
        <w:t>’</w:t>
      </w:r>
      <w:r w:rsidRPr="008625DC">
        <w:t xml:space="preserve"> test should remain a central component of competition policy in Australia.</w:t>
      </w:r>
    </w:p>
    <w:p w14:paraId="3290BC6D" w14:textId="36649018" w:rsidR="00F373DB" w:rsidRPr="008625DC" w:rsidRDefault="00583321" w:rsidP="00583321">
      <w:r w:rsidRPr="008625DC">
        <w:t>However, digital technology and increasing globalisation are changing markets and consumers</w:t>
      </w:r>
      <w:r w:rsidR="00C74E19" w:rsidRPr="008625DC">
        <w:t>’</w:t>
      </w:r>
      <w:r w:rsidRPr="008625DC">
        <w:t xml:space="preserve"> </w:t>
      </w:r>
      <w:r w:rsidR="006D76AC" w:rsidRPr="008625DC">
        <w:t xml:space="preserve">ability to </w:t>
      </w:r>
      <w:r w:rsidRPr="008625DC">
        <w:t>access markets. Australia also confront</w:t>
      </w:r>
      <w:r w:rsidR="003D3E5E" w:rsidRPr="008625DC">
        <w:t>s</w:t>
      </w:r>
      <w:r w:rsidRPr="008625DC">
        <w:t xml:space="preserve"> long</w:t>
      </w:r>
      <w:r w:rsidR="00C74E19" w:rsidRPr="008625DC">
        <w:noBreakHyphen/>
      </w:r>
      <w:r w:rsidRPr="008625DC">
        <w:t>term economic challenges such as an ageing population.</w:t>
      </w:r>
    </w:p>
    <w:p w14:paraId="46D6228E" w14:textId="31A660C9" w:rsidR="00A835A1" w:rsidRPr="008625DC" w:rsidRDefault="00583321" w:rsidP="003A1DAF">
      <w:r w:rsidRPr="008625DC">
        <w:t>In light of th</w:t>
      </w:r>
      <w:r w:rsidR="00F373DB" w:rsidRPr="008625DC">
        <w:t>ese developments</w:t>
      </w:r>
      <w:r w:rsidRPr="008625DC">
        <w:t xml:space="preserve">, the Panel </w:t>
      </w:r>
      <w:r w:rsidR="003D3E5E" w:rsidRPr="008625DC">
        <w:t xml:space="preserve">believes </w:t>
      </w:r>
      <w:r w:rsidRPr="008625DC">
        <w:t xml:space="preserve">that the </w:t>
      </w:r>
      <w:r w:rsidR="003D3E5E" w:rsidRPr="008625DC">
        <w:t xml:space="preserve">original </w:t>
      </w:r>
      <w:r w:rsidR="00385595" w:rsidRPr="008625DC">
        <w:t xml:space="preserve">elements of competition policy </w:t>
      </w:r>
      <w:r w:rsidR="003D3E5E" w:rsidRPr="008625DC">
        <w:t xml:space="preserve">should </w:t>
      </w:r>
      <w:r w:rsidRPr="008625DC">
        <w:t xml:space="preserve">be revisited. </w:t>
      </w:r>
    </w:p>
    <w:p w14:paraId="35801E84" w14:textId="4779AC4D" w:rsidR="00583321" w:rsidRPr="008625DC" w:rsidRDefault="003D3E5E" w:rsidP="003A1DAF">
      <w:r w:rsidRPr="008625DC">
        <w:t>In particular, t</w:t>
      </w:r>
      <w:r w:rsidR="00583321" w:rsidRPr="008625DC">
        <w:t xml:space="preserve">here is scope </w:t>
      </w:r>
      <w:r w:rsidR="00385595" w:rsidRPr="008625DC">
        <w:t xml:space="preserve">for </w:t>
      </w:r>
      <w:r w:rsidR="00A5045F" w:rsidRPr="008625DC">
        <w:t xml:space="preserve">a set of competition principles </w:t>
      </w:r>
      <w:r w:rsidR="00385595" w:rsidRPr="008625DC">
        <w:t xml:space="preserve">that </w:t>
      </w:r>
      <w:r w:rsidRPr="008625DC">
        <w:t xml:space="preserve">widen </w:t>
      </w:r>
      <w:r w:rsidR="00583321" w:rsidRPr="008625DC">
        <w:t xml:space="preserve">the </w:t>
      </w:r>
      <w:r w:rsidRPr="008625DC">
        <w:t xml:space="preserve">focus beyond public monopolies and government businesses </w:t>
      </w:r>
      <w:r w:rsidR="00583321" w:rsidRPr="008625DC">
        <w:t xml:space="preserve">to </w:t>
      </w:r>
      <w:r w:rsidRPr="008625DC">
        <w:t xml:space="preserve">encompass the provision of </w:t>
      </w:r>
      <w:r w:rsidR="00583321" w:rsidRPr="008625DC">
        <w:t>government service</w:t>
      </w:r>
      <w:r w:rsidRPr="008625DC">
        <w:t>s</w:t>
      </w:r>
      <w:r w:rsidR="00583321" w:rsidRPr="008625DC">
        <w:t xml:space="preserve"> more generally.</w:t>
      </w:r>
    </w:p>
    <w:p w14:paraId="65D7771D" w14:textId="0F8E549C" w:rsidR="00BB744D" w:rsidRPr="008625DC" w:rsidRDefault="00BB744D" w:rsidP="003A1DAF">
      <w:r w:rsidRPr="008625DC">
        <w:t xml:space="preserve">Agreeing a set of principles </w:t>
      </w:r>
      <w:r w:rsidR="00351263" w:rsidRPr="008625DC">
        <w:t>w</w:t>
      </w:r>
      <w:r w:rsidRPr="008625DC">
        <w:t>ould guide Commonwealth</w:t>
      </w:r>
      <w:r w:rsidR="00B10DEC" w:rsidRPr="008625DC">
        <w:t>,</w:t>
      </w:r>
      <w:r w:rsidR="00EC543A" w:rsidRPr="008625DC">
        <w:t xml:space="preserve"> s</w:t>
      </w:r>
      <w:r w:rsidRPr="008625DC">
        <w:t xml:space="preserve">tate </w:t>
      </w:r>
      <w:r w:rsidR="00B10DEC" w:rsidRPr="008625DC">
        <w:t xml:space="preserve">and </w:t>
      </w:r>
      <w:r w:rsidR="00EC543A" w:rsidRPr="008625DC">
        <w:t>t</w:t>
      </w:r>
      <w:r w:rsidR="00B10DEC" w:rsidRPr="008625DC">
        <w:t xml:space="preserve">erritory </w:t>
      </w:r>
      <w:r w:rsidRPr="008625DC">
        <w:t xml:space="preserve">and </w:t>
      </w:r>
      <w:r w:rsidR="00B10DEC" w:rsidRPr="008625DC">
        <w:t>l</w:t>
      </w:r>
      <w:r w:rsidRPr="008625DC">
        <w:t>ocal governments in implementing th</w:t>
      </w:r>
      <w:r w:rsidR="00EC543A" w:rsidRPr="008625DC">
        <w:t>ose aspects of competition p</w:t>
      </w:r>
      <w:r w:rsidRPr="008625DC">
        <w:t xml:space="preserve">olicy </w:t>
      </w:r>
      <w:r w:rsidR="00B10DEC" w:rsidRPr="008625DC">
        <w:t>for which they are</w:t>
      </w:r>
      <w:r w:rsidRPr="008625DC">
        <w:t xml:space="preserve"> responsible.</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15BC3" w:rsidRPr="008625DC" w14:paraId="207CE7F8" w14:textId="77777777" w:rsidTr="0052543A">
        <w:tc>
          <w:tcPr>
            <w:tcW w:w="5000" w:type="pct"/>
            <w:shd w:val="clear" w:color="auto" w:fill="FFFFFF" w:themeFill="background1"/>
          </w:tcPr>
          <w:p w14:paraId="344E7C22" w14:textId="44219B90" w:rsidR="00015BC3" w:rsidRPr="008625DC" w:rsidRDefault="00015BC3" w:rsidP="0052543A">
            <w:pPr>
              <w:pStyle w:val="Keyfindingheading"/>
            </w:pPr>
            <w:r w:rsidRPr="008625DC">
              <w:lastRenderedPageBreak/>
              <w:t>The Panel</w:t>
            </w:r>
            <w:r w:rsidR="00C74E19" w:rsidRPr="008625DC">
              <w:t>’</w:t>
            </w:r>
            <w:r w:rsidRPr="008625DC">
              <w:t>s view</w:t>
            </w:r>
          </w:p>
          <w:p w14:paraId="6C89DBE7" w14:textId="114EFC27" w:rsidR="00960D25" w:rsidRPr="008625DC" w:rsidRDefault="00960D25" w:rsidP="008625DC">
            <w:pPr>
              <w:pStyle w:val="Keyfindingtext"/>
            </w:pPr>
            <w:r w:rsidRPr="008625DC">
              <w:t>The Panel endorses competition policy that focuses on making markets work in the long</w:t>
            </w:r>
            <w:r w:rsidR="00C74E19" w:rsidRPr="008625DC">
              <w:noBreakHyphen/>
            </w:r>
            <w:r w:rsidRPr="008625DC">
              <w:t>term interests of consumers. The following principles should guide Commonwealth, state and territory and local governments in implementing competition policy:</w:t>
            </w:r>
          </w:p>
          <w:p w14:paraId="7FC618E3" w14:textId="77777777" w:rsidR="00960D25" w:rsidRPr="008625DC" w:rsidRDefault="00960D25" w:rsidP="0085437B">
            <w:pPr>
              <w:pStyle w:val="RecommendationBullet"/>
            </w:pPr>
            <w:r w:rsidRPr="008625DC">
              <w:t xml:space="preserve">legislative frameworks and government policies binding the public or private sectors should not restrict competition; </w:t>
            </w:r>
          </w:p>
          <w:p w14:paraId="6DB5B2ED" w14:textId="77777777" w:rsidR="00960D25" w:rsidRPr="008625DC" w:rsidRDefault="00960D25" w:rsidP="0085437B">
            <w:pPr>
              <w:pStyle w:val="RecommendationBullet"/>
            </w:pPr>
            <w:r w:rsidRPr="008625DC">
              <w:t>governments should promote consumer choice when funding or providing goods and services and enable informed choices by consumers;</w:t>
            </w:r>
          </w:p>
          <w:p w14:paraId="6E9E0EAD" w14:textId="77777777" w:rsidR="00960D25" w:rsidRPr="008625DC" w:rsidRDefault="00960D25" w:rsidP="0085437B">
            <w:pPr>
              <w:pStyle w:val="RecommendationBullet"/>
            </w:pPr>
            <w:r w:rsidRPr="008625DC">
              <w:t>the model for government provision of goods and services should separate funding, regulation and service provision, and should encourage a diversity of providers;</w:t>
            </w:r>
          </w:p>
          <w:p w14:paraId="40A6084C" w14:textId="77777777" w:rsidR="00960D25" w:rsidRPr="008625DC" w:rsidRDefault="00960D25" w:rsidP="0085437B">
            <w:pPr>
              <w:pStyle w:val="RecommendationBullet"/>
            </w:pPr>
            <w:r w:rsidRPr="008625DC">
              <w:t>governments should separate remaining public monopolies from competitive service elements, and also separate contestable elements into smaller independent business activities;</w:t>
            </w:r>
          </w:p>
          <w:p w14:paraId="3C99126B" w14:textId="0766C423" w:rsidR="00960D25" w:rsidRPr="008625DC" w:rsidRDefault="00960D25" w:rsidP="0085437B">
            <w:pPr>
              <w:pStyle w:val="RecommendationBullet"/>
            </w:pPr>
            <w:r w:rsidRPr="008625DC">
              <w:t>government business activities that compete with private provision, whether for</w:t>
            </w:r>
            <w:r w:rsidR="00C74E19" w:rsidRPr="008625DC">
              <w:noBreakHyphen/>
            </w:r>
            <w:r w:rsidRPr="008625DC">
              <w:t>profit or not</w:t>
            </w:r>
            <w:r w:rsidR="00C74E19" w:rsidRPr="008625DC">
              <w:noBreakHyphen/>
            </w:r>
            <w:r w:rsidRPr="008625DC">
              <w:t>for</w:t>
            </w:r>
            <w:r w:rsidR="00C74E19" w:rsidRPr="008625DC">
              <w:noBreakHyphen/>
            </w:r>
            <w:r w:rsidRPr="008625DC">
              <w:t xml:space="preserve">profit, should comply with competitive neutrality principles to ensure they do not enjoy a net competitive advantage simply as a result of government ownership; </w:t>
            </w:r>
          </w:p>
          <w:p w14:paraId="57645F4C" w14:textId="07D2E5EB" w:rsidR="00960D25" w:rsidRPr="008625DC" w:rsidRDefault="00960D25" w:rsidP="0085437B">
            <w:pPr>
              <w:pStyle w:val="RecommendationBullet"/>
            </w:pPr>
            <w:r w:rsidRPr="008625DC">
              <w:t>a right to third</w:t>
            </w:r>
            <w:r w:rsidR="00C74E19" w:rsidRPr="008625DC">
              <w:noBreakHyphen/>
            </w:r>
            <w:r w:rsidRPr="008625DC">
              <w:t>party access to significant bottleneck infrastructure should be granted where it would promote a material increase in competition in dependent markets and would promote the public interest; and</w:t>
            </w:r>
          </w:p>
          <w:p w14:paraId="40A8CAF0" w14:textId="77777777" w:rsidR="00960D25" w:rsidRPr="008625DC" w:rsidRDefault="00960D25" w:rsidP="008625DC">
            <w:pPr>
              <w:pStyle w:val="RecommendationBullet"/>
              <w:spacing w:after="180"/>
            </w:pPr>
            <w:proofErr w:type="gramStart"/>
            <w:r w:rsidRPr="008625DC">
              <w:t>independent</w:t>
            </w:r>
            <w:proofErr w:type="gramEnd"/>
            <w:r w:rsidRPr="008625DC">
              <w:t xml:space="preserve"> authorities should set, administer or oversee prices for natural monopoly infrastructure providers.</w:t>
            </w:r>
          </w:p>
          <w:p w14:paraId="267E3B58" w14:textId="42BD2BCB" w:rsidR="00960D25" w:rsidRPr="008625DC" w:rsidRDefault="00960D25" w:rsidP="008625DC">
            <w:pPr>
              <w:pStyle w:val="Keyfindingtext"/>
            </w:pPr>
            <w:r w:rsidRPr="008625DC">
              <w:t xml:space="preserve">Applying these principles should be subject to a </w:t>
            </w:r>
            <w:r w:rsidR="00C74E19" w:rsidRPr="008625DC">
              <w:t>‘</w:t>
            </w:r>
            <w:r w:rsidRPr="008625DC">
              <w:t>public interest</w:t>
            </w:r>
            <w:r w:rsidR="00C74E19" w:rsidRPr="008625DC">
              <w:t>’</w:t>
            </w:r>
            <w:r w:rsidRPr="008625DC">
              <w:t xml:space="preserve"> test, so that:</w:t>
            </w:r>
          </w:p>
          <w:p w14:paraId="53B776DC" w14:textId="77777777" w:rsidR="00960D25" w:rsidRPr="008625DC" w:rsidRDefault="00960D25" w:rsidP="0085437B">
            <w:pPr>
              <w:pStyle w:val="RecommendationBullet"/>
            </w:pPr>
            <w:r w:rsidRPr="008625DC">
              <w:t>the principle should apply unless the costs outweigh the benefits; and</w:t>
            </w:r>
          </w:p>
          <w:p w14:paraId="4057B23C" w14:textId="77777777" w:rsidR="00960D25" w:rsidRPr="008625DC" w:rsidRDefault="00960D25" w:rsidP="0085437B">
            <w:pPr>
              <w:pStyle w:val="RecommendationBullet"/>
            </w:pPr>
            <w:r w:rsidRPr="008625DC">
              <w:t>any legislation or government policy restricting competition must demonstrate that:</w:t>
            </w:r>
          </w:p>
          <w:p w14:paraId="7F5D793E" w14:textId="77777777" w:rsidR="00960D25" w:rsidRPr="008625DC" w:rsidRDefault="00960D25" w:rsidP="0085437B">
            <w:pPr>
              <w:pStyle w:val="RecommendationDash"/>
            </w:pPr>
            <w:r w:rsidRPr="008625DC">
              <w:t xml:space="preserve">it is in the public interest; and </w:t>
            </w:r>
          </w:p>
          <w:p w14:paraId="07C3591B" w14:textId="170A82FE" w:rsidR="00960D25" w:rsidRPr="008625DC" w:rsidRDefault="00960D25" w:rsidP="008625DC">
            <w:pPr>
              <w:pStyle w:val="RecommendationDash"/>
              <w:spacing w:after="180"/>
            </w:pPr>
            <w:proofErr w:type="gramStart"/>
            <w:r w:rsidRPr="008625DC">
              <w:t>the</w:t>
            </w:r>
            <w:proofErr w:type="gramEnd"/>
            <w:r w:rsidRPr="008625DC">
              <w:t xml:space="preserve"> objectives of the legislation or government policy can only be achieved by restricting competition.</w:t>
            </w:r>
          </w:p>
          <w:p w14:paraId="20B37ADB" w14:textId="452D6776" w:rsidR="00015BC3" w:rsidRPr="008625DC" w:rsidRDefault="00EC543A" w:rsidP="008625DC">
            <w:pPr>
              <w:pStyle w:val="Keyfindingtext"/>
            </w:pPr>
            <w:r w:rsidRPr="008625DC">
              <w:t>F</w:t>
            </w:r>
            <w:r w:rsidR="00015BC3" w:rsidRPr="008625DC">
              <w:t xml:space="preserve">lexibility </w:t>
            </w:r>
            <w:r w:rsidRPr="008625DC">
              <w:t xml:space="preserve">should be </w:t>
            </w:r>
            <w:r w:rsidR="00015BC3" w:rsidRPr="008625DC">
              <w:t xml:space="preserve">allowed </w:t>
            </w:r>
            <w:r w:rsidRPr="008625DC">
              <w:t xml:space="preserve">in the way </w:t>
            </w:r>
            <w:r w:rsidR="00015BC3" w:rsidRPr="008625DC">
              <w:t>jurisdictions implement policies based on the</w:t>
            </w:r>
            <w:r w:rsidR="00960D25" w:rsidRPr="008625DC">
              <w:t>se</w:t>
            </w:r>
            <w:r w:rsidR="00015BC3" w:rsidRPr="008625DC">
              <w:t xml:space="preserve"> principles.</w:t>
            </w:r>
          </w:p>
        </w:tc>
      </w:tr>
    </w:tbl>
    <w:p w14:paraId="03E8A332" w14:textId="77777777" w:rsidR="00A95C90" w:rsidRPr="008625DC" w:rsidRDefault="00E05574">
      <w:pPr>
        <w:spacing w:before="0" w:after="0"/>
        <w:sectPr w:rsidR="00A95C90" w:rsidRPr="008625DC" w:rsidSect="00AA577F">
          <w:headerReference w:type="default" r:id="rId45"/>
          <w:pgSz w:w="11906" w:h="16838" w:code="9"/>
          <w:pgMar w:top="1418" w:right="1418" w:bottom="1418" w:left="1418" w:header="709" w:footer="709" w:gutter="0"/>
          <w:cols w:space="708"/>
          <w:docGrid w:linePitch="360"/>
        </w:sectPr>
      </w:pPr>
      <w:bookmarkStart w:id="13923" w:name="_Toc396304585"/>
      <w:bookmarkStart w:id="13924" w:name="_Toc396586120"/>
      <w:bookmarkStart w:id="13925" w:name="_Toc396815141"/>
      <w:bookmarkStart w:id="13926" w:name="_Toc396821090"/>
      <w:bookmarkStart w:id="13927" w:name="_Toc396821698"/>
      <w:bookmarkStart w:id="13928" w:name="_Toc396827548"/>
      <w:bookmarkStart w:id="13929" w:name="_Toc396828519"/>
      <w:bookmarkStart w:id="13930" w:name="_Toc396828629"/>
      <w:bookmarkStart w:id="13931" w:name="_Toc396838018"/>
      <w:bookmarkStart w:id="13932" w:name="_Toc396838416"/>
      <w:bookmarkStart w:id="13933" w:name="_Toc396904739"/>
      <w:bookmarkStart w:id="13934" w:name="_Toc396907573"/>
      <w:bookmarkStart w:id="13935" w:name="_Toc396912492"/>
      <w:bookmarkStart w:id="13936" w:name="_Toc396914472"/>
      <w:bookmarkStart w:id="13937" w:name="_Toc396915356"/>
      <w:bookmarkStart w:id="13938" w:name="_Toc396915750"/>
      <w:bookmarkStart w:id="13939" w:name="_Toc396921061"/>
      <w:bookmarkStart w:id="13940" w:name="_Toc396924401"/>
      <w:bookmarkStart w:id="13941" w:name="_Toc396925095"/>
      <w:bookmarkStart w:id="13942" w:name="_Toc396992215"/>
      <w:bookmarkStart w:id="13943" w:name="_Toc396992794"/>
      <w:bookmarkStart w:id="13944" w:name="_Toc396994458"/>
      <w:bookmarkStart w:id="13945" w:name="_Toc397002229"/>
      <w:bookmarkStart w:id="13946" w:name="_Toc397003148"/>
      <w:bookmarkStart w:id="13947" w:name="_Toc397008706"/>
      <w:bookmarkStart w:id="13948" w:name="_Toc397008924"/>
      <w:bookmarkStart w:id="13949" w:name="_Toc397011596"/>
      <w:bookmarkStart w:id="13950" w:name="_Toc397012658"/>
      <w:bookmarkStart w:id="13951" w:name="_Toc397015000"/>
      <w:bookmarkStart w:id="13952" w:name="_Toc397015487"/>
      <w:bookmarkStart w:id="13953" w:name="_Toc397070557"/>
      <w:r w:rsidRPr="008625DC">
        <w:br w:type="page"/>
      </w:r>
    </w:p>
    <w:p w14:paraId="56E6AE40" w14:textId="782A0D5A" w:rsidR="00215822" w:rsidRPr="008625DC" w:rsidRDefault="008E441C" w:rsidP="00864E0A">
      <w:pPr>
        <w:pStyle w:val="Heading1"/>
        <w:ind w:left="851" w:hanging="851"/>
      </w:pPr>
      <w:bookmarkStart w:id="13954" w:name="_Toc397413298"/>
      <w:bookmarkStart w:id="13955" w:name="_Toc397413445"/>
      <w:bookmarkStart w:id="13956" w:name="_Toc397428028"/>
      <w:bookmarkStart w:id="13957" w:name="_Toc397439416"/>
      <w:bookmarkStart w:id="13958" w:name="_Toc397439586"/>
      <w:bookmarkStart w:id="13959" w:name="_Toc397439842"/>
      <w:bookmarkStart w:id="13960" w:name="_Toc397440144"/>
      <w:bookmarkStart w:id="13961" w:name="_Toc397441773"/>
      <w:bookmarkStart w:id="13962" w:name="_Toc397517475"/>
      <w:bookmarkStart w:id="13963" w:name="_Toc397522740"/>
      <w:bookmarkStart w:id="13964" w:name="_Toc397526158"/>
      <w:bookmarkStart w:id="13965" w:name="_Toc397528473"/>
      <w:bookmarkStart w:id="13966" w:name="_Toc397528948"/>
      <w:bookmarkStart w:id="13967" w:name="_Toc397601945"/>
      <w:bookmarkStart w:id="13968" w:name="_Toc397602680"/>
      <w:bookmarkStart w:id="13969" w:name="_Toc397605809"/>
      <w:bookmarkStart w:id="13970" w:name="_Toc397614510"/>
      <w:bookmarkStart w:id="13971" w:name="_Toc397614953"/>
      <w:bookmarkStart w:id="13972" w:name="_Toc397616396"/>
      <w:bookmarkStart w:id="13973" w:name="_Toc397616790"/>
      <w:bookmarkStart w:id="13974" w:name="_Toc397679200"/>
      <w:bookmarkStart w:id="13975" w:name="_Toc397688088"/>
      <w:bookmarkStart w:id="13976" w:name="_Toc397689304"/>
      <w:bookmarkStart w:id="13977" w:name="_Toc397694584"/>
      <w:bookmarkStart w:id="13978" w:name="_Toc397696425"/>
      <w:bookmarkStart w:id="13979" w:name="_Toc397697159"/>
      <w:bookmarkStart w:id="13980" w:name="_Toc397698446"/>
      <w:bookmarkStart w:id="13981" w:name="_Toc397699812"/>
      <w:bookmarkStart w:id="13982" w:name="_Toc397700266"/>
      <w:bookmarkStart w:id="13983" w:name="_Toc397936658"/>
      <w:bookmarkStart w:id="13984" w:name="_Toc397936778"/>
      <w:bookmarkStart w:id="13985" w:name="_Toc397945934"/>
      <w:bookmarkStart w:id="13986" w:name="_Toc397946960"/>
      <w:bookmarkStart w:id="13987" w:name="_Toc397948079"/>
      <w:bookmarkStart w:id="13988" w:name="_Toc397958485"/>
      <w:bookmarkStart w:id="13989" w:name="_Toc397958727"/>
      <w:bookmarkStart w:id="13990" w:name="_Toc397959142"/>
      <w:bookmarkStart w:id="13991" w:name="_Toc397962995"/>
      <w:bookmarkStart w:id="13992" w:name="_Toc397963361"/>
      <w:bookmarkStart w:id="13993" w:name="_Toc397965438"/>
      <w:bookmarkStart w:id="13994" w:name="_Toc398197376"/>
      <w:bookmarkStart w:id="13995" w:name="_Toc398199879"/>
      <w:bookmarkStart w:id="13996" w:name="_Toc398201593"/>
      <w:bookmarkStart w:id="13997" w:name="_Toc398207198"/>
      <w:bookmarkStart w:id="13998" w:name="_Toc398210471"/>
      <w:bookmarkStart w:id="13999" w:name="_Toc398210985"/>
      <w:bookmarkStart w:id="14000" w:name="_Toc398219793"/>
      <w:bookmarkStart w:id="14001" w:name="_Toc398220168"/>
      <w:bookmarkStart w:id="14002" w:name="_Toc398220555"/>
      <w:bookmarkStart w:id="14003" w:name="_Toc398221633"/>
      <w:bookmarkStart w:id="14004" w:name="_Toc398222319"/>
      <w:bookmarkStart w:id="14005" w:name="_Toc398222631"/>
      <w:bookmarkStart w:id="14006" w:name="_Toc398223048"/>
      <w:bookmarkStart w:id="14007" w:name="_Toc398223427"/>
      <w:bookmarkStart w:id="14008" w:name="_Toc398223554"/>
      <w:bookmarkStart w:id="14009" w:name="_Toc398224362"/>
      <w:bookmarkStart w:id="14010" w:name="_Toc398225699"/>
      <w:bookmarkStart w:id="14011" w:name="_Toc398225824"/>
      <w:bookmarkStart w:id="14012" w:name="_Toc398281311"/>
      <w:bookmarkStart w:id="14013" w:name="_Toc398282170"/>
      <w:bookmarkStart w:id="14014" w:name="_Toc398284840"/>
      <w:bookmarkStart w:id="14015" w:name="_Toc398287309"/>
      <w:bookmarkStart w:id="14016" w:name="_Toc398289192"/>
      <w:bookmarkStart w:id="14017" w:name="_Toc398297189"/>
      <w:bookmarkStart w:id="14018" w:name="_Toc398298663"/>
      <w:bookmarkStart w:id="14019" w:name="_Toc398300364"/>
      <w:bookmarkStart w:id="14020" w:name="_Toc398301261"/>
      <w:bookmarkStart w:id="14021" w:name="_Toc398302446"/>
      <w:bookmarkStart w:id="14022" w:name="_Toc398302609"/>
      <w:bookmarkStart w:id="14023" w:name="_Toc398549123"/>
      <w:bookmarkStart w:id="14024" w:name="_Toc398549373"/>
      <w:bookmarkStart w:id="14025" w:name="_Toc398555792"/>
      <w:bookmarkStart w:id="14026" w:name="_Toc398558996"/>
      <w:bookmarkStart w:id="14027" w:name="_Toc398563482"/>
      <w:bookmarkStart w:id="14028" w:name="_Toc398563615"/>
      <w:bookmarkStart w:id="14029" w:name="_Toc398564014"/>
      <w:bookmarkStart w:id="14030" w:name="_Toc398827352"/>
      <w:bookmarkStart w:id="14031" w:name="_Toc398827546"/>
      <w:bookmarkStart w:id="14032" w:name="Ch8"/>
      <w:r w:rsidRPr="008625DC">
        <w:lastRenderedPageBreak/>
        <w:t>R</w:t>
      </w:r>
      <w:r w:rsidR="00215822" w:rsidRPr="008625DC">
        <w:t>egulat</w:t>
      </w:r>
      <w:r w:rsidR="00843C94" w:rsidRPr="008625DC">
        <w:t>ory restrictions</w:t>
      </w:r>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r w:rsidRPr="008625DC">
        <w:t xml:space="preserve"> </w:t>
      </w:r>
      <w:bookmarkEnd w:id="13867"/>
      <w:bookmarkEnd w:id="13868"/>
      <w:bookmarkEnd w:id="13869"/>
      <w:bookmarkEnd w:id="13870"/>
      <w:bookmarkEnd w:id="13871"/>
      <w:bookmarkEnd w:id="13872"/>
      <w:bookmarkEnd w:id="13873"/>
      <w:bookmarkEnd w:id="13874"/>
    </w:p>
    <w:bookmarkEnd w:id="13875"/>
    <w:bookmarkEnd w:id="14032"/>
    <w:p w14:paraId="079FBDDE" w14:textId="06CC9D9B" w:rsidR="007161C7" w:rsidRPr="008625DC" w:rsidRDefault="007161C7" w:rsidP="00C20F17">
      <w:r w:rsidRPr="008625DC">
        <w:t xml:space="preserve">Following the introduction of the </w:t>
      </w:r>
      <w:r w:rsidR="00602A09" w:rsidRPr="008625DC">
        <w:t>NCP</w:t>
      </w:r>
      <w:r w:rsidRPr="008625DC">
        <w:t xml:space="preserve"> in 1995</w:t>
      </w:r>
      <w:r w:rsidR="000500BB" w:rsidRPr="008625DC">
        <w:t>,</w:t>
      </w:r>
      <w:r w:rsidRPr="008625DC">
        <w:t xml:space="preserve"> there was a concerted effort by governments to examine and reform regulation that restricted competition where those restrictions were not in the public interest.</w:t>
      </w:r>
    </w:p>
    <w:p w14:paraId="74BE15A4" w14:textId="48BD8F2D" w:rsidR="00430447" w:rsidRPr="008625DC" w:rsidRDefault="00430447" w:rsidP="00430447">
      <w:r w:rsidRPr="008625DC">
        <w:t xml:space="preserve">Australian laws at the Commonwealth, </w:t>
      </w:r>
      <w:r w:rsidR="00EC543A" w:rsidRPr="008625DC">
        <w:t>s</w:t>
      </w:r>
      <w:r w:rsidRPr="008625DC">
        <w:t xml:space="preserve">tate and </w:t>
      </w:r>
      <w:r w:rsidR="00EC543A" w:rsidRPr="008625DC">
        <w:t>t</w:t>
      </w:r>
      <w:r w:rsidRPr="008625DC">
        <w:t>erritory level were subject to review for anti</w:t>
      </w:r>
      <w:r w:rsidR="00C74E19" w:rsidRPr="008625DC">
        <w:noBreakHyphen/>
      </w:r>
      <w:r w:rsidRPr="008625DC">
        <w:t xml:space="preserve">competitive impact as part of the NCP reforms, as set out in Box </w:t>
      </w:r>
      <w:r w:rsidR="00BC6E09" w:rsidRPr="008625DC">
        <w:t>8.1</w:t>
      </w:r>
      <w:r w:rsidRPr="008625DC">
        <w:t xml:space="preserve"> below.</w:t>
      </w:r>
    </w:p>
    <w:tbl>
      <w:tblPr>
        <w:tblW w:w="9072" w:type="dxa"/>
        <w:tblInd w:w="108" w:type="dxa"/>
        <w:shd w:val="clear" w:color="auto" w:fill="E6E6E6"/>
        <w:tblLook w:val="01E0" w:firstRow="1" w:lastRow="1" w:firstColumn="1" w:lastColumn="1" w:noHBand="0" w:noVBand="0"/>
      </w:tblPr>
      <w:tblGrid>
        <w:gridCol w:w="9072"/>
      </w:tblGrid>
      <w:tr w:rsidR="00430447" w:rsidRPr="008625DC" w14:paraId="05EEB942" w14:textId="77777777" w:rsidTr="00430447">
        <w:tc>
          <w:tcPr>
            <w:tcW w:w="5000" w:type="pct"/>
            <w:shd w:val="clear" w:color="auto" w:fill="E6E6E6"/>
          </w:tcPr>
          <w:p w14:paraId="3B511A55" w14:textId="6AC7FEFE" w:rsidR="00430447" w:rsidRPr="008625DC" w:rsidRDefault="00430447" w:rsidP="008F1DD6">
            <w:pPr>
              <w:pStyle w:val="BoxHeading"/>
            </w:pPr>
            <w:r w:rsidRPr="008625DC">
              <w:t xml:space="preserve">Box </w:t>
            </w:r>
            <w:r w:rsidR="00677026" w:rsidRPr="008625DC">
              <w:t>8</w:t>
            </w:r>
            <w:r w:rsidRPr="008625DC">
              <w:t>.</w:t>
            </w:r>
            <w:r w:rsidR="00677026" w:rsidRPr="008625DC">
              <w:t>1</w:t>
            </w:r>
            <w:r w:rsidR="000151BE" w:rsidRPr="008625DC">
              <w:t>:</w:t>
            </w:r>
            <w:r w:rsidRPr="008625DC">
              <w:t xml:space="preserve"> NCP Legislati</w:t>
            </w:r>
            <w:r w:rsidR="00EC543A" w:rsidRPr="008625DC">
              <w:t>ve</w:t>
            </w:r>
            <w:r w:rsidRPr="008625DC">
              <w:t xml:space="preserve"> Review Program</w:t>
            </w:r>
          </w:p>
          <w:p w14:paraId="316BFBFB" w14:textId="42F38ED1" w:rsidR="00430447" w:rsidRPr="008625DC" w:rsidRDefault="00430447" w:rsidP="008F1DD6">
            <w:pPr>
              <w:pStyle w:val="BoxText"/>
            </w:pPr>
            <w:r w:rsidRPr="008625DC">
              <w:t>In 1995 all Australian governments agreed that legislation (including Acts, enactments, ordinances and regulations) should not restrict competition unless it could be demonstrated that the benefits of the restriction to the community as a whole outweigh</w:t>
            </w:r>
            <w:r w:rsidR="00EC543A" w:rsidRPr="008625DC">
              <w:t>ed</w:t>
            </w:r>
            <w:r w:rsidRPr="008625DC">
              <w:t xml:space="preserve"> the costs, and further that the objectives of the legislation c</w:t>
            </w:r>
            <w:r w:rsidR="00EC543A" w:rsidRPr="008625DC">
              <w:t>ould</w:t>
            </w:r>
            <w:r w:rsidRPr="008625DC">
              <w:t xml:space="preserve"> only be achieved by restricting competition.</w:t>
            </w:r>
            <w:r w:rsidRPr="008625DC">
              <w:rPr>
                <w:rStyle w:val="FootnoteReference"/>
              </w:rPr>
              <w:footnoteReference w:id="19"/>
            </w:r>
            <w:r w:rsidRPr="008625DC">
              <w:t xml:space="preserve"> </w:t>
            </w:r>
          </w:p>
          <w:p w14:paraId="16AEA281" w14:textId="77777777" w:rsidR="00430447" w:rsidRPr="008625DC" w:rsidRDefault="00430447" w:rsidP="008F1DD6">
            <w:pPr>
              <w:pStyle w:val="BoxText"/>
            </w:pPr>
            <w:r w:rsidRPr="008625DC">
              <w:t xml:space="preserve">Governments committed to review and, where appropriate, reform all legislation that restricted competition by the year 2000. </w:t>
            </w:r>
          </w:p>
          <w:p w14:paraId="449CEBEE" w14:textId="19168E87" w:rsidR="00430447" w:rsidRPr="008625DC" w:rsidRDefault="00430447" w:rsidP="008F1DD6">
            <w:pPr>
              <w:pStyle w:val="BoxText"/>
            </w:pPr>
            <w:r w:rsidRPr="008625DC">
              <w:t>Around 1,800 individual pieces of potentially anti</w:t>
            </w:r>
            <w:r w:rsidR="00C74E19" w:rsidRPr="008625DC">
              <w:noBreakHyphen/>
            </w:r>
            <w:r w:rsidRPr="008625DC">
              <w:t xml:space="preserve">competitive legislation were identified as part of this process (which was later extended to </w:t>
            </w:r>
            <w:r w:rsidR="000151BE" w:rsidRPr="008625DC">
              <w:t xml:space="preserve">the year </w:t>
            </w:r>
            <w:r w:rsidRPr="008625DC">
              <w:t>2005).</w:t>
            </w:r>
            <w:r w:rsidR="00787DCF" w:rsidRPr="008625DC">
              <w:t xml:space="preserve"> </w:t>
            </w:r>
          </w:p>
          <w:p w14:paraId="5313E4B9" w14:textId="4D7AC000" w:rsidR="00430447" w:rsidRPr="008625DC" w:rsidRDefault="00430447" w:rsidP="008F1DD6">
            <w:pPr>
              <w:pStyle w:val="BoxText"/>
            </w:pPr>
            <w:r w:rsidRPr="008625DC">
              <w:t xml:space="preserve">Governments reviewed, and where appropriate, reformed, around 85 per cent of their nominated legislation (and around 78 per cent of </w:t>
            </w:r>
            <w:r w:rsidR="00C74E19" w:rsidRPr="008625DC">
              <w:t>‘</w:t>
            </w:r>
            <w:r w:rsidRPr="008625DC">
              <w:t>priority</w:t>
            </w:r>
            <w:r w:rsidR="00C74E19" w:rsidRPr="008625DC">
              <w:t>’</w:t>
            </w:r>
            <w:r w:rsidRPr="008625DC">
              <w:t xml:space="preserve"> legislation).</w:t>
            </w:r>
            <w:r w:rsidRPr="008625DC">
              <w:rPr>
                <w:rStyle w:val="FootnoteReference"/>
              </w:rPr>
              <w:footnoteReference w:id="20"/>
            </w:r>
            <w:r w:rsidR="00787DCF" w:rsidRPr="008625DC">
              <w:t xml:space="preserve"> </w:t>
            </w:r>
          </w:p>
          <w:p w14:paraId="3D3A7030" w14:textId="65F32230" w:rsidR="00430447" w:rsidRPr="008625DC" w:rsidRDefault="00430447" w:rsidP="008F1DD6">
            <w:pPr>
              <w:pStyle w:val="BoxText"/>
            </w:pPr>
            <w:r w:rsidRPr="008625DC">
              <w:t xml:space="preserve">These assessments were linked to the NCP payments from the Commonwealth to the </w:t>
            </w:r>
            <w:r w:rsidR="0046149D" w:rsidRPr="008625DC">
              <w:t>S</w:t>
            </w:r>
            <w:r w:rsidR="00EC543A" w:rsidRPr="008625DC">
              <w:t xml:space="preserve">tates and </w:t>
            </w:r>
            <w:r w:rsidR="0046149D" w:rsidRPr="008625DC">
              <w:t>T</w:t>
            </w:r>
            <w:r w:rsidRPr="008625DC">
              <w:t>erritories.</w:t>
            </w:r>
            <w:r w:rsidR="00787DCF" w:rsidRPr="008625DC">
              <w:t xml:space="preserve"> </w:t>
            </w:r>
          </w:p>
        </w:tc>
      </w:tr>
    </w:tbl>
    <w:p w14:paraId="133B0F2E" w14:textId="58BAB0EE" w:rsidR="007161C7" w:rsidRPr="008625DC" w:rsidRDefault="007161C7" w:rsidP="00E05574">
      <w:pPr>
        <w:spacing w:before="240"/>
      </w:pPr>
      <w:r w:rsidRPr="008625DC">
        <w:t xml:space="preserve">The </w:t>
      </w:r>
      <w:r w:rsidR="00575A09" w:rsidRPr="008625DC">
        <w:t>Panel</w:t>
      </w:r>
      <w:r w:rsidRPr="008625DC">
        <w:t xml:space="preserve"> has heard that while much was achieved</w:t>
      </w:r>
      <w:r w:rsidR="004156B7" w:rsidRPr="008625DC">
        <w:t xml:space="preserve"> through the regulatory reform</w:t>
      </w:r>
      <w:r w:rsidRPr="008625DC">
        <w:t xml:space="preserve">, more remains to be done. </w:t>
      </w:r>
    </w:p>
    <w:p w14:paraId="57DAC120" w14:textId="399451CD" w:rsidR="008A3524" w:rsidRPr="008625DC" w:rsidRDefault="008A3524" w:rsidP="00C20F17">
      <w:r w:rsidRPr="008625DC">
        <w:t xml:space="preserve">While some restrictions apply to particular industries and appear to support a small number of producers, </w:t>
      </w:r>
      <w:r w:rsidR="00656342" w:rsidRPr="008625DC">
        <w:t>they may have perverse effects</w:t>
      </w:r>
      <w:r w:rsidR="00C74E19" w:rsidRPr="008625DC">
        <w:t xml:space="preserve"> — </w:t>
      </w:r>
      <w:r w:rsidRPr="008625DC">
        <w:t xml:space="preserve">such as mandated ethanol usage in NSW, </w:t>
      </w:r>
      <w:r w:rsidR="00656342" w:rsidRPr="008625DC">
        <w:t>which may have pushed motorists towards higher</w:t>
      </w:r>
      <w:r w:rsidR="00C74E19" w:rsidRPr="008625DC">
        <w:noBreakHyphen/>
      </w:r>
      <w:r w:rsidR="00656342" w:rsidRPr="008625DC">
        <w:t>priced premium fuels</w:t>
      </w:r>
      <w:r w:rsidRPr="008625DC">
        <w:t xml:space="preserve">. </w:t>
      </w:r>
      <w:r w:rsidR="00656342" w:rsidRPr="008625DC">
        <w:t>As another</w:t>
      </w:r>
      <w:r w:rsidRPr="008625DC">
        <w:t xml:space="preserve"> example, liquor licensing rules in Queensland </w:t>
      </w:r>
      <w:r w:rsidR="00092B87" w:rsidRPr="008625DC">
        <w:t>that restrict packaged alcohol sales to holders of hotel licen</w:t>
      </w:r>
      <w:r w:rsidR="00EC543A" w:rsidRPr="008625DC">
        <w:t>c</w:t>
      </w:r>
      <w:r w:rsidR="00092B87" w:rsidRPr="008625DC">
        <w:t xml:space="preserve">es </w:t>
      </w:r>
      <w:r w:rsidRPr="008625DC">
        <w:t xml:space="preserve">appear to have </w:t>
      </w:r>
      <w:r w:rsidR="00EC543A" w:rsidRPr="008625DC">
        <w:t>induced</w:t>
      </w:r>
      <w:r w:rsidRPr="008625DC">
        <w:t xml:space="preserve"> major supermarkets </w:t>
      </w:r>
      <w:r w:rsidR="00EC543A" w:rsidRPr="008625DC">
        <w:t xml:space="preserve">to </w:t>
      </w:r>
      <w:r w:rsidRPr="008625DC">
        <w:t>buy hotel licen</w:t>
      </w:r>
      <w:r w:rsidR="00EC543A" w:rsidRPr="008625DC">
        <w:t>c</w:t>
      </w:r>
      <w:r w:rsidRPr="008625DC">
        <w:t>es, which has made it harder for smaller independent stores to compete.</w:t>
      </w:r>
    </w:p>
    <w:p w14:paraId="740AA9F4" w14:textId="18E1E869" w:rsidR="004758BD" w:rsidRPr="008625DC" w:rsidRDefault="00C20F17" w:rsidP="00C20F17">
      <w:r w:rsidRPr="008625DC">
        <w:t xml:space="preserve">Regulatory restrictions can limit </w:t>
      </w:r>
      <w:r w:rsidR="00D003D4" w:rsidRPr="008625DC">
        <w:t xml:space="preserve">the ability of </w:t>
      </w:r>
      <w:r w:rsidR="00092B87" w:rsidRPr="008625DC">
        <w:t xml:space="preserve">consumers to exercise choice and the ability of </w:t>
      </w:r>
      <w:r w:rsidR="00D003D4" w:rsidRPr="008625DC">
        <w:t>producers to respon</w:t>
      </w:r>
      <w:r w:rsidR="00092B87" w:rsidRPr="008625DC">
        <w:t>d</w:t>
      </w:r>
      <w:r w:rsidR="00D003D4" w:rsidRPr="008625DC">
        <w:t xml:space="preserve"> to consumers.</w:t>
      </w:r>
      <w:r w:rsidR="00787DCF" w:rsidRPr="008625DC">
        <w:t xml:space="preserve"> </w:t>
      </w:r>
      <w:r w:rsidR="00D003D4" w:rsidRPr="008625DC">
        <w:t xml:space="preserve">They can determine </w:t>
      </w:r>
      <w:r w:rsidRPr="008625DC">
        <w:t xml:space="preserve">who is in the market, what they can </w:t>
      </w:r>
      <w:r w:rsidR="004758BD" w:rsidRPr="008625DC">
        <w:t>produce, and even</w:t>
      </w:r>
      <w:r w:rsidRPr="008625DC">
        <w:t xml:space="preserve"> the standard of the product or service they can provide. </w:t>
      </w:r>
    </w:p>
    <w:p w14:paraId="6F691A3E" w14:textId="77777777" w:rsidR="00E05574" w:rsidRPr="008625DC" w:rsidRDefault="00E05574">
      <w:pPr>
        <w:spacing w:before="0" w:after="0"/>
      </w:pPr>
      <w:r w:rsidRPr="008625DC">
        <w:br w:type="page"/>
      </w:r>
    </w:p>
    <w:p w14:paraId="3B018602" w14:textId="537DB80E" w:rsidR="00C20F17" w:rsidRPr="008625DC" w:rsidRDefault="004758BD" w:rsidP="00C20F17">
      <w:r w:rsidRPr="008625DC">
        <w:lastRenderedPageBreak/>
        <w:t>Such regulations are generally not contained in competition law</w:t>
      </w:r>
      <w:r w:rsidR="003C14A8" w:rsidRPr="008625DC">
        <w:rPr>
          <w:rStyle w:val="FootnoteReference"/>
        </w:rPr>
        <w:footnoteReference w:id="21"/>
      </w:r>
      <w:r w:rsidRPr="008625DC">
        <w:t xml:space="preserve"> but rather in a multitude of Commonwealth, </w:t>
      </w:r>
      <w:r w:rsidR="00EC543A" w:rsidRPr="008625DC">
        <w:t>s</w:t>
      </w:r>
      <w:r w:rsidRPr="008625DC">
        <w:t xml:space="preserve">tate and </w:t>
      </w:r>
      <w:r w:rsidR="00EC543A" w:rsidRPr="008625DC">
        <w:t>t</w:t>
      </w:r>
      <w:r w:rsidRPr="008625DC">
        <w:t>erritory and local government laws and legislative instruments.</w:t>
      </w:r>
      <w:r w:rsidR="00787DCF" w:rsidRPr="008625DC">
        <w:t xml:space="preserve"> </w:t>
      </w:r>
      <w:r w:rsidRPr="008625DC">
        <w:t xml:space="preserve">These restrictions can take many forms, including the examples contained in Box </w:t>
      </w:r>
      <w:r w:rsidR="00677026" w:rsidRPr="008625DC">
        <w:t>8</w:t>
      </w:r>
      <w:r w:rsidR="009071CB" w:rsidRPr="008625DC">
        <w:t>.</w:t>
      </w:r>
      <w:r w:rsidR="00677026" w:rsidRPr="008625DC">
        <w:t>2</w:t>
      </w:r>
      <w:r w:rsidRPr="008625DC">
        <w:t xml:space="preserve"> below.</w:t>
      </w:r>
    </w:p>
    <w:tbl>
      <w:tblPr>
        <w:tblW w:w="9072" w:type="dxa"/>
        <w:tblInd w:w="108" w:type="dxa"/>
        <w:shd w:val="clear" w:color="auto" w:fill="E6E6E6"/>
        <w:tblLook w:val="01E0" w:firstRow="1" w:lastRow="1" w:firstColumn="1" w:lastColumn="1" w:noHBand="0" w:noVBand="0"/>
      </w:tblPr>
      <w:tblGrid>
        <w:gridCol w:w="9072"/>
      </w:tblGrid>
      <w:tr w:rsidR="00C20F17" w:rsidRPr="008625DC" w14:paraId="61C88974" w14:textId="77777777" w:rsidTr="00FB31E5">
        <w:tc>
          <w:tcPr>
            <w:tcW w:w="5000" w:type="pct"/>
            <w:shd w:val="clear" w:color="auto" w:fill="E6E6E6"/>
          </w:tcPr>
          <w:p w14:paraId="447EC50E" w14:textId="758550CA" w:rsidR="00C20F17" w:rsidRPr="008625DC" w:rsidRDefault="00C20F17" w:rsidP="00FB31E5">
            <w:pPr>
              <w:pStyle w:val="BoxHeading"/>
              <w:spacing w:before="120"/>
            </w:pPr>
            <w:r w:rsidRPr="008625DC">
              <w:t xml:space="preserve">Box </w:t>
            </w:r>
            <w:r w:rsidR="00677026" w:rsidRPr="008625DC">
              <w:t>8</w:t>
            </w:r>
            <w:r w:rsidRPr="008625DC">
              <w:t>.</w:t>
            </w:r>
            <w:r w:rsidR="00677026" w:rsidRPr="008625DC">
              <w:t>2</w:t>
            </w:r>
            <w:r w:rsidRPr="008625DC">
              <w:t>: Examples of regulatory restrictions on competition</w:t>
            </w:r>
            <w:r w:rsidR="007C4B4E" w:rsidRPr="008625DC">
              <w:rPr>
                <w:rStyle w:val="FootnoteReference"/>
              </w:rPr>
              <w:footnoteReference w:id="22"/>
            </w:r>
          </w:p>
          <w:p w14:paraId="4E5A8B1E" w14:textId="27808FBA" w:rsidR="00C20F17" w:rsidRPr="008625DC" w:rsidRDefault="00C20F17" w:rsidP="00FB31E5">
            <w:pPr>
              <w:pStyle w:val="BoxText"/>
              <w:spacing w:before="0"/>
            </w:pPr>
            <w:r w:rsidRPr="008625DC">
              <w:t xml:space="preserve">Regulation </w:t>
            </w:r>
            <w:r w:rsidR="00EA0A2D" w:rsidRPr="008625DC">
              <w:t xml:space="preserve">which </w:t>
            </w:r>
            <w:r w:rsidRPr="008625DC">
              <w:t>requir</w:t>
            </w:r>
            <w:r w:rsidR="00EA0A2D" w:rsidRPr="008625DC">
              <w:t>es</w:t>
            </w:r>
            <w:r w:rsidRPr="008625DC">
              <w:t xml:space="preserve"> imported cars to be modified to meet Australian</w:t>
            </w:r>
            <w:r w:rsidR="00C74E19" w:rsidRPr="008625DC">
              <w:noBreakHyphen/>
            </w:r>
            <w:r w:rsidRPr="008625DC">
              <w:t>specific car design standards, as these differ from those of the United States and the European Union, restricting the scope for parallel imports and importation of second</w:t>
            </w:r>
            <w:r w:rsidR="00C74E19" w:rsidRPr="008625DC">
              <w:noBreakHyphen/>
            </w:r>
            <w:r w:rsidRPr="008625DC">
              <w:t>hand cars.</w:t>
            </w:r>
          </w:p>
          <w:p w14:paraId="0297E05C" w14:textId="77777777" w:rsidR="00C20F17" w:rsidRPr="008625DC" w:rsidRDefault="00C20F17" w:rsidP="00FB31E5">
            <w:pPr>
              <w:pStyle w:val="BoxText"/>
              <w:spacing w:before="0"/>
            </w:pPr>
            <w:r w:rsidRPr="008625DC">
              <w:t>Restrictions on the parallel importation of commercial quantities of books by booksellers.</w:t>
            </w:r>
          </w:p>
          <w:p w14:paraId="2C45BE96" w14:textId="77777777" w:rsidR="00271ADF" w:rsidRPr="008625DC" w:rsidRDefault="00C20F17" w:rsidP="00FB31E5">
            <w:pPr>
              <w:pStyle w:val="BoxText"/>
              <w:spacing w:before="0"/>
            </w:pPr>
            <w:r w:rsidRPr="008625DC">
              <w:t xml:space="preserve">Concessional excise treatment of domestically produced ethanol while imported ethanol pays full excise. </w:t>
            </w:r>
          </w:p>
          <w:p w14:paraId="1786D076" w14:textId="546AAD6F" w:rsidR="00C20F17" w:rsidRPr="008625DC" w:rsidRDefault="00C20F17" w:rsidP="00FB31E5">
            <w:pPr>
              <w:pStyle w:val="BoxText"/>
              <w:spacing w:before="0"/>
            </w:pPr>
            <w:r w:rsidRPr="008625DC">
              <w:t>The displaying of discounted fuel prices on fuel retailers</w:t>
            </w:r>
            <w:r w:rsidR="00C74E19" w:rsidRPr="008625DC">
              <w:t>’</w:t>
            </w:r>
            <w:r w:rsidRPr="008625DC">
              <w:t xml:space="preserve"> price boards is specifically regulated in New South Wales and South Australia.</w:t>
            </w:r>
          </w:p>
          <w:p w14:paraId="29F80AB3" w14:textId="54B9356D" w:rsidR="00C20F17" w:rsidRPr="008625DC" w:rsidRDefault="00C20F17" w:rsidP="00FB31E5">
            <w:pPr>
              <w:pStyle w:val="BoxText"/>
              <w:spacing w:before="0"/>
            </w:pPr>
            <w:r w:rsidRPr="008625DC">
              <w:t xml:space="preserve">A restricted number of taxi licences are issued in all </w:t>
            </w:r>
            <w:r w:rsidR="0046149D" w:rsidRPr="008625DC">
              <w:t>S</w:t>
            </w:r>
            <w:r w:rsidRPr="008625DC">
              <w:t xml:space="preserve">tates and </w:t>
            </w:r>
            <w:r w:rsidR="0046149D" w:rsidRPr="008625DC">
              <w:t>T</w:t>
            </w:r>
            <w:r w:rsidRPr="008625DC">
              <w:t xml:space="preserve">erritories, and competition from hire cars </w:t>
            </w:r>
            <w:r w:rsidR="00ED0BD7" w:rsidRPr="008625DC">
              <w:t xml:space="preserve">is </w:t>
            </w:r>
            <w:r w:rsidRPr="008625DC">
              <w:t xml:space="preserve">mostly restricted. </w:t>
            </w:r>
          </w:p>
          <w:p w14:paraId="2BBF389D" w14:textId="77777777" w:rsidR="00C20F17" w:rsidRPr="008625DC" w:rsidRDefault="00C20F17" w:rsidP="00FB31E5">
            <w:pPr>
              <w:pStyle w:val="BoxText"/>
              <w:spacing w:before="0"/>
            </w:pPr>
            <w:r w:rsidRPr="008625DC">
              <w:t>Packaged liquor can be sold by hotels in regional Western Australia on Sunday, but not by specialist packaged liquor stores.</w:t>
            </w:r>
          </w:p>
          <w:p w14:paraId="61EBB2BA" w14:textId="77777777" w:rsidR="00C20F17" w:rsidRPr="008625DC" w:rsidRDefault="00C20F17" w:rsidP="00FB31E5">
            <w:pPr>
              <w:pStyle w:val="BoxText"/>
              <w:spacing w:before="0"/>
            </w:pPr>
            <w:r w:rsidRPr="008625DC">
              <w:t xml:space="preserve">Retail pharmacies can only be owned by pharmacists (whereas no such restrictions exist on medical practices in Australia, </w:t>
            </w:r>
            <w:proofErr w:type="gramStart"/>
            <w:r w:rsidRPr="008625DC">
              <w:t>nor</w:t>
            </w:r>
            <w:proofErr w:type="gramEnd"/>
            <w:r w:rsidRPr="008625DC">
              <w:t xml:space="preserve"> on pharmacies in the United Kingdom, the Netherlands, Norway, Canada and the United States).</w:t>
            </w:r>
          </w:p>
          <w:p w14:paraId="2A3485A7" w14:textId="212C1D7A" w:rsidR="00C20F17" w:rsidRPr="008625DC" w:rsidRDefault="00C20F17" w:rsidP="00FB31E5">
            <w:pPr>
              <w:pStyle w:val="BoxText"/>
              <w:spacing w:before="0"/>
            </w:pPr>
            <w:r w:rsidRPr="008625DC">
              <w:t>Restrictions on pharmacists administering vaccinations and reissuing prescriptions for long</w:t>
            </w:r>
            <w:r w:rsidR="00C74E19" w:rsidRPr="008625DC">
              <w:noBreakHyphen/>
            </w:r>
            <w:r w:rsidRPr="008625DC">
              <w:t>term conditions.</w:t>
            </w:r>
          </w:p>
          <w:p w14:paraId="3BF829B7" w14:textId="177C5C02" w:rsidR="00C20F17" w:rsidRPr="008625DC" w:rsidRDefault="00C20F17" w:rsidP="00FB31E5">
            <w:pPr>
              <w:pStyle w:val="BoxText"/>
              <w:spacing w:before="0"/>
            </w:pPr>
            <w:r w:rsidRPr="008625DC">
              <w:t xml:space="preserve">Genetically modified crops cannot be grown in South Australia and Tasmania (but can be grown in all the other mainland </w:t>
            </w:r>
            <w:r w:rsidR="0046149D" w:rsidRPr="008625DC">
              <w:t>S</w:t>
            </w:r>
            <w:r w:rsidRPr="008625DC">
              <w:t>tates).</w:t>
            </w:r>
          </w:p>
          <w:p w14:paraId="3A652759" w14:textId="77777777" w:rsidR="00C20F17" w:rsidRPr="008625DC" w:rsidRDefault="00C20F17" w:rsidP="00FB31E5">
            <w:pPr>
              <w:pStyle w:val="BoxText"/>
              <w:spacing w:before="0"/>
            </w:pPr>
            <w:r w:rsidRPr="008625DC">
              <w:t>The sale of fresh potatoes is restricted in Western Australia (but nowhere else in Australia).</w:t>
            </w:r>
          </w:p>
          <w:p w14:paraId="55A36150" w14:textId="508C02D4" w:rsidR="00C20F17" w:rsidRPr="008625DC" w:rsidRDefault="00C20F17" w:rsidP="00FB31E5">
            <w:pPr>
              <w:pStyle w:val="BoxText"/>
              <w:spacing w:before="0"/>
            </w:pPr>
            <w:r w:rsidRPr="008625DC">
              <w:t>Owner driver and independent contractors are subject to industry</w:t>
            </w:r>
            <w:r w:rsidR="00C74E19" w:rsidRPr="008625DC">
              <w:noBreakHyphen/>
            </w:r>
            <w:r w:rsidRPr="008625DC">
              <w:t xml:space="preserve">specific regulation in Western Australia, Victoria and New South Wales (but not other </w:t>
            </w:r>
            <w:r w:rsidR="0046149D" w:rsidRPr="008625DC">
              <w:t>S</w:t>
            </w:r>
            <w:r w:rsidRPr="008625DC">
              <w:t>tates).</w:t>
            </w:r>
          </w:p>
          <w:p w14:paraId="77D92E0C" w14:textId="1F10F4A3" w:rsidR="00C20F17" w:rsidRPr="008625DC" w:rsidRDefault="00C20F17" w:rsidP="00EC543A">
            <w:pPr>
              <w:pStyle w:val="BoxText"/>
              <w:spacing w:before="0"/>
            </w:pPr>
            <w:r w:rsidRPr="008625DC">
              <w:t>Compulsory workers</w:t>
            </w:r>
            <w:r w:rsidR="00C74E19" w:rsidRPr="008625DC">
              <w:t>’</w:t>
            </w:r>
            <w:r w:rsidRPr="008625DC">
              <w:t xml:space="preserve"> compensation insurance and third</w:t>
            </w:r>
            <w:r w:rsidR="00C74E19" w:rsidRPr="008625DC">
              <w:noBreakHyphen/>
            </w:r>
            <w:r w:rsidRPr="008625DC">
              <w:t xml:space="preserve">party personal injury transport insurance </w:t>
            </w:r>
            <w:r w:rsidR="00EC543A" w:rsidRPr="008625DC">
              <w:t>are</w:t>
            </w:r>
            <w:r w:rsidRPr="008625DC">
              <w:t xml:space="preserve"> only available from government monopoly providers in some </w:t>
            </w:r>
            <w:r w:rsidR="0046149D" w:rsidRPr="008625DC">
              <w:t>S</w:t>
            </w:r>
            <w:r w:rsidRPr="008625DC">
              <w:t xml:space="preserve">tates. </w:t>
            </w:r>
          </w:p>
        </w:tc>
      </w:tr>
    </w:tbl>
    <w:p w14:paraId="294F10C2" w14:textId="2228A410" w:rsidR="00D003D4" w:rsidRPr="008625DC" w:rsidRDefault="00D003D4" w:rsidP="00E05574">
      <w:pPr>
        <w:spacing w:before="240"/>
      </w:pPr>
      <w:r w:rsidRPr="008625DC">
        <w:t xml:space="preserve">While </w:t>
      </w:r>
      <w:r w:rsidR="00EC543A" w:rsidRPr="008625DC">
        <w:t>generally intended to serve</w:t>
      </w:r>
      <w:r w:rsidRPr="008625DC">
        <w:t xml:space="preserve"> </w:t>
      </w:r>
      <w:r w:rsidR="004758BD" w:rsidRPr="008625DC">
        <w:t>other</w:t>
      </w:r>
      <w:r w:rsidRPr="008625DC">
        <w:t xml:space="preserve"> public policy </w:t>
      </w:r>
      <w:r w:rsidR="00EC543A" w:rsidRPr="008625DC">
        <w:t xml:space="preserve">purposes </w:t>
      </w:r>
      <w:r w:rsidRPr="008625DC">
        <w:t xml:space="preserve">(e.g. health, safety, standards of conduct, consumer protection), regulatory restrictions can nonetheless </w:t>
      </w:r>
      <w:r w:rsidR="00EC543A" w:rsidRPr="008625DC">
        <w:t xml:space="preserve">adversely </w:t>
      </w:r>
      <w:r w:rsidRPr="008625DC">
        <w:t>influence competition</w:t>
      </w:r>
      <w:r w:rsidR="004758BD" w:rsidRPr="008625DC">
        <w:t xml:space="preserve"> </w:t>
      </w:r>
      <w:r w:rsidRPr="008625DC">
        <w:t>—</w:t>
      </w:r>
      <w:r w:rsidR="004758BD" w:rsidRPr="008625DC">
        <w:t xml:space="preserve"> </w:t>
      </w:r>
      <w:r w:rsidRPr="008625DC">
        <w:t>for example, by creating barriers to entry, advantaging some businesses over others</w:t>
      </w:r>
      <w:r w:rsidR="00191B16" w:rsidRPr="008625DC">
        <w:t xml:space="preserve">, or </w:t>
      </w:r>
      <w:r w:rsidRPr="008625DC">
        <w:t>reducing incentives to compete.</w:t>
      </w:r>
      <w:r w:rsidRPr="008625DC">
        <w:rPr>
          <w:rStyle w:val="FootnoteReference"/>
        </w:rPr>
        <w:footnoteReference w:id="23"/>
      </w:r>
      <w:r w:rsidR="00787DCF" w:rsidRPr="008625DC">
        <w:t xml:space="preserve"> </w:t>
      </w:r>
    </w:p>
    <w:p w14:paraId="0D56A366" w14:textId="5255DBB8" w:rsidR="00275B6B" w:rsidRPr="008625DC" w:rsidRDefault="00CF5917" w:rsidP="00275B6B">
      <w:r w:rsidRPr="008625DC">
        <w:t xml:space="preserve">The </w:t>
      </w:r>
      <w:r w:rsidR="00D90F5A" w:rsidRPr="008625DC">
        <w:t>National Competition Council (</w:t>
      </w:r>
      <w:r w:rsidR="00275B6B" w:rsidRPr="008625DC">
        <w:t>NCC</w:t>
      </w:r>
      <w:r w:rsidR="00D90F5A" w:rsidRPr="008625DC">
        <w:t>)</w:t>
      </w:r>
      <w:r w:rsidRPr="008625DC">
        <w:t>,</w:t>
      </w:r>
      <w:r w:rsidR="00275B6B" w:rsidRPr="008625DC">
        <w:t xml:space="preserve"> which was tasked with assessing </w:t>
      </w:r>
      <w:r w:rsidR="00F357D1" w:rsidRPr="008625DC">
        <w:t xml:space="preserve">the </w:t>
      </w:r>
      <w:r w:rsidR="00275B6B" w:rsidRPr="008625DC">
        <w:t>progress of the review process</w:t>
      </w:r>
      <w:r w:rsidRPr="008625DC">
        <w:t>,</w:t>
      </w:r>
      <w:r w:rsidR="00275B6B" w:rsidRPr="008625DC">
        <w:t xml:space="preserve"> consider</w:t>
      </w:r>
      <w:r w:rsidR="00FE715A" w:rsidRPr="008625DC">
        <w:t>s</w:t>
      </w:r>
      <w:r w:rsidR="00275B6B" w:rsidRPr="008625DC">
        <w:t xml:space="preserve"> that the legislation review program resulted in a </w:t>
      </w:r>
      <w:r w:rsidR="00C74E19" w:rsidRPr="008625DC">
        <w:t>‘</w:t>
      </w:r>
      <w:r w:rsidR="00275B6B" w:rsidRPr="008625DC">
        <w:t xml:space="preserve">material reduction in </w:t>
      </w:r>
      <w:r w:rsidR="00275B6B" w:rsidRPr="008625DC">
        <w:lastRenderedPageBreak/>
        <w:t>unwarranted competition restrictions</w:t>
      </w:r>
      <w:r w:rsidR="00C74E19" w:rsidRPr="008625DC">
        <w:t>’</w:t>
      </w:r>
      <w:r w:rsidR="00275B6B" w:rsidRPr="008625DC">
        <w:t xml:space="preserve">, but that </w:t>
      </w:r>
      <w:r w:rsidR="004D5F75" w:rsidRPr="008625DC">
        <w:t>government self</w:t>
      </w:r>
      <w:r w:rsidR="00C74E19" w:rsidRPr="008625DC">
        <w:noBreakHyphen/>
      </w:r>
      <w:r w:rsidR="004D5F75" w:rsidRPr="008625DC">
        <w:t>assessment as the basis of reform</w:t>
      </w:r>
      <w:r w:rsidR="00275B6B" w:rsidRPr="008625DC">
        <w:t xml:space="preserve"> had been </w:t>
      </w:r>
      <w:r w:rsidR="00C74E19" w:rsidRPr="008625DC">
        <w:t>‘</w:t>
      </w:r>
      <w:r w:rsidR="00275B6B" w:rsidRPr="008625DC">
        <w:t>limiting</w:t>
      </w:r>
      <w:r w:rsidR="00C74E19" w:rsidRPr="008625DC">
        <w:t>’</w:t>
      </w:r>
      <w:r w:rsidR="00275B6B" w:rsidRPr="008625DC">
        <w:t>.</w:t>
      </w:r>
      <w:r w:rsidR="00275B6B" w:rsidRPr="008625DC">
        <w:rPr>
          <w:rStyle w:val="FootnoteReference"/>
        </w:rPr>
        <w:footnoteReference w:id="24"/>
      </w:r>
      <w:r w:rsidR="00275B6B" w:rsidRPr="008625DC">
        <w:t xml:space="preserve"> </w:t>
      </w:r>
    </w:p>
    <w:p w14:paraId="463616A3" w14:textId="7D19D15B" w:rsidR="00430447" w:rsidRPr="008625DC" w:rsidRDefault="00430447" w:rsidP="00275B6B">
      <w:r w:rsidRPr="008625DC">
        <w:t>An independent and transparent process of assessment is more likely to hold all governments to account.</w:t>
      </w:r>
      <w:r w:rsidR="00787DCF" w:rsidRPr="008625DC">
        <w:t xml:space="preserve"> </w:t>
      </w:r>
      <w:r w:rsidRPr="008625DC">
        <w:t>It is important that there be an assessment of the outcomes not just the processes undertaken, and th</w:t>
      </w:r>
      <w:r w:rsidR="00EC543A" w:rsidRPr="008625DC">
        <w:t>is</w:t>
      </w:r>
      <w:r w:rsidRPr="008625DC">
        <w:t xml:space="preserve"> requires a more thorough assessment.</w:t>
      </w:r>
      <w:r w:rsidR="00787DCF" w:rsidRPr="008625DC">
        <w:t xml:space="preserve"> </w:t>
      </w:r>
    </w:p>
    <w:p w14:paraId="129354CC" w14:textId="50C95E3B" w:rsidR="002B42B0" w:rsidRPr="008625DC" w:rsidRDefault="002B42B0" w:rsidP="00275B6B">
      <w:r w:rsidRPr="008625DC">
        <w:t>The NCP regulatory review process relied upon a generic, but limited, set of factors to assess public interest.</w:t>
      </w:r>
      <w:r w:rsidR="00787DCF" w:rsidRPr="008625DC">
        <w:t xml:space="preserve"> </w:t>
      </w:r>
      <w:r w:rsidRPr="008625DC">
        <w:t>The elements to consider in the public interest will necessarily differ on a cas</w:t>
      </w:r>
      <w:r w:rsidR="00C46E7E" w:rsidRPr="008625DC">
        <w:t>e</w:t>
      </w:r>
      <w:r w:rsidR="00C74E19" w:rsidRPr="008625DC">
        <w:noBreakHyphen/>
      </w:r>
      <w:r w:rsidRPr="008625DC">
        <w:t>by</w:t>
      </w:r>
      <w:r w:rsidR="00C74E19" w:rsidRPr="008625DC">
        <w:noBreakHyphen/>
      </w:r>
      <w:r w:rsidRPr="008625DC">
        <w:t>case basis and a generic approach is understandable.</w:t>
      </w:r>
      <w:r w:rsidR="00787DCF" w:rsidRPr="008625DC">
        <w:t xml:space="preserve"> </w:t>
      </w:r>
      <w:r w:rsidR="003B40D1" w:rsidRPr="008625DC">
        <w:t>P</w:t>
      </w:r>
      <w:r w:rsidR="00C46E7E" w:rsidRPr="008625DC">
        <w:t xml:space="preserve">roviding governments with </w:t>
      </w:r>
      <w:r w:rsidR="009D4595" w:rsidRPr="008625DC">
        <w:t xml:space="preserve">industry </w:t>
      </w:r>
      <w:r w:rsidR="00C46E7E" w:rsidRPr="008625DC">
        <w:t>or regulation</w:t>
      </w:r>
      <w:r w:rsidR="00C74E19" w:rsidRPr="008625DC">
        <w:noBreakHyphen/>
      </w:r>
      <w:r w:rsidR="00C46E7E" w:rsidRPr="008625DC">
        <w:t>specific guidance</w:t>
      </w:r>
      <w:r w:rsidR="003B40D1" w:rsidRPr="008625DC">
        <w:t>, however,</w:t>
      </w:r>
      <w:r w:rsidRPr="008625DC">
        <w:t xml:space="preserve"> can </w:t>
      </w:r>
      <w:r w:rsidR="00C46E7E" w:rsidRPr="008625DC">
        <w:t>also lead to a narrow approach being taken to the assessment of public interest.</w:t>
      </w:r>
      <w:r w:rsidR="00787DCF" w:rsidRPr="008625DC">
        <w:t xml:space="preserve"> </w:t>
      </w:r>
    </w:p>
    <w:p w14:paraId="5963BBEB" w14:textId="5C020AE1" w:rsidR="003B40D1" w:rsidRPr="008625DC" w:rsidRDefault="003B40D1" w:rsidP="003B40D1">
      <w:pPr>
        <w:spacing w:before="240"/>
      </w:pPr>
      <w:r w:rsidRPr="008625DC">
        <w:t xml:space="preserve">Instead, an independent and transparent process of review can result in </w:t>
      </w:r>
      <w:r w:rsidR="008625DC" w:rsidRPr="008625DC">
        <w:t>a level of public scrutiny that </w:t>
      </w:r>
      <w:r w:rsidRPr="008625DC">
        <w:t xml:space="preserve">ensures that a thorough examination of the public interest takes place. </w:t>
      </w:r>
    </w:p>
    <w:p w14:paraId="30CC943E" w14:textId="05D64E50" w:rsidR="003B40D1" w:rsidRPr="008625DC" w:rsidRDefault="003B40D1" w:rsidP="003B40D1">
      <w:r w:rsidRPr="008625DC">
        <w:t xml:space="preserve">The onus of proof in the NCP process was on </w:t>
      </w:r>
      <w:r w:rsidR="00ED0BD7" w:rsidRPr="008625DC">
        <w:t xml:space="preserve">those </w:t>
      </w:r>
      <w:r w:rsidRPr="008625DC">
        <w:t xml:space="preserve">wishing to maintain the restriction to demonstrate that it continues to </w:t>
      </w:r>
      <w:r w:rsidR="00EC543A" w:rsidRPr="008625DC">
        <w:t>serve</w:t>
      </w:r>
      <w:r w:rsidRPr="008625DC">
        <w:t xml:space="preserve"> the public interest. There is no evidence that this produce</w:t>
      </w:r>
      <w:r w:rsidR="00A36A5A" w:rsidRPr="008625DC">
        <w:t>d</w:t>
      </w:r>
      <w:r w:rsidRPr="008625DC">
        <w:t xml:space="preserve"> </w:t>
      </w:r>
      <w:r w:rsidR="00A36A5A" w:rsidRPr="008625DC">
        <w:t xml:space="preserve">poor </w:t>
      </w:r>
      <w:r w:rsidRPr="008625DC">
        <w:t>outcomes.</w:t>
      </w:r>
    </w:p>
    <w:p w14:paraId="2E857C75" w14:textId="67C79E2F" w:rsidR="00C46E7E" w:rsidRPr="008625DC" w:rsidRDefault="00C46E7E" w:rsidP="00C46E7E">
      <w:r w:rsidRPr="008625DC">
        <w:t>In addition to national reform agendas like the NCP, and jurisdiction</w:t>
      </w:r>
      <w:r w:rsidR="00C74E19" w:rsidRPr="008625DC">
        <w:noBreakHyphen/>
      </w:r>
      <w:r w:rsidRPr="008625DC">
        <w:t xml:space="preserve">specific reviews of pieces of regulation, governments can introduce processes to manage the stock and flow of regulation </w:t>
      </w:r>
      <w:r w:rsidR="00EC543A" w:rsidRPr="008625DC">
        <w:t>over time</w:t>
      </w:r>
      <w:r w:rsidRPr="008625DC">
        <w:t>.</w:t>
      </w:r>
      <w:r w:rsidRPr="008625DC">
        <w:rPr>
          <w:rStyle w:val="FootnoteReference"/>
        </w:rPr>
        <w:footnoteReference w:id="25"/>
      </w:r>
      <w:r w:rsidR="00787DCF" w:rsidRPr="008625DC">
        <w:t xml:space="preserve"> </w:t>
      </w:r>
    </w:p>
    <w:p w14:paraId="4FC744EA" w14:textId="7D9F98B1" w:rsidR="00170066" w:rsidRPr="008625DC" w:rsidRDefault="00A36A5A" w:rsidP="00170066">
      <w:pPr>
        <w:spacing w:before="240"/>
      </w:pPr>
      <w:r w:rsidRPr="008625DC">
        <w:t>Clause 6 of t</w:t>
      </w:r>
      <w:r w:rsidR="00170066" w:rsidRPr="008625DC">
        <w:t>he</w:t>
      </w:r>
      <w:r w:rsidR="00215822" w:rsidRPr="008625DC">
        <w:t xml:space="preserve"> </w:t>
      </w:r>
      <w:r w:rsidR="00D90F5A" w:rsidRPr="008625DC">
        <w:t>Competition Principles Agreement (</w:t>
      </w:r>
      <w:r w:rsidR="00DC7F81" w:rsidRPr="008625DC">
        <w:t>CPA</w:t>
      </w:r>
      <w:r w:rsidR="00D90F5A" w:rsidRPr="008625DC">
        <w:t>)</w:t>
      </w:r>
      <w:r w:rsidR="00170066" w:rsidRPr="008625DC">
        <w:t xml:space="preserve"> requi</w:t>
      </w:r>
      <w:r w:rsidR="00F43AD5" w:rsidRPr="008625DC">
        <w:t>r</w:t>
      </w:r>
      <w:r w:rsidRPr="008625DC">
        <w:t>e</w:t>
      </w:r>
      <w:r w:rsidR="00F43AD5" w:rsidRPr="008625DC">
        <w:t>s</w:t>
      </w:r>
      <w:r w:rsidR="00170066" w:rsidRPr="008625DC">
        <w:t xml:space="preserve"> jurisdictions to review legislation that restricts competition</w:t>
      </w:r>
      <w:r w:rsidR="00311372" w:rsidRPr="008625DC">
        <w:t>, actually or potentially, once</w:t>
      </w:r>
      <w:r w:rsidR="00170066" w:rsidRPr="008625DC">
        <w:t xml:space="preserve"> every ten years.</w:t>
      </w:r>
      <w:r w:rsidR="00170066" w:rsidRPr="008625DC">
        <w:rPr>
          <w:rStyle w:val="FootnoteReference"/>
        </w:rPr>
        <w:footnoteReference w:id="26"/>
      </w:r>
      <w:r w:rsidR="00170066" w:rsidRPr="008625DC">
        <w:t xml:space="preserve"> However</w:t>
      </w:r>
      <w:r w:rsidR="00311372" w:rsidRPr="008625DC">
        <w:t>,</w:t>
      </w:r>
      <w:r w:rsidR="00170066" w:rsidRPr="008625DC">
        <w:t xml:space="preserve"> as the ACCC submission notes</w:t>
      </w:r>
      <w:r w:rsidR="00311372" w:rsidRPr="008625DC">
        <w:t>,</w:t>
      </w:r>
      <w:r w:rsidR="00170066" w:rsidRPr="008625DC">
        <w:t xml:space="preserve"> </w:t>
      </w:r>
      <w:r w:rsidR="00F43AD5" w:rsidRPr="008625DC">
        <w:t>the impetus for review</w:t>
      </w:r>
      <w:r w:rsidR="00170066" w:rsidRPr="008625DC">
        <w:t xml:space="preserve"> </w:t>
      </w:r>
      <w:r w:rsidR="00C74E19" w:rsidRPr="008625DC">
        <w:t>‘</w:t>
      </w:r>
      <w:r w:rsidR="00170066" w:rsidRPr="008625DC">
        <w:t>slowed considerably</w:t>
      </w:r>
      <w:r w:rsidR="00C74E19" w:rsidRPr="008625DC">
        <w:t>’</w:t>
      </w:r>
      <w:r w:rsidR="00170066" w:rsidRPr="008625DC">
        <w:t xml:space="preserve"> once the </w:t>
      </w:r>
      <w:r w:rsidR="00AC29F7" w:rsidRPr="008625DC">
        <w:t>competition</w:t>
      </w:r>
      <w:r w:rsidR="005B474E" w:rsidRPr="008625DC">
        <w:t xml:space="preserve"> </w:t>
      </w:r>
      <w:r w:rsidR="00170066" w:rsidRPr="008625DC">
        <w:t>payments ceased in 2006 (p</w:t>
      </w:r>
      <w:r w:rsidR="00E05574" w:rsidRPr="008625DC">
        <w:t>age</w:t>
      </w:r>
      <w:r w:rsidR="00170066" w:rsidRPr="008625DC">
        <w:t xml:space="preserve"> 2</w:t>
      </w:r>
      <w:r w:rsidR="00C9583F" w:rsidRPr="008625DC">
        <w:t>1</w:t>
      </w:r>
      <w:r w:rsidR="00170066" w:rsidRPr="008625DC">
        <w:t>).</w:t>
      </w:r>
    </w:p>
    <w:p w14:paraId="55C230D6" w14:textId="0DB31AE4" w:rsidR="00985CEC" w:rsidRPr="008625DC" w:rsidRDefault="00985CEC" w:rsidP="00170066">
      <w:pPr>
        <w:spacing w:before="240"/>
      </w:pPr>
      <w:r w:rsidRPr="008625DC">
        <w:t xml:space="preserve">While the Commonwealth and state and territory governments were signatories to the CPA, </w:t>
      </w:r>
      <w:r w:rsidR="004B6E1C" w:rsidRPr="008625DC">
        <w:t>local governments</w:t>
      </w:r>
      <w:r w:rsidRPr="008625DC">
        <w:t xml:space="preserve"> also have power to make rules </w:t>
      </w:r>
      <w:r w:rsidR="004B6E1C" w:rsidRPr="008625DC">
        <w:t>that</w:t>
      </w:r>
      <w:r w:rsidR="00CA5CF4" w:rsidRPr="008625DC">
        <w:t xml:space="preserve"> </w:t>
      </w:r>
      <w:r w:rsidR="004B6E1C" w:rsidRPr="008625DC">
        <w:t xml:space="preserve">can </w:t>
      </w:r>
      <w:r w:rsidR="00AC29F7" w:rsidRPr="008625DC">
        <w:t>a</w:t>
      </w:r>
      <w:r w:rsidRPr="008625DC">
        <w:t xml:space="preserve">ffect competition. </w:t>
      </w:r>
    </w:p>
    <w:tbl>
      <w:tblPr>
        <w:tblW w:w="9072" w:type="dxa"/>
        <w:tblInd w:w="108" w:type="dxa"/>
        <w:shd w:val="clear" w:color="auto" w:fill="E6E6E6"/>
        <w:tblLook w:val="01E0" w:firstRow="1" w:lastRow="1" w:firstColumn="1" w:lastColumn="1" w:noHBand="0" w:noVBand="0"/>
      </w:tblPr>
      <w:tblGrid>
        <w:gridCol w:w="9072"/>
      </w:tblGrid>
      <w:tr w:rsidR="00985CEC" w:rsidRPr="008625DC" w14:paraId="2155A527" w14:textId="77777777">
        <w:tc>
          <w:tcPr>
            <w:tcW w:w="5000" w:type="pct"/>
            <w:shd w:val="clear" w:color="auto" w:fill="E6E6E6"/>
          </w:tcPr>
          <w:p w14:paraId="1DE2F3F4" w14:textId="4BD4B750" w:rsidR="00985CEC" w:rsidRPr="008625DC" w:rsidRDefault="00985CEC" w:rsidP="005250C5">
            <w:pPr>
              <w:pStyle w:val="BoxHeading"/>
              <w:spacing w:before="0"/>
              <w:rPr>
                <w:rFonts w:asciiTheme="minorHAnsi" w:hAnsiTheme="minorHAnsi"/>
                <w:szCs w:val="22"/>
              </w:rPr>
            </w:pPr>
            <w:r w:rsidRPr="008625DC">
              <w:rPr>
                <w:rFonts w:asciiTheme="minorHAnsi" w:hAnsiTheme="minorHAnsi"/>
              </w:rPr>
              <w:lastRenderedPageBreak/>
              <w:t xml:space="preserve">Box </w:t>
            </w:r>
            <w:r w:rsidR="00677026" w:rsidRPr="008625DC">
              <w:rPr>
                <w:rFonts w:asciiTheme="minorHAnsi" w:hAnsiTheme="minorHAnsi"/>
              </w:rPr>
              <w:t>8.3</w:t>
            </w:r>
            <w:r w:rsidR="006B0563" w:rsidRPr="008625DC">
              <w:rPr>
                <w:rFonts w:asciiTheme="minorHAnsi" w:hAnsiTheme="minorHAnsi"/>
              </w:rPr>
              <w:t>:</w:t>
            </w:r>
            <w:r w:rsidRPr="008625DC">
              <w:rPr>
                <w:rFonts w:asciiTheme="minorHAnsi" w:hAnsiTheme="minorHAnsi"/>
                <w:szCs w:val="22"/>
              </w:rPr>
              <w:t xml:space="preserve"> Local government and regulatory restrictions</w:t>
            </w:r>
          </w:p>
          <w:p w14:paraId="0C379DAB" w14:textId="2527E14D" w:rsidR="00E57E8A" w:rsidRPr="008625DC" w:rsidRDefault="00C27077" w:rsidP="005250C5">
            <w:pPr>
              <w:pStyle w:val="BoxText"/>
              <w:spacing w:before="0"/>
              <w:rPr>
                <w:szCs w:val="22"/>
              </w:rPr>
            </w:pPr>
            <w:r w:rsidRPr="008625DC">
              <w:rPr>
                <w:szCs w:val="22"/>
              </w:rPr>
              <w:t xml:space="preserve">The </w:t>
            </w:r>
            <w:r w:rsidR="00E57E8A" w:rsidRPr="008625DC">
              <w:rPr>
                <w:szCs w:val="22"/>
              </w:rPr>
              <w:t>PC 2012 report on Performance Benchmarking of Australian Business Regulation: The Role of Local Government as Regulator</w:t>
            </w:r>
            <w:r w:rsidR="00AC29F7" w:rsidRPr="008625DC">
              <w:rPr>
                <w:rStyle w:val="FootnoteReference"/>
                <w:szCs w:val="22"/>
              </w:rPr>
              <w:footnoteReference w:id="27"/>
            </w:r>
            <w:r w:rsidR="00E57E8A" w:rsidRPr="008625DC">
              <w:rPr>
                <w:szCs w:val="22"/>
              </w:rPr>
              <w:t xml:space="preserve"> discussed local government regulation in some detail.</w:t>
            </w:r>
          </w:p>
          <w:p w14:paraId="0F05C195" w14:textId="126A4108" w:rsidR="00985CEC" w:rsidRPr="008625DC" w:rsidRDefault="00CA5CF4" w:rsidP="005250C5">
            <w:pPr>
              <w:pStyle w:val="BoxText"/>
              <w:spacing w:before="0"/>
              <w:rPr>
                <w:szCs w:val="22"/>
              </w:rPr>
            </w:pPr>
            <w:r w:rsidRPr="008625DC">
              <w:rPr>
                <w:szCs w:val="22"/>
              </w:rPr>
              <w:t>Local governments</w:t>
            </w:r>
            <w:r w:rsidR="004B6E1C" w:rsidRPr="008625DC">
              <w:rPr>
                <w:szCs w:val="22"/>
              </w:rPr>
              <w:t xml:space="preserve"> often</w:t>
            </w:r>
            <w:r w:rsidRPr="008625DC">
              <w:rPr>
                <w:szCs w:val="22"/>
              </w:rPr>
              <w:t xml:space="preserve"> have significant delegated power which extends beyond </w:t>
            </w:r>
            <w:r w:rsidR="00E57E8A" w:rsidRPr="008625DC">
              <w:rPr>
                <w:szCs w:val="22"/>
              </w:rPr>
              <w:t xml:space="preserve">formally </w:t>
            </w:r>
            <w:r w:rsidRPr="008625DC">
              <w:rPr>
                <w:szCs w:val="22"/>
              </w:rPr>
              <w:t>making local laws. In many instances, local governments develop quasi</w:t>
            </w:r>
            <w:r w:rsidR="00C74E19" w:rsidRPr="008625DC">
              <w:rPr>
                <w:szCs w:val="22"/>
              </w:rPr>
              <w:noBreakHyphen/>
            </w:r>
            <w:r w:rsidRPr="008625DC">
              <w:rPr>
                <w:szCs w:val="22"/>
              </w:rPr>
              <w:t>regulations</w:t>
            </w:r>
            <w:r w:rsidR="00C74E19" w:rsidRPr="008625DC">
              <w:rPr>
                <w:szCs w:val="22"/>
              </w:rPr>
              <w:t xml:space="preserve"> — </w:t>
            </w:r>
            <w:r w:rsidRPr="008625DC">
              <w:rPr>
                <w:szCs w:val="22"/>
              </w:rPr>
              <w:t xml:space="preserve">including rules, local government policies, codes, </w:t>
            </w:r>
            <w:proofErr w:type="gramStart"/>
            <w:r w:rsidRPr="008625DC">
              <w:rPr>
                <w:szCs w:val="22"/>
              </w:rPr>
              <w:t>guidelines, conditions on permits, licences, leases or registrations</w:t>
            </w:r>
            <w:r w:rsidR="00C74E19" w:rsidRPr="008625DC">
              <w:rPr>
                <w:szCs w:val="22"/>
              </w:rPr>
              <w:t xml:space="preserve"> —</w:t>
            </w:r>
            <w:proofErr w:type="gramEnd"/>
            <w:r w:rsidR="00C74E19" w:rsidRPr="008625DC">
              <w:rPr>
                <w:szCs w:val="22"/>
              </w:rPr>
              <w:t xml:space="preserve"> </w:t>
            </w:r>
            <w:r w:rsidR="00E57E8A" w:rsidRPr="008625DC">
              <w:rPr>
                <w:szCs w:val="22"/>
              </w:rPr>
              <w:t>that</w:t>
            </w:r>
            <w:r w:rsidRPr="008625DC">
              <w:rPr>
                <w:szCs w:val="22"/>
              </w:rPr>
              <w:t xml:space="preserve"> can have a similar effect to local laws.</w:t>
            </w:r>
          </w:p>
          <w:p w14:paraId="1BEE0E2E" w14:textId="1022C237" w:rsidR="00CA5CF4" w:rsidRPr="008625DC" w:rsidRDefault="00E57E8A" w:rsidP="005250C5">
            <w:pPr>
              <w:pStyle w:val="BoxText"/>
              <w:spacing w:before="0"/>
              <w:rPr>
                <w:szCs w:val="22"/>
              </w:rPr>
            </w:pPr>
            <w:r w:rsidRPr="008625DC">
              <w:rPr>
                <w:szCs w:val="22"/>
              </w:rPr>
              <w:t xml:space="preserve">The PC found that </w:t>
            </w:r>
            <w:r w:rsidR="00C74E19" w:rsidRPr="008625DC">
              <w:rPr>
                <w:szCs w:val="22"/>
              </w:rPr>
              <w:t>‘</w:t>
            </w:r>
            <w:r w:rsidRPr="008625DC">
              <w:rPr>
                <w:szCs w:val="22"/>
              </w:rPr>
              <w:t>no state government had provided comprehensive training or guidance on how to administer and enforce regulation.</w:t>
            </w:r>
            <w:r w:rsidR="00C74E19" w:rsidRPr="008625DC">
              <w:rPr>
                <w:szCs w:val="22"/>
              </w:rPr>
              <w:t>’</w:t>
            </w:r>
            <w:r w:rsidR="00470495" w:rsidRPr="008625DC">
              <w:rPr>
                <w:szCs w:val="22"/>
              </w:rPr>
              <w:t xml:space="preserve"> (page 13)</w:t>
            </w:r>
          </w:p>
          <w:p w14:paraId="633C6C28" w14:textId="2F47FDB3" w:rsidR="00CA5CF4" w:rsidRPr="008625DC" w:rsidRDefault="00E57E8A" w:rsidP="005250C5">
            <w:pPr>
              <w:pStyle w:val="BoxText"/>
              <w:spacing w:before="0"/>
              <w:rPr>
                <w:szCs w:val="22"/>
              </w:rPr>
            </w:pPr>
            <w:r w:rsidRPr="008625DC">
              <w:rPr>
                <w:szCs w:val="22"/>
              </w:rPr>
              <w:t xml:space="preserve">While exercising its duties, local </w:t>
            </w:r>
            <w:r w:rsidR="00470495" w:rsidRPr="008625DC">
              <w:rPr>
                <w:szCs w:val="22"/>
              </w:rPr>
              <w:t>government</w:t>
            </w:r>
            <w:r w:rsidRPr="008625DC">
              <w:rPr>
                <w:szCs w:val="22"/>
              </w:rPr>
              <w:t xml:space="preserve"> may face conflicting roles, which may raise competitive neutrality concerns. The PC noted specific examples </w:t>
            </w:r>
            <w:r w:rsidR="00470495" w:rsidRPr="008625DC">
              <w:rPr>
                <w:szCs w:val="22"/>
              </w:rPr>
              <w:t xml:space="preserve">including </w:t>
            </w:r>
            <w:r w:rsidR="00C74E19" w:rsidRPr="008625DC">
              <w:rPr>
                <w:szCs w:val="22"/>
              </w:rPr>
              <w:t>‘</w:t>
            </w:r>
            <w:r w:rsidR="00CA5CF4" w:rsidRPr="008625DC">
              <w:rPr>
                <w:szCs w:val="22"/>
              </w:rPr>
              <w:t xml:space="preserve">local governments can be the providers of certain facilities, such as waste depots and caravan parks, and regulate similar facilities </w:t>
            </w:r>
            <w:r w:rsidR="00470495" w:rsidRPr="008625DC">
              <w:rPr>
                <w:szCs w:val="22"/>
              </w:rPr>
              <w:t>provided by the private sector.</w:t>
            </w:r>
            <w:r w:rsidR="00C74E19" w:rsidRPr="008625DC">
              <w:rPr>
                <w:szCs w:val="22"/>
              </w:rPr>
              <w:t>’</w:t>
            </w:r>
            <w:r w:rsidR="00470495" w:rsidRPr="008625DC">
              <w:rPr>
                <w:szCs w:val="22"/>
              </w:rPr>
              <w:t xml:space="preserve"> (page 15)</w:t>
            </w:r>
          </w:p>
          <w:p w14:paraId="25936854" w14:textId="01281BF8" w:rsidR="00470495" w:rsidRPr="008625DC" w:rsidRDefault="00470495" w:rsidP="005250C5">
            <w:pPr>
              <w:pStyle w:val="BoxText"/>
              <w:spacing w:before="0"/>
              <w:rPr>
                <w:szCs w:val="22"/>
              </w:rPr>
            </w:pPr>
            <w:r w:rsidRPr="008625DC">
              <w:rPr>
                <w:szCs w:val="22"/>
              </w:rPr>
              <w:t>The PC noted:</w:t>
            </w:r>
          </w:p>
          <w:p w14:paraId="71BB4004" w14:textId="5F2E5772" w:rsidR="00470495" w:rsidRPr="008625DC" w:rsidRDefault="007563F8" w:rsidP="005250C5">
            <w:pPr>
              <w:pStyle w:val="Quotes"/>
              <w:spacing w:before="0" w:after="120"/>
              <w:rPr>
                <w:szCs w:val="22"/>
              </w:rPr>
            </w:pPr>
            <w:r w:rsidRPr="008625DC">
              <w:rPr>
                <w:szCs w:val="22"/>
              </w:rPr>
              <w:t>[F]</w:t>
            </w:r>
            <w:r w:rsidR="00CA5CF4" w:rsidRPr="008625DC">
              <w:rPr>
                <w:szCs w:val="22"/>
              </w:rPr>
              <w:t>or practical reasons it is frequently difficult to remove such conflicts without significantly affecting the quality of services</w:t>
            </w:r>
            <w:r w:rsidR="00E424E0" w:rsidRPr="008625DC">
              <w:rPr>
                <w:szCs w:val="22"/>
              </w:rPr>
              <w:t xml:space="preserve"> ..</w:t>
            </w:r>
            <w:r w:rsidR="00E57E8A" w:rsidRPr="008625DC">
              <w:rPr>
                <w:szCs w:val="22"/>
              </w:rPr>
              <w:t>.</w:t>
            </w:r>
            <w:r w:rsidR="00E424E0" w:rsidRPr="008625DC">
              <w:rPr>
                <w:szCs w:val="22"/>
              </w:rPr>
              <w:t xml:space="preserve"> </w:t>
            </w:r>
            <w:r w:rsidRPr="008625DC">
              <w:rPr>
                <w:szCs w:val="22"/>
              </w:rPr>
              <w:t>[t]</w:t>
            </w:r>
            <w:r w:rsidR="00CA5CF4" w:rsidRPr="008625DC">
              <w:rPr>
                <w:szCs w:val="22"/>
              </w:rPr>
              <w:t>ransparency, conflict resolution and probity requirements are needed to address the potential for these conflicting roles to result in compromised decision</w:t>
            </w:r>
            <w:r w:rsidR="00C74E19" w:rsidRPr="008625DC">
              <w:rPr>
                <w:szCs w:val="22"/>
              </w:rPr>
              <w:noBreakHyphen/>
            </w:r>
            <w:r w:rsidR="00CA5CF4" w:rsidRPr="008625DC">
              <w:rPr>
                <w:szCs w:val="22"/>
              </w:rPr>
              <w:t>making.</w:t>
            </w:r>
            <w:r w:rsidR="00470495" w:rsidRPr="008625DC">
              <w:rPr>
                <w:szCs w:val="22"/>
              </w:rPr>
              <w:t xml:space="preserve"> (page 15)</w:t>
            </w:r>
          </w:p>
          <w:p w14:paraId="3793D948" w14:textId="5935DE2E" w:rsidR="00470495" w:rsidRPr="008625DC" w:rsidRDefault="00470495" w:rsidP="005250C5">
            <w:pPr>
              <w:pStyle w:val="BoxText"/>
              <w:spacing w:before="0"/>
              <w:rPr>
                <w:szCs w:val="22"/>
              </w:rPr>
            </w:pPr>
            <w:r w:rsidRPr="008625DC">
              <w:rPr>
                <w:szCs w:val="22"/>
              </w:rPr>
              <w:t>And concluded:</w:t>
            </w:r>
          </w:p>
          <w:p w14:paraId="26B5A3B2" w14:textId="4ADE3745" w:rsidR="00470495" w:rsidRPr="008625DC" w:rsidRDefault="00CA5CF4" w:rsidP="005D5562">
            <w:pPr>
              <w:pStyle w:val="Quotes"/>
              <w:spacing w:before="0" w:after="120"/>
            </w:pPr>
            <w:r w:rsidRPr="008625DC">
              <w:rPr>
                <w:szCs w:val="22"/>
              </w:rPr>
              <w:t>Since conditions that are applied through approvals and registrations are given less scrutiny than conditions contained in local laws, there is greater scope for these conditions to impose direct or indirect costs on business and for competition to be restricted without being subject to a public interest test.</w:t>
            </w:r>
            <w:r w:rsidR="00470495" w:rsidRPr="008625DC">
              <w:rPr>
                <w:szCs w:val="22"/>
              </w:rPr>
              <w:t xml:space="preserve"> (page 16)</w:t>
            </w:r>
          </w:p>
        </w:tc>
      </w:tr>
    </w:tbl>
    <w:p w14:paraId="67ACA39A" w14:textId="5CBB7B0A" w:rsidR="00985CEC" w:rsidRPr="008625DC" w:rsidRDefault="00470495" w:rsidP="00170066">
      <w:pPr>
        <w:spacing w:before="240"/>
      </w:pPr>
      <w:r w:rsidRPr="008625DC">
        <w:t xml:space="preserve">Since local government </w:t>
      </w:r>
      <w:r w:rsidR="006B1DF3" w:rsidRPr="008625DC">
        <w:t>rules</w:t>
      </w:r>
      <w:r w:rsidRPr="008625DC">
        <w:t xml:space="preserve"> can </w:t>
      </w:r>
      <w:r w:rsidR="006045AE" w:rsidRPr="008625DC">
        <w:t>a</w:t>
      </w:r>
      <w:r w:rsidRPr="008625DC">
        <w:t>ffect competition in much the same way as legislation or regulation</w:t>
      </w:r>
      <w:r w:rsidR="006045AE" w:rsidRPr="008625DC">
        <w:t>,</w:t>
      </w:r>
      <w:r w:rsidR="005250C5" w:rsidRPr="008625DC">
        <w:t xml:space="preserve"> </w:t>
      </w:r>
      <w:r w:rsidR="006B1DF3" w:rsidRPr="008625DC">
        <w:t>they</w:t>
      </w:r>
      <w:r w:rsidR="005250C5" w:rsidRPr="008625DC">
        <w:t xml:space="preserve"> should be made transparently and subject to the same scrutiny and regulatory impact analysis as Commonwealth, state and territory laws.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843C94" w:rsidRPr="008625DC" w14:paraId="65B6F57A" w14:textId="77777777" w:rsidTr="00FE262F">
        <w:tc>
          <w:tcPr>
            <w:tcW w:w="5000" w:type="pct"/>
            <w:shd w:val="clear" w:color="auto" w:fill="FFFFFF" w:themeFill="background1"/>
          </w:tcPr>
          <w:p w14:paraId="01A9D759" w14:textId="1875CCB3" w:rsidR="00843C94" w:rsidRPr="008625DC" w:rsidRDefault="00843C94" w:rsidP="00FE262F">
            <w:pPr>
              <w:pStyle w:val="Keyfindingheading"/>
            </w:pPr>
            <w:r w:rsidRPr="008625DC">
              <w:lastRenderedPageBreak/>
              <w:t>The Panel</w:t>
            </w:r>
            <w:r w:rsidR="00C74E19" w:rsidRPr="008625DC">
              <w:t>’</w:t>
            </w:r>
            <w:r w:rsidRPr="008625DC">
              <w:t>s view</w:t>
            </w:r>
          </w:p>
          <w:p w14:paraId="6BB71DFD" w14:textId="49179102" w:rsidR="00843C94" w:rsidRPr="008625DC" w:rsidRDefault="00843C94" w:rsidP="008625DC">
            <w:pPr>
              <w:pStyle w:val="Keyfindingtext"/>
            </w:pPr>
            <w:r w:rsidRPr="008625DC">
              <w:t>The National Competition Policy (NCP) reforms substantially reduced the amount of anti</w:t>
            </w:r>
            <w:r w:rsidR="00C74E19" w:rsidRPr="008625DC">
              <w:noBreakHyphen/>
            </w:r>
            <w:r w:rsidRPr="008625DC">
              <w:t>competitive regulation. However, the regulation review process begun under the NCP has flagged and should be reinvigorated.</w:t>
            </w:r>
          </w:p>
          <w:p w14:paraId="6032D9B3" w14:textId="3C2E9A29" w:rsidR="00EA0A2D" w:rsidRPr="008625DC" w:rsidRDefault="00EA0A2D" w:rsidP="008625DC">
            <w:pPr>
              <w:pStyle w:val="Keyfindingtext"/>
            </w:pPr>
            <w:r w:rsidRPr="008625DC">
              <w:t>Regulations with an anti</w:t>
            </w:r>
            <w:r w:rsidR="00C74E19" w:rsidRPr="008625DC">
              <w:noBreakHyphen/>
            </w:r>
            <w:r w:rsidRPr="008625DC">
              <w:t xml:space="preserve">competitive effect should be subject to a public benefit test and the need to demonstrate that no other way of achieving their purpose exists that is less damaging </w:t>
            </w:r>
            <w:r w:rsidR="00E417D9" w:rsidRPr="008625DC">
              <w:t>to</w:t>
            </w:r>
            <w:r w:rsidRPr="008625DC">
              <w:t xml:space="preserve"> competition. Factors to consider in assessing net public benefit should be determined on a case</w:t>
            </w:r>
            <w:r w:rsidR="00C74E19" w:rsidRPr="008625DC">
              <w:noBreakHyphen/>
            </w:r>
            <w:r w:rsidRPr="008625DC">
              <w:t>by</w:t>
            </w:r>
            <w:r w:rsidR="00C74E19" w:rsidRPr="008625DC">
              <w:noBreakHyphen/>
            </w:r>
            <w:r w:rsidRPr="008625DC">
              <w:t xml:space="preserve">case basis and not narrowed to a specific set of indicators. </w:t>
            </w:r>
          </w:p>
          <w:p w14:paraId="6B0656A3" w14:textId="5117AD73" w:rsidR="00843C94" w:rsidRPr="008625DC" w:rsidRDefault="00843C94" w:rsidP="008625DC">
            <w:pPr>
              <w:pStyle w:val="Keyfindingtext"/>
            </w:pPr>
            <w:r w:rsidRPr="008625DC">
              <w:t xml:space="preserve">Maintaining a rigorous, transparent and </w:t>
            </w:r>
            <w:r w:rsidR="00D50BF4" w:rsidRPr="008625DC">
              <w:t xml:space="preserve">independent </w:t>
            </w:r>
            <w:r w:rsidRPr="008625DC">
              <w:t>assess</w:t>
            </w:r>
            <w:r w:rsidR="00D50BF4" w:rsidRPr="008625DC">
              <w:t>ment of</w:t>
            </w:r>
            <w:r w:rsidRPr="008625DC">
              <w:t xml:space="preserve"> whether regulations </w:t>
            </w:r>
            <w:r w:rsidR="00EC543A" w:rsidRPr="008625DC">
              <w:t>serve</w:t>
            </w:r>
            <w:r w:rsidRPr="008625DC">
              <w:t xml:space="preserve"> the public interest, with the onus on the party wishing to retain anti</w:t>
            </w:r>
            <w:r w:rsidR="00C74E19" w:rsidRPr="008625DC">
              <w:noBreakHyphen/>
            </w:r>
            <w:r w:rsidRPr="008625DC">
              <w:t xml:space="preserve">competitive regulation, is important </w:t>
            </w:r>
            <w:r w:rsidR="00EC543A" w:rsidRPr="008625DC">
              <w:t xml:space="preserve">in ensuring </w:t>
            </w:r>
            <w:r w:rsidRPr="008625DC">
              <w:t>that the wellbeing of Australians is improved by changes in regulation.</w:t>
            </w:r>
            <w:r w:rsidR="00787DCF" w:rsidRPr="008625DC">
              <w:t xml:space="preserve"> </w:t>
            </w:r>
          </w:p>
          <w:p w14:paraId="6D36ADD0" w14:textId="10646DDD" w:rsidR="00843C94" w:rsidRPr="008625DC" w:rsidRDefault="00D50BF4" w:rsidP="008625DC">
            <w:pPr>
              <w:pStyle w:val="Keyfindingtext"/>
            </w:pPr>
            <w:r w:rsidRPr="008625DC">
              <w:t xml:space="preserve">The assessment should </w:t>
            </w:r>
            <w:r w:rsidR="00EC543A" w:rsidRPr="008625DC">
              <w:t xml:space="preserve">focus on </w:t>
            </w:r>
            <w:r w:rsidRPr="008625DC">
              <w:t>the outcome</w:t>
            </w:r>
            <w:r w:rsidR="00EC543A" w:rsidRPr="008625DC">
              <w:t>s</w:t>
            </w:r>
            <w:r w:rsidRPr="008625DC">
              <w:t xml:space="preserve"> achieved and not on the processes undertaken.</w:t>
            </w:r>
          </w:p>
        </w:tc>
      </w:tr>
    </w:tbl>
    <w:p w14:paraId="1AD20070" w14:textId="55BDB6A5" w:rsidR="00D144D8" w:rsidRPr="008625DC" w:rsidRDefault="003B40D1" w:rsidP="00E05574">
      <w:pPr>
        <w:spacing w:before="240" w:after="120"/>
      </w:pPr>
      <w:r w:rsidRPr="008625DC">
        <w:t>A</w:t>
      </w:r>
      <w:r w:rsidR="00215822" w:rsidRPr="008625DC">
        <w:t xml:space="preserve">ll Australian jurisdictions now have in place </w:t>
      </w:r>
      <w:r w:rsidR="00C71D6B" w:rsidRPr="008625DC">
        <w:t>regulatory i</w:t>
      </w:r>
      <w:r w:rsidR="00215822" w:rsidRPr="008625DC">
        <w:t xml:space="preserve">mpact </w:t>
      </w:r>
      <w:r w:rsidR="00C71D6B" w:rsidRPr="008625DC">
        <w:t>a</w:t>
      </w:r>
      <w:r w:rsidR="00215822" w:rsidRPr="008625DC">
        <w:t>nalysis procedures. Intra</w:t>
      </w:r>
      <w:r w:rsidR="00C74E19" w:rsidRPr="008625DC">
        <w:noBreakHyphen/>
      </w:r>
      <w:r w:rsidR="00215822" w:rsidRPr="008625DC">
        <w:t xml:space="preserve">jurisdictional approaches vary in their guidance and application, and there is a specific process for national reforms in the form of the </w:t>
      </w:r>
      <w:r w:rsidR="00C27077" w:rsidRPr="008625DC">
        <w:t>Council of Australian Governments (</w:t>
      </w:r>
      <w:r w:rsidR="00215822" w:rsidRPr="008625DC">
        <w:t>COAG</w:t>
      </w:r>
      <w:r w:rsidR="00C27077" w:rsidRPr="008625DC">
        <w:t>)</w:t>
      </w:r>
      <w:r w:rsidR="00215822" w:rsidRPr="008625DC">
        <w:t xml:space="preserve"> best practice regulation guide</w:t>
      </w:r>
      <w:r w:rsidR="00623FDE" w:rsidRPr="008625DC">
        <w:t>.</w:t>
      </w:r>
      <w:r w:rsidR="00215822" w:rsidRPr="008625DC">
        <w:rPr>
          <w:rStyle w:val="FootnoteReference"/>
        </w:rPr>
        <w:footnoteReference w:id="28"/>
      </w:r>
      <w:r w:rsidR="00D144D8" w:rsidRPr="008625DC">
        <w:t xml:space="preserve"> </w:t>
      </w:r>
      <w:r w:rsidR="00E417D9" w:rsidRPr="008625DC">
        <w:t>Principle</w:t>
      </w:r>
      <w:r w:rsidR="00D144D8" w:rsidRPr="008625DC">
        <w:t xml:space="preserve"> 4 of the </w:t>
      </w:r>
      <w:r w:rsidR="00623FDE" w:rsidRPr="008625DC">
        <w:t xml:space="preserve">COAG Principles of Best Practice Regulation </w:t>
      </w:r>
      <w:r w:rsidR="004B3DB8" w:rsidRPr="008625DC">
        <w:t>adopts</w:t>
      </w:r>
      <w:r w:rsidR="00D144D8" w:rsidRPr="008625DC">
        <w:t xml:space="preserve"> the </w:t>
      </w:r>
      <w:r w:rsidR="00DC7F81" w:rsidRPr="008625DC">
        <w:t>CPA</w:t>
      </w:r>
      <w:r w:rsidR="00D144D8" w:rsidRPr="008625DC">
        <w:t xml:space="preserve"> legislation review principle that legislation should not restrict competition unless it can be demonstrated that: </w:t>
      </w:r>
    </w:p>
    <w:p w14:paraId="05678336" w14:textId="465B3188" w:rsidR="00D144D8" w:rsidRPr="008625DC" w:rsidRDefault="00D144D8" w:rsidP="008625DC">
      <w:pPr>
        <w:pStyle w:val="Bullet"/>
        <w:numPr>
          <w:ilvl w:val="7"/>
          <w:numId w:val="17"/>
        </w:numPr>
        <w:ind w:left="567"/>
      </w:pPr>
      <w:r w:rsidRPr="008625DC">
        <w:t>the benefits of the restrictions to the community as a whole outweigh the costs</w:t>
      </w:r>
      <w:r w:rsidR="00E417D9" w:rsidRPr="008625DC">
        <w:t>;</w:t>
      </w:r>
      <w:r w:rsidRPr="008625DC">
        <w:t xml:space="preserve"> and</w:t>
      </w:r>
    </w:p>
    <w:p w14:paraId="6F215CC5" w14:textId="6A25B459" w:rsidR="00D144D8" w:rsidRPr="008625DC" w:rsidRDefault="00D144D8" w:rsidP="008625DC">
      <w:pPr>
        <w:pStyle w:val="Bullet"/>
        <w:numPr>
          <w:ilvl w:val="7"/>
          <w:numId w:val="17"/>
        </w:numPr>
        <w:spacing w:after="240"/>
        <w:ind w:left="567"/>
      </w:pPr>
      <w:proofErr w:type="gramStart"/>
      <w:r w:rsidRPr="008625DC">
        <w:t>the</w:t>
      </w:r>
      <w:proofErr w:type="gramEnd"/>
      <w:r w:rsidRPr="008625DC">
        <w:t xml:space="preserve"> objectives of the regulation can only be achieved by restricting competition.</w:t>
      </w:r>
    </w:p>
    <w:p w14:paraId="6DF0ED92" w14:textId="2211EEAE" w:rsidR="00215822" w:rsidRPr="008625DC" w:rsidRDefault="00623FDE" w:rsidP="00E80981">
      <w:r w:rsidRPr="008625DC">
        <w:t xml:space="preserve">The Panel recognises that </w:t>
      </w:r>
      <w:r w:rsidR="00C71D6B" w:rsidRPr="008625DC">
        <w:t>r</w:t>
      </w:r>
      <w:r w:rsidR="00DC7F81" w:rsidRPr="008625DC">
        <w:t xml:space="preserve">egulatory </w:t>
      </w:r>
      <w:r w:rsidR="00C71D6B" w:rsidRPr="008625DC">
        <w:t>i</w:t>
      </w:r>
      <w:r w:rsidR="00DC7F81" w:rsidRPr="008625DC">
        <w:t xml:space="preserve">mpact </w:t>
      </w:r>
      <w:r w:rsidR="00C71D6B" w:rsidRPr="008625DC">
        <w:t>a</w:t>
      </w:r>
      <w:r w:rsidR="00DC7F81" w:rsidRPr="008625DC">
        <w:t>nalysis</w:t>
      </w:r>
      <w:r w:rsidRPr="008625DC">
        <w:t xml:space="preserve"> </w:t>
      </w:r>
      <w:r w:rsidR="00290837" w:rsidRPr="008625DC">
        <w:t>is</w:t>
      </w:r>
      <w:r w:rsidRPr="008625DC">
        <w:t xml:space="preserve"> important for managing the flow of </w:t>
      </w:r>
      <w:r w:rsidR="00D144D8" w:rsidRPr="008625DC">
        <w:t xml:space="preserve">regulation and </w:t>
      </w:r>
      <w:r w:rsidR="00E80981" w:rsidRPr="008625DC">
        <w:t>considers that the impact on competition should be an important element for consideration in any regulation</w:t>
      </w:r>
      <w:r w:rsidR="00C74E19" w:rsidRPr="008625DC">
        <w:noBreakHyphen/>
      </w:r>
      <w:r w:rsidR="00E80981" w:rsidRPr="008625DC">
        <w:t xml:space="preserve">making process.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6FBA9ADA" w14:textId="77777777" w:rsidTr="00F7370D">
        <w:tc>
          <w:tcPr>
            <w:tcW w:w="5000" w:type="pct"/>
            <w:shd w:val="clear" w:color="auto" w:fill="FFFFFF" w:themeFill="background1"/>
          </w:tcPr>
          <w:p w14:paraId="4ED6EB8E" w14:textId="08DAB3C6" w:rsidR="00215822" w:rsidRPr="008625DC" w:rsidRDefault="00215822" w:rsidP="00F7370D">
            <w:pPr>
              <w:pStyle w:val="Keyfindingheading"/>
            </w:pPr>
            <w:r w:rsidRPr="008625DC">
              <w:t>The Panel</w:t>
            </w:r>
            <w:r w:rsidR="00C74E19" w:rsidRPr="008625DC">
              <w:t>’</w:t>
            </w:r>
            <w:r w:rsidRPr="008625DC">
              <w:t>s view</w:t>
            </w:r>
          </w:p>
          <w:p w14:paraId="2617879F" w14:textId="31674CFE" w:rsidR="00215822" w:rsidRPr="008625DC" w:rsidRDefault="00215822" w:rsidP="00B509AB">
            <w:pPr>
              <w:pStyle w:val="Keyfindingtext"/>
            </w:pPr>
            <w:bookmarkStart w:id="14033" w:name="_Toc394938326"/>
            <w:bookmarkStart w:id="14034" w:name="_Toc394937606"/>
            <w:bookmarkStart w:id="14035" w:name="_Toc394941237"/>
            <w:bookmarkStart w:id="14036" w:name="_Toc394941853"/>
            <w:bookmarkStart w:id="14037" w:name="_Toc394940075"/>
            <w:bookmarkStart w:id="14038" w:name="_Toc394939685"/>
            <w:bookmarkStart w:id="14039" w:name="_Toc394993582"/>
            <w:bookmarkStart w:id="14040" w:name="_Toc394995463"/>
            <w:bookmarkStart w:id="14041" w:name="_Toc394995777"/>
            <w:bookmarkStart w:id="14042" w:name="_Toc394998022"/>
            <w:bookmarkStart w:id="14043" w:name="_Toc394998536"/>
            <w:bookmarkStart w:id="14044" w:name="_Toc395002035"/>
            <w:bookmarkStart w:id="14045" w:name="_Toc395001515"/>
            <w:bookmarkStart w:id="14046" w:name="_Toc395003389"/>
            <w:bookmarkStart w:id="14047" w:name="_Toc395005630"/>
            <w:bookmarkStart w:id="14048" w:name="_Toc395009624"/>
            <w:bookmarkStart w:id="14049" w:name="_Toc395010363"/>
            <w:bookmarkStart w:id="14050" w:name="_Toc395012547"/>
            <w:bookmarkStart w:id="14051" w:name="_Toc395010952"/>
            <w:bookmarkStart w:id="14052" w:name="_Toc395012896"/>
            <w:bookmarkStart w:id="14053" w:name="_Toc395012012"/>
            <w:bookmarkStart w:id="14054" w:name="_Toc395084703"/>
            <w:bookmarkStart w:id="14055" w:name="_Toc395085004"/>
            <w:bookmarkStart w:id="14056" w:name="_Toc395090467"/>
            <w:bookmarkStart w:id="14057" w:name="_Toc395093051"/>
            <w:bookmarkStart w:id="14058" w:name="_Toc395097963"/>
            <w:bookmarkStart w:id="14059" w:name="_Toc395106148"/>
            <w:bookmarkStart w:id="14060" w:name="_Toc395112118"/>
            <w:bookmarkStart w:id="14061" w:name="_Toc395108821"/>
            <w:bookmarkStart w:id="14062" w:name="_Toc395114061"/>
            <w:bookmarkStart w:id="14063" w:name="_Toc395116798"/>
            <w:bookmarkStart w:id="14064" w:name="_Toc395112735"/>
            <w:bookmarkStart w:id="14065" w:name="_Toc395115275"/>
            <w:bookmarkStart w:id="14066" w:name="_Toc395118427"/>
            <w:bookmarkStart w:id="14067" w:name="_Toc395624622"/>
            <w:bookmarkStart w:id="14068" w:name="_Toc395789973"/>
            <w:bookmarkStart w:id="14069" w:name="_Toc395800731"/>
            <w:r w:rsidRPr="008625DC">
              <w:t xml:space="preserve">Regulatory </w:t>
            </w:r>
            <w:r w:rsidR="0090334C" w:rsidRPr="008625DC">
              <w:t>i</w:t>
            </w:r>
            <w:r w:rsidRPr="008625DC">
              <w:t xml:space="preserve">mpact </w:t>
            </w:r>
            <w:r w:rsidR="0090334C" w:rsidRPr="008625DC">
              <w:t>a</w:t>
            </w:r>
            <w:r w:rsidRPr="008625DC">
              <w:t xml:space="preserve">nalysis </w:t>
            </w:r>
            <w:r w:rsidR="00B509AB" w:rsidRPr="008625DC">
              <w:t>is</w:t>
            </w:r>
            <w:r w:rsidRPr="008625DC">
              <w:t xml:space="preserve"> an important part of policy development for new </w:t>
            </w:r>
            <w:r w:rsidR="00290837" w:rsidRPr="008625DC">
              <w:t xml:space="preserve">and amending </w:t>
            </w:r>
            <w:r w:rsidRPr="008625DC">
              <w:t xml:space="preserve">regulations. The Competition </w:t>
            </w:r>
            <w:r w:rsidR="00852C7F" w:rsidRPr="008625DC">
              <w:t>Principles Agreement</w:t>
            </w:r>
            <w:r w:rsidRPr="008625DC">
              <w:t xml:space="preserve"> test for regulatory restrictions on competition </w:t>
            </w:r>
            <w:r w:rsidR="00852C7F" w:rsidRPr="008625DC">
              <w:t xml:space="preserve">(that legislation should not restrict competition unless it can be demonstrated that the benefits of the restrictions to the community as a whole outweigh the costs, and the objectives of the regulation can only be achieved by restricting competition) </w:t>
            </w:r>
            <w:r w:rsidRPr="008625DC">
              <w:t xml:space="preserve">should be retained and promoted as an important part of the process, to ensure </w:t>
            </w:r>
            <w:r w:rsidR="00E80981" w:rsidRPr="008625DC">
              <w:t>that competition</w:t>
            </w:r>
            <w:r w:rsidRPr="008625DC">
              <w:t xml:space="preserve"> policy </w:t>
            </w:r>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r w:rsidR="00E80981" w:rsidRPr="008625DC">
              <w:t>is considered by all governments on an ongoing basis.</w:t>
            </w:r>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p>
        </w:tc>
      </w:tr>
    </w:tbl>
    <w:p w14:paraId="1CC7F04C" w14:textId="48354CC4" w:rsidR="0039565D" w:rsidRPr="008625DC" w:rsidRDefault="00C76851" w:rsidP="00E05574">
      <w:pPr>
        <w:spacing w:before="240"/>
      </w:pPr>
      <w:r w:rsidRPr="008625DC">
        <w:t xml:space="preserve">Regulatory restrictions can </w:t>
      </w:r>
      <w:r w:rsidR="00B509AB" w:rsidRPr="008625DC">
        <w:t>affect</w:t>
      </w:r>
      <w:r w:rsidRPr="008625DC">
        <w:t xml:space="preserve">: who can supply; what can be supplied; and when and where supply can occur. </w:t>
      </w:r>
      <w:r w:rsidR="00843C94" w:rsidRPr="008625DC">
        <w:t xml:space="preserve">While it is not practical for the </w:t>
      </w:r>
      <w:r w:rsidR="00575A09" w:rsidRPr="008625DC">
        <w:t>Panel</w:t>
      </w:r>
      <w:r w:rsidR="00843C94" w:rsidRPr="008625DC">
        <w:t xml:space="preserve"> to examine all existing regulatory restrictions on competition, some of the broad categories </w:t>
      </w:r>
      <w:r w:rsidRPr="008625DC">
        <w:t>are detailed</w:t>
      </w:r>
      <w:r w:rsidR="00843C94" w:rsidRPr="008625DC">
        <w:t xml:space="preserve"> below. These </w:t>
      </w:r>
      <w:r w:rsidR="00B509AB" w:rsidRPr="008625DC">
        <w:t>are</w:t>
      </w:r>
      <w:r w:rsidR="00843C94" w:rsidRPr="008625DC">
        <w:t xml:space="preserve"> raised in submissions and provide examples of key areas requiring a reinvigorated program of regulatory review. </w:t>
      </w:r>
    </w:p>
    <w:p w14:paraId="581CAFCD" w14:textId="1DFDFBEA" w:rsidR="00E430BB" w:rsidRPr="008625DC" w:rsidRDefault="008A744B" w:rsidP="0039565D">
      <w:pPr>
        <w:jc w:val="center"/>
      </w:pPr>
      <w:r w:rsidRPr="008625DC">
        <w:rPr>
          <w:noProof/>
        </w:rPr>
        <w:lastRenderedPageBreak/>
        <w:drawing>
          <wp:inline distT="0" distB="0" distL="0" distR="0" wp14:anchorId="01C7EBE8" wp14:editId="09707447">
            <wp:extent cx="4468495" cy="2981960"/>
            <wp:effectExtent l="0" t="0" r="8255" b="8890"/>
            <wp:docPr id="1" name="Picture 1" descr="The diagram shows some examples of regulatory restrictions. The examples are all discussed further in this chapter. &#10;Restrictions around who can supply include: professional licensing and standards; liquor and gambling; pharmacy; taxis; and media and broadcasting services. Restrictions around what can be supplied include: product standards and labelling; agricultural marketing; parallel imports; intellectual property; and private health insurance. Restrictions around where and when supply can occur include: air service agreements; retail trading hours; and planning and zoning." title="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8495" cy="2981960"/>
                    </a:xfrm>
                    <a:prstGeom prst="rect">
                      <a:avLst/>
                    </a:prstGeom>
                    <a:noFill/>
                    <a:ln>
                      <a:noFill/>
                    </a:ln>
                  </pic:spPr>
                </pic:pic>
              </a:graphicData>
            </a:graphic>
          </wp:inline>
        </w:drawing>
      </w:r>
    </w:p>
    <w:p w14:paraId="7BD3EFAF" w14:textId="77777777" w:rsidR="001126AD" w:rsidRPr="008625DC" w:rsidRDefault="001126AD" w:rsidP="001126AD">
      <w:pPr>
        <w:pStyle w:val="Heading2"/>
        <w:ind w:left="851" w:hanging="851"/>
        <w:rPr>
          <w:lang w:val="en-AU"/>
        </w:rPr>
      </w:pPr>
      <w:bookmarkStart w:id="14070" w:name="_Toc395090254"/>
      <w:bookmarkStart w:id="14071" w:name="_Toc395090500"/>
      <w:bookmarkStart w:id="14072" w:name="_Toc395090733"/>
      <w:bookmarkStart w:id="14073" w:name="_Toc395092834"/>
      <w:bookmarkStart w:id="14074" w:name="_Toc395093084"/>
      <w:bookmarkStart w:id="14075" w:name="_Toc395093316"/>
      <w:bookmarkStart w:id="14076" w:name="_Toc395097745"/>
      <w:bookmarkStart w:id="14077" w:name="_Toc395097996"/>
      <w:bookmarkStart w:id="14078" w:name="_Toc395098226"/>
      <w:bookmarkStart w:id="14079" w:name="_Toc395105411"/>
      <w:bookmarkStart w:id="14080" w:name="_Toc395106180"/>
      <w:bookmarkStart w:id="14081" w:name="_Toc395107014"/>
      <w:bookmarkStart w:id="14082" w:name="_Toc395109886"/>
      <w:bookmarkStart w:id="14083" w:name="_Toc395109672"/>
      <w:bookmarkStart w:id="14084" w:name="_Toc395109773"/>
      <w:bookmarkStart w:id="14085" w:name="_Toc395111889"/>
      <w:bookmarkStart w:id="14086" w:name="_Toc395112150"/>
      <w:bookmarkStart w:id="14087" w:name="_Toc395112377"/>
      <w:bookmarkStart w:id="14088" w:name="_Toc395106809"/>
      <w:bookmarkStart w:id="14089" w:name="_Toc395107292"/>
      <w:bookmarkStart w:id="14090" w:name="_Toc395107522"/>
      <w:bookmarkStart w:id="14091" w:name="_Toc395109477"/>
      <w:bookmarkStart w:id="14092" w:name="_Toc395108569"/>
      <w:bookmarkStart w:id="14093" w:name="_Toc395108853"/>
      <w:bookmarkStart w:id="14094" w:name="_Toc395113809"/>
      <w:bookmarkStart w:id="14095" w:name="_Toc395114093"/>
      <w:bookmarkStart w:id="14096" w:name="_Toc395114329"/>
      <w:bookmarkStart w:id="14097" w:name="_Toc395116545"/>
      <w:bookmarkStart w:id="14098" w:name="_Toc395116830"/>
      <w:bookmarkStart w:id="14099" w:name="_Toc395117067"/>
      <w:bookmarkStart w:id="14100" w:name="_Toc395112482"/>
      <w:bookmarkStart w:id="14101" w:name="_Toc395112767"/>
      <w:bookmarkStart w:id="14102" w:name="_Toc395113185"/>
      <w:bookmarkStart w:id="14103" w:name="_Toc395115021"/>
      <w:bookmarkStart w:id="14104" w:name="_Toc395115307"/>
      <w:bookmarkStart w:id="14105" w:name="_Toc395115544"/>
      <w:bookmarkStart w:id="14106" w:name="_Toc395118176"/>
      <w:bookmarkStart w:id="14107" w:name="_Toc395118459"/>
      <w:bookmarkStart w:id="14108" w:name="_Toc395118694"/>
      <w:bookmarkStart w:id="14109" w:name="_Toc395178386"/>
      <w:bookmarkStart w:id="14110" w:name="_Toc395178718"/>
      <w:bookmarkStart w:id="14111" w:name="_Toc395624653"/>
      <w:bookmarkStart w:id="14112" w:name="_Toc395624875"/>
      <w:bookmarkStart w:id="14113" w:name="_Toc395789729"/>
      <w:bookmarkStart w:id="14114" w:name="_Toc395790004"/>
      <w:bookmarkStart w:id="14115" w:name="_Toc395800762"/>
      <w:bookmarkStart w:id="14116" w:name="_Toc395802857"/>
      <w:bookmarkStart w:id="14117" w:name="_Toc395867616"/>
      <w:bookmarkStart w:id="14118" w:name="_Toc395868525"/>
      <w:bookmarkStart w:id="14119" w:name="_Toc395868748"/>
      <w:bookmarkStart w:id="14120" w:name="_Toc395879129"/>
      <w:bookmarkStart w:id="14121" w:name="_Toc395882031"/>
      <w:bookmarkStart w:id="14122" w:name="_Toc395882253"/>
      <w:bookmarkStart w:id="14123" w:name="_Toc395882362"/>
      <w:bookmarkStart w:id="14124" w:name="_Toc395882584"/>
      <w:bookmarkStart w:id="14125" w:name="_Toc395880526"/>
      <w:bookmarkStart w:id="14126" w:name="_Toc395881415"/>
      <w:bookmarkStart w:id="14127" w:name="_Toc395881637"/>
      <w:bookmarkStart w:id="14128" w:name="_Toc395884022"/>
      <w:bookmarkStart w:id="14129" w:name="_Toc395880755"/>
      <w:bookmarkStart w:id="14130" w:name="_Toc395884462"/>
      <w:bookmarkStart w:id="14131" w:name="_Toc395884684"/>
      <w:bookmarkStart w:id="14132" w:name="_Toc395883171"/>
      <w:bookmarkStart w:id="14133" w:name="_Toc395883393"/>
      <w:bookmarkStart w:id="14134" w:name="_Toc395883501"/>
      <w:bookmarkStart w:id="14135" w:name="_Toc395883723"/>
      <w:bookmarkStart w:id="14136" w:name="_Toc395884803"/>
      <w:bookmarkStart w:id="14137" w:name="_Toc396123832"/>
      <w:bookmarkStart w:id="14138" w:name="_Toc396130735"/>
      <w:bookmarkStart w:id="14139" w:name="_Toc396136313"/>
      <w:bookmarkStart w:id="14140" w:name="_Toc396138767"/>
      <w:bookmarkStart w:id="14141" w:name="_Toc396144028"/>
      <w:bookmarkStart w:id="14142" w:name="_Toc396145537"/>
      <w:bookmarkStart w:id="14143" w:name="_Toc396145681"/>
      <w:bookmarkStart w:id="14144" w:name="_Toc396147503"/>
      <w:bookmarkStart w:id="14145" w:name="_Toc396147789"/>
      <w:bookmarkStart w:id="14146" w:name="_Toc396149045"/>
      <w:bookmarkStart w:id="14147" w:name="_Toc396148759"/>
      <w:bookmarkStart w:id="14148" w:name="_Toc396149540"/>
      <w:bookmarkStart w:id="14149" w:name="_Toc396149185"/>
      <w:bookmarkStart w:id="14150" w:name="_Toc396149471"/>
      <w:bookmarkStart w:id="14151" w:name="_Toc396149148"/>
      <w:bookmarkStart w:id="14152" w:name="_Toc396149893"/>
      <w:bookmarkStart w:id="14153" w:name="_Toc396149643"/>
      <w:bookmarkStart w:id="14154" w:name="_Toc396150484"/>
      <w:bookmarkStart w:id="14155" w:name="_Toc396151373"/>
      <w:bookmarkStart w:id="14156" w:name="_Toc396151667"/>
      <w:bookmarkStart w:id="14157" w:name="_Toc396201594"/>
      <w:bookmarkStart w:id="14158" w:name="_Toc396202384"/>
      <w:bookmarkStart w:id="14159" w:name="_Toc396202679"/>
      <w:bookmarkStart w:id="14160" w:name="_Toc396203296"/>
      <w:bookmarkStart w:id="14161" w:name="_Toc396206592"/>
      <w:bookmarkStart w:id="14162" w:name="_Toc396206886"/>
      <w:bookmarkStart w:id="14163" w:name="_Toc396209420"/>
      <w:bookmarkStart w:id="14164" w:name="_Toc396209714"/>
      <w:bookmarkStart w:id="14165" w:name="_Toc396211844"/>
      <w:bookmarkStart w:id="14166" w:name="_Toc396212138"/>
      <w:bookmarkStart w:id="14167" w:name="_Toc396213188"/>
      <w:bookmarkStart w:id="14168" w:name="_Toc396213480"/>
      <w:bookmarkStart w:id="14169" w:name="_Toc396214031"/>
      <w:bookmarkStart w:id="14170" w:name="_Toc396214466"/>
      <w:bookmarkStart w:id="14171" w:name="_Toc396214756"/>
      <w:bookmarkStart w:id="14172" w:name="_Toc396220316"/>
      <w:bookmarkStart w:id="14173" w:name="_Toc396226578"/>
      <w:bookmarkStart w:id="14174" w:name="_Toc396226867"/>
      <w:bookmarkStart w:id="14175" w:name="_Toc396228778"/>
      <w:bookmarkStart w:id="14176" w:name="_Toc396229073"/>
      <w:bookmarkStart w:id="14177" w:name="_Toc396230420"/>
      <w:bookmarkStart w:id="14178" w:name="_Toc396230715"/>
      <w:bookmarkStart w:id="14179" w:name="_Toc396231857"/>
      <w:bookmarkStart w:id="14180" w:name="_Toc396233200"/>
      <w:bookmarkStart w:id="14181" w:name="_Toc396233497"/>
      <w:bookmarkStart w:id="14182" w:name="_Toc396234020"/>
      <w:bookmarkStart w:id="14183" w:name="_Toc396234317"/>
      <w:bookmarkStart w:id="14184" w:name="_Toc396234430"/>
      <w:bookmarkStart w:id="14185" w:name="_Toc396236164"/>
      <w:bookmarkStart w:id="14186" w:name="_Toc396235942"/>
      <w:bookmarkStart w:id="14187" w:name="_Toc396236552"/>
      <w:bookmarkStart w:id="14188" w:name="_Toc396237071"/>
      <w:bookmarkStart w:id="14189" w:name="_Toc396397414"/>
      <w:bookmarkStart w:id="14190" w:name="_Toc396304595"/>
      <w:bookmarkStart w:id="14191" w:name="_Toc396586130"/>
      <w:bookmarkStart w:id="14192" w:name="_Toc396815151"/>
      <w:bookmarkStart w:id="14193" w:name="_Toc396821100"/>
      <w:bookmarkStart w:id="14194" w:name="_Toc396821708"/>
      <w:bookmarkStart w:id="14195" w:name="_Toc396827558"/>
      <w:bookmarkStart w:id="14196" w:name="_Toc396828529"/>
      <w:bookmarkStart w:id="14197" w:name="_Toc396828639"/>
      <w:bookmarkStart w:id="14198" w:name="_Toc396838028"/>
      <w:bookmarkStart w:id="14199" w:name="_Toc396838426"/>
      <w:bookmarkStart w:id="14200" w:name="_Toc396904749"/>
      <w:bookmarkStart w:id="14201" w:name="_Toc396907583"/>
      <w:bookmarkStart w:id="14202" w:name="_Toc396912502"/>
      <w:bookmarkStart w:id="14203" w:name="_Toc396914482"/>
      <w:bookmarkStart w:id="14204" w:name="_Toc396915366"/>
      <w:bookmarkStart w:id="14205" w:name="_Toc396915760"/>
      <w:bookmarkStart w:id="14206" w:name="_Toc396921071"/>
      <w:bookmarkStart w:id="14207" w:name="_Toc396924411"/>
      <w:bookmarkStart w:id="14208" w:name="_Toc396925105"/>
      <w:bookmarkStart w:id="14209" w:name="_Toc396992225"/>
      <w:bookmarkStart w:id="14210" w:name="_Toc396992804"/>
      <w:bookmarkStart w:id="14211" w:name="_Toc396994468"/>
      <w:bookmarkStart w:id="14212" w:name="_Toc397002239"/>
      <w:bookmarkStart w:id="14213" w:name="_Toc397003158"/>
      <w:bookmarkStart w:id="14214" w:name="_Toc397008716"/>
      <w:bookmarkStart w:id="14215" w:name="_Toc397008934"/>
      <w:bookmarkStart w:id="14216" w:name="_Toc397011606"/>
      <w:bookmarkStart w:id="14217" w:name="_Toc397012668"/>
      <w:bookmarkStart w:id="14218" w:name="_Toc397015010"/>
      <w:bookmarkStart w:id="14219" w:name="_Toc397015497"/>
      <w:bookmarkStart w:id="14220" w:name="_Toc397070567"/>
      <w:bookmarkStart w:id="14221" w:name="_Toc397413308"/>
      <w:bookmarkStart w:id="14222" w:name="_Toc397413455"/>
      <w:bookmarkStart w:id="14223" w:name="_Toc397428038"/>
      <w:bookmarkStart w:id="14224" w:name="_Toc397439426"/>
      <w:bookmarkStart w:id="14225" w:name="_Toc397439596"/>
      <w:bookmarkStart w:id="14226" w:name="_Toc397439852"/>
      <w:bookmarkStart w:id="14227" w:name="_Toc397440154"/>
      <w:bookmarkStart w:id="14228" w:name="_Toc397441783"/>
      <w:bookmarkStart w:id="14229" w:name="_Toc397517485"/>
      <w:bookmarkStart w:id="14230" w:name="_Toc397522750"/>
      <w:bookmarkStart w:id="14231" w:name="_Toc397526168"/>
      <w:bookmarkStart w:id="14232" w:name="_Toc397528483"/>
      <w:bookmarkStart w:id="14233" w:name="_Toc397528958"/>
      <w:bookmarkStart w:id="14234" w:name="_Toc397601955"/>
      <w:bookmarkStart w:id="14235" w:name="_Toc397602690"/>
      <w:bookmarkStart w:id="14236" w:name="_Toc397605819"/>
      <w:bookmarkStart w:id="14237" w:name="_Toc397614520"/>
      <w:bookmarkStart w:id="14238" w:name="_Toc397614963"/>
      <w:bookmarkStart w:id="14239" w:name="_Toc397616406"/>
      <w:bookmarkStart w:id="14240" w:name="_Toc397616800"/>
      <w:bookmarkStart w:id="14241" w:name="_Toc397688098"/>
      <w:bookmarkStart w:id="14242" w:name="_Toc397689314"/>
      <w:bookmarkStart w:id="14243" w:name="_Toc397694594"/>
      <w:bookmarkStart w:id="14244" w:name="_Toc397696435"/>
      <w:bookmarkStart w:id="14245" w:name="_Toc397697169"/>
      <w:bookmarkStart w:id="14246" w:name="_Toc397698456"/>
      <w:bookmarkStart w:id="14247" w:name="_Toc397699822"/>
      <w:bookmarkStart w:id="14248" w:name="_Toc397700276"/>
      <w:bookmarkStart w:id="14249" w:name="_Toc397936668"/>
      <w:bookmarkStart w:id="14250" w:name="_Toc397936788"/>
      <w:bookmarkStart w:id="14251" w:name="_Toc397945944"/>
      <w:bookmarkStart w:id="14252" w:name="_Toc397946970"/>
      <w:bookmarkStart w:id="14253" w:name="_Toc397948089"/>
      <w:bookmarkStart w:id="14254" w:name="_Toc397958495"/>
      <w:bookmarkStart w:id="14255" w:name="_Toc397958737"/>
      <w:bookmarkStart w:id="14256" w:name="_Toc397959152"/>
      <w:bookmarkStart w:id="14257" w:name="_Toc397963005"/>
      <w:bookmarkStart w:id="14258" w:name="_Toc397963371"/>
      <w:bookmarkStart w:id="14259" w:name="_Toc397965448"/>
      <w:bookmarkStart w:id="14260" w:name="_Toc398197386"/>
      <w:bookmarkStart w:id="14261" w:name="_Toc398199889"/>
      <w:bookmarkStart w:id="14262" w:name="_Toc398201603"/>
      <w:bookmarkStart w:id="14263" w:name="_Toc398207208"/>
      <w:bookmarkStart w:id="14264" w:name="_Toc398210481"/>
      <w:bookmarkStart w:id="14265" w:name="_Toc398210995"/>
      <w:bookmarkStart w:id="14266" w:name="_Toc398219803"/>
      <w:bookmarkStart w:id="14267" w:name="_Toc398220178"/>
      <w:bookmarkStart w:id="14268" w:name="_Toc398220565"/>
      <w:bookmarkStart w:id="14269" w:name="_Toc398221643"/>
      <w:bookmarkStart w:id="14270" w:name="_Toc398222329"/>
      <w:bookmarkStart w:id="14271" w:name="_Toc398222641"/>
      <w:bookmarkStart w:id="14272" w:name="_Toc398223058"/>
      <w:bookmarkStart w:id="14273" w:name="_Toc398223437"/>
      <w:bookmarkStart w:id="14274" w:name="_Toc398223564"/>
      <w:bookmarkStart w:id="14275" w:name="_Toc398224372"/>
      <w:bookmarkStart w:id="14276" w:name="_Toc398225709"/>
      <w:bookmarkStart w:id="14277" w:name="_Toc398225834"/>
      <w:bookmarkStart w:id="14278" w:name="_Toc398281321"/>
      <w:bookmarkStart w:id="14279" w:name="_Toc398282180"/>
      <w:bookmarkStart w:id="14280" w:name="_Toc398284850"/>
      <w:bookmarkStart w:id="14281" w:name="_Toc398287319"/>
      <w:bookmarkStart w:id="14282" w:name="_Toc398289202"/>
      <w:bookmarkStart w:id="14283" w:name="_Toc398297199"/>
      <w:bookmarkStart w:id="14284" w:name="_Toc398298673"/>
      <w:bookmarkStart w:id="14285" w:name="_Toc398300374"/>
      <w:bookmarkStart w:id="14286" w:name="_Toc398301271"/>
      <w:bookmarkStart w:id="14287" w:name="_Toc398302456"/>
      <w:bookmarkStart w:id="14288" w:name="_Toc398302619"/>
      <w:bookmarkStart w:id="14289" w:name="_Toc398549133"/>
      <w:bookmarkStart w:id="14290" w:name="_Toc398549383"/>
      <w:bookmarkStart w:id="14291" w:name="_Toc398555802"/>
      <w:bookmarkStart w:id="14292" w:name="_Toc398559006"/>
      <w:bookmarkStart w:id="14293" w:name="_Toc398563492"/>
      <w:bookmarkStart w:id="14294" w:name="_Toc398563625"/>
      <w:bookmarkStart w:id="14295" w:name="_Toc398564024"/>
      <w:bookmarkStart w:id="14296" w:name="_Toc398827353"/>
      <w:bookmarkStart w:id="14297" w:name="_Toc398827547"/>
      <w:bookmarkStart w:id="14298" w:name="_Toc395880857"/>
      <w:bookmarkStart w:id="14299" w:name="s810"/>
      <w:bookmarkStart w:id="14300" w:name="_Toc395867607"/>
      <w:bookmarkStart w:id="14301" w:name="_Toc395868516"/>
      <w:bookmarkStart w:id="14302" w:name="_Toc395868739"/>
      <w:bookmarkStart w:id="14303" w:name="_Toc395879120"/>
      <w:bookmarkStart w:id="14304" w:name="_Toc395882022"/>
      <w:bookmarkStart w:id="14305" w:name="_Toc395882244"/>
      <w:bookmarkStart w:id="14306" w:name="_Toc395882353"/>
      <w:bookmarkStart w:id="14307" w:name="_Toc395882575"/>
      <w:bookmarkStart w:id="14308" w:name="_Toc395880739"/>
      <w:bookmarkStart w:id="14309" w:name="_Toc395880848"/>
      <w:bookmarkStart w:id="14310" w:name="_Toc395881070"/>
      <w:bookmarkStart w:id="14311" w:name="_Toc395881406"/>
      <w:bookmarkStart w:id="14312" w:name="_Toc395881628"/>
      <w:bookmarkStart w:id="14313" w:name="_Toc395884013"/>
      <w:bookmarkStart w:id="14314" w:name="_Toc395880746"/>
      <w:bookmarkStart w:id="14315" w:name="_Toc395884453"/>
      <w:bookmarkStart w:id="14316" w:name="_Toc395884675"/>
      <w:bookmarkStart w:id="14317" w:name="_Toc395883162"/>
      <w:bookmarkStart w:id="14318" w:name="_Toc395883384"/>
      <w:bookmarkStart w:id="14319" w:name="_Toc395883492"/>
      <w:bookmarkStart w:id="14320" w:name="_Toc395883714"/>
      <w:bookmarkStart w:id="14321" w:name="_Toc395884794"/>
      <w:bookmarkStart w:id="14322" w:name="_Toc396123823"/>
      <w:bookmarkStart w:id="14323" w:name="_Toc396130726"/>
      <w:bookmarkStart w:id="14324" w:name="_Toc396136304"/>
      <w:bookmarkStart w:id="14325" w:name="_Toc396138758"/>
      <w:bookmarkStart w:id="14326" w:name="_Toc396144019"/>
      <w:bookmarkStart w:id="14327" w:name="_Toc396145528"/>
      <w:bookmarkStart w:id="14328" w:name="_Toc396145672"/>
      <w:bookmarkStart w:id="14329" w:name="_Toc396145954"/>
      <w:bookmarkStart w:id="14330" w:name="_Toc396147494"/>
      <w:bookmarkStart w:id="14331" w:name="_Toc396147780"/>
      <w:bookmarkStart w:id="14332" w:name="_Toc396149036"/>
      <w:bookmarkStart w:id="14333" w:name="_Toc396148750"/>
      <w:bookmarkStart w:id="14334" w:name="_Toc396149531"/>
      <w:bookmarkStart w:id="14335" w:name="_Toc396149176"/>
      <w:bookmarkStart w:id="14336" w:name="_Toc396149462"/>
      <w:bookmarkStart w:id="14337" w:name="_Toc396149139"/>
      <w:bookmarkStart w:id="14338" w:name="_Toc396149884"/>
      <w:bookmarkStart w:id="14339" w:name="_Toc396149634"/>
      <w:bookmarkStart w:id="14340" w:name="_Toc396150475"/>
      <w:bookmarkStart w:id="14341" w:name="_Toc396151364"/>
      <w:bookmarkStart w:id="14342" w:name="_Toc396151658"/>
      <w:bookmarkStart w:id="14343" w:name="_Toc396201585"/>
      <w:bookmarkStart w:id="14344" w:name="_Toc396202375"/>
      <w:bookmarkStart w:id="14345" w:name="_Toc396202670"/>
      <w:bookmarkStart w:id="14346" w:name="_Toc396203287"/>
      <w:bookmarkStart w:id="14347" w:name="_Toc396206583"/>
      <w:bookmarkStart w:id="14348" w:name="_Toc396206877"/>
      <w:bookmarkStart w:id="14349" w:name="_Toc396209411"/>
      <w:bookmarkStart w:id="14350" w:name="_Toc396209705"/>
      <w:bookmarkStart w:id="14351" w:name="_Toc396211835"/>
      <w:bookmarkStart w:id="14352" w:name="_Toc396212129"/>
      <w:bookmarkStart w:id="14353" w:name="_Toc396213179"/>
      <w:bookmarkStart w:id="14354" w:name="_Toc396213471"/>
      <w:bookmarkStart w:id="14355" w:name="_Toc396214022"/>
      <w:bookmarkStart w:id="14356" w:name="_Toc396214457"/>
      <w:bookmarkStart w:id="14357" w:name="_Toc396214747"/>
      <w:bookmarkStart w:id="14358" w:name="_Toc396220307"/>
      <w:bookmarkStart w:id="14359" w:name="_Toc396226569"/>
      <w:bookmarkStart w:id="14360" w:name="_Toc396226858"/>
      <w:bookmarkStart w:id="14361" w:name="_Toc396229064"/>
      <w:bookmarkStart w:id="14362" w:name="_Toc396230411"/>
      <w:bookmarkStart w:id="14363" w:name="_Toc396231848"/>
      <w:bookmarkStart w:id="14364" w:name="_Toc396233191"/>
      <w:bookmarkStart w:id="14365" w:name="_Toc396233488"/>
      <w:bookmarkStart w:id="14366" w:name="_Toc396234011"/>
      <w:bookmarkStart w:id="14367" w:name="_Toc396234308"/>
      <w:bookmarkStart w:id="14368" w:name="_Toc396234421"/>
      <w:bookmarkStart w:id="14369" w:name="_Toc396236155"/>
      <w:bookmarkStart w:id="14370" w:name="_Toc396235933"/>
      <w:bookmarkStart w:id="14371" w:name="_Toc396236543"/>
      <w:bookmarkStart w:id="14372" w:name="_Toc396237062"/>
      <w:bookmarkStart w:id="14373" w:name="_Toc396397405"/>
      <w:bookmarkStart w:id="14374" w:name="_Toc396304586"/>
      <w:bookmarkStart w:id="14375" w:name="_Toc396586121"/>
      <w:bookmarkStart w:id="14376" w:name="_Toc396815142"/>
      <w:bookmarkStart w:id="14377" w:name="_Toc396821091"/>
      <w:bookmarkStart w:id="14378" w:name="_Toc396821699"/>
      <w:bookmarkStart w:id="14379" w:name="_Toc396827549"/>
      <w:bookmarkStart w:id="14380" w:name="_Toc396828520"/>
      <w:bookmarkStart w:id="14381" w:name="_Toc396828630"/>
      <w:bookmarkStart w:id="14382" w:name="_Toc396838019"/>
      <w:bookmarkStart w:id="14383" w:name="_Toc396838417"/>
      <w:bookmarkStart w:id="14384" w:name="_Toc396904740"/>
      <w:bookmarkStart w:id="14385" w:name="_Toc396907574"/>
      <w:bookmarkStart w:id="14386" w:name="_Toc396912493"/>
      <w:bookmarkStart w:id="14387" w:name="_Toc396914473"/>
      <w:bookmarkStart w:id="14388" w:name="_Toc396915357"/>
      <w:bookmarkStart w:id="14389" w:name="_Toc396915751"/>
      <w:bookmarkStart w:id="14390" w:name="_Toc396921062"/>
      <w:bookmarkStart w:id="14391" w:name="_Toc396924402"/>
      <w:bookmarkStart w:id="14392" w:name="_Toc396925096"/>
      <w:bookmarkStart w:id="14393" w:name="_Toc396992216"/>
      <w:bookmarkStart w:id="14394" w:name="_Toc396992795"/>
      <w:bookmarkStart w:id="14395" w:name="_Toc396994459"/>
      <w:bookmarkStart w:id="14396" w:name="_Toc397002230"/>
      <w:bookmarkStart w:id="14397" w:name="_Toc397003149"/>
      <w:bookmarkStart w:id="14398" w:name="_Toc397008707"/>
      <w:bookmarkStart w:id="14399" w:name="_Toc397008925"/>
      <w:bookmarkStart w:id="14400" w:name="_Toc397011597"/>
      <w:bookmarkStart w:id="14401" w:name="_Toc397012659"/>
      <w:bookmarkStart w:id="14402" w:name="_Toc397015001"/>
      <w:bookmarkStart w:id="14403" w:name="_Toc397015488"/>
      <w:bookmarkStart w:id="14404" w:name="_Toc397070558"/>
      <w:bookmarkStart w:id="14405" w:name="_Toc397413299"/>
      <w:bookmarkStart w:id="14406" w:name="_Toc397413446"/>
      <w:bookmarkStart w:id="14407" w:name="_Toc397428029"/>
      <w:bookmarkStart w:id="14408" w:name="_Toc397439417"/>
      <w:bookmarkStart w:id="14409" w:name="_Toc397439587"/>
      <w:bookmarkStart w:id="14410" w:name="_Toc397439843"/>
      <w:bookmarkStart w:id="14411" w:name="_Toc397440145"/>
      <w:bookmarkStart w:id="14412" w:name="_Toc397441774"/>
      <w:bookmarkStart w:id="14413" w:name="_Toc397517476"/>
      <w:bookmarkStart w:id="14414" w:name="_Toc397522741"/>
      <w:bookmarkStart w:id="14415" w:name="_Toc397526159"/>
      <w:bookmarkStart w:id="14416" w:name="_Toc397528474"/>
      <w:bookmarkStart w:id="14417" w:name="_Toc397528949"/>
      <w:bookmarkStart w:id="14418" w:name="_Toc397601946"/>
      <w:bookmarkStart w:id="14419" w:name="_Toc397602681"/>
      <w:bookmarkStart w:id="14420" w:name="_Toc397605810"/>
      <w:bookmarkStart w:id="14421" w:name="_Toc397614511"/>
      <w:bookmarkStart w:id="14422" w:name="_Toc397614954"/>
      <w:bookmarkStart w:id="14423" w:name="_Toc397616397"/>
      <w:bookmarkStart w:id="14424" w:name="_Toc397616791"/>
      <w:bookmarkStart w:id="14425" w:name="_Toc397679201"/>
      <w:bookmarkStart w:id="14426" w:name="_Toc397688089"/>
      <w:bookmarkStart w:id="14427" w:name="_Toc397689305"/>
      <w:bookmarkStart w:id="14428" w:name="_Toc397694585"/>
      <w:bookmarkStart w:id="14429" w:name="_Toc397696426"/>
      <w:bookmarkStart w:id="14430" w:name="_Toc397697160"/>
      <w:bookmarkStart w:id="14431" w:name="_Toc397698447"/>
      <w:bookmarkStart w:id="14432" w:name="_Toc397699813"/>
      <w:bookmarkStart w:id="14433" w:name="_Toc397700267"/>
      <w:bookmarkStart w:id="14434" w:name="_Toc397936659"/>
      <w:bookmarkStart w:id="14435" w:name="_Toc397936779"/>
      <w:bookmarkStart w:id="14436" w:name="_Toc397945935"/>
      <w:bookmarkStart w:id="14437" w:name="_Toc397946961"/>
      <w:bookmarkStart w:id="14438" w:name="_Toc397948080"/>
      <w:bookmarkStart w:id="14439" w:name="_Toc397958486"/>
      <w:bookmarkStart w:id="14440" w:name="_Toc397958728"/>
      <w:bookmarkStart w:id="14441" w:name="_Toc397959143"/>
      <w:bookmarkStart w:id="14442" w:name="_Toc397962996"/>
      <w:bookmarkStart w:id="14443" w:name="_Toc397963362"/>
      <w:bookmarkStart w:id="14444" w:name="_Toc397965439"/>
      <w:bookmarkStart w:id="14445" w:name="_Toc398197377"/>
      <w:bookmarkStart w:id="14446" w:name="_Toc398199880"/>
      <w:bookmarkStart w:id="14447" w:name="_Toc398201594"/>
      <w:bookmarkStart w:id="14448" w:name="_Toc398207199"/>
      <w:bookmarkStart w:id="14449" w:name="_Toc398210472"/>
      <w:bookmarkStart w:id="14450" w:name="_Toc398210986"/>
      <w:bookmarkStart w:id="14451" w:name="_Toc398219794"/>
      <w:bookmarkStart w:id="14452" w:name="_Toc398220169"/>
      <w:bookmarkStart w:id="14453" w:name="_Toc398220556"/>
      <w:bookmarkStart w:id="14454" w:name="_Toc398221634"/>
      <w:bookmarkStart w:id="14455" w:name="_Toc398222320"/>
      <w:bookmarkStart w:id="14456" w:name="_Toc398222632"/>
      <w:bookmarkStart w:id="14457" w:name="_Toc398223049"/>
      <w:bookmarkStart w:id="14458" w:name="_Toc398223428"/>
      <w:bookmarkStart w:id="14459" w:name="_Toc398223555"/>
      <w:bookmarkStart w:id="14460" w:name="_Toc398224363"/>
      <w:bookmarkStart w:id="14461" w:name="_Toc398225700"/>
      <w:bookmarkStart w:id="14462" w:name="_Toc398225825"/>
      <w:bookmarkStart w:id="14463" w:name="_Toc398281312"/>
      <w:bookmarkStart w:id="14464" w:name="_Toc398282171"/>
      <w:bookmarkStart w:id="14465" w:name="_Toc398284841"/>
      <w:bookmarkStart w:id="14466" w:name="_Toc398287310"/>
      <w:bookmarkStart w:id="14467" w:name="_Toc398289193"/>
      <w:bookmarkStart w:id="14468" w:name="_Toc398297190"/>
      <w:bookmarkStart w:id="14469" w:name="_Toc398298664"/>
      <w:bookmarkStart w:id="14470" w:name="_Toc398300365"/>
      <w:bookmarkStart w:id="14471" w:name="_Toc398301262"/>
      <w:bookmarkStart w:id="14472" w:name="_Toc398302447"/>
      <w:bookmarkStart w:id="14473" w:name="_Toc398302610"/>
      <w:bookmarkStart w:id="14474" w:name="_Toc398549124"/>
      <w:bookmarkStart w:id="14475" w:name="_Toc398549374"/>
      <w:bookmarkStart w:id="14476" w:name="_Toc398555793"/>
      <w:bookmarkStart w:id="14477" w:name="_Toc398558997"/>
      <w:bookmarkStart w:id="14478" w:name="_Toc398563483"/>
      <w:bookmarkStart w:id="14479" w:name="_Toc398563616"/>
      <w:bookmarkStart w:id="14480" w:name="_Toc398564015"/>
      <w:bookmarkStart w:id="14481" w:name="_Toc395863023"/>
      <w:bookmarkStart w:id="14482" w:name="_Toc393985118"/>
      <w:bookmarkStart w:id="14483" w:name="_Toc393985329"/>
      <w:bookmarkStart w:id="14484" w:name="_Toc393985621"/>
      <w:bookmarkStart w:id="14485" w:name="_Toc393985833"/>
      <w:bookmarkStart w:id="14486" w:name="_Toc393986023"/>
      <w:bookmarkStart w:id="14487" w:name="_Toc393986235"/>
      <w:bookmarkStart w:id="14488" w:name="_Toc393986426"/>
      <w:bookmarkStart w:id="14489" w:name="_Toc393988033"/>
      <w:bookmarkStart w:id="14490" w:name="_Toc393988245"/>
      <w:bookmarkStart w:id="14491" w:name="_Toc393988435"/>
      <w:bookmarkStart w:id="14492" w:name="_Toc393988647"/>
      <w:bookmarkStart w:id="14493" w:name="_Toc393986639"/>
      <w:bookmarkStart w:id="14494" w:name="_Toc393989447"/>
      <w:bookmarkStart w:id="14495" w:name="_Toc393989659"/>
      <w:bookmarkStart w:id="14496" w:name="_Toc393988835"/>
      <w:bookmarkStart w:id="14497" w:name="_Toc393989047"/>
      <w:bookmarkStart w:id="14498" w:name="_Toc393990839"/>
      <w:bookmarkStart w:id="14499" w:name="_Toc393991051"/>
      <w:bookmarkStart w:id="14500" w:name="_Toc393991150"/>
      <w:bookmarkStart w:id="14501" w:name="_Toc393991821"/>
      <w:bookmarkStart w:id="14502" w:name="_Toc393992035"/>
      <w:bookmarkStart w:id="14503" w:name="_Toc394047484"/>
      <w:bookmarkStart w:id="14504" w:name="_Toc394047699"/>
      <w:bookmarkStart w:id="14505" w:name="_Toc394047810"/>
      <w:bookmarkStart w:id="14506" w:name="_Toc394048366"/>
      <w:bookmarkStart w:id="14507" w:name="_Toc394049760"/>
      <w:bookmarkStart w:id="14508" w:name="_Toc394049978"/>
      <w:bookmarkStart w:id="14509" w:name="_Toc394051160"/>
      <w:bookmarkStart w:id="14510" w:name="_Toc394051378"/>
      <w:bookmarkStart w:id="14511" w:name="_Toc394062149"/>
      <w:bookmarkStart w:id="14512" w:name="_Toc394062525"/>
      <w:bookmarkStart w:id="14513" w:name="_Toc394069024"/>
      <w:bookmarkStart w:id="14514" w:name="_Toc394069240"/>
      <w:bookmarkStart w:id="14515" w:name="_Toc394070942"/>
      <w:bookmarkStart w:id="14516" w:name="_Toc394071158"/>
      <w:bookmarkStart w:id="14517" w:name="_Toc394312345"/>
      <w:bookmarkStart w:id="14518" w:name="_Toc394330431"/>
      <w:bookmarkStart w:id="14519" w:name="_Toc394330635"/>
      <w:bookmarkStart w:id="14520" w:name="_Toc394331362"/>
      <w:bookmarkStart w:id="14521" w:name="_Toc394330255"/>
      <w:bookmarkStart w:id="14522" w:name="_Toc394333229"/>
      <w:bookmarkStart w:id="14523" w:name="_Toc394333438"/>
      <w:bookmarkStart w:id="14524" w:name="_Toc394332807"/>
      <w:bookmarkStart w:id="14525" w:name="_Toc394333642"/>
      <w:bookmarkStart w:id="14526" w:name="_Toc394333851"/>
      <w:bookmarkStart w:id="14527" w:name="_Toc394334055"/>
      <w:bookmarkStart w:id="14528" w:name="_Toc394334264"/>
      <w:bookmarkStart w:id="14529" w:name="_Toc394334881"/>
      <w:bookmarkStart w:id="14530" w:name="_Toc394335090"/>
      <w:bookmarkStart w:id="14531" w:name="_Toc394415064"/>
      <w:bookmarkStart w:id="14532" w:name="_Toc394415294"/>
      <w:bookmarkStart w:id="14533" w:name="_Toc394412369"/>
      <w:bookmarkStart w:id="14534" w:name="_Toc394412603"/>
      <w:bookmarkStart w:id="14535" w:name="_Toc394420659"/>
      <w:bookmarkStart w:id="14536" w:name="_Toc394420896"/>
      <w:bookmarkStart w:id="14537" w:name="_Toc394421133"/>
      <w:bookmarkStart w:id="14538" w:name="_Toc394423503"/>
      <w:bookmarkStart w:id="14539" w:name="_Toc394423737"/>
      <w:bookmarkStart w:id="14540" w:name="_Toc394420437"/>
      <w:bookmarkStart w:id="14541" w:name="_Toc394422547"/>
      <w:bookmarkStart w:id="14542" w:name="_Toc394422781"/>
      <w:bookmarkStart w:id="14543" w:name="_Toc394423018"/>
      <w:bookmarkStart w:id="14544" w:name="_Toc394423252"/>
      <w:bookmarkStart w:id="14545" w:name="_Toc394424168"/>
      <w:bookmarkStart w:id="14546" w:name="_Toc394424400"/>
      <w:bookmarkStart w:id="14547" w:name="_Toc394492002"/>
      <w:bookmarkStart w:id="14548" w:name="_Toc394492232"/>
      <w:bookmarkStart w:id="14549" w:name="_Toc394495147"/>
      <w:bookmarkStart w:id="14550" w:name="_Toc394495376"/>
      <w:bookmarkStart w:id="14551" w:name="_Toc394497962"/>
      <w:bookmarkStart w:id="14552" w:name="_Toc394498191"/>
      <w:bookmarkStart w:id="14553" w:name="_Toc394500754"/>
      <w:bookmarkStart w:id="14554" w:name="_Toc394500981"/>
      <w:bookmarkStart w:id="14555" w:name="_Toc394502158"/>
      <w:bookmarkStart w:id="14556" w:name="_Toc394502378"/>
      <w:bookmarkStart w:id="14557" w:name="_Toc394503060"/>
      <w:bookmarkStart w:id="14558" w:name="_Toc394503737"/>
      <w:bookmarkStart w:id="14559" w:name="_Toc394502604"/>
      <w:bookmarkStart w:id="14560" w:name="_Toc394502826"/>
      <w:bookmarkStart w:id="14561" w:name="_Toc394505811"/>
      <w:bookmarkStart w:id="14562" w:name="_Toc394506155"/>
      <w:bookmarkStart w:id="14563" w:name="_Toc394506270"/>
      <w:bookmarkStart w:id="14564" w:name="_Toc394506493"/>
      <w:bookmarkStart w:id="14565" w:name="_Toc394506824"/>
      <w:bookmarkStart w:id="14566" w:name="_Toc394507047"/>
      <w:bookmarkStart w:id="14567" w:name="_Toc394560901"/>
      <w:bookmarkStart w:id="14568" w:name="_Toc394561124"/>
      <w:bookmarkStart w:id="14569" w:name="_Toc394561362"/>
      <w:bookmarkStart w:id="14570" w:name="_Toc394561958"/>
      <w:bookmarkStart w:id="14571" w:name="_Toc394582962"/>
      <w:bookmarkStart w:id="14572" w:name="_Toc394585633"/>
      <w:bookmarkStart w:id="14573" w:name="_Toc394586099"/>
      <w:bookmarkStart w:id="14574" w:name="_Toc394588031"/>
      <w:bookmarkStart w:id="14575" w:name="_Toc394588866"/>
      <w:bookmarkStart w:id="14576" w:name="_Toc394588991"/>
      <w:bookmarkStart w:id="14577" w:name="_Toc394590407"/>
      <w:bookmarkStart w:id="14578" w:name="_Toc394590600"/>
      <w:bookmarkStart w:id="14579" w:name="_Toc394654502"/>
      <w:bookmarkStart w:id="14580" w:name="_Toc394654660"/>
      <w:bookmarkStart w:id="14581" w:name="_Toc394656202"/>
      <w:bookmarkStart w:id="14582" w:name="_Toc394656359"/>
      <w:bookmarkStart w:id="14583" w:name="_Toc394659339"/>
      <w:bookmarkStart w:id="14584" w:name="_Toc394659497"/>
      <w:bookmarkStart w:id="14585" w:name="_Toc394663351"/>
      <w:bookmarkStart w:id="14586" w:name="_Toc394663507"/>
      <w:bookmarkStart w:id="14587" w:name="_Toc394667146"/>
      <w:bookmarkStart w:id="14588" w:name="_Toc394667302"/>
      <w:bookmarkStart w:id="14589" w:name="_Toc394671625"/>
      <w:bookmarkStart w:id="14590" w:name="_Toc394671785"/>
      <w:bookmarkStart w:id="14591" w:name="_Toc394674627"/>
      <w:bookmarkStart w:id="14592" w:name="_Toc394674790"/>
      <w:bookmarkStart w:id="14593" w:name="_Toc394674904"/>
      <w:bookmarkStart w:id="14594" w:name="_Toc394675070"/>
      <w:bookmarkStart w:id="14595" w:name="_Toc394676015"/>
      <w:bookmarkStart w:id="14596" w:name="_Toc394676177"/>
      <w:bookmarkStart w:id="14597" w:name="_Toc394675703"/>
      <w:bookmarkStart w:id="14598" w:name="_Toc394675866"/>
      <w:bookmarkStart w:id="14599" w:name="_Toc394918266"/>
      <w:bookmarkStart w:id="14600" w:name="_Toc394918780"/>
      <w:bookmarkStart w:id="14601" w:name="_Toc394930752"/>
      <w:bookmarkStart w:id="14602" w:name="_Toc394933665"/>
      <w:bookmarkStart w:id="14603" w:name="_Toc394938111"/>
      <w:bookmarkStart w:id="14604" w:name="_Toc394938329"/>
      <w:bookmarkStart w:id="14605" w:name="_Toc394938613"/>
      <w:bookmarkStart w:id="14606" w:name="_Toc394937609"/>
      <w:bookmarkStart w:id="14607" w:name="_Toc394937895"/>
      <w:bookmarkStart w:id="14608" w:name="_Toc394941023"/>
      <w:bookmarkStart w:id="14609" w:name="_Toc394941240"/>
      <w:bookmarkStart w:id="14610" w:name="_Toc394941524"/>
      <w:bookmarkStart w:id="14611" w:name="_Toc394941639"/>
      <w:bookmarkStart w:id="14612" w:name="_Toc394941856"/>
      <w:bookmarkStart w:id="14613" w:name="_Toc394942140"/>
      <w:bookmarkStart w:id="14614" w:name="_Toc394939860"/>
      <w:bookmarkStart w:id="14615" w:name="_Toc394940078"/>
      <w:bookmarkStart w:id="14616" w:name="_Toc394940362"/>
      <w:bookmarkStart w:id="14617" w:name="_Toc394939472"/>
      <w:bookmarkStart w:id="14618" w:name="_Toc394939688"/>
      <w:bookmarkStart w:id="14619" w:name="_Toc394940576"/>
      <w:bookmarkStart w:id="14620" w:name="_Toc394993585"/>
      <w:bookmarkStart w:id="14621" w:name="_Toc394995466"/>
      <w:bookmarkStart w:id="14622" w:name="_Toc394995780"/>
      <w:bookmarkStart w:id="14623" w:name="_Toc394996058"/>
      <w:bookmarkStart w:id="14624" w:name="_Toc394997784"/>
      <w:bookmarkStart w:id="14625" w:name="_Toc394998025"/>
      <w:bookmarkStart w:id="14626" w:name="_Toc394998299"/>
      <w:bookmarkStart w:id="14627" w:name="_Toc394998539"/>
      <w:bookmarkStart w:id="14628" w:name="_Toc395001794"/>
      <w:bookmarkStart w:id="14629" w:name="_Toc395002038"/>
      <w:bookmarkStart w:id="14630" w:name="_Toc395001518"/>
      <w:bookmarkStart w:id="14631" w:name="_Toc395003392"/>
      <w:bookmarkStart w:id="14632" w:name="_Toc395005172"/>
      <w:bookmarkStart w:id="14633" w:name="_Toc395005388"/>
      <w:bookmarkStart w:id="14634" w:name="_Toc395005633"/>
      <w:bookmarkStart w:id="14635" w:name="_Toc395008965"/>
      <w:bookmarkStart w:id="14636" w:name="_Toc395009627"/>
      <w:bookmarkStart w:id="14637" w:name="_Toc395011751"/>
      <w:bookmarkStart w:id="14638" w:name="_Toc395010151"/>
      <w:bookmarkStart w:id="14639" w:name="_Toc395010366"/>
      <w:bookmarkStart w:id="14640" w:name="_Toc395009993"/>
      <w:bookmarkStart w:id="14641" w:name="_Toc395011519"/>
      <w:bookmarkStart w:id="14642" w:name="_Toc395012337"/>
      <w:bookmarkStart w:id="14643" w:name="_Toc395012550"/>
      <w:bookmarkStart w:id="14644" w:name="_Toc395012927"/>
      <w:bookmarkStart w:id="14645" w:name="_Toc395010742"/>
      <w:bookmarkStart w:id="14646" w:name="_Toc395010955"/>
      <w:bookmarkStart w:id="14647" w:name="_Toc395012215"/>
      <w:bookmarkStart w:id="14648" w:name="_Toc395012899"/>
      <w:bookmarkStart w:id="14649" w:name="_Toc395012015"/>
      <w:bookmarkStart w:id="14650" w:name="_Toc395014354"/>
      <w:bookmarkStart w:id="14651" w:name="_Toc395014616"/>
      <w:bookmarkStart w:id="14652" w:name="_Toc395013207"/>
      <w:bookmarkStart w:id="14653" w:name="_Toc395084706"/>
      <w:bookmarkStart w:id="14654" w:name="_Toc395085007"/>
      <w:bookmarkStart w:id="14655" w:name="_Toc395090244"/>
      <w:bookmarkStart w:id="14656" w:name="_Toc395090470"/>
      <w:bookmarkStart w:id="14657" w:name="_Toc395090723"/>
      <w:bookmarkStart w:id="14658" w:name="_Toc395092612"/>
      <w:bookmarkStart w:id="14659" w:name="_Toc395092824"/>
      <w:bookmarkStart w:id="14660" w:name="_Toc395093054"/>
      <w:bookmarkStart w:id="14661" w:name="_Toc395093306"/>
      <w:bookmarkStart w:id="14662" w:name="_Toc395097735"/>
      <w:bookmarkStart w:id="14663" w:name="_Toc395097966"/>
      <w:bookmarkStart w:id="14664" w:name="_Toc395098216"/>
      <w:bookmarkStart w:id="14665" w:name="_Toc395105401"/>
      <w:bookmarkStart w:id="14666" w:name="_Toc395106151"/>
      <w:bookmarkStart w:id="14667" w:name="_Toc395107004"/>
      <w:bookmarkStart w:id="14668" w:name="_Toc395109876"/>
      <w:bookmarkStart w:id="14669" w:name="_Toc395109662"/>
      <w:bookmarkStart w:id="14670" w:name="_Toc395111879"/>
      <w:bookmarkStart w:id="14671" w:name="_Toc395112121"/>
      <w:bookmarkStart w:id="14672" w:name="_Toc395112367"/>
      <w:bookmarkStart w:id="14673" w:name="_Toc395106799"/>
      <w:bookmarkStart w:id="14674" w:name="_Toc395107261"/>
      <w:bookmarkStart w:id="14675" w:name="_Toc395107512"/>
      <w:bookmarkStart w:id="14676" w:name="_Toc395109467"/>
      <w:bookmarkStart w:id="14677" w:name="_Toc395108559"/>
      <w:bookmarkStart w:id="14678" w:name="_Toc395108824"/>
      <w:bookmarkStart w:id="14679" w:name="_Toc395113799"/>
      <w:bookmarkStart w:id="14680" w:name="_Toc395114064"/>
      <w:bookmarkStart w:id="14681" w:name="_Toc395114319"/>
      <w:bookmarkStart w:id="14682" w:name="_Toc395116535"/>
      <w:bookmarkStart w:id="14683" w:name="_Toc395116801"/>
      <w:bookmarkStart w:id="14684" w:name="_Toc395117057"/>
      <w:bookmarkStart w:id="14685" w:name="_Toc395112472"/>
      <w:bookmarkStart w:id="14686" w:name="_Toc395112738"/>
      <w:bookmarkStart w:id="14687" w:name="_Toc395113175"/>
      <w:bookmarkStart w:id="14688" w:name="_Toc395115011"/>
      <w:bookmarkStart w:id="14689" w:name="_Toc395115278"/>
      <w:bookmarkStart w:id="14690" w:name="_Toc395115534"/>
      <w:bookmarkStart w:id="14691" w:name="_Toc395118166"/>
      <w:bookmarkStart w:id="14692" w:name="_Toc395118430"/>
      <w:bookmarkStart w:id="14693" w:name="_Toc395118684"/>
      <w:bookmarkStart w:id="14694" w:name="_Toc395178376"/>
      <w:bookmarkStart w:id="14695" w:name="_Toc395178708"/>
      <w:bookmarkStart w:id="14696" w:name="_Toc395624625"/>
      <w:bookmarkStart w:id="14697" w:name="_Toc395624865"/>
      <w:bookmarkStart w:id="14698" w:name="_Toc395789719"/>
      <w:bookmarkStart w:id="14699" w:name="_Toc395789976"/>
      <w:bookmarkStart w:id="14700" w:name="_Toc395800734"/>
      <w:bookmarkStart w:id="14701" w:name="_Toc395802848"/>
      <w:bookmarkStart w:id="14702" w:name="s81"/>
      <w:r w:rsidRPr="008625DC">
        <w:rPr>
          <w:lang w:val="en-AU"/>
        </w:rPr>
        <w:t>Intellectual property</w:t>
      </w:r>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p>
    <w:bookmarkEnd w:id="14298"/>
    <w:bookmarkEnd w:id="14299"/>
    <w:p w14:paraId="0C9F1446" w14:textId="64A35A55" w:rsidR="001126AD" w:rsidRPr="008625DC" w:rsidRDefault="001126AD" w:rsidP="001126AD">
      <w:r w:rsidRPr="008625DC">
        <w:t xml:space="preserve">As discussed in </w:t>
      </w:r>
      <w:hyperlink w:anchor="Pt1" w:history="1">
        <w:r w:rsidRPr="008625DC">
          <w:rPr>
            <w:rStyle w:val="Hyperlink"/>
          </w:rPr>
          <w:t>Part 1</w:t>
        </w:r>
      </w:hyperlink>
      <w:r w:rsidRPr="008625DC">
        <w:t>, disruptive technologies are changing, and will continue to change, Australia</w:t>
      </w:r>
      <w:r w:rsidR="00C74E19" w:rsidRPr="008625DC">
        <w:t>’</w:t>
      </w:r>
      <w:r w:rsidRPr="008625DC">
        <w:t xml:space="preserve">s competitive landscape. Technology is expanding the geographic boundaries of markets, digital delivery of content is becoming more common and there is increasing integration of connected technologies as global communication networks mature. </w:t>
      </w:r>
    </w:p>
    <w:p w14:paraId="4DD9731B" w14:textId="77777777" w:rsidR="001126AD" w:rsidRPr="008625DC" w:rsidRDefault="001126AD" w:rsidP="005628E5">
      <w:r w:rsidRPr="008625DC">
        <w:t>Disruptive technologies have also put intellectual property (IP) rights in the spotlight. While IP rights can create incentives for innovation and the dissemination of ideas, they also have the potential to restrict market entry by preventing access to technologies.</w:t>
      </w:r>
    </w:p>
    <w:p w14:paraId="2A21BD0F" w14:textId="6CB633D7" w:rsidR="001126AD" w:rsidRPr="008625DC" w:rsidRDefault="001126AD" w:rsidP="001126AD">
      <w:pPr>
        <w:spacing w:after="120"/>
      </w:pPr>
      <w:r w:rsidRPr="008625DC">
        <w:t>In light of technological changes and more general changes to the regulatory environment in which investment in creative effort takes place, it is appropriate to re</w:t>
      </w:r>
      <w:r w:rsidR="00C74E19" w:rsidRPr="008625DC">
        <w:noBreakHyphen/>
      </w:r>
      <w:r w:rsidRPr="008625DC">
        <w:t>examine Australia</w:t>
      </w:r>
      <w:r w:rsidR="00C74E19" w:rsidRPr="008625DC">
        <w:t>’</w:t>
      </w:r>
      <w:r w:rsidRPr="008625DC">
        <w:t xml:space="preserve">s IP arrangements. As the Chairman of the PC, Peter Harris, recently argued: </w:t>
      </w:r>
    </w:p>
    <w:p w14:paraId="6B5EB1A7" w14:textId="6FE1BF65" w:rsidR="001126AD" w:rsidRPr="008625DC" w:rsidRDefault="005628E5" w:rsidP="001126AD">
      <w:pPr>
        <w:pStyle w:val="Quotes"/>
      </w:pPr>
      <w:r w:rsidRPr="008625DC">
        <w:t>[</w:t>
      </w:r>
      <w:r w:rsidR="00160D90">
        <w:t>T</w:t>
      </w:r>
      <w:r w:rsidRPr="008625DC">
        <w:t>]</w:t>
      </w:r>
      <w:r w:rsidR="001126AD" w:rsidRPr="008625DC">
        <w:t>he nature of internet</w:t>
      </w:r>
      <w:r w:rsidR="00C74E19" w:rsidRPr="008625DC">
        <w:noBreakHyphen/>
      </w:r>
      <w:r w:rsidR="001126AD" w:rsidRPr="008625DC">
        <w:t>driven change and related global dependence on software</w:t>
      </w:r>
      <w:r w:rsidR="00C74E19" w:rsidRPr="008625DC">
        <w:noBreakHyphen/>
      </w:r>
      <w:r w:rsidR="001126AD" w:rsidRPr="008625DC">
        <w:t>based systems suggests each nation should consider closely how well it is served by current IP systems, as these trends take hold.</w:t>
      </w:r>
      <w:r w:rsidR="001126AD" w:rsidRPr="008625DC">
        <w:rPr>
          <w:rStyle w:val="FootnoteReference"/>
        </w:rPr>
        <w:footnoteReference w:id="29"/>
      </w:r>
    </w:p>
    <w:p w14:paraId="2AD23F44" w14:textId="77777777" w:rsidR="001126AD" w:rsidRPr="008625DC" w:rsidRDefault="001126AD" w:rsidP="001126AD">
      <w:r w:rsidRPr="008625DC">
        <w:t xml:space="preserve">IP rights are a form of intangible property right granted to a creator for something new or original. Like other legal property rights, IP rights exclude others from freely using IP (but the exclusive rights can be traded or licensed to others). </w:t>
      </w:r>
    </w:p>
    <w:p w14:paraId="5ED1E73F" w14:textId="77777777" w:rsidR="001126AD" w:rsidRPr="008625DC" w:rsidRDefault="001126AD" w:rsidP="001126AD">
      <w:pPr>
        <w:spacing w:after="120"/>
      </w:pPr>
      <w:r w:rsidRPr="008625DC">
        <w:t xml:space="preserve">IP rights exist in many forms including: </w:t>
      </w:r>
    </w:p>
    <w:p w14:paraId="35A14A08" w14:textId="77777777" w:rsidR="001126AD" w:rsidRPr="008625DC" w:rsidRDefault="001126AD" w:rsidP="001126AD">
      <w:pPr>
        <w:pStyle w:val="Bullet"/>
        <w:tabs>
          <w:tab w:val="clear" w:pos="566"/>
          <w:tab w:val="num" w:pos="-2836"/>
        </w:tabs>
        <w:spacing w:before="0" w:line="280" w:lineRule="exact"/>
        <w:jc w:val="both"/>
      </w:pPr>
      <w:r w:rsidRPr="008625DC">
        <w:t>patents (inventions and new processes);</w:t>
      </w:r>
    </w:p>
    <w:p w14:paraId="07A1EF33" w14:textId="77777777" w:rsidR="001126AD" w:rsidRPr="008625DC" w:rsidRDefault="001126AD" w:rsidP="005628E5">
      <w:pPr>
        <w:pStyle w:val="Bullet"/>
      </w:pPr>
      <w:r w:rsidRPr="008625DC">
        <w:t>copyright (over literary, musical and artistic works) and registered designs (designs applied to articles such as clothing);</w:t>
      </w:r>
    </w:p>
    <w:p w14:paraId="6A622648" w14:textId="77777777" w:rsidR="001126AD" w:rsidRPr="008625DC" w:rsidRDefault="001126AD" w:rsidP="005628E5">
      <w:pPr>
        <w:pStyle w:val="Bullet"/>
        <w:keepNext/>
        <w:ind w:left="567" w:hanging="567"/>
      </w:pPr>
      <w:r w:rsidRPr="008625DC">
        <w:lastRenderedPageBreak/>
        <w:t>trademarks (which distinguish the origin of products); and</w:t>
      </w:r>
    </w:p>
    <w:p w14:paraId="52637F2F" w14:textId="77777777" w:rsidR="001126AD" w:rsidRPr="008625DC" w:rsidRDefault="001126AD" w:rsidP="005628E5">
      <w:pPr>
        <w:pStyle w:val="Bullet"/>
        <w:spacing w:after="240"/>
      </w:pPr>
      <w:proofErr w:type="gramStart"/>
      <w:r w:rsidRPr="008625DC">
        <w:t>plant</w:t>
      </w:r>
      <w:proofErr w:type="gramEnd"/>
      <w:r w:rsidRPr="008625DC">
        <w:t xml:space="preserve"> breeder rights.</w:t>
      </w:r>
      <w:r w:rsidRPr="008625DC">
        <w:rPr>
          <w:rStyle w:val="FootnoteReference"/>
        </w:rPr>
        <w:footnoteReference w:id="30"/>
      </w:r>
      <w:r w:rsidRPr="008625DC">
        <w:t xml:space="preserve"> </w:t>
      </w:r>
    </w:p>
    <w:p w14:paraId="4E12FE8C" w14:textId="77777777" w:rsidR="001126AD" w:rsidRPr="008625DC" w:rsidRDefault="001126AD" w:rsidP="001126AD">
      <w:r w:rsidRPr="008625DC">
        <w:t xml:space="preserve">There is no single IP Act; rather IP rights are secured by separate, specific statutory regimes. For example, there is the </w:t>
      </w:r>
      <w:r w:rsidRPr="008625DC">
        <w:rPr>
          <w:i/>
        </w:rPr>
        <w:t>Patents Act 1990</w:t>
      </w:r>
      <w:r w:rsidRPr="008625DC">
        <w:t xml:space="preserve"> for inventions, and the </w:t>
      </w:r>
      <w:r w:rsidRPr="008625DC">
        <w:rPr>
          <w:i/>
        </w:rPr>
        <w:t>Copyright Act 1968</w:t>
      </w:r>
      <w:r w:rsidRPr="008625DC">
        <w:t xml:space="preserve"> for literary and artistic creations.</w:t>
      </w:r>
      <w:r w:rsidRPr="008625DC">
        <w:rPr>
          <w:rStyle w:val="FootnoteReference"/>
        </w:rPr>
        <w:footnoteReference w:id="31"/>
      </w:r>
    </w:p>
    <w:p w14:paraId="49BC1DD8" w14:textId="77777777" w:rsidR="001126AD" w:rsidRPr="008625DC" w:rsidRDefault="001126AD" w:rsidP="001126AD">
      <w:r w:rsidRPr="008625DC">
        <w:t>The underlying rationale for IP rights is the promotion of new ideas and creations. Competitive markets can fail to support an efficient level of innovation because creations and ideas, once known, can be copied at little cost.</w:t>
      </w:r>
    </w:p>
    <w:p w14:paraId="50D1D144" w14:textId="01795204" w:rsidR="001126AD" w:rsidRPr="008625DC" w:rsidRDefault="001126AD" w:rsidP="001126AD">
      <w:r w:rsidRPr="008625DC">
        <w:t xml:space="preserve">Knowledge has </w:t>
      </w:r>
      <w:r w:rsidR="00C74E19" w:rsidRPr="008625DC">
        <w:t>‘</w:t>
      </w:r>
      <w:r w:rsidRPr="008625DC">
        <w:t>public good</w:t>
      </w:r>
      <w:r w:rsidR="00C74E19" w:rsidRPr="008625DC">
        <w:t>’</w:t>
      </w:r>
      <w:r w:rsidRPr="008625DC">
        <w:t xml:space="preserve"> characteristics — that is, it is difficult to exclude others from using new ideas and use by one person has little or no effect on the extent to which it is available to others. Thomas Jefferson said knowledge is like a candle: when one candle lights another it does not diminish the light of the first candle.</w:t>
      </w:r>
      <w:r w:rsidRPr="008625DC">
        <w:rPr>
          <w:rStyle w:val="FootnoteReference"/>
        </w:rPr>
        <w:footnoteReference w:id="32"/>
      </w:r>
    </w:p>
    <w:p w14:paraId="1C5609D4" w14:textId="350C4237" w:rsidR="001126AD" w:rsidRPr="008625DC" w:rsidRDefault="001126AD" w:rsidP="001126AD">
      <w:r w:rsidRPr="008625DC">
        <w:t>That is, it is more efficient to disseminate knowledge freely than to restrict its use by charging for it. But the public good characteristics of knowledge typically lead to under</w:t>
      </w:r>
      <w:r w:rsidR="00C74E19" w:rsidRPr="008625DC">
        <w:noBreakHyphen/>
      </w:r>
      <w:r w:rsidRPr="008625DC">
        <w:t xml:space="preserve">investment in research and development — the returns to creators will be insufficient to provide incentives for efficient investment in IP material. </w:t>
      </w:r>
    </w:p>
    <w:p w14:paraId="2BC3C19D" w14:textId="4643752E" w:rsidR="001126AD" w:rsidRPr="008625DC" w:rsidRDefault="001126AD" w:rsidP="001126AD">
      <w:r w:rsidRPr="008625DC">
        <w:t xml:space="preserve">IP regulations attempt to address this </w:t>
      </w:r>
      <w:r w:rsidR="00C74E19" w:rsidRPr="008625DC">
        <w:t>‘</w:t>
      </w:r>
      <w:r w:rsidRPr="008625DC">
        <w:t>free rider</w:t>
      </w:r>
      <w:r w:rsidR="00C74E19" w:rsidRPr="008625DC">
        <w:t>’</w:t>
      </w:r>
      <w:r w:rsidRPr="008625DC">
        <w:t xml:space="preserve"> problem by legally granting exclusive use of the protected right to the creator for a specified period. </w:t>
      </w:r>
    </w:p>
    <w:p w14:paraId="0FE77556" w14:textId="004C887F" w:rsidR="001126AD" w:rsidRPr="008625DC" w:rsidRDefault="001126AD" w:rsidP="001126AD">
      <w:pPr>
        <w:spacing w:after="120"/>
      </w:pPr>
      <w:r w:rsidRPr="008625DC">
        <w:t>By allowing firms to derive financial benefits from their inventions and creations (which provides an incentive to innovate) and allowing other firms and individuals to use disclosed information about new inventions (rather than it remaining secret), IP rights are important for competition and follow</w:t>
      </w:r>
      <w:r w:rsidR="00C74E19" w:rsidRPr="008625DC">
        <w:noBreakHyphen/>
      </w:r>
      <w:r w:rsidRPr="008625DC">
        <w:t>on inventions.</w:t>
      </w:r>
    </w:p>
    <w:p w14:paraId="3D8D1ACA" w14:textId="77777777" w:rsidR="001126AD" w:rsidRPr="008625DC" w:rsidRDefault="001126AD" w:rsidP="001126AD">
      <w:pPr>
        <w:spacing w:after="120"/>
      </w:pPr>
      <w:r w:rsidRPr="008625DC">
        <w:t>There are benefits to the community from reducing wasteful duplication of research effort and allowing others to build on existing ideas. As the PC notes:</w:t>
      </w:r>
    </w:p>
    <w:p w14:paraId="69499A36" w14:textId="77777777" w:rsidR="001126AD" w:rsidRPr="008625DC" w:rsidRDefault="001126AD" w:rsidP="001126AD">
      <w:pPr>
        <w:pStyle w:val="Quotes"/>
      </w:pPr>
      <w:r w:rsidRPr="008625DC">
        <w:t>The issuing of patents may improve efficiency and community welfare by increasing the incentives for firms to innovate, which can in turn lead to new, improved or less expensive products. (</w:t>
      </w:r>
      <w:proofErr w:type="gramStart"/>
      <w:r w:rsidRPr="008625DC">
        <w:t>page</w:t>
      </w:r>
      <w:proofErr w:type="gramEnd"/>
      <w:r w:rsidRPr="008625DC">
        <w:t xml:space="preserve"> 7) </w:t>
      </w:r>
    </w:p>
    <w:p w14:paraId="47ADF9DC" w14:textId="60ACA70B" w:rsidR="001126AD" w:rsidRPr="008625DC" w:rsidRDefault="001126AD" w:rsidP="008625DC">
      <w:pPr>
        <w:spacing w:after="120"/>
      </w:pPr>
      <w:r w:rsidRPr="008625DC">
        <w:t>However, IP rights can deter competition and limit choice for consumers. IP rights can be used to facilitate monopolistic or anticompetitive behaviour. This could, for example, manifest in owners of IP rights extracting excessive royalties from IP licences or placing unnecessary restrictions on knowledge dissemination. This would have adverse knock</w:t>
      </w:r>
      <w:r w:rsidR="00C74E19" w:rsidRPr="008625DC">
        <w:noBreakHyphen/>
      </w:r>
      <w:r w:rsidRPr="008625DC">
        <w:t>on effects for innovation. As The Australia Institute says:</w:t>
      </w:r>
    </w:p>
    <w:p w14:paraId="78574A81" w14:textId="0F18C27A" w:rsidR="001126AD" w:rsidRPr="008625DC" w:rsidRDefault="001126AD" w:rsidP="001126AD">
      <w:pPr>
        <w:pStyle w:val="Quotes"/>
      </w:pPr>
      <w:r w:rsidRPr="008625DC">
        <w:t>While strong IP rights may increase the incentive to put into the [knowledge] pool (thereby generating positive externalities) they hamper the ability to take previously generated knowledge out of the pool (giving rise to negative externalities). The design of the rules is therefore important. (</w:t>
      </w:r>
      <w:proofErr w:type="gramStart"/>
      <w:r w:rsidRPr="008625DC">
        <w:t>pages</w:t>
      </w:r>
      <w:proofErr w:type="gramEnd"/>
      <w:r w:rsidRPr="008625DC">
        <w:t xml:space="preserve"> 19</w:t>
      </w:r>
      <w:r w:rsidR="00C74E19" w:rsidRPr="008625DC">
        <w:noBreakHyphen/>
      </w:r>
      <w:r w:rsidRPr="008625DC">
        <w:t>20)</w:t>
      </w:r>
    </w:p>
    <w:p w14:paraId="47D2320C" w14:textId="77777777" w:rsidR="001126AD" w:rsidRPr="008625DC" w:rsidRDefault="001126AD" w:rsidP="005628E5">
      <w:pPr>
        <w:spacing w:after="120"/>
      </w:pPr>
      <w:r w:rsidRPr="008625DC">
        <w:lastRenderedPageBreak/>
        <w:t>The ACCC claims that in the vast majority of cases the granting of an IP right will not raise significant competition concerns:</w:t>
      </w:r>
    </w:p>
    <w:p w14:paraId="65D6C183" w14:textId="0DF17719" w:rsidR="001126AD" w:rsidRPr="008625DC" w:rsidRDefault="005628E5" w:rsidP="001126AD">
      <w:pPr>
        <w:pStyle w:val="Quotes"/>
      </w:pPr>
      <w:r w:rsidRPr="008625DC">
        <w:t>[</w:t>
      </w:r>
      <w:r w:rsidR="00160D90">
        <w:t>R</w:t>
      </w:r>
      <w:r w:rsidRPr="008625DC">
        <w:t>]</w:t>
      </w:r>
      <w:r w:rsidR="001126AD" w:rsidRPr="008625DC">
        <w:t>ights holders are entitled to legitimately acquire market power by developing a superior product to their rivals, and pursuant to the policy purpose of IP regulation, the temporary market power from an IP right provides the very incentive to invest in the production of new IP. Such innovation is also a key goal of competition law. In this respect, IP and the competition law are for the most part complementary, both being directed towards improving economic welfare. (</w:t>
      </w:r>
      <w:r w:rsidR="00F0464E" w:rsidRPr="008625DC">
        <w:t xml:space="preserve">ACCC Submission 1, </w:t>
      </w:r>
      <w:r w:rsidR="001126AD" w:rsidRPr="008625DC">
        <w:t>page 59)</w:t>
      </w:r>
    </w:p>
    <w:p w14:paraId="7ACA9F8B" w14:textId="35E7CE8A" w:rsidR="001126AD" w:rsidRPr="008625DC" w:rsidRDefault="001126AD" w:rsidP="001126AD">
      <w:r w:rsidRPr="008625DC">
        <w:t xml:space="preserve">However, conflicts between the two policies might occur </w:t>
      </w:r>
      <w:r w:rsidR="00C74E19" w:rsidRPr="008625DC">
        <w:t>‘</w:t>
      </w:r>
      <w:r w:rsidRPr="008625DC">
        <w:t>where IP owners are in a position to exert substantial market power or engage in anti</w:t>
      </w:r>
      <w:r w:rsidR="00C74E19" w:rsidRPr="008625DC">
        <w:noBreakHyphen/>
      </w:r>
      <w:r w:rsidRPr="008625DC">
        <w:t>competitive conduct to seek to extend the scope of the right beyond that intended by the IP statute</w:t>
      </w:r>
      <w:r w:rsidR="00C74E19" w:rsidRPr="008625DC">
        <w:t>’</w:t>
      </w:r>
      <w:r w:rsidRPr="008625DC">
        <w:t xml:space="preserve">. (ACCC </w:t>
      </w:r>
      <w:r w:rsidR="00F0464E" w:rsidRPr="008625DC">
        <w:t xml:space="preserve">Submission 1, </w:t>
      </w:r>
      <w:r w:rsidRPr="008625DC">
        <w:t xml:space="preserve">page 59) </w:t>
      </w:r>
    </w:p>
    <w:p w14:paraId="4A579959" w14:textId="77777777" w:rsidR="001126AD" w:rsidRPr="008625DC" w:rsidRDefault="001126AD" w:rsidP="005628E5">
      <w:pPr>
        <w:spacing w:after="120"/>
      </w:pPr>
      <w:r w:rsidRPr="008625DC">
        <w:t>The PC submits that the patent system (where not warranted to encourage innovation) can impose costs on the community by impeding competition, including via:</w:t>
      </w:r>
    </w:p>
    <w:p w14:paraId="1DA2BCEE" w14:textId="1E60EF5D" w:rsidR="001126AD" w:rsidRPr="008625DC" w:rsidRDefault="001126AD" w:rsidP="001126AD">
      <w:pPr>
        <w:pStyle w:val="Bullet"/>
      </w:pPr>
      <w:r w:rsidRPr="008625DC">
        <w:t xml:space="preserve">the accrual of </w:t>
      </w:r>
      <w:r w:rsidR="00C74E19" w:rsidRPr="008625DC">
        <w:t>‘</w:t>
      </w:r>
      <w:r w:rsidRPr="008625DC">
        <w:t>patent portfolios</w:t>
      </w:r>
      <w:r w:rsidR="00C74E19" w:rsidRPr="008625DC">
        <w:t>’</w:t>
      </w:r>
      <w:r w:rsidRPr="008625DC">
        <w:t xml:space="preserve"> — in some cases, firms that accrue patents conduct no business other than asserting their patents against other firms — effectively </w:t>
      </w:r>
      <w:r w:rsidR="00C74E19" w:rsidRPr="008625DC">
        <w:t>‘</w:t>
      </w:r>
      <w:r w:rsidRPr="008625DC">
        <w:t>taxing</w:t>
      </w:r>
      <w:r w:rsidR="00C74E19" w:rsidRPr="008625DC">
        <w:t>’</w:t>
      </w:r>
      <w:r w:rsidRPr="008625DC">
        <w:t xml:space="preserve"> other firms</w:t>
      </w:r>
      <w:r w:rsidR="00C74E19" w:rsidRPr="008625DC">
        <w:t>’</w:t>
      </w:r>
      <w:r w:rsidRPr="008625DC">
        <w:t xml:space="preserve"> innovations via court cases; and</w:t>
      </w:r>
    </w:p>
    <w:p w14:paraId="0736C8E3" w14:textId="2B61719A" w:rsidR="001126AD" w:rsidRPr="008625DC" w:rsidRDefault="00C74E19" w:rsidP="001126AD">
      <w:pPr>
        <w:pStyle w:val="Bullet"/>
        <w:spacing w:after="240"/>
      </w:pPr>
      <w:r w:rsidRPr="008625DC">
        <w:t>‘</w:t>
      </w:r>
      <w:proofErr w:type="gramStart"/>
      <w:r w:rsidR="001126AD" w:rsidRPr="008625DC">
        <w:t>cumulative</w:t>
      </w:r>
      <w:proofErr w:type="gramEnd"/>
      <w:r w:rsidR="001126AD" w:rsidRPr="008625DC">
        <w:t xml:space="preserve"> innovation</w:t>
      </w:r>
      <w:r w:rsidRPr="008625DC">
        <w:t>’</w:t>
      </w:r>
      <w:r w:rsidR="001126AD" w:rsidRPr="008625DC">
        <w:t xml:space="preserve"> — where innovation requires access to multiple patents, there are higher costs to innovate because of the need to purchase those patents. The need to access multiple patents can lead to </w:t>
      </w:r>
      <w:r w:rsidRPr="008625DC">
        <w:t>‘</w:t>
      </w:r>
      <w:r w:rsidR="001126AD" w:rsidRPr="008625DC">
        <w:t>hold out</w:t>
      </w:r>
      <w:r w:rsidRPr="008625DC">
        <w:t>’</w:t>
      </w:r>
      <w:r w:rsidR="001126AD" w:rsidRPr="008625DC">
        <w:t xml:space="preserve">, whereby the owner of a patent holds out for a better deal from a potential innovator, which can also discourage innovation. (page 29) </w:t>
      </w:r>
    </w:p>
    <w:p w14:paraId="5BC55872" w14:textId="77777777" w:rsidR="001126AD" w:rsidRPr="008625DC" w:rsidRDefault="001126AD" w:rsidP="001126AD">
      <w:pPr>
        <w:spacing w:after="120"/>
      </w:pPr>
      <w:r w:rsidRPr="008625DC">
        <w:t xml:space="preserve">So it is a balancing act. As the ACCC puts it: </w:t>
      </w:r>
    </w:p>
    <w:p w14:paraId="3CDEFF28" w14:textId="57E32254" w:rsidR="001126AD" w:rsidRPr="008625DC" w:rsidRDefault="001126AD" w:rsidP="001126AD">
      <w:pPr>
        <w:pStyle w:val="Quotes"/>
        <w:rPr>
          <w:rStyle w:val="QuoteChar"/>
          <w:i w:val="0"/>
          <w:iCs w:val="0"/>
        </w:rPr>
      </w:pPr>
      <w:r w:rsidRPr="008625DC">
        <w:t xml:space="preserve">The </w:t>
      </w:r>
      <w:r w:rsidRPr="008625DC">
        <w:rPr>
          <w:i/>
        </w:rPr>
        <w:t>extent</w:t>
      </w:r>
      <w:r w:rsidRPr="008625DC">
        <w:t xml:space="preserve"> of any IP rights should balance: (i) on the one hand, the incentives for innovation in the creation of IP; and (ii) on the other, the incentives that access to IP material provides for efficient use of that IP and for innovation from such use. (</w:t>
      </w:r>
      <w:r w:rsidR="00F0464E" w:rsidRPr="008625DC">
        <w:t xml:space="preserve">ACCC Submission 1, </w:t>
      </w:r>
      <w:r w:rsidRPr="008625DC">
        <w:t>page 58)</w:t>
      </w:r>
      <w:r w:rsidRPr="008625DC">
        <w:rPr>
          <w:rStyle w:val="QuoteChar"/>
        </w:rPr>
        <w:t xml:space="preserve"> </w:t>
      </w:r>
    </w:p>
    <w:p w14:paraId="51EF7108" w14:textId="77777777" w:rsidR="001126AD" w:rsidRPr="008625DC" w:rsidRDefault="001126AD" w:rsidP="001126AD">
      <w:pPr>
        <w:spacing w:after="120"/>
      </w:pPr>
      <w:r w:rsidRPr="008625DC">
        <w:t>There is also the challenge of keeping the balance right in light of technology and market changes. For example, the widespread dissemination of material via the internet raises issues around copyright and related rights in the global context. 3D printing — the ability to translate a digital file into a physical object — will also pose challenges.</w:t>
      </w:r>
    </w:p>
    <w:p w14:paraId="69D00F07" w14:textId="77777777" w:rsidR="001126AD" w:rsidRPr="008625DC" w:rsidRDefault="001126AD" w:rsidP="001126AD">
      <w:pPr>
        <w:spacing w:after="120"/>
      </w:pPr>
      <w:r w:rsidRPr="008625DC">
        <w:t xml:space="preserve">As noted by the Big Innovation Centre, an important change brought about by 3D printing is the low cost and ease of reproducing physical objects. A single 3D printer will be able to copy different products from existing designs that are easily and quickly shared over the internet. This means that IP is likely to become the main method through which some manufacturing businesses can fund the research, development and design of physical products. The Big Innovation Centre has said: </w:t>
      </w:r>
    </w:p>
    <w:p w14:paraId="6DDD788D" w14:textId="77777777" w:rsidR="001126AD" w:rsidRPr="008625DC" w:rsidRDefault="001126AD" w:rsidP="001126AD">
      <w:pPr>
        <w:pStyle w:val="Quotes"/>
      </w:pPr>
      <w:r w:rsidRPr="008625DC">
        <w:t>The disruption caused by 3D printing will put significant strains on government policy. By removing barriers between the internet and the physical world, 3D printing will throw up significant questions for intellectual property laws, for regulators and for competition authorities.</w:t>
      </w:r>
      <w:r w:rsidRPr="008625DC">
        <w:rPr>
          <w:rStyle w:val="FootnoteReference"/>
        </w:rPr>
        <w:footnoteReference w:id="33"/>
      </w:r>
    </w:p>
    <w:p w14:paraId="6466A079" w14:textId="41144032" w:rsidR="001126AD" w:rsidRPr="008625DC" w:rsidRDefault="001126AD" w:rsidP="001126AD">
      <w:pPr>
        <w:pStyle w:val="Heading3"/>
      </w:pPr>
      <w:r w:rsidRPr="008625DC">
        <w:lastRenderedPageBreak/>
        <w:t xml:space="preserve">Is the </w:t>
      </w:r>
      <w:r w:rsidR="00C74E19" w:rsidRPr="008625DC">
        <w:t>‘</w:t>
      </w:r>
      <w:r w:rsidRPr="008625DC">
        <w:t>balance</w:t>
      </w:r>
      <w:r w:rsidR="00C74E19" w:rsidRPr="008625DC">
        <w:t>’</w:t>
      </w:r>
      <w:r w:rsidRPr="008625DC">
        <w:t xml:space="preserve"> right? </w:t>
      </w:r>
    </w:p>
    <w:p w14:paraId="50272756" w14:textId="4A1A7ED4" w:rsidR="001126AD" w:rsidRPr="008625DC" w:rsidRDefault="001126AD" w:rsidP="001126AD">
      <w:pPr>
        <w:spacing w:after="120"/>
      </w:pPr>
      <w:r w:rsidRPr="008625DC">
        <w:t xml:space="preserve">CHOICE, like some other submitters, suggests that Australia has not got the </w:t>
      </w:r>
      <w:r w:rsidR="00C74E19" w:rsidRPr="008625DC">
        <w:t>‘</w:t>
      </w:r>
      <w:r w:rsidRPr="008625DC">
        <w:t>balance</w:t>
      </w:r>
      <w:r w:rsidR="00C74E19" w:rsidRPr="008625DC">
        <w:t>’</w:t>
      </w:r>
      <w:r w:rsidRPr="008625DC">
        <w:t xml:space="preserve"> right between the granting of IP rights and the promotion of competition. CHOICE suggests that the balance currently favours rights holders rather than consumers: </w:t>
      </w:r>
    </w:p>
    <w:p w14:paraId="091CDEDE" w14:textId="32B38F6A" w:rsidR="001126AD" w:rsidRPr="008625DC" w:rsidRDefault="005628E5" w:rsidP="001126AD">
      <w:pPr>
        <w:pStyle w:val="Quotes"/>
        <w:spacing w:after="120"/>
      </w:pPr>
      <w:r w:rsidRPr="008625DC">
        <w:t>[</w:t>
      </w:r>
      <w:r w:rsidR="00160D90">
        <w:t>M</w:t>
      </w:r>
      <w:r w:rsidRPr="008625DC">
        <w:t>]</w:t>
      </w:r>
      <w:r w:rsidR="001126AD" w:rsidRPr="008625DC">
        <w:t>onopolies give rise [to] obvious and well</w:t>
      </w:r>
      <w:r w:rsidR="00C74E19" w:rsidRPr="008625DC">
        <w:noBreakHyphen/>
      </w:r>
      <w:r w:rsidR="001126AD" w:rsidRPr="008625DC">
        <w:t xml:space="preserve">known problems that ultimately end up impacting consumers. For this reason, limitations and exceptions apply to the monopoly of intellectual property. CHOICE believes that currently, Australia has not achieved the right balance in this regard. </w:t>
      </w:r>
    </w:p>
    <w:p w14:paraId="339EAF35" w14:textId="77777777" w:rsidR="001126AD" w:rsidRPr="008625DC" w:rsidRDefault="001126AD" w:rsidP="001126AD">
      <w:pPr>
        <w:pStyle w:val="Quotes"/>
      </w:pPr>
      <w:r w:rsidRPr="008625DC">
        <w:t>Many companies operating in the entertainment industry (which obviously depends very heavily on copyright) have leveraged the considerable advantage of monopoly rights to insulate themselves against the disruptive effects of technological change, in particular from the internet. The persistence of territorial licensing arrangements (limiting the distribution of content based on geographical regions) is testament to the ability of industry to resist change. (</w:t>
      </w:r>
      <w:proofErr w:type="gramStart"/>
      <w:r w:rsidRPr="008625DC">
        <w:t>page</w:t>
      </w:r>
      <w:proofErr w:type="gramEnd"/>
      <w:r w:rsidRPr="008625DC">
        <w:t> 20)</w:t>
      </w:r>
    </w:p>
    <w:p w14:paraId="69B465CF" w14:textId="61CDB0EF" w:rsidR="001126AD" w:rsidRPr="008625DC" w:rsidRDefault="001126AD" w:rsidP="001126AD">
      <w:r w:rsidRPr="008625DC">
        <w:t>It is important that IP arrangements are technology</w:t>
      </w:r>
      <w:r w:rsidR="00C74E19" w:rsidRPr="008625DC">
        <w:noBreakHyphen/>
      </w:r>
      <w:r w:rsidRPr="008625DC">
        <w:t>neutral, given the importance of innovation for economic growth. A number of submissions argue that IP arrangements do not support innovation because they are too technology</w:t>
      </w:r>
      <w:r w:rsidR="00C74E19" w:rsidRPr="008625DC">
        <w:noBreakHyphen/>
      </w:r>
      <w:r w:rsidRPr="008625DC">
        <w:t>specific.</w:t>
      </w:r>
      <w:r w:rsidRPr="008625DC">
        <w:rPr>
          <w:rStyle w:val="FootnoteReference"/>
        </w:rPr>
        <w:footnoteReference w:id="34"/>
      </w:r>
    </w:p>
    <w:p w14:paraId="48B2A312" w14:textId="77777777" w:rsidR="001126AD" w:rsidRPr="008625DC" w:rsidRDefault="001126AD" w:rsidP="005628E5">
      <w:pPr>
        <w:spacing w:after="120"/>
      </w:pPr>
      <w:r w:rsidRPr="008625DC">
        <w:t>Mark Summerfield says:</w:t>
      </w:r>
    </w:p>
    <w:p w14:paraId="0826C076" w14:textId="77777777" w:rsidR="001126AD" w:rsidRPr="008625DC" w:rsidRDefault="001126AD" w:rsidP="005628E5">
      <w:pPr>
        <w:pStyle w:val="Quotes"/>
      </w:pPr>
      <w:r w:rsidRPr="008625DC">
        <w:t>The current provisions in the Patents Act and the CCA, intended to ensure that patents do not unduly deter competition, or limit consumer choice, were not drafted with arrangements such as patent pools, or the evolution of global technology standards, in mind. (</w:t>
      </w:r>
      <w:proofErr w:type="gramStart"/>
      <w:r w:rsidRPr="008625DC">
        <w:t>page</w:t>
      </w:r>
      <w:proofErr w:type="gramEnd"/>
      <w:r w:rsidRPr="008625DC">
        <w:t xml:space="preserve"> 8)</w:t>
      </w:r>
    </w:p>
    <w:p w14:paraId="51B216F4" w14:textId="0C5E581C" w:rsidR="001126AD" w:rsidRPr="008625DC" w:rsidRDefault="001126AD" w:rsidP="001126AD">
      <w:r w:rsidRPr="008625DC">
        <w:t xml:space="preserve">The Australia Institute recommends a critical examination of patents on items such as software and business methods (page 20). The ACCC also notes that </w:t>
      </w:r>
      <w:r w:rsidR="00C74E19" w:rsidRPr="008625DC">
        <w:t>‘</w:t>
      </w:r>
      <w:r w:rsidRPr="008625DC">
        <w:t>IP regulation can become quickly obsolete as the manner in which IP material is used changes</w:t>
      </w:r>
      <w:r w:rsidR="00C74E19" w:rsidRPr="008625DC">
        <w:t>’</w:t>
      </w:r>
      <w:r w:rsidRPr="008625DC">
        <w:t>, citing the abandonment of the Optus TV Now service as a casualty of Australia</w:t>
      </w:r>
      <w:r w:rsidR="00C74E19" w:rsidRPr="008625DC">
        <w:t>’</w:t>
      </w:r>
      <w:r w:rsidRPr="008625DC">
        <w:t>s current copyright laws. (</w:t>
      </w:r>
      <w:r w:rsidR="00F0464E" w:rsidRPr="008625DC">
        <w:t xml:space="preserve">ACCC Submission 1, </w:t>
      </w:r>
      <w:r w:rsidRPr="008625DC">
        <w:t xml:space="preserve">page 65) </w:t>
      </w:r>
    </w:p>
    <w:p w14:paraId="38276F4D" w14:textId="27DFA652" w:rsidR="001126AD" w:rsidRPr="008625DC" w:rsidRDefault="001126AD" w:rsidP="001126AD">
      <w:r w:rsidRPr="008625DC">
        <w:t xml:space="preserve">However, determining the appropriate </w:t>
      </w:r>
      <w:r w:rsidR="00C74E19" w:rsidRPr="008625DC">
        <w:t>‘</w:t>
      </w:r>
      <w:r w:rsidRPr="008625DC">
        <w:t>extent</w:t>
      </w:r>
      <w:r w:rsidR="00C74E19" w:rsidRPr="008625DC">
        <w:t>’</w:t>
      </w:r>
      <w:r w:rsidRPr="008625DC">
        <w:t xml:space="preserve"> of IP protection is complex (and potentially ever changing). If IP rights provide higher rewards than needed to induce an invention, this will reduce the invention</w:t>
      </w:r>
      <w:r w:rsidR="00C74E19" w:rsidRPr="008625DC">
        <w:t>’</w:t>
      </w:r>
      <w:r w:rsidRPr="008625DC">
        <w:t xml:space="preserve">s net benefit to the community as a whole and result in a higher share of the benefits going to the holder of the IP rights. In the case where there are no substitutes for the idea or invention, the owner of the rights could also engage in monopolistic behaviour. </w:t>
      </w:r>
    </w:p>
    <w:p w14:paraId="5BE59C96" w14:textId="15FB6B6F" w:rsidR="001126AD" w:rsidRPr="008625DC" w:rsidRDefault="001126AD" w:rsidP="001126AD">
      <w:r w:rsidRPr="008625DC">
        <w:t xml:space="preserve">At issue is how closely tests for allocating IP rights are linked to </w:t>
      </w:r>
      <w:r w:rsidR="00C74E19" w:rsidRPr="008625DC">
        <w:t>‘</w:t>
      </w:r>
      <w:r w:rsidRPr="008625DC">
        <w:t>public benefits</w:t>
      </w:r>
      <w:r w:rsidR="00C74E19" w:rsidRPr="008625DC">
        <w:t>’</w:t>
      </w:r>
      <w:r w:rsidRPr="008625DC">
        <w:t xml:space="preserve">. Innovation could occur without IP protection. There is also the issue of the period over which it is appropriate to reward original creators of innovations. </w:t>
      </w:r>
    </w:p>
    <w:p w14:paraId="12B50880" w14:textId="77777777" w:rsidR="001126AD" w:rsidRPr="008625DC" w:rsidRDefault="001126AD" w:rsidP="001126AD">
      <w:r w:rsidRPr="008625DC">
        <w:t>A recent review of the literature undertaken by the PC found that incentives for innovation from the IP system appeared to apply only in a few sectors.</w:t>
      </w:r>
      <w:r w:rsidRPr="008625DC">
        <w:rPr>
          <w:rStyle w:val="FootnoteReference"/>
        </w:rPr>
        <w:footnoteReference w:id="35"/>
      </w:r>
      <w:r w:rsidRPr="008625DC">
        <w:t xml:space="preserve"> One study by Hall and Harhoff, for example, surveyed 210 recent studies and found that patents were effective in encouraging innovation in only a few sectors — pharmaceuticals, biotechnology, medical instruments and specialty chemicals.</w:t>
      </w:r>
      <w:r w:rsidRPr="008625DC">
        <w:rPr>
          <w:rStyle w:val="FootnoteReference"/>
        </w:rPr>
        <w:footnoteReference w:id="36"/>
      </w:r>
    </w:p>
    <w:p w14:paraId="4613E074" w14:textId="77777777" w:rsidR="001126AD" w:rsidRPr="008625DC" w:rsidRDefault="001126AD" w:rsidP="001126AD">
      <w:r w:rsidRPr="008625DC">
        <w:lastRenderedPageBreak/>
        <w:t xml:space="preserve">It is important that the extent of IP rights provided by IP regulations are reviewed regularly as part of the legislation review mechanism. The extent of IP protection should be based on what is in the best interest of Australians. </w:t>
      </w:r>
    </w:p>
    <w:p w14:paraId="0396A6B3" w14:textId="77777777" w:rsidR="001126AD" w:rsidRPr="008625DC" w:rsidRDefault="001126AD" w:rsidP="001126AD">
      <w:pPr>
        <w:pStyle w:val="Heading3"/>
      </w:pPr>
      <w:r w:rsidRPr="008625DC">
        <w:t>The interaction between IP rights and competition law</w:t>
      </w:r>
    </w:p>
    <w:p w14:paraId="4585CB5D" w14:textId="77777777" w:rsidR="001126AD" w:rsidRPr="008625DC" w:rsidRDefault="001126AD" w:rsidP="001126AD">
      <w:r w:rsidRPr="008625DC">
        <w:t xml:space="preserve">Currently, subsection 51(3) of the CCA provides a limited exception from most of the competition law prohibitions for certain types of transactions involving IP. The exception covers certain conditions in licences or assignments of IP rights in patents, registered designs, copyright, trademarks and circuit layouts. The exception does not extend to the prohibitions relating to misuse of market power and resale price maintenance. </w:t>
      </w:r>
    </w:p>
    <w:p w14:paraId="38D77A50" w14:textId="77777777" w:rsidR="001126AD" w:rsidRPr="008625DC" w:rsidRDefault="001126AD" w:rsidP="005628E5">
      <w:pPr>
        <w:spacing w:after="120"/>
      </w:pPr>
      <w:r w:rsidRPr="008625DC">
        <w:t>Some submitters, including the PC (page 28) and the ACCC, argue that it is hard to justify the IP exception. The ACCC says:</w:t>
      </w:r>
    </w:p>
    <w:p w14:paraId="3D7C2C80" w14:textId="2F3529A7" w:rsidR="001126AD" w:rsidRPr="008625DC" w:rsidRDefault="001126AD" w:rsidP="001126AD">
      <w:pPr>
        <w:pStyle w:val="Quotes"/>
      </w:pPr>
      <w:r w:rsidRPr="008625DC">
        <w:t xml:space="preserve">On the </w:t>
      </w:r>
      <w:r w:rsidRPr="008625DC">
        <w:rPr>
          <w:i/>
          <w:iCs/>
        </w:rPr>
        <w:t xml:space="preserve">use </w:t>
      </w:r>
      <w:r w:rsidRPr="008625DC">
        <w:t xml:space="preserve">of intellectual property rights, the CCA should apply in the ordinary way. The ACCC recommends that section 51(3) of the CCA should be repealed and that, in general, there is no reason to treat intellectual property any differently to other services in relation to access. (ACCC </w:t>
      </w:r>
      <w:r w:rsidR="00004CB7" w:rsidRPr="008625DC">
        <w:t>S</w:t>
      </w:r>
      <w:r w:rsidRPr="008625DC">
        <w:t>ubmission 1, page 58)</w:t>
      </w:r>
    </w:p>
    <w:p w14:paraId="5FC3F161" w14:textId="4C657CB6" w:rsidR="001126AD" w:rsidRPr="008625DC" w:rsidRDefault="001126AD" w:rsidP="001126AD">
      <w:r w:rsidRPr="008625DC">
        <w:t>In a recent submission to the Australian Law Reform Commission (ALRC) Inquiry into Copyright and Digital Economy, the ACCC also argued that it is important that the rights created through IP laws should be subject to competition laws to ensure they are pro</w:t>
      </w:r>
      <w:r w:rsidR="00C74E19" w:rsidRPr="008625DC">
        <w:noBreakHyphen/>
      </w:r>
      <w:r w:rsidRPr="008625DC">
        <w:t>competitive rather than anti</w:t>
      </w:r>
      <w:r w:rsidR="00C74E19" w:rsidRPr="008625DC">
        <w:noBreakHyphen/>
      </w:r>
      <w:r w:rsidRPr="008625DC">
        <w:t>competitive in effect or purpose.</w:t>
      </w:r>
      <w:r w:rsidRPr="008625DC">
        <w:rPr>
          <w:rStyle w:val="FootnoteReference"/>
        </w:rPr>
        <w:footnoteReference w:id="37"/>
      </w:r>
      <w:r w:rsidRPr="008625DC">
        <w:t xml:space="preserve"> </w:t>
      </w:r>
    </w:p>
    <w:p w14:paraId="7B100FFE" w14:textId="599C078C" w:rsidR="001126AD" w:rsidRPr="008625DC" w:rsidRDefault="001126AD" w:rsidP="001126AD">
      <w:r w:rsidRPr="008625DC">
        <w:t>The ACCC pointed to the digital environment providing new ways of creating, using and distributing copyright materials with commensurate opportunities to improve efficiency and welfare. However, copyright materials are increasingly used as intermediate inputs and this increases the potential for copyright to have anti</w:t>
      </w:r>
      <w:r w:rsidR="00C74E19" w:rsidRPr="008625DC">
        <w:noBreakHyphen/>
      </w:r>
      <w:r w:rsidRPr="008625DC">
        <w:t xml:space="preserve">competitive effects. Solutions that are capable of addressing new market failures in digital environments (including potentially new forms of collective licensing or copyright exchanges) may also raise competition concerns. </w:t>
      </w:r>
    </w:p>
    <w:p w14:paraId="324289D9" w14:textId="77777777" w:rsidR="001126AD" w:rsidRPr="008625DC" w:rsidRDefault="001126AD" w:rsidP="001126AD">
      <w:r w:rsidRPr="008625DC">
        <w:t xml:space="preserve">The ACCC also noted that in other jurisdictions, such as the US, IP rights are subject to the same competition laws as all other property rights. And in these jurisdictions there has not been an erosion of IP rights for creators, </w:t>
      </w:r>
      <w:proofErr w:type="gramStart"/>
      <w:r w:rsidRPr="008625DC">
        <w:t>nor</w:t>
      </w:r>
      <w:proofErr w:type="gramEnd"/>
      <w:r w:rsidRPr="008625DC">
        <w:t xml:space="preserve"> any apparent impact on the incentives for the production of copyright material.</w:t>
      </w:r>
      <w:r w:rsidRPr="008625DC">
        <w:rPr>
          <w:rStyle w:val="FootnoteReference"/>
        </w:rPr>
        <w:footnoteReference w:id="38"/>
      </w:r>
      <w:r w:rsidRPr="008625DC">
        <w:t xml:space="preserve"> </w:t>
      </w:r>
    </w:p>
    <w:p w14:paraId="3DAF0600" w14:textId="77777777" w:rsidR="001126AD" w:rsidRPr="008625DC" w:rsidRDefault="001126AD" w:rsidP="001126AD">
      <w:pPr>
        <w:spacing w:after="120"/>
      </w:pPr>
      <w:r w:rsidRPr="008625DC">
        <w:t xml:space="preserve">The Australian Recording Industry Association Ltd, however, has a contrary view: </w:t>
      </w:r>
    </w:p>
    <w:p w14:paraId="7E86025E" w14:textId="48037843" w:rsidR="001126AD" w:rsidRPr="008625DC" w:rsidRDefault="001126AD" w:rsidP="001126AD">
      <w:pPr>
        <w:pStyle w:val="Quotes"/>
      </w:pPr>
      <w:r w:rsidRPr="008625DC">
        <w:t xml:space="preserve">The idea that there is no need for the s 51(3) exemption because IP should be treated like any other form of property is simplistic and misleading. </w:t>
      </w:r>
      <w:r w:rsidR="005628E5" w:rsidRPr="008625DC">
        <w:t>The exemptions under s </w:t>
      </w:r>
      <w:r w:rsidRPr="008625DC">
        <w:t>51(3) serve partly as a safety net where broadly defined prohibitions under the Competition and Consumer Act would otherwise be too far</w:t>
      </w:r>
      <w:r w:rsidR="00C74E19" w:rsidRPr="008625DC">
        <w:noBreakHyphen/>
      </w:r>
      <w:r w:rsidRPr="008625DC">
        <w:t>reaching. The cartel prohibitions, the prohibition against anticompetitive agreements under s 45 and the prohibition against exclusive dealing under s 47 are all broadly defined and can easily catch conduct that is efficiency enhancing (there is no rule of reason defence in Aus</w:t>
      </w:r>
      <w:r w:rsidR="005628E5" w:rsidRPr="008625DC">
        <w:t>tralia). The exemptions under s </w:t>
      </w:r>
      <w:r w:rsidRPr="008625DC">
        <w:t xml:space="preserve">51(3) are important because they avoid liability where IP licensing conditions </w:t>
      </w:r>
      <w:proofErr w:type="gramStart"/>
      <w:r w:rsidRPr="008625DC">
        <w:t>are</w:t>
      </w:r>
      <w:proofErr w:type="gramEnd"/>
      <w:r w:rsidRPr="008625DC">
        <w:t xml:space="preserve"> efficiency enhancing. (</w:t>
      </w:r>
      <w:proofErr w:type="gramStart"/>
      <w:r w:rsidRPr="008625DC">
        <w:t>page</w:t>
      </w:r>
      <w:proofErr w:type="gramEnd"/>
      <w:r w:rsidRPr="008625DC">
        <w:t xml:space="preserve"> 4) </w:t>
      </w:r>
    </w:p>
    <w:p w14:paraId="7615BE37" w14:textId="0F985E2A" w:rsidR="001126AD" w:rsidRPr="008625DC" w:rsidRDefault="001126AD" w:rsidP="001126AD">
      <w:r w:rsidRPr="008625DC">
        <w:lastRenderedPageBreak/>
        <w:t>The interaction between IP rights and competition law has been reviewed numerous times, including by Hilmer, the NCC and by the Intellectual Property and Competition Review Committee (known as the Ergas Committee). Each of these reviews recommended amendments to the exception for IP licenses and assignments (Box 8.</w:t>
      </w:r>
      <w:r w:rsidR="008F1DD6" w:rsidRPr="008625DC">
        <w:t>4</w:t>
      </w:r>
      <w:r w:rsidRPr="008625DC">
        <w:t>).</w:t>
      </w:r>
    </w:p>
    <w:p w14:paraId="3B2F3DBD" w14:textId="258BA657" w:rsidR="001126AD" w:rsidRPr="008625DC" w:rsidRDefault="001126AD" w:rsidP="001126AD">
      <w:pPr>
        <w:spacing w:after="120"/>
      </w:pPr>
      <w:r w:rsidRPr="008625DC">
        <w:t xml:space="preserve">The Ergas Committee considered that IP rights were sufficiently different from other property rights and assets to warrant special treatment under the (then) </w:t>
      </w:r>
      <w:r w:rsidRPr="008625DC">
        <w:rPr>
          <w:i/>
        </w:rPr>
        <w:t>Trade Practices Act 1974</w:t>
      </w:r>
      <w:r w:rsidRPr="008625DC">
        <w:t xml:space="preserve"> (TPA). However, the existing IP exceptions under subsection 51(3) were </w:t>
      </w:r>
      <w:r w:rsidR="00C74E19" w:rsidRPr="008625DC">
        <w:t>‘</w:t>
      </w:r>
      <w:r w:rsidRPr="008625DC">
        <w:t>seriously flawed</w:t>
      </w:r>
      <w:r w:rsidR="00004CB7" w:rsidRPr="008625DC">
        <w:t>,</w:t>
      </w:r>
      <w:r w:rsidRPr="008625DC">
        <w:t xml:space="preserve"> as the extent and breadth of the exemptions are unclear, and may well be over</w:t>
      </w:r>
      <w:r w:rsidR="00C74E19" w:rsidRPr="008625DC">
        <w:noBreakHyphen/>
      </w:r>
      <w:r w:rsidRPr="008625DC">
        <w:t>broad</w:t>
      </w:r>
      <w:r w:rsidR="00C74E19" w:rsidRPr="008625DC">
        <w:t>’</w:t>
      </w:r>
      <w:r w:rsidRPr="008625DC">
        <w:t xml:space="preserve"> (page 11). The Committee was of the view that the:</w:t>
      </w:r>
    </w:p>
    <w:p w14:paraId="1E605BF2" w14:textId="3831386A" w:rsidR="001126AD" w:rsidRPr="008625DC" w:rsidRDefault="005628E5" w:rsidP="001126AD">
      <w:pPr>
        <w:pStyle w:val="Quotes"/>
      </w:pPr>
      <w:r w:rsidRPr="008625DC">
        <w:t>[</w:t>
      </w:r>
      <w:r w:rsidR="00160D90">
        <w:t>E</w:t>
      </w:r>
      <w:r w:rsidRPr="008625DC">
        <w:t>]</w:t>
      </w:r>
      <w:r w:rsidR="001126AD" w:rsidRPr="008625DC">
        <w:t>xemptions do not provide an appropriate balance between the needs of the intellectual property system and the wider goals of competition policy. (</w:t>
      </w:r>
      <w:proofErr w:type="gramStart"/>
      <w:r w:rsidR="001126AD" w:rsidRPr="008625DC">
        <w:t>page</w:t>
      </w:r>
      <w:proofErr w:type="gramEnd"/>
      <w:r w:rsidR="001126AD" w:rsidRPr="008625DC">
        <w:t xml:space="preserve"> 11) </w:t>
      </w:r>
    </w:p>
    <w:p w14:paraId="71B4160C" w14:textId="75276E41" w:rsidR="001126AD" w:rsidRPr="008625DC" w:rsidRDefault="001126AD" w:rsidP="001126AD">
      <w:r w:rsidRPr="008625DC">
        <w:t>The then Government accepted the Committee</w:t>
      </w:r>
      <w:r w:rsidR="00C74E19" w:rsidRPr="008625DC">
        <w:t>’</w:t>
      </w:r>
      <w:r w:rsidRPr="008625DC">
        <w:t>s recommendation to rewrite subsection 51(3) to allow the application of anti</w:t>
      </w:r>
      <w:r w:rsidR="00C74E19" w:rsidRPr="008625DC">
        <w:noBreakHyphen/>
      </w:r>
      <w:r w:rsidRPr="008625DC">
        <w:t>competitive provisions of the TPA to IP arrangements that result in a substantial lessening of competition.</w:t>
      </w:r>
      <w:r w:rsidRPr="008625DC">
        <w:rPr>
          <w:rStyle w:val="FootnoteReference"/>
        </w:rPr>
        <w:footnoteReference w:id="39"/>
      </w:r>
      <w:r w:rsidRPr="008625DC">
        <w:t xml:space="preserve"> However, no change has been made to the legislation. </w:t>
      </w:r>
    </w:p>
    <w:p w14:paraId="24BEC0F9" w14:textId="026DD120" w:rsidR="001126AD" w:rsidRPr="008625DC" w:rsidRDefault="001126AD" w:rsidP="001126AD">
      <w:r w:rsidRPr="008625DC">
        <w:t>A recent House of Representatives Standing Committee on Infrastructure and Communications report into pricing of information technology recommended the repeal of subsection 51(3) of the CCA.</w:t>
      </w:r>
      <w:r w:rsidRPr="008625DC">
        <w:rPr>
          <w:rStyle w:val="FootnoteReference"/>
        </w:rPr>
        <w:footnoteReference w:id="40"/>
      </w:r>
      <w:r w:rsidRPr="008625DC">
        <w:t xml:space="preserve"> The ALRC</w:t>
      </w:r>
      <w:r w:rsidR="00C74E19" w:rsidRPr="008625DC">
        <w:t>’</w:t>
      </w:r>
      <w:r w:rsidRPr="008625DC">
        <w:t>s Copyright and Digital Economy Final Report also stated that the repeal of subsection 51(3) of the CCA should be considered.</w:t>
      </w:r>
      <w:r w:rsidRPr="008625DC">
        <w:rPr>
          <w:rStyle w:val="FootnoteReference"/>
        </w:rPr>
        <w:footnoteReference w:id="41"/>
      </w:r>
    </w:p>
    <w:tbl>
      <w:tblPr>
        <w:tblW w:w="9072" w:type="dxa"/>
        <w:tblInd w:w="108" w:type="dxa"/>
        <w:shd w:val="clear" w:color="auto" w:fill="E6E6E6"/>
        <w:tblLook w:val="01E0" w:firstRow="1" w:lastRow="1" w:firstColumn="1" w:lastColumn="1" w:noHBand="0" w:noVBand="0"/>
      </w:tblPr>
      <w:tblGrid>
        <w:gridCol w:w="9072"/>
      </w:tblGrid>
      <w:tr w:rsidR="001126AD" w:rsidRPr="008625DC" w14:paraId="0142D9FB" w14:textId="77777777" w:rsidTr="005A0741">
        <w:tc>
          <w:tcPr>
            <w:tcW w:w="5000" w:type="pct"/>
            <w:shd w:val="clear" w:color="auto" w:fill="E6E6E6"/>
          </w:tcPr>
          <w:p w14:paraId="44FDD89D" w14:textId="49177EC3" w:rsidR="001126AD" w:rsidRPr="008625DC" w:rsidRDefault="001126AD" w:rsidP="005A0741">
            <w:pPr>
              <w:pStyle w:val="BoxHeading"/>
            </w:pPr>
            <w:r w:rsidRPr="008625DC">
              <w:lastRenderedPageBreak/>
              <w:t>Box 8.</w:t>
            </w:r>
            <w:r w:rsidR="008F1DD6" w:rsidRPr="008625DC">
              <w:t>4</w:t>
            </w:r>
            <w:r w:rsidRPr="008625DC">
              <w:t xml:space="preserve"> Reviews of IP and competition law </w:t>
            </w:r>
          </w:p>
          <w:p w14:paraId="596BD5CD" w14:textId="77777777" w:rsidR="001126AD" w:rsidRPr="008625DC" w:rsidRDefault="001126AD" w:rsidP="005A0741">
            <w:pPr>
              <w:spacing w:after="120"/>
            </w:pPr>
            <w:r w:rsidRPr="008625DC">
              <w:t xml:space="preserve">Hilmer reviewed the exceptions for IP rights under the then </w:t>
            </w:r>
            <w:r w:rsidRPr="008625DC">
              <w:rPr>
                <w:i/>
              </w:rPr>
              <w:t xml:space="preserve">Trade Practices Act 1974. </w:t>
            </w:r>
            <w:r w:rsidRPr="008625DC">
              <w:t xml:space="preserve">Hilmer stated that it was not apparent that the exception </w:t>
            </w:r>
            <w:proofErr w:type="gramStart"/>
            <w:r w:rsidRPr="008625DC">
              <w:t>met</w:t>
            </w:r>
            <w:proofErr w:type="gramEnd"/>
            <w:r w:rsidRPr="008625DC">
              <w:t xml:space="preserve"> the relevant policy goal, nor had the Committee been presented with any persuasive arguments as to why IP licensing and assignments should receive protection beyond the authorisation process. The report concluded that it: </w:t>
            </w:r>
          </w:p>
          <w:p w14:paraId="18F6005A" w14:textId="0542F34B" w:rsidR="001126AD" w:rsidRPr="008625DC" w:rsidRDefault="005628E5" w:rsidP="005A0741">
            <w:pPr>
              <w:pStyle w:val="Quotes"/>
            </w:pPr>
            <w:r w:rsidRPr="008625DC">
              <w:t>[</w:t>
            </w:r>
            <w:r w:rsidR="00160D90">
              <w:t>S</w:t>
            </w:r>
            <w:r w:rsidRPr="008625DC">
              <w:t>]</w:t>
            </w:r>
            <w:r w:rsidR="001126AD" w:rsidRPr="008625DC">
              <w:t>aw force in arguments to reform the current arrangements, including the possible removal of the current exemption and allowing all such matters to be scrutinised through the authorisation process. Nevertheless, it was not in a position to make expert recommendations on the matter and recommends that the current exemption be examined by relevant officials, in consultation with interested groups.</w:t>
            </w:r>
            <w:r w:rsidR="001126AD" w:rsidRPr="008625DC">
              <w:rPr>
                <w:rStyle w:val="FootnoteReference"/>
              </w:rPr>
              <w:footnoteReference w:id="42"/>
            </w:r>
          </w:p>
          <w:p w14:paraId="30783F3C" w14:textId="72EBBD34" w:rsidR="001126AD" w:rsidRPr="008625DC" w:rsidRDefault="001126AD" w:rsidP="005A0741">
            <w:pPr>
              <w:pStyle w:val="BoxText"/>
            </w:pPr>
            <w:r w:rsidRPr="008625DC">
              <w:t>In 1999 the NCC reviewed subsection 51(3) of the TPA</w:t>
            </w:r>
            <w:r w:rsidRPr="008625DC">
              <w:rPr>
                <w:i/>
              </w:rPr>
              <w:t xml:space="preserve"> </w:t>
            </w:r>
            <w:r w:rsidRPr="008625DC">
              <w:t>as part of the Commonwealth</w:t>
            </w:r>
            <w:r w:rsidR="00C74E19" w:rsidRPr="008625DC">
              <w:t>’</w:t>
            </w:r>
            <w:r w:rsidRPr="008625DC">
              <w:t>s review of legislation that restricted competition under the Competition Principles Agreement.</w:t>
            </w:r>
            <w:r w:rsidRPr="008625DC">
              <w:rPr>
                <w:rStyle w:val="FootnoteReference"/>
              </w:rPr>
              <w:footnoteReference w:id="43"/>
            </w:r>
            <w:r w:rsidRPr="008625DC">
              <w:t xml:space="preserve"> The NCC concluded that only in rare cases do producers using IP have sufficient market power to enable them to substantially lessen competition in the markets in which they compete. It recommended that: </w:t>
            </w:r>
          </w:p>
          <w:p w14:paraId="101E9FAA" w14:textId="77777777" w:rsidR="001126AD" w:rsidRPr="008625DC" w:rsidRDefault="001126AD" w:rsidP="00467524">
            <w:pPr>
              <w:pStyle w:val="BoxBullet"/>
              <w:rPr>
                <w:lang w:val="en-AU"/>
              </w:rPr>
            </w:pPr>
            <w:r w:rsidRPr="008625DC">
              <w:rPr>
                <w:lang w:val="en-AU"/>
              </w:rPr>
              <w:t>the exemption in subsection 51(3) be retained, but amended so that it no longer exempted horizontal arrangements or price and quantity restrictions; and</w:t>
            </w:r>
          </w:p>
          <w:p w14:paraId="01DFFF73" w14:textId="471C6185" w:rsidR="001126AD" w:rsidRPr="008625DC" w:rsidRDefault="001126AD" w:rsidP="008625DC">
            <w:pPr>
              <w:pStyle w:val="BoxBullet"/>
              <w:spacing w:after="180"/>
              <w:rPr>
                <w:lang w:val="en-AU"/>
              </w:rPr>
            </w:pPr>
            <w:proofErr w:type="gramStart"/>
            <w:r w:rsidRPr="008625DC">
              <w:rPr>
                <w:lang w:val="en-AU"/>
              </w:rPr>
              <w:t>the</w:t>
            </w:r>
            <w:proofErr w:type="gramEnd"/>
            <w:r w:rsidRPr="008625DC">
              <w:rPr>
                <w:lang w:val="en-AU"/>
              </w:rPr>
              <w:t xml:space="preserve"> ACCC formulate guidelines on the scope of the exemption, and the application of Part</w:t>
            </w:r>
            <w:r w:rsidR="008625DC" w:rsidRPr="008625DC">
              <w:rPr>
                <w:lang w:val="en-AU"/>
              </w:rPr>
              <w:t> </w:t>
            </w:r>
            <w:r w:rsidRPr="008625DC">
              <w:rPr>
                <w:lang w:val="en-AU"/>
              </w:rPr>
              <w:t xml:space="preserve">IV to dealings in intellectual property rights. </w:t>
            </w:r>
          </w:p>
          <w:p w14:paraId="09578538" w14:textId="77777777" w:rsidR="001126AD" w:rsidRPr="008625DC" w:rsidRDefault="001126AD" w:rsidP="005A0741">
            <w:pPr>
              <w:spacing w:after="120"/>
            </w:pPr>
            <w:r w:rsidRPr="008625DC">
              <w:t>The interaction between IP rights and competition policy was also reviewed by the Intellectual Property and Competition Review Committee (known as the Ergas Committee) in 2000.</w:t>
            </w:r>
            <w:r w:rsidRPr="008625DC">
              <w:rPr>
                <w:rStyle w:val="FootnoteReference"/>
              </w:rPr>
              <w:footnoteReference w:id="44"/>
            </w:r>
            <w:r w:rsidRPr="008625DC">
              <w:t xml:space="preserve"> On subsection 51(3) of the TPA, the Ergas Committee recommended that IP rights continue to be accorded distinctive treatment under the TPA and this should be achieved by:</w:t>
            </w:r>
          </w:p>
          <w:p w14:paraId="7D9E6FC9" w14:textId="7BDC9DD0" w:rsidR="001126AD" w:rsidRPr="008625DC" w:rsidRDefault="001126AD" w:rsidP="00467524">
            <w:pPr>
              <w:pStyle w:val="BoxBullet"/>
              <w:rPr>
                <w:lang w:val="en-AU"/>
              </w:rPr>
            </w:pPr>
            <w:r w:rsidRPr="008625DC">
              <w:rPr>
                <w:lang w:val="en-AU"/>
              </w:rPr>
              <w:t>amending</w:t>
            </w:r>
            <w:r w:rsidRPr="008625DC" w:rsidDel="00B76186">
              <w:rPr>
                <w:lang w:val="en-AU"/>
              </w:rPr>
              <w:t xml:space="preserve"> </w:t>
            </w:r>
            <w:r w:rsidRPr="008625DC">
              <w:rPr>
                <w:lang w:val="en-AU"/>
              </w:rPr>
              <w:t xml:space="preserve">subparagraph 51(1)(a)(i) of the TPA to </w:t>
            </w:r>
            <w:r w:rsidRPr="008625DC">
              <w:rPr>
                <w:i/>
                <w:lang w:val="en-AU"/>
              </w:rPr>
              <w:t>list</w:t>
            </w:r>
            <w:r w:rsidRPr="008625DC">
              <w:rPr>
                <w:lang w:val="en-AU"/>
              </w:rPr>
              <w:t xml:space="preserve"> all the relevant intellectual property statutes, that is </w:t>
            </w:r>
            <w:r w:rsidR="00C74E19" w:rsidRPr="008625DC">
              <w:rPr>
                <w:lang w:val="en-AU"/>
              </w:rPr>
              <w:t>‘</w:t>
            </w:r>
            <w:r w:rsidRPr="008625DC">
              <w:rPr>
                <w:lang w:val="en-AU"/>
              </w:rPr>
              <w:t>an Act relating to patents, trademarks, designs, copyright, circuit layouts and plant breeder</w:t>
            </w:r>
            <w:r w:rsidR="00C74E19" w:rsidRPr="008625DC">
              <w:rPr>
                <w:lang w:val="en-AU"/>
              </w:rPr>
              <w:t>’</w:t>
            </w:r>
            <w:r w:rsidRPr="008625DC">
              <w:rPr>
                <w:lang w:val="en-AU"/>
              </w:rPr>
              <w:t>s rights</w:t>
            </w:r>
            <w:r w:rsidR="00C74E19" w:rsidRPr="008625DC">
              <w:rPr>
                <w:lang w:val="en-AU"/>
              </w:rPr>
              <w:t>’</w:t>
            </w:r>
          </w:p>
          <w:p w14:paraId="42337CED" w14:textId="77777777" w:rsidR="001126AD" w:rsidRPr="008625DC" w:rsidRDefault="001126AD" w:rsidP="00467524">
            <w:pPr>
              <w:pStyle w:val="BoxBullet"/>
              <w:rPr>
                <w:lang w:val="en-AU"/>
              </w:rPr>
            </w:pPr>
            <w:r w:rsidRPr="008625DC">
              <w:rPr>
                <w:lang w:val="en-AU"/>
              </w:rPr>
              <w:t xml:space="preserve">repealing subsection 51(3) and related provisions in the TPA; </w:t>
            </w:r>
          </w:p>
          <w:p w14:paraId="4C4C77DF" w14:textId="77777777" w:rsidR="001126AD" w:rsidRPr="008625DC" w:rsidRDefault="001126AD" w:rsidP="00467524">
            <w:pPr>
              <w:pStyle w:val="BoxBullet"/>
              <w:rPr>
                <w:lang w:val="en-AU"/>
              </w:rPr>
            </w:pPr>
            <w:r w:rsidRPr="008625DC">
              <w:rPr>
                <w:lang w:val="en-AU"/>
              </w:rPr>
              <w:t xml:space="preserve">inserting an amended subsection 51(3) and related provisions into the TPA to ensure that conditions in a contract, arrangement or understanding related to the subject matter of intellectual property statute did not contravene Part IV or section 4D of the Act — unless those conditions were likely to result in a substantial lessening of competition; and </w:t>
            </w:r>
          </w:p>
          <w:p w14:paraId="2C9F95CE" w14:textId="48009FAF" w:rsidR="001126AD" w:rsidRPr="008625DC" w:rsidRDefault="001126AD" w:rsidP="00467524">
            <w:pPr>
              <w:pStyle w:val="BoxBullet"/>
              <w:rPr>
                <w:lang w:val="en-AU"/>
              </w:rPr>
            </w:pPr>
            <w:proofErr w:type="gramStart"/>
            <w:r w:rsidRPr="008625DC">
              <w:rPr>
                <w:lang w:val="en-AU"/>
              </w:rPr>
              <w:t>the</w:t>
            </w:r>
            <w:proofErr w:type="gramEnd"/>
            <w:r w:rsidRPr="008625DC">
              <w:rPr>
                <w:lang w:val="en-AU"/>
              </w:rPr>
              <w:t xml:space="preserve"> ACCC issue guidelines to provide sufficient direction to IP right owners, clarifying the types of behaviour likely to result in a breach of the then TPA</w:t>
            </w:r>
            <w:r w:rsidR="00C74E19" w:rsidRPr="008625DC">
              <w:rPr>
                <w:lang w:val="en-AU"/>
              </w:rPr>
              <w:t>’</w:t>
            </w:r>
            <w:r w:rsidRPr="008625DC">
              <w:rPr>
                <w:lang w:val="en-AU"/>
              </w:rPr>
              <w:t>s provisions. Provisions should exist within the guidelines for parties to seek a written clearance from the ACCC.</w:t>
            </w:r>
          </w:p>
        </w:tc>
      </w:tr>
    </w:tbl>
    <w:p w14:paraId="7CB11300" w14:textId="1207B01A" w:rsidR="001126AD" w:rsidRPr="008625DC" w:rsidRDefault="001126AD" w:rsidP="005628E5">
      <w:pPr>
        <w:spacing w:before="240"/>
      </w:pPr>
      <w:r w:rsidRPr="008625DC">
        <w:t>IP rights, like all property rights, can potentially be used in a manner that harms competition. The Panel considers that it is appropriate that commercial transactions involving IP rights, including the transfer and licensing of such rights, be subject to the CCA, in the same manner as transaction involving other property and assets</w:t>
      </w:r>
      <w:r w:rsidR="00C74E19" w:rsidRPr="008625DC">
        <w:t xml:space="preserve">. </w:t>
      </w:r>
    </w:p>
    <w:p w14:paraId="3032D645" w14:textId="77777777" w:rsidR="001126AD" w:rsidRPr="008625DC" w:rsidRDefault="001126AD" w:rsidP="001126AD">
      <w:r w:rsidRPr="008625DC">
        <w:lastRenderedPageBreak/>
        <w:t xml:space="preserve">Accordingly, the Panel considers that the IP licensing exception in subsection 51(3) of the CCA should be repealed. As is the case with other vertical supply arrangements, however, IP licences should be exempt from the cartel provisions of the CCA. This means that IP licenses and assignments will only contravene the competition law if they have the purpose, or would have or be likely to have the effect, of substantially lessening competition. </w:t>
      </w:r>
    </w:p>
    <w:p w14:paraId="2952F041" w14:textId="77777777" w:rsidR="001126AD" w:rsidRPr="008625DC" w:rsidRDefault="001126AD" w:rsidP="001126AD">
      <w:r w:rsidRPr="008625DC">
        <w:t>As noted by the ACCC, IP licensing or assignment arrangements that are at risk of breaching Part IV of the CCA, but which are likely to produce offsetting public benefits, can be granted an exemption from the CCA through the usual notification or authorisation processes.</w:t>
      </w:r>
      <w:r w:rsidRPr="008625DC">
        <w:rPr>
          <w:rStyle w:val="FootnoteReference"/>
        </w:rPr>
        <w:footnoteReference w:id="45"/>
      </w:r>
    </w:p>
    <w:p w14:paraId="6DD7C99F" w14:textId="77777777" w:rsidR="001126AD" w:rsidRPr="008625DC" w:rsidRDefault="001126AD" w:rsidP="001126AD">
      <w:pPr>
        <w:pStyle w:val="Heading3"/>
      </w:pPr>
      <w:r w:rsidRPr="008625DC">
        <w:t>IP and international trade agreements</w:t>
      </w:r>
    </w:p>
    <w:p w14:paraId="0A5EDB11" w14:textId="6135BCB4" w:rsidR="001126AD" w:rsidRPr="008625DC" w:rsidRDefault="001126AD" w:rsidP="001126AD">
      <w:pPr>
        <w:spacing w:after="120"/>
      </w:pPr>
      <w:r w:rsidRPr="008625DC">
        <w:t>For individual countries, the optimal design and level of IP rights depends on the extent to which they are net importers or exporters of different forms of IP. Australia is a net importer of IP.</w:t>
      </w:r>
      <w:r w:rsidRPr="008625DC">
        <w:rPr>
          <w:rStyle w:val="FootnoteReference"/>
        </w:rPr>
        <w:footnoteReference w:id="46"/>
      </w:r>
      <w:r w:rsidRPr="008625DC">
        <w:t xml:space="preserve"> With trade and commerce</w:t>
      </w:r>
      <w:r w:rsidR="00C74E19" w:rsidRPr="008625DC">
        <w:noBreakHyphen/>
      </w:r>
      <w:r w:rsidRPr="008625DC">
        <w:t>related aspects of IP crossing national borders, IP has been the subject of international treaties. Frameworks influencing Australian IP law and trade and commerce in IP both within Australia and internationally, include:</w:t>
      </w:r>
    </w:p>
    <w:p w14:paraId="7406C9DA" w14:textId="24FE6A8E" w:rsidR="001126AD" w:rsidRPr="008625DC" w:rsidRDefault="001126AD" w:rsidP="001126AD">
      <w:pPr>
        <w:pStyle w:val="Bullet"/>
      </w:pPr>
      <w:r w:rsidRPr="008625DC">
        <w:t>the Agreement on Trade</w:t>
      </w:r>
      <w:r w:rsidR="00C74E19" w:rsidRPr="008625DC">
        <w:noBreakHyphen/>
      </w:r>
      <w:r w:rsidRPr="008625DC">
        <w:t>Related Aspects of Intellectual Property Rights;</w:t>
      </w:r>
    </w:p>
    <w:p w14:paraId="437AB69E" w14:textId="77777777" w:rsidR="001126AD" w:rsidRPr="008625DC" w:rsidRDefault="001126AD" w:rsidP="001126AD">
      <w:pPr>
        <w:pStyle w:val="Bullet"/>
      </w:pPr>
      <w:r w:rsidRPr="008625DC">
        <w:t>treaties administered by the World Intellectual Property Organization;</w:t>
      </w:r>
    </w:p>
    <w:p w14:paraId="55BC9FFE" w14:textId="6162B050" w:rsidR="001126AD" w:rsidRPr="008625DC" w:rsidRDefault="001126AD" w:rsidP="001126AD">
      <w:pPr>
        <w:pStyle w:val="Bullet"/>
      </w:pPr>
      <w:r w:rsidRPr="008625DC">
        <w:t>other dedicated IP agreements falling outside the World Intellectual Property Organization</w:t>
      </w:r>
      <w:r w:rsidR="00C74E19" w:rsidRPr="008625DC">
        <w:t>’</w:t>
      </w:r>
      <w:r w:rsidRPr="008625DC">
        <w:t>s framework; and</w:t>
      </w:r>
    </w:p>
    <w:p w14:paraId="4052AFE3" w14:textId="77777777" w:rsidR="001126AD" w:rsidRPr="008625DC" w:rsidRDefault="001126AD" w:rsidP="001126AD">
      <w:pPr>
        <w:pStyle w:val="Bullet"/>
        <w:spacing w:after="240"/>
      </w:pPr>
      <w:r w:rsidRPr="008625DC">
        <w:t>IP provisions included as part of bilateral and regional trade agreements.</w:t>
      </w:r>
      <w:r w:rsidRPr="008625DC">
        <w:rPr>
          <w:rStyle w:val="FootnoteReference"/>
        </w:rPr>
        <w:footnoteReference w:id="47"/>
      </w:r>
    </w:p>
    <w:p w14:paraId="3F325E6C" w14:textId="7BB1B22F" w:rsidR="001126AD" w:rsidRPr="008625DC" w:rsidRDefault="001126AD" w:rsidP="001126AD">
      <w:r w:rsidRPr="008625DC">
        <w:t>As a net importer of IP, and likely to remain so, our ability to access IP protected by rights granted in other countries will be important to ensure that Australia can reap the benefits of the digital economy. That said</w:t>
      </w:r>
      <w:proofErr w:type="gramStart"/>
      <w:r w:rsidRPr="008625DC">
        <w:t>,</w:t>
      </w:r>
      <w:proofErr w:type="gramEnd"/>
      <w:r w:rsidRPr="008625DC">
        <w:t xml:space="preserve"> it is also important that commitments regarding the extent of IP protection in Australia are based on the best interests of Australians and these should be established through an independent cost</w:t>
      </w:r>
      <w:r w:rsidR="00C74E19" w:rsidRPr="008625DC">
        <w:noBreakHyphen/>
      </w:r>
      <w:r w:rsidRPr="008625DC">
        <w:t xml:space="preserve">benefit analysis. </w:t>
      </w:r>
    </w:p>
    <w:p w14:paraId="0A5D2F9A" w14:textId="743F8A8B" w:rsidR="001126AD" w:rsidRPr="008625DC" w:rsidRDefault="001126AD" w:rsidP="001126AD">
      <w:r w:rsidRPr="008625DC">
        <w:t>The ACCC (</w:t>
      </w:r>
      <w:r w:rsidR="00086ED1" w:rsidRPr="008625DC">
        <w:t xml:space="preserve">ACCC Submission 1, </w:t>
      </w:r>
      <w:r w:rsidRPr="008625DC">
        <w:t>page 65), the PC (page 28) and The Australia Institute (page 20) argue that caution should be exercised when entering international treaties or agreements that include IP provisions. As the PC notes, the proposed Trans</w:t>
      </w:r>
      <w:r w:rsidR="00C74E19" w:rsidRPr="008625DC">
        <w:noBreakHyphen/>
      </w:r>
      <w:r w:rsidRPr="008625DC">
        <w:t>Pacific Partnership Agreement between Australia and various other countries including the US, as well as other proposed international agreements such as the Transatlantic Trade and Investment Partnership are specifically considering intellectual property issues</w:t>
      </w:r>
      <w:r w:rsidR="008625DC">
        <w:t>.</w:t>
      </w:r>
      <w:r w:rsidRPr="008625DC">
        <w:t xml:space="preserve"> (</w:t>
      </w:r>
      <w:proofErr w:type="gramStart"/>
      <w:r w:rsidRPr="008625DC">
        <w:t>page</w:t>
      </w:r>
      <w:proofErr w:type="gramEnd"/>
      <w:r w:rsidRPr="008625DC">
        <w:t xml:space="preserve"> 28) </w:t>
      </w:r>
    </w:p>
    <w:p w14:paraId="33F7DCAC" w14:textId="37545716" w:rsidR="001126AD" w:rsidRPr="008625DC" w:rsidRDefault="001126AD" w:rsidP="001126AD">
      <w:r w:rsidRPr="008625DC">
        <w:t>The PC suggests that Australia has likely incurred net costs from the inclusion of some IP provisions in trade agreements, pointing to analysis of extensions in the duration of copyright protection required by the Australia</w:t>
      </w:r>
      <w:r w:rsidR="00C74E19" w:rsidRPr="008625DC">
        <w:noBreakHyphen/>
      </w:r>
      <w:r w:rsidRPr="008625DC">
        <w:t>United States Free Trade Agreement which imposed net costs on Australia through increased royalty payments.</w:t>
      </w:r>
      <w:r w:rsidRPr="008625DC">
        <w:rPr>
          <w:rStyle w:val="FootnoteReference"/>
        </w:rPr>
        <w:footnoteReference w:id="48"/>
      </w:r>
      <w:r w:rsidRPr="008625DC">
        <w:t xml:space="preserve"> As Australia is, and will continue to be, a net importer of IP, these costs are potentially significant. </w:t>
      </w:r>
    </w:p>
    <w:p w14:paraId="46D96F07" w14:textId="77777777" w:rsidR="001126AD" w:rsidRPr="008625DC" w:rsidRDefault="001126AD" w:rsidP="001126AD">
      <w:r w:rsidRPr="008625DC">
        <w:lastRenderedPageBreak/>
        <w:t>It is important that trade negotiations be based on an understanding of the costs and benefits to Australia of proposed IP provisions. This should be undertaken in an independent and transparent way and prior to negotiations being concluded.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126AD" w:rsidRPr="008625DC" w14:paraId="55C919D9" w14:textId="77777777" w:rsidTr="005A0741">
        <w:tc>
          <w:tcPr>
            <w:tcW w:w="5000" w:type="pct"/>
            <w:shd w:val="clear" w:color="auto" w:fill="FFFFFF" w:themeFill="background1"/>
          </w:tcPr>
          <w:p w14:paraId="1E853065" w14:textId="457F3C6D" w:rsidR="001126AD" w:rsidRPr="008625DC" w:rsidRDefault="001126AD" w:rsidP="005A0741">
            <w:pPr>
              <w:pStyle w:val="Keyfindingheading"/>
            </w:pPr>
            <w:r w:rsidRPr="008625DC">
              <w:t>The Panel</w:t>
            </w:r>
            <w:r w:rsidR="00C74E19" w:rsidRPr="008625DC">
              <w:t>’</w:t>
            </w:r>
            <w:r w:rsidRPr="008625DC">
              <w:t xml:space="preserve">s view </w:t>
            </w:r>
          </w:p>
          <w:p w14:paraId="769E45CA" w14:textId="0E0367F1" w:rsidR="001126AD" w:rsidRPr="008625DC" w:rsidRDefault="001126AD" w:rsidP="005A0741">
            <w:pPr>
              <w:pStyle w:val="Keyfindingtext"/>
            </w:pPr>
            <w:bookmarkStart w:id="14703" w:name="_Toc394331602"/>
            <w:bookmarkStart w:id="14704" w:name="_Toc394330290"/>
            <w:bookmarkStart w:id="14705" w:name="_Toc395010398"/>
            <w:bookmarkStart w:id="14706" w:name="_Toc395012582"/>
            <w:bookmarkStart w:id="14707" w:name="_Toc395010989"/>
            <w:bookmarkStart w:id="14708" w:name="_Toc395013045"/>
            <w:bookmarkStart w:id="14709" w:name="_Toc395012047"/>
            <w:bookmarkStart w:id="14710" w:name="_Toc395014386"/>
            <w:bookmarkStart w:id="14711" w:name="_Toc395084736"/>
            <w:bookmarkStart w:id="14712" w:name="_Toc395085037"/>
            <w:bookmarkStart w:id="14713" w:name="_Toc395090502"/>
            <w:bookmarkStart w:id="14714" w:name="_Toc395093086"/>
            <w:bookmarkStart w:id="14715" w:name="_Toc395097998"/>
            <w:bookmarkStart w:id="14716" w:name="_Toc395106182"/>
            <w:bookmarkStart w:id="14717" w:name="_Toc395109775"/>
            <w:bookmarkStart w:id="14718" w:name="_Toc395112152"/>
            <w:bookmarkStart w:id="14719" w:name="_Toc395107294"/>
            <w:bookmarkStart w:id="14720" w:name="_Toc395108855"/>
            <w:bookmarkStart w:id="14721" w:name="_Toc395114095"/>
            <w:bookmarkStart w:id="14722" w:name="_Toc395116832"/>
            <w:bookmarkStart w:id="14723" w:name="_Toc395112769"/>
            <w:bookmarkStart w:id="14724" w:name="_Toc395115309"/>
            <w:bookmarkStart w:id="14725" w:name="_Toc395118461"/>
            <w:bookmarkStart w:id="14726" w:name="_Toc395624655"/>
            <w:bookmarkStart w:id="14727" w:name="_Toc395790006"/>
            <w:bookmarkStart w:id="14728" w:name="_Toc395800764"/>
            <w:bookmarkStart w:id="14729" w:name="_Toc393985159"/>
            <w:bookmarkStart w:id="14730" w:name="_Toc393985662"/>
            <w:bookmarkStart w:id="14731" w:name="_Toc393986064"/>
            <w:bookmarkStart w:id="14732" w:name="_Toc393986467"/>
            <w:bookmarkStart w:id="14733" w:name="_Toc393988074"/>
            <w:bookmarkStart w:id="14734" w:name="_Toc393988476"/>
            <w:bookmarkStart w:id="14735" w:name="_Toc393989488"/>
            <w:bookmarkStart w:id="14736" w:name="_Toc393988876"/>
            <w:bookmarkStart w:id="14737" w:name="_Toc393990880"/>
            <w:bookmarkStart w:id="14738" w:name="_Toc393991862"/>
            <w:bookmarkStart w:id="14739" w:name="_Toc394047525"/>
            <w:bookmarkStart w:id="14740" w:name="_Toc394049801"/>
            <w:bookmarkStart w:id="14741" w:name="_Toc394051201"/>
            <w:bookmarkStart w:id="14742" w:name="_Toc394062190"/>
            <w:bookmarkStart w:id="14743" w:name="_Toc394069065"/>
            <w:bookmarkStart w:id="14744" w:name="_Toc394070983"/>
            <w:bookmarkStart w:id="14745" w:name="_Toc394312386"/>
            <w:bookmarkStart w:id="14746" w:name="_Toc393985160"/>
            <w:bookmarkStart w:id="14747" w:name="_Toc393985663"/>
            <w:bookmarkStart w:id="14748" w:name="_Toc393986065"/>
            <w:bookmarkStart w:id="14749" w:name="_Toc393986468"/>
            <w:bookmarkStart w:id="14750" w:name="_Toc393988075"/>
            <w:bookmarkStart w:id="14751" w:name="_Toc393988477"/>
            <w:bookmarkStart w:id="14752" w:name="_Toc393989489"/>
            <w:bookmarkStart w:id="14753" w:name="_Toc393988877"/>
            <w:bookmarkStart w:id="14754" w:name="_Toc393990881"/>
            <w:bookmarkStart w:id="14755" w:name="_Toc393991863"/>
            <w:bookmarkStart w:id="14756" w:name="_Toc394047526"/>
            <w:bookmarkStart w:id="14757" w:name="_Toc394049802"/>
            <w:bookmarkStart w:id="14758" w:name="_Toc394051202"/>
            <w:bookmarkStart w:id="14759" w:name="_Toc394062191"/>
            <w:bookmarkStart w:id="14760" w:name="_Toc394069066"/>
            <w:bookmarkStart w:id="14761" w:name="_Toc394070984"/>
            <w:bookmarkStart w:id="14762" w:name="_Toc394312387"/>
            <w:bookmarkStart w:id="14763" w:name="_Toc394330671"/>
            <w:bookmarkStart w:id="14764" w:name="_Toc394330291"/>
            <w:bookmarkStart w:id="14765" w:name="_Toc394333263"/>
            <w:bookmarkStart w:id="14766" w:name="_Toc394332841"/>
            <w:bookmarkStart w:id="14767" w:name="_Toc394333676"/>
            <w:bookmarkStart w:id="14768" w:name="_Toc394334089"/>
            <w:bookmarkStart w:id="14769" w:name="_Toc394334915"/>
            <w:bookmarkStart w:id="14770" w:name="_Toc394415098"/>
            <w:bookmarkStart w:id="14771" w:name="_Toc394412403"/>
            <w:bookmarkStart w:id="14772" w:name="_Toc394420694"/>
            <w:bookmarkStart w:id="14773" w:name="_Toc394421168"/>
            <w:bookmarkStart w:id="14774" w:name="_Toc394423537"/>
            <w:bookmarkStart w:id="14775" w:name="_Toc394420471"/>
            <w:bookmarkStart w:id="14776" w:name="_Toc394422581"/>
            <w:bookmarkStart w:id="14777" w:name="_Toc394423052"/>
            <w:bookmarkStart w:id="14778" w:name="_Toc394424202"/>
            <w:bookmarkStart w:id="14779" w:name="_Toc394492035"/>
            <w:bookmarkStart w:id="14780" w:name="_Toc394495180"/>
            <w:bookmarkStart w:id="14781" w:name="_Toc394497995"/>
            <w:bookmarkStart w:id="14782" w:name="_Toc394500785"/>
            <w:bookmarkStart w:id="14783" w:name="_Toc394502189"/>
            <w:bookmarkStart w:id="14784" w:name="_Toc394503091"/>
            <w:bookmarkStart w:id="14785" w:name="_Toc394502635"/>
            <w:bookmarkStart w:id="14786" w:name="_Toc394505842"/>
            <w:bookmarkStart w:id="14787" w:name="_Toc394506301"/>
            <w:bookmarkStart w:id="14788" w:name="_Toc394506855"/>
            <w:bookmarkStart w:id="14789" w:name="_Toc394560932"/>
            <w:bookmarkStart w:id="14790" w:name="_Toc394561393"/>
            <w:bookmarkStart w:id="14791" w:name="_Toc394938363"/>
            <w:bookmarkStart w:id="14792" w:name="_Toc394937643"/>
            <w:bookmarkStart w:id="14793" w:name="_Toc394941274"/>
            <w:bookmarkStart w:id="14794" w:name="_Toc394941890"/>
            <w:bookmarkStart w:id="14795" w:name="_Toc394940112"/>
            <w:bookmarkStart w:id="14796" w:name="_Toc394939722"/>
            <w:bookmarkStart w:id="14797" w:name="_Toc394993619"/>
            <w:bookmarkStart w:id="14798" w:name="_Toc394995500"/>
            <w:bookmarkStart w:id="14799" w:name="_Toc394995814"/>
            <w:bookmarkStart w:id="14800" w:name="_Toc394998057"/>
            <w:r w:rsidRPr="008625DC">
              <w:t>G</w:t>
            </w:r>
            <w:bookmarkEnd w:id="14703"/>
            <w:bookmarkEnd w:id="14704"/>
            <w:r w:rsidRPr="008625DC">
              <w:t>iven the influence that Australia</w:t>
            </w:r>
            <w:r w:rsidR="00C74E19" w:rsidRPr="008625DC">
              <w:t>’</w:t>
            </w:r>
            <w:r w:rsidRPr="008625DC">
              <w:t>s IP rights can have on facilitating (or inhibiting) innovation, competition and trade, the Panel considers that the IP system should be designed to operate in the best interests of Australians.</w:t>
            </w:r>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r w:rsidRPr="008625DC">
              <w:t xml:space="preserve"> </w:t>
            </w:r>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p>
          <w:p w14:paraId="30E851F1" w14:textId="717D59C2" w:rsidR="001126AD" w:rsidRPr="008625DC" w:rsidRDefault="001126AD" w:rsidP="005A0741">
            <w:pPr>
              <w:pStyle w:val="Keyfindingtext"/>
            </w:pPr>
            <w:bookmarkStart w:id="14801" w:name="_Toc395090504"/>
            <w:bookmarkStart w:id="14802" w:name="_Toc395093088"/>
            <w:bookmarkStart w:id="14803" w:name="_Toc395098000"/>
            <w:bookmarkStart w:id="14804" w:name="_Toc395106184"/>
            <w:bookmarkStart w:id="14805" w:name="_Toc395109777"/>
            <w:bookmarkStart w:id="14806" w:name="_Toc395112154"/>
            <w:bookmarkStart w:id="14807" w:name="_Toc395107296"/>
            <w:bookmarkStart w:id="14808" w:name="_Toc395108857"/>
            <w:bookmarkStart w:id="14809" w:name="_Toc395114097"/>
            <w:bookmarkStart w:id="14810" w:name="_Toc395116834"/>
            <w:bookmarkStart w:id="14811" w:name="_Toc395112771"/>
            <w:bookmarkStart w:id="14812" w:name="_Toc395115311"/>
            <w:bookmarkStart w:id="14813" w:name="_Toc395118463"/>
            <w:bookmarkStart w:id="14814" w:name="_Toc395624657"/>
            <w:bookmarkStart w:id="14815" w:name="_Toc395790008"/>
            <w:bookmarkStart w:id="14816" w:name="_Toc395800766"/>
            <w:bookmarkStart w:id="14817" w:name="_Toc393985161"/>
            <w:bookmarkStart w:id="14818" w:name="_Toc393985664"/>
            <w:bookmarkStart w:id="14819" w:name="_Toc393986066"/>
            <w:bookmarkStart w:id="14820" w:name="_Toc393986469"/>
            <w:bookmarkStart w:id="14821" w:name="_Toc393988076"/>
            <w:bookmarkStart w:id="14822" w:name="_Toc393988478"/>
            <w:bookmarkStart w:id="14823" w:name="_Toc393989490"/>
            <w:bookmarkStart w:id="14824" w:name="_Toc393988878"/>
            <w:bookmarkStart w:id="14825" w:name="_Toc393990882"/>
            <w:bookmarkStart w:id="14826" w:name="_Toc393991864"/>
            <w:bookmarkStart w:id="14827" w:name="_Toc394047527"/>
            <w:bookmarkStart w:id="14828" w:name="_Toc394049803"/>
            <w:bookmarkStart w:id="14829" w:name="_Toc394051203"/>
            <w:bookmarkStart w:id="14830" w:name="_Toc394062192"/>
            <w:bookmarkStart w:id="14831" w:name="_Toc394069067"/>
            <w:bookmarkStart w:id="14832" w:name="_Toc394070985"/>
            <w:bookmarkStart w:id="14833" w:name="_Toc394312388"/>
            <w:bookmarkStart w:id="14834" w:name="_Toc394330672"/>
            <w:bookmarkStart w:id="14835" w:name="_Toc394330292"/>
            <w:bookmarkStart w:id="14836" w:name="_Toc394333264"/>
            <w:bookmarkStart w:id="14837" w:name="_Toc394332842"/>
            <w:bookmarkStart w:id="14838" w:name="_Toc394333677"/>
            <w:bookmarkStart w:id="14839" w:name="_Toc394334090"/>
            <w:bookmarkStart w:id="14840" w:name="_Toc394334916"/>
            <w:bookmarkStart w:id="14841" w:name="_Toc394415099"/>
            <w:bookmarkStart w:id="14842" w:name="_Toc394412404"/>
            <w:bookmarkStart w:id="14843" w:name="_Toc394420695"/>
            <w:bookmarkStart w:id="14844" w:name="_Toc394421169"/>
            <w:bookmarkStart w:id="14845" w:name="_Toc394423538"/>
            <w:bookmarkStart w:id="14846" w:name="_Toc394420472"/>
            <w:bookmarkStart w:id="14847" w:name="_Toc394422582"/>
            <w:bookmarkStart w:id="14848" w:name="_Toc394423053"/>
            <w:bookmarkStart w:id="14849" w:name="_Toc394424203"/>
            <w:bookmarkStart w:id="14850" w:name="_Toc394492036"/>
            <w:bookmarkStart w:id="14851" w:name="_Toc394495181"/>
            <w:bookmarkStart w:id="14852" w:name="_Toc394497996"/>
            <w:bookmarkStart w:id="14853" w:name="_Toc394500786"/>
            <w:bookmarkStart w:id="14854" w:name="_Toc394502190"/>
            <w:bookmarkStart w:id="14855" w:name="_Toc394503092"/>
            <w:bookmarkStart w:id="14856" w:name="_Toc394502636"/>
            <w:bookmarkStart w:id="14857" w:name="_Toc394505843"/>
            <w:bookmarkStart w:id="14858" w:name="_Toc394506302"/>
            <w:bookmarkStart w:id="14859" w:name="_Toc394506856"/>
            <w:bookmarkStart w:id="14860" w:name="_Toc394560933"/>
            <w:bookmarkStart w:id="14861" w:name="_Toc394561394"/>
            <w:bookmarkStart w:id="14862" w:name="_Toc394938364"/>
            <w:bookmarkStart w:id="14863" w:name="_Toc394937644"/>
            <w:bookmarkStart w:id="14864" w:name="_Toc394941275"/>
            <w:bookmarkStart w:id="14865" w:name="_Toc394941891"/>
            <w:bookmarkStart w:id="14866" w:name="_Toc394940113"/>
            <w:bookmarkStart w:id="14867" w:name="_Toc394939723"/>
            <w:bookmarkStart w:id="14868" w:name="_Toc394993620"/>
            <w:bookmarkStart w:id="14869" w:name="_Toc394995501"/>
            <w:bookmarkStart w:id="14870" w:name="_Toc394995815"/>
            <w:bookmarkStart w:id="14871" w:name="_Toc394998058"/>
            <w:bookmarkStart w:id="14872" w:name="_Toc394998572"/>
            <w:bookmarkStart w:id="14873" w:name="_Toc395002071"/>
            <w:bookmarkStart w:id="14874" w:name="_Toc395001277"/>
            <w:bookmarkStart w:id="14875" w:name="_Toc395001551"/>
            <w:bookmarkStart w:id="14876" w:name="_Toc395002840"/>
            <w:bookmarkStart w:id="14877" w:name="_Toc395003425"/>
            <w:bookmarkStart w:id="14878" w:name="_Toc395005666"/>
            <w:bookmarkStart w:id="14879" w:name="_Toc395009660"/>
            <w:bookmarkStart w:id="14880" w:name="_Toc395010400"/>
            <w:bookmarkStart w:id="14881" w:name="_Toc395012584"/>
            <w:bookmarkStart w:id="14882" w:name="_Toc395010991"/>
            <w:bookmarkStart w:id="14883" w:name="_Toc395013047"/>
            <w:bookmarkStart w:id="14884" w:name="_Toc395012049"/>
            <w:bookmarkStart w:id="14885" w:name="_Toc395014388"/>
            <w:bookmarkStart w:id="14886" w:name="_Toc395084738"/>
            <w:bookmarkStart w:id="14887" w:name="_Toc395085039"/>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r w:rsidRPr="008625DC">
              <w:t xml:space="preserve">Determining the appropriate </w:t>
            </w:r>
            <w:r w:rsidRPr="008625DC">
              <w:rPr>
                <w:i/>
              </w:rPr>
              <w:t>extent</w:t>
            </w:r>
            <w:r w:rsidRPr="008625DC">
              <w:t xml:space="preserve"> of IP protection is complex. Given the complexity of the issues, there is a case for conducting an independent framework</w:t>
            </w:r>
            <w:r w:rsidR="00C74E19" w:rsidRPr="008625DC">
              <w:noBreakHyphen/>
            </w:r>
            <w:r w:rsidRPr="008625DC">
              <w:t>style review of IP. The review should look at competition policy issues, new developments in technology and markets and international trade agreements.</w:t>
            </w:r>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r w:rsidRPr="008625DC">
              <w:t xml:space="preserve"> </w:t>
            </w:r>
          </w:p>
          <w:p w14:paraId="5B9C5241" w14:textId="77777777" w:rsidR="001126AD" w:rsidRPr="008625DC" w:rsidRDefault="001126AD" w:rsidP="005A0741">
            <w:pPr>
              <w:pStyle w:val="Keyfindingtext"/>
            </w:pPr>
            <w:bookmarkStart w:id="14888" w:name="_Toc394998571"/>
            <w:bookmarkStart w:id="14889" w:name="_Toc395002070"/>
            <w:bookmarkStart w:id="14890" w:name="_Toc395001276"/>
            <w:bookmarkStart w:id="14891" w:name="_Toc395001550"/>
            <w:bookmarkStart w:id="14892" w:name="_Toc395002839"/>
            <w:bookmarkStart w:id="14893" w:name="_Toc395003424"/>
            <w:bookmarkStart w:id="14894" w:name="_Toc395005665"/>
            <w:bookmarkStart w:id="14895" w:name="_Toc395009659"/>
            <w:bookmarkStart w:id="14896" w:name="_Toc395010399"/>
            <w:bookmarkStart w:id="14897" w:name="_Toc395012583"/>
            <w:bookmarkStart w:id="14898" w:name="_Toc395010990"/>
            <w:bookmarkStart w:id="14899" w:name="_Toc395013046"/>
            <w:bookmarkStart w:id="14900" w:name="_Toc395012048"/>
            <w:bookmarkStart w:id="14901" w:name="_Toc395014387"/>
            <w:bookmarkStart w:id="14902" w:name="_Toc395084737"/>
            <w:bookmarkStart w:id="14903" w:name="_Toc395085038"/>
            <w:bookmarkStart w:id="14904" w:name="_Toc395090503"/>
            <w:bookmarkStart w:id="14905" w:name="_Toc395093087"/>
            <w:bookmarkStart w:id="14906" w:name="_Toc395097999"/>
            <w:bookmarkStart w:id="14907" w:name="_Toc395106183"/>
            <w:bookmarkStart w:id="14908" w:name="_Toc395109776"/>
            <w:bookmarkStart w:id="14909" w:name="_Toc395112153"/>
            <w:bookmarkStart w:id="14910" w:name="_Toc395107295"/>
            <w:bookmarkStart w:id="14911" w:name="_Toc395108856"/>
            <w:bookmarkStart w:id="14912" w:name="_Toc395114096"/>
            <w:bookmarkStart w:id="14913" w:name="_Toc395116833"/>
            <w:bookmarkStart w:id="14914" w:name="_Toc395112770"/>
            <w:bookmarkStart w:id="14915" w:name="_Toc395115310"/>
            <w:bookmarkStart w:id="14916" w:name="_Toc395118462"/>
            <w:bookmarkStart w:id="14917" w:name="_Toc395624656"/>
            <w:bookmarkStart w:id="14918" w:name="_Toc395790007"/>
            <w:bookmarkStart w:id="14919" w:name="_Toc395800765"/>
            <w:bookmarkStart w:id="14920" w:name="_Toc395090505"/>
            <w:bookmarkStart w:id="14921" w:name="_Toc395093089"/>
            <w:bookmarkStart w:id="14922" w:name="_Toc395098001"/>
            <w:bookmarkStart w:id="14923" w:name="_Toc395106185"/>
            <w:bookmarkStart w:id="14924" w:name="_Toc395109778"/>
            <w:bookmarkStart w:id="14925" w:name="_Toc395112155"/>
            <w:bookmarkStart w:id="14926" w:name="_Toc395107297"/>
            <w:bookmarkStart w:id="14927" w:name="_Toc395108858"/>
            <w:bookmarkStart w:id="14928" w:name="_Toc395114098"/>
            <w:bookmarkStart w:id="14929" w:name="_Toc395116835"/>
            <w:bookmarkStart w:id="14930" w:name="_Toc395112772"/>
            <w:bookmarkStart w:id="14931" w:name="_Toc395115312"/>
            <w:bookmarkStart w:id="14932" w:name="_Toc395118464"/>
            <w:bookmarkStart w:id="14933" w:name="_Toc395624658"/>
            <w:bookmarkStart w:id="14934" w:name="_Toc395790009"/>
            <w:bookmarkStart w:id="14935" w:name="_Toc395800767"/>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r w:rsidRPr="008625DC">
              <w:t xml:space="preserve">In the majority of cases the granting of an IP right is unlikely to raise significant competition concerns. That said, IP rights, like all property rights can be </w:t>
            </w:r>
            <w:r w:rsidRPr="008625DC">
              <w:rPr>
                <w:i/>
              </w:rPr>
              <w:t>used</w:t>
            </w:r>
            <w:r w:rsidRPr="008625DC">
              <w:t xml:space="preserve"> in a manner that harms competition. </w:t>
            </w:r>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r w:rsidRPr="008625DC">
              <w:t xml:space="preserve">It is therefore appropriate that the use of IP rights be subject to the CCA. </w:t>
            </w:r>
          </w:p>
          <w:p w14:paraId="170C814D" w14:textId="77777777" w:rsidR="001126AD" w:rsidRPr="008625DC" w:rsidRDefault="001126AD" w:rsidP="005A0741">
            <w:pPr>
              <w:pStyle w:val="Keyfindingtext"/>
            </w:pPr>
            <w:r w:rsidRPr="008625DC">
              <w:t xml:space="preserve">Independent and transparent analysis of the costs and benefits to Australia of any proposed IP provisions in trade negotiations should be undertaken to inform international trade negotiations. </w:t>
            </w:r>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p>
        </w:tc>
      </w:tr>
    </w:tbl>
    <w:p w14:paraId="654A3AD8" w14:textId="77777777" w:rsidR="001126AD" w:rsidRPr="008625DC" w:rsidRDefault="001126AD" w:rsidP="001126AD">
      <w:pPr>
        <w:pStyle w:val="Heading2"/>
        <w:ind w:left="851" w:hanging="851"/>
        <w:rPr>
          <w:lang w:val="en-AU"/>
        </w:rPr>
      </w:pPr>
      <w:bookmarkStart w:id="14936" w:name="_Toc395881416"/>
      <w:bookmarkStart w:id="14937" w:name="_Toc395881638"/>
      <w:bookmarkStart w:id="14938" w:name="_Toc394333266"/>
      <w:bookmarkStart w:id="14939" w:name="_Toc394333449"/>
      <w:bookmarkStart w:id="14940" w:name="_Toc394332844"/>
      <w:bookmarkStart w:id="14941" w:name="_Toc394333679"/>
      <w:bookmarkStart w:id="14942" w:name="_Toc394333862"/>
      <w:bookmarkStart w:id="14943" w:name="_Toc394334092"/>
      <w:bookmarkStart w:id="14944" w:name="_Toc394334275"/>
      <w:bookmarkStart w:id="14945" w:name="_Toc394334918"/>
      <w:bookmarkStart w:id="14946" w:name="_Toc394335101"/>
      <w:bookmarkStart w:id="14947" w:name="_Toc394415101"/>
      <w:bookmarkStart w:id="14948" w:name="_Toc394415305"/>
      <w:bookmarkStart w:id="14949" w:name="_Toc394412406"/>
      <w:bookmarkStart w:id="14950" w:name="_Toc394412614"/>
      <w:bookmarkStart w:id="14951" w:name="_Toc394420697"/>
      <w:bookmarkStart w:id="14952" w:name="_Toc394420907"/>
      <w:bookmarkStart w:id="14953" w:name="_Toc394421171"/>
      <w:bookmarkStart w:id="14954" w:name="_Toc394423540"/>
      <w:bookmarkStart w:id="14955" w:name="_Toc394423748"/>
      <w:bookmarkStart w:id="14956" w:name="_Toc394420474"/>
      <w:bookmarkStart w:id="14957" w:name="_Toc394422584"/>
      <w:bookmarkStart w:id="14958" w:name="_Toc394422792"/>
      <w:bookmarkStart w:id="14959" w:name="_Toc394423055"/>
      <w:bookmarkStart w:id="14960" w:name="_Toc394423263"/>
      <w:bookmarkStart w:id="14961" w:name="_Toc394424205"/>
      <w:bookmarkStart w:id="14962" w:name="_Toc394424411"/>
      <w:bookmarkStart w:id="14963" w:name="_Toc394492038"/>
      <w:bookmarkStart w:id="14964" w:name="_Toc394492244"/>
      <w:bookmarkStart w:id="14965" w:name="_Toc394495183"/>
      <w:bookmarkStart w:id="14966" w:name="_Toc394495388"/>
      <w:bookmarkStart w:id="14967" w:name="_Toc394497998"/>
      <w:bookmarkStart w:id="14968" w:name="_Toc394498203"/>
      <w:bookmarkStart w:id="14969" w:name="_Toc394500788"/>
      <w:bookmarkStart w:id="14970" w:name="_Toc394500993"/>
      <w:bookmarkStart w:id="14971" w:name="_Toc394502192"/>
      <w:bookmarkStart w:id="14972" w:name="_Toc394502390"/>
      <w:bookmarkStart w:id="14973" w:name="_Toc394503094"/>
      <w:bookmarkStart w:id="14974" w:name="_Toc394503749"/>
      <w:bookmarkStart w:id="14975" w:name="_Toc394502638"/>
      <w:bookmarkStart w:id="14976" w:name="_Toc394502838"/>
      <w:bookmarkStart w:id="14977" w:name="_Toc394505845"/>
      <w:bookmarkStart w:id="14978" w:name="_Toc394506167"/>
      <w:bookmarkStart w:id="14979" w:name="_Toc394506304"/>
      <w:bookmarkStart w:id="14980" w:name="_Toc394506505"/>
      <w:bookmarkStart w:id="14981" w:name="_Toc394506858"/>
      <w:bookmarkStart w:id="14982" w:name="_Toc394507059"/>
      <w:bookmarkStart w:id="14983" w:name="_Toc394560935"/>
      <w:bookmarkStart w:id="14984" w:name="_Toc394561136"/>
      <w:bookmarkStart w:id="14985" w:name="_Toc394561396"/>
      <w:bookmarkStart w:id="14986" w:name="_Toc394561970"/>
      <w:bookmarkStart w:id="14987" w:name="_Toc394582975"/>
      <w:bookmarkStart w:id="14988" w:name="_Toc394585646"/>
      <w:bookmarkStart w:id="14989" w:name="_Toc394586112"/>
      <w:bookmarkStart w:id="14990" w:name="_Toc394588044"/>
      <w:bookmarkStart w:id="14991" w:name="_Toc394588879"/>
      <w:bookmarkStart w:id="14992" w:name="_Toc394589004"/>
      <w:bookmarkStart w:id="14993" w:name="_Toc394590420"/>
      <w:bookmarkStart w:id="14994" w:name="_Toc394590613"/>
      <w:bookmarkStart w:id="14995" w:name="_Toc394654514"/>
      <w:bookmarkStart w:id="14996" w:name="_Toc394654672"/>
      <w:bookmarkStart w:id="14997" w:name="_Toc394656214"/>
      <w:bookmarkStart w:id="14998" w:name="_Toc394656371"/>
      <w:bookmarkStart w:id="14999" w:name="_Toc394659351"/>
      <w:bookmarkStart w:id="15000" w:name="_Toc394659509"/>
      <w:bookmarkStart w:id="15001" w:name="_Toc394663363"/>
      <w:bookmarkStart w:id="15002" w:name="_Toc394663519"/>
      <w:bookmarkStart w:id="15003" w:name="_Toc394667157"/>
      <w:bookmarkStart w:id="15004" w:name="_Toc394667313"/>
      <w:bookmarkStart w:id="15005" w:name="_Toc394671636"/>
      <w:bookmarkStart w:id="15006" w:name="_Toc394671796"/>
      <w:bookmarkStart w:id="15007" w:name="_Toc394674638"/>
      <w:bookmarkStart w:id="15008" w:name="_Toc394674801"/>
      <w:bookmarkStart w:id="15009" w:name="_Toc394674915"/>
      <w:bookmarkStart w:id="15010" w:name="_Toc394675081"/>
      <w:bookmarkStart w:id="15011" w:name="_Toc394676026"/>
      <w:bookmarkStart w:id="15012" w:name="_Toc394676188"/>
      <w:bookmarkStart w:id="15013" w:name="_Toc394675714"/>
      <w:bookmarkStart w:id="15014" w:name="_Toc394675877"/>
      <w:bookmarkStart w:id="15015" w:name="_Toc394918277"/>
      <w:bookmarkStart w:id="15016" w:name="_Toc394918791"/>
      <w:bookmarkStart w:id="15017" w:name="_Toc394933676"/>
      <w:bookmarkStart w:id="15018" w:name="_Toc394937646"/>
      <w:bookmarkStart w:id="15019" w:name="_Toc394937907"/>
      <w:bookmarkStart w:id="15020" w:name="_Toc394941035"/>
      <w:bookmarkStart w:id="15021" w:name="_Toc394941277"/>
      <w:bookmarkStart w:id="15022" w:name="_Toc394941536"/>
      <w:bookmarkStart w:id="15023" w:name="_Toc394939872"/>
      <w:bookmarkStart w:id="15024" w:name="_Toc394940115"/>
      <w:bookmarkStart w:id="15025" w:name="_Toc394940374"/>
      <w:bookmarkStart w:id="15026" w:name="_Toc394993622"/>
      <w:bookmarkStart w:id="15027" w:name="_Toc394997794"/>
      <w:bookmarkStart w:id="15028" w:name="_Toc394998060"/>
      <w:bookmarkStart w:id="15029" w:name="_Toc394930763"/>
      <w:bookmarkStart w:id="15030" w:name="_Toc394938123"/>
      <w:bookmarkStart w:id="15031" w:name="_Toc394938366"/>
      <w:bookmarkStart w:id="15032" w:name="_Toc394938625"/>
      <w:bookmarkStart w:id="15033" w:name="_Toc394941651"/>
      <w:bookmarkStart w:id="15034" w:name="_Toc394941893"/>
      <w:bookmarkStart w:id="15035" w:name="_Toc394942152"/>
      <w:bookmarkStart w:id="15036" w:name="_Toc394939484"/>
      <w:bookmarkStart w:id="15037" w:name="_Toc394939725"/>
      <w:bookmarkStart w:id="15038" w:name="_Toc394940588"/>
      <w:bookmarkStart w:id="15039" w:name="_Toc394995503"/>
      <w:bookmarkStart w:id="15040" w:name="_Toc394995817"/>
      <w:bookmarkStart w:id="15041" w:name="_Toc394996068"/>
      <w:bookmarkStart w:id="15042" w:name="_Toc395011761"/>
      <w:bookmarkStart w:id="15043" w:name="_Toc395010161"/>
      <w:bookmarkStart w:id="15044" w:name="_Toc395010402"/>
      <w:bookmarkStart w:id="15045" w:name="_Toc395010003"/>
      <w:bookmarkStart w:id="15046" w:name="_Toc395011529"/>
      <w:bookmarkStart w:id="15047" w:name="_Toc395012347"/>
      <w:bookmarkStart w:id="15048" w:name="_Toc395012586"/>
      <w:bookmarkStart w:id="15049" w:name="_Toc395012937"/>
      <w:bookmarkStart w:id="15050" w:name="_Toc395010752"/>
      <w:bookmarkStart w:id="15051" w:name="_Toc395010993"/>
      <w:bookmarkStart w:id="15052" w:name="_Toc395012225"/>
      <w:bookmarkStart w:id="15053" w:name="_Toc395013049"/>
      <w:bookmarkStart w:id="15054" w:name="_Toc395012051"/>
      <w:bookmarkStart w:id="15055" w:name="_Toc395014390"/>
      <w:bookmarkStart w:id="15056" w:name="_Toc395014626"/>
      <w:bookmarkStart w:id="15057" w:name="_Toc395013217"/>
      <w:bookmarkStart w:id="15058" w:name="_Toc395084739"/>
      <w:bookmarkStart w:id="15059" w:name="_Toc395085040"/>
      <w:bookmarkStart w:id="15060" w:name="_Toc395090256"/>
      <w:bookmarkStart w:id="15061" w:name="_Toc395090506"/>
      <w:bookmarkStart w:id="15062" w:name="_Toc395090735"/>
      <w:bookmarkStart w:id="15063" w:name="_Toc395092624"/>
      <w:bookmarkStart w:id="15064" w:name="_Toc395092836"/>
      <w:bookmarkStart w:id="15065" w:name="_Toc395093090"/>
      <w:bookmarkStart w:id="15066" w:name="_Toc395093318"/>
      <w:bookmarkStart w:id="15067" w:name="_Toc395097747"/>
      <w:bookmarkStart w:id="15068" w:name="_Toc395098002"/>
      <w:bookmarkStart w:id="15069" w:name="_Toc395098228"/>
      <w:bookmarkStart w:id="15070" w:name="_Toc395105413"/>
      <w:bookmarkStart w:id="15071" w:name="_Toc395106186"/>
      <w:bookmarkStart w:id="15072" w:name="_Toc395107016"/>
      <w:bookmarkStart w:id="15073" w:name="_Toc395109888"/>
      <w:bookmarkStart w:id="15074" w:name="_Toc395109674"/>
      <w:bookmarkStart w:id="15075" w:name="_Toc395109779"/>
      <w:bookmarkStart w:id="15076" w:name="_Toc395111891"/>
      <w:bookmarkStart w:id="15077" w:name="_Toc395112156"/>
      <w:bookmarkStart w:id="15078" w:name="_Toc395112379"/>
      <w:bookmarkStart w:id="15079" w:name="_Toc395106811"/>
      <w:bookmarkStart w:id="15080" w:name="_Toc395107298"/>
      <w:bookmarkStart w:id="15081" w:name="_Toc395107524"/>
      <w:bookmarkStart w:id="15082" w:name="_Toc395109479"/>
      <w:bookmarkStart w:id="15083" w:name="_Toc395108571"/>
      <w:bookmarkStart w:id="15084" w:name="_Toc395108859"/>
      <w:bookmarkStart w:id="15085" w:name="_Toc395113811"/>
      <w:bookmarkStart w:id="15086" w:name="_Toc395114099"/>
      <w:bookmarkStart w:id="15087" w:name="_Toc395114331"/>
      <w:bookmarkStart w:id="15088" w:name="_Toc395116547"/>
      <w:bookmarkStart w:id="15089" w:name="_Toc395116836"/>
      <w:bookmarkStart w:id="15090" w:name="_Toc395117069"/>
      <w:bookmarkStart w:id="15091" w:name="_Toc395112484"/>
      <w:bookmarkStart w:id="15092" w:name="_Toc395112773"/>
      <w:bookmarkStart w:id="15093" w:name="_Toc395113187"/>
      <w:bookmarkStart w:id="15094" w:name="_Toc395115023"/>
      <w:bookmarkStart w:id="15095" w:name="_Toc395115313"/>
      <w:bookmarkStart w:id="15096" w:name="_Toc395115546"/>
      <w:bookmarkStart w:id="15097" w:name="_Toc395118178"/>
      <w:bookmarkStart w:id="15098" w:name="_Toc395118465"/>
      <w:bookmarkStart w:id="15099" w:name="_Toc395118696"/>
      <w:bookmarkStart w:id="15100" w:name="_Toc395178388"/>
      <w:bookmarkStart w:id="15101" w:name="_Toc395178720"/>
      <w:bookmarkStart w:id="15102" w:name="_Toc395624659"/>
      <w:bookmarkStart w:id="15103" w:name="_Toc395624877"/>
      <w:bookmarkStart w:id="15104" w:name="_Toc395789731"/>
      <w:bookmarkStart w:id="15105" w:name="_Toc395790010"/>
      <w:bookmarkStart w:id="15106" w:name="_Toc395800768"/>
      <w:bookmarkStart w:id="15107" w:name="_Toc395802859"/>
      <w:bookmarkStart w:id="15108" w:name="_Toc395867617"/>
      <w:bookmarkStart w:id="15109" w:name="_Toc395868526"/>
      <w:bookmarkStart w:id="15110" w:name="_Toc395868749"/>
      <w:bookmarkStart w:id="15111" w:name="_Toc395879130"/>
      <w:bookmarkStart w:id="15112" w:name="_Toc395882032"/>
      <w:bookmarkStart w:id="15113" w:name="_Toc395882254"/>
      <w:bookmarkStart w:id="15114" w:name="_Toc395878266"/>
      <w:bookmarkStart w:id="15115" w:name="_Toc395882363"/>
      <w:bookmarkStart w:id="15116" w:name="_Toc395882585"/>
      <w:bookmarkStart w:id="15117" w:name="_Toc395880527"/>
      <w:bookmarkStart w:id="15118" w:name="_Toc395884023"/>
      <w:bookmarkStart w:id="15119" w:name="_Toc395880756"/>
      <w:bookmarkStart w:id="15120" w:name="_Toc395884463"/>
      <w:bookmarkStart w:id="15121" w:name="_Toc395884685"/>
      <w:bookmarkStart w:id="15122" w:name="_Toc395883172"/>
      <w:bookmarkStart w:id="15123" w:name="_Toc395883394"/>
      <w:bookmarkStart w:id="15124" w:name="_Toc395883502"/>
      <w:bookmarkStart w:id="15125" w:name="_Toc395883724"/>
      <w:bookmarkStart w:id="15126" w:name="_Toc395884804"/>
      <w:bookmarkStart w:id="15127" w:name="_Toc396123833"/>
      <w:bookmarkStart w:id="15128" w:name="_Toc396130736"/>
      <w:bookmarkStart w:id="15129" w:name="_Toc396136314"/>
      <w:bookmarkStart w:id="15130" w:name="_Toc396138768"/>
      <w:bookmarkStart w:id="15131" w:name="_Toc396144029"/>
      <w:bookmarkStart w:id="15132" w:name="_Toc396145538"/>
      <w:bookmarkStart w:id="15133" w:name="_Toc396145682"/>
      <w:bookmarkStart w:id="15134" w:name="_Toc396145964"/>
      <w:bookmarkStart w:id="15135" w:name="_Toc396147504"/>
      <w:bookmarkStart w:id="15136" w:name="_Toc396147790"/>
      <w:bookmarkStart w:id="15137" w:name="_Toc396149046"/>
      <w:bookmarkStart w:id="15138" w:name="_Toc396148760"/>
      <w:bookmarkStart w:id="15139" w:name="_Toc396149541"/>
      <w:bookmarkStart w:id="15140" w:name="_Toc396149186"/>
      <w:bookmarkStart w:id="15141" w:name="_Toc396149472"/>
      <w:bookmarkStart w:id="15142" w:name="_Toc396149149"/>
      <w:bookmarkStart w:id="15143" w:name="_Toc396149894"/>
      <w:bookmarkStart w:id="15144" w:name="_Toc396149644"/>
      <w:bookmarkStart w:id="15145" w:name="_Toc396150485"/>
      <w:bookmarkStart w:id="15146" w:name="_Toc396151374"/>
      <w:bookmarkStart w:id="15147" w:name="_Toc396151668"/>
      <w:bookmarkStart w:id="15148" w:name="_Toc396201595"/>
      <w:bookmarkStart w:id="15149" w:name="_Toc396202385"/>
      <w:bookmarkStart w:id="15150" w:name="_Toc396202680"/>
      <w:bookmarkStart w:id="15151" w:name="_Toc396203297"/>
      <w:bookmarkStart w:id="15152" w:name="_Toc396206593"/>
      <w:bookmarkStart w:id="15153" w:name="_Toc396206887"/>
      <w:bookmarkStart w:id="15154" w:name="_Toc396209421"/>
      <w:bookmarkStart w:id="15155" w:name="_Toc396209715"/>
      <w:bookmarkStart w:id="15156" w:name="_Toc396211845"/>
      <w:bookmarkStart w:id="15157" w:name="_Toc396212139"/>
      <w:bookmarkStart w:id="15158" w:name="_Toc396213189"/>
      <w:bookmarkStart w:id="15159" w:name="_Toc396213481"/>
      <w:bookmarkStart w:id="15160" w:name="_Toc396214032"/>
      <w:bookmarkStart w:id="15161" w:name="_Toc396214467"/>
      <w:bookmarkStart w:id="15162" w:name="_Toc396214757"/>
      <w:bookmarkStart w:id="15163" w:name="_Toc396220317"/>
      <w:bookmarkStart w:id="15164" w:name="_Toc396226579"/>
      <w:bookmarkStart w:id="15165" w:name="_Toc396226868"/>
      <w:bookmarkStart w:id="15166" w:name="_Toc396228779"/>
      <w:bookmarkStart w:id="15167" w:name="_Toc396229074"/>
      <w:bookmarkStart w:id="15168" w:name="_Toc396230421"/>
      <w:bookmarkStart w:id="15169" w:name="_Toc396230716"/>
      <w:bookmarkStart w:id="15170" w:name="_Toc396231858"/>
      <w:bookmarkStart w:id="15171" w:name="_Toc396233201"/>
      <w:bookmarkStart w:id="15172" w:name="_Toc396233498"/>
      <w:bookmarkStart w:id="15173" w:name="_Toc396234021"/>
      <w:bookmarkStart w:id="15174" w:name="_Toc396234318"/>
      <w:bookmarkStart w:id="15175" w:name="_Toc396234431"/>
      <w:bookmarkStart w:id="15176" w:name="_Toc396236165"/>
      <w:bookmarkStart w:id="15177" w:name="_Toc396235943"/>
      <w:bookmarkStart w:id="15178" w:name="_Toc396236553"/>
      <w:bookmarkStart w:id="15179" w:name="_Toc396237072"/>
      <w:bookmarkStart w:id="15180" w:name="_Toc396397415"/>
      <w:bookmarkStart w:id="15181" w:name="_Toc396304596"/>
      <w:bookmarkStart w:id="15182" w:name="_Toc396586131"/>
      <w:bookmarkStart w:id="15183" w:name="_Toc396815152"/>
      <w:bookmarkStart w:id="15184" w:name="_Toc396821101"/>
      <w:bookmarkStart w:id="15185" w:name="_Toc396821709"/>
      <w:bookmarkStart w:id="15186" w:name="_Toc396827559"/>
      <w:bookmarkStart w:id="15187" w:name="_Toc396828530"/>
      <w:bookmarkStart w:id="15188" w:name="_Toc396828640"/>
      <w:bookmarkStart w:id="15189" w:name="_Toc396838029"/>
      <w:bookmarkStart w:id="15190" w:name="_Toc396838427"/>
      <w:bookmarkStart w:id="15191" w:name="_Toc396904750"/>
      <w:bookmarkStart w:id="15192" w:name="_Toc396907584"/>
      <w:bookmarkStart w:id="15193" w:name="_Toc396912503"/>
      <w:bookmarkStart w:id="15194" w:name="_Toc396914483"/>
      <w:bookmarkStart w:id="15195" w:name="_Toc396915367"/>
      <w:bookmarkStart w:id="15196" w:name="_Toc396915761"/>
      <w:bookmarkStart w:id="15197" w:name="_Toc396921072"/>
      <w:bookmarkStart w:id="15198" w:name="_Toc396924412"/>
      <w:bookmarkStart w:id="15199" w:name="_Toc396925106"/>
      <w:bookmarkStart w:id="15200" w:name="_Toc396992226"/>
      <w:bookmarkStart w:id="15201" w:name="_Toc396992805"/>
      <w:bookmarkStart w:id="15202" w:name="_Toc396994469"/>
      <w:bookmarkStart w:id="15203" w:name="_Toc397002240"/>
      <w:bookmarkStart w:id="15204" w:name="_Toc397003159"/>
      <w:bookmarkStart w:id="15205" w:name="_Toc397008717"/>
      <w:bookmarkStart w:id="15206" w:name="_Toc397008935"/>
      <w:bookmarkStart w:id="15207" w:name="_Toc397011607"/>
      <w:bookmarkStart w:id="15208" w:name="_Toc397012669"/>
      <w:bookmarkStart w:id="15209" w:name="_Toc397015011"/>
      <w:bookmarkStart w:id="15210" w:name="_Toc397015498"/>
      <w:bookmarkStart w:id="15211" w:name="_Toc397070568"/>
      <w:bookmarkStart w:id="15212" w:name="_Toc397413309"/>
      <w:bookmarkStart w:id="15213" w:name="_Toc397413456"/>
      <w:bookmarkStart w:id="15214" w:name="_Toc397428039"/>
      <w:bookmarkStart w:id="15215" w:name="_Toc397439427"/>
      <w:bookmarkStart w:id="15216" w:name="_Toc397439597"/>
      <w:bookmarkStart w:id="15217" w:name="_Toc397439853"/>
      <w:bookmarkStart w:id="15218" w:name="_Toc397440155"/>
      <w:bookmarkStart w:id="15219" w:name="_Toc397441784"/>
      <w:bookmarkStart w:id="15220" w:name="_Toc397517486"/>
      <w:bookmarkStart w:id="15221" w:name="_Toc397522751"/>
      <w:bookmarkStart w:id="15222" w:name="_Toc397526169"/>
      <w:bookmarkStart w:id="15223" w:name="_Toc397528484"/>
      <w:bookmarkStart w:id="15224" w:name="_Toc397528959"/>
      <w:bookmarkStart w:id="15225" w:name="_Toc397601956"/>
      <w:bookmarkStart w:id="15226" w:name="_Toc397602691"/>
      <w:bookmarkStart w:id="15227" w:name="_Toc397605820"/>
      <w:bookmarkStart w:id="15228" w:name="_Toc397614521"/>
      <w:bookmarkStart w:id="15229" w:name="_Toc397614964"/>
      <w:bookmarkStart w:id="15230" w:name="_Toc397616407"/>
      <w:bookmarkStart w:id="15231" w:name="_Toc397616801"/>
      <w:bookmarkStart w:id="15232" w:name="_Toc397688099"/>
      <w:bookmarkStart w:id="15233" w:name="_Toc397689315"/>
      <w:bookmarkStart w:id="15234" w:name="_Toc397694595"/>
      <w:bookmarkStart w:id="15235" w:name="_Toc397696436"/>
      <w:bookmarkStart w:id="15236" w:name="_Toc397697170"/>
      <w:bookmarkStart w:id="15237" w:name="_Toc397698457"/>
      <w:bookmarkStart w:id="15238" w:name="_Toc397699823"/>
      <w:bookmarkStart w:id="15239" w:name="_Toc397700277"/>
      <w:bookmarkStart w:id="15240" w:name="_Toc397936669"/>
      <w:bookmarkStart w:id="15241" w:name="_Toc397936789"/>
      <w:bookmarkStart w:id="15242" w:name="_Toc397945945"/>
      <w:bookmarkStart w:id="15243" w:name="_Toc397946971"/>
      <w:bookmarkStart w:id="15244" w:name="_Toc397948090"/>
      <w:bookmarkStart w:id="15245" w:name="_Toc397958496"/>
      <w:bookmarkStart w:id="15246" w:name="_Toc397958738"/>
      <w:bookmarkStart w:id="15247" w:name="_Toc397959153"/>
      <w:bookmarkStart w:id="15248" w:name="_Toc397963006"/>
      <w:bookmarkStart w:id="15249" w:name="_Toc397963372"/>
      <w:bookmarkStart w:id="15250" w:name="_Toc397965449"/>
      <w:bookmarkStart w:id="15251" w:name="_Toc398197387"/>
      <w:bookmarkStart w:id="15252" w:name="_Toc398199890"/>
      <w:bookmarkStart w:id="15253" w:name="_Toc398201604"/>
      <w:bookmarkStart w:id="15254" w:name="_Toc398207209"/>
      <w:bookmarkStart w:id="15255" w:name="_Toc398210482"/>
      <w:bookmarkStart w:id="15256" w:name="_Toc398210996"/>
      <w:bookmarkStart w:id="15257" w:name="_Toc398219804"/>
      <w:bookmarkStart w:id="15258" w:name="_Toc398220179"/>
      <w:bookmarkStart w:id="15259" w:name="_Toc398220566"/>
      <w:bookmarkStart w:id="15260" w:name="_Toc398221644"/>
      <w:bookmarkStart w:id="15261" w:name="_Toc398222330"/>
      <w:bookmarkStart w:id="15262" w:name="_Toc398222642"/>
      <w:bookmarkStart w:id="15263" w:name="_Toc398223059"/>
      <w:bookmarkStart w:id="15264" w:name="_Toc398223438"/>
      <w:bookmarkStart w:id="15265" w:name="_Toc398223565"/>
      <w:bookmarkStart w:id="15266" w:name="_Toc398224373"/>
      <w:bookmarkStart w:id="15267" w:name="_Toc398225710"/>
      <w:bookmarkStart w:id="15268" w:name="_Toc398225835"/>
      <w:bookmarkStart w:id="15269" w:name="_Toc398281322"/>
      <w:bookmarkStart w:id="15270" w:name="_Toc398282181"/>
      <w:bookmarkStart w:id="15271" w:name="_Toc398284851"/>
      <w:bookmarkStart w:id="15272" w:name="_Toc398287320"/>
      <w:bookmarkStart w:id="15273" w:name="_Toc398289203"/>
      <w:bookmarkStart w:id="15274" w:name="_Toc398297200"/>
      <w:bookmarkStart w:id="15275" w:name="_Toc398298674"/>
      <w:bookmarkStart w:id="15276" w:name="_Toc398300375"/>
      <w:bookmarkStart w:id="15277" w:name="_Toc398301272"/>
      <w:bookmarkStart w:id="15278" w:name="_Toc398302457"/>
      <w:bookmarkStart w:id="15279" w:name="_Toc398302620"/>
      <w:bookmarkStart w:id="15280" w:name="_Toc398549134"/>
      <w:bookmarkStart w:id="15281" w:name="_Toc398549384"/>
      <w:bookmarkStart w:id="15282" w:name="_Toc398555803"/>
      <w:bookmarkStart w:id="15283" w:name="_Toc398559007"/>
      <w:bookmarkStart w:id="15284" w:name="_Toc398563493"/>
      <w:bookmarkStart w:id="15285" w:name="_Toc398563626"/>
      <w:bookmarkStart w:id="15286" w:name="_Toc398564025"/>
      <w:bookmarkStart w:id="15287" w:name="_Toc398827354"/>
      <w:bookmarkStart w:id="15288" w:name="_Toc398827548"/>
      <w:bookmarkStart w:id="15289" w:name="s811"/>
      <w:r w:rsidRPr="008625DC">
        <w:rPr>
          <w:lang w:val="en-AU"/>
        </w:rPr>
        <w:t>P</w:t>
      </w:r>
      <w:bookmarkEnd w:id="14936"/>
      <w:bookmarkEnd w:id="14937"/>
      <w:r w:rsidRPr="008625DC">
        <w:rPr>
          <w:lang w:val="en-AU"/>
        </w:rPr>
        <w:t>arallel imports</w:t>
      </w:r>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r w:rsidRPr="008625DC">
        <w:rPr>
          <w:lang w:val="en-AU"/>
        </w:rPr>
        <w:t xml:space="preserve"> </w:t>
      </w:r>
    </w:p>
    <w:bookmarkEnd w:id="15289"/>
    <w:p w14:paraId="6BC0667A" w14:textId="77777777" w:rsidR="001126AD" w:rsidRPr="008625DC" w:rsidRDefault="001126AD" w:rsidP="001126AD">
      <w:r w:rsidRPr="008625DC">
        <w:t xml:space="preserve">An overseas manufacturer of goods can supply goods to different distributors in different countries, license the manufacture of goods to different manufacturers in different countries, or do both. The effect of the supply or licensing arrangements may be that the goods, all of which are genuine, are available for purchase in different countries (including Australia) at different prices. </w:t>
      </w:r>
    </w:p>
    <w:p w14:paraId="4F2859BE" w14:textId="77777777" w:rsidR="001126AD" w:rsidRPr="008625DC" w:rsidRDefault="001126AD" w:rsidP="001126AD">
      <w:r w:rsidRPr="008625DC">
        <w:t>Parallel importing refers to the importation into Australia of genuine goods by someone other than the licensed or authorised distributor or manufacturer in Australia.</w:t>
      </w:r>
      <w:r w:rsidRPr="008625DC">
        <w:rPr>
          <w:rStyle w:val="FootnoteReference"/>
        </w:rPr>
        <w:footnoteReference w:id="49"/>
      </w:r>
      <w:r w:rsidRPr="008625DC">
        <w:t xml:space="preserve"> </w:t>
      </w:r>
    </w:p>
    <w:p w14:paraId="5A07BECA" w14:textId="77777777" w:rsidR="001126AD" w:rsidRPr="008625DC" w:rsidRDefault="001126AD" w:rsidP="001126AD">
      <w:r w:rsidRPr="008625DC">
        <w:t xml:space="preserve">Parallel imports provide an alternative source of supply which promotes competition and can provide consumers with products at lower prices. As such, parallel import restrictions are similar to other import restrictions (such as tariffs) in that they benefit local suppliers by shielding them from international competition. </w:t>
      </w:r>
    </w:p>
    <w:p w14:paraId="762F3361" w14:textId="77777777" w:rsidR="001126AD" w:rsidRPr="008625DC" w:rsidRDefault="001126AD" w:rsidP="001126AD">
      <w:pPr>
        <w:spacing w:after="120"/>
      </w:pPr>
      <w:r w:rsidRPr="008625DC">
        <w:t xml:space="preserve">Parallel imports of goods that are protected by certain forms of IP are currently restricted by legislation. For example, parallel importation of some copyright products, including books, is restricted under the </w:t>
      </w:r>
      <w:r w:rsidRPr="008625DC">
        <w:rPr>
          <w:i/>
        </w:rPr>
        <w:t>Copyright Act 1968</w:t>
      </w:r>
      <w:r w:rsidRPr="008625DC">
        <w:t>.</w:t>
      </w:r>
      <w:r w:rsidRPr="008625DC">
        <w:rPr>
          <w:rStyle w:val="FootnoteReference"/>
        </w:rPr>
        <w:footnoteReference w:id="50"/>
      </w:r>
      <w:r w:rsidRPr="008625DC">
        <w:t xml:space="preserve"> This can be to the detriment of Australian consumers:</w:t>
      </w:r>
    </w:p>
    <w:p w14:paraId="0BD314F1" w14:textId="7F933499" w:rsidR="001126AD" w:rsidRPr="008625DC" w:rsidRDefault="001126AD" w:rsidP="001126AD">
      <w:pPr>
        <w:pStyle w:val="Quotes"/>
      </w:pPr>
      <w:r w:rsidRPr="008625DC">
        <w:t>Such restrictions effectively provide an import monopoly to the domestic distributor and protect owners of the local IP rights from competition. The restrictions may also enable copyright owners to practice international price discrimination to the detriment of Australian consumers. (ACCC</w:t>
      </w:r>
      <w:r w:rsidR="00F0464E" w:rsidRPr="008625DC">
        <w:t xml:space="preserve"> Submission 1</w:t>
      </w:r>
      <w:r w:rsidRPr="008625DC">
        <w:t>, page 60)</w:t>
      </w:r>
    </w:p>
    <w:p w14:paraId="3BD7090A" w14:textId="77777777" w:rsidR="001126AD" w:rsidRPr="008625DC" w:rsidRDefault="001126AD" w:rsidP="001126AD">
      <w:r w:rsidRPr="008625DC">
        <w:lastRenderedPageBreak/>
        <w:t xml:space="preserve">The ACCC also notes that, under the </w:t>
      </w:r>
      <w:r w:rsidRPr="008625DC">
        <w:rPr>
          <w:i/>
        </w:rPr>
        <w:t>Trade Marks Act</w:t>
      </w:r>
      <w:r w:rsidRPr="008625DC">
        <w:t xml:space="preserve"> </w:t>
      </w:r>
      <w:r w:rsidRPr="008625DC">
        <w:rPr>
          <w:i/>
        </w:rPr>
        <w:t>1995</w:t>
      </w:r>
      <w:r w:rsidRPr="008625DC">
        <w:t>, it appears that trade mark owners are able to prevent parallel imports of trade marked goods into Australia by limiting trade mark licences to specific territories.</w:t>
      </w:r>
      <w:r w:rsidRPr="008625DC">
        <w:rPr>
          <w:rStyle w:val="FootnoteReference"/>
        </w:rPr>
        <w:footnoteReference w:id="51"/>
      </w:r>
      <w:r w:rsidRPr="008625DC">
        <w:t xml:space="preserve"> </w:t>
      </w:r>
    </w:p>
    <w:p w14:paraId="438293E8" w14:textId="3FC47569" w:rsidR="001126AD" w:rsidRPr="008625DC" w:rsidRDefault="001126AD" w:rsidP="001126AD">
      <w:r w:rsidRPr="008625DC">
        <w:t>Australia</w:t>
      </w:r>
      <w:r w:rsidR="00C74E19" w:rsidRPr="008625DC">
        <w:t>’</w:t>
      </w:r>
      <w:r w:rsidRPr="008625DC">
        <w:t>s parallel import restrictions have been reviewed many times over the past few decades (Box 8.</w:t>
      </w:r>
      <w:r w:rsidR="008F1DD6" w:rsidRPr="008625DC">
        <w:t>5</w:t>
      </w:r>
      <w:r w:rsidRPr="008625DC">
        <w:t>). Most reviews recommend that parallel import restrictions be removed.</w:t>
      </w:r>
      <w:r w:rsidRPr="008625DC">
        <w:rPr>
          <w:rStyle w:val="FootnoteReference"/>
        </w:rPr>
        <w:footnoteReference w:id="52"/>
      </w:r>
      <w:r w:rsidRPr="008625DC">
        <w:t xml:space="preserve"> General prohibitions regarding parallel imports were removed for sound recordings in 1998 and computer software in 2003. The general prohibition against parallel importing continues to apply to literary works (other than books), dramatic, musical and artistic works, broadcasts and cinematographic films. There is a separate regime for books that allows limited parallel importation.</w:t>
      </w:r>
      <w:r w:rsidRPr="008625DC">
        <w:rPr>
          <w:rStyle w:val="FootnoteReference"/>
        </w:rPr>
        <w:footnoteReference w:id="53"/>
      </w:r>
      <w:r w:rsidRPr="008625DC">
        <w:t xml:space="preserve"> </w:t>
      </w:r>
    </w:p>
    <w:p w14:paraId="03710BDE" w14:textId="1AA6538D" w:rsidR="001126AD" w:rsidRPr="008625DC" w:rsidRDefault="001126AD" w:rsidP="001126AD">
      <w:r w:rsidRPr="008625DC">
        <w:t xml:space="preserve">The ACCC states that it has </w:t>
      </w:r>
      <w:r w:rsidR="00C74E19" w:rsidRPr="008625DC">
        <w:t>‘</w:t>
      </w:r>
      <w:r w:rsidRPr="008625DC">
        <w:t xml:space="preserve">consistently held the view that parallel importation restrictions (via legislation) extend rights to copyright owners beyond what is necessary to address </w:t>
      </w:r>
      <w:r w:rsidR="003B7881" w:rsidRPr="008625DC">
        <w:t>‘</w:t>
      </w:r>
      <w:r w:rsidRPr="008625DC">
        <w:t>free riding</w:t>
      </w:r>
      <w:r w:rsidR="003B7881" w:rsidRPr="008625DC">
        <w:t>’</w:t>
      </w:r>
      <w:r w:rsidRPr="008625DC">
        <w:t xml:space="preserve"> on the creation of IP</w:t>
      </w:r>
      <w:r w:rsidR="00C74E19" w:rsidRPr="008625DC">
        <w:t>’</w:t>
      </w:r>
      <w:r w:rsidRPr="008625DC">
        <w:t xml:space="preserve"> and considers that there is no further economic reason to justify a blanket legislative restriction on parallel imports. (</w:t>
      </w:r>
      <w:r w:rsidR="00F0464E" w:rsidRPr="008625DC">
        <w:t xml:space="preserve">ACCC Submission 1, </w:t>
      </w:r>
      <w:r w:rsidRPr="008625DC">
        <w:t>page 62)</w:t>
      </w:r>
    </w:p>
    <w:p w14:paraId="22E0FC4C" w14:textId="77777777" w:rsidR="001126AD" w:rsidRPr="008625DC" w:rsidRDefault="001126AD" w:rsidP="003B7881">
      <w:pPr>
        <w:spacing w:after="120"/>
      </w:pPr>
      <w:r w:rsidRPr="008625DC">
        <w:t>The International Bar Association says:</w:t>
      </w:r>
    </w:p>
    <w:p w14:paraId="2C3BAF60" w14:textId="423AB3CC" w:rsidR="001126AD" w:rsidRPr="008625DC" w:rsidRDefault="001126AD" w:rsidP="001126AD">
      <w:pPr>
        <w:pStyle w:val="Quotes"/>
      </w:pPr>
      <w:r w:rsidRPr="008625DC">
        <w:t>The dramatic changes to Australian consumers</w:t>
      </w:r>
      <w:r w:rsidR="00C74E19" w:rsidRPr="008625DC">
        <w:t>’</w:t>
      </w:r>
      <w:r w:rsidRPr="008625DC">
        <w:t xml:space="preserve"> retail shopping practices over the past few years, especially through their on</w:t>
      </w:r>
      <w:r w:rsidR="00C74E19" w:rsidRPr="008625DC">
        <w:noBreakHyphen/>
      </w:r>
      <w:r w:rsidRPr="008625DC">
        <w:t>line purchases, has called into question, among other things, existing parallel trade policies, both with respect to copyright and trade mark legal regimes. (</w:t>
      </w:r>
      <w:proofErr w:type="gramStart"/>
      <w:r w:rsidRPr="008625DC">
        <w:t>page</w:t>
      </w:r>
      <w:proofErr w:type="gramEnd"/>
      <w:r w:rsidRPr="008625DC">
        <w:t> 10)</w:t>
      </w:r>
    </w:p>
    <w:p w14:paraId="08C3BF75" w14:textId="6FD9C369" w:rsidR="001126AD" w:rsidRPr="008625DC" w:rsidRDefault="001126AD" w:rsidP="001126AD">
      <w:r w:rsidRPr="008625DC">
        <w:t xml:space="preserve">The Australian National Retailers Association argues that the restrictions are another example of </w:t>
      </w:r>
      <w:r w:rsidR="00C74E19" w:rsidRPr="008625DC">
        <w:t>‘</w:t>
      </w:r>
      <w:r w:rsidRPr="008625DC">
        <w:t>outdated regulations that distort competition amongst retailers</w:t>
      </w:r>
      <w:r w:rsidR="00C74E19" w:rsidRPr="008625DC">
        <w:t>’</w:t>
      </w:r>
      <w:r w:rsidRPr="008625DC">
        <w:t xml:space="preserve"> (page 18), particularly the remaining restrictions on books and some clothing items that feature images. The Co</w:t>
      </w:r>
      <w:r w:rsidR="00C74E19" w:rsidRPr="008625DC">
        <w:noBreakHyphen/>
      </w:r>
      <w:r w:rsidRPr="008625DC">
        <w:t xml:space="preserve">Op also said parallel importation restrictions </w:t>
      </w:r>
      <w:r w:rsidR="00C74E19" w:rsidRPr="008625DC">
        <w:t>‘</w:t>
      </w:r>
      <w:r w:rsidRPr="008625DC">
        <w:t>are effectively an anachronism of a pre digital age</w:t>
      </w:r>
      <w:r w:rsidR="00C74E19" w:rsidRPr="008625DC">
        <w:t>’</w:t>
      </w:r>
      <w:r w:rsidRPr="008625DC">
        <w:t>. (</w:t>
      </w:r>
      <w:proofErr w:type="gramStart"/>
      <w:r w:rsidRPr="008625DC">
        <w:t>page</w:t>
      </w:r>
      <w:proofErr w:type="gramEnd"/>
      <w:r w:rsidRPr="008625DC">
        <w:t xml:space="preserve"> 2)</w:t>
      </w:r>
    </w:p>
    <w:p w14:paraId="5894AD37" w14:textId="3C37EC86" w:rsidR="001126AD" w:rsidRPr="008625DC" w:rsidRDefault="001126AD" w:rsidP="001126AD">
      <w:r w:rsidRPr="008625DC">
        <w:t>Using the example of books, the Australian National Retailers Association says that the increased use of technology and shifting book purchase practices mean that the parallel import restriction is easily circumvented by international competitors, making it difficult for domestic bookstores to compete. According to the Australian National Retailers Association e</w:t>
      </w:r>
      <w:r w:rsidR="00C74E19" w:rsidRPr="008625DC">
        <w:noBreakHyphen/>
      </w:r>
      <w:r w:rsidRPr="008625DC">
        <w:t xml:space="preserve">books are largely imported from overseas distributors (such as Amazon) and not covered by this restriction. Online stores that directly ship books from overseas warehouses to customers, such as Fishpond, can circumvent the restriction because the sale occurs overseas and not in Australia, even though the customer is located here (page 19). </w:t>
      </w:r>
    </w:p>
    <w:p w14:paraId="5AC5FC48" w14:textId="77777777" w:rsidR="001126AD" w:rsidRPr="008625DC" w:rsidRDefault="001126AD" w:rsidP="001126AD">
      <w:r w:rsidRPr="008625DC">
        <w:t>There is some support in submissions for moving to the New Zealand position where all restrictions on parallel imports caused by statute have been abolished.</w:t>
      </w:r>
      <w:r w:rsidRPr="008625DC">
        <w:rPr>
          <w:rStyle w:val="FootnoteReference"/>
        </w:rPr>
        <w:footnoteReference w:id="54"/>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1126AD" w:rsidRPr="008625DC" w14:paraId="770B12DB" w14:textId="77777777" w:rsidTr="005A0741">
        <w:tc>
          <w:tcPr>
            <w:tcW w:w="5000" w:type="pct"/>
            <w:shd w:val="clear" w:color="auto" w:fill="E6E6E6"/>
          </w:tcPr>
          <w:p w14:paraId="786C462C" w14:textId="4921F495" w:rsidR="001126AD" w:rsidRPr="008625DC" w:rsidRDefault="001126AD" w:rsidP="005A0741">
            <w:pPr>
              <w:pStyle w:val="BoxHeading"/>
            </w:pPr>
            <w:r w:rsidRPr="008625DC">
              <w:lastRenderedPageBreak/>
              <w:t>Box 8.</w:t>
            </w:r>
            <w:r w:rsidR="008F1DD6" w:rsidRPr="008625DC">
              <w:t>5</w:t>
            </w:r>
            <w:r w:rsidRPr="008625DC">
              <w:t>: Examples of recent reviews of Australia</w:t>
            </w:r>
            <w:r w:rsidR="00C74E19" w:rsidRPr="008625DC">
              <w:t>’</w:t>
            </w:r>
            <w:r w:rsidRPr="008625DC">
              <w:t>s parallel import restrictions</w:t>
            </w:r>
          </w:p>
          <w:p w14:paraId="6CCCF507" w14:textId="6D84E161" w:rsidR="001126AD" w:rsidRPr="008625DC" w:rsidRDefault="001126AD" w:rsidP="005A0741">
            <w:pPr>
              <w:spacing w:after="120"/>
            </w:pPr>
            <w:r w:rsidRPr="008625DC">
              <w:t xml:space="preserve">A PC inquiry into provisions of the </w:t>
            </w:r>
            <w:r w:rsidRPr="008625DC">
              <w:rPr>
                <w:i/>
              </w:rPr>
              <w:t>Copyright Act 1968</w:t>
            </w:r>
            <w:r w:rsidRPr="008625DC">
              <w:t xml:space="preserve"> that restrict the parallel importation of books found that the restrictions impose a private implicit tax on Australian consumers which is used largely to subsidise foreign copyright holders.</w:t>
            </w:r>
            <w:r w:rsidRPr="008625DC">
              <w:rPr>
                <w:rStyle w:val="FootnoteReference"/>
              </w:rPr>
              <w:footnoteReference w:id="55"/>
            </w:r>
          </w:p>
          <w:p w14:paraId="0DE0EEBA" w14:textId="7B6AA632" w:rsidR="001126AD" w:rsidRPr="008625DC" w:rsidRDefault="001126AD" w:rsidP="005A0741">
            <w:pPr>
              <w:pStyle w:val="Bullet"/>
            </w:pPr>
            <w:r w:rsidRPr="008625DC">
              <w:t>Price comparisons found that, in 2007</w:t>
            </w:r>
            <w:r w:rsidR="00C74E19" w:rsidRPr="008625DC">
              <w:noBreakHyphen/>
            </w:r>
            <w:r w:rsidRPr="008625DC">
              <w:t>08, a selection of around 350 trade books sold in Australia were on average 35 per cent more expensive than editions sold in the US (after accounting for the effects of GST). In many cases, the price difference was greater than 50 per cent.</w:t>
            </w:r>
            <w:r w:rsidRPr="008625DC">
              <w:rPr>
                <w:rStyle w:val="FootnoteReference"/>
              </w:rPr>
              <w:footnoteReference w:id="56"/>
            </w:r>
          </w:p>
          <w:p w14:paraId="09331FAE" w14:textId="3A4E336D" w:rsidR="001126AD" w:rsidRPr="008625DC" w:rsidRDefault="001126AD" w:rsidP="005A0741">
            <w:r w:rsidRPr="008625DC">
              <w:t>The PC also found that parallel import restrictions poorly target cultural externalities and much of the assistance provided by the restrictions does not promote Australian</w:t>
            </w:r>
            <w:r w:rsidR="00C74E19" w:rsidRPr="008625DC">
              <w:noBreakHyphen/>
            </w:r>
            <w:r w:rsidRPr="008625DC">
              <w:t>authored work. PC estimates suggest that the additional income flowing overseas is around 1.5 times that retained by local copyright holders. The PC recommended that Australia</w:t>
            </w:r>
            <w:r w:rsidR="00C74E19" w:rsidRPr="008625DC">
              <w:t>’</w:t>
            </w:r>
            <w:r w:rsidRPr="008625DC">
              <w:t xml:space="preserve">s parallel import restrictions on books be repealed and (because of the significant adjustment costs for book producers) that the repeal take effect three years after the announcement of the policy change. </w:t>
            </w:r>
          </w:p>
          <w:p w14:paraId="0952FBFA" w14:textId="77777777" w:rsidR="001126AD" w:rsidRPr="008625DC" w:rsidRDefault="001126AD" w:rsidP="005A0741">
            <w:r w:rsidRPr="008625DC">
              <w:t>A PC inquiry into the Australian Retail Industry</w:t>
            </w:r>
            <w:r w:rsidRPr="008625DC">
              <w:rPr>
                <w:rStyle w:val="FootnoteReference"/>
              </w:rPr>
              <w:footnoteReference w:id="57"/>
            </w:r>
            <w:r w:rsidRPr="008625DC">
              <w:t xml:space="preserve"> found that international price discrimination is being practised against some Australian retailers, to the detriment of Australian consumers. The PC stated that some Australian retailers have the option of altering their supply arrangements — either by putting pressure on existing international suppliers and distributors or else changing their supply channels.</w:t>
            </w:r>
          </w:p>
          <w:p w14:paraId="4F996E46" w14:textId="5B42C6E6" w:rsidR="001126AD" w:rsidRPr="008625DC" w:rsidRDefault="001126AD" w:rsidP="005A0741">
            <w:r w:rsidRPr="008625DC">
              <w:t>The PC recommended a review of the parallel import restrictions which prevent retailers from importing and selling clothing or other goods which embody decorative graphic images sold with the copyright owner</w:t>
            </w:r>
            <w:r w:rsidR="00C74E19" w:rsidRPr="008625DC">
              <w:t>’</w:t>
            </w:r>
            <w:r w:rsidRPr="008625DC">
              <w:t>s permission in another market.</w:t>
            </w:r>
            <w:r w:rsidRPr="008625DC">
              <w:rPr>
                <w:rStyle w:val="FootnoteReference"/>
              </w:rPr>
              <w:footnoteReference w:id="58"/>
            </w:r>
            <w:r w:rsidRPr="008625DC">
              <w:t xml:space="preserve"> </w:t>
            </w:r>
          </w:p>
          <w:p w14:paraId="4C286612" w14:textId="77777777" w:rsidR="001126AD" w:rsidRPr="008625DC" w:rsidRDefault="001126AD" w:rsidP="005A0741">
            <w:r w:rsidRPr="008625DC">
              <w:t xml:space="preserve">The House of Representatives Standing Committee on Infrastructure and Communications Inquiry into IT Pricing recommended that the parallel importation restrictions still found in the </w:t>
            </w:r>
            <w:r w:rsidRPr="008625DC">
              <w:rPr>
                <w:i/>
              </w:rPr>
              <w:t>Copyright Act 1968</w:t>
            </w:r>
            <w:r w:rsidRPr="008625DC">
              <w:t xml:space="preserve"> be lifted, and that the parallel importation defence in the </w:t>
            </w:r>
            <w:r w:rsidRPr="008625DC">
              <w:rPr>
                <w:i/>
              </w:rPr>
              <w:t>Trade Marks Act</w:t>
            </w:r>
            <w:r w:rsidRPr="008625DC">
              <w:t xml:space="preserve"> </w:t>
            </w:r>
            <w:r w:rsidRPr="008625DC">
              <w:rPr>
                <w:i/>
              </w:rPr>
              <w:t xml:space="preserve">1995 </w:t>
            </w:r>
            <w:r w:rsidRPr="008625DC">
              <w:t>be reviewed and broadened to ensure that it is effective in allowing the importation of genuine goods.</w:t>
            </w:r>
            <w:r w:rsidRPr="008625DC">
              <w:rPr>
                <w:rStyle w:val="FootnoteReference"/>
              </w:rPr>
              <w:footnoteReference w:id="59"/>
            </w:r>
            <w:r w:rsidRPr="008625DC">
              <w:t xml:space="preserve"> </w:t>
            </w:r>
          </w:p>
          <w:p w14:paraId="44E096EE" w14:textId="7C57630F" w:rsidR="001126AD" w:rsidRPr="008625DC" w:rsidRDefault="001126AD" w:rsidP="005A0741">
            <w:r w:rsidRPr="008625DC">
              <w:t>The PC</w:t>
            </w:r>
            <w:r w:rsidR="00C74E19" w:rsidRPr="008625DC">
              <w:t>’</w:t>
            </w:r>
            <w:r w:rsidRPr="008625DC">
              <w:t>s report on Australia</w:t>
            </w:r>
            <w:r w:rsidR="00C74E19" w:rsidRPr="008625DC">
              <w:t>’</w:t>
            </w:r>
            <w:r w:rsidRPr="008625DC">
              <w:t>s Automotive Manufacturing Industry recommends progressively relaxing the restrictions on the importation of second</w:t>
            </w:r>
            <w:r w:rsidR="00C74E19" w:rsidRPr="008625DC">
              <w:noBreakHyphen/>
            </w:r>
            <w:r w:rsidRPr="008625DC">
              <w:t>hand passenger and light commercial vehicles (not to commence before 2018) and that the new arrangements be preceded by a regulatory compliance framework that includes measures to provide appropriate levels of community safety, environmental performance and consumer protection.</w:t>
            </w:r>
            <w:r w:rsidRPr="008625DC">
              <w:rPr>
                <w:rStyle w:val="FootnoteReference"/>
              </w:rPr>
              <w:footnoteReference w:id="60"/>
            </w:r>
            <w:r w:rsidRPr="008625DC">
              <w:t xml:space="preserve"> </w:t>
            </w:r>
          </w:p>
        </w:tc>
      </w:tr>
    </w:tbl>
    <w:p w14:paraId="34EC85FE" w14:textId="77777777" w:rsidR="003B7881" w:rsidRPr="008625DC" w:rsidRDefault="003B7881" w:rsidP="003B7881">
      <w:pPr>
        <w:spacing w:before="240"/>
      </w:pPr>
    </w:p>
    <w:p w14:paraId="7EDF590F" w14:textId="0E625F9F" w:rsidR="001126AD" w:rsidRPr="008625DC" w:rsidRDefault="001126AD" w:rsidP="003B7881">
      <w:pPr>
        <w:spacing w:before="240"/>
      </w:pPr>
      <w:r w:rsidRPr="008625DC">
        <w:lastRenderedPageBreak/>
        <w:t>Other submitters do not support removing the remaining restrictions on parallel importation, noting that business models for copyright indus</w:t>
      </w:r>
      <w:r w:rsidR="005A249A">
        <w:t>tries are generally focus</w:t>
      </w:r>
      <w:r w:rsidRPr="008625DC">
        <w:t>ed on digital rather than hard copy goods, and there are few remaining restrictions on parallel importation in Australian copyright law. It is argued that, where restrictions remain, they serve sound policy objectives.</w:t>
      </w:r>
      <w:r w:rsidRPr="008625DC">
        <w:rPr>
          <w:rStyle w:val="FootnoteReference"/>
        </w:rPr>
        <w:footnoteReference w:id="61"/>
      </w:r>
    </w:p>
    <w:p w14:paraId="59689E3E" w14:textId="77777777" w:rsidR="001126AD" w:rsidRPr="008625DC" w:rsidRDefault="001126AD" w:rsidP="003B7881">
      <w:pPr>
        <w:spacing w:after="120"/>
      </w:pPr>
      <w:r w:rsidRPr="008625DC">
        <w:t>Concerns are raised in submissions about parallel imports on health and safety grounds and the impact on the environment. For example:</w:t>
      </w:r>
    </w:p>
    <w:p w14:paraId="1D8B8BDD" w14:textId="22BDBD8C" w:rsidR="001126AD" w:rsidRPr="008625DC" w:rsidRDefault="001126AD" w:rsidP="001126AD">
      <w:pPr>
        <w:pStyle w:val="Bullet"/>
      </w:pPr>
      <w:r w:rsidRPr="008625DC">
        <w:t>the Australian Motor Industry Federation raises concerns about lifting restrictions on the large scale importation of second</w:t>
      </w:r>
      <w:r w:rsidR="00C74E19" w:rsidRPr="008625DC">
        <w:noBreakHyphen/>
      </w:r>
      <w:r w:rsidRPr="008625DC">
        <w:t xml:space="preserve">hand passenger vehicles into Australia — </w:t>
      </w:r>
      <w:r w:rsidR="00C74E19" w:rsidRPr="008625DC">
        <w:t>‘</w:t>
      </w:r>
      <w:r w:rsidRPr="008625DC">
        <w:t>it is surely acknowledged that the risk to consumers can be much higher through potentially sub</w:t>
      </w:r>
      <w:r w:rsidR="00C74E19" w:rsidRPr="008625DC">
        <w:noBreakHyphen/>
      </w:r>
      <w:r w:rsidRPr="008625DC">
        <w:t>standard machinery entering the country than the likely risk of harm for a book, a DVD, or a computer game</w:t>
      </w:r>
      <w:r w:rsidR="00C74E19" w:rsidRPr="008625DC">
        <w:t>’</w:t>
      </w:r>
      <w:r w:rsidRPr="008625DC">
        <w:t xml:space="preserve"> (page 10);</w:t>
      </w:r>
    </w:p>
    <w:p w14:paraId="0D8160E0" w14:textId="79C783C8" w:rsidR="001126AD" w:rsidRPr="008625DC" w:rsidRDefault="001126AD" w:rsidP="003B7881">
      <w:pPr>
        <w:pStyle w:val="Bullet"/>
        <w:spacing w:after="240"/>
      </w:pPr>
      <w:proofErr w:type="gramStart"/>
      <w:r w:rsidRPr="008625DC">
        <w:t>the</w:t>
      </w:r>
      <w:proofErr w:type="gramEnd"/>
      <w:r w:rsidRPr="008625DC">
        <w:t xml:space="preserve"> Federal Chamber of Automotive Industries states that </w:t>
      </w:r>
      <w:r w:rsidR="00C74E19" w:rsidRPr="008625DC">
        <w:t>‘</w:t>
      </w:r>
      <w:r w:rsidRPr="008625DC">
        <w:t>the importation of second</w:t>
      </w:r>
      <w:r w:rsidR="00C74E19" w:rsidRPr="008625DC">
        <w:noBreakHyphen/>
      </w:r>
      <w:r w:rsidRPr="008625DC">
        <w:t>hand vehicles is inconsistent with government policy objectives in other areas such as road safety and the environment</w:t>
      </w:r>
      <w:r w:rsidR="00C74E19" w:rsidRPr="008625DC">
        <w:t>’</w:t>
      </w:r>
      <w:r w:rsidRPr="008625DC">
        <w:t xml:space="preserve">. The Federal Chamber of Automotive Industries also has </w:t>
      </w:r>
      <w:r w:rsidR="00C74E19" w:rsidRPr="008625DC">
        <w:t>‘</w:t>
      </w:r>
      <w:r w:rsidRPr="008625DC">
        <w:t>serious reservations about the government</w:t>
      </w:r>
      <w:r w:rsidR="00C74E19" w:rsidRPr="008625DC">
        <w:t>’</w:t>
      </w:r>
      <w:r w:rsidRPr="008625DC">
        <w:t>s resourcing capacity to adequately police, at the time of importation and subsequently, the safety of used vehicles including compliance with the standards that applied when the vehicle was built and the continued compliance with such standards following any modifications or repair</w:t>
      </w:r>
      <w:r w:rsidR="00C74E19" w:rsidRPr="008625DC">
        <w:t>’</w:t>
      </w:r>
      <w:r w:rsidRPr="008625DC">
        <w:t xml:space="preserve">. (page 3) </w:t>
      </w:r>
    </w:p>
    <w:p w14:paraId="376E1EB5" w14:textId="77777777" w:rsidR="001126AD" w:rsidRPr="008625DC" w:rsidRDefault="001126AD" w:rsidP="003B7881">
      <w:pPr>
        <w:spacing w:after="120"/>
      </w:pPr>
      <w:r w:rsidRPr="008625DC">
        <w:t>Other concerns include:</w:t>
      </w:r>
    </w:p>
    <w:p w14:paraId="169CDB7A" w14:textId="77777777" w:rsidR="001126AD" w:rsidRPr="008625DC" w:rsidRDefault="001126AD" w:rsidP="001126AD">
      <w:pPr>
        <w:pStyle w:val="Bullet"/>
      </w:pPr>
      <w:r w:rsidRPr="008625DC">
        <w:t>counterfeits being mixed with parallel imports;</w:t>
      </w:r>
    </w:p>
    <w:p w14:paraId="1A9C8302" w14:textId="77777777" w:rsidR="001126AD" w:rsidRPr="008625DC" w:rsidRDefault="001126AD" w:rsidP="001126AD">
      <w:pPr>
        <w:pStyle w:val="Bullet"/>
      </w:pPr>
      <w:r w:rsidRPr="008625DC">
        <w:t>consumer protection concerns where the packaging of the local and imported goods are similar but there is a difference in quality or performance</w:t>
      </w:r>
      <w:r w:rsidRPr="008625DC">
        <w:rPr>
          <w:rFonts w:ascii="TT15Ct00" w:hAnsi="TT15Ct00"/>
          <w:color w:val="auto"/>
          <w:sz w:val="23"/>
        </w:rPr>
        <w:t>;</w:t>
      </w:r>
      <w:r w:rsidRPr="008625DC">
        <w:t xml:space="preserve"> and </w:t>
      </w:r>
    </w:p>
    <w:p w14:paraId="015A933C" w14:textId="77777777" w:rsidR="001126AD" w:rsidRPr="008625DC" w:rsidRDefault="001126AD" w:rsidP="001126AD">
      <w:pPr>
        <w:pStyle w:val="Bullet"/>
        <w:spacing w:after="240"/>
      </w:pPr>
      <w:proofErr w:type="gramStart"/>
      <w:r w:rsidRPr="008625DC">
        <w:t>impacts</w:t>
      </w:r>
      <w:proofErr w:type="gramEnd"/>
      <w:r w:rsidRPr="008625DC">
        <w:t xml:space="preserve"> on local distributors (such as warranty issues and recalled products). For example, consumers of parallel imports may seek a repair or replacement under warranty from the licensed distributor in Australia.</w:t>
      </w:r>
      <w:r w:rsidRPr="008625DC">
        <w:rPr>
          <w:rStyle w:val="FootnoteReference"/>
        </w:rPr>
        <w:footnoteReference w:id="62"/>
      </w:r>
    </w:p>
    <w:p w14:paraId="0ACF1E6C" w14:textId="77777777" w:rsidR="001126AD" w:rsidRPr="008625DC" w:rsidRDefault="001126AD" w:rsidP="001126AD">
      <w:r w:rsidRPr="008625DC">
        <w:t>Some stakeholders note that they service or repair products they did not sell because they do not want to risk compromising the reputation of their product or brand.</w:t>
      </w:r>
    </w:p>
    <w:p w14:paraId="46CEBC7F" w14:textId="77777777" w:rsidR="001126AD" w:rsidRPr="008625DC" w:rsidRDefault="001126AD" w:rsidP="003B7881">
      <w:pPr>
        <w:spacing w:after="120"/>
      </w:pPr>
      <w:r w:rsidRPr="008625DC">
        <w:t xml:space="preserve">Consumer education and information disclosure are important in ensuring that consumers are aware of the product they are buying, their warranty rights and their ability to seek a refund when purchasing products from overseas traders. Consumers, when they purchase products online from an offshore supplier, are weighing up the risks associated with not being subject to the same warranties and rights to refund their purchase against the higher priced domestic product (with the warranty and servicing features). As argued by the PC: </w:t>
      </w:r>
    </w:p>
    <w:p w14:paraId="04224060" w14:textId="6D7D231E" w:rsidR="001126AD" w:rsidRPr="008625DC" w:rsidRDefault="001126AD" w:rsidP="001126AD">
      <w:pPr>
        <w:pStyle w:val="Quotes"/>
      </w:pPr>
      <w:r w:rsidRPr="008625DC">
        <w:t xml:space="preserve">In effect, by purchasing the lower priced product online from an offshore supplier, consumers have opted to </w:t>
      </w:r>
      <w:r w:rsidR="00C74E19" w:rsidRPr="008625DC">
        <w:t>‘</w:t>
      </w:r>
      <w:r w:rsidRPr="008625DC">
        <w:t>self insure</w:t>
      </w:r>
      <w:r w:rsidR="00C74E19" w:rsidRPr="008625DC">
        <w:t>’</w:t>
      </w:r>
      <w:r w:rsidRPr="008625DC">
        <w:t xml:space="preserve"> against the potential risk of product failure or defects.</w:t>
      </w:r>
      <w:r w:rsidRPr="008625DC">
        <w:rPr>
          <w:rStyle w:val="FootnoteReference"/>
        </w:rPr>
        <w:footnoteReference w:id="63"/>
      </w:r>
      <w:r w:rsidRPr="008625DC">
        <w:t xml:space="preserve"> </w:t>
      </w:r>
    </w:p>
    <w:p w14:paraId="6D692203" w14:textId="77777777" w:rsidR="00AD56BA" w:rsidRDefault="00AD56BA">
      <w:pPr>
        <w:spacing w:before="0" w:after="0"/>
      </w:pPr>
      <w:r>
        <w:br w:type="page"/>
      </w:r>
    </w:p>
    <w:p w14:paraId="310C51C8" w14:textId="78263917" w:rsidR="001126AD" w:rsidRPr="008625DC" w:rsidRDefault="001126AD" w:rsidP="001126AD">
      <w:r w:rsidRPr="008625DC">
        <w:lastRenderedPageBreak/>
        <w:t>The Panel expects that the market will respond to concerns around parallel imports, including through making consumers aware of what products they are buying (so consumers are not being misled and/or brands damaged if consumers buy goods without realising that they are parallel imports).</w:t>
      </w:r>
    </w:p>
    <w:p w14:paraId="40AA3442" w14:textId="77777777" w:rsidR="001126AD" w:rsidRPr="008625DC" w:rsidRDefault="001126AD" w:rsidP="001126AD">
      <w:r w:rsidRPr="008625DC">
        <w:t xml:space="preserve">The threat of consumers becoming dissatisfied with particular products and/or brands is also likely to motivate international suppliers to rethink their regional arrangements. </w:t>
      </w:r>
    </w:p>
    <w:p w14:paraId="5CA39035" w14:textId="29FE63CD" w:rsidR="001126AD" w:rsidRPr="008625DC" w:rsidRDefault="001126AD" w:rsidP="001126AD">
      <w:r w:rsidRPr="008625DC">
        <w:t>Box 8.</w:t>
      </w:r>
      <w:r w:rsidR="008F1DD6" w:rsidRPr="008625DC">
        <w:t>6</w:t>
      </w:r>
      <w:r w:rsidRPr="008625DC">
        <w:t xml:space="preserve"> describes a dispute between </w:t>
      </w:r>
      <w:r w:rsidR="0015308D" w:rsidRPr="008625DC">
        <w:t>ALDI</w:t>
      </w:r>
      <w:r w:rsidRPr="008625DC">
        <w:t xml:space="preserve"> and Nestle Australia relating to parallel imports. </w:t>
      </w:r>
    </w:p>
    <w:tbl>
      <w:tblPr>
        <w:tblW w:w="9072" w:type="dxa"/>
        <w:tblInd w:w="108" w:type="dxa"/>
        <w:shd w:val="clear" w:color="auto" w:fill="E6E6E6"/>
        <w:tblLook w:val="01E0" w:firstRow="1" w:lastRow="1" w:firstColumn="1" w:lastColumn="1" w:noHBand="0" w:noVBand="0"/>
      </w:tblPr>
      <w:tblGrid>
        <w:gridCol w:w="9072"/>
      </w:tblGrid>
      <w:tr w:rsidR="001126AD" w:rsidRPr="008625DC" w14:paraId="7B7EC5BE" w14:textId="77777777" w:rsidTr="005A0741">
        <w:tc>
          <w:tcPr>
            <w:tcW w:w="5000" w:type="pct"/>
            <w:shd w:val="clear" w:color="auto" w:fill="E6E6E6"/>
          </w:tcPr>
          <w:p w14:paraId="09E01EFE" w14:textId="13F8EFEE" w:rsidR="001126AD" w:rsidRPr="008625DC" w:rsidRDefault="001126AD" w:rsidP="005A0741">
            <w:pPr>
              <w:pStyle w:val="BoxHeading"/>
            </w:pPr>
            <w:r w:rsidRPr="008625DC">
              <w:t>Box 8.</w:t>
            </w:r>
            <w:r w:rsidR="008F1DD6" w:rsidRPr="008625DC">
              <w:t>6</w:t>
            </w:r>
            <w:r w:rsidRPr="008625DC">
              <w:t xml:space="preserve">: </w:t>
            </w:r>
            <w:r w:rsidR="0015308D" w:rsidRPr="008625DC">
              <w:t>ALDI</w:t>
            </w:r>
            <w:r w:rsidR="00C74E19" w:rsidRPr="008625DC">
              <w:t>’</w:t>
            </w:r>
            <w:r w:rsidRPr="008625DC">
              <w:t>s imports of Nescafe coffee</w:t>
            </w:r>
          </w:p>
          <w:p w14:paraId="7611B2AA" w14:textId="58B7DA89" w:rsidR="001126AD" w:rsidRPr="008625DC" w:rsidRDefault="001126AD" w:rsidP="005A0741">
            <w:pPr>
              <w:pStyle w:val="BoxText"/>
            </w:pPr>
            <w:r w:rsidRPr="008625DC">
              <w:t xml:space="preserve">In a 2005 notification to the ACCC, Nestle Australia raised the issue of </w:t>
            </w:r>
            <w:r w:rsidR="0015308D" w:rsidRPr="008625DC">
              <w:t>ALDI</w:t>
            </w:r>
            <w:r w:rsidRPr="008625DC">
              <w:t xml:space="preserve"> selling Nescafe branded instant coffee in its stores sourced from overseas suppliers.</w:t>
            </w:r>
            <w:r w:rsidRPr="008625DC">
              <w:rPr>
                <w:rStyle w:val="FootnoteReference"/>
              </w:rPr>
              <w:footnoteReference w:id="64"/>
            </w:r>
            <w:r w:rsidRPr="008625DC">
              <w:t xml:space="preserve"> </w:t>
            </w:r>
            <w:r w:rsidR="0015308D" w:rsidRPr="008625DC">
              <w:t>ALDI</w:t>
            </w:r>
            <w:r w:rsidRPr="008625DC">
              <w:t xml:space="preserve"> had previously supplied the locally sourced Nescafe </w:t>
            </w:r>
            <w:r w:rsidR="00C74E19" w:rsidRPr="008625DC">
              <w:t>‘</w:t>
            </w:r>
            <w:r w:rsidRPr="008625DC">
              <w:t>Blend 43</w:t>
            </w:r>
            <w:r w:rsidR="00C74E19" w:rsidRPr="008625DC">
              <w:t>’</w:t>
            </w:r>
            <w:r w:rsidRPr="008625DC">
              <w:t>, which was its highest selling instant coffee, but submitted that it resorted to import sourcing as a result of uncompetitive local prices and supply difficulties.</w:t>
            </w:r>
          </w:p>
          <w:p w14:paraId="20000D09" w14:textId="20869494" w:rsidR="001126AD" w:rsidRPr="008625DC" w:rsidRDefault="001126AD" w:rsidP="005A0741">
            <w:pPr>
              <w:pStyle w:val="BoxText"/>
            </w:pPr>
            <w:r w:rsidRPr="008625DC">
              <w:t>The imported coffee did not have the same formulation and taste as instant coffee supplied by Nestle Australia. Nestle Australia submitted that consumers may be misled and/or may form negative views about Nestle Australia</w:t>
            </w:r>
            <w:r w:rsidR="00C74E19" w:rsidRPr="008625DC">
              <w:t>’</w:t>
            </w:r>
            <w:r w:rsidRPr="008625DC">
              <w:t>s products as a result of drinking the imported coffee.</w:t>
            </w:r>
          </w:p>
          <w:p w14:paraId="3D00CDB0" w14:textId="1D789878" w:rsidR="001126AD" w:rsidRPr="008625DC" w:rsidRDefault="0015308D" w:rsidP="005A0741">
            <w:pPr>
              <w:pStyle w:val="BoxText"/>
            </w:pPr>
            <w:r w:rsidRPr="008625DC">
              <w:t>ALDI</w:t>
            </w:r>
            <w:r w:rsidR="001126AD" w:rsidRPr="008625DC">
              <w:t xml:space="preserve"> had taken steps, including in</w:t>
            </w:r>
            <w:r w:rsidR="00C74E19" w:rsidRPr="008625DC">
              <w:noBreakHyphen/>
            </w:r>
            <w:r w:rsidR="001126AD" w:rsidRPr="008625DC">
              <w:t xml:space="preserve">store posters, shelf labels, and stickers on the coffee jars, to alert customers to the fact that the imported Nestle </w:t>
            </w:r>
            <w:r w:rsidR="00C74E19" w:rsidRPr="008625DC">
              <w:t>‘</w:t>
            </w:r>
            <w:r w:rsidR="001126AD" w:rsidRPr="008625DC">
              <w:t>Matinal</w:t>
            </w:r>
            <w:r w:rsidR="00C74E19" w:rsidRPr="008625DC">
              <w:t>’</w:t>
            </w:r>
            <w:r w:rsidR="001126AD" w:rsidRPr="008625DC">
              <w:t xml:space="preserve"> or </w:t>
            </w:r>
            <w:r w:rsidR="00C74E19" w:rsidRPr="008625DC">
              <w:t>‘</w:t>
            </w:r>
            <w:r w:rsidR="001126AD" w:rsidRPr="008625DC">
              <w:t>Classic</w:t>
            </w:r>
            <w:r w:rsidR="00C74E19" w:rsidRPr="008625DC">
              <w:t>’</w:t>
            </w:r>
            <w:r w:rsidR="001126AD" w:rsidRPr="008625DC">
              <w:t xml:space="preserve"> blends were different to the locally sourced Nescafe </w:t>
            </w:r>
            <w:r w:rsidR="00C74E19" w:rsidRPr="008625DC">
              <w:t>‘</w:t>
            </w:r>
            <w:r w:rsidR="001126AD" w:rsidRPr="008625DC">
              <w:t>Blend 43</w:t>
            </w:r>
            <w:r w:rsidR="00C74E19" w:rsidRPr="008625DC">
              <w:t>’</w:t>
            </w:r>
            <w:r w:rsidR="001126AD" w:rsidRPr="008625DC">
              <w:t xml:space="preserve"> product. </w:t>
            </w:r>
            <w:r w:rsidRPr="008625DC">
              <w:t>ALDI</w:t>
            </w:r>
            <w:r w:rsidR="001126AD" w:rsidRPr="008625DC">
              <w:t xml:space="preserve"> also provided a satisfaction guarantee.</w:t>
            </w:r>
          </w:p>
          <w:p w14:paraId="62DFB459" w14:textId="11F4ADD5" w:rsidR="001126AD" w:rsidRPr="008625DC" w:rsidRDefault="001126AD" w:rsidP="005A0741">
            <w:pPr>
              <w:pStyle w:val="BoxText"/>
            </w:pPr>
            <w:r w:rsidRPr="008625DC">
              <w:t xml:space="preserve">However, Nestle Australia submitted that this disclosure was inadequate to address its concerns and it proposed to cease supply of all of its products to </w:t>
            </w:r>
            <w:r w:rsidR="0015308D" w:rsidRPr="008625DC">
              <w:t>ALDI</w:t>
            </w:r>
            <w:r w:rsidRPr="008625DC">
              <w:t xml:space="preserve"> unless </w:t>
            </w:r>
            <w:r w:rsidR="0015308D" w:rsidRPr="008625DC">
              <w:t>ALDI</w:t>
            </w:r>
            <w:r w:rsidRPr="008625DC">
              <w:t xml:space="preserve"> made further disclosures as prescribed by Nestle Australia and published corrective advertisements. </w:t>
            </w:r>
          </w:p>
          <w:p w14:paraId="3B16AB40" w14:textId="266752D8" w:rsidR="001126AD" w:rsidRPr="008625DC" w:rsidRDefault="001126AD" w:rsidP="005A0741">
            <w:pPr>
              <w:pStyle w:val="BoxText"/>
            </w:pPr>
            <w:r w:rsidRPr="008625DC">
              <w:t xml:space="preserve">The ACCC concluded that </w:t>
            </w:r>
            <w:r w:rsidR="0015308D" w:rsidRPr="008625DC">
              <w:t>ALDI</w:t>
            </w:r>
            <w:r w:rsidR="00C74E19" w:rsidRPr="008625DC">
              <w:t>’</w:t>
            </w:r>
            <w:r w:rsidRPr="008625DC">
              <w:t xml:space="preserve">s disclosure was adequate, noting that </w:t>
            </w:r>
            <w:r w:rsidR="0015308D" w:rsidRPr="008625DC">
              <w:t>ALDI</w:t>
            </w:r>
            <w:r w:rsidRPr="008625DC">
              <w:t xml:space="preserve"> was selling genuine Nescafe products manufactured by a Nestle subsidiary. </w:t>
            </w:r>
          </w:p>
          <w:p w14:paraId="6FB485D2" w14:textId="485ADD9A" w:rsidR="001126AD" w:rsidRPr="008625DC" w:rsidRDefault="001126AD" w:rsidP="005A0741">
            <w:pPr>
              <w:pStyle w:val="BoxText"/>
            </w:pPr>
            <w:r w:rsidRPr="008625DC">
              <w:t>Having regard to internal Nestle Australia documents it obtained, the ACCC concluded that a substantial purpose of Nestle Australia</w:t>
            </w:r>
            <w:r w:rsidR="00C74E19" w:rsidRPr="008625DC">
              <w:t>’</w:t>
            </w:r>
            <w:r w:rsidRPr="008625DC">
              <w:t xml:space="preserve">s conduct was to lessen competition generated by </w:t>
            </w:r>
            <w:r w:rsidR="0015308D" w:rsidRPr="008625DC">
              <w:t>ALDI</w:t>
            </w:r>
            <w:r w:rsidR="00C74E19" w:rsidRPr="008625DC">
              <w:t>’</w:t>
            </w:r>
            <w:r w:rsidRPr="008625DC">
              <w:t xml:space="preserve">s supply of imported Nescafe products, and lessen the likelihood of other supermarkets importing Nescafe products, both of which would place downward pressure on prices. </w:t>
            </w:r>
          </w:p>
        </w:tc>
      </w:tr>
    </w:tbl>
    <w:p w14:paraId="4974FEFC" w14:textId="77777777" w:rsidR="001126AD" w:rsidRPr="008625DC" w:rsidRDefault="001126AD" w:rsidP="003B7881">
      <w:pPr>
        <w:spacing w:before="240" w:after="120"/>
      </w:pPr>
      <w:r w:rsidRPr="008625DC">
        <w:t xml:space="preserve">A number of submissions suggest there is a need to review the remaining restrictions on parallel imports. </w:t>
      </w:r>
    </w:p>
    <w:p w14:paraId="2866F838" w14:textId="5D45D452" w:rsidR="001126AD" w:rsidRPr="008625DC" w:rsidRDefault="001126AD" w:rsidP="001126AD">
      <w:pPr>
        <w:pStyle w:val="Bullet"/>
      </w:pPr>
      <w:r w:rsidRPr="008625DC">
        <w:t>The BCA lists regulation requiring imported cars to be modified to meet Australian</w:t>
      </w:r>
      <w:r w:rsidR="00C74E19" w:rsidRPr="008625DC">
        <w:noBreakHyphen/>
      </w:r>
      <w:r w:rsidRPr="008625DC">
        <w:t>specific car design standards as well as restrictions on the parallel importation of commercial quantities of books by booksellers as warranting review in any future Legislative Review Program. (</w:t>
      </w:r>
      <w:r w:rsidR="00985C8E" w:rsidRPr="008625DC">
        <w:t xml:space="preserve">BCA Main Report, </w:t>
      </w:r>
      <w:r w:rsidRPr="008625DC">
        <w:t>page 21)</w:t>
      </w:r>
    </w:p>
    <w:p w14:paraId="114D3AB0" w14:textId="77777777" w:rsidR="001126AD" w:rsidRPr="008625DC" w:rsidRDefault="001126AD" w:rsidP="001126AD">
      <w:pPr>
        <w:pStyle w:val="Bullet"/>
      </w:pPr>
      <w:r w:rsidRPr="008625DC">
        <w:t xml:space="preserve">The Intellectual Property Committee of the Law Council of Australia submits that, in light of several significant decisions by the courts, it has become difficult to advise clients on what is, or is not, a legitimate parallel import. It argues that a comprehensive examination of the parallel importation of trade marked goods should be undertaken to determine the costs and benefits of permitting (or not permitting) parallel imports into Australia. (page 2) </w:t>
      </w:r>
    </w:p>
    <w:p w14:paraId="5AD12A35" w14:textId="1A6036E2" w:rsidR="001126AD" w:rsidRPr="008625DC" w:rsidRDefault="001126AD" w:rsidP="00AD56BA">
      <w:pPr>
        <w:pStyle w:val="Bullet"/>
        <w:spacing w:after="240"/>
      </w:pPr>
      <w:r w:rsidRPr="008625DC">
        <w:lastRenderedPageBreak/>
        <w:t>The Australian Chamber of Commerce and Industry recommends a review of the enforcement requirements associated with parallel importing, noting the relative simplicity of parallel importation of products such as books compared with the nuances in formulation that occur across the global market for processed food and formulated chemical</w:t>
      </w:r>
      <w:r w:rsidR="00C74E19" w:rsidRPr="008625DC">
        <w:noBreakHyphen/>
      </w:r>
      <w:r w:rsidRPr="008625DC">
        <w:t>base products. (page</w:t>
      </w:r>
      <w:r w:rsidR="00D643DD" w:rsidRPr="008625DC">
        <w:t>s</w:t>
      </w:r>
      <w:r w:rsidR="00AD56BA">
        <w:t> </w:t>
      </w:r>
      <w:r w:rsidR="00D643DD" w:rsidRPr="008625DC">
        <w:t>20</w:t>
      </w:r>
      <w:r w:rsidR="008625DC">
        <w:noBreakHyphen/>
      </w:r>
      <w:r w:rsidRPr="008625DC">
        <w:t xml:space="preserve">21)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126AD" w:rsidRPr="008625DC" w14:paraId="659757DA" w14:textId="77777777" w:rsidTr="005A0741">
        <w:tc>
          <w:tcPr>
            <w:tcW w:w="5000" w:type="pct"/>
            <w:shd w:val="clear" w:color="auto" w:fill="FFFFFF" w:themeFill="background1"/>
          </w:tcPr>
          <w:p w14:paraId="254D1CE8" w14:textId="63C6BD03" w:rsidR="001126AD" w:rsidRPr="008625DC" w:rsidRDefault="001126AD" w:rsidP="005A0741">
            <w:pPr>
              <w:pStyle w:val="Keyfindingheading"/>
            </w:pPr>
            <w:bookmarkStart w:id="15290" w:name="_Toc393985164"/>
            <w:bookmarkStart w:id="15291" w:name="_Toc393985342"/>
            <w:bookmarkStart w:id="15292" w:name="_Toc393985667"/>
            <w:bookmarkStart w:id="15293" w:name="_Toc393985846"/>
            <w:bookmarkStart w:id="15294" w:name="_Toc393986069"/>
            <w:bookmarkStart w:id="15295" w:name="_Toc393986248"/>
            <w:bookmarkStart w:id="15296" w:name="_Toc393986472"/>
            <w:bookmarkStart w:id="15297" w:name="_Toc393988079"/>
            <w:bookmarkStart w:id="15298" w:name="_Toc393988258"/>
            <w:bookmarkStart w:id="15299" w:name="_Toc393988481"/>
            <w:bookmarkStart w:id="15300" w:name="_Toc393988660"/>
            <w:r w:rsidRPr="008625DC">
              <w:t>The Panel</w:t>
            </w:r>
            <w:r w:rsidR="00C74E19" w:rsidRPr="008625DC">
              <w:t>’</w:t>
            </w:r>
            <w:r w:rsidRPr="008625DC">
              <w:t xml:space="preserve">s view </w:t>
            </w:r>
          </w:p>
          <w:p w14:paraId="1A5AA81B" w14:textId="77777777" w:rsidR="001126AD" w:rsidRPr="008625DC" w:rsidRDefault="001126AD" w:rsidP="005A0741">
            <w:pPr>
              <w:pStyle w:val="Keyfindingtext"/>
            </w:pPr>
            <w:bookmarkStart w:id="15301" w:name="_Toc395084740"/>
            <w:bookmarkStart w:id="15302" w:name="_Toc395085041"/>
            <w:bookmarkStart w:id="15303" w:name="_Toc395090507"/>
            <w:bookmarkStart w:id="15304" w:name="_Toc395093091"/>
            <w:bookmarkStart w:id="15305" w:name="_Toc395098003"/>
            <w:bookmarkStart w:id="15306" w:name="_Toc395106187"/>
            <w:bookmarkStart w:id="15307" w:name="_Toc395109780"/>
            <w:bookmarkStart w:id="15308" w:name="_Toc395112157"/>
            <w:bookmarkStart w:id="15309" w:name="_Toc395107299"/>
            <w:bookmarkStart w:id="15310" w:name="_Toc395108860"/>
            <w:bookmarkStart w:id="15311" w:name="_Toc395114100"/>
            <w:bookmarkStart w:id="15312" w:name="_Toc395116837"/>
            <w:bookmarkStart w:id="15313" w:name="_Toc395112774"/>
            <w:bookmarkStart w:id="15314" w:name="_Toc395115314"/>
            <w:bookmarkStart w:id="15315" w:name="_Toc395118466"/>
            <w:bookmarkStart w:id="15316" w:name="_Toc395624660"/>
            <w:bookmarkStart w:id="15317" w:name="_Toc395790011"/>
            <w:bookmarkStart w:id="15318" w:name="_Toc395800769"/>
            <w:bookmarkStart w:id="15319" w:name="_Toc394330675"/>
            <w:bookmarkStart w:id="15320" w:name="_Toc394330295"/>
            <w:bookmarkStart w:id="15321" w:name="_Toc394333267"/>
            <w:bookmarkStart w:id="15322" w:name="_Toc394332845"/>
            <w:bookmarkStart w:id="15323" w:name="_Toc394333680"/>
            <w:bookmarkStart w:id="15324" w:name="_Toc394334093"/>
            <w:bookmarkStart w:id="15325" w:name="_Toc394334919"/>
            <w:bookmarkStart w:id="15326" w:name="_Toc394415102"/>
            <w:bookmarkStart w:id="15327" w:name="_Toc394412407"/>
            <w:bookmarkStart w:id="15328" w:name="_Toc394420698"/>
            <w:bookmarkStart w:id="15329" w:name="_Toc394421172"/>
            <w:bookmarkStart w:id="15330" w:name="_Toc394423541"/>
            <w:bookmarkStart w:id="15331" w:name="_Toc394420475"/>
            <w:bookmarkStart w:id="15332" w:name="_Toc394422585"/>
            <w:bookmarkStart w:id="15333" w:name="_Toc394423056"/>
            <w:bookmarkStart w:id="15334" w:name="_Toc394424206"/>
            <w:bookmarkStart w:id="15335" w:name="_Toc394492039"/>
            <w:bookmarkStart w:id="15336" w:name="_Toc394495184"/>
            <w:bookmarkStart w:id="15337" w:name="_Toc394497999"/>
            <w:bookmarkStart w:id="15338" w:name="_Toc394500789"/>
            <w:bookmarkStart w:id="15339" w:name="_Toc394502193"/>
            <w:bookmarkStart w:id="15340" w:name="_Toc394503095"/>
            <w:bookmarkStart w:id="15341" w:name="_Toc394502639"/>
            <w:bookmarkStart w:id="15342" w:name="_Toc394505846"/>
            <w:bookmarkStart w:id="15343" w:name="_Toc394506305"/>
            <w:bookmarkStart w:id="15344" w:name="_Toc394506859"/>
            <w:bookmarkStart w:id="15345" w:name="_Toc394560936"/>
            <w:bookmarkStart w:id="15346" w:name="_Toc394561397"/>
            <w:bookmarkStart w:id="15347" w:name="_Toc394938367"/>
            <w:bookmarkStart w:id="15348" w:name="_Toc394937647"/>
            <w:bookmarkStart w:id="15349" w:name="_Toc394941278"/>
            <w:bookmarkStart w:id="15350" w:name="_Toc394941894"/>
            <w:bookmarkStart w:id="15351" w:name="_Toc394940116"/>
            <w:bookmarkStart w:id="15352" w:name="_Toc394939726"/>
            <w:bookmarkStart w:id="15353" w:name="_Toc394993623"/>
            <w:bookmarkStart w:id="15354" w:name="_Toc394995504"/>
            <w:bookmarkStart w:id="15355" w:name="_Toc394995818"/>
            <w:bookmarkStart w:id="15356" w:name="_Toc394998061"/>
            <w:bookmarkStart w:id="15357" w:name="_Toc394998575"/>
            <w:bookmarkStart w:id="15358" w:name="_Toc395002074"/>
            <w:bookmarkStart w:id="15359" w:name="_Toc395001280"/>
            <w:bookmarkStart w:id="15360" w:name="_Toc395001554"/>
            <w:bookmarkStart w:id="15361" w:name="_Toc395002843"/>
            <w:bookmarkStart w:id="15362" w:name="_Toc395003428"/>
            <w:bookmarkStart w:id="15363" w:name="_Toc395005669"/>
            <w:bookmarkStart w:id="15364" w:name="_Toc395009663"/>
            <w:bookmarkStart w:id="15365" w:name="_Toc395010403"/>
            <w:bookmarkStart w:id="15366" w:name="_Toc395012587"/>
            <w:bookmarkStart w:id="15367" w:name="_Toc395013050"/>
            <w:bookmarkStart w:id="15368" w:name="_Toc395012052"/>
            <w:bookmarkStart w:id="15369" w:name="_Toc395014391"/>
            <w:r w:rsidRPr="008625DC">
              <w:t>Parallel import restrictions are similar to other import restrictions (such as tariffs) in that they benefit local producers by shielding them from international competition. They are effectively an implicit tax on Australian consumers</w:t>
            </w:r>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r w:rsidRPr="008625DC">
              <w:t xml:space="preserve"> and businesses. </w:t>
            </w:r>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r w:rsidRPr="008625DC">
              <w:t>The Panel notes that the impact of changing technology means that these restrictions are more easily circumvented.</w:t>
            </w:r>
          </w:p>
          <w:p w14:paraId="22EFD3A6" w14:textId="77777777" w:rsidR="001126AD" w:rsidRPr="008625DC" w:rsidRDefault="001126AD" w:rsidP="005A0741">
            <w:pPr>
              <w:pStyle w:val="Keyfindingtext"/>
            </w:pPr>
            <w:bookmarkStart w:id="15370" w:name="_Toc395010404"/>
            <w:bookmarkStart w:id="15371" w:name="_Toc395012588"/>
            <w:bookmarkStart w:id="15372" w:name="_Toc395013051"/>
            <w:bookmarkStart w:id="15373" w:name="_Toc395012053"/>
            <w:bookmarkStart w:id="15374" w:name="_Toc395014392"/>
            <w:bookmarkStart w:id="15375" w:name="_Toc393988881"/>
            <w:bookmarkStart w:id="15376" w:name="_Toc393990885"/>
            <w:bookmarkStart w:id="15377" w:name="_Toc393991867"/>
            <w:bookmarkStart w:id="15378" w:name="_Toc394047530"/>
            <w:bookmarkStart w:id="15379" w:name="_Toc394049806"/>
            <w:bookmarkStart w:id="15380" w:name="_Toc394051206"/>
            <w:bookmarkStart w:id="15381" w:name="_Toc394062195"/>
            <w:bookmarkStart w:id="15382" w:name="_Toc394069070"/>
            <w:bookmarkStart w:id="15383" w:name="_Toc394070988"/>
            <w:bookmarkStart w:id="15384" w:name="_Toc394312391"/>
            <w:bookmarkStart w:id="15385" w:name="_Toc394330676"/>
            <w:bookmarkStart w:id="15386" w:name="_Toc394330296"/>
            <w:bookmarkStart w:id="15387" w:name="_Toc394333268"/>
            <w:bookmarkStart w:id="15388" w:name="_Toc394332846"/>
            <w:bookmarkStart w:id="15389" w:name="_Toc394333681"/>
            <w:bookmarkStart w:id="15390" w:name="_Toc394334094"/>
            <w:bookmarkStart w:id="15391" w:name="_Toc394334920"/>
            <w:bookmarkStart w:id="15392" w:name="_Toc394415103"/>
            <w:bookmarkStart w:id="15393" w:name="_Toc394412408"/>
            <w:bookmarkStart w:id="15394" w:name="_Toc394420699"/>
            <w:bookmarkStart w:id="15395" w:name="_Toc394421173"/>
            <w:bookmarkStart w:id="15396" w:name="_Toc394423542"/>
            <w:bookmarkStart w:id="15397" w:name="_Toc394420476"/>
            <w:bookmarkStart w:id="15398" w:name="_Toc394422586"/>
            <w:bookmarkStart w:id="15399" w:name="_Toc394423057"/>
            <w:bookmarkStart w:id="15400" w:name="_Toc394424207"/>
            <w:bookmarkStart w:id="15401" w:name="_Toc394492040"/>
            <w:bookmarkStart w:id="15402" w:name="_Toc394495185"/>
            <w:bookmarkStart w:id="15403" w:name="_Toc394498000"/>
            <w:bookmarkStart w:id="15404" w:name="_Toc394500790"/>
            <w:bookmarkStart w:id="15405" w:name="_Toc394502194"/>
            <w:bookmarkStart w:id="15406" w:name="_Toc394503096"/>
            <w:bookmarkStart w:id="15407" w:name="_Toc394502640"/>
            <w:bookmarkStart w:id="15408" w:name="_Toc394505847"/>
            <w:bookmarkStart w:id="15409" w:name="_Toc394506306"/>
            <w:bookmarkStart w:id="15410" w:name="_Toc394506860"/>
            <w:bookmarkStart w:id="15411" w:name="_Toc394560937"/>
            <w:bookmarkStart w:id="15412" w:name="_Toc394561398"/>
            <w:bookmarkStart w:id="15413" w:name="_Toc394938368"/>
            <w:bookmarkStart w:id="15414" w:name="_Toc394937648"/>
            <w:bookmarkStart w:id="15415" w:name="_Toc394941279"/>
            <w:bookmarkStart w:id="15416" w:name="_Toc394941895"/>
            <w:bookmarkStart w:id="15417" w:name="_Toc394940117"/>
            <w:bookmarkStart w:id="15418" w:name="_Toc394939727"/>
            <w:bookmarkStart w:id="15419" w:name="_Toc394993624"/>
            <w:bookmarkStart w:id="15420" w:name="_Toc394995505"/>
            <w:bookmarkStart w:id="15421" w:name="_Toc394995819"/>
            <w:bookmarkStart w:id="15422" w:name="_Toc394998062"/>
            <w:bookmarkStart w:id="15423" w:name="_Toc394998576"/>
            <w:bookmarkStart w:id="15424" w:name="_Toc395002075"/>
            <w:bookmarkStart w:id="15425" w:name="_Toc395001281"/>
            <w:bookmarkStart w:id="15426" w:name="_Toc395001555"/>
            <w:bookmarkStart w:id="15427" w:name="_Toc395002844"/>
            <w:bookmarkStart w:id="15428" w:name="_Toc395003429"/>
            <w:bookmarkStart w:id="15429" w:name="_Toc395005670"/>
            <w:bookmarkStart w:id="15430" w:name="_Toc395009664"/>
            <w:bookmarkStart w:id="15431" w:name="_Toc395084741"/>
            <w:bookmarkStart w:id="15432" w:name="_Toc395085042"/>
            <w:bookmarkStart w:id="15433" w:name="_Toc395090508"/>
            <w:bookmarkStart w:id="15434" w:name="_Toc395093092"/>
            <w:bookmarkStart w:id="15435" w:name="_Toc395098004"/>
            <w:bookmarkStart w:id="15436" w:name="_Toc395106188"/>
            <w:bookmarkStart w:id="15437" w:name="_Toc395109781"/>
            <w:bookmarkStart w:id="15438" w:name="_Toc395112158"/>
            <w:bookmarkStart w:id="15439" w:name="_Toc395107300"/>
            <w:bookmarkStart w:id="15440" w:name="_Toc395108861"/>
            <w:bookmarkStart w:id="15441" w:name="_Toc395114101"/>
            <w:bookmarkStart w:id="15442" w:name="_Toc395116838"/>
            <w:bookmarkStart w:id="15443" w:name="_Toc395112775"/>
            <w:bookmarkStart w:id="15444" w:name="_Toc395115315"/>
            <w:bookmarkStart w:id="15445" w:name="_Toc395118467"/>
            <w:bookmarkStart w:id="15446" w:name="_Toc395624661"/>
            <w:bookmarkStart w:id="15447" w:name="_Toc395790012"/>
            <w:bookmarkStart w:id="15448" w:name="_Toc395800770"/>
            <w:r w:rsidRPr="008625DC">
              <w:t xml:space="preserve">The removal of parallel importation restrictions would promote competition and potentially lower prices of many consumer goods, while the concerns raised about parallel imports (such as consumer safety, counterfeit products and inadequate enforcement) could be addressed directly through regulatory </w:t>
            </w:r>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r w:rsidRPr="008625DC">
              <w:t xml:space="preserve">and compliance frameworks and consumer education campaigns. </w:t>
            </w:r>
          </w:p>
        </w:tc>
      </w:tr>
    </w:tbl>
    <w:p w14:paraId="4700A29D" w14:textId="77777777" w:rsidR="001126AD" w:rsidRPr="008625DC" w:rsidRDefault="001126AD" w:rsidP="001126AD">
      <w:pPr>
        <w:pStyle w:val="Heading2"/>
        <w:ind w:left="851" w:hanging="851"/>
        <w:rPr>
          <w:lang w:val="en-AU"/>
        </w:rPr>
      </w:pPr>
      <w:bookmarkStart w:id="15449" w:name="_Toc394497972"/>
      <w:bookmarkStart w:id="15450" w:name="_Toc394498195"/>
      <w:bookmarkStart w:id="15451" w:name="_Toc394500764"/>
      <w:bookmarkStart w:id="15452" w:name="_Toc394500985"/>
      <w:bookmarkStart w:id="15453" w:name="_Toc393985134"/>
      <w:bookmarkStart w:id="15454" w:name="_Toc393985333"/>
      <w:bookmarkStart w:id="15455" w:name="_Toc393985637"/>
      <w:bookmarkStart w:id="15456" w:name="_Toc393985837"/>
      <w:bookmarkStart w:id="15457" w:name="_Toc393986039"/>
      <w:bookmarkStart w:id="15458" w:name="_Toc393986239"/>
      <w:bookmarkStart w:id="15459" w:name="_Toc393986442"/>
      <w:bookmarkStart w:id="15460" w:name="_Toc393988049"/>
      <w:bookmarkStart w:id="15461" w:name="_Toc393988249"/>
      <w:bookmarkStart w:id="15462" w:name="_Toc393988451"/>
      <w:bookmarkStart w:id="15463" w:name="_Toc393988651"/>
      <w:bookmarkStart w:id="15464" w:name="_Toc393986643"/>
      <w:bookmarkStart w:id="15465" w:name="_Toc393989463"/>
      <w:bookmarkStart w:id="15466" w:name="_Toc393989663"/>
      <w:bookmarkStart w:id="15467" w:name="_Toc393988851"/>
      <w:bookmarkStart w:id="15468" w:name="_Toc393989051"/>
      <w:bookmarkStart w:id="15469" w:name="_Toc393990855"/>
      <w:bookmarkStart w:id="15470" w:name="_Toc393991055"/>
      <w:bookmarkStart w:id="15471" w:name="_Toc393991154"/>
      <w:bookmarkStart w:id="15472" w:name="_Toc393991837"/>
      <w:bookmarkStart w:id="15473" w:name="_Toc393992039"/>
      <w:bookmarkStart w:id="15474" w:name="_Toc394047500"/>
      <w:bookmarkStart w:id="15475" w:name="_Toc394047703"/>
      <w:bookmarkStart w:id="15476" w:name="_Toc394047814"/>
      <w:bookmarkStart w:id="15477" w:name="_Toc394048370"/>
      <w:bookmarkStart w:id="15478" w:name="_Toc394049776"/>
      <w:bookmarkStart w:id="15479" w:name="_Toc394049982"/>
      <w:bookmarkStart w:id="15480" w:name="_Toc394051176"/>
      <w:bookmarkStart w:id="15481" w:name="_Toc394051382"/>
      <w:bookmarkStart w:id="15482" w:name="_Toc394062165"/>
      <w:bookmarkStart w:id="15483" w:name="_Toc394062529"/>
      <w:bookmarkStart w:id="15484" w:name="_Toc394069040"/>
      <w:bookmarkStart w:id="15485" w:name="_Toc394069244"/>
      <w:bookmarkStart w:id="15486" w:name="_Toc394070958"/>
      <w:bookmarkStart w:id="15487" w:name="_Toc394071162"/>
      <w:bookmarkStart w:id="15488" w:name="_Toc394312361"/>
      <w:bookmarkStart w:id="15489" w:name="_Toc394330435"/>
      <w:bookmarkStart w:id="15490" w:name="_Toc394330645"/>
      <w:bookmarkStart w:id="15491" w:name="_Toc394331366"/>
      <w:bookmarkStart w:id="15492" w:name="_Toc394502168"/>
      <w:bookmarkStart w:id="15493" w:name="_Toc394502382"/>
      <w:bookmarkStart w:id="15494" w:name="_Toc394503070"/>
      <w:bookmarkStart w:id="15495" w:name="_Toc394503741"/>
      <w:bookmarkStart w:id="15496" w:name="_Toc394502614"/>
      <w:bookmarkStart w:id="15497" w:name="_Toc394502830"/>
      <w:bookmarkStart w:id="15498" w:name="_Toc394505821"/>
      <w:bookmarkStart w:id="15499" w:name="_Toc394506159"/>
      <w:bookmarkStart w:id="15500" w:name="_Toc394506280"/>
      <w:bookmarkStart w:id="15501" w:name="_Toc394506497"/>
      <w:bookmarkStart w:id="15502" w:name="_Toc394506834"/>
      <w:bookmarkStart w:id="15503" w:name="_Toc394507051"/>
      <w:bookmarkStart w:id="15504" w:name="_Toc394333239"/>
      <w:bookmarkStart w:id="15505" w:name="_Toc394333442"/>
      <w:bookmarkStart w:id="15506" w:name="_Toc394332817"/>
      <w:bookmarkStart w:id="15507" w:name="_Toc394333652"/>
      <w:bookmarkStart w:id="15508" w:name="_Toc394333855"/>
      <w:bookmarkStart w:id="15509" w:name="_Toc394334065"/>
      <w:bookmarkStart w:id="15510" w:name="_Toc394334268"/>
      <w:bookmarkStart w:id="15511" w:name="_Toc394334891"/>
      <w:bookmarkStart w:id="15512" w:name="_Toc394335094"/>
      <w:bookmarkStart w:id="15513" w:name="_Toc394415074"/>
      <w:bookmarkStart w:id="15514" w:name="_Toc394415298"/>
      <w:bookmarkStart w:id="15515" w:name="_Toc394412379"/>
      <w:bookmarkStart w:id="15516" w:name="_Toc394412607"/>
      <w:bookmarkStart w:id="15517" w:name="_Toc394420670"/>
      <w:bookmarkStart w:id="15518" w:name="_Toc394420900"/>
      <w:bookmarkStart w:id="15519" w:name="_Toc394421144"/>
      <w:bookmarkStart w:id="15520" w:name="_Toc394423514"/>
      <w:bookmarkStart w:id="15521" w:name="_Toc394423741"/>
      <w:bookmarkStart w:id="15522" w:name="_Toc394420448"/>
      <w:bookmarkStart w:id="15523" w:name="_Toc394422558"/>
      <w:bookmarkStart w:id="15524" w:name="_Toc394422785"/>
      <w:bookmarkStart w:id="15525" w:name="_Toc394423029"/>
      <w:bookmarkStart w:id="15526" w:name="_Toc394423256"/>
      <w:bookmarkStart w:id="15527" w:name="_Toc394424179"/>
      <w:bookmarkStart w:id="15528" w:name="_Toc394424404"/>
      <w:bookmarkStart w:id="15529" w:name="_Toc394492012"/>
      <w:bookmarkStart w:id="15530" w:name="_Toc394492236"/>
      <w:bookmarkStart w:id="15531" w:name="_Toc394495157"/>
      <w:bookmarkStart w:id="15532" w:name="_Toc394495380"/>
      <w:bookmarkStart w:id="15533" w:name="_Toc394560911"/>
      <w:bookmarkStart w:id="15534" w:name="_Toc394561128"/>
      <w:bookmarkStart w:id="15535" w:name="_Toc394561372"/>
      <w:bookmarkStart w:id="15536" w:name="_Toc394561962"/>
      <w:bookmarkStart w:id="15537" w:name="_Toc394582966"/>
      <w:bookmarkStart w:id="15538" w:name="_Toc394585637"/>
      <w:bookmarkStart w:id="15539" w:name="_Toc394586103"/>
      <w:bookmarkStart w:id="15540" w:name="_Toc394588035"/>
      <w:bookmarkStart w:id="15541" w:name="_Toc394588870"/>
      <w:bookmarkStart w:id="15542" w:name="_Toc394588995"/>
      <w:bookmarkStart w:id="15543" w:name="_Toc394590411"/>
      <w:bookmarkStart w:id="15544" w:name="_Toc394590604"/>
      <w:bookmarkStart w:id="15545" w:name="_Toc394654506"/>
      <w:bookmarkStart w:id="15546" w:name="_Toc394654664"/>
      <w:bookmarkStart w:id="15547" w:name="_Toc394656206"/>
      <w:bookmarkStart w:id="15548" w:name="_Toc394656363"/>
      <w:bookmarkStart w:id="15549" w:name="_Toc394659343"/>
      <w:bookmarkStart w:id="15550" w:name="_Toc394659501"/>
      <w:bookmarkStart w:id="15551" w:name="_Toc394663355"/>
      <w:bookmarkStart w:id="15552" w:name="_Toc394663511"/>
      <w:bookmarkStart w:id="15553" w:name="_Toc394667149"/>
      <w:bookmarkStart w:id="15554" w:name="_Toc394667305"/>
      <w:bookmarkStart w:id="15555" w:name="_Toc394671628"/>
      <w:bookmarkStart w:id="15556" w:name="_Toc394671788"/>
      <w:bookmarkStart w:id="15557" w:name="_Toc394674630"/>
      <w:bookmarkStart w:id="15558" w:name="_Toc394674793"/>
      <w:bookmarkStart w:id="15559" w:name="_Toc394674907"/>
      <w:bookmarkStart w:id="15560" w:name="_Toc394675073"/>
      <w:bookmarkStart w:id="15561" w:name="_Toc394676018"/>
      <w:bookmarkStart w:id="15562" w:name="_Toc394676180"/>
      <w:bookmarkStart w:id="15563" w:name="_Toc394675706"/>
      <w:bookmarkStart w:id="15564" w:name="_Toc394675869"/>
      <w:bookmarkStart w:id="15565" w:name="_Toc394918269"/>
      <w:bookmarkStart w:id="15566" w:name="_Toc394918783"/>
      <w:bookmarkStart w:id="15567" w:name="_Toc394930755"/>
      <w:bookmarkStart w:id="15568" w:name="_Toc394933668"/>
      <w:bookmarkStart w:id="15569" w:name="_Toc394938115"/>
      <w:bookmarkStart w:id="15570" w:name="_Toc394938340"/>
      <w:bookmarkStart w:id="15571" w:name="_Toc394938617"/>
      <w:bookmarkStart w:id="15572" w:name="_Toc394937620"/>
      <w:bookmarkStart w:id="15573" w:name="_Toc394937899"/>
      <w:bookmarkStart w:id="15574" w:name="_Toc394941027"/>
      <w:bookmarkStart w:id="15575" w:name="_Toc394941251"/>
      <w:bookmarkStart w:id="15576" w:name="_Toc394941528"/>
      <w:bookmarkStart w:id="15577" w:name="_Toc394941643"/>
      <w:bookmarkStart w:id="15578" w:name="_Toc394941867"/>
      <w:bookmarkStart w:id="15579" w:name="_Toc394942144"/>
      <w:bookmarkStart w:id="15580" w:name="_Toc394939864"/>
      <w:bookmarkStart w:id="15581" w:name="_Toc394940089"/>
      <w:bookmarkStart w:id="15582" w:name="_Toc394940366"/>
      <w:bookmarkStart w:id="15583" w:name="_Toc394939476"/>
      <w:bookmarkStart w:id="15584" w:name="_Toc394939699"/>
      <w:bookmarkStart w:id="15585" w:name="_Toc394940580"/>
      <w:bookmarkStart w:id="15586" w:name="_Toc394993596"/>
      <w:bookmarkStart w:id="15587" w:name="_Toc394995477"/>
      <w:bookmarkStart w:id="15588" w:name="_Toc394995791"/>
      <w:bookmarkStart w:id="15589" w:name="_Toc394996062"/>
      <w:bookmarkStart w:id="15590" w:name="_Toc394997788"/>
      <w:bookmarkStart w:id="15591" w:name="_Toc394998036"/>
      <w:bookmarkStart w:id="15592" w:name="_Toc394998303"/>
      <w:bookmarkStart w:id="15593" w:name="_Toc394998550"/>
      <w:bookmarkStart w:id="15594" w:name="_Toc395001798"/>
      <w:bookmarkStart w:id="15595" w:name="_Toc395002049"/>
      <w:bookmarkStart w:id="15596" w:name="_Toc395001255"/>
      <w:bookmarkStart w:id="15597" w:name="_Toc395001529"/>
      <w:bookmarkStart w:id="15598" w:name="_Toc395002818"/>
      <w:bookmarkStart w:id="15599" w:name="_Toc395003403"/>
      <w:bookmarkStart w:id="15600" w:name="_Toc395005050"/>
      <w:bookmarkStart w:id="15601" w:name="_Toc395005176"/>
      <w:bookmarkStart w:id="15602" w:name="_Toc395005392"/>
      <w:bookmarkStart w:id="15603" w:name="_Toc395005644"/>
      <w:bookmarkStart w:id="15604" w:name="_Toc395008969"/>
      <w:bookmarkStart w:id="15605" w:name="_Toc395009638"/>
      <w:bookmarkStart w:id="15606" w:name="_Toc395011755"/>
      <w:bookmarkStart w:id="15607" w:name="_Toc395010155"/>
      <w:bookmarkStart w:id="15608" w:name="_Toc395010377"/>
      <w:bookmarkStart w:id="15609" w:name="_Toc395009997"/>
      <w:bookmarkStart w:id="15610" w:name="_Toc395011523"/>
      <w:bookmarkStart w:id="15611" w:name="_Toc395012341"/>
      <w:bookmarkStart w:id="15612" w:name="_Toc395012561"/>
      <w:bookmarkStart w:id="15613" w:name="_Toc395012931"/>
      <w:bookmarkStart w:id="15614" w:name="_Toc395010746"/>
      <w:bookmarkStart w:id="15615" w:name="_Toc395010966"/>
      <w:bookmarkStart w:id="15616" w:name="_Toc395012219"/>
      <w:bookmarkStart w:id="15617" w:name="_Toc395013024"/>
      <w:bookmarkStart w:id="15618" w:name="_Toc395012026"/>
      <w:bookmarkStart w:id="15619" w:name="_Toc395014365"/>
      <w:bookmarkStart w:id="15620" w:name="_Toc395014620"/>
      <w:bookmarkStart w:id="15621" w:name="_Toc395013211"/>
      <w:bookmarkStart w:id="15622" w:name="_Toc395084717"/>
      <w:bookmarkStart w:id="15623" w:name="_Toc395085018"/>
      <w:bookmarkStart w:id="15624" w:name="_Toc395090248"/>
      <w:bookmarkStart w:id="15625" w:name="_Toc395090481"/>
      <w:bookmarkStart w:id="15626" w:name="_Toc395090727"/>
      <w:bookmarkStart w:id="15627" w:name="_Toc395092616"/>
      <w:bookmarkStart w:id="15628" w:name="_Toc395092828"/>
      <w:bookmarkStart w:id="15629" w:name="_Toc395093065"/>
      <w:bookmarkStart w:id="15630" w:name="_Toc395093310"/>
      <w:bookmarkStart w:id="15631" w:name="_Toc395097739"/>
      <w:bookmarkStart w:id="15632" w:name="_Toc395097977"/>
      <w:bookmarkStart w:id="15633" w:name="_Toc395098220"/>
      <w:bookmarkStart w:id="15634" w:name="_Toc395105405"/>
      <w:bookmarkStart w:id="15635" w:name="_Toc395106162"/>
      <w:bookmarkStart w:id="15636" w:name="_Toc395107008"/>
      <w:bookmarkStart w:id="15637" w:name="_Toc395109880"/>
      <w:bookmarkStart w:id="15638" w:name="_Toc395109666"/>
      <w:bookmarkStart w:id="15639" w:name="_Toc395109755"/>
      <w:bookmarkStart w:id="15640" w:name="_Toc395111883"/>
      <w:bookmarkStart w:id="15641" w:name="_Toc395112132"/>
      <w:bookmarkStart w:id="15642" w:name="_Toc395112371"/>
      <w:bookmarkStart w:id="15643" w:name="_Toc395106803"/>
      <w:bookmarkStart w:id="15644" w:name="_Toc395107272"/>
      <w:bookmarkStart w:id="15645" w:name="_Toc395107516"/>
      <w:bookmarkStart w:id="15646" w:name="_Toc395109471"/>
      <w:bookmarkStart w:id="15647" w:name="_Toc395108563"/>
      <w:bookmarkStart w:id="15648" w:name="_Toc395108835"/>
      <w:bookmarkStart w:id="15649" w:name="_Toc395113803"/>
      <w:bookmarkStart w:id="15650" w:name="_Toc395114075"/>
      <w:bookmarkStart w:id="15651" w:name="_Toc395114323"/>
      <w:bookmarkStart w:id="15652" w:name="_Toc395116539"/>
      <w:bookmarkStart w:id="15653" w:name="_Toc395116812"/>
      <w:bookmarkStart w:id="15654" w:name="_Toc395117061"/>
      <w:bookmarkStart w:id="15655" w:name="_Toc395112476"/>
      <w:bookmarkStart w:id="15656" w:name="_Toc395112749"/>
      <w:bookmarkStart w:id="15657" w:name="_Toc395113179"/>
      <w:bookmarkStart w:id="15658" w:name="_Toc395115015"/>
      <w:bookmarkStart w:id="15659" w:name="_Toc395115289"/>
      <w:bookmarkStart w:id="15660" w:name="_Toc395115538"/>
      <w:bookmarkStart w:id="15661" w:name="_Toc395118170"/>
      <w:bookmarkStart w:id="15662" w:name="_Toc395118441"/>
      <w:bookmarkStart w:id="15663" w:name="_Toc395118688"/>
      <w:bookmarkStart w:id="15664" w:name="_Toc395178380"/>
      <w:bookmarkStart w:id="15665" w:name="_Toc395178712"/>
      <w:bookmarkStart w:id="15666" w:name="_Toc395624636"/>
      <w:bookmarkStart w:id="15667" w:name="_Toc395624869"/>
      <w:bookmarkStart w:id="15668" w:name="_Toc395789723"/>
      <w:bookmarkStart w:id="15669" w:name="_Toc395789987"/>
      <w:bookmarkStart w:id="15670" w:name="_Toc395800745"/>
      <w:bookmarkStart w:id="15671" w:name="_Toc395802852"/>
      <w:bookmarkStart w:id="15672" w:name="_Toc395867610"/>
      <w:bookmarkStart w:id="15673" w:name="_Toc395868519"/>
      <w:bookmarkStart w:id="15674" w:name="_Toc395868742"/>
      <w:bookmarkStart w:id="15675" w:name="_Toc395879123"/>
      <w:bookmarkStart w:id="15676" w:name="_Toc395882025"/>
      <w:bookmarkStart w:id="15677" w:name="_Toc395882247"/>
      <w:bookmarkStart w:id="15678" w:name="_Toc395882356"/>
      <w:bookmarkStart w:id="15679" w:name="_Toc395882578"/>
      <w:bookmarkStart w:id="15680" w:name="_Toc395880851"/>
      <w:bookmarkStart w:id="15681" w:name="_Toc395881409"/>
      <w:bookmarkStart w:id="15682" w:name="_Toc395881631"/>
      <w:bookmarkStart w:id="15683" w:name="_Toc395884016"/>
      <w:bookmarkStart w:id="15684" w:name="_Toc395880749"/>
      <w:bookmarkStart w:id="15685" w:name="_Toc395884456"/>
      <w:bookmarkStart w:id="15686" w:name="_Toc395884678"/>
      <w:bookmarkStart w:id="15687" w:name="_Toc395883165"/>
      <w:bookmarkStart w:id="15688" w:name="_Toc395883387"/>
      <w:bookmarkStart w:id="15689" w:name="_Toc395883495"/>
      <w:bookmarkStart w:id="15690" w:name="_Toc395883717"/>
      <w:bookmarkStart w:id="15691" w:name="_Toc395884797"/>
      <w:bookmarkStart w:id="15692" w:name="_Toc396123826"/>
      <w:bookmarkStart w:id="15693" w:name="_Toc396130729"/>
      <w:bookmarkStart w:id="15694" w:name="_Toc396136307"/>
      <w:bookmarkStart w:id="15695" w:name="_Toc396138761"/>
      <w:bookmarkStart w:id="15696" w:name="_Toc396144022"/>
      <w:bookmarkStart w:id="15697" w:name="_Toc396145531"/>
      <w:bookmarkStart w:id="15698" w:name="_Toc396145675"/>
      <w:bookmarkStart w:id="15699" w:name="_Toc396145957"/>
      <w:bookmarkStart w:id="15700" w:name="_Toc396147497"/>
      <w:bookmarkStart w:id="15701" w:name="_Toc396147783"/>
      <w:bookmarkStart w:id="15702" w:name="_Toc396149039"/>
      <w:bookmarkStart w:id="15703" w:name="_Toc396148753"/>
      <w:bookmarkStart w:id="15704" w:name="_Toc396149534"/>
      <w:bookmarkStart w:id="15705" w:name="_Toc396149179"/>
      <w:bookmarkStart w:id="15706" w:name="_Toc396149465"/>
      <w:bookmarkStart w:id="15707" w:name="_Toc396149142"/>
      <w:bookmarkStart w:id="15708" w:name="_Toc396149887"/>
      <w:bookmarkStart w:id="15709" w:name="_Toc396149637"/>
      <w:bookmarkStart w:id="15710" w:name="_Toc396150478"/>
      <w:bookmarkStart w:id="15711" w:name="_Toc396151367"/>
      <w:bookmarkStart w:id="15712" w:name="_Toc396151661"/>
      <w:bookmarkStart w:id="15713" w:name="_Toc396201588"/>
      <w:bookmarkStart w:id="15714" w:name="_Toc396202378"/>
      <w:bookmarkStart w:id="15715" w:name="_Toc396202673"/>
      <w:bookmarkStart w:id="15716" w:name="_Toc396203290"/>
      <w:bookmarkStart w:id="15717" w:name="_Toc396206586"/>
      <w:bookmarkStart w:id="15718" w:name="_Toc396206880"/>
      <w:bookmarkStart w:id="15719" w:name="_Toc396209414"/>
      <w:bookmarkStart w:id="15720" w:name="_Toc396209708"/>
      <w:bookmarkStart w:id="15721" w:name="_Toc396211838"/>
      <w:bookmarkStart w:id="15722" w:name="_Toc396212132"/>
      <w:bookmarkStart w:id="15723" w:name="_Toc396213182"/>
      <w:bookmarkStart w:id="15724" w:name="_Toc396213474"/>
      <w:bookmarkStart w:id="15725" w:name="_Toc396214025"/>
      <w:bookmarkStart w:id="15726" w:name="_Toc396214460"/>
      <w:bookmarkStart w:id="15727" w:name="_Toc396214750"/>
      <w:bookmarkStart w:id="15728" w:name="_Toc396220310"/>
      <w:bookmarkStart w:id="15729" w:name="_Toc396226572"/>
      <w:bookmarkStart w:id="15730" w:name="_Toc396226861"/>
      <w:bookmarkStart w:id="15731" w:name="_Toc396229067"/>
      <w:bookmarkStart w:id="15732" w:name="_Toc396230414"/>
      <w:bookmarkStart w:id="15733" w:name="_Toc396231851"/>
      <w:bookmarkStart w:id="15734" w:name="_Toc396233194"/>
      <w:bookmarkStart w:id="15735" w:name="_Toc396233491"/>
      <w:bookmarkStart w:id="15736" w:name="_Toc396234014"/>
      <w:bookmarkStart w:id="15737" w:name="_Toc396234311"/>
      <w:bookmarkStart w:id="15738" w:name="_Toc396234424"/>
      <w:bookmarkStart w:id="15739" w:name="_Toc396236158"/>
      <w:bookmarkStart w:id="15740" w:name="_Toc396235936"/>
      <w:bookmarkStart w:id="15741" w:name="_Toc396236546"/>
      <w:bookmarkStart w:id="15742" w:name="_Toc396237065"/>
      <w:bookmarkStart w:id="15743" w:name="_Toc396397408"/>
      <w:bookmarkStart w:id="15744" w:name="_Toc396304589"/>
      <w:bookmarkStart w:id="15745" w:name="_Toc396586124"/>
      <w:bookmarkStart w:id="15746" w:name="_Toc396815145"/>
      <w:bookmarkStart w:id="15747" w:name="_Toc396821094"/>
      <w:bookmarkStart w:id="15748" w:name="_Toc396821702"/>
      <w:bookmarkStart w:id="15749" w:name="_Toc396827552"/>
      <w:bookmarkStart w:id="15750" w:name="_Toc396828523"/>
      <w:bookmarkStart w:id="15751" w:name="_Toc396828633"/>
      <w:bookmarkStart w:id="15752" w:name="_Toc396838022"/>
      <w:bookmarkStart w:id="15753" w:name="_Toc396838420"/>
      <w:bookmarkStart w:id="15754" w:name="_Toc396904743"/>
      <w:bookmarkStart w:id="15755" w:name="_Toc396907577"/>
      <w:bookmarkStart w:id="15756" w:name="_Toc396912496"/>
      <w:bookmarkStart w:id="15757" w:name="_Toc396914476"/>
      <w:bookmarkStart w:id="15758" w:name="_Toc396915360"/>
      <w:bookmarkStart w:id="15759" w:name="_Toc396915754"/>
      <w:bookmarkStart w:id="15760" w:name="_Toc396921065"/>
      <w:bookmarkStart w:id="15761" w:name="_Toc396924405"/>
      <w:bookmarkStart w:id="15762" w:name="_Toc396925099"/>
      <w:bookmarkStart w:id="15763" w:name="_Toc396992219"/>
      <w:bookmarkStart w:id="15764" w:name="_Toc396992798"/>
      <w:bookmarkStart w:id="15765" w:name="_Toc396994462"/>
      <w:bookmarkStart w:id="15766" w:name="_Toc397002233"/>
      <w:bookmarkStart w:id="15767" w:name="_Toc397003152"/>
      <w:bookmarkStart w:id="15768" w:name="_Toc397008710"/>
      <w:bookmarkStart w:id="15769" w:name="_Toc397008928"/>
      <w:bookmarkStart w:id="15770" w:name="_Toc397011600"/>
      <w:bookmarkStart w:id="15771" w:name="_Toc397012662"/>
      <w:bookmarkStart w:id="15772" w:name="_Toc397015004"/>
      <w:bookmarkStart w:id="15773" w:name="_Toc397015491"/>
      <w:bookmarkStart w:id="15774" w:name="_Toc397070561"/>
      <w:bookmarkStart w:id="15775" w:name="_Toc397413302"/>
      <w:bookmarkStart w:id="15776" w:name="_Toc397413449"/>
      <w:bookmarkStart w:id="15777" w:name="_Toc397428032"/>
      <w:bookmarkStart w:id="15778" w:name="_Toc397439420"/>
      <w:bookmarkStart w:id="15779" w:name="_Toc397439590"/>
      <w:bookmarkStart w:id="15780" w:name="_Toc397439846"/>
      <w:bookmarkStart w:id="15781" w:name="_Toc397440148"/>
      <w:bookmarkStart w:id="15782" w:name="_Toc397441777"/>
      <w:bookmarkStart w:id="15783" w:name="_Toc397517479"/>
      <w:bookmarkStart w:id="15784" w:name="_Toc397522744"/>
      <w:bookmarkStart w:id="15785" w:name="_Toc397526162"/>
      <w:bookmarkStart w:id="15786" w:name="_Toc397528477"/>
      <w:bookmarkStart w:id="15787" w:name="_Toc397528952"/>
      <w:bookmarkStart w:id="15788" w:name="_Toc397601949"/>
      <w:bookmarkStart w:id="15789" w:name="_Toc397602684"/>
      <w:bookmarkStart w:id="15790" w:name="_Toc397605813"/>
      <w:bookmarkStart w:id="15791" w:name="_Toc397614514"/>
      <w:bookmarkStart w:id="15792" w:name="_Toc397614957"/>
      <w:bookmarkStart w:id="15793" w:name="_Toc397616400"/>
      <w:bookmarkStart w:id="15794" w:name="_Toc397616794"/>
      <w:bookmarkStart w:id="15795" w:name="_Toc397688092"/>
      <w:bookmarkStart w:id="15796" w:name="_Toc397689308"/>
      <w:bookmarkStart w:id="15797" w:name="_Toc397694588"/>
      <w:bookmarkStart w:id="15798" w:name="_Toc397696429"/>
      <w:bookmarkStart w:id="15799" w:name="_Toc397697163"/>
      <w:bookmarkStart w:id="15800" w:name="_Toc397698450"/>
      <w:bookmarkStart w:id="15801" w:name="_Toc397699816"/>
      <w:bookmarkStart w:id="15802" w:name="_Toc397700270"/>
      <w:bookmarkStart w:id="15803" w:name="_Toc397936662"/>
      <w:bookmarkStart w:id="15804" w:name="_Toc397936782"/>
      <w:bookmarkStart w:id="15805" w:name="_Toc397945938"/>
      <w:bookmarkStart w:id="15806" w:name="_Toc397946964"/>
      <w:bookmarkStart w:id="15807" w:name="_Toc397948083"/>
      <w:bookmarkStart w:id="15808" w:name="_Toc397958489"/>
      <w:bookmarkStart w:id="15809" w:name="_Toc397958731"/>
      <w:bookmarkStart w:id="15810" w:name="_Toc397959146"/>
      <w:bookmarkStart w:id="15811" w:name="_Toc397962999"/>
      <w:bookmarkStart w:id="15812" w:name="_Toc397963365"/>
      <w:bookmarkStart w:id="15813" w:name="_Toc397965442"/>
      <w:bookmarkStart w:id="15814" w:name="_Toc398197380"/>
      <w:bookmarkStart w:id="15815" w:name="_Toc398199883"/>
      <w:bookmarkStart w:id="15816" w:name="_Toc398201597"/>
      <w:bookmarkStart w:id="15817" w:name="_Toc398207202"/>
      <w:bookmarkStart w:id="15818" w:name="_Toc398210475"/>
      <w:bookmarkStart w:id="15819" w:name="_Toc398210989"/>
      <w:bookmarkStart w:id="15820" w:name="_Toc398219797"/>
      <w:bookmarkStart w:id="15821" w:name="_Toc398220172"/>
      <w:bookmarkStart w:id="15822" w:name="_Toc398220559"/>
      <w:bookmarkStart w:id="15823" w:name="_Toc398221637"/>
      <w:bookmarkStart w:id="15824" w:name="_Toc398222323"/>
      <w:bookmarkStart w:id="15825" w:name="_Toc398222635"/>
      <w:bookmarkStart w:id="15826" w:name="_Toc398223052"/>
      <w:bookmarkStart w:id="15827" w:name="_Toc398223431"/>
      <w:bookmarkStart w:id="15828" w:name="_Toc398223558"/>
      <w:bookmarkStart w:id="15829" w:name="_Toc398224366"/>
      <w:bookmarkStart w:id="15830" w:name="_Toc398225703"/>
      <w:bookmarkStart w:id="15831" w:name="_Toc398225828"/>
      <w:bookmarkStart w:id="15832" w:name="_Toc398281315"/>
      <w:bookmarkStart w:id="15833" w:name="_Toc398282174"/>
      <w:bookmarkStart w:id="15834" w:name="_Toc398284844"/>
      <w:bookmarkStart w:id="15835" w:name="_Toc398287313"/>
      <w:bookmarkStart w:id="15836" w:name="_Toc398289196"/>
      <w:bookmarkStart w:id="15837" w:name="_Toc398297193"/>
      <w:bookmarkStart w:id="15838" w:name="_Toc398298667"/>
      <w:bookmarkStart w:id="15839" w:name="_Toc398300368"/>
      <w:bookmarkStart w:id="15840" w:name="_Toc398301265"/>
      <w:bookmarkStart w:id="15841" w:name="_Toc398302450"/>
      <w:bookmarkStart w:id="15842" w:name="_Toc398302613"/>
      <w:bookmarkStart w:id="15843" w:name="_Toc398549127"/>
      <w:bookmarkStart w:id="15844" w:name="_Toc398549377"/>
      <w:bookmarkStart w:id="15845" w:name="_Toc398555796"/>
      <w:bookmarkStart w:id="15846" w:name="_Toc398559000"/>
      <w:bookmarkStart w:id="15847" w:name="_Toc398563486"/>
      <w:bookmarkStart w:id="15848" w:name="_Toc398563619"/>
      <w:bookmarkStart w:id="15849" w:name="_Toc398564018"/>
      <w:bookmarkStart w:id="15850" w:name="_Toc398827355"/>
      <w:bookmarkStart w:id="15851" w:name="_Toc398827549"/>
      <w:bookmarkStart w:id="15852" w:name="_Toc394330265"/>
      <w:bookmarkStart w:id="15853" w:name="s84"/>
      <w:bookmarkEnd w:id="15290"/>
      <w:bookmarkEnd w:id="15291"/>
      <w:bookmarkEnd w:id="15292"/>
      <w:bookmarkEnd w:id="15293"/>
      <w:bookmarkEnd w:id="15294"/>
      <w:bookmarkEnd w:id="15295"/>
      <w:bookmarkEnd w:id="15296"/>
      <w:bookmarkEnd w:id="15297"/>
      <w:bookmarkEnd w:id="15298"/>
      <w:bookmarkEnd w:id="15299"/>
      <w:bookmarkEnd w:id="15300"/>
      <w:r w:rsidRPr="008625DC">
        <w:rPr>
          <w:lang w:val="en-AU"/>
        </w:rPr>
        <w:t>Planning and zoning</w:t>
      </w:r>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p>
    <w:bookmarkEnd w:id="15852"/>
    <w:bookmarkEnd w:id="15853"/>
    <w:p w14:paraId="7E6B3387" w14:textId="77777777" w:rsidR="001126AD" w:rsidRPr="008625DC" w:rsidRDefault="001126AD" w:rsidP="001126AD">
      <w:r w:rsidRPr="008625DC">
        <w:t xml:space="preserve">Land can be used for a variety of purposes including residential, industrial, </w:t>
      </w:r>
      <w:proofErr w:type="gramStart"/>
      <w:r w:rsidRPr="008625DC">
        <w:t>commercial</w:t>
      </w:r>
      <w:proofErr w:type="gramEnd"/>
      <w:r w:rsidRPr="008625DC">
        <w:t xml:space="preserve"> and conservation, which can include national parks. However, the unfettered market may not deliver an outcome across these various uses that </w:t>
      </w:r>
      <w:proofErr w:type="gramStart"/>
      <w:r w:rsidRPr="008625DC">
        <w:t>is</w:t>
      </w:r>
      <w:proofErr w:type="gramEnd"/>
      <w:r w:rsidRPr="008625DC">
        <w:t xml:space="preserve"> considered optimal for society as a whole, so governments allocate land to particular uses through planning, zoning and development assessment. </w:t>
      </w:r>
    </w:p>
    <w:p w14:paraId="71A4C1B8" w14:textId="77777777" w:rsidR="001126AD" w:rsidRPr="008625DC" w:rsidRDefault="001126AD" w:rsidP="001126AD">
      <w:r w:rsidRPr="008625DC">
        <w:t xml:space="preserve">While submissions note that planning processes are necessary to ensure that the community is given an opportunity to have input into relevant developments (including the Queensland Law Society at page 3), the operation of planning systems can create barriers to entry, diversification or expansion, including through limiting the number, size, operating model and mix of businesses. This has the effect of reducing the responsiveness of suppliers to the needs of consumers. </w:t>
      </w:r>
    </w:p>
    <w:p w14:paraId="58A89D76" w14:textId="77777777" w:rsidR="001126AD" w:rsidRPr="008625DC" w:rsidRDefault="001126AD" w:rsidP="001126AD">
      <w:pPr>
        <w:spacing w:after="120"/>
      </w:pPr>
      <w:r w:rsidRPr="008625DC">
        <w:t>Restrictions on competition can arise from:</w:t>
      </w:r>
    </w:p>
    <w:p w14:paraId="57ADAE2E" w14:textId="77777777" w:rsidR="001126AD" w:rsidRPr="008625DC" w:rsidRDefault="001126AD" w:rsidP="001126AD">
      <w:pPr>
        <w:pStyle w:val="Bullet"/>
      </w:pPr>
      <w:r w:rsidRPr="008625DC">
        <w:t>excessive and complex zoning;</w:t>
      </w:r>
    </w:p>
    <w:p w14:paraId="3CFFED48" w14:textId="77777777" w:rsidR="001126AD" w:rsidRPr="008625DC" w:rsidRDefault="001126AD" w:rsidP="001126AD">
      <w:pPr>
        <w:pStyle w:val="Bullet"/>
      </w:pPr>
      <w:r w:rsidRPr="008625DC">
        <w:t>taking inappropriate account of impacts on established businesses when considering new competitor proposals; and</w:t>
      </w:r>
    </w:p>
    <w:p w14:paraId="413EC370" w14:textId="77777777" w:rsidR="001126AD" w:rsidRPr="008625DC" w:rsidRDefault="001126AD" w:rsidP="001126AD">
      <w:pPr>
        <w:pStyle w:val="Bullet"/>
        <w:spacing w:after="240"/>
      </w:pPr>
      <w:proofErr w:type="gramStart"/>
      <w:r w:rsidRPr="008625DC">
        <w:t>enabling</w:t>
      </w:r>
      <w:proofErr w:type="gramEnd"/>
      <w:r w:rsidRPr="008625DC">
        <w:t xml:space="preserve"> incumbent objectors to delay new developments.</w:t>
      </w:r>
    </w:p>
    <w:p w14:paraId="1FDC8930" w14:textId="70B5F2D1" w:rsidR="001126AD" w:rsidRPr="008625DC" w:rsidRDefault="001126AD" w:rsidP="001126AD">
      <w:r w:rsidRPr="008625DC">
        <w:t>Planning has been reviewed a number of times, as set out in Box 8.</w:t>
      </w:r>
      <w:r w:rsidR="00231EF4" w:rsidRPr="008625DC">
        <w:t>7</w:t>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1126AD" w:rsidRPr="008625DC" w14:paraId="65E068FE" w14:textId="77777777" w:rsidTr="005A0741">
        <w:tc>
          <w:tcPr>
            <w:tcW w:w="5000" w:type="pct"/>
            <w:shd w:val="clear" w:color="auto" w:fill="E6E6E6"/>
          </w:tcPr>
          <w:p w14:paraId="6A87C6AF" w14:textId="79C2420D" w:rsidR="001126AD" w:rsidRPr="008625DC" w:rsidRDefault="001126AD" w:rsidP="005A0741">
            <w:pPr>
              <w:pStyle w:val="BoxHeading"/>
              <w:spacing w:before="120"/>
            </w:pPr>
            <w:r w:rsidRPr="008625DC">
              <w:lastRenderedPageBreak/>
              <w:t>Box 8.</w:t>
            </w:r>
            <w:r w:rsidR="008F1DD6" w:rsidRPr="008625DC">
              <w:t>7</w:t>
            </w:r>
            <w:r w:rsidRPr="008625DC">
              <w:t>: Planning reviews</w:t>
            </w:r>
          </w:p>
          <w:p w14:paraId="75DE1604" w14:textId="77777777" w:rsidR="001126AD" w:rsidRPr="008625DC" w:rsidRDefault="001126AD" w:rsidP="005A0741">
            <w:pPr>
              <w:pStyle w:val="Boxheading2"/>
            </w:pPr>
            <w:r w:rsidRPr="008625DC">
              <w:t>NCP assessments</w:t>
            </w:r>
          </w:p>
          <w:p w14:paraId="63FF8D9D" w14:textId="77777777" w:rsidR="001126AD" w:rsidRPr="008625DC" w:rsidRDefault="001126AD" w:rsidP="005A0741">
            <w:pPr>
              <w:pStyle w:val="BoxText"/>
            </w:pPr>
            <w:r w:rsidRPr="008625DC">
              <w:t>In the 2003 assessment of the NCP the NCC noted that governments are broadly responsible for balancing objectives in developing planning schemes that are in the public interest.</w:t>
            </w:r>
            <w:r w:rsidRPr="008625DC">
              <w:rPr>
                <w:rStyle w:val="FootnoteReference"/>
              </w:rPr>
              <w:footnoteReference w:id="65"/>
            </w:r>
          </w:p>
          <w:p w14:paraId="5DE8AB1B" w14:textId="052EC682" w:rsidR="001126AD" w:rsidRPr="008625DC" w:rsidRDefault="001126AD" w:rsidP="005A0741">
            <w:pPr>
              <w:pStyle w:val="BoxText"/>
            </w:pPr>
            <w:r w:rsidRPr="008625DC">
              <w:t>Where legislative restrictions reflect the principles below, the NCC assessed the jurisdiction as having met its CPA obligations</w:t>
            </w:r>
            <w:r w:rsidR="00C27077" w:rsidRPr="008625DC">
              <w:t>:</w:t>
            </w:r>
          </w:p>
          <w:p w14:paraId="41F91A4D" w14:textId="77777777" w:rsidR="001126AD" w:rsidRPr="008625DC" w:rsidRDefault="001126AD" w:rsidP="00467524">
            <w:pPr>
              <w:pStyle w:val="BoxBullet"/>
              <w:rPr>
                <w:lang w:val="en-AU"/>
              </w:rPr>
            </w:pPr>
            <w:r w:rsidRPr="008625DC">
              <w:rPr>
                <w:lang w:val="en-AU"/>
              </w:rPr>
              <w:t>planning processes minimise opportunities for existing businesses to prevent or delay participation by new competitors; and</w:t>
            </w:r>
          </w:p>
          <w:p w14:paraId="0C72E09B" w14:textId="77777777" w:rsidR="001126AD" w:rsidRPr="008625DC" w:rsidRDefault="001126AD" w:rsidP="00467524">
            <w:pPr>
              <w:pStyle w:val="BoxBullet"/>
              <w:rPr>
                <w:lang w:val="en-AU"/>
              </w:rPr>
            </w:pPr>
            <w:proofErr w:type="gramStart"/>
            <w:r w:rsidRPr="008625DC">
              <w:rPr>
                <w:lang w:val="en-AU"/>
              </w:rPr>
              <w:t>jurisdictions</w:t>
            </w:r>
            <w:proofErr w:type="gramEnd"/>
            <w:r w:rsidRPr="008625DC">
              <w:rPr>
                <w:lang w:val="en-AU"/>
              </w:rPr>
              <w:t xml:space="preserve"> have considered and, where appropriate, provided for competition between government and private providers in planning approval processes.</w:t>
            </w:r>
          </w:p>
          <w:p w14:paraId="2E1F4B9D" w14:textId="77777777" w:rsidR="001126AD" w:rsidRPr="008625DC" w:rsidRDefault="001126AD" w:rsidP="005A0741">
            <w:pPr>
              <w:pStyle w:val="BoxText"/>
            </w:pPr>
            <w:r w:rsidRPr="008625DC">
              <w:t>All States except New South Wales and Western Australia were assessed as having met their obligations in 2003.</w:t>
            </w:r>
          </w:p>
          <w:p w14:paraId="01A48D72" w14:textId="77777777" w:rsidR="001126AD" w:rsidRPr="008625DC" w:rsidRDefault="001126AD" w:rsidP="00AD56BA">
            <w:pPr>
              <w:pStyle w:val="BoxText"/>
              <w:spacing w:after="180"/>
            </w:pPr>
            <w:r w:rsidRPr="008625DC">
              <w:t>By 2005 Western Australia was the only State that had not completed the reform activity.</w:t>
            </w:r>
            <w:r w:rsidRPr="008625DC">
              <w:rPr>
                <w:rStyle w:val="FootnoteReference"/>
              </w:rPr>
              <w:footnoteReference w:id="66"/>
            </w:r>
            <w:r w:rsidRPr="008625DC">
              <w:t xml:space="preserve"> </w:t>
            </w:r>
          </w:p>
          <w:p w14:paraId="20D305DD" w14:textId="77777777" w:rsidR="001126AD" w:rsidRPr="008625DC" w:rsidRDefault="001126AD" w:rsidP="005A0741">
            <w:pPr>
              <w:pStyle w:val="Boxheading2"/>
            </w:pPr>
            <w:r w:rsidRPr="008625DC">
              <w:t>ACCC grocery inquiry</w:t>
            </w:r>
          </w:p>
          <w:p w14:paraId="5A94B2A5" w14:textId="77777777" w:rsidR="001126AD" w:rsidRPr="008625DC" w:rsidRDefault="001126AD" w:rsidP="003B7881">
            <w:pPr>
              <w:pStyle w:val="BoxText"/>
            </w:pPr>
            <w:r w:rsidRPr="008625DC">
              <w:t>The 2008 ACCC inquiry into the competitiveness of retail prices for standard groceries found that planning and zoning laws act as a barrier to the establishment of new supermarkets and little regard is had to competition issues in considering zoning or planning proposals.</w:t>
            </w:r>
            <w:r w:rsidRPr="008625DC">
              <w:rPr>
                <w:rStyle w:val="FootnoteReference"/>
              </w:rPr>
              <w:footnoteReference w:id="67"/>
            </w:r>
            <w:r w:rsidRPr="008625DC">
              <w:t xml:space="preserve"> </w:t>
            </w:r>
          </w:p>
          <w:p w14:paraId="15965499" w14:textId="2F1C5CFE" w:rsidR="001126AD" w:rsidRPr="008625DC" w:rsidRDefault="001126AD" w:rsidP="00AD56BA">
            <w:pPr>
              <w:pStyle w:val="BoxText"/>
              <w:spacing w:after="180"/>
            </w:pPr>
            <w:r w:rsidRPr="008625DC">
              <w:t xml:space="preserve">The report noted that independent supermarkets were particularly concerned with impediments to new developments given the difficulties they have in obtaining access to existing sites. The ACCC received evidence of incumbent supermarkets using planning consultation and objection processes to </w:t>
            </w:r>
            <w:r w:rsidR="00C74E19" w:rsidRPr="008625DC">
              <w:t>‘</w:t>
            </w:r>
            <w:r w:rsidRPr="008625DC">
              <w:t>game</w:t>
            </w:r>
            <w:r w:rsidR="00C74E19" w:rsidRPr="008625DC">
              <w:t>’</w:t>
            </w:r>
            <w:r w:rsidRPr="008625DC">
              <w:t xml:space="preserve"> the planning system to delay or prevent potential competitors entering local areas.</w:t>
            </w:r>
            <w:r w:rsidRPr="008625DC">
              <w:rPr>
                <w:rStyle w:val="FootnoteReference"/>
              </w:rPr>
              <w:footnoteReference w:id="68"/>
            </w:r>
          </w:p>
          <w:p w14:paraId="43383BFC" w14:textId="77777777" w:rsidR="001126AD" w:rsidRPr="008625DC" w:rsidRDefault="001126AD" w:rsidP="005A0741">
            <w:pPr>
              <w:pStyle w:val="Boxheading2"/>
            </w:pPr>
            <w:r w:rsidRPr="008625DC">
              <w:t>PC inquiry into the Australian retail industry</w:t>
            </w:r>
          </w:p>
          <w:p w14:paraId="5F621A8C" w14:textId="30A596FE" w:rsidR="001126AD" w:rsidRPr="008625DC" w:rsidRDefault="001126AD" w:rsidP="003B7881">
            <w:pPr>
              <w:pStyle w:val="BoxText"/>
            </w:pPr>
            <w:r w:rsidRPr="008625DC">
              <w:t>The PC</w:t>
            </w:r>
            <w:r w:rsidR="00C74E19" w:rsidRPr="008625DC">
              <w:t>’</w:t>
            </w:r>
            <w:r w:rsidRPr="008625DC">
              <w:t xml:space="preserve">s 2011 inquiry report on the economic structure and performance of the Australian retail industry found that planning and zoning regulations were </w:t>
            </w:r>
            <w:r w:rsidR="00C74E19" w:rsidRPr="008625DC">
              <w:t>‘</w:t>
            </w:r>
            <w:r w:rsidRPr="008625DC">
              <w:t>complex, excessively prescriptive and often anti</w:t>
            </w:r>
            <w:r w:rsidR="00C74E19" w:rsidRPr="008625DC">
              <w:noBreakHyphen/>
            </w:r>
            <w:r w:rsidRPr="008625DC">
              <w:t>competitive</w:t>
            </w:r>
            <w:r w:rsidR="00C74E19" w:rsidRPr="008625DC">
              <w:t>’</w:t>
            </w:r>
            <w:r w:rsidRPr="008625DC">
              <w:t>.</w:t>
            </w:r>
            <w:r w:rsidRPr="008625DC">
              <w:rPr>
                <w:rStyle w:val="FootnoteReference"/>
              </w:rPr>
              <w:footnoteReference w:id="69"/>
            </w:r>
          </w:p>
          <w:p w14:paraId="51A14B31" w14:textId="66355BE8" w:rsidR="001126AD" w:rsidRPr="008625DC" w:rsidRDefault="001126AD" w:rsidP="003B7881">
            <w:pPr>
              <w:pStyle w:val="BoxText"/>
            </w:pPr>
            <w:r w:rsidRPr="008625DC">
              <w:t>Included in the PC</w:t>
            </w:r>
            <w:r w:rsidR="00C74E19" w:rsidRPr="008625DC">
              <w:t>’</w:t>
            </w:r>
            <w:r w:rsidRPr="008625DC">
              <w:t>s recommendations was that:</w:t>
            </w:r>
          </w:p>
          <w:p w14:paraId="33CE8AF1" w14:textId="3FA0B7C2" w:rsidR="001126AD" w:rsidRPr="008625DC" w:rsidRDefault="00C27077" w:rsidP="00467524">
            <w:pPr>
              <w:pStyle w:val="BoxBullet"/>
              <w:rPr>
                <w:lang w:val="en-AU"/>
              </w:rPr>
            </w:pPr>
            <w:r w:rsidRPr="008625DC">
              <w:rPr>
                <w:lang w:val="en-AU"/>
              </w:rPr>
              <w:t>s</w:t>
            </w:r>
            <w:r w:rsidR="001126AD" w:rsidRPr="008625DC">
              <w:rPr>
                <w:lang w:val="en-AU"/>
              </w:rPr>
              <w:t xml:space="preserve">tate, territory and local governments should (where responsible) broaden business zoning and significantly reduce prescriptive planning requirements to allow the location of all retail formats in existing business zones to ensure that competition is not needlessly restricted… (Recommendation 8.1); </w:t>
            </w:r>
          </w:p>
          <w:p w14:paraId="15B507DC" w14:textId="77777777" w:rsidR="001126AD" w:rsidRPr="008625DC" w:rsidRDefault="001126AD" w:rsidP="00467524">
            <w:pPr>
              <w:pStyle w:val="BoxBullet"/>
              <w:rPr>
                <w:lang w:val="en-AU"/>
              </w:rPr>
            </w:pPr>
            <w:proofErr w:type="gramStart"/>
            <w:r w:rsidRPr="008625DC">
              <w:rPr>
                <w:lang w:val="en-AU"/>
              </w:rPr>
              <w:t>governments</w:t>
            </w:r>
            <w:proofErr w:type="gramEnd"/>
            <w:r w:rsidRPr="008625DC">
              <w:rPr>
                <w:lang w:val="en-AU"/>
              </w:rPr>
              <w:t xml:space="preserve"> should not consider the viability of existing businesses at any stage of planning, rezoning or development assessment processes. Impacts of possible future retail locations on </w:t>
            </w:r>
            <w:r w:rsidRPr="008625DC">
              <w:rPr>
                <w:lang w:val="en-AU"/>
              </w:rPr>
              <w:lastRenderedPageBreak/>
              <w:t>existing activity centre viability (but not specific businesses) should only be considered during strategic plan preparation or major review — not for site specific rezoning or individual development applications (Recommendation 8.2); and</w:t>
            </w:r>
          </w:p>
          <w:p w14:paraId="5CFB4143" w14:textId="0D4B07C4" w:rsidR="001126AD" w:rsidRPr="008625DC" w:rsidRDefault="00C27077" w:rsidP="00AD56BA">
            <w:pPr>
              <w:pStyle w:val="Bullet"/>
              <w:spacing w:after="180"/>
            </w:pPr>
            <w:proofErr w:type="gramStart"/>
            <w:r w:rsidRPr="008625DC">
              <w:t>s</w:t>
            </w:r>
            <w:r w:rsidR="001126AD" w:rsidRPr="008625DC">
              <w:t>tate</w:t>
            </w:r>
            <w:proofErr w:type="gramEnd"/>
            <w:r w:rsidR="001126AD" w:rsidRPr="008625DC">
              <w:t>, territory and local governments should facilitate more as</w:t>
            </w:r>
            <w:r w:rsidR="00C74E19" w:rsidRPr="008625DC">
              <w:noBreakHyphen/>
            </w:r>
            <w:r w:rsidR="001126AD" w:rsidRPr="008625DC">
              <w:t>of</w:t>
            </w:r>
            <w:r w:rsidR="00C74E19" w:rsidRPr="008625DC">
              <w:noBreakHyphen/>
            </w:r>
            <w:r w:rsidR="001126AD" w:rsidRPr="008625DC">
              <w:t>right development processes to reduce business uncertainty and remove the scope for gaming by competitors (Recommendation 8.3).</w:t>
            </w:r>
          </w:p>
          <w:p w14:paraId="2E0385FA" w14:textId="77777777" w:rsidR="001126AD" w:rsidRPr="008625DC" w:rsidRDefault="001126AD" w:rsidP="005A0741">
            <w:pPr>
              <w:pStyle w:val="Boxheading2"/>
            </w:pPr>
            <w:r w:rsidRPr="008625DC">
              <w:t>PC study on relative costs of doing business in Australia</w:t>
            </w:r>
          </w:p>
          <w:p w14:paraId="58378B1B" w14:textId="16276CF6" w:rsidR="001126AD" w:rsidRPr="008625DC" w:rsidRDefault="001126AD" w:rsidP="00AD56BA">
            <w:pPr>
              <w:pStyle w:val="BoxText"/>
            </w:pPr>
            <w:r w:rsidRPr="008625DC">
              <w:t>The PC</w:t>
            </w:r>
            <w:r w:rsidR="00C74E19" w:rsidRPr="008625DC">
              <w:t>’</w:t>
            </w:r>
            <w:r w:rsidRPr="008625DC">
              <w:t xml:space="preserve">s 2014 </w:t>
            </w:r>
            <w:r w:rsidRPr="008625DC">
              <w:rPr>
                <w:i/>
              </w:rPr>
              <w:t>Relative Costs of Doing Business in Australia: Retail Trade Interim Report</w:t>
            </w:r>
            <w:r w:rsidRPr="008625DC">
              <w:t xml:space="preserve"> looked at </w:t>
            </w:r>
            <w:r w:rsidRPr="00AD56BA">
              <w:t>progress</w:t>
            </w:r>
            <w:r w:rsidRPr="008625DC">
              <w:t xml:space="preserve"> since its 2011 report and suggested there are some signs of partial progress on planning and zoning in some jurisdictions, with Victoria leading the way.</w:t>
            </w:r>
            <w:r w:rsidRPr="008625DC">
              <w:rPr>
                <w:rStyle w:val="FootnoteReference"/>
              </w:rPr>
              <w:footnoteReference w:id="70"/>
            </w:r>
          </w:p>
        </w:tc>
      </w:tr>
    </w:tbl>
    <w:p w14:paraId="6D28BE79" w14:textId="77777777" w:rsidR="001126AD" w:rsidRPr="008625DC" w:rsidRDefault="001126AD" w:rsidP="00AD56BA">
      <w:pPr>
        <w:spacing w:before="240"/>
      </w:pPr>
      <w:r w:rsidRPr="008625DC">
        <w:lastRenderedPageBreak/>
        <w:t xml:space="preserve">Planning and zoning issues are raised in a number of submissions. While the range of issues is broad and cast in different ways, there is clear dissatisfaction with the current arrangements from almost all who </w:t>
      </w:r>
      <w:proofErr w:type="gramStart"/>
      <w:r w:rsidRPr="008625DC">
        <w:t>raised</w:t>
      </w:r>
      <w:proofErr w:type="gramEnd"/>
      <w:r w:rsidRPr="008625DC">
        <w:t xml:space="preserve"> planning and zoning.</w:t>
      </w:r>
    </w:p>
    <w:p w14:paraId="4F201EDE" w14:textId="77777777" w:rsidR="001126AD" w:rsidRPr="008625DC" w:rsidRDefault="001126AD" w:rsidP="001126AD">
      <w:r w:rsidRPr="008625DC">
        <w:t>Submissions suggest land use restrictions can pose considerable barriers to effective competition by constraining the supply of urban land, concentrating market power, and creating barriers to entry for new businesses.</w:t>
      </w:r>
      <w:r w:rsidRPr="008625DC">
        <w:rPr>
          <w:rStyle w:val="FootnoteReference"/>
        </w:rPr>
        <w:footnoteReference w:id="71"/>
      </w:r>
    </w:p>
    <w:p w14:paraId="1E4D0EAE" w14:textId="77777777" w:rsidR="001126AD" w:rsidRPr="008625DC" w:rsidRDefault="001126AD" w:rsidP="001126AD">
      <w:r w:rsidRPr="008625DC">
        <w:t>Inflexible restrictions placed on retailers in relation to land use restrictions and costly approval procedures are also given as examples of barriers to business entry and expansion.</w:t>
      </w:r>
      <w:r w:rsidRPr="008625DC">
        <w:rPr>
          <w:rStyle w:val="FootnoteReference"/>
        </w:rPr>
        <w:footnoteReference w:id="72"/>
      </w:r>
      <w:r w:rsidRPr="008625DC">
        <w:t xml:space="preserve"> This issue is particularly relevant for emerging providers in the sharing economy.</w:t>
      </w:r>
    </w:p>
    <w:p w14:paraId="0D38EF7F" w14:textId="14FA8247" w:rsidR="001126AD" w:rsidRPr="008625DC" w:rsidRDefault="0015308D" w:rsidP="001C4233">
      <w:pPr>
        <w:spacing w:after="120"/>
      </w:pPr>
      <w:r w:rsidRPr="008625DC">
        <w:t>ALDI</w:t>
      </w:r>
      <w:r w:rsidR="001126AD" w:rsidRPr="008625DC">
        <w:t xml:space="preserve"> suggests its expansion has been considerably slower than planned due to regulatory constraints and says that rigid and overly</w:t>
      </w:r>
      <w:r w:rsidR="00C74E19" w:rsidRPr="008625DC">
        <w:noBreakHyphen/>
      </w:r>
      <w:r w:rsidR="001126AD" w:rsidRPr="008625DC">
        <w:t>prescriptive land use planning and zoning rules have resulted in a chronic shortage of suitably zoned land for small format supermarkets in many built</w:t>
      </w:r>
      <w:r w:rsidR="00C74E19" w:rsidRPr="008625DC">
        <w:noBreakHyphen/>
      </w:r>
      <w:r w:rsidR="001126AD" w:rsidRPr="008625DC">
        <w:t xml:space="preserve">up areas. It goes on to state: </w:t>
      </w:r>
    </w:p>
    <w:p w14:paraId="5C489D26" w14:textId="560868FE" w:rsidR="001126AD" w:rsidRPr="008625DC" w:rsidRDefault="001126AD" w:rsidP="001126AD">
      <w:pPr>
        <w:pStyle w:val="Quotes"/>
      </w:pPr>
      <w:r w:rsidRPr="008625DC">
        <w:t xml:space="preserve">More so than any other country in which it does business, </w:t>
      </w:r>
      <w:r w:rsidR="0015308D" w:rsidRPr="008625DC">
        <w:t>ALDI</w:t>
      </w:r>
      <w:r w:rsidRPr="008625DC">
        <w:t xml:space="preserve"> has found the challenge of securing appropriate property holdings in Australia the single most significant brake on its expansion. (</w:t>
      </w:r>
      <w:proofErr w:type="gramStart"/>
      <w:r w:rsidRPr="008625DC">
        <w:t>page</w:t>
      </w:r>
      <w:proofErr w:type="gramEnd"/>
      <w:r w:rsidRPr="008625DC">
        <w:t xml:space="preserve"> 4)</w:t>
      </w:r>
    </w:p>
    <w:p w14:paraId="68C1959E" w14:textId="77777777" w:rsidR="001126AD" w:rsidRPr="008625DC" w:rsidRDefault="001126AD" w:rsidP="001126AD">
      <w:r w:rsidRPr="008625DC">
        <w:t xml:space="preserve">Given planning regulation can restrict the number and use of retail </w:t>
      </w:r>
      <w:proofErr w:type="gramStart"/>
      <w:r w:rsidRPr="008625DC">
        <w:t>sites,</w:t>
      </w:r>
      <w:proofErr w:type="gramEnd"/>
      <w:r w:rsidRPr="008625DC">
        <w:t xml:space="preserve"> it can confer significant negotiating power on established landlords and restrict commercial opportunities for others. It is </w:t>
      </w:r>
      <w:r w:rsidRPr="008625DC">
        <w:lastRenderedPageBreak/>
        <w:t>suggested that removing unnecessary constraints on planning and zoning regulation would help new development and increase competition in the marketplace.</w:t>
      </w:r>
      <w:r w:rsidRPr="008625DC">
        <w:rPr>
          <w:rStyle w:val="FootnoteReference"/>
        </w:rPr>
        <w:footnoteReference w:id="73"/>
      </w:r>
      <w:r w:rsidRPr="008625DC">
        <w:t xml:space="preserve"> </w:t>
      </w:r>
    </w:p>
    <w:p w14:paraId="6595ADEE" w14:textId="442CECAA" w:rsidR="001126AD" w:rsidRPr="008625DC" w:rsidRDefault="001126AD" w:rsidP="001126AD">
      <w:pPr>
        <w:rPr>
          <w:color w:val="595959" w:themeColor="text1" w:themeTint="A6"/>
        </w:rPr>
      </w:pPr>
      <w:r w:rsidRPr="008625DC">
        <w:t xml:space="preserve">The lack of an economic objective in relation to planning is another issue raised in submissions. One submission states that </w:t>
      </w:r>
      <w:r w:rsidR="00C74E19" w:rsidRPr="008625DC">
        <w:t>‘</w:t>
      </w:r>
      <w:r w:rsidRPr="008625DC">
        <w:t xml:space="preserve">planning is not an area of government activity with clear, simple goals (other than motherhood statements about </w:t>
      </w:r>
      <w:r w:rsidR="00C74E19" w:rsidRPr="008625DC">
        <w:t>‘</w:t>
      </w:r>
      <w:r w:rsidRPr="008625DC">
        <w:t>building better communities</w:t>
      </w:r>
      <w:r w:rsidR="00C74E19" w:rsidRPr="008625DC">
        <w:t>’</w:t>
      </w:r>
      <w:r w:rsidRPr="008625DC">
        <w:t xml:space="preserve"> and the like), and this leaves it ripe for capture by special interests</w:t>
      </w:r>
      <w:r w:rsidR="00C74E19" w:rsidRPr="008625DC">
        <w:t>’</w:t>
      </w:r>
      <w:r w:rsidRPr="008625DC">
        <w:t>.</w:t>
      </w:r>
      <w:r w:rsidRPr="008625DC">
        <w:rPr>
          <w:rStyle w:val="FootnoteReference"/>
        </w:rPr>
        <w:footnoteReference w:id="74"/>
      </w:r>
      <w:r w:rsidRPr="008625DC">
        <w:t xml:space="preserve"> </w:t>
      </w:r>
    </w:p>
    <w:p w14:paraId="3A3E7401" w14:textId="77777777" w:rsidR="001126AD" w:rsidRPr="008625DC" w:rsidRDefault="001126AD" w:rsidP="001126AD">
      <w:r w:rsidRPr="008625DC">
        <w:t xml:space="preserve">It is important that the competitive impacts of planning and zoning are understood and considered by local planning authorities. It is recommended that competition analysis be incorporated into planning decisions in a manner that considers the benefits to consumers from competition. </w:t>
      </w:r>
    </w:p>
    <w:tbl>
      <w:tblPr>
        <w:tblW w:w="9072" w:type="dxa"/>
        <w:tblInd w:w="108" w:type="dxa"/>
        <w:shd w:val="clear" w:color="auto" w:fill="E6E6E6"/>
        <w:tblLook w:val="01E0" w:firstRow="1" w:lastRow="1" w:firstColumn="1" w:lastColumn="1" w:noHBand="0" w:noVBand="0"/>
      </w:tblPr>
      <w:tblGrid>
        <w:gridCol w:w="9072"/>
      </w:tblGrid>
      <w:tr w:rsidR="001126AD" w:rsidRPr="008625DC" w14:paraId="46B56698" w14:textId="77777777" w:rsidTr="005A0741">
        <w:tc>
          <w:tcPr>
            <w:tcW w:w="5000" w:type="pct"/>
            <w:shd w:val="clear" w:color="auto" w:fill="E6E6E6"/>
          </w:tcPr>
          <w:p w14:paraId="08F51D76" w14:textId="03CD6731" w:rsidR="001126AD" w:rsidRPr="008625DC" w:rsidRDefault="001126AD" w:rsidP="005A0741">
            <w:pPr>
              <w:pStyle w:val="BoxHeading"/>
            </w:pPr>
            <w:r w:rsidRPr="008625DC">
              <w:t>Box 8.</w:t>
            </w:r>
            <w:r w:rsidR="008F1DD6" w:rsidRPr="008625DC">
              <w:t>8</w:t>
            </w:r>
            <w:r w:rsidRPr="008625DC">
              <w:t xml:space="preserve">: Planning restrictions on child care </w:t>
            </w:r>
          </w:p>
          <w:p w14:paraId="3E77FC34" w14:textId="77777777" w:rsidR="001126AD" w:rsidRPr="008625DC" w:rsidRDefault="001126AD" w:rsidP="005A0741">
            <w:pPr>
              <w:pStyle w:val="BoxText"/>
            </w:pPr>
            <w:r w:rsidRPr="008625DC">
              <w:t>In some areas, particularly regional centres, there can be an unmet need for child care. The Australian Bureau of Statistics noted that in 2008:</w:t>
            </w:r>
          </w:p>
          <w:p w14:paraId="1C13238B" w14:textId="604651DB" w:rsidR="001126AD" w:rsidRPr="008625DC" w:rsidRDefault="00B95932" w:rsidP="005A0741">
            <w:pPr>
              <w:pStyle w:val="Quotes"/>
              <w:spacing w:after="0"/>
            </w:pPr>
            <w:r w:rsidRPr="008625DC">
              <w:t>[</w:t>
            </w:r>
            <w:r w:rsidR="00160D90">
              <w:t>P</w:t>
            </w:r>
            <w:r w:rsidRPr="008625DC">
              <w:t>]</w:t>
            </w:r>
            <w:r w:rsidR="001126AD" w:rsidRPr="008625DC">
              <w:t>arents of 89,000 children aged 0</w:t>
            </w:r>
            <w:r w:rsidR="00C74E19" w:rsidRPr="008625DC">
              <w:noBreakHyphen/>
            </w:r>
            <w:r w:rsidR="001126AD" w:rsidRPr="008625DC">
              <w:t>12 indicated that they currently had an unmet need for formal child care … Of the 89,000 children with an unmet need for formal care, one</w:t>
            </w:r>
            <w:r w:rsidR="00C74E19" w:rsidRPr="008625DC">
              <w:noBreakHyphen/>
            </w:r>
            <w:r w:rsidR="001126AD" w:rsidRPr="008625DC">
              <w:t>third (30,000) had parents who had applied for a child care place. However, for around 55% (17,000) of these children, a place was not available.</w:t>
            </w:r>
            <w:r w:rsidR="001126AD" w:rsidRPr="008625DC">
              <w:rPr>
                <w:rStyle w:val="FootnoteReference"/>
              </w:rPr>
              <w:footnoteReference w:id="75"/>
            </w:r>
          </w:p>
          <w:p w14:paraId="25475E5E" w14:textId="6B7770CF" w:rsidR="001126AD" w:rsidRPr="008625DC" w:rsidRDefault="001126AD" w:rsidP="005A0741">
            <w:pPr>
              <w:pStyle w:val="BoxText"/>
              <w:rPr>
                <w:szCs w:val="22"/>
              </w:rPr>
            </w:pPr>
            <w:r w:rsidRPr="008625DC">
              <w:t>As well as necessary requirements in relation to employee training and occupational health and safety, childcare centres are often subject to strict planning and zoning requirements</w:t>
            </w:r>
            <w:r w:rsidR="00C74E19" w:rsidRPr="008625DC">
              <w:t xml:space="preserve"> — </w:t>
            </w:r>
            <w:r w:rsidRPr="008625DC">
              <w:t xml:space="preserve">for </w:t>
            </w:r>
            <w:r w:rsidRPr="008625DC">
              <w:rPr>
                <w:szCs w:val="22"/>
              </w:rPr>
              <w:t>example, maximum capacity, building design and appearance, and parking requirements.</w:t>
            </w:r>
          </w:p>
          <w:p w14:paraId="3DFC11F1" w14:textId="77777777" w:rsidR="001126AD" w:rsidRPr="008625DC" w:rsidRDefault="001126AD" w:rsidP="005A0741">
            <w:pPr>
              <w:pStyle w:val="Bullet"/>
              <w:numPr>
                <w:ilvl w:val="0"/>
                <w:numId w:val="0"/>
              </w:numPr>
              <w:ind w:left="34" w:hanging="34"/>
              <w:rPr>
                <w:szCs w:val="22"/>
              </w:rPr>
            </w:pPr>
            <w:r w:rsidRPr="008625DC">
              <w:rPr>
                <w:szCs w:val="22"/>
              </w:rPr>
              <w:t>The PC also recently found council requirements relating to:</w:t>
            </w:r>
          </w:p>
          <w:p w14:paraId="0A492392" w14:textId="64F91225" w:rsidR="001126AD" w:rsidRPr="008625DC" w:rsidRDefault="00B95932" w:rsidP="005A0741">
            <w:pPr>
              <w:pStyle w:val="Quotes"/>
              <w:rPr>
                <w:szCs w:val="22"/>
              </w:rPr>
            </w:pPr>
            <w:r w:rsidRPr="008625DC">
              <w:t>[</w:t>
            </w:r>
            <w:r w:rsidR="00160D90">
              <w:t>T</w:t>
            </w:r>
            <w:r w:rsidRPr="008625DC">
              <w:t>]</w:t>
            </w:r>
            <w:r w:rsidR="001126AD" w:rsidRPr="008625DC">
              <w:t>he use of energy efficient appliances; the depth of sandpits; noise levels inside the service</w:t>
            </w:r>
            <w:r w:rsidR="00C74E19" w:rsidRPr="008625DC">
              <w:t>’</w:t>
            </w:r>
            <w:r w:rsidR="001126AD" w:rsidRPr="008625DC">
              <w:t>s buildings; the layout and type of plants used …</w:t>
            </w:r>
            <w:r w:rsidR="001126AD" w:rsidRPr="008625DC">
              <w:rPr>
                <w:rStyle w:val="FootnoteReference"/>
              </w:rPr>
              <w:footnoteReference w:id="76"/>
            </w:r>
          </w:p>
          <w:p w14:paraId="32E6436C" w14:textId="77777777" w:rsidR="001126AD" w:rsidRPr="008625DC" w:rsidRDefault="001126AD" w:rsidP="005A0741">
            <w:pPr>
              <w:pStyle w:val="Bullet"/>
              <w:numPr>
                <w:ilvl w:val="0"/>
                <w:numId w:val="0"/>
              </w:numPr>
            </w:pPr>
            <w:r w:rsidRPr="008625DC">
              <w:rPr>
                <w:szCs w:val="22"/>
              </w:rPr>
              <w:t>While some physical environment restrictions on childcare centres may be necessary for health and safety reasons, planning and zoning requirements prescribed by councils apply in addition to the physical environment requirements prescribed under the Education and Care Services National Regulations which apply to all centres in Australia and cover important requirements such as safety, fencing, facilities and space requirements.</w:t>
            </w:r>
            <w:r w:rsidRPr="008625DC">
              <w:rPr>
                <w:rStyle w:val="FootnoteReference"/>
                <w:szCs w:val="22"/>
              </w:rPr>
              <w:footnoteReference w:id="77"/>
            </w:r>
          </w:p>
        </w:tc>
      </w:tr>
    </w:tbl>
    <w:p w14:paraId="382D9F53" w14:textId="5DFE8F49" w:rsidR="001126AD" w:rsidRPr="008625DC" w:rsidRDefault="001126AD" w:rsidP="00B95932">
      <w:pPr>
        <w:spacing w:before="240"/>
      </w:pPr>
      <w:r w:rsidRPr="008625DC">
        <w:t>A number of governments have recognised the current problems presented by planning but they tend to be seen through the prism of deregulation, red</w:t>
      </w:r>
      <w:r w:rsidR="00C74E19" w:rsidRPr="008625DC">
        <w:noBreakHyphen/>
      </w:r>
      <w:r w:rsidRPr="008625DC">
        <w:t xml:space="preserve">tape and economic development more </w:t>
      </w:r>
      <w:r w:rsidRPr="008625DC">
        <w:lastRenderedPageBreak/>
        <w:t>broadly. For a number of incoming governments, reform of planning laws has been a priority</w:t>
      </w:r>
      <w:r w:rsidR="00AD56BA">
        <w:t>,</w:t>
      </w:r>
      <w:r w:rsidRPr="008625DC">
        <w:rPr>
          <w:rStyle w:val="FootnoteReference"/>
        </w:rPr>
        <w:footnoteReference w:id="78"/>
      </w:r>
      <w:r w:rsidRPr="008625DC">
        <w:t xml:space="preserve"> but none of them appears to have focused on competition as a defined goal.</w:t>
      </w:r>
    </w:p>
    <w:p w14:paraId="4945FF47" w14:textId="02E9FAAE" w:rsidR="001126AD" w:rsidRPr="008625DC" w:rsidRDefault="001126AD" w:rsidP="001126AD">
      <w:r w:rsidRPr="008625DC">
        <w:t>While governments talk of economic objectives in a broad sense, such as employment and stimulating housing construction, these are still seen from an urban planner</w:t>
      </w:r>
      <w:r w:rsidR="00C74E19" w:rsidRPr="008625DC">
        <w:t>’</w:t>
      </w:r>
      <w:r w:rsidRPr="008625DC">
        <w:t>s viewpoint and focus on</w:t>
      </w:r>
      <w:r w:rsidR="00AD56BA">
        <w:t> </w:t>
      </w:r>
      <w:r w:rsidRPr="008625DC">
        <w:t>land use, zoning, streamlining of appeals and more standardisation of planning frameworks.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126AD" w:rsidRPr="008625DC" w14:paraId="407E9775" w14:textId="77777777" w:rsidTr="005A0741">
        <w:tc>
          <w:tcPr>
            <w:tcW w:w="5000" w:type="pct"/>
            <w:shd w:val="clear" w:color="auto" w:fill="FFFFFF" w:themeFill="background1"/>
          </w:tcPr>
          <w:p w14:paraId="1D5F359D" w14:textId="730B7858" w:rsidR="001126AD" w:rsidRPr="008625DC" w:rsidRDefault="001126AD" w:rsidP="005A0741">
            <w:pPr>
              <w:pStyle w:val="Keyfindingheading"/>
            </w:pPr>
            <w:r w:rsidRPr="008625DC">
              <w:t>The Panel</w:t>
            </w:r>
            <w:r w:rsidR="00C74E19" w:rsidRPr="008625DC">
              <w:t>’</w:t>
            </w:r>
            <w:r w:rsidRPr="008625DC">
              <w:t>s view</w:t>
            </w:r>
          </w:p>
          <w:p w14:paraId="6898944F" w14:textId="77777777" w:rsidR="001126AD" w:rsidRPr="008625DC" w:rsidRDefault="001126AD" w:rsidP="005A0741">
            <w:pPr>
              <w:pStyle w:val="Keyfindingtext"/>
            </w:pPr>
            <w:bookmarkStart w:id="15854" w:name="_Toc394505822"/>
            <w:bookmarkStart w:id="15855" w:name="_Toc394506281"/>
            <w:bookmarkStart w:id="15856" w:name="_Toc394506835"/>
            <w:bookmarkStart w:id="15857" w:name="_Toc394560912"/>
            <w:bookmarkStart w:id="15858" w:name="_Toc394561373"/>
            <w:bookmarkStart w:id="15859" w:name="_Toc394938341"/>
            <w:bookmarkStart w:id="15860" w:name="_Toc394937621"/>
            <w:bookmarkStart w:id="15861" w:name="_Toc394941252"/>
            <w:bookmarkStart w:id="15862" w:name="_Toc394941868"/>
            <w:bookmarkStart w:id="15863" w:name="_Toc394940090"/>
            <w:bookmarkStart w:id="15864" w:name="_Toc394939700"/>
            <w:bookmarkStart w:id="15865" w:name="_Toc394993597"/>
            <w:bookmarkStart w:id="15866" w:name="_Toc394995478"/>
            <w:bookmarkStart w:id="15867" w:name="_Toc394995792"/>
            <w:bookmarkStart w:id="15868" w:name="_Toc394998037"/>
            <w:bookmarkStart w:id="15869" w:name="_Toc394998551"/>
            <w:bookmarkStart w:id="15870" w:name="_Toc395002050"/>
            <w:bookmarkStart w:id="15871" w:name="_Toc395001256"/>
            <w:bookmarkStart w:id="15872" w:name="_Toc395001530"/>
            <w:bookmarkStart w:id="15873" w:name="_Toc395002819"/>
            <w:bookmarkStart w:id="15874" w:name="_Toc395003404"/>
            <w:bookmarkStart w:id="15875" w:name="_Toc395005645"/>
            <w:bookmarkStart w:id="15876" w:name="_Toc395009639"/>
            <w:bookmarkStart w:id="15877" w:name="_Toc395010378"/>
            <w:bookmarkStart w:id="15878" w:name="_Toc395012562"/>
            <w:bookmarkStart w:id="15879" w:name="_Toc395010967"/>
            <w:bookmarkStart w:id="15880" w:name="_Toc395013025"/>
            <w:bookmarkStart w:id="15881" w:name="_Toc395012027"/>
            <w:bookmarkStart w:id="15882" w:name="_Toc395014366"/>
            <w:bookmarkStart w:id="15883" w:name="_Toc395084718"/>
            <w:bookmarkStart w:id="15884" w:name="_Toc395085019"/>
            <w:bookmarkStart w:id="15885" w:name="_Toc395090482"/>
            <w:bookmarkStart w:id="15886" w:name="_Toc395097978"/>
            <w:bookmarkStart w:id="15887" w:name="_Toc395106163"/>
            <w:bookmarkStart w:id="15888" w:name="_Toc395109756"/>
            <w:bookmarkStart w:id="15889" w:name="_Toc395112133"/>
            <w:bookmarkStart w:id="15890" w:name="_Toc395107273"/>
            <w:bookmarkStart w:id="15891" w:name="_Toc395108836"/>
            <w:bookmarkStart w:id="15892" w:name="_Toc395114076"/>
            <w:bookmarkStart w:id="15893" w:name="_Toc395116813"/>
            <w:bookmarkStart w:id="15894" w:name="_Toc395112750"/>
            <w:bookmarkStart w:id="15895" w:name="_Toc395115290"/>
            <w:bookmarkStart w:id="15896" w:name="_Toc395118442"/>
            <w:bookmarkStart w:id="15897" w:name="_Toc395624637"/>
            <w:bookmarkStart w:id="15898" w:name="_Toc395789988"/>
            <w:bookmarkStart w:id="15899" w:name="_Toc395800746"/>
            <w:bookmarkStart w:id="15900" w:name="_Toc394503071"/>
            <w:bookmarkStart w:id="15901" w:name="_Toc394502615"/>
            <w:bookmarkStart w:id="15902" w:name="_Toc394497973"/>
            <w:bookmarkStart w:id="15903" w:name="_Toc394500765"/>
            <w:bookmarkStart w:id="15904" w:name="_Toc394502169"/>
            <w:bookmarkStart w:id="15905" w:name="_Toc394423515"/>
            <w:bookmarkStart w:id="15906" w:name="_Toc394420449"/>
            <w:bookmarkStart w:id="15907" w:name="_Toc394422559"/>
            <w:bookmarkStart w:id="15908" w:name="_Toc394423030"/>
            <w:bookmarkStart w:id="15909" w:name="_Toc394424180"/>
            <w:bookmarkStart w:id="15910" w:name="_Toc394492013"/>
            <w:bookmarkStart w:id="15911" w:name="_Toc394495158"/>
            <w:bookmarkStart w:id="15912" w:name="_Toc394415075"/>
            <w:bookmarkStart w:id="15913" w:name="_Toc394412380"/>
            <w:bookmarkStart w:id="15914" w:name="_Toc394420671"/>
            <w:bookmarkStart w:id="15915" w:name="_Toc394421145"/>
            <w:bookmarkStart w:id="15916" w:name="_Toc393985135"/>
            <w:bookmarkStart w:id="15917" w:name="_Toc393985638"/>
            <w:bookmarkStart w:id="15918" w:name="_Toc393986040"/>
            <w:bookmarkStart w:id="15919" w:name="_Toc393986443"/>
            <w:bookmarkStart w:id="15920" w:name="_Toc393988050"/>
            <w:bookmarkStart w:id="15921" w:name="_Toc393988452"/>
            <w:bookmarkStart w:id="15922" w:name="_Toc393989464"/>
            <w:bookmarkStart w:id="15923" w:name="_Toc393988852"/>
            <w:bookmarkStart w:id="15924" w:name="_Toc393990856"/>
            <w:bookmarkStart w:id="15925" w:name="_Toc393991838"/>
            <w:bookmarkStart w:id="15926" w:name="_Toc394047501"/>
            <w:bookmarkStart w:id="15927" w:name="_Toc394049777"/>
            <w:bookmarkStart w:id="15928" w:name="_Toc394051177"/>
            <w:bookmarkStart w:id="15929" w:name="_Toc394062166"/>
            <w:bookmarkStart w:id="15930" w:name="_Toc394069041"/>
            <w:bookmarkStart w:id="15931" w:name="_Toc394070959"/>
            <w:bookmarkStart w:id="15932" w:name="_Toc394312362"/>
            <w:bookmarkStart w:id="15933" w:name="_Toc394330646"/>
            <w:bookmarkStart w:id="15934" w:name="_Toc394330266"/>
            <w:bookmarkStart w:id="15935" w:name="_Toc394333240"/>
            <w:bookmarkStart w:id="15936" w:name="_Toc394332818"/>
            <w:bookmarkStart w:id="15937" w:name="_Toc394333653"/>
            <w:bookmarkStart w:id="15938" w:name="_Toc394334066"/>
            <w:bookmarkStart w:id="15939" w:name="_Toc394334892"/>
            <w:r w:rsidRPr="008625DC">
              <w:t>Effective economic objectives and proper consideration of competition are lacking from planning and zoning legislation and therefore processes. Planning and zoning requirements are a significant source of barriers to entry, particularly in the retail sector. They are also overly complex, geared towards very local issues and can place undue weight on the impact on incumbents. This is producing poor outcomes for consumers.</w:t>
            </w:r>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r w:rsidRPr="008625DC">
              <w:t xml:space="preserve"> </w:t>
            </w:r>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p>
        </w:tc>
      </w:tr>
    </w:tbl>
    <w:p w14:paraId="0F87B0C8" w14:textId="03686A71" w:rsidR="00215822" w:rsidRPr="008625DC" w:rsidRDefault="0093746E" w:rsidP="000B5916">
      <w:pPr>
        <w:pStyle w:val="Heading2"/>
        <w:ind w:left="851" w:hanging="851"/>
        <w:rPr>
          <w:lang w:val="en-AU"/>
        </w:rPr>
      </w:pPr>
      <w:bookmarkStart w:id="15940" w:name="_Toc398827356"/>
      <w:bookmarkStart w:id="15941" w:name="_Toc398827550"/>
      <w:r w:rsidRPr="008625DC">
        <w:rPr>
          <w:lang w:val="en-AU"/>
        </w:rPr>
        <w:t>Services</w:t>
      </w:r>
      <w:r w:rsidR="00380141" w:rsidRPr="008625DC">
        <w:rPr>
          <w:lang w:val="en-AU"/>
        </w:rPr>
        <w:t xml:space="preserve"> — </w:t>
      </w:r>
      <w:r w:rsidRPr="008625DC">
        <w:rPr>
          <w:lang w:val="en-AU"/>
        </w:rPr>
        <w:t>p</w:t>
      </w:r>
      <w:r w:rsidR="002255A2" w:rsidRPr="008625DC">
        <w:rPr>
          <w:lang w:val="en-AU"/>
        </w:rPr>
        <w:t>rofessional</w:t>
      </w:r>
      <w:r w:rsidR="002223C0" w:rsidRPr="008625DC">
        <w:rPr>
          <w:lang w:val="en-AU"/>
        </w:rPr>
        <w:t xml:space="preserve"> </w:t>
      </w:r>
      <w:r w:rsidR="002F31D6" w:rsidRPr="008625DC">
        <w:rPr>
          <w:lang w:val="en-AU"/>
        </w:rPr>
        <w:t>l</w:t>
      </w:r>
      <w:r w:rsidR="00CD1B6E" w:rsidRPr="008625DC">
        <w:rPr>
          <w:lang w:val="en-AU"/>
        </w:rPr>
        <w:t xml:space="preserve">icensing and </w:t>
      </w:r>
      <w:r w:rsidR="00FB79B7" w:rsidRPr="008625DC">
        <w:rPr>
          <w:lang w:val="en-AU"/>
        </w:rPr>
        <w:t>standards</w:t>
      </w:r>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5940"/>
      <w:bookmarkEnd w:id="15941"/>
      <w:r w:rsidR="00CD1B6E" w:rsidRPr="008625DC">
        <w:rPr>
          <w:lang w:val="en-AU"/>
        </w:rPr>
        <w:t xml:space="preserve"> </w:t>
      </w:r>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p>
    <w:bookmarkEnd w:id="14702"/>
    <w:p w14:paraId="426591B0" w14:textId="77777777" w:rsidR="00B509AB" w:rsidRPr="008625DC" w:rsidRDefault="00215822" w:rsidP="00E05574">
      <w:r w:rsidRPr="008625DC">
        <w:t xml:space="preserve">Licensing can </w:t>
      </w:r>
      <w:r w:rsidR="00B509AB" w:rsidRPr="008625DC">
        <w:t xml:space="preserve">promote important </w:t>
      </w:r>
      <w:r w:rsidRPr="008625DC">
        <w:t xml:space="preserve">public policy aims such as quality, safety and consumer protection. </w:t>
      </w:r>
      <w:r w:rsidR="00C95C4B" w:rsidRPr="008625DC">
        <w:t>For example</w:t>
      </w:r>
      <w:r w:rsidR="00A845FC" w:rsidRPr="008625DC">
        <w:t>,</w:t>
      </w:r>
      <w:r w:rsidRPr="008625DC">
        <w:t xml:space="preserve"> regulations governing the accreditation of health professionals are a means of assuring service quality does not fall below minimum acceptable standards.</w:t>
      </w:r>
    </w:p>
    <w:p w14:paraId="619D2D3D" w14:textId="6B20ACF6" w:rsidR="001219CC" w:rsidRPr="008625DC" w:rsidRDefault="00215822" w:rsidP="00B95932">
      <w:r w:rsidRPr="008625DC">
        <w:t>However, licensing can also restrict who can provide services in the marketplace</w:t>
      </w:r>
      <w:r w:rsidR="00EA23F0" w:rsidRPr="008625DC">
        <w:t>.</w:t>
      </w:r>
      <w:r w:rsidR="00787DCF" w:rsidRPr="008625DC">
        <w:t xml:space="preserve"> </w:t>
      </w:r>
      <w:r w:rsidR="00EA23F0" w:rsidRPr="008625DC">
        <w:t>Such restrictions can prevent new and innovative businesses from entering</w:t>
      </w:r>
      <w:r w:rsidR="00DB3262" w:rsidRPr="008625DC">
        <w:t xml:space="preserve"> the </w:t>
      </w:r>
      <w:r w:rsidR="00EA23F0" w:rsidRPr="008625DC">
        <w:t>market and limit the scope</w:t>
      </w:r>
      <w:r w:rsidR="00DB3262" w:rsidRPr="008625DC">
        <w:t xml:space="preserve"> of </w:t>
      </w:r>
      <w:r w:rsidR="00EA23F0" w:rsidRPr="008625DC">
        <w:t xml:space="preserve">existing businesses </w:t>
      </w:r>
      <w:r w:rsidR="00B509AB" w:rsidRPr="008625DC">
        <w:t xml:space="preserve">to </w:t>
      </w:r>
      <w:r w:rsidR="00EA23F0" w:rsidRPr="008625DC">
        <w:t>evolv</w:t>
      </w:r>
      <w:r w:rsidR="00B509AB" w:rsidRPr="008625DC">
        <w:t>e</w:t>
      </w:r>
      <w:r w:rsidR="00EA23F0" w:rsidRPr="008625DC">
        <w:t xml:space="preserve"> and innovat</w:t>
      </w:r>
      <w:r w:rsidR="00B509AB" w:rsidRPr="008625DC">
        <w:t>e</w:t>
      </w:r>
      <w:r w:rsidR="00EA23F0" w:rsidRPr="008625DC">
        <w:t>.</w:t>
      </w:r>
      <w:r w:rsidR="00787DCF" w:rsidRPr="008625DC">
        <w:t xml:space="preserve"> </w:t>
      </w:r>
      <w:r w:rsidR="00EA23F0" w:rsidRPr="008625DC">
        <w:t>As a result,</w:t>
      </w:r>
      <w:r w:rsidR="00DB3262" w:rsidRPr="008625DC">
        <w:t xml:space="preserve"> </w:t>
      </w:r>
      <w:r w:rsidR="00FC4098" w:rsidRPr="008625DC">
        <w:t>service providers</w:t>
      </w:r>
      <w:r w:rsidR="00DB3262" w:rsidRPr="008625DC">
        <w:t xml:space="preserve"> </w:t>
      </w:r>
      <w:r w:rsidR="00B509AB" w:rsidRPr="008625DC">
        <w:t>can become</w:t>
      </w:r>
      <w:r w:rsidR="00EA23F0" w:rsidRPr="008625DC">
        <w:t xml:space="preserve"> </w:t>
      </w:r>
      <w:r w:rsidR="00DB3262" w:rsidRPr="008625DC">
        <w:t>less responsive to consumer demand.</w:t>
      </w:r>
      <w:r w:rsidR="001219CC" w:rsidRPr="008625DC">
        <w:t xml:space="preserve"> </w:t>
      </w:r>
    </w:p>
    <w:tbl>
      <w:tblPr>
        <w:tblStyle w:val="TableGrid"/>
        <w:tblW w:w="0" w:type="auto"/>
        <w:tblInd w:w="108" w:type="dxa"/>
        <w:shd w:val="clear" w:color="auto" w:fill="F2F2F2" w:themeFill="background1" w:themeFillShade="F2"/>
        <w:tblLook w:val="04A0" w:firstRow="1" w:lastRow="0" w:firstColumn="1" w:lastColumn="0" w:noHBand="0" w:noVBand="1"/>
      </w:tblPr>
      <w:tblGrid>
        <w:gridCol w:w="1985"/>
        <w:gridCol w:w="7087"/>
      </w:tblGrid>
      <w:tr w:rsidR="00D37DD7" w:rsidRPr="008625DC" w14:paraId="4725773D" w14:textId="77777777" w:rsidTr="00AD56BA">
        <w:tc>
          <w:tcPr>
            <w:tcW w:w="1985" w:type="dxa"/>
            <w:shd w:val="clear" w:color="auto" w:fill="F2F2F2" w:themeFill="background1" w:themeFillShade="F2"/>
          </w:tcPr>
          <w:p w14:paraId="2F6C3754" w14:textId="3892E06C" w:rsidR="00D37DD7" w:rsidRPr="008625DC" w:rsidRDefault="00D37DD7" w:rsidP="00A24996">
            <w:pPr>
              <w:pStyle w:val="TableMainHeading"/>
              <w:spacing w:before="120" w:after="120"/>
            </w:pPr>
            <w:r w:rsidRPr="008625DC">
              <w:t>Industry</w:t>
            </w:r>
          </w:p>
        </w:tc>
        <w:tc>
          <w:tcPr>
            <w:tcW w:w="7087" w:type="dxa"/>
            <w:shd w:val="clear" w:color="auto" w:fill="F2F2F2" w:themeFill="background1" w:themeFillShade="F2"/>
          </w:tcPr>
          <w:p w14:paraId="65935E64" w14:textId="06319C29" w:rsidR="00D37DD7" w:rsidRPr="008625DC" w:rsidRDefault="00D37DD7" w:rsidP="00A24996">
            <w:pPr>
              <w:pStyle w:val="TableMainHeading"/>
              <w:spacing w:before="120" w:after="120"/>
            </w:pPr>
            <w:r w:rsidRPr="008625DC">
              <w:t>Issues raised</w:t>
            </w:r>
            <w:r w:rsidR="00375DC6" w:rsidRPr="008625DC">
              <w:t xml:space="preserve"> in submissions</w:t>
            </w:r>
          </w:p>
        </w:tc>
      </w:tr>
      <w:tr w:rsidR="00D37DD7" w:rsidRPr="008625DC" w14:paraId="7BB39968" w14:textId="77777777" w:rsidTr="00AD56BA">
        <w:tc>
          <w:tcPr>
            <w:tcW w:w="1985" w:type="dxa"/>
            <w:shd w:val="clear" w:color="auto" w:fill="F2F2F2" w:themeFill="background1" w:themeFillShade="F2"/>
          </w:tcPr>
          <w:p w14:paraId="035C394E" w14:textId="20BBC769" w:rsidR="00D37DD7" w:rsidRPr="008625DC" w:rsidRDefault="00D37DD7" w:rsidP="00A24996">
            <w:pPr>
              <w:pStyle w:val="TableTextLeft"/>
            </w:pPr>
            <w:r w:rsidRPr="008625DC">
              <w:t>Medical profession</w:t>
            </w:r>
          </w:p>
        </w:tc>
        <w:tc>
          <w:tcPr>
            <w:tcW w:w="7087" w:type="dxa"/>
            <w:shd w:val="clear" w:color="auto" w:fill="F2F2F2" w:themeFill="background1" w:themeFillShade="F2"/>
          </w:tcPr>
          <w:p w14:paraId="6CBACA06" w14:textId="1BD8D731" w:rsidR="00D37DD7" w:rsidRPr="008625DC" w:rsidRDefault="00D37DD7" w:rsidP="00B95932">
            <w:pPr>
              <w:pStyle w:val="TableTextLeft"/>
              <w:jc w:val="left"/>
            </w:pPr>
            <w:r w:rsidRPr="008625DC">
              <w:t>Admission requirements of medical colleges, and the unwillingness of the accreditation body to accredit new specialties.</w:t>
            </w:r>
            <w:r w:rsidRPr="008625DC">
              <w:rPr>
                <w:rStyle w:val="FootnoteReference"/>
              </w:rPr>
              <w:footnoteReference w:id="79"/>
            </w:r>
            <w:r w:rsidR="00787DCF" w:rsidRPr="008625DC">
              <w:t xml:space="preserve"> </w:t>
            </w:r>
          </w:p>
          <w:p w14:paraId="550A00E2" w14:textId="398FAAEE" w:rsidR="00E11A38" w:rsidRPr="008625DC" w:rsidRDefault="00D37DD7" w:rsidP="00B95932">
            <w:pPr>
              <w:pStyle w:val="TableTextLeft"/>
              <w:jc w:val="left"/>
            </w:pPr>
            <w:r w:rsidRPr="008625DC">
              <w:t>If medical specialist colleges un</w:t>
            </w:r>
            <w:r w:rsidR="00E313F0" w:rsidRPr="008625DC">
              <w:t>duly</w:t>
            </w:r>
            <w:r w:rsidRPr="008625DC">
              <w:t xml:space="preserve"> restrict entry to their professions, this </w:t>
            </w:r>
            <w:r w:rsidR="00E313F0" w:rsidRPr="008625DC">
              <w:t>has</w:t>
            </w:r>
            <w:r w:rsidRPr="008625DC">
              <w:t xml:space="preserve"> the effect of </w:t>
            </w:r>
            <w:r w:rsidR="00D502A5" w:rsidRPr="008625DC">
              <w:t>lessening competi</w:t>
            </w:r>
            <w:r w:rsidR="00E45436" w:rsidRPr="008625DC">
              <w:t>ti</w:t>
            </w:r>
            <w:r w:rsidR="00D502A5" w:rsidRPr="008625DC">
              <w:t>on</w:t>
            </w:r>
            <w:r w:rsidRPr="008625DC">
              <w:t>.</w:t>
            </w:r>
            <w:r w:rsidRPr="008625DC">
              <w:rPr>
                <w:rStyle w:val="FootnoteReference"/>
              </w:rPr>
              <w:footnoteReference w:id="80"/>
            </w:r>
            <w:r w:rsidR="00E11A38" w:rsidRPr="008625DC">
              <w:t xml:space="preserve"> </w:t>
            </w:r>
          </w:p>
          <w:p w14:paraId="040F0629" w14:textId="4BCE977E" w:rsidR="00D37DD7" w:rsidRPr="008625DC" w:rsidRDefault="00E11A38" w:rsidP="00B95932">
            <w:pPr>
              <w:pStyle w:val="TableTextLeft"/>
              <w:jc w:val="left"/>
            </w:pPr>
            <w:r w:rsidRPr="008625DC">
              <w:t>The use of nurse practitioners to perform a range of functions formerly restricted to medical practitioners has enabled the delivery of some health services at lower cost without increased risk to patients.</w:t>
            </w:r>
            <w:r w:rsidRPr="008625DC">
              <w:rPr>
                <w:rStyle w:val="FootnoteReference"/>
              </w:rPr>
              <w:footnoteReference w:id="81"/>
            </w:r>
            <w:r w:rsidR="00787DCF" w:rsidRPr="008625DC">
              <w:t xml:space="preserve"> </w:t>
            </w:r>
          </w:p>
        </w:tc>
      </w:tr>
      <w:tr w:rsidR="00D37DD7" w:rsidRPr="008625DC" w14:paraId="245165FB" w14:textId="77777777" w:rsidTr="00AD56BA">
        <w:tc>
          <w:tcPr>
            <w:tcW w:w="1985" w:type="dxa"/>
            <w:shd w:val="clear" w:color="auto" w:fill="F2F2F2" w:themeFill="background1" w:themeFillShade="F2"/>
          </w:tcPr>
          <w:p w14:paraId="10E284E6" w14:textId="20A2E9D3" w:rsidR="00D37DD7" w:rsidRPr="008625DC" w:rsidRDefault="00D37DD7" w:rsidP="00A24996">
            <w:pPr>
              <w:pStyle w:val="TableTextLeft"/>
            </w:pPr>
            <w:r w:rsidRPr="008625DC">
              <w:t>Building trade</w:t>
            </w:r>
          </w:p>
        </w:tc>
        <w:tc>
          <w:tcPr>
            <w:tcW w:w="7087" w:type="dxa"/>
            <w:shd w:val="clear" w:color="auto" w:fill="F2F2F2" w:themeFill="background1" w:themeFillShade="F2"/>
          </w:tcPr>
          <w:p w14:paraId="5D1112D1" w14:textId="464530CC" w:rsidR="00D37DD7" w:rsidRPr="008625DC" w:rsidRDefault="00D37DD7" w:rsidP="00B95932">
            <w:pPr>
              <w:pStyle w:val="TableTextLeft"/>
              <w:jc w:val="left"/>
            </w:pPr>
            <w:r w:rsidRPr="008625DC">
              <w:t>While supporting the need for a degree of licensing, the industry</w:t>
            </w:r>
            <w:r w:rsidRPr="008625DC">
              <w:rPr>
                <w:rStyle w:val="FootnoteReference"/>
              </w:rPr>
              <w:footnoteReference w:id="82"/>
            </w:r>
            <w:r w:rsidRPr="008625DC">
              <w:t xml:space="preserve"> noted </w:t>
            </w:r>
            <w:r w:rsidR="00B509AB" w:rsidRPr="008625DC">
              <w:t xml:space="preserve">that </w:t>
            </w:r>
            <w:r w:rsidRPr="008625DC">
              <w:t>this constrains the market</w:t>
            </w:r>
            <w:r w:rsidR="00C74E19" w:rsidRPr="008625DC">
              <w:t>’</w:t>
            </w:r>
            <w:r w:rsidRPr="008625DC">
              <w:t xml:space="preserve">s ability to provide services and should only be used where the benefits outweigh the costs and where the objectives of regulation can only be achieved by restricting competition. </w:t>
            </w:r>
            <w:r w:rsidR="00AD56BA">
              <w:br/>
            </w:r>
          </w:p>
        </w:tc>
      </w:tr>
      <w:tr w:rsidR="00C04D36" w:rsidRPr="008625DC" w14:paraId="5705F022" w14:textId="77777777" w:rsidTr="00AD56BA">
        <w:tc>
          <w:tcPr>
            <w:tcW w:w="1985" w:type="dxa"/>
            <w:shd w:val="clear" w:color="auto" w:fill="F2F2F2" w:themeFill="background1" w:themeFillShade="F2"/>
          </w:tcPr>
          <w:p w14:paraId="0C8399A7" w14:textId="4662E4CC" w:rsidR="00C04D36" w:rsidRPr="008625DC" w:rsidRDefault="00C04D36" w:rsidP="00A24996">
            <w:pPr>
              <w:pStyle w:val="TableTextLeft"/>
            </w:pPr>
            <w:r w:rsidRPr="008625DC">
              <w:lastRenderedPageBreak/>
              <w:t>Legal profession</w:t>
            </w:r>
          </w:p>
        </w:tc>
        <w:tc>
          <w:tcPr>
            <w:tcW w:w="7087" w:type="dxa"/>
            <w:shd w:val="clear" w:color="auto" w:fill="F2F2F2" w:themeFill="background1" w:themeFillShade="F2"/>
          </w:tcPr>
          <w:p w14:paraId="2FAA4F72" w14:textId="2FBACC28" w:rsidR="00C04D36" w:rsidRPr="008625DC" w:rsidRDefault="00C04D36" w:rsidP="00AD56BA">
            <w:pPr>
              <w:pStyle w:val="TableTextLeft"/>
              <w:keepNext/>
              <w:keepLines/>
              <w:jc w:val="left"/>
            </w:pPr>
            <w:r w:rsidRPr="008625DC">
              <w:t xml:space="preserve">Competition is limited by aspects of </w:t>
            </w:r>
            <w:r w:rsidR="002F35FC" w:rsidRPr="008625DC">
              <w:t>the</w:t>
            </w:r>
            <w:r w:rsidRPr="008625DC">
              <w:t xml:space="preserve"> self</w:t>
            </w:r>
            <w:r w:rsidR="00C74E19" w:rsidRPr="008625DC">
              <w:noBreakHyphen/>
            </w:r>
            <w:r w:rsidRPr="008625DC">
              <w:t xml:space="preserve">regulatory regime. </w:t>
            </w:r>
          </w:p>
          <w:p w14:paraId="33B68F99" w14:textId="3035A2B7" w:rsidR="00C04D36" w:rsidRPr="008625DC" w:rsidRDefault="00C04D36" w:rsidP="00AD56BA">
            <w:pPr>
              <w:pStyle w:val="TableTextLeft"/>
              <w:keepNext/>
              <w:keepLines/>
              <w:jc w:val="left"/>
            </w:pPr>
            <w:r w:rsidRPr="008625DC">
              <w:t>Examples were provided of restrictions on the ability of law schools to offer curricula that don</w:t>
            </w:r>
            <w:r w:rsidR="00C74E19" w:rsidRPr="008625DC">
              <w:t>’</w:t>
            </w:r>
            <w:r w:rsidRPr="008625DC">
              <w:t xml:space="preserve">t include 11 core subjects, and </w:t>
            </w:r>
            <w:r w:rsidR="0046149D" w:rsidRPr="008625DC">
              <w:t>S</w:t>
            </w:r>
            <w:r w:rsidRPr="008625DC">
              <w:t xml:space="preserve">tate law societies both setting </w:t>
            </w:r>
            <w:r w:rsidR="00B509AB" w:rsidRPr="008625DC">
              <w:t>requirements for</w:t>
            </w:r>
            <w:r w:rsidR="00C90342" w:rsidRPr="008625DC">
              <w:t>,</w:t>
            </w:r>
            <w:r w:rsidR="00B509AB" w:rsidRPr="008625DC">
              <w:t xml:space="preserve"> </w:t>
            </w:r>
            <w:r w:rsidRPr="008625DC">
              <w:t>and providing</w:t>
            </w:r>
            <w:r w:rsidR="00C90342" w:rsidRPr="008625DC">
              <w:t>,</w:t>
            </w:r>
            <w:r w:rsidRPr="008625DC">
              <w:t xml:space="preserve"> training and profe</w:t>
            </w:r>
            <w:r w:rsidR="00B509AB" w:rsidRPr="008625DC">
              <w:t>ssional development</w:t>
            </w:r>
            <w:r w:rsidRPr="008625DC">
              <w:t>.</w:t>
            </w:r>
            <w:r w:rsidRPr="008625DC">
              <w:rPr>
                <w:rStyle w:val="FootnoteReference"/>
              </w:rPr>
              <w:footnoteReference w:id="83"/>
            </w:r>
            <w:r w:rsidR="00787DCF" w:rsidRPr="008625DC">
              <w:t xml:space="preserve"> </w:t>
            </w:r>
          </w:p>
          <w:p w14:paraId="7DAFA97C" w14:textId="16601CA0" w:rsidR="00C04D36" w:rsidRPr="008625DC" w:rsidRDefault="00C04D36" w:rsidP="00B95932">
            <w:pPr>
              <w:pStyle w:val="TableTextLeft"/>
              <w:jc w:val="left"/>
            </w:pPr>
            <w:r w:rsidRPr="008625DC">
              <w:t>Concerns regarding transparency, pricing and self</w:t>
            </w:r>
            <w:r w:rsidR="00C74E19" w:rsidRPr="008625DC">
              <w:noBreakHyphen/>
            </w:r>
            <w:r w:rsidRPr="008625DC">
              <w:t>regulation were also raised.</w:t>
            </w:r>
            <w:r w:rsidR="00787DCF" w:rsidRPr="008625DC">
              <w:t xml:space="preserve"> </w:t>
            </w:r>
            <w:r w:rsidRPr="008625DC">
              <w:t>It was suggested that either self</w:t>
            </w:r>
            <w:r w:rsidR="00C74E19" w:rsidRPr="008625DC">
              <w:noBreakHyphen/>
            </w:r>
            <w:r w:rsidRPr="008625DC">
              <w:t>regulation by Law Societies and Legal Services Commissioners should be abolished and moved to a completely independent authority or a new super</w:t>
            </w:r>
            <w:r w:rsidR="00C74E19" w:rsidRPr="008625DC">
              <w:noBreakHyphen/>
            </w:r>
            <w:r w:rsidRPr="008625DC">
              <w:t xml:space="preserve">regulatory function should be assumed by an existing </w:t>
            </w:r>
            <w:r w:rsidR="00C90342" w:rsidRPr="008625DC">
              <w:t>o</w:t>
            </w:r>
            <w:r w:rsidRPr="008625DC">
              <w:t>mbudsman.</w:t>
            </w:r>
            <w:r w:rsidR="00787DCF" w:rsidRPr="008625DC">
              <w:t xml:space="preserve"> </w:t>
            </w:r>
            <w:r w:rsidRPr="008625DC">
              <w:t>The need for a co</w:t>
            </w:r>
            <w:r w:rsidR="00B95932" w:rsidRPr="008625DC">
              <w:t>-</w:t>
            </w:r>
            <w:r w:rsidRPr="008625DC">
              <w:t>ordinated link between governments, independent regulators, the business community and consumers to encourage the legal profession to become more competitive and affordable was highlighted.</w:t>
            </w:r>
            <w:r w:rsidRPr="008625DC">
              <w:rPr>
                <w:rStyle w:val="FootnoteReference"/>
              </w:rPr>
              <w:footnoteReference w:id="84"/>
            </w:r>
            <w:r w:rsidRPr="008625DC">
              <w:t xml:space="preserve"> </w:t>
            </w:r>
          </w:p>
        </w:tc>
      </w:tr>
      <w:tr w:rsidR="00C04D36" w:rsidRPr="008625DC" w14:paraId="3A4ED37A" w14:textId="77777777" w:rsidTr="00AD56BA">
        <w:tc>
          <w:tcPr>
            <w:tcW w:w="1985" w:type="dxa"/>
            <w:shd w:val="clear" w:color="auto" w:fill="F2F2F2" w:themeFill="background1" w:themeFillShade="F2"/>
          </w:tcPr>
          <w:p w14:paraId="19DA2C62" w14:textId="77777777" w:rsidR="00C04D36" w:rsidRPr="008625DC" w:rsidRDefault="00C04D36" w:rsidP="00A24996">
            <w:pPr>
              <w:pStyle w:val="TableTextLeft"/>
            </w:pPr>
            <w:r w:rsidRPr="008625DC">
              <w:t>Dental practitioners</w:t>
            </w:r>
          </w:p>
        </w:tc>
        <w:tc>
          <w:tcPr>
            <w:tcW w:w="7087" w:type="dxa"/>
            <w:shd w:val="clear" w:color="auto" w:fill="F2F2F2" w:themeFill="background1" w:themeFillShade="F2"/>
          </w:tcPr>
          <w:p w14:paraId="61E571E2" w14:textId="778B0E4F" w:rsidR="00C04D36" w:rsidRPr="008625DC" w:rsidRDefault="00C04D36" w:rsidP="00B509AB">
            <w:pPr>
              <w:pStyle w:val="TableTextLeft"/>
            </w:pPr>
            <w:r w:rsidRPr="008625DC">
              <w:t>Inconsistencies and anomalies that can result from professional restrictions were highlighted in submissions</w:t>
            </w:r>
            <w:r w:rsidR="00B509AB" w:rsidRPr="008625DC">
              <w:t>;</w:t>
            </w:r>
            <w:r w:rsidRPr="008625DC">
              <w:t xml:space="preserve"> for example</w:t>
            </w:r>
            <w:r w:rsidR="00B509AB" w:rsidRPr="008625DC">
              <w:t>,</w:t>
            </w:r>
            <w:r w:rsidRPr="008625DC">
              <w:t xml:space="preserve"> registered dental practitioners are required to observe advertising guidelines but private health insurers, where they are the owner/operators of dental clinics, are not bound by the same requirements.</w:t>
            </w:r>
            <w:r w:rsidRPr="008625DC">
              <w:rPr>
                <w:rStyle w:val="FootnoteReference"/>
              </w:rPr>
              <w:footnoteReference w:id="85"/>
            </w:r>
          </w:p>
        </w:tc>
      </w:tr>
    </w:tbl>
    <w:p w14:paraId="5AACD6F4" w14:textId="12E1EB5A" w:rsidR="00FC4098" w:rsidRPr="008625DC" w:rsidRDefault="00FC4098" w:rsidP="00A24996">
      <w:pPr>
        <w:spacing w:before="240"/>
      </w:pPr>
      <w:r w:rsidRPr="008625DC">
        <w:t>IPART</w:t>
      </w:r>
      <w:r w:rsidR="00C74E19" w:rsidRPr="008625DC">
        <w:t>’</w:t>
      </w:r>
      <w:r w:rsidRPr="008625DC">
        <w:t>s submission dr</w:t>
      </w:r>
      <w:r w:rsidR="00FF77E2" w:rsidRPr="008625DC">
        <w:t>aws</w:t>
      </w:r>
      <w:r w:rsidRPr="008625DC">
        <w:t xml:space="preserve"> the Panel</w:t>
      </w:r>
      <w:r w:rsidR="00C74E19" w:rsidRPr="008625DC">
        <w:t>’</w:t>
      </w:r>
      <w:r w:rsidRPr="008625DC">
        <w:t>s attention to its new licensing framework</w:t>
      </w:r>
      <w:r w:rsidRPr="008625DC">
        <w:rPr>
          <w:rStyle w:val="FootnoteReference"/>
        </w:rPr>
        <w:footnoteReference w:id="86"/>
      </w:r>
      <w:r w:rsidR="00297E93" w:rsidRPr="008625DC">
        <w:t xml:space="preserve"> as outlined in Box</w:t>
      </w:r>
      <w:r w:rsidR="00500AF5" w:rsidRPr="008625DC">
        <w:t> </w:t>
      </w:r>
      <w:r w:rsidR="00677026" w:rsidRPr="008625DC">
        <w:t>8</w:t>
      </w:r>
      <w:r w:rsidR="00297E93" w:rsidRPr="008625DC">
        <w:t>.</w:t>
      </w:r>
      <w:r w:rsidR="00231EF4" w:rsidRPr="008625DC">
        <w:t>9</w:t>
      </w:r>
    </w:p>
    <w:tbl>
      <w:tblPr>
        <w:tblW w:w="9072" w:type="dxa"/>
        <w:tblInd w:w="108" w:type="dxa"/>
        <w:shd w:val="clear" w:color="auto" w:fill="E6E6E6"/>
        <w:tblLook w:val="01E0" w:firstRow="1" w:lastRow="1" w:firstColumn="1" w:lastColumn="1" w:noHBand="0" w:noVBand="0"/>
      </w:tblPr>
      <w:tblGrid>
        <w:gridCol w:w="9072"/>
      </w:tblGrid>
      <w:tr w:rsidR="00297E93" w:rsidRPr="008625DC" w14:paraId="6B31BC02" w14:textId="77777777">
        <w:tc>
          <w:tcPr>
            <w:tcW w:w="5000" w:type="pct"/>
            <w:shd w:val="clear" w:color="auto" w:fill="E6E6E6"/>
          </w:tcPr>
          <w:p w14:paraId="65AA5DE2" w14:textId="4AD38E6E" w:rsidR="00297E93" w:rsidRPr="008625DC" w:rsidRDefault="00297E93" w:rsidP="00AD56BA">
            <w:pPr>
              <w:pStyle w:val="BoxHeading"/>
              <w:spacing w:before="120"/>
            </w:pPr>
            <w:r w:rsidRPr="008625DC">
              <w:lastRenderedPageBreak/>
              <w:t xml:space="preserve">Box </w:t>
            </w:r>
            <w:r w:rsidR="00677026" w:rsidRPr="008625DC">
              <w:t>8</w:t>
            </w:r>
            <w:r w:rsidRPr="008625DC">
              <w:t>.</w:t>
            </w:r>
            <w:r w:rsidR="008F1DD6" w:rsidRPr="008625DC">
              <w:t>9</w:t>
            </w:r>
            <w:r w:rsidR="00154A45" w:rsidRPr="008625DC">
              <w:t>:</w:t>
            </w:r>
            <w:r w:rsidRPr="008625DC">
              <w:t xml:space="preserve"> IPART</w:t>
            </w:r>
            <w:r w:rsidR="00C74E19" w:rsidRPr="008625DC">
              <w:t>’</w:t>
            </w:r>
            <w:r w:rsidRPr="008625DC">
              <w:t>s Licensing Framework</w:t>
            </w:r>
          </w:p>
          <w:p w14:paraId="19C5E39F" w14:textId="33E9ABBE" w:rsidR="00EA23F0" w:rsidRPr="008625DC" w:rsidRDefault="00EA23F0" w:rsidP="00AD56BA">
            <w:pPr>
              <w:pStyle w:val="BoxText"/>
            </w:pPr>
            <w:r w:rsidRPr="008625DC">
              <w:t>IPART has examine</w:t>
            </w:r>
            <w:r w:rsidR="00C04D36" w:rsidRPr="008625DC">
              <w:t>d</w:t>
            </w:r>
            <w:r w:rsidRPr="008625DC">
              <w:t xml:space="preserve"> NSW licences and identified those where reform would produce the greatest reduction in regulatory burden for business and the community. As part of this review </w:t>
            </w:r>
            <w:r w:rsidR="00A24996" w:rsidRPr="008625DC">
              <w:t>PricewaterhouseCoopers</w:t>
            </w:r>
            <w:r w:rsidRPr="008625DC">
              <w:t xml:space="preserve"> was engaged by IPART to develop a conceptual framework for licence design. </w:t>
            </w:r>
          </w:p>
          <w:p w14:paraId="4E8A9F1D" w14:textId="55D0B9DA" w:rsidR="00297E93" w:rsidRPr="008625DC" w:rsidRDefault="00297E93" w:rsidP="00AD56BA">
            <w:pPr>
              <w:pStyle w:val="BoxText"/>
            </w:pPr>
            <w:r w:rsidRPr="008625DC">
              <w:t xml:space="preserve">Application of the licensing framework can ensure that licensing regimes only restrict competition where it can be demonstrated that </w:t>
            </w:r>
            <w:r w:rsidR="00B509AB" w:rsidRPr="008625DC">
              <w:t xml:space="preserve">licencing is </w:t>
            </w:r>
            <w:r w:rsidRPr="008625DC">
              <w:t xml:space="preserve">the best </w:t>
            </w:r>
            <w:r w:rsidR="00B509AB" w:rsidRPr="008625DC">
              <w:t xml:space="preserve">means of </w:t>
            </w:r>
            <w:r w:rsidRPr="008625DC">
              <w:t>achiev</w:t>
            </w:r>
            <w:r w:rsidR="00B509AB" w:rsidRPr="008625DC">
              <w:t>ing</w:t>
            </w:r>
            <w:r w:rsidRPr="008625DC">
              <w:t xml:space="preserve"> policy objectives. </w:t>
            </w:r>
          </w:p>
          <w:p w14:paraId="5EFDF980" w14:textId="49C8F8F7" w:rsidR="00297E93" w:rsidRPr="008625DC" w:rsidRDefault="00297E93" w:rsidP="00AD56BA">
            <w:pPr>
              <w:pStyle w:val="BoxText"/>
            </w:pPr>
            <w:r w:rsidRPr="008625DC">
              <w:t>Where a licence is necessary, the framework also requires an assessment of whether the licence is well</w:t>
            </w:r>
            <w:r w:rsidR="00C74E19" w:rsidRPr="008625DC">
              <w:noBreakHyphen/>
            </w:r>
            <w:r w:rsidRPr="008625DC">
              <w:t xml:space="preserve">designed, i.e. whether the various aspects of the licensing regime that may restrict competition are the minimum necessary. </w:t>
            </w:r>
          </w:p>
          <w:p w14:paraId="3706FF57" w14:textId="103D3D5D" w:rsidR="00297E93" w:rsidRPr="008625DC" w:rsidRDefault="00297E93" w:rsidP="00AD56BA">
            <w:pPr>
              <w:pStyle w:val="BoxText"/>
            </w:pPr>
            <w:r w:rsidRPr="008625DC">
              <w:t>The framework requires a regulator to take into account how the objectives of a licence relate to its coverage, duration, reporting requirements, fees and charges and conduct rules.</w:t>
            </w:r>
          </w:p>
          <w:p w14:paraId="227E8459" w14:textId="5FE39949" w:rsidR="00297E93" w:rsidRPr="008625DC" w:rsidRDefault="00297E93" w:rsidP="00AD56BA">
            <w:pPr>
              <w:pStyle w:val="BoxText"/>
            </w:pPr>
            <w:r w:rsidRPr="008625DC">
              <w:t>IPART has suggested this framework could be used by other NSW regulators and in other jurisdictions to limit barriers to competition arising from licensing.</w:t>
            </w:r>
          </w:p>
          <w:p w14:paraId="2AF6A5FF" w14:textId="0E60C99C" w:rsidR="00297E93" w:rsidRPr="008625DC" w:rsidRDefault="00297E93" w:rsidP="00AD56BA">
            <w:pPr>
              <w:pStyle w:val="BoxText"/>
              <w:spacing w:after="80"/>
            </w:pPr>
            <w:r w:rsidRPr="008625DC">
              <w:t>The IPART guidance indicates that</w:t>
            </w:r>
            <w:r w:rsidR="00C90342" w:rsidRPr="008625DC">
              <w:t>,</w:t>
            </w:r>
            <w:r w:rsidRPr="008625DC">
              <w:t xml:space="preserve"> after following the framework:</w:t>
            </w:r>
          </w:p>
          <w:p w14:paraId="24C3F6A9" w14:textId="56AE07C7" w:rsidR="00297E93" w:rsidRPr="00AD56BA" w:rsidRDefault="00297E93" w:rsidP="00AD56BA">
            <w:pPr>
              <w:pStyle w:val="BoxBullet"/>
              <w:spacing w:before="80" w:after="80"/>
            </w:pPr>
            <w:r w:rsidRPr="00AD56BA">
              <w:t>the need for licensing will have been established (Stage 1);</w:t>
            </w:r>
          </w:p>
          <w:p w14:paraId="5636F94D" w14:textId="6B876772" w:rsidR="00297E93" w:rsidRPr="00AD56BA" w:rsidRDefault="00297E93" w:rsidP="00AD56BA">
            <w:pPr>
              <w:pStyle w:val="BoxBullet"/>
              <w:spacing w:before="80" w:after="80"/>
            </w:pPr>
            <w:r w:rsidRPr="00AD56BA">
              <w:t>the various aspects of the licensing scheme that may restrict competition will be the minimum necessary (Stage 2);</w:t>
            </w:r>
          </w:p>
          <w:p w14:paraId="0B42265A" w14:textId="5AFC13B6" w:rsidR="00297E93" w:rsidRPr="00AD56BA" w:rsidRDefault="00297E93" w:rsidP="00AD56BA">
            <w:pPr>
              <w:pStyle w:val="BoxBullet"/>
              <w:spacing w:before="80" w:after="80"/>
            </w:pPr>
            <w:r w:rsidRPr="00AD56BA">
              <w:t xml:space="preserve">the licensing scheme will be efficiently administered (Stage 3); and </w:t>
            </w:r>
          </w:p>
          <w:p w14:paraId="53E09E9C" w14:textId="7FD1F1FA" w:rsidR="00297E93" w:rsidRPr="008625DC" w:rsidRDefault="00297E93" w:rsidP="00AD56BA">
            <w:pPr>
              <w:pStyle w:val="BoxBullet"/>
              <w:spacing w:before="80" w:after="240"/>
              <w:rPr>
                <w:lang w:val="en-AU"/>
              </w:rPr>
            </w:pPr>
            <w:proofErr w:type="gramStart"/>
            <w:r w:rsidRPr="00AD56BA">
              <w:t>licensing</w:t>
            </w:r>
            <w:proofErr w:type="gramEnd"/>
            <w:r w:rsidRPr="008625DC">
              <w:rPr>
                <w:lang w:val="en-AU"/>
              </w:rPr>
              <w:t xml:space="preserve"> will be the best response to achieve objectives (Stage 4). </w:t>
            </w:r>
          </w:p>
        </w:tc>
      </w:tr>
    </w:tbl>
    <w:p w14:paraId="6E4EC76F" w14:textId="0F9464EC" w:rsidR="00215822" w:rsidRPr="008625DC" w:rsidRDefault="00215822" w:rsidP="00A24996">
      <w:pPr>
        <w:spacing w:before="240"/>
      </w:pPr>
      <w:r w:rsidRPr="008625DC">
        <w:t xml:space="preserve">Professional standards </w:t>
      </w:r>
      <w:r w:rsidR="00FC4098" w:rsidRPr="008625DC">
        <w:t xml:space="preserve">can </w:t>
      </w:r>
      <w:r w:rsidR="00B509AB" w:rsidRPr="008625DC">
        <w:t>impede</w:t>
      </w:r>
      <w:r w:rsidR="00FC4098" w:rsidRPr="008625DC">
        <w:t xml:space="preserve"> the ability of service providers to respon</w:t>
      </w:r>
      <w:r w:rsidR="00B509AB" w:rsidRPr="008625DC">
        <w:t>d</w:t>
      </w:r>
      <w:r w:rsidR="00FC4098" w:rsidRPr="008625DC">
        <w:t xml:space="preserve"> to consumer demand. They </w:t>
      </w:r>
      <w:r w:rsidRPr="008625DC">
        <w:t xml:space="preserve">are often put in place by industry bodies to promote the ethical and quality </w:t>
      </w:r>
      <w:r w:rsidR="00E05B3F" w:rsidRPr="008625DC">
        <w:t>practice</w:t>
      </w:r>
      <w:r w:rsidR="00C90342" w:rsidRPr="008625DC">
        <w:t>s</w:t>
      </w:r>
      <w:r w:rsidR="00E05B3F" w:rsidRPr="008625DC">
        <w:t xml:space="preserve"> </w:t>
      </w:r>
      <w:r w:rsidRPr="008625DC">
        <w:t>of their profession.</w:t>
      </w:r>
      <w:r w:rsidR="00787DCF" w:rsidRPr="008625DC">
        <w:t xml:space="preserve"> </w:t>
      </w:r>
      <w:r w:rsidR="00B509AB" w:rsidRPr="008625DC">
        <w:t>T</w:t>
      </w:r>
      <w:r w:rsidRPr="008625DC">
        <w:t>his can lead to better consumer outcomes</w:t>
      </w:r>
      <w:r w:rsidR="00380141" w:rsidRPr="008625DC">
        <w:t xml:space="preserve"> </w:t>
      </w:r>
      <w:r w:rsidRPr="008625DC">
        <w:t xml:space="preserve">but </w:t>
      </w:r>
      <w:r w:rsidR="00E05B3F" w:rsidRPr="008625DC">
        <w:t xml:space="preserve">can </w:t>
      </w:r>
      <w:r w:rsidRPr="008625DC">
        <w:t xml:space="preserve">also dampen competition and </w:t>
      </w:r>
      <w:r w:rsidR="00B509AB" w:rsidRPr="008625DC">
        <w:t xml:space="preserve">raise </w:t>
      </w:r>
      <w:r w:rsidRPr="008625DC">
        <w:t xml:space="preserve">barriers to entry into markets. </w:t>
      </w:r>
    </w:p>
    <w:p w14:paraId="5F45EA3A" w14:textId="56A84CFF" w:rsidR="00215822" w:rsidRPr="008625DC" w:rsidRDefault="00215822" w:rsidP="00B95932">
      <w:pPr>
        <w:keepNext/>
        <w:spacing w:after="120"/>
      </w:pPr>
      <w:r w:rsidRPr="008625DC">
        <w:t xml:space="preserve">During the NCP </w:t>
      </w:r>
      <w:r w:rsidR="00B70E67" w:rsidRPr="008625DC">
        <w:t>regulation review</w:t>
      </w:r>
      <w:r w:rsidRPr="008625DC">
        <w:t xml:space="preserve"> process, the NCC stated: </w:t>
      </w:r>
    </w:p>
    <w:p w14:paraId="1837AB7C" w14:textId="5256EB24" w:rsidR="00215822" w:rsidRPr="008625DC" w:rsidRDefault="00215822" w:rsidP="006B7947">
      <w:pPr>
        <w:pStyle w:val="Quotes"/>
      </w:pPr>
      <w:r w:rsidRPr="008625DC">
        <w:t>It is totally unfounded to assume that a professional, simply by virtue of his/her qualification, is somehow above the profit motive and therefore should not be subject to market competition like all other service providers in our economy.</w:t>
      </w:r>
      <w:r w:rsidRPr="008625DC">
        <w:rPr>
          <w:rStyle w:val="FootnoteReference"/>
        </w:rPr>
        <w:footnoteReference w:id="87"/>
      </w:r>
    </w:p>
    <w:p w14:paraId="51F18719" w14:textId="0156DAAD" w:rsidR="009F720B" w:rsidRPr="008625DC" w:rsidRDefault="00215822" w:rsidP="009F720B">
      <w:r w:rsidRPr="008625DC">
        <w:t xml:space="preserve">Some progress has been made in removing unnecessary restrictions on competition, </w:t>
      </w:r>
      <w:r w:rsidR="00B509AB" w:rsidRPr="008625DC">
        <w:t xml:space="preserve">including, </w:t>
      </w:r>
      <w:r w:rsidRPr="008625DC">
        <w:t>for example: removing medical practice ownership restrictions</w:t>
      </w:r>
      <w:r w:rsidR="00B509AB" w:rsidRPr="008625DC">
        <w:t>;</w:t>
      </w:r>
      <w:r w:rsidRPr="008625DC">
        <w:t xml:space="preserve"> removal of restrictions prevent</w:t>
      </w:r>
      <w:r w:rsidR="00B509AB" w:rsidRPr="008625DC">
        <w:t>ing</w:t>
      </w:r>
      <w:r w:rsidRPr="008625DC">
        <w:t xml:space="preserve"> lawyers from advertising</w:t>
      </w:r>
      <w:r w:rsidR="00B509AB" w:rsidRPr="008625DC">
        <w:t>;</w:t>
      </w:r>
      <w:r w:rsidRPr="008625DC">
        <w:t xml:space="preserve"> and removing lawyers</w:t>
      </w:r>
      <w:r w:rsidR="00C74E19" w:rsidRPr="008625DC">
        <w:t>’</w:t>
      </w:r>
      <w:r w:rsidRPr="008625DC">
        <w:t xml:space="preserve"> monopoly on convey</w:t>
      </w:r>
      <w:r w:rsidR="00AD56BA">
        <w:t>ancing services. The removal of </w:t>
      </w:r>
      <w:r w:rsidRPr="008625DC">
        <w:t>conveyancing restrictions is a case in point. Previously, regulations prevented non</w:t>
      </w:r>
      <w:r w:rsidR="00C74E19" w:rsidRPr="008625DC">
        <w:noBreakHyphen/>
      </w:r>
      <w:r w:rsidRPr="008625DC">
        <w:t xml:space="preserve">lawyers from carrying out conveyancing services, even though </w:t>
      </w:r>
      <w:r w:rsidR="00B509AB" w:rsidRPr="008625DC">
        <w:t xml:space="preserve">this </w:t>
      </w:r>
      <w:r w:rsidRPr="008625DC">
        <w:t xml:space="preserve">is largely an administrative service.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55AAF06C" w14:textId="77777777" w:rsidTr="00F7370D">
        <w:tc>
          <w:tcPr>
            <w:tcW w:w="5000" w:type="pct"/>
            <w:shd w:val="clear" w:color="auto" w:fill="FFFFFF" w:themeFill="background1"/>
          </w:tcPr>
          <w:p w14:paraId="59B9F1BA" w14:textId="1752D5A5" w:rsidR="00215822" w:rsidRPr="008625DC" w:rsidRDefault="00215822" w:rsidP="00F7370D">
            <w:pPr>
              <w:pStyle w:val="Keyfindingheading"/>
            </w:pPr>
            <w:r w:rsidRPr="008625DC">
              <w:lastRenderedPageBreak/>
              <w:t>The Panel</w:t>
            </w:r>
            <w:r w:rsidR="00C74E19" w:rsidRPr="008625DC">
              <w:t>’</w:t>
            </w:r>
            <w:r w:rsidRPr="008625DC">
              <w:t>s view</w:t>
            </w:r>
          </w:p>
          <w:p w14:paraId="34397EB9" w14:textId="77777777" w:rsidR="00B509AB" w:rsidRPr="008625DC" w:rsidRDefault="008C1C7C" w:rsidP="00F7370D">
            <w:pPr>
              <w:pStyle w:val="Keyfindingtext"/>
            </w:pPr>
            <w:bookmarkStart w:id="15942" w:name="_Toc393985119"/>
            <w:bookmarkStart w:id="15943" w:name="_Toc393985622"/>
            <w:bookmarkStart w:id="15944" w:name="_Toc393986024"/>
            <w:bookmarkStart w:id="15945" w:name="_Toc393986427"/>
            <w:bookmarkStart w:id="15946" w:name="_Toc393988034"/>
            <w:bookmarkStart w:id="15947" w:name="_Toc393988436"/>
            <w:bookmarkStart w:id="15948" w:name="_Toc393989448"/>
            <w:bookmarkStart w:id="15949" w:name="_Toc393988836"/>
            <w:bookmarkStart w:id="15950" w:name="_Toc393990840"/>
            <w:bookmarkStart w:id="15951" w:name="_Toc393991822"/>
            <w:bookmarkStart w:id="15952" w:name="_Toc394047485"/>
            <w:bookmarkStart w:id="15953" w:name="_Toc394049761"/>
            <w:bookmarkStart w:id="15954" w:name="_Toc394051161"/>
            <w:bookmarkStart w:id="15955" w:name="_Toc394062150"/>
            <w:bookmarkStart w:id="15956" w:name="_Toc394069025"/>
            <w:bookmarkStart w:id="15957" w:name="_Toc394070943"/>
            <w:bookmarkStart w:id="15958" w:name="_Toc394312346"/>
            <w:bookmarkStart w:id="15959" w:name="_Toc394330636"/>
            <w:bookmarkStart w:id="15960" w:name="_Toc394330256"/>
            <w:bookmarkStart w:id="15961" w:name="_Toc394333230"/>
            <w:bookmarkStart w:id="15962" w:name="_Toc394332808"/>
            <w:bookmarkStart w:id="15963" w:name="_Toc394333643"/>
            <w:bookmarkStart w:id="15964" w:name="_Toc394334056"/>
            <w:bookmarkStart w:id="15965" w:name="_Toc394334882"/>
            <w:bookmarkStart w:id="15966" w:name="_Toc394415065"/>
            <w:bookmarkStart w:id="15967" w:name="_Toc394412370"/>
            <w:bookmarkStart w:id="15968" w:name="_Toc394420660"/>
            <w:bookmarkStart w:id="15969" w:name="_Toc394421134"/>
            <w:bookmarkStart w:id="15970" w:name="_Toc394423504"/>
            <w:bookmarkStart w:id="15971" w:name="_Toc394420438"/>
            <w:bookmarkStart w:id="15972" w:name="_Toc394422548"/>
            <w:bookmarkStart w:id="15973" w:name="_Toc394423019"/>
            <w:bookmarkStart w:id="15974" w:name="_Toc394424169"/>
            <w:bookmarkStart w:id="15975" w:name="_Toc394492003"/>
            <w:bookmarkStart w:id="15976" w:name="_Toc394495148"/>
            <w:bookmarkStart w:id="15977" w:name="_Toc394497963"/>
            <w:bookmarkStart w:id="15978" w:name="_Toc394500755"/>
            <w:bookmarkStart w:id="15979" w:name="_Toc394502159"/>
            <w:bookmarkStart w:id="15980" w:name="_Toc394503061"/>
            <w:bookmarkStart w:id="15981" w:name="_Toc394502605"/>
            <w:bookmarkStart w:id="15982" w:name="_Toc394505812"/>
            <w:bookmarkStart w:id="15983" w:name="_Toc394506271"/>
            <w:bookmarkStart w:id="15984" w:name="_Toc394506825"/>
            <w:bookmarkStart w:id="15985" w:name="_Toc394560902"/>
            <w:bookmarkStart w:id="15986" w:name="_Toc394561363"/>
            <w:bookmarkStart w:id="15987" w:name="_Toc394938330"/>
            <w:bookmarkStart w:id="15988" w:name="_Toc394937610"/>
            <w:bookmarkStart w:id="15989" w:name="_Toc394941241"/>
            <w:bookmarkStart w:id="15990" w:name="_Toc394941857"/>
            <w:bookmarkStart w:id="15991" w:name="_Toc394940079"/>
            <w:bookmarkStart w:id="15992" w:name="_Toc394939689"/>
            <w:bookmarkStart w:id="15993" w:name="_Toc394993586"/>
            <w:bookmarkStart w:id="15994" w:name="_Toc394995467"/>
            <w:bookmarkStart w:id="15995" w:name="_Toc394995781"/>
            <w:bookmarkStart w:id="15996" w:name="_Toc394998026"/>
            <w:bookmarkStart w:id="15997" w:name="_Toc394998540"/>
            <w:bookmarkStart w:id="15998" w:name="_Toc395002039"/>
            <w:bookmarkStart w:id="15999" w:name="_Toc395001519"/>
            <w:bookmarkStart w:id="16000" w:name="_Toc395003393"/>
            <w:bookmarkStart w:id="16001" w:name="_Toc395005634"/>
            <w:bookmarkStart w:id="16002" w:name="_Toc395009628"/>
            <w:bookmarkStart w:id="16003" w:name="_Toc395010367"/>
            <w:bookmarkStart w:id="16004" w:name="_Toc395012551"/>
            <w:bookmarkStart w:id="16005" w:name="_Toc395010956"/>
            <w:bookmarkStart w:id="16006" w:name="_Toc395013014"/>
            <w:bookmarkStart w:id="16007" w:name="_Toc395012016"/>
            <w:bookmarkStart w:id="16008" w:name="_Toc395014355"/>
            <w:bookmarkStart w:id="16009" w:name="_Toc395084707"/>
            <w:bookmarkStart w:id="16010" w:name="_Toc395085008"/>
            <w:bookmarkStart w:id="16011" w:name="_Toc395090471"/>
            <w:bookmarkStart w:id="16012" w:name="_Toc395093055"/>
            <w:bookmarkStart w:id="16013" w:name="_Toc395097967"/>
            <w:bookmarkStart w:id="16014" w:name="_Toc395106152"/>
            <w:bookmarkStart w:id="16015" w:name="_Toc395112122"/>
            <w:bookmarkStart w:id="16016" w:name="_Toc395107262"/>
            <w:bookmarkStart w:id="16017" w:name="_Toc395108825"/>
            <w:bookmarkStart w:id="16018" w:name="_Toc395114065"/>
            <w:bookmarkStart w:id="16019" w:name="_Toc395116802"/>
            <w:bookmarkStart w:id="16020" w:name="_Toc395112739"/>
            <w:bookmarkStart w:id="16021" w:name="_Toc395115279"/>
            <w:bookmarkStart w:id="16022" w:name="_Toc395118431"/>
            <w:bookmarkStart w:id="16023" w:name="_Toc395624626"/>
            <w:bookmarkStart w:id="16024" w:name="_Toc395789977"/>
            <w:bookmarkStart w:id="16025" w:name="_Toc395800735"/>
            <w:r w:rsidRPr="008625DC">
              <w:t>S</w:t>
            </w:r>
            <w:r w:rsidR="00215822" w:rsidRPr="008625DC">
              <w:t xml:space="preserve">ervices will </w:t>
            </w:r>
            <w:r w:rsidRPr="008625DC">
              <w:t>continue to make a growing contribution to economic activity</w:t>
            </w:r>
            <w:r w:rsidR="00B509AB" w:rsidRPr="008625DC">
              <w:t xml:space="preserve"> in Australia</w:t>
            </w:r>
            <w:r w:rsidRPr="008625DC">
              <w:t>.</w:t>
            </w:r>
            <w:r w:rsidR="00215822" w:rsidRPr="008625DC">
              <w:t xml:space="preserve"> </w:t>
            </w:r>
            <w:r w:rsidRPr="008625DC">
              <w:t>It is therefore</w:t>
            </w:r>
            <w:r w:rsidR="00215822" w:rsidRPr="008625DC">
              <w:t xml:space="preserve"> important to remove unnecessary restrictions on service provision</w:t>
            </w:r>
            <w:r w:rsidR="00A24996" w:rsidRPr="008625DC">
              <w:t xml:space="preserve"> </w:t>
            </w:r>
            <w:r w:rsidR="00215822" w:rsidRPr="008625DC">
              <w:t>—</w:t>
            </w:r>
            <w:r w:rsidR="00A24996" w:rsidRPr="008625DC">
              <w:t xml:space="preserve"> </w:t>
            </w:r>
            <w:r w:rsidR="00215822" w:rsidRPr="008625DC">
              <w:t>particularly barriers to entry and expansion</w:t>
            </w:r>
            <w:r w:rsidRPr="008625DC">
              <w:t xml:space="preserve"> that impede competition</w:t>
            </w:r>
            <w:r w:rsidR="00215822" w:rsidRPr="008625DC">
              <w:t>.</w:t>
            </w:r>
          </w:p>
          <w:p w14:paraId="4D7B4655" w14:textId="032BC9AB" w:rsidR="00215822" w:rsidRPr="008625DC" w:rsidRDefault="00215822" w:rsidP="00F7370D">
            <w:pPr>
              <w:pStyle w:val="Keyfindingtext"/>
            </w:pPr>
            <w:r w:rsidRPr="008625DC">
              <w:t xml:space="preserve">Licensing requirements can </w:t>
            </w:r>
            <w:r w:rsidR="00521232" w:rsidRPr="008625DC">
              <w:t>raise</w:t>
            </w:r>
            <w:r w:rsidRPr="008625DC">
              <w:t xml:space="preserve"> barriers to entry in markets</w:t>
            </w:r>
            <w:r w:rsidR="00521232" w:rsidRPr="008625DC">
              <w:t xml:space="preserve"> that create more costs than benefits to the community</w:t>
            </w:r>
            <w:r w:rsidRPr="008625DC">
              <w:t xml:space="preserve">. In a range of areas, the competitive impacts of licensing </w:t>
            </w:r>
            <w:r w:rsidR="008C1C7C" w:rsidRPr="008625DC">
              <w:t>are</w:t>
            </w:r>
            <w:r w:rsidRPr="008625DC">
              <w:t xml:space="preserve"> not adequately considered either in frameworks or during decision</w:t>
            </w:r>
            <w:r w:rsidR="00C74E19" w:rsidRPr="008625DC">
              <w:noBreakHyphen/>
            </w:r>
            <w:r w:rsidRPr="008625DC">
              <w:t>making.</w:t>
            </w:r>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r w:rsidRPr="008625DC">
              <w:t xml:space="preserve"> </w:t>
            </w:r>
          </w:p>
          <w:p w14:paraId="0D461BF3" w14:textId="6F6FBF88" w:rsidR="00215822" w:rsidRPr="008625DC" w:rsidRDefault="00215822" w:rsidP="00F7370D">
            <w:pPr>
              <w:pStyle w:val="Keyfindingtext"/>
            </w:pPr>
            <w:bookmarkStart w:id="16026" w:name="_Toc393985120"/>
            <w:bookmarkStart w:id="16027" w:name="_Toc393985623"/>
            <w:bookmarkStart w:id="16028" w:name="_Toc393986025"/>
            <w:bookmarkStart w:id="16029" w:name="_Toc393986428"/>
            <w:bookmarkStart w:id="16030" w:name="_Toc393988035"/>
            <w:bookmarkStart w:id="16031" w:name="_Toc393988437"/>
            <w:bookmarkStart w:id="16032" w:name="_Toc393989449"/>
            <w:bookmarkStart w:id="16033" w:name="_Toc393988837"/>
            <w:bookmarkStart w:id="16034" w:name="_Toc393990841"/>
            <w:bookmarkStart w:id="16035" w:name="_Toc393991823"/>
            <w:bookmarkStart w:id="16036" w:name="_Toc394047486"/>
            <w:bookmarkStart w:id="16037" w:name="_Toc394049762"/>
            <w:bookmarkStart w:id="16038" w:name="_Toc394051162"/>
            <w:bookmarkStart w:id="16039" w:name="_Toc394062151"/>
            <w:bookmarkStart w:id="16040" w:name="_Toc394069026"/>
            <w:bookmarkStart w:id="16041" w:name="_Toc394070944"/>
            <w:bookmarkStart w:id="16042" w:name="_Toc394312347"/>
            <w:bookmarkStart w:id="16043" w:name="_Toc394330637"/>
            <w:bookmarkStart w:id="16044" w:name="_Toc394330257"/>
            <w:bookmarkStart w:id="16045" w:name="_Toc394333231"/>
            <w:bookmarkStart w:id="16046" w:name="_Toc394332809"/>
            <w:bookmarkStart w:id="16047" w:name="_Toc394333644"/>
            <w:bookmarkStart w:id="16048" w:name="_Toc394334057"/>
            <w:bookmarkStart w:id="16049" w:name="_Toc394334883"/>
            <w:bookmarkStart w:id="16050" w:name="_Toc394415066"/>
            <w:bookmarkStart w:id="16051" w:name="_Toc394412371"/>
            <w:bookmarkStart w:id="16052" w:name="_Toc394420661"/>
            <w:bookmarkStart w:id="16053" w:name="_Toc394421135"/>
            <w:bookmarkStart w:id="16054" w:name="_Toc394423505"/>
            <w:bookmarkStart w:id="16055" w:name="_Toc394420439"/>
            <w:bookmarkStart w:id="16056" w:name="_Toc394422549"/>
            <w:bookmarkStart w:id="16057" w:name="_Toc394423020"/>
            <w:bookmarkStart w:id="16058" w:name="_Toc394424170"/>
            <w:bookmarkStart w:id="16059" w:name="_Toc394492004"/>
            <w:bookmarkStart w:id="16060" w:name="_Toc394495149"/>
            <w:bookmarkStart w:id="16061" w:name="_Toc394497964"/>
            <w:bookmarkStart w:id="16062" w:name="_Toc394500756"/>
            <w:bookmarkStart w:id="16063" w:name="_Toc394502160"/>
            <w:bookmarkStart w:id="16064" w:name="_Toc394503062"/>
            <w:bookmarkStart w:id="16065" w:name="_Toc394502606"/>
            <w:bookmarkStart w:id="16066" w:name="_Toc394505813"/>
            <w:bookmarkStart w:id="16067" w:name="_Toc394506272"/>
            <w:bookmarkStart w:id="16068" w:name="_Toc394506826"/>
            <w:bookmarkStart w:id="16069" w:name="_Toc394560903"/>
            <w:bookmarkStart w:id="16070" w:name="_Toc394561364"/>
            <w:bookmarkStart w:id="16071" w:name="_Toc394938331"/>
            <w:bookmarkStart w:id="16072" w:name="_Toc394937611"/>
            <w:bookmarkStart w:id="16073" w:name="_Toc394941242"/>
            <w:bookmarkStart w:id="16074" w:name="_Toc394941858"/>
            <w:bookmarkStart w:id="16075" w:name="_Toc394940080"/>
            <w:bookmarkStart w:id="16076" w:name="_Toc394939690"/>
            <w:bookmarkStart w:id="16077" w:name="_Toc394993587"/>
            <w:bookmarkStart w:id="16078" w:name="_Toc394995468"/>
            <w:bookmarkStart w:id="16079" w:name="_Toc394995782"/>
            <w:bookmarkStart w:id="16080" w:name="_Toc394998027"/>
            <w:bookmarkStart w:id="16081" w:name="_Toc394998541"/>
            <w:bookmarkStart w:id="16082" w:name="_Toc395002040"/>
            <w:bookmarkStart w:id="16083" w:name="_Toc395001520"/>
            <w:bookmarkStart w:id="16084" w:name="_Toc395003394"/>
            <w:bookmarkStart w:id="16085" w:name="_Toc395005635"/>
            <w:bookmarkStart w:id="16086" w:name="_Toc395009629"/>
            <w:bookmarkStart w:id="16087" w:name="_Toc395010368"/>
            <w:bookmarkStart w:id="16088" w:name="_Toc395012552"/>
            <w:bookmarkStart w:id="16089" w:name="_Toc395010957"/>
            <w:bookmarkStart w:id="16090" w:name="_Toc395013015"/>
            <w:bookmarkStart w:id="16091" w:name="_Toc395012017"/>
            <w:bookmarkStart w:id="16092" w:name="_Toc395014356"/>
            <w:bookmarkStart w:id="16093" w:name="_Toc395084708"/>
            <w:bookmarkStart w:id="16094" w:name="_Toc395085009"/>
            <w:bookmarkStart w:id="16095" w:name="_Toc395090472"/>
            <w:bookmarkStart w:id="16096" w:name="_Toc395093056"/>
            <w:bookmarkStart w:id="16097" w:name="_Toc395097968"/>
            <w:bookmarkStart w:id="16098" w:name="_Toc395106153"/>
            <w:bookmarkStart w:id="16099" w:name="_Toc395112123"/>
            <w:bookmarkStart w:id="16100" w:name="_Toc395107263"/>
            <w:bookmarkStart w:id="16101" w:name="_Toc395108826"/>
            <w:bookmarkStart w:id="16102" w:name="_Toc395114066"/>
            <w:bookmarkStart w:id="16103" w:name="_Toc395116803"/>
            <w:bookmarkStart w:id="16104" w:name="_Toc395112740"/>
            <w:bookmarkStart w:id="16105" w:name="_Toc395115280"/>
            <w:bookmarkStart w:id="16106" w:name="_Toc395118432"/>
            <w:bookmarkStart w:id="16107" w:name="_Toc395624627"/>
            <w:bookmarkStart w:id="16108" w:name="_Toc395789978"/>
            <w:bookmarkStart w:id="16109" w:name="_Toc395800736"/>
            <w:r w:rsidRPr="008625DC">
              <w:t xml:space="preserve">Professional services </w:t>
            </w:r>
            <w:r w:rsidR="008C1C7C" w:rsidRPr="008625DC">
              <w:t>is</w:t>
            </w:r>
            <w:r w:rsidRPr="008625DC">
              <w:t xml:space="preserve"> </w:t>
            </w:r>
            <w:r w:rsidR="009F720B" w:rsidRPr="008625DC">
              <w:t>an</w:t>
            </w:r>
            <w:r w:rsidRPr="008625DC">
              <w:t xml:space="preserve"> area where there are a range of potential restrictions on competition</w:t>
            </w:r>
            <w:r w:rsidR="00380141" w:rsidRPr="008625DC">
              <w:t xml:space="preserve"> — </w:t>
            </w:r>
            <w:r w:rsidRPr="008625DC">
              <w:t>both regulatory and non</w:t>
            </w:r>
            <w:r w:rsidR="00C74E19" w:rsidRPr="008625DC">
              <w:noBreakHyphen/>
            </w:r>
            <w:r w:rsidRPr="008625DC">
              <w:t xml:space="preserve">regulatory. While some restrictions are clearly necessary for health, safety or consumer protection, </w:t>
            </w:r>
            <w:r w:rsidR="00C90342" w:rsidRPr="008625DC">
              <w:t>others</w:t>
            </w:r>
            <w:r w:rsidRPr="008625DC">
              <w:t xml:space="preserve"> </w:t>
            </w:r>
            <w:r w:rsidR="008C1C7C" w:rsidRPr="008625DC">
              <w:t>unduly</w:t>
            </w:r>
            <w:r w:rsidRPr="008625DC">
              <w:t xml:space="preserve"> </w:t>
            </w:r>
            <w:r w:rsidR="00775F2F" w:rsidRPr="008625DC">
              <w:t xml:space="preserve">impede </w:t>
            </w:r>
            <w:r w:rsidRPr="008625DC">
              <w:t>competition.</w:t>
            </w:r>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r w:rsidRPr="008625DC">
              <w:t xml:space="preserve"> </w:t>
            </w:r>
          </w:p>
        </w:tc>
      </w:tr>
    </w:tbl>
    <w:p w14:paraId="19D65373" w14:textId="32793460" w:rsidR="00215822" w:rsidRPr="008625DC" w:rsidRDefault="0093746E" w:rsidP="000B5916">
      <w:pPr>
        <w:pStyle w:val="Heading2"/>
        <w:ind w:left="851" w:hanging="851"/>
        <w:rPr>
          <w:lang w:val="en-AU"/>
        </w:rPr>
      </w:pPr>
      <w:bookmarkStart w:id="16110" w:name="_Toc395867608"/>
      <w:bookmarkStart w:id="16111" w:name="_Toc395868517"/>
      <w:bookmarkStart w:id="16112" w:name="_Toc395868740"/>
      <w:bookmarkStart w:id="16113" w:name="_Toc395869986"/>
      <w:bookmarkStart w:id="16114" w:name="_Toc395870207"/>
      <w:bookmarkStart w:id="16115" w:name="_Toc395866553"/>
      <w:bookmarkStart w:id="16116" w:name="_Toc393985122"/>
      <w:bookmarkStart w:id="16117" w:name="_Toc393985330"/>
      <w:bookmarkStart w:id="16118" w:name="_Toc393985625"/>
      <w:bookmarkStart w:id="16119" w:name="_Toc393985834"/>
      <w:bookmarkStart w:id="16120" w:name="_Toc393986027"/>
      <w:bookmarkStart w:id="16121" w:name="_Toc393986236"/>
      <w:bookmarkStart w:id="16122" w:name="_Toc393986430"/>
      <w:bookmarkStart w:id="16123" w:name="_Toc393988037"/>
      <w:bookmarkStart w:id="16124" w:name="_Toc393988246"/>
      <w:bookmarkStart w:id="16125" w:name="_Toc393988439"/>
      <w:bookmarkStart w:id="16126" w:name="_Toc393988648"/>
      <w:bookmarkStart w:id="16127" w:name="_Toc393986640"/>
      <w:bookmarkStart w:id="16128" w:name="_Toc393989451"/>
      <w:bookmarkStart w:id="16129" w:name="_Toc393989660"/>
      <w:bookmarkStart w:id="16130" w:name="_Toc393988839"/>
      <w:bookmarkStart w:id="16131" w:name="_Toc393989048"/>
      <w:bookmarkStart w:id="16132" w:name="_Toc393990843"/>
      <w:bookmarkStart w:id="16133" w:name="_Toc393991052"/>
      <w:bookmarkStart w:id="16134" w:name="_Toc393991151"/>
      <w:bookmarkStart w:id="16135" w:name="_Toc393991825"/>
      <w:bookmarkStart w:id="16136" w:name="_Toc393992036"/>
      <w:bookmarkStart w:id="16137" w:name="_Toc394047488"/>
      <w:bookmarkStart w:id="16138" w:name="_Toc394047700"/>
      <w:bookmarkStart w:id="16139" w:name="_Toc394047811"/>
      <w:bookmarkStart w:id="16140" w:name="_Toc394048367"/>
      <w:bookmarkStart w:id="16141" w:name="_Toc394049764"/>
      <w:bookmarkStart w:id="16142" w:name="_Toc394049979"/>
      <w:bookmarkStart w:id="16143" w:name="_Toc394051164"/>
      <w:bookmarkStart w:id="16144" w:name="_Toc394051379"/>
      <w:bookmarkStart w:id="16145" w:name="_Toc394062153"/>
      <w:bookmarkStart w:id="16146" w:name="_Toc394062526"/>
      <w:bookmarkStart w:id="16147" w:name="_Toc394069028"/>
      <w:bookmarkStart w:id="16148" w:name="_Toc394069241"/>
      <w:bookmarkStart w:id="16149" w:name="_Toc394070946"/>
      <w:bookmarkStart w:id="16150" w:name="_Toc394071159"/>
      <w:bookmarkStart w:id="16151" w:name="_Toc394312349"/>
      <w:bookmarkStart w:id="16152" w:name="_Toc394330432"/>
      <w:bookmarkStart w:id="16153" w:name="_Toc394330638"/>
      <w:bookmarkStart w:id="16154" w:name="_Toc394331363"/>
      <w:bookmarkStart w:id="16155" w:name="_Toc394330258"/>
      <w:bookmarkStart w:id="16156" w:name="_Toc394333232"/>
      <w:bookmarkStart w:id="16157" w:name="_Toc394333439"/>
      <w:bookmarkStart w:id="16158" w:name="_Toc394332810"/>
      <w:bookmarkStart w:id="16159" w:name="_Toc394333645"/>
      <w:bookmarkStart w:id="16160" w:name="_Toc394333852"/>
      <w:bookmarkStart w:id="16161" w:name="_Toc394334058"/>
      <w:bookmarkStart w:id="16162" w:name="_Toc394334265"/>
      <w:bookmarkStart w:id="16163" w:name="_Toc394334884"/>
      <w:bookmarkStart w:id="16164" w:name="_Toc394335091"/>
      <w:bookmarkStart w:id="16165" w:name="_Toc394415067"/>
      <w:bookmarkStart w:id="16166" w:name="_Toc394415295"/>
      <w:bookmarkStart w:id="16167" w:name="_Toc394412372"/>
      <w:bookmarkStart w:id="16168" w:name="_Toc394412604"/>
      <w:bookmarkStart w:id="16169" w:name="_Toc394420662"/>
      <w:bookmarkStart w:id="16170" w:name="_Toc394420897"/>
      <w:bookmarkStart w:id="16171" w:name="_Toc394421136"/>
      <w:bookmarkStart w:id="16172" w:name="_Toc394423506"/>
      <w:bookmarkStart w:id="16173" w:name="_Toc394423738"/>
      <w:bookmarkStart w:id="16174" w:name="_Toc394420440"/>
      <w:bookmarkStart w:id="16175" w:name="_Toc394422550"/>
      <w:bookmarkStart w:id="16176" w:name="_Toc394422782"/>
      <w:bookmarkStart w:id="16177" w:name="_Toc394423021"/>
      <w:bookmarkStart w:id="16178" w:name="_Toc394423253"/>
      <w:bookmarkStart w:id="16179" w:name="_Toc394424171"/>
      <w:bookmarkStart w:id="16180" w:name="_Toc394424401"/>
      <w:bookmarkStart w:id="16181" w:name="_Toc394492005"/>
      <w:bookmarkStart w:id="16182" w:name="_Toc394492233"/>
      <w:bookmarkStart w:id="16183" w:name="_Toc394495150"/>
      <w:bookmarkStart w:id="16184" w:name="_Toc394495377"/>
      <w:bookmarkStart w:id="16185" w:name="_Toc394497965"/>
      <w:bookmarkStart w:id="16186" w:name="_Toc394498192"/>
      <w:bookmarkStart w:id="16187" w:name="_Toc394500757"/>
      <w:bookmarkStart w:id="16188" w:name="_Toc394500982"/>
      <w:bookmarkStart w:id="16189" w:name="_Toc394502161"/>
      <w:bookmarkStart w:id="16190" w:name="_Toc394502379"/>
      <w:bookmarkStart w:id="16191" w:name="_Toc394503063"/>
      <w:bookmarkStart w:id="16192" w:name="_Toc394503738"/>
      <w:bookmarkStart w:id="16193" w:name="_Toc394502607"/>
      <w:bookmarkStart w:id="16194" w:name="_Toc394502827"/>
      <w:bookmarkStart w:id="16195" w:name="_Toc394505814"/>
      <w:bookmarkStart w:id="16196" w:name="_Toc394506156"/>
      <w:bookmarkStart w:id="16197" w:name="_Toc394506273"/>
      <w:bookmarkStart w:id="16198" w:name="_Toc394506494"/>
      <w:bookmarkStart w:id="16199" w:name="_Toc394506827"/>
      <w:bookmarkStart w:id="16200" w:name="_Toc394507048"/>
      <w:bookmarkStart w:id="16201" w:name="_Toc394560904"/>
      <w:bookmarkStart w:id="16202" w:name="_Toc394561125"/>
      <w:bookmarkStart w:id="16203" w:name="_Toc394561365"/>
      <w:bookmarkStart w:id="16204" w:name="_Toc394561959"/>
      <w:bookmarkStart w:id="16205" w:name="_Toc394582963"/>
      <w:bookmarkStart w:id="16206" w:name="_Toc394585634"/>
      <w:bookmarkStart w:id="16207" w:name="_Toc394586100"/>
      <w:bookmarkStart w:id="16208" w:name="_Toc394588032"/>
      <w:bookmarkStart w:id="16209" w:name="_Toc394588867"/>
      <w:bookmarkStart w:id="16210" w:name="_Toc394588992"/>
      <w:bookmarkStart w:id="16211" w:name="_Toc394590408"/>
      <w:bookmarkStart w:id="16212" w:name="_Toc394590601"/>
      <w:bookmarkStart w:id="16213" w:name="_Toc394654503"/>
      <w:bookmarkStart w:id="16214" w:name="_Toc394654661"/>
      <w:bookmarkStart w:id="16215" w:name="_Toc394656203"/>
      <w:bookmarkStart w:id="16216" w:name="_Toc394656360"/>
      <w:bookmarkStart w:id="16217" w:name="_Toc394659340"/>
      <w:bookmarkStart w:id="16218" w:name="_Toc394659498"/>
      <w:bookmarkStart w:id="16219" w:name="_Toc394663352"/>
      <w:bookmarkStart w:id="16220" w:name="_Toc394663508"/>
      <w:bookmarkStart w:id="16221" w:name="_Toc394667147"/>
      <w:bookmarkStart w:id="16222" w:name="_Toc394667303"/>
      <w:bookmarkStart w:id="16223" w:name="_Toc394671626"/>
      <w:bookmarkStart w:id="16224" w:name="_Toc394671786"/>
      <w:bookmarkStart w:id="16225" w:name="_Toc394674628"/>
      <w:bookmarkStart w:id="16226" w:name="_Toc394674791"/>
      <w:bookmarkStart w:id="16227" w:name="_Toc394674905"/>
      <w:bookmarkStart w:id="16228" w:name="_Toc394675071"/>
      <w:bookmarkStart w:id="16229" w:name="_Toc394676016"/>
      <w:bookmarkStart w:id="16230" w:name="_Toc394676178"/>
      <w:bookmarkStart w:id="16231" w:name="_Toc394675704"/>
      <w:bookmarkStart w:id="16232" w:name="_Toc394675867"/>
      <w:bookmarkStart w:id="16233" w:name="_Toc394918267"/>
      <w:bookmarkStart w:id="16234" w:name="_Toc394918781"/>
      <w:bookmarkStart w:id="16235" w:name="_Toc394930753"/>
      <w:bookmarkStart w:id="16236" w:name="_Toc394933666"/>
      <w:bookmarkStart w:id="16237" w:name="_Toc395879121"/>
      <w:bookmarkStart w:id="16238" w:name="_Toc395882023"/>
      <w:bookmarkStart w:id="16239" w:name="_Toc395882245"/>
      <w:bookmarkStart w:id="16240" w:name="_Toc395882354"/>
      <w:bookmarkStart w:id="16241" w:name="_Toc395882576"/>
      <w:bookmarkStart w:id="16242" w:name="_Toc395880740"/>
      <w:bookmarkStart w:id="16243" w:name="_Toc395880849"/>
      <w:bookmarkStart w:id="16244" w:name="_Toc395881071"/>
      <w:bookmarkStart w:id="16245" w:name="_Toc395881407"/>
      <w:bookmarkStart w:id="16246" w:name="_Toc395881629"/>
      <w:bookmarkStart w:id="16247" w:name="_Toc395884014"/>
      <w:bookmarkStart w:id="16248" w:name="_Toc395880747"/>
      <w:bookmarkStart w:id="16249" w:name="_Toc395884454"/>
      <w:bookmarkStart w:id="16250" w:name="_Toc395884676"/>
      <w:bookmarkStart w:id="16251" w:name="_Toc395883163"/>
      <w:bookmarkStart w:id="16252" w:name="_Toc395883385"/>
      <w:bookmarkStart w:id="16253" w:name="_Toc395883493"/>
      <w:bookmarkStart w:id="16254" w:name="_Toc395883715"/>
      <w:bookmarkStart w:id="16255" w:name="_Toc395884795"/>
      <w:bookmarkStart w:id="16256" w:name="_Toc396123824"/>
      <w:bookmarkStart w:id="16257" w:name="_Toc396130727"/>
      <w:bookmarkStart w:id="16258" w:name="_Toc396136305"/>
      <w:bookmarkStart w:id="16259" w:name="_Toc396138759"/>
      <w:bookmarkStart w:id="16260" w:name="_Toc396144020"/>
      <w:bookmarkStart w:id="16261" w:name="_Toc396145529"/>
      <w:bookmarkStart w:id="16262" w:name="_Toc396145673"/>
      <w:bookmarkStart w:id="16263" w:name="_Toc396145955"/>
      <w:bookmarkStart w:id="16264" w:name="_Toc396147495"/>
      <w:bookmarkStart w:id="16265" w:name="_Toc396147781"/>
      <w:bookmarkStart w:id="16266" w:name="_Toc396149037"/>
      <w:bookmarkStart w:id="16267" w:name="_Toc396148751"/>
      <w:bookmarkStart w:id="16268" w:name="_Toc396149532"/>
      <w:bookmarkStart w:id="16269" w:name="_Toc396149177"/>
      <w:bookmarkStart w:id="16270" w:name="_Toc396149463"/>
      <w:bookmarkStart w:id="16271" w:name="_Toc396149140"/>
      <w:bookmarkStart w:id="16272" w:name="_Toc396149885"/>
      <w:bookmarkStart w:id="16273" w:name="_Toc396149635"/>
      <w:bookmarkStart w:id="16274" w:name="_Toc396150476"/>
      <w:bookmarkStart w:id="16275" w:name="_Toc396151365"/>
      <w:bookmarkStart w:id="16276" w:name="_Toc396151659"/>
      <w:bookmarkStart w:id="16277" w:name="_Toc396201586"/>
      <w:bookmarkStart w:id="16278" w:name="_Toc396202376"/>
      <w:bookmarkStart w:id="16279" w:name="_Toc396202671"/>
      <w:bookmarkStart w:id="16280" w:name="_Toc396203288"/>
      <w:bookmarkStart w:id="16281" w:name="_Toc396206584"/>
      <w:bookmarkStart w:id="16282" w:name="_Toc396206878"/>
      <w:bookmarkStart w:id="16283" w:name="_Toc396209412"/>
      <w:bookmarkStart w:id="16284" w:name="_Toc396209706"/>
      <w:bookmarkStart w:id="16285" w:name="_Toc396211836"/>
      <w:bookmarkStart w:id="16286" w:name="_Toc396212130"/>
      <w:bookmarkStart w:id="16287" w:name="_Toc396213180"/>
      <w:bookmarkStart w:id="16288" w:name="_Toc396213472"/>
      <w:bookmarkStart w:id="16289" w:name="_Toc396214023"/>
      <w:bookmarkStart w:id="16290" w:name="_Toc396214458"/>
      <w:bookmarkStart w:id="16291" w:name="_Toc396214748"/>
      <w:bookmarkStart w:id="16292" w:name="_Toc396220308"/>
      <w:bookmarkStart w:id="16293" w:name="_Toc396226570"/>
      <w:bookmarkStart w:id="16294" w:name="_Toc396226859"/>
      <w:bookmarkStart w:id="16295" w:name="_Toc396229065"/>
      <w:bookmarkStart w:id="16296" w:name="_Toc396230412"/>
      <w:bookmarkStart w:id="16297" w:name="_Toc396231849"/>
      <w:bookmarkStart w:id="16298" w:name="_Toc396233192"/>
      <w:bookmarkStart w:id="16299" w:name="_Toc396233489"/>
      <w:bookmarkStart w:id="16300" w:name="_Toc396234012"/>
      <w:bookmarkStart w:id="16301" w:name="_Toc396234309"/>
      <w:bookmarkStart w:id="16302" w:name="_Toc396234422"/>
      <w:bookmarkStart w:id="16303" w:name="_Toc396236156"/>
      <w:bookmarkStart w:id="16304" w:name="_Toc396235934"/>
      <w:bookmarkStart w:id="16305" w:name="_Toc396236544"/>
      <w:bookmarkStart w:id="16306" w:name="_Toc396237063"/>
      <w:bookmarkStart w:id="16307" w:name="_Toc396397406"/>
      <w:bookmarkStart w:id="16308" w:name="_Toc396304587"/>
      <w:bookmarkStart w:id="16309" w:name="_Toc396586122"/>
      <w:bookmarkStart w:id="16310" w:name="_Toc396815143"/>
      <w:bookmarkStart w:id="16311" w:name="_Toc396821092"/>
      <w:bookmarkStart w:id="16312" w:name="_Toc396821700"/>
      <w:bookmarkStart w:id="16313" w:name="_Toc396827550"/>
      <w:bookmarkStart w:id="16314" w:name="_Toc396828521"/>
      <w:bookmarkStart w:id="16315" w:name="_Toc396828631"/>
      <w:bookmarkStart w:id="16316" w:name="_Toc396838020"/>
      <w:bookmarkStart w:id="16317" w:name="_Toc396838418"/>
      <w:bookmarkStart w:id="16318" w:name="_Toc396904741"/>
      <w:bookmarkStart w:id="16319" w:name="_Toc396907575"/>
      <w:bookmarkStart w:id="16320" w:name="_Toc396912494"/>
      <w:bookmarkStart w:id="16321" w:name="_Toc396914474"/>
      <w:bookmarkStart w:id="16322" w:name="_Toc396915358"/>
      <w:bookmarkStart w:id="16323" w:name="_Toc396915752"/>
      <w:bookmarkStart w:id="16324" w:name="_Toc396921063"/>
      <w:bookmarkStart w:id="16325" w:name="_Toc396924403"/>
      <w:bookmarkStart w:id="16326" w:name="_Toc396925097"/>
      <w:bookmarkStart w:id="16327" w:name="_Toc396992217"/>
      <w:bookmarkStart w:id="16328" w:name="_Toc396992796"/>
      <w:bookmarkStart w:id="16329" w:name="_Toc396994460"/>
      <w:bookmarkStart w:id="16330" w:name="_Toc397002231"/>
      <w:bookmarkStart w:id="16331" w:name="_Toc397003150"/>
      <w:bookmarkStart w:id="16332" w:name="_Toc397008708"/>
      <w:bookmarkStart w:id="16333" w:name="_Toc397008926"/>
      <w:bookmarkStart w:id="16334" w:name="_Toc397011598"/>
      <w:bookmarkStart w:id="16335" w:name="_Toc397012660"/>
      <w:bookmarkStart w:id="16336" w:name="_Toc397015002"/>
      <w:bookmarkStart w:id="16337" w:name="_Toc397015489"/>
      <w:bookmarkStart w:id="16338" w:name="_Toc397070559"/>
      <w:bookmarkStart w:id="16339" w:name="_Toc397413300"/>
      <w:bookmarkStart w:id="16340" w:name="_Toc397413447"/>
      <w:bookmarkStart w:id="16341" w:name="_Toc397428030"/>
      <w:bookmarkStart w:id="16342" w:name="_Toc397439418"/>
      <w:bookmarkStart w:id="16343" w:name="_Toc397439588"/>
      <w:bookmarkStart w:id="16344" w:name="_Toc397439844"/>
      <w:bookmarkStart w:id="16345" w:name="_Toc397440146"/>
      <w:bookmarkStart w:id="16346" w:name="_Toc397441775"/>
      <w:bookmarkStart w:id="16347" w:name="_Toc397517477"/>
      <w:bookmarkStart w:id="16348" w:name="_Toc397522742"/>
      <w:bookmarkStart w:id="16349" w:name="_Toc397526160"/>
      <w:bookmarkStart w:id="16350" w:name="_Toc397528475"/>
      <w:bookmarkStart w:id="16351" w:name="_Toc397528950"/>
      <w:bookmarkStart w:id="16352" w:name="_Toc397601947"/>
      <w:bookmarkStart w:id="16353" w:name="_Toc397602682"/>
      <w:bookmarkStart w:id="16354" w:name="_Toc397605811"/>
      <w:bookmarkStart w:id="16355" w:name="_Toc397614512"/>
      <w:bookmarkStart w:id="16356" w:name="_Toc397614955"/>
      <w:bookmarkStart w:id="16357" w:name="_Toc397616398"/>
      <w:bookmarkStart w:id="16358" w:name="_Toc397616792"/>
      <w:bookmarkStart w:id="16359" w:name="_Toc397679202"/>
      <w:bookmarkStart w:id="16360" w:name="_Toc397688090"/>
      <w:bookmarkStart w:id="16361" w:name="_Toc397689306"/>
      <w:bookmarkStart w:id="16362" w:name="_Toc397694586"/>
      <w:bookmarkStart w:id="16363" w:name="_Toc397696427"/>
      <w:bookmarkStart w:id="16364" w:name="_Toc397697161"/>
      <w:bookmarkStart w:id="16365" w:name="_Toc397698448"/>
      <w:bookmarkStart w:id="16366" w:name="_Toc397699814"/>
      <w:bookmarkStart w:id="16367" w:name="_Toc397700268"/>
      <w:bookmarkStart w:id="16368" w:name="_Toc397936660"/>
      <w:bookmarkStart w:id="16369" w:name="_Toc397936780"/>
      <w:bookmarkStart w:id="16370" w:name="_Toc397945936"/>
      <w:bookmarkStart w:id="16371" w:name="_Toc397946962"/>
      <w:bookmarkStart w:id="16372" w:name="_Toc397948081"/>
      <w:bookmarkStart w:id="16373" w:name="_Toc397958487"/>
      <w:bookmarkStart w:id="16374" w:name="_Toc397958729"/>
      <w:bookmarkStart w:id="16375" w:name="_Toc397959144"/>
      <w:bookmarkStart w:id="16376" w:name="_Toc397962997"/>
      <w:bookmarkStart w:id="16377" w:name="_Toc397963363"/>
      <w:bookmarkStart w:id="16378" w:name="_Toc397965440"/>
      <w:bookmarkStart w:id="16379" w:name="_Toc398197378"/>
      <w:bookmarkStart w:id="16380" w:name="_Toc398199881"/>
      <w:bookmarkStart w:id="16381" w:name="_Toc398201595"/>
      <w:bookmarkStart w:id="16382" w:name="_Toc398207200"/>
      <w:bookmarkStart w:id="16383" w:name="_Toc398210473"/>
      <w:bookmarkStart w:id="16384" w:name="_Toc398210987"/>
      <w:bookmarkStart w:id="16385" w:name="_Toc398219795"/>
      <w:bookmarkStart w:id="16386" w:name="_Toc398220170"/>
      <w:bookmarkStart w:id="16387" w:name="_Toc398220557"/>
      <w:bookmarkStart w:id="16388" w:name="_Toc398221635"/>
      <w:bookmarkStart w:id="16389" w:name="_Toc398222321"/>
      <w:bookmarkStart w:id="16390" w:name="_Toc398222633"/>
      <w:bookmarkStart w:id="16391" w:name="_Toc398223050"/>
      <w:bookmarkStart w:id="16392" w:name="_Toc398223429"/>
      <w:bookmarkStart w:id="16393" w:name="_Toc398223556"/>
      <w:bookmarkStart w:id="16394" w:name="_Toc398224364"/>
      <w:bookmarkStart w:id="16395" w:name="_Toc398225701"/>
      <w:bookmarkStart w:id="16396" w:name="_Toc398225826"/>
      <w:bookmarkStart w:id="16397" w:name="_Toc398281313"/>
      <w:bookmarkStart w:id="16398" w:name="_Toc398282172"/>
      <w:bookmarkStart w:id="16399" w:name="_Toc398284842"/>
      <w:bookmarkStart w:id="16400" w:name="_Toc398287311"/>
      <w:bookmarkStart w:id="16401" w:name="_Toc398289194"/>
      <w:bookmarkStart w:id="16402" w:name="_Toc398297191"/>
      <w:bookmarkStart w:id="16403" w:name="_Toc398298665"/>
      <w:bookmarkStart w:id="16404" w:name="_Toc398300366"/>
      <w:bookmarkStart w:id="16405" w:name="_Toc398301263"/>
      <w:bookmarkStart w:id="16406" w:name="_Toc398302448"/>
      <w:bookmarkStart w:id="16407" w:name="_Toc398302611"/>
      <w:bookmarkStart w:id="16408" w:name="_Toc398549125"/>
      <w:bookmarkStart w:id="16409" w:name="_Toc398549375"/>
      <w:bookmarkStart w:id="16410" w:name="_Toc398555794"/>
      <w:bookmarkStart w:id="16411" w:name="_Toc398558998"/>
      <w:bookmarkStart w:id="16412" w:name="_Toc398563484"/>
      <w:bookmarkStart w:id="16413" w:name="_Toc398563617"/>
      <w:bookmarkStart w:id="16414" w:name="_Toc398564016"/>
      <w:bookmarkStart w:id="16415" w:name="_Toc398827357"/>
      <w:bookmarkStart w:id="16416" w:name="_Toc398827551"/>
      <w:bookmarkStart w:id="16417" w:name="s82"/>
      <w:r w:rsidRPr="008625DC">
        <w:rPr>
          <w:lang w:val="en-AU"/>
        </w:rPr>
        <w:t>Goods</w:t>
      </w:r>
      <w:r w:rsidR="00380141" w:rsidRPr="008625DC">
        <w:rPr>
          <w:lang w:val="en-AU"/>
        </w:rPr>
        <w:t xml:space="preserve"> — </w:t>
      </w:r>
      <w:bookmarkEnd w:id="16110"/>
      <w:bookmarkEnd w:id="16111"/>
      <w:bookmarkEnd w:id="16112"/>
      <w:bookmarkEnd w:id="16113"/>
      <w:bookmarkEnd w:id="16114"/>
      <w:r w:rsidR="00EA0A2D" w:rsidRPr="008625DC">
        <w:rPr>
          <w:lang w:val="en-AU"/>
        </w:rPr>
        <w:t>p</w:t>
      </w:r>
      <w:r w:rsidR="002255A2" w:rsidRPr="008625DC">
        <w:rPr>
          <w:lang w:val="en-AU"/>
        </w:rPr>
        <w:t xml:space="preserve">roduct </w:t>
      </w:r>
      <w:bookmarkEnd w:id="16115"/>
      <w:r w:rsidR="002255A2" w:rsidRPr="008625DC">
        <w:rPr>
          <w:lang w:val="en-AU"/>
        </w:rPr>
        <w:t>s</w:t>
      </w:r>
      <w:r w:rsidR="002223C0" w:rsidRPr="008625DC">
        <w:rPr>
          <w:lang w:val="en-AU"/>
        </w:rPr>
        <w:t>tandards and labelling</w:t>
      </w:r>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p>
    <w:bookmarkEnd w:id="16417"/>
    <w:p w14:paraId="4E4C320D" w14:textId="205D522F" w:rsidR="00215822" w:rsidRPr="008625DC" w:rsidRDefault="00215822" w:rsidP="0085352D">
      <w:r w:rsidRPr="008625DC">
        <w:t xml:space="preserve">Restrictions on the sale of goods can come in a range of forms, including through </w:t>
      </w:r>
      <w:r w:rsidR="00BE38E4" w:rsidRPr="008625DC">
        <w:t>the setting of</w:t>
      </w:r>
      <w:r w:rsidRPr="008625DC">
        <w:t xml:space="preserve"> standards</w:t>
      </w:r>
      <w:r w:rsidR="00BE38E4" w:rsidRPr="008625DC">
        <w:t>, both Australian</w:t>
      </w:r>
      <w:r w:rsidRPr="008625DC">
        <w:t xml:space="preserve"> and </w:t>
      </w:r>
      <w:r w:rsidR="00BE38E4" w:rsidRPr="008625DC">
        <w:t>international,</w:t>
      </w:r>
      <w:r w:rsidRPr="008625DC">
        <w:t xml:space="preserve"> and labelling restrictions.</w:t>
      </w:r>
      <w:r w:rsidR="00787DCF" w:rsidRPr="008625DC">
        <w:t xml:space="preserve"> </w:t>
      </w:r>
      <w:r w:rsidR="00BE38E4" w:rsidRPr="008625DC">
        <w:t>Restrictions on the sale of goods have the effect of reducing the ability of producers to respon</w:t>
      </w:r>
      <w:r w:rsidR="00B509AB" w:rsidRPr="008625DC">
        <w:t>d</w:t>
      </w:r>
      <w:r w:rsidR="00BE38E4" w:rsidRPr="008625DC">
        <w:t xml:space="preserve"> to consumer demand.</w:t>
      </w:r>
    </w:p>
    <w:p w14:paraId="218F3045" w14:textId="6129888D" w:rsidR="00601A5C" w:rsidRPr="008625DC" w:rsidRDefault="00215822" w:rsidP="0085352D">
      <w:r w:rsidRPr="008625DC">
        <w:t>Standards can be put in place in a range of ways, either through regulation or by industry itself.</w:t>
      </w:r>
      <w:r w:rsidR="00787DCF" w:rsidRPr="008625DC">
        <w:t xml:space="preserve"> </w:t>
      </w:r>
    </w:p>
    <w:p w14:paraId="597EC94D" w14:textId="64244371" w:rsidR="00215822" w:rsidRPr="008625DC" w:rsidRDefault="00215822" w:rsidP="0085352D">
      <w:r w:rsidRPr="008625DC">
        <w:t>There are many policy reasons why standards may be in the public interest</w:t>
      </w:r>
      <w:r w:rsidR="00B509AB" w:rsidRPr="008625DC">
        <w:t xml:space="preserve">, including </w:t>
      </w:r>
      <w:r w:rsidRPr="008625DC">
        <w:t xml:space="preserve">health, safety </w:t>
      </w:r>
      <w:r w:rsidR="00B509AB" w:rsidRPr="008625DC">
        <w:t xml:space="preserve">and </w:t>
      </w:r>
      <w:r w:rsidRPr="008625DC">
        <w:t>consumer protection.</w:t>
      </w:r>
      <w:r w:rsidR="00787DCF" w:rsidRPr="008625DC">
        <w:t xml:space="preserve"> </w:t>
      </w:r>
      <w:r w:rsidR="00BE38E4" w:rsidRPr="008625DC">
        <w:t>Submissions note</w:t>
      </w:r>
      <w:r w:rsidRPr="008625DC">
        <w:t xml:space="preserve"> that standards can provide efficiencies, address information asymmetries, and generate cost savings.</w:t>
      </w:r>
      <w:r w:rsidR="00BE38E4" w:rsidRPr="008625DC">
        <w:rPr>
          <w:rStyle w:val="FootnoteReference"/>
        </w:rPr>
        <w:footnoteReference w:id="88"/>
      </w:r>
      <w:r w:rsidRPr="008625DC">
        <w:t xml:space="preserve"> </w:t>
      </w:r>
    </w:p>
    <w:p w14:paraId="6FFD83EF" w14:textId="0CE78FE8" w:rsidR="00215822" w:rsidRPr="008625DC" w:rsidRDefault="00215822" w:rsidP="0085352D">
      <w:r w:rsidRPr="008625DC">
        <w:t xml:space="preserve">Standards can also promote competition </w:t>
      </w:r>
      <w:r w:rsidR="00B509AB" w:rsidRPr="008625DC">
        <w:t>by facilitating</w:t>
      </w:r>
      <w:r w:rsidRPr="008625DC">
        <w:t xml:space="preserve"> interoperability. For example, having no standards for car tyre sizes could limit competition as not all manufacturers would be able to produce for all car wheels</w:t>
      </w:r>
      <w:r w:rsidR="00380141" w:rsidRPr="008625DC">
        <w:t xml:space="preserve"> — </w:t>
      </w:r>
      <w:r w:rsidRPr="008625DC">
        <w:t>reducing the scope for efficiencies of scale as well.</w:t>
      </w:r>
      <w:r w:rsidR="00787DCF" w:rsidRPr="008625DC">
        <w:t xml:space="preserve"> </w:t>
      </w:r>
      <w:r w:rsidRPr="008625DC">
        <w:t>However, there are also instances where standards provide unnecessarily high or differential requirements for goods or services and have the impact of dampening competition or creating barriers to market entry and innovation.</w:t>
      </w:r>
      <w:r w:rsidR="00787DCF" w:rsidRPr="008625DC">
        <w:t xml:space="preserve"> </w:t>
      </w:r>
    </w:p>
    <w:p w14:paraId="6BBB566B" w14:textId="18460ABB" w:rsidR="00215822" w:rsidRPr="008625DC" w:rsidRDefault="00747988" w:rsidP="00341FFE">
      <w:pPr>
        <w:pStyle w:val="BoxText"/>
        <w:rPr>
          <w:color w:val="auto"/>
        </w:rPr>
      </w:pPr>
      <w:r w:rsidRPr="008625DC">
        <w:rPr>
          <w:color w:val="auto"/>
        </w:rPr>
        <w:t>S</w:t>
      </w:r>
      <w:r w:rsidR="00BE38E4" w:rsidRPr="008625DC">
        <w:rPr>
          <w:color w:val="auto"/>
        </w:rPr>
        <w:t>ubmissions provide examples where</w:t>
      </w:r>
      <w:r w:rsidR="00215822" w:rsidRPr="008625DC">
        <w:rPr>
          <w:color w:val="auto"/>
        </w:rPr>
        <w:t xml:space="preserve"> standards </w:t>
      </w:r>
      <w:r w:rsidR="00601A5C" w:rsidRPr="008625DC">
        <w:rPr>
          <w:color w:val="auto"/>
        </w:rPr>
        <w:t xml:space="preserve">can impede growth and innovation, </w:t>
      </w:r>
      <w:r w:rsidR="00B509AB" w:rsidRPr="008625DC">
        <w:rPr>
          <w:color w:val="auto"/>
        </w:rPr>
        <w:t xml:space="preserve">including </w:t>
      </w:r>
      <w:r w:rsidR="00215822" w:rsidRPr="008625DC">
        <w:rPr>
          <w:color w:val="auto"/>
        </w:rPr>
        <w:t xml:space="preserve">food safety regulation being directed at specific process requirements rather </w:t>
      </w:r>
      <w:r w:rsidR="00B77852" w:rsidRPr="008625DC">
        <w:rPr>
          <w:color w:val="auto"/>
        </w:rPr>
        <w:t xml:space="preserve">than </w:t>
      </w:r>
      <w:r w:rsidR="00215822" w:rsidRPr="008625DC">
        <w:rPr>
          <w:color w:val="auto"/>
        </w:rPr>
        <w:t>the outcome</w:t>
      </w:r>
      <w:r w:rsidR="00B509AB" w:rsidRPr="008625DC">
        <w:rPr>
          <w:color w:val="auto"/>
        </w:rPr>
        <w:t>s</w:t>
      </w:r>
      <w:r w:rsidR="00215822" w:rsidRPr="008625DC">
        <w:rPr>
          <w:color w:val="auto"/>
        </w:rPr>
        <w:t xml:space="preserve"> f</w:t>
      </w:r>
      <w:r w:rsidR="00B509AB" w:rsidRPr="008625DC">
        <w:rPr>
          <w:color w:val="auto"/>
        </w:rPr>
        <w:t>or</w:t>
      </w:r>
      <w:r w:rsidR="00215822" w:rsidRPr="008625DC">
        <w:rPr>
          <w:color w:val="auto"/>
        </w:rPr>
        <w:t xml:space="preserve"> food safety.</w:t>
      </w:r>
      <w:r w:rsidR="00215822" w:rsidRPr="008625DC">
        <w:rPr>
          <w:rStyle w:val="FootnoteReference"/>
          <w:color w:val="auto"/>
        </w:rPr>
        <w:footnoteReference w:id="89"/>
      </w:r>
      <w:r w:rsidR="00215822" w:rsidRPr="008625DC">
        <w:rPr>
          <w:color w:val="auto"/>
        </w:rPr>
        <w:t xml:space="preserve"> </w:t>
      </w:r>
    </w:p>
    <w:tbl>
      <w:tblPr>
        <w:tblW w:w="9072" w:type="dxa"/>
        <w:tblInd w:w="108" w:type="dxa"/>
        <w:shd w:val="clear" w:color="auto" w:fill="E6E6E6"/>
        <w:tblLook w:val="01E0" w:firstRow="1" w:lastRow="1" w:firstColumn="1" w:lastColumn="1" w:noHBand="0" w:noVBand="0"/>
      </w:tblPr>
      <w:tblGrid>
        <w:gridCol w:w="9072"/>
      </w:tblGrid>
      <w:tr w:rsidR="00215822" w:rsidRPr="008625DC" w14:paraId="436F4CAD" w14:textId="77777777" w:rsidTr="00F7370D">
        <w:tc>
          <w:tcPr>
            <w:tcW w:w="5000" w:type="pct"/>
            <w:shd w:val="clear" w:color="auto" w:fill="E6E6E6"/>
          </w:tcPr>
          <w:p w14:paraId="0CEF249C" w14:textId="5D361523" w:rsidR="00215822" w:rsidRPr="008625DC" w:rsidRDefault="003E52A5" w:rsidP="00F7370D">
            <w:pPr>
              <w:pStyle w:val="BoxHeading"/>
            </w:pPr>
            <w:r w:rsidRPr="008625DC">
              <w:lastRenderedPageBreak/>
              <w:t>Box</w:t>
            </w:r>
            <w:r w:rsidR="009F720B" w:rsidRPr="008625DC">
              <w:t xml:space="preserve"> </w:t>
            </w:r>
            <w:r w:rsidR="00677026" w:rsidRPr="008625DC">
              <w:t>8</w:t>
            </w:r>
            <w:r w:rsidR="00B071F2" w:rsidRPr="008625DC">
              <w:t>.</w:t>
            </w:r>
            <w:r w:rsidR="008F1DD6" w:rsidRPr="008625DC">
              <w:t>10</w:t>
            </w:r>
            <w:r w:rsidR="00B071F2" w:rsidRPr="008625DC">
              <w:t>:</w:t>
            </w:r>
            <w:r w:rsidR="009F720B" w:rsidRPr="008625DC">
              <w:t xml:space="preserve"> </w:t>
            </w:r>
            <w:r w:rsidR="00215822" w:rsidRPr="008625DC">
              <w:t xml:space="preserve">Standards Australia </w:t>
            </w:r>
          </w:p>
          <w:p w14:paraId="571CFC50" w14:textId="6753E9E8" w:rsidR="00C80F90" w:rsidRPr="008625DC" w:rsidRDefault="00215822" w:rsidP="00C80F90">
            <w:pPr>
              <w:pStyle w:val="BoxText"/>
            </w:pPr>
            <w:r w:rsidRPr="008625DC">
              <w:t xml:space="preserve">Standards Australia is </w:t>
            </w:r>
            <w:r w:rsidR="00B509AB" w:rsidRPr="008625DC">
              <w:t>a</w:t>
            </w:r>
            <w:r w:rsidRPr="008625DC">
              <w:t xml:space="preserve"> non</w:t>
            </w:r>
            <w:r w:rsidR="00C74E19" w:rsidRPr="008625DC">
              <w:noBreakHyphen/>
            </w:r>
            <w:r w:rsidRPr="008625DC">
              <w:t xml:space="preserve">government body </w:t>
            </w:r>
            <w:r w:rsidR="00B509AB" w:rsidRPr="008625DC">
              <w:t>with</w:t>
            </w:r>
            <w:r w:rsidRPr="008625DC">
              <w:t xml:space="preserve"> a memorandum of understanding with the Australian Government to accredit Australian Standards for goods and services.</w:t>
            </w:r>
            <w:r w:rsidR="00787DCF" w:rsidRPr="008625DC">
              <w:t xml:space="preserve"> </w:t>
            </w:r>
          </w:p>
          <w:p w14:paraId="4D5C3123" w14:textId="63E6BAAE" w:rsidR="00215822" w:rsidRPr="008625DC" w:rsidRDefault="00215822" w:rsidP="00F7370D">
            <w:pPr>
              <w:pStyle w:val="BoxText"/>
            </w:pPr>
            <w:r w:rsidRPr="008625DC">
              <w:t xml:space="preserve">There are </w:t>
            </w:r>
            <w:r w:rsidR="00FC1377" w:rsidRPr="008625DC">
              <w:t>over</w:t>
            </w:r>
            <w:r w:rsidRPr="008625DC">
              <w:t xml:space="preserve"> 6,</w:t>
            </w:r>
            <w:r w:rsidR="00FC1377" w:rsidRPr="008625DC">
              <w:t>8</w:t>
            </w:r>
            <w:r w:rsidRPr="008625DC">
              <w:t>00 Australian Standards, the large majority of which are voluntary</w:t>
            </w:r>
            <w:r w:rsidR="00380141" w:rsidRPr="008625DC">
              <w:t xml:space="preserve"> — </w:t>
            </w:r>
            <w:r w:rsidRPr="008625DC">
              <w:t>others are made mandatory through regulation</w:t>
            </w:r>
            <w:r w:rsidR="00FC1377" w:rsidRPr="008625DC">
              <w:t>. Further, some are agreed to be mandatory between parties</w:t>
            </w:r>
            <w:r w:rsidRPr="008625DC">
              <w:t xml:space="preserve"> in private contracts.</w:t>
            </w:r>
            <w:r w:rsidR="00787DCF" w:rsidRPr="008625DC">
              <w:t xml:space="preserve"> </w:t>
            </w:r>
          </w:p>
          <w:p w14:paraId="71C1755B" w14:textId="522991E2" w:rsidR="00C80F90" w:rsidRPr="008625DC" w:rsidRDefault="00C80F90" w:rsidP="00C80F90">
            <w:pPr>
              <w:pStyle w:val="BoxText"/>
            </w:pPr>
            <w:r w:rsidRPr="008625DC">
              <w:t>Standards Australia requires that all Australian Standards, regardless of who develops them, must demonstrate positive net benefit to the community as a whole.</w:t>
            </w:r>
            <w:r w:rsidR="00787DCF" w:rsidRPr="008625DC">
              <w:t xml:space="preserve"> </w:t>
            </w:r>
            <w:r w:rsidRPr="008625DC">
              <w:t>One of the required considerations is the impact on competition.</w:t>
            </w:r>
            <w:r w:rsidR="00BA45E7" w:rsidRPr="008625DC">
              <w:rPr>
                <w:rStyle w:val="FootnoteReference"/>
              </w:rPr>
              <w:footnoteReference w:id="90"/>
            </w:r>
            <w:r w:rsidR="00787DCF" w:rsidRPr="008625DC">
              <w:t xml:space="preserve"> </w:t>
            </w:r>
            <w:r w:rsidRPr="008625DC">
              <w:t>This mechanism provides the opportunity for Standards Australia to examine the impact on competition and ultimately the outcomes for purchasers of the goods or services, not just the burden on industry.</w:t>
            </w:r>
            <w:r w:rsidR="00787DCF" w:rsidRPr="008625DC">
              <w:t xml:space="preserve"> </w:t>
            </w:r>
          </w:p>
          <w:p w14:paraId="6CF038DF" w14:textId="7354AC27" w:rsidR="00215822" w:rsidRPr="008625DC" w:rsidRDefault="00C80F90" w:rsidP="00C80F90">
            <w:r w:rsidRPr="008625DC">
              <w:t>In 2012</w:t>
            </w:r>
            <w:r w:rsidR="00A907FB" w:rsidRPr="008625DC">
              <w:t>,</w:t>
            </w:r>
            <w:r w:rsidRPr="008625DC">
              <w:t xml:space="preserve"> Standards Australia </w:t>
            </w:r>
            <w:r w:rsidR="00B509AB" w:rsidRPr="008625DC">
              <w:t>c</w:t>
            </w:r>
            <w:r w:rsidRPr="008625DC">
              <w:t>ommit</w:t>
            </w:r>
            <w:r w:rsidR="00B509AB" w:rsidRPr="008625DC">
              <w:t>ted</w:t>
            </w:r>
            <w:r w:rsidRPr="008625DC">
              <w:t xml:space="preserve"> to review, revise, reconfirm, or withdraw all standards published more than 10 years ago.</w:t>
            </w:r>
            <w:r w:rsidR="00787DCF" w:rsidRPr="008625DC">
              <w:t xml:space="preserve"> </w:t>
            </w:r>
            <w:r w:rsidR="00A907FB" w:rsidRPr="008625DC">
              <w:t>It considers that t</w:t>
            </w:r>
            <w:r w:rsidRPr="008625DC">
              <w:t xml:space="preserve">his initiative </w:t>
            </w:r>
            <w:r w:rsidR="00B509AB" w:rsidRPr="008625DC">
              <w:t xml:space="preserve">helped </w:t>
            </w:r>
            <w:r w:rsidRPr="008625DC">
              <w:t xml:space="preserve">to ensure </w:t>
            </w:r>
            <w:r w:rsidR="00B509AB" w:rsidRPr="008625DC">
              <w:t xml:space="preserve">that </w:t>
            </w:r>
            <w:r w:rsidRPr="008625DC">
              <w:t xml:space="preserve">the catalogue is current, internationally aligned, and that the </w:t>
            </w:r>
            <w:r w:rsidR="00B509AB" w:rsidRPr="008625DC">
              <w:t>standards</w:t>
            </w:r>
            <w:r w:rsidRPr="008625DC">
              <w:t xml:space="preserve"> are not </w:t>
            </w:r>
            <w:r w:rsidR="00B509AB" w:rsidRPr="008625DC">
              <w:t>an</w:t>
            </w:r>
            <w:r w:rsidRPr="008625DC">
              <w:t xml:space="preserve"> unnecessary burden o</w:t>
            </w:r>
            <w:r w:rsidR="00B509AB" w:rsidRPr="008625DC">
              <w:t>n</w:t>
            </w:r>
            <w:r w:rsidRPr="008625DC">
              <w:t xml:space="preserve"> industry.</w:t>
            </w:r>
            <w:r w:rsidRPr="008625DC">
              <w:rPr>
                <w:rStyle w:val="FootnoteReference"/>
              </w:rPr>
              <w:footnoteReference w:id="91"/>
            </w:r>
          </w:p>
          <w:p w14:paraId="002FC398" w14:textId="0FA96666" w:rsidR="00215822" w:rsidRPr="008625DC" w:rsidRDefault="00D76E4A" w:rsidP="00C80F90">
            <w:r w:rsidRPr="008625DC">
              <w:t>Standards Australia has a policy of adopting International Standards wherever possible</w:t>
            </w:r>
            <w:r w:rsidR="00480A3C" w:rsidRPr="008625DC">
              <w:t>,</w:t>
            </w:r>
            <w:r w:rsidR="00BA45E7" w:rsidRPr="008625DC">
              <w:rPr>
                <w:rStyle w:val="FootnoteReference"/>
              </w:rPr>
              <w:footnoteReference w:id="92"/>
            </w:r>
            <w:r w:rsidRPr="008625DC">
              <w:t xml:space="preserve"> which should assist in minimising regulatory barriers to import competition. </w:t>
            </w:r>
          </w:p>
        </w:tc>
      </w:tr>
    </w:tbl>
    <w:p w14:paraId="38C22C5D" w14:textId="7AC3CAE2" w:rsidR="00C80F90" w:rsidRPr="008625DC" w:rsidRDefault="00C80F90" w:rsidP="00AD56BA">
      <w:pPr>
        <w:spacing w:before="240"/>
      </w:pPr>
      <w:r w:rsidRPr="008625DC">
        <w:t>Gi</w:t>
      </w:r>
      <w:r w:rsidR="0085352D" w:rsidRPr="008625DC">
        <w:t>v</w:t>
      </w:r>
      <w:r w:rsidRPr="008625DC">
        <w:t>en that collaboration by industry in relation to standards could be conside</w:t>
      </w:r>
      <w:r w:rsidR="009E1ACF" w:rsidRPr="008625DC">
        <w:t>red anti</w:t>
      </w:r>
      <w:r w:rsidR="00C74E19" w:rsidRPr="008625DC">
        <w:noBreakHyphen/>
      </w:r>
      <w:r w:rsidR="009E1ACF" w:rsidRPr="008625DC">
        <w:t>competitive, paragraph </w:t>
      </w:r>
      <w:r w:rsidRPr="008625DC">
        <w:t>51(2</w:t>
      </w:r>
      <w:proofErr w:type="gramStart"/>
      <w:r w:rsidRPr="008625DC">
        <w:t>)(</w:t>
      </w:r>
      <w:proofErr w:type="gramEnd"/>
      <w:r w:rsidRPr="008625DC">
        <w:t xml:space="preserve">c) of the </w:t>
      </w:r>
      <w:r w:rsidR="00A24996" w:rsidRPr="008625DC">
        <w:t>CCA</w:t>
      </w:r>
      <w:r w:rsidR="00343B29" w:rsidRPr="008625DC">
        <w:t xml:space="preserve"> </w:t>
      </w:r>
      <w:r w:rsidRPr="008625DC">
        <w:t>provides that agreements relating to the implementation of Australian Standards are exempt from the operation of competition laws.</w:t>
      </w:r>
      <w:r w:rsidR="00787DCF" w:rsidRPr="008625DC">
        <w:t xml:space="preserve"> </w:t>
      </w:r>
    </w:p>
    <w:p w14:paraId="0C2CCE78" w14:textId="4AFC0EEE" w:rsidR="00C80F90" w:rsidRPr="008625DC" w:rsidRDefault="00C80F90" w:rsidP="0085352D">
      <w:r w:rsidRPr="008625DC">
        <w:t>The Hilmer Review accepted the continuation of the exemption recognising that</w:t>
      </w:r>
      <w:r w:rsidR="00E8441D" w:rsidRPr="008625DC">
        <w:t>,</w:t>
      </w:r>
      <w:r w:rsidRPr="008625DC">
        <w:t xml:space="preserve"> generally speaking, harmonisation through standards is a good thing, enhancing efficiency, making products more substitutable, and facilitating development of service industries for standardised goods.</w:t>
      </w:r>
      <w:r w:rsidR="00787DCF" w:rsidRPr="008625DC">
        <w:t xml:space="preserve"> </w:t>
      </w:r>
      <w:r w:rsidRPr="008625DC">
        <w:t>However, Hilmer also noted the risks of standards raising barriers to entry</w:t>
      </w:r>
      <w:r w:rsidR="00380141" w:rsidRPr="008625DC">
        <w:t xml:space="preserve"> — </w:t>
      </w:r>
      <w:r w:rsidRPr="008625DC">
        <w:t xml:space="preserve">especially where they are incorporated into legislation and mandate particular technologies or systems rather than performance outcomes. </w:t>
      </w:r>
    </w:p>
    <w:p w14:paraId="075C15FA" w14:textId="2A665351" w:rsidR="00215822" w:rsidRPr="008625DC" w:rsidRDefault="00C80F90" w:rsidP="0085352D">
      <w:r w:rsidRPr="008625DC">
        <w:t>No submission argue</w:t>
      </w:r>
      <w:r w:rsidR="00343B29" w:rsidRPr="008625DC">
        <w:t>d</w:t>
      </w:r>
      <w:r w:rsidRPr="008625DC">
        <w:t xml:space="preserve"> that the exemption from competition laws for collaboration on Australian Standards in paragraph</w:t>
      </w:r>
      <w:r w:rsidR="009E1ACF" w:rsidRPr="008625DC">
        <w:t> </w:t>
      </w:r>
      <w:r w:rsidRPr="008625DC">
        <w:t>51(2</w:t>
      </w:r>
      <w:proofErr w:type="gramStart"/>
      <w:r w:rsidRPr="008625DC">
        <w:t>)(</w:t>
      </w:r>
      <w:proofErr w:type="gramEnd"/>
      <w:r w:rsidRPr="008625DC">
        <w:t>c) of the CCA should be removed.</w:t>
      </w:r>
      <w:r w:rsidR="00AC5D74" w:rsidRPr="008625DC">
        <w:t xml:space="preserve"> </w:t>
      </w:r>
      <w:r w:rsidR="00215822" w:rsidRPr="008625DC">
        <w:t xml:space="preserve">Differing levels of standards can sometimes be required to meet a public policy objective, </w:t>
      </w:r>
      <w:r w:rsidR="00B509AB" w:rsidRPr="008625DC">
        <w:t xml:space="preserve">on account of </w:t>
      </w:r>
      <w:r w:rsidR="00215822" w:rsidRPr="008625DC">
        <w:t>localised factors such as climatic, geographic or technological issues</w:t>
      </w:r>
      <w:r w:rsidR="00D42E4A" w:rsidRPr="008625DC">
        <w:t xml:space="preserve"> </w:t>
      </w:r>
      <w:r w:rsidR="00215822" w:rsidRPr="008625DC">
        <w:t>—</w:t>
      </w:r>
      <w:r w:rsidR="00D42E4A" w:rsidRPr="008625DC">
        <w:t xml:space="preserve"> </w:t>
      </w:r>
      <w:r w:rsidR="00215822" w:rsidRPr="008625DC">
        <w:t>a point recognised by the World Trade Organisation</w:t>
      </w:r>
      <w:r w:rsidR="00091693" w:rsidRPr="008625DC">
        <w:t>.</w:t>
      </w:r>
      <w:r w:rsidR="00215822" w:rsidRPr="008625DC">
        <w:rPr>
          <w:rStyle w:val="FootnoteReference"/>
        </w:rPr>
        <w:footnoteReference w:id="93"/>
      </w:r>
    </w:p>
    <w:p w14:paraId="0F89AE55" w14:textId="00150975" w:rsidR="000B5916" w:rsidRDefault="00C80F90" w:rsidP="00AD56BA">
      <w:r w:rsidRPr="008625DC">
        <w:t>Another way</w:t>
      </w:r>
      <w:r w:rsidR="00215822" w:rsidRPr="008625DC">
        <w:t xml:space="preserve"> standards can create significant barriers to competition </w:t>
      </w:r>
      <w:r w:rsidR="00091693" w:rsidRPr="008625DC">
        <w:t>is</w:t>
      </w:r>
      <w:r w:rsidRPr="008625DC">
        <w:t xml:space="preserve"> </w:t>
      </w:r>
      <w:r w:rsidR="00215822" w:rsidRPr="008625DC">
        <w:t>by restricting substitution. If a product or service meets international standards, there would need to be a strong policy case for a different Australian Standard</w:t>
      </w:r>
      <w:r w:rsidR="00B509AB" w:rsidRPr="008625DC">
        <w:t>;</w:t>
      </w:r>
      <w:r w:rsidR="00215822" w:rsidRPr="008625DC">
        <w:t xml:space="preserve"> otherwise it may </w:t>
      </w:r>
      <w:r w:rsidR="00B509AB" w:rsidRPr="008625DC">
        <w:t>amount to</w:t>
      </w:r>
      <w:r w:rsidR="00215822" w:rsidRPr="008625DC">
        <w:t xml:space="preserve"> little more than a barrier to import competition.</w:t>
      </w:r>
    </w:p>
    <w:p w14:paraId="35CFCDC0" w14:textId="77777777" w:rsidR="00AD56BA" w:rsidRPr="008625DC" w:rsidRDefault="00AD56BA" w:rsidP="00AD56BA"/>
    <w:tbl>
      <w:tblPr>
        <w:tblStyle w:val="TableGrid"/>
        <w:tblW w:w="0" w:type="auto"/>
        <w:tblInd w:w="108" w:type="dxa"/>
        <w:tblLook w:val="04A0" w:firstRow="1" w:lastRow="0" w:firstColumn="1" w:lastColumn="0" w:noHBand="0" w:noVBand="1"/>
      </w:tblPr>
      <w:tblGrid>
        <w:gridCol w:w="3402"/>
        <w:gridCol w:w="5670"/>
      </w:tblGrid>
      <w:tr w:rsidR="00091693" w:rsidRPr="008625DC" w14:paraId="181E9D31" w14:textId="7F89D8F8" w:rsidTr="00AD56BA">
        <w:tc>
          <w:tcPr>
            <w:tcW w:w="3402" w:type="dxa"/>
          </w:tcPr>
          <w:p w14:paraId="47B81110" w14:textId="63F11B39" w:rsidR="00091693" w:rsidRPr="008625DC" w:rsidRDefault="00E72C48" w:rsidP="0009441E">
            <w:pPr>
              <w:pStyle w:val="TableColumnHeadingLeft"/>
              <w:spacing w:before="60" w:after="60"/>
            </w:pPr>
            <w:r w:rsidRPr="008625DC">
              <w:lastRenderedPageBreak/>
              <w:t xml:space="preserve">Issues raised in </w:t>
            </w:r>
            <w:r w:rsidR="00091693" w:rsidRPr="008625DC">
              <w:t>submissions</w:t>
            </w:r>
          </w:p>
        </w:tc>
        <w:tc>
          <w:tcPr>
            <w:tcW w:w="5670" w:type="dxa"/>
          </w:tcPr>
          <w:p w14:paraId="6655945B" w14:textId="599A53D6" w:rsidR="00091693" w:rsidRPr="008625DC" w:rsidRDefault="00FF77E2" w:rsidP="0009441E">
            <w:pPr>
              <w:pStyle w:val="TableColumnHeadingLeft"/>
              <w:spacing w:before="60" w:after="60"/>
            </w:pPr>
            <w:r w:rsidRPr="008625DC">
              <w:t>Further information</w:t>
            </w:r>
          </w:p>
        </w:tc>
      </w:tr>
      <w:tr w:rsidR="00091693" w:rsidRPr="008625DC" w14:paraId="1F468793" w14:textId="1A1CEB43" w:rsidTr="00AD56BA">
        <w:tc>
          <w:tcPr>
            <w:tcW w:w="3402" w:type="dxa"/>
          </w:tcPr>
          <w:p w14:paraId="6981317F" w14:textId="2E66A153" w:rsidR="00091693" w:rsidRPr="008625DC" w:rsidRDefault="00091693" w:rsidP="0085352D">
            <w:pPr>
              <w:pStyle w:val="TableTextLeft"/>
              <w:jc w:val="left"/>
            </w:pPr>
            <w:r w:rsidRPr="008625DC">
              <w:t>Standards can provide a strong disincentive against new competitors entering an industry, growing their enterprise or diversifying.</w:t>
            </w:r>
            <w:r w:rsidRPr="008625DC">
              <w:rPr>
                <w:rStyle w:val="FootnoteReference"/>
              </w:rPr>
              <w:footnoteReference w:id="94"/>
            </w:r>
            <w:r w:rsidR="00787DCF" w:rsidRPr="008625DC">
              <w:t xml:space="preserve"> </w:t>
            </w:r>
          </w:p>
        </w:tc>
        <w:tc>
          <w:tcPr>
            <w:tcW w:w="5670" w:type="dxa"/>
          </w:tcPr>
          <w:p w14:paraId="58A884C3" w14:textId="7A068B25" w:rsidR="00091693" w:rsidRPr="008625DC" w:rsidRDefault="00091693" w:rsidP="00AD56BA">
            <w:pPr>
              <w:spacing w:after="60"/>
            </w:pPr>
            <w:r w:rsidRPr="008625DC">
              <w:t xml:space="preserve">A number of examples </w:t>
            </w:r>
            <w:r w:rsidR="00B509AB" w:rsidRPr="008625DC">
              <w:t>are</w:t>
            </w:r>
            <w:r w:rsidRPr="008625DC">
              <w:t xml:space="preserve"> provided: </w:t>
            </w:r>
          </w:p>
          <w:p w14:paraId="53FA19B6" w14:textId="1539AA29" w:rsidR="00091693" w:rsidRPr="008625DC" w:rsidRDefault="00091693" w:rsidP="0009441E">
            <w:pPr>
              <w:pStyle w:val="Bullet"/>
              <w:tabs>
                <w:tab w:val="clear" w:pos="566"/>
                <w:tab w:val="num" w:pos="459"/>
              </w:tabs>
              <w:spacing w:before="60" w:after="60"/>
              <w:ind w:left="459" w:hanging="392"/>
              <w:jc w:val="left"/>
              <w:rPr>
                <w:sz w:val="20"/>
              </w:rPr>
            </w:pPr>
            <w:r w:rsidRPr="008625DC">
              <w:rPr>
                <w:sz w:val="20"/>
              </w:rPr>
              <w:t>a geosynthetic product imported from Germany that meets EU standards, still requires re</w:t>
            </w:r>
            <w:r w:rsidR="00C74E19" w:rsidRPr="008625DC">
              <w:rPr>
                <w:sz w:val="20"/>
              </w:rPr>
              <w:noBreakHyphen/>
            </w:r>
            <w:r w:rsidRPr="008625DC">
              <w:rPr>
                <w:sz w:val="20"/>
              </w:rPr>
              <w:t>testing in Australia by VicRoads;</w:t>
            </w:r>
          </w:p>
          <w:p w14:paraId="3CB93209" w14:textId="5E8CCCB2" w:rsidR="00091693" w:rsidRPr="008625DC" w:rsidRDefault="00091693" w:rsidP="0009441E">
            <w:pPr>
              <w:pStyle w:val="Bullet"/>
              <w:tabs>
                <w:tab w:val="clear" w:pos="566"/>
                <w:tab w:val="num" w:pos="459"/>
              </w:tabs>
              <w:spacing w:before="60" w:after="60"/>
              <w:ind w:left="459" w:hanging="392"/>
              <w:jc w:val="left"/>
              <w:rPr>
                <w:sz w:val="20"/>
              </w:rPr>
            </w:pPr>
            <w:r w:rsidRPr="008625DC">
              <w:rPr>
                <w:sz w:val="20"/>
              </w:rPr>
              <w:t>vehicle air conditioning refrigerant has strict controls in Australia, including licensing of mechanics that use it</w:t>
            </w:r>
            <w:r w:rsidR="00FF77E2" w:rsidRPr="008625DC">
              <w:rPr>
                <w:sz w:val="20"/>
              </w:rPr>
              <w:t>,</w:t>
            </w:r>
            <w:r w:rsidRPr="008625DC">
              <w:rPr>
                <w:sz w:val="20"/>
              </w:rPr>
              <w:t xml:space="preserve"> whereas there are no such restrictions in the US; and</w:t>
            </w:r>
          </w:p>
          <w:p w14:paraId="627A3850" w14:textId="5F66CB25" w:rsidR="00091693" w:rsidRPr="008625DC" w:rsidRDefault="00091693" w:rsidP="0009441E">
            <w:pPr>
              <w:pStyle w:val="Bullet"/>
              <w:tabs>
                <w:tab w:val="clear" w:pos="566"/>
                <w:tab w:val="num" w:pos="459"/>
              </w:tabs>
              <w:spacing w:before="60"/>
              <w:ind w:left="459" w:hanging="392"/>
              <w:jc w:val="left"/>
            </w:pPr>
            <w:proofErr w:type="gramStart"/>
            <w:r w:rsidRPr="008625DC">
              <w:rPr>
                <w:sz w:val="20"/>
              </w:rPr>
              <w:t>a</w:t>
            </w:r>
            <w:proofErr w:type="gramEnd"/>
            <w:r w:rsidRPr="008625DC">
              <w:rPr>
                <w:sz w:val="20"/>
              </w:rPr>
              <w:t xml:space="preserve"> new conveyor belt lubricant developed in the US where the manufacturer decided against selling it in Australia due to costs and delays in the chemicals approval process (but is available in NZ where there is stronger recognition of other countries</w:t>
            </w:r>
            <w:r w:rsidR="00C74E19" w:rsidRPr="008625DC">
              <w:rPr>
                <w:sz w:val="20"/>
              </w:rPr>
              <w:t>’</w:t>
            </w:r>
            <w:r w:rsidRPr="008625DC">
              <w:rPr>
                <w:sz w:val="20"/>
              </w:rPr>
              <w:t xml:space="preserve"> accreditation</w:t>
            </w:r>
            <w:r w:rsidR="00FF77E2" w:rsidRPr="008625DC">
              <w:rPr>
                <w:sz w:val="20"/>
              </w:rPr>
              <w:t>)</w:t>
            </w:r>
            <w:r w:rsidRPr="008625DC">
              <w:rPr>
                <w:sz w:val="20"/>
              </w:rPr>
              <w:t>.</w:t>
            </w:r>
            <w:r w:rsidR="00787DCF" w:rsidRPr="008625DC">
              <w:t xml:space="preserve"> </w:t>
            </w:r>
          </w:p>
        </w:tc>
      </w:tr>
      <w:tr w:rsidR="00091693" w:rsidRPr="008625DC" w14:paraId="529AC68B" w14:textId="6FBD0E18" w:rsidTr="00AD56BA">
        <w:tc>
          <w:tcPr>
            <w:tcW w:w="3402" w:type="dxa"/>
          </w:tcPr>
          <w:p w14:paraId="13B811B0" w14:textId="4E64B059" w:rsidR="00091693" w:rsidRPr="008625DC" w:rsidRDefault="00091693" w:rsidP="0009441E">
            <w:pPr>
              <w:pStyle w:val="TableTextLeft"/>
              <w:jc w:val="left"/>
            </w:pPr>
            <w:r w:rsidRPr="008625DC">
              <w:t xml:space="preserve">Products which do not conform </w:t>
            </w:r>
            <w:proofErr w:type="gramStart"/>
            <w:r w:rsidRPr="008625DC">
              <w:t>with</w:t>
            </w:r>
            <w:proofErr w:type="gramEnd"/>
            <w:r w:rsidRPr="008625DC">
              <w:t xml:space="preserve"> regulatory, Australian or industry standards (i.e. non</w:t>
            </w:r>
            <w:r w:rsidR="00C74E19" w:rsidRPr="008625DC">
              <w:noBreakHyphen/>
            </w:r>
            <w:r w:rsidRPr="008625DC">
              <w:t xml:space="preserve">confirming products) can obtain an unfair cost advantage over the majority of businesses that comply with Australian </w:t>
            </w:r>
            <w:r w:rsidR="00511C11" w:rsidRPr="008625DC">
              <w:t>S</w:t>
            </w:r>
            <w:r w:rsidRPr="008625DC">
              <w:t>tandards.</w:t>
            </w:r>
            <w:r w:rsidRPr="008625DC">
              <w:rPr>
                <w:rStyle w:val="FootnoteReference"/>
              </w:rPr>
              <w:footnoteReference w:id="95"/>
            </w:r>
          </w:p>
        </w:tc>
        <w:tc>
          <w:tcPr>
            <w:tcW w:w="5670" w:type="dxa"/>
          </w:tcPr>
          <w:p w14:paraId="42D2ACD3" w14:textId="7120E666" w:rsidR="00091693" w:rsidRPr="008625DC" w:rsidRDefault="00091693" w:rsidP="0009441E">
            <w:pPr>
              <w:pStyle w:val="TableTextLeft"/>
              <w:jc w:val="left"/>
            </w:pPr>
            <w:r w:rsidRPr="008625DC">
              <w:t>Localised standards should not be assumed to be necessary or desirable per</w:t>
            </w:r>
            <w:r w:rsidR="008938ED" w:rsidRPr="008625DC">
              <w:t xml:space="preserve"> </w:t>
            </w:r>
            <w:r w:rsidRPr="008625DC">
              <w:t>se. If a standard is necessary for other policy reasons such as safety, it should be mandated by governments and effectively enforced.</w:t>
            </w:r>
          </w:p>
        </w:tc>
      </w:tr>
      <w:tr w:rsidR="00E72C48" w:rsidRPr="008625DC" w14:paraId="4C3F2E08" w14:textId="77777777" w:rsidTr="00AD56BA">
        <w:tc>
          <w:tcPr>
            <w:tcW w:w="3402" w:type="dxa"/>
          </w:tcPr>
          <w:p w14:paraId="5BA2B125" w14:textId="66F59D13" w:rsidR="00E72C48" w:rsidRPr="008625DC" w:rsidRDefault="00E72C48" w:rsidP="00B509AB">
            <w:pPr>
              <w:pStyle w:val="TableTextLeft"/>
              <w:jc w:val="left"/>
            </w:pPr>
            <w:r w:rsidRPr="008625DC">
              <w:t xml:space="preserve">The costs to the community and car buyers of policing regulation of safety and environmental standards, as well as the risks to purchasers of less certain vehicle history, outweigh the benefits </w:t>
            </w:r>
            <w:r w:rsidR="00B509AB" w:rsidRPr="008625DC">
              <w:t>of</w:t>
            </w:r>
            <w:r w:rsidRPr="008625DC">
              <w:t xml:space="preserve"> lower purchase prices.</w:t>
            </w:r>
            <w:r w:rsidRPr="008625DC">
              <w:rPr>
                <w:rStyle w:val="FootnoteReference"/>
              </w:rPr>
              <w:footnoteReference w:id="96"/>
            </w:r>
          </w:p>
        </w:tc>
        <w:tc>
          <w:tcPr>
            <w:tcW w:w="5670" w:type="dxa"/>
          </w:tcPr>
          <w:p w14:paraId="37FFB77A" w14:textId="328C0D20" w:rsidR="00E72C48" w:rsidRPr="008625DC" w:rsidRDefault="00E72C48" w:rsidP="00AD56BA">
            <w:pPr>
              <w:pStyle w:val="TableTextLeft"/>
              <w:spacing w:after="60"/>
              <w:jc w:val="left"/>
            </w:pPr>
            <w:r w:rsidRPr="008625DC">
              <w:t>The PC</w:t>
            </w:r>
            <w:r w:rsidR="00C74E19" w:rsidRPr="008625DC">
              <w:t>’</w:t>
            </w:r>
            <w:r w:rsidRPr="008625DC">
              <w:t xml:space="preserve">s </w:t>
            </w:r>
            <w:r w:rsidR="006E7D86" w:rsidRPr="008625DC">
              <w:t>i</w:t>
            </w:r>
            <w:r w:rsidR="00A03208" w:rsidRPr="008625DC">
              <w:t>nquiry into</w:t>
            </w:r>
            <w:r w:rsidRPr="008625DC">
              <w:t xml:space="preserve"> Australia</w:t>
            </w:r>
            <w:r w:rsidR="00C74E19" w:rsidRPr="008625DC">
              <w:t>’</w:t>
            </w:r>
            <w:r w:rsidRPr="008625DC">
              <w:t>s Automotive Manufacturing Industry examined import restrictions and standards for used vehicles.</w:t>
            </w:r>
            <w:r w:rsidR="00787DCF" w:rsidRPr="008625DC">
              <w:t xml:space="preserve"> </w:t>
            </w:r>
            <w:r w:rsidRPr="008625DC">
              <w:t xml:space="preserve">It </w:t>
            </w:r>
            <w:r w:rsidR="00A03208" w:rsidRPr="008625DC">
              <w:t>concluded:</w:t>
            </w:r>
            <w:r w:rsidRPr="008625DC">
              <w:t xml:space="preserve"> </w:t>
            </w:r>
          </w:p>
          <w:p w14:paraId="0B72C012" w14:textId="54BC757B" w:rsidR="00E72C48" w:rsidRPr="008625DC" w:rsidRDefault="00A03208" w:rsidP="00AD56BA">
            <w:pPr>
              <w:pStyle w:val="TableTextLeft"/>
              <w:ind w:left="318"/>
              <w:jc w:val="left"/>
            </w:pPr>
            <w:r w:rsidRPr="008625DC">
              <w:t>The progressive relaxation of restrictions on the importation of used passenger and light commercial vehicles, within a regulatory compliance framework that provides appropriate levels of community safety, environmental performance and consumer protection, would have net benefits for the Australian community. These benefits include lower prices and/or improved vehicle features at a particular price point, and greater choice for vehicle buyers.</w:t>
            </w:r>
            <w:r w:rsidRPr="008625DC">
              <w:rPr>
                <w:rStyle w:val="FootnoteReference"/>
              </w:rPr>
              <w:footnoteReference w:id="97"/>
            </w:r>
          </w:p>
        </w:tc>
      </w:tr>
      <w:tr w:rsidR="00E72C48" w:rsidRPr="008625DC" w14:paraId="6D90BB7F" w14:textId="77777777" w:rsidTr="00AD56BA">
        <w:tc>
          <w:tcPr>
            <w:tcW w:w="3402" w:type="dxa"/>
          </w:tcPr>
          <w:p w14:paraId="1D66CE82" w14:textId="0C194E1D" w:rsidR="00E72C48" w:rsidRPr="008625DC" w:rsidRDefault="00880E5D" w:rsidP="00AC0581">
            <w:pPr>
              <w:pStyle w:val="TableTextLeft"/>
              <w:spacing w:after="20"/>
              <w:jc w:val="left"/>
            </w:pPr>
            <w:r w:rsidRPr="008625DC">
              <w:t>L</w:t>
            </w:r>
            <w:r w:rsidR="00E72C48" w:rsidRPr="008625DC">
              <w:t>ack of specificity in requirements of labelling and country of origin</w:t>
            </w:r>
            <w:r w:rsidR="00C74E19" w:rsidRPr="008625DC">
              <w:noBreakHyphen/>
            </w:r>
            <w:r w:rsidR="00E72C48" w:rsidRPr="008625DC">
              <w:t>related laws is leading to poor information to consumers and lower competition.</w:t>
            </w:r>
            <w:r w:rsidR="00AC0581" w:rsidRPr="008625DC">
              <w:rPr>
                <w:rStyle w:val="FootnoteReference"/>
              </w:rPr>
              <w:footnoteReference w:id="98"/>
            </w:r>
            <w:r w:rsidR="00F537EB" w:rsidRPr="008625DC">
              <w:t xml:space="preserve"> </w:t>
            </w:r>
          </w:p>
        </w:tc>
        <w:tc>
          <w:tcPr>
            <w:tcW w:w="5670" w:type="dxa"/>
          </w:tcPr>
          <w:p w14:paraId="0C0D1950" w14:textId="5A430639" w:rsidR="00E72C48" w:rsidRPr="008625DC" w:rsidRDefault="00E72C48" w:rsidP="0009441E">
            <w:pPr>
              <w:pStyle w:val="TableTextLeft"/>
              <w:spacing w:after="0"/>
              <w:jc w:val="left"/>
            </w:pPr>
            <w:r w:rsidRPr="008625DC">
              <w:t>Submissions proposed that additional regulation would improve the competitive process for certain food and beverage products.</w:t>
            </w:r>
          </w:p>
        </w:tc>
      </w:tr>
      <w:tr w:rsidR="00E72C48" w:rsidRPr="008625DC" w14:paraId="559B4146" w14:textId="77777777" w:rsidTr="00AD56BA">
        <w:tc>
          <w:tcPr>
            <w:tcW w:w="3402" w:type="dxa"/>
          </w:tcPr>
          <w:p w14:paraId="523031D7" w14:textId="428042F2" w:rsidR="00E72C48" w:rsidRPr="008625DC" w:rsidRDefault="00E72C48" w:rsidP="0085352D">
            <w:pPr>
              <w:pStyle w:val="TableTextLeft"/>
              <w:jc w:val="left"/>
            </w:pPr>
            <w:r w:rsidRPr="008625DC">
              <w:t>Calls for greater equality and consistency in enforcement of food standards, regarding imports versus domestic products.</w:t>
            </w:r>
            <w:r w:rsidRPr="008625DC">
              <w:rPr>
                <w:rStyle w:val="FootnoteReference"/>
              </w:rPr>
              <w:footnoteReference w:id="99"/>
            </w:r>
            <w:r w:rsidR="00787DCF" w:rsidRPr="008625DC">
              <w:t xml:space="preserve"> </w:t>
            </w:r>
          </w:p>
        </w:tc>
        <w:tc>
          <w:tcPr>
            <w:tcW w:w="5670" w:type="dxa"/>
          </w:tcPr>
          <w:p w14:paraId="1DF4DBA6" w14:textId="7FCBA2D0" w:rsidR="00E72C48" w:rsidRPr="008625DC" w:rsidRDefault="00E72C48" w:rsidP="0009441E">
            <w:pPr>
              <w:pStyle w:val="TableTextLeft"/>
              <w:jc w:val="left"/>
            </w:pPr>
            <w:r w:rsidRPr="008625DC">
              <w:t>There was concern that the more rigorous processes being applied to domestic products are affecting competition.</w:t>
            </w:r>
            <w:r w:rsidR="00787DCF" w:rsidRPr="008625DC">
              <w:t xml:space="preserve"> </w:t>
            </w:r>
          </w:p>
        </w:tc>
      </w:tr>
    </w:tbl>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1C620356" w14:textId="77777777" w:rsidTr="00F7370D">
        <w:tc>
          <w:tcPr>
            <w:tcW w:w="5000" w:type="pct"/>
            <w:shd w:val="clear" w:color="auto" w:fill="FFFFFF" w:themeFill="background1"/>
          </w:tcPr>
          <w:p w14:paraId="202272D7" w14:textId="351CE5C4" w:rsidR="00215822" w:rsidRPr="008625DC" w:rsidRDefault="00215822" w:rsidP="00F7370D">
            <w:pPr>
              <w:pStyle w:val="Keyfindingheading"/>
            </w:pPr>
            <w:r w:rsidRPr="008625DC">
              <w:lastRenderedPageBreak/>
              <w:t>The Panel</w:t>
            </w:r>
            <w:r w:rsidR="00C74E19" w:rsidRPr="008625DC">
              <w:t>’</w:t>
            </w:r>
            <w:r w:rsidRPr="008625DC">
              <w:t>s view</w:t>
            </w:r>
          </w:p>
          <w:p w14:paraId="612397F4" w14:textId="1746D72C" w:rsidR="00215822" w:rsidRPr="008625DC" w:rsidRDefault="00215822" w:rsidP="00A20E70">
            <w:pPr>
              <w:pStyle w:val="Keyfindingtext"/>
            </w:pPr>
            <w:bookmarkStart w:id="16418" w:name="_Toc393985123"/>
            <w:bookmarkStart w:id="16419" w:name="_Toc393985626"/>
            <w:bookmarkStart w:id="16420" w:name="_Toc393986028"/>
            <w:bookmarkStart w:id="16421" w:name="_Toc393986431"/>
            <w:bookmarkStart w:id="16422" w:name="_Toc393988038"/>
            <w:bookmarkStart w:id="16423" w:name="_Toc393988440"/>
            <w:bookmarkStart w:id="16424" w:name="_Toc393989452"/>
            <w:bookmarkStart w:id="16425" w:name="_Toc393988840"/>
            <w:bookmarkStart w:id="16426" w:name="_Toc393990844"/>
            <w:bookmarkStart w:id="16427" w:name="_Toc393991826"/>
            <w:bookmarkStart w:id="16428" w:name="_Toc394047489"/>
            <w:bookmarkStart w:id="16429" w:name="_Toc394049765"/>
            <w:bookmarkStart w:id="16430" w:name="_Toc394051165"/>
            <w:bookmarkStart w:id="16431" w:name="_Toc394062154"/>
            <w:bookmarkStart w:id="16432" w:name="_Toc394069029"/>
            <w:bookmarkStart w:id="16433" w:name="_Toc394070947"/>
            <w:bookmarkStart w:id="16434" w:name="_Toc394312350"/>
            <w:bookmarkStart w:id="16435" w:name="_Toc394330639"/>
            <w:bookmarkStart w:id="16436" w:name="_Toc394330259"/>
            <w:bookmarkStart w:id="16437" w:name="_Toc394333233"/>
            <w:bookmarkStart w:id="16438" w:name="_Toc394332811"/>
            <w:bookmarkStart w:id="16439" w:name="_Toc394333646"/>
            <w:bookmarkStart w:id="16440" w:name="_Toc394334059"/>
            <w:bookmarkStart w:id="16441" w:name="_Toc394334885"/>
            <w:bookmarkStart w:id="16442" w:name="_Toc394415068"/>
            <w:bookmarkStart w:id="16443" w:name="_Toc394412373"/>
            <w:bookmarkStart w:id="16444" w:name="_Toc394420663"/>
            <w:bookmarkStart w:id="16445" w:name="_Toc394421137"/>
            <w:bookmarkStart w:id="16446" w:name="_Toc394423507"/>
            <w:bookmarkStart w:id="16447" w:name="_Toc394420441"/>
            <w:bookmarkStart w:id="16448" w:name="_Toc394422551"/>
            <w:bookmarkStart w:id="16449" w:name="_Toc394423022"/>
            <w:bookmarkStart w:id="16450" w:name="_Toc394424172"/>
            <w:bookmarkStart w:id="16451" w:name="_Toc394492006"/>
            <w:bookmarkStart w:id="16452" w:name="_Toc394495151"/>
            <w:bookmarkStart w:id="16453" w:name="_Toc394497966"/>
            <w:bookmarkStart w:id="16454" w:name="_Toc394500758"/>
            <w:bookmarkStart w:id="16455" w:name="_Toc394502162"/>
            <w:bookmarkStart w:id="16456" w:name="_Toc394503064"/>
            <w:bookmarkStart w:id="16457" w:name="_Toc394502608"/>
            <w:bookmarkStart w:id="16458" w:name="_Toc394505815"/>
            <w:bookmarkStart w:id="16459" w:name="_Toc394506274"/>
            <w:bookmarkStart w:id="16460" w:name="_Toc394506828"/>
            <w:bookmarkStart w:id="16461" w:name="_Toc394560905"/>
            <w:bookmarkStart w:id="16462" w:name="_Toc394561366"/>
            <w:bookmarkStart w:id="16463" w:name="_Toc394938334"/>
            <w:bookmarkStart w:id="16464" w:name="_Toc394937614"/>
            <w:bookmarkStart w:id="16465" w:name="_Toc394941245"/>
            <w:bookmarkStart w:id="16466" w:name="_Toc394941861"/>
            <w:bookmarkStart w:id="16467" w:name="_Toc394940083"/>
            <w:bookmarkStart w:id="16468" w:name="_Toc394939693"/>
            <w:bookmarkStart w:id="16469" w:name="_Toc394993590"/>
            <w:bookmarkStart w:id="16470" w:name="_Toc394995471"/>
            <w:bookmarkStart w:id="16471" w:name="_Toc394995785"/>
            <w:bookmarkStart w:id="16472" w:name="_Toc394998030"/>
            <w:bookmarkStart w:id="16473" w:name="_Toc394998544"/>
            <w:bookmarkStart w:id="16474" w:name="_Toc395002043"/>
            <w:bookmarkStart w:id="16475" w:name="_Toc395001523"/>
            <w:bookmarkStart w:id="16476" w:name="_Toc395003397"/>
            <w:bookmarkStart w:id="16477" w:name="_Toc395005638"/>
            <w:bookmarkStart w:id="16478" w:name="_Toc395009632"/>
            <w:bookmarkStart w:id="16479" w:name="_Toc395010371"/>
            <w:bookmarkStart w:id="16480" w:name="_Toc395012555"/>
            <w:bookmarkStart w:id="16481" w:name="_Toc395010960"/>
            <w:bookmarkStart w:id="16482" w:name="_Toc395013018"/>
            <w:bookmarkStart w:id="16483" w:name="_Toc395012020"/>
            <w:bookmarkStart w:id="16484" w:name="_Toc395014359"/>
            <w:bookmarkStart w:id="16485" w:name="_Toc395084711"/>
            <w:bookmarkStart w:id="16486" w:name="_Toc395085012"/>
            <w:bookmarkStart w:id="16487" w:name="_Toc395090475"/>
            <w:bookmarkStart w:id="16488" w:name="_Toc395093059"/>
            <w:bookmarkStart w:id="16489" w:name="_Toc395097971"/>
            <w:bookmarkStart w:id="16490" w:name="_Toc395106156"/>
            <w:bookmarkStart w:id="16491" w:name="_Toc395112126"/>
            <w:bookmarkStart w:id="16492" w:name="_Toc395107266"/>
            <w:bookmarkStart w:id="16493" w:name="_Toc395108829"/>
            <w:bookmarkStart w:id="16494" w:name="_Toc395114069"/>
            <w:bookmarkStart w:id="16495" w:name="_Toc395116806"/>
            <w:bookmarkStart w:id="16496" w:name="_Toc395112743"/>
            <w:bookmarkStart w:id="16497" w:name="_Toc395115283"/>
            <w:bookmarkStart w:id="16498" w:name="_Toc395118435"/>
            <w:bookmarkStart w:id="16499" w:name="_Toc395624630"/>
            <w:bookmarkStart w:id="16500" w:name="_Toc395789981"/>
            <w:bookmarkStart w:id="16501" w:name="_Toc395800739"/>
            <w:r w:rsidRPr="008625DC">
              <w:t xml:space="preserve">There </w:t>
            </w:r>
            <w:r w:rsidR="003C510B" w:rsidRPr="008625DC">
              <w:t>is</w:t>
            </w:r>
            <w:r w:rsidRPr="008625DC">
              <w:t xml:space="preserve"> a range of restrictions on the supply of goods</w:t>
            </w:r>
            <w:r w:rsidR="00A20E70" w:rsidRPr="008625DC">
              <w:t xml:space="preserve">. As in the provision of services, </w:t>
            </w:r>
            <w:r w:rsidRPr="008625DC">
              <w:t>many of them are worthwhile for policy reasons such as health and safety. However, they can also create barriers to entry</w:t>
            </w:r>
            <w:r w:rsidR="00A20E70" w:rsidRPr="008625DC">
              <w:t>.</w:t>
            </w:r>
            <w:r w:rsidRPr="008625DC">
              <w:t xml:space="preserve"> </w:t>
            </w:r>
            <w:r w:rsidR="00A20E70" w:rsidRPr="008625DC">
              <w:t>A</w:t>
            </w:r>
            <w:r w:rsidRPr="008625DC">
              <w:t xml:space="preserve">ny necessary restrictions </w:t>
            </w:r>
            <w:r w:rsidR="00A20E70" w:rsidRPr="008625DC">
              <w:t xml:space="preserve">on the supply of goods </w:t>
            </w:r>
            <w:r w:rsidRPr="008625DC">
              <w:t xml:space="preserve">should be implemented in </w:t>
            </w:r>
            <w:r w:rsidR="00A20E70" w:rsidRPr="008625DC">
              <w:t xml:space="preserve">a </w:t>
            </w:r>
            <w:r w:rsidRPr="008625DC">
              <w:t xml:space="preserve">way </w:t>
            </w:r>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r w:rsidR="00A20E70" w:rsidRPr="008625DC">
              <w:t>that does not unduly restrict competition</w:t>
            </w:r>
            <w:r w:rsidRPr="008625DC">
              <w:t xml:space="preserve">. There are </w:t>
            </w:r>
            <w:r w:rsidR="00A20E70" w:rsidRPr="008625DC">
              <w:t xml:space="preserve">also </w:t>
            </w:r>
            <w:r w:rsidRPr="008625DC">
              <w:t xml:space="preserve">clear examples where different </w:t>
            </w:r>
            <w:r w:rsidR="00A20E70" w:rsidRPr="008625DC">
              <w:t>international and domestic standards</w:t>
            </w:r>
            <w:r w:rsidRPr="008625DC">
              <w:t xml:space="preserve"> are dampening or distorting import competition.</w:t>
            </w:r>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p>
          <w:p w14:paraId="5D6C3CB6" w14:textId="5918F7A6" w:rsidR="00215822" w:rsidRPr="008625DC" w:rsidRDefault="00FC0BED" w:rsidP="006550B0">
            <w:pPr>
              <w:pStyle w:val="Keyfindingtext"/>
            </w:pPr>
            <w:r w:rsidRPr="008625DC">
              <w:t xml:space="preserve">The Panel notes there was no support in submissions for removing the exemption from the competition laws, contained </w:t>
            </w:r>
            <w:r w:rsidR="006550B0" w:rsidRPr="008625DC">
              <w:t xml:space="preserve">in </w:t>
            </w:r>
            <w:r w:rsidRPr="008625DC">
              <w:t>paragraph 5</w:t>
            </w:r>
            <w:r w:rsidR="006550B0" w:rsidRPr="008625DC">
              <w:t>1(2</w:t>
            </w:r>
            <w:proofErr w:type="gramStart"/>
            <w:r w:rsidR="006550B0" w:rsidRPr="008625DC">
              <w:t>)</w:t>
            </w:r>
            <w:r w:rsidRPr="008625DC">
              <w:t>(</w:t>
            </w:r>
            <w:proofErr w:type="gramEnd"/>
            <w:r w:rsidRPr="008625DC">
              <w:t xml:space="preserve">c) of the CCA, for agreements relating to the implementation of Australian </w:t>
            </w:r>
            <w:r w:rsidR="003C510B" w:rsidRPr="008625DC">
              <w:t>S</w:t>
            </w:r>
            <w:r w:rsidRPr="008625DC">
              <w:t>tandards.</w:t>
            </w:r>
            <w:r w:rsidR="004B414B" w:rsidRPr="008625DC">
              <w:t xml:space="preserve"> </w:t>
            </w:r>
            <w:r w:rsidR="00FF77E2" w:rsidRPr="008625DC">
              <w:t>However, non</w:t>
            </w:r>
            <w:r w:rsidR="00C74E19" w:rsidRPr="008625DC">
              <w:noBreakHyphen/>
            </w:r>
            <w:r w:rsidR="00FF77E2" w:rsidRPr="008625DC">
              <w:t xml:space="preserve">government standards have the capacity to restrict competition and so should be subject to regular review against the </w:t>
            </w:r>
            <w:r w:rsidR="00B509AB" w:rsidRPr="008625DC">
              <w:t xml:space="preserve">same </w:t>
            </w:r>
            <w:r w:rsidR="00FF77E2" w:rsidRPr="008625DC">
              <w:t>principles used to assess government regulations.</w:t>
            </w:r>
          </w:p>
        </w:tc>
      </w:tr>
    </w:tbl>
    <w:p w14:paraId="605EFEB9" w14:textId="1D335442" w:rsidR="00215822" w:rsidRPr="008625DC" w:rsidRDefault="00215822" w:rsidP="000B5916">
      <w:pPr>
        <w:pStyle w:val="Heading2"/>
        <w:ind w:left="851" w:hanging="851"/>
        <w:rPr>
          <w:lang w:val="en-AU"/>
        </w:rPr>
      </w:pPr>
      <w:bookmarkStart w:id="16502" w:name="_Toc393985131"/>
      <w:bookmarkStart w:id="16503" w:name="_Toc393985332"/>
      <w:bookmarkStart w:id="16504" w:name="_Toc393985634"/>
      <w:bookmarkStart w:id="16505" w:name="_Toc393985836"/>
      <w:bookmarkStart w:id="16506" w:name="_Toc393986036"/>
      <w:bookmarkStart w:id="16507" w:name="_Toc393986238"/>
      <w:bookmarkStart w:id="16508" w:name="_Toc393986439"/>
      <w:bookmarkStart w:id="16509" w:name="_Toc393988046"/>
      <w:bookmarkStart w:id="16510" w:name="_Toc393988248"/>
      <w:bookmarkStart w:id="16511" w:name="_Toc393988448"/>
      <w:bookmarkStart w:id="16512" w:name="_Toc393988650"/>
      <w:bookmarkStart w:id="16513" w:name="_Toc393986642"/>
      <w:bookmarkStart w:id="16514" w:name="_Toc393989460"/>
      <w:bookmarkStart w:id="16515" w:name="_Toc393989662"/>
      <w:bookmarkStart w:id="16516" w:name="_Toc393988848"/>
      <w:bookmarkStart w:id="16517" w:name="_Toc393989050"/>
      <w:bookmarkStart w:id="16518" w:name="_Toc393990852"/>
      <w:bookmarkStart w:id="16519" w:name="_Toc393991054"/>
      <w:bookmarkStart w:id="16520" w:name="_Toc393991153"/>
      <w:bookmarkStart w:id="16521" w:name="_Toc393991834"/>
      <w:bookmarkStart w:id="16522" w:name="_Toc393992038"/>
      <w:bookmarkStart w:id="16523" w:name="_Toc394047497"/>
      <w:bookmarkStart w:id="16524" w:name="_Toc394047702"/>
      <w:bookmarkStart w:id="16525" w:name="_Toc394047813"/>
      <w:bookmarkStart w:id="16526" w:name="_Toc394048369"/>
      <w:bookmarkStart w:id="16527" w:name="_Toc394049773"/>
      <w:bookmarkStart w:id="16528" w:name="_Toc394049981"/>
      <w:bookmarkStart w:id="16529" w:name="_Toc394051173"/>
      <w:bookmarkStart w:id="16530" w:name="_Toc394051381"/>
      <w:bookmarkStart w:id="16531" w:name="_Toc394062162"/>
      <w:bookmarkStart w:id="16532" w:name="_Toc394062528"/>
      <w:bookmarkStart w:id="16533" w:name="_Toc394069037"/>
      <w:bookmarkStart w:id="16534" w:name="_Toc394069243"/>
      <w:bookmarkStart w:id="16535" w:name="_Toc394070955"/>
      <w:bookmarkStart w:id="16536" w:name="_Toc394071161"/>
      <w:bookmarkStart w:id="16537" w:name="_Toc394312358"/>
      <w:bookmarkStart w:id="16538" w:name="_Toc394330434"/>
      <w:bookmarkStart w:id="16539" w:name="_Toc394330642"/>
      <w:bookmarkStart w:id="16540" w:name="_Toc394331365"/>
      <w:bookmarkStart w:id="16541" w:name="_Toc394330262"/>
      <w:bookmarkStart w:id="16542" w:name="_Toc394333236"/>
      <w:bookmarkStart w:id="16543" w:name="_Toc394333441"/>
      <w:bookmarkStart w:id="16544" w:name="_Toc394332814"/>
      <w:bookmarkStart w:id="16545" w:name="_Toc394333649"/>
      <w:bookmarkStart w:id="16546" w:name="_Toc394333854"/>
      <w:bookmarkStart w:id="16547" w:name="_Toc394334062"/>
      <w:bookmarkStart w:id="16548" w:name="_Toc394334267"/>
      <w:bookmarkStart w:id="16549" w:name="_Toc394334888"/>
      <w:bookmarkStart w:id="16550" w:name="_Toc394335093"/>
      <w:bookmarkStart w:id="16551" w:name="_Toc394415071"/>
      <w:bookmarkStart w:id="16552" w:name="_Toc394415297"/>
      <w:bookmarkStart w:id="16553" w:name="_Toc394412376"/>
      <w:bookmarkStart w:id="16554" w:name="_Toc394412606"/>
      <w:bookmarkStart w:id="16555" w:name="_Toc394420666"/>
      <w:bookmarkStart w:id="16556" w:name="_Toc394420899"/>
      <w:bookmarkStart w:id="16557" w:name="_Toc394421140"/>
      <w:bookmarkStart w:id="16558" w:name="_Toc394423510"/>
      <w:bookmarkStart w:id="16559" w:name="_Toc394423740"/>
      <w:bookmarkStart w:id="16560" w:name="_Toc394420444"/>
      <w:bookmarkStart w:id="16561" w:name="_Toc394422554"/>
      <w:bookmarkStart w:id="16562" w:name="_Toc394422784"/>
      <w:bookmarkStart w:id="16563" w:name="_Toc394423025"/>
      <w:bookmarkStart w:id="16564" w:name="_Toc394423255"/>
      <w:bookmarkStart w:id="16565" w:name="_Toc394424175"/>
      <w:bookmarkStart w:id="16566" w:name="_Toc394424403"/>
      <w:bookmarkStart w:id="16567" w:name="_Toc394492008"/>
      <w:bookmarkStart w:id="16568" w:name="_Toc394492235"/>
      <w:bookmarkStart w:id="16569" w:name="_Toc394495153"/>
      <w:bookmarkStart w:id="16570" w:name="_Toc394495379"/>
      <w:bookmarkStart w:id="16571" w:name="_Toc394497968"/>
      <w:bookmarkStart w:id="16572" w:name="_Toc394498194"/>
      <w:bookmarkStart w:id="16573" w:name="_Toc394500760"/>
      <w:bookmarkStart w:id="16574" w:name="_Toc394500984"/>
      <w:bookmarkStart w:id="16575" w:name="_Toc394502164"/>
      <w:bookmarkStart w:id="16576" w:name="_Toc394502381"/>
      <w:bookmarkStart w:id="16577" w:name="_Toc394503066"/>
      <w:bookmarkStart w:id="16578" w:name="_Toc394503740"/>
      <w:bookmarkStart w:id="16579" w:name="_Toc394502610"/>
      <w:bookmarkStart w:id="16580" w:name="_Toc394502829"/>
      <w:bookmarkStart w:id="16581" w:name="_Toc394505817"/>
      <w:bookmarkStart w:id="16582" w:name="_Toc394506158"/>
      <w:bookmarkStart w:id="16583" w:name="_Toc394506276"/>
      <w:bookmarkStart w:id="16584" w:name="_Toc394506496"/>
      <w:bookmarkStart w:id="16585" w:name="_Toc394506830"/>
      <w:bookmarkStart w:id="16586" w:name="_Toc394507050"/>
      <w:bookmarkStart w:id="16587" w:name="_Toc394560907"/>
      <w:bookmarkStart w:id="16588" w:name="_Toc394561127"/>
      <w:bookmarkStart w:id="16589" w:name="_Toc394561368"/>
      <w:bookmarkStart w:id="16590" w:name="_Toc394561961"/>
      <w:bookmarkStart w:id="16591" w:name="_Toc394582965"/>
      <w:bookmarkStart w:id="16592" w:name="_Toc394585636"/>
      <w:bookmarkStart w:id="16593" w:name="_Toc394586102"/>
      <w:bookmarkStart w:id="16594" w:name="_Toc394588034"/>
      <w:bookmarkStart w:id="16595" w:name="_Toc394588869"/>
      <w:bookmarkStart w:id="16596" w:name="_Toc394588994"/>
      <w:bookmarkStart w:id="16597" w:name="_Toc394590410"/>
      <w:bookmarkStart w:id="16598" w:name="_Toc394590603"/>
      <w:bookmarkStart w:id="16599" w:name="_Toc394654505"/>
      <w:bookmarkStart w:id="16600" w:name="_Toc394654663"/>
      <w:bookmarkStart w:id="16601" w:name="_Toc394656205"/>
      <w:bookmarkStart w:id="16602" w:name="_Toc394656362"/>
      <w:bookmarkStart w:id="16603" w:name="_Toc394659342"/>
      <w:bookmarkStart w:id="16604" w:name="_Toc394659500"/>
      <w:bookmarkStart w:id="16605" w:name="_Toc394663354"/>
      <w:bookmarkStart w:id="16606" w:name="_Toc394663510"/>
      <w:bookmarkStart w:id="16607" w:name="_Toc394667148"/>
      <w:bookmarkStart w:id="16608" w:name="_Toc394667304"/>
      <w:bookmarkStart w:id="16609" w:name="_Toc394671627"/>
      <w:bookmarkStart w:id="16610" w:name="_Toc394671787"/>
      <w:bookmarkStart w:id="16611" w:name="_Toc394674629"/>
      <w:bookmarkStart w:id="16612" w:name="_Toc394674792"/>
      <w:bookmarkStart w:id="16613" w:name="_Toc394674906"/>
      <w:bookmarkStart w:id="16614" w:name="_Toc394675072"/>
      <w:bookmarkStart w:id="16615" w:name="_Toc394676017"/>
      <w:bookmarkStart w:id="16616" w:name="_Toc394676179"/>
      <w:bookmarkStart w:id="16617" w:name="_Toc394675705"/>
      <w:bookmarkStart w:id="16618" w:name="_Toc394675868"/>
      <w:bookmarkStart w:id="16619" w:name="_Toc394918268"/>
      <w:bookmarkStart w:id="16620" w:name="_Toc394918782"/>
      <w:bookmarkStart w:id="16621" w:name="_Toc394930754"/>
      <w:bookmarkStart w:id="16622" w:name="_Toc394933667"/>
      <w:bookmarkStart w:id="16623" w:name="_Toc394938114"/>
      <w:bookmarkStart w:id="16624" w:name="_Toc394938335"/>
      <w:bookmarkStart w:id="16625" w:name="_Toc394938616"/>
      <w:bookmarkStart w:id="16626" w:name="_Toc394937615"/>
      <w:bookmarkStart w:id="16627" w:name="_Toc394937898"/>
      <w:bookmarkStart w:id="16628" w:name="_Toc394941026"/>
      <w:bookmarkStart w:id="16629" w:name="_Toc394941246"/>
      <w:bookmarkStart w:id="16630" w:name="_Toc394941527"/>
      <w:bookmarkStart w:id="16631" w:name="_Toc394941642"/>
      <w:bookmarkStart w:id="16632" w:name="_Toc394941862"/>
      <w:bookmarkStart w:id="16633" w:name="_Toc394942143"/>
      <w:bookmarkStart w:id="16634" w:name="_Toc394939863"/>
      <w:bookmarkStart w:id="16635" w:name="_Toc394940084"/>
      <w:bookmarkStart w:id="16636" w:name="_Toc394940365"/>
      <w:bookmarkStart w:id="16637" w:name="_Toc394939475"/>
      <w:bookmarkStart w:id="16638" w:name="_Toc394939694"/>
      <w:bookmarkStart w:id="16639" w:name="_Toc394940579"/>
      <w:bookmarkStart w:id="16640" w:name="_Toc394993591"/>
      <w:bookmarkStart w:id="16641" w:name="_Toc394995472"/>
      <w:bookmarkStart w:id="16642" w:name="_Toc394995786"/>
      <w:bookmarkStart w:id="16643" w:name="_Toc394996061"/>
      <w:bookmarkStart w:id="16644" w:name="_Toc394997787"/>
      <w:bookmarkStart w:id="16645" w:name="_Toc394998031"/>
      <w:bookmarkStart w:id="16646" w:name="_Toc394998302"/>
      <w:bookmarkStart w:id="16647" w:name="_Toc394998545"/>
      <w:bookmarkStart w:id="16648" w:name="_Toc395001797"/>
      <w:bookmarkStart w:id="16649" w:name="_Toc395002044"/>
      <w:bookmarkStart w:id="16650" w:name="_Toc395001524"/>
      <w:bookmarkStart w:id="16651" w:name="_Toc395002813"/>
      <w:bookmarkStart w:id="16652" w:name="_Toc395003398"/>
      <w:bookmarkStart w:id="16653" w:name="_Toc395005049"/>
      <w:bookmarkStart w:id="16654" w:name="_Toc395005175"/>
      <w:bookmarkStart w:id="16655" w:name="_Toc395005391"/>
      <w:bookmarkStart w:id="16656" w:name="_Toc395005639"/>
      <w:bookmarkStart w:id="16657" w:name="_Toc395006279"/>
      <w:bookmarkStart w:id="16658" w:name="_Toc395008968"/>
      <w:bookmarkStart w:id="16659" w:name="_Toc395009633"/>
      <w:bookmarkStart w:id="16660" w:name="_Toc395011754"/>
      <w:bookmarkStart w:id="16661" w:name="_Toc395010154"/>
      <w:bookmarkStart w:id="16662" w:name="_Toc395010372"/>
      <w:bookmarkStart w:id="16663" w:name="_Toc395009996"/>
      <w:bookmarkStart w:id="16664" w:name="_Toc395011522"/>
      <w:bookmarkStart w:id="16665" w:name="_Toc395012340"/>
      <w:bookmarkStart w:id="16666" w:name="_Toc395012556"/>
      <w:bookmarkStart w:id="16667" w:name="_Toc395012930"/>
      <w:bookmarkStart w:id="16668" w:name="_Toc395010745"/>
      <w:bookmarkStart w:id="16669" w:name="_Toc395010961"/>
      <w:bookmarkStart w:id="16670" w:name="_Toc395012218"/>
      <w:bookmarkStart w:id="16671" w:name="_Toc395013019"/>
      <w:bookmarkStart w:id="16672" w:name="_Toc395012021"/>
      <w:bookmarkStart w:id="16673" w:name="_Toc395014360"/>
      <w:bookmarkStart w:id="16674" w:name="_Toc395014619"/>
      <w:bookmarkStart w:id="16675" w:name="_Toc395013210"/>
      <w:bookmarkStart w:id="16676" w:name="_Toc395084712"/>
      <w:bookmarkStart w:id="16677" w:name="_Toc395085013"/>
      <w:bookmarkStart w:id="16678" w:name="_Toc395090247"/>
      <w:bookmarkStart w:id="16679" w:name="_Toc395090476"/>
      <w:bookmarkStart w:id="16680" w:name="_Toc395090726"/>
      <w:bookmarkStart w:id="16681" w:name="_Toc395092615"/>
      <w:bookmarkStart w:id="16682" w:name="_Toc395092827"/>
      <w:bookmarkStart w:id="16683" w:name="_Toc395093060"/>
      <w:bookmarkStart w:id="16684" w:name="_Toc395093309"/>
      <w:bookmarkStart w:id="16685" w:name="_Toc395097738"/>
      <w:bookmarkStart w:id="16686" w:name="_Toc395097972"/>
      <w:bookmarkStart w:id="16687" w:name="_Toc395098219"/>
      <w:bookmarkStart w:id="16688" w:name="_Toc395105404"/>
      <w:bookmarkStart w:id="16689" w:name="_Toc395106157"/>
      <w:bookmarkStart w:id="16690" w:name="_Toc395107007"/>
      <w:bookmarkStart w:id="16691" w:name="_Toc395109879"/>
      <w:bookmarkStart w:id="16692" w:name="_Toc395109665"/>
      <w:bookmarkStart w:id="16693" w:name="_Toc395111882"/>
      <w:bookmarkStart w:id="16694" w:name="_Toc395112127"/>
      <w:bookmarkStart w:id="16695" w:name="_Toc395112370"/>
      <w:bookmarkStart w:id="16696" w:name="_Toc395106802"/>
      <w:bookmarkStart w:id="16697" w:name="_Toc395107267"/>
      <w:bookmarkStart w:id="16698" w:name="_Toc395107515"/>
      <w:bookmarkStart w:id="16699" w:name="_Toc395109470"/>
      <w:bookmarkStart w:id="16700" w:name="_Toc395108562"/>
      <w:bookmarkStart w:id="16701" w:name="_Toc395108830"/>
      <w:bookmarkStart w:id="16702" w:name="_Toc395113802"/>
      <w:bookmarkStart w:id="16703" w:name="_Toc395114070"/>
      <w:bookmarkStart w:id="16704" w:name="_Toc395114322"/>
      <w:bookmarkStart w:id="16705" w:name="_Toc395116538"/>
      <w:bookmarkStart w:id="16706" w:name="_Toc395116807"/>
      <w:bookmarkStart w:id="16707" w:name="_Toc395117060"/>
      <w:bookmarkStart w:id="16708" w:name="_Toc395112475"/>
      <w:bookmarkStart w:id="16709" w:name="_Toc395112744"/>
      <w:bookmarkStart w:id="16710" w:name="_Toc395113178"/>
      <w:bookmarkStart w:id="16711" w:name="_Toc395115014"/>
      <w:bookmarkStart w:id="16712" w:name="_Toc395115284"/>
      <w:bookmarkStart w:id="16713" w:name="_Toc395115537"/>
      <w:bookmarkStart w:id="16714" w:name="_Toc395118169"/>
      <w:bookmarkStart w:id="16715" w:name="_Toc395118436"/>
      <w:bookmarkStart w:id="16716" w:name="_Toc395118687"/>
      <w:bookmarkStart w:id="16717" w:name="_Toc395178379"/>
      <w:bookmarkStart w:id="16718" w:name="_Toc395178711"/>
      <w:bookmarkStart w:id="16719" w:name="_Toc395624631"/>
      <w:bookmarkStart w:id="16720" w:name="_Toc395624868"/>
      <w:bookmarkStart w:id="16721" w:name="_Toc395789722"/>
      <w:bookmarkStart w:id="16722" w:name="_Toc395789982"/>
      <w:bookmarkStart w:id="16723" w:name="_Toc395800740"/>
      <w:bookmarkStart w:id="16724" w:name="_Toc395802851"/>
      <w:bookmarkStart w:id="16725" w:name="_Toc395867609"/>
      <w:bookmarkStart w:id="16726" w:name="_Toc395868518"/>
      <w:bookmarkStart w:id="16727" w:name="_Toc395868741"/>
      <w:bookmarkStart w:id="16728" w:name="_Toc395879122"/>
      <w:bookmarkStart w:id="16729" w:name="_Toc395882024"/>
      <w:bookmarkStart w:id="16730" w:name="_Toc395882246"/>
      <w:bookmarkStart w:id="16731" w:name="_Toc395882355"/>
      <w:bookmarkStart w:id="16732" w:name="_Toc395882577"/>
      <w:bookmarkStart w:id="16733" w:name="_Toc395880741"/>
      <w:bookmarkStart w:id="16734" w:name="_Toc395880850"/>
      <w:bookmarkStart w:id="16735" w:name="_Toc395881072"/>
      <w:bookmarkStart w:id="16736" w:name="_Toc395881408"/>
      <w:bookmarkStart w:id="16737" w:name="_Toc395881630"/>
      <w:bookmarkStart w:id="16738" w:name="_Toc395884015"/>
      <w:bookmarkStart w:id="16739" w:name="_Toc395880748"/>
      <w:bookmarkStart w:id="16740" w:name="_Toc395884455"/>
      <w:bookmarkStart w:id="16741" w:name="_Toc395884677"/>
      <w:bookmarkStart w:id="16742" w:name="_Toc395883164"/>
      <w:bookmarkStart w:id="16743" w:name="_Toc395883386"/>
      <w:bookmarkStart w:id="16744" w:name="_Toc395883494"/>
      <w:bookmarkStart w:id="16745" w:name="_Toc395883716"/>
      <w:bookmarkStart w:id="16746" w:name="_Toc395884796"/>
      <w:bookmarkStart w:id="16747" w:name="_Toc396123825"/>
      <w:bookmarkStart w:id="16748" w:name="_Toc396130728"/>
      <w:bookmarkStart w:id="16749" w:name="_Toc396136306"/>
      <w:bookmarkStart w:id="16750" w:name="_Toc396138760"/>
      <w:bookmarkStart w:id="16751" w:name="_Toc396144021"/>
      <w:bookmarkStart w:id="16752" w:name="_Toc396145530"/>
      <w:bookmarkStart w:id="16753" w:name="_Toc396145674"/>
      <w:bookmarkStart w:id="16754" w:name="_Toc396145956"/>
      <w:bookmarkStart w:id="16755" w:name="_Toc396147496"/>
      <w:bookmarkStart w:id="16756" w:name="_Toc396147782"/>
      <w:bookmarkStart w:id="16757" w:name="_Toc396149038"/>
      <w:bookmarkStart w:id="16758" w:name="_Toc396148752"/>
      <w:bookmarkStart w:id="16759" w:name="_Toc396149533"/>
      <w:bookmarkStart w:id="16760" w:name="_Toc396149178"/>
      <w:bookmarkStart w:id="16761" w:name="_Toc396149464"/>
      <w:bookmarkStart w:id="16762" w:name="_Toc396149141"/>
      <w:bookmarkStart w:id="16763" w:name="_Toc396149886"/>
      <w:bookmarkStart w:id="16764" w:name="_Toc396149636"/>
      <w:bookmarkStart w:id="16765" w:name="_Toc396150477"/>
      <w:bookmarkStart w:id="16766" w:name="_Toc396151366"/>
      <w:bookmarkStart w:id="16767" w:name="_Toc396151660"/>
      <w:bookmarkStart w:id="16768" w:name="_Toc396201587"/>
      <w:bookmarkStart w:id="16769" w:name="_Toc396202377"/>
      <w:bookmarkStart w:id="16770" w:name="_Toc396202672"/>
      <w:bookmarkStart w:id="16771" w:name="_Toc396203289"/>
      <w:bookmarkStart w:id="16772" w:name="_Toc396206585"/>
      <w:bookmarkStart w:id="16773" w:name="_Toc396206879"/>
      <w:bookmarkStart w:id="16774" w:name="_Toc396209413"/>
      <w:bookmarkStart w:id="16775" w:name="_Toc396209707"/>
      <w:bookmarkStart w:id="16776" w:name="_Toc396211837"/>
      <w:bookmarkStart w:id="16777" w:name="_Toc396212131"/>
      <w:bookmarkStart w:id="16778" w:name="_Toc396213181"/>
      <w:bookmarkStart w:id="16779" w:name="_Toc396213473"/>
      <w:bookmarkStart w:id="16780" w:name="_Toc396214024"/>
      <w:bookmarkStart w:id="16781" w:name="_Toc396214459"/>
      <w:bookmarkStart w:id="16782" w:name="_Toc396214749"/>
      <w:bookmarkStart w:id="16783" w:name="_Toc396220309"/>
      <w:bookmarkStart w:id="16784" w:name="_Toc396226571"/>
      <w:bookmarkStart w:id="16785" w:name="_Toc396226860"/>
      <w:bookmarkStart w:id="16786" w:name="_Toc396229066"/>
      <w:bookmarkStart w:id="16787" w:name="_Toc396230413"/>
      <w:bookmarkStart w:id="16788" w:name="_Toc396231850"/>
      <w:bookmarkStart w:id="16789" w:name="_Toc396233193"/>
      <w:bookmarkStart w:id="16790" w:name="_Toc396233490"/>
      <w:bookmarkStart w:id="16791" w:name="_Toc396234013"/>
      <w:bookmarkStart w:id="16792" w:name="_Toc396234310"/>
      <w:bookmarkStart w:id="16793" w:name="_Toc396234423"/>
      <w:bookmarkStart w:id="16794" w:name="_Toc396236157"/>
      <w:bookmarkStart w:id="16795" w:name="_Toc396235935"/>
      <w:bookmarkStart w:id="16796" w:name="_Toc396236545"/>
      <w:bookmarkStart w:id="16797" w:name="_Toc396237064"/>
      <w:bookmarkStart w:id="16798" w:name="_Toc396397407"/>
      <w:bookmarkStart w:id="16799" w:name="_Toc396304588"/>
      <w:bookmarkStart w:id="16800" w:name="_Toc396586123"/>
      <w:bookmarkStart w:id="16801" w:name="_Toc396815144"/>
      <w:bookmarkStart w:id="16802" w:name="_Toc396821093"/>
      <w:bookmarkStart w:id="16803" w:name="_Toc396821701"/>
      <w:bookmarkStart w:id="16804" w:name="_Toc396827551"/>
      <w:bookmarkStart w:id="16805" w:name="_Toc396828522"/>
      <w:bookmarkStart w:id="16806" w:name="_Toc396828632"/>
      <w:bookmarkStart w:id="16807" w:name="_Toc396838021"/>
      <w:bookmarkStart w:id="16808" w:name="_Toc396838419"/>
      <w:bookmarkStart w:id="16809" w:name="_Toc396904742"/>
      <w:bookmarkStart w:id="16810" w:name="_Toc396907576"/>
      <w:bookmarkStart w:id="16811" w:name="_Toc396912495"/>
      <w:bookmarkStart w:id="16812" w:name="_Toc396914475"/>
      <w:bookmarkStart w:id="16813" w:name="_Toc396915359"/>
      <w:bookmarkStart w:id="16814" w:name="_Toc396915753"/>
      <w:bookmarkStart w:id="16815" w:name="_Toc396921064"/>
      <w:bookmarkStart w:id="16816" w:name="_Toc396924404"/>
      <w:bookmarkStart w:id="16817" w:name="_Toc396925098"/>
      <w:bookmarkStart w:id="16818" w:name="_Toc396992218"/>
      <w:bookmarkStart w:id="16819" w:name="_Toc396992797"/>
      <w:bookmarkStart w:id="16820" w:name="_Toc396994461"/>
      <w:bookmarkStart w:id="16821" w:name="_Toc397002232"/>
      <w:bookmarkStart w:id="16822" w:name="_Toc397003151"/>
      <w:bookmarkStart w:id="16823" w:name="_Toc397008709"/>
      <w:bookmarkStart w:id="16824" w:name="_Toc397008927"/>
      <w:bookmarkStart w:id="16825" w:name="_Toc397011599"/>
      <w:bookmarkStart w:id="16826" w:name="_Toc397012661"/>
      <w:bookmarkStart w:id="16827" w:name="_Toc397015003"/>
      <w:bookmarkStart w:id="16828" w:name="_Toc397015490"/>
      <w:bookmarkStart w:id="16829" w:name="_Toc397070560"/>
      <w:bookmarkStart w:id="16830" w:name="_Toc397413301"/>
      <w:bookmarkStart w:id="16831" w:name="_Toc397413448"/>
      <w:bookmarkStart w:id="16832" w:name="_Toc397428031"/>
      <w:bookmarkStart w:id="16833" w:name="_Toc397439419"/>
      <w:bookmarkStart w:id="16834" w:name="_Toc397439589"/>
      <w:bookmarkStart w:id="16835" w:name="_Toc397439845"/>
      <w:bookmarkStart w:id="16836" w:name="_Toc397440147"/>
      <w:bookmarkStart w:id="16837" w:name="_Toc397441776"/>
      <w:bookmarkStart w:id="16838" w:name="_Toc397517478"/>
      <w:bookmarkStart w:id="16839" w:name="_Toc397522743"/>
      <w:bookmarkStart w:id="16840" w:name="_Toc397526161"/>
      <w:bookmarkStart w:id="16841" w:name="_Toc397528476"/>
      <w:bookmarkStart w:id="16842" w:name="_Toc397528951"/>
      <w:bookmarkStart w:id="16843" w:name="_Toc397601948"/>
      <w:bookmarkStart w:id="16844" w:name="_Toc397602683"/>
      <w:bookmarkStart w:id="16845" w:name="_Toc397605812"/>
      <w:bookmarkStart w:id="16846" w:name="_Toc397614513"/>
      <w:bookmarkStart w:id="16847" w:name="_Toc397614956"/>
      <w:bookmarkStart w:id="16848" w:name="_Toc397616399"/>
      <w:bookmarkStart w:id="16849" w:name="_Toc397616793"/>
      <w:bookmarkStart w:id="16850" w:name="_Toc397688091"/>
      <w:bookmarkStart w:id="16851" w:name="_Toc397689307"/>
      <w:bookmarkStart w:id="16852" w:name="_Toc397694587"/>
      <w:bookmarkStart w:id="16853" w:name="_Toc397696428"/>
      <w:bookmarkStart w:id="16854" w:name="_Toc397697162"/>
      <w:bookmarkStart w:id="16855" w:name="_Toc397698449"/>
      <w:bookmarkStart w:id="16856" w:name="_Toc397699815"/>
      <w:bookmarkStart w:id="16857" w:name="_Toc397700269"/>
      <w:bookmarkStart w:id="16858" w:name="_Toc397936661"/>
      <w:bookmarkStart w:id="16859" w:name="_Toc397936781"/>
      <w:bookmarkStart w:id="16860" w:name="_Toc397945937"/>
      <w:bookmarkStart w:id="16861" w:name="_Toc397946963"/>
      <w:bookmarkStart w:id="16862" w:name="_Toc397948082"/>
      <w:bookmarkStart w:id="16863" w:name="_Toc397958488"/>
      <w:bookmarkStart w:id="16864" w:name="_Toc397958730"/>
      <w:bookmarkStart w:id="16865" w:name="_Toc397959145"/>
      <w:bookmarkStart w:id="16866" w:name="_Toc397962998"/>
      <w:bookmarkStart w:id="16867" w:name="_Toc397963364"/>
      <w:bookmarkStart w:id="16868" w:name="_Toc397965441"/>
      <w:bookmarkStart w:id="16869" w:name="_Toc398197379"/>
      <w:bookmarkStart w:id="16870" w:name="_Toc398199882"/>
      <w:bookmarkStart w:id="16871" w:name="_Toc398201596"/>
      <w:bookmarkStart w:id="16872" w:name="_Toc398207201"/>
      <w:bookmarkStart w:id="16873" w:name="_Toc398210474"/>
      <w:bookmarkStart w:id="16874" w:name="_Toc398210988"/>
      <w:bookmarkStart w:id="16875" w:name="_Toc398219796"/>
      <w:bookmarkStart w:id="16876" w:name="_Toc398220171"/>
      <w:bookmarkStart w:id="16877" w:name="_Toc398220558"/>
      <w:bookmarkStart w:id="16878" w:name="_Toc398221636"/>
      <w:bookmarkStart w:id="16879" w:name="_Toc398222322"/>
      <w:bookmarkStart w:id="16880" w:name="_Toc398222634"/>
      <w:bookmarkStart w:id="16881" w:name="_Toc398223051"/>
      <w:bookmarkStart w:id="16882" w:name="_Toc398223430"/>
      <w:bookmarkStart w:id="16883" w:name="_Toc398223557"/>
      <w:bookmarkStart w:id="16884" w:name="_Toc398224365"/>
      <w:bookmarkStart w:id="16885" w:name="_Toc398225702"/>
      <w:bookmarkStart w:id="16886" w:name="_Toc398225827"/>
      <w:bookmarkStart w:id="16887" w:name="_Toc398281314"/>
      <w:bookmarkStart w:id="16888" w:name="_Toc398282173"/>
      <w:bookmarkStart w:id="16889" w:name="_Toc398284843"/>
      <w:bookmarkStart w:id="16890" w:name="_Toc398287312"/>
      <w:bookmarkStart w:id="16891" w:name="_Toc398289195"/>
      <w:bookmarkStart w:id="16892" w:name="_Toc398297192"/>
      <w:bookmarkStart w:id="16893" w:name="_Toc398298666"/>
      <w:bookmarkStart w:id="16894" w:name="_Toc398300367"/>
      <w:bookmarkStart w:id="16895" w:name="_Toc398301264"/>
      <w:bookmarkStart w:id="16896" w:name="_Toc398302449"/>
      <w:bookmarkStart w:id="16897" w:name="_Toc398302612"/>
      <w:bookmarkStart w:id="16898" w:name="_Toc398549126"/>
      <w:bookmarkStart w:id="16899" w:name="_Toc398549376"/>
      <w:bookmarkStart w:id="16900" w:name="_Toc398555795"/>
      <w:bookmarkStart w:id="16901" w:name="_Toc398558999"/>
      <w:bookmarkStart w:id="16902" w:name="_Toc398563485"/>
      <w:bookmarkStart w:id="16903" w:name="_Toc398563618"/>
      <w:bookmarkStart w:id="16904" w:name="_Toc398564017"/>
      <w:bookmarkStart w:id="16905" w:name="_Toc398827358"/>
      <w:bookmarkStart w:id="16906" w:name="_Toc398827552"/>
      <w:bookmarkStart w:id="16907" w:name="s83"/>
      <w:r w:rsidRPr="008625DC">
        <w:rPr>
          <w:lang w:val="en-AU"/>
        </w:rPr>
        <w:t>Retail trading hours</w:t>
      </w:r>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p>
    <w:bookmarkEnd w:id="16907"/>
    <w:p w14:paraId="7B7CD480" w14:textId="267AA901" w:rsidR="004235EC" w:rsidRPr="008625DC" w:rsidRDefault="004235EC" w:rsidP="00215822">
      <w:r w:rsidRPr="008625DC">
        <w:t xml:space="preserve">Restrictions on retail trading hours </w:t>
      </w:r>
      <w:r w:rsidR="00B509AB" w:rsidRPr="008625DC">
        <w:t>impede</w:t>
      </w:r>
      <w:r w:rsidRPr="008625DC">
        <w:t xml:space="preserve"> suppliers</w:t>
      </w:r>
      <w:r w:rsidR="00C74E19" w:rsidRPr="008625DC">
        <w:t>’</w:t>
      </w:r>
      <w:r w:rsidR="00B509AB" w:rsidRPr="008625DC">
        <w:t xml:space="preserve"> ability to meet </w:t>
      </w:r>
      <w:r w:rsidRPr="008625DC">
        <w:t xml:space="preserve">consumer demand. They can discriminate </w:t>
      </w:r>
      <w:r w:rsidR="00B509AB" w:rsidRPr="008625DC">
        <w:t>among</w:t>
      </w:r>
      <w:r w:rsidRPr="008625DC">
        <w:t xml:space="preserve"> retailers on the basis of factors such as products </w:t>
      </w:r>
      <w:proofErr w:type="gramStart"/>
      <w:r w:rsidRPr="008625DC">
        <w:t>sold,</w:t>
      </w:r>
      <w:proofErr w:type="gramEnd"/>
      <w:r w:rsidRPr="008625DC">
        <w:t xml:space="preserve"> size of retailer or location of retailer. They </w:t>
      </w:r>
      <w:r w:rsidR="00D1415B" w:rsidRPr="008625DC">
        <w:t xml:space="preserve">can </w:t>
      </w:r>
      <w:r w:rsidRPr="008625DC">
        <w:t xml:space="preserve">also </w:t>
      </w:r>
      <w:r w:rsidR="00D1415B" w:rsidRPr="008625DC">
        <w:t>impose costs on consumers</w:t>
      </w:r>
      <w:r w:rsidRPr="008625DC">
        <w:t xml:space="preserve"> by creating inconvenience and congestion.</w:t>
      </w:r>
      <w:r w:rsidR="00787DCF" w:rsidRPr="008625DC">
        <w:t xml:space="preserve"> </w:t>
      </w:r>
      <w:r w:rsidRPr="008625DC">
        <w:t>The rules can be complex and confusing and create compliance costs</w:t>
      </w:r>
      <w:r w:rsidR="00D1415B" w:rsidRPr="008625DC">
        <w:t xml:space="preserve"> for businesses</w:t>
      </w:r>
      <w:r w:rsidRPr="008625DC">
        <w:t>.</w:t>
      </w:r>
    </w:p>
    <w:p w14:paraId="141CDCB3" w14:textId="4A24FD13" w:rsidR="004A211F" w:rsidRPr="008625DC" w:rsidRDefault="00215822" w:rsidP="00215822">
      <w:r w:rsidRPr="008625DC">
        <w:t xml:space="preserve">Australian governments agreed to review </w:t>
      </w:r>
      <w:r w:rsidR="009A3D24" w:rsidRPr="008625DC">
        <w:t xml:space="preserve">retail trading hours </w:t>
      </w:r>
      <w:r w:rsidRPr="008625DC">
        <w:t>as part of their NCP commitment to review legislative restrictions on competition</w:t>
      </w:r>
      <w:r w:rsidR="004235EC" w:rsidRPr="008625DC">
        <w:t xml:space="preserve">, as outlined in Box </w:t>
      </w:r>
      <w:r w:rsidR="00806211" w:rsidRPr="008625DC">
        <w:t>8</w:t>
      </w:r>
      <w:r w:rsidR="004235EC" w:rsidRPr="008625DC">
        <w:t>.</w:t>
      </w:r>
      <w:r w:rsidR="00231EF4" w:rsidRPr="008625DC">
        <w:t>11</w:t>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215822" w:rsidRPr="008625DC" w14:paraId="2E8AA64E" w14:textId="77777777" w:rsidTr="00F7370D">
        <w:tc>
          <w:tcPr>
            <w:tcW w:w="5000" w:type="pct"/>
            <w:shd w:val="clear" w:color="auto" w:fill="E6E6E6"/>
          </w:tcPr>
          <w:p w14:paraId="57F9A390" w14:textId="32D7F749" w:rsidR="00215822" w:rsidRPr="008625DC" w:rsidRDefault="003E52A5" w:rsidP="006B7947">
            <w:pPr>
              <w:pStyle w:val="BoxHeading"/>
            </w:pPr>
            <w:r w:rsidRPr="008625DC">
              <w:t>Box</w:t>
            </w:r>
            <w:r w:rsidR="00915984" w:rsidRPr="008625DC">
              <w:t xml:space="preserve"> </w:t>
            </w:r>
            <w:r w:rsidR="00806211" w:rsidRPr="008625DC">
              <w:t>8</w:t>
            </w:r>
            <w:r w:rsidR="00915984" w:rsidRPr="008625DC">
              <w:t>.</w:t>
            </w:r>
            <w:r w:rsidR="008F1DD6" w:rsidRPr="008625DC">
              <w:t>11</w:t>
            </w:r>
            <w:r w:rsidR="00B071F2" w:rsidRPr="008625DC">
              <w:t xml:space="preserve">: </w:t>
            </w:r>
            <w:r w:rsidR="004235EC" w:rsidRPr="008625DC">
              <w:t>Review of retail</w:t>
            </w:r>
            <w:r w:rsidR="002A3375" w:rsidRPr="008625DC">
              <w:t xml:space="preserve"> trading hours under NCP</w:t>
            </w:r>
            <w:r w:rsidR="004235EC" w:rsidRPr="008625DC">
              <w:t xml:space="preserve"> </w:t>
            </w:r>
          </w:p>
          <w:p w14:paraId="3955860B" w14:textId="3DCDB8D0" w:rsidR="004235EC" w:rsidRPr="008625DC" w:rsidRDefault="004235EC" w:rsidP="004235EC">
            <w:r w:rsidRPr="008625DC">
              <w:t>Since the mid</w:t>
            </w:r>
            <w:r w:rsidR="00C74E19" w:rsidRPr="008625DC">
              <w:noBreakHyphen/>
            </w:r>
            <w:r w:rsidRPr="008625DC">
              <w:t xml:space="preserve">1990s shop trading hours </w:t>
            </w:r>
            <w:r w:rsidR="00B509AB" w:rsidRPr="008625DC">
              <w:t xml:space="preserve">have been progressively deregulated </w:t>
            </w:r>
            <w:r w:rsidRPr="008625DC">
              <w:t>across Australia; however</w:t>
            </w:r>
            <w:r w:rsidR="00B509AB" w:rsidRPr="008625DC">
              <w:t>,</w:t>
            </w:r>
            <w:r w:rsidRPr="008625DC">
              <w:t xml:space="preserve"> experience varies across the </w:t>
            </w:r>
            <w:r w:rsidR="001B4445" w:rsidRPr="008625DC">
              <w:t>country</w:t>
            </w:r>
            <w:r w:rsidRPr="008625DC">
              <w:t>.</w:t>
            </w:r>
            <w:r w:rsidR="00787DCF" w:rsidRPr="008625DC">
              <w:t xml:space="preserve"> </w:t>
            </w:r>
            <w:r w:rsidRPr="008625DC">
              <w:t>While the ACT</w:t>
            </w:r>
            <w:r w:rsidR="001B4445" w:rsidRPr="008625DC">
              <w:t>, Victoria and</w:t>
            </w:r>
            <w:r w:rsidRPr="008625DC">
              <w:t xml:space="preserve"> Northern Territory have deregulated trading hours and NSW</w:t>
            </w:r>
            <w:r w:rsidR="001B4445" w:rsidRPr="008625DC">
              <w:t xml:space="preserve"> and</w:t>
            </w:r>
            <w:r w:rsidRPr="008625DC">
              <w:t xml:space="preserve"> Tasmania have done so to a large extent, three </w:t>
            </w:r>
            <w:r w:rsidR="0046149D" w:rsidRPr="008625DC">
              <w:t>S</w:t>
            </w:r>
            <w:r w:rsidRPr="008625DC">
              <w:t>tates still have some restrictions</w:t>
            </w:r>
            <w:r w:rsidR="00380141" w:rsidRPr="008625DC">
              <w:t xml:space="preserve"> — </w:t>
            </w:r>
            <w:r w:rsidRPr="008625DC">
              <w:t xml:space="preserve">Western Australia, Queensland and South Australia. </w:t>
            </w:r>
          </w:p>
          <w:p w14:paraId="1F04BAE2" w14:textId="6BCD1EFB" w:rsidR="00215822" w:rsidRPr="008625DC" w:rsidRDefault="00215822" w:rsidP="00F7370D">
            <w:pPr>
              <w:pStyle w:val="BoxText"/>
            </w:pPr>
            <w:r w:rsidRPr="008625DC">
              <w:t>The NCC</w:t>
            </w:r>
            <w:r w:rsidR="00C74E19" w:rsidRPr="008625DC">
              <w:t>’</w:t>
            </w:r>
            <w:r w:rsidRPr="008625DC">
              <w:t>s 2005 Assessment of governments</w:t>
            </w:r>
            <w:r w:rsidR="00C74E19" w:rsidRPr="008625DC">
              <w:t>’</w:t>
            </w:r>
            <w:r w:rsidRPr="008625DC">
              <w:t xml:space="preserve"> progress in implementing the NCP</w:t>
            </w:r>
            <w:r w:rsidRPr="008625DC">
              <w:rPr>
                <w:rStyle w:val="FootnoteReference"/>
              </w:rPr>
              <w:footnoteReference w:id="100"/>
            </w:r>
            <w:r w:rsidRPr="008625DC">
              <w:t xml:space="preserve"> noted that all governments except for Western Australia had substantially liberalised retail trading hours</w:t>
            </w:r>
            <w:r w:rsidR="00B509AB" w:rsidRPr="008625DC">
              <w:t>.</w:t>
            </w:r>
            <w:r w:rsidRPr="008625DC">
              <w:t xml:space="preserve"> Western Australia was the only jurisdiction to heavily restrict week day trading hours and to prohibit large retailers (outside of tourist precincts) from opening on Sundays. </w:t>
            </w:r>
          </w:p>
          <w:p w14:paraId="13823557" w14:textId="1AEB99AC" w:rsidR="00215822" w:rsidRPr="008625DC" w:rsidRDefault="00215822" w:rsidP="00F7370D">
            <w:pPr>
              <w:pStyle w:val="BoxText"/>
            </w:pPr>
            <w:r w:rsidRPr="008625DC">
              <w:t>The Australian Government imposed a deduction of 10 per cent of Western Australia</w:t>
            </w:r>
            <w:r w:rsidR="00C74E19" w:rsidRPr="008625DC">
              <w:t>’</w:t>
            </w:r>
            <w:r w:rsidRPr="008625DC">
              <w:t>s 2003</w:t>
            </w:r>
            <w:r w:rsidR="00C74E19" w:rsidRPr="008625DC">
              <w:noBreakHyphen/>
            </w:r>
            <w:r w:rsidRPr="008625DC">
              <w:t>04 competition payments and 10 per cent of 2004</w:t>
            </w:r>
            <w:r w:rsidR="00C74E19" w:rsidRPr="008625DC">
              <w:noBreakHyphen/>
            </w:r>
            <w:r w:rsidRPr="008625DC">
              <w:t>05 competition payments.</w:t>
            </w:r>
          </w:p>
          <w:p w14:paraId="483B85D9" w14:textId="0F887499" w:rsidR="00215822" w:rsidRPr="008625DC" w:rsidRDefault="00215822" w:rsidP="00F7370D">
            <w:pPr>
              <w:pStyle w:val="BoxText"/>
            </w:pPr>
            <w:r w:rsidRPr="008625DC">
              <w:t>Retail trading hours in Western Australia have been partially deregulated since then, and Sunday trading was introduced for all shops in the Perth metropolitan area on 26 August 2012. This brought the regulations in Western Australia closer to those in Queensland and South Australia.</w:t>
            </w:r>
          </w:p>
        </w:tc>
      </w:tr>
    </w:tbl>
    <w:p w14:paraId="737E99C2" w14:textId="7C0FBE6D" w:rsidR="0076001B" w:rsidRPr="008625DC" w:rsidRDefault="0076001B" w:rsidP="0076001B">
      <w:pPr>
        <w:spacing w:before="240"/>
      </w:pPr>
      <w:r w:rsidRPr="008625DC">
        <w:t xml:space="preserve">The outcomes of more recent reviews of trading hours are outlined in Box </w:t>
      </w:r>
      <w:r w:rsidR="00806211" w:rsidRPr="008625DC">
        <w:t>8</w:t>
      </w:r>
      <w:r w:rsidRPr="008625DC">
        <w:t>.</w:t>
      </w:r>
      <w:r w:rsidR="00231EF4" w:rsidRPr="008625DC">
        <w:t>12</w:t>
      </w:r>
      <w:r w:rsidRPr="008625DC">
        <w:t>.</w:t>
      </w:r>
    </w:p>
    <w:tbl>
      <w:tblPr>
        <w:tblW w:w="9072" w:type="dxa"/>
        <w:tblInd w:w="108" w:type="dxa"/>
        <w:shd w:val="clear" w:color="auto" w:fill="E6E6E6"/>
        <w:tblLook w:val="01E0" w:firstRow="1" w:lastRow="1" w:firstColumn="1" w:lastColumn="1" w:noHBand="0" w:noVBand="0"/>
      </w:tblPr>
      <w:tblGrid>
        <w:gridCol w:w="9072"/>
      </w:tblGrid>
      <w:tr w:rsidR="00C95C4B" w:rsidRPr="008625DC" w14:paraId="1E50D24B" w14:textId="77777777">
        <w:tc>
          <w:tcPr>
            <w:tcW w:w="5000" w:type="pct"/>
            <w:shd w:val="clear" w:color="auto" w:fill="E6E6E6"/>
          </w:tcPr>
          <w:p w14:paraId="42EEFB17" w14:textId="6A42B0A9" w:rsidR="00C95C4B" w:rsidRPr="008625DC" w:rsidRDefault="003E52A5">
            <w:pPr>
              <w:pStyle w:val="BoxHeading"/>
            </w:pPr>
            <w:r w:rsidRPr="008625DC">
              <w:lastRenderedPageBreak/>
              <w:t>Box</w:t>
            </w:r>
            <w:r w:rsidR="00C95C4B" w:rsidRPr="008625DC">
              <w:t xml:space="preserve"> </w:t>
            </w:r>
            <w:r w:rsidR="00806211" w:rsidRPr="008625DC">
              <w:t>8</w:t>
            </w:r>
            <w:r w:rsidR="00C95C4B" w:rsidRPr="008625DC">
              <w:t>.</w:t>
            </w:r>
            <w:r w:rsidR="008F1DD6" w:rsidRPr="008625DC">
              <w:t>12</w:t>
            </w:r>
            <w:r w:rsidR="00E21EBC" w:rsidRPr="008625DC">
              <w:t>:</w:t>
            </w:r>
            <w:r w:rsidR="00C95C4B" w:rsidRPr="008625DC">
              <w:t xml:space="preserve"> Recent reviews of retail trading hours.</w:t>
            </w:r>
          </w:p>
          <w:p w14:paraId="28AF0D90" w14:textId="7CB8AA46" w:rsidR="00C95C4B" w:rsidRPr="008625DC" w:rsidRDefault="00C95C4B" w:rsidP="00480A3C">
            <w:pPr>
              <w:pStyle w:val="BoxText"/>
            </w:pPr>
            <w:r w:rsidRPr="008625DC">
              <w:t xml:space="preserve">A number of recent reviews have recommended </w:t>
            </w:r>
            <w:r w:rsidR="008228DC" w:rsidRPr="008625DC">
              <w:t xml:space="preserve">further </w:t>
            </w:r>
            <w:r w:rsidRPr="008625DC">
              <w:t>deregulating retail trading hours.</w:t>
            </w:r>
          </w:p>
          <w:p w14:paraId="44639BCA" w14:textId="06EC775C" w:rsidR="00C95C4B" w:rsidRPr="008625DC" w:rsidRDefault="00C95C4B" w:rsidP="00480A3C">
            <w:pPr>
              <w:pStyle w:val="BoxText"/>
            </w:pPr>
            <w:r w:rsidRPr="008625DC">
              <w:t xml:space="preserve">In 2011, the </w:t>
            </w:r>
            <w:r w:rsidR="00201E2D" w:rsidRPr="008625DC">
              <w:t>PC</w:t>
            </w:r>
            <w:r w:rsidRPr="008625DC">
              <w:t xml:space="preserve"> found that restrictions on trading hours applied with varying levels of intensity, with Queensland, Western Australia and South Australia having the mos</w:t>
            </w:r>
            <w:r w:rsidR="007D46FF" w:rsidRPr="008625DC">
              <w:t xml:space="preserve">t restrictive regulations. The </w:t>
            </w:r>
            <w:r w:rsidR="00BA7BFC" w:rsidRPr="008625DC">
              <w:t>PC</w:t>
            </w:r>
            <w:r w:rsidRPr="008625DC">
              <w:t xml:space="preserve"> recommended retail trading hours should be fully deregulated in all </w:t>
            </w:r>
            <w:r w:rsidR="0046149D" w:rsidRPr="008625DC">
              <w:t>S</w:t>
            </w:r>
            <w:r w:rsidRPr="008625DC">
              <w:t xml:space="preserve">tates, including </w:t>
            </w:r>
            <w:r w:rsidR="00B509AB" w:rsidRPr="008625DC">
              <w:t xml:space="preserve">trading </w:t>
            </w:r>
            <w:r w:rsidRPr="008625DC">
              <w:t>on public holidays.</w:t>
            </w:r>
            <w:r w:rsidRPr="008625DC">
              <w:rPr>
                <w:rStyle w:val="FootnoteReference"/>
              </w:rPr>
              <w:footnoteReference w:id="101"/>
            </w:r>
            <w:r w:rsidRPr="008625DC">
              <w:t xml:space="preserve"> </w:t>
            </w:r>
          </w:p>
          <w:p w14:paraId="1B095B12" w14:textId="3F8998BC" w:rsidR="0076001B" w:rsidRPr="008625DC" w:rsidRDefault="0076001B" w:rsidP="00480A3C">
            <w:pPr>
              <w:pStyle w:val="BoxText"/>
            </w:pPr>
            <w:r w:rsidRPr="008625DC">
              <w:t xml:space="preserve">In its 2014 </w:t>
            </w:r>
            <w:r w:rsidRPr="008625DC">
              <w:rPr>
                <w:i/>
              </w:rPr>
              <w:t>Relative Costs of Doing Business in Australia: Retail Trade Interim Report</w:t>
            </w:r>
            <w:r w:rsidRPr="008625DC">
              <w:t xml:space="preserve">, the PC noted </w:t>
            </w:r>
            <w:r w:rsidR="004B76D4" w:rsidRPr="008625DC">
              <w:t xml:space="preserve">(page 90) </w:t>
            </w:r>
            <w:r w:rsidRPr="008625DC">
              <w:t xml:space="preserve">that trading hours are most restricted in Queensland, Western Australia and South Australia and are inconsistent within these jurisdictions. Participants in the study advised that </w:t>
            </w:r>
            <w:r w:rsidR="00B509AB" w:rsidRPr="008625DC">
              <w:t xml:space="preserve">reform of </w:t>
            </w:r>
            <w:r w:rsidRPr="008625DC">
              <w:t>trading hours remains a priority, and while this is an issue for state and territory governments, the PC noted it is within the scope of the Competition Policy Review.</w:t>
            </w:r>
          </w:p>
          <w:p w14:paraId="403F9AEA" w14:textId="7A413806" w:rsidR="00C95C4B" w:rsidRPr="008625DC" w:rsidRDefault="00C95C4B" w:rsidP="00480A3C">
            <w:pPr>
              <w:pStyle w:val="BoxText"/>
            </w:pPr>
            <w:r w:rsidRPr="008625DC">
              <w:t xml:space="preserve">The Queensland Competition Authority recommended the full deregulation of retail trading hours in 2013. </w:t>
            </w:r>
            <w:r w:rsidR="00B509AB" w:rsidRPr="008625DC">
              <w:t>It</w:t>
            </w:r>
            <w:r w:rsidRPr="008625DC">
              <w:t xml:space="preserve"> found that the net potential benefit to Queensland of removing the current restrictions was as much as $200 million per annum and noted that the </w:t>
            </w:r>
            <w:r w:rsidR="00C74E19" w:rsidRPr="008625DC">
              <w:t>‘</w:t>
            </w:r>
            <w:r w:rsidRPr="008625DC">
              <w:t>potential benefits of reform include an increase in retail productivity, more shopping convenience for the broader community and lower prices</w:t>
            </w:r>
            <w:r w:rsidR="00C74E19" w:rsidRPr="008625DC">
              <w:t>’</w:t>
            </w:r>
            <w:r w:rsidRPr="008625DC">
              <w:t>.</w:t>
            </w:r>
            <w:r w:rsidRPr="008625DC">
              <w:rPr>
                <w:rStyle w:val="FootnoteReference"/>
              </w:rPr>
              <w:footnoteReference w:id="102"/>
            </w:r>
          </w:p>
          <w:p w14:paraId="5CF30338" w14:textId="13B2A7B8" w:rsidR="00C95C4B" w:rsidRPr="008625DC" w:rsidRDefault="00C95C4B" w:rsidP="00480A3C">
            <w:pPr>
              <w:pStyle w:val="BoxText"/>
            </w:pPr>
            <w:r w:rsidRPr="008625DC">
              <w:t>The West</w:t>
            </w:r>
            <w:r w:rsidR="004178DC" w:rsidRPr="008625DC">
              <w:t>ern</w:t>
            </w:r>
            <w:r w:rsidRPr="008625DC">
              <w:t xml:space="preserve"> Australian Economic Regulation Authority, in its </w:t>
            </w:r>
            <w:r w:rsidR="0076001B" w:rsidRPr="008625DC">
              <w:t>2014</w:t>
            </w:r>
            <w:r w:rsidR="004B76D4" w:rsidRPr="008625DC">
              <w:t xml:space="preserve"> report</w:t>
            </w:r>
            <w:r w:rsidRPr="008625DC">
              <w:t xml:space="preserve"> </w:t>
            </w:r>
            <w:r w:rsidRPr="008625DC">
              <w:rPr>
                <w:i/>
              </w:rPr>
              <w:t>Inquiry into Microeconomic Reform in W</w:t>
            </w:r>
            <w:r w:rsidR="004B76D4" w:rsidRPr="008625DC">
              <w:rPr>
                <w:i/>
              </w:rPr>
              <w:t>estern Australia</w:t>
            </w:r>
            <w:r w:rsidRPr="008625DC">
              <w:t xml:space="preserve"> found there was no market failure that justifies the current restriction on competition. </w:t>
            </w:r>
            <w:r w:rsidR="00C74E19" w:rsidRPr="008625DC">
              <w:t>‘</w:t>
            </w:r>
            <w:r w:rsidR="001B4445" w:rsidRPr="008625DC">
              <w:t>As such, c</w:t>
            </w:r>
            <w:r w:rsidRPr="008625DC">
              <w:t>onsumer choice, rather than government regulation should determine which shops open and when.</w:t>
            </w:r>
            <w:r w:rsidR="00787DCF" w:rsidRPr="008625DC">
              <w:t xml:space="preserve"> </w:t>
            </w:r>
            <w:r w:rsidRPr="008625DC">
              <w:t>Retailers will respond to consumer demand by opening when it is profitable for them to do so and remaining closed when it is not.</w:t>
            </w:r>
            <w:r w:rsidR="00C74E19" w:rsidRPr="008625DC">
              <w:t>’</w:t>
            </w:r>
            <w:r w:rsidR="0076001B" w:rsidRPr="008625DC">
              <w:t xml:space="preserve"> The </w:t>
            </w:r>
            <w:r w:rsidR="00E40987" w:rsidRPr="008625DC">
              <w:t>Authority</w:t>
            </w:r>
            <w:r w:rsidR="0076001B" w:rsidRPr="008625DC">
              <w:t xml:space="preserve"> recommended deregulating retail trading hours in Western Australia with the exception of Christmas Day, Good Friday and the morning of ANZAC Day.</w:t>
            </w:r>
            <w:r w:rsidRPr="008625DC">
              <w:rPr>
                <w:rStyle w:val="FootnoteReference"/>
              </w:rPr>
              <w:footnoteReference w:id="103"/>
            </w:r>
          </w:p>
          <w:p w14:paraId="65238276" w14:textId="44BFD206" w:rsidR="00C95C4B" w:rsidRPr="008625DC" w:rsidRDefault="00C95C4B" w:rsidP="00480A3C">
            <w:pPr>
              <w:pStyle w:val="BoxText"/>
            </w:pPr>
            <w:r w:rsidRPr="008625DC">
              <w:t>However, a 2007 review of South Australia</w:t>
            </w:r>
            <w:r w:rsidR="00C74E19" w:rsidRPr="008625DC">
              <w:t>’</w:t>
            </w:r>
            <w:r w:rsidRPr="008625DC">
              <w:t>s retail trading hours by Alan Moss recommend</w:t>
            </w:r>
            <w:r w:rsidR="00B509AB" w:rsidRPr="008625DC">
              <w:t>ed</w:t>
            </w:r>
            <w:r w:rsidRPr="008625DC">
              <w:t xml:space="preserve"> that the current shopping hours be retained, with consideration being given to </w:t>
            </w:r>
            <w:r w:rsidR="005771DC" w:rsidRPr="008625DC">
              <w:t xml:space="preserve">the possibility of </w:t>
            </w:r>
            <w:r w:rsidRPr="008625DC">
              <w:t xml:space="preserve">a later Sunday closing time. He found that the existing rules strike a satisfactory balance between the competing interests of the various sectors of the retail industry and the larger interests of the community: </w:t>
            </w:r>
            <w:r w:rsidR="00C74E19" w:rsidRPr="008625DC">
              <w:t>‘</w:t>
            </w:r>
            <w:r w:rsidRPr="008625DC">
              <w:t>At the end of the day there are more important human activities than shopping</w:t>
            </w:r>
            <w:r w:rsidR="00C74E19" w:rsidRPr="008625DC">
              <w:t>’</w:t>
            </w:r>
            <w:r w:rsidR="00D42E4A" w:rsidRPr="008625DC">
              <w:t>.</w:t>
            </w:r>
            <w:r w:rsidRPr="008625DC">
              <w:rPr>
                <w:rStyle w:val="FootnoteReference"/>
              </w:rPr>
              <w:footnoteReference w:id="104"/>
            </w:r>
          </w:p>
        </w:tc>
      </w:tr>
    </w:tbl>
    <w:p w14:paraId="4588702E" w14:textId="1E800282" w:rsidR="00215822" w:rsidRPr="008625DC" w:rsidRDefault="004235EC" w:rsidP="00201E2D">
      <w:pPr>
        <w:spacing w:before="240"/>
      </w:pPr>
      <w:r w:rsidRPr="008625DC">
        <w:t>A number of s</w:t>
      </w:r>
      <w:r w:rsidR="00215822" w:rsidRPr="008625DC">
        <w:t xml:space="preserve">ubmissions call for </w:t>
      </w:r>
      <w:r w:rsidRPr="008625DC">
        <w:t xml:space="preserve">further </w:t>
      </w:r>
      <w:r w:rsidR="00215822" w:rsidRPr="008625DC">
        <w:t>deregulation of trading hours</w:t>
      </w:r>
      <w:r w:rsidR="005771DC" w:rsidRPr="008625DC">
        <w:t xml:space="preserve"> so that in all Australian </w:t>
      </w:r>
      <w:r w:rsidR="0046149D" w:rsidRPr="008625DC">
        <w:t>St</w:t>
      </w:r>
      <w:r w:rsidRPr="008625DC">
        <w:t xml:space="preserve">ates and </w:t>
      </w:r>
      <w:r w:rsidR="0046149D" w:rsidRPr="008625DC">
        <w:t>T</w:t>
      </w:r>
      <w:r w:rsidRPr="008625DC">
        <w:t>erritories only Christmas Day, Good Friday and ANZAC Day morning are restricted trading days.</w:t>
      </w:r>
      <w:r w:rsidRPr="008625DC">
        <w:rPr>
          <w:rStyle w:val="FootnoteReference"/>
        </w:rPr>
        <w:footnoteReference w:id="105"/>
      </w:r>
    </w:p>
    <w:p w14:paraId="5213DB95" w14:textId="031864E8" w:rsidR="0026615F" w:rsidRPr="008625DC" w:rsidRDefault="0026615F" w:rsidP="00480A3C">
      <w:r w:rsidRPr="008625DC">
        <w:t xml:space="preserve">Comparisons </w:t>
      </w:r>
      <w:r w:rsidR="005771DC" w:rsidRPr="008625DC">
        <w:t>are</w:t>
      </w:r>
      <w:r w:rsidRPr="008625DC">
        <w:t xml:space="preserve"> made in submissions between </w:t>
      </w:r>
      <w:r w:rsidR="00C74E19" w:rsidRPr="008625DC">
        <w:t>‘</w:t>
      </w:r>
      <w:r w:rsidRPr="008625DC">
        <w:t>bricks and mortar</w:t>
      </w:r>
      <w:r w:rsidR="00C74E19" w:rsidRPr="008625DC">
        <w:t>’</w:t>
      </w:r>
      <w:r w:rsidRPr="008625DC">
        <w:t xml:space="preserve"> retailers and online retailers, which are not inhibited by restrictions on trading hours.</w:t>
      </w:r>
      <w:r w:rsidR="00787DCF" w:rsidRPr="008625DC">
        <w:t xml:space="preserve"> </w:t>
      </w:r>
      <w:r w:rsidRPr="008625DC">
        <w:t xml:space="preserve">It was suggested that retail trading </w:t>
      </w:r>
      <w:proofErr w:type="gramStart"/>
      <w:r w:rsidRPr="008625DC">
        <w:t>hours</w:t>
      </w:r>
      <w:proofErr w:type="gramEnd"/>
      <w:r w:rsidRPr="008625DC">
        <w:t xml:space="preserve"> </w:t>
      </w:r>
      <w:r w:rsidRPr="008625DC">
        <w:lastRenderedPageBreak/>
        <w:t>regulation handicaps physical retailers from competing with online retailing which can be conducted at any time of the day or night.</w:t>
      </w:r>
      <w:r w:rsidRPr="008625DC">
        <w:rPr>
          <w:rStyle w:val="FootnoteReference"/>
        </w:rPr>
        <w:footnoteReference w:id="106"/>
      </w:r>
    </w:p>
    <w:p w14:paraId="6C2F6012" w14:textId="10BDA291" w:rsidR="004235EC" w:rsidRPr="008625DC" w:rsidRDefault="004235EC" w:rsidP="00480A3C">
      <w:r w:rsidRPr="008625DC">
        <w:t>Submissions suggest deregulat</w:t>
      </w:r>
      <w:r w:rsidR="005771DC" w:rsidRPr="008625DC">
        <w:t>ed</w:t>
      </w:r>
      <w:r w:rsidRPr="008625DC">
        <w:t xml:space="preserve"> retail trading hours would enable businesses to compete on a level playing field.</w:t>
      </w:r>
      <w:r w:rsidRPr="008625DC">
        <w:rPr>
          <w:rStyle w:val="FootnoteReference"/>
        </w:rPr>
        <w:footnoteReference w:id="107"/>
      </w:r>
    </w:p>
    <w:p w14:paraId="195DE76A" w14:textId="5E03EA9E" w:rsidR="00215822" w:rsidRPr="008625DC" w:rsidRDefault="00215822" w:rsidP="00E826F0">
      <w:pPr>
        <w:spacing w:after="120"/>
      </w:pPr>
      <w:r w:rsidRPr="008625DC">
        <w:t xml:space="preserve">However, support for deregulation </w:t>
      </w:r>
      <w:r w:rsidR="007855B4" w:rsidRPr="008625DC">
        <w:t xml:space="preserve">is </w:t>
      </w:r>
      <w:r w:rsidRPr="008625DC">
        <w:t>not unanimous</w:t>
      </w:r>
      <w:r w:rsidR="00853D06" w:rsidRPr="008625DC">
        <w:t>. The issue gives rise to disparate views within the retail sector, often based around store location and the form of retailing. Small retailers in particular have divided views. Some in high consumer traffic locations and</w:t>
      </w:r>
      <w:r w:rsidR="00E37D60" w:rsidRPr="008625DC">
        <w:t xml:space="preserve"> with </w:t>
      </w:r>
      <w:r w:rsidR="00853D06" w:rsidRPr="008625DC">
        <w:t>product or service attributes that attract consumer interest favour change, whil</w:t>
      </w:r>
      <w:r w:rsidR="005771DC" w:rsidRPr="008625DC">
        <w:t>e</w:t>
      </w:r>
      <w:r w:rsidR="00853D06" w:rsidRPr="008625DC">
        <w:t xml:space="preserve"> others raise the following concerns:</w:t>
      </w:r>
    </w:p>
    <w:p w14:paraId="76BCC7DF" w14:textId="0D9FAE3E" w:rsidR="00E37D60" w:rsidRPr="008625DC" w:rsidRDefault="00215822" w:rsidP="006B7947">
      <w:pPr>
        <w:pStyle w:val="Bullet"/>
      </w:pPr>
      <w:r w:rsidRPr="008625DC">
        <w:t>further investigations should be carried out to determine if deregulation of all trading hours is in the best interest</w:t>
      </w:r>
      <w:r w:rsidR="005771DC" w:rsidRPr="008625DC">
        <w:t>s</w:t>
      </w:r>
      <w:r w:rsidRPr="008625DC">
        <w:t xml:space="preserve"> of the consumer</w:t>
      </w:r>
      <w:r w:rsidR="00480A3C" w:rsidRPr="008625DC">
        <w:t>;</w:t>
      </w:r>
      <w:r w:rsidR="000813A4" w:rsidRPr="008625DC">
        <w:rPr>
          <w:rStyle w:val="FootnoteReference"/>
        </w:rPr>
        <w:footnoteReference w:id="108"/>
      </w:r>
      <w:r w:rsidR="000813A4" w:rsidRPr="008625DC">
        <w:t xml:space="preserve"> and</w:t>
      </w:r>
    </w:p>
    <w:p w14:paraId="2C571495" w14:textId="3597E64A" w:rsidR="00E37D60" w:rsidRPr="008625DC" w:rsidRDefault="000813A4" w:rsidP="00E826F0">
      <w:pPr>
        <w:pStyle w:val="Bullet"/>
        <w:spacing w:after="240"/>
      </w:pPr>
      <w:proofErr w:type="gramStart"/>
      <w:r w:rsidRPr="008625DC">
        <w:t>a</w:t>
      </w:r>
      <w:r w:rsidR="00215822" w:rsidRPr="008625DC">
        <w:t>llowing</w:t>
      </w:r>
      <w:proofErr w:type="gramEnd"/>
      <w:r w:rsidR="00215822" w:rsidRPr="008625DC">
        <w:t xml:space="preserve"> non</w:t>
      </w:r>
      <w:r w:rsidR="00C74E19" w:rsidRPr="008625DC">
        <w:noBreakHyphen/>
      </w:r>
      <w:r w:rsidR="00215822" w:rsidRPr="008625DC">
        <w:t xml:space="preserve">exempt stores to trade beyond the existing authorised hours </w:t>
      </w:r>
      <w:r w:rsidR="00E37D60" w:rsidRPr="008625DC">
        <w:t>c</w:t>
      </w:r>
      <w:r w:rsidR="00215822" w:rsidRPr="008625DC">
        <w:t xml:space="preserve">ould transfer further market power to an already dominated market and most likely have a detrimental effect on existing </w:t>
      </w:r>
      <w:r w:rsidR="00E37D60" w:rsidRPr="008625DC">
        <w:t>smaller retailers</w:t>
      </w:r>
      <w:r w:rsidR="00215822" w:rsidRPr="008625DC">
        <w:t>.</w:t>
      </w:r>
      <w:r w:rsidR="00E37D60" w:rsidRPr="008625DC">
        <w:rPr>
          <w:rStyle w:val="FootnoteReference"/>
        </w:rPr>
        <w:footnoteReference w:id="109"/>
      </w:r>
    </w:p>
    <w:p w14:paraId="0EDDD958" w14:textId="70D8EF5E" w:rsidR="001B4445" w:rsidRPr="008625DC" w:rsidRDefault="001B4445" w:rsidP="001E0D77">
      <w:pPr>
        <w:rPr>
          <w:bCs/>
        </w:rPr>
      </w:pPr>
      <w:r w:rsidRPr="008625DC">
        <w:t>The Panel note</w:t>
      </w:r>
      <w:r w:rsidR="00103BC8" w:rsidRPr="008625DC">
        <w:t>s</w:t>
      </w:r>
      <w:r w:rsidRPr="008625DC">
        <w:t xml:space="preserve"> the ability of independent and small businesses to differentiate their offerings to fulfil consumer demands and compete in the face of deregulated trading hours. </w:t>
      </w:r>
      <w:r w:rsidR="00046B31" w:rsidRPr="008625DC">
        <w:t>The Panel</w:t>
      </w:r>
      <w:r w:rsidRPr="008625DC">
        <w:t xml:space="preserve"> also note</w:t>
      </w:r>
      <w:r w:rsidR="00046B31" w:rsidRPr="008625DC">
        <w:t>s</w:t>
      </w:r>
      <w:r w:rsidRPr="008625DC">
        <w:t xml:space="preserve"> that, where restrictions apply to a particular sector or type of business, this can result in consumers having less flexibility and choice.</w:t>
      </w:r>
    </w:p>
    <w:p w14:paraId="45511ADB" w14:textId="0E62BA9A" w:rsidR="0026615F" w:rsidRPr="008625DC" w:rsidRDefault="0026615F" w:rsidP="001E0D77">
      <w:pPr>
        <w:rPr>
          <w:bCs/>
        </w:rPr>
      </w:pPr>
      <w:r w:rsidRPr="008625DC">
        <w:rPr>
          <w:bCs/>
        </w:rPr>
        <w:t>T</w:t>
      </w:r>
      <w:r w:rsidR="00215822" w:rsidRPr="008625DC">
        <w:rPr>
          <w:bCs/>
        </w:rPr>
        <w:t>he relevant policy question is whether the</w:t>
      </w:r>
      <w:r w:rsidRPr="008625DC">
        <w:rPr>
          <w:bCs/>
        </w:rPr>
        <w:t xml:space="preserve"> restrictions</w:t>
      </w:r>
      <w:r w:rsidR="00215822" w:rsidRPr="008625DC">
        <w:rPr>
          <w:bCs/>
        </w:rPr>
        <w:t xml:space="preserve"> are in the public interest</w:t>
      </w:r>
      <w:r w:rsidR="001E0D77" w:rsidRPr="008625DC">
        <w:rPr>
          <w:bCs/>
        </w:rPr>
        <w:t>,</w:t>
      </w:r>
      <w:r w:rsidR="00215822" w:rsidRPr="008625DC">
        <w:rPr>
          <w:bCs/>
        </w:rPr>
        <w:t xml:space="preserve"> not </w:t>
      </w:r>
      <w:r w:rsidR="00D23AB1" w:rsidRPr="008625DC">
        <w:rPr>
          <w:bCs/>
        </w:rPr>
        <w:t xml:space="preserve">whether they are </w:t>
      </w:r>
      <w:r w:rsidR="001E0D77" w:rsidRPr="008625DC">
        <w:rPr>
          <w:bCs/>
        </w:rPr>
        <w:t xml:space="preserve">in the interest of </w:t>
      </w:r>
      <w:r w:rsidR="00215822" w:rsidRPr="008625DC">
        <w:rPr>
          <w:bCs/>
        </w:rPr>
        <w:t>particular competitors.</w:t>
      </w:r>
      <w:r w:rsidR="00787DCF" w:rsidRPr="008625DC">
        <w:rPr>
          <w:bCs/>
        </w:rPr>
        <w:t xml:space="preserve"> </w:t>
      </w:r>
      <w:r w:rsidR="005771DC" w:rsidRPr="008625DC">
        <w:rPr>
          <w:bCs/>
        </w:rPr>
        <w:t>N</w:t>
      </w:r>
      <w:r w:rsidRPr="008625DC">
        <w:rPr>
          <w:bCs/>
        </w:rPr>
        <w:t xml:space="preserve">o evidence </w:t>
      </w:r>
      <w:r w:rsidR="005771DC" w:rsidRPr="008625DC">
        <w:rPr>
          <w:bCs/>
        </w:rPr>
        <w:t xml:space="preserve">has been </w:t>
      </w:r>
      <w:r w:rsidRPr="008625DC">
        <w:rPr>
          <w:bCs/>
        </w:rPr>
        <w:t xml:space="preserve">presented that the </w:t>
      </w:r>
      <w:r w:rsidR="0046149D" w:rsidRPr="008625DC">
        <w:rPr>
          <w:bCs/>
        </w:rPr>
        <w:t>S</w:t>
      </w:r>
      <w:r w:rsidRPr="008625DC">
        <w:rPr>
          <w:bCs/>
        </w:rPr>
        <w:t xml:space="preserve">tates </w:t>
      </w:r>
      <w:r w:rsidR="00103BC8" w:rsidRPr="008625DC">
        <w:rPr>
          <w:bCs/>
        </w:rPr>
        <w:t xml:space="preserve">and </w:t>
      </w:r>
      <w:r w:rsidR="0046149D" w:rsidRPr="008625DC">
        <w:rPr>
          <w:bCs/>
        </w:rPr>
        <w:t>T</w:t>
      </w:r>
      <w:r w:rsidR="00103BC8" w:rsidRPr="008625DC">
        <w:rPr>
          <w:bCs/>
        </w:rPr>
        <w:t xml:space="preserve">erritories </w:t>
      </w:r>
      <w:r w:rsidRPr="008625DC">
        <w:rPr>
          <w:bCs/>
        </w:rPr>
        <w:t>that have deregulated retail trading hours have a less competitive retail trade sector.</w:t>
      </w:r>
      <w:r w:rsidR="00787DCF" w:rsidRPr="008625DC">
        <w:rPr>
          <w:bCs/>
        </w:rPr>
        <w:t xml:space="preserve"> </w:t>
      </w:r>
      <w:r w:rsidRPr="008625DC">
        <w:rPr>
          <w:bCs/>
        </w:rPr>
        <w:t xml:space="preserve">Indeed, many </w:t>
      </w:r>
      <w:r w:rsidR="005771DC" w:rsidRPr="008625DC">
        <w:rPr>
          <w:bCs/>
        </w:rPr>
        <w:t xml:space="preserve">have claimed </w:t>
      </w:r>
      <w:r w:rsidRPr="008625DC">
        <w:rPr>
          <w:bCs/>
        </w:rPr>
        <w:t>that the restrictions inhibit the ability of retailers to meet the needs of consumers.</w:t>
      </w:r>
      <w:r w:rsidR="00787DCF" w:rsidRPr="008625DC">
        <w:rPr>
          <w:bCs/>
        </w:rPr>
        <w:t xml:space="preserve"> </w:t>
      </w:r>
      <w:r w:rsidRPr="008625DC">
        <w:rPr>
          <w:bCs/>
        </w:rPr>
        <w:t>And it is the needs of consumers, not of producers</w:t>
      </w:r>
      <w:r w:rsidR="004B414B" w:rsidRPr="008625DC">
        <w:rPr>
          <w:bCs/>
        </w:rPr>
        <w:t>,</w:t>
      </w:r>
      <w:r w:rsidRPr="008625DC">
        <w:rPr>
          <w:bCs/>
        </w:rPr>
        <w:t xml:space="preserve"> that should dictate the nature and diversity of the retail sector.</w:t>
      </w:r>
    </w:p>
    <w:p w14:paraId="02B66110" w14:textId="61706F8B" w:rsidR="0026615F" w:rsidRPr="008625DC" w:rsidRDefault="0026615F" w:rsidP="001E0D77">
      <w:proofErr w:type="gramStart"/>
      <w:r w:rsidRPr="008625DC">
        <w:rPr>
          <w:bCs/>
        </w:rPr>
        <w:t>That consumers</w:t>
      </w:r>
      <w:proofErr w:type="gramEnd"/>
      <w:r w:rsidRPr="008625DC">
        <w:rPr>
          <w:bCs/>
        </w:rPr>
        <w:t xml:space="preserve"> are demanding more diversity in how and when they shop is clearly demonstrated in the take</w:t>
      </w:r>
      <w:r w:rsidR="00C74E19" w:rsidRPr="008625DC">
        <w:rPr>
          <w:bCs/>
        </w:rPr>
        <w:noBreakHyphen/>
      </w:r>
      <w:r w:rsidRPr="008625DC">
        <w:rPr>
          <w:bCs/>
        </w:rPr>
        <w:t>up of online shopping.</w:t>
      </w:r>
      <w:r w:rsidR="001C03E5" w:rsidRPr="008625DC">
        <w:rPr>
          <w:bCs/>
        </w:rPr>
        <w:t xml:space="preserve"> In recent years online retail sales have grown more quickly than spending at traditional </w:t>
      </w:r>
      <w:r w:rsidR="00C74E19" w:rsidRPr="008625DC">
        <w:rPr>
          <w:bCs/>
        </w:rPr>
        <w:t>‘</w:t>
      </w:r>
      <w:r w:rsidR="001C03E5" w:rsidRPr="008625DC">
        <w:rPr>
          <w:bCs/>
        </w:rPr>
        <w:t>bricks and mortar</w:t>
      </w:r>
      <w:r w:rsidR="00C74E19" w:rsidRPr="008625DC">
        <w:rPr>
          <w:bCs/>
        </w:rPr>
        <w:t>’</w:t>
      </w:r>
      <w:r w:rsidR="001C03E5" w:rsidRPr="008625DC">
        <w:rPr>
          <w:bCs/>
        </w:rPr>
        <w:t xml:space="preserve"> retailers. Online retail sales are estimated to represent around 6 ½ per cent of spending at bricks and mortar retailers, up from around 5 per cent in 2010.</w:t>
      </w:r>
      <w:r w:rsidR="00B221F5" w:rsidRPr="008625DC">
        <w:rPr>
          <w:rStyle w:val="FootnoteReference"/>
          <w:bCs/>
        </w:rPr>
        <w:footnoteReference w:id="110"/>
      </w:r>
      <w:r w:rsidR="001C03E5" w:rsidRPr="008625DC">
        <w:rPr>
          <w:bCs/>
        </w:rPr>
        <w:t xml:space="preserve"> N</w:t>
      </w:r>
      <w:r w:rsidR="005771DC" w:rsidRPr="008625DC">
        <w:rPr>
          <w:bCs/>
        </w:rPr>
        <w:t xml:space="preserve">ational </w:t>
      </w:r>
      <w:r w:rsidR="001C03E5" w:rsidRPr="008625DC">
        <w:rPr>
          <w:bCs/>
        </w:rPr>
        <w:t>A</w:t>
      </w:r>
      <w:r w:rsidR="005771DC" w:rsidRPr="008625DC">
        <w:rPr>
          <w:bCs/>
        </w:rPr>
        <w:t xml:space="preserve">ustralia </w:t>
      </w:r>
      <w:r w:rsidR="001C03E5" w:rsidRPr="008625DC">
        <w:rPr>
          <w:bCs/>
        </w:rPr>
        <w:t>B</w:t>
      </w:r>
      <w:r w:rsidR="005771DC" w:rsidRPr="008625DC">
        <w:rPr>
          <w:bCs/>
        </w:rPr>
        <w:t>ank</w:t>
      </w:r>
      <w:r w:rsidR="001C03E5" w:rsidRPr="008625DC">
        <w:rPr>
          <w:bCs/>
        </w:rPr>
        <w:t xml:space="preserve"> estimate</w:t>
      </w:r>
      <w:r w:rsidR="005771DC" w:rsidRPr="008625DC">
        <w:rPr>
          <w:bCs/>
        </w:rPr>
        <w:t>s</w:t>
      </w:r>
      <w:r w:rsidR="001C03E5" w:rsidRPr="008625DC">
        <w:rPr>
          <w:bCs/>
        </w:rPr>
        <w:t xml:space="preserve"> </w:t>
      </w:r>
      <w:r w:rsidR="005771DC" w:rsidRPr="008625DC">
        <w:rPr>
          <w:bCs/>
        </w:rPr>
        <w:t xml:space="preserve">that </w:t>
      </w:r>
      <w:r w:rsidR="001C03E5" w:rsidRPr="008625DC">
        <w:rPr>
          <w:bCs/>
        </w:rPr>
        <w:t>Australians spent $15.5 billion on online retail in the 12</w:t>
      </w:r>
      <w:r w:rsidR="004B76D4" w:rsidRPr="008625DC">
        <w:rPr>
          <w:bCs/>
        </w:rPr>
        <w:t> </w:t>
      </w:r>
      <w:r w:rsidR="001C03E5" w:rsidRPr="008625DC">
        <w:rPr>
          <w:bCs/>
        </w:rPr>
        <w:t>months to June 2014</w:t>
      </w:r>
      <w:r w:rsidR="00BA7BFC" w:rsidRPr="008625DC">
        <w:rPr>
          <w:bCs/>
        </w:rPr>
        <w:t>.</w:t>
      </w:r>
      <w:r w:rsidR="001C03E5" w:rsidRPr="008625DC">
        <w:rPr>
          <w:rStyle w:val="FootnoteReference"/>
          <w:bCs/>
        </w:rPr>
        <w:footnoteReference w:id="111"/>
      </w:r>
      <w:r w:rsidR="00787DCF" w:rsidRPr="008625DC">
        <w:rPr>
          <w:bCs/>
        </w:rPr>
        <w:t xml:space="preserve"> </w:t>
      </w:r>
      <w:r w:rsidRPr="008625DC">
        <w:rPr>
          <w:bCs/>
        </w:rPr>
        <w:t xml:space="preserve">Seeking to </w:t>
      </w:r>
      <w:r w:rsidR="00C74E19" w:rsidRPr="008625DC">
        <w:rPr>
          <w:bCs/>
        </w:rPr>
        <w:t>‘</w:t>
      </w:r>
      <w:r w:rsidRPr="008625DC">
        <w:rPr>
          <w:bCs/>
        </w:rPr>
        <w:t>hold back the tide</w:t>
      </w:r>
      <w:r w:rsidR="00C74E19" w:rsidRPr="008625DC">
        <w:rPr>
          <w:bCs/>
        </w:rPr>
        <w:t>’</w:t>
      </w:r>
      <w:r w:rsidRPr="008625DC">
        <w:rPr>
          <w:bCs/>
        </w:rPr>
        <w:t xml:space="preserve"> by limiting the ability of consumers to shop at times of their choosing will act to limit competition between </w:t>
      </w:r>
      <w:r w:rsidR="00C9583F" w:rsidRPr="008625DC">
        <w:rPr>
          <w:bCs/>
        </w:rPr>
        <w:t>online</w:t>
      </w:r>
      <w:r w:rsidRPr="008625DC">
        <w:rPr>
          <w:bCs/>
        </w:rPr>
        <w:t xml:space="preserve"> </w:t>
      </w:r>
      <w:r w:rsidR="001159F6" w:rsidRPr="008625DC">
        <w:rPr>
          <w:bCs/>
        </w:rPr>
        <w:t xml:space="preserve">and </w:t>
      </w:r>
      <w:r w:rsidR="00C74E19" w:rsidRPr="008625DC">
        <w:rPr>
          <w:bCs/>
        </w:rPr>
        <w:t>‘</w:t>
      </w:r>
      <w:r w:rsidR="001159F6" w:rsidRPr="008625DC">
        <w:rPr>
          <w:bCs/>
        </w:rPr>
        <w:t>bricks and mortar</w:t>
      </w:r>
      <w:r w:rsidR="00C74E19" w:rsidRPr="008625DC">
        <w:rPr>
          <w:bCs/>
        </w:rPr>
        <w:t>’</w:t>
      </w:r>
      <w:r w:rsidR="001159F6" w:rsidRPr="008625DC">
        <w:rPr>
          <w:bCs/>
        </w:rPr>
        <w:t xml:space="preserve"> shopping.</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4DCBB4EB" w14:textId="77777777" w:rsidTr="00F7370D">
        <w:tc>
          <w:tcPr>
            <w:tcW w:w="5000" w:type="pct"/>
            <w:shd w:val="clear" w:color="auto" w:fill="FFFFFF" w:themeFill="background1"/>
          </w:tcPr>
          <w:p w14:paraId="65733D9B" w14:textId="73F62533" w:rsidR="00215822" w:rsidRPr="008625DC" w:rsidRDefault="00215822" w:rsidP="00F7370D">
            <w:pPr>
              <w:pStyle w:val="Keyfindingheading"/>
            </w:pPr>
            <w:r w:rsidRPr="008625DC">
              <w:lastRenderedPageBreak/>
              <w:t>The Panel</w:t>
            </w:r>
            <w:r w:rsidR="00C74E19" w:rsidRPr="008625DC">
              <w:t>’</w:t>
            </w:r>
            <w:r w:rsidRPr="008625DC">
              <w:t>s view</w:t>
            </w:r>
          </w:p>
          <w:p w14:paraId="110F579A" w14:textId="1E3E643C" w:rsidR="00215822" w:rsidRPr="008625DC" w:rsidRDefault="005771DC" w:rsidP="00F7370D">
            <w:pPr>
              <w:pStyle w:val="Keyfindingtext"/>
            </w:pPr>
            <w:bookmarkStart w:id="16908" w:name="_Toc393985132"/>
            <w:bookmarkStart w:id="16909" w:name="_Toc393985635"/>
            <w:bookmarkStart w:id="16910" w:name="_Toc393986037"/>
            <w:bookmarkStart w:id="16911" w:name="_Toc393986440"/>
            <w:bookmarkStart w:id="16912" w:name="_Toc393988047"/>
            <w:bookmarkStart w:id="16913" w:name="_Toc393988449"/>
            <w:bookmarkStart w:id="16914" w:name="_Toc393989461"/>
            <w:bookmarkStart w:id="16915" w:name="_Toc393988849"/>
            <w:bookmarkStart w:id="16916" w:name="_Toc393990853"/>
            <w:bookmarkStart w:id="16917" w:name="_Toc393991835"/>
            <w:bookmarkStart w:id="16918" w:name="_Toc394047498"/>
            <w:bookmarkStart w:id="16919" w:name="_Toc394049774"/>
            <w:bookmarkStart w:id="16920" w:name="_Toc394051174"/>
            <w:bookmarkStart w:id="16921" w:name="_Toc394062163"/>
            <w:bookmarkStart w:id="16922" w:name="_Toc394069038"/>
            <w:bookmarkStart w:id="16923" w:name="_Toc394070956"/>
            <w:bookmarkStart w:id="16924" w:name="_Toc394312359"/>
            <w:bookmarkStart w:id="16925" w:name="_Toc394330643"/>
            <w:bookmarkStart w:id="16926" w:name="_Toc394330263"/>
            <w:bookmarkStart w:id="16927" w:name="_Toc394333237"/>
            <w:bookmarkStart w:id="16928" w:name="_Toc394332815"/>
            <w:bookmarkStart w:id="16929" w:name="_Toc394333650"/>
            <w:bookmarkStart w:id="16930" w:name="_Toc394334063"/>
            <w:bookmarkStart w:id="16931" w:name="_Toc394334889"/>
            <w:bookmarkStart w:id="16932" w:name="_Toc394415072"/>
            <w:bookmarkStart w:id="16933" w:name="_Toc394412377"/>
            <w:bookmarkStart w:id="16934" w:name="_Toc394420667"/>
            <w:bookmarkStart w:id="16935" w:name="_Toc394421141"/>
            <w:bookmarkStart w:id="16936" w:name="_Toc394423511"/>
            <w:bookmarkStart w:id="16937" w:name="_Toc394420445"/>
            <w:bookmarkStart w:id="16938" w:name="_Toc394422555"/>
            <w:bookmarkStart w:id="16939" w:name="_Toc394423026"/>
            <w:bookmarkStart w:id="16940" w:name="_Toc394424176"/>
            <w:bookmarkStart w:id="16941" w:name="_Toc394492009"/>
            <w:bookmarkStart w:id="16942" w:name="_Toc394495154"/>
            <w:bookmarkStart w:id="16943" w:name="_Toc394497969"/>
            <w:bookmarkStart w:id="16944" w:name="_Toc394500761"/>
            <w:bookmarkStart w:id="16945" w:name="_Toc394502165"/>
            <w:bookmarkStart w:id="16946" w:name="_Toc394503067"/>
            <w:bookmarkStart w:id="16947" w:name="_Toc394502611"/>
            <w:bookmarkStart w:id="16948" w:name="_Toc394505818"/>
            <w:bookmarkStart w:id="16949" w:name="_Toc394506277"/>
            <w:bookmarkStart w:id="16950" w:name="_Toc394506831"/>
            <w:bookmarkStart w:id="16951" w:name="_Toc394560908"/>
            <w:bookmarkStart w:id="16952" w:name="_Toc394561369"/>
            <w:bookmarkStart w:id="16953" w:name="_Toc394938336"/>
            <w:bookmarkStart w:id="16954" w:name="_Toc394937616"/>
            <w:bookmarkStart w:id="16955" w:name="_Toc394941247"/>
            <w:bookmarkStart w:id="16956" w:name="_Toc394941863"/>
            <w:bookmarkStart w:id="16957" w:name="_Toc394940085"/>
            <w:bookmarkStart w:id="16958" w:name="_Toc394939695"/>
            <w:bookmarkStart w:id="16959" w:name="_Toc394993592"/>
            <w:bookmarkStart w:id="16960" w:name="_Toc394995473"/>
            <w:bookmarkStart w:id="16961" w:name="_Toc394995787"/>
            <w:bookmarkStart w:id="16962" w:name="_Toc394998032"/>
            <w:bookmarkStart w:id="16963" w:name="_Toc394998546"/>
            <w:bookmarkStart w:id="16964" w:name="_Toc395002045"/>
            <w:bookmarkStart w:id="16965" w:name="_Toc395001525"/>
            <w:bookmarkStart w:id="16966" w:name="_Toc395002814"/>
            <w:bookmarkStart w:id="16967" w:name="_Toc395003399"/>
            <w:bookmarkStart w:id="16968" w:name="_Toc395005640"/>
            <w:bookmarkStart w:id="16969" w:name="_Toc395009634"/>
            <w:bookmarkStart w:id="16970" w:name="_Toc395010373"/>
            <w:bookmarkStart w:id="16971" w:name="_Toc395012557"/>
            <w:bookmarkStart w:id="16972" w:name="_Toc395010962"/>
            <w:bookmarkStart w:id="16973" w:name="_Toc395013020"/>
            <w:bookmarkStart w:id="16974" w:name="_Toc395012022"/>
            <w:bookmarkStart w:id="16975" w:name="_Toc395014361"/>
            <w:bookmarkStart w:id="16976" w:name="_Toc395084713"/>
            <w:bookmarkStart w:id="16977" w:name="_Toc395085014"/>
            <w:bookmarkStart w:id="16978" w:name="_Toc395090477"/>
            <w:bookmarkStart w:id="16979" w:name="_Toc395093061"/>
            <w:bookmarkStart w:id="16980" w:name="_Toc395097973"/>
            <w:bookmarkStart w:id="16981" w:name="_Toc395106158"/>
            <w:bookmarkStart w:id="16982" w:name="_Toc395112128"/>
            <w:bookmarkStart w:id="16983" w:name="_Toc395107268"/>
            <w:bookmarkStart w:id="16984" w:name="_Toc395108831"/>
            <w:bookmarkStart w:id="16985" w:name="_Toc395114071"/>
            <w:bookmarkStart w:id="16986" w:name="_Toc395116808"/>
            <w:bookmarkStart w:id="16987" w:name="_Toc395112745"/>
            <w:bookmarkStart w:id="16988" w:name="_Toc395115285"/>
            <w:bookmarkStart w:id="16989" w:name="_Toc395118437"/>
            <w:bookmarkStart w:id="16990" w:name="_Toc395624632"/>
            <w:bookmarkStart w:id="16991" w:name="_Toc395789983"/>
            <w:bookmarkStart w:id="16992" w:name="_Toc395800741"/>
            <w:r w:rsidRPr="008625DC">
              <w:t>S</w:t>
            </w:r>
            <w:r w:rsidR="00215822" w:rsidRPr="008625DC">
              <w:t xml:space="preserve">hop trading hours </w:t>
            </w:r>
            <w:r w:rsidRPr="008625DC">
              <w:t xml:space="preserve">have been progressively deregulated </w:t>
            </w:r>
            <w:r w:rsidR="00215822" w:rsidRPr="008625DC">
              <w:t>across Australia</w:t>
            </w:r>
            <w:r w:rsidR="007855B4" w:rsidRPr="008625DC">
              <w:t>. H</w:t>
            </w:r>
            <w:r w:rsidR="00215822" w:rsidRPr="008625DC">
              <w:t>owever, trading hours in Queensland, South Australia and Western Australia remain regulated to some degree.</w:t>
            </w:r>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p>
          <w:p w14:paraId="14A05ED4" w14:textId="681859AD" w:rsidR="00215822" w:rsidRPr="008625DC" w:rsidRDefault="00215822" w:rsidP="00F7370D">
            <w:pPr>
              <w:pStyle w:val="Keyfindingtext"/>
            </w:pPr>
            <w:bookmarkStart w:id="16993" w:name="_Toc393985133"/>
            <w:bookmarkStart w:id="16994" w:name="_Toc393985636"/>
            <w:bookmarkStart w:id="16995" w:name="_Toc393986038"/>
            <w:bookmarkStart w:id="16996" w:name="_Toc393986441"/>
            <w:bookmarkStart w:id="16997" w:name="_Toc393988048"/>
            <w:bookmarkStart w:id="16998" w:name="_Toc393988450"/>
            <w:bookmarkStart w:id="16999" w:name="_Toc393989462"/>
            <w:bookmarkStart w:id="17000" w:name="_Toc393988850"/>
            <w:bookmarkStart w:id="17001" w:name="_Toc393990854"/>
            <w:bookmarkStart w:id="17002" w:name="_Toc393991836"/>
            <w:bookmarkStart w:id="17003" w:name="_Toc394047499"/>
            <w:bookmarkStart w:id="17004" w:name="_Toc394049775"/>
            <w:bookmarkStart w:id="17005" w:name="_Toc394051175"/>
            <w:bookmarkStart w:id="17006" w:name="_Toc394062164"/>
            <w:bookmarkStart w:id="17007" w:name="_Toc394069039"/>
            <w:bookmarkStart w:id="17008" w:name="_Toc394070957"/>
            <w:bookmarkStart w:id="17009" w:name="_Toc394312360"/>
            <w:bookmarkStart w:id="17010" w:name="_Toc394330644"/>
            <w:bookmarkStart w:id="17011" w:name="_Toc394330264"/>
            <w:bookmarkStart w:id="17012" w:name="_Toc394333238"/>
            <w:bookmarkStart w:id="17013" w:name="_Toc394332816"/>
            <w:bookmarkStart w:id="17014" w:name="_Toc394333651"/>
            <w:bookmarkStart w:id="17015" w:name="_Toc394334064"/>
            <w:bookmarkStart w:id="17016" w:name="_Toc394334890"/>
            <w:bookmarkStart w:id="17017" w:name="_Toc394415073"/>
            <w:bookmarkStart w:id="17018" w:name="_Toc394412378"/>
            <w:bookmarkStart w:id="17019" w:name="_Toc394420668"/>
            <w:bookmarkStart w:id="17020" w:name="_Toc394421142"/>
            <w:bookmarkStart w:id="17021" w:name="_Toc394423512"/>
            <w:bookmarkStart w:id="17022" w:name="_Toc394420446"/>
            <w:bookmarkStart w:id="17023" w:name="_Toc394422556"/>
            <w:bookmarkStart w:id="17024" w:name="_Toc394423027"/>
            <w:bookmarkStart w:id="17025" w:name="_Toc394424177"/>
            <w:bookmarkStart w:id="17026" w:name="_Toc394492010"/>
            <w:bookmarkStart w:id="17027" w:name="_Toc394495155"/>
            <w:bookmarkStart w:id="17028" w:name="_Toc394497970"/>
            <w:bookmarkStart w:id="17029" w:name="_Toc394500762"/>
            <w:bookmarkStart w:id="17030" w:name="_Toc394502166"/>
            <w:bookmarkStart w:id="17031" w:name="_Toc394503068"/>
            <w:bookmarkStart w:id="17032" w:name="_Toc394502612"/>
            <w:bookmarkStart w:id="17033" w:name="_Toc394505819"/>
            <w:bookmarkStart w:id="17034" w:name="_Toc394506278"/>
            <w:bookmarkStart w:id="17035" w:name="_Toc394506832"/>
            <w:bookmarkStart w:id="17036" w:name="_Toc394560909"/>
            <w:bookmarkStart w:id="17037" w:name="_Toc394561370"/>
            <w:bookmarkStart w:id="17038" w:name="_Toc394938337"/>
            <w:bookmarkStart w:id="17039" w:name="_Toc394937617"/>
            <w:bookmarkStart w:id="17040" w:name="_Toc394941248"/>
            <w:bookmarkStart w:id="17041" w:name="_Toc394941864"/>
            <w:bookmarkStart w:id="17042" w:name="_Toc394940086"/>
            <w:bookmarkStart w:id="17043" w:name="_Toc394939696"/>
            <w:bookmarkStart w:id="17044" w:name="_Toc394993593"/>
            <w:bookmarkStart w:id="17045" w:name="_Toc394995474"/>
            <w:bookmarkStart w:id="17046" w:name="_Toc394995788"/>
            <w:bookmarkStart w:id="17047" w:name="_Toc394998033"/>
            <w:bookmarkStart w:id="17048" w:name="_Toc394998547"/>
            <w:bookmarkStart w:id="17049" w:name="_Toc395002046"/>
            <w:bookmarkStart w:id="17050" w:name="_Toc395001252"/>
            <w:bookmarkStart w:id="17051" w:name="_Toc395001526"/>
            <w:bookmarkStart w:id="17052" w:name="_Toc395002815"/>
            <w:bookmarkStart w:id="17053" w:name="_Toc395003400"/>
            <w:bookmarkStart w:id="17054" w:name="_Toc395005641"/>
            <w:bookmarkStart w:id="17055" w:name="_Toc395009635"/>
            <w:bookmarkStart w:id="17056" w:name="_Toc395010374"/>
            <w:bookmarkStart w:id="17057" w:name="_Toc395012558"/>
            <w:bookmarkStart w:id="17058" w:name="_Toc395010963"/>
            <w:bookmarkStart w:id="17059" w:name="_Toc395013021"/>
            <w:bookmarkStart w:id="17060" w:name="_Toc395012023"/>
            <w:bookmarkStart w:id="17061" w:name="_Toc395014362"/>
            <w:bookmarkStart w:id="17062" w:name="_Toc395084714"/>
            <w:bookmarkStart w:id="17063" w:name="_Toc395085015"/>
            <w:bookmarkStart w:id="17064" w:name="_Toc395090478"/>
            <w:bookmarkStart w:id="17065" w:name="_Toc395093062"/>
            <w:bookmarkStart w:id="17066" w:name="_Toc395097974"/>
            <w:bookmarkStart w:id="17067" w:name="_Toc395106159"/>
            <w:bookmarkStart w:id="17068" w:name="_Toc395109752"/>
            <w:bookmarkStart w:id="17069" w:name="_Toc395112129"/>
            <w:bookmarkStart w:id="17070" w:name="_Toc395107269"/>
            <w:bookmarkStart w:id="17071" w:name="_Toc395108832"/>
            <w:bookmarkStart w:id="17072" w:name="_Toc395114072"/>
            <w:bookmarkStart w:id="17073" w:name="_Toc395116809"/>
            <w:bookmarkStart w:id="17074" w:name="_Toc395112746"/>
            <w:bookmarkStart w:id="17075" w:name="_Toc395115286"/>
            <w:bookmarkStart w:id="17076" w:name="_Toc395118438"/>
            <w:bookmarkStart w:id="17077" w:name="_Toc395624633"/>
            <w:bookmarkStart w:id="17078" w:name="_Toc395789984"/>
            <w:bookmarkStart w:id="17079" w:name="_Toc395800742"/>
            <w:r w:rsidRPr="008625DC">
              <w:t xml:space="preserve">The remaining restrictions create a regulatory impediment to competition by </w:t>
            </w:r>
            <w:r w:rsidR="007855B4" w:rsidRPr="008625DC">
              <w:t xml:space="preserve">raising </w:t>
            </w:r>
            <w:r w:rsidRPr="008625DC">
              <w:t>barriers to expansion and distorting market signals.</w:t>
            </w:r>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r w:rsidRPr="008625DC">
              <w:t xml:space="preserve"> Consumer preferences are the best driver of business offerings, including in relation to trading hours.</w:t>
            </w:r>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r w:rsidRPr="008625DC">
              <w:t xml:space="preserve"> </w:t>
            </w:r>
          </w:p>
          <w:p w14:paraId="55BBA4AB" w14:textId="56358B52" w:rsidR="00215822" w:rsidRPr="008625DC" w:rsidRDefault="00E72FDA" w:rsidP="001B4445">
            <w:pPr>
              <w:pStyle w:val="Keyfindingtext"/>
            </w:pPr>
            <w:bookmarkStart w:id="17080" w:name="_Toc394938338"/>
            <w:bookmarkStart w:id="17081" w:name="_Toc394937618"/>
            <w:bookmarkStart w:id="17082" w:name="_Toc394941249"/>
            <w:bookmarkStart w:id="17083" w:name="_Toc394941865"/>
            <w:bookmarkStart w:id="17084" w:name="_Toc394940087"/>
            <w:bookmarkStart w:id="17085" w:name="_Toc394939697"/>
            <w:bookmarkStart w:id="17086" w:name="_Toc394993594"/>
            <w:bookmarkStart w:id="17087" w:name="_Toc394995475"/>
            <w:bookmarkStart w:id="17088" w:name="_Toc394995789"/>
            <w:bookmarkStart w:id="17089" w:name="_Toc394998034"/>
            <w:bookmarkStart w:id="17090" w:name="_Toc394998548"/>
            <w:bookmarkStart w:id="17091" w:name="_Toc395002047"/>
            <w:bookmarkStart w:id="17092" w:name="_Toc395001253"/>
            <w:bookmarkStart w:id="17093" w:name="_Toc395001527"/>
            <w:bookmarkStart w:id="17094" w:name="_Toc395002816"/>
            <w:bookmarkStart w:id="17095" w:name="_Toc395003401"/>
            <w:bookmarkStart w:id="17096" w:name="_Toc395005642"/>
            <w:bookmarkStart w:id="17097" w:name="_Toc395009636"/>
            <w:bookmarkStart w:id="17098" w:name="_Toc395010375"/>
            <w:bookmarkStart w:id="17099" w:name="_Toc395012559"/>
            <w:bookmarkStart w:id="17100" w:name="_Toc395010964"/>
            <w:bookmarkStart w:id="17101" w:name="_Toc395013022"/>
            <w:bookmarkStart w:id="17102" w:name="_Toc395012024"/>
            <w:bookmarkStart w:id="17103" w:name="_Toc395014363"/>
            <w:bookmarkStart w:id="17104" w:name="_Toc395084715"/>
            <w:bookmarkStart w:id="17105" w:name="_Toc395085016"/>
            <w:bookmarkStart w:id="17106" w:name="_Toc395090479"/>
            <w:bookmarkStart w:id="17107" w:name="_Toc395093063"/>
            <w:bookmarkStart w:id="17108" w:name="_Toc395097975"/>
            <w:bookmarkStart w:id="17109" w:name="_Toc395106160"/>
            <w:bookmarkStart w:id="17110" w:name="_Toc395109753"/>
            <w:bookmarkStart w:id="17111" w:name="_Toc395112130"/>
            <w:bookmarkStart w:id="17112" w:name="_Toc395107270"/>
            <w:bookmarkStart w:id="17113" w:name="_Toc395108833"/>
            <w:bookmarkStart w:id="17114" w:name="_Toc395114073"/>
            <w:bookmarkStart w:id="17115" w:name="_Toc395116810"/>
            <w:bookmarkStart w:id="17116" w:name="_Toc395112747"/>
            <w:bookmarkStart w:id="17117" w:name="_Toc395115287"/>
            <w:bookmarkStart w:id="17118" w:name="_Toc395118439"/>
            <w:bookmarkStart w:id="17119" w:name="_Toc395624634"/>
            <w:bookmarkStart w:id="17120" w:name="_Toc395789985"/>
            <w:bookmarkStart w:id="17121" w:name="_Toc395800743"/>
            <w:bookmarkStart w:id="17122" w:name="_Toc394420669"/>
            <w:bookmarkStart w:id="17123" w:name="_Toc394421143"/>
            <w:bookmarkStart w:id="17124" w:name="_Toc394423513"/>
            <w:bookmarkStart w:id="17125" w:name="_Toc394420447"/>
            <w:bookmarkStart w:id="17126" w:name="_Toc394422557"/>
            <w:bookmarkStart w:id="17127" w:name="_Toc394423028"/>
            <w:bookmarkStart w:id="17128" w:name="_Toc394424178"/>
            <w:bookmarkStart w:id="17129" w:name="_Toc394492011"/>
            <w:bookmarkStart w:id="17130" w:name="_Toc394495156"/>
            <w:bookmarkStart w:id="17131" w:name="_Toc394497971"/>
            <w:bookmarkStart w:id="17132" w:name="_Toc394500763"/>
            <w:bookmarkStart w:id="17133" w:name="_Toc394502167"/>
            <w:bookmarkStart w:id="17134" w:name="_Toc394503069"/>
            <w:bookmarkStart w:id="17135" w:name="_Toc394502613"/>
            <w:bookmarkStart w:id="17136" w:name="_Toc394505820"/>
            <w:bookmarkStart w:id="17137" w:name="_Toc394506279"/>
            <w:bookmarkStart w:id="17138" w:name="_Toc394506833"/>
            <w:bookmarkStart w:id="17139" w:name="_Toc394560910"/>
            <w:bookmarkStart w:id="17140" w:name="_Toc394561371"/>
            <w:r w:rsidRPr="008625DC">
              <w:t xml:space="preserve">The Panel notes that </w:t>
            </w:r>
            <w:r w:rsidR="00215822" w:rsidRPr="008625DC">
              <w:t xml:space="preserve">the </w:t>
            </w:r>
            <w:r w:rsidRPr="008625DC">
              <w:t xml:space="preserve">growing use </w:t>
            </w:r>
            <w:r w:rsidR="00215822" w:rsidRPr="008625DC">
              <w:t xml:space="preserve">of </w:t>
            </w:r>
            <w:r w:rsidRPr="008625DC">
              <w:t xml:space="preserve">the internet for retail purchases is undermining the intent of the retail trading </w:t>
            </w:r>
            <w:proofErr w:type="gramStart"/>
            <w:r w:rsidRPr="008625DC">
              <w:t>hours</w:t>
            </w:r>
            <w:proofErr w:type="gramEnd"/>
            <w:r w:rsidRPr="008625DC">
              <w:t xml:space="preserve"> restrictions, while disadvantaging </w:t>
            </w:r>
            <w:r w:rsidR="00C74E19" w:rsidRPr="008625DC">
              <w:t>‘</w:t>
            </w:r>
            <w:r w:rsidRPr="008625DC">
              <w:t>bricks and mortar</w:t>
            </w:r>
            <w:r w:rsidR="00C74E19" w:rsidRPr="008625DC">
              <w:t>’</w:t>
            </w:r>
            <w:r w:rsidRPr="008625DC">
              <w:t xml:space="preserve"> retailers. This provides strong </w:t>
            </w:r>
            <w:r w:rsidR="005771DC" w:rsidRPr="008625DC">
              <w:t>grounds</w:t>
            </w:r>
            <w:r w:rsidRPr="008625DC">
              <w:t xml:space="preserve"> for abandoning remaining limits on trading hours.</w:t>
            </w:r>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r w:rsidR="00787DCF" w:rsidRPr="008625DC">
              <w:t xml:space="preserve"> </w:t>
            </w:r>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p>
          <w:p w14:paraId="6762A11D" w14:textId="2A269F3C" w:rsidR="00215822" w:rsidRPr="008625DC" w:rsidRDefault="008D7679" w:rsidP="005771DC">
            <w:pPr>
              <w:pStyle w:val="Keyfindingtext"/>
            </w:pPr>
            <w:r w:rsidRPr="008625DC">
              <w:t xml:space="preserve">Noting the divergence of views, the Panel appreciates the concern of some independent retailers about their ability to compete in </w:t>
            </w:r>
            <w:r w:rsidR="005771DC" w:rsidRPr="008625DC">
              <w:t xml:space="preserve">a </w:t>
            </w:r>
            <w:r w:rsidRPr="008625DC">
              <w:t>deregulat</w:t>
            </w:r>
            <w:r w:rsidR="005771DC" w:rsidRPr="008625DC">
              <w:t>ed environment</w:t>
            </w:r>
            <w:r w:rsidRPr="008625DC">
              <w:t xml:space="preserve">. However, </w:t>
            </w:r>
            <w:r w:rsidR="00046B31" w:rsidRPr="008625DC">
              <w:t>the Panel</w:t>
            </w:r>
            <w:r w:rsidRPr="008625DC">
              <w:t xml:space="preserve"> note</w:t>
            </w:r>
            <w:r w:rsidR="00046B31" w:rsidRPr="008625DC">
              <w:t>s</w:t>
            </w:r>
            <w:r w:rsidRPr="008625DC">
              <w:t xml:space="preserve"> the ability of independent and small businesses to differentiate their offerings to fulfil consumer demands and compete in the face of deregulated trading hours. </w:t>
            </w:r>
            <w:r w:rsidR="00046B31" w:rsidRPr="008625DC">
              <w:t>The Panel</w:t>
            </w:r>
            <w:r w:rsidRPr="008625DC">
              <w:t xml:space="preserve"> also note</w:t>
            </w:r>
            <w:r w:rsidR="00046B31" w:rsidRPr="008625DC">
              <w:t>s</w:t>
            </w:r>
            <w:r w:rsidRPr="008625DC">
              <w:t xml:space="preserve"> that, where restrictions apply to a particular sector or type of business, this can result in consumers having less flexibility and choice.</w:t>
            </w:r>
          </w:p>
        </w:tc>
      </w:tr>
    </w:tbl>
    <w:p w14:paraId="13AF61E4" w14:textId="71764666" w:rsidR="00F7370D" w:rsidRPr="008625DC" w:rsidRDefault="00F7370D" w:rsidP="000B5916">
      <w:pPr>
        <w:pStyle w:val="Heading2"/>
        <w:ind w:left="851" w:hanging="851"/>
        <w:rPr>
          <w:lang w:val="en-AU"/>
        </w:rPr>
      </w:pPr>
      <w:bookmarkStart w:id="17141" w:name="_Toc393985204"/>
      <w:bookmarkStart w:id="17142" w:name="_Toc393985359"/>
      <w:bookmarkStart w:id="17143" w:name="_Toc393985707"/>
      <w:bookmarkStart w:id="17144" w:name="_Toc393985863"/>
      <w:bookmarkStart w:id="17145" w:name="_Toc393986109"/>
      <w:bookmarkStart w:id="17146" w:name="_Toc393986265"/>
      <w:bookmarkStart w:id="17147" w:name="_Toc393986512"/>
      <w:bookmarkStart w:id="17148" w:name="_Toc393988119"/>
      <w:bookmarkStart w:id="17149" w:name="_Toc393988275"/>
      <w:bookmarkStart w:id="17150" w:name="_Toc393988521"/>
      <w:bookmarkStart w:id="17151" w:name="_Toc393988677"/>
      <w:bookmarkStart w:id="17152" w:name="_Toc393986669"/>
      <w:bookmarkStart w:id="17153" w:name="_Toc393989533"/>
      <w:bookmarkStart w:id="17154" w:name="_Toc393989689"/>
      <w:bookmarkStart w:id="17155" w:name="_Toc393988922"/>
      <w:bookmarkStart w:id="17156" w:name="_Toc393989077"/>
      <w:bookmarkStart w:id="17157" w:name="_Toc393990926"/>
      <w:bookmarkStart w:id="17158" w:name="_Toc393991081"/>
      <w:bookmarkStart w:id="17159" w:name="_Toc393991180"/>
      <w:bookmarkStart w:id="17160" w:name="_Toc393991910"/>
      <w:bookmarkStart w:id="17161" w:name="_Toc393992065"/>
      <w:bookmarkStart w:id="17162" w:name="_Toc394047573"/>
      <w:bookmarkStart w:id="17163" w:name="_Toc394047729"/>
      <w:bookmarkStart w:id="17164" w:name="_Toc394047840"/>
      <w:bookmarkStart w:id="17165" w:name="_Toc394048396"/>
      <w:bookmarkStart w:id="17166" w:name="_Toc394049849"/>
      <w:bookmarkStart w:id="17167" w:name="_Toc394050008"/>
      <w:bookmarkStart w:id="17168" w:name="_Toc394051249"/>
      <w:bookmarkStart w:id="17169" w:name="_Toc394051408"/>
      <w:bookmarkStart w:id="17170" w:name="_Toc394062238"/>
      <w:bookmarkStart w:id="17171" w:name="_Toc394062555"/>
      <w:bookmarkStart w:id="17172" w:name="_Toc394069113"/>
      <w:bookmarkStart w:id="17173" w:name="_Toc394069270"/>
      <w:bookmarkStart w:id="17174" w:name="_Toc394071031"/>
      <w:bookmarkStart w:id="17175" w:name="_Toc394071188"/>
      <w:bookmarkStart w:id="17176" w:name="_Toc394312740"/>
      <w:bookmarkStart w:id="17177" w:name="_Toc394330461"/>
      <w:bookmarkStart w:id="17178" w:name="_Toc394330719"/>
      <w:bookmarkStart w:id="17179" w:name="_Toc394331234"/>
      <w:bookmarkStart w:id="17180" w:name="_Toc394331392"/>
      <w:bookmarkStart w:id="17181" w:name="_Toc394330339"/>
      <w:bookmarkStart w:id="17182" w:name="_Toc394333311"/>
      <w:bookmarkStart w:id="17183" w:name="_Toc394333467"/>
      <w:bookmarkStart w:id="17184" w:name="_Toc394333724"/>
      <w:bookmarkStart w:id="17185" w:name="_Toc394333880"/>
      <w:bookmarkStart w:id="17186" w:name="_Toc394334137"/>
      <w:bookmarkStart w:id="17187" w:name="_Toc394334293"/>
      <w:bookmarkStart w:id="17188" w:name="_Toc394334963"/>
      <w:bookmarkStart w:id="17189" w:name="_Toc394335119"/>
      <w:bookmarkStart w:id="17190" w:name="_Toc394415146"/>
      <w:bookmarkStart w:id="17191" w:name="_Toc394415323"/>
      <w:bookmarkStart w:id="17192" w:name="_Toc394412451"/>
      <w:bookmarkStart w:id="17193" w:name="_Toc394412632"/>
      <w:bookmarkStart w:id="17194" w:name="_Toc394420742"/>
      <w:bookmarkStart w:id="17195" w:name="_Toc394420925"/>
      <w:bookmarkStart w:id="17196" w:name="_Toc394421216"/>
      <w:bookmarkStart w:id="17197" w:name="_Toc394423585"/>
      <w:bookmarkStart w:id="17198" w:name="_Toc394423766"/>
      <w:bookmarkStart w:id="17199" w:name="_Toc394422629"/>
      <w:bookmarkStart w:id="17200" w:name="_Toc394422810"/>
      <w:bookmarkStart w:id="17201" w:name="_Toc394423100"/>
      <w:bookmarkStart w:id="17202" w:name="_Toc394423281"/>
      <w:bookmarkStart w:id="17203" w:name="_Toc394424250"/>
      <w:bookmarkStart w:id="17204" w:name="_Toc394424429"/>
      <w:bookmarkStart w:id="17205" w:name="_Toc394492083"/>
      <w:bookmarkStart w:id="17206" w:name="_Toc394492262"/>
      <w:bookmarkStart w:id="17207" w:name="_Toc394495228"/>
      <w:bookmarkStart w:id="17208" w:name="_Toc394495406"/>
      <w:bookmarkStart w:id="17209" w:name="_Toc394498043"/>
      <w:bookmarkStart w:id="17210" w:name="_Toc394498221"/>
      <w:bookmarkStart w:id="17211" w:name="_Toc394500833"/>
      <w:bookmarkStart w:id="17212" w:name="_Toc394501011"/>
      <w:bookmarkStart w:id="17213" w:name="_Toc394502230"/>
      <w:bookmarkStart w:id="17214" w:name="_Toc394502401"/>
      <w:bookmarkStart w:id="17215" w:name="_Toc394560971"/>
      <w:bookmarkStart w:id="17216" w:name="_Toc394561147"/>
      <w:bookmarkStart w:id="17217" w:name="_Toc394561432"/>
      <w:bookmarkStart w:id="17218" w:name="_Toc394561980"/>
      <w:bookmarkStart w:id="17219" w:name="_Toc394582967"/>
      <w:bookmarkStart w:id="17220" w:name="_Toc394585638"/>
      <w:bookmarkStart w:id="17221" w:name="_Toc394586104"/>
      <w:bookmarkStart w:id="17222" w:name="_Toc394588036"/>
      <w:bookmarkStart w:id="17223" w:name="_Toc394588871"/>
      <w:bookmarkStart w:id="17224" w:name="_Toc394588996"/>
      <w:bookmarkStart w:id="17225" w:name="_Toc394590412"/>
      <w:bookmarkStart w:id="17226" w:name="_Toc394590605"/>
      <w:bookmarkStart w:id="17227" w:name="_Toc394654507"/>
      <w:bookmarkStart w:id="17228" w:name="_Toc394654665"/>
      <w:bookmarkStart w:id="17229" w:name="_Toc394656207"/>
      <w:bookmarkStart w:id="17230" w:name="_Toc394656364"/>
      <w:bookmarkStart w:id="17231" w:name="_Toc394659344"/>
      <w:bookmarkStart w:id="17232" w:name="_Toc394659502"/>
      <w:bookmarkStart w:id="17233" w:name="_Toc394663356"/>
      <w:bookmarkStart w:id="17234" w:name="_Toc394663512"/>
      <w:bookmarkStart w:id="17235" w:name="_Toc394667150"/>
      <w:bookmarkStart w:id="17236" w:name="_Toc394667306"/>
      <w:bookmarkStart w:id="17237" w:name="_Toc394671629"/>
      <w:bookmarkStart w:id="17238" w:name="_Toc394671789"/>
      <w:bookmarkStart w:id="17239" w:name="_Toc394674631"/>
      <w:bookmarkStart w:id="17240" w:name="_Toc394674794"/>
      <w:bookmarkStart w:id="17241" w:name="_Toc394674908"/>
      <w:bookmarkStart w:id="17242" w:name="_Toc394675074"/>
      <w:bookmarkStart w:id="17243" w:name="_Toc394676019"/>
      <w:bookmarkStart w:id="17244" w:name="_Toc394676181"/>
      <w:bookmarkStart w:id="17245" w:name="_Toc394675707"/>
      <w:bookmarkStart w:id="17246" w:name="_Toc394675870"/>
      <w:bookmarkStart w:id="17247" w:name="_Toc394918270"/>
      <w:bookmarkStart w:id="17248" w:name="_Toc394918784"/>
      <w:bookmarkStart w:id="17249" w:name="_Toc394930756"/>
      <w:bookmarkStart w:id="17250" w:name="_Toc394933669"/>
      <w:bookmarkStart w:id="17251" w:name="_Toc394938116"/>
      <w:bookmarkStart w:id="17252" w:name="_Toc394938343"/>
      <w:bookmarkStart w:id="17253" w:name="_Toc394938618"/>
      <w:bookmarkStart w:id="17254" w:name="_Toc394937623"/>
      <w:bookmarkStart w:id="17255" w:name="_Toc394937900"/>
      <w:bookmarkStart w:id="17256" w:name="_Toc394941028"/>
      <w:bookmarkStart w:id="17257" w:name="_Toc394941254"/>
      <w:bookmarkStart w:id="17258" w:name="_Toc394941529"/>
      <w:bookmarkStart w:id="17259" w:name="_Toc394941644"/>
      <w:bookmarkStart w:id="17260" w:name="_Toc394941870"/>
      <w:bookmarkStart w:id="17261" w:name="_Toc394942145"/>
      <w:bookmarkStart w:id="17262" w:name="_Toc394939865"/>
      <w:bookmarkStart w:id="17263" w:name="_Toc394940092"/>
      <w:bookmarkStart w:id="17264" w:name="_Toc394940367"/>
      <w:bookmarkStart w:id="17265" w:name="_Toc394939477"/>
      <w:bookmarkStart w:id="17266" w:name="_Toc394939702"/>
      <w:bookmarkStart w:id="17267" w:name="_Toc394940581"/>
      <w:bookmarkStart w:id="17268" w:name="_Toc394993599"/>
      <w:bookmarkStart w:id="17269" w:name="_Toc394995480"/>
      <w:bookmarkStart w:id="17270" w:name="_Toc394995794"/>
      <w:bookmarkStart w:id="17271" w:name="_Toc394996063"/>
      <w:bookmarkStart w:id="17272" w:name="_Toc394997789"/>
      <w:bookmarkStart w:id="17273" w:name="_Toc394998039"/>
      <w:bookmarkStart w:id="17274" w:name="_Toc394998304"/>
      <w:bookmarkStart w:id="17275" w:name="_Toc394998553"/>
      <w:bookmarkStart w:id="17276" w:name="_Toc395001799"/>
      <w:bookmarkStart w:id="17277" w:name="_Toc395002052"/>
      <w:bookmarkStart w:id="17278" w:name="_Toc395001258"/>
      <w:bookmarkStart w:id="17279" w:name="_Toc395001532"/>
      <w:bookmarkStart w:id="17280" w:name="_Toc395002821"/>
      <w:bookmarkStart w:id="17281" w:name="_Toc395003406"/>
      <w:bookmarkStart w:id="17282" w:name="_Toc395005051"/>
      <w:bookmarkStart w:id="17283" w:name="_Toc395005177"/>
      <w:bookmarkStart w:id="17284" w:name="_Toc395005393"/>
      <w:bookmarkStart w:id="17285" w:name="_Toc395005647"/>
      <w:bookmarkStart w:id="17286" w:name="_Toc395008970"/>
      <w:bookmarkStart w:id="17287" w:name="_Toc395009641"/>
      <w:bookmarkStart w:id="17288" w:name="_Toc395011756"/>
      <w:bookmarkStart w:id="17289" w:name="_Toc395010156"/>
      <w:bookmarkStart w:id="17290" w:name="_Toc395010380"/>
      <w:bookmarkStart w:id="17291" w:name="_Toc395009998"/>
      <w:bookmarkStart w:id="17292" w:name="_Toc395011524"/>
      <w:bookmarkStart w:id="17293" w:name="_Toc395012342"/>
      <w:bookmarkStart w:id="17294" w:name="_Toc395012564"/>
      <w:bookmarkStart w:id="17295" w:name="_Toc395012932"/>
      <w:bookmarkStart w:id="17296" w:name="_Toc395010747"/>
      <w:bookmarkStart w:id="17297" w:name="_Toc395010969"/>
      <w:bookmarkStart w:id="17298" w:name="_Toc395012220"/>
      <w:bookmarkStart w:id="17299" w:name="_Toc395013027"/>
      <w:bookmarkStart w:id="17300" w:name="_Toc395012029"/>
      <w:bookmarkStart w:id="17301" w:name="_Toc395014368"/>
      <w:bookmarkStart w:id="17302" w:name="_Toc395014621"/>
      <w:bookmarkStart w:id="17303" w:name="_Toc395013212"/>
      <w:bookmarkStart w:id="17304" w:name="_Toc395084719"/>
      <w:bookmarkStart w:id="17305" w:name="_Toc395085020"/>
      <w:bookmarkStart w:id="17306" w:name="_Toc395090249"/>
      <w:bookmarkStart w:id="17307" w:name="_Toc395090483"/>
      <w:bookmarkStart w:id="17308" w:name="_Toc395090728"/>
      <w:bookmarkStart w:id="17309" w:name="_Toc395092617"/>
      <w:bookmarkStart w:id="17310" w:name="_Toc395092829"/>
      <w:bookmarkStart w:id="17311" w:name="_Toc395093311"/>
      <w:bookmarkStart w:id="17312" w:name="_Toc395097740"/>
      <w:bookmarkStart w:id="17313" w:name="_Toc395097979"/>
      <w:bookmarkStart w:id="17314" w:name="_Toc395098221"/>
      <w:bookmarkStart w:id="17315" w:name="_Toc395105406"/>
      <w:bookmarkStart w:id="17316" w:name="_Toc395106164"/>
      <w:bookmarkStart w:id="17317" w:name="_Toc395107009"/>
      <w:bookmarkStart w:id="17318" w:name="_Toc395109881"/>
      <w:bookmarkStart w:id="17319" w:name="_Toc395109667"/>
      <w:bookmarkStart w:id="17320" w:name="_Toc395109757"/>
      <w:bookmarkStart w:id="17321" w:name="_Toc395111884"/>
      <w:bookmarkStart w:id="17322" w:name="_Toc395112134"/>
      <w:bookmarkStart w:id="17323" w:name="_Toc395112372"/>
      <w:bookmarkStart w:id="17324" w:name="_Toc395106804"/>
      <w:bookmarkStart w:id="17325" w:name="_Toc395107274"/>
      <w:bookmarkStart w:id="17326" w:name="_Toc395107517"/>
      <w:bookmarkStart w:id="17327" w:name="_Toc395109472"/>
      <w:bookmarkStart w:id="17328" w:name="_Toc395108564"/>
      <w:bookmarkStart w:id="17329" w:name="_Toc395108837"/>
      <w:bookmarkStart w:id="17330" w:name="_Toc395113804"/>
      <w:bookmarkStart w:id="17331" w:name="_Toc395114077"/>
      <w:bookmarkStart w:id="17332" w:name="_Toc395114324"/>
      <w:bookmarkStart w:id="17333" w:name="_Toc395116540"/>
      <w:bookmarkStart w:id="17334" w:name="_Toc395116814"/>
      <w:bookmarkStart w:id="17335" w:name="_Toc395117062"/>
      <w:bookmarkStart w:id="17336" w:name="_Toc395112477"/>
      <w:bookmarkStart w:id="17337" w:name="_Toc395112751"/>
      <w:bookmarkStart w:id="17338" w:name="_Toc395113180"/>
      <w:bookmarkStart w:id="17339" w:name="_Toc395115016"/>
      <w:bookmarkStart w:id="17340" w:name="_Toc395115291"/>
      <w:bookmarkStart w:id="17341" w:name="_Toc395115539"/>
      <w:bookmarkStart w:id="17342" w:name="_Toc395118171"/>
      <w:bookmarkStart w:id="17343" w:name="_Toc395118443"/>
      <w:bookmarkStart w:id="17344" w:name="_Toc395118689"/>
      <w:bookmarkStart w:id="17345" w:name="_Toc395178381"/>
      <w:bookmarkStart w:id="17346" w:name="_Toc395178713"/>
      <w:bookmarkStart w:id="17347" w:name="_Toc395624638"/>
      <w:bookmarkStart w:id="17348" w:name="_Toc395624870"/>
      <w:bookmarkStart w:id="17349" w:name="_Toc395789724"/>
      <w:bookmarkStart w:id="17350" w:name="_Toc395789989"/>
      <w:bookmarkStart w:id="17351" w:name="_Toc395800747"/>
      <w:bookmarkStart w:id="17352" w:name="_Toc395802853"/>
      <w:bookmarkStart w:id="17353" w:name="_Toc395867611"/>
      <w:bookmarkStart w:id="17354" w:name="_Toc395868520"/>
      <w:bookmarkStart w:id="17355" w:name="_Toc395868743"/>
      <w:bookmarkStart w:id="17356" w:name="_Toc395879124"/>
      <w:bookmarkStart w:id="17357" w:name="_Toc395882026"/>
      <w:bookmarkStart w:id="17358" w:name="_Toc395882248"/>
      <w:bookmarkStart w:id="17359" w:name="_Toc395882357"/>
      <w:bookmarkStart w:id="17360" w:name="_Toc395882579"/>
      <w:bookmarkStart w:id="17361" w:name="_Toc395880852"/>
      <w:bookmarkStart w:id="17362" w:name="_Toc395881410"/>
      <w:bookmarkStart w:id="17363" w:name="_Toc395881632"/>
      <w:bookmarkStart w:id="17364" w:name="_Toc395884017"/>
      <w:bookmarkStart w:id="17365" w:name="_Toc395880750"/>
      <w:bookmarkStart w:id="17366" w:name="_Toc395884457"/>
      <w:bookmarkStart w:id="17367" w:name="_Toc395884679"/>
      <w:bookmarkStart w:id="17368" w:name="_Toc395883166"/>
      <w:bookmarkStart w:id="17369" w:name="_Toc395883388"/>
      <w:bookmarkStart w:id="17370" w:name="_Toc395883496"/>
      <w:bookmarkStart w:id="17371" w:name="_Toc395883718"/>
      <w:bookmarkStart w:id="17372" w:name="_Toc395884798"/>
      <w:bookmarkStart w:id="17373" w:name="_Toc396123827"/>
      <w:bookmarkStart w:id="17374" w:name="_Toc396130730"/>
      <w:bookmarkStart w:id="17375" w:name="_Toc396136308"/>
      <w:bookmarkStart w:id="17376" w:name="_Toc396138762"/>
      <w:bookmarkStart w:id="17377" w:name="_Toc396144023"/>
      <w:bookmarkStart w:id="17378" w:name="_Toc396145532"/>
      <w:bookmarkStart w:id="17379" w:name="_Toc396145676"/>
      <w:bookmarkStart w:id="17380" w:name="_Toc396145958"/>
      <w:bookmarkStart w:id="17381" w:name="_Toc396147498"/>
      <w:bookmarkStart w:id="17382" w:name="_Toc396147784"/>
      <w:bookmarkStart w:id="17383" w:name="_Toc396149040"/>
      <w:bookmarkStart w:id="17384" w:name="_Toc396148754"/>
      <w:bookmarkStart w:id="17385" w:name="_Toc396149535"/>
      <w:bookmarkStart w:id="17386" w:name="_Toc396149180"/>
      <w:bookmarkStart w:id="17387" w:name="_Toc396149466"/>
      <w:bookmarkStart w:id="17388" w:name="_Toc396149143"/>
      <w:bookmarkStart w:id="17389" w:name="_Toc396149888"/>
      <w:bookmarkStart w:id="17390" w:name="_Toc396149638"/>
      <w:bookmarkStart w:id="17391" w:name="_Toc396150479"/>
      <w:bookmarkStart w:id="17392" w:name="_Toc396151368"/>
      <w:bookmarkStart w:id="17393" w:name="_Toc396151662"/>
      <w:bookmarkStart w:id="17394" w:name="_Toc396201589"/>
      <w:bookmarkStart w:id="17395" w:name="_Toc396202379"/>
      <w:bookmarkStart w:id="17396" w:name="_Toc396202674"/>
      <w:bookmarkStart w:id="17397" w:name="_Toc396203291"/>
      <w:bookmarkStart w:id="17398" w:name="_Toc396206587"/>
      <w:bookmarkStart w:id="17399" w:name="_Toc396206881"/>
      <w:bookmarkStart w:id="17400" w:name="_Toc396209415"/>
      <w:bookmarkStart w:id="17401" w:name="_Toc396209709"/>
      <w:bookmarkStart w:id="17402" w:name="_Toc396211839"/>
      <w:bookmarkStart w:id="17403" w:name="_Toc396212133"/>
      <w:bookmarkStart w:id="17404" w:name="_Toc396213183"/>
      <w:bookmarkStart w:id="17405" w:name="_Toc396213475"/>
      <w:bookmarkStart w:id="17406" w:name="_Toc396214026"/>
      <w:bookmarkStart w:id="17407" w:name="_Toc396214461"/>
      <w:bookmarkStart w:id="17408" w:name="_Toc396214751"/>
      <w:bookmarkStart w:id="17409" w:name="_Toc396220311"/>
      <w:bookmarkStart w:id="17410" w:name="_Toc396226573"/>
      <w:bookmarkStart w:id="17411" w:name="_Toc396226862"/>
      <w:bookmarkStart w:id="17412" w:name="_Toc396229068"/>
      <w:bookmarkStart w:id="17413" w:name="_Toc396230415"/>
      <w:bookmarkStart w:id="17414" w:name="_Toc396231852"/>
      <w:bookmarkStart w:id="17415" w:name="_Toc396233195"/>
      <w:bookmarkStart w:id="17416" w:name="_Toc396233492"/>
      <w:bookmarkStart w:id="17417" w:name="_Toc396234015"/>
      <w:bookmarkStart w:id="17418" w:name="_Toc396234312"/>
      <w:bookmarkStart w:id="17419" w:name="_Toc396234425"/>
      <w:bookmarkStart w:id="17420" w:name="_Toc396236159"/>
      <w:bookmarkStart w:id="17421" w:name="_Toc396235937"/>
      <w:bookmarkStart w:id="17422" w:name="_Toc396236547"/>
      <w:bookmarkStart w:id="17423" w:name="_Toc396237066"/>
      <w:bookmarkStart w:id="17424" w:name="_Toc396397409"/>
      <w:bookmarkStart w:id="17425" w:name="_Toc396304590"/>
      <w:bookmarkStart w:id="17426" w:name="_Toc396586125"/>
      <w:bookmarkStart w:id="17427" w:name="_Toc396815146"/>
      <w:bookmarkStart w:id="17428" w:name="_Toc396821095"/>
      <w:bookmarkStart w:id="17429" w:name="_Toc396821703"/>
      <w:bookmarkStart w:id="17430" w:name="_Toc396827553"/>
      <w:bookmarkStart w:id="17431" w:name="_Toc396828524"/>
      <w:bookmarkStart w:id="17432" w:name="_Toc396828634"/>
      <w:bookmarkStart w:id="17433" w:name="_Toc396838023"/>
      <w:bookmarkStart w:id="17434" w:name="_Toc396838421"/>
      <w:bookmarkStart w:id="17435" w:name="_Toc396904744"/>
      <w:bookmarkStart w:id="17436" w:name="_Toc396907578"/>
      <w:bookmarkStart w:id="17437" w:name="_Toc396912497"/>
      <w:bookmarkStart w:id="17438" w:name="_Toc396914477"/>
      <w:bookmarkStart w:id="17439" w:name="_Toc396915361"/>
      <w:bookmarkStart w:id="17440" w:name="_Toc396915755"/>
      <w:bookmarkStart w:id="17441" w:name="_Toc396921066"/>
      <w:bookmarkStart w:id="17442" w:name="_Toc396924406"/>
      <w:bookmarkStart w:id="17443" w:name="_Toc396925100"/>
      <w:bookmarkStart w:id="17444" w:name="_Toc396992220"/>
      <w:bookmarkStart w:id="17445" w:name="_Toc396992799"/>
      <w:bookmarkStart w:id="17446" w:name="_Toc396994463"/>
      <w:bookmarkStart w:id="17447" w:name="_Toc397002234"/>
      <w:bookmarkStart w:id="17448" w:name="_Toc397003153"/>
      <w:bookmarkStart w:id="17449" w:name="_Toc397008711"/>
      <w:bookmarkStart w:id="17450" w:name="_Toc397008929"/>
      <w:bookmarkStart w:id="17451" w:name="_Toc397011601"/>
      <w:bookmarkStart w:id="17452" w:name="_Toc397012663"/>
      <w:bookmarkStart w:id="17453" w:name="_Toc397015005"/>
      <w:bookmarkStart w:id="17454" w:name="_Toc397015492"/>
      <w:bookmarkStart w:id="17455" w:name="_Toc397070562"/>
      <w:bookmarkStart w:id="17456" w:name="_Toc397413303"/>
      <w:bookmarkStart w:id="17457" w:name="_Toc397413450"/>
      <w:bookmarkStart w:id="17458" w:name="_Toc397428033"/>
      <w:bookmarkStart w:id="17459" w:name="_Toc397439421"/>
      <w:bookmarkStart w:id="17460" w:name="_Toc397439591"/>
      <w:bookmarkStart w:id="17461" w:name="_Toc397439847"/>
      <w:bookmarkStart w:id="17462" w:name="_Toc397440149"/>
      <w:bookmarkStart w:id="17463" w:name="_Toc397441778"/>
      <w:bookmarkStart w:id="17464" w:name="_Toc397517480"/>
      <w:bookmarkStart w:id="17465" w:name="_Toc397522745"/>
      <w:bookmarkStart w:id="17466" w:name="_Toc397526163"/>
      <w:bookmarkStart w:id="17467" w:name="_Toc397528478"/>
      <w:bookmarkStart w:id="17468" w:name="_Toc397528953"/>
      <w:bookmarkStart w:id="17469" w:name="_Toc397601950"/>
      <w:bookmarkStart w:id="17470" w:name="_Toc397602685"/>
      <w:bookmarkStart w:id="17471" w:name="_Toc397605814"/>
      <w:bookmarkStart w:id="17472" w:name="_Toc397614515"/>
      <w:bookmarkStart w:id="17473" w:name="_Toc397614958"/>
      <w:bookmarkStart w:id="17474" w:name="_Toc397616401"/>
      <w:bookmarkStart w:id="17475" w:name="_Toc397616795"/>
      <w:bookmarkStart w:id="17476" w:name="_Toc397688093"/>
      <w:bookmarkStart w:id="17477" w:name="_Toc397689309"/>
      <w:bookmarkStart w:id="17478" w:name="_Toc397694589"/>
      <w:bookmarkStart w:id="17479" w:name="_Toc397696430"/>
      <w:bookmarkStart w:id="17480" w:name="_Toc397697164"/>
      <w:bookmarkStart w:id="17481" w:name="_Toc397698451"/>
      <w:bookmarkStart w:id="17482" w:name="_Toc397699817"/>
      <w:bookmarkStart w:id="17483" w:name="_Toc397700271"/>
      <w:bookmarkStart w:id="17484" w:name="_Toc397936663"/>
      <w:bookmarkStart w:id="17485" w:name="_Toc397936783"/>
      <w:bookmarkStart w:id="17486" w:name="_Toc397945939"/>
      <w:bookmarkStart w:id="17487" w:name="_Toc397946965"/>
      <w:bookmarkStart w:id="17488" w:name="_Toc397948084"/>
      <w:bookmarkStart w:id="17489" w:name="_Toc397958490"/>
      <w:bookmarkStart w:id="17490" w:name="_Toc397958732"/>
      <w:bookmarkStart w:id="17491" w:name="_Toc397959147"/>
      <w:bookmarkStart w:id="17492" w:name="_Toc397963000"/>
      <w:bookmarkStart w:id="17493" w:name="_Toc397963366"/>
      <w:bookmarkStart w:id="17494" w:name="_Toc397965443"/>
      <w:bookmarkStart w:id="17495" w:name="_Toc398197381"/>
      <w:bookmarkStart w:id="17496" w:name="_Toc398199884"/>
      <w:bookmarkStart w:id="17497" w:name="_Toc398201598"/>
      <w:bookmarkStart w:id="17498" w:name="_Toc398207203"/>
      <w:bookmarkStart w:id="17499" w:name="_Toc398210476"/>
      <w:bookmarkStart w:id="17500" w:name="_Toc398210990"/>
      <w:bookmarkStart w:id="17501" w:name="_Toc398219798"/>
      <w:bookmarkStart w:id="17502" w:name="_Toc398220173"/>
      <w:bookmarkStart w:id="17503" w:name="_Toc398220560"/>
      <w:bookmarkStart w:id="17504" w:name="_Toc398221638"/>
      <w:bookmarkStart w:id="17505" w:name="_Toc398222324"/>
      <w:bookmarkStart w:id="17506" w:name="_Toc398222636"/>
      <w:bookmarkStart w:id="17507" w:name="_Toc398223053"/>
      <w:bookmarkStart w:id="17508" w:name="_Toc398223432"/>
      <w:bookmarkStart w:id="17509" w:name="_Toc398223559"/>
      <w:bookmarkStart w:id="17510" w:name="_Toc398224367"/>
      <w:bookmarkStart w:id="17511" w:name="_Toc398225704"/>
      <w:bookmarkStart w:id="17512" w:name="_Toc398225829"/>
      <w:bookmarkStart w:id="17513" w:name="_Toc398281316"/>
      <w:bookmarkStart w:id="17514" w:name="_Toc398282175"/>
      <w:bookmarkStart w:id="17515" w:name="_Toc398284845"/>
      <w:bookmarkStart w:id="17516" w:name="_Toc398287314"/>
      <w:bookmarkStart w:id="17517" w:name="_Toc398289197"/>
      <w:bookmarkStart w:id="17518" w:name="_Toc398297194"/>
      <w:bookmarkStart w:id="17519" w:name="_Toc398298668"/>
      <w:bookmarkStart w:id="17520" w:name="_Toc398300369"/>
      <w:bookmarkStart w:id="17521" w:name="_Toc398301266"/>
      <w:bookmarkStart w:id="17522" w:name="_Toc398302451"/>
      <w:bookmarkStart w:id="17523" w:name="_Toc398302614"/>
      <w:bookmarkStart w:id="17524" w:name="_Toc398549128"/>
      <w:bookmarkStart w:id="17525" w:name="_Toc398549378"/>
      <w:bookmarkStart w:id="17526" w:name="_Toc398555797"/>
      <w:bookmarkStart w:id="17527" w:name="_Toc398559001"/>
      <w:bookmarkStart w:id="17528" w:name="_Toc398563487"/>
      <w:bookmarkStart w:id="17529" w:name="_Toc398563620"/>
      <w:bookmarkStart w:id="17530" w:name="_Toc398564019"/>
      <w:bookmarkStart w:id="17531" w:name="_Toc398827359"/>
      <w:bookmarkStart w:id="17532" w:name="_Toc398827553"/>
      <w:bookmarkStart w:id="17533" w:name="_Toc394505885"/>
      <w:bookmarkStart w:id="17534" w:name="_Toc394506178"/>
      <w:bookmarkStart w:id="17535" w:name="_Toc394506344"/>
      <w:bookmarkStart w:id="17536" w:name="_Toc394506516"/>
      <w:bookmarkStart w:id="17537" w:name="_Toc394506898"/>
      <w:bookmarkStart w:id="17538" w:name="_Toc394507070"/>
      <w:bookmarkStart w:id="17539" w:name="_Toc394502678"/>
      <w:bookmarkStart w:id="17540" w:name="_Toc394502849"/>
      <w:bookmarkStart w:id="17541" w:name="_Toc394503134"/>
      <w:bookmarkStart w:id="17542" w:name="_Toc394503760"/>
      <w:bookmarkStart w:id="17543" w:name="s85"/>
      <w:bookmarkStart w:id="17544" w:name="_Toc393985137"/>
      <w:bookmarkStart w:id="17545" w:name="_Toc393985334"/>
      <w:bookmarkStart w:id="17546" w:name="_Toc393985640"/>
      <w:bookmarkStart w:id="17547" w:name="_Toc393985838"/>
      <w:bookmarkStart w:id="17548" w:name="_Toc393986042"/>
      <w:bookmarkStart w:id="17549" w:name="_Toc393986240"/>
      <w:bookmarkStart w:id="17550" w:name="_Toc393986445"/>
      <w:bookmarkStart w:id="17551" w:name="_Toc393988052"/>
      <w:bookmarkStart w:id="17552" w:name="_Toc393988250"/>
      <w:bookmarkStart w:id="17553" w:name="_Toc393988454"/>
      <w:bookmarkStart w:id="17554" w:name="_Toc393988652"/>
      <w:bookmarkStart w:id="17555" w:name="_Toc393986644"/>
      <w:bookmarkStart w:id="17556" w:name="_Toc393989466"/>
      <w:bookmarkStart w:id="17557" w:name="_Toc393989664"/>
      <w:bookmarkStart w:id="17558" w:name="_Toc393989052"/>
      <w:bookmarkStart w:id="17559" w:name="_Toc393990858"/>
      <w:bookmarkStart w:id="17560" w:name="_Toc393991056"/>
      <w:bookmarkStart w:id="17561" w:name="_Toc393991155"/>
      <w:bookmarkStart w:id="17562" w:name="_Toc393991840"/>
      <w:bookmarkStart w:id="17563" w:name="_Toc393992040"/>
      <w:bookmarkStart w:id="17564" w:name="_Toc394047503"/>
      <w:bookmarkStart w:id="17565" w:name="_Toc394047704"/>
      <w:bookmarkStart w:id="17566" w:name="_Toc394047815"/>
      <w:bookmarkStart w:id="17567" w:name="_Toc394048371"/>
      <w:bookmarkStart w:id="17568" w:name="_Toc394049779"/>
      <w:bookmarkStart w:id="17569" w:name="_Toc394049983"/>
      <w:bookmarkStart w:id="17570" w:name="_Toc394051179"/>
      <w:bookmarkStart w:id="17571" w:name="_Toc394051383"/>
      <w:bookmarkStart w:id="17572" w:name="_Toc394062168"/>
      <w:bookmarkStart w:id="17573" w:name="_Toc394062530"/>
      <w:bookmarkStart w:id="17574" w:name="_Toc394069043"/>
      <w:bookmarkStart w:id="17575" w:name="_Toc394069245"/>
      <w:bookmarkStart w:id="17576" w:name="_Toc394070961"/>
      <w:bookmarkStart w:id="17577" w:name="_Toc394071163"/>
      <w:bookmarkStart w:id="17578" w:name="_Toc394312364"/>
      <w:bookmarkStart w:id="17579" w:name="_Toc394330436"/>
      <w:bookmarkStart w:id="17580" w:name="_Toc394330648"/>
      <w:bookmarkStart w:id="17581" w:name="_Toc394331367"/>
      <w:bookmarkStart w:id="17582" w:name="_Toc394330268"/>
      <w:bookmarkStart w:id="17583" w:name="_Toc394333242"/>
      <w:bookmarkStart w:id="17584" w:name="_Toc394333443"/>
      <w:bookmarkStart w:id="17585" w:name="_Toc394332820"/>
      <w:bookmarkStart w:id="17586" w:name="_Toc394333655"/>
      <w:bookmarkStart w:id="17587" w:name="_Toc394333856"/>
      <w:bookmarkStart w:id="17588" w:name="_Toc394334068"/>
      <w:bookmarkStart w:id="17589" w:name="_Toc394334269"/>
      <w:bookmarkStart w:id="17590" w:name="_Toc394334894"/>
      <w:bookmarkStart w:id="17591" w:name="_Toc394335095"/>
      <w:bookmarkStart w:id="17592" w:name="_Toc394415077"/>
      <w:bookmarkStart w:id="17593" w:name="_Toc394415299"/>
      <w:bookmarkStart w:id="17594" w:name="_Toc394412382"/>
      <w:bookmarkStart w:id="17595" w:name="_Toc394412608"/>
      <w:bookmarkStart w:id="17596" w:name="_Toc394420673"/>
      <w:bookmarkStart w:id="17597" w:name="_Toc394420901"/>
      <w:bookmarkStart w:id="17598" w:name="_Toc394421147"/>
      <w:bookmarkStart w:id="17599" w:name="_Toc394423517"/>
      <w:bookmarkStart w:id="17600" w:name="_Toc394423742"/>
      <w:bookmarkStart w:id="17601" w:name="_Toc394420451"/>
      <w:bookmarkStart w:id="17602" w:name="_Toc394422561"/>
      <w:bookmarkStart w:id="17603" w:name="_Toc394422786"/>
      <w:bookmarkStart w:id="17604" w:name="_Toc394423032"/>
      <w:bookmarkStart w:id="17605" w:name="_Toc394423257"/>
      <w:bookmarkStart w:id="17606" w:name="_Toc394424182"/>
      <w:bookmarkStart w:id="17607" w:name="_Toc394424405"/>
      <w:bookmarkStart w:id="17608" w:name="_Toc394492015"/>
      <w:bookmarkStart w:id="17609" w:name="_Toc394492237"/>
      <w:bookmarkStart w:id="17610" w:name="_Toc394495160"/>
      <w:bookmarkStart w:id="17611" w:name="_Toc394495381"/>
      <w:bookmarkStart w:id="17612" w:name="_Toc394497975"/>
      <w:bookmarkStart w:id="17613" w:name="_Toc394498196"/>
      <w:bookmarkStart w:id="17614" w:name="_Toc394500767"/>
      <w:bookmarkStart w:id="17615" w:name="_Toc394500986"/>
      <w:bookmarkStart w:id="17616" w:name="_Toc394502171"/>
      <w:bookmarkStart w:id="17617" w:name="_Toc394502383"/>
      <w:bookmarkStart w:id="17618" w:name="_Toc394503073"/>
      <w:bookmarkStart w:id="17619" w:name="_Toc394503742"/>
      <w:bookmarkStart w:id="17620" w:name="_Toc394502617"/>
      <w:bookmarkStart w:id="17621" w:name="_Toc394502831"/>
      <w:bookmarkStart w:id="17622" w:name="_Toc394505824"/>
      <w:bookmarkStart w:id="17623" w:name="_Toc394506160"/>
      <w:bookmarkStart w:id="17624" w:name="_Toc394506283"/>
      <w:bookmarkStart w:id="17625" w:name="_Toc394506498"/>
      <w:bookmarkStart w:id="17626" w:name="_Toc394506837"/>
      <w:bookmarkStart w:id="17627" w:name="_Toc394507052"/>
      <w:bookmarkStart w:id="17628" w:name="_Toc394560914"/>
      <w:bookmarkStart w:id="17629" w:name="_Toc394561129"/>
      <w:bookmarkStart w:id="17630" w:name="_Toc394561375"/>
      <w:bookmarkStart w:id="17631" w:name="_Toc394561963"/>
      <w:r w:rsidRPr="008625DC">
        <w:rPr>
          <w:lang w:val="en-AU"/>
        </w:rPr>
        <w:t xml:space="preserve">Media and </w:t>
      </w:r>
      <w:r w:rsidR="00E5600C" w:rsidRPr="008625DC">
        <w:rPr>
          <w:lang w:val="en-AU"/>
        </w:rPr>
        <w:t>b</w:t>
      </w:r>
      <w:r w:rsidRPr="008625DC">
        <w:rPr>
          <w:lang w:val="en-AU"/>
        </w:rPr>
        <w:t xml:space="preserve">roadcasting </w:t>
      </w:r>
      <w:r w:rsidR="00E5600C" w:rsidRPr="008625DC">
        <w:rPr>
          <w:lang w:val="en-AU"/>
        </w:rPr>
        <w:t>s</w:t>
      </w:r>
      <w:r w:rsidRPr="008625DC">
        <w:rPr>
          <w:lang w:val="en-AU"/>
        </w:rPr>
        <w:t>ervices</w:t>
      </w:r>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p>
    <w:p w14:paraId="41DC6D71" w14:textId="77777777" w:rsidR="003067EE" w:rsidRPr="008625DC" w:rsidRDefault="003067EE" w:rsidP="00EE7A06">
      <w:pPr>
        <w:rPr>
          <w:rFonts w:ascii="Calibri" w:hAnsi="Calibri"/>
        </w:rPr>
      </w:pPr>
      <w:bookmarkStart w:id="17632" w:name="_Toc394582968"/>
      <w:bookmarkStart w:id="17633" w:name="_Toc394585639"/>
      <w:bookmarkStart w:id="17634" w:name="_Toc394586105"/>
      <w:bookmarkStart w:id="17635" w:name="_Toc394588037"/>
      <w:bookmarkStart w:id="17636" w:name="_Toc394588872"/>
      <w:bookmarkStart w:id="17637" w:name="_Toc394588997"/>
      <w:bookmarkStart w:id="17638" w:name="_Toc394590413"/>
      <w:bookmarkStart w:id="17639" w:name="_Toc394590606"/>
      <w:bookmarkStart w:id="17640" w:name="_Toc394654508"/>
      <w:bookmarkStart w:id="17641" w:name="_Toc394654666"/>
      <w:bookmarkStart w:id="17642" w:name="_Toc394656208"/>
      <w:bookmarkStart w:id="17643" w:name="_Toc394656365"/>
      <w:bookmarkStart w:id="17644" w:name="_Toc394659345"/>
      <w:bookmarkStart w:id="17645" w:name="_Toc394659503"/>
      <w:bookmarkStart w:id="17646" w:name="_Toc394663357"/>
      <w:bookmarkStart w:id="17647" w:name="_Toc394663513"/>
      <w:bookmarkStart w:id="17648" w:name="_Toc394667151"/>
      <w:bookmarkStart w:id="17649" w:name="_Toc394667307"/>
      <w:bookmarkStart w:id="17650" w:name="_Toc394671630"/>
      <w:bookmarkStart w:id="17651" w:name="_Toc394671790"/>
      <w:bookmarkStart w:id="17652" w:name="_Toc394674632"/>
      <w:bookmarkStart w:id="17653" w:name="_Toc394674795"/>
      <w:bookmarkStart w:id="17654" w:name="_Toc394674909"/>
      <w:bookmarkStart w:id="17655" w:name="_Toc394675075"/>
      <w:bookmarkStart w:id="17656" w:name="_Toc394676020"/>
      <w:bookmarkStart w:id="17657" w:name="_Toc394676182"/>
      <w:bookmarkStart w:id="17658" w:name="_Toc394675708"/>
      <w:bookmarkStart w:id="17659" w:name="_Toc394675871"/>
      <w:bookmarkStart w:id="17660" w:name="_Toc394918271"/>
      <w:bookmarkStart w:id="17661" w:name="_Toc394918785"/>
      <w:bookmarkStart w:id="17662" w:name="_Toc394930757"/>
      <w:bookmarkStart w:id="17663" w:name="_Toc394933670"/>
      <w:bookmarkStart w:id="17664" w:name="_Toc394938117"/>
      <w:bookmarkStart w:id="17665" w:name="_Toc394938346"/>
      <w:bookmarkStart w:id="17666" w:name="_Toc394938619"/>
      <w:bookmarkStart w:id="17667" w:name="_Toc394937626"/>
      <w:bookmarkStart w:id="17668" w:name="_Toc394937901"/>
      <w:bookmarkStart w:id="17669" w:name="_Toc394941029"/>
      <w:bookmarkStart w:id="17670" w:name="_Toc394941257"/>
      <w:bookmarkStart w:id="17671" w:name="_Toc394941530"/>
      <w:bookmarkStart w:id="17672" w:name="_Toc394941645"/>
      <w:bookmarkStart w:id="17673" w:name="_Toc394941873"/>
      <w:bookmarkStart w:id="17674" w:name="_Toc394942146"/>
      <w:bookmarkStart w:id="17675" w:name="_Toc394939866"/>
      <w:bookmarkStart w:id="17676" w:name="_Toc394940095"/>
      <w:bookmarkStart w:id="17677" w:name="_Toc394940368"/>
      <w:bookmarkStart w:id="17678" w:name="_Toc394939478"/>
      <w:bookmarkStart w:id="17679" w:name="_Toc394939705"/>
      <w:bookmarkStart w:id="17680" w:name="_Toc394940582"/>
      <w:bookmarkStart w:id="17681" w:name="_Toc394993602"/>
      <w:bookmarkStart w:id="17682" w:name="_Toc394995483"/>
      <w:bookmarkStart w:id="17683" w:name="_Toc394995797"/>
      <w:bookmarkStart w:id="17684" w:name="_Toc394996064"/>
      <w:bookmarkStart w:id="17685" w:name="_Toc394997790"/>
      <w:bookmarkStart w:id="17686" w:name="_Toc394998042"/>
      <w:bookmarkStart w:id="17687" w:name="_Toc394998305"/>
      <w:bookmarkStart w:id="17688" w:name="_Toc394998556"/>
      <w:bookmarkStart w:id="17689" w:name="_Toc395001800"/>
      <w:bookmarkStart w:id="17690" w:name="_Toc395002055"/>
      <w:bookmarkStart w:id="17691" w:name="_Toc395001261"/>
      <w:bookmarkStart w:id="17692" w:name="_Toc395001535"/>
      <w:bookmarkStart w:id="17693" w:name="_Toc395002824"/>
      <w:bookmarkStart w:id="17694" w:name="_Toc395003409"/>
      <w:bookmarkStart w:id="17695" w:name="_Toc395005052"/>
      <w:bookmarkStart w:id="17696" w:name="_Toc395005178"/>
      <w:bookmarkStart w:id="17697" w:name="_Toc395005394"/>
      <w:bookmarkStart w:id="17698" w:name="_Toc395005650"/>
      <w:bookmarkStart w:id="17699" w:name="_Toc395008971"/>
      <w:bookmarkStart w:id="17700" w:name="_Toc395009644"/>
      <w:bookmarkStart w:id="17701" w:name="_Toc395011757"/>
      <w:bookmarkStart w:id="17702" w:name="_Toc395010157"/>
      <w:bookmarkStart w:id="17703" w:name="_Toc395010383"/>
      <w:bookmarkStart w:id="17704" w:name="_Toc395009999"/>
      <w:bookmarkStart w:id="17705" w:name="_Toc395011525"/>
      <w:bookmarkStart w:id="17706" w:name="_Toc395012343"/>
      <w:bookmarkStart w:id="17707" w:name="_Toc395012567"/>
      <w:bookmarkStart w:id="17708" w:name="_Toc395012933"/>
      <w:bookmarkStart w:id="17709" w:name="_Toc395010748"/>
      <w:bookmarkStart w:id="17710" w:name="_Toc395010972"/>
      <w:bookmarkStart w:id="17711" w:name="_Toc395012221"/>
      <w:bookmarkStart w:id="17712" w:name="_Toc395013030"/>
      <w:bookmarkStart w:id="17713" w:name="_Toc395012032"/>
      <w:bookmarkStart w:id="17714" w:name="_Toc395014371"/>
      <w:bookmarkStart w:id="17715" w:name="_Toc395014622"/>
      <w:bookmarkStart w:id="17716" w:name="_Toc395013213"/>
      <w:bookmarkStart w:id="17717" w:name="_Toc395084722"/>
      <w:bookmarkStart w:id="17718" w:name="_Toc395085023"/>
      <w:bookmarkStart w:id="17719" w:name="_Toc395090250"/>
      <w:bookmarkStart w:id="17720" w:name="_Toc395090486"/>
      <w:bookmarkStart w:id="17721" w:name="_Toc395090729"/>
      <w:bookmarkStart w:id="17722" w:name="_Toc395092618"/>
      <w:bookmarkStart w:id="17723" w:name="_Toc395092830"/>
      <w:bookmarkStart w:id="17724" w:name="_Toc395093070"/>
      <w:bookmarkStart w:id="17725" w:name="_Toc395093312"/>
      <w:bookmarkStart w:id="17726" w:name="_Toc395097741"/>
      <w:bookmarkStart w:id="17727" w:name="_Toc395097982"/>
      <w:bookmarkStart w:id="17728" w:name="_Toc395098222"/>
      <w:bookmarkStart w:id="17729" w:name="_Toc395105407"/>
      <w:bookmarkStart w:id="17730" w:name="_Toc395106167"/>
      <w:bookmarkStart w:id="17731" w:name="_Toc395107010"/>
      <w:bookmarkStart w:id="17732" w:name="_Toc395109882"/>
      <w:bookmarkStart w:id="17733" w:name="_Toc395109668"/>
      <w:bookmarkStart w:id="17734" w:name="_Toc395109760"/>
      <w:bookmarkStart w:id="17735" w:name="_Toc395111885"/>
      <w:bookmarkStart w:id="17736" w:name="_Toc395112137"/>
      <w:bookmarkStart w:id="17737" w:name="_Toc395112373"/>
      <w:bookmarkStart w:id="17738" w:name="_Toc395106805"/>
      <w:bookmarkStart w:id="17739" w:name="_Toc395107518"/>
      <w:bookmarkStart w:id="17740" w:name="_Toc395109473"/>
      <w:bookmarkStart w:id="17741" w:name="_Toc395108565"/>
      <w:bookmarkStart w:id="17742" w:name="_Toc395108840"/>
      <w:bookmarkStart w:id="17743" w:name="_Toc395113805"/>
      <w:bookmarkStart w:id="17744" w:name="_Toc395114080"/>
      <w:bookmarkStart w:id="17745" w:name="_Toc395114325"/>
      <w:bookmarkStart w:id="17746" w:name="_Toc395116541"/>
      <w:bookmarkStart w:id="17747" w:name="_Toc395116817"/>
      <w:bookmarkStart w:id="17748" w:name="_Toc395117063"/>
      <w:bookmarkStart w:id="17749" w:name="_Toc395112478"/>
      <w:bookmarkStart w:id="17750" w:name="_Toc395112754"/>
      <w:bookmarkStart w:id="17751" w:name="_Toc395113181"/>
      <w:bookmarkStart w:id="17752" w:name="_Toc395115017"/>
      <w:bookmarkStart w:id="17753" w:name="_Toc395115294"/>
      <w:bookmarkStart w:id="17754" w:name="_Toc395115540"/>
      <w:bookmarkStart w:id="17755" w:name="_Toc395118172"/>
      <w:bookmarkStart w:id="17756" w:name="_Toc395118446"/>
      <w:bookmarkStart w:id="17757" w:name="_Toc395118690"/>
      <w:bookmarkStart w:id="17758" w:name="_Toc395178382"/>
      <w:bookmarkStart w:id="17759" w:name="_Toc395178714"/>
      <w:bookmarkStart w:id="17760" w:name="_Toc395624641"/>
      <w:bookmarkStart w:id="17761" w:name="_Toc395624871"/>
      <w:bookmarkStart w:id="17762" w:name="_Toc395789725"/>
      <w:bookmarkStart w:id="17763" w:name="_Toc395789992"/>
      <w:bookmarkStart w:id="17764" w:name="_Toc395800750"/>
      <w:bookmarkStart w:id="17765" w:name="_Toc395802854"/>
      <w:bookmarkStart w:id="17766" w:name="_Toc395867612"/>
      <w:bookmarkStart w:id="17767" w:name="_Toc395868521"/>
      <w:bookmarkStart w:id="17768" w:name="_Toc395868744"/>
      <w:bookmarkStart w:id="17769" w:name="_Toc395879125"/>
      <w:bookmarkStart w:id="17770" w:name="_Toc395882027"/>
      <w:bookmarkStart w:id="17771" w:name="_Toc395882249"/>
      <w:bookmarkStart w:id="17772" w:name="_Toc395882358"/>
      <w:bookmarkStart w:id="17773" w:name="_Toc395882580"/>
      <w:bookmarkStart w:id="17774" w:name="_Toc395880853"/>
      <w:bookmarkStart w:id="17775" w:name="_Toc395881411"/>
      <w:bookmarkStart w:id="17776" w:name="_Toc395881633"/>
      <w:bookmarkStart w:id="17777" w:name="_Toc395884018"/>
      <w:bookmarkStart w:id="17778" w:name="_Toc395880751"/>
      <w:bookmarkStart w:id="17779" w:name="_Toc395884458"/>
      <w:bookmarkStart w:id="17780" w:name="_Toc395884680"/>
      <w:bookmarkStart w:id="17781" w:name="_Toc395883167"/>
      <w:bookmarkStart w:id="17782" w:name="_Toc395883389"/>
      <w:bookmarkStart w:id="17783" w:name="_Toc395883497"/>
      <w:bookmarkStart w:id="17784" w:name="_Toc395883719"/>
      <w:bookmarkStart w:id="17785" w:name="_Toc395884799"/>
      <w:bookmarkStart w:id="17786" w:name="_Toc396123828"/>
      <w:bookmarkStart w:id="17787" w:name="_Toc396130731"/>
      <w:bookmarkStart w:id="17788" w:name="_Toc396136309"/>
      <w:bookmarkStart w:id="17789" w:name="_Toc396138763"/>
      <w:bookmarkStart w:id="17790" w:name="_Toc396144024"/>
      <w:bookmarkStart w:id="17791" w:name="_Toc396145533"/>
      <w:bookmarkStart w:id="17792" w:name="_Toc396145677"/>
      <w:bookmarkStart w:id="17793" w:name="_Toc396145959"/>
      <w:bookmarkStart w:id="17794" w:name="_Toc396147499"/>
      <w:bookmarkStart w:id="17795" w:name="_Toc396147785"/>
      <w:bookmarkStart w:id="17796" w:name="_Toc396149041"/>
      <w:bookmarkStart w:id="17797" w:name="_Toc396148755"/>
      <w:bookmarkStart w:id="17798" w:name="_Toc396149536"/>
      <w:bookmarkStart w:id="17799" w:name="_Toc396149181"/>
      <w:bookmarkStart w:id="17800" w:name="_Toc396149467"/>
      <w:bookmarkStart w:id="17801" w:name="_Toc396149144"/>
      <w:bookmarkStart w:id="17802" w:name="_Toc396149889"/>
      <w:bookmarkStart w:id="17803" w:name="_Toc396149639"/>
      <w:bookmarkStart w:id="17804" w:name="_Toc396150480"/>
      <w:bookmarkStart w:id="17805" w:name="_Toc396151369"/>
      <w:bookmarkStart w:id="17806" w:name="_Toc396151663"/>
      <w:bookmarkStart w:id="17807" w:name="_Toc396201590"/>
      <w:bookmarkStart w:id="17808" w:name="_Toc396202380"/>
      <w:bookmarkStart w:id="17809" w:name="_Toc396202675"/>
      <w:bookmarkStart w:id="17810" w:name="_Toc396203292"/>
      <w:bookmarkStart w:id="17811" w:name="_Toc396206588"/>
      <w:bookmarkStart w:id="17812" w:name="_Toc396206882"/>
      <w:bookmarkStart w:id="17813" w:name="_Toc396209416"/>
      <w:bookmarkStart w:id="17814" w:name="_Toc396209710"/>
      <w:bookmarkStart w:id="17815" w:name="_Toc396211840"/>
      <w:bookmarkStart w:id="17816" w:name="_Toc396212134"/>
      <w:bookmarkStart w:id="17817" w:name="_Toc396213184"/>
      <w:bookmarkStart w:id="17818" w:name="_Toc396213476"/>
      <w:bookmarkStart w:id="17819" w:name="_Toc396214027"/>
      <w:bookmarkStart w:id="17820" w:name="_Toc396214462"/>
      <w:bookmarkStart w:id="17821" w:name="_Toc396214752"/>
      <w:bookmarkStart w:id="17822" w:name="_Toc396220312"/>
      <w:bookmarkStart w:id="17823" w:name="_Toc396226574"/>
      <w:bookmarkStart w:id="17824" w:name="_Toc396226863"/>
      <w:bookmarkStart w:id="17825" w:name="_Toc396228774"/>
      <w:bookmarkStart w:id="17826" w:name="_Toc396229069"/>
      <w:bookmarkStart w:id="17827" w:name="_Toc396230416"/>
      <w:bookmarkStart w:id="17828" w:name="_Toc396231853"/>
      <w:bookmarkStart w:id="17829" w:name="_Toc396233196"/>
      <w:bookmarkStart w:id="17830" w:name="_Toc396233493"/>
      <w:bookmarkStart w:id="17831" w:name="_Toc396234016"/>
      <w:bookmarkStart w:id="17832" w:name="_Toc396234313"/>
      <w:bookmarkStart w:id="17833" w:name="_Toc396234426"/>
      <w:bookmarkStart w:id="17834" w:name="_Toc396236160"/>
      <w:bookmarkStart w:id="17835" w:name="_Toc396235938"/>
      <w:bookmarkStart w:id="17836" w:name="_Toc396236548"/>
      <w:bookmarkStart w:id="17837" w:name="_Toc396237067"/>
      <w:bookmarkStart w:id="17838" w:name="_Toc396397410"/>
      <w:bookmarkStart w:id="17839" w:name="_Toc396304591"/>
      <w:bookmarkStart w:id="17840" w:name="_Toc396586126"/>
      <w:bookmarkStart w:id="17841" w:name="_Toc396815147"/>
      <w:bookmarkStart w:id="17842" w:name="_Toc396821096"/>
      <w:bookmarkStart w:id="17843" w:name="_Toc396821704"/>
      <w:bookmarkStart w:id="17844" w:name="_Toc396827554"/>
      <w:bookmarkStart w:id="17845" w:name="_Toc396828525"/>
      <w:bookmarkStart w:id="17846" w:name="_Toc396828635"/>
      <w:bookmarkStart w:id="17847" w:name="_Toc396838024"/>
      <w:bookmarkStart w:id="17848" w:name="_Toc396838422"/>
      <w:bookmarkStart w:id="17849" w:name="_Toc396904745"/>
      <w:bookmarkStart w:id="17850" w:name="_Toc396907579"/>
      <w:bookmarkStart w:id="17851" w:name="_Toc396912498"/>
      <w:bookmarkStart w:id="17852" w:name="_Toc396914478"/>
      <w:bookmarkStart w:id="17853" w:name="_Toc396915362"/>
      <w:bookmarkStart w:id="17854" w:name="_Toc396915756"/>
      <w:bookmarkStart w:id="17855" w:name="_Toc396921067"/>
      <w:bookmarkStart w:id="17856" w:name="_Toc396924407"/>
      <w:bookmarkStart w:id="17857" w:name="_Toc396925101"/>
      <w:bookmarkStart w:id="17858" w:name="_Toc396992221"/>
      <w:bookmarkStart w:id="17859" w:name="_Toc396992800"/>
      <w:bookmarkStart w:id="17860" w:name="_Toc396994464"/>
      <w:bookmarkStart w:id="17861" w:name="_Toc397002235"/>
      <w:bookmarkStart w:id="17862" w:name="_Toc397003154"/>
      <w:bookmarkStart w:id="17863" w:name="_Toc397008712"/>
      <w:bookmarkStart w:id="17864" w:name="_Toc397008930"/>
      <w:bookmarkStart w:id="17865" w:name="_Toc397011602"/>
      <w:bookmarkStart w:id="17866" w:name="_Toc397012664"/>
      <w:bookmarkStart w:id="17867" w:name="_Toc397015006"/>
      <w:bookmarkStart w:id="17868" w:name="_Toc397015493"/>
      <w:bookmarkStart w:id="17869" w:name="_Toc397070563"/>
      <w:bookmarkStart w:id="17870" w:name="_Toc397413304"/>
      <w:bookmarkStart w:id="17871" w:name="_Toc397413451"/>
      <w:bookmarkStart w:id="17872" w:name="_Toc397428034"/>
      <w:bookmarkStart w:id="17873" w:name="_Toc397439422"/>
      <w:bookmarkStart w:id="17874" w:name="_Toc397439592"/>
      <w:bookmarkStart w:id="17875" w:name="_Toc397439848"/>
      <w:bookmarkStart w:id="17876" w:name="_Toc397440150"/>
      <w:bookmarkStart w:id="17877" w:name="_Toc397441779"/>
      <w:bookmarkStart w:id="17878" w:name="_Toc397517481"/>
      <w:bookmarkStart w:id="17879" w:name="_Toc397522746"/>
      <w:bookmarkStart w:id="17880" w:name="_Toc397526164"/>
      <w:bookmarkStart w:id="17881" w:name="_Toc397528479"/>
      <w:bookmarkStart w:id="17882" w:name="_Toc397528954"/>
      <w:bookmarkStart w:id="17883" w:name="_Toc397601951"/>
      <w:bookmarkStart w:id="17884" w:name="_Toc397602686"/>
      <w:bookmarkStart w:id="17885" w:name="_Toc397605815"/>
      <w:bookmarkStart w:id="17886" w:name="_Toc397614516"/>
      <w:bookmarkStart w:id="17887" w:name="_Toc397614959"/>
      <w:bookmarkStart w:id="17888" w:name="_Toc397616402"/>
      <w:bookmarkStart w:id="17889" w:name="_Toc397616796"/>
      <w:bookmarkStart w:id="17890" w:name="_Toc397688094"/>
      <w:bookmarkStart w:id="17891" w:name="_Toc397689310"/>
      <w:bookmarkStart w:id="17892" w:name="_Toc397694590"/>
      <w:bookmarkStart w:id="17893" w:name="_Toc397696431"/>
      <w:bookmarkStart w:id="17894" w:name="_Toc397697165"/>
      <w:bookmarkStart w:id="17895" w:name="_Toc397698452"/>
      <w:bookmarkStart w:id="17896" w:name="_Toc397699818"/>
      <w:bookmarkStart w:id="17897" w:name="_Toc397700272"/>
      <w:bookmarkStart w:id="17898" w:name="_Toc397936664"/>
      <w:bookmarkStart w:id="17899" w:name="_Toc397936784"/>
      <w:bookmarkStart w:id="17900" w:name="_Toc397945940"/>
      <w:bookmarkStart w:id="17901" w:name="_Toc397946966"/>
      <w:bookmarkStart w:id="17902" w:name="_Toc397948085"/>
      <w:bookmarkStart w:id="17903" w:name="_Toc397958491"/>
      <w:bookmarkStart w:id="17904" w:name="_Toc397958733"/>
      <w:bookmarkStart w:id="17905" w:name="_Toc397959148"/>
      <w:bookmarkStart w:id="17906" w:name="_Toc397963001"/>
      <w:bookmarkStart w:id="17907" w:name="_Toc397963367"/>
      <w:bookmarkStart w:id="17908" w:name="_Toc397965444"/>
      <w:bookmarkStart w:id="17909" w:name="_Toc398197382"/>
      <w:bookmarkStart w:id="17910" w:name="_Toc398199885"/>
      <w:bookmarkStart w:id="17911" w:name="_Toc398201599"/>
      <w:bookmarkStart w:id="17912" w:name="_Toc398207204"/>
      <w:bookmarkStart w:id="17913" w:name="_Toc398210477"/>
      <w:bookmarkStart w:id="17914" w:name="_Toc398210991"/>
      <w:bookmarkStart w:id="17915" w:name="_Toc398219799"/>
      <w:bookmarkStart w:id="17916" w:name="_Toc398220174"/>
      <w:bookmarkStart w:id="17917" w:name="_Toc398220561"/>
      <w:bookmarkStart w:id="17918" w:name="_Toc398221639"/>
      <w:bookmarkStart w:id="17919" w:name="_Toc398222325"/>
      <w:bookmarkStart w:id="17920" w:name="_Toc398222637"/>
      <w:bookmarkStart w:id="17921" w:name="_Toc398223054"/>
      <w:bookmarkStart w:id="17922" w:name="_Toc398223433"/>
      <w:bookmarkStart w:id="17923" w:name="_Toc398223560"/>
      <w:bookmarkStart w:id="17924" w:name="_Toc398224368"/>
      <w:bookmarkStart w:id="17925" w:name="_Toc398225705"/>
      <w:bookmarkStart w:id="17926" w:name="_Toc398225830"/>
      <w:bookmarkStart w:id="17927" w:name="_Toc398281317"/>
      <w:bookmarkStart w:id="17928" w:name="_Toc398282176"/>
      <w:bookmarkStart w:id="17929" w:name="_Toc398284846"/>
      <w:bookmarkEnd w:id="17533"/>
      <w:bookmarkEnd w:id="17534"/>
      <w:bookmarkEnd w:id="17535"/>
      <w:bookmarkEnd w:id="17536"/>
      <w:bookmarkEnd w:id="17537"/>
      <w:bookmarkEnd w:id="17538"/>
      <w:bookmarkEnd w:id="17539"/>
      <w:bookmarkEnd w:id="17540"/>
      <w:bookmarkEnd w:id="17541"/>
      <w:bookmarkEnd w:id="17542"/>
      <w:bookmarkEnd w:id="17543"/>
      <w:r w:rsidRPr="008625DC">
        <w:rPr>
          <w:rFonts w:ascii="Calibri" w:hAnsi="Calibri"/>
        </w:rPr>
        <w:t xml:space="preserve">The media market is highly integrated, incorporating media content delivery platforms (such as television broadcasting) — which will increasingly include new technologies such as multicasting via the internet — and content delivered via media platforms. </w:t>
      </w:r>
    </w:p>
    <w:p w14:paraId="405F5946" w14:textId="77777777" w:rsidR="0077362F" w:rsidRPr="008625DC" w:rsidRDefault="0077362F" w:rsidP="007F27A5">
      <w:r w:rsidRPr="008625DC">
        <w:t xml:space="preserve">Ownership and content issues are intertwined and essential elements in the commercial strategies adopted by media companies and telecommunications partners. </w:t>
      </w:r>
    </w:p>
    <w:p w14:paraId="24F0A860" w14:textId="1C40D6CE" w:rsidR="0077362F" w:rsidRPr="008625DC" w:rsidRDefault="0077362F" w:rsidP="007F27A5">
      <w:r w:rsidRPr="008625DC">
        <w:t>Competition and the diversity of competitors in the media market are affected both by explicit regulatory interventions and by market developments, particularly in relation to content, which require close monitoring to ensure that competition concerns do not emerge.</w:t>
      </w:r>
    </w:p>
    <w:p w14:paraId="3F782B77" w14:textId="1AF76B73" w:rsidR="0077362F" w:rsidRPr="008625DC" w:rsidRDefault="0077362F" w:rsidP="007F27A5">
      <w:r w:rsidRPr="008625DC">
        <w:t xml:space="preserve">Regulatory interventions regarding ownership and content exist to achieve other stated policy objectives. These other objectives include media ownership diversity and, in the case of broadcasting rules that impose Australian and local content requirements, media content that reflects a sense of Australian identity, character and cultural diversity. </w:t>
      </w:r>
    </w:p>
    <w:p w14:paraId="00283DBD" w14:textId="526D3071" w:rsidR="0077362F" w:rsidRPr="008625DC" w:rsidRDefault="0077362F" w:rsidP="007F27A5">
      <w:r w:rsidRPr="008625DC">
        <w:t xml:space="preserve">The media diversity objectives, which underpin many of the ownership and control rules, are given force by the </w:t>
      </w:r>
      <w:r w:rsidRPr="008625DC">
        <w:rPr>
          <w:i/>
        </w:rPr>
        <w:t>Broadcasting Services Act 1992</w:t>
      </w:r>
      <w:r w:rsidRPr="008625DC">
        <w:t xml:space="preserve"> and administered by the Australian Communications and Media Authority</w:t>
      </w:r>
      <w:r w:rsidRPr="008625DC">
        <w:rPr>
          <w:i/>
        </w:rPr>
        <w:t>.</w:t>
      </w:r>
      <w:r w:rsidRPr="008625DC">
        <w:t xml:space="preserve"> The rules within this Act are relatively simple quantitative constraints, which are generally quite clear to existing and potential market participants.</w:t>
      </w:r>
    </w:p>
    <w:p w14:paraId="22D53668" w14:textId="77777777" w:rsidR="0077362F" w:rsidRPr="008625DC" w:rsidRDefault="0077362F" w:rsidP="007F27A5">
      <w:r w:rsidRPr="008625DC">
        <w:t xml:space="preserve">That said, as hard and fast legislative provisions built around existing market structures and participants at the time legislation is passed, they almost by definition lag developments in a rapidly evolving marketplace. The explicit rules also only cover the most influential services delivered by commercial television broadcasters, commercial radio, and associated print newspapers. </w:t>
      </w:r>
    </w:p>
    <w:p w14:paraId="6894F6D7" w14:textId="30C444B6" w:rsidR="0077362F" w:rsidRPr="008625DC" w:rsidRDefault="0077362F" w:rsidP="0023794D">
      <w:r w:rsidRPr="008625DC">
        <w:t>A large number of competition issues in the media sector have been slated for review this year, as part of the Australian Government</w:t>
      </w:r>
      <w:r w:rsidR="00C74E19" w:rsidRPr="008625DC">
        <w:t>’</w:t>
      </w:r>
      <w:r w:rsidRPr="008625DC">
        <w:t xml:space="preserve">s deregulation agenda. Many media broadcasting issues, such as </w:t>
      </w:r>
      <w:r w:rsidRPr="008625DC">
        <w:lastRenderedPageBreak/>
        <w:t xml:space="preserve">those relating to media control and ownership, have been canvassed in a policy background paper released by the federal </w:t>
      </w:r>
      <w:r w:rsidR="00507166" w:rsidRPr="008625DC">
        <w:t xml:space="preserve">Department of </w:t>
      </w:r>
      <w:r w:rsidRPr="008625DC">
        <w:t>Communications in June 2014.</w:t>
      </w:r>
      <w:r w:rsidRPr="008625DC">
        <w:rPr>
          <w:rStyle w:val="FootnoteReference"/>
          <w:rFonts w:ascii="Calibri" w:hAnsi="Calibri"/>
        </w:rPr>
        <w:footnoteReference w:id="112"/>
      </w:r>
    </w:p>
    <w:p w14:paraId="35CE9423" w14:textId="430216C2" w:rsidR="0077362F" w:rsidRPr="008625DC" w:rsidRDefault="0077362F" w:rsidP="007F27A5">
      <w:r w:rsidRPr="008625DC">
        <w:t>In addition, the Department is also conducting a review of current spectrum policy arrangements to ease the compliance burden on users and improve accessibility of new technologies</w:t>
      </w:r>
      <w:r w:rsidR="00507166" w:rsidRPr="008625DC">
        <w:t>.</w:t>
      </w:r>
      <w:r w:rsidRPr="008625DC">
        <w:rPr>
          <w:rStyle w:val="FootnoteReference"/>
          <w:rFonts w:ascii="Calibri" w:hAnsi="Calibri"/>
        </w:rPr>
        <w:footnoteReference w:id="113"/>
      </w:r>
      <w:r w:rsidRPr="008625DC">
        <w:t xml:space="preserve"> Spectrum use and access arrangements underpin, among other things, existing television and radio broadcasting markets, as well as other uses for the spectrum such as tablets and smartphones, and importantly, essential public and community services</w:t>
      </w:r>
      <w:r w:rsidR="00C74E19" w:rsidRPr="008625DC">
        <w:t xml:space="preserve">. </w:t>
      </w:r>
    </w:p>
    <w:p w14:paraId="5115CA1F" w14:textId="52BCF184" w:rsidR="0077362F" w:rsidRPr="008625DC" w:rsidRDefault="0077362F" w:rsidP="007F27A5">
      <w:r w:rsidRPr="008625DC">
        <w:t>These two reviews will likely raise many issues relevant to the competitive environment for media and broadcasting services</w:t>
      </w:r>
      <w:r w:rsidR="00C74E19" w:rsidRPr="008625DC">
        <w:t xml:space="preserve">. </w:t>
      </w:r>
    </w:p>
    <w:p w14:paraId="4BF7E512" w14:textId="22FAF9CC" w:rsidR="0077362F" w:rsidRPr="008625DC" w:rsidRDefault="0077362F" w:rsidP="007F27A5">
      <w:r w:rsidRPr="008625DC">
        <w:t>Other related media sector issues, such as the anti</w:t>
      </w:r>
      <w:r w:rsidR="00C74E19" w:rsidRPr="008625DC">
        <w:noBreakHyphen/>
      </w:r>
      <w:r w:rsidRPr="008625DC">
        <w:t>siphoning rules (which prevent pay television broadcasters from buying the rights to events on the anti</w:t>
      </w:r>
      <w:r w:rsidR="00C74E19" w:rsidRPr="008625DC">
        <w:noBreakHyphen/>
      </w:r>
      <w:r w:rsidRPr="008625DC">
        <w:t>siphoning list before free</w:t>
      </w:r>
      <w:r w:rsidR="00C74E19" w:rsidRPr="008625DC">
        <w:noBreakHyphen/>
      </w:r>
      <w:r w:rsidRPr="008625DC">
        <w:t>to</w:t>
      </w:r>
      <w:r w:rsidR="00C74E19" w:rsidRPr="008625DC">
        <w:noBreakHyphen/>
      </w:r>
      <w:r w:rsidRPr="008625DC">
        <w:t>air broadcasters have the opportunity to purchase the rights), are identified as issues for consideration by the Government in 2014, as part of the roadmap for deregulation in the Communications portfolio</w:t>
      </w:r>
      <w:r w:rsidR="00C74E19" w:rsidRPr="008625DC">
        <w:t xml:space="preserve">. </w:t>
      </w:r>
    </w:p>
    <w:p w14:paraId="0EEDBA68" w14:textId="5D307E9F" w:rsidR="0077362F" w:rsidRPr="008625DC" w:rsidRDefault="0077362F" w:rsidP="007F27A5">
      <w:r w:rsidRPr="008625DC">
        <w:t xml:space="preserve">A number of media content issues may raise competition concerns over time, particularly in relation to competition in upstream markets for the provision of content. </w:t>
      </w:r>
    </w:p>
    <w:p w14:paraId="459E687E" w14:textId="77777777" w:rsidR="0077362F" w:rsidRPr="008625DC" w:rsidRDefault="0077362F" w:rsidP="007F27A5">
      <w:r w:rsidRPr="008625DC">
        <w:t>As technology evolves, and partnerships between media platform owners, content producers and telecommunication providers strengthen, the capacity to restrict consumer choice or access becomes an issue that competition regulators need to monitor closely.</w:t>
      </w:r>
    </w:p>
    <w:p w14:paraId="691B8BDB" w14:textId="77777777" w:rsidR="0077362F" w:rsidRPr="008625DC" w:rsidRDefault="0077362F" w:rsidP="007F27A5">
      <w:r w:rsidRPr="008625DC">
        <w:t>In Australia, concerns around preferential treatment of content by media owners and telecommunications partners appear less pronounced than in some other jurisdictions. However, the capacity for dominant players in one market to leverage market power into another market, such as media content, is an issue in need of constant monitoring.</w:t>
      </w:r>
    </w:p>
    <w:p w14:paraId="531F1E91" w14:textId="2FA0B96D" w:rsidR="0077362F" w:rsidRPr="008625DC" w:rsidRDefault="0077362F" w:rsidP="0077362F">
      <w:r w:rsidRPr="008625DC">
        <w:t>The Australian Government</w:t>
      </w:r>
      <w:r w:rsidR="00C74E19" w:rsidRPr="008625DC">
        <w:t>’</w:t>
      </w:r>
      <w:r w:rsidRPr="008625DC">
        <w:t>s review of the National Broadband Network is expected to map out some of the competition issues in the telecommunications sector that may play into the media sector over time.</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953A02" w:rsidRPr="008625DC" w14:paraId="26B9776E" w14:textId="77777777" w:rsidTr="00953A02">
        <w:tc>
          <w:tcPr>
            <w:tcW w:w="5000" w:type="pct"/>
            <w:tcBorders>
              <w:top w:val="single" w:sz="4" w:space="0" w:color="129391" w:themeColor="accent2"/>
              <w:left w:val="single" w:sz="4" w:space="0" w:color="129391" w:themeColor="accent2"/>
              <w:bottom w:val="single" w:sz="4" w:space="0" w:color="129391" w:themeColor="accent2"/>
              <w:right w:val="single" w:sz="4" w:space="0" w:color="129391" w:themeColor="accent2"/>
            </w:tcBorders>
            <w:shd w:val="clear" w:color="auto" w:fill="FFFFFF" w:themeFill="background1"/>
            <w:hideMark/>
          </w:tcPr>
          <w:p w14:paraId="3C344750" w14:textId="5F2FE615" w:rsidR="00953A02" w:rsidRPr="008625DC" w:rsidRDefault="00953A02" w:rsidP="00953A02">
            <w:pPr>
              <w:pStyle w:val="Keyfindingheading"/>
              <w:rPr>
                <w:color w:val="009976"/>
              </w:rPr>
            </w:pPr>
            <w:r w:rsidRPr="008625DC">
              <w:rPr>
                <w:color w:val="009976"/>
              </w:rPr>
              <w:lastRenderedPageBreak/>
              <w:t>The Panel</w:t>
            </w:r>
            <w:r w:rsidR="00C74E19" w:rsidRPr="008625DC">
              <w:rPr>
                <w:color w:val="009976"/>
              </w:rPr>
              <w:t>’</w:t>
            </w:r>
            <w:r w:rsidRPr="008625DC">
              <w:rPr>
                <w:color w:val="009976"/>
              </w:rPr>
              <w:t>s view</w:t>
            </w:r>
          </w:p>
          <w:p w14:paraId="3591A9D9" w14:textId="77777777" w:rsidR="0077362F" w:rsidRPr="008625DC" w:rsidRDefault="0077362F" w:rsidP="0077362F">
            <w:pPr>
              <w:pStyle w:val="Keyfindingtext"/>
              <w:rPr>
                <w:rFonts w:ascii="Calibri" w:hAnsi="Calibri"/>
              </w:rPr>
            </w:pPr>
            <w:r w:rsidRPr="008625DC">
              <w:rPr>
                <w:rFonts w:ascii="Calibri" w:hAnsi="Calibri"/>
              </w:rPr>
              <w:t xml:space="preserve">Regulatory restrictions on media ownership and broadcasting rules are designed to achieve other public policy objectives, such as media diversity and support for Australian and local content. In a rapidly evolving technology landscape, inflexible regulatory provisions are unlikely to be sustainable or remain relevant over time. </w:t>
            </w:r>
          </w:p>
          <w:p w14:paraId="787E7773" w14:textId="759CB734" w:rsidR="00953A02" w:rsidRPr="008625DC" w:rsidRDefault="0077362F" w:rsidP="00450C3B">
            <w:pPr>
              <w:pStyle w:val="Keyfindingtext"/>
              <w:rPr>
                <w:rFonts w:ascii="Calibri" w:hAnsi="Calibri"/>
                <w:highlight w:val="yellow"/>
              </w:rPr>
            </w:pPr>
            <w:r w:rsidRPr="008625DC">
              <w:rPr>
                <w:rFonts w:ascii="Calibri" w:hAnsi="Calibri"/>
              </w:rPr>
              <w:t xml:space="preserve">The announced Australian Government reviews as part of the broader deregulation roadmap planned </w:t>
            </w:r>
            <w:r w:rsidR="00450C3B" w:rsidRPr="008625DC">
              <w:rPr>
                <w:rFonts w:ascii="Calibri" w:hAnsi="Calibri"/>
              </w:rPr>
              <w:t>for</w:t>
            </w:r>
            <w:r w:rsidRPr="008625DC">
              <w:rPr>
                <w:rFonts w:ascii="Calibri" w:hAnsi="Calibri"/>
              </w:rPr>
              <w:t xml:space="preserve"> the Communications portfolio in 2014 should consider the current impact of </w:t>
            </w:r>
            <w:r w:rsidR="00450C3B" w:rsidRPr="008625DC">
              <w:rPr>
                <w:rFonts w:ascii="Calibri" w:hAnsi="Calibri"/>
              </w:rPr>
              <w:t xml:space="preserve">the </w:t>
            </w:r>
            <w:r w:rsidRPr="008625DC">
              <w:rPr>
                <w:rFonts w:ascii="Calibri" w:hAnsi="Calibri"/>
              </w:rPr>
              <w:t xml:space="preserve">regulatory interventions on </w:t>
            </w:r>
            <w:r w:rsidR="00450C3B" w:rsidRPr="008625DC">
              <w:rPr>
                <w:rFonts w:ascii="Calibri" w:hAnsi="Calibri"/>
              </w:rPr>
              <w:t>ownership and control of</w:t>
            </w:r>
            <w:r w:rsidRPr="008625DC">
              <w:rPr>
                <w:rFonts w:ascii="Calibri" w:hAnsi="Calibri"/>
              </w:rPr>
              <w:t xml:space="preserve"> media and broadcasting services, as well </w:t>
            </w:r>
            <w:r w:rsidR="00450C3B" w:rsidRPr="008625DC">
              <w:rPr>
                <w:rFonts w:ascii="Calibri" w:hAnsi="Calibri"/>
              </w:rPr>
              <w:t xml:space="preserve">as </w:t>
            </w:r>
            <w:r w:rsidRPr="008625DC">
              <w:rPr>
                <w:rFonts w:ascii="Calibri" w:hAnsi="Calibri"/>
              </w:rPr>
              <w:t xml:space="preserve">the impact </w:t>
            </w:r>
            <w:r w:rsidR="00450C3B" w:rsidRPr="008625DC">
              <w:rPr>
                <w:rFonts w:ascii="Calibri" w:hAnsi="Calibri"/>
              </w:rPr>
              <w:t xml:space="preserve">of rapidly evolving communication technologies </w:t>
            </w:r>
            <w:r w:rsidRPr="008625DC">
              <w:rPr>
                <w:rFonts w:ascii="Calibri" w:hAnsi="Calibri"/>
              </w:rPr>
              <w:t>on competition over time.</w:t>
            </w:r>
          </w:p>
        </w:tc>
      </w:tr>
    </w:tbl>
    <w:p w14:paraId="338B26CA" w14:textId="28D457B4" w:rsidR="00215822" w:rsidRPr="008625DC" w:rsidRDefault="0082589F" w:rsidP="000B5916">
      <w:pPr>
        <w:pStyle w:val="Heading2"/>
        <w:ind w:left="851" w:hanging="851"/>
        <w:rPr>
          <w:lang w:val="en-AU"/>
        </w:rPr>
      </w:pPr>
      <w:bookmarkStart w:id="17930" w:name="_Toc398287315"/>
      <w:bookmarkStart w:id="17931" w:name="_Toc398289198"/>
      <w:bookmarkStart w:id="17932" w:name="_Toc398297195"/>
      <w:bookmarkStart w:id="17933" w:name="_Toc398298669"/>
      <w:bookmarkStart w:id="17934" w:name="_Toc398300370"/>
      <w:bookmarkStart w:id="17935" w:name="_Toc398301267"/>
      <w:bookmarkStart w:id="17936" w:name="_Toc398302452"/>
      <w:bookmarkStart w:id="17937" w:name="_Toc398302615"/>
      <w:bookmarkStart w:id="17938" w:name="_Toc398549129"/>
      <w:bookmarkStart w:id="17939" w:name="_Toc398549379"/>
      <w:bookmarkStart w:id="17940" w:name="_Toc398555798"/>
      <w:bookmarkStart w:id="17941" w:name="_Toc398559002"/>
      <w:bookmarkStart w:id="17942" w:name="_Toc398563488"/>
      <w:bookmarkStart w:id="17943" w:name="_Toc398563621"/>
      <w:bookmarkStart w:id="17944" w:name="_Toc398564020"/>
      <w:bookmarkStart w:id="17945" w:name="_Toc398827360"/>
      <w:bookmarkStart w:id="17946" w:name="_Toc398827554"/>
      <w:bookmarkStart w:id="17947" w:name="s86"/>
      <w:r w:rsidRPr="008625DC">
        <w:rPr>
          <w:lang w:val="en-AU"/>
        </w:rPr>
        <w:t>L</w:t>
      </w:r>
      <w:r w:rsidR="00E5600C" w:rsidRPr="008625DC">
        <w:rPr>
          <w:lang w:val="en-AU"/>
        </w:rPr>
        <w:t>iquor</w:t>
      </w:r>
      <w:r w:rsidR="00215822" w:rsidRPr="008625DC">
        <w:rPr>
          <w:lang w:val="en-AU"/>
        </w:rPr>
        <w:t xml:space="preserve"> and </w:t>
      </w:r>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r w:rsidR="00E5600C" w:rsidRPr="008625DC">
        <w:rPr>
          <w:lang w:val="en-AU"/>
        </w:rPr>
        <w:t>g</w:t>
      </w:r>
      <w:r w:rsidR="00215822" w:rsidRPr="008625DC">
        <w:rPr>
          <w:lang w:val="en-AU"/>
        </w:rPr>
        <w:t>ambling</w:t>
      </w:r>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p>
    <w:bookmarkEnd w:id="17947"/>
    <w:p w14:paraId="7C5BEB6C" w14:textId="19FEFD4C" w:rsidR="00215822" w:rsidRPr="008625DC" w:rsidRDefault="00215822" w:rsidP="00ED3847">
      <w:pPr>
        <w:spacing w:after="120"/>
      </w:pPr>
      <w:r w:rsidRPr="008625DC">
        <w:t xml:space="preserve">Liquor retailing and gambling are two heavily regulated sectors of the economy. The risk of harm to individuals, families and communities from problem drinking and gambling </w:t>
      </w:r>
      <w:r w:rsidR="00FB31E5" w:rsidRPr="008625DC">
        <w:t>provides</w:t>
      </w:r>
      <w:r w:rsidRPr="008625DC">
        <w:t xml:space="preserve"> a clear justification for regulation. This is reflected in a number of submissions expressing concern that changes to the regulation of alcohol sales could increase social harm.</w:t>
      </w:r>
    </w:p>
    <w:p w14:paraId="6D63787B" w14:textId="715FF71B" w:rsidR="00215822" w:rsidRPr="008625DC" w:rsidRDefault="00215822" w:rsidP="00215822">
      <w:pPr>
        <w:pStyle w:val="Quotes"/>
      </w:pPr>
      <w:r w:rsidRPr="008625DC">
        <w:t>Regulating access to alcohol with the objective of minimising harm can only be achieved by restricting the economic and physical availability of alcohol. This justifies the controls that may otherwise be seen as anti</w:t>
      </w:r>
      <w:r w:rsidR="00C74E19" w:rsidRPr="008625DC">
        <w:noBreakHyphen/>
      </w:r>
      <w:r w:rsidRPr="008625DC">
        <w:t>competitive</w:t>
      </w:r>
      <w:r w:rsidR="009A1CAC" w:rsidRPr="008625DC">
        <w:t>.</w:t>
      </w:r>
      <w:r w:rsidR="0012687F" w:rsidRPr="008625DC">
        <w:rPr>
          <w:rStyle w:val="FootnoteReference"/>
        </w:rPr>
        <w:footnoteReference w:id="114"/>
      </w:r>
      <w:r w:rsidRPr="008625DC">
        <w:t xml:space="preserve"> </w:t>
      </w:r>
    </w:p>
    <w:p w14:paraId="4F2E10FE" w14:textId="7099F114" w:rsidR="00FB31E5" w:rsidRPr="008625DC" w:rsidRDefault="00FB31E5" w:rsidP="00FB31E5">
      <w:r w:rsidRPr="008625DC">
        <w:t>However, such regulations also restrict competition</w:t>
      </w:r>
      <w:r w:rsidR="005A19C4" w:rsidRPr="008625DC">
        <w:t xml:space="preserve"> and reduce consumer choice</w:t>
      </w:r>
      <w:r w:rsidRPr="008625DC">
        <w:t xml:space="preserve">. </w:t>
      </w:r>
    </w:p>
    <w:p w14:paraId="3EC974DD" w14:textId="1C1FADD8" w:rsidR="009E1A0C" w:rsidRPr="008625DC" w:rsidRDefault="00FB31E5" w:rsidP="00ED3847">
      <w:pPr>
        <w:spacing w:after="120"/>
      </w:pPr>
      <w:r w:rsidRPr="008625DC">
        <w:t xml:space="preserve">Under the previous </w:t>
      </w:r>
      <w:r w:rsidR="00765602" w:rsidRPr="008625DC">
        <w:t>NCP</w:t>
      </w:r>
      <w:r w:rsidR="006D0A3B" w:rsidRPr="008625DC">
        <w:t xml:space="preserve"> </w:t>
      </w:r>
      <w:r w:rsidRPr="008625DC">
        <w:t>Review, a number of pre</w:t>
      </w:r>
      <w:r w:rsidR="00C74E19" w:rsidRPr="008625DC">
        <w:noBreakHyphen/>
      </w:r>
      <w:r w:rsidRPr="008625DC">
        <w:t xml:space="preserve">existing competitive barriers for the alcohol industry were removed, but the extent of reform varied by </w:t>
      </w:r>
      <w:r w:rsidR="0046149D" w:rsidRPr="008625DC">
        <w:t>S</w:t>
      </w:r>
      <w:r w:rsidRPr="008625DC">
        <w:t xml:space="preserve">tate and the NCC withheld payments from several jurisdictions due to lack of progress in this area. </w:t>
      </w:r>
      <w:r w:rsidR="009E1A0C" w:rsidRPr="008625DC">
        <w:t xml:space="preserve">Some stakeholders submit that existing regulations unduly restrict competition. For example, in relation to </w:t>
      </w:r>
      <w:r w:rsidR="00765602" w:rsidRPr="008625DC">
        <w:t>gambling</w:t>
      </w:r>
      <w:r w:rsidR="009E1A0C" w:rsidRPr="008625DC">
        <w:t>, the A</w:t>
      </w:r>
      <w:r w:rsidR="00F537EB" w:rsidRPr="008625DC">
        <w:t xml:space="preserve">ustralian </w:t>
      </w:r>
      <w:r w:rsidR="009E1A0C" w:rsidRPr="008625DC">
        <w:t>H</w:t>
      </w:r>
      <w:r w:rsidR="00F537EB" w:rsidRPr="008625DC">
        <w:t xml:space="preserve">otels Association </w:t>
      </w:r>
      <w:r w:rsidR="00D21C9A" w:rsidRPr="008625DC">
        <w:t xml:space="preserve">argues </w:t>
      </w:r>
      <w:r w:rsidR="009E1A0C" w:rsidRPr="008625DC">
        <w:t>that</w:t>
      </w:r>
      <w:r w:rsidR="00765602" w:rsidRPr="008625DC">
        <w:t>:</w:t>
      </w:r>
      <w:r w:rsidR="009E1A0C" w:rsidRPr="008625DC">
        <w:t xml:space="preserve"> </w:t>
      </w:r>
    </w:p>
    <w:p w14:paraId="5195081E" w14:textId="431A2C15" w:rsidR="009E1A0C" w:rsidRPr="008625DC" w:rsidRDefault="00507166" w:rsidP="006B7947">
      <w:pPr>
        <w:pStyle w:val="Quotes"/>
      </w:pPr>
      <w:r w:rsidRPr="008625DC">
        <w:t>[</w:t>
      </w:r>
      <w:r w:rsidR="00160D90">
        <w:t>H</w:t>
      </w:r>
      <w:r w:rsidRPr="008625DC">
        <w:t>]</w:t>
      </w:r>
      <w:r w:rsidR="009E1A0C" w:rsidRPr="008625DC">
        <w:t xml:space="preserve">otels can only sell wagering acting as an agent for the </w:t>
      </w:r>
      <w:r w:rsidR="00ED7DDB" w:rsidRPr="008625DC">
        <w:t>company holding the exclusive licence</w:t>
      </w:r>
      <w:r w:rsidR="009E1A0C" w:rsidRPr="008625DC">
        <w:t xml:space="preserve">. </w:t>
      </w:r>
      <w:r w:rsidR="0012687F" w:rsidRPr="008625DC">
        <w:t>T</w:t>
      </w:r>
      <w:r w:rsidR="00ED7DDB" w:rsidRPr="008625DC">
        <w:t xml:space="preserve">he presence of a </w:t>
      </w:r>
      <w:r w:rsidR="009E1A0C" w:rsidRPr="008625DC">
        <w:t>monopoly ensures far less productive offerings than would be the case in a competitive environment</w:t>
      </w:r>
      <w:r w:rsidR="00C0062A" w:rsidRPr="008625DC">
        <w:t>.</w:t>
      </w:r>
      <w:r w:rsidR="009E1A0C" w:rsidRPr="008625DC">
        <w:t xml:space="preserve"> </w:t>
      </w:r>
      <w:r w:rsidR="00F537EB" w:rsidRPr="008625DC">
        <w:t>(</w:t>
      </w:r>
      <w:proofErr w:type="gramStart"/>
      <w:r w:rsidR="00F537EB" w:rsidRPr="008625DC">
        <w:t>p</w:t>
      </w:r>
      <w:r w:rsidR="00ED3847" w:rsidRPr="008625DC">
        <w:t>age</w:t>
      </w:r>
      <w:proofErr w:type="gramEnd"/>
      <w:r w:rsidR="00F537EB" w:rsidRPr="008625DC">
        <w:t xml:space="preserve"> 5)</w:t>
      </w:r>
    </w:p>
    <w:p w14:paraId="1A1AC23F" w14:textId="621035AC" w:rsidR="005A19C4" w:rsidRPr="008625DC" w:rsidRDefault="005A19C4" w:rsidP="005A19C4">
      <w:r w:rsidRPr="008625DC">
        <w:t xml:space="preserve">The Australasian Association of Convenience </w:t>
      </w:r>
      <w:r w:rsidR="00ED7DDB" w:rsidRPr="008625DC">
        <w:t>S</w:t>
      </w:r>
      <w:r w:rsidRPr="008625DC">
        <w:t>tores submit</w:t>
      </w:r>
      <w:r w:rsidR="00E046BF" w:rsidRPr="008625DC">
        <w:t>s</w:t>
      </w:r>
      <w:r w:rsidRPr="008625DC">
        <w:t xml:space="preserve"> that regulation preventing its members from obtaining liquor licences inhibits their ability to meet customers</w:t>
      </w:r>
      <w:r w:rsidR="00C74E19" w:rsidRPr="008625DC">
        <w:t>’</w:t>
      </w:r>
      <w:r w:rsidRPr="008625DC">
        <w:t xml:space="preserve"> demands and to compete with Coles and Woolworths</w:t>
      </w:r>
      <w:r w:rsidR="0012687F" w:rsidRPr="008625DC">
        <w:t>.</w:t>
      </w:r>
      <w:r w:rsidRPr="008625DC">
        <w:t xml:space="preserve"> (</w:t>
      </w:r>
      <w:proofErr w:type="gramStart"/>
      <w:r w:rsidRPr="008625DC">
        <w:t>p</w:t>
      </w:r>
      <w:r w:rsidR="00ED3847" w:rsidRPr="008625DC">
        <w:t>age</w:t>
      </w:r>
      <w:proofErr w:type="gramEnd"/>
      <w:r w:rsidRPr="008625DC">
        <w:t xml:space="preserve"> 5)</w:t>
      </w:r>
    </w:p>
    <w:p w14:paraId="0F9AB093" w14:textId="6288FBD7" w:rsidR="005A19C4" w:rsidRPr="008625DC" w:rsidRDefault="005A19C4" w:rsidP="005A19C4">
      <w:r w:rsidRPr="008625DC">
        <w:t>Other stakeholders, including the Master Grocers Association and AURL Foodworks</w:t>
      </w:r>
      <w:r w:rsidR="005E6EFA" w:rsidRPr="008625DC">
        <w:t>,</w:t>
      </w:r>
      <w:r w:rsidRPr="008625DC">
        <w:t xml:space="preserve"> cite the example of Queensland</w:t>
      </w:r>
      <w:r w:rsidR="00C74E19" w:rsidRPr="008625DC">
        <w:t>’</w:t>
      </w:r>
      <w:r w:rsidRPr="008625DC">
        <w:t>s liquor licen</w:t>
      </w:r>
      <w:r w:rsidR="005E6EFA" w:rsidRPr="008625DC">
        <w:t>s</w:t>
      </w:r>
      <w:r w:rsidRPr="008625DC">
        <w:t xml:space="preserve">ing regime, </w:t>
      </w:r>
      <w:r w:rsidR="005E6EFA" w:rsidRPr="008625DC">
        <w:t xml:space="preserve">under which </w:t>
      </w:r>
      <w:r w:rsidRPr="008625DC">
        <w:t>only premise</w:t>
      </w:r>
      <w:r w:rsidR="005E6EFA" w:rsidRPr="008625DC">
        <w:t>s</w:t>
      </w:r>
      <w:r w:rsidRPr="008625DC">
        <w:t xml:space="preserve"> with a hotel licence </w:t>
      </w:r>
      <w:r w:rsidR="005E6EFA" w:rsidRPr="008625DC">
        <w:t xml:space="preserve">may operate </w:t>
      </w:r>
      <w:r w:rsidRPr="008625DC">
        <w:t>detached bottle</w:t>
      </w:r>
      <w:r w:rsidR="00C74E19" w:rsidRPr="008625DC">
        <w:noBreakHyphen/>
      </w:r>
      <w:r w:rsidRPr="008625DC">
        <w:t>shops, as an impediment to their ability to respond to consumers and compete with Coles and Woolworths.</w:t>
      </w:r>
    </w:p>
    <w:p w14:paraId="3A45B9CC" w14:textId="50FDAB68" w:rsidR="005A19C4" w:rsidRPr="008625DC" w:rsidRDefault="005A19C4" w:rsidP="000561E4">
      <w:pPr>
        <w:rPr>
          <w:bCs/>
        </w:rPr>
      </w:pPr>
      <w:r w:rsidRPr="008625DC">
        <w:t>The PC</w:t>
      </w:r>
      <w:r w:rsidR="00C74E19" w:rsidRPr="008625DC">
        <w:rPr>
          <w:bCs/>
        </w:rPr>
        <w:t>’</w:t>
      </w:r>
      <w:r w:rsidRPr="008625DC">
        <w:rPr>
          <w:bCs/>
        </w:rPr>
        <w:t xml:space="preserve">s 2010 </w:t>
      </w:r>
      <w:r w:rsidR="00ED7DDB" w:rsidRPr="008625DC">
        <w:rPr>
          <w:bCs/>
        </w:rPr>
        <w:t>Gambling</w:t>
      </w:r>
      <w:r w:rsidRPr="008625DC">
        <w:rPr>
          <w:bCs/>
        </w:rPr>
        <w:t xml:space="preserve"> </w:t>
      </w:r>
      <w:r w:rsidR="00575A09" w:rsidRPr="008625DC">
        <w:rPr>
          <w:bCs/>
        </w:rPr>
        <w:t>r</w:t>
      </w:r>
      <w:r w:rsidRPr="008625DC">
        <w:rPr>
          <w:bCs/>
        </w:rPr>
        <w:t>eport conclude</w:t>
      </w:r>
      <w:r w:rsidR="00E046BF" w:rsidRPr="008625DC">
        <w:rPr>
          <w:bCs/>
        </w:rPr>
        <w:t>d</w:t>
      </w:r>
      <w:r w:rsidRPr="008625DC">
        <w:rPr>
          <w:bCs/>
        </w:rPr>
        <w:t xml:space="preserve"> that current gambling regulations have highly questionable effectiveness in reducing harm; Australians los</w:t>
      </w:r>
      <w:r w:rsidR="006351E0" w:rsidRPr="008625DC">
        <w:rPr>
          <w:bCs/>
        </w:rPr>
        <w:t>t $19 billion</w:t>
      </w:r>
      <w:r w:rsidRPr="008625DC">
        <w:rPr>
          <w:bCs/>
        </w:rPr>
        <w:t xml:space="preserve"> in gambling activities </w:t>
      </w:r>
      <w:r w:rsidR="006351E0" w:rsidRPr="008625DC">
        <w:rPr>
          <w:bCs/>
        </w:rPr>
        <w:t>in 2008</w:t>
      </w:r>
      <w:r w:rsidR="00C74E19" w:rsidRPr="008625DC">
        <w:rPr>
          <w:bCs/>
        </w:rPr>
        <w:noBreakHyphen/>
      </w:r>
      <w:r w:rsidR="006351E0" w:rsidRPr="008625DC">
        <w:rPr>
          <w:bCs/>
        </w:rPr>
        <w:t>09</w:t>
      </w:r>
      <w:r w:rsidRPr="008625DC">
        <w:rPr>
          <w:bCs/>
        </w:rPr>
        <w:t>, and the incidence of problem gambling is significant</w:t>
      </w:r>
      <w:r w:rsidR="0023794D" w:rsidRPr="008625DC">
        <w:rPr>
          <w:bCs/>
        </w:rPr>
        <w:t>.</w:t>
      </w:r>
      <w:r w:rsidR="00ED7DDB" w:rsidRPr="008625DC">
        <w:rPr>
          <w:rStyle w:val="FootnoteReference"/>
          <w:bCs/>
        </w:rPr>
        <w:footnoteReference w:id="115"/>
      </w:r>
      <w:r w:rsidRPr="008625DC">
        <w:rPr>
          <w:bCs/>
        </w:rPr>
        <w:t xml:space="preserve"> </w:t>
      </w:r>
    </w:p>
    <w:p w14:paraId="63D7BE7E" w14:textId="127BADAD" w:rsidR="005A19C4" w:rsidRPr="008625DC" w:rsidRDefault="005A19C4" w:rsidP="000561E4">
      <w:r w:rsidRPr="008625DC">
        <w:lastRenderedPageBreak/>
        <w:t>T</w:t>
      </w:r>
      <w:r w:rsidRPr="008625DC">
        <w:rPr>
          <w:bCs/>
        </w:rPr>
        <w:t>he PC</w:t>
      </w:r>
      <w:r w:rsidR="00C74E19" w:rsidRPr="008625DC">
        <w:rPr>
          <w:bCs/>
        </w:rPr>
        <w:t>’</w:t>
      </w:r>
      <w:r w:rsidRPr="008625DC">
        <w:rPr>
          <w:bCs/>
        </w:rPr>
        <w:t xml:space="preserve">s </w:t>
      </w:r>
      <w:r w:rsidR="00575A09" w:rsidRPr="008625DC">
        <w:rPr>
          <w:bCs/>
        </w:rPr>
        <w:t>r</w:t>
      </w:r>
      <w:r w:rsidR="00BC2586" w:rsidRPr="008625DC">
        <w:rPr>
          <w:bCs/>
        </w:rPr>
        <w:t>eport</w:t>
      </w:r>
      <w:r w:rsidRPr="008625DC">
        <w:rPr>
          <w:bCs/>
        </w:rPr>
        <w:t xml:space="preserve"> and other evidence suggest there is no simple relationship </w:t>
      </w:r>
      <w:r w:rsidR="005E6EFA" w:rsidRPr="008625DC">
        <w:rPr>
          <w:bCs/>
        </w:rPr>
        <w:t>between</w:t>
      </w:r>
      <w:r w:rsidRPr="008625DC">
        <w:rPr>
          <w:bCs/>
        </w:rPr>
        <w:t xml:space="preserve"> restricti</w:t>
      </w:r>
      <w:r w:rsidR="005E6EFA" w:rsidRPr="008625DC">
        <w:rPr>
          <w:bCs/>
        </w:rPr>
        <w:t>ng</w:t>
      </w:r>
      <w:r w:rsidRPr="008625DC">
        <w:rPr>
          <w:bCs/>
        </w:rPr>
        <w:t xml:space="preserve"> competition </w:t>
      </w:r>
      <w:r w:rsidR="005E6EFA" w:rsidRPr="008625DC">
        <w:rPr>
          <w:bCs/>
        </w:rPr>
        <w:t>and mitigating</w:t>
      </w:r>
      <w:r w:rsidRPr="008625DC">
        <w:rPr>
          <w:bCs/>
        </w:rPr>
        <w:t xml:space="preserve"> harm. In fact, the PC noted that an important source of consumer detriment from the current regulations is their anti</w:t>
      </w:r>
      <w:r w:rsidR="00C74E19" w:rsidRPr="008625DC">
        <w:rPr>
          <w:bCs/>
        </w:rPr>
        <w:noBreakHyphen/>
      </w:r>
      <w:r w:rsidRPr="008625DC">
        <w:rPr>
          <w:bCs/>
        </w:rPr>
        <w:t>competitive effects.</w:t>
      </w:r>
    </w:p>
    <w:p w14:paraId="2F328EBA" w14:textId="0BCF57B3" w:rsidR="00EB729F" w:rsidRPr="008625DC" w:rsidRDefault="00EB729F" w:rsidP="0023794D">
      <w:r w:rsidRPr="008625DC">
        <w:t>Considerable time has elapsed since the NCP reviews of regulation in these areas. Those reviews noted the desirability of revisiting these regulations in future to assess their impact and t</w:t>
      </w:r>
      <w:r w:rsidR="005E6EFA" w:rsidRPr="008625DC">
        <w:t>o compare</w:t>
      </w:r>
      <w:r w:rsidRPr="008625DC">
        <w:t xml:space="preserve"> outcomes in jurisdictions that have implemented competition reforms with those that have not.</w:t>
      </w:r>
    </w:p>
    <w:p w14:paraId="419A5002" w14:textId="77777777" w:rsidR="00EB729F" w:rsidRPr="008625DC" w:rsidRDefault="00EB729F" w:rsidP="0023794D">
      <w:r w:rsidRPr="008625DC">
        <w:t>For example, state and local liquor licensing regimes could be reviewed to test for any evidence that the more burdensome regimes are producing superior outcomes.</w:t>
      </w:r>
    </w:p>
    <w:p w14:paraId="1F0796A8" w14:textId="1F8C0CCE" w:rsidR="00EB729F" w:rsidRPr="008625DC" w:rsidRDefault="00E046BF" w:rsidP="0023794D">
      <w:r w:rsidRPr="008625DC">
        <w:t>R</w:t>
      </w:r>
      <w:r w:rsidR="00EB729F" w:rsidRPr="008625DC">
        <w:t>estrictions on convenience stores selling alcohol and the Queensland licensing regime can prevent small business from competing with large retailers like Woolworths and Coles.</w:t>
      </w:r>
    </w:p>
    <w:tbl>
      <w:tblPr>
        <w:tblW w:w="4908" w:type="pct"/>
        <w:tblInd w:w="63"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115"/>
      </w:tblGrid>
      <w:tr w:rsidR="00215822" w:rsidRPr="008625DC" w14:paraId="7DEEA821" w14:textId="77777777" w:rsidTr="005A19C4">
        <w:tc>
          <w:tcPr>
            <w:tcW w:w="5000" w:type="pct"/>
            <w:shd w:val="clear" w:color="auto" w:fill="FFFFFF" w:themeFill="background1"/>
          </w:tcPr>
          <w:p w14:paraId="750C7852" w14:textId="1C166FE6" w:rsidR="00215822" w:rsidRPr="008625DC" w:rsidRDefault="00215822" w:rsidP="00F7370D">
            <w:pPr>
              <w:pStyle w:val="Keyfindingheading"/>
            </w:pPr>
            <w:r w:rsidRPr="008625DC">
              <w:t>The Panel</w:t>
            </w:r>
            <w:r w:rsidR="00C74E19" w:rsidRPr="008625DC">
              <w:t>’</w:t>
            </w:r>
            <w:r w:rsidRPr="008625DC">
              <w:t>s view</w:t>
            </w:r>
          </w:p>
          <w:p w14:paraId="7A70EA88" w14:textId="281C07C4" w:rsidR="00215822" w:rsidRPr="008625DC" w:rsidRDefault="00215822" w:rsidP="00F7370D">
            <w:pPr>
              <w:pStyle w:val="Keyfindingtext"/>
            </w:pPr>
            <w:bookmarkStart w:id="17948" w:name="_Toc393985138"/>
            <w:bookmarkStart w:id="17949" w:name="_Toc393985641"/>
            <w:bookmarkStart w:id="17950" w:name="_Toc393986043"/>
            <w:bookmarkStart w:id="17951" w:name="_Toc393986446"/>
            <w:bookmarkStart w:id="17952" w:name="_Toc393988053"/>
            <w:bookmarkStart w:id="17953" w:name="_Toc393988455"/>
            <w:bookmarkStart w:id="17954" w:name="_Toc393989467"/>
            <w:bookmarkStart w:id="17955" w:name="_Toc393988855"/>
            <w:bookmarkStart w:id="17956" w:name="_Toc393990859"/>
            <w:bookmarkStart w:id="17957" w:name="_Toc393991841"/>
            <w:bookmarkStart w:id="17958" w:name="_Toc394047504"/>
            <w:bookmarkStart w:id="17959" w:name="_Toc394049780"/>
            <w:bookmarkStart w:id="17960" w:name="_Toc394051180"/>
            <w:bookmarkStart w:id="17961" w:name="_Toc394062169"/>
            <w:bookmarkStart w:id="17962" w:name="_Toc394069044"/>
            <w:bookmarkStart w:id="17963" w:name="_Toc394070962"/>
            <w:bookmarkStart w:id="17964" w:name="_Toc394312365"/>
            <w:bookmarkStart w:id="17965" w:name="_Toc394330649"/>
            <w:bookmarkStart w:id="17966" w:name="_Toc394330269"/>
            <w:bookmarkStart w:id="17967" w:name="_Toc394333243"/>
            <w:bookmarkStart w:id="17968" w:name="_Toc394332821"/>
            <w:bookmarkStart w:id="17969" w:name="_Toc394333656"/>
            <w:bookmarkStart w:id="17970" w:name="_Toc394334069"/>
            <w:bookmarkStart w:id="17971" w:name="_Toc394334895"/>
            <w:bookmarkStart w:id="17972" w:name="_Toc394415078"/>
            <w:bookmarkStart w:id="17973" w:name="_Toc394412383"/>
            <w:bookmarkStart w:id="17974" w:name="_Toc394420674"/>
            <w:bookmarkStart w:id="17975" w:name="_Toc394421148"/>
            <w:bookmarkStart w:id="17976" w:name="_Toc394423518"/>
            <w:bookmarkStart w:id="17977" w:name="_Toc394420452"/>
            <w:bookmarkStart w:id="17978" w:name="_Toc394422562"/>
            <w:bookmarkStart w:id="17979" w:name="_Toc394423033"/>
            <w:bookmarkStart w:id="17980" w:name="_Toc394424183"/>
            <w:bookmarkStart w:id="17981" w:name="_Toc394492016"/>
            <w:bookmarkStart w:id="17982" w:name="_Toc394495161"/>
            <w:bookmarkStart w:id="17983" w:name="_Toc394497976"/>
            <w:bookmarkStart w:id="17984" w:name="_Toc394500768"/>
            <w:bookmarkStart w:id="17985" w:name="_Toc394502172"/>
            <w:bookmarkStart w:id="17986" w:name="_Toc394503074"/>
            <w:bookmarkStart w:id="17987" w:name="_Toc394502618"/>
            <w:bookmarkStart w:id="17988" w:name="_Toc394505825"/>
            <w:bookmarkStart w:id="17989" w:name="_Toc394506284"/>
            <w:bookmarkStart w:id="17990" w:name="_Toc394506838"/>
            <w:bookmarkStart w:id="17991" w:name="_Toc394560915"/>
            <w:bookmarkStart w:id="17992" w:name="_Toc394561376"/>
            <w:bookmarkStart w:id="17993" w:name="_Toc394938347"/>
            <w:bookmarkStart w:id="17994" w:name="_Toc394937627"/>
            <w:bookmarkStart w:id="17995" w:name="_Toc394941258"/>
            <w:bookmarkStart w:id="17996" w:name="_Toc394941874"/>
            <w:bookmarkStart w:id="17997" w:name="_Toc394940096"/>
            <w:bookmarkStart w:id="17998" w:name="_Toc394939706"/>
            <w:bookmarkStart w:id="17999" w:name="_Toc394993603"/>
            <w:bookmarkStart w:id="18000" w:name="_Toc394995484"/>
            <w:bookmarkStart w:id="18001" w:name="_Toc394995798"/>
            <w:bookmarkStart w:id="18002" w:name="_Toc394998043"/>
            <w:bookmarkStart w:id="18003" w:name="_Toc394998557"/>
            <w:bookmarkStart w:id="18004" w:name="_Toc395002056"/>
            <w:bookmarkStart w:id="18005" w:name="_Toc395001262"/>
            <w:bookmarkStart w:id="18006" w:name="_Toc395001536"/>
            <w:bookmarkStart w:id="18007" w:name="_Toc395002825"/>
            <w:bookmarkStart w:id="18008" w:name="_Toc395003410"/>
            <w:bookmarkStart w:id="18009" w:name="_Toc395005651"/>
            <w:bookmarkStart w:id="18010" w:name="_Toc395009645"/>
            <w:bookmarkStart w:id="18011" w:name="_Toc395010384"/>
            <w:bookmarkStart w:id="18012" w:name="_Toc395012568"/>
            <w:bookmarkStart w:id="18013" w:name="_Toc395010973"/>
            <w:bookmarkStart w:id="18014" w:name="_Toc395013031"/>
            <w:bookmarkStart w:id="18015" w:name="_Toc395012033"/>
            <w:bookmarkStart w:id="18016" w:name="_Toc395014372"/>
            <w:bookmarkStart w:id="18017" w:name="_Toc395084723"/>
            <w:bookmarkStart w:id="18018" w:name="_Toc395085024"/>
            <w:bookmarkStart w:id="18019" w:name="_Toc395090487"/>
            <w:bookmarkStart w:id="18020" w:name="_Toc395093071"/>
            <w:bookmarkStart w:id="18021" w:name="_Toc395097983"/>
            <w:bookmarkStart w:id="18022" w:name="_Toc395106168"/>
            <w:bookmarkStart w:id="18023" w:name="_Toc395109761"/>
            <w:bookmarkStart w:id="18024" w:name="_Toc395112138"/>
            <w:bookmarkStart w:id="18025" w:name="_Toc395108841"/>
            <w:bookmarkStart w:id="18026" w:name="_Toc395114081"/>
            <w:bookmarkStart w:id="18027" w:name="_Toc395116818"/>
            <w:bookmarkStart w:id="18028" w:name="_Toc395112755"/>
            <w:bookmarkStart w:id="18029" w:name="_Toc395115295"/>
            <w:bookmarkStart w:id="18030" w:name="_Toc395118447"/>
            <w:bookmarkStart w:id="18031" w:name="_Toc395624642"/>
            <w:bookmarkStart w:id="18032" w:name="_Toc395789993"/>
            <w:bookmarkStart w:id="18033" w:name="_Toc395800751"/>
            <w:r w:rsidRPr="008625DC">
              <w:t xml:space="preserve">Liquor retailing and gambling are two heavily regulated sectors of the economy. The risk of harm to individuals, families and communities from problem drinking and gambling </w:t>
            </w:r>
            <w:r w:rsidR="00A15A2E" w:rsidRPr="008625DC">
              <w:t>is</w:t>
            </w:r>
            <w:r w:rsidRPr="008625DC">
              <w:t xml:space="preserve"> a clear justification for regulation.</w:t>
            </w:r>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p>
          <w:p w14:paraId="755CA339" w14:textId="29587506" w:rsidR="00215822" w:rsidRPr="008625DC" w:rsidRDefault="00EB729F" w:rsidP="005E6EFA">
            <w:pPr>
              <w:pStyle w:val="Keyfindingtext"/>
            </w:pPr>
            <w:bookmarkStart w:id="18034" w:name="_Toc393985141"/>
            <w:bookmarkStart w:id="18035" w:name="_Toc393985644"/>
            <w:bookmarkStart w:id="18036" w:name="_Toc393986046"/>
            <w:bookmarkStart w:id="18037" w:name="_Toc393986449"/>
            <w:bookmarkStart w:id="18038" w:name="_Toc393988056"/>
            <w:bookmarkStart w:id="18039" w:name="_Toc393988458"/>
            <w:bookmarkStart w:id="18040" w:name="_Toc393989470"/>
            <w:bookmarkStart w:id="18041" w:name="_Toc393988858"/>
            <w:bookmarkStart w:id="18042" w:name="_Toc393990862"/>
            <w:bookmarkStart w:id="18043" w:name="_Toc393991844"/>
            <w:bookmarkStart w:id="18044" w:name="_Toc394047507"/>
            <w:bookmarkStart w:id="18045" w:name="_Toc394049783"/>
            <w:bookmarkStart w:id="18046" w:name="_Toc394051183"/>
            <w:bookmarkStart w:id="18047" w:name="_Toc394062172"/>
            <w:bookmarkStart w:id="18048" w:name="_Toc394069047"/>
            <w:bookmarkStart w:id="18049" w:name="_Toc394070965"/>
            <w:bookmarkStart w:id="18050" w:name="_Toc394312368"/>
            <w:bookmarkStart w:id="18051" w:name="_Toc394330652"/>
            <w:bookmarkStart w:id="18052" w:name="_Toc394330272"/>
            <w:bookmarkStart w:id="18053" w:name="_Toc394333246"/>
            <w:bookmarkStart w:id="18054" w:name="_Toc394332824"/>
            <w:bookmarkStart w:id="18055" w:name="_Toc394333659"/>
            <w:bookmarkStart w:id="18056" w:name="_Toc394334072"/>
            <w:bookmarkStart w:id="18057" w:name="_Toc394334898"/>
            <w:bookmarkStart w:id="18058" w:name="_Toc394415081"/>
            <w:bookmarkStart w:id="18059" w:name="_Toc394412386"/>
            <w:bookmarkStart w:id="18060" w:name="_Toc394420677"/>
            <w:bookmarkStart w:id="18061" w:name="_Toc394421151"/>
            <w:bookmarkStart w:id="18062" w:name="_Toc394423521"/>
            <w:bookmarkStart w:id="18063" w:name="_Toc394420455"/>
            <w:bookmarkStart w:id="18064" w:name="_Toc394422565"/>
            <w:bookmarkStart w:id="18065" w:name="_Toc394423036"/>
            <w:bookmarkStart w:id="18066" w:name="_Toc394424186"/>
            <w:bookmarkStart w:id="18067" w:name="_Toc394492019"/>
            <w:bookmarkStart w:id="18068" w:name="_Toc394495164"/>
            <w:bookmarkStart w:id="18069" w:name="_Toc394497979"/>
            <w:bookmarkStart w:id="18070" w:name="_Toc394500771"/>
            <w:bookmarkStart w:id="18071" w:name="_Toc394502175"/>
            <w:bookmarkStart w:id="18072" w:name="_Toc394503077"/>
            <w:bookmarkStart w:id="18073" w:name="_Toc394502621"/>
            <w:bookmarkStart w:id="18074" w:name="_Toc394505828"/>
            <w:bookmarkStart w:id="18075" w:name="_Toc394506287"/>
            <w:bookmarkStart w:id="18076" w:name="_Toc394506841"/>
            <w:bookmarkStart w:id="18077" w:name="_Toc394560918"/>
            <w:bookmarkStart w:id="18078" w:name="_Toc394561379"/>
            <w:bookmarkStart w:id="18079" w:name="_Toc394938350"/>
            <w:bookmarkStart w:id="18080" w:name="_Toc394937630"/>
            <w:bookmarkStart w:id="18081" w:name="_Toc394941261"/>
            <w:bookmarkStart w:id="18082" w:name="_Toc394941877"/>
            <w:bookmarkStart w:id="18083" w:name="_Toc394940099"/>
            <w:bookmarkStart w:id="18084" w:name="_Toc394939709"/>
            <w:bookmarkStart w:id="18085" w:name="_Toc394993606"/>
            <w:bookmarkStart w:id="18086" w:name="_Toc394995487"/>
            <w:bookmarkStart w:id="18087" w:name="_Toc394995801"/>
            <w:bookmarkStart w:id="18088" w:name="_Toc394998046"/>
            <w:bookmarkStart w:id="18089" w:name="_Toc394998560"/>
            <w:bookmarkStart w:id="18090" w:name="_Toc395002059"/>
            <w:bookmarkStart w:id="18091" w:name="_Toc395001265"/>
            <w:bookmarkStart w:id="18092" w:name="_Toc395001539"/>
            <w:bookmarkStart w:id="18093" w:name="_Toc395002828"/>
            <w:bookmarkStart w:id="18094" w:name="_Toc395003413"/>
            <w:bookmarkStart w:id="18095" w:name="_Toc395005654"/>
            <w:bookmarkStart w:id="18096" w:name="_Toc395009648"/>
            <w:bookmarkStart w:id="18097" w:name="_Toc395010387"/>
            <w:bookmarkStart w:id="18098" w:name="_Toc395012571"/>
            <w:bookmarkStart w:id="18099" w:name="_Toc395010976"/>
            <w:bookmarkStart w:id="18100" w:name="_Toc395013034"/>
            <w:bookmarkStart w:id="18101" w:name="_Toc395012036"/>
            <w:bookmarkStart w:id="18102" w:name="_Toc395014375"/>
            <w:bookmarkStart w:id="18103" w:name="_Toc395084726"/>
            <w:bookmarkStart w:id="18104" w:name="_Toc395085027"/>
            <w:bookmarkStart w:id="18105" w:name="_Toc395090490"/>
            <w:bookmarkStart w:id="18106" w:name="_Toc395093074"/>
            <w:bookmarkStart w:id="18107" w:name="_Toc395097986"/>
            <w:bookmarkStart w:id="18108" w:name="_Toc395106170"/>
            <w:bookmarkStart w:id="18109" w:name="_Toc395109763"/>
            <w:bookmarkStart w:id="18110" w:name="_Toc395112140"/>
            <w:bookmarkStart w:id="18111" w:name="_Toc395107282"/>
            <w:bookmarkStart w:id="18112" w:name="_Toc395108843"/>
            <w:bookmarkStart w:id="18113" w:name="_Toc395114083"/>
            <w:bookmarkStart w:id="18114" w:name="_Toc395116820"/>
            <w:bookmarkStart w:id="18115" w:name="_Toc395112757"/>
            <w:bookmarkStart w:id="18116" w:name="_Toc395115297"/>
            <w:bookmarkStart w:id="18117" w:name="_Toc395118449"/>
            <w:bookmarkStart w:id="18118" w:name="_Toc395624644"/>
            <w:bookmarkStart w:id="18119" w:name="_Toc395789995"/>
            <w:bookmarkStart w:id="18120" w:name="_Toc395800753"/>
            <w:r w:rsidRPr="008625DC">
              <w:t xml:space="preserve">However, there is no case to exempt regulations in these areas from ongoing review to ensure that they are meeting their stated objectives at least costs to consumers. The impact of </w:t>
            </w:r>
            <w:r w:rsidR="005E6EFA" w:rsidRPr="008625DC">
              <w:t>regulatory</w:t>
            </w:r>
            <w:r w:rsidRPr="008625DC">
              <w:t xml:space="preserve"> restrictions </w:t>
            </w:r>
            <w:r w:rsidR="005313BD" w:rsidRPr="008625DC">
              <w:t>o</w:t>
            </w:r>
            <w:r w:rsidRPr="008625DC">
              <w:t>n the ability of small businesses to compete should be considered</w:t>
            </w:r>
            <w:r w:rsidR="005E6EFA" w:rsidRPr="008625DC">
              <w:t xml:space="preserve"> as part of such reviews</w:t>
            </w:r>
            <w:r w:rsidRPr="008625DC">
              <w:t>.</w:t>
            </w:r>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p>
        </w:tc>
      </w:tr>
    </w:tbl>
    <w:p w14:paraId="06AF6760" w14:textId="469BDE4C" w:rsidR="00215822" w:rsidRPr="008625DC" w:rsidRDefault="00FB778B" w:rsidP="000B5916">
      <w:pPr>
        <w:pStyle w:val="Heading2"/>
        <w:ind w:left="851" w:hanging="851"/>
        <w:rPr>
          <w:lang w:val="en-AU"/>
        </w:rPr>
      </w:pPr>
      <w:bookmarkStart w:id="18121" w:name="_Toc393985145"/>
      <w:bookmarkStart w:id="18122" w:name="_Toc393985335"/>
      <w:bookmarkStart w:id="18123" w:name="_Toc393985648"/>
      <w:bookmarkStart w:id="18124" w:name="_Toc393985839"/>
      <w:bookmarkStart w:id="18125" w:name="_Toc393986050"/>
      <w:bookmarkStart w:id="18126" w:name="_Toc393986241"/>
      <w:bookmarkStart w:id="18127" w:name="_Toc393986453"/>
      <w:bookmarkStart w:id="18128" w:name="_Toc393988060"/>
      <w:bookmarkStart w:id="18129" w:name="_Toc393988251"/>
      <w:bookmarkStart w:id="18130" w:name="_Toc393988462"/>
      <w:bookmarkStart w:id="18131" w:name="_Toc393988653"/>
      <w:bookmarkStart w:id="18132" w:name="_Toc393986645"/>
      <w:bookmarkStart w:id="18133" w:name="_Toc393989474"/>
      <w:bookmarkStart w:id="18134" w:name="_Toc393989665"/>
      <w:bookmarkStart w:id="18135" w:name="_Toc393988862"/>
      <w:bookmarkStart w:id="18136" w:name="_Toc393989053"/>
      <w:bookmarkStart w:id="18137" w:name="_Toc393990866"/>
      <w:bookmarkStart w:id="18138" w:name="_Toc393991057"/>
      <w:bookmarkStart w:id="18139" w:name="_Toc393991156"/>
      <w:bookmarkStart w:id="18140" w:name="_Toc393991848"/>
      <w:bookmarkStart w:id="18141" w:name="_Toc393992041"/>
      <w:bookmarkStart w:id="18142" w:name="_Toc394047511"/>
      <w:bookmarkStart w:id="18143" w:name="_Toc394047705"/>
      <w:bookmarkStart w:id="18144" w:name="_Toc394047816"/>
      <w:bookmarkStart w:id="18145" w:name="_Toc394048372"/>
      <w:bookmarkStart w:id="18146" w:name="_Toc394049787"/>
      <w:bookmarkStart w:id="18147" w:name="_Toc394049984"/>
      <w:bookmarkStart w:id="18148" w:name="_Toc394051187"/>
      <w:bookmarkStart w:id="18149" w:name="_Toc394051384"/>
      <w:bookmarkStart w:id="18150" w:name="_Toc394062176"/>
      <w:bookmarkStart w:id="18151" w:name="_Toc394062531"/>
      <w:bookmarkStart w:id="18152" w:name="_Toc394069051"/>
      <w:bookmarkStart w:id="18153" w:name="_Toc394069246"/>
      <w:bookmarkStart w:id="18154" w:name="_Toc394070969"/>
      <w:bookmarkStart w:id="18155" w:name="_Toc394071164"/>
      <w:bookmarkStart w:id="18156" w:name="_Toc394312372"/>
      <w:bookmarkStart w:id="18157" w:name="_Toc394330437"/>
      <w:bookmarkStart w:id="18158" w:name="_Toc394330656"/>
      <w:bookmarkStart w:id="18159" w:name="_Toc394331368"/>
      <w:bookmarkStart w:id="18160" w:name="_Toc394330276"/>
      <w:bookmarkStart w:id="18161" w:name="_Toc394333250"/>
      <w:bookmarkStart w:id="18162" w:name="_Toc394333444"/>
      <w:bookmarkStart w:id="18163" w:name="_Toc394332828"/>
      <w:bookmarkStart w:id="18164" w:name="_Toc394333663"/>
      <w:bookmarkStart w:id="18165" w:name="_Toc394333857"/>
      <w:bookmarkStart w:id="18166" w:name="_Toc394334076"/>
      <w:bookmarkStart w:id="18167" w:name="_Toc394334270"/>
      <w:bookmarkStart w:id="18168" w:name="_Toc394334902"/>
      <w:bookmarkStart w:id="18169" w:name="_Toc394335096"/>
      <w:bookmarkStart w:id="18170" w:name="_Toc394415085"/>
      <w:bookmarkStart w:id="18171" w:name="_Toc394415300"/>
      <w:bookmarkStart w:id="18172" w:name="_Toc394412390"/>
      <w:bookmarkStart w:id="18173" w:name="_Toc394412609"/>
      <w:bookmarkStart w:id="18174" w:name="_Toc394420681"/>
      <w:bookmarkStart w:id="18175" w:name="_Toc394420902"/>
      <w:bookmarkStart w:id="18176" w:name="_Toc394421155"/>
      <w:bookmarkStart w:id="18177" w:name="_Toc394423525"/>
      <w:bookmarkStart w:id="18178" w:name="_Toc394423743"/>
      <w:bookmarkStart w:id="18179" w:name="_Toc394420459"/>
      <w:bookmarkStart w:id="18180" w:name="_Toc394422569"/>
      <w:bookmarkStart w:id="18181" w:name="_Toc394422787"/>
      <w:bookmarkStart w:id="18182" w:name="_Toc394423040"/>
      <w:bookmarkStart w:id="18183" w:name="_Toc394423258"/>
      <w:bookmarkStart w:id="18184" w:name="_Toc394424190"/>
      <w:bookmarkStart w:id="18185" w:name="_Toc394424406"/>
      <w:bookmarkStart w:id="18186" w:name="_Toc394492023"/>
      <w:bookmarkStart w:id="18187" w:name="_Toc394492238"/>
      <w:bookmarkStart w:id="18188" w:name="_Toc394495168"/>
      <w:bookmarkStart w:id="18189" w:name="_Toc394495382"/>
      <w:bookmarkStart w:id="18190" w:name="_Toc394497983"/>
      <w:bookmarkStart w:id="18191" w:name="_Toc394498197"/>
      <w:bookmarkStart w:id="18192" w:name="_Toc394500773"/>
      <w:bookmarkStart w:id="18193" w:name="_Toc394500987"/>
      <w:bookmarkStart w:id="18194" w:name="_Toc394502177"/>
      <w:bookmarkStart w:id="18195" w:name="_Toc394502384"/>
      <w:bookmarkStart w:id="18196" w:name="_Toc394503079"/>
      <w:bookmarkStart w:id="18197" w:name="_Toc394503743"/>
      <w:bookmarkStart w:id="18198" w:name="_Toc394502623"/>
      <w:bookmarkStart w:id="18199" w:name="_Toc394502832"/>
      <w:bookmarkStart w:id="18200" w:name="_Toc394505830"/>
      <w:bookmarkStart w:id="18201" w:name="_Toc394506161"/>
      <w:bookmarkStart w:id="18202" w:name="_Toc394506289"/>
      <w:bookmarkStart w:id="18203" w:name="_Toc394506499"/>
      <w:bookmarkStart w:id="18204" w:name="_Toc394506843"/>
      <w:bookmarkStart w:id="18205" w:name="_Toc394507053"/>
      <w:bookmarkStart w:id="18206" w:name="_Toc394560920"/>
      <w:bookmarkStart w:id="18207" w:name="_Toc394561130"/>
      <w:bookmarkStart w:id="18208" w:name="_Toc394561381"/>
      <w:bookmarkStart w:id="18209" w:name="_Toc394561964"/>
      <w:bookmarkStart w:id="18210" w:name="_Toc394582969"/>
      <w:bookmarkStart w:id="18211" w:name="_Toc394585640"/>
      <w:bookmarkStart w:id="18212" w:name="_Toc394586106"/>
      <w:bookmarkStart w:id="18213" w:name="_Toc394588038"/>
      <w:bookmarkStart w:id="18214" w:name="_Toc394588873"/>
      <w:bookmarkStart w:id="18215" w:name="_Toc394588998"/>
      <w:bookmarkStart w:id="18216" w:name="_Toc394590414"/>
      <w:bookmarkStart w:id="18217" w:name="_Toc394590607"/>
      <w:bookmarkStart w:id="18218" w:name="_Toc394654509"/>
      <w:bookmarkStart w:id="18219" w:name="_Toc394654667"/>
      <w:bookmarkStart w:id="18220" w:name="_Toc394656209"/>
      <w:bookmarkStart w:id="18221" w:name="_Toc394656366"/>
      <w:bookmarkStart w:id="18222" w:name="_Toc394659346"/>
      <w:bookmarkStart w:id="18223" w:name="_Toc394659504"/>
      <w:bookmarkStart w:id="18224" w:name="_Toc394663358"/>
      <w:bookmarkStart w:id="18225" w:name="_Toc394663514"/>
      <w:bookmarkStart w:id="18226" w:name="_Toc394667152"/>
      <w:bookmarkStart w:id="18227" w:name="_Toc394667308"/>
      <w:bookmarkStart w:id="18228" w:name="_Toc394671631"/>
      <w:bookmarkStart w:id="18229" w:name="_Toc394671791"/>
      <w:bookmarkStart w:id="18230" w:name="_Toc394674633"/>
      <w:bookmarkStart w:id="18231" w:name="_Toc394674796"/>
      <w:bookmarkStart w:id="18232" w:name="_Toc394674910"/>
      <w:bookmarkStart w:id="18233" w:name="_Toc394675076"/>
      <w:bookmarkStart w:id="18234" w:name="_Toc394676021"/>
      <w:bookmarkStart w:id="18235" w:name="_Toc394676183"/>
      <w:bookmarkStart w:id="18236" w:name="_Toc394675709"/>
      <w:bookmarkStart w:id="18237" w:name="_Toc394675872"/>
      <w:bookmarkStart w:id="18238" w:name="_Toc394918272"/>
      <w:bookmarkStart w:id="18239" w:name="_Toc394918786"/>
      <w:bookmarkStart w:id="18240" w:name="_Toc394930758"/>
      <w:bookmarkStart w:id="18241" w:name="_Toc394933671"/>
      <w:bookmarkStart w:id="18242" w:name="_Toc394938118"/>
      <w:bookmarkStart w:id="18243" w:name="_Toc394938352"/>
      <w:bookmarkStart w:id="18244" w:name="_Toc394938620"/>
      <w:bookmarkStart w:id="18245" w:name="_Toc394937632"/>
      <w:bookmarkStart w:id="18246" w:name="_Toc394937902"/>
      <w:bookmarkStart w:id="18247" w:name="_Toc394941030"/>
      <w:bookmarkStart w:id="18248" w:name="_Toc394941263"/>
      <w:bookmarkStart w:id="18249" w:name="_Toc394941531"/>
      <w:bookmarkStart w:id="18250" w:name="_Toc394941646"/>
      <w:bookmarkStart w:id="18251" w:name="_Toc394941879"/>
      <w:bookmarkStart w:id="18252" w:name="_Toc394942147"/>
      <w:bookmarkStart w:id="18253" w:name="_Toc394939867"/>
      <w:bookmarkStart w:id="18254" w:name="_Toc394940101"/>
      <w:bookmarkStart w:id="18255" w:name="_Toc394940369"/>
      <w:bookmarkStart w:id="18256" w:name="_Toc394939479"/>
      <w:bookmarkStart w:id="18257" w:name="_Toc394939711"/>
      <w:bookmarkStart w:id="18258" w:name="_Toc394940583"/>
      <w:bookmarkStart w:id="18259" w:name="_Toc394993608"/>
      <w:bookmarkStart w:id="18260" w:name="_Toc394995489"/>
      <w:bookmarkStart w:id="18261" w:name="_Toc394995803"/>
      <w:bookmarkStart w:id="18262" w:name="_Toc394996065"/>
      <w:bookmarkStart w:id="18263" w:name="_Toc394997791"/>
      <w:bookmarkStart w:id="18264" w:name="_Toc394998048"/>
      <w:bookmarkStart w:id="18265" w:name="_Toc394998306"/>
      <w:bookmarkStart w:id="18266" w:name="_Toc394998562"/>
      <w:bookmarkStart w:id="18267" w:name="_Toc395001801"/>
      <w:bookmarkStart w:id="18268" w:name="_Toc395002061"/>
      <w:bookmarkStart w:id="18269" w:name="_Toc395001267"/>
      <w:bookmarkStart w:id="18270" w:name="_Toc395001541"/>
      <w:bookmarkStart w:id="18271" w:name="_Toc395002830"/>
      <w:bookmarkStart w:id="18272" w:name="_Toc395003415"/>
      <w:bookmarkStart w:id="18273" w:name="_Toc395005053"/>
      <w:bookmarkStart w:id="18274" w:name="_Toc395005179"/>
      <w:bookmarkStart w:id="18275" w:name="_Toc395005395"/>
      <w:bookmarkStart w:id="18276" w:name="_Toc395005656"/>
      <w:bookmarkStart w:id="18277" w:name="_Toc395008972"/>
      <w:bookmarkStart w:id="18278" w:name="_Toc395009650"/>
      <w:bookmarkStart w:id="18279" w:name="_Toc395011758"/>
      <w:bookmarkStart w:id="18280" w:name="_Toc395010158"/>
      <w:bookmarkStart w:id="18281" w:name="_Toc395010389"/>
      <w:bookmarkStart w:id="18282" w:name="_Toc395010000"/>
      <w:bookmarkStart w:id="18283" w:name="_Toc395011526"/>
      <w:bookmarkStart w:id="18284" w:name="_Toc395012344"/>
      <w:bookmarkStart w:id="18285" w:name="_Toc395012573"/>
      <w:bookmarkStart w:id="18286" w:name="_Toc395012934"/>
      <w:bookmarkStart w:id="18287" w:name="_Toc395010749"/>
      <w:bookmarkStart w:id="18288" w:name="_Toc395010978"/>
      <w:bookmarkStart w:id="18289" w:name="_Toc395012222"/>
      <w:bookmarkStart w:id="18290" w:name="_Toc395013036"/>
      <w:bookmarkStart w:id="18291" w:name="_Toc395012038"/>
      <w:bookmarkStart w:id="18292" w:name="_Toc395014377"/>
      <w:bookmarkStart w:id="18293" w:name="_Toc395014623"/>
      <w:bookmarkStart w:id="18294" w:name="_Toc395013214"/>
      <w:bookmarkStart w:id="18295" w:name="_Toc395084728"/>
      <w:bookmarkStart w:id="18296" w:name="_Toc395085029"/>
      <w:bookmarkStart w:id="18297" w:name="_Toc395090251"/>
      <w:bookmarkStart w:id="18298" w:name="_Toc395090492"/>
      <w:bookmarkStart w:id="18299" w:name="_Toc395090730"/>
      <w:bookmarkStart w:id="18300" w:name="_Toc395092619"/>
      <w:bookmarkStart w:id="18301" w:name="_Toc395092831"/>
      <w:bookmarkStart w:id="18302" w:name="_Toc395093076"/>
      <w:bookmarkStart w:id="18303" w:name="_Toc395093313"/>
      <w:bookmarkStart w:id="18304" w:name="_Toc395097742"/>
      <w:bookmarkStart w:id="18305" w:name="_Toc395097988"/>
      <w:bookmarkStart w:id="18306" w:name="_Toc395098223"/>
      <w:bookmarkStart w:id="18307" w:name="_Toc395105408"/>
      <w:bookmarkStart w:id="18308" w:name="_Toc395106172"/>
      <w:bookmarkStart w:id="18309" w:name="_Toc395107011"/>
      <w:bookmarkStart w:id="18310" w:name="_Toc395109883"/>
      <w:bookmarkStart w:id="18311" w:name="_Toc395109669"/>
      <w:bookmarkStart w:id="18312" w:name="_Toc395109765"/>
      <w:bookmarkStart w:id="18313" w:name="_Toc395111886"/>
      <w:bookmarkStart w:id="18314" w:name="_Toc395112142"/>
      <w:bookmarkStart w:id="18315" w:name="_Toc395112374"/>
      <w:bookmarkStart w:id="18316" w:name="_Toc395106806"/>
      <w:bookmarkStart w:id="18317" w:name="_Toc395107284"/>
      <w:bookmarkStart w:id="18318" w:name="_Toc395107519"/>
      <w:bookmarkStart w:id="18319" w:name="_Toc395109474"/>
      <w:bookmarkStart w:id="18320" w:name="_Toc395108566"/>
      <w:bookmarkStart w:id="18321" w:name="_Toc395108845"/>
      <w:bookmarkStart w:id="18322" w:name="_Toc395113806"/>
      <w:bookmarkStart w:id="18323" w:name="_Toc395114085"/>
      <w:bookmarkStart w:id="18324" w:name="_Toc395114326"/>
      <w:bookmarkStart w:id="18325" w:name="_Toc395116542"/>
      <w:bookmarkStart w:id="18326" w:name="_Toc395116822"/>
      <w:bookmarkStart w:id="18327" w:name="_Toc395117064"/>
      <w:bookmarkStart w:id="18328" w:name="_Toc395112479"/>
      <w:bookmarkStart w:id="18329" w:name="_Toc395112759"/>
      <w:bookmarkStart w:id="18330" w:name="_Toc395113182"/>
      <w:bookmarkStart w:id="18331" w:name="_Toc395115018"/>
      <w:bookmarkStart w:id="18332" w:name="_Toc395115299"/>
      <w:bookmarkStart w:id="18333" w:name="_Toc395115541"/>
      <w:bookmarkStart w:id="18334" w:name="_Toc395118173"/>
      <w:bookmarkStart w:id="18335" w:name="_Toc395118451"/>
      <w:bookmarkStart w:id="18336" w:name="_Toc395118691"/>
      <w:bookmarkStart w:id="18337" w:name="_Toc395178383"/>
      <w:bookmarkStart w:id="18338" w:name="_Toc395178715"/>
      <w:bookmarkStart w:id="18339" w:name="_Toc395624646"/>
      <w:bookmarkStart w:id="18340" w:name="_Toc395624872"/>
      <w:bookmarkStart w:id="18341" w:name="_Toc395789726"/>
      <w:bookmarkStart w:id="18342" w:name="_Toc395789997"/>
      <w:bookmarkStart w:id="18343" w:name="_Toc395800755"/>
      <w:bookmarkStart w:id="18344" w:name="_Toc395802855"/>
      <w:bookmarkStart w:id="18345" w:name="_Toc395867613"/>
      <w:bookmarkStart w:id="18346" w:name="_Toc395868522"/>
      <w:bookmarkStart w:id="18347" w:name="_Toc395868745"/>
      <w:bookmarkStart w:id="18348" w:name="_Toc395879126"/>
      <w:bookmarkStart w:id="18349" w:name="_Toc395882028"/>
      <w:bookmarkStart w:id="18350" w:name="_Toc395882250"/>
      <w:bookmarkStart w:id="18351" w:name="_Toc395882359"/>
      <w:bookmarkStart w:id="18352" w:name="_Toc395882581"/>
      <w:bookmarkStart w:id="18353" w:name="_Toc395880854"/>
      <w:bookmarkStart w:id="18354" w:name="_Toc395881412"/>
      <w:bookmarkStart w:id="18355" w:name="_Toc395881634"/>
      <w:bookmarkStart w:id="18356" w:name="_Toc395884019"/>
      <w:bookmarkStart w:id="18357" w:name="_Toc395880752"/>
      <w:bookmarkStart w:id="18358" w:name="_Toc395884459"/>
      <w:bookmarkStart w:id="18359" w:name="_Toc395884681"/>
      <w:bookmarkStart w:id="18360" w:name="_Toc395883168"/>
      <w:bookmarkStart w:id="18361" w:name="_Toc395883390"/>
      <w:bookmarkStart w:id="18362" w:name="_Toc395883498"/>
      <w:bookmarkStart w:id="18363" w:name="_Toc395883720"/>
      <w:bookmarkStart w:id="18364" w:name="_Toc395884800"/>
      <w:bookmarkStart w:id="18365" w:name="_Toc396123829"/>
      <w:bookmarkStart w:id="18366" w:name="_Toc396130732"/>
      <w:bookmarkStart w:id="18367" w:name="_Toc396136310"/>
      <w:bookmarkStart w:id="18368" w:name="_Toc396138764"/>
      <w:bookmarkStart w:id="18369" w:name="_Toc396144025"/>
      <w:bookmarkStart w:id="18370" w:name="_Toc396145534"/>
      <w:bookmarkStart w:id="18371" w:name="_Toc396145678"/>
      <w:bookmarkStart w:id="18372" w:name="_Toc396145960"/>
      <w:bookmarkStart w:id="18373" w:name="_Toc396147500"/>
      <w:bookmarkStart w:id="18374" w:name="_Toc396147786"/>
      <w:bookmarkStart w:id="18375" w:name="_Toc396149042"/>
      <w:bookmarkStart w:id="18376" w:name="_Toc396148756"/>
      <w:bookmarkStart w:id="18377" w:name="_Toc396149537"/>
      <w:bookmarkStart w:id="18378" w:name="_Toc396149182"/>
      <w:bookmarkStart w:id="18379" w:name="_Toc396149468"/>
      <w:bookmarkStart w:id="18380" w:name="_Toc396149145"/>
      <w:bookmarkStart w:id="18381" w:name="_Toc396149890"/>
      <w:bookmarkStart w:id="18382" w:name="_Toc396149640"/>
      <w:bookmarkStart w:id="18383" w:name="_Toc396150481"/>
      <w:bookmarkStart w:id="18384" w:name="_Toc396151370"/>
      <w:bookmarkStart w:id="18385" w:name="_Toc396151664"/>
      <w:bookmarkStart w:id="18386" w:name="_Toc396201591"/>
      <w:bookmarkStart w:id="18387" w:name="_Toc396202381"/>
      <w:bookmarkStart w:id="18388" w:name="_Toc396202676"/>
      <w:bookmarkStart w:id="18389" w:name="_Toc396203293"/>
      <w:bookmarkStart w:id="18390" w:name="_Toc396206589"/>
      <w:bookmarkStart w:id="18391" w:name="_Toc396206883"/>
      <w:bookmarkStart w:id="18392" w:name="_Toc396209417"/>
      <w:bookmarkStart w:id="18393" w:name="_Toc396209711"/>
      <w:bookmarkStart w:id="18394" w:name="_Toc396211841"/>
      <w:bookmarkStart w:id="18395" w:name="_Toc396212135"/>
      <w:bookmarkStart w:id="18396" w:name="_Toc396213185"/>
      <w:bookmarkStart w:id="18397" w:name="_Toc396213477"/>
      <w:bookmarkStart w:id="18398" w:name="_Toc396214028"/>
      <w:bookmarkStart w:id="18399" w:name="_Toc396214463"/>
      <w:bookmarkStart w:id="18400" w:name="_Toc396214753"/>
      <w:bookmarkStart w:id="18401" w:name="_Toc396220313"/>
      <w:bookmarkStart w:id="18402" w:name="_Toc396226575"/>
      <w:bookmarkStart w:id="18403" w:name="_Toc396226864"/>
      <w:bookmarkStart w:id="18404" w:name="_Toc396228775"/>
      <w:bookmarkStart w:id="18405" w:name="_Toc396229070"/>
      <w:bookmarkStart w:id="18406" w:name="_Toc396230417"/>
      <w:bookmarkStart w:id="18407" w:name="_Toc396231854"/>
      <w:bookmarkStart w:id="18408" w:name="_Toc396233197"/>
      <w:bookmarkStart w:id="18409" w:name="_Toc396233494"/>
      <w:bookmarkStart w:id="18410" w:name="_Toc396234017"/>
      <w:bookmarkStart w:id="18411" w:name="_Toc396234314"/>
      <w:bookmarkStart w:id="18412" w:name="_Toc396234427"/>
      <w:bookmarkStart w:id="18413" w:name="_Toc396236161"/>
      <w:bookmarkStart w:id="18414" w:name="_Toc396235939"/>
      <w:bookmarkStart w:id="18415" w:name="_Toc396236549"/>
      <w:bookmarkStart w:id="18416" w:name="_Toc396237068"/>
      <w:bookmarkStart w:id="18417" w:name="_Toc396397411"/>
      <w:bookmarkStart w:id="18418" w:name="_Toc396304592"/>
      <w:bookmarkStart w:id="18419" w:name="_Toc396586127"/>
      <w:bookmarkStart w:id="18420" w:name="_Toc396815148"/>
      <w:bookmarkStart w:id="18421" w:name="_Toc396821097"/>
      <w:bookmarkStart w:id="18422" w:name="_Toc396821705"/>
      <w:bookmarkStart w:id="18423" w:name="_Toc396827555"/>
      <w:bookmarkStart w:id="18424" w:name="_Toc396828526"/>
      <w:bookmarkStart w:id="18425" w:name="_Toc396828636"/>
      <w:bookmarkStart w:id="18426" w:name="_Toc396838025"/>
      <w:bookmarkStart w:id="18427" w:name="_Toc396838423"/>
      <w:bookmarkStart w:id="18428" w:name="_Toc396904746"/>
      <w:bookmarkStart w:id="18429" w:name="_Toc396907580"/>
      <w:bookmarkStart w:id="18430" w:name="_Toc396912499"/>
      <w:bookmarkStart w:id="18431" w:name="_Toc396914479"/>
      <w:bookmarkStart w:id="18432" w:name="_Toc396915363"/>
      <w:bookmarkStart w:id="18433" w:name="_Toc396915757"/>
      <w:bookmarkStart w:id="18434" w:name="_Toc396921068"/>
      <w:bookmarkStart w:id="18435" w:name="_Toc396924408"/>
      <w:bookmarkStart w:id="18436" w:name="_Toc396925102"/>
      <w:bookmarkStart w:id="18437" w:name="_Toc396992222"/>
      <w:bookmarkStart w:id="18438" w:name="_Toc396992801"/>
      <w:bookmarkStart w:id="18439" w:name="_Toc396994465"/>
      <w:bookmarkStart w:id="18440" w:name="_Toc397002236"/>
      <w:bookmarkStart w:id="18441" w:name="_Toc397003155"/>
      <w:bookmarkStart w:id="18442" w:name="_Toc397008713"/>
      <w:bookmarkStart w:id="18443" w:name="_Toc397008931"/>
      <w:bookmarkStart w:id="18444" w:name="_Toc397011603"/>
      <w:bookmarkStart w:id="18445" w:name="_Toc397012665"/>
      <w:bookmarkStart w:id="18446" w:name="_Toc397015007"/>
      <w:bookmarkStart w:id="18447" w:name="_Toc397015494"/>
      <w:bookmarkStart w:id="18448" w:name="_Toc397070564"/>
      <w:bookmarkStart w:id="18449" w:name="_Toc397413305"/>
      <w:bookmarkStart w:id="18450" w:name="_Toc397413452"/>
      <w:bookmarkStart w:id="18451" w:name="_Toc397428035"/>
      <w:bookmarkStart w:id="18452" w:name="_Toc397439423"/>
      <w:bookmarkStart w:id="18453" w:name="_Toc397439593"/>
      <w:bookmarkStart w:id="18454" w:name="_Toc397439849"/>
      <w:bookmarkStart w:id="18455" w:name="_Toc397440151"/>
      <w:bookmarkStart w:id="18456" w:name="_Toc397441780"/>
      <w:bookmarkStart w:id="18457" w:name="_Toc397517482"/>
      <w:bookmarkStart w:id="18458" w:name="_Toc397522747"/>
      <w:bookmarkStart w:id="18459" w:name="_Toc397526165"/>
      <w:bookmarkStart w:id="18460" w:name="_Toc397528480"/>
      <w:bookmarkStart w:id="18461" w:name="_Toc397528955"/>
      <w:bookmarkStart w:id="18462" w:name="_Toc397601952"/>
      <w:bookmarkStart w:id="18463" w:name="_Toc397602687"/>
      <w:bookmarkStart w:id="18464" w:name="_Toc397605816"/>
      <w:bookmarkStart w:id="18465" w:name="_Toc397614517"/>
      <w:bookmarkStart w:id="18466" w:name="_Toc397614960"/>
      <w:bookmarkStart w:id="18467" w:name="_Toc397616403"/>
      <w:bookmarkStart w:id="18468" w:name="_Toc397616797"/>
      <w:bookmarkStart w:id="18469" w:name="_Toc397688095"/>
      <w:bookmarkStart w:id="18470" w:name="_Toc397689311"/>
      <w:bookmarkStart w:id="18471" w:name="_Toc397694591"/>
      <w:bookmarkStart w:id="18472" w:name="_Toc397696432"/>
      <w:bookmarkStart w:id="18473" w:name="_Toc397697166"/>
      <w:bookmarkStart w:id="18474" w:name="_Toc397698453"/>
      <w:bookmarkStart w:id="18475" w:name="_Toc397699819"/>
      <w:bookmarkStart w:id="18476" w:name="_Toc397700273"/>
      <w:bookmarkStart w:id="18477" w:name="_Toc397936665"/>
      <w:bookmarkStart w:id="18478" w:name="_Toc397936785"/>
      <w:bookmarkStart w:id="18479" w:name="_Toc397945941"/>
      <w:bookmarkStart w:id="18480" w:name="_Toc397946967"/>
      <w:bookmarkStart w:id="18481" w:name="_Toc397948086"/>
      <w:bookmarkStart w:id="18482" w:name="_Toc397958492"/>
      <w:bookmarkStart w:id="18483" w:name="_Toc397958734"/>
      <w:bookmarkStart w:id="18484" w:name="_Toc397959149"/>
      <w:bookmarkStart w:id="18485" w:name="_Toc397963002"/>
      <w:bookmarkStart w:id="18486" w:name="_Toc397963368"/>
      <w:bookmarkStart w:id="18487" w:name="_Toc397965445"/>
      <w:bookmarkStart w:id="18488" w:name="_Toc398197383"/>
      <w:bookmarkStart w:id="18489" w:name="_Toc398199886"/>
      <w:bookmarkStart w:id="18490" w:name="_Toc398201600"/>
      <w:bookmarkStart w:id="18491" w:name="_Toc398207205"/>
      <w:bookmarkStart w:id="18492" w:name="_Toc398210478"/>
      <w:bookmarkStart w:id="18493" w:name="_Toc398210992"/>
      <w:bookmarkStart w:id="18494" w:name="_Toc398219800"/>
      <w:bookmarkStart w:id="18495" w:name="_Toc398220175"/>
      <w:bookmarkStart w:id="18496" w:name="_Toc398220562"/>
      <w:bookmarkStart w:id="18497" w:name="_Toc398221640"/>
      <w:bookmarkStart w:id="18498" w:name="_Toc398222326"/>
      <w:bookmarkStart w:id="18499" w:name="_Toc398222638"/>
      <w:bookmarkStart w:id="18500" w:name="_Toc398223055"/>
      <w:bookmarkStart w:id="18501" w:name="_Toc398223434"/>
      <w:bookmarkStart w:id="18502" w:name="_Toc398223561"/>
      <w:bookmarkStart w:id="18503" w:name="_Toc398224369"/>
      <w:bookmarkStart w:id="18504" w:name="_Toc398225706"/>
      <w:bookmarkStart w:id="18505" w:name="_Toc398225831"/>
      <w:bookmarkStart w:id="18506" w:name="_Toc398281318"/>
      <w:bookmarkStart w:id="18507" w:name="_Toc398282177"/>
      <w:bookmarkStart w:id="18508" w:name="_Toc398284847"/>
      <w:bookmarkStart w:id="18509" w:name="_Toc398287316"/>
      <w:bookmarkStart w:id="18510" w:name="_Toc398289199"/>
      <w:bookmarkStart w:id="18511" w:name="_Toc398297196"/>
      <w:bookmarkStart w:id="18512" w:name="_Toc398298670"/>
      <w:bookmarkStart w:id="18513" w:name="_Toc398300371"/>
      <w:bookmarkStart w:id="18514" w:name="_Toc398301268"/>
      <w:bookmarkStart w:id="18515" w:name="_Toc398302453"/>
      <w:bookmarkStart w:id="18516" w:name="_Toc398302616"/>
      <w:bookmarkStart w:id="18517" w:name="_Toc398549130"/>
      <w:bookmarkStart w:id="18518" w:name="_Toc398549380"/>
      <w:bookmarkStart w:id="18519" w:name="_Toc398555799"/>
      <w:bookmarkStart w:id="18520" w:name="_Toc398559003"/>
      <w:bookmarkStart w:id="18521" w:name="_Toc398563489"/>
      <w:bookmarkStart w:id="18522" w:name="_Toc398563622"/>
      <w:bookmarkStart w:id="18523" w:name="_Toc398564021"/>
      <w:bookmarkStart w:id="18524" w:name="_Toc398827361"/>
      <w:bookmarkStart w:id="18525" w:name="_Toc398827555"/>
      <w:bookmarkStart w:id="18526" w:name="s87"/>
      <w:r w:rsidRPr="008625DC">
        <w:rPr>
          <w:lang w:val="en-AU"/>
        </w:rPr>
        <w:t>P</w:t>
      </w:r>
      <w:r w:rsidR="00215822" w:rsidRPr="008625DC">
        <w:rPr>
          <w:lang w:val="en-AU"/>
        </w:rPr>
        <w:t>harmacy</w:t>
      </w:r>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p>
    <w:bookmarkEnd w:id="18526"/>
    <w:p w14:paraId="60580646" w14:textId="11713014" w:rsidR="00A30DBF" w:rsidRPr="008625DC" w:rsidRDefault="00B40278" w:rsidP="00215822">
      <w:r w:rsidRPr="008625DC">
        <w:t>P</w:t>
      </w:r>
      <w:r w:rsidR="00A30DBF" w:rsidRPr="008625DC">
        <w:t>harmacy</w:t>
      </w:r>
      <w:r w:rsidRPr="008625DC">
        <w:rPr>
          <w:rStyle w:val="FootnoteReference"/>
        </w:rPr>
        <w:footnoteReference w:id="116"/>
      </w:r>
      <w:r w:rsidR="00A30DBF" w:rsidRPr="008625DC">
        <w:t xml:space="preserve"> regulation has been the subject of numerous reports and reviews </w:t>
      </w:r>
      <w:r w:rsidR="005E6EFA" w:rsidRPr="008625DC">
        <w:t>over</w:t>
      </w:r>
      <w:r w:rsidR="00A30DBF" w:rsidRPr="008625DC">
        <w:t xml:space="preserve"> the past 20</w:t>
      </w:r>
      <w:r w:rsidR="00507166" w:rsidRPr="008625DC">
        <w:t> </w:t>
      </w:r>
      <w:r w:rsidR="00A30DBF" w:rsidRPr="008625DC">
        <w:t xml:space="preserve">years, including the 1999 Wilkinson National Review (required under NCP), as well as examination by the PC, NCC, and most recently the </w:t>
      </w:r>
      <w:r w:rsidR="005E6EFA" w:rsidRPr="008625DC">
        <w:t xml:space="preserve">National </w:t>
      </w:r>
      <w:r w:rsidR="00A30DBF" w:rsidRPr="008625DC">
        <w:t>Commission of Audit</w:t>
      </w:r>
      <w:r w:rsidR="00A14BC7" w:rsidRPr="008625DC">
        <w:t xml:space="preserve">, which recommended </w:t>
      </w:r>
      <w:r w:rsidR="00C74E19" w:rsidRPr="008625DC">
        <w:t>‘</w:t>
      </w:r>
      <w:r w:rsidR="00A14BC7" w:rsidRPr="008625DC">
        <w:t>opening up the pharmacy sector to competition, including through the deregulation of ownership and location rules</w:t>
      </w:r>
      <w:r w:rsidR="00C74E19" w:rsidRPr="008625DC">
        <w:t>’</w:t>
      </w:r>
      <w:r w:rsidR="00A14BC7" w:rsidRPr="008625DC">
        <w:t>.</w:t>
      </w:r>
      <w:r w:rsidR="00A14BC7" w:rsidRPr="008625DC">
        <w:rPr>
          <w:rStyle w:val="FootnoteReference"/>
          <w:rFonts w:ascii="Calibri" w:hAnsi="Calibri" w:cs="Calibri"/>
          <w:color w:val="auto"/>
          <w:szCs w:val="22"/>
        </w:rPr>
        <w:footnoteReference w:id="117"/>
      </w:r>
    </w:p>
    <w:p w14:paraId="1A232B3D" w14:textId="2F596BBF" w:rsidR="009C750E" w:rsidRPr="008625DC" w:rsidRDefault="00215822" w:rsidP="00215822">
      <w:r w:rsidRPr="008625DC">
        <w:t>State and territory legislation limits ownership</w:t>
      </w:r>
      <w:r w:rsidR="00A30DBF" w:rsidRPr="008625DC">
        <w:t xml:space="preserve"> of</w:t>
      </w:r>
      <w:r w:rsidRPr="008625DC">
        <w:t xml:space="preserve"> </w:t>
      </w:r>
      <w:r w:rsidR="00A30DBF" w:rsidRPr="008625DC">
        <w:t xml:space="preserve">community pharmacies to pharmacists, </w:t>
      </w:r>
      <w:r w:rsidRPr="008625DC">
        <w:t xml:space="preserve">with limited exceptions (such as for friendly societies with historical ownership of pharmacies), and there are limits </w:t>
      </w:r>
      <w:r w:rsidR="00BC2586" w:rsidRPr="008625DC">
        <w:t xml:space="preserve">in each State (but not the Territories) </w:t>
      </w:r>
      <w:r w:rsidRPr="008625DC">
        <w:t xml:space="preserve">on how many pharmacies each pharmacist can own. </w:t>
      </w:r>
      <w:r w:rsidR="00BC2586" w:rsidRPr="008625DC">
        <w:t>The limits vary</w:t>
      </w:r>
      <w:r w:rsidRPr="008625DC">
        <w:t xml:space="preserve"> by </w:t>
      </w:r>
      <w:r w:rsidR="00BC2586" w:rsidRPr="008625DC">
        <w:t>S</w:t>
      </w:r>
      <w:r w:rsidRPr="008625DC">
        <w:t>tate.</w:t>
      </w:r>
      <w:r w:rsidR="009C750E" w:rsidRPr="008625DC">
        <w:t xml:space="preserve"> Th</w:t>
      </w:r>
      <w:r w:rsidR="005E6EFA" w:rsidRPr="008625DC">
        <w:t xml:space="preserve">e ownership rules </w:t>
      </w:r>
      <w:r w:rsidR="009C750E" w:rsidRPr="008625DC">
        <w:t xml:space="preserve">do not prevent pharmacies (owned by different pharmacists) from </w:t>
      </w:r>
      <w:r w:rsidR="004E1084" w:rsidRPr="008625DC">
        <w:t>operating under a common name and brand</w:t>
      </w:r>
      <w:r w:rsidR="005E6EFA" w:rsidRPr="008625DC">
        <w:t>,</w:t>
      </w:r>
      <w:r w:rsidR="004E1084" w:rsidRPr="008625DC">
        <w:t xml:space="preserve"> </w:t>
      </w:r>
      <w:r w:rsidR="009C750E" w:rsidRPr="008625DC">
        <w:t xml:space="preserve">e.g. </w:t>
      </w:r>
      <w:r w:rsidR="004E1084" w:rsidRPr="008625DC">
        <w:t>Amcal</w:t>
      </w:r>
      <w:r w:rsidR="00EB729F" w:rsidRPr="008625DC">
        <w:t xml:space="preserve"> or</w:t>
      </w:r>
      <w:r w:rsidR="004E1084" w:rsidRPr="008625DC">
        <w:t xml:space="preserve"> Terry White</w:t>
      </w:r>
      <w:r w:rsidR="009C750E" w:rsidRPr="008625DC">
        <w:t>.</w:t>
      </w:r>
    </w:p>
    <w:p w14:paraId="5FC39488" w14:textId="78E4D415" w:rsidR="005E6EFA" w:rsidRPr="008625DC" w:rsidRDefault="00215822" w:rsidP="00215822">
      <w:r w:rsidRPr="008625DC">
        <w:t>Other restrictions arise from the Australian Community Pharmacy Agreement between the Commonwealth and the Pharmacy Guild. This governs dispensing arrangements and pharmacy remuneration for dispensing P</w:t>
      </w:r>
      <w:r w:rsidR="004B06CF" w:rsidRPr="008625DC">
        <w:t xml:space="preserve">harmaceutical </w:t>
      </w:r>
      <w:r w:rsidRPr="008625DC">
        <w:t>B</w:t>
      </w:r>
      <w:r w:rsidR="004B06CF" w:rsidRPr="008625DC">
        <w:t xml:space="preserve">enefits </w:t>
      </w:r>
      <w:r w:rsidRPr="008625DC">
        <w:t>S</w:t>
      </w:r>
      <w:r w:rsidR="004B06CF" w:rsidRPr="008625DC">
        <w:t>cheme (PBS)</w:t>
      </w:r>
      <w:r w:rsidRPr="008625DC">
        <w:t xml:space="preserve"> medications</w:t>
      </w:r>
      <w:r w:rsidR="00430A4A" w:rsidRPr="008625DC">
        <w:t xml:space="preserve">, providing pharmacy </w:t>
      </w:r>
      <w:r w:rsidR="009A1CAC" w:rsidRPr="008625DC">
        <w:t>program</w:t>
      </w:r>
      <w:r w:rsidR="00430A4A" w:rsidRPr="008625DC">
        <w:t>s and services</w:t>
      </w:r>
      <w:r w:rsidR="009A1CAC" w:rsidRPr="008625DC">
        <w:t>,</w:t>
      </w:r>
      <w:r w:rsidR="00430A4A" w:rsidRPr="008625DC">
        <w:t xml:space="preserve"> and for the </w:t>
      </w:r>
      <w:r w:rsidR="009A1CAC" w:rsidRPr="008625DC">
        <w:t>c</w:t>
      </w:r>
      <w:r w:rsidR="00430A4A" w:rsidRPr="008625DC">
        <w:t xml:space="preserve">ommunity </w:t>
      </w:r>
      <w:r w:rsidR="009A1CAC" w:rsidRPr="008625DC">
        <w:t>service o</w:t>
      </w:r>
      <w:r w:rsidR="00430A4A" w:rsidRPr="008625DC">
        <w:t>bligation arrangements with pharmacy wholesalers</w:t>
      </w:r>
      <w:r w:rsidRPr="008625DC">
        <w:t>.</w:t>
      </w:r>
    </w:p>
    <w:p w14:paraId="4AE32D24" w14:textId="1FAD1B22" w:rsidR="00215822" w:rsidRPr="008625DC" w:rsidRDefault="00A30DBF" w:rsidP="00215822">
      <w:r w:rsidRPr="008625DC">
        <w:t xml:space="preserve">In particular, </w:t>
      </w:r>
      <w:r w:rsidR="00BF1565" w:rsidRPr="008625DC">
        <w:t xml:space="preserve">tight restrictions on the location of pharmacies </w:t>
      </w:r>
      <w:r w:rsidR="00430A4A" w:rsidRPr="008625DC">
        <w:t xml:space="preserve">are a component of </w:t>
      </w:r>
      <w:r w:rsidR="00215822" w:rsidRPr="008625DC">
        <w:t xml:space="preserve">the </w:t>
      </w:r>
      <w:r w:rsidRPr="008625DC">
        <w:t>agreement</w:t>
      </w:r>
      <w:r w:rsidR="00BF1565" w:rsidRPr="008625DC">
        <w:t>. A</w:t>
      </w:r>
      <w:r w:rsidR="00747D42">
        <w:t> </w:t>
      </w:r>
      <w:r w:rsidR="00215822" w:rsidRPr="008625DC">
        <w:t>pharmac</w:t>
      </w:r>
      <w:r w:rsidR="00BF1565" w:rsidRPr="008625DC">
        <w:t>ist</w:t>
      </w:r>
      <w:r w:rsidR="00215822" w:rsidRPr="008625DC">
        <w:t xml:space="preserve"> </w:t>
      </w:r>
      <w:r w:rsidR="00BF1565" w:rsidRPr="008625DC">
        <w:t xml:space="preserve">must obtain approval </w:t>
      </w:r>
      <w:r w:rsidR="005E6EFA" w:rsidRPr="008625DC">
        <w:t xml:space="preserve">from the Commonwealth </w:t>
      </w:r>
      <w:r w:rsidR="00BF1565" w:rsidRPr="008625DC">
        <w:t xml:space="preserve">to open a new pharmacy or to move or </w:t>
      </w:r>
      <w:r w:rsidR="00BF1565" w:rsidRPr="008625DC">
        <w:lastRenderedPageBreak/>
        <w:t xml:space="preserve">expand an existing pharmacy. A pharmacy </w:t>
      </w:r>
      <w:r w:rsidR="00215822" w:rsidRPr="008625DC">
        <w:t xml:space="preserve">may not open </w:t>
      </w:r>
      <w:r w:rsidR="00215822" w:rsidRPr="008625DC">
        <w:rPr>
          <w:color w:val="auto"/>
        </w:rPr>
        <w:t xml:space="preserve">within </w:t>
      </w:r>
      <w:r w:rsidR="00430A4A" w:rsidRPr="008625DC">
        <w:rPr>
          <w:color w:val="auto"/>
        </w:rPr>
        <w:t>a certain distance of an existing community pharmacy (generally either 1.5 or 10 kilometres depending on the location)</w:t>
      </w:r>
      <w:r w:rsidRPr="008625DC">
        <w:rPr>
          <w:color w:val="auto"/>
        </w:rPr>
        <w:t xml:space="preserve">, </w:t>
      </w:r>
      <w:r w:rsidRPr="008625DC">
        <w:t xml:space="preserve">with some exceptions, including for certain pharmacies located within shopping </w:t>
      </w:r>
      <w:r w:rsidR="00430A4A" w:rsidRPr="008625DC">
        <w:t>centres</w:t>
      </w:r>
      <w:r w:rsidR="00215822" w:rsidRPr="008625DC">
        <w:t xml:space="preserve">. A pharmacy must </w:t>
      </w:r>
      <w:r w:rsidRPr="008625DC">
        <w:t>also</w:t>
      </w:r>
      <w:r w:rsidR="00215822" w:rsidRPr="008625DC">
        <w:t xml:space="preserve"> not be located within, or directly accessible from, a supermarket. </w:t>
      </w:r>
    </w:p>
    <w:p w14:paraId="1785F638" w14:textId="54431011" w:rsidR="00044819" w:rsidRPr="008625DC" w:rsidRDefault="00044819" w:rsidP="00044819">
      <w:r w:rsidRPr="008625DC">
        <w:t xml:space="preserve">It is generally accepted that some regulation of pharmacy is justified </w:t>
      </w:r>
      <w:r w:rsidR="00EB729F" w:rsidRPr="008625DC">
        <w:t xml:space="preserve">to </w:t>
      </w:r>
      <w:r w:rsidR="005E6EFA" w:rsidRPr="008625DC">
        <w:t>uphold</w:t>
      </w:r>
      <w:r w:rsidRPr="008625DC">
        <w:t xml:space="preserve"> patient and community safety, ensur</w:t>
      </w:r>
      <w:r w:rsidR="005E6EFA" w:rsidRPr="008625DC">
        <w:t>e</w:t>
      </w:r>
      <w:r w:rsidRPr="008625DC">
        <w:t xml:space="preserve"> pharmacists provide consumers with appropriate information and advice about their medication, provid</w:t>
      </w:r>
      <w:r w:rsidR="005E6EFA" w:rsidRPr="008625DC">
        <w:t>e</w:t>
      </w:r>
      <w:r w:rsidRPr="008625DC">
        <w:t xml:space="preserve"> equitable access to medication regardless of the patient</w:t>
      </w:r>
      <w:r w:rsidR="00C74E19" w:rsidRPr="008625DC">
        <w:t>’</w:t>
      </w:r>
      <w:r w:rsidRPr="008625DC">
        <w:t>s wealth or location, ensur</w:t>
      </w:r>
      <w:r w:rsidR="005E6EFA" w:rsidRPr="008625DC">
        <w:t>e</w:t>
      </w:r>
      <w:r w:rsidRPr="008625DC">
        <w:t xml:space="preserve"> accountability for appropriate standards and behaviour by pharmacists, and manag</w:t>
      </w:r>
      <w:r w:rsidR="005E6EFA" w:rsidRPr="008625DC">
        <w:t>e</w:t>
      </w:r>
      <w:r w:rsidRPr="008625DC">
        <w:t xml:space="preserve"> costs to patients and government.</w:t>
      </w:r>
    </w:p>
    <w:p w14:paraId="31394CBD" w14:textId="5B928B36" w:rsidR="00215822" w:rsidRPr="008625DC" w:rsidRDefault="00215822" w:rsidP="00ED3847">
      <w:pPr>
        <w:spacing w:after="120"/>
      </w:pPr>
      <w:r w:rsidRPr="008625DC">
        <w:t xml:space="preserve">Stakeholders such as the Pharmacy Guild, Symbion, Australian Friendly Societies Pharmacies Association and the Pharmaceutical Society of Australia support the current arrangements and </w:t>
      </w:r>
      <w:r w:rsidR="005E6EFA" w:rsidRPr="008625DC">
        <w:t>believe</w:t>
      </w:r>
      <w:r w:rsidRPr="008625DC">
        <w:t xml:space="preserve"> they are achieving better outcomes than could be achieved under a different regulatory regime. </w:t>
      </w:r>
    </w:p>
    <w:p w14:paraId="7E41B8D6" w14:textId="5604C1AF" w:rsidR="00215822" w:rsidRPr="008625DC" w:rsidRDefault="00215822" w:rsidP="00ED3847">
      <w:pPr>
        <w:pStyle w:val="Quotes"/>
        <w:spacing w:after="120"/>
      </w:pPr>
      <w:r w:rsidRPr="008625DC">
        <w:t>Limiting the controlling interest in the ownership of pharmacy businesses to pharmacists promotes patient safety and competent provision of high quality pharmacy services and helps maintain public confidence in those services; and limiting the number of pharmacy businesses that may be owned by a person helps protect the public from market dominance or inappropriate market conduct</w:t>
      </w:r>
      <w:r w:rsidR="00BC2586" w:rsidRPr="008625DC">
        <w:t xml:space="preserve"> (</w:t>
      </w:r>
      <w:r w:rsidR="00430A4A" w:rsidRPr="008625DC">
        <w:t xml:space="preserve">Pharmaceutical Society of Australia, </w:t>
      </w:r>
      <w:r w:rsidR="00BC2586" w:rsidRPr="008625DC">
        <w:t>page 7).</w:t>
      </w:r>
    </w:p>
    <w:p w14:paraId="3A5CE334" w14:textId="5B9B358E" w:rsidR="00215822" w:rsidRPr="008625DC" w:rsidRDefault="00215822" w:rsidP="006B7947">
      <w:pPr>
        <w:pStyle w:val="Quotes"/>
      </w:pPr>
      <w:r w:rsidRPr="008625DC">
        <w:t xml:space="preserve">The location provisions facilitate access to pharmacies by all segments of the population </w:t>
      </w:r>
      <w:r w:rsidR="00A30DBF" w:rsidRPr="008625DC">
        <w:t>(</w:t>
      </w:r>
      <w:r w:rsidRPr="008625DC">
        <w:t>Pharmac</w:t>
      </w:r>
      <w:r w:rsidR="00ED3847" w:rsidRPr="008625DC">
        <w:t>eutical Society of Australia, page</w:t>
      </w:r>
      <w:r w:rsidRPr="008625DC">
        <w:t xml:space="preserve"> </w:t>
      </w:r>
      <w:r w:rsidR="00BC2586" w:rsidRPr="008625DC">
        <w:t>4</w:t>
      </w:r>
      <w:r w:rsidR="00A30DBF" w:rsidRPr="008625DC">
        <w:t>)</w:t>
      </w:r>
      <w:r w:rsidR="00BC2586" w:rsidRPr="008625DC">
        <w:t>.</w:t>
      </w:r>
    </w:p>
    <w:p w14:paraId="0664B958" w14:textId="023C31D9" w:rsidR="00361914" w:rsidRPr="008625DC" w:rsidRDefault="00215822" w:rsidP="00215822">
      <w:r w:rsidRPr="008625DC">
        <w:t xml:space="preserve">However, </w:t>
      </w:r>
      <w:r w:rsidR="00361914" w:rsidRPr="008625DC">
        <w:t xml:space="preserve">a range of options </w:t>
      </w:r>
      <w:r w:rsidR="005E6EFA" w:rsidRPr="008625DC">
        <w:t xml:space="preserve">are </w:t>
      </w:r>
      <w:r w:rsidR="00361914" w:rsidRPr="008625DC">
        <w:t xml:space="preserve">available to governments in seeking to </w:t>
      </w:r>
      <w:r w:rsidR="005E6EFA" w:rsidRPr="008625DC">
        <w:t>secure</w:t>
      </w:r>
      <w:r w:rsidR="00361914" w:rsidRPr="008625DC">
        <w:t xml:space="preserve"> the community service and other o</w:t>
      </w:r>
      <w:r w:rsidR="005E6EFA" w:rsidRPr="008625DC">
        <w:t>bjectives</w:t>
      </w:r>
      <w:r w:rsidR="00361914" w:rsidRPr="008625DC">
        <w:t xml:space="preserve"> that the present regulation seeks to achieve, including imposing obligations </w:t>
      </w:r>
      <w:r w:rsidR="005E6EFA" w:rsidRPr="008625DC">
        <w:t xml:space="preserve">directly </w:t>
      </w:r>
      <w:r w:rsidR="00361914" w:rsidRPr="008625DC">
        <w:t xml:space="preserve">on pharmacies as a condition of their licensing and/or remuneration. </w:t>
      </w:r>
      <w:r w:rsidR="005E6EFA" w:rsidRPr="008625DC">
        <w:t xml:space="preserve">Moreover, protecting consumers from </w:t>
      </w:r>
      <w:r w:rsidR="00C74E19" w:rsidRPr="008625DC">
        <w:t>‘</w:t>
      </w:r>
      <w:r w:rsidR="005E6EFA" w:rsidRPr="008625DC">
        <w:t>market dominance and inappropriate market conduct</w:t>
      </w:r>
      <w:r w:rsidR="00C74E19" w:rsidRPr="008625DC">
        <w:t>’</w:t>
      </w:r>
      <w:r w:rsidR="005E6EFA" w:rsidRPr="008625DC">
        <w:t xml:space="preserve"> is adequately handled by the CCA and does not need supplementary rules specific to pharmacy.</w:t>
      </w:r>
    </w:p>
    <w:p w14:paraId="55517BDC" w14:textId="72734BCB" w:rsidR="00C46CDF" w:rsidRPr="008625DC" w:rsidRDefault="00EB729F" w:rsidP="00215822">
      <w:r w:rsidRPr="008625DC">
        <w:t>The current regulations impos</w:t>
      </w:r>
      <w:r w:rsidR="005E6EFA" w:rsidRPr="008625DC">
        <w:t>e</w:t>
      </w:r>
      <w:r w:rsidRPr="008625DC">
        <w:t xml:space="preserve"> costs on consumers</w:t>
      </w:r>
      <w:r w:rsidR="005E6EFA" w:rsidRPr="008625DC">
        <w:t xml:space="preserve">; yet it </w:t>
      </w:r>
      <w:r w:rsidRPr="008625DC">
        <w:t xml:space="preserve">is not clear how </w:t>
      </w:r>
      <w:r w:rsidR="005E6EFA" w:rsidRPr="008625DC">
        <w:t>restricting</w:t>
      </w:r>
      <w:r w:rsidRPr="008625DC">
        <w:t xml:space="preserve"> </w:t>
      </w:r>
      <w:r w:rsidR="005E6EFA" w:rsidRPr="008625DC">
        <w:t xml:space="preserve">the </w:t>
      </w:r>
      <w:r w:rsidRPr="008625DC">
        <w:t>location of pharmacies or requir</w:t>
      </w:r>
      <w:r w:rsidR="005E6EFA" w:rsidRPr="008625DC">
        <w:t>ing</w:t>
      </w:r>
      <w:r w:rsidRPr="008625DC">
        <w:t xml:space="preserve"> that only pharmacists can own a pharmacy ensures the quality of advice provided to consumer</w:t>
      </w:r>
      <w:r w:rsidR="005E6EFA" w:rsidRPr="008625DC">
        <w:t>s</w:t>
      </w:r>
      <w:r w:rsidRPr="008625DC">
        <w:t xml:space="preserve">. </w:t>
      </w:r>
      <w:r w:rsidR="005E6EFA" w:rsidRPr="008625DC">
        <w:t>S</w:t>
      </w:r>
      <w:r w:rsidR="00C46CDF" w:rsidRPr="008625DC">
        <w:t>uch restrictions limit the ability of consumers to choose where to obtain pharmacy services and limit the ability of suppliers to meet consumers</w:t>
      </w:r>
      <w:r w:rsidR="00C74E19" w:rsidRPr="008625DC">
        <w:t>’</w:t>
      </w:r>
      <w:r w:rsidR="00C46CDF" w:rsidRPr="008625DC">
        <w:t xml:space="preserve"> demands.</w:t>
      </w:r>
    </w:p>
    <w:p w14:paraId="1885064E" w14:textId="08CC18F3" w:rsidR="00215822" w:rsidRPr="008625DC" w:rsidRDefault="00C46CDF" w:rsidP="00ED3847">
      <w:pPr>
        <w:spacing w:after="120"/>
      </w:pPr>
      <w:r w:rsidRPr="008625DC">
        <w:t>T</w:t>
      </w:r>
      <w:r w:rsidR="00215822" w:rsidRPr="008625DC">
        <w:t xml:space="preserve">he Consumers Health Forum, National Seniors, Chemist Warehouse, and Professional Pharmacists Australia </w:t>
      </w:r>
      <w:r w:rsidR="000A6968" w:rsidRPr="008625DC">
        <w:t>call for changes to the regulations:</w:t>
      </w:r>
    </w:p>
    <w:p w14:paraId="424F8B98" w14:textId="1AE56413" w:rsidR="00215822" w:rsidRPr="008625DC" w:rsidRDefault="00215822" w:rsidP="006B7947">
      <w:pPr>
        <w:pStyle w:val="Quotes"/>
      </w:pPr>
      <w:r w:rsidRPr="008625DC">
        <w:t xml:space="preserve">The end result of limiting competition and guaranteeing income has been to create a significant problem in community pharmacy that is leading to poor health outcomes, a stifling of innovation and the taxpayer not receiving value for money </w:t>
      </w:r>
      <w:r w:rsidR="00D97005" w:rsidRPr="008625DC">
        <w:t>(Professional Pharmacists Australia</w:t>
      </w:r>
      <w:r w:rsidR="00FB3D5D" w:rsidRPr="008625DC">
        <w:rPr>
          <w:rStyle w:val="FootnoteReference"/>
        </w:rPr>
        <w:footnoteReference w:id="118"/>
      </w:r>
      <w:r w:rsidR="00D97005" w:rsidRPr="008625DC">
        <w:t>)</w:t>
      </w:r>
      <w:r w:rsidR="005313BD" w:rsidRPr="008625DC">
        <w:t>.</w:t>
      </w:r>
    </w:p>
    <w:p w14:paraId="32FD31E0" w14:textId="27761D4B" w:rsidR="00215822" w:rsidRPr="008625DC" w:rsidRDefault="00215822" w:rsidP="00361914">
      <w:r w:rsidRPr="008625DC">
        <w:t>The Pharmacy Guild submits that</w:t>
      </w:r>
      <w:r w:rsidR="00361914" w:rsidRPr="008625DC">
        <w:t xml:space="preserve"> pharmacy regulations were reviewed in 2000 under NCP and that any further review is unnecessary</w:t>
      </w:r>
      <w:r w:rsidR="00A11F08">
        <w:t xml:space="preserve"> (page 6)</w:t>
      </w:r>
      <w:r w:rsidRPr="008625DC">
        <w:t>,</w:t>
      </w:r>
      <w:r w:rsidR="000A6968" w:rsidRPr="008625DC">
        <w:t xml:space="preserve"> but</w:t>
      </w:r>
      <w:r w:rsidRPr="008625DC">
        <w:t xml:space="preserve"> the Panel notes </w:t>
      </w:r>
      <w:r w:rsidR="000A6968" w:rsidRPr="008625DC">
        <w:t>that</w:t>
      </w:r>
      <w:r w:rsidR="00361914" w:rsidRPr="008625DC">
        <w:t xml:space="preserve"> </w:t>
      </w:r>
      <w:r w:rsidRPr="008625DC">
        <w:t>considerable time has passed since th</w:t>
      </w:r>
      <w:r w:rsidR="00EB19E1" w:rsidRPr="008625DC">
        <w:t>en</w:t>
      </w:r>
      <w:r w:rsidRPr="008625DC">
        <w:t xml:space="preserve"> and there have been a number of significant developments </w:t>
      </w:r>
      <w:r w:rsidR="005E6EFA" w:rsidRPr="008625DC">
        <w:t>over</w:t>
      </w:r>
      <w:r w:rsidRPr="008625DC">
        <w:t xml:space="preserve"> that time</w:t>
      </w:r>
      <w:r w:rsidR="00380141" w:rsidRPr="008625DC">
        <w:t xml:space="preserve">. </w:t>
      </w:r>
    </w:p>
    <w:p w14:paraId="366F2E79" w14:textId="30AEF09E" w:rsidR="00215822" w:rsidRPr="008625DC" w:rsidRDefault="009C750E" w:rsidP="00215822">
      <w:r w:rsidRPr="008625DC">
        <w:t xml:space="preserve">For example, the introduction, and subsequent expansion, of Price Disclosure arrangements for PBS medicines has </w:t>
      </w:r>
      <w:r w:rsidR="003E4169" w:rsidRPr="008625DC">
        <w:t xml:space="preserve">lowered the prices the Australian Government pays for key medicines </w:t>
      </w:r>
      <w:r w:rsidR="005E6EFA" w:rsidRPr="008625DC">
        <w:t xml:space="preserve">closer to </w:t>
      </w:r>
      <w:r w:rsidR="003E4169" w:rsidRPr="008625DC">
        <w:t xml:space="preserve">those </w:t>
      </w:r>
      <w:r w:rsidR="003E4169" w:rsidRPr="008625DC">
        <w:lastRenderedPageBreak/>
        <w:t>actually paid by community pharmacies, with</w:t>
      </w:r>
      <w:r w:rsidRPr="008625DC">
        <w:t xml:space="preserve"> a significant </w:t>
      </w:r>
      <w:r w:rsidR="00DF285B" w:rsidRPr="008625DC">
        <w:t>downward</w:t>
      </w:r>
      <w:r w:rsidRPr="008625DC">
        <w:t xml:space="preserve"> impact on the incomes of community pharmacies. Different business models have also emerged including specialist and online pharmacy models and discount groups</w:t>
      </w:r>
      <w:r w:rsidR="00EB19E1" w:rsidRPr="008625DC">
        <w:t xml:space="preserve"> that operate on a larger scale</w:t>
      </w:r>
      <w:r w:rsidRPr="008625DC">
        <w:t xml:space="preserve">, such as Chemist Warehouse, which are different in character from the community pharmacies that existed before 2000. </w:t>
      </w:r>
    </w:p>
    <w:p w14:paraId="0C353B79" w14:textId="0EF3C098" w:rsidR="00215822" w:rsidRPr="008625DC" w:rsidRDefault="00215822" w:rsidP="000A6968">
      <w:r w:rsidRPr="008625DC">
        <w:t xml:space="preserve">Since 2000 there is </w:t>
      </w:r>
      <w:r w:rsidR="00D808A1" w:rsidRPr="008625DC">
        <w:t>a better understanding</w:t>
      </w:r>
      <w:r w:rsidRPr="008625DC">
        <w:t xml:space="preserve"> </w:t>
      </w:r>
      <w:r w:rsidR="005E6EFA" w:rsidRPr="008625DC">
        <w:t>of how well</w:t>
      </w:r>
      <w:r w:rsidRPr="008625DC">
        <w:t xml:space="preserve"> other primary healthcare sectors </w:t>
      </w:r>
      <w:r w:rsidR="005E6EFA" w:rsidRPr="008625DC">
        <w:t xml:space="preserve">operate </w:t>
      </w:r>
      <w:r w:rsidRPr="008625DC">
        <w:t>without such anti</w:t>
      </w:r>
      <w:r w:rsidR="00C74E19" w:rsidRPr="008625DC">
        <w:noBreakHyphen/>
      </w:r>
      <w:r w:rsidRPr="008625DC">
        <w:t xml:space="preserve">competitive restrictions. For example, ownership of medical practices is not limited to GPs, and nor are </w:t>
      </w:r>
      <w:r w:rsidR="005E6EFA" w:rsidRPr="008625DC">
        <w:t>GP</w:t>
      </w:r>
      <w:r w:rsidRPr="008625DC">
        <w:t xml:space="preserve"> practices prevented from opening in close proximity to </w:t>
      </w:r>
      <w:r w:rsidR="005E6EFA" w:rsidRPr="008625DC">
        <w:t>one another</w:t>
      </w:r>
      <w:r w:rsidR="006106E4" w:rsidRPr="008625DC">
        <w:t>.</w:t>
      </w:r>
      <w:r w:rsidR="00373A84" w:rsidRPr="008625DC">
        <w:t xml:space="preserve"> </w:t>
      </w:r>
    </w:p>
    <w:p w14:paraId="713736F1" w14:textId="0EAD363D" w:rsidR="00215822" w:rsidRPr="008625DC" w:rsidRDefault="00215822" w:rsidP="00215822">
      <w:r w:rsidRPr="008625DC">
        <w:t xml:space="preserve">In light of the changes to the operation of the pharmacy sector and the increased empirical evidence available to inform comparisons in the years since the Wilkinson review, there is renewed reason to </w:t>
      </w:r>
      <w:r w:rsidR="00373A84" w:rsidRPr="008625DC">
        <w:t>question</w:t>
      </w:r>
      <w:r w:rsidRPr="008625DC">
        <w:t xml:space="preserve"> the assumption that protecting pharmacists from competition </w:t>
      </w:r>
      <w:r w:rsidR="000A6968" w:rsidRPr="008625DC">
        <w:t>is in the interests of consumers</w:t>
      </w:r>
      <w:r w:rsidRPr="008625DC">
        <w:t xml:space="preserve">. </w:t>
      </w:r>
    </w:p>
    <w:p w14:paraId="380DC6B5" w14:textId="625201AD" w:rsidR="00215822" w:rsidRPr="008625DC" w:rsidRDefault="00215822" w:rsidP="00724AF9">
      <w:r w:rsidRPr="008625DC">
        <w:t>The Panel also notes that the current Fifth Community Pharmacy Agreement expires on 1</w:t>
      </w:r>
      <w:r w:rsidR="00A451DD" w:rsidRPr="008625DC">
        <w:t> </w:t>
      </w:r>
      <w:r w:rsidRPr="008625DC">
        <w:t>July</w:t>
      </w:r>
      <w:r w:rsidR="00787DCF" w:rsidRPr="008625DC">
        <w:t xml:space="preserve"> </w:t>
      </w:r>
      <w:r w:rsidRPr="008625DC">
        <w:t xml:space="preserve">2015, and negotiations for the next agreement </w:t>
      </w:r>
      <w:r w:rsidR="009C750E" w:rsidRPr="008625DC">
        <w:t xml:space="preserve">are anticipated to </w:t>
      </w:r>
      <w:r w:rsidRPr="008625DC">
        <w:t xml:space="preserve">commence in the second half of 2014. </w:t>
      </w:r>
      <w:r w:rsidR="00264F4D" w:rsidRPr="008625DC">
        <w:t xml:space="preserve">This provides an </w:t>
      </w:r>
      <w:r w:rsidR="006402DE" w:rsidRPr="008625DC">
        <w:t>opportunity for the Australian Government to remove the location rules, with appropriate transitional arrangements.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064AA176" w14:textId="77777777" w:rsidTr="00F7370D">
        <w:tc>
          <w:tcPr>
            <w:tcW w:w="5000" w:type="pct"/>
            <w:shd w:val="clear" w:color="auto" w:fill="FFFFFF" w:themeFill="background1"/>
          </w:tcPr>
          <w:p w14:paraId="4F4747C5" w14:textId="39B1EC75" w:rsidR="00215822" w:rsidRPr="008625DC" w:rsidRDefault="00215822" w:rsidP="00F7370D">
            <w:pPr>
              <w:pStyle w:val="Keyfindingheading"/>
            </w:pPr>
            <w:r w:rsidRPr="008625DC">
              <w:t>The Panel</w:t>
            </w:r>
            <w:r w:rsidR="00C74E19" w:rsidRPr="008625DC">
              <w:t>’</w:t>
            </w:r>
            <w:r w:rsidRPr="008625DC">
              <w:t>s view</w:t>
            </w:r>
          </w:p>
          <w:p w14:paraId="7C99327F" w14:textId="0D6DC50B" w:rsidR="00215822" w:rsidRPr="008625DC" w:rsidRDefault="004567EB" w:rsidP="00F7370D">
            <w:pPr>
              <w:pStyle w:val="Keyfindingtext"/>
            </w:pPr>
            <w:bookmarkStart w:id="18527" w:name="_Toc393985146"/>
            <w:bookmarkStart w:id="18528" w:name="_Toc393985649"/>
            <w:bookmarkStart w:id="18529" w:name="_Toc393986051"/>
            <w:bookmarkStart w:id="18530" w:name="_Toc393986454"/>
            <w:bookmarkStart w:id="18531" w:name="_Toc393988061"/>
            <w:bookmarkStart w:id="18532" w:name="_Toc393988463"/>
            <w:bookmarkStart w:id="18533" w:name="_Toc393989475"/>
            <w:bookmarkStart w:id="18534" w:name="_Toc393988863"/>
            <w:bookmarkStart w:id="18535" w:name="_Toc393990867"/>
            <w:bookmarkStart w:id="18536" w:name="_Toc393991849"/>
            <w:bookmarkStart w:id="18537" w:name="_Toc394047512"/>
            <w:bookmarkStart w:id="18538" w:name="_Toc394049788"/>
            <w:bookmarkStart w:id="18539" w:name="_Toc394051188"/>
            <w:bookmarkStart w:id="18540" w:name="_Toc394062177"/>
            <w:bookmarkStart w:id="18541" w:name="_Toc394069052"/>
            <w:bookmarkStart w:id="18542" w:name="_Toc394070970"/>
            <w:bookmarkStart w:id="18543" w:name="_Toc394312373"/>
            <w:bookmarkStart w:id="18544" w:name="_Toc394330657"/>
            <w:bookmarkStart w:id="18545" w:name="_Toc394330277"/>
            <w:bookmarkStart w:id="18546" w:name="_Toc394333251"/>
            <w:bookmarkStart w:id="18547" w:name="_Toc394332829"/>
            <w:bookmarkStart w:id="18548" w:name="_Toc394333664"/>
            <w:bookmarkStart w:id="18549" w:name="_Toc394334077"/>
            <w:bookmarkStart w:id="18550" w:name="_Toc394334903"/>
            <w:bookmarkStart w:id="18551" w:name="_Toc394415086"/>
            <w:bookmarkStart w:id="18552" w:name="_Toc394412391"/>
            <w:bookmarkStart w:id="18553" w:name="_Toc394420682"/>
            <w:bookmarkStart w:id="18554" w:name="_Toc394421156"/>
            <w:bookmarkStart w:id="18555" w:name="_Toc394423526"/>
            <w:bookmarkStart w:id="18556" w:name="_Toc394420460"/>
            <w:bookmarkStart w:id="18557" w:name="_Toc394422570"/>
            <w:bookmarkStart w:id="18558" w:name="_Toc394423041"/>
            <w:bookmarkStart w:id="18559" w:name="_Toc394424191"/>
            <w:bookmarkStart w:id="18560" w:name="_Toc394492025"/>
            <w:bookmarkStart w:id="18561" w:name="_Toc394495170"/>
            <w:bookmarkStart w:id="18562" w:name="_Toc394497985"/>
            <w:bookmarkStart w:id="18563" w:name="_Toc394500775"/>
            <w:bookmarkStart w:id="18564" w:name="_Toc394502179"/>
            <w:bookmarkStart w:id="18565" w:name="_Toc394503081"/>
            <w:bookmarkStart w:id="18566" w:name="_Toc394502625"/>
            <w:bookmarkStart w:id="18567" w:name="_Toc394505832"/>
            <w:bookmarkStart w:id="18568" w:name="_Toc394506291"/>
            <w:bookmarkStart w:id="18569" w:name="_Toc394506845"/>
            <w:bookmarkStart w:id="18570" w:name="_Toc394560922"/>
            <w:bookmarkStart w:id="18571" w:name="_Toc394561383"/>
            <w:bookmarkStart w:id="18572" w:name="_Toc394938354"/>
            <w:bookmarkStart w:id="18573" w:name="_Toc394937634"/>
            <w:bookmarkStart w:id="18574" w:name="_Toc394941265"/>
            <w:bookmarkStart w:id="18575" w:name="_Toc394941881"/>
            <w:bookmarkStart w:id="18576" w:name="_Toc394940103"/>
            <w:bookmarkStart w:id="18577" w:name="_Toc394939713"/>
            <w:bookmarkStart w:id="18578" w:name="_Toc394993610"/>
            <w:bookmarkStart w:id="18579" w:name="_Toc394995491"/>
            <w:bookmarkStart w:id="18580" w:name="_Toc394995805"/>
            <w:bookmarkStart w:id="18581" w:name="_Toc394998050"/>
            <w:bookmarkStart w:id="18582" w:name="_Toc394998564"/>
            <w:bookmarkStart w:id="18583" w:name="_Toc395002063"/>
            <w:bookmarkStart w:id="18584" w:name="_Toc395001269"/>
            <w:bookmarkStart w:id="18585" w:name="_Toc395001543"/>
            <w:bookmarkStart w:id="18586" w:name="_Toc395002832"/>
            <w:bookmarkStart w:id="18587" w:name="_Toc395003417"/>
            <w:bookmarkStart w:id="18588" w:name="_Toc395005658"/>
            <w:bookmarkStart w:id="18589" w:name="_Toc395009652"/>
            <w:bookmarkStart w:id="18590" w:name="_Toc395010391"/>
            <w:bookmarkStart w:id="18591" w:name="_Toc395012575"/>
            <w:bookmarkStart w:id="18592" w:name="_Toc395010981"/>
            <w:bookmarkStart w:id="18593" w:name="_Toc395013038"/>
            <w:bookmarkStart w:id="18594" w:name="_Toc395012040"/>
            <w:bookmarkStart w:id="18595" w:name="_Toc395014379"/>
            <w:bookmarkStart w:id="18596" w:name="_Toc395084730"/>
            <w:bookmarkStart w:id="18597" w:name="_Toc395085031"/>
            <w:bookmarkStart w:id="18598" w:name="_Toc395090494"/>
            <w:bookmarkStart w:id="18599" w:name="_Toc395093078"/>
            <w:bookmarkStart w:id="18600" w:name="_Toc395097990"/>
            <w:bookmarkStart w:id="18601" w:name="_Toc395106174"/>
            <w:bookmarkStart w:id="18602" w:name="_Toc395109767"/>
            <w:bookmarkStart w:id="18603" w:name="_Toc395112144"/>
            <w:bookmarkStart w:id="18604" w:name="_Toc395107286"/>
            <w:bookmarkStart w:id="18605" w:name="_Toc395108847"/>
            <w:bookmarkStart w:id="18606" w:name="_Toc395114087"/>
            <w:bookmarkStart w:id="18607" w:name="_Toc395116824"/>
            <w:bookmarkStart w:id="18608" w:name="_Toc395115301"/>
            <w:bookmarkStart w:id="18609" w:name="_Toc395118453"/>
            <w:bookmarkStart w:id="18610" w:name="_Toc395624647"/>
            <w:bookmarkStart w:id="18611" w:name="_Toc395789998"/>
            <w:bookmarkStart w:id="18612" w:name="_Toc395800756"/>
            <w:r w:rsidRPr="008625DC">
              <w:t xml:space="preserve">The Panel </w:t>
            </w:r>
            <w:r w:rsidR="00215822" w:rsidRPr="008625DC">
              <w:t>accept</w:t>
            </w:r>
            <w:r w:rsidRPr="008625DC">
              <w:t>s</w:t>
            </w:r>
            <w:r w:rsidR="00215822" w:rsidRPr="008625DC">
              <w:t xml:space="preserve"> that some regulation of pharmacy is justified and need</w:t>
            </w:r>
            <w:r w:rsidRPr="008625DC">
              <w:t>s</w:t>
            </w:r>
            <w:r w:rsidR="00215822" w:rsidRPr="008625DC">
              <w:t xml:space="preserve"> to remain in place </w:t>
            </w:r>
            <w:r w:rsidRPr="008625DC">
              <w:t xml:space="preserve">given </w:t>
            </w:r>
            <w:r w:rsidR="005E6EFA" w:rsidRPr="008625DC">
              <w:t>the key role of pharmacy</w:t>
            </w:r>
            <w:r w:rsidRPr="008625DC">
              <w:t xml:space="preserve"> in primary health care</w:t>
            </w:r>
            <w:r w:rsidR="00215822" w:rsidRPr="008625DC">
              <w:t>.</w:t>
            </w:r>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r w:rsidR="00215822" w:rsidRPr="008625DC">
              <w:t xml:space="preserve"> </w:t>
            </w:r>
            <w:r w:rsidR="000A6968" w:rsidRPr="008625DC">
              <w:t xml:space="preserve">However, the current regulations </w:t>
            </w:r>
            <w:r w:rsidR="005313BD" w:rsidRPr="008625DC">
              <w:t>preventing pharmacies from choosing their own locations</w:t>
            </w:r>
            <w:r w:rsidR="00373A84" w:rsidRPr="008625DC">
              <w:t>,</w:t>
            </w:r>
            <w:r w:rsidR="005313BD" w:rsidRPr="008625DC">
              <w:t xml:space="preserve"> and limiting </w:t>
            </w:r>
            <w:r w:rsidR="00561FF9" w:rsidRPr="008625DC">
              <w:t>ownership to pharmacists and friendly</w:t>
            </w:r>
            <w:r w:rsidR="009A1CAC" w:rsidRPr="008625DC">
              <w:t xml:space="preserve"> </w:t>
            </w:r>
            <w:r w:rsidR="00561FF9" w:rsidRPr="008625DC">
              <w:t>societies only</w:t>
            </w:r>
            <w:r w:rsidR="00373A84" w:rsidRPr="008625DC">
              <w:t>,</w:t>
            </w:r>
            <w:r w:rsidR="00561FF9" w:rsidRPr="008625DC">
              <w:t xml:space="preserve"> </w:t>
            </w:r>
            <w:r w:rsidR="000A6968" w:rsidRPr="008625DC">
              <w:t xml:space="preserve">are more restrictive than those in other health sectors </w:t>
            </w:r>
            <w:r w:rsidR="00561FF9" w:rsidRPr="008625DC">
              <w:t>(such as general practice)</w:t>
            </w:r>
            <w:r w:rsidR="000A6968" w:rsidRPr="008625DC">
              <w:t xml:space="preserve"> and </w:t>
            </w:r>
            <w:r w:rsidR="00561FF9" w:rsidRPr="008625DC">
              <w:t>many</w:t>
            </w:r>
            <w:r w:rsidR="000A6968" w:rsidRPr="008625DC">
              <w:t xml:space="preserve"> comparable countries. </w:t>
            </w:r>
          </w:p>
          <w:p w14:paraId="7B9C6EC8" w14:textId="783558B0" w:rsidR="000A6968" w:rsidRPr="008625DC" w:rsidRDefault="00373A84" w:rsidP="00F7370D">
            <w:pPr>
              <w:pStyle w:val="Keyfindingtext"/>
            </w:pPr>
            <w:bookmarkStart w:id="18613" w:name="_Toc394477369"/>
            <w:bookmarkStart w:id="18614" w:name="_Toc394477370"/>
            <w:bookmarkStart w:id="18615" w:name="_Toc394492027"/>
            <w:bookmarkStart w:id="18616" w:name="_Toc394495172"/>
            <w:bookmarkStart w:id="18617" w:name="_Toc394497987"/>
            <w:bookmarkStart w:id="18618" w:name="_Toc394500777"/>
            <w:bookmarkStart w:id="18619" w:name="_Toc394502181"/>
            <w:bookmarkStart w:id="18620" w:name="_Toc394503083"/>
            <w:bookmarkStart w:id="18621" w:name="_Toc394502627"/>
            <w:bookmarkStart w:id="18622" w:name="_Toc394505834"/>
            <w:bookmarkStart w:id="18623" w:name="_Toc394506293"/>
            <w:bookmarkStart w:id="18624" w:name="_Toc394506847"/>
            <w:bookmarkStart w:id="18625" w:name="_Toc394560924"/>
            <w:bookmarkStart w:id="18626" w:name="_Toc394561385"/>
            <w:bookmarkStart w:id="18627" w:name="_Toc394938356"/>
            <w:bookmarkStart w:id="18628" w:name="_Toc394937636"/>
            <w:bookmarkStart w:id="18629" w:name="_Toc394941267"/>
            <w:bookmarkStart w:id="18630" w:name="_Toc394941883"/>
            <w:bookmarkStart w:id="18631" w:name="_Toc394940105"/>
            <w:bookmarkStart w:id="18632" w:name="_Toc394939715"/>
            <w:bookmarkStart w:id="18633" w:name="_Toc394993612"/>
            <w:bookmarkStart w:id="18634" w:name="_Toc394995493"/>
            <w:bookmarkStart w:id="18635" w:name="_Toc394995807"/>
            <w:bookmarkStart w:id="18636" w:name="_Toc394998052"/>
            <w:bookmarkStart w:id="18637" w:name="_Toc394998566"/>
            <w:bookmarkStart w:id="18638" w:name="_Toc395002065"/>
            <w:bookmarkStart w:id="18639" w:name="_Toc395001271"/>
            <w:bookmarkStart w:id="18640" w:name="_Toc395001545"/>
            <w:bookmarkStart w:id="18641" w:name="_Toc395002834"/>
            <w:bookmarkStart w:id="18642" w:name="_Toc395003419"/>
            <w:bookmarkStart w:id="18643" w:name="_Toc395005660"/>
            <w:bookmarkStart w:id="18644" w:name="_Toc395009654"/>
            <w:bookmarkStart w:id="18645" w:name="_Toc395010393"/>
            <w:bookmarkStart w:id="18646" w:name="_Toc395012577"/>
            <w:bookmarkStart w:id="18647" w:name="_Toc395010983"/>
            <w:bookmarkStart w:id="18648" w:name="_Toc395013040"/>
            <w:bookmarkStart w:id="18649" w:name="_Toc395012042"/>
            <w:bookmarkStart w:id="18650" w:name="_Toc395014381"/>
            <w:bookmarkStart w:id="18651" w:name="_Toc395084732"/>
            <w:bookmarkStart w:id="18652" w:name="_Toc395085033"/>
            <w:bookmarkStart w:id="18653" w:name="_Toc395090496"/>
            <w:bookmarkStart w:id="18654" w:name="_Toc395097992"/>
            <w:bookmarkStart w:id="18655" w:name="_Toc395106176"/>
            <w:bookmarkStart w:id="18656" w:name="_Toc395109769"/>
            <w:bookmarkStart w:id="18657" w:name="_Toc395112146"/>
            <w:bookmarkStart w:id="18658" w:name="_Toc395107288"/>
            <w:bookmarkStart w:id="18659" w:name="_Toc395108849"/>
            <w:bookmarkStart w:id="18660" w:name="_Toc395114089"/>
            <w:bookmarkStart w:id="18661" w:name="_Toc395116826"/>
            <w:bookmarkStart w:id="18662" w:name="_Toc395112763"/>
            <w:bookmarkStart w:id="18663" w:name="_Toc395115303"/>
            <w:bookmarkStart w:id="18664" w:name="_Toc395118455"/>
            <w:bookmarkStart w:id="18665" w:name="_Toc395624649"/>
            <w:bookmarkStart w:id="18666" w:name="_Toc395790000"/>
            <w:bookmarkStart w:id="18667" w:name="_Toc395800758"/>
            <w:r w:rsidRPr="008625DC">
              <w:t>Further, t</w:t>
            </w:r>
            <w:r w:rsidR="00215822" w:rsidRPr="008625DC">
              <w:t>here</w:t>
            </w:r>
            <w:bookmarkEnd w:id="18613"/>
            <w:r w:rsidR="00215822" w:rsidRPr="008625DC">
              <w:t xml:space="preserve"> have been developments in Australia that </w:t>
            </w:r>
            <w:r w:rsidRPr="008625DC">
              <w:t>strengthen</w:t>
            </w:r>
            <w:r w:rsidR="00215822" w:rsidRPr="008625DC">
              <w:t xml:space="preserve"> </w:t>
            </w:r>
            <w:r w:rsidR="000A6968" w:rsidRPr="008625DC">
              <w:t xml:space="preserve">the </w:t>
            </w:r>
            <w:r w:rsidRPr="008625DC">
              <w:t>case for</w:t>
            </w:r>
            <w:r w:rsidR="00215822" w:rsidRPr="008625DC">
              <w:t xml:space="preserve"> </w:t>
            </w:r>
            <w:r w:rsidR="000A6968" w:rsidRPr="008625DC">
              <w:t xml:space="preserve">the present arrangements </w:t>
            </w:r>
            <w:r w:rsidRPr="008625DC">
              <w:t>to</w:t>
            </w:r>
            <w:r w:rsidR="000A6968" w:rsidRPr="008625DC">
              <w:t xml:space="preserve"> be repealed and replaced with new </w:t>
            </w:r>
            <w:r w:rsidR="00215822" w:rsidRPr="008625DC">
              <w:t xml:space="preserve">regulations </w:t>
            </w:r>
            <w:r w:rsidR="000A6968" w:rsidRPr="008625DC">
              <w:t>that better serve consumers and are</w:t>
            </w:r>
            <w:r w:rsidR="00D451C3" w:rsidRPr="008625DC">
              <w:t xml:space="preserve"> less harmful to competition</w:t>
            </w:r>
            <w:r w:rsidR="00215822" w:rsidRPr="008625DC">
              <w:t xml:space="preserve">. </w:t>
            </w:r>
          </w:p>
          <w:p w14:paraId="7B7882FA" w14:textId="2B8F1810" w:rsidR="000A6968" w:rsidRPr="008625DC" w:rsidRDefault="003E4169" w:rsidP="000A6968">
            <w:pPr>
              <w:pStyle w:val="Keyfindingtext"/>
            </w:pPr>
            <w:r w:rsidRPr="008625DC">
              <w:t>Recent</w:t>
            </w:r>
            <w:r w:rsidR="00215822" w:rsidRPr="008625DC">
              <w:t xml:space="preserve"> developments include the rise of discount pharmacy groups and online prescriptions, as well as the accumulation of evidence about the effects of deregulation in other Australian health sectors</w:t>
            </w:r>
            <w:r w:rsidR="00D451C3" w:rsidRPr="008625DC">
              <w:t>, in particular</w:t>
            </w:r>
            <w:r w:rsidR="009F0D75" w:rsidRPr="008625DC">
              <w:t xml:space="preserve"> general p</w:t>
            </w:r>
            <w:r w:rsidR="00215822" w:rsidRPr="008625DC">
              <w:t>ractice.</w:t>
            </w:r>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p>
          <w:p w14:paraId="19CC6992" w14:textId="3469FE76" w:rsidR="00561FF9" w:rsidRPr="008625DC" w:rsidRDefault="00373A84" w:rsidP="00D42E4A">
            <w:pPr>
              <w:pStyle w:val="Keyfindingtext"/>
            </w:pPr>
            <w:r w:rsidRPr="008625DC">
              <w:t>Accordingly</w:t>
            </w:r>
            <w:r w:rsidR="005E6EFA" w:rsidRPr="008625DC">
              <w:t>,</w:t>
            </w:r>
            <w:r w:rsidRPr="008625DC">
              <w:t xml:space="preserve"> t</w:t>
            </w:r>
            <w:r w:rsidR="000A6968" w:rsidRPr="008625DC">
              <w:t>he Panel</w:t>
            </w:r>
            <w:r w:rsidR="00561FF9" w:rsidRPr="008625DC">
              <w:t xml:space="preserve"> con</w:t>
            </w:r>
            <w:r w:rsidRPr="008625DC">
              <w:t>sider</w:t>
            </w:r>
            <w:r w:rsidR="005E6EFA" w:rsidRPr="008625DC">
              <w:t>s</w:t>
            </w:r>
            <w:r w:rsidR="00561FF9" w:rsidRPr="008625DC">
              <w:t xml:space="preserve"> that present restrictions on ownership and location are </w:t>
            </w:r>
            <w:r w:rsidR="005E6EFA" w:rsidRPr="008625DC">
              <w:t>un</w:t>
            </w:r>
            <w:r w:rsidR="00561FF9" w:rsidRPr="008625DC">
              <w:t xml:space="preserve">necessary to </w:t>
            </w:r>
            <w:r w:rsidR="005E6EFA" w:rsidRPr="008625DC">
              <w:t>uphold</w:t>
            </w:r>
            <w:r w:rsidR="00561FF9" w:rsidRPr="008625DC">
              <w:t xml:space="preserve"> the quality of advice and care provided to patients. However, it is clear that such restrictions limit the ability of consumers to choose where to obtain pharmacy products and services, and the ability of providers to meet consumers</w:t>
            </w:r>
            <w:r w:rsidR="00C74E19" w:rsidRPr="008625DC">
              <w:t>’</w:t>
            </w:r>
            <w:r w:rsidR="00561FF9" w:rsidRPr="008625DC">
              <w:t xml:space="preserve"> preferences.</w:t>
            </w:r>
          </w:p>
          <w:p w14:paraId="26362588" w14:textId="47A6A15B" w:rsidR="000A6968" w:rsidRPr="008625DC" w:rsidRDefault="000A6968">
            <w:pPr>
              <w:pStyle w:val="Keyfindingtext"/>
            </w:pPr>
            <w:r w:rsidRPr="008625DC">
              <w:t>The Panel also notes that the current Fifth Community Pharmacy Agreement expires on 1</w:t>
            </w:r>
            <w:r w:rsidR="00A451DD" w:rsidRPr="008625DC">
              <w:t> </w:t>
            </w:r>
            <w:r w:rsidRPr="008625DC">
              <w:t>July</w:t>
            </w:r>
            <w:r w:rsidR="00BC2586" w:rsidRPr="008625DC">
              <w:t> </w:t>
            </w:r>
            <w:r w:rsidRPr="008625DC">
              <w:t xml:space="preserve">2015, and negotiations for the next agreement are anticipated to commence in the second half of 2014. </w:t>
            </w:r>
            <w:r w:rsidR="00595FCA" w:rsidRPr="008625DC">
              <w:t>This provides a</w:t>
            </w:r>
            <w:r w:rsidR="00264F4D" w:rsidRPr="008625DC">
              <w:t xml:space="preserve">n </w:t>
            </w:r>
            <w:r w:rsidR="00595FCA" w:rsidRPr="008625DC">
              <w:t xml:space="preserve">opportunity </w:t>
            </w:r>
            <w:r w:rsidR="006402DE" w:rsidRPr="008625DC">
              <w:t>for the Australian Government to remove the location rules, with appropriate transitional arrangements</w:t>
            </w:r>
            <w:r w:rsidR="00380141" w:rsidRPr="008625DC">
              <w:t xml:space="preserve">. </w:t>
            </w:r>
          </w:p>
        </w:tc>
      </w:tr>
    </w:tbl>
    <w:p w14:paraId="2FC5F574" w14:textId="77777777" w:rsidR="0023794D" w:rsidRPr="008625DC" w:rsidRDefault="0023794D" w:rsidP="0023794D">
      <w:bookmarkStart w:id="18668" w:name="_Toc394938112"/>
      <w:bookmarkStart w:id="18669" w:name="_Toc394938332"/>
      <w:bookmarkStart w:id="18670" w:name="_Toc394938614"/>
      <w:bookmarkStart w:id="18671" w:name="_Toc394937612"/>
      <w:bookmarkStart w:id="18672" w:name="_Toc394937896"/>
      <w:bookmarkStart w:id="18673" w:name="_Toc394941024"/>
      <w:bookmarkStart w:id="18674" w:name="_Toc394941243"/>
      <w:bookmarkStart w:id="18675" w:name="_Toc394941525"/>
      <w:bookmarkStart w:id="18676" w:name="_Toc394941640"/>
      <w:bookmarkStart w:id="18677" w:name="_Toc394941859"/>
      <w:bookmarkStart w:id="18678" w:name="_Toc394942141"/>
      <w:bookmarkStart w:id="18679" w:name="_Toc394939861"/>
      <w:bookmarkStart w:id="18680" w:name="_Toc394940081"/>
      <w:bookmarkStart w:id="18681" w:name="_Toc394940363"/>
      <w:bookmarkStart w:id="18682" w:name="_Toc394939473"/>
      <w:bookmarkStart w:id="18683" w:name="_Toc394939691"/>
      <w:bookmarkStart w:id="18684" w:name="_Toc394940577"/>
      <w:bookmarkStart w:id="18685" w:name="_Toc394993588"/>
      <w:bookmarkStart w:id="18686" w:name="_Toc394995469"/>
      <w:bookmarkStart w:id="18687" w:name="_Toc394995783"/>
      <w:bookmarkStart w:id="18688" w:name="_Toc394996059"/>
      <w:bookmarkStart w:id="18689" w:name="_Toc394997785"/>
      <w:bookmarkStart w:id="18690" w:name="_Toc394998028"/>
      <w:bookmarkStart w:id="18691" w:name="_Toc394998300"/>
      <w:bookmarkStart w:id="18692" w:name="_Toc394998542"/>
      <w:bookmarkStart w:id="18693" w:name="_Toc395001795"/>
      <w:bookmarkStart w:id="18694" w:name="_Toc395002041"/>
      <w:bookmarkStart w:id="18695" w:name="_Toc395001521"/>
      <w:bookmarkStart w:id="18696" w:name="_Toc395003395"/>
      <w:bookmarkStart w:id="18697" w:name="_Toc395005047"/>
      <w:bookmarkStart w:id="18698" w:name="_Toc395005173"/>
      <w:bookmarkStart w:id="18699" w:name="_Toc395005389"/>
      <w:bookmarkStart w:id="18700" w:name="_Toc395005636"/>
      <w:bookmarkStart w:id="18701" w:name="_Toc395008966"/>
      <w:bookmarkStart w:id="18702" w:name="_Toc395009630"/>
      <w:bookmarkStart w:id="18703" w:name="_Toc395011752"/>
      <w:bookmarkStart w:id="18704" w:name="_Toc395010152"/>
      <w:bookmarkStart w:id="18705" w:name="_Toc395010369"/>
      <w:bookmarkStart w:id="18706" w:name="_Toc395009994"/>
      <w:bookmarkStart w:id="18707" w:name="_Toc395011520"/>
      <w:bookmarkStart w:id="18708" w:name="_Toc395012338"/>
      <w:bookmarkStart w:id="18709" w:name="_Toc395012553"/>
      <w:bookmarkStart w:id="18710" w:name="_Toc395012928"/>
      <w:bookmarkStart w:id="18711" w:name="_Toc395010743"/>
      <w:bookmarkStart w:id="18712" w:name="_Toc395010958"/>
      <w:bookmarkStart w:id="18713" w:name="_Toc395012216"/>
      <w:bookmarkStart w:id="18714" w:name="_Toc395013016"/>
      <w:bookmarkStart w:id="18715" w:name="_Toc395012018"/>
      <w:bookmarkStart w:id="18716" w:name="_Toc395014357"/>
      <w:bookmarkStart w:id="18717" w:name="_Toc395014617"/>
      <w:bookmarkStart w:id="18718" w:name="_Toc395013208"/>
      <w:bookmarkStart w:id="18719" w:name="_Toc395084709"/>
      <w:bookmarkStart w:id="18720" w:name="_Toc395085010"/>
      <w:bookmarkStart w:id="18721" w:name="_Toc395090245"/>
      <w:bookmarkStart w:id="18722" w:name="_Toc395090473"/>
      <w:bookmarkStart w:id="18723" w:name="_Toc395090724"/>
      <w:bookmarkStart w:id="18724" w:name="_Toc395092613"/>
      <w:bookmarkStart w:id="18725" w:name="_Toc395092825"/>
      <w:bookmarkStart w:id="18726" w:name="_Toc395093057"/>
      <w:bookmarkStart w:id="18727" w:name="_Toc395093307"/>
      <w:bookmarkStart w:id="18728" w:name="_Toc395097736"/>
      <w:bookmarkStart w:id="18729" w:name="_Toc395097969"/>
      <w:bookmarkStart w:id="18730" w:name="_Toc395098217"/>
      <w:bookmarkStart w:id="18731" w:name="_Toc395105402"/>
      <w:bookmarkStart w:id="18732" w:name="_Toc395106154"/>
      <w:bookmarkStart w:id="18733" w:name="_Toc395107005"/>
      <w:bookmarkStart w:id="18734" w:name="_Toc395109877"/>
      <w:bookmarkStart w:id="18735" w:name="_Toc395109663"/>
      <w:bookmarkStart w:id="18736" w:name="_Toc395111880"/>
      <w:bookmarkStart w:id="18737" w:name="_Toc395112124"/>
      <w:bookmarkStart w:id="18738" w:name="_Toc395112368"/>
      <w:bookmarkStart w:id="18739" w:name="_Toc395106800"/>
      <w:bookmarkStart w:id="18740" w:name="_Toc395107264"/>
      <w:bookmarkStart w:id="18741" w:name="_Toc395107513"/>
      <w:bookmarkStart w:id="18742" w:name="_Toc395109468"/>
      <w:bookmarkStart w:id="18743" w:name="_Toc395108560"/>
      <w:bookmarkStart w:id="18744" w:name="_Toc395108827"/>
      <w:bookmarkStart w:id="18745" w:name="_Toc395113800"/>
      <w:bookmarkStart w:id="18746" w:name="_Toc395114067"/>
      <w:bookmarkStart w:id="18747" w:name="_Toc395114320"/>
      <w:bookmarkStart w:id="18748" w:name="_Toc395116536"/>
      <w:bookmarkStart w:id="18749" w:name="_Toc395116804"/>
      <w:bookmarkStart w:id="18750" w:name="_Toc395117058"/>
      <w:bookmarkStart w:id="18751" w:name="_Toc395112473"/>
      <w:bookmarkStart w:id="18752" w:name="_Toc395112741"/>
      <w:bookmarkStart w:id="18753" w:name="_Toc395113176"/>
      <w:bookmarkStart w:id="18754" w:name="_Toc395115012"/>
      <w:bookmarkStart w:id="18755" w:name="_Toc395115281"/>
      <w:bookmarkStart w:id="18756" w:name="_Toc395115535"/>
      <w:bookmarkStart w:id="18757" w:name="_Toc395118167"/>
      <w:bookmarkStart w:id="18758" w:name="_Toc395118433"/>
      <w:bookmarkStart w:id="18759" w:name="_Toc395118685"/>
      <w:bookmarkStart w:id="18760" w:name="_Toc395178377"/>
      <w:bookmarkStart w:id="18761" w:name="_Toc395178709"/>
      <w:bookmarkStart w:id="18762" w:name="_Toc395624628"/>
      <w:bookmarkStart w:id="18763" w:name="_Toc395624866"/>
      <w:bookmarkStart w:id="18764" w:name="_Toc395789720"/>
      <w:bookmarkStart w:id="18765" w:name="_Toc395789979"/>
      <w:bookmarkStart w:id="18766" w:name="_Toc395800737"/>
      <w:bookmarkStart w:id="18767" w:name="_Toc395802849"/>
      <w:bookmarkStart w:id="18768" w:name="_Toc395867614"/>
      <w:bookmarkStart w:id="18769" w:name="_Toc395868523"/>
      <w:bookmarkStart w:id="18770" w:name="_Toc395868746"/>
      <w:bookmarkStart w:id="18771" w:name="_Toc395879127"/>
      <w:bookmarkStart w:id="18772" w:name="_Toc395882029"/>
      <w:bookmarkStart w:id="18773" w:name="_Toc395882251"/>
      <w:bookmarkStart w:id="18774" w:name="_Toc395882360"/>
      <w:bookmarkStart w:id="18775" w:name="_Toc395882582"/>
      <w:bookmarkStart w:id="18776" w:name="_Toc395880855"/>
      <w:bookmarkStart w:id="18777" w:name="_Toc395881413"/>
      <w:bookmarkStart w:id="18778" w:name="_Toc395881635"/>
      <w:bookmarkStart w:id="18779" w:name="_Toc395884020"/>
      <w:bookmarkStart w:id="18780" w:name="_Toc395880753"/>
      <w:bookmarkStart w:id="18781" w:name="_Toc395884460"/>
      <w:bookmarkStart w:id="18782" w:name="_Toc395884682"/>
      <w:bookmarkStart w:id="18783" w:name="_Toc395883169"/>
      <w:bookmarkStart w:id="18784" w:name="_Toc395883391"/>
      <w:bookmarkStart w:id="18785" w:name="_Toc395883499"/>
      <w:bookmarkStart w:id="18786" w:name="_Toc395883721"/>
      <w:bookmarkStart w:id="18787" w:name="_Toc395884801"/>
      <w:bookmarkStart w:id="18788" w:name="_Toc396123830"/>
      <w:bookmarkStart w:id="18789" w:name="_Toc396130733"/>
      <w:bookmarkStart w:id="18790" w:name="_Toc396136311"/>
      <w:bookmarkStart w:id="18791" w:name="_Toc396138765"/>
      <w:bookmarkStart w:id="18792" w:name="_Toc396144026"/>
      <w:bookmarkStart w:id="18793" w:name="_Toc396145535"/>
      <w:bookmarkStart w:id="18794" w:name="_Toc396145679"/>
      <w:bookmarkStart w:id="18795" w:name="_Toc396145961"/>
      <w:bookmarkStart w:id="18796" w:name="_Toc396147501"/>
      <w:bookmarkStart w:id="18797" w:name="_Toc396147787"/>
      <w:bookmarkStart w:id="18798" w:name="_Toc396149043"/>
      <w:bookmarkStart w:id="18799" w:name="_Toc396148757"/>
      <w:bookmarkStart w:id="18800" w:name="_Toc396149538"/>
      <w:bookmarkStart w:id="18801" w:name="_Toc396149183"/>
      <w:bookmarkStart w:id="18802" w:name="_Toc396149469"/>
      <w:bookmarkStart w:id="18803" w:name="_Toc396149146"/>
      <w:bookmarkStart w:id="18804" w:name="_Toc396149891"/>
      <w:bookmarkStart w:id="18805" w:name="_Toc396149641"/>
      <w:bookmarkStart w:id="18806" w:name="_Toc396150482"/>
      <w:bookmarkStart w:id="18807" w:name="_Toc396151371"/>
      <w:bookmarkStart w:id="18808" w:name="_Toc396151665"/>
      <w:bookmarkStart w:id="18809" w:name="_Toc396201592"/>
      <w:bookmarkStart w:id="18810" w:name="_Toc396202382"/>
      <w:bookmarkStart w:id="18811" w:name="_Toc396202677"/>
      <w:bookmarkStart w:id="18812" w:name="_Toc396203294"/>
      <w:bookmarkStart w:id="18813" w:name="_Toc396206590"/>
      <w:bookmarkStart w:id="18814" w:name="_Toc396206884"/>
      <w:bookmarkStart w:id="18815" w:name="_Toc396209418"/>
      <w:bookmarkStart w:id="18816" w:name="_Toc396209712"/>
      <w:bookmarkStart w:id="18817" w:name="_Toc396211842"/>
      <w:bookmarkStart w:id="18818" w:name="_Toc396212136"/>
      <w:bookmarkStart w:id="18819" w:name="_Toc396213186"/>
      <w:bookmarkStart w:id="18820" w:name="_Toc396213478"/>
      <w:bookmarkStart w:id="18821" w:name="_Toc396214029"/>
      <w:bookmarkStart w:id="18822" w:name="_Toc396214464"/>
      <w:bookmarkStart w:id="18823" w:name="_Toc396214754"/>
      <w:bookmarkStart w:id="18824" w:name="_Toc396220314"/>
      <w:bookmarkStart w:id="18825" w:name="_Toc396226576"/>
      <w:bookmarkStart w:id="18826" w:name="_Toc396226865"/>
      <w:bookmarkStart w:id="18827" w:name="_Toc396228776"/>
      <w:bookmarkStart w:id="18828" w:name="_Toc396229071"/>
      <w:bookmarkStart w:id="18829" w:name="_Toc396230418"/>
      <w:bookmarkStart w:id="18830" w:name="_Toc396230713"/>
      <w:bookmarkStart w:id="18831" w:name="_Toc396231855"/>
      <w:bookmarkStart w:id="18832" w:name="_Toc396233198"/>
      <w:bookmarkStart w:id="18833" w:name="_Toc396233495"/>
      <w:bookmarkStart w:id="18834" w:name="_Toc396234018"/>
      <w:bookmarkStart w:id="18835" w:name="_Toc396234315"/>
      <w:bookmarkStart w:id="18836" w:name="_Toc396234428"/>
      <w:bookmarkStart w:id="18837" w:name="_Toc396236162"/>
      <w:bookmarkStart w:id="18838" w:name="_Toc396235940"/>
      <w:bookmarkStart w:id="18839" w:name="_Toc396236550"/>
      <w:bookmarkStart w:id="18840" w:name="_Toc396237069"/>
      <w:bookmarkStart w:id="18841" w:name="_Toc396397412"/>
      <w:bookmarkStart w:id="18842" w:name="_Toc396304593"/>
      <w:bookmarkStart w:id="18843" w:name="_Toc396586128"/>
      <w:bookmarkStart w:id="18844" w:name="_Toc396815149"/>
      <w:bookmarkStart w:id="18845" w:name="_Toc396821098"/>
      <w:bookmarkStart w:id="18846" w:name="_Toc396821706"/>
      <w:bookmarkStart w:id="18847" w:name="_Toc396827556"/>
      <w:bookmarkStart w:id="18848" w:name="_Toc396828527"/>
      <w:bookmarkStart w:id="18849" w:name="_Toc396828637"/>
      <w:bookmarkStart w:id="18850" w:name="_Toc396838026"/>
      <w:bookmarkStart w:id="18851" w:name="_Toc396838424"/>
      <w:bookmarkStart w:id="18852" w:name="_Toc396904747"/>
      <w:bookmarkStart w:id="18853" w:name="_Toc396907581"/>
      <w:bookmarkStart w:id="18854" w:name="_Toc396912500"/>
      <w:bookmarkStart w:id="18855" w:name="_Toc396914480"/>
      <w:bookmarkStart w:id="18856" w:name="_Toc396915364"/>
      <w:bookmarkStart w:id="18857" w:name="_Toc396915758"/>
      <w:bookmarkStart w:id="18858" w:name="_Toc396921069"/>
      <w:bookmarkStart w:id="18859" w:name="_Toc396924409"/>
      <w:bookmarkStart w:id="18860" w:name="_Toc396925103"/>
      <w:bookmarkStart w:id="18861" w:name="_Toc396992223"/>
      <w:bookmarkStart w:id="18862" w:name="_Toc396992802"/>
      <w:bookmarkStart w:id="18863" w:name="_Toc396994466"/>
      <w:bookmarkStart w:id="18864" w:name="_Toc397002237"/>
      <w:bookmarkStart w:id="18865" w:name="_Toc397003156"/>
      <w:bookmarkStart w:id="18866" w:name="_Toc397008714"/>
      <w:bookmarkStart w:id="18867" w:name="_Toc397008932"/>
      <w:bookmarkStart w:id="18868" w:name="_Toc397011604"/>
      <w:bookmarkStart w:id="18869" w:name="_Toc397012666"/>
      <w:bookmarkStart w:id="18870" w:name="_Toc397015008"/>
      <w:bookmarkStart w:id="18871" w:name="_Toc397015495"/>
      <w:bookmarkStart w:id="18872" w:name="_Toc397070565"/>
      <w:bookmarkStart w:id="18873" w:name="_Toc397413306"/>
      <w:bookmarkStart w:id="18874" w:name="_Toc397413453"/>
      <w:bookmarkStart w:id="18875" w:name="_Toc397428036"/>
      <w:bookmarkStart w:id="18876" w:name="_Toc397439424"/>
      <w:bookmarkStart w:id="18877" w:name="_Toc397439594"/>
      <w:bookmarkStart w:id="18878" w:name="_Toc397439850"/>
      <w:bookmarkStart w:id="18879" w:name="_Toc397440152"/>
      <w:bookmarkStart w:id="18880" w:name="_Toc397441781"/>
      <w:bookmarkStart w:id="18881" w:name="_Toc397517483"/>
      <w:bookmarkStart w:id="18882" w:name="_Toc397522748"/>
      <w:bookmarkStart w:id="18883" w:name="_Toc397526166"/>
      <w:bookmarkStart w:id="18884" w:name="_Toc397528481"/>
      <w:bookmarkStart w:id="18885" w:name="_Toc397528956"/>
      <w:bookmarkStart w:id="18886" w:name="_Toc397601953"/>
      <w:bookmarkStart w:id="18887" w:name="_Toc397602688"/>
      <w:bookmarkStart w:id="18888" w:name="_Toc397605817"/>
      <w:bookmarkStart w:id="18889" w:name="_Toc397614518"/>
      <w:bookmarkStart w:id="18890" w:name="_Toc397614961"/>
      <w:bookmarkStart w:id="18891" w:name="_Toc397616404"/>
      <w:bookmarkStart w:id="18892" w:name="_Toc397616798"/>
      <w:bookmarkStart w:id="18893" w:name="_Toc397688096"/>
      <w:bookmarkStart w:id="18894" w:name="_Toc397689312"/>
      <w:bookmarkStart w:id="18895" w:name="_Toc397694592"/>
      <w:bookmarkStart w:id="18896" w:name="_Toc397696433"/>
      <w:bookmarkStart w:id="18897" w:name="_Toc397697167"/>
      <w:bookmarkStart w:id="18898" w:name="_Toc397698454"/>
      <w:bookmarkStart w:id="18899" w:name="_Toc397699820"/>
      <w:bookmarkStart w:id="18900" w:name="_Toc397700274"/>
      <w:bookmarkStart w:id="18901" w:name="_Toc397936666"/>
      <w:bookmarkStart w:id="18902" w:name="_Toc397936786"/>
      <w:bookmarkStart w:id="18903" w:name="_Toc397945942"/>
      <w:bookmarkStart w:id="18904" w:name="_Toc397946968"/>
      <w:bookmarkStart w:id="18905" w:name="_Toc397948087"/>
      <w:bookmarkStart w:id="18906" w:name="_Toc397958493"/>
      <w:bookmarkStart w:id="18907" w:name="_Toc397958735"/>
      <w:bookmarkStart w:id="18908" w:name="_Toc397959150"/>
      <w:bookmarkStart w:id="18909" w:name="_Toc397963003"/>
      <w:bookmarkStart w:id="18910" w:name="_Toc397963369"/>
      <w:bookmarkStart w:id="18911" w:name="_Toc397965446"/>
      <w:bookmarkStart w:id="18912" w:name="_Toc398197384"/>
      <w:bookmarkStart w:id="18913" w:name="_Toc398199887"/>
      <w:bookmarkStart w:id="18914" w:name="_Toc398201601"/>
      <w:bookmarkStart w:id="18915" w:name="_Toc398207206"/>
      <w:bookmarkStart w:id="18916" w:name="_Toc398210479"/>
      <w:bookmarkStart w:id="18917" w:name="_Toc398210993"/>
      <w:bookmarkStart w:id="18918" w:name="_Toc398219801"/>
      <w:bookmarkStart w:id="18919" w:name="_Toc398220176"/>
      <w:bookmarkStart w:id="18920" w:name="_Toc398220563"/>
      <w:bookmarkStart w:id="18921" w:name="_Toc398221641"/>
      <w:bookmarkStart w:id="18922" w:name="_Toc398222327"/>
      <w:bookmarkStart w:id="18923" w:name="_Toc398222639"/>
      <w:bookmarkStart w:id="18924" w:name="_Toc398223056"/>
      <w:bookmarkStart w:id="18925" w:name="_Toc398223435"/>
      <w:bookmarkStart w:id="18926" w:name="_Toc398223562"/>
      <w:bookmarkStart w:id="18927" w:name="_Toc398224370"/>
      <w:bookmarkStart w:id="18928" w:name="_Toc398225707"/>
      <w:bookmarkStart w:id="18929" w:name="_Toc398225832"/>
      <w:bookmarkStart w:id="18930" w:name="_Toc398281319"/>
      <w:bookmarkStart w:id="18931" w:name="_Toc398282178"/>
      <w:bookmarkStart w:id="18932" w:name="_Toc398284848"/>
      <w:bookmarkStart w:id="18933" w:name="_Toc398287317"/>
      <w:bookmarkStart w:id="18934" w:name="_Toc398289200"/>
      <w:bookmarkStart w:id="18935" w:name="_Toc398297197"/>
      <w:bookmarkStart w:id="18936" w:name="_Toc398298671"/>
      <w:bookmarkStart w:id="18937" w:name="_Toc398300372"/>
      <w:bookmarkStart w:id="18938" w:name="_Toc398301269"/>
      <w:bookmarkStart w:id="18939" w:name="_Toc398302454"/>
      <w:bookmarkStart w:id="18940" w:name="_Toc398302617"/>
      <w:bookmarkStart w:id="18941" w:name="_Toc398549131"/>
      <w:bookmarkStart w:id="18942" w:name="_Toc398549381"/>
      <w:bookmarkStart w:id="18943" w:name="_Toc398555800"/>
      <w:bookmarkStart w:id="18944" w:name="_Toc398559004"/>
      <w:bookmarkStart w:id="18945" w:name="_Toc398563490"/>
      <w:bookmarkStart w:id="18946" w:name="_Toc398563623"/>
      <w:bookmarkStart w:id="18947" w:name="_Toc398564022"/>
      <w:bookmarkStart w:id="18948" w:name="s88"/>
      <w:bookmarkStart w:id="18949" w:name="_Toc393985152"/>
      <w:bookmarkStart w:id="18950" w:name="_Toc393985336"/>
      <w:bookmarkStart w:id="18951" w:name="_Toc393985655"/>
      <w:bookmarkStart w:id="18952" w:name="_Toc393985840"/>
      <w:bookmarkStart w:id="18953" w:name="_Toc393986057"/>
      <w:bookmarkStart w:id="18954" w:name="_Toc393986242"/>
      <w:bookmarkStart w:id="18955" w:name="_Toc393986460"/>
      <w:bookmarkStart w:id="18956" w:name="_Toc393988067"/>
      <w:bookmarkStart w:id="18957" w:name="_Toc393988252"/>
      <w:bookmarkStart w:id="18958" w:name="_Toc393988469"/>
      <w:bookmarkStart w:id="18959" w:name="_Toc393988654"/>
      <w:bookmarkStart w:id="18960" w:name="_Toc393986646"/>
      <w:bookmarkStart w:id="18961" w:name="_Toc393989481"/>
      <w:bookmarkStart w:id="18962" w:name="_Toc393989666"/>
      <w:bookmarkStart w:id="18963" w:name="_Toc393988869"/>
      <w:bookmarkStart w:id="18964" w:name="_Toc393989054"/>
      <w:bookmarkStart w:id="18965" w:name="_Toc393990873"/>
      <w:bookmarkStart w:id="18966" w:name="_Toc393991058"/>
      <w:bookmarkStart w:id="18967" w:name="_Toc393991157"/>
      <w:bookmarkStart w:id="18968" w:name="_Toc393991855"/>
      <w:bookmarkStart w:id="18969" w:name="_Toc393992042"/>
      <w:bookmarkStart w:id="18970" w:name="_Toc394047518"/>
      <w:bookmarkStart w:id="18971" w:name="_Toc394047706"/>
      <w:bookmarkStart w:id="18972" w:name="_Toc394047817"/>
      <w:bookmarkStart w:id="18973" w:name="_Toc394048373"/>
      <w:bookmarkStart w:id="18974" w:name="_Toc394049794"/>
      <w:bookmarkStart w:id="18975" w:name="_Toc394049985"/>
      <w:bookmarkStart w:id="18976" w:name="_Toc394051194"/>
      <w:bookmarkStart w:id="18977" w:name="_Toc394051385"/>
      <w:bookmarkStart w:id="18978" w:name="_Toc394062183"/>
      <w:bookmarkStart w:id="18979" w:name="_Toc394062532"/>
      <w:bookmarkStart w:id="18980" w:name="_Toc394069058"/>
      <w:bookmarkStart w:id="18981" w:name="_Toc394069247"/>
      <w:bookmarkStart w:id="18982" w:name="_Toc394070976"/>
      <w:bookmarkStart w:id="18983" w:name="_Toc394071165"/>
      <w:bookmarkStart w:id="18984" w:name="_Toc394312379"/>
      <w:bookmarkStart w:id="18985" w:name="_Toc394330438"/>
      <w:bookmarkStart w:id="18986" w:name="_Toc394330663"/>
      <w:bookmarkStart w:id="18987" w:name="_Toc394331369"/>
      <w:bookmarkStart w:id="18988" w:name="_Toc394330283"/>
      <w:bookmarkStart w:id="18989" w:name="_Toc394333257"/>
      <w:bookmarkStart w:id="18990" w:name="_Toc394333445"/>
      <w:bookmarkStart w:id="18991" w:name="_Toc394332835"/>
      <w:bookmarkStart w:id="18992" w:name="_Toc394333670"/>
      <w:bookmarkStart w:id="18993" w:name="_Toc394333858"/>
      <w:bookmarkStart w:id="18994" w:name="_Toc394334083"/>
      <w:bookmarkStart w:id="18995" w:name="_Toc394334271"/>
      <w:bookmarkStart w:id="18996" w:name="_Toc394334909"/>
      <w:bookmarkStart w:id="18997" w:name="_Toc394335097"/>
      <w:bookmarkStart w:id="18998" w:name="_Toc394415092"/>
      <w:bookmarkStart w:id="18999" w:name="_Toc394415301"/>
      <w:bookmarkStart w:id="19000" w:name="_Toc394412397"/>
      <w:bookmarkStart w:id="19001" w:name="_Toc394412610"/>
      <w:bookmarkStart w:id="19002" w:name="_Toc394420688"/>
      <w:bookmarkStart w:id="19003" w:name="_Toc394420903"/>
      <w:bookmarkStart w:id="19004" w:name="_Toc394421162"/>
      <w:bookmarkStart w:id="19005" w:name="_Toc394423532"/>
      <w:bookmarkStart w:id="19006" w:name="_Toc394423744"/>
      <w:bookmarkStart w:id="19007" w:name="_Toc394420466"/>
      <w:bookmarkStart w:id="19008" w:name="_Toc394422576"/>
      <w:bookmarkStart w:id="19009" w:name="_Toc394422788"/>
      <w:bookmarkStart w:id="19010" w:name="_Toc394423047"/>
      <w:bookmarkStart w:id="19011" w:name="_Toc394423259"/>
      <w:bookmarkStart w:id="19012" w:name="_Toc394424197"/>
      <w:bookmarkStart w:id="19013" w:name="_Toc394424407"/>
      <w:bookmarkStart w:id="19014" w:name="_Toc394492029"/>
      <w:bookmarkStart w:id="19015" w:name="_Toc394492239"/>
      <w:bookmarkStart w:id="19016" w:name="_Toc394495174"/>
      <w:bookmarkStart w:id="19017" w:name="_Toc394495383"/>
      <w:bookmarkStart w:id="19018" w:name="_Toc394497989"/>
      <w:bookmarkStart w:id="19019" w:name="_Toc394498198"/>
      <w:bookmarkStart w:id="19020" w:name="_Toc394500779"/>
      <w:bookmarkStart w:id="19021" w:name="_Toc394500988"/>
      <w:bookmarkStart w:id="19022" w:name="_Toc394502183"/>
      <w:bookmarkStart w:id="19023" w:name="_Toc394502385"/>
      <w:bookmarkStart w:id="19024" w:name="_Toc394503085"/>
      <w:bookmarkStart w:id="19025" w:name="_Toc394503744"/>
      <w:bookmarkStart w:id="19026" w:name="_Toc394502629"/>
      <w:bookmarkStart w:id="19027" w:name="_Toc394502833"/>
      <w:bookmarkStart w:id="19028" w:name="_Toc394505836"/>
      <w:bookmarkStart w:id="19029" w:name="_Toc394506162"/>
      <w:bookmarkStart w:id="19030" w:name="_Toc394506295"/>
      <w:bookmarkStart w:id="19031" w:name="_Toc394506500"/>
      <w:bookmarkStart w:id="19032" w:name="_Toc394506849"/>
      <w:bookmarkStart w:id="19033" w:name="_Toc394507054"/>
      <w:bookmarkStart w:id="19034" w:name="_Toc394560926"/>
      <w:bookmarkStart w:id="19035" w:name="_Toc394561131"/>
      <w:bookmarkStart w:id="19036" w:name="_Toc394561387"/>
      <w:bookmarkStart w:id="19037" w:name="_Toc394561965"/>
      <w:bookmarkStart w:id="19038" w:name="_Toc394582970"/>
      <w:bookmarkStart w:id="19039" w:name="_Toc394585641"/>
      <w:bookmarkStart w:id="19040" w:name="_Toc394586107"/>
      <w:bookmarkStart w:id="19041" w:name="_Toc394588039"/>
      <w:bookmarkStart w:id="19042" w:name="_Toc394588874"/>
      <w:bookmarkStart w:id="19043" w:name="_Toc394588999"/>
      <w:bookmarkStart w:id="19044" w:name="_Toc394590415"/>
      <w:bookmarkStart w:id="19045" w:name="_Toc394590608"/>
      <w:bookmarkStart w:id="19046" w:name="_Toc394654510"/>
      <w:bookmarkStart w:id="19047" w:name="_Toc394654668"/>
      <w:bookmarkStart w:id="19048" w:name="_Toc394656210"/>
      <w:bookmarkStart w:id="19049" w:name="_Toc394656367"/>
      <w:bookmarkStart w:id="19050" w:name="_Toc394659347"/>
      <w:bookmarkStart w:id="19051" w:name="_Toc394659505"/>
      <w:bookmarkStart w:id="19052" w:name="_Toc394663359"/>
      <w:bookmarkStart w:id="19053" w:name="_Toc394663515"/>
      <w:bookmarkStart w:id="19054" w:name="_Toc394667153"/>
      <w:bookmarkStart w:id="19055" w:name="_Toc394667309"/>
      <w:bookmarkStart w:id="19056" w:name="_Toc394671632"/>
      <w:bookmarkStart w:id="19057" w:name="_Toc394671792"/>
      <w:bookmarkStart w:id="19058" w:name="_Toc394674634"/>
      <w:bookmarkStart w:id="19059" w:name="_Toc394674797"/>
      <w:bookmarkStart w:id="19060" w:name="_Toc394674911"/>
      <w:bookmarkStart w:id="19061" w:name="_Toc394675077"/>
      <w:bookmarkStart w:id="19062" w:name="_Toc394676022"/>
      <w:bookmarkStart w:id="19063" w:name="_Toc394676184"/>
      <w:bookmarkStart w:id="19064" w:name="_Toc394675710"/>
      <w:bookmarkStart w:id="19065" w:name="_Toc394675873"/>
      <w:bookmarkStart w:id="19066" w:name="_Toc394918273"/>
      <w:bookmarkStart w:id="19067" w:name="_Toc394918787"/>
      <w:bookmarkStart w:id="19068" w:name="_Toc394930759"/>
      <w:bookmarkStart w:id="19069" w:name="_Toc394933672"/>
      <w:bookmarkStart w:id="19070" w:name="_Toc394938119"/>
      <w:bookmarkStart w:id="19071" w:name="_Toc394938358"/>
      <w:bookmarkStart w:id="19072" w:name="_Toc394938621"/>
      <w:bookmarkStart w:id="19073" w:name="_Toc394937638"/>
      <w:bookmarkStart w:id="19074" w:name="_Toc394937903"/>
      <w:bookmarkStart w:id="19075" w:name="_Toc394941031"/>
      <w:bookmarkStart w:id="19076" w:name="_Toc394941269"/>
      <w:bookmarkStart w:id="19077" w:name="_Toc394941532"/>
      <w:bookmarkStart w:id="19078" w:name="_Toc394941647"/>
      <w:bookmarkStart w:id="19079" w:name="_Toc394941885"/>
      <w:bookmarkStart w:id="19080" w:name="_Toc394942148"/>
      <w:bookmarkStart w:id="19081" w:name="_Toc394939868"/>
      <w:bookmarkStart w:id="19082" w:name="_Toc394940107"/>
      <w:bookmarkStart w:id="19083" w:name="_Toc394940370"/>
      <w:bookmarkStart w:id="19084" w:name="_Toc394939480"/>
      <w:bookmarkStart w:id="19085" w:name="_Toc394939717"/>
      <w:bookmarkStart w:id="19086" w:name="_Toc394940584"/>
      <w:bookmarkStart w:id="19087" w:name="_Toc394993614"/>
      <w:bookmarkStart w:id="19088" w:name="_Toc394995495"/>
      <w:bookmarkStart w:id="19089" w:name="_Toc394995809"/>
      <w:bookmarkStart w:id="19090" w:name="_Toc394996066"/>
      <w:bookmarkStart w:id="19091" w:name="_Toc394997792"/>
      <w:bookmarkStart w:id="19092" w:name="_Toc394998054"/>
      <w:bookmarkStart w:id="19093" w:name="_Toc394998307"/>
      <w:bookmarkStart w:id="19094" w:name="_Toc394998568"/>
      <w:bookmarkStart w:id="19095" w:name="_Toc395001802"/>
      <w:bookmarkStart w:id="19096" w:name="_Toc395002067"/>
      <w:bookmarkStart w:id="19097" w:name="_Toc395001273"/>
      <w:bookmarkStart w:id="19098" w:name="_Toc395001547"/>
      <w:bookmarkStart w:id="19099" w:name="_Toc395002836"/>
      <w:bookmarkStart w:id="19100" w:name="_Toc395003421"/>
      <w:bookmarkStart w:id="19101" w:name="_Toc395005054"/>
      <w:bookmarkStart w:id="19102" w:name="_Toc395005180"/>
      <w:bookmarkStart w:id="19103" w:name="_Toc395005396"/>
      <w:bookmarkStart w:id="19104" w:name="_Toc395005662"/>
      <w:bookmarkStart w:id="19105" w:name="_Toc395008973"/>
      <w:bookmarkStart w:id="19106" w:name="_Toc395009656"/>
      <w:bookmarkStart w:id="19107" w:name="_Toc395011759"/>
      <w:bookmarkStart w:id="19108" w:name="_Toc395010159"/>
      <w:bookmarkStart w:id="19109" w:name="_Toc395010395"/>
      <w:bookmarkStart w:id="19110" w:name="_Toc395010001"/>
      <w:bookmarkStart w:id="19111" w:name="_Toc395011527"/>
      <w:bookmarkStart w:id="19112" w:name="_Toc395012345"/>
      <w:bookmarkStart w:id="19113" w:name="_Toc395012579"/>
      <w:bookmarkStart w:id="19114" w:name="_Toc395012935"/>
      <w:bookmarkStart w:id="19115" w:name="_Toc395010750"/>
      <w:bookmarkStart w:id="19116" w:name="_Toc395010986"/>
      <w:bookmarkStart w:id="19117" w:name="_Toc395012223"/>
      <w:bookmarkStart w:id="19118" w:name="_Toc395013042"/>
      <w:bookmarkStart w:id="19119" w:name="_Toc395012044"/>
      <w:bookmarkStart w:id="19120" w:name="_Toc395014383"/>
      <w:bookmarkStart w:id="19121" w:name="_Toc395014624"/>
      <w:bookmarkStart w:id="19122" w:name="_Toc395013215"/>
      <w:bookmarkStart w:id="19123" w:name="_Toc395084733"/>
      <w:bookmarkStart w:id="19124" w:name="_Toc395085034"/>
      <w:bookmarkStart w:id="19125" w:name="_Toc395090252"/>
      <w:bookmarkStart w:id="19126" w:name="_Toc395090497"/>
      <w:bookmarkStart w:id="19127" w:name="_Toc395090731"/>
      <w:bookmarkStart w:id="19128" w:name="_Toc395092620"/>
      <w:bookmarkStart w:id="19129" w:name="_Toc395092832"/>
      <w:bookmarkStart w:id="19130" w:name="_Toc395093081"/>
      <w:bookmarkStart w:id="19131" w:name="_Toc395093314"/>
      <w:bookmarkStart w:id="19132" w:name="_Toc395097743"/>
      <w:bookmarkStart w:id="19133" w:name="_Toc395097993"/>
      <w:bookmarkStart w:id="19134" w:name="_Toc395098224"/>
      <w:bookmarkStart w:id="19135" w:name="_Toc395105409"/>
      <w:bookmarkStart w:id="19136" w:name="_Toc395106177"/>
      <w:bookmarkStart w:id="19137" w:name="_Toc395107012"/>
      <w:bookmarkStart w:id="19138" w:name="_Toc395109884"/>
      <w:bookmarkStart w:id="19139" w:name="_Toc395109670"/>
      <w:bookmarkStart w:id="19140" w:name="_Toc395109770"/>
      <w:bookmarkStart w:id="19141" w:name="_Toc395111887"/>
      <w:bookmarkStart w:id="19142" w:name="_Toc395112147"/>
      <w:bookmarkStart w:id="19143" w:name="_Toc395112375"/>
      <w:bookmarkStart w:id="19144" w:name="_Toc395106807"/>
      <w:bookmarkStart w:id="19145" w:name="_Toc395107289"/>
      <w:bookmarkStart w:id="19146" w:name="_Toc395107520"/>
      <w:bookmarkStart w:id="19147" w:name="_Toc395109475"/>
      <w:bookmarkStart w:id="19148" w:name="_Toc395108567"/>
      <w:bookmarkStart w:id="19149" w:name="_Toc395108850"/>
      <w:bookmarkStart w:id="19150" w:name="_Toc395113807"/>
      <w:bookmarkStart w:id="19151" w:name="_Toc395114090"/>
      <w:bookmarkStart w:id="19152" w:name="_Toc395114327"/>
      <w:bookmarkStart w:id="19153" w:name="_Toc395116543"/>
      <w:bookmarkStart w:id="19154" w:name="_Toc395116827"/>
      <w:bookmarkStart w:id="19155" w:name="_Toc395117065"/>
      <w:bookmarkStart w:id="19156" w:name="_Toc395112480"/>
      <w:bookmarkStart w:id="19157" w:name="_Toc395112764"/>
      <w:bookmarkStart w:id="19158" w:name="_Toc395113183"/>
      <w:bookmarkStart w:id="19159" w:name="_Toc395115019"/>
      <w:bookmarkStart w:id="19160" w:name="_Toc395115304"/>
      <w:bookmarkStart w:id="19161" w:name="_Toc395115542"/>
      <w:bookmarkStart w:id="19162" w:name="_Toc395118174"/>
      <w:bookmarkStart w:id="19163" w:name="_Toc395118456"/>
      <w:bookmarkStart w:id="19164" w:name="_Toc395118692"/>
      <w:bookmarkStart w:id="19165" w:name="_Toc395178384"/>
      <w:bookmarkStart w:id="19166" w:name="_Toc395178716"/>
      <w:bookmarkStart w:id="19167" w:name="_Toc395624650"/>
      <w:bookmarkStart w:id="19168" w:name="_Toc395624873"/>
      <w:bookmarkStart w:id="19169" w:name="_Toc395789727"/>
      <w:bookmarkStart w:id="19170" w:name="_Toc395790001"/>
      <w:bookmarkStart w:id="19171" w:name="_Toc395800759"/>
      <w:bookmarkStart w:id="19172" w:name="_Toc395802856"/>
    </w:p>
    <w:p w14:paraId="65ED92F7" w14:textId="77777777" w:rsidR="0023794D" w:rsidRPr="008625DC" w:rsidRDefault="0023794D" w:rsidP="0023794D">
      <w:pPr>
        <w:rPr>
          <w:rFonts w:ascii="Calibri" w:hAnsi="Calibri" w:cs="Arial"/>
          <w:color w:val="009976" w:themeColor="accent1"/>
          <w:sz w:val="32"/>
          <w:szCs w:val="28"/>
        </w:rPr>
      </w:pPr>
      <w:r w:rsidRPr="008625DC">
        <w:br w:type="page"/>
      </w:r>
    </w:p>
    <w:p w14:paraId="17853DFB" w14:textId="5866418D" w:rsidR="002223C0" w:rsidRPr="008625DC" w:rsidRDefault="002223C0" w:rsidP="000B5916">
      <w:pPr>
        <w:pStyle w:val="Heading2"/>
        <w:ind w:left="851" w:hanging="851"/>
        <w:rPr>
          <w:lang w:val="en-AU"/>
        </w:rPr>
      </w:pPr>
      <w:bookmarkStart w:id="19173" w:name="_Toc398827362"/>
      <w:bookmarkStart w:id="19174" w:name="_Toc398827556"/>
      <w:r w:rsidRPr="008625DC">
        <w:rPr>
          <w:lang w:val="en-AU"/>
        </w:rPr>
        <w:lastRenderedPageBreak/>
        <w:t>Private health insurance</w:t>
      </w:r>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9173"/>
      <w:bookmarkEnd w:id="19174"/>
    </w:p>
    <w:bookmarkEnd w:id="18948"/>
    <w:p w14:paraId="6DA78BCA" w14:textId="31B29B46" w:rsidR="005E6EFA" w:rsidRPr="008625DC" w:rsidRDefault="00646353" w:rsidP="0098641A">
      <w:r w:rsidRPr="008625DC">
        <w:t xml:space="preserve">Around 47 per cent of the </w:t>
      </w:r>
      <w:r w:rsidR="002223C0" w:rsidRPr="008625DC">
        <w:t>Australian population ha</w:t>
      </w:r>
      <w:r w:rsidRPr="008625DC">
        <w:t>s private health insurance with hospital coverage</w:t>
      </w:r>
      <w:r w:rsidR="002223C0" w:rsidRPr="008625DC">
        <w:t>.</w:t>
      </w:r>
      <w:r w:rsidRPr="008625DC">
        <w:rPr>
          <w:rStyle w:val="FootnoteReference"/>
        </w:rPr>
        <w:footnoteReference w:id="119"/>
      </w:r>
      <w:r w:rsidR="002223C0" w:rsidRPr="008625DC">
        <w:t xml:space="preserve"> </w:t>
      </w:r>
      <w:r w:rsidR="005E6EFA" w:rsidRPr="008625DC">
        <w:t xml:space="preserve">The Australian Government subsidises the cost of insurance through the private health insurance rebate, and a levy is imposed on higher income earners who are not privately insured. However, </w:t>
      </w:r>
      <w:r w:rsidR="00B343A3" w:rsidRPr="008625DC">
        <w:t>Medibank states that</w:t>
      </w:r>
      <w:r w:rsidR="005E6EFA" w:rsidRPr="008625DC">
        <w:t xml:space="preserve"> private health insurance is among the most heavily regulated industries in Australia, with the regulatory framework bearing on the scope of services covered, product design, pricing, discounts and capital requirements</w:t>
      </w:r>
      <w:r w:rsidR="00747D42">
        <w:t>.</w:t>
      </w:r>
      <w:r w:rsidR="00B343A3" w:rsidRPr="008625DC">
        <w:t xml:space="preserve"> (</w:t>
      </w:r>
      <w:proofErr w:type="gramStart"/>
      <w:r w:rsidR="00B343A3" w:rsidRPr="008625DC">
        <w:t>page</w:t>
      </w:r>
      <w:proofErr w:type="gramEnd"/>
      <w:r w:rsidR="00B343A3" w:rsidRPr="008625DC">
        <w:t xml:space="preserve"> 12) </w:t>
      </w:r>
    </w:p>
    <w:p w14:paraId="4FAABAC5" w14:textId="77777777" w:rsidR="005E6EFA" w:rsidRPr="008625DC" w:rsidRDefault="005E6EFA" w:rsidP="0098641A">
      <w:r w:rsidRPr="008625DC">
        <w:t xml:space="preserve">The premiums charged by private health insurers are regulated by the Commonwealth Minister for Health, who has discretion as to whether to allow insurers to increase their premiums. Funds may only apply to increase premiums if their cost structures have increased. </w:t>
      </w:r>
    </w:p>
    <w:p w14:paraId="66834E5F" w14:textId="3030A7F3" w:rsidR="005E6EFA" w:rsidRPr="008625DC" w:rsidRDefault="005E6EFA" w:rsidP="0098641A">
      <w:r w:rsidRPr="008625DC">
        <w:t xml:space="preserve">The recent National Commission of Audit examined these pricing arrangements, finding that they remove the incentive for firms to become more efficient, and suggested current arrangements be replaced with a system of price monitoring. </w:t>
      </w:r>
      <w:r w:rsidR="00351263" w:rsidRPr="008625DC">
        <w:t>It</w:t>
      </w:r>
      <w:r w:rsidRPr="008625DC">
        <w:t xml:space="preserve"> also suggested that insurers be allowed to offer a wider scope of products to consumers, in particular that insurers be allowed to cover care in out</w:t>
      </w:r>
      <w:r w:rsidR="00C74E19" w:rsidRPr="008625DC">
        <w:noBreakHyphen/>
      </w:r>
      <w:r w:rsidRPr="008625DC">
        <w:t>of</w:t>
      </w:r>
      <w:r w:rsidR="00C74E19" w:rsidRPr="008625DC">
        <w:noBreakHyphen/>
      </w:r>
      <w:r w:rsidRPr="008625DC">
        <w:t>hospital (primary care) settings to assist members in managing chronic conditions.</w:t>
      </w:r>
      <w:r w:rsidRPr="008625DC">
        <w:rPr>
          <w:rStyle w:val="FootnoteReference"/>
        </w:rPr>
        <w:footnoteReference w:id="120"/>
      </w:r>
    </w:p>
    <w:p w14:paraId="21ED74F9" w14:textId="56EB620D" w:rsidR="005E6EFA" w:rsidRPr="008625DC" w:rsidRDefault="005E6EFA" w:rsidP="0023794D">
      <w:pPr>
        <w:spacing w:after="120"/>
      </w:pPr>
      <w:r w:rsidRPr="008625DC">
        <w:t xml:space="preserve">The prices of some inputs purchased by private health insurers are also regulated. The price of prostheses (medical devices such as cardiac pacemakers and artificial hips) are regulated under the </w:t>
      </w:r>
      <w:r w:rsidRPr="008625DC">
        <w:rPr>
          <w:i/>
        </w:rPr>
        <w:t>Private Health Insurance Act 2007</w:t>
      </w:r>
      <w:r w:rsidRPr="008625DC">
        <w:t>. Applied Medical states:</w:t>
      </w:r>
    </w:p>
    <w:p w14:paraId="2DAD37F8" w14:textId="0B57501D" w:rsidR="005E6EFA" w:rsidRPr="008625DC" w:rsidRDefault="005E6EFA" w:rsidP="0098641A">
      <w:pPr>
        <w:pStyle w:val="Quotes"/>
      </w:pPr>
      <w:r w:rsidRPr="008625DC">
        <w:t>As a result of regulatory policy settings which restrict optimal competitive outcomes, products listed on the Prostheses List are being sold at prices that are in some cases multiple times more expensive than the prices at which they are sold in the public health system and in other jurisdictions. Given that the value of total expenditure by private health insurers on prostheses was $1.6 billion in 2012, there is scope for very substantial efficiencies to be created through the introduction and extension of principles of competition to the regulatory structure that underpins the Prostheses List. (</w:t>
      </w:r>
      <w:proofErr w:type="gramStart"/>
      <w:r w:rsidRPr="008625DC">
        <w:t>page</w:t>
      </w:r>
      <w:proofErr w:type="gramEnd"/>
      <w:r w:rsidRPr="008625DC">
        <w:t xml:space="preserve"> 1) </w:t>
      </w:r>
    </w:p>
    <w:p w14:paraId="3770AD6F" w14:textId="14310B50" w:rsidR="005E6EFA" w:rsidRPr="008625DC" w:rsidRDefault="005E6EFA" w:rsidP="005E6EFA">
      <w:r w:rsidRPr="008625DC">
        <w:t>Preferred provider arrangements involve customers having lower or no out</w:t>
      </w:r>
      <w:r w:rsidR="00C74E19" w:rsidRPr="008625DC">
        <w:noBreakHyphen/>
      </w:r>
      <w:r w:rsidRPr="008625DC">
        <w:t>of</w:t>
      </w:r>
      <w:r w:rsidR="00C74E19" w:rsidRPr="008625DC">
        <w:noBreakHyphen/>
      </w:r>
      <w:r w:rsidRPr="008625DC">
        <w:t xml:space="preserve">pocket expenses if they see </w:t>
      </w:r>
      <w:r w:rsidR="000C0F95" w:rsidRPr="008625DC">
        <w:t xml:space="preserve">one of the </w:t>
      </w:r>
      <w:r w:rsidRPr="008625DC">
        <w:t>preferred providers</w:t>
      </w:r>
      <w:r w:rsidR="000C0F95" w:rsidRPr="008625DC">
        <w:t xml:space="preserve"> offered by their insurer</w:t>
      </w:r>
      <w:r w:rsidRPr="008625DC">
        <w:t xml:space="preserve">. Some submissions suggest these types of arrangements </w:t>
      </w:r>
      <w:r w:rsidR="004B02EB" w:rsidRPr="008625DC">
        <w:t>can be</w:t>
      </w:r>
      <w:r w:rsidRPr="008625DC">
        <w:t xml:space="preserve"> anti</w:t>
      </w:r>
      <w:r w:rsidR="00C74E19" w:rsidRPr="008625DC">
        <w:noBreakHyphen/>
      </w:r>
      <w:r w:rsidRPr="008625DC">
        <w:t>competitive.</w:t>
      </w:r>
      <w:r w:rsidR="00E13D09" w:rsidRPr="008625DC">
        <w:rPr>
          <w:rStyle w:val="FootnoteReference"/>
        </w:rPr>
        <w:footnoteReference w:id="121"/>
      </w:r>
      <w:r w:rsidR="00351263" w:rsidRPr="008625DC">
        <w:t xml:space="preserve"> However, t</w:t>
      </w:r>
      <w:r w:rsidRPr="008625DC">
        <w:t>he Panel notes that the ACCC has examined preferred provider arrangements in sectors including health and motor vehicle smash repair, and finds that they generally raise no competition concerns.</w:t>
      </w:r>
      <w:r w:rsidRPr="008625DC">
        <w:rPr>
          <w:rStyle w:val="FootnoteReference"/>
        </w:rPr>
        <w:footnoteReference w:id="122"/>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E459F3" w:rsidRPr="008625DC" w14:paraId="738EBD25" w14:textId="77777777" w:rsidTr="0052543A">
        <w:tc>
          <w:tcPr>
            <w:tcW w:w="5000" w:type="pct"/>
            <w:shd w:val="clear" w:color="auto" w:fill="FFFFFF" w:themeFill="background1"/>
          </w:tcPr>
          <w:p w14:paraId="36B08D58" w14:textId="100DC5CC" w:rsidR="00E459F3" w:rsidRPr="008625DC" w:rsidRDefault="00E459F3" w:rsidP="0052543A">
            <w:pPr>
              <w:pStyle w:val="Keyfindingheading"/>
            </w:pPr>
            <w:r w:rsidRPr="008625DC">
              <w:lastRenderedPageBreak/>
              <w:t>T</w:t>
            </w:r>
            <w:r w:rsidR="008D592C" w:rsidRPr="008625DC">
              <w:t>he Panel</w:t>
            </w:r>
            <w:r w:rsidR="00C74E19" w:rsidRPr="008625DC">
              <w:t>’</w:t>
            </w:r>
            <w:r w:rsidR="008D592C" w:rsidRPr="008625DC">
              <w:t>s v</w:t>
            </w:r>
            <w:r w:rsidRPr="008625DC">
              <w:t>iew</w:t>
            </w:r>
          </w:p>
          <w:p w14:paraId="2F709860" w14:textId="5E88F88C" w:rsidR="00EB290E" w:rsidRPr="008625DC" w:rsidRDefault="00EB290E" w:rsidP="00EB290E">
            <w:pPr>
              <w:pStyle w:val="Keyfindingtext"/>
            </w:pPr>
            <w:r w:rsidRPr="008625DC">
              <w:t>It is important that consumers have access to products that meet their needs, including in the area of private health insurance.</w:t>
            </w:r>
          </w:p>
          <w:p w14:paraId="4BC8DB37" w14:textId="76C12E5F" w:rsidR="00E459F3" w:rsidRPr="008625DC" w:rsidRDefault="00EB290E" w:rsidP="00EB290E">
            <w:pPr>
              <w:pStyle w:val="Keyfindingtext"/>
            </w:pPr>
            <w:r w:rsidRPr="008625DC">
              <w:t xml:space="preserve">The National Commission of Audit report suggests there may be scope for </w:t>
            </w:r>
            <w:r w:rsidR="00C74E19" w:rsidRPr="008625DC">
              <w:t>‘</w:t>
            </w:r>
            <w:r w:rsidRPr="008625DC">
              <w:t>lighter touch</w:t>
            </w:r>
            <w:r w:rsidR="00C74E19" w:rsidRPr="008625DC">
              <w:t>’</w:t>
            </w:r>
            <w:r w:rsidRPr="008625DC">
              <w:t xml:space="preserve"> regulation of the private health insurance sector, which could encourage innovation and wider product availability for consumers. In particular, price regulation of premiums could be replaced with a price monitoring scheme and health funds could be allowed to expand their coverage to primary care settings.</w:t>
            </w:r>
          </w:p>
        </w:tc>
      </w:tr>
    </w:tbl>
    <w:p w14:paraId="1E05BD16" w14:textId="4F467907" w:rsidR="00215822" w:rsidRPr="008625DC" w:rsidRDefault="00215822" w:rsidP="000B5916">
      <w:pPr>
        <w:pStyle w:val="Heading2"/>
        <w:ind w:left="851" w:hanging="851"/>
        <w:rPr>
          <w:lang w:val="en-AU"/>
        </w:rPr>
      </w:pPr>
      <w:bookmarkStart w:id="19175" w:name="_Toc395867615"/>
      <w:bookmarkStart w:id="19176" w:name="_Toc395868524"/>
      <w:bookmarkStart w:id="19177" w:name="_Toc395868747"/>
      <w:bookmarkStart w:id="19178" w:name="_Toc395879128"/>
      <w:bookmarkStart w:id="19179" w:name="_Toc395882030"/>
      <w:bookmarkStart w:id="19180" w:name="_Toc395882252"/>
      <w:bookmarkStart w:id="19181" w:name="_Toc395882361"/>
      <w:bookmarkStart w:id="19182" w:name="_Toc395882583"/>
      <w:bookmarkStart w:id="19183" w:name="_Toc395880525"/>
      <w:bookmarkStart w:id="19184" w:name="_Toc395880856"/>
      <w:bookmarkStart w:id="19185" w:name="_Toc395881414"/>
      <w:bookmarkStart w:id="19186" w:name="_Toc395881636"/>
      <w:bookmarkStart w:id="19187" w:name="_Toc395884021"/>
      <w:bookmarkStart w:id="19188" w:name="_Toc395880754"/>
      <w:bookmarkStart w:id="19189" w:name="_Toc395884461"/>
      <w:bookmarkStart w:id="19190" w:name="_Toc395884683"/>
      <w:bookmarkStart w:id="19191" w:name="_Toc395883170"/>
      <w:bookmarkStart w:id="19192" w:name="_Toc395883392"/>
      <w:bookmarkStart w:id="19193" w:name="_Toc395883500"/>
      <w:bookmarkStart w:id="19194" w:name="_Toc395883722"/>
      <w:bookmarkStart w:id="19195" w:name="_Toc395884802"/>
      <w:bookmarkStart w:id="19196" w:name="_Toc396123831"/>
      <w:bookmarkStart w:id="19197" w:name="_Toc396130734"/>
      <w:bookmarkStart w:id="19198" w:name="_Toc396136312"/>
      <w:bookmarkStart w:id="19199" w:name="_Toc396138766"/>
      <w:bookmarkStart w:id="19200" w:name="_Toc396144027"/>
      <w:bookmarkStart w:id="19201" w:name="_Toc396145536"/>
      <w:bookmarkStart w:id="19202" w:name="_Toc396145680"/>
      <w:bookmarkStart w:id="19203" w:name="_Toc396145962"/>
      <w:bookmarkStart w:id="19204" w:name="_Toc396147502"/>
      <w:bookmarkStart w:id="19205" w:name="_Toc396147788"/>
      <w:bookmarkStart w:id="19206" w:name="_Toc396149044"/>
      <w:bookmarkStart w:id="19207" w:name="_Toc396148758"/>
      <w:bookmarkStart w:id="19208" w:name="_Toc396149539"/>
      <w:bookmarkStart w:id="19209" w:name="_Toc396149184"/>
      <w:bookmarkStart w:id="19210" w:name="_Toc396149470"/>
      <w:bookmarkStart w:id="19211" w:name="_Toc396149147"/>
      <w:bookmarkStart w:id="19212" w:name="_Toc396149892"/>
      <w:bookmarkStart w:id="19213" w:name="_Toc396149642"/>
      <w:bookmarkStart w:id="19214" w:name="_Toc396150483"/>
      <w:bookmarkStart w:id="19215" w:name="_Toc396151372"/>
      <w:bookmarkStart w:id="19216" w:name="_Toc396151666"/>
      <w:bookmarkStart w:id="19217" w:name="_Toc396201593"/>
      <w:bookmarkStart w:id="19218" w:name="_Toc396202383"/>
      <w:bookmarkStart w:id="19219" w:name="_Toc396202678"/>
      <w:bookmarkStart w:id="19220" w:name="_Toc396203295"/>
      <w:bookmarkStart w:id="19221" w:name="_Toc396206591"/>
      <w:bookmarkStart w:id="19222" w:name="_Toc396206885"/>
      <w:bookmarkStart w:id="19223" w:name="_Toc396209419"/>
      <w:bookmarkStart w:id="19224" w:name="_Toc396209713"/>
      <w:bookmarkStart w:id="19225" w:name="_Toc396211843"/>
      <w:bookmarkStart w:id="19226" w:name="_Toc396212137"/>
      <w:bookmarkStart w:id="19227" w:name="_Toc396213187"/>
      <w:bookmarkStart w:id="19228" w:name="_Toc396213479"/>
      <w:bookmarkStart w:id="19229" w:name="_Toc396214030"/>
      <w:bookmarkStart w:id="19230" w:name="_Toc396214465"/>
      <w:bookmarkStart w:id="19231" w:name="_Toc396214755"/>
      <w:bookmarkStart w:id="19232" w:name="_Toc396220315"/>
      <w:bookmarkStart w:id="19233" w:name="_Toc396226577"/>
      <w:bookmarkStart w:id="19234" w:name="_Toc396226866"/>
      <w:bookmarkStart w:id="19235" w:name="_Toc396228777"/>
      <w:bookmarkStart w:id="19236" w:name="_Toc396229072"/>
      <w:bookmarkStart w:id="19237" w:name="_Toc396230419"/>
      <w:bookmarkStart w:id="19238" w:name="_Toc396230714"/>
      <w:bookmarkStart w:id="19239" w:name="_Toc396231856"/>
      <w:bookmarkStart w:id="19240" w:name="_Toc396233199"/>
      <w:bookmarkStart w:id="19241" w:name="_Toc396233496"/>
      <w:bookmarkStart w:id="19242" w:name="_Toc396234019"/>
      <w:bookmarkStart w:id="19243" w:name="_Toc396234316"/>
      <w:bookmarkStart w:id="19244" w:name="_Toc396234429"/>
      <w:bookmarkStart w:id="19245" w:name="_Toc396236163"/>
      <w:bookmarkStart w:id="19246" w:name="_Toc396235941"/>
      <w:bookmarkStart w:id="19247" w:name="_Toc396236551"/>
      <w:bookmarkStart w:id="19248" w:name="_Toc396237070"/>
      <w:bookmarkStart w:id="19249" w:name="_Toc396397413"/>
      <w:bookmarkStart w:id="19250" w:name="_Toc396304594"/>
      <w:bookmarkStart w:id="19251" w:name="_Toc396586129"/>
      <w:bookmarkStart w:id="19252" w:name="_Toc396815150"/>
      <w:bookmarkStart w:id="19253" w:name="_Toc396821099"/>
      <w:bookmarkStart w:id="19254" w:name="_Toc396821707"/>
      <w:bookmarkStart w:id="19255" w:name="_Toc396827557"/>
      <w:bookmarkStart w:id="19256" w:name="_Toc396828528"/>
      <w:bookmarkStart w:id="19257" w:name="_Toc396828638"/>
      <w:bookmarkStart w:id="19258" w:name="_Toc396838027"/>
      <w:bookmarkStart w:id="19259" w:name="_Toc396838425"/>
      <w:bookmarkStart w:id="19260" w:name="_Toc396904748"/>
      <w:bookmarkStart w:id="19261" w:name="_Toc396907582"/>
      <w:bookmarkStart w:id="19262" w:name="_Toc396912501"/>
      <w:bookmarkStart w:id="19263" w:name="_Toc396914481"/>
      <w:bookmarkStart w:id="19264" w:name="_Toc396915365"/>
      <w:bookmarkStart w:id="19265" w:name="_Toc396915759"/>
      <w:bookmarkStart w:id="19266" w:name="_Toc396921070"/>
      <w:bookmarkStart w:id="19267" w:name="_Toc396924410"/>
      <w:bookmarkStart w:id="19268" w:name="_Toc396925104"/>
      <w:bookmarkStart w:id="19269" w:name="_Toc396992224"/>
      <w:bookmarkStart w:id="19270" w:name="_Toc396992803"/>
      <w:bookmarkStart w:id="19271" w:name="_Toc396994467"/>
      <w:bookmarkStart w:id="19272" w:name="_Toc397002238"/>
      <w:bookmarkStart w:id="19273" w:name="_Toc397003157"/>
      <w:bookmarkStart w:id="19274" w:name="_Toc397008715"/>
      <w:bookmarkStart w:id="19275" w:name="_Toc397008933"/>
      <w:bookmarkStart w:id="19276" w:name="_Toc397011605"/>
      <w:bookmarkStart w:id="19277" w:name="_Toc397012667"/>
      <w:bookmarkStart w:id="19278" w:name="_Toc397015009"/>
      <w:bookmarkStart w:id="19279" w:name="_Toc397015496"/>
      <w:bookmarkStart w:id="19280" w:name="_Toc397070566"/>
      <w:bookmarkStart w:id="19281" w:name="_Toc397413307"/>
      <w:bookmarkStart w:id="19282" w:name="_Toc397413454"/>
      <w:bookmarkStart w:id="19283" w:name="_Toc397428037"/>
      <w:bookmarkStart w:id="19284" w:name="_Toc397439425"/>
      <w:bookmarkStart w:id="19285" w:name="_Toc397439595"/>
      <w:bookmarkStart w:id="19286" w:name="_Toc397439851"/>
      <w:bookmarkStart w:id="19287" w:name="_Toc397440153"/>
      <w:bookmarkStart w:id="19288" w:name="_Toc397441782"/>
      <w:bookmarkStart w:id="19289" w:name="_Toc397517484"/>
      <w:bookmarkStart w:id="19290" w:name="_Toc397522749"/>
      <w:bookmarkStart w:id="19291" w:name="_Toc397526167"/>
      <w:bookmarkStart w:id="19292" w:name="_Toc397528482"/>
      <w:bookmarkStart w:id="19293" w:name="_Toc397528957"/>
      <w:bookmarkStart w:id="19294" w:name="_Toc397601954"/>
      <w:bookmarkStart w:id="19295" w:name="_Toc397602689"/>
      <w:bookmarkStart w:id="19296" w:name="_Toc397605818"/>
      <w:bookmarkStart w:id="19297" w:name="_Toc397614519"/>
      <w:bookmarkStart w:id="19298" w:name="_Toc397614962"/>
      <w:bookmarkStart w:id="19299" w:name="_Toc397616405"/>
      <w:bookmarkStart w:id="19300" w:name="_Toc397616799"/>
      <w:bookmarkStart w:id="19301" w:name="_Toc397688097"/>
      <w:bookmarkStart w:id="19302" w:name="_Toc397689313"/>
      <w:bookmarkStart w:id="19303" w:name="_Toc397694593"/>
      <w:bookmarkStart w:id="19304" w:name="_Toc397696434"/>
      <w:bookmarkStart w:id="19305" w:name="_Toc397697168"/>
      <w:bookmarkStart w:id="19306" w:name="_Toc397698455"/>
      <w:bookmarkStart w:id="19307" w:name="_Toc397699821"/>
      <w:bookmarkStart w:id="19308" w:name="_Toc397700275"/>
      <w:bookmarkStart w:id="19309" w:name="_Toc397936667"/>
      <w:bookmarkStart w:id="19310" w:name="_Toc397936787"/>
      <w:bookmarkStart w:id="19311" w:name="_Toc397945943"/>
      <w:bookmarkStart w:id="19312" w:name="_Toc397946969"/>
      <w:bookmarkStart w:id="19313" w:name="_Toc397948088"/>
      <w:bookmarkStart w:id="19314" w:name="_Toc397958494"/>
      <w:bookmarkStart w:id="19315" w:name="_Toc397958736"/>
      <w:bookmarkStart w:id="19316" w:name="_Toc397959151"/>
      <w:bookmarkStart w:id="19317" w:name="_Toc397963004"/>
      <w:bookmarkStart w:id="19318" w:name="_Toc397963370"/>
      <w:bookmarkStart w:id="19319" w:name="_Toc397965447"/>
      <w:bookmarkStart w:id="19320" w:name="_Toc398197385"/>
      <w:bookmarkStart w:id="19321" w:name="_Toc398199888"/>
      <w:bookmarkStart w:id="19322" w:name="_Toc398201602"/>
      <w:bookmarkStart w:id="19323" w:name="_Toc398207207"/>
      <w:bookmarkStart w:id="19324" w:name="_Toc398210480"/>
      <w:bookmarkStart w:id="19325" w:name="_Toc398210994"/>
      <w:bookmarkStart w:id="19326" w:name="_Toc398219802"/>
      <w:bookmarkStart w:id="19327" w:name="_Toc398220177"/>
      <w:bookmarkStart w:id="19328" w:name="_Toc398220564"/>
      <w:bookmarkStart w:id="19329" w:name="_Toc398221642"/>
      <w:bookmarkStart w:id="19330" w:name="_Toc398222328"/>
      <w:bookmarkStart w:id="19331" w:name="_Toc398222640"/>
      <w:bookmarkStart w:id="19332" w:name="_Toc398223057"/>
      <w:bookmarkStart w:id="19333" w:name="_Toc398223436"/>
      <w:bookmarkStart w:id="19334" w:name="_Toc398223563"/>
      <w:bookmarkStart w:id="19335" w:name="_Toc398224371"/>
      <w:bookmarkStart w:id="19336" w:name="_Toc398225708"/>
      <w:bookmarkStart w:id="19337" w:name="_Toc398225833"/>
      <w:bookmarkStart w:id="19338" w:name="_Toc398281320"/>
      <w:bookmarkStart w:id="19339" w:name="_Toc398282179"/>
      <w:bookmarkStart w:id="19340" w:name="_Toc398284849"/>
      <w:bookmarkStart w:id="19341" w:name="_Toc398287318"/>
      <w:bookmarkStart w:id="19342" w:name="_Toc398289201"/>
      <w:bookmarkStart w:id="19343" w:name="_Toc398297198"/>
      <w:bookmarkStart w:id="19344" w:name="_Toc398298672"/>
      <w:bookmarkStart w:id="19345" w:name="_Toc398300373"/>
      <w:bookmarkStart w:id="19346" w:name="_Toc398301270"/>
      <w:bookmarkStart w:id="19347" w:name="_Toc398302455"/>
      <w:bookmarkStart w:id="19348" w:name="_Toc398302618"/>
      <w:bookmarkStart w:id="19349" w:name="_Toc398549132"/>
      <w:bookmarkStart w:id="19350" w:name="_Toc398549382"/>
      <w:bookmarkStart w:id="19351" w:name="_Toc398555801"/>
      <w:bookmarkStart w:id="19352" w:name="_Toc398559005"/>
      <w:bookmarkStart w:id="19353" w:name="_Toc398563491"/>
      <w:bookmarkStart w:id="19354" w:name="_Toc398563624"/>
      <w:bookmarkStart w:id="19355" w:name="_Toc398564023"/>
      <w:bookmarkStart w:id="19356" w:name="_Toc398827363"/>
      <w:bookmarkStart w:id="19357" w:name="_Toc398827557"/>
      <w:bookmarkStart w:id="19358" w:name="s89"/>
      <w:r w:rsidRPr="008625DC">
        <w:rPr>
          <w:lang w:val="en-AU"/>
        </w:rPr>
        <w:t>Agricultural marketing</w:t>
      </w:r>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p>
    <w:bookmarkEnd w:id="19358"/>
    <w:p w14:paraId="5D33B3B5" w14:textId="3AA07840" w:rsidR="00215822" w:rsidRPr="008625DC" w:rsidRDefault="00C71B95" w:rsidP="00215822">
      <w:r w:rsidRPr="008625DC">
        <w:t xml:space="preserve">Agricultural marketing arrangements can create barriers to entry through licensing restrictions and </w:t>
      </w:r>
      <w:r w:rsidR="005E6EFA" w:rsidRPr="008625DC">
        <w:t>weaken</w:t>
      </w:r>
      <w:r w:rsidRPr="008625DC">
        <w:t xml:space="preserve"> incentives for growers to differentiate their products and to innovate. </w:t>
      </w:r>
    </w:p>
    <w:p w14:paraId="238201DE" w14:textId="2B08C5B7" w:rsidR="00215822" w:rsidRPr="008625DC" w:rsidRDefault="00215822" w:rsidP="00215822">
      <w:r w:rsidRPr="008625DC">
        <w:t xml:space="preserve">The </w:t>
      </w:r>
      <w:r w:rsidR="00DB444C" w:rsidRPr="008625DC">
        <w:t>PC</w:t>
      </w:r>
      <w:r w:rsidR="00C74E19" w:rsidRPr="008625DC">
        <w:t>’</w:t>
      </w:r>
      <w:r w:rsidRPr="008625DC">
        <w:t xml:space="preserve">s 2005 Review of National Competition Policy Reforms noted that domestic pricing arrangements and import tariffs needed to support the activities of statutory marketing authorities provide assistance to producers, </w:t>
      </w:r>
      <w:r w:rsidR="00044819" w:rsidRPr="008625DC">
        <w:t xml:space="preserve">and </w:t>
      </w:r>
      <w:r w:rsidRPr="008625DC">
        <w:t xml:space="preserve">are effectively paid for by household and business users. Such controls </w:t>
      </w:r>
      <w:r w:rsidR="005E6EFA" w:rsidRPr="008625DC">
        <w:t xml:space="preserve">were found </w:t>
      </w:r>
      <w:r w:rsidRPr="008625DC">
        <w:t xml:space="preserve">often </w:t>
      </w:r>
      <w:r w:rsidR="005E6EFA" w:rsidRPr="008625DC">
        <w:t xml:space="preserve">to </w:t>
      </w:r>
      <w:r w:rsidRPr="008625DC">
        <w:t>reduce the scope and incentives for innovation, to the detriment of both consumers and producers.</w:t>
      </w:r>
      <w:r w:rsidRPr="008625DC">
        <w:rPr>
          <w:rStyle w:val="FootnoteReference"/>
        </w:rPr>
        <w:footnoteReference w:id="123"/>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C71B95" w:rsidRPr="008625DC" w14:paraId="582DA24A" w14:textId="77777777">
        <w:tc>
          <w:tcPr>
            <w:tcW w:w="5000" w:type="pct"/>
            <w:shd w:val="clear" w:color="auto" w:fill="E6E6E6"/>
          </w:tcPr>
          <w:p w14:paraId="5046E217" w14:textId="32568155" w:rsidR="00C71B95" w:rsidRPr="008625DC" w:rsidRDefault="00C71B95">
            <w:pPr>
              <w:pStyle w:val="BoxHeading"/>
            </w:pPr>
            <w:r w:rsidRPr="008625DC">
              <w:t xml:space="preserve">Box </w:t>
            </w:r>
            <w:r w:rsidR="00806211" w:rsidRPr="008625DC">
              <w:t>8</w:t>
            </w:r>
            <w:r w:rsidRPr="008625DC">
              <w:t>.</w:t>
            </w:r>
            <w:r w:rsidR="003A2E35" w:rsidRPr="008625DC">
              <w:t>1</w:t>
            </w:r>
            <w:r w:rsidR="008F1DD6" w:rsidRPr="008625DC">
              <w:t>3</w:t>
            </w:r>
            <w:r w:rsidRPr="008625DC">
              <w:t xml:space="preserve"> National Competition Policy reforms to agricultural marketing arrangements</w:t>
            </w:r>
          </w:p>
          <w:p w14:paraId="3A732FE3" w14:textId="5A8A1657" w:rsidR="00C71B95" w:rsidRPr="008625DC" w:rsidRDefault="00C71B95" w:rsidP="00ED3847">
            <w:pPr>
              <w:pStyle w:val="BoxText"/>
            </w:pPr>
            <w:r w:rsidRPr="008625DC">
              <w:t xml:space="preserve">Under </w:t>
            </w:r>
            <w:r w:rsidR="00F670B7" w:rsidRPr="008625DC">
              <w:t>the</w:t>
            </w:r>
            <w:r w:rsidRPr="008625DC">
              <w:t xml:space="preserve"> </w:t>
            </w:r>
            <w:r w:rsidR="00174E77" w:rsidRPr="008625DC">
              <w:t>NCP</w:t>
            </w:r>
            <w:r w:rsidRPr="008625DC">
              <w:t>, the NCC identified a number of priority legislation review areas in agricultural marketing arrangements including barley/coarse grains, dairy, poultry meat, rice, sugar and wheat.</w:t>
            </w:r>
            <w:r w:rsidRPr="008625DC">
              <w:rPr>
                <w:rStyle w:val="FootnoteReference"/>
              </w:rPr>
              <w:footnoteReference w:id="124"/>
            </w:r>
            <w:r w:rsidR="00787DCF" w:rsidRPr="008625DC">
              <w:t xml:space="preserve"> </w:t>
            </w:r>
          </w:p>
          <w:p w14:paraId="31204352" w14:textId="72903BCD" w:rsidR="00C71B95" w:rsidRPr="008625DC" w:rsidRDefault="00C71B95" w:rsidP="00ED3847">
            <w:pPr>
              <w:pStyle w:val="BoxText"/>
            </w:pPr>
            <w:r w:rsidRPr="008625DC">
              <w:t xml:space="preserve">There was a progressive removal of price and supply restrictions in the agricultural marketing arrangements under </w:t>
            </w:r>
            <w:r w:rsidR="00F670B7" w:rsidRPr="008625DC">
              <w:t xml:space="preserve">the </w:t>
            </w:r>
            <w:r w:rsidRPr="008625DC">
              <w:t>NCP, and the Australian Bureau of Agricultural and Resource Sciences recently noted that these reforms have resulted in Australian agriculture being strongly market</w:t>
            </w:r>
            <w:r w:rsidR="00C74E19" w:rsidRPr="008625DC">
              <w:noBreakHyphen/>
            </w:r>
            <w:r w:rsidRPr="008625DC">
              <w:t>oriented, with farmers now exposed to competition in domestic and world markets, and governments having largely removed production and trade</w:t>
            </w:r>
            <w:r w:rsidR="00C74E19" w:rsidRPr="008625DC">
              <w:noBreakHyphen/>
            </w:r>
            <w:r w:rsidRPr="008625DC">
              <w:t>distorting support.</w:t>
            </w:r>
            <w:r w:rsidRPr="008625DC">
              <w:rPr>
                <w:rStyle w:val="FootnoteReference"/>
              </w:rPr>
              <w:footnoteReference w:id="125"/>
            </w:r>
            <w:r w:rsidRPr="008625DC">
              <w:t xml:space="preserve"> </w:t>
            </w:r>
          </w:p>
          <w:p w14:paraId="4A5C7627" w14:textId="103E58E9" w:rsidR="00C71B95" w:rsidRPr="008625DC" w:rsidRDefault="00C71B95" w:rsidP="00ED3847">
            <w:pPr>
              <w:pStyle w:val="BoxText"/>
            </w:pPr>
            <w:r w:rsidRPr="008625DC">
              <w:t>However, restrictions still apply in relation to rice in NSW and potatoes in Western Australia.</w:t>
            </w:r>
          </w:p>
        </w:tc>
      </w:tr>
    </w:tbl>
    <w:p w14:paraId="6D6C445B" w14:textId="02E7131F" w:rsidR="00215822" w:rsidRPr="008625DC" w:rsidRDefault="00215822" w:rsidP="007039E7">
      <w:pPr>
        <w:spacing w:before="240"/>
      </w:pPr>
      <w:r w:rsidRPr="008625DC">
        <w:t>The NSW Rice Marketing Board</w:t>
      </w:r>
      <w:r w:rsidRPr="008625DC">
        <w:rPr>
          <w:rStyle w:val="FootnoteReference"/>
        </w:rPr>
        <w:footnoteReference w:id="126"/>
      </w:r>
      <w:r w:rsidRPr="008625DC">
        <w:t xml:space="preserve"> retains powers to </w:t>
      </w:r>
      <w:proofErr w:type="gramStart"/>
      <w:r w:rsidRPr="008625DC">
        <w:t>vest,</w:t>
      </w:r>
      <w:proofErr w:type="gramEnd"/>
      <w:r w:rsidRPr="008625DC">
        <w:t xml:space="preserve"> process and market all rice produced in NSW, which is around 99 per cent of Australian rice.</w:t>
      </w:r>
      <w:r w:rsidRPr="008625DC">
        <w:rPr>
          <w:rStyle w:val="FootnoteReference"/>
        </w:rPr>
        <w:footnoteReference w:id="127"/>
      </w:r>
      <w:r w:rsidRPr="008625DC">
        <w:t xml:space="preserve"> </w:t>
      </w:r>
      <w:r w:rsidR="005E6EFA" w:rsidRPr="008625DC">
        <w:t xml:space="preserve">A party </w:t>
      </w:r>
      <w:r w:rsidRPr="008625DC">
        <w:t xml:space="preserve">wanting to participate in the domestic rice market must </w:t>
      </w:r>
      <w:r w:rsidR="005E6EFA" w:rsidRPr="008625DC">
        <w:t>apply</w:t>
      </w:r>
      <w:r w:rsidRPr="008625DC">
        <w:t xml:space="preserve"> to the Board to become an Authorised Buyer. The NSW Rice Marketing Board has appointed Ricegrowers Limited (trading as SunRice) as the sole and exclusive export licence holder. </w:t>
      </w:r>
    </w:p>
    <w:p w14:paraId="6D875203" w14:textId="6DA26A23" w:rsidR="00215822" w:rsidRPr="008625DC" w:rsidRDefault="00215822" w:rsidP="00880E5D">
      <w:r w:rsidRPr="008625DC">
        <w:lastRenderedPageBreak/>
        <w:t xml:space="preserve">In Western Australia, licences to grow table potatoes, </w:t>
      </w:r>
      <w:r w:rsidR="005E6EFA" w:rsidRPr="008625DC">
        <w:t xml:space="preserve">as well as </w:t>
      </w:r>
      <w:r w:rsidRPr="008625DC">
        <w:t>the price, quantity and varieties grown</w:t>
      </w:r>
      <w:r w:rsidR="005E6EFA" w:rsidRPr="008625DC">
        <w:t>,</w:t>
      </w:r>
      <w:r w:rsidRPr="008625DC">
        <w:t xml:space="preserve"> are all regulated by the Potato Marketing Corporation</w:t>
      </w:r>
      <w:r w:rsidR="00174E77" w:rsidRPr="008625DC">
        <w:t>,</w:t>
      </w:r>
      <w:r w:rsidRPr="008625DC">
        <w:rPr>
          <w:rStyle w:val="FootnoteReference"/>
        </w:rPr>
        <w:footnoteReference w:id="128"/>
      </w:r>
      <w:r w:rsidRPr="008625DC">
        <w:t xml:space="preserve"> which is established under the </w:t>
      </w:r>
      <w:r w:rsidRPr="008625DC">
        <w:rPr>
          <w:i/>
        </w:rPr>
        <w:t>Marketing of Potatoes Act 1946</w:t>
      </w:r>
      <w:r w:rsidR="00507166" w:rsidRPr="008625DC">
        <w:rPr>
          <w:i/>
        </w:rPr>
        <w:t xml:space="preserve"> </w:t>
      </w:r>
      <w:r w:rsidR="00507166" w:rsidRPr="008625DC">
        <w:t>(WA)</w:t>
      </w:r>
      <w:r w:rsidRPr="008625DC">
        <w:t xml:space="preserve">, and is a statutory marketing organisation of the </w:t>
      </w:r>
      <w:r w:rsidR="002B5BFC" w:rsidRPr="008625DC">
        <w:t xml:space="preserve">government of </w:t>
      </w:r>
      <w:r w:rsidRPr="008625DC">
        <w:t>West</w:t>
      </w:r>
      <w:r w:rsidR="002B5BFC" w:rsidRPr="008625DC">
        <w:t>ern Australia</w:t>
      </w:r>
      <w:r w:rsidRPr="008625DC">
        <w:t>.</w:t>
      </w:r>
    </w:p>
    <w:p w14:paraId="4DA2A38D" w14:textId="7CB08D89" w:rsidR="00215822" w:rsidRPr="008625DC" w:rsidRDefault="005E6EFA" w:rsidP="00880E5D">
      <w:r w:rsidRPr="008625DC">
        <w:t>T</w:t>
      </w:r>
      <w:r w:rsidR="00215822" w:rsidRPr="008625DC">
        <w:t>he Potato Marketing Corporation, not consumers and producers</w:t>
      </w:r>
      <w:r w:rsidR="005B766E" w:rsidRPr="008625DC">
        <w:t>,</w:t>
      </w:r>
      <w:r w:rsidR="00215822" w:rsidRPr="008625DC">
        <w:t xml:space="preserve"> determine</w:t>
      </w:r>
      <w:r w:rsidR="005B766E" w:rsidRPr="008625DC">
        <w:t>s</w:t>
      </w:r>
      <w:r w:rsidR="00215822" w:rsidRPr="008625DC">
        <w:t xml:space="preserve"> the quantities, kinds and qualities of potatoes </w:t>
      </w:r>
      <w:r w:rsidRPr="008625DC">
        <w:t xml:space="preserve">offered to </w:t>
      </w:r>
      <w:r w:rsidR="00215822" w:rsidRPr="008625DC">
        <w:t>consumers in Western Australia. In fact, it is illegal to sell fresh potatoes grown in Western Australia for human consumption without a licence from the Potato Marketing Corporation.</w:t>
      </w:r>
      <w:r w:rsidR="00787DCF" w:rsidRPr="008625DC">
        <w:t xml:space="preserve"> </w:t>
      </w:r>
    </w:p>
    <w:p w14:paraId="3CD955C1" w14:textId="3B3B9003" w:rsidR="00215822" w:rsidRPr="008625DC" w:rsidRDefault="00215822" w:rsidP="00215822">
      <w:r w:rsidRPr="008625DC">
        <w:t xml:space="preserve">The Economic Regulation Authority </w:t>
      </w:r>
      <w:r w:rsidR="002B5BFC" w:rsidRPr="008625DC">
        <w:t>of Western Australia</w:t>
      </w:r>
      <w:r w:rsidR="00C74E19" w:rsidRPr="008625DC">
        <w:t>’</w:t>
      </w:r>
      <w:r w:rsidR="002B5BFC" w:rsidRPr="008625DC">
        <w:t xml:space="preserve">s </w:t>
      </w:r>
      <w:r w:rsidRPr="008625DC">
        <w:t xml:space="preserve">Final Report, released in July 2014, recommended removing the existing restrictions. </w:t>
      </w:r>
      <w:r w:rsidRPr="008625DC">
        <w:rPr>
          <w:szCs w:val="22"/>
        </w:rPr>
        <w:t xml:space="preserve">Overall, </w:t>
      </w:r>
      <w:r w:rsidR="00CC4385" w:rsidRPr="008625DC">
        <w:rPr>
          <w:szCs w:val="22"/>
        </w:rPr>
        <w:t>it</w:t>
      </w:r>
      <w:r w:rsidRPr="008625DC">
        <w:rPr>
          <w:szCs w:val="22"/>
        </w:rPr>
        <w:t xml:space="preserve"> estimates that the restrictions on the Western Australian ware potato market have a net cost of $3.8 million per annum. This equates to a present value of $33.23 million over a 15</w:t>
      </w:r>
      <w:r w:rsidR="00C74E19" w:rsidRPr="008625DC">
        <w:rPr>
          <w:szCs w:val="22"/>
        </w:rPr>
        <w:noBreakHyphen/>
      </w:r>
      <w:r w:rsidRPr="008625DC">
        <w:rPr>
          <w:szCs w:val="22"/>
        </w:rPr>
        <w:t>year period.</w:t>
      </w:r>
      <w:r w:rsidR="00E333C6" w:rsidRPr="008625DC">
        <w:rPr>
          <w:rStyle w:val="FootnoteReference"/>
          <w:szCs w:val="22"/>
        </w:rPr>
        <w:footnoteReference w:id="129"/>
      </w:r>
      <w:r w:rsidR="00787DCF" w:rsidRPr="008625DC">
        <w:rPr>
          <w:szCs w:val="22"/>
        </w:rPr>
        <w:t xml:space="preserve"> </w:t>
      </w:r>
    </w:p>
    <w:p w14:paraId="4EBC35F2" w14:textId="5224F65C" w:rsidR="00215822" w:rsidRPr="008625DC" w:rsidRDefault="00215822" w:rsidP="00215822">
      <w:r w:rsidRPr="008625DC">
        <w:t xml:space="preserve">While potato regulation appears to be a hot topic in Western Australia, </w:t>
      </w:r>
      <w:r w:rsidR="00C71B95" w:rsidRPr="008625DC">
        <w:t>with s</w:t>
      </w:r>
      <w:r w:rsidR="00C71B95" w:rsidRPr="008625DC">
        <w:rPr>
          <w:szCs w:val="22"/>
        </w:rPr>
        <w:t xml:space="preserve">ubmissions calling for deregulation of </w:t>
      </w:r>
      <w:r w:rsidR="00CC4385" w:rsidRPr="008625DC">
        <w:rPr>
          <w:szCs w:val="22"/>
        </w:rPr>
        <w:t xml:space="preserve">this </w:t>
      </w:r>
      <w:r w:rsidR="0046149D" w:rsidRPr="008625DC">
        <w:rPr>
          <w:szCs w:val="22"/>
        </w:rPr>
        <w:t>S</w:t>
      </w:r>
      <w:r w:rsidR="00CC4385" w:rsidRPr="008625DC">
        <w:rPr>
          <w:szCs w:val="22"/>
        </w:rPr>
        <w:t>tate</w:t>
      </w:r>
      <w:r w:rsidR="00C74E19" w:rsidRPr="008625DC">
        <w:rPr>
          <w:szCs w:val="22"/>
        </w:rPr>
        <w:t>’</w:t>
      </w:r>
      <w:r w:rsidR="00C71B95" w:rsidRPr="008625DC">
        <w:rPr>
          <w:szCs w:val="22"/>
        </w:rPr>
        <w:t>s potato industry,</w:t>
      </w:r>
      <w:r w:rsidR="00C71B95" w:rsidRPr="008625DC">
        <w:rPr>
          <w:rStyle w:val="FootnoteReference"/>
          <w:szCs w:val="22"/>
        </w:rPr>
        <w:footnoteReference w:id="130"/>
      </w:r>
      <w:r w:rsidR="00787DCF" w:rsidRPr="008625DC">
        <w:rPr>
          <w:szCs w:val="22"/>
        </w:rPr>
        <w:t xml:space="preserve"> </w:t>
      </w:r>
      <w:r w:rsidRPr="008625DC">
        <w:t xml:space="preserve">issues to do with rice marketing in NSW have not been raised </w:t>
      </w:r>
      <w:r w:rsidR="005B766E" w:rsidRPr="008625DC">
        <w:t xml:space="preserve">at all </w:t>
      </w:r>
      <w:r w:rsidRPr="008625DC">
        <w:t xml:space="preserve">during </w:t>
      </w:r>
      <w:r w:rsidR="005B766E" w:rsidRPr="008625DC">
        <w:t xml:space="preserve">public </w:t>
      </w:r>
      <w:r w:rsidRPr="008625DC">
        <w:t>consultation</w:t>
      </w:r>
      <w:r w:rsidR="005B766E" w:rsidRPr="008625DC">
        <w:t>s</w:t>
      </w:r>
      <w:r w:rsidRPr="008625DC">
        <w:t xml:space="preserv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15822" w:rsidRPr="008625DC" w14:paraId="4FA5616A" w14:textId="77777777" w:rsidTr="00F7370D">
        <w:tc>
          <w:tcPr>
            <w:tcW w:w="5000" w:type="pct"/>
            <w:shd w:val="clear" w:color="auto" w:fill="FFFFFF" w:themeFill="background1"/>
          </w:tcPr>
          <w:p w14:paraId="256E6859" w14:textId="3979C5F2" w:rsidR="00215822" w:rsidRPr="008625DC" w:rsidRDefault="00215822" w:rsidP="00F7370D">
            <w:pPr>
              <w:pStyle w:val="Keyfindingheading"/>
            </w:pPr>
            <w:r w:rsidRPr="008625DC">
              <w:t>The Panel</w:t>
            </w:r>
            <w:r w:rsidR="00C74E19" w:rsidRPr="008625DC">
              <w:t>’</w:t>
            </w:r>
            <w:r w:rsidRPr="008625DC">
              <w:t>s view</w:t>
            </w:r>
          </w:p>
          <w:p w14:paraId="17A5D33C" w14:textId="678F46F7" w:rsidR="00215822" w:rsidRPr="008625DC" w:rsidRDefault="001734D1">
            <w:pPr>
              <w:pStyle w:val="Keyfindingtext"/>
            </w:pPr>
            <w:bookmarkStart w:id="19359" w:name="_Toc393985153"/>
            <w:bookmarkStart w:id="19360" w:name="_Toc393985656"/>
            <w:bookmarkStart w:id="19361" w:name="_Toc393986058"/>
            <w:bookmarkStart w:id="19362" w:name="_Toc393986461"/>
            <w:bookmarkStart w:id="19363" w:name="_Toc393988068"/>
            <w:bookmarkStart w:id="19364" w:name="_Toc393988470"/>
            <w:bookmarkStart w:id="19365" w:name="_Toc393989482"/>
            <w:bookmarkStart w:id="19366" w:name="_Toc393988870"/>
            <w:bookmarkStart w:id="19367" w:name="_Toc393990874"/>
            <w:bookmarkStart w:id="19368" w:name="_Toc393991856"/>
            <w:bookmarkStart w:id="19369" w:name="_Toc394047519"/>
            <w:bookmarkStart w:id="19370" w:name="_Toc394049795"/>
            <w:bookmarkStart w:id="19371" w:name="_Toc394051195"/>
            <w:bookmarkStart w:id="19372" w:name="_Toc394062184"/>
            <w:bookmarkStart w:id="19373" w:name="_Toc394069059"/>
            <w:bookmarkStart w:id="19374" w:name="_Toc394070977"/>
            <w:bookmarkStart w:id="19375" w:name="_Toc394312380"/>
            <w:bookmarkStart w:id="19376" w:name="_Toc394330664"/>
            <w:bookmarkStart w:id="19377" w:name="_Toc394330284"/>
            <w:bookmarkStart w:id="19378" w:name="_Toc394333258"/>
            <w:bookmarkStart w:id="19379" w:name="_Toc394332836"/>
            <w:bookmarkStart w:id="19380" w:name="_Toc394333671"/>
            <w:bookmarkStart w:id="19381" w:name="_Toc394334084"/>
            <w:bookmarkStart w:id="19382" w:name="_Toc394334910"/>
            <w:bookmarkStart w:id="19383" w:name="_Toc394415093"/>
            <w:bookmarkStart w:id="19384" w:name="_Toc394412398"/>
            <w:bookmarkStart w:id="19385" w:name="_Toc394420689"/>
            <w:bookmarkStart w:id="19386" w:name="_Toc394421163"/>
            <w:bookmarkStart w:id="19387" w:name="_Toc394423533"/>
            <w:bookmarkStart w:id="19388" w:name="_Toc394420467"/>
            <w:bookmarkStart w:id="19389" w:name="_Toc394422577"/>
            <w:bookmarkStart w:id="19390" w:name="_Toc394423048"/>
            <w:bookmarkStart w:id="19391" w:name="_Toc394424198"/>
            <w:bookmarkStart w:id="19392" w:name="_Toc394492030"/>
            <w:bookmarkStart w:id="19393" w:name="_Toc394495175"/>
            <w:bookmarkStart w:id="19394" w:name="_Toc394497990"/>
            <w:bookmarkStart w:id="19395" w:name="_Toc394500780"/>
            <w:bookmarkStart w:id="19396" w:name="_Toc394502184"/>
            <w:bookmarkStart w:id="19397" w:name="_Toc394503086"/>
            <w:bookmarkStart w:id="19398" w:name="_Toc394502630"/>
            <w:bookmarkStart w:id="19399" w:name="_Toc394505837"/>
            <w:bookmarkStart w:id="19400" w:name="_Toc394506296"/>
            <w:bookmarkStart w:id="19401" w:name="_Toc394506850"/>
            <w:bookmarkStart w:id="19402" w:name="_Toc394560927"/>
            <w:bookmarkStart w:id="19403" w:name="_Toc394561388"/>
            <w:bookmarkStart w:id="19404" w:name="_Toc394938359"/>
            <w:bookmarkStart w:id="19405" w:name="_Toc394937639"/>
            <w:bookmarkStart w:id="19406" w:name="_Toc394941270"/>
            <w:bookmarkStart w:id="19407" w:name="_Toc394941886"/>
            <w:bookmarkStart w:id="19408" w:name="_Toc394940108"/>
            <w:bookmarkStart w:id="19409" w:name="_Toc394939718"/>
            <w:bookmarkStart w:id="19410" w:name="_Toc394993615"/>
            <w:bookmarkStart w:id="19411" w:name="_Toc394995496"/>
            <w:bookmarkStart w:id="19412" w:name="_Toc394995810"/>
            <w:bookmarkStart w:id="19413" w:name="_Toc394998055"/>
            <w:bookmarkStart w:id="19414" w:name="_Toc394998569"/>
            <w:bookmarkStart w:id="19415" w:name="_Toc395002068"/>
            <w:bookmarkStart w:id="19416" w:name="_Toc395001274"/>
            <w:bookmarkStart w:id="19417" w:name="_Toc395001548"/>
            <w:bookmarkStart w:id="19418" w:name="_Toc395002837"/>
            <w:bookmarkStart w:id="19419" w:name="_Toc395003422"/>
            <w:bookmarkStart w:id="19420" w:name="_Toc395005663"/>
            <w:bookmarkStart w:id="19421" w:name="_Toc395009657"/>
            <w:bookmarkStart w:id="19422" w:name="_Toc395010396"/>
            <w:bookmarkStart w:id="19423" w:name="_Toc395012580"/>
            <w:bookmarkStart w:id="19424" w:name="_Toc395010987"/>
            <w:bookmarkStart w:id="19425" w:name="_Toc395013043"/>
            <w:bookmarkStart w:id="19426" w:name="_Toc395012045"/>
            <w:bookmarkStart w:id="19427" w:name="_Toc395014384"/>
            <w:bookmarkStart w:id="19428" w:name="_Toc395084734"/>
            <w:bookmarkStart w:id="19429" w:name="_Toc395085035"/>
            <w:bookmarkStart w:id="19430" w:name="_Toc395090498"/>
            <w:bookmarkStart w:id="19431" w:name="_Toc395093082"/>
            <w:bookmarkStart w:id="19432" w:name="_Toc395097994"/>
            <w:bookmarkStart w:id="19433" w:name="_Toc395106178"/>
            <w:bookmarkStart w:id="19434" w:name="_Toc395109771"/>
            <w:bookmarkStart w:id="19435" w:name="_Toc395112148"/>
            <w:bookmarkStart w:id="19436" w:name="_Toc395107290"/>
            <w:bookmarkStart w:id="19437" w:name="_Toc395108851"/>
            <w:bookmarkStart w:id="19438" w:name="_Toc395114091"/>
            <w:bookmarkStart w:id="19439" w:name="_Toc395116828"/>
            <w:bookmarkStart w:id="19440" w:name="_Toc395112765"/>
            <w:bookmarkStart w:id="19441" w:name="_Toc395115305"/>
            <w:bookmarkStart w:id="19442" w:name="_Toc395118457"/>
            <w:bookmarkStart w:id="19443" w:name="_Toc395624651"/>
            <w:bookmarkStart w:id="19444" w:name="_Toc395790002"/>
            <w:bookmarkStart w:id="19445" w:name="_Toc395800760"/>
            <w:r w:rsidRPr="008625DC">
              <w:t>Most p</w:t>
            </w:r>
            <w:r w:rsidR="00215822" w:rsidRPr="008625DC">
              <w:t xml:space="preserve">rice and supply restrictions in agricultural marketing </w:t>
            </w:r>
            <w:r w:rsidR="005E6EFA" w:rsidRPr="008625DC">
              <w:t>have been removed</w:t>
            </w:r>
            <w:r w:rsidRPr="008625DC">
              <w:t>.</w:t>
            </w:r>
            <w:r w:rsidR="005E6EFA" w:rsidRPr="008625DC">
              <w:t xml:space="preserve"> </w:t>
            </w:r>
            <w:r w:rsidRPr="008625DC">
              <w:t xml:space="preserve">However, </w:t>
            </w:r>
            <w:r w:rsidR="00215822" w:rsidRPr="008625DC">
              <w:t>some unfinished business</w:t>
            </w:r>
            <w:r w:rsidRPr="008625DC">
              <w:t xml:space="preserve"> remains. For example, r</w:t>
            </w:r>
            <w:r w:rsidR="00215822" w:rsidRPr="008625DC">
              <w:t>estrictions still apply in relation to rice in NSW and potatoes in Western Australia.</w:t>
            </w:r>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r w:rsidR="00787DCF" w:rsidRPr="008625DC">
              <w:t xml:space="preserve"> </w:t>
            </w:r>
            <w:bookmarkStart w:id="19446" w:name="_Toc393985154"/>
            <w:bookmarkStart w:id="19447" w:name="_Toc393985657"/>
            <w:bookmarkStart w:id="19448" w:name="_Toc393986059"/>
            <w:bookmarkStart w:id="19449" w:name="_Toc393986462"/>
            <w:bookmarkStart w:id="19450" w:name="_Toc393988069"/>
            <w:bookmarkStart w:id="19451" w:name="_Toc393988471"/>
            <w:bookmarkStart w:id="19452" w:name="_Toc393989483"/>
            <w:bookmarkStart w:id="19453" w:name="_Toc393988871"/>
            <w:bookmarkStart w:id="19454" w:name="_Toc393990875"/>
            <w:bookmarkStart w:id="19455" w:name="_Toc393991857"/>
            <w:bookmarkStart w:id="19456" w:name="_Toc394047520"/>
            <w:bookmarkStart w:id="19457" w:name="_Toc394049796"/>
            <w:bookmarkStart w:id="19458" w:name="_Toc394051196"/>
            <w:bookmarkStart w:id="19459" w:name="_Toc394062185"/>
            <w:bookmarkStart w:id="19460" w:name="_Toc394069060"/>
            <w:bookmarkStart w:id="19461" w:name="_Toc394070978"/>
            <w:bookmarkStart w:id="19462" w:name="_Toc394312381"/>
            <w:bookmarkStart w:id="19463" w:name="_Toc394330665"/>
            <w:bookmarkStart w:id="19464" w:name="_Toc394330285"/>
            <w:bookmarkStart w:id="19465" w:name="_Toc394333259"/>
            <w:bookmarkStart w:id="19466" w:name="_Toc394332837"/>
            <w:bookmarkStart w:id="19467" w:name="_Toc394333672"/>
            <w:bookmarkStart w:id="19468" w:name="_Toc394334085"/>
            <w:bookmarkStart w:id="19469" w:name="_Toc394334911"/>
            <w:bookmarkStart w:id="19470" w:name="_Toc394415094"/>
            <w:bookmarkStart w:id="19471" w:name="_Toc394412399"/>
            <w:bookmarkStart w:id="19472" w:name="_Toc394420690"/>
            <w:bookmarkStart w:id="19473" w:name="_Toc394421164"/>
            <w:r w:rsidR="00215822" w:rsidRPr="008625DC">
              <w:t xml:space="preserve">These restrictions </w:t>
            </w:r>
            <w:r w:rsidR="005B766E" w:rsidRPr="008625DC">
              <w:t>rais</w:t>
            </w:r>
            <w:r w:rsidR="002711DE" w:rsidRPr="008625DC">
              <w:t>e</w:t>
            </w:r>
            <w:r w:rsidR="005B766E" w:rsidRPr="008625DC">
              <w:t xml:space="preserve"> </w:t>
            </w:r>
            <w:r w:rsidR="00215822" w:rsidRPr="008625DC">
              <w:t>barriers to entry</w:t>
            </w:r>
            <w:r w:rsidR="00252581" w:rsidRPr="008625DC">
              <w:t xml:space="preserve"> and </w:t>
            </w:r>
            <w:r w:rsidR="002711DE" w:rsidRPr="008625DC">
              <w:t xml:space="preserve">impede </w:t>
            </w:r>
            <w:r w:rsidR="005E6EFA" w:rsidRPr="008625DC">
              <w:t xml:space="preserve">consumer </w:t>
            </w:r>
            <w:r w:rsidR="002711DE" w:rsidRPr="008625DC">
              <w:t>choice</w:t>
            </w:r>
            <w:r w:rsidR="00215822" w:rsidRPr="008625DC">
              <w:t>.</w:t>
            </w:r>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r w:rsidRPr="008625DC">
              <w:t xml:space="preserve"> Governments should resist calls for past reforms to be unwound.</w:t>
            </w:r>
          </w:p>
        </w:tc>
      </w:tr>
    </w:tbl>
    <w:p w14:paraId="1A97F519" w14:textId="4A58889E" w:rsidR="00AB2C8C" w:rsidRPr="008625DC" w:rsidRDefault="000360EE" w:rsidP="000B5916">
      <w:pPr>
        <w:pStyle w:val="Heading2"/>
        <w:ind w:left="851" w:hanging="851"/>
        <w:rPr>
          <w:lang w:val="en-AU"/>
        </w:rPr>
      </w:pPr>
      <w:bookmarkStart w:id="19474" w:name="_Toc395867059"/>
      <w:bookmarkStart w:id="19475" w:name="_Toc395867618"/>
      <w:bookmarkStart w:id="19476" w:name="_Toc395802860"/>
      <w:bookmarkStart w:id="19477" w:name="_Toc395868527"/>
      <w:bookmarkStart w:id="19478" w:name="_Toc395868750"/>
      <w:bookmarkStart w:id="19479" w:name="_Toc395879131"/>
      <w:bookmarkStart w:id="19480" w:name="_Toc395882033"/>
      <w:bookmarkStart w:id="19481" w:name="_Toc395882255"/>
      <w:bookmarkStart w:id="19482" w:name="_Toc395882364"/>
      <w:bookmarkStart w:id="19483" w:name="_Toc395882586"/>
      <w:bookmarkStart w:id="19484" w:name="_Toc395880528"/>
      <w:bookmarkStart w:id="19485" w:name="_Toc395880859"/>
      <w:bookmarkStart w:id="19486" w:name="_Toc395881417"/>
      <w:bookmarkStart w:id="19487" w:name="_Toc395881639"/>
      <w:bookmarkStart w:id="19488" w:name="_Toc395884024"/>
      <w:bookmarkStart w:id="19489" w:name="_Toc395880757"/>
      <w:bookmarkStart w:id="19490" w:name="_Toc395884464"/>
      <w:bookmarkStart w:id="19491" w:name="_Toc395884686"/>
      <w:bookmarkStart w:id="19492" w:name="_Toc395883173"/>
      <w:bookmarkStart w:id="19493" w:name="_Toc395883395"/>
      <w:bookmarkStart w:id="19494" w:name="_Toc395883503"/>
      <w:bookmarkStart w:id="19495" w:name="_Toc395883725"/>
      <w:bookmarkStart w:id="19496" w:name="_Toc395884805"/>
      <w:bookmarkStart w:id="19497" w:name="_Toc396123834"/>
      <w:bookmarkStart w:id="19498" w:name="_Toc396130737"/>
      <w:bookmarkStart w:id="19499" w:name="_Toc396136315"/>
      <w:bookmarkStart w:id="19500" w:name="_Toc396138769"/>
      <w:bookmarkStart w:id="19501" w:name="_Toc396144030"/>
      <w:bookmarkStart w:id="19502" w:name="_Toc396145539"/>
      <w:bookmarkStart w:id="19503" w:name="_Toc396145683"/>
      <w:bookmarkStart w:id="19504" w:name="_Toc396145965"/>
      <w:bookmarkStart w:id="19505" w:name="_Toc396147505"/>
      <w:bookmarkStart w:id="19506" w:name="_Toc396147791"/>
      <w:bookmarkStart w:id="19507" w:name="_Toc396149047"/>
      <w:bookmarkStart w:id="19508" w:name="_Toc396148761"/>
      <w:bookmarkStart w:id="19509" w:name="_Toc396149542"/>
      <w:bookmarkStart w:id="19510" w:name="_Toc396149187"/>
      <w:bookmarkStart w:id="19511" w:name="_Toc396149473"/>
      <w:bookmarkStart w:id="19512" w:name="_Toc396149150"/>
      <w:bookmarkStart w:id="19513" w:name="_Toc396149895"/>
      <w:bookmarkStart w:id="19514" w:name="_Toc396149645"/>
      <w:bookmarkStart w:id="19515" w:name="_Toc396150486"/>
      <w:bookmarkStart w:id="19516" w:name="_Toc396151375"/>
      <w:bookmarkStart w:id="19517" w:name="_Toc396151669"/>
      <w:bookmarkStart w:id="19518" w:name="_Toc396201596"/>
      <w:bookmarkStart w:id="19519" w:name="_Toc396202386"/>
      <w:bookmarkStart w:id="19520" w:name="_Toc396202681"/>
      <w:bookmarkStart w:id="19521" w:name="_Toc396203298"/>
      <w:bookmarkStart w:id="19522" w:name="_Toc396206594"/>
      <w:bookmarkStart w:id="19523" w:name="_Toc396206888"/>
      <w:bookmarkStart w:id="19524" w:name="_Toc396209422"/>
      <w:bookmarkStart w:id="19525" w:name="_Toc396209716"/>
      <w:bookmarkStart w:id="19526" w:name="_Toc396211846"/>
      <w:bookmarkStart w:id="19527" w:name="_Toc396212140"/>
      <w:bookmarkStart w:id="19528" w:name="_Toc396213190"/>
      <w:bookmarkStart w:id="19529" w:name="_Toc396213482"/>
      <w:bookmarkStart w:id="19530" w:name="_Toc396214033"/>
      <w:bookmarkStart w:id="19531" w:name="_Toc396214468"/>
      <w:bookmarkStart w:id="19532" w:name="_Toc396214758"/>
      <w:bookmarkStart w:id="19533" w:name="_Toc396220318"/>
      <w:bookmarkStart w:id="19534" w:name="_Toc396226580"/>
      <w:bookmarkStart w:id="19535" w:name="_Toc396226869"/>
      <w:bookmarkStart w:id="19536" w:name="_Toc396228780"/>
      <w:bookmarkStart w:id="19537" w:name="_Toc396229075"/>
      <w:bookmarkStart w:id="19538" w:name="_Toc396230422"/>
      <w:bookmarkStart w:id="19539" w:name="_Toc396230717"/>
      <w:bookmarkStart w:id="19540" w:name="_Toc396231859"/>
      <w:bookmarkStart w:id="19541" w:name="_Toc396233202"/>
      <w:bookmarkStart w:id="19542" w:name="_Toc396233499"/>
      <w:bookmarkStart w:id="19543" w:name="_Toc396234022"/>
      <w:bookmarkStart w:id="19544" w:name="_Toc396234319"/>
      <w:bookmarkStart w:id="19545" w:name="_Toc396234432"/>
      <w:bookmarkStart w:id="19546" w:name="_Toc396236166"/>
      <w:bookmarkStart w:id="19547" w:name="_Toc396235944"/>
      <w:bookmarkStart w:id="19548" w:name="_Toc396236554"/>
      <w:bookmarkStart w:id="19549" w:name="_Toc396237073"/>
      <w:bookmarkStart w:id="19550" w:name="_Toc396397416"/>
      <w:bookmarkStart w:id="19551" w:name="_Toc396304597"/>
      <w:bookmarkStart w:id="19552" w:name="_Toc396586132"/>
      <w:bookmarkStart w:id="19553" w:name="_Toc396815153"/>
      <w:bookmarkStart w:id="19554" w:name="_Toc396821102"/>
      <w:bookmarkStart w:id="19555" w:name="_Toc396821710"/>
      <w:bookmarkStart w:id="19556" w:name="_Toc396827560"/>
      <w:bookmarkStart w:id="19557" w:name="_Toc396828531"/>
      <w:bookmarkStart w:id="19558" w:name="_Toc396828641"/>
      <w:bookmarkStart w:id="19559" w:name="_Toc396838030"/>
      <w:bookmarkStart w:id="19560" w:name="_Toc396838428"/>
      <w:bookmarkStart w:id="19561" w:name="_Toc396904751"/>
      <w:bookmarkStart w:id="19562" w:name="_Toc396907585"/>
      <w:bookmarkStart w:id="19563" w:name="_Toc396912504"/>
      <w:bookmarkStart w:id="19564" w:name="_Toc396914484"/>
      <w:bookmarkStart w:id="19565" w:name="_Toc396915368"/>
      <w:bookmarkStart w:id="19566" w:name="_Toc396915762"/>
      <w:bookmarkStart w:id="19567" w:name="_Toc396921073"/>
      <w:bookmarkStart w:id="19568" w:name="_Toc396924413"/>
      <w:bookmarkStart w:id="19569" w:name="_Toc396925107"/>
      <w:bookmarkStart w:id="19570" w:name="_Toc396992227"/>
      <w:bookmarkStart w:id="19571" w:name="_Toc396992806"/>
      <w:bookmarkStart w:id="19572" w:name="_Toc396994470"/>
      <w:bookmarkStart w:id="19573" w:name="_Toc397002241"/>
      <w:bookmarkStart w:id="19574" w:name="_Toc397003160"/>
      <w:bookmarkStart w:id="19575" w:name="_Toc397008718"/>
      <w:bookmarkStart w:id="19576" w:name="_Toc397008936"/>
      <w:bookmarkStart w:id="19577" w:name="_Toc397011608"/>
      <w:bookmarkStart w:id="19578" w:name="_Toc397012670"/>
      <w:bookmarkStart w:id="19579" w:name="_Toc397015012"/>
      <w:bookmarkStart w:id="19580" w:name="_Toc397015499"/>
      <w:bookmarkStart w:id="19581" w:name="_Toc397070569"/>
      <w:bookmarkStart w:id="19582" w:name="_Toc397413310"/>
      <w:bookmarkStart w:id="19583" w:name="_Toc397413457"/>
      <w:bookmarkStart w:id="19584" w:name="_Toc397428040"/>
      <w:bookmarkStart w:id="19585" w:name="_Toc397439428"/>
      <w:bookmarkStart w:id="19586" w:name="_Toc397439598"/>
      <w:bookmarkStart w:id="19587" w:name="_Toc397439854"/>
      <w:bookmarkStart w:id="19588" w:name="_Toc397440156"/>
      <w:bookmarkStart w:id="19589" w:name="_Toc397441785"/>
      <w:bookmarkStart w:id="19590" w:name="_Toc397517487"/>
      <w:bookmarkStart w:id="19591" w:name="_Toc397522752"/>
      <w:bookmarkStart w:id="19592" w:name="_Toc397526170"/>
      <w:bookmarkStart w:id="19593" w:name="_Toc397528485"/>
      <w:bookmarkStart w:id="19594" w:name="_Toc397528960"/>
      <w:bookmarkStart w:id="19595" w:name="_Toc397601957"/>
      <w:bookmarkStart w:id="19596" w:name="_Toc397602692"/>
      <w:bookmarkStart w:id="19597" w:name="_Toc397605821"/>
      <w:bookmarkStart w:id="19598" w:name="_Toc397614522"/>
      <w:bookmarkStart w:id="19599" w:name="_Toc397614965"/>
      <w:bookmarkStart w:id="19600" w:name="_Toc397616408"/>
      <w:bookmarkStart w:id="19601" w:name="_Toc397616802"/>
      <w:bookmarkStart w:id="19602" w:name="_Toc397688100"/>
      <w:bookmarkStart w:id="19603" w:name="_Toc397689316"/>
      <w:bookmarkStart w:id="19604" w:name="_Toc397694596"/>
      <w:bookmarkStart w:id="19605" w:name="_Toc397696437"/>
      <w:bookmarkStart w:id="19606" w:name="_Toc397697171"/>
      <w:bookmarkStart w:id="19607" w:name="_Toc397698458"/>
      <w:bookmarkStart w:id="19608" w:name="_Toc397699824"/>
      <w:bookmarkStart w:id="19609" w:name="_Toc397700278"/>
      <w:bookmarkStart w:id="19610" w:name="_Toc397936670"/>
      <w:bookmarkStart w:id="19611" w:name="_Toc397936790"/>
      <w:bookmarkStart w:id="19612" w:name="_Toc397945946"/>
      <w:bookmarkStart w:id="19613" w:name="_Toc397946972"/>
      <w:bookmarkStart w:id="19614" w:name="_Toc397948091"/>
      <w:bookmarkStart w:id="19615" w:name="_Toc397958497"/>
      <w:bookmarkStart w:id="19616" w:name="_Toc397958739"/>
      <w:bookmarkStart w:id="19617" w:name="_Toc397959154"/>
      <w:bookmarkStart w:id="19618" w:name="_Toc397963007"/>
      <w:bookmarkStart w:id="19619" w:name="_Toc397963373"/>
      <w:bookmarkStart w:id="19620" w:name="_Toc397965450"/>
      <w:bookmarkStart w:id="19621" w:name="_Toc398197388"/>
      <w:bookmarkStart w:id="19622" w:name="_Toc398199891"/>
      <w:bookmarkStart w:id="19623" w:name="_Toc398201605"/>
      <w:bookmarkStart w:id="19624" w:name="_Toc398207210"/>
      <w:bookmarkStart w:id="19625" w:name="_Toc398210483"/>
      <w:bookmarkStart w:id="19626" w:name="_Toc398210997"/>
      <w:bookmarkStart w:id="19627" w:name="_Toc398219805"/>
      <w:bookmarkStart w:id="19628" w:name="_Toc398220180"/>
      <w:bookmarkStart w:id="19629" w:name="_Toc398220567"/>
      <w:bookmarkStart w:id="19630" w:name="_Toc398221645"/>
      <w:bookmarkStart w:id="19631" w:name="_Toc398222331"/>
      <w:bookmarkStart w:id="19632" w:name="_Toc398222643"/>
      <w:bookmarkStart w:id="19633" w:name="_Toc398223060"/>
      <w:bookmarkStart w:id="19634" w:name="_Toc398223439"/>
      <w:bookmarkStart w:id="19635" w:name="_Toc398223566"/>
      <w:bookmarkStart w:id="19636" w:name="_Toc398224374"/>
      <w:bookmarkStart w:id="19637" w:name="_Toc398225711"/>
      <w:bookmarkStart w:id="19638" w:name="_Toc398225836"/>
      <w:bookmarkStart w:id="19639" w:name="_Toc398281323"/>
      <w:bookmarkStart w:id="19640" w:name="_Toc398282182"/>
      <w:bookmarkStart w:id="19641" w:name="_Toc398284852"/>
      <w:bookmarkStart w:id="19642" w:name="_Toc398287321"/>
      <w:bookmarkStart w:id="19643" w:name="_Toc398289204"/>
      <w:bookmarkStart w:id="19644" w:name="_Toc398297201"/>
      <w:bookmarkStart w:id="19645" w:name="_Toc398298675"/>
      <w:bookmarkStart w:id="19646" w:name="_Toc398300376"/>
      <w:bookmarkStart w:id="19647" w:name="_Toc398301273"/>
      <w:bookmarkStart w:id="19648" w:name="_Toc398302458"/>
      <w:bookmarkStart w:id="19649" w:name="_Toc398302621"/>
      <w:bookmarkStart w:id="19650" w:name="_Toc398549135"/>
      <w:bookmarkStart w:id="19651" w:name="_Toc398549385"/>
      <w:bookmarkStart w:id="19652" w:name="_Toc398555804"/>
      <w:bookmarkStart w:id="19653" w:name="_Toc398559008"/>
      <w:bookmarkStart w:id="19654" w:name="_Toc398563494"/>
      <w:bookmarkStart w:id="19655" w:name="_Toc398563627"/>
      <w:bookmarkStart w:id="19656" w:name="_Toc398564026"/>
      <w:bookmarkStart w:id="19657" w:name="_Toc398827364"/>
      <w:bookmarkStart w:id="19658" w:name="_Toc398827558"/>
      <w:bookmarkStart w:id="19659" w:name="s812"/>
      <w:r w:rsidRPr="008625DC">
        <w:rPr>
          <w:lang w:val="en-AU"/>
        </w:rPr>
        <w:t>A</w:t>
      </w:r>
      <w:bookmarkEnd w:id="19474"/>
      <w:bookmarkEnd w:id="19475"/>
      <w:r w:rsidRPr="008625DC">
        <w:rPr>
          <w:lang w:val="en-AU"/>
        </w:rPr>
        <w:t>ir</w:t>
      </w:r>
      <w:bookmarkEnd w:id="19476"/>
      <w:r w:rsidR="002F31D6" w:rsidRPr="008625DC">
        <w:rPr>
          <w:lang w:val="en-AU"/>
        </w:rPr>
        <w:t xml:space="preserve"> service r</w:t>
      </w:r>
      <w:r w:rsidR="00A4275A" w:rsidRPr="008625DC">
        <w:rPr>
          <w:lang w:val="en-AU"/>
        </w:rPr>
        <w:t>estrictions</w:t>
      </w:r>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p>
    <w:bookmarkEnd w:id="19659"/>
    <w:p w14:paraId="767F55F0" w14:textId="41BBE7FB" w:rsidR="000360EE" w:rsidRPr="008625DC" w:rsidRDefault="00AB2C8C" w:rsidP="00AB2C8C">
      <w:r w:rsidRPr="008625DC">
        <w:t>International air services to and from Australia are regulated by air service agreements</w:t>
      </w:r>
      <w:r w:rsidR="00B81F86" w:rsidRPr="008625DC">
        <w:t>.</w:t>
      </w:r>
      <w:r w:rsidR="00787DCF" w:rsidRPr="008625DC">
        <w:t xml:space="preserve"> </w:t>
      </w:r>
      <w:r w:rsidR="00B81F86" w:rsidRPr="008625DC">
        <w:t xml:space="preserve">These </w:t>
      </w:r>
      <w:r w:rsidRPr="008625DC">
        <w:t xml:space="preserve">follow the processes set out under </w:t>
      </w:r>
      <w:r w:rsidRPr="008625DC">
        <w:rPr>
          <w:szCs w:val="24"/>
        </w:rPr>
        <w:t xml:space="preserve">the 1944 </w:t>
      </w:r>
      <w:r w:rsidRPr="008625DC">
        <w:rPr>
          <w:bCs/>
          <w:kern w:val="36"/>
          <w:szCs w:val="24"/>
        </w:rPr>
        <w:t>Chicago Convention on International Civil Aviation</w:t>
      </w:r>
      <w:r w:rsidR="00B81F86" w:rsidRPr="008625DC">
        <w:rPr>
          <w:bCs/>
          <w:kern w:val="36"/>
          <w:szCs w:val="24"/>
        </w:rPr>
        <w:t xml:space="preserve"> and they</w:t>
      </w:r>
      <w:r w:rsidR="000360EE" w:rsidRPr="008625DC">
        <w:rPr>
          <w:bCs/>
          <w:kern w:val="36"/>
          <w:szCs w:val="24"/>
        </w:rPr>
        <w:t xml:space="preserve"> </w:t>
      </w:r>
      <w:r w:rsidRPr="008625DC">
        <w:t>restrict airlines to operating within agreements developed by countries on a bilateral basis.</w:t>
      </w:r>
      <w:r w:rsidRPr="008625DC">
        <w:rPr>
          <w:rStyle w:val="FootnoteReference"/>
        </w:rPr>
        <w:footnoteReference w:id="131"/>
      </w:r>
      <w:r w:rsidR="00787DCF" w:rsidRPr="008625DC">
        <w:t xml:space="preserve"> </w:t>
      </w:r>
    </w:p>
    <w:p w14:paraId="52A285C4" w14:textId="05AB108E" w:rsidR="00AB2C8C" w:rsidRPr="008625DC" w:rsidRDefault="00AB2C8C" w:rsidP="00AB2C8C">
      <w:r w:rsidRPr="008625DC">
        <w:t xml:space="preserve">Air service agreements amount to an agreement with another country </w:t>
      </w:r>
      <w:r w:rsidR="00BE054F" w:rsidRPr="008625DC">
        <w:t>regarding</w:t>
      </w:r>
      <w:r w:rsidRPr="008625DC">
        <w:t xml:space="preserve"> which airlines can service a particular route</w:t>
      </w:r>
      <w:r w:rsidR="00BE054F" w:rsidRPr="008625DC">
        <w:t>.</w:t>
      </w:r>
      <w:r w:rsidR="000360EE" w:rsidRPr="008625DC">
        <w:t xml:space="preserve"> </w:t>
      </w:r>
      <w:r w:rsidR="00BE054F" w:rsidRPr="008625DC">
        <w:t>T</w:t>
      </w:r>
      <w:r w:rsidR="000360EE" w:rsidRPr="008625DC">
        <w:t>he</w:t>
      </w:r>
      <w:r w:rsidR="00BE054F" w:rsidRPr="008625DC">
        <w:t>y</w:t>
      </w:r>
      <w:r w:rsidR="000360EE" w:rsidRPr="008625DC">
        <w:t xml:space="preserve"> have the effect of </w:t>
      </w:r>
      <w:r w:rsidR="00BE054F" w:rsidRPr="008625DC">
        <w:t>constraining</w:t>
      </w:r>
      <w:r w:rsidR="000360EE" w:rsidRPr="008625DC">
        <w:t xml:space="preserve"> how responsive producers can be to consumer demand</w:t>
      </w:r>
      <w:r w:rsidRPr="008625DC">
        <w:t xml:space="preserve">. </w:t>
      </w:r>
    </w:p>
    <w:p w14:paraId="3FF28732" w14:textId="64FE6DD8" w:rsidR="00AB2C8C" w:rsidRPr="008625DC" w:rsidRDefault="00AB2C8C" w:rsidP="00AB2C8C">
      <w:r w:rsidRPr="008625DC">
        <w:t>Complexity is added given other countries</w:t>
      </w:r>
      <w:r w:rsidR="00C74E19" w:rsidRPr="008625DC">
        <w:t>’</w:t>
      </w:r>
      <w:r w:rsidRPr="008625DC">
        <w:t xml:space="preserve"> need to negotiate </w:t>
      </w:r>
      <w:r w:rsidR="00C74E19" w:rsidRPr="008625DC">
        <w:t>‘</w:t>
      </w:r>
      <w:r w:rsidRPr="008625DC">
        <w:t>beyond rights</w:t>
      </w:r>
      <w:r w:rsidR="00C74E19" w:rsidRPr="008625DC">
        <w:t>’</w:t>
      </w:r>
      <w:r w:rsidRPr="008625DC">
        <w:t>.</w:t>
      </w:r>
      <w:r w:rsidR="00787DCF" w:rsidRPr="008625DC">
        <w:t xml:space="preserve"> </w:t>
      </w:r>
      <w:r w:rsidRPr="008625DC">
        <w:t xml:space="preserve">For example, for Qantas to fly to London via Dubai, Australia needs the United Arab Emirates to negotiate </w:t>
      </w:r>
      <w:r w:rsidR="00C74E19" w:rsidRPr="008625DC">
        <w:t>‘</w:t>
      </w:r>
      <w:r w:rsidRPr="008625DC">
        <w:t>beyond rights</w:t>
      </w:r>
      <w:r w:rsidR="00C74E19" w:rsidRPr="008625DC">
        <w:t>’</w:t>
      </w:r>
      <w:r w:rsidRPr="008625DC">
        <w:t xml:space="preserve"> on behalf of Qantas with the UK.</w:t>
      </w:r>
      <w:r w:rsidR="00787DCF" w:rsidRPr="008625DC">
        <w:t xml:space="preserve"> </w:t>
      </w:r>
      <w:r w:rsidRPr="008625DC">
        <w:t xml:space="preserve">Australia therefore uses air service agreements, as do other countries, as a negotiating chip to obtain </w:t>
      </w:r>
      <w:r w:rsidR="00C74E19" w:rsidRPr="008625DC">
        <w:t>‘</w:t>
      </w:r>
      <w:r w:rsidRPr="008625DC">
        <w:t>beyond rights</w:t>
      </w:r>
      <w:r w:rsidR="00C74E19" w:rsidRPr="008625DC">
        <w:t>’</w:t>
      </w:r>
      <w:r w:rsidRPr="008625DC">
        <w:t xml:space="preserve"> for Australian flagged carriers in exchange for access to the Australian market.</w:t>
      </w:r>
    </w:p>
    <w:p w14:paraId="79AF55B0" w14:textId="71B5F8A0" w:rsidR="000360EE" w:rsidRPr="008625DC" w:rsidRDefault="00AB2C8C" w:rsidP="00AB2C8C">
      <w:r w:rsidRPr="008625DC">
        <w:lastRenderedPageBreak/>
        <w:t>An Australian carrier granted an allocation of capacity must be designated by Australia before it is able to operate an international air service.</w:t>
      </w:r>
      <w:r w:rsidR="00787DCF" w:rsidRPr="008625DC">
        <w:t xml:space="preserve"> </w:t>
      </w:r>
      <w:r w:rsidRPr="008625DC">
        <w:t xml:space="preserve">As a result, air service agreements act to regulate capacity and who can service particular international air </w:t>
      </w:r>
      <w:r w:rsidR="007E29A2" w:rsidRPr="008625DC">
        <w:t>route</w:t>
      </w:r>
      <w:r w:rsidR="00BE054F" w:rsidRPr="008625DC">
        <w:t>s</w:t>
      </w:r>
      <w:r w:rsidR="007E29A2" w:rsidRPr="008625DC">
        <w:t>. This has</w:t>
      </w:r>
      <w:r w:rsidRPr="008625DC">
        <w:t xml:space="preserve"> been thought to raise prices on some routes.</w:t>
      </w:r>
      <w:r w:rsidR="00787DCF" w:rsidRPr="008625DC">
        <w:t xml:space="preserve"> </w:t>
      </w:r>
      <w:r w:rsidR="00894D97" w:rsidRPr="008625DC">
        <w:t>As a consequence</w:t>
      </w:r>
      <w:r w:rsidR="00BE054F" w:rsidRPr="008625DC">
        <w:t>,</w:t>
      </w:r>
      <w:r w:rsidR="00894D97" w:rsidRPr="008625DC">
        <w:t xml:space="preserve"> some air service agreements</w:t>
      </w:r>
      <w:r w:rsidR="00787DCF" w:rsidRPr="008625DC">
        <w:t xml:space="preserve"> </w:t>
      </w:r>
      <w:r w:rsidR="00894D97" w:rsidRPr="008625DC">
        <w:t>may protect Australian carriers from competition or act as barriers to new carriers entering particular markets.</w:t>
      </w:r>
    </w:p>
    <w:p w14:paraId="56395E95" w14:textId="132FDF37" w:rsidR="00AB2C8C" w:rsidRPr="008625DC" w:rsidRDefault="00AB2C8C" w:rsidP="00AB2C8C">
      <w:r w:rsidRPr="008625DC">
        <w:t>Other parts of the world have moved to a less regulated approach.</w:t>
      </w:r>
      <w:r w:rsidR="00787DCF" w:rsidRPr="008625DC">
        <w:t xml:space="preserve"> </w:t>
      </w:r>
      <w:r w:rsidRPr="008625DC">
        <w:t xml:space="preserve">For example, within Europe international air services effectively operate under an </w:t>
      </w:r>
      <w:r w:rsidR="00C74E19" w:rsidRPr="008625DC">
        <w:t>‘</w:t>
      </w:r>
      <w:r w:rsidRPr="008625DC">
        <w:t>open skies policy</w:t>
      </w:r>
      <w:r w:rsidR="00C74E19" w:rsidRPr="008625DC">
        <w:t>’</w:t>
      </w:r>
      <w:r w:rsidRPr="008625DC">
        <w:t>.</w:t>
      </w:r>
    </w:p>
    <w:p w14:paraId="002867D1" w14:textId="4454ED2B" w:rsidR="000360EE" w:rsidRPr="008625DC" w:rsidRDefault="00AB2C8C" w:rsidP="00AB2C8C">
      <w:r w:rsidRPr="008625DC">
        <w:t xml:space="preserve">Australia has a policy of seeking </w:t>
      </w:r>
      <w:r w:rsidR="00C74E19" w:rsidRPr="008625DC">
        <w:t>‘</w:t>
      </w:r>
      <w:r w:rsidRPr="008625DC">
        <w:t>open skies</w:t>
      </w:r>
      <w:r w:rsidR="00C74E19" w:rsidRPr="008625DC">
        <w:t>’</w:t>
      </w:r>
      <w:r w:rsidRPr="008625DC">
        <w:t xml:space="preserve"> on a bilateral basis, an example being the agreement with New Zealand.</w:t>
      </w:r>
      <w:r w:rsidRPr="008625DC">
        <w:rPr>
          <w:rStyle w:val="FootnoteReference"/>
        </w:rPr>
        <w:footnoteReference w:id="132"/>
      </w:r>
      <w:r w:rsidR="00787DCF" w:rsidRPr="008625DC">
        <w:t xml:space="preserve"> </w:t>
      </w:r>
    </w:p>
    <w:p w14:paraId="71EE56AA" w14:textId="516C86AF" w:rsidR="00AB2C8C" w:rsidRPr="008625DC" w:rsidRDefault="00AB2C8C" w:rsidP="00AB2C8C">
      <w:r w:rsidRPr="008625DC">
        <w:t xml:space="preserve">Unilaterally allowing open skies to Australia would severely disadvantage Australian airlines, </w:t>
      </w:r>
      <w:r w:rsidR="00E70B70" w:rsidRPr="008625DC">
        <w:t>so long as</w:t>
      </w:r>
      <w:r w:rsidRPr="008625DC">
        <w:t xml:space="preserve"> the bilateral system remains entrenched in the rest of the world.</w:t>
      </w:r>
      <w:r w:rsidRPr="008625DC">
        <w:rPr>
          <w:rStyle w:val="FootnoteReference"/>
        </w:rPr>
        <w:footnoteReference w:id="133"/>
      </w:r>
    </w:p>
    <w:p w14:paraId="5F7F9E1C" w14:textId="50215373" w:rsidR="00AB2C8C" w:rsidRPr="008625DC" w:rsidRDefault="00AB2C8C" w:rsidP="007104F1">
      <w:pPr>
        <w:spacing w:after="120"/>
      </w:pPr>
      <w:r w:rsidRPr="008625DC">
        <w:t>Sydney Airport Corporation consider</w:t>
      </w:r>
      <w:r w:rsidR="00E70B70" w:rsidRPr="008625DC">
        <w:t>s</w:t>
      </w:r>
      <w:r w:rsidRPr="008625DC">
        <w:t xml:space="preserve"> that air service agreements may act as a restriction </w:t>
      </w:r>
      <w:r w:rsidR="0075608C" w:rsidRPr="008625DC">
        <w:t>on</w:t>
      </w:r>
      <w:r w:rsidRPr="008625DC">
        <w:t xml:space="preserve"> competition from foreign carriers in the air services market with broader economic implications:</w:t>
      </w:r>
    </w:p>
    <w:p w14:paraId="3DE176A8" w14:textId="59ADC067" w:rsidR="00AB2C8C" w:rsidRPr="008625DC" w:rsidRDefault="00AB2C8C" w:rsidP="00AB2C8C">
      <w:pPr>
        <w:pStyle w:val="Quotes"/>
      </w:pPr>
      <w:r w:rsidRPr="008625DC">
        <w:t>Delays in bilateral capacity negotiations, which are running behind demand in many key growth markets, restrict the level of competition in the market from foreign carriers, preventing travellers from accessing Australia in the most efficient and cost effective manner.</w:t>
      </w:r>
      <w:r w:rsidR="00787DCF" w:rsidRPr="008625DC">
        <w:t xml:space="preserve"> </w:t>
      </w:r>
      <w:r w:rsidRPr="008625DC">
        <w:t>These delays also risk economic and tourism growth, which is highly reliant on inbound international visitation. (</w:t>
      </w:r>
      <w:proofErr w:type="gramStart"/>
      <w:r w:rsidRPr="008625DC">
        <w:t>p</w:t>
      </w:r>
      <w:r w:rsidR="007104F1" w:rsidRPr="008625DC">
        <w:t>age</w:t>
      </w:r>
      <w:proofErr w:type="gramEnd"/>
      <w:r w:rsidRPr="008625DC">
        <w:t xml:space="preserve"> 5)</w:t>
      </w:r>
    </w:p>
    <w:p w14:paraId="0D91E6BF" w14:textId="0A24CE8B" w:rsidR="00AB2C8C" w:rsidRPr="008625DC" w:rsidRDefault="00AB2C8C" w:rsidP="007104F1">
      <w:pPr>
        <w:spacing w:after="120"/>
      </w:pPr>
      <w:r w:rsidRPr="008625DC">
        <w:t>Similarly the Australian Airports Association note</w:t>
      </w:r>
      <w:r w:rsidR="00E70B70" w:rsidRPr="008625DC">
        <w:t>s</w:t>
      </w:r>
      <w:r w:rsidRPr="008625DC">
        <w:t xml:space="preserve"> that:</w:t>
      </w:r>
    </w:p>
    <w:p w14:paraId="314DED74" w14:textId="1F39CE5D" w:rsidR="00AB2C8C" w:rsidRPr="008625DC" w:rsidRDefault="00AB2C8C" w:rsidP="00AB2C8C">
      <w:pPr>
        <w:pStyle w:val="Quotes"/>
      </w:pPr>
      <w:r w:rsidRPr="008625DC">
        <w:t>Bilateral Government</w:t>
      </w:r>
      <w:r w:rsidR="00C74E19" w:rsidRPr="008625DC">
        <w:noBreakHyphen/>
      </w:r>
      <w:r w:rsidRPr="008625DC">
        <w:t>to</w:t>
      </w:r>
      <w:r w:rsidR="00C74E19" w:rsidRPr="008625DC">
        <w:noBreakHyphen/>
      </w:r>
      <w:r w:rsidRPr="008625DC">
        <w:t>Government air traffic agreements inhibit large airports from competing with overseas airports. (</w:t>
      </w:r>
      <w:proofErr w:type="gramStart"/>
      <w:r w:rsidRPr="008625DC">
        <w:t>p</w:t>
      </w:r>
      <w:r w:rsidR="007104F1" w:rsidRPr="008625DC">
        <w:t>age</w:t>
      </w:r>
      <w:proofErr w:type="gramEnd"/>
      <w:r w:rsidRPr="008625DC">
        <w:t xml:space="preserve"> 2)</w:t>
      </w:r>
    </w:p>
    <w:p w14:paraId="159B3A3C" w14:textId="64BDDAAD" w:rsidR="00AB2C8C" w:rsidRPr="008625DC" w:rsidRDefault="00AB2C8C" w:rsidP="00777DB9">
      <w:r w:rsidRPr="008625DC">
        <w:t xml:space="preserve">In </w:t>
      </w:r>
      <w:r w:rsidR="00E70B70" w:rsidRPr="008625DC">
        <w:t>respect</w:t>
      </w:r>
      <w:r w:rsidRPr="008625DC">
        <w:t xml:space="preserve"> of domestic restrictions, </w:t>
      </w:r>
      <w:r w:rsidR="0046149D" w:rsidRPr="008625DC">
        <w:t>S</w:t>
      </w:r>
      <w:r w:rsidRPr="008625DC">
        <w:t>tate governments sometimes provide exclusive rights for regional operators to operate on particular routes.</w:t>
      </w:r>
      <w:r w:rsidR="00787DCF" w:rsidRPr="008625DC">
        <w:t xml:space="preserve"> </w:t>
      </w:r>
      <w:r w:rsidRPr="008625DC">
        <w:t xml:space="preserve">Ostensibly, exclusivity is provided in order to guarantee service as it gives the operator confidence that it can run the route profitably. Regional routes are often very </w:t>
      </w:r>
      <w:r w:rsidR="00E70B70" w:rsidRPr="008625DC">
        <w:t>lightly patronised, hence supporting</w:t>
      </w:r>
      <w:r w:rsidRPr="008625DC">
        <w:t xml:space="preserve"> only one operator, i.e. they are natural monopolies. While it might be reasonable in these circumstances to restrict competition in order to guarantee a stable service, exclusive rights create the potential for monopoly pricing.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AB2C8C" w:rsidRPr="008625DC" w14:paraId="7790B33D" w14:textId="77777777" w:rsidTr="008E441C">
        <w:tc>
          <w:tcPr>
            <w:tcW w:w="5000" w:type="pct"/>
            <w:shd w:val="clear" w:color="auto" w:fill="FFFFFF" w:themeFill="background1"/>
          </w:tcPr>
          <w:p w14:paraId="7F15C105" w14:textId="0195DEB4" w:rsidR="00AB2C8C" w:rsidRPr="008625DC" w:rsidRDefault="00AB2C8C" w:rsidP="008E441C">
            <w:pPr>
              <w:pStyle w:val="Keyfindingheading"/>
            </w:pPr>
            <w:r w:rsidRPr="008625DC">
              <w:lastRenderedPageBreak/>
              <w:t>The Panel</w:t>
            </w:r>
            <w:r w:rsidR="00C74E19" w:rsidRPr="008625DC">
              <w:t>’</w:t>
            </w:r>
            <w:r w:rsidRPr="008625DC">
              <w:t>s view</w:t>
            </w:r>
          </w:p>
          <w:p w14:paraId="009AE9FC" w14:textId="60778E6B" w:rsidR="00AB2C8C" w:rsidRPr="008625DC" w:rsidRDefault="00AB2C8C" w:rsidP="008E441C">
            <w:pPr>
              <w:pStyle w:val="Keyfindingtext"/>
            </w:pPr>
            <w:bookmarkStart w:id="19660" w:name="_Toc395112063"/>
            <w:bookmarkStart w:id="19661" w:name="_Toc395107203"/>
            <w:bookmarkStart w:id="19662" w:name="_Toc395108766"/>
            <w:bookmarkStart w:id="19663" w:name="_Toc395114006"/>
            <w:bookmarkStart w:id="19664" w:name="_Toc395116743"/>
            <w:bookmarkStart w:id="19665" w:name="_Toc395112680"/>
            <w:bookmarkStart w:id="19666" w:name="_Toc395115220"/>
            <w:bookmarkStart w:id="19667" w:name="_Toc395118374"/>
            <w:bookmarkStart w:id="19668" w:name="_Toc395624567"/>
            <w:bookmarkStart w:id="19669" w:name="_Toc395789919"/>
            <w:bookmarkStart w:id="19670" w:name="_Toc395800676"/>
            <w:bookmarkStart w:id="19671" w:name="_Toc393985180"/>
            <w:bookmarkStart w:id="19672" w:name="_Toc393985683"/>
            <w:bookmarkStart w:id="19673" w:name="_Toc393986085"/>
            <w:bookmarkStart w:id="19674" w:name="_Toc393986488"/>
            <w:bookmarkStart w:id="19675" w:name="_Toc393988095"/>
            <w:bookmarkStart w:id="19676" w:name="_Toc393988497"/>
            <w:bookmarkStart w:id="19677" w:name="_Toc393989509"/>
            <w:bookmarkStart w:id="19678" w:name="_Toc393988898"/>
            <w:bookmarkStart w:id="19679" w:name="_Toc393990902"/>
            <w:bookmarkStart w:id="19680" w:name="_Toc393991884"/>
            <w:bookmarkStart w:id="19681" w:name="_Toc394047547"/>
            <w:bookmarkStart w:id="19682" w:name="_Toc394049823"/>
            <w:bookmarkStart w:id="19683" w:name="_Toc394051223"/>
            <w:bookmarkStart w:id="19684" w:name="_Toc394062212"/>
            <w:bookmarkStart w:id="19685" w:name="_Toc394069087"/>
            <w:bookmarkStart w:id="19686" w:name="_Toc394071005"/>
            <w:bookmarkStart w:id="19687" w:name="_Toc394312714"/>
            <w:bookmarkStart w:id="19688" w:name="_Toc394330693"/>
            <w:bookmarkStart w:id="19689" w:name="_Toc394330313"/>
            <w:bookmarkStart w:id="19690" w:name="_Toc394333285"/>
            <w:bookmarkStart w:id="19691" w:name="_Toc394332863"/>
            <w:bookmarkStart w:id="19692" w:name="_Toc394333698"/>
            <w:bookmarkStart w:id="19693" w:name="_Toc394334111"/>
            <w:bookmarkStart w:id="19694" w:name="_Toc394334937"/>
            <w:bookmarkStart w:id="19695" w:name="_Toc394415120"/>
            <w:bookmarkStart w:id="19696" w:name="_Toc394412425"/>
            <w:bookmarkStart w:id="19697" w:name="_Toc394420716"/>
            <w:bookmarkStart w:id="19698" w:name="_Toc394421190"/>
            <w:bookmarkStart w:id="19699" w:name="_Toc394423559"/>
            <w:bookmarkStart w:id="19700" w:name="_Toc394420493"/>
            <w:bookmarkStart w:id="19701" w:name="_Toc394422603"/>
            <w:bookmarkStart w:id="19702" w:name="_Toc394423074"/>
            <w:bookmarkStart w:id="19703" w:name="_Toc394424224"/>
            <w:bookmarkStart w:id="19704" w:name="_Toc394492057"/>
            <w:bookmarkStart w:id="19705" w:name="_Toc394495202"/>
            <w:bookmarkStart w:id="19706" w:name="_Toc394498017"/>
            <w:bookmarkStart w:id="19707" w:name="_Toc394500807"/>
            <w:bookmarkStart w:id="19708" w:name="_Toc394502209"/>
            <w:bookmarkStart w:id="19709" w:name="_Toc394503111"/>
            <w:bookmarkStart w:id="19710" w:name="_Toc394502655"/>
            <w:bookmarkStart w:id="19711" w:name="_Toc394505862"/>
            <w:bookmarkStart w:id="19712" w:name="_Toc394506321"/>
            <w:bookmarkStart w:id="19713" w:name="_Toc394506875"/>
            <w:bookmarkStart w:id="19714" w:name="_Toc394560948"/>
            <w:bookmarkStart w:id="19715" w:name="_Toc394561409"/>
            <w:bookmarkStart w:id="19716" w:name="_Toc394933840"/>
            <w:bookmarkStart w:id="19717" w:name="_Toc394938289"/>
            <w:bookmarkStart w:id="19718" w:name="_Toc394937569"/>
            <w:bookmarkStart w:id="19719" w:name="_Toc394941200"/>
            <w:bookmarkStart w:id="19720" w:name="_Toc394941816"/>
            <w:bookmarkStart w:id="19721" w:name="_Toc394940038"/>
            <w:bookmarkStart w:id="19722" w:name="_Toc394939648"/>
            <w:bookmarkStart w:id="19723" w:name="_Toc394993545"/>
            <w:bookmarkStart w:id="19724" w:name="_Toc394995426"/>
            <w:bookmarkStart w:id="19725" w:name="_Toc394995740"/>
            <w:bookmarkStart w:id="19726" w:name="_Toc394997985"/>
            <w:bookmarkStart w:id="19727" w:name="_Toc394998499"/>
            <w:bookmarkStart w:id="19728" w:name="_Toc395001478"/>
            <w:bookmarkStart w:id="19729" w:name="_Toc395001998"/>
            <w:bookmarkStart w:id="19730" w:name="_Toc395003352"/>
            <w:bookmarkStart w:id="19731" w:name="_Toc395005593"/>
            <w:bookmarkStart w:id="19732" w:name="_Toc395004718"/>
            <w:bookmarkStart w:id="19733" w:name="_Toc395007895"/>
            <w:bookmarkStart w:id="19734" w:name="_Toc395009587"/>
            <w:bookmarkStart w:id="19735" w:name="_Toc395008438"/>
            <w:bookmarkStart w:id="19736" w:name="_Toc395090428"/>
            <w:bookmarkStart w:id="19737" w:name="_Toc395093012"/>
            <w:bookmarkStart w:id="19738" w:name="_Toc395097923"/>
            <w:bookmarkStart w:id="19739" w:name="_Toc395110062"/>
            <w:r w:rsidRPr="008625DC">
              <w:t xml:space="preserve">The Panel considers that </w:t>
            </w:r>
            <w:bookmarkEnd w:id="19660"/>
            <w:bookmarkEnd w:id="19661"/>
            <w:bookmarkEnd w:id="19662"/>
            <w:bookmarkEnd w:id="19663"/>
            <w:bookmarkEnd w:id="19664"/>
            <w:bookmarkEnd w:id="19665"/>
            <w:bookmarkEnd w:id="19666"/>
            <w:bookmarkEnd w:id="19667"/>
            <w:bookmarkEnd w:id="19668"/>
            <w:bookmarkEnd w:id="19669"/>
            <w:bookmarkEnd w:id="19670"/>
            <w:r w:rsidR="00370907" w:rsidRPr="008625DC">
              <w:t>a</w:t>
            </w:r>
            <w:r w:rsidR="00894D97" w:rsidRPr="008625DC">
              <w:t>ir service agreements should not be used to protect Australian carriers from competition.</w:t>
            </w:r>
            <w:r w:rsidRPr="008625DC">
              <w:t xml:space="preserve"> </w:t>
            </w:r>
            <w:r w:rsidR="00370907" w:rsidRPr="008625DC">
              <w:t>Australia</w:t>
            </w:r>
            <w:r w:rsidR="00C74E19" w:rsidRPr="008625DC">
              <w:t>’</w:t>
            </w:r>
            <w:r w:rsidR="00370907" w:rsidRPr="008625DC">
              <w:t xml:space="preserve">s </w:t>
            </w:r>
            <w:r w:rsidR="00E70B70" w:rsidRPr="008625DC">
              <w:t xml:space="preserve">policy on </w:t>
            </w:r>
            <w:r w:rsidR="00645654" w:rsidRPr="008625DC">
              <w:t>a</w:t>
            </w:r>
            <w:r w:rsidR="00370907" w:rsidRPr="008625DC">
              <w:t xml:space="preserve">ir </w:t>
            </w:r>
            <w:r w:rsidR="00645654" w:rsidRPr="008625DC">
              <w:t>s</w:t>
            </w:r>
            <w:r w:rsidR="00370907" w:rsidRPr="008625DC">
              <w:t xml:space="preserve">ervice </w:t>
            </w:r>
            <w:r w:rsidR="00645654" w:rsidRPr="008625DC">
              <w:t>a</w:t>
            </w:r>
            <w:r w:rsidR="00370907" w:rsidRPr="008625DC">
              <w:t>greement</w:t>
            </w:r>
            <w:r w:rsidR="00E70B70" w:rsidRPr="008625DC">
              <w:t>s</w:t>
            </w:r>
            <w:r w:rsidR="00370907" w:rsidRPr="008625DC">
              <w:t xml:space="preserve"> should aim to ensure that there is sufficient capacity on all routes to all</w:t>
            </w:r>
            <w:r w:rsidR="00293EE0" w:rsidRPr="008625DC">
              <w:t>ow for demand growth. This will ensure that</w:t>
            </w:r>
            <w:r w:rsidR="00370907" w:rsidRPr="008625DC">
              <w:t xml:space="preserve"> agreements do n</w:t>
            </w:r>
            <w:r w:rsidR="00293EE0" w:rsidRPr="008625DC">
              <w:t>ot act as</w:t>
            </w:r>
            <w:r w:rsidR="00370907" w:rsidRPr="008625DC">
              <w:t xml:space="preserve"> barrier</w:t>
            </w:r>
            <w:r w:rsidR="00293EE0" w:rsidRPr="008625DC">
              <w:t>s</w:t>
            </w:r>
            <w:r w:rsidR="00370907" w:rsidRPr="008625DC">
              <w:t xml:space="preserve"> to entry in the provision of services to and from Australia.</w:t>
            </w:r>
          </w:p>
          <w:p w14:paraId="520F241D" w14:textId="37A25D9E" w:rsidR="00AB2C8C" w:rsidRPr="008625DC" w:rsidRDefault="00AB2C8C" w:rsidP="008E441C">
            <w:pPr>
              <w:pStyle w:val="Keyfindingtext"/>
            </w:pPr>
            <w:bookmarkStart w:id="19740" w:name="_Toc395112064"/>
            <w:bookmarkStart w:id="19741" w:name="_Toc395107204"/>
            <w:bookmarkStart w:id="19742" w:name="_Toc395108767"/>
            <w:bookmarkStart w:id="19743" w:name="_Toc395114007"/>
            <w:bookmarkStart w:id="19744" w:name="_Toc395116744"/>
            <w:bookmarkStart w:id="19745" w:name="_Toc395112681"/>
            <w:bookmarkStart w:id="19746" w:name="_Toc395115221"/>
            <w:bookmarkStart w:id="19747" w:name="_Toc395118375"/>
            <w:bookmarkStart w:id="19748" w:name="_Toc395624568"/>
            <w:bookmarkStart w:id="19749" w:name="_Toc395789920"/>
            <w:bookmarkStart w:id="19750" w:name="_Toc395800677"/>
            <w:r w:rsidRPr="008625DC">
              <w:t xml:space="preserve">Where </w:t>
            </w:r>
            <w:r w:rsidR="00370907" w:rsidRPr="008625DC">
              <w:t>air service a</w:t>
            </w:r>
            <w:r w:rsidRPr="008625DC">
              <w:t xml:space="preserve">greements act to restrict capacity, the costs will be borne by travellers through higher prices and fewer options, and by the economy more broadly, for example, though lower tourism growth. </w:t>
            </w:r>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p>
          <w:p w14:paraId="29E955E3" w14:textId="3941C72F" w:rsidR="00AB2C8C" w:rsidRPr="008625DC" w:rsidRDefault="00AB2C8C" w:rsidP="008E441C">
            <w:pPr>
              <w:pStyle w:val="Keyfindingtext"/>
            </w:pPr>
            <w:bookmarkStart w:id="19751" w:name="_Toc393985181"/>
            <w:bookmarkStart w:id="19752" w:name="_Toc393985684"/>
            <w:bookmarkStart w:id="19753" w:name="_Toc393986086"/>
            <w:bookmarkStart w:id="19754" w:name="_Toc393986489"/>
            <w:bookmarkStart w:id="19755" w:name="_Toc393988096"/>
            <w:bookmarkStart w:id="19756" w:name="_Toc393988498"/>
            <w:bookmarkStart w:id="19757" w:name="_Toc393989510"/>
            <w:bookmarkStart w:id="19758" w:name="_Toc393988899"/>
            <w:bookmarkStart w:id="19759" w:name="_Toc393990903"/>
            <w:bookmarkStart w:id="19760" w:name="_Toc393991885"/>
            <w:bookmarkStart w:id="19761" w:name="_Toc394047548"/>
            <w:bookmarkStart w:id="19762" w:name="_Toc394049824"/>
            <w:bookmarkStart w:id="19763" w:name="_Toc394051224"/>
            <w:bookmarkStart w:id="19764" w:name="_Toc394062213"/>
            <w:bookmarkStart w:id="19765" w:name="_Toc394069088"/>
            <w:bookmarkStart w:id="19766" w:name="_Toc394071006"/>
            <w:bookmarkStart w:id="19767" w:name="_Toc394312715"/>
            <w:bookmarkStart w:id="19768" w:name="_Toc394330694"/>
            <w:bookmarkStart w:id="19769" w:name="_Toc394330314"/>
            <w:bookmarkStart w:id="19770" w:name="_Toc394333286"/>
            <w:bookmarkStart w:id="19771" w:name="_Toc394332864"/>
            <w:bookmarkStart w:id="19772" w:name="_Toc394333699"/>
            <w:bookmarkStart w:id="19773" w:name="_Toc394334112"/>
            <w:bookmarkStart w:id="19774" w:name="_Toc394334938"/>
            <w:bookmarkStart w:id="19775" w:name="_Toc394415121"/>
            <w:bookmarkStart w:id="19776" w:name="_Toc394412426"/>
            <w:bookmarkStart w:id="19777" w:name="_Toc394420717"/>
            <w:bookmarkStart w:id="19778" w:name="_Toc394421191"/>
            <w:bookmarkStart w:id="19779" w:name="_Toc394423560"/>
            <w:bookmarkStart w:id="19780" w:name="_Toc394420494"/>
            <w:bookmarkStart w:id="19781" w:name="_Toc394422604"/>
            <w:bookmarkStart w:id="19782" w:name="_Toc394423075"/>
            <w:bookmarkStart w:id="19783" w:name="_Toc394424225"/>
            <w:bookmarkStart w:id="19784" w:name="_Toc394492058"/>
            <w:bookmarkStart w:id="19785" w:name="_Toc394495203"/>
            <w:bookmarkStart w:id="19786" w:name="_Toc394498018"/>
            <w:bookmarkStart w:id="19787" w:name="_Toc394500808"/>
            <w:bookmarkStart w:id="19788" w:name="_Toc394502210"/>
            <w:bookmarkStart w:id="19789" w:name="_Toc394503112"/>
            <w:bookmarkStart w:id="19790" w:name="_Toc394502656"/>
            <w:bookmarkStart w:id="19791" w:name="_Toc394505863"/>
            <w:bookmarkStart w:id="19792" w:name="_Toc394506322"/>
            <w:bookmarkStart w:id="19793" w:name="_Toc394506876"/>
            <w:bookmarkStart w:id="19794" w:name="_Toc394560949"/>
            <w:bookmarkStart w:id="19795" w:name="_Toc394561410"/>
            <w:bookmarkStart w:id="19796" w:name="_Toc394933841"/>
            <w:bookmarkStart w:id="19797" w:name="_Toc394938290"/>
            <w:bookmarkStart w:id="19798" w:name="_Toc394937570"/>
            <w:bookmarkStart w:id="19799" w:name="_Toc394941201"/>
            <w:bookmarkStart w:id="19800" w:name="_Toc394941817"/>
            <w:bookmarkStart w:id="19801" w:name="_Toc394940039"/>
            <w:bookmarkStart w:id="19802" w:name="_Toc394939649"/>
            <w:bookmarkStart w:id="19803" w:name="_Toc394993546"/>
            <w:bookmarkStart w:id="19804" w:name="_Toc394995427"/>
            <w:bookmarkStart w:id="19805" w:name="_Toc394995741"/>
            <w:bookmarkStart w:id="19806" w:name="_Toc394997986"/>
            <w:bookmarkStart w:id="19807" w:name="_Toc394998500"/>
            <w:bookmarkStart w:id="19808" w:name="_Toc395001479"/>
            <w:bookmarkStart w:id="19809" w:name="_Toc395001999"/>
            <w:bookmarkStart w:id="19810" w:name="_Toc395003353"/>
            <w:bookmarkStart w:id="19811" w:name="_Toc395005594"/>
            <w:bookmarkStart w:id="19812" w:name="_Toc395004719"/>
            <w:bookmarkStart w:id="19813" w:name="_Toc395007896"/>
            <w:bookmarkStart w:id="19814" w:name="_Toc395009588"/>
            <w:bookmarkStart w:id="19815" w:name="_Toc395008439"/>
            <w:bookmarkStart w:id="19816" w:name="_Toc395090429"/>
            <w:bookmarkStart w:id="19817" w:name="_Toc395093013"/>
            <w:bookmarkStart w:id="19818" w:name="_Toc395097924"/>
            <w:bookmarkStart w:id="19819" w:name="_Toc395106095"/>
            <w:bookmarkStart w:id="19820" w:name="_Toc395110063"/>
            <w:bookmarkStart w:id="19821" w:name="_Toc395112065"/>
            <w:bookmarkStart w:id="19822" w:name="_Toc395107205"/>
            <w:bookmarkStart w:id="19823" w:name="_Toc395108768"/>
            <w:bookmarkStart w:id="19824" w:name="_Toc395114008"/>
            <w:bookmarkStart w:id="19825" w:name="_Toc395116745"/>
            <w:bookmarkStart w:id="19826" w:name="_Toc395112682"/>
            <w:bookmarkStart w:id="19827" w:name="_Toc395115222"/>
            <w:bookmarkStart w:id="19828" w:name="_Toc395118376"/>
            <w:bookmarkStart w:id="19829" w:name="_Toc395624569"/>
            <w:bookmarkStart w:id="19830" w:name="_Toc395789921"/>
            <w:bookmarkStart w:id="19831" w:name="_Toc395800678"/>
            <w:r w:rsidRPr="008625DC">
              <w:t>Governments should only create exclusive rights for regional services where it is clear that the air route will only support a single operator.</w:t>
            </w:r>
            <w:r w:rsidR="00787DCF" w:rsidRPr="008625DC">
              <w:t xml:space="preserve"> </w:t>
            </w:r>
            <w:r w:rsidRPr="008625DC">
              <w:t xml:space="preserve">Where exclusive rights are created </w:t>
            </w:r>
            <w:r w:rsidR="00A4275A" w:rsidRPr="008625DC">
              <w:t>they should be subject to competitive tender. Alternatively, prices oversight</w:t>
            </w:r>
            <w:r w:rsidRPr="008625DC">
              <w:t xml:space="preserve"> may be </w:t>
            </w:r>
            <w:r w:rsidR="00A4275A" w:rsidRPr="008625DC">
              <w:t>appropriate</w:t>
            </w:r>
            <w:r w:rsidRPr="008625DC">
              <w:t>.</w:t>
            </w:r>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p>
        </w:tc>
      </w:tr>
    </w:tbl>
    <w:p w14:paraId="0356EB2F" w14:textId="77777777" w:rsidR="000653E5" w:rsidRPr="008625DC" w:rsidRDefault="000653E5" w:rsidP="00777DB9">
      <w:pPr>
        <w:pStyle w:val="SingleParagraph"/>
      </w:pPr>
    </w:p>
    <w:p w14:paraId="0575B0AC" w14:textId="77777777" w:rsidR="0066306D" w:rsidRPr="008625DC" w:rsidRDefault="0066306D">
      <w:pPr>
        <w:spacing w:before="0" w:after="0"/>
        <w:rPr>
          <w:rFonts w:ascii="Calibri" w:hAnsi="Calibri" w:cs="Arial"/>
          <w:bCs/>
          <w:smallCaps/>
          <w:color w:val="009976"/>
          <w:kern w:val="32"/>
          <w:sz w:val="40"/>
          <w:szCs w:val="36"/>
        </w:rPr>
      </w:pPr>
      <w:bookmarkStart w:id="19832" w:name="_Toc396828532"/>
      <w:bookmarkStart w:id="19833" w:name="_Toc393985170"/>
      <w:bookmarkStart w:id="19834" w:name="_Toc393985344"/>
      <w:bookmarkStart w:id="19835" w:name="_Toc393985673"/>
      <w:bookmarkStart w:id="19836" w:name="_Toc393985848"/>
      <w:bookmarkStart w:id="19837" w:name="_Toc393986075"/>
      <w:bookmarkStart w:id="19838" w:name="_Toc393986250"/>
      <w:bookmarkStart w:id="19839" w:name="_Toc393986478"/>
      <w:bookmarkStart w:id="19840" w:name="_Toc393988085"/>
      <w:bookmarkStart w:id="19841" w:name="_Toc393988260"/>
      <w:bookmarkStart w:id="19842" w:name="_Toc393988487"/>
      <w:bookmarkStart w:id="19843" w:name="_Toc393988662"/>
      <w:bookmarkStart w:id="19844" w:name="_Toc393986654"/>
      <w:bookmarkStart w:id="19845" w:name="_Toc393989499"/>
      <w:bookmarkStart w:id="19846" w:name="_Toc393989674"/>
      <w:bookmarkStart w:id="19847" w:name="_Toc393988888"/>
      <w:bookmarkStart w:id="19848" w:name="_Toc393989062"/>
      <w:bookmarkStart w:id="19849" w:name="_Toc393990892"/>
      <w:bookmarkStart w:id="19850" w:name="_Toc393991066"/>
      <w:bookmarkStart w:id="19851" w:name="_Toc393991165"/>
      <w:bookmarkStart w:id="19852" w:name="_Toc393991874"/>
      <w:bookmarkStart w:id="19853" w:name="_Toc393992050"/>
      <w:bookmarkStart w:id="19854" w:name="_Toc394047537"/>
      <w:bookmarkStart w:id="19855" w:name="_Toc394047714"/>
      <w:bookmarkStart w:id="19856" w:name="_Toc394047825"/>
      <w:bookmarkStart w:id="19857" w:name="_Toc394048381"/>
      <w:bookmarkStart w:id="19858" w:name="_Toc394049813"/>
      <w:bookmarkStart w:id="19859" w:name="_Toc394049993"/>
      <w:bookmarkStart w:id="19860" w:name="_Toc394051213"/>
      <w:bookmarkStart w:id="19861" w:name="_Toc394051393"/>
      <w:bookmarkStart w:id="19862" w:name="_Toc394062202"/>
      <w:bookmarkStart w:id="19863" w:name="_Toc394062540"/>
      <w:bookmarkStart w:id="19864" w:name="_Toc394069077"/>
      <w:bookmarkStart w:id="19865" w:name="_Toc394069255"/>
      <w:bookmarkStart w:id="19866" w:name="_Toc394070995"/>
      <w:bookmarkStart w:id="19867" w:name="_Toc394071173"/>
      <w:bookmarkStart w:id="19868" w:name="_Toc394312398"/>
      <w:bookmarkStart w:id="19869" w:name="_Toc394330446"/>
      <w:bookmarkStart w:id="19870" w:name="_Toc394330683"/>
      <w:bookmarkStart w:id="19871" w:name="_Toc394331377"/>
      <w:bookmarkStart w:id="19872" w:name="_Toc394330303"/>
      <w:bookmarkStart w:id="19873" w:name="_Toc394333275"/>
      <w:bookmarkStart w:id="19874" w:name="_Toc394333452"/>
      <w:bookmarkStart w:id="19875" w:name="_Toc394332853"/>
      <w:bookmarkStart w:id="19876" w:name="_Toc394333688"/>
      <w:bookmarkStart w:id="19877" w:name="_Toc394333865"/>
      <w:bookmarkStart w:id="19878" w:name="_Toc394334101"/>
      <w:bookmarkStart w:id="19879" w:name="_Toc394334278"/>
      <w:bookmarkStart w:id="19880" w:name="_Toc394334927"/>
      <w:bookmarkStart w:id="19881" w:name="_Toc394335104"/>
      <w:bookmarkStart w:id="19882" w:name="_Toc394415110"/>
      <w:bookmarkStart w:id="19883" w:name="_Toc394415308"/>
      <w:bookmarkStart w:id="19884" w:name="_Toc394412415"/>
      <w:bookmarkStart w:id="19885" w:name="_Toc394412617"/>
      <w:bookmarkStart w:id="19886" w:name="_Toc394420706"/>
      <w:bookmarkStart w:id="19887" w:name="_Toc394420910"/>
      <w:bookmarkStart w:id="19888" w:name="_Toc394421180"/>
      <w:bookmarkStart w:id="19889" w:name="_Toc394423549"/>
      <w:bookmarkStart w:id="19890" w:name="_Toc394423751"/>
      <w:bookmarkStart w:id="19891" w:name="_Toc394420483"/>
      <w:bookmarkStart w:id="19892" w:name="_Toc394422593"/>
      <w:bookmarkStart w:id="19893" w:name="_Toc394422795"/>
      <w:bookmarkStart w:id="19894" w:name="_Toc394423064"/>
      <w:bookmarkStart w:id="19895" w:name="_Toc394423266"/>
      <w:bookmarkStart w:id="19896" w:name="_Toc394424214"/>
      <w:bookmarkStart w:id="19897" w:name="_Toc394424414"/>
      <w:bookmarkStart w:id="19898" w:name="_Toc394492047"/>
      <w:bookmarkStart w:id="19899" w:name="_Toc394492247"/>
      <w:bookmarkStart w:id="19900" w:name="_Toc394495192"/>
      <w:bookmarkStart w:id="19901" w:name="_Toc394495391"/>
      <w:bookmarkStart w:id="19902" w:name="_Toc394498007"/>
      <w:bookmarkStart w:id="19903" w:name="_Toc394498206"/>
      <w:bookmarkStart w:id="19904" w:name="_Toc394500797"/>
      <w:bookmarkStart w:id="19905" w:name="_Toc394500996"/>
      <w:bookmarkStart w:id="19906" w:name="_Toc394502201"/>
      <w:bookmarkStart w:id="19907" w:name="_Toc394502393"/>
      <w:bookmarkStart w:id="19908" w:name="_Toc394503103"/>
      <w:bookmarkStart w:id="19909" w:name="_Toc394503752"/>
      <w:bookmarkStart w:id="19910" w:name="_Toc394502647"/>
      <w:bookmarkStart w:id="19911" w:name="_Toc394502841"/>
      <w:bookmarkStart w:id="19912" w:name="_Toc394505854"/>
      <w:bookmarkStart w:id="19913" w:name="_Toc394506170"/>
      <w:bookmarkStart w:id="19914" w:name="_Toc394506313"/>
      <w:bookmarkStart w:id="19915" w:name="_Toc394506508"/>
      <w:bookmarkStart w:id="19916" w:name="_Toc394506867"/>
      <w:bookmarkStart w:id="19917" w:name="_Toc394507062"/>
      <w:bookmarkStart w:id="19918" w:name="_Toc394560940"/>
      <w:bookmarkStart w:id="19919" w:name="_Toc394561139"/>
      <w:bookmarkStart w:id="19920" w:name="_Toc394561401"/>
      <w:bookmarkStart w:id="19921" w:name="_Toc394561972"/>
      <w:bookmarkStart w:id="19922" w:name="_Toc394582941"/>
      <w:bookmarkStart w:id="19923" w:name="_Toc394585612"/>
      <w:bookmarkStart w:id="19924" w:name="_Toc394586078"/>
      <w:bookmarkStart w:id="19925" w:name="_Toc394588010"/>
      <w:bookmarkStart w:id="19926" w:name="_Toc394588845"/>
      <w:bookmarkStart w:id="19927" w:name="_Toc394588970"/>
      <w:bookmarkStart w:id="19928" w:name="_Toc394590386"/>
      <w:bookmarkStart w:id="19929" w:name="_Toc394590579"/>
      <w:bookmarkStart w:id="19930" w:name="_Toc394654483"/>
      <w:bookmarkStart w:id="19931" w:name="_Toc394654641"/>
      <w:bookmarkStart w:id="19932" w:name="_Toc394656183"/>
      <w:bookmarkStart w:id="19933" w:name="_Toc394656340"/>
      <w:bookmarkStart w:id="19934" w:name="_Toc394659320"/>
      <w:bookmarkStart w:id="19935" w:name="_Toc394659478"/>
      <w:bookmarkStart w:id="19936" w:name="_Toc394663333"/>
      <w:bookmarkStart w:id="19937" w:name="_Toc394663489"/>
      <w:bookmarkStart w:id="19938" w:name="_Toc394667127"/>
      <w:bookmarkStart w:id="19939" w:name="_Toc394667283"/>
      <w:bookmarkStart w:id="19940" w:name="_Toc394671606"/>
      <w:bookmarkStart w:id="19941" w:name="_Toc394671766"/>
      <w:bookmarkStart w:id="19942" w:name="_Toc394674608"/>
      <w:bookmarkStart w:id="19943" w:name="_Toc394674771"/>
      <w:bookmarkStart w:id="19944" w:name="_Toc394674885"/>
      <w:bookmarkStart w:id="19945" w:name="_Toc394675051"/>
      <w:bookmarkStart w:id="19946" w:name="_Toc394675996"/>
      <w:bookmarkStart w:id="19947" w:name="_Toc394676158"/>
      <w:bookmarkStart w:id="19948" w:name="_Toc394675684"/>
      <w:bookmarkStart w:id="19949" w:name="_Toc394675847"/>
      <w:bookmarkStart w:id="19950" w:name="_Toc394918247"/>
      <w:bookmarkStart w:id="19951" w:name="_Toc394918761"/>
      <w:bookmarkStart w:id="19952" w:name="_Toc394930733"/>
      <w:bookmarkStart w:id="19953" w:name="_Toc394933647"/>
      <w:bookmarkStart w:id="19954" w:name="_Toc394933832"/>
      <w:bookmarkStart w:id="19955" w:name="_Toc394938093"/>
      <w:bookmarkStart w:id="19956" w:name="_Toc394938281"/>
      <w:bookmarkStart w:id="19957" w:name="_Toc394938595"/>
      <w:bookmarkStart w:id="19958" w:name="_Toc394937561"/>
      <w:bookmarkStart w:id="19959" w:name="_Toc394937877"/>
      <w:bookmarkStart w:id="19960" w:name="_Toc394941005"/>
      <w:bookmarkStart w:id="19961" w:name="_Toc394941192"/>
      <w:bookmarkStart w:id="19962" w:name="_Toc394941506"/>
      <w:bookmarkStart w:id="19963" w:name="_Toc394941621"/>
      <w:bookmarkStart w:id="19964" w:name="_Toc394941808"/>
      <w:bookmarkStart w:id="19965" w:name="_Toc394942122"/>
      <w:bookmarkStart w:id="19966" w:name="_Toc394939842"/>
      <w:bookmarkStart w:id="19967" w:name="_Toc394940030"/>
      <w:bookmarkStart w:id="19968" w:name="_Toc394940344"/>
      <w:bookmarkStart w:id="19969" w:name="_Toc394939454"/>
      <w:bookmarkStart w:id="19970" w:name="_Toc394939640"/>
      <w:bookmarkStart w:id="19971" w:name="_Toc394940558"/>
      <w:bookmarkStart w:id="19972" w:name="_Toc394993537"/>
      <w:bookmarkStart w:id="19973" w:name="_Toc394995418"/>
      <w:bookmarkStart w:id="19974" w:name="_Toc394995732"/>
      <w:bookmarkStart w:id="19975" w:name="_Toc394996040"/>
      <w:bookmarkStart w:id="19976" w:name="_Toc394997766"/>
      <w:bookmarkStart w:id="19977" w:name="_Toc394997977"/>
      <w:bookmarkStart w:id="19978" w:name="_Toc394998281"/>
      <w:bookmarkStart w:id="19979" w:name="_Toc394998491"/>
      <w:bookmarkStart w:id="19980" w:name="_Toc395001776"/>
      <w:bookmarkStart w:id="19981" w:name="_Toc395001990"/>
      <w:bookmarkStart w:id="19982" w:name="_Toc395003344"/>
      <w:bookmarkStart w:id="19983" w:name="_Toc395005154"/>
      <w:bookmarkStart w:id="19984" w:name="_Toc395005370"/>
      <w:bookmarkStart w:id="19985" w:name="_Toc395005585"/>
      <w:bookmarkStart w:id="19986" w:name="_Toc395005148"/>
      <w:bookmarkStart w:id="19987" w:name="_Toc395008947"/>
      <w:bookmarkStart w:id="19988" w:name="_Toc395011733"/>
      <w:bookmarkStart w:id="19989" w:name="_Toc395010133"/>
      <w:bookmarkStart w:id="19990" w:name="_Toc395010317"/>
      <w:bookmarkStart w:id="19991" w:name="_Toc395009975"/>
      <w:bookmarkStart w:id="19992" w:name="_Toc395011501"/>
      <w:bookmarkStart w:id="19993" w:name="_Toc395012319"/>
      <w:bookmarkStart w:id="19994" w:name="_Toc395012502"/>
      <w:bookmarkStart w:id="19995" w:name="_Toc395012909"/>
      <w:bookmarkStart w:id="19996" w:name="_Toc395010724"/>
      <w:bookmarkStart w:id="19997" w:name="_Toc395010907"/>
      <w:bookmarkStart w:id="19998" w:name="_Toc395012197"/>
      <w:bookmarkStart w:id="19999" w:name="_Toc395012851"/>
      <w:bookmarkStart w:id="20000" w:name="_Toc395011965"/>
      <w:bookmarkStart w:id="20001" w:name="_Toc395014598"/>
      <w:bookmarkStart w:id="20002" w:name="_Toc395013189"/>
      <w:bookmarkStart w:id="20003" w:name="_Toc395084661"/>
      <w:bookmarkStart w:id="20004" w:name="_Toc395084962"/>
      <w:bookmarkStart w:id="20005" w:name="_Toc395090226"/>
      <w:bookmarkStart w:id="20006" w:name="_Toc395090416"/>
      <w:bookmarkStart w:id="20007" w:name="_Toc395090705"/>
      <w:bookmarkStart w:id="20008" w:name="_Toc395092594"/>
      <w:bookmarkStart w:id="20009" w:name="_Toc395092806"/>
      <w:bookmarkStart w:id="20010" w:name="_Toc395093000"/>
      <w:bookmarkStart w:id="20011" w:name="_Toc395093288"/>
      <w:bookmarkStart w:id="20012" w:name="_Toc395097717"/>
      <w:bookmarkStart w:id="20013" w:name="_Toc395097911"/>
      <w:bookmarkStart w:id="20014" w:name="_Toc395098198"/>
      <w:bookmarkStart w:id="20015" w:name="_Toc395105383"/>
      <w:bookmarkStart w:id="20016" w:name="_Toc395106986"/>
      <w:bookmarkStart w:id="20017" w:name="_Toc395109858"/>
      <w:bookmarkStart w:id="20018" w:name="_Toc395110050"/>
      <w:bookmarkStart w:id="20019" w:name="_Toc395109644"/>
      <w:bookmarkStart w:id="20020" w:name="_Toc395111861"/>
      <w:bookmarkStart w:id="20021" w:name="_Toc395112051"/>
      <w:bookmarkStart w:id="20022" w:name="_Toc395112349"/>
      <w:bookmarkStart w:id="20023" w:name="_Toc395106781"/>
      <w:bookmarkStart w:id="20024" w:name="_Toc395107191"/>
      <w:bookmarkStart w:id="20025" w:name="_Toc395107494"/>
      <w:bookmarkStart w:id="20026" w:name="_Toc395109449"/>
      <w:bookmarkStart w:id="20027" w:name="_Toc395108541"/>
      <w:bookmarkStart w:id="20028" w:name="_Toc395108754"/>
      <w:bookmarkStart w:id="20029" w:name="_Toc395113781"/>
      <w:bookmarkStart w:id="20030" w:name="_Toc395113994"/>
      <w:bookmarkStart w:id="20031" w:name="_Toc395114301"/>
      <w:bookmarkStart w:id="20032" w:name="_Toc395116517"/>
      <w:bookmarkStart w:id="20033" w:name="_Toc395116731"/>
      <w:bookmarkStart w:id="20034" w:name="_Toc395117039"/>
      <w:bookmarkStart w:id="20035" w:name="_Toc395112311"/>
      <w:bookmarkStart w:id="20036" w:name="_Toc395112668"/>
      <w:bookmarkStart w:id="20037" w:name="_Toc395113157"/>
      <w:bookmarkStart w:id="20038" w:name="_Toc395114993"/>
      <w:bookmarkStart w:id="20039" w:name="_Toc395115208"/>
      <w:bookmarkStart w:id="20040" w:name="_Toc395115516"/>
      <w:bookmarkStart w:id="20041" w:name="_Toc395118150"/>
      <w:bookmarkStart w:id="20042" w:name="_Toc395118363"/>
      <w:bookmarkStart w:id="20043" w:name="_Toc395118668"/>
      <w:bookmarkStart w:id="20044" w:name="_Toc395178360"/>
      <w:bookmarkStart w:id="20045" w:name="_Toc395178692"/>
      <w:bookmarkStart w:id="20046" w:name="_Toc395624555"/>
      <w:bookmarkStart w:id="20047" w:name="_Toc395624849"/>
      <w:bookmarkStart w:id="20048" w:name="_Toc395789703"/>
      <w:bookmarkStart w:id="20049" w:name="_Toc395789907"/>
      <w:bookmarkStart w:id="20050" w:name="_Toc395800664"/>
      <w:bookmarkStart w:id="20051" w:name="_Toc395802835"/>
      <w:bookmarkStart w:id="20052" w:name="_Toc395867620"/>
      <w:bookmarkStart w:id="20053" w:name="_Toc395868529"/>
      <w:bookmarkStart w:id="20054" w:name="_Toc395868752"/>
      <w:bookmarkStart w:id="20055" w:name="_Toc395879133"/>
      <w:bookmarkStart w:id="20056" w:name="_Toc395882035"/>
      <w:bookmarkStart w:id="20057" w:name="_Toc395882257"/>
      <w:bookmarkStart w:id="20058" w:name="_Toc395882366"/>
      <w:bookmarkStart w:id="20059" w:name="_Toc395882588"/>
      <w:bookmarkStart w:id="20060" w:name="_Toc395880530"/>
      <w:bookmarkStart w:id="20061" w:name="_Toc395880861"/>
      <w:bookmarkStart w:id="20062" w:name="_Toc395881419"/>
      <w:bookmarkStart w:id="20063" w:name="_Toc395881641"/>
      <w:bookmarkStart w:id="20064" w:name="_Toc395884026"/>
      <w:bookmarkStart w:id="20065" w:name="_Toc395880759"/>
      <w:bookmarkStart w:id="20066" w:name="_Toc395884466"/>
      <w:bookmarkStart w:id="20067" w:name="_Toc395884688"/>
      <w:bookmarkStart w:id="20068" w:name="_Toc395883175"/>
      <w:bookmarkStart w:id="20069" w:name="_Toc395883397"/>
      <w:bookmarkStart w:id="20070" w:name="_Toc395883505"/>
      <w:bookmarkStart w:id="20071" w:name="_Toc395883727"/>
      <w:bookmarkStart w:id="20072" w:name="_Toc395884807"/>
      <w:bookmarkStart w:id="20073" w:name="_Toc396123836"/>
      <w:bookmarkStart w:id="20074" w:name="_Toc396130739"/>
      <w:bookmarkStart w:id="20075" w:name="_Toc396136317"/>
      <w:bookmarkStart w:id="20076" w:name="_Toc396138771"/>
      <w:bookmarkStart w:id="20077" w:name="_Toc396144032"/>
      <w:bookmarkStart w:id="20078" w:name="_Toc396145541"/>
      <w:bookmarkStart w:id="20079" w:name="_Toc396145685"/>
      <w:bookmarkStart w:id="20080" w:name="_Toc396145967"/>
      <w:bookmarkStart w:id="20081" w:name="_Toc396147507"/>
      <w:bookmarkStart w:id="20082" w:name="_Toc396147793"/>
      <w:bookmarkStart w:id="20083" w:name="_Toc396149049"/>
      <w:bookmarkStart w:id="20084" w:name="_Toc396148763"/>
      <w:bookmarkStart w:id="20085" w:name="_Toc396149544"/>
      <w:bookmarkStart w:id="20086" w:name="_Toc396149189"/>
      <w:bookmarkStart w:id="20087" w:name="_Toc396149475"/>
      <w:bookmarkStart w:id="20088" w:name="_Toc396149152"/>
      <w:bookmarkStart w:id="20089" w:name="_Toc396149897"/>
      <w:bookmarkStart w:id="20090" w:name="_Toc396149647"/>
      <w:bookmarkStart w:id="20091" w:name="_Toc396150488"/>
      <w:bookmarkStart w:id="20092" w:name="_Toc396151377"/>
      <w:bookmarkStart w:id="20093" w:name="_Toc396151671"/>
      <w:bookmarkStart w:id="20094" w:name="_Toc396201598"/>
      <w:bookmarkStart w:id="20095" w:name="_Toc396202388"/>
      <w:bookmarkStart w:id="20096" w:name="_Toc396202683"/>
      <w:bookmarkStart w:id="20097" w:name="_Toc396203300"/>
      <w:bookmarkStart w:id="20098" w:name="_Toc396206596"/>
      <w:bookmarkStart w:id="20099" w:name="_Toc396206890"/>
      <w:bookmarkStart w:id="20100" w:name="_Toc396209424"/>
      <w:bookmarkStart w:id="20101" w:name="_Toc396209718"/>
      <w:bookmarkStart w:id="20102" w:name="_Toc396211848"/>
      <w:bookmarkStart w:id="20103" w:name="_Toc396212142"/>
      <w:bookmarkStart w:id="20104" w:name="_Toc396213192"/>
      <w:bookmarkStart w:id="20105" w:name="_Toc396213484"/>
      <w:bookmarkStart w:id="20106" w:name="_Toc396214035"/>
      <w:bookmarkStart w:id="20107" w:name="_Toc396214470"/>
      <w:bookmarkStart w:id="20108" w:name="_Toc396214760"/>
      <w:bookmarkStart w:id="20109" w:name="_Toc396220320"/>
      <w:bookmarkStart w:id="20110" w:name="_Toc396226582"/>
      <w:bookmarkStart w:id="20111" w:name="_Toc396226871"/>
      <w:bookmarkStart w:id="20112" w:name="_Toc396228782"/>
      <w:bookmarkStart w:id="20113" w:name="_Toc396229077"/>
      <w:bookmarkStart w:id="20114" w:name="_Toc396230424"/>
      <w:bookmarkStart w:id="20115" w:name="_Toc396230719"/>
      <w:bookmarkStart w:id="20116" w:name="_Toc396231861"/>
      <w:bookmarkStart w:id="20117" w:name="_Toc396233204"/>
      <w:bookmarkStart w:id="20118" w:name="_Toc396233501"/>
      <w:bookmarkStart w:id="20119" w:name="_Toc396234024"/>
      <w:bookmarkStart w:id="20120" w:name="_Toc396234321"/>
      <w:bookmarkStart w:id="20121" w:name="_Toc396234434"/>
      <w:bookmarkStart w:id="20122" w:name="_Toc396236168"/>
      <w:bookmarkStart w:id="20123" w:name="_Toc396235946"/>
      <w:bookmarkStart w:id="20124" w:name="_Toc396236556"/>
      <w:bookmarkStart w:id="20125" w:name="_Toc396237075"/>
      <w:bookmarkStart w:id="20126" w:name="_Toc396397418"/>
      <w:bookmarkStart w:id="20127" w:name="_Toc396304599"/>
      <w:bookmarkStart w:id="20128" w:name="_Toc396586134"/>
      <w:bookmarkStart w:id="20129" w:name="_Toc396815155"/>
      <w:bookmarkStart w:id="20130" w:name="_Toc396821104"/>
      <w:bookmarkStart w:id="20131" w:name="_Toc396821712"/>
      <w:bookmarkStart w:id="20132" w:name="_Toc396827562"/>
      <w:bookmarkStart w:id="20133" w:name="_Toc396828533"/>
      <w:bookmarkStart w:id="20134" w:name="_Toc396828642"/>
      <w:bookmarkStart w:id="20135" w:name="_Toc396838031"/>
      <w:bookmarkStart w:id="20136" w:name="_Toc396838429"/>
      <w:bookmarkStart w:id="20137" w:name="_Toc396904752"/>
      <w:bookmarkStart w:id="20138" w:name="_Toc396907586"/>
      <w:bookmarkStart w:id="20139" w:name="_Toc396912505"/>
      <w:bookmarkStart w:id="20140" w:name="_Toc396914485"/>
      <w:bookmarkStart w:id="20141" w:name="_Toc396915369"/>
      <w:bookmarkStart w:id="20142" w:name="_Toc396915763"/>
      <w:bookmarkStart w:id="20143" w:name="_Toc396921074"/>
      <w:bookmarkStart w:id="20144" w:name="_Toc396924414"/>
      <w:bookmarkStart w:id="20145" w:name="_Toc396925108"/>
      <w:bookmarkStart w:id="20146" w:name="_Toc396992228"/>
      <w:bookmarkStart w:id="20147" w:name="_Toc396992807"/>
      <w:bookmarkStart w:id="20148" w:name="_Toc396994471"/>
      <w:r w:rsidRPr="008625DC">
        <w:br w:type="page"/>
      </w:r>
    </w:p>
    <w:p w14:paraId="1AE524D6" w14:textId="5BCDE922" w:rsidR="000653E5" w:rsidRPr="008625DC" w:rsidRDefault="000653E5" w:rsidP="00864E0A">
      <w:pPr>
        <w:pStyle w:val="Heading1"/>
        <w:ind w:left="851" w:hanging="851"/>
      </w:pPr>
      <w:bookmarkStart w:id="20149" w:name="_Toc397002242"/>
      <w:bookmarkStart w:id="20150" w:name="_Toc397003161"/>
      <w:bookmarkStart w:id="20151" w:name="_Toc397008719"/>
      <w:bookmarkStart w:id="20152" w:name="_Toc397008937"/>
      <w:bookmarkStart w:id="20153" w:name="_Toc397011609"/>
      <w:bookmarkStart w:id="20154" w:name="_Toc397012671"/>
      <w:bookmarkStart w:id="20155" w:name="_Toc397015013"/>
      <w:bookmarkStart w:id="20156" w:name="_Toc397015500"/>
      <w:bookmarkStart w:id="20157" w:name="_Toc397070570"/>
      <w:bookmarkStart w:id="20158" w:name="_Toc397413311"/>
      <w:bookmarkStart w:id="20159" w:name="_Toc397413458"/>
      <w:bookmarkStart w:id="20160" w:name="_Toc397428041"/>
      <w:bookmarkStart w:id="20161" w:name="_Toc397439429"/>
      <w:bookmarkStart w:id="20162" w:name="_Toc397439599"/>
      <w:bookmarkStart w:id="20163" w:name="_Toc397439855"/>
      <w:bookmarkStart w:id="20164" w:name="_Toc397440157"/>
      <w:bookmarkStart w:id="20165" w:name="_Toc397441786"/>
      <w:bookmarkStart w:id="20166" w:name="_Toc397517488"/>
      <w:bookmarkStart w:id="20167" w:name="_Toc397522753"/>
      <w:bookmarkStart w:id="20168" w:name="_Toc397526171"/>
      <w:bookmarkStart w:id="20169" w:name="_Toc397528486"/>
      <w:bookmarkStart w:id="20170" w:name="_Toc397528961"/>
      <w:bookmarkStart w:id="20171" w:name="_Toc397601958"/>
      <w:bookmarkStart w:id="20172" w:name="_Toc397602693"/>
      <w:bookmarkStart w:id="20173" w:name="_Toc397605822"/>
      <w:bookmarkStart w:id="20174" w:name="_Toc397614523"/>
      <w:bookmarkStart w:id="20175" w:name="_Toc397614966"/>
      <w:bookmarkStart w:id="20176" w:name="_Toc397616409"/>
      <w:bookmarkStart w:id="20177" w:name="_Toc397616803"/>
      <w:bookmarkStart w:id="20178" w:name="_Toc397688101"/>
      <w:bookmarkStart w:id="20179" w:name="_Toc397689317"/>
      <w:bookmarkStart w:id="20180" w:name="_Toc397694597"/>
      <w:bookmarkStart w:id="20181" w:name="_Toc397696438"/>
      <w:bookmarkStart w:id="20182" w:name="_Toc397697172"/>
      <w:bookmarkStart w:id="20183" w:name="_Toc397698459"/>
      <w:bookmarkStart w:id="20184" w:name="_Toc397699825"/>
      <w:bookmarkStart w:id="20185" w:name="_Toc397700279"/>
      <w:bookmarkStart w:id="20186" w:name="_Toc397936671"/>
      <w:bookmarkStart w:id="20187" w:name="_Toc397936791"/>
      <w:bookmarkStart w:id="20188" w:name="_Toc397945947"/>
      <w:bookmarkStart w:id="20189" w:name="_Toc397946973"/>
      <w:bookmarkStart w:id="20190" w:name="_Toc397948092"/>
      <w:bookmarkStart w:id="20191" w:name="_Toc397958498"/>
      <w:bookmarkStart w:id="20192" w:name="_Toc397958740"/>
      <w:bookmarkStart w:id="20193" w:name="_Toc397959155"/>
      <w:bookmarkStart w:id="20194" w:name="_Toc397963008"/>
      <w:bookmarkStart w:id="20195" w:name="_Toc397963374"/>
      <w:bookmarkStart w:id="20196" w:name="_Toc397965451"/>
      <w:bookmarkStart w:id="20197" w:name="_Toc398197389"/>
      <w:bookmarkStart w:id="20198" w:name="_Toc398199892"/>
      <w:bookmarkStart w:id="20199" w:name="_Toc398201606"/>
      <w:bookmarkStart w:id="20200" w:name="_Toc398207211"/>
      <w:bookmarkStart w:id="20201" w:name="_Toc398210484"/>
      <w:bookmarkStart w:id="20202" w:name="_Toc398210998"/>
      <w:bookmarkStart w:id="20203" w:name="_Toc398219806"/>
      <w:bookmarkStart w:id="20204" w:name="_Toc398220181"/>
      <w:bookmarkStart w:id="20205" w:name="_Toc398220568"/>
      <w:bookmarkStart w:id="20206" w:name="_Toc398221646"/>
      <w:bookmarkStart w:id="20207" w:name="_Toc398222332"/>
      <w:bookmarkStart w:id="20208" w:name="_Toc398222644"/>
      <w:bookmarkStart w:id="20209" w:name="_Toc398223061"/>
      <w:bookmarkStart w:id="20210" w:name="_Toc398223440"/>
      <w:bookmarkStart w:id="20211" w:name="_Toc398223567"/>
      <w:bookmarkStart w:id="20212" w:name="_Toc398224375"/>
      <w:bookmarkStart w:id="20213" w:name="_Toc398225712"/>
      <w:bookmarkStart w:id="20214" w:name="_Toc398225837"/>
      <w:bookmarkStart w:id="20215" w:name="_Toc398281324"/>
      <w:bookmarkStart w:id="20216" w:name="_Toc398282183"/>
      <w:bookmarkStart w:id="20217" w:name="_Toc398284853"/>
      <w:bookmarkStart w:id="20218" w:name="_Toc398287322"/>
      <w:bookmarkStart w:id="20219" w:name="_Toc398289205"/>
      <w:bookmarkStart w:id="20220" w:name="_Toc398297202"/>
      <w:bookmarkStart w:id="20221" w:name="_Toc398298676"/>
      <w:bookmarkStart w:id="20222" w:name="_Toc398300377"/>
      <w:bookmarkStart w:id="20223" w:name="_Toc398301274"/>
      <w:bookmarkStart w:id="20224" w:name="_Toc398302459"/>
      <w:bookmarkStart w:id="20225" w:name="_Toc398302622"/>
      <w:bookmarkStart w:id="20226" w:name="_Toc398549136"/>
      <w:bookmarkStart w:id="20227" w:name="_Toc398549386"/>
      <w:bookmarkStart w:id="20228" w:name="_Toc398555805"/>
      <w:bookmarkStart w:id="20229" w:name="_Toc398559009"/>
      <w:bookmarkStart w:id="20230" w:name="_Toc398563495"/>
      <w:bookmarkStart w:id="20231" w:name="_Toc398563628"/>
      <w:bookmarkStart w:id="20232" w:name="_Toc398564027"/>
      <w:bookmarkStart w:id="20233" w:name="_Toc398827365"/>
      <w:bookmarkStart w:id="20234" w:name="_Toc398827559"/>
      <w:bookmarkStart w:id="20235" w:name="Ch9"/>
      <w:r w:rsidRPr="008625DC">
        <w:lastRenderedPageBreak/>
        <w:t>I</w:t>
      </w:r>
      <w:bookmarkEnd w:id="19832"/>
      <w:r w:rsidRPr="008625DC">
        <w:t>nfrastructure markets</w:t>
      </w:r>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p>
    <w:bookmarkEnd w:id="20235"/>
    <w:p w14:paraId="759F019D" w14:textId="42B36EB9" w:rsidR="006245C6" w:rsidRPr="008625DC" w:rsidRDefault="006245C6" w:rsidP="000653E5">
      <w:r w:rsidRPr="008625DC">
        <w:t>The application of competition policy to infrastructure markets significant</w:t>
      </w:r>
      <w:r w:rsidR="00E70B70" w:rsidRPr="008625DC">
        <w:t>ly</w:t>
      </w:r>
      <w:r w:rsidRPr="008625DC">
        <w:t xml:space="preserve"> </w:t>
      </w:r>
      <w:r w:rsidR="00E70B70" w:rsidRPr="008625DC">
        <w:t>affects</w:t>
      </w:r>
      <w:r w:rsidRPr="008625DC">
        <w:t xml:space="preserve"> the choices and prices paid by consumers for almost all of </w:t>
      </w:r>
      <w:r w:rsidR="00791D48" w:rsidRPr="008625DC">
        <w:t>goods and services. The energy,</w:t>
      </w:r>
      <w:r w:rsidRPr="008625DC">
        <w:t xml:space="preserve"> water</w:t>
      </w:r>
      <w:r w:rsidR="00791D48" w:rsidRPr="008625DC">
        <w:t xml:space="preserve"> and transport</w:t>
      </w:r>
      <w:r w:rsidRPr="008625DC">
        <w:t xml:space="preserve"> </w:t>
      </w:r>
      <w:r w:rsidR="00791D48" w:rsidRPr="008625DC">
        <w:t xml:space="preserve">sectors </w:t>
      </w:r>
      <w:r w:rsidRPr="008625DC">
        <w:t xml:space="preserve">are </w:t>
      </w:r>
      <w:r w:rsidR="00791D48" w:rsidRPr="008625DC">
        <w:t>key inputs to the Australian economy</w:t>
      </w:r>
      <w:r w:rsidR="00B004F6" w:rsidRPr="008625DC">
        <w:t>. T</w:t>
      </w:r>
      <w:r w:rsidR="00791D48" w:rsidRPr="008625DC">
        <w:t xml:space="preserve">he National Competition Policy </w:t>
      </w:r>
      <w:r w:rsidR="00E409A0" w:rsidRPr="008625DC">
        <w:t xml:space="preserve">(NCP) </w:t>
      </w:r>
      <w:r w:rsidR="00791D48" w:rsidRPr="008625DC">
        <w:t xml:space="preserve">reforms have </w:t>
      </w:r>
      <w:r w:rsidR="006D6D0B" w:rsidRPr="008625DC">
        <w:t xml:space="preserve">placed </w:t>
      </w:r>
      <w:r w:rsidR="00791D48" w:rsidRPr="008625DC">
        <w:t>downward pressure on the</w:t>
      </w:r>
      <w:r w:rsidR="006D6D0B" w:rsidRPr="008625DC">
        <w:t xml:space="preserve"> </w:t>
      </w:r>
      <w:r w:rsidR="00791D48" w:rsidRPr="008625DC">
        <w:t>cost</w:t>
      </w:r>
      <w:r w:rsidR="00380141" w:rsidRPr="008625DC">
        <w:t xml:space="preserve"> </w:t>
      </w:r>
      <w:r w:rsidR="006D6D0B" w:rsidRPr="008625DC">
        <w:t xml:space="preserve">of infrastructure services </w:t>
      </w:r>
      <w:r w:rsidR="00E409A0" w:rsidRPr="008625DC">
        <w:t>and</w:t>
      </w:r>
      <w:r w:rsidR="00380141" w:rsidRPr="008625DC">
        <w:t xml:space="preserve"> </w:t>
      </w:r>
      <w:r w:rsidR="00FA1169" w:rsidRPr="008625DC">
        <w:t>increased</w:t>
      </w:r>
      <w:r w:rsidR="00791D48" w:rsidRPr="008625DC">
        <w:t xml:space="preserve"> choice </w:t>
      </w:r>
      <w:r w:rsidR="005F3010" w:rsidRPr="008625DC">
        <w:t>across the economy.</w:t>
      </w:r>
    </w:p>
    <w:p w14:paraId="466540C4" w14:textId="4FA4C084" w:rsidR="00E70B70" w:rsidRPr="008625DC" w:rsidRDefault="00E409A0" w:rsidP="000653E5">
      <w:r w:rsidRPr="008625DC">
        <w:t>T</w:t>
      </w:r>
      <w:r w:rsidR="00D535A2" w:rsidRPr="008625DC">
        <w:t>wenty years ago</w:t>
      </w:r>
      <w:r w:rsidR="005F3010" w:rsidRPr="008625DC">
        <w:t>, infrastructure markets were characterised by vertically integrated, government</w:t>
      </w:r>
      <w:r w:rsidR="00C74E19" w:rsidRPr="008625DC">
        <w:noBreakHyphen/>
      </w:r>
      <w:r w:rsidR="005F3010" w:rsidRPr="008625DC">
        <w:t>owned monopolies</w:t>
      </w:r>
      <w:r w:rsidR="00E50262" w:rsidRPr="008625DC">
        <w:t xml:space="preserve"> that were not responsive to changes in consumer tastes or needs</w:t>
      </w:r>
      <w:r w:rsidR="005F3010" w:rsidRPr="008625DC">
        <w:t>. That has largely changed</w:t>
      </w:r>
      <w:r w:rsidR="0006116F" w:rsidRPr="008625DC">
        <w:t xml:space="preserve"> through competition policy and technology</w:t>
      </w:r>
      <w:r w:rsidR="005F3010" w:rsidRPr="008625DC">
        <w:t xml:space="preserve">, though progress differs </w:t>
      </w:r>
      <w:r w:rsidR="00E70B70" w:rsidRPr="008625DC">
        <w:t>among</w:t>
      </w:r>
      <w:r w:rsidR="005F3010" w:rsidRPr="008625DC">
        <w:t xml:space="preserve"> the sectors.</w:t>
      </w:r>
    </w:p>
    <w:p w14:paraId="4C4DD39D" w14:textId="36546DF2" w:rsidR="00D535A2" w:rsidRPr="008625DC" w:rsidRDefault="00E52910" w:rsidP="000653E5">
      <w:r w:rsidRPr="008625DC">
        <w:t>For example, e</w:t>
      </w:r>
      <w:r w:rsidR="00D535A2" w:rsidRPr="008625DC">
        <w:t>lectricity c</w:t>
      </w:r>
      <w:r w:rsidR="00E70B70" w:rsidRPr="008625DC">
        <w:t>onsumers</w:t>
      </w:r>
      <w:r w:rsidR="00D535A2" w:rsidRPr="008625DC">
        <w:t xml:space="preserve"> across Australia were limited to one tariff from one company, whereas c</w:t>
      </w:r>
      <w:r w:rsidR="006D6D0B" w:rsidRPr="008625DC">
        <w:t xml:space="preserve">onsumers </w:t>
      </w:r>
      <w:r w:rsidR="0006116F" w:rsidRPr="008625DC">
        <w:t>can now</w:t>
      </w:r>
      <w:r w:rsidR="00D535A2" w:rsidRPr="008625DC">
        <w:t xml:space="preserve"> access sites like energymadeeasy.gov.au to assist them to choose </w:t>
      </w:r>
      <w:r w:rsidR="00E70B70" w:rsidRPr="008625DC">
        <w:t>among</w:t>
      </w:r>
      <w:r w:rsidR="00D535A2" w:rsidRPr="008625DC">
        <w:t xml:space="preserve"> </w:t>
      </w:r>
      <w:r w:rsidR="005F3010" w:rsidRPr="008625DC">
        <w:t>a range of</w:t>
      </w:r>
      <w:r w:rsidR="00D535A2" w:rsidRPr="008625DC">
        <w:t xml:space="preserve"> offers. This </w:t>
      </w:r>
      <w:r w:rsidR="00E70B70" w:rsidRPr="008625DC">
        <w:t>degree of</w:t>
      </w:r>
      <w:r w:rsidR="00D535A2" w:rsidRPr="008625DC">
        <w:t xml:space="preserve"> consumer choice and empowerment was almost non</w:t>
      </w:r>
      <w:r w:rsidR="00C74E19" w:rsidRPr="008625DC">
        <w:noBreakHyphen/>
      </w:r>
      <w:r w:rsidR="00D535A2" w:rsidRPr="008625DC">
        <w:t>existent when Hilmer reported.</w:t>
      </w:r>
    </w:p>
    <w:p w14:paraId="6F464019" w14:textId="680226BF" w:rsidR="009F588C" w:rsidRPr="008625DC" w:rsidRDefault="0006116F" w:rsidP="000653E5">
      <w:r w:rsidRPr="008625DC">
        <w:t>The</w:t>
      </w:r>
      <w:r w:rsidR="009F588C" w:rsidRPr="008625DC">
        <w:t xml:space="preserve"> extension of the </w:t>
      </w:r>
      <w:r w:rsidR="009F588C" w:rsidRPr="008625DC">
        <w:rPr>
          <w:i/>
        </w:rPr>
        <w:t>Trade Practices Act 1974</w:t>
      </w:r>
      <w:r w:rsidR="009F588C" w:rsidRPr="008625DC">
        <w:t xml:space="preserve"> (now the CCA) to government businesses</w:t>
      </w:r>
      <w:r w:rsidR="00E409A0" w:rsidRPr="008625DC">
        <w:t>,</w:t>
      </w:r>
      <w:r w:rsidRPr="008625DC">
        <w:t xml:space="preserve"> along with the competitive neutrality policy</w:t>
      </w:r>
      <w:r w:rsidR="009F588C" w:rsidRPr="008625DC">
        <w:t>, the structural reform of government businesses</w:t>
      </w:r>
      <w:r w:rsidRPr="008625DC">
        <w:t xml:space="preserve"> including</w:t>
      </w:r>
      <w:r w:rsidR="009F588C" w:rsidRPr="008625DC">
        <w:t xml:space="preserve"> the </w:t>
      </w:r>
      <w:r w:rsidRPr="008625DC">
        <w:t>separation</w:t>
      </w:r>
      <w:r w:rsidR="009F588C" w:rsidRPr="008625DC">
        <w:t xml:space="preserve"> of </w:t>
      </w:r>
      <w:r w:rsidRPr="008625DC">
        <w:t>natural monopoly from contestable elements</w:t>
      </w:r>
      <w:r w:rsidR="009F588C" w:rsidRPr="008625DC">
        <w:t xml:space="preserve">, </w:t>
      </w:r>
      <w:r w:rsidRPr="008625DC">
        <w:t>privatisation, the move to cost</w:t>
      </w:r>
      <w:r w:rsidR="00C74E19" w:rsidRPr="008625DC">
        <w:noBreakHyphen/>
      </w:r>
      <w:r w:rsidRPr="008625DC">
        <w:t>reflective pricing</w:t>
      </w:r>
      <w:r w:rsidR="009F588C" w:rsidRPr="008625DC">
        <w:t xml:space="preserve">, </w:t>
      </w:r>
      <w:r w:rsidRPr="008625DC">
        <w:t>and</w:t>
      </w:r>
      <w:r w:rsidR="009F588C" w:rsidRPr="008625DC">
        <w:t xml:space="preserve"> third</w:t>
      </w:r>
      <w:r w:rsidR="00C74E19" w:rsidRPr="008625DC">
        <w:noBreakHyphen/>
      </w:r>
      <w:r w:rsidR="009F588C" w:rsidRPr="008625DC">
        <w:t xml:space="preserve">party access arrangements for infrastructure services have </w:t>
      </w:r>
      <w:r w:rsidR="00E70B70" w:rsidRPr="008625DC">
        <w:t>all left their mark on Australia</w:t>
      </w:r>
      <w:r w:rsidR="00C74E19" w:rsidRPr="008625DC">
        <w:t>’</w:t>
      </w:r>
      <w:r w:rsidR="00E70B70" w:rsidRPr="008625DC">
        <w:t>s</w:t>
      </w:r>
      <w:r w:rsidR="009F588C" w:rsidRPr="008625DC">
        <w:t xml:space="preserve"> </w:t>
      </w:r>
      <w:r w:rsidRPr="008625DC">
        <w:t>infrastructure markets</w:t>
      </w:r>
      <w:r w:rsidR="009F588C" w:rsidRPr="008625DC">
        <w:t xml:space="preserve">. </w:t>
      </w:r>
    </w:p>
    <w:p w14:paraId="0EC78420" w14:textId="18E753F7" w:rsidR="00504C7B" w:rsidRPr="008625DC" w:rsidRDefault="00504C7B" w:rsidP="000653E5">
      <w:r w:rsidRPr="008625DC">
        <w:t xml:space="preserve">While most infrastructure markets have been substantially reformed, the </w:t>
      </w:r>
      <w:r w:rsidR="00575A09" w:rsidRPr="008625DC">
        <w:t>Panel</w:t>
      </w:r>
      <w:r w:rsidRPr="008625DC">
        <w:t xml:space="preserve"> has heard numerous examples that suggest progress has been </w:t>
      </w:r>
      <w:proofErr w:type="gramStart"/>
      <w:r w:rsidRPr="008625DC">
        <w:t>patchy,</w:t>
      </w:r>
      <w:proofErr w:type="gramEnd"/>
      <w:r w:rsidRPr="008625DC">
        <w:t xml:space="preserve"> the degree of reform differs substantially </w:t>
      </w:r>
      <w:r w:rsidR="00E70B70" w:rsidRPr="008625DC">
        <w:t>among</w:t>
      </w:r>
      <w:r w:rsidRPr="008625DC">
        <w:t xml:space="preserve"> sectors and much more needs to be done to provide greater choice and better service levels for consumers and business</w:t>
      </w:r>
      <w:r w:rsidR="009C6D38" w:rsidRPr="008625DC">
        <w:t>es</w:t>
      </w:r>
      <w:r w:rsidRPr="008625DC">
        <w:t>.</w:t>
      </w:r>
    </w:p>
    <w:p w14:paraId="74B9E9B3" w14:textId="1C93DACD" w:rsidR="000F680C" w:rsidRPr="008625DC" w:rsidRDefault="000F680C" w:rsidP="007104F1">
      <w:pPr>
        <w:pStyle w:val="Heading2NotNumbered"/>
      </w:pPr>
      <w:bookmarkStart w:id="20236" w:name="_Toc397413312"/>
      <w:bookmarkStart w:id="20237" w:name="_Toc397413459"/>
      <w:r w:rsidRPr="008625DC">
        <w:t>Competitive neutrality in infrastructure markets</w:t>
      </w:r>
      <w:bookmarkEnd w:id="20236"/>
      <w:bookmarkEnd w:id="20237"/>
    </w:p>
    <w:p w14:paraId="14AD3AA9" w14:textId="74A16C55" w:rsidR="0083795C" w:rsidRPr="008625DC" w:rsidRDefault="00504C7B" w:rsidP="00B876A2">
      <w:r w:rsidRPr="008625DC">
        <w:t xml:space="preserve">The introduction of competitive neutrality and the application of the CCA to government businesses </w:t>
      </w:r>
      <w:r w:rsidR="00D509BF" w:rsidRPr="008625DC">
        <w:t>encouraged</w:t>
      </w:r>
      <w:r w:rsidRPr="008625DC">
        <w:t xml:space="preserve"> private businesses to invest and compete alongside government</w:t>
      </w:r>
      <w:r w:rsidR="00C74E19" w:rsidRPr="008625DC">
        <w:noBreakHyphen/>
      </w:r>
      <w:r w:rsidRPr="008625DC">
        <w:t>owned businesses. For example, the</w:t>
      </w:r>
      <w:r w:rsidR="00B876A2" w:rsidRPr="008625DC">
        <w:t>re</w:t>
      </w:r>
      <w:r w:rsidRPr="008625DC">
        <w:t xml:space="preserve"> are now many privately</w:t>
      </w:r>
      <w:r w:rsidR="00C74E19" w:rsidRPr="008625DC">
        <w:noBreakHyphen/>
      </w:r>
      <w:r w:rsidRPr="008625DC">
        <w:t>owned electricity gen</w:t>
      </w:r>
      <w:r w:rsidR="0083795C" w:rsidRPr="008625DC">
        <w:t>erators competing alongside the</w:t>
      </w:r>
      <w:r w:rsidRPr="008625DC">
        <w:t xml:space="preserve"> remaining government</w:t>
      </w:r>
      <w:r w:rsidR="00C74E19" w:rsidRPr="008625DC">
        <w:noBreakHyphen/>
      </w:r>
      <w:r w:rsidRPr="008625DC">
        <w:t xml:space="preserve">owned generators. Private operators </w:t>
      </w:r>
      <w:r w:rsidR="00D509BF" w:rsidRPr="008625DC">
        <w:t>have</w:t>
      </w:r>
      <w:r w:rsidRPr="008625DC">
        <w:t xml:space="preserve"> also enter</w:t>
      </w:r>
      <w:r w:rsidR="00D509BF" w:rsidRPr="008625DC">
        <w:t>ed</w:t>
      </w:r>
      <w:r w:rsidRPr="008625DC">
        <w:t xml:space="preserve"> the market in rail, </w:t>
      </w:r>
      <w:r w:rsidR="00B004F6" w:rsidRPr="008625DC">
        <w:t xml:space="preserve">with </w:t>
      </w:r>
      <w:r w:rsidRPr="008625DC">
        <w:t xml:space="preserve">most rail freight services </w:t>
      </w:r>
      <w:r w:rsidR="00B004F6" w:rsidRPr="008625DC">
        <w:t xml:space="preserve">now </w:t>
      </w:r>
      <w:r w:rsidRPr="008625DC">
        <w:t>privately owned and operated.</w:t>
      </w:r>
    </w:p>
    <w:p w14:paraId="047DEDF9" w14:textId="7342BC97" w:rsidR="0072643F" w:rsidRPr="008625DC" w:rsidRDefault="0083795C" w:rsidP="00B876A2">
      <w:r w:rsidRPr="008625DC">
        <w:t xml:space="preserve">Competitive neutrality was an important factor in allowing new entrants into the telecommunications market, when the </w:t>
      </w:r>
      <w:r w:rsidR="00F30E21" w:rsidRPr="008625DC">
        <w:t>Australian</w:t>
      </w:r>
      <w:r w:rsidR="00D509BF" w:rsidRPr="008625DC">
        <w:t xml:space="preserve"> </w:t>
      </w:r>
      <w:r w:rsidRPr="008625DC">
        <w:t xml:space="preserve">Government owned the dominant carrier, Telstra. While the telecommunications market was </w:t>
      </w:r>
      <w:r w:rsidR="00D509BF" w:rsidRPr="008625DC">
        <w:t xml:space="preserve">once </w:t>
      </w:r>
      <w:r w:rsidRPr="008625DC">
        <w:t xml:space="preserve">fully privatised, the </w:t>
      </w:r>
      <w:r w:rsidR="00D509BF" w:rsidRPr="008625DC">
        <w:t>Commonwealth</w:t>
      </w:r>
      <w:r w:rsidRPr="008625DC">
        <w:t xml:space="preserve"> has recently</w:t>
      </w:r>
      <w:r w:rsidR="00C620AD" w:rsidRPr="008625DC">
        <w:t xml:space="preserve"> re</w:t>
      </w:r>
      <w:r w:rsidR="00C74E19" w:rsidRPr="008625DC">
        <w:noBreakHyphen/>
      </w:r>
      <w:r w:rsidR="00C620AD" w:rsidRPr="008625DC">
        <w:t>entered</w:t>
      </w:r>
      <w:r w:rsidR="00504C7B" w:rsidRPr="008625DC">
        <w:t xml:space="preserve"> </w:t>
      </w:r>
      <w:r w:rsidR="00C620AD" w:rsidRPr="008625DC">
        <w:t xml:space="preserve">the market </w:t>
      </w:r>
      <w:r w:rsidR="009E77F9" w:rsidRPr="008625DC">
        <w:t>via constructing</w:t>
      </w:r>
      <w:r w:rsidR="00C620AD" w:rsidRPr="008625DC">
        <w:t xml:space="preserve"> the National Broadband Network</w:t>
      </w:r>
      <w:r w:rsidR="00450C3B" w:rsidRPr="008625DC">
        <w:t xml:space="preserve"> (NBN)</w:t>
      </w:r>
      <w:r w:rsidR="00C620AD" w:rsidRPr="008625DC">
        <w:t>.</w:t>
      </w:r>
      <w:r w:rsidR="00696E29" w:rsidRPr="008625DC">
        <w:t xml:space="preserve"> </w:t>
      </w:r>
      <w:r w:rsidR="00EB290E" w:rsidRPr="008625DC">
        <w:t>The Government</w:t>
      </w:r>
      <w:r w:rsidR="00C74E19" w:rsidRPr="008625DC">
        <w:t>’</w:t>
      </w:r>
      <w:r w:rsidR="00EB290E" w:rsidRPr="008625DC">
        <w:t xml:space="preserve">s response to the </w:t>
      </w:r>
      <w:r w:rsidR="00A82A27" w:rsidRPr="008625DC">
        <w:t xml:space="preserve">Review of </w:t>
      </w:r>
      <w:r w:rsidR="00EE7A06" w:rsidRPr="008625DC">
        <w:t>NBN</w:t>
      </w:r>
      <w:r w:rsidR="00EB290E" w:rsidRPr="008625DC">
        <w:t xml:space="preserve"> provides an opportunity for the </w:t>
      </w:r>
      <w:r w:rsidR="00EE7A06" w:rsidRPr="008625DC">
        <w:t>regulatory framework surrounding the NBN to be assessed against the Panel</w:t>
      </w:r>
      <w:r w:rsidR="00C74E19" w:rsidRPr="008625DC">
        <w:t>’</w:t>
      </w:r>
      <w:r w:rsidR="00EE7A06" w:rsidRPr="008625DC">
        <w:t>s recommended competition principles.</w:t>
      </w:r>
    </w:p>
    <w:p w14:paraId="01B051A3" w14:textId="6D006231" w:rsidR="00D509BF" w:rsidRPr="008625DC" w:rsidRDefault="00504C7B" w:rsidP="00B876A2">
      <w:r w:rsidRPr="008625DC">
        <w:t xml:space="preserve">In contrast, there has been little private investment in </w:t>
      </w:r>
      <w:r w:rsidR="009E77F9" w:rsidRPr="008625DC">
        <w:t xml:space="preserve">urban </w:t>
      </w:r>
      <w:r w:rsidRPr="008625DC">
        <w:t xml:space="preserve">water </w:t>
      </w:r>
      <w:r w:rsidR="00033599" w:rsidRPr="008625DC">
        <w:t>supply</w:t>
      </w:r>
      <w:r w:rsidR="00D509BF" w:rsidRPr="008625DC">
        <w:t>, except</w:t>
      </w:r>
      <w:r w:rsidRPr="008625DC">
        <w:t xml:space="preserve"> for </w:t>
      </w:r>
      <w:r w:rsidR="00B876A2" w:rsidRPr="008625DC">
        <w:t>desalination pl</w:t>
      </w:r>
      <w:r w:rsidR="0083795C" w:rsidRPr="008625DC">
        <w:t>ants.</w:t>
      </w:r>
      <w:r w:rsidR="00033599" w:rsidRPr="008625DC">
        <w:rPr>
          <w:rStyle w:val="FootnoteReference"/>
        </w:rPr>
        <w:footnoteReference w:id="134"/>
      </w:r>
      <w:r w:rsidR="0083795C" w:rsidRPr="008625DC">
        <w:t xml:space="preserve"> These plants</w:t>
      </w:r>
      <w:r w:rsidR="00B876A2" w:rsidRPr="008625DC">
        <w:t xml:space="preserve"> are reliant on government contracts</w:t>
      </w:r>
      <w:r w:rsidR="00506BC2" w:rsidRPr="008625DC">
        <w:t xml:space="preserve"> and are shielded from demand risk</w:t>
      </w:r>
      <w:r w:rsidR="00B876A2" w:rsidRPr="008625DC">
        <w:t>.</w:t>
      </w:r>
      <w:r w:rsidR="000F680C" w:rsidRPr="008625DC">
        <w:t xml:space="preserve"> </w:t>
      </w:r>
      <w:r w:rsidR="00D755DC" w:rsidRPr="008625DC">
        <w:t>T</w:t>
      </w:r>
      <w:r w:rsidR="000F680C" w:rsidRPr="008625DC">
        <w:t xml:space="preserve">o </w:t>
      </w:r>
      <w:r w:rsidR="000F680C" w:rsidRPr="008625DC">
        <w:lastRenderedPageBreak/>
        <w:t>the extent that there has been any private provision of roads this has been done through direct government contracting</w:t>
      </w:r>
      <w:r w:rsidR="00D755DC" w:rsidRPr="008625DC">
        <w:t>.</w:t>
      </w:r>
    </w:p>
    <w:p w14:paraId="0B6F40D6" w14:textId="088777CC" w:rsidR="00504C7B" w:rsidRPr="008625DC" w:rsidRDefault="00D755DC" w:rsidP="00B876A2">
      <w:r w:rsidRPr="008625DC">
        <w:t xml:space="preserve">Similarly, public transport services are either provided directly by government businesses or through contracting out. </w:t>
      </w:r>
      <w:r w:rsidR="004D2C93" w:rsidRPr="008625DC">
        <w:t>R</w:t>
      </w:r>
      <w:r w:rsidRPr="008625DC">
        <w:t xml:space="preserve">estrictions remain on the private provision of public transport services. For example, in NSW bus </w:t>
      </w:r>
      <w:r w:rsidR="00D509BF" w:rsidRPr="008625DC">
        <w:t>operators</w:t>
      </w:r>
      <w:r w:rsidRPr="008625DC">
        <w:t xml:space="preserve"> providing a public transport service less </w:t>
      </w:r>
      <w:r w:rsidR="005154F9" w:rsidRPr="008625DC">
        <w:t>than</w:t>
      </w:r>
      <w:r w:rsidRPr="008625DC">
        <w:t xml:space="preserve"> 40 k</w:t>
      </w:r>
      <w:r w:rsidR="007104F1" w:rsidRPr="008625DC">
        <w:t>ilo</w:t>
      </w:r>
      <w:r w:rsidRPr="008625DC">
        <w:t>m</w:t>
      </w:r>
      <w:r w:rsidR="007104F1" w:rsidRPr="008625DC">
        <w:t>etre</w:t>
      </w:r>
      <w:r w:rsidR="005154F9" w:rsidRPr="008625DC">
        <w:t>s</w:t>
      </w:r>
      <w:r w:rsidRPr="008625DC">
        <w:t xml:space="preserve"> in length must have a contract with the NSW Government.</w:t>
      </w:r>
      <w:r w:rsidR="005154F9" w:rsidRPr="008625DC">
        <w:rPr>
          <w:rStyle w:val="FootnoteReference"/>
        </w:rPr>
        <w:footnoteReference w:id="135"/>
      </w:r>
    </w:p>
    <w:p w14:paraId="360A5E80" w14:textId="040BC227" w:rsidR="0072643F" w:rsidRPr="008625DC" w:rsidRDefault="007104F1" w:rsidP="007104F1">
      <w:pPr>
        <w:pStyle w:val="Heading2NotNumbered"/>
      </w:pPr>
      <w:bookmarkStart w:id="20238" w:name="_Toc397413313"/>
      <w:bookmarkStart w:id="20239" w:name="_Toc397413460"/>
      <w:r w:rsidRPr="008625DC">
        <w:t>Structural s</w:t>
      </w:r>
      <w:r w:rsidR="0072643F" w:rsidRPr="008625DC">
        <w:t>eparation</w:t>
      </w:r>
      <w:bookmarkEnd w:id="20238"/>
      <w:bookmarkEnd w:id="20239"/>
    </w:p>
    <w:p w14:paraId="606C72D3" w14:textId="5E98935D" w:rsidR="00652ECF" w:rsidRPr="008625DC" w:rsidRDefault="00B876A2" w:rsidP="00B876A2">
      <w:r w:rsidRPr="008625DC">
        <w:t>In most sectors</w:t>
      </w:r>
      <w:r w:rsidR="002D7801" w:rsidRPr="008625DC">
        <w:t>,</w:t>
      </w:r>
      <w:r w:rsidRPr="008625DC">
        <w:t xml:space="preserve"> structural reform and separating monopoly from contestable elements has been heavily pursued. In the electricity market, generators have been separated from networks and sold. Competition in retailing has been introduced, and monopoly networks</w:t>
      </w:r>
      <w:r w:rsidR="000F680C" w:rsidRPr="008625DC">
        <w:t xml:space="preserve"> have been subject to prices </w:t>
      </w:r>
      <w:r w:rsidR="003D58C6" w:rsidRPr="008625DC">
        <w:t>regulation</w:t>
      </w:r>
      <w:r w:rsidR="000F680C" w:rsidRPr="008625DC">
        <w:t xml:space="preserve"> by independent regulators. Networks have also been privatised in some jurisdictions. Reform in gas markets has followed a similar path to electricity, with competition introduced </w:t>
      </w:r>
      <w:r w:rsidR="00D509BF" w:rsidRPr="008625DC">
        <w:t>to</w:t>
      </w:r>
      <w:r w:rsidR="000F680C" w:rsidRPr="008625DC">
        <w:t xml:space="preserve"> wholesale gas markets. </w:t>
      </w:r>
    </w:p>
    <w:p w14:paraId="6D52F50B" w14:textId="6EEA2A8D" w:rsidR="00B876A2" w:rsidRPr="008625DC" w:rsidRDefault="00652ECF" w:rsidP="00B876A2">
      <w:r w:rsidRPr="008625DC">
        <w:t>Structural separation was extensively pursued in rail. The main interstate freight network was brought together under the ownership of the Australian Rail Track Corporation, while above</w:t>
      </w:r>
      <w:r w:rsidR="00C74E19" w:rsidRPr="008625DC">
        <w:noBreakHyphen/>
      </w:r>
      <w:r w:rsidRPr="008625DC">
        <w:t xml:space="preserve">rail freight operations have been privatised. </w:t>
      </w:r>
      <w:r w:rsidR="009E5989" w:rsidRPr="008625DC">
        <w:t>Jurisdictions have access regimes in place for regional freight lines. While competition in above</w:t>
      </w:r>
      <w:r w:rsidR="00C74E19" w:rsidRPr="008625DC">
        <w:noBreakHyphen/>
      </w:r>
      <w:r w:rsidR="009E5989" w:rsidRPr="008625DC">
        <w:t xml:space="preserve">rail services has emerged on some routes, on many others volumes have been too low to support competitive entry. Much of the rail freight sector </w:t>
      </w:r>
      <w:r w:rsidR="003C2B9D" w:rsidRPr="008625DC">
        <w:t>faces strong competition from</w:t>
      </w:r>
      <w:r w:rsidR="009E5989" w:rsidRPr="008625DC">
        <w:t xml:space="preserve"> road transport.</w:t>
      </w:r>
      <w:r w:rsidR="000F680C" w:rsidRPr="008625DC">
        <w:t xml:space="preserve"> The major ports have also been reformed with port authorities now typically acting as landlords for competing service providers rather than directly providing services.</w:t>
      </w:r>
    </w:p>
    <w:p w14:paraId="1B5DF3D0" w14:textId="489FEAB8" w:rsidR="009E5989" w:rsidRPr="008625DC" w:rsidRDefault="00652ECF" w:rsidP="0072643F">
      <w:r w:rsidRPr="008625DC">
        <w:t>W</w:t>
      </w:r>
      <w:r w:rsidR="0072643F" w:rsidRPr="008625DC">
        <w:t>hile competition was introduced in telecommunications, the dominant fixed</w:t>
      </w:r>
      <w:r w:rsidR="00C74E19" w:rsidRPr="008625DC">
        <w:noBreakHyphen/>
      </w:r>
      <w:r w:rsidR="0072643F" w:rsidRPr="008625DC">
        <w:t>line provider, Telstra, was privatised without being structurally separated. Instead</w:t>
      </w:r>
      <w:r w:rsidR="00D509BF" w:rsidRPr="008625DC">
        <w:t>,</w:t>
      </w:r>
      <w:r w:rsidR="0072643F" w:rsidRPr="008625DC">
        <w:t xml:space="preserve"> reliance was placed on providing third</w:t>
      </w:r>
      <w:r w:rsidR="00C74E19" w:rsidRPr="008625DC">
        <w:noBreakHyphen/>
      </w:r>
      <w:r w:rsidR="0072643F" w:rsidRPr="008625DC">
        <w:t>party access to Telstra</w:t>
      </w:r>
      <w:r w:rsidR="00C74E19" w:rsidRPr="008625DC">
        <w:t>’</w:t>
      </w:r>
      <w:r w:rsidR="0072643F" w:rsidRPr="008625DC">
        <w:t>s fixed</w:t>
      </w:r>
      <w:r w:rsidR="00C74E19" w:rsidRPr="008625DC">
        <w:noBreakHyphen/>
      </w:r>
      <w:r w:rsidR="0072643F" w:rsidRPr="008625DC">
        <w:t>line network. On the face of it, this has seen less fixed</w:t>
      </w:r>
      <w:r w:rsidR="00C74E19" w:rsidRPr="008625DC">
        <w:noBreakHyphen/>
      </w:r>
      <w:r w:rsidR="0072643F" w:rsidRPr="008625DC">
        <w:t>line retail competition in telecommunications than might have been expected</w:t>
      </w:r>
      <w:r w:rsidRPr="008625DC">
        <w:t>. Dissatisfaction with access arrangements</w:t>
      </w:r>
      <w:r w:rsidR="0072643F" w:rsidRPr="008625DC">
        <w:t xml:space="preserve"> also led </w:t>
      </w:r>
      <w:r w:rsidR="00652B37" w:rsidRPr="008625DC">
        <w:t xml:space="preserve">Optus </w:t>
      </w:r>
      <w:r w:rsidR="00D509BF" w:rsidRPr="008625DC">
        <w:t xml:space="preserve">to </w:t>
      </w:r>
      <w:r w:rsidR="00652B37" w:rsidRPr="008625DC">
        <w:t>build its own hybrid fibre</w:t>
      </w:r>
      <w:r w:rsidR="00C74E19" w:rsidRPr="008625DC">
        <w:noBreakHyphen/>
      </w:r>
      <w:r w:rsidR="00652B37" w:rsidRPr="008625DC">
        <w:t>coaxial</w:t>
      </w:r>
      <w:r w:rsidR="0072643F" w:rsidRPr="008625DC">
        <w:t xml:space="preserve"> network. </w:t>
      </w:r>
    </w:p>
    <w:p w14:paraId="6AE29E3A" w14:textId="325F00BA" w:rsidR="0072643F" w:rsidRPr="008625DC" w:rsidRDefault="00652B37" w:rsidP="0072643F">
      <w:r w:rsidRPr="008625DC">
        <w:t>Over time</w:t>
      </w:r>
      <w:r w:rsidR="0072643F" w:rsidRPr="008625DC">
        <w:t xml:space="preserve">, changes in technology have </w:t>
      </w:r>
      <w:r w:rsidR="00D509BF" w:rsidRPr="008625DC">
        <w:t>strengthened</w:t>
      </w:r>
      <w:r w:rsidR="0072643F" w:rsidRPr="008625DC">
        <w:t xml:space="preserve"> competition in telecommunications. Data rather than voice </w:t>
      </w:r>
      <w:proofErr w:type="gramStart"/>
      <w:r w:rsidR="0072643F" w:rsidRPr="008625DC">
        <w:t>is</w:t>
      </w:r>
      <w:proofErr w:type="gramEnd"/>
      <w:r w:rsidR="0072643F" w:rsidRPr="008625DC">
        <w:t xml:space="preserve"> now</w:t>
      </w:r>
      <w:r w:rsidR="00652ECF" w:rsidRPr="008625DC">
        <w:t xml:space="preserve"> the dominant form of demand</w:t>
      </w:r>
      <w:r w:rsidRPr="008625DC">
        <w:t xml:space="preserve"> in the market</w:t>
      </w:r>
      <w:r w:rsidR="00652ECF" w:rsidRPr="008625DC">
        <w:t>, and wireless technologies compete</w:t>
      </w:r>
      <w:r w:rsidR="009E5989" w:rsidRPr="008625DC">
        <w:t xml:space="preserve"> effectively</w:t>
      </w:r>
      <w:r w:rsidR="00652ECF" w:rsidRPr="008625DC">
        <w:t xml:space="preserve"> with fixed</w:t>
      </w:r>
      <w:r w:rsidR="00C74E19" w:rsidRPr="008625DC">
        <w:noBreakHyphen/>
      </w:r>
      <w:r w:rsidR="00652ECF" w:rsidRPr="008625DC">
        <w:t>line technologies in many applications.</w:t>
      </w:r>
    </w:p>
    <w:p w14:paraId="6B73AD34" w14:textId="0B499092" w:rsidR="009E5989" w:rsidRPr="008625DC" w:rsidRDefault="009E5989" w:rsidP="007104F1">
      <w:pPr>
        <w:pStyle w:val="Heading2NotNumbered"/>
      </w:pPr>
      <w:bookmarkStart w:id="20240" w:name="_Toc397413314"/>
      <w:bookmarkStart w:id="20241" w:name="_Toc397413461"/>
      <w:r w:rsidRPr="008625DC">
        <w:t>Privatisation</w:t>
      </w:r>
      <w:bookmarkEnd w:id="20240"/>
      <w:bookmarkEnd w:id="20241"/>
    </w:p>
    <w:p w14:paraId="1F07DA2C" w14:textId="319BFDD9" w:rsidR="009E5989" w:rsidRPr="008625DC" w:rsidRDefault="00D755DC" w:rsidP="007D6833">
      <w:r w:rsidRPr="008625DC">
        <w:t>Government ownership of infrastructure assets has been greatly reduced through privatisation in most infrastructure sectors. In the electricity market,</w:t>
      </w:r>
      <w:r w:rsidR="00561CA5" w:rsidRPr="008625DC">
        <w:t xml:space="preserve"> some</w:t>
      </w:r>
      <w:r w:rsidRPr="008625DC">
        <w:t xml:space="preserve"> jurisdictions have </w:t>
      </w:r>
      <w:r w:rsidR="00A25966" w:rsidRPr="008625DC">
        <w:t xml:space="preserve">already privatised </w:t>
      </w:r>
      <w:r w:rsidRPr="008625DC">
        <w:t xml:space="preserve">or are in the process of privatising generation and network assets. </w:t>
      </w:r>
      <w:r w:rsidR="00EF3CC9" w:rsidRPr="008625DC">
        <w:t>Gas has followed a similar path. In t</w:t>
      </w:r>
      <w:r w:rsidRPr="008625DC">
        <w:t>elecommunications</w:t>
      </w:r>
      <w:r w:rsidR="00EF3CC9" w:rsidRPr="008625DC">
        <w:t>,</w:t>
      </w:r>
      <w:r w:rsidRPr="008625DC">
        <w:t xml:space="preserve"> assets have been fully privatised, although the National Broadb</w:t>
      </w:r>
      <w:r w:rsidR="00EF3CC9" w:rsidRPr="008625DC">
        <w:t xml:space="preserve">and Network is now being built </w:t>
      </w:r>
      <w:r w:rsidRPr="008625DC">
        <w:t xml:space="preserve">by a </w:t>
      </w:r>
      <w:r w:rsidR="00A25966" w:rsidRPr="008625DC">
        <w:t>Commonwealth</w:t>
      </w:r>
      <w:r w:rsidR="007039E7" w:rsidRPr="008625DC">
        <w:noBreakHyphen/>
      </w:r>
      <w:r w:rsidRPr="008625DC">
        <w:t>owned company.</w:t>
      </w:r>
    </w:p>
    <w:p w14:paraId="1A8FF7AE" w14:textId="2BD3E360" w:rsidR="00EF3CC9" w:rsidRPr="008625DC" w:rsidRDefault="00EF3CC9" w:rsidP="007D6833">
      <w:r w:rsidRPr="008625DC">
        <w:t>All the major airports have been privatised through long</w:t>
      </w:r>
      <w:r w:rsidR="00C74E19" w:rsidRPr="008625DC">
        <w:noBreakHyphen/>
      </w:r>
      <w:r w:rsidRPr="008625DC">
        <w:t>term leases. The Australian Government has also privatised its airline. In rail, above</w:t>
      </w:r>
      <w:r w:rsidR="00C74E19" w:rsidRPr="008625DC">
        <w:noBreakHyphen/>
      </w:r>
      <w:r w:rsidRPr="008625DC">
        <w:t>rail freight operations have been privatised as have many regional freight lines. However, the A</w:t>
      </w:r>
      <w:r w:rsidR="007D520E" w:rsidRPr="008625DC">
        <w:t xml:space="preserve">ustralian </w:t>
      </w:r>
      <w:r w:rsidRPr="008625DC">
        <w:t>R</w:t>
      </w:r>
      <w:r w:rsidR="007D520E" w:rsidRPr="008625DC">
        <w:t xml:space="preserve">ail </w:t>
      </w:r>
      <w:r w:rsidRPr="008625DC">
        <w:t>T</w:t>
      </w:r>
      <w:r w:rsidR="007D520E" w:rsidRPr="008625DC">
        <w:t xml:space="preserve">rack </w:t>
      </w:r>
      <w:r w:rsidRPr="008625DC">
        <w:t>C</w:t>
      </w:r>
      <w:r w:rsidR="007D520E" w:rsidRPr="008625DC">
        <w:t>orporation</w:t>
      </w:r>
      <w:r w:rsidRPr="008625DC">
        <w:t xml:space="preserve"> still remains a </w:t>
      </w:r>
      <w:r w:rsidR="007305AD" w:rsidRPr="008625DC">
        <w:t>Commo</w:t>
      </w:r>
      <w:r w:rsidR="002C325C" w:rsidRPr="008625DC">
        <w:t>n</w:t>
      </w:r>
      <w:r w:rsidR="007305AD" w:rsidRPr="008625DC">
        <w:t>wealth</w:t>
      </w:r>
      <w:r w:rsidR="00C74E19" w:rsidRPr="008625DC">
        <w:noBreakHyphen/>
      </w:r>
      <w:r w:rsidRPr="008625DC">
        <w:t xml:space="preserve">owned corporation. In contrast, in the water sector there has been little </w:t>
      </w:r>
      <w:r w:rsidRPr="008625DC">
        <w:lastRenderedPageBreak/>
        <w:t>consideration given to privatising dams and the water reticulation network. Similarly</w:t>
      </w:r>
      <w:r w:rsidR="007305AD" w:rsidRPr="008625DC">
        <w:t>,</w:t>
      </w:r>
      <w:r w:rsidRPr="008625DC">
        <w:t xml:space="preserve"> privatisation has not been pursued in the roads sector to any extent, though there have been some privately built toll roads.</w:t>
      </w:r>
    </w:p>
    <w:p w14:paraId="2FEED0FB" w14:textId="01FC5F2A" w:rsidR="00EF3CC9" w:rsidRPr="008625DC" w:rsidRDefault="00A75F26" w:rsidP="007D6833">
      <w:r w:rsidRPr="008625DC">
        <w:t>P</w:t>
      </w:r>
      <w:r w:rsidR="009D211B" w:rsidRPr="008625DC">
        <w:t xml:space="preserve">rivatisation has brought considerable public benefit. Governments have </w:t>
      </w:r>
      <w:r w:rsidR="00561CA5" w:rsidRPr="008625DC">
        <w:t>been able to redirect resources from</w:t>
      </w:r>
      <w:r w:rsidR="009D211B" w:rsidRPr="008625DC">
        <w:t xml:space="preserve"> asset s</w:t>
      </w:r>
      <w:r w:rsidRPr="008625DC">
        <w:t xml:space="preserve">ales </w:t>
      </w:r>
      <w:r w:rsidR="00561CA5" w:rsidRPr="008625DC">
        <w:t xml:space="preserve">into, for example, human services </w:t>
      </w:r>
      <w:r w:rsidRPr="008625DC">
        <w:t xml:space="preserve">and retail competition has emerged in many markets. Privatisation has also </w:t>
      </w:r>
      <w:r w:rsidR="007305AD" w:rsidRPr="008625DC">
        <w:t>delivered</w:t>
      </w:r>
      <w:r w:rsidR="009D211B" w:rsidRPr="008625DC">
        <w:t xml:space="preserve"> more efficient</w:t>
      </w:r>
      <w:r w:rsidR="00497E54" w:rsidRPr="008625DC">
        <w:t xml:space="preserve"> management of assets and investments have been more responsive to changes in market demand. For example, airports have been increas</w:t>
      </w:r>
      <w:r w:rsidR="00365352" w:rsidRPr="008625DC">
        <w:t>ing capacity as demand dictates</w:t>
      </w:r>
      <w:r w:rsidR="00497E54" w:rsidRPr="008625DC">
        <w:t>.</w:t>
      </w:r>
    </w:p>
    <w:p w14:paraId="06CB7659" w14:textId="58A3BFE9" w:rsidR="003D1EF1" w:rsidRPr="008625DC" w:rsidRDefault="003D1EF1" w:rsidP="007D6833">
      <w:r w:rsidRPr="008625DC">
        <w:t>The NSW Government</w:t>
      </w:r>
      <w:r w:rsidR="00C74E19" w:rsidRPr="008625DC">
        <w:t>’</w:t>
      </w:r>
      <w:r w:rsidRPr="008625DC">
        <w:t xml:space="preserve">s </w:t>
      </w:r>
      <w:r w:rsidRPr="008625DC">
        <w:rPr>
          <w:i/>
        </w:rPr>
        <w:t>Electricity Prices and Services: Fact Sheet 11</w:t>
      </w:r>
      <w:r w:rsidRPr="008625DC">
        <w:t xml:space="preserve"> </w:t>
      </w:r>
      <w:r w:rsidR="004D2C93" w:rsidRPr="008625DC">
        <w:t>shows</w:t>
      </w:r>
      <w:r w:rsidRPr="008625DC">
        <w:t xml:space="preserve"> the movement in average annual real electricity network prices being lower in jurisdictions where those assets have been privatised (Victoria and South Australia) compared to those where they have not (New South Wales and Queensland).</w:t>
      </w:r>
    </w:p>
    <w:p w14:paraId="3CE7B45B" w14:textId="642C18CB" w:rsidR="003D1EF1" w:rsidRPr="008625DC" w:rsidRDefault="003D1EF1" w:rsidP="007104F1">
      <w:pPr>
        <w:spacing w:after="120"/>
      </w:pPr>
      <w:r w:rsidRPr="008625DC">
        <w:t xml:space="preserve">EnergyAustralia notes that there are distortions or inefficiencies caused by </w:t>
      </w:r>
      <w:r w:rsidR="007305AD" w:rsidRPr="008625DC">
        <w:t>g</w:t>
      </w:r>
      <w:r w:rsidRPr="008625DC">
        <w:t>overnment ownership:</w:t>
      </w:r>
    </w:p>
    <w:p w14:paraId="5ADBCA2B" w14:textId="5C97E5B3" w:rsidR="003D1EF1" w:rsidRPr="008625DC" w:rsidRDefault="007039E7" w:rsidP="003D1EF1">
      <w:pPr>
        <w:pStyle w:val="Quotes"/>
      </w:pPr>
      <w:r w:rsidRPr="008625DC">
        <w:t>[</w:t>
      </w:r>
      <w:r w:rsidR="00160D90">
        <w:t>A</w:t>
      </w:r>
      <w:r w:rsidRPr="008625DC">
        <w:t>]</w:t>
      </w:r>
      <w:r w:rsidR="003D1EF1" w:rsidRPr="008625DC">
        <w:t xml:space="preserve"> </w:t>
      </w:r>
      <w:proofErr w:type="gramStart"/>
      <w:r w:rsidR="003D1EF1" w:rsidRPr="008625DC">
        <w:t>policy</w:t>
      </w:r>
      <w:proofErr w:type="gramEnd"/>
      <w:r w:rsidR="003D1EF1" w:rsidRPr="008625DC">
        <w:t xml:space="preserve"> tension is created where Governments continue to own generation and network assets creating the potential to influence policy positions to the detriment of customers and/or taxpayers through unnecessarily high reliability standards or intervention in natural commercial processes. The NEM </w:t>
      </w:r>
      <w:r w:rsidR="00602723" w:rsidRPr="008625DC">
        <w:t>[National E</w:t>
      </w:r>
      <w:r w:rsidR="00024D13" w:rsidRPr="008625DC">
        <w:t>lectricity</w:t>
      </w:r>
      <w:r w:rsidR="00602723" w:rsidRPr="008625DC">
        <w:t xml:space="preserve"> Market]</w:t>
      </w:r>
      <w:r w:rsidR="003D1EF1" w:rsidRPr="008625DC">
        <w:t xml:space="preserve"> has developed as a robust market with significant private investment and Government policy has the ability to significantly shape how investment is made. (</w:t>
      </w:r>
      <w:proofErr w:type="gramStart"/>
      <w:r w:rsidR="003D1EF1" w:rsidRPr="008625DC">
        <w:t>p</w:t>
      </w:r>
      <w:r w:rsidR="007104F1" w:rsidRPr="008625DC">
        <w:t>age</w:t>
      </w:r>
      <w:proofErr w:type="gramEnd"/>
      <w:r w:rsidR="003D1EF1" w:rsidRPr="008625DC">
        <w:t xml:space="preserve"> 7)</w:t>
      </w:r>
    </w:p>
    <w:p w14:paraId="1427FEA2" w14:textId="77777777" w:rsidR="003D1EF1" w:rsidRPr="008625DC" w:rsidRDefault="003D1EF1" w:rsidP="003D1EF1">
      <w:r w:rsidRPr="008625DC">
        <w:t xml:space="preserve">The issue of how to privatise effectively is demonstrated by port infrastructure, where ensuring the regulatory regime can sufficiently influence port authority activities to constrain monopoly power is an issue. While some ports, particularly bulk ports, may have only a few large customers that can exert countervailing power, other ports may have significant market power in the absence of effective regulation. </w:t>
      </w:r>
    </w:p>
    <w:p w14:paraId="5D6041F9" w14:textId="746DE5A7" w:rsidR="003D1EF1" w:rsidRPr="008625DC" w:rsidRDefault="003D1EF1" w:rsidP="003D1EF1">
      <w:r w:rsidRPr="008625DC">
        <w:t>An example of the former is the Hunter Valley coal chain, which brought together 11 coal miners, four rail haulage providers and three terminals to optimise the coal export chain in the Hunter Valley.</w:t>
      </w:r>
      <w:r w:rsidRPr="008625DC">
        <w:rPr>
          <w:rStyle w:val="FootnoteReference"/>
        </w:rPr>
        <w:footnoteReference w:id="136"/>
      </w:r>
      <w:r w:rsidRPr="008625DC">
        <w:t xml:space="preserve"> Most city container ports are likely to fall into the latter category, </w:t>
      </w:r>
      <w:proofErr w:type="gramStart"/>
      <w:r w:rsidRPr="008625DC">
        <w:t>with neither shipping lines, stevedores</w:t>
      </w:r>
      <w:r w:rsidR="00C62EA0" w:rsidRPr="008625DC">
        <w:t>,</w:t>
      </w:r>
      <w:r w:rsidRPr="008625DC">
        <w:t xml:space="preserve"> nor shippers having the market power and/or the incentive to effectively constrain the port authority or each other</w:t>
      </w:r>
      <w:proofErr w:type="gramEnd"/>
      <w:r w:rsidRPr="008625DC">
        <w:t xml:space="preserve">. </w:t>
      </w:r>
    </w:p>
    <w:p w14:paraId="50CFE557" w14:textId="601DC4E4" w:rsidR="003D1EF1" w:rsidRPr="008625DC" w:rsidRDefault="003D1EF1" w:rsidP="007104F1">
      <w:pPr>
        <w:spacing w:after="120"/>
      </w:pPr>
      <w:r w:rsidRPr="008625DC">
        <w:t>The ACCC also cite</w:t>
      </w:r>
      <w:r w:rsidR="007305AD" w:rsidRPr="008625DC">
        <w:t>s</w:t>
      </w:r>
      <w:r w:rsidRPr="008625DC">
        <w:t xml:space="preserve"> anecdotal evidence suggesting ports </w:t>
      </w:r>
      <w:r w:rsidR="007305AD" w:rsidRPr="008625DC">
        <w:t>are</w:t>
      </w:r>
      <w:r w:rsidRPr="008625DC">
        <w:t xml:space="preserve"> being sold or </w:t>
      </w:r>
      <w:r w:rsidR="007305AD" w:rsidRPr="008625DC">
        <w:t>considered for sale</w:t>
      </w:r>
      <w:r w:rsidRPr="008625DC">
        <w:t xml:space="preserve"> with restrictions on competition in p</w:t>
      </w:r>
      <w:r w:rsidR="007104F1" w:rsidRPr="008625DC">
        <w:t xml:space="preserve">lace to enhance sale prices. </w:t>
      </w:r>
      <w:r w:rsidRPr="008625DC">
        <w:t>It note</w:t>
      </w:r>
      <w:r w:rsidR="007305AD" w:rsidRPr="008625DC">
        <w:t>s</w:t>
      </w:r>
      <w:r w:rsidRPr="008625DC">
        <w:t xml:space="preserve"> that:</w:t>
      </w:r>
    </w:p>
    <w:p w14:paraId="27BCE19D" w14:textId="658A63E2" w:rsidR="003D1EF1" w:rsidRPr="008625DC" w:rsidRDefault="003D1EF1" w:rsidP="003D1EF1">
      <w:pPr>
        <w:pStyle w:val="Quotes"/>
      </w:pPr>
      <w:r w:rsidRPr="008625DC">
        <w:t>Privatisation of port assets can raise issues of efficiency where monopoly rights are conferred by state governments, with no consideration to the prospect for competition and/or the need for economic regulation. This has the potential to result in lost efficiencies and/or higher charges which may be hard to remed</w:t>
      </w:r>
      <w:r w:rsidR="007104F1" w:rsidRPr="008625DC">
        <w:t>y after the assets are sold. (</w:t>
      </w:r>
      <w:proofErr w:type="gramStart"/>
      <w:r w:rsidR="007104F1" w:rsidRPr="008625DC">
        <w:t>page</w:t>
      </w:r>
      <w:proofErr w:type="gramEnd"/>
      <w:r w:rsidRPr="008625DC">
        <w:t xml:space="preserve"> 38)</w:t>
      </w:r>
    </w:p>
    <w:p w14:paraId="6CCDC1BD" w14:textId="51EB0626" w:rsidR="00652B37" w:rsidRPr="008625DC" w:rsidRDefault="00652B37" w:rsidP="00652B37">
      <w:r w:rsidRPr="008625DC">
        <w:t xml:space="preserve">Sydney </w:t>
      </w:r>
      <w:r w:rsidR="007305AD" w:rsidRPr="008625DC">
        <w:t>A</w:t>
      </w:r>
      <w:r w:rsidRPr="008625DC">
        <w:t xml:space="preserve">irport serves as another example where the </w:t>
      </w:r>
      <w:r w:rsidR="007305AD" w:rsidRPr="008625DC">
        <w:t>g</w:t>
      </w:r>
      <w:r w:rsidRPr="008625DC">
        <w:t xml:space="preserve">overnment privatised with a monopoly right </w:t>
      </w:r>
      <w:r w:rsidR="007305AD" w:rsidRPr="008625DC">
        <w:t>in place, namely,</w:t>
      </w:r>
      <w:r w:rsidRPr="008625DC">
        <w:t xml:space="preserve"> a first right of refusal to operate </w:t>
      </w:r>
      <w:r w:rsidR="008C7C1B" w:rsidRPr="008625DC">
        <w:t>a</w:t>
      </w:r>
      <w:r w:rsidRPr="008625DC">
        <w:t xml:space="preserve"> second Sydney airport.</w:t>
      </w:r>
      <w:r w:rsidR="005154F9" w:rsidRPr="008625DC">
        <w:rPr>
          <w:rStyle w:val="FootnoteReference"/>
        </w:rPr>
        <w:footnoteReference w:id="137"/>
      </w:r>
      <w:r w:rsidRPr="008625DC">
        <w:t xml:space="preserve"> While the </w:t>
      </w:r>
      <w:r w:rsidR="007305AD" w:rsidRPr="008625DC">
        <w:t>Commonwealth</w:t>
      </w:r>
      <w:r w:rsidRPr="008625DC">
        <w:t xml:space="preserve"> may have achieved a higher sale price, this </w:t>
      </w:r>
      <w:r w:rsidR="00920DA5" w:rsidRPr="008625DC">
        <w:t>has come</w:t>
      </w:r>
      <w:r w:rsidRPr="008625DC">
        <w:t xml:space="preserve"> at </w:t>
      </w:r>
      <w:r w:rsidR="00920DA5" w:rsidRPr="008625DC">
        <w:t>the longer</w:t>
      </w:r>
      <w:r w:rsidRPr="008625DC">
        <w:t xml:space="preserve"> term cost of </w:t>
      </w:r>
      <w:r w:rsidR="00315128" w:rsidRPr="008625DC">
        <w:t xml:space="preserve">a </w:t>
      </w:r>
      <w:r w:rsidRPr="008625DC">
        <w:t>less competitive market structure.</w:t>
      </w:r>
    </w:p>
    <w:p w14:paraId="658C2DC9" w14:textId="196799E6" w:rsidR="00497E54" w:rsidRPr="008625DC" w:rsidRDefault="00890B80" w:rsidP="007104F1">
      <w:pPr>
        <w:pStyle w:val="Heading2NotNumbered"/>
      </w:pPr>
      <w:bookmarkStart w:id="20242" w:name="_Toc397413315"/>
      <w:bookmarkStart w:id="20243" w:name="_Toc397413462"/>
      <w:r w:rsidRPr="008625DC">
        <w:lastRenderedPageBreak/>
        <w:t xml:space="preserve">Pricing </w:t>
      </w:r>
      <w:r w:rsidR="003D1EF1" w:rsidRPr="008625DC">
        <w:t>r</w:t>
      </w:r>
      <w:r w:rsidR="00497E54" w:rsidRPr="008625DC">
        <w:t>eform</w:t>
      </w:r>
      <w:r w:rsidR="003D1EF1" w:rsidRPr="008625DC">
        <w:t xml:space="preserve"> and access</w:t>
      </w:r>
      <w:bookmarkEnd w:id="20242"/>
      <w:bookmarkEnd w:id="20243"/>
    </w:p>
    <w:p w14:paraId="6D42968F" w14:textId="2FC1B501" w:rsidR="00A75F26" w:rsidRPr="008625DC" w:rsidRDefault="00497E54" w:rsidP="000653E5">
      <w:r w:rsidRPr="008625DC">
        <w:t>Pricing reform and the move to cost</w:t>
      </w:r>
      <w:r w:rsidR="00C74E19" w:rsidRPr="008625DC">
        <w:noBreakHyphen/>
      </w:r>
      <w:r w:rsidRPr="008625DC">
        <w:t>reflective pricing</w:t>
      </w:r>
      <w:r w:rsidR="00A75F26" w:rsidRPr="008625DC">
        <w:t xml:space="preserve"> has been pursued extensively in most infrastructure markets and has been a key driver of efficiency and allowing markets to offer more consumer choice</w:t>
      </w:r>
      <w:r w:rsidR="00716E3F" w:rsidRPr="008625DC">
        <w:t>; for example, through facilitating retail price competition</w:t>
      </w:r>
      <w:r w:rsidR="00A75F26" w:rsidRPr="008625DC">
        <w:t>.</w:t>
      </w:r>
    </w:p>
    <w:p w14:paraId="405CA94F" w14:textId="67FECB26" w:rsidR="00890B80" w:rsidRPr="008625DC" w:rsidRDefault="00A75F26" w:rsidP="000653E5">
      <w:r w:rsidRPr="008625DC">
        <w:t>B</w:t>
      </w:r>
      <w:r w:rsidR="00890B80" w:rsidRPr="008625DC">
        <w:t xml:space="preserve">enefits from </w:t>
      </w:r>
      <w:r w:rsidRPr="008625DC">
        <w:t>pricing</w:t>
      </w:r>
      <w:r w:rsidR="00890B80" w:rsidRPr="008625DC">
        <w:t xml:space="preserve"> reform in infrastructure sectors </w:t>
      </w:r>
      <w:r w:rsidRPr="008625DC">
        <w:t>arise</w:t>
      </w:r>
      <w:r w:rsidR="00890B80" w:rsidRPr="008625DC">
        <w:t xml:space="preserve"> through driving better use of existing </w:t>
      </w:r>
      <w:r w:rsidR="00890B80" w:rsidRPr="008625DC" w:rsidDel="00955443">
        <w:t>infrastructure</w:t>
      </w:r>
      <w:r w:rsidR="00890B80" w:rsidRPr="008625DC">
        <w:t>, which can delay the need for infrastructure investment</w:t>
      </w:r>
      <w:r w:rsidR="007C7F35" w:rsidRPr="008625DC">
        <w:t>. Where cost</w:t>
      </w:r>
      <w:r w:rsidR="00C74E19" w:rsidRPr="008625DC">
        <w:noBreakHyphen/>
      </w:r>
      <w:r w:rsidR="007C7F35" w:rsidRPr="008625DC">
        <w:t xml:space="preserve">reflective pricing is present, consumer demand will also provide a more accurate guide to infrastructure investment. This increases the </w:t>
      </w:r>
      <w:r w:rsidR="00602723" w:rsidRPr="008625DC">
        <w:t>likelihood</w:t>
      </w:r>
      <w:r w:rsidR="007C7F35" w:rsidRPr="008625DC">
        <w:t xml:space="preserve"> that such investment is efficient and responds to actual changes in demand and consumer preferences. These factors </w:t>
      </w:r>
      <w:r w:rsidR="00890B80" w:rsidRPr="008625DC">
        <w:t>lower the c</w:t>
      </w:r>
      <w:r w:rsidRPr="008625DC">
        <w:t>ost</w:t>
      </w:r>
      <w:r w:rsidR="007C7F35" w:rsidRPr="008625DC">
        <w:t xml:space="preserve"> and increase the responsiveness</w:t>
      </w:r>
      <w:r w:rsidR="00890B80" w:rsidRPr="008625DC">
        <w:t xml:space="preserve"> across </w:t>
      </w:r>
      <w:r w:rsidRPr="008625DC">
        <w:t>market</w:t>
      </w:r>
      <w:r w:rsidR="007C7F35" w:rsidRPr="008625DC">
        <w:t>s to the benefit of consumers</w:t>
      </w:r>
      <w:r w:rsidRPr="008625DC">
        <w:t xml:space="preserve">. </w:t>
      </w:r>
      <w:r w:rsidR="007C7F35" w:rsidRPr="008625DC">
        <w:t>I</w:t>
      </w:r>
      <w:r w:rsidR="00890B80" w:rsidRPr="008625DC">
        <w:t>t also means governments can better target assistance to vulnerable consumers in those markets</w:t>
      </w:r>
      <w:r w:rsidR="007C7F35" w:rsidRPr="008625DC">
        <w:t>, reducing the burden on taxpayers</w:t>
      </w:r>
      <w:r w:rsidR="00890B80" w:rsidRPr="008625DC">
        <w:t xml:space="preserve">. </w:t>
      </w:r>
    </w:p>
    <w:p w14:paraId="13053B8B" w14:textId="77777777" w:rsidR="007305AD" w:rsidRPr="008625DC" w:rsidRDefault="00716E3F" w:rsidP="000653E5">
      <w:r w:rsidRPr="008625DC">
        <w:t>Pricing reform has generally been pursued through deregulating prices where markets are sufficiently competitive, while subjecting the monopoly parts o</w:t>
      </w:r>
      <w:r w:rsidR="003D1EF1" w:rsidRPr="008625DC">
        <w:t>f markets to prices oversight,</w:t>
      </w:r>
      <w:r w:rsidRPr="008625DC">
        <w:t xml:space="preserve"> direct price regulation</w:t>
      </w:r>
      <w:r w:rsidR="003D1EF1" w:rsidRPr="008625DC">
        <w:t xml:space="preserve"> and access regimes</w:t>
      </w:r>
      <w:r w:rsidRPr="008625DC">
        <w:t>. For example, in the electricity market wholesale prices are deregulated as are retail prices in some jurisdictions, while network prices are subject to pricing determinations.</w:t>
      </w:r>
    </w:p>
    <w:p w14:paraId="03EAD804" w14:textId="1300C91F" w:rsidR="00307090" w:rsidRPr="008625DC" w:rsidRDefault="00716E3F" w:rsidP="000653E5">
      <w:r w:rsidRPr="008625DC">
        <w:t xml:space="preserve">Similarly in telecommunications markets, prices for </w:t>
      </w:r>
      <w:r w:rsidR="00A31763" w:rsidRPr="008625DC">
        <w:t>mobile</w:t>
      </w:r>
      <w:r w:rsidRPr="008625DC">
        <w:t xml:space="preserve"> and retail services are deregulated, but Telstra</w:t>
      </w:r>
      <w:r w:rsidR="00C74E19" w:rsidRPr="008625DC">
        <w:t>’</w:t>
      </w:r>
      <w:r w:rsidRPr="008625DC">
        <w:t>s fixed</w:t>
      </w:r>
      <w:r w:rsidR="00C74E19" w:rsidRPr="008625DC">
        <w:noBreakHyphen/>
      </w:r>
      <w:r w:rsidRPr="008625DC">
        <w:t>line network is subject</w:t>
      </w:r>
      <w:r w:rsidR="00307090" w:rsidRPr="008625DC">
        <w:t xml:space="preserve"> to pricing</w:t>
      </w:r>
      <w:r w:rsidR="003D1EF1" w:rsidRPr="008625DC">
        <w:t xml:space="preserve"> and access</w:t>
      </w:r>
      <w:r w:rsidR="00307090" w:rsidRPr="008625DC">
        <w:t xml:space="preserve"> determinations. </w:t>
      </w:r>
      <w:r w:rsidRPr="008625DC">
        <w:t>Airports and ports are subject to prices oversight and a range of</w:t>
      </w:r>
      <w:r w:rsidR="00BA2086" w:rsidRPr="008625DC">
        <w:t xml:space="preserve"> other regulatory tools, which can be used to prevent monopoly pricing. Access declarations remain available as a regulatory tool for airports and ports</w:t>
      </w:r>
      <w:r w:rsidR="00352AA9">
        <w:t>,</w:t>
      </w:r>
      <w:r w:rsidR="00BA2086" w:rsidRPr="008625DC">
        <w:t xml:space="preserve"> but for the most part have not </w:t>
      </w:r>
      <w:r w:rsidR="00A31763" w:rsidRPr="008625DC">
        <w:t>needed to be</w:t>
      </w:r>
      <w:r w:rsidR="00BA2086" w:rsidRPr="008625DC">
        <w:t xml:space="preserve"> pursued.</w:t>
      </w:r>
      <w:r w:rsidRPr="008625DC">
        <w:t xml:space="preserve"> </w:t>
      </w:r>
    </w:p>
    <w:p w14:paraId="4D7BC2DD" w14:textId="005CCA9B" w:rsidR="008C5742" w:rsidRPr="008625DC" w:rsidRDefault="00307090" w:rsidP="000653E5">
      <w:r w:rsidRPr="008625DC">
        <w:t xml:space="preserve">In contrast, in water and in roads there has been little </w:t>
      </w:r>
      <w:r w:rsidR="00561CA5" w:rsidRPr="008625DC">
        <w:t>progress introducing</w:t>
      </w:r>
      <w:r w:rsidRPr="008625DC">
        <w:t xml:space="preserve"> pricing that reflects the actual cost of use on the network, such as time and location charging. </w:t>
      </w:r>
      <w:r w:rsidR="00BA2086" w:rsidRPr="008625DC">
        <w:t>Investment in those sectors</w:t>
      </w:r>
      <w:r w:rsidRPr="008625DC">
        <w:t xml:space="preserve"> </w:t>
      </w:r>
      <w:r w:rsidR="00714D78" w:rsidRPr="008625DC">
        <w:t>is either</w:t>
      </w:r>
      <w:r w:rsidRPr="008625DC">
        <w:t xml:space="preserve"> funded directly from budgets or </w:t>
      </w:r>
      <w:r w:rsidR="00714D78" w:rsidRPr="008625DC">
        <w:t xml:space="preserve">by </w:t>
      </w:r>
      <w:r w:rsidRPr="008625DC">
        <w:t>users across the network</w:t>
      </w:r>
      <w:r w:rsidR="00714D78" w:rsidRPr="008625DC">
        <w:t>,</w:t>
      </w:r>
      <w:r w:rsidRPr="008625DC">
        <w:t xml:space="preserve"> rather than </w:t>
      </w:r>
      <w:r w:rsidR="007305AD" w:rsidRPr="008625DC">
        <w:t>from</w:t>
      </w:r>
      <w:r w:rsidRPr="008625DC">
        <w:t xml:space="preserve"> users </w:t>
      </w:r>
      <w:r w:rsidR="00C62EA0" w:rsidRPr="008625DC">
        <w:t>according to the costs</w:t>
      </w:r>
      <w:r w:rsidRPr="008625DC">
        <w:t xml:space="preserve"> </w:t>
      </w:r>
      <w:r w:rsidR="00C62EA0" w:rsidRPr="008625DC">
        <w:t>they</w:t>
      </w:r>
      <w:r w:rsidR="007305AD" w:rsidRPr="008625DC">
        <w:t xml:space="preserve"> </w:t>
      </w:r>
      <w:r w:rsidRPr="008625DC">
        <w:t>impos</w:t>
      </w:r>
      <w:r w:rsidR="007305AD" w:rsidRPr="008625DC">
        <w:t>e</w:t>
      </w:r>
      <w:r w:rsidRPr="008625DC">
        <w:t xml:space="preserve"> </w:t>
      </w:r>
      <w:r w:rsidR="007305AD" w:rsidRPr="008625DC">
        <w:t>on the network</w:t>
      </w:r>
      <w:r w:rsidRPr="008625DC">
        <w:t>.</w:t>
      </w:r>
      <w:r w:rsidR="003D1EF1" w:rsidRPr="008625DC">
        <w:t xml:space="preserve"> </w:t>
      </w:r>
      <w:r w:rsidR="00714D78" w:rsidRPr="008625DC">
        <w:t>Roads in particular</w:t>
      </w:r>
      <w:r w:rsidR="003D1EF1" w:rsidRPr="008625DC">
        <w:t xml:space="preserve"> have also been subject to investment bottlenecks.</w:t>
      </w:r>
    </w:p>
    <w:tbl>
      <w:tblPr>
        <w:tblW w:w="9072" w:type="dxa"/>
        <w:tblInd w:w="108" w:type="dxa"/>
        <w:shd w:val="clear" w:color="auto" w:fill="E6E6E6"/>
        <w:tblLook w:val="01E0" w:firstRow="1" w:lastRow="1" w:firstColumn="1" w:lastColumn="1" w:noHBand="0" w:noVBand="0"/>
      </w:tblPr>
      <w:tblGrid>
        <w:gridCol w:w="9072"/>
      </w:tblGrid>
      <w:tr w:rsidR="003D1EF1" w:rsidRPr="008625DC" w14:paraId="7A4CF29F" w14:textId="77777777">
        <w:tc>
          <w:tcPr>
            <w:tcW w:w="5000" w:type="pct"/>
            <w:shd w:val="clear" w:color="auto" w:fill="E6E6E6"/>
          </w:tcPr>
          <w:p w14:paraId="3FDF075E" w14:textId="1F7E9623" w:rsidR="003D1EF1" w:rsidRPr="008625DC" w:rsidRDefault="00F537EB">
            <w:pPr>
              <w:pStyle w:val="BoxHeading"/>
            </w:pPr>
            <w:r w:rsidRPr="008625DC">
              <w:lastRenderedPageBreak/>
              <w:t xml:space="preserve">Box </w:t>
            </w:r>
            <w:r w:rsidR="00AE1285" w:rsidRPr="008625DC">
              <w:t>9</w:t>
            </w:r>
            <w:r w:rsidRPr="008625DC">
              <w:t xml:space="preserve">.1: </w:t>
            </w:r>
            <w:r w:rsidR="003D1EF1" w:rsidRPr="008625DC">
              <w:t>Electricity as a case study</w:t>
            </w:r>
          </w:p>
          <w:p w14:paraId="56ED10E1" w14:textId="77777777" w:rsidR="003D1EF1" w:rsidRPr="008625DC" w:rsidRDefault="003D1EF1" w:rsidP="007104F1">
            <w:pPr>
              <w:spacing w:after="120"/>
            </w:pPr>
            <w:r w:rsidRPr="008625DC">
              <w:t>Reform of the electricity sector is often considered a success, and the lessons are likely to prove instructive for other sectors. The Australian Energy Market Commission (AEMC) notes that:</w:t>
            </w:r>
          </w:p>
          <w:p w14:paraId="5FAD5D01" w14:textId="7954FD15" w:rsidR="003D1EF1" w:rsidRPr="008625DC" w:rsidRDefault="003D1EF1" w:rsidP="003D1EF1">
            <w:pPr>
              <w:pStyle w:val="Quotes"/>
            </w:pPr>
            <w:r w:rsidRPr="008625DC">
              <w:t>Energy markets in the Eastern States are generally characterised by competitive wholesale and retail markets. This is due in large part to a history of successful structural and institutional reform that created the framework for competition to develo</w:t>
            </w:r>
            <w:r w:rsidR="00AA380B" w:rsidRPr="008625DC">
              <w:t>p</w:t>
            </w:r>
            <w:r w:rsidR="00F92E05" w:rsidRPr="008625DC">
              <w:t>.</w:t>
            </w:r>
            <w:r w:rsidR="00AA380B" w:rsidRPr="008625DC">
              <w:t xml:space="preserve"> </w:t>
            </w:r>
            <w:r w:rsidRPr="008625DC">
              <w:t>(p</w:t>
            </w:r>
            <w:r w:rsidR="007104F1" w:rsidRPr="008625DC">
              <w:t>age</w:t>
            </w:r>
            <w:r w:rsidRPr="008625DC">
              <w:t xml:space="preserve"> 1)</w:t>
            </w:r>
          </w:p>
          <w:p w14:paraId="18D5E454" w14:textId="77777777" w:rsidR="003D1EF1" w:rsidRPr="008625DC" w:rsidRDefault="003D1EF1" w:rsidP="003D1EF1">
            <w:r w:rsidRPr="008625DC">
              <w:t>Electricity is provided to most of Australia through the National Electricity Market (NEM), which includes all jurisdictions apart from the Northern Territory and Western Australia. The sector is broken into the competitive wholesale and retail markets, on the one hand, and the distribution and transmission networks, on the other.</w:t>
            </w:r>
          </w:p>
          <w:p w14:paraId="60A532BF" w14:textId="242546C9" w:rsidR="003D1EF1" w:rsidRPr="008625DC" w:rsidRDefault="003D1EF1" w:rsidP="007104F1">
            <w:pPr>
              <w:spacing w:after="120"/>
            </w:pPr>
            <w:r w:rsidRPr="008625DC">
              <w:t xml:space="preserve">The </w:t>
            </w:r>
            <w:r w:rsidR="005154F9" w:rsidRPr="008625DC">
              <w:t>AEMC</w:t>
            </w:r>
            <w:r w:rsidRPr="008625DC">
              <w:t xml:space="preserve"> points out in its </w:t>
            </w:r>
            <w:r w:rsidRPr="008625DC">
              <w:rPr>
                <w:i/>
              </w:rPr>
              <w:t>National Electricity Market: A Case Study in Successful Microeconomic Reform</w:t>
            </w:r>
            <w:r w:rsidRPr="008625DC">
              <w:t xml:space="preserve"> that there were a number of factors to that success:</w:t>
            </w:r>
          </w:p>
          <w:p w14:paraId="3C98A71F" w14:textId="2DD1FE17" w:rsidR="003D1EF1" w:rsidRPr="008625DC" w:rsidRDefault="003D1EF1" w:rsidP="003D1EF1">
            <w:pPr>
              <w:pStyle w:val="Bullet"/>
            </w:pPr>
            <w:r w:rsidRPr="008625DC">
              <w:t>the material problems were defined and clear reform objectives were set</w:t>
            </w:r>
            <w:r w:rsidR="00315128" w:rsidRPr="008625DC">
              <w:t>;</w:t>
            </w:r>
            <w:r w:rsidRPr="008625DC">
              <w:t xml:space="preserve"> </w:t>
            </w:r>
          </w:p>
          <w:p w14:paraId="47503304" w14:textId="6B8A76F1" w:rsidR="003D1EF1" w:rsidRPr="008625DC" w:rsidRDefault="003D1EF1" w:rsidP="003D1EF1">
            <w:pPr>
              <w:pStyle w:val="Bullet"/>
            </w:pPr>
            <w:r w:rsidRPr="008625DC">
              <w:t>reform took high</w:t>
            </w:r>
            <w:r w:rsidR="00C74E19" w:rsidRPr="008625DC">
              <w:noBreakHyphen/>
            </w:r>
            <w:r w:rsidRPr="008625DC">
              <w:t>level political drive; provision of time, energy and, according to many reform participants, financial incentives</w:t>
            </w:r>
            <w:r w:rsidR="00315128" w:rsidRPr="008625DC">
              <w:t>;</w:t>
            </w:r>
            <w:r w:rsidR="00787DCF" w:rsidRPr="008625DC">
              <w:t xml:space="preserve"> </w:t>
            </w:r>
          </w:p>
          <w:p w14:paraId="6AC209BA" w14:textId="37C083FF" w:rsidR="003D1EF1" w:rsidRPr="008625DC" w:rsidRDefault="003D1EF1" w:rsidP="003D1EF1">
            <w:pPr>
              <w:pStyle w:val="Bullet"/>
            </w:pPr>
            <w:r w:rsidRPr="008625DC">
              <w:t>strategies were developed to enhance confidence in the reforms</w:t>
            </w:r>
            <w:r w:rsidR="00315128" w:rsidRPr="008625DC">
              <w:t>;</w:t>
            </w:r>
            <w:r w:rsidRPr="008625DC">
              <w:t xml:space="preserve"> </w:t>
            </w:r>
          </w:p>
          <w:p w14:paraId="30FC0647" w14:textId="52297871" w:rsidR="003D1EF1" w:rsidRPr="008625DC" w:rsidRDefault="003D1EF1" w:rsidP="003D1EF1">
            <w:pPr>
              <w:pStyle w:val="Bullet"/>
            </w:pPr>
            <w:r w:rsidRPr="008625DC">
              <w:t>strong and appropriate support structures were established with key stakeholder participation</w:t>
            </w:r>
            <w:r w:rsidR="00315128" w:rsidRPr="008625DC">
              <w:t>;</w:t>
            </w:r>
          </w:p>
          <w:p w14:paraId="4F89A63D" w14:textId="20C160B0" w:rsidR="003D1EF1" w:rsidRPr="008625DC" w:rsidRDefault="003D1EF1" w:rsidP="003D1EF1">
            <w:pPr>
              <w:pStyle w:val="Bullet"/>
            </w:pPr>
            <w:r w:rsidRPr="008625DC">
              <w:t>the pace of the reform allowed for effective consultation across all stakeholders</w:t>
            </w:r>
            <w:r w:rsidR="00315128" w:rsidRPr="008625DC">
              <w:t>; and</w:t>
            </w:r>
          </w:p>
          <w:p w14:paraId="6A2A7810" w14:textId="35A705D9" w:rsidR="003D1EF1" w:rsidRPr="008625DC" w:rsidRDefault="003D1EF1" w:rsidP="00977786">
            <w:pPr>
              <w:pStyle w:val="Bullet"/>
              <w:spacing w:after="240"/>
            </w:pPr>
            <w:proofErr w:type="gramStart"/>
            <w:r w:rsidRPr="008625DC">
              <w:t>getting</w:t>
            </w:r>
            <w:proofErr w:type="gramEnd"/>
            <w:r w:rsidRPr="008625DC">
              <w:t xml:space="preserve"> the industry structures right wa</w:t>
            </w:r>
            <w:r w:rsidR="00F537EB" w:rsidRPr="008625DC">
              <w:t>s key for effective competition</w:t>
            </w:r>
            <w:r w:rsidR="00315128" w:rsidRPr="008625DC">
              <w:t>.</w:t>
            </w:r>
          </w:p>
        </w:tc>
      </w:tr>
    </w:tbl>
    <w:p w14:paraId="4DA69D4C" w14:textId="46A29B52" w:rsidR="00920DA5" w:rsidRPr="008625DC" w:rsidRDefault="00920DA5" w:rsidP="007104F1">
      <w:pPr>
        <w:pStyle w:val="Heading2NotNumbered"/>
      </w:pPr>
      <w:bookmarkStart w:id="20244" w:name="_Toc397413316"/>
      <w:bookmarkStart w:id="20245" w:name="_Toc397413463"/>
      <w:r w:rsidRPr="008625DC">
        <w:t>The way forward</w:t>
      </w:r>
      <w:bookmarkEnd w:id="20244"/>
      <w:bookmarkEnd w:id="20245"/>
    </w:p>
    <w:p w14:paraId="76347B44" w14:textId="6AF1A49D" w:rsidR="00C8406D" w:rsidRPr="008625DC" w:rsidRDefault="00564213" w:rsidP="00352AA9">
      <w:pPr>
        <w:rPr>
          <w:color w:val="7F7F7F" w:themeColor="text1" w:themeTint="80"/>
        </w:rPr>
      </w:pPr>
      <w:r w:rsidRPr="008625DC">
        <w:t>The importance of further reform in infrastructure is clear</w:t>
      </w:r>
      <w:r w:rsidR="00380141" w:rsidRPr="008625DC">
        <w:t xml:space="preserve"> — </w:t>
      </w:r>
      <w:r w:rsidRPr="008625DC">
        <w:t xml:space="preserve">the Panel </w:t>
      </w:r>
      <w:r w:rsidR="00C62EA0" w:rsidRPr="008625DC">
        <w:t>considers</w:t>
      </w:r>
      <w:r w:rsidRPr="008625DC">
        <w:t xml:space="preserve"> that infrastructure reforms are incomplete, even in the sectors where most progress has been made. </w:t>
      </w:r>
      <w:r w:rsidR="008235F0" w:rsidRPr="008625DC">
        <w:t>The Panel recognises that there have been hard</w:t>
      </w:r>
      <w:r w:rsidR="00C74E19" w:rsidRPr="008625DC">
        <w:noBreakHyphen/>
      </w:r>
      <w:r w:rsidR="008235F0" w:rsidRPr="008625DC">
        <w:t xml:space="preserve">fought gains in the infrastructure sectors, but reform needs to be finalised where it is flagging or stalled. </w:t>
      </w:r>
    </w:p>
    <w:p w14:paraId="3E57B93E" w14:textId="3FF0C1C8" w:rsidR="008C5742" w:rsidRPr="008625DC" w:rsidRDefault="00FA7E2F" w:rsidP="008C5742">
      <w:r w:rsidRPr="008625DC">
        <w:t>Further</w:t>
      </w:r>
      <w:r w:rsidR="007305AD" w:rsidRPr="008625DC">
        <w:t>more,</w:t>
      </w:r>
      <w:r w:rsidRPr="008625DC">
        <w:t xml:space="preserve"> in</w:t>
      </w:r>
      <w:r w:rsidR="008C5742" w:rsidRPr="008625DC">
        <w:t xml:space="preserve"> some sectors very little progress has been made. Consumers are seeing significantly cheaper air travel as a result of reforms to the aviation sector</w:t>
      </w:r>
      <w:r w:rsidRPr="008625DC">
        <w:t xml:space="preserve">. In contrast, there has been little progress </w:t>
      </w:r>
      <w:r w:rsidR="00D21D5D" w:rsidRPr="008625DC">
        <w:t>in attempting to introduce cost</w:t>
      </w:r>
      <w:r w:rsidR="00C74E19" w:rsidRPr="008625DC">
        <w:noBreakHyphen/>
      </w:r>
      <w:r w:rsidRPr="008625DC">
        <w:t>reflective pricing in roads and linking revenue to road provision. As a consequence there is the criticism that new roads are being built in the wrong places for the wrong reasons, while too little attention is paid to getting more efficient use of existing road infrastructure.</w:t>
      </w:r>
      <w:r w:rsidR="004522B3" w:rsidRPr="008625DC">
        <w:rPr>
          <w:rStyle w:val="FootnoteReference"/>
        </w:rPr>
        <w:footnoteReference w:id="138"/>
      </w:r>
    </w:p>
    <w:p w14:paraId="6B83AD01" w14:textId="68372E0A" w:rsidR="000F77F4" w:rsidRPr="008625DC" w:rsidRDefault="000F77F4" w:rsidP="008235F0">
      <w:r w:rsidRPr="008625DC">
        <w:t xml:space="preserve">The Panel outlines in the remainder of </w:t>
      </w:r>
      <w:r w:rsidR="00B601C9" w:rsidRPr="008625DC">
        <w:t>this part</w:t>
      </w:r>
      <w:r w:rsidRPr="008625DC">
        <w:t xml:space="preserve"> where it has identified further reforms </w:t>
      </w:r>
      <w:r w:rsidR="00B601C9" w:rsidRPr="008625DC">
        <w:t xml:space="preserve">that </w:t>
      </w:r>
      <w:r w:rsidRPr="008625DC">
        <w:t>should be undertaken in the infrastructure sectors.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906FB6" w:rsidRPr="008625DC" w14:paraId="4F4644F0" w14:textId="77777777" w:rsidTr="0052543A">
        <w:tc>
          <w:tcPr>
            <w:tcW w:w="5000" w:type="pct"/>
            <w:shd w:val="clear" w:color="auto" w:fill="FFFFFF" w:themeFill="background1"/>
          </w:tcPr>
          <w:p w14:paraId="626CCC3C" w14:textId="5BD3B60C" w:rsidR="00906FB6" w:rsidRPr="008625DC" w:rsidRDefault="00906FB6" w:rsidP="0052543A">
            <w:pPr>
              <w:pStyle w:val="Keyfindingheading"/>
            </w:pPr>
            <w:r w:rsidRPr="008625DC">
              <w:lastRenderedPageBreak/>
              <w:t>The Panel</w:t>
            </w:r>
            <w:r w:rsidR="00C74E19" w:rsidRPr="008625DC">
              <w:t>’</w:t>
            </w:r>
            <w:r w:rsidRPr="008625DC">
              <w:t>s view</w:t>
            </w:r>
          </w:p>
          <w:p w14:paraId="45AC72B1" w14:textId="77777777" w:rsidR="00906FB6" w:rsidRPr="008625DC" w:rsidRDefault="00906FB6" w:rsidP="00906FB6">
            <w:pPr>
              <w:pStyle w:val="Keyfindingtext"/>
            </w:pPr>
            <w:r w:rsidRPr="008625DC">
              <w:t>Reform of infrastructure sectors in Australia has generally served consumers well through a greater diversity of choice and price in utilities and transport compared to two decades ago.</w:t>
            </w:r>
          </w:p>
          <w:p w14:paraId="03B8BD7B" w14:textId="77777777" w:rsidR="00906FB6" w:rsidRPr="008625DC" w:rsidRDefault="00906FB6" w:rsidP="00906FB6">
            <w:pPr>
              <w:pStyle w:val="Keyfindingtext"/>
            </w:pPr>
            <w:r w:rsidRPr="008625DC">
              <w:t xml:space="preserve">However, there are further benefits which could be harnessed through finalising the application of those reforms and through the extension of further reforms. </w:t>
            </w:r>
          </w:p>
          <w:p w14:paraId="7F3FD7C9" w14:textId="43EEE8DF" w:rsidR="00906FB6" w:rsidRPr="008625DC" w:rsidRDefault="00906FB6" w:rsidP="006F3307">
            <w:pPr>
              <w:pStyle w:val="Keyfindingtext"/>
            </w:pPr>
            <w:r w:rsidRPr="008625DC">
              <w:t>Well</w:t>
            </w:r>
            <w:r w:rsidR="00C74E19" w:rsidRPr="008625DC">
              <w:noBreakHyphen/>
            </w:r>
            <w:r w:rsidRPr="008625DC">
              <w:t>considered privatisation of remaining infrastructure assets is likely to drive further consumer benefits through lower prices flowing from greater discipline on privatised entities. Governments need to approach privatisation carefully, to ensure that impacts on competition and consumers are fully considered and addressed.</w:t>
            </w:r>
          </w:p>
        </w:tc>
      </w:tr>
    </w:tbl>
    <w:p w14:paraId="7F18F816" w14:textId="5B443584" w:rsidR="00C73C9B" w:rsidRPr="008625DC" w:rsidRDefault="00602723" w:rsidP="000B5916">
      <w:pPr>
        <w:pStyle w:val="Heading2"/>
        <w:ind w:left="851" w:hanging="851"/>
        <w:rPr>
          <w:lang w:val="en-AU"/>
        </w:rPr>
      </w:pPr>
      <w:bookmarkStart w:id="20246" w:name="_Toc398220569"/>
      <w:bookmarkStart w:id="20247" w:name="_Toc398225838"/>
      <w:bookmarkStart w:id="20248" w:name="_Toc395879134"/>
      <w:bookmarkStart w:id="20249" w:name="_Toc395882037"/>
      <w:bookmarkStart w:id="20250" w:name="_Toc395882258"/>
      <w:bookmarkStart w:id="20251" w:name="_Toc395882368"/>
      <w:bookmarkStart w:id="20252" w:name="_Toc395882589"/>
      <w:bookmarkStart w:id="20253" w:name="_Toc395880532"/>
      <w:bookmarkStart w:id="20254" w:name="_Toc395880863"/>
      <w:bookmarkStart w:id="20255" w:name="_Toc395881421"/>
      <w:bookmarkStart w:id="20256" w:name="_Toc395881642"/>
      <w:bookmarkStart w:id="20257" w:name="_Toc395884027"/>
      <w:bookmarkStart w:id="20258" w:name="_Toc395880761"/>
      <w:bookmarkStart w:id="20259" w:name="_Toc395884468"/>
      <w:bookmarkStart w:id="20260" w:name="_Toc395884689"/>
      <w:bookmarkStart w:id="20261" w:name="_Toc395883177"/>
      <w:bookmarkStart w:id="20262" w:name="_Toc395883398"/>
      <w:bookmarkStart w:id="20263" w:name="_Toc395883507"/>
      <w:bookmarkStart w:id="20264" w:name="_Toc395883728"/>
      <w:bookmarkStart w:id="20265" w:name="_Toc395884809"/>
      <w:bookmarkStart w:id="20266" w:name="_Toc396123837"/>
      <w:bookmarkStart w:id="20267" w:name="_Toc396130740"/>
      <w:bookmarkStart w:id="20268" w:name="_Toc396136318"/>
      <w:bookmarkStart w:id="20269" w:name="_Toc396138772"/>
      <w:bookmarkStart w:id="20270" w:name="_Toc396144033"/>
      <w:bookmarkStart w:id="20271" w:name="_Toc396145542"/>
      <w:bookmarkStart w:id="20272" w:name="_Toc396145686"/>
      <w:bookmarkStart w:id="20273" w:name="_Toc396145968"/>
      <w:bookmarkStart w:id="20274" w:name="_Toc396147508"/>
      <w:bookmarkStart w:id="20275" w:name="_Toc396147794"/>
      <w:bookmarkStart w:id="20276" w:name="_Toc396149050"/>
      <w:bookmarkStart w:id="20277" w:name="_Toc396148764"/>
      <w:bookmarkStart w:id="20278" w:name="_Toc396149545"/>
      <w:bookmarkStart w:id="20279" w:name="_Toc396149190"/>
      <w:bookmarkStart w:id="20280" w:name="_Toc396149476"/>
      <w:bookmarkStart w:id="20281" w:name="_Toc396149153"/>
      <w:bookmarkStart w:id="20282" w:name="_Toc396149898"/>
      <w:bookmarkStart w:id="20283" w:name="_Toc396149648"/>
      <w:bookmarkStart w:id="20284" w:name="_Toc396150489"/>
      <w:bookmarkStart w:id="20285" w:name="_Toc396151378"/>
      <w:bookmarkStart w:id="20286" w:name="_Toc396151672"/>
      <w:bookmarkStart w:id="20287" w:name="_Toc396201599"/>
      <w:bookmarkStart w:id="20288" w:name="_Toc396202389"/>
      <w:bookmarkStart w:id="20289" w:name="_Toc396202684"/>
      <w:bookmarkStart w:id="20290" w:name="_Toc396203301"/>
      <w:bookmarkStart w:id="20291" w:name="_Toc396206597"/>
      <w:bookmarkStart w:id="20292" w:name="_Toc396206891"/>
      <w:bookmarkStart w:id="20293" w:name="_Toc396209425"/>
      <w:bookmarkStart w:id="20294" w:name="_Toc396209719"/>
      <w:bookmarkStart w:id="20295" w:name="_Toc396211849"/>
      <w:bookmarkStart w:id="20296" w:name="_Toc396212143"/>
      <w:bookmarkStart w:id="20297" w:name="_Toc396213193"/>
      <w:bookmarkStart w:id="20298" w:name="_Toc396213485"/>
      <w:bookmarkStart w:id="20299" w:name="_Toc396214036"/>
      <w:bookmarkStart w:id="20300" w:name="_Toc396214471"/>
      <w:bookmarkStart w:id="20301" w:name="_Toc396214761"/>
      <w:bookmarkStart w:id="20302" w:name="_Toc396220321"/>
      <w:bookmarkStart w:id="20303" w:name="_Toc396226583"/>
      <w:bookmarkStart w:id="20304" w:name="_Toc396226872"/>
      <w:bookmarkStart w:id="20305" w:name="_Toc396228783"/>
      <w:bookmarkStart w:id="20306" w:name="_Toc396229078"/>
      <w:bookmarkStart w:id="20307" w:name="_Toc396230425"/>
      <w:bookmarkStart w:id="20308" w:name="_Toc396230720"/>
      <w:bookmarkStart w:id="20309" w:name="_Toc396231862"/>
      <w:bookmarkStart w:id="20310" w:name="_Toc396233205"/>
      <w:bookmarkStart w:id="20311" w:name="_Toc396233502"/>
      <w:bookmarkStart w:id="20312" w:name="_Toc396234025"/>
      <w:bookmarkStart w:id="20313" w:name="_Toc396234322"/>
      <w:bookmarkStart w:id="20314" w:name="_Toc396234435"/>
      <w:bookmarkStart w:id="20315" w:name="_Toc396236169"/>
      <w:bookmarkStart w:id="20316" w:name="_Toc396235947"/>
      <w:bookmarkStart w:id="20317" w:name="_Toc396236557"/>
      <w:bookmarkStart w:id="20318" w:name="_Toc396237076"/>
      <w:bookmarkStart w:id="20319" w:name="_Toc396397419"/>
      <w:bookmarkStart w:id="20320" w:name="_Toc396304600"/>
      <w:bookmarkStart w:id="20321" w:name="_Toc396586135"/>
      <w:bookmarkStart w:id="20322" w:name="_Toc396815156"/>
      <w:bookmarkStart w:id="20323" w:name="_Toc396821105"/>
      <w:bookmarkStart w:id="20324" w:name="_Toc396821713"/>
      <w:bookmarkStart w:id="20325" w:name="_Toc396827563"/>
      <w:bookmarkStart w:id="20326" w:name="_Toc396828534"/>
      <w:bookmarkStart w:id="20327" w:name="_Toc396828643"/>
      <w:bookmarkStart w:id="20328" w:name="_Toc396838032"/>
      <w:bookmarkStart w:id="20329" w:name="_Toc396838430"/>
      <w:bookmarkStart w:id="20330" w:name="_Toc396904753"/>
      <w:bookmarkStart w:id="20331" w:name="_Toc396907587"/>
      <w:bookmarkStart w:id="20332" w:name="_Toc396912506"/>
      <w:bookmarkStart w:id="20333" w:name="_Toc396914486"/>
      <w:bookmarkStart w:id="20334" w:name="_Toc396915370"/>
      <w:bookmarkStart w:id="20335" w:name="_Toc396915764"/>
      <w:bookmarkStart w:id="20336" w:name="_Toc396921075"/>
      <w:bookmarkStart w:id="20337" w:name="_Toc396924415"/>
      <w:bookmarkStart w:id="20338" w:name="_Toc396925109"/>
      <w:bookmarkStart w:id="20339" w:name="_Toc396992229"/>
      <w:bookmarkStart w:id="20340" w:name="_Toc396992808"/>
      <w:bookmarkStart w:id="20341" w:name="_Toc396994472"/>
      <w:bookmarkStart w:id="20342" w:name="_Toc397002243"/>
      <w:bookmarkStart w:id="20343" w:name="_Toc397003162"/>
      <w:bookmarkStart w:id="20344" w:name="_Toc397008720"/>
      <w:bookmarkStart w:id="20345" w:name="_Toc397008938"/>
      <w:bookmarkStart w:id="20346" w:name="_Toc397011610"/>
      <w:bookmarkStart w:id="20347" w:name="_Toc397012672"/>
      <w:bookmarkStart w:id="20348" w:name="_Toc397015014"/>
      <w:bookmarkStart w:id="20349" w:name="_Toc397015501"/>
      <w:bookmarkStart w:id="20350" w:name="_Toc397070571"/>
      <w:bookmarkStart w:id="20351" w:name="_Toc397413317"/>
      <w:bookmarkStart w:id="20352" w:name="_Toc397413464"/>
      <w:bookmarkStart w:id="20353" w:name="_Toc397428042"/>
      <w:bookmarkStart w:id="20354" w:name="_Toc397439430"/>
      <w:bookmarkStart w:id="20355" w:name="_Toc397439600"/>
      <w:bookmarkStart w:id="20356" w:name="_Toc397439856"/>
      <w:bookmarkStart w:id="20357" w:name="_Toc397440158"/>
      <w:bookmarkStart w:id="20358" w:name="_Toc397441787"/>
      <w:bookmarkStart w:id="20359" w:name="_Toc397517489"/>
      <w:bookmarkStart w:id="20360" w:name="_Toc397522754"/>
      <w:bookmarkStart w:id="20361" w:name="_Toc397526172"/>
      <w:bookmarkStart w:id="20362" w:name="_Toc397528487"/>
      <w:bookmarkStart w:id="20363" w:name="_Toc397528962"/>
      <w:bookmarkStart w:id="20364" w:name="_Toc397601959"/>
      <w:bookmarkStart w:id="20365" w:name="_Toc397602694"/>
      <w:bookmarkStart w:id="20366" w:name="_Toc397605823"/>
      <w:bookmarkStart w:id="20367" w:name="_Toc397614524"/>
      <w:bookmarkStart w:id="20368" w:name="_Toc397614967"/>
      <w:bookmarkStart w:id="20369" w:name="_Toc397616410"/>
      <w:bookmarkStart w:id="20370" w:name="_Toc397616804"/>
      <w:bookmarkStart w:id="20371" w:name="_Toc397688102"/>
      <w:bookmarkStart w:id="20372" w:name="_Toc397689318"/>
      <w:bookmarkStart w:id="20373" w:name="_Toc397694598"/>
      <w:bookmarkStart w:id="20374" w:name="_Toc397696439"/>
      <w:bookmarkStart w:id="20375" w:name="_Toc397697173"/>
      <w:bookmarkStart w:id="20376" w:name="_Toc397698460"/>
      <w:bookmarkStart w:id="20377" w:name="_Toc397699826"/>
      <w:bookmarkStart w:id="20378" w:name="_Toc397700280"/>
      <w:bookmarkStart w:id="20379" w:name="_Toc397936672"/>
      <w:bookmarkStart w:id="20380" w:name="_Toc397936792"/>
      <w:bookmarkStart w:id="20381" w:name="_Toc397945948"/>
      <w:bookmarkStart w:id="20382" w:name="_Toc397946974"/>
      <w:bookmarkStart w:id="20383" w:name="_Toc397948093"/>
      <w:bookmarkStart w:id="20384" w:name="_Toc397958499"/>
      <w:bookmarkStart w:id="20385" w:name="_Toc397958741"/>
      <w:bookmarkStart w:id="20386" w:name="_Toc397959156"/>
      <w:bookmarkStart w:id="20387" w:name="_Toc397963009"/>
      <w:bookmarkStart w:id="20388" w:name="_Toc397963375"/>
      <w:bookmarkStart w:id="20389" w:name="_Toc397965452"/>
      <w:bookmarkStart w:id="20390" w:name="_Toc398197390"/>
      <w:bookmarkStart w:id="20391" w:name="_Toc398199893"/>
      <w:bookmarkStart w:id="20392" w:name="_Toc398201607"/>
      <w:bookmarkStart w:id="20393" w:name="_Toc398207212"/>
      <w:bookmarkStart w:id="20394" w:name="_Toc398210485"/>
      <w:bookmarkStart w:id="20395" w:name="_Toc398210999"/>
      <w:bookmarkStart w:id="20396" w:name="_Toc398219807"/>
      <w:bookmarkStart w:id="20397" w:name="_Toc398220182"/>
      <w:bookmarkStart w:id="20398" w:name="_Toc398221647"/>
      <w:bookmarkStart w:id="20399" w:name="_Toc398222333"/>
      <w:bookmarkStart w:id="20400" w:name="_Toc398222645"/>
      <w:bookmarkStart w:id="20401" w:name="_Toc398223062"/>
      <w:bookmarkStart w:id="20402" w:name="_Toc398223441"/>
      <w:bookmarkStart w:id="20403" w:name="_Toc398223568"/>
      <w:bookmarkStart w:id="20404" w:name="_Toc398224376"/>
      <w:bookmarkStart w:id="20405" w:name="_Toc398225713"/>
      <w:bookmarkStart w:id="20406" w:name="_Toc398281325"/>
      <w:bookmarkStart w:id="20407" w:name="_Toc398282184"/>
      <w:bookmarkStart w:id="20408" w:name="_Toc398284854"/>
      <w:bookmarkStart w:id="20409" w:name="_Toc398287323"/>
      <w:bookmarkStart w:id="20410" w:name="_Toc398289206"/>
      <w:bookmarkStart w:id="20411" w:name="_Toc398297203"/>
      <w:bookmarkStart w:id="20412" w:name="_Toc398298677"/>
      <w:bookmarkStart w:id="20413" w:name="_Toc398300378"/>
      <w:bookmarkStart w:id="20414" w:name="_Toc398301275"/>
      <w:bookmarkStart w:id="20415" w:name="_Toc398302460"/>
      <w:bookmarkStart w:id="20416" w:name="_Toc398302623"/>
      <w:bookmarkStart w:id="20417" w:name="_Toc398549137"/>
      <w:bookmarkStart w:id="20418" w:name="_Toc398549387"/>
      <w:bookmarkStart w:id="20419" w:name="_Toc398555806"/>
      <w:bookmarkStart w:id="20420" w:name="_Toc398559010"/>
      <w:bookmarkStart w:id="20421" w:name="_Toc398563496"/>
      <w:bookmarkStart w:id="20422" w:name="_Toc398563629"/>
      <w:bookmarkStart w:id="20423" w:name="_Toc398564028"/>
      <w:bookmarkStart w:id="20424" w:name="_Toc398827366"/>
      <w:bookmarkStart w:id="20425" w:name="_Toc398827560"/>
      <w:bookmarkStart w:id="20426" w:name="s91"/>
      <w:r w:rsidRPr="008625DC">
        <w:rPr>
          <w:lang w:val="en-AU"/>
        </w:rPr>
        <w:t>Electricity, gas and water</w:t>
      </w:r>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p>
    <w:bookmarkEnd w:id="20426"/>
    <w:p w14:paraId="1387336F" w14:textId="0AA027C3" w:rsidR="000F77F4" w:rsidRPr="008625DC" w:rsidRDefault="000F77F4" w:rsidP="00FB084C">
      <w:pPr>
        <w:pStyle w:val="Heading3"/>
      </w:pPr>
      <w:r w:rsidRPr="008625DC">
        <w:t>Electricity</w:t>
      </w:r>
    </w:p>
    <w:p w14:paraId="5ECE38A5" w14:textId="77777777" w:rsidR="00A82A27" w:rsidRPr="008625DC" w:rsidRDefault="00A82A27" w:rsidP="00777DB9">
      <w:pPr>
        <w:pStyle w:val="Default"/>
        <w:spacing w:after="120"/>
        <w:rPr>
          <w:rFonts w:asciiTheme="minorHAnsi" w:eastAsia="Times New Roman" w:hAnsiTheme="minorHAnsi"/>
          <w:sz w:val="22"/>
          <w:lang w:eastAsia="en-AU"/>
        </w:rPr>
      </w:pPr>
      <w:r w:rsidRPr="008625DC">
        <w:rPr>
          <w:rFonts w:asciiTheme="minorHAnsi" w:eastAsia="Times New Roman" w:hAnsiTheme="minorHAnsi"/>
          <w:sz w:val="22"/>
          <w:lang w:eastAsia="en-AU"/>
        </w:rPr>
        <w:t xml:space="preserve">Electricity is an area that has seen significant reform as part of the NCP agenda. Increases in electricity prices are a key source of concern among consumers and businesses (see Box 9.2). National Seniors </w:t>
      </w:r>
      <w:r w:rsidRPr="008625DC">
        <w:rPr>
          <w:rFonts w:asciiTheme="minorHAnsi" w:eastAsia="Times New Roman" w:hAnsiTheme="minorHAnsi"/>
          <w:sz w:val="22"/>
          <w:szCs w:val="20"/>
          <w:lang w:eastAsia="en-AU"/>
        </w:rPr>
        <w:t>Australia</w:t>
      </w:r>
      <w:r w:rsidRPr="008625DC">
        <w:rPr>
          <w:rFonts w:asciiTheme="minorHAnsi" w:eastAsia="Times New Roman" w:hAnsiTheme="minorHAnsi"/>
          <w:sz w:val="22"/>
          <w:lang w:eastAsia="en-AU"/>
        </w:rPr>
        <w:t xml:space="preserve"> notes that: </w:t>
      </w:r>
    </w:p>
    <w:p w14:paraId="28600568" w14:textId="77777777" w:rsidR="00A82A27" w:rsidRPr="008625DC" w:rsidRDefault="00A82A27" w:rsidP="00777DB9">
      <w:pPr>
        <w:pStyle w:val="Quotes"/>
        <w:spacing w:after="60"/>
      </w:pPr>
      <w:r w:rsidRPr="008625DC">
        <w:t xml:space="preserve">Firstly, priorities should include the more important unfinished NCP reforms, in particular those that: </w:t>
      </w:r>
    </w:p>
    <w:p w14:paraId="06BC3D1A" w14:textId="4C5F1C04" w:rsidR="00A82A27" w:rsidRPr="008625DC" w:rsidRDefault="00A82A27" w:rsidP="00777DB9">
      <w:pPr>
        <w:pStyle w:val="Quotes"/>
        <w:numPr>
          <w:ilvl w:val="0"/>
          <w:numId w:val="54"/>
        </w:numPr>
        <w:spacing w:before="60"/>
        <w:ind w:left="993"/>
      </w:pPr>
      <w:proofErr w:type="gramStart"/>
      <w:r w:rsidRPr="008625DC">
        <w:t>address</w:t>
      </w:r>
      <w:proofErr w:type="gramEnd"/>
      <w:r w:rsidRPr="008625DC">
        <w:t xml:space="preserve"> unprecedented recent growth in household energy and water bills</w:t>
      </w:r>
      <w:r w:rsidR="00777DB9" w:rsidRPr="008625DC">
        <w:t>.</w:t>
      </w:r>
      <w:r w:rsidRPr="008625DC">
        <w:t xml:space="preserve"> (page 4)</w:t>
      </w:r>
    </w:p>
    <w:p w14:paraId="2E0C3BDB" w14:textId="77777777" w:rsidR="00A82A27" w:rsidRPr="008625DC" w:rsidRDefault="00A82A27" w:rsidP="00777DB9">
      <w:pPr>
        <w:spacing w:after="120"/>
      </w:pPr>
      <w:r w:rsidRPr="008625DC">
        <w:t>The Australian Industry Group (Ai Group) submits that:</w:t>
      </w:r>
    </w:p>
    <w:p w14:paraId="2660FD2D" w14:textId="77777777" w:rsidR="00A82A27" w:rsidRPr="008625DC" w:rsidRDefault="00A82A27" w:rsidP="00CF51C3">
      <w:pPr>
        <w:pStyle w:val="Quotes"/>
      </w:pPr>
      <w:r w:rsidRPr="008625DC">
        <w:t>The Federal and State Governments have already formally recognised the importance of this reform to consumers in the COAG Energy Market Reforms Plan (2012). Ai Group would urge the Federal Government to prioritise the implementation of this, and the other reforms contained in the Plan, as important contributions to enhancing competition in the energy sector. (</w:t>
      </w:r>
      <w:proofErr w:type="gramStart"/>
      <w:r w:rsidRPr="008625DC">
        <w:t>page</w:t>
      </w:r>
      <w:proofErr w:type="gramEnd"/>
      <w:r w:rsidRPr="008625DC">
        <w:t xml:space="preserve"> 41)</w:t>
      </w:r>
    </w:p>
    <w:p w14:paraId="71DD7F29" w14:textId="77777777" w:rsidR="00A82A27" w:rsidRPr="008625DC" w:rsidRDefault="00A82A27" w:rsidP="001E4B43">
      <w:pPr>
        <w:autoSpaceDE w:val="0"/>
        <w:autoSpaceDN w:val="0"/>
        <w:adjustRightInd w:val="0"/>
        <w:spacing w:after="0"/>
      </w:pPr>
      <w:r w:rsidRPr="008625DC">
        <w:t>The Council of Australian Governments (COAG) Energy Market Reforms from 2012</w:t>
      </w:r>
      <w:r w:rsidRPr="008625DC">
        <w:rPr>
          <w:vertAlign w:val="superscript"/>
        </w:rPr>
        <w:footnoteReference w:id="139"/>
      </w:r>
      <w:r w:rsidRPr="008625DC">
        <w:t xml:space="preserve"> referred to by the Ai Group, which encompasses previously agreed reforms, include:</w:t>
      </w:r>
    </w:p>
    <w:p w14:paraId="5964439A" w14:textId="77777777" w:rsidR="00A82A27" w:rsidRPr="008625DC" w:rsidRDefault="00A82A27" w:rsidP="001E4B43">
      <w:pPr>
        <w:pStyle w:val="Bullet"/>
      </w:pPr>
      <w:r w:rsidRPr="008625DC">
        <w:t>deregulation of retail prices, to ensure efficient and competitive retail energy markets for the benefit of consumers and the energy sector alike;</w:t>
      </w:r>
    </w:p>
    <w:p w14:paraId="76824096" w14:textId="77777777" w:rsidR="00A82A27" w:rsidRPr="008625DC" w:rsidRDefault="00A82A27" w:rsidP="001E4B43">
      <w:pPr>
        <w:pStyle w:val="Bullet"/>
      </w:pPr>
      <w:r w:rsidRPr="008625DC">
        <w:t>ensuring consistent national frameworks, including the application of the National Energy Retail Law which is designed to harmonise regulation of the sale and supply of energy to consumers; and</w:t>
      </w:r>
    </w:p>
    <w:p w14:paraId="7DF4ABEE" w14:textId="77777777" w:rsidR="00A82A27" w:rsidRPr="008625DC" w:rsidRDefault="00A82A27" w:rsidP="00777DB9">
      <w:pPr>
        <w:pStyle w:val="Bullet"/>
        <w:spacing w:after="240"/>
      </w:pPr>
      <w:proofErr w:type="gramStart"/>
      <w:r w:rsidRPr="008625DC">
        <w:t>reliability</w:t>
      </w:r>
      <w:proofErr w:type="gramEnd"/>
      <w:r w:rsidRPr="008625DC">
        <w:t xml:space="preserve"> standards, delivering the right balance for consumers between security of supply and costs of delivery through the development of a national regime.</w:t>
      </w:r>
    </w:p>
    <w:p w14:paraId="10DFE711" w14:textId="77777777" w:rsidR="00777DB9" w:rsidRPr="008625DC" w:rsidRDefault="00777DB9" w:rsidP="00777DB9">
      <w:pPr>
        <w:autoSpaceDE w:val="0"/>
        <w:autoSpaceDN w:val="0"/>
        <w:adjustRightInd w:val="0"/>
        <w:spacing w:after="120"/>
      </w:pPr>
    </w:p>
    <w:p w14:paraId="1AE24903" w14:textId="77777777" w:rsidR="00777DB9" w:rsidRPr="008625DC" w:rsidRDefault="00777DB9">
      <w:pPr>
        <w:spacing w:before="0" w:after="0"/>
      </w:pPr>
      <w:r w:rsidRPr="008625DC">
        <w:br w:type="page"/>
      </w:r>
    </w:p>
    <w:p w14:paraId="2E74C9D1" w14:textId="77777777" w:rsidR="00A82A27" w:rsidRPr="008625DC" w:rsidRDefault="00A82A27" w:rsidP="00777DB9">
      <w:pPr>
        <w:autoSpaceDE w:val="0"/>
        <w:autoSpaceDN w:val="0"/>
        <w:adjustRightInd w:val="0"/>
        <w:spacing w:after="120"/>
      </w:pPr>
      <w:r w:rsidRPr="008625DC">
        <w:lastRenderedPageBreak/>
        <w:t>While reliability standards are not currently set through a national framework, the Panel notes work is underway to move towards one.</w:t>
      </w:r>
      <w:r w:rsidRPr="008625DC">
        <w:rPr>
          <w:vertAlign w:val="superscript"/>
        </w:rPr>
        <w:footnoteReference w:id="140"/>
      </w:r>
      <w:r w:rsidRPr="008625DC">
        <w:t xml:space="preserve"> Other regulatory provisions may usefully be transferred to the national framework as well. Origin notes that:</w:t>
      </w:r>
    </w:p>
    <w:p w14:paraId="516F103F" w14:textId="3CB3C35F" w:rsidR="00A82A27" w:rsidRPr="008625DC" w:rsidRDefault="00352AA9" w:rsidP="001E4B43">
      <w:pPr>
        <w:ind w:left="567" w:right="423"/>
        <w:rPr>
          <w:color w:val="595959" w:themeColor="text1" w:themeTint="A6"/>
        </w:rPr>
      </w:pPr>
      <w:r>
        <w:rPr>
          <w:color w:val="595959" w:themeColor="text1" w:themeTint="A6"/>
        </w:rPr>
        <w:t>[</w:t>
      </w:r>
      <w:r w:rsidR="00160D90">
        <w:rPr>
          <w:color w:val="595959" w:themeColor="text1" w:themeTint="A6"/>
        </w:rPr>
        <w:t>T</w:t>
      </w:r>
      <w:r>
        <w:rPr>
          <w:color w:val="595959" w:themeColor="text1" w:themeTint="A6"/>
        </w:rPr>
        <w:t>]</w:t>
      </w:r>
      <w:r w:rsidR="00A82A27" w:rsidRPr="008625DC">
        <w:rPr>
          <w:color w:val="595959" w:themeColor="text1" w:themeTint="A6"/>
        </w:rPr>
        <w:t>here are other examples of cross sector regulation that have a significant bearing on energy market participants, such as the various state regimes for licensing. Multiple frameworks increase the regulatory burden for all market participants and ultimately raise costs for consumers. Therefore, achieving framework consistency should be a policy priority. (</w:t>
      </w:r>
      <w:proofErr w:type="gramStart"/>
      <w:r w:rsidR="00A82A27" w:rsidRPr="008625DC">
        <w:rPr>
          <w:color w:val="595959" w:themeColor="text1" w:themeTint="A6"/>
        </w:rPr>
        <w:t>page</w:t>
      </w:r>
      <w:proofErr w:type="gramEnd"/>
      <w:r w:rsidR="00A82A27" w:rsidRPr="008625DC">
        <w:rPr>
          <w:color w:val="595959" w:themeColor="text1" w:themeTint="A6"/>
        </w:rPr>
        <w:t xml:space="preserve"> 2)</w:t>
      </w:r>
    </w:p>
    <w:p w14:paraId="2CCF1901" w14:textId="1F7B35E9" w:rsidR="00A82A27" w:rsidRPr="008625DC" w:rsidRDefault="00A82A27" w:rsidP="00352AA9">
      <w:pPr>
        <w:rPr>
          <w:color w:val="595959" w:themeColor="text1" w:themeTint="A6"/>
        </w:rPr>
      </w:pPr>
      <w:r w:rsidRPr="008625DC">
        <w:t xml:space="preserve">The Panel sees significant benefit in a national framework for reliability standards and notes that there has been a link between jurisdictional reliability standards and recent price increases. </w:t>
      </w:r>
    </w:p>
    <w:tbl>
      <w:tblPr>
        <w:tblW w:w="9072" w:type="dxa"/>
        <w:tblInd w:w="108" w:type="dxa"/>
        <w:shd w:val="clear" w:color="auto" w:fill="E6E6E6"/>
        <w:tblLook w:val="01E0" w:firstRow="1" w:lastRow="1" w:firstColumn="1" w:lastColumn="1" w:noHBand="0" w:noVBand="0"/>
      </w:tblPr>
      <w:tblGrid>
        <w:gridCol w:w="9072"/>
      </w:tblGrid>
      <w:tr w:rsidR="008235F0" w:rsidRPr="008625DC" w14:paraId="0127684C" w14:textId="77777777" w:rsidTr="00163367">
        <w:tc>
          <w:tcPr>
            <w:tcW w:w="5000" w:type="pct"/>
            <w:shd w:val="clear" w:color="auto" w:fill="E6E6E6"/>
          </w:tcPr>
          <w:p w14:paraId="5F744D28" w14:textId="4CFCA95D" w:rsidR="008235F0" w:rsidRPr="008625DC" w:rsidRDefault="008235F0" w:rsidP="00163367">
            <w:pPr>
              <w:pStyle w:val="BoxHeading"/>
            </w:pPr>
            <w:r w:rsidRPr="008625DC">
              <w:lastRenderedPageBreak/>
              <w:t xml:space="preserve">Box </w:t>
            </w:r>
            <w:r w:rsidR="00AE1285" w:rsidRPr="008625DC">
              <w:t>9</w:t>
            </w:r>
            <w:r w:rsidRPr="008625DC">
              <w:t>.</w:t>
            </w:r>
            <w:r w:rsidR="00AE1285" w:rsidRPr="008625DC">
              <w:t>2</w:t>
            </w:r>
            <w:r w:rsidRPr="008625DC">
              <w:t xml:space="preserve">: Electricity </w:t>
            </w:r>
            <w:r w:rsidR="00602723" w:rsidRPr="008625DC">
              <w:t>p</w:t>
            </w:r>
            <w:r w:rsidRPr="008625DC">
              <w:t>rices</w:t>
            </w:r>
            <w:r w:rsidR="00380141" w:rsidRPr="008625DC">
              <w:t xml:space="preserve"> — </w:t>
            </w:r>
            <w:r w:rsidRPr="008625DC">
              <w:t>a failure of competition policy?</w:t>
            </w:r>
          </w:p>
          <w:p w14:paraId="0BC0DE90" w14:textId="77777777" w:rsidR="008235F0" w:rsidRPr="008625DC" w:rsidRDefault="008235F0" w:rsidP="00163367">
            <w:pPr>
              <w:pStyle w:val="BoxText"/>
            </w:pPr>
            <w:r w:rsidRPr="008625DC">
              <w:t>A common concern raised through consultation was the impact of electricity price rises on business and consumers. Often stakeholders felt the price rises were as a result of privatisation; many others felt it was because of the application of competition policy.</w:t>
            </w:r>
          </w:p>
          <w:p w14:paraId="0126E46D" w14:textId="33E06F83" w:rsidR="008235F0" w:rsidRPr="008625DC" w:rsidRDefault="008235F0" w:rsidP="00163367">
            <w:pPr>
              <w:pStyle w:val="BoxText"/>
            </w:pPr>
            <w:r w:rsidRPr="008625DC">
              <w:t>The AEMC undertakes annual pricing trend reports, most recently reporting in 2013 on expected price trends over the three years to 2015</w:t>
            </w:r>
            <w:r w:rsidR="00602723" w:rsidRPr="008625DC">
              <w:t>–</w:t>
            </w:r>
            <w:r w:rsidRPr="008625DC">
              <w:t>16. Nationally the AEMC projected falling pressure on prices coming from stabilising regulated network costs; and upward and downward pressure from the costs of different government environmental policies, including the cost of the carbon price and closed</w:t>
            </w:r>
            <w:r w:rsidR="00C74E19" w:rsidRPr="008625DC">
              <w:noBreakHyphen/>
            </w:r>
            <w:r w:rsidRPr="008625DC">
              <w:t>premium solar feed</w:t>
            </w:r>
            <w:r w:rsidR="00C74E19" w:rsidRPr="008625DC">
              <w:noBreakHyphen/>
            </w:r>
            <w:r w:rsidRPr="008625DC">
              <w:t>in tariff schemes.</w:t>
            </w:r>
          </w:p>
          <w:p w14:paraId="4C15E038" w14:textId="148B8533" w:rsidR="008235F0" w:rsidRPr="008625DC" w:rsidRDefault="008235F0" w:rsidP="00777DB9">
            <w:pPr>
              <w:pStyle w:val="BoxText"/>
              <w:spacing w:after="60"/>
            </w:pPr>
            <w:r w:rsidRPr="008625DC">
              <w:t>The report notes that, i</w:t>
            </w:r>
            <w:r w:rsidR="00C13D07" w:rsidRPr="008625DC">
              <w:t>n 2012–</w:t>
            </w:r>
            <w:r w:rsidRPr="008625DC">
              <w:t>13:</w:t>
            </w:r>
          </w:p>
          <w:p w14:paraId="7E47AE24" w14:textId="2C5CF9F1" w:rsidR="008235F0" w:rsidRPr="008625DC" w:rsidRDefault="00602723" w:rsidP="00467524">
            <w:pPr>
              <w:pStyle w:val="BoxBullet"/>
              <w:rPr>
                <w:lang w:val="en-AU"/>
              </w:rPr>
            </w:pPr>
            <w:proofErr w:type="gramStart"/>
            <w:r w:rsidRPr="008625DC">
              <w:rPr>
                <w:lang w:val="en-AU"/>
              </w:rPr>
              <w:t>r</w:t>
            </w:r>
            <w:r w:rsidR="008235F0" w:rsidRPr="008625DC">
              <w:rPr>
                <w:lang w:val="en-AU"/>
              </w:rPr>
              <w:t>egulated</w:t>
            </w:r>
            <w:proofErr w:type="gramEnd"/>
            <w:r w:rsidR="008235F0" w:rsidRPr="008625DC">
              <w:rPr>
                <w:lang w:val="en-AU"/>
              </w:rPr>
              <w:t xml:space="preserve"> network costs, those associated with building and operating transmission and distribution networks, including a return on capital were the main component of the average electricity bill. These costs </w:t>
            </w:r>
            <w:r w:rsidR="004D2C93" w:rsidRPr="008625DC">
              <w:rPr>
                <w:lang w:val="en-AU"/>
              </w:rPr>
              <w:t>made</w:t>
            </w:r>
            <w:r w:rsidR="008235F0" w:rsidRPr="008625DC">
              <w:rPr>
                <w:lang w:val="en-AU"/>
              </w:rPr>
              <w:t xml:space="preserve"> up about 50 per cent of the national average electricity price</w:t>
            </w:r>
            <w:r w:rsidRPr="008625DC">
              <w:rPr>
                <w:lang w:val="en-AU"/>
              </w:rPr>
              <w:t>;</w:t>
            </w:r>
          </w:p>
          <w:p w14:paraId="1EF092AB" w14:textId="6BCFFCF8" w:rsidR="008235F0" w:rsidRPr="008625DC" w:rsidRDefault="00602723" w:rsidP="00467524">
            <w:pPr>
              <w:pStyle w:val="BoxBullet"/>
              <w:rPr>
                <w:lang w:val="en-AU"/>
              </w:rPr>
            </w:pPr>
            <w:r w:rsidRPr="008625DC">
              <w:rPr>
                <w:lang w:val="en-AU"/>
              </w:rPr>
              <w:t>t</w:t>
            </w:r>
            <w:r w:rsidR="008235F0" w:rsidRPr="008625DC">
              <w:rPr>
                <w:lang w:val="en-AU"/>
              </w:rPr>
              <w:t>he carbon pricing mechanism, renewable energy target and state and territory feed</w:t>
            </w:r>
            <w:r w:rsidR="00C74E19" w:rsidRPr="008625DC">
              <w:rPr>
                <w:lang w:val="en-AU"/>
              </w:rPr>
              <w:noBreakHyphen/>
            </w:r>
            <w:r w:rsidR="008235F0" w:rsidRPr="008625DC">
              <w:rPr>
                <w:lang w:val="en-AU"/>
              </w:rPr>
              <w:t xml:space="preserve">in tariff and energy efficiency schemes affect electricity prices and </w:t>
            </w:r>
            <w:r w:rsidR="004D2C93" w:rsidRPr="008625DC">
              <w:rPr>
                <w:lang w:val="en-AU"/>
              </w:rPr>
              <w:t>made</w:t>
            </w:r>
            <w:r w:rsidR="00777DB9" w:rsidRPr="008625DC">
              <w:rPr>
                <w:lang w:val="en-AU"/>
              </w:rPr>
              <w:t xml:space="preserve"> up around 17 per </w:t>
            </w:r>
            <w:r w:rsidR="008235F0" w:rsidRPr="008625DC">
              <w:rPr>
                <w:lang w:val="en-AU"/>
              </w:rPr>
              <w:t>cent of the national average residential electricity price</w:t>
            </w:r>
            <w:r w:rsidRPr="008625DC">
              <w:rPr>
                <w:lang w:val="en-AU"/>
              </w:rPr>
              <w:t>;</w:t>
            </w:r>
            <w:r w:rsidR="002A7643" w:rsidRPr="008625DC">
              <w:rPr>
                <w:lang w:val="en-AU"/>
              </w:rPr>
              <w:t xml:space="preserve"> </w:t>
            </w:r>
            <w:r w:rsidRPr="008625DC">
              <w:rPr>
                <w:lang w:val="en-AU"/>
              </w:rPr>
              <w:t>and</w:t>
            </w:r>
          </w:p>
          <w:p w14:paraId="0E3759B4" w14:textId="51B816D6" w:rsidR="008235F0" w:rsidRPr="008625DC" w:rsidRDefault="00602723" w:rsidP="00467524">
            <w:pPr>
              <w:pStyle w:val="BoxBullet"/>
              <w:rPr>
                <w:lang w:val="en-AU"/>
              </w:rPr>
            </w:pPr>
            <w:proofErr w:type="gramStart"/>
            <w:r w:rsidRPr="008625DC">
              <w:rPr>
                <w:lang w:val="en-AU"/>
              </w:rPr>
              <w:t>c</w:t>
            </w:r>
            <w:r w:rsidR="008235F0" w:rsidRPr="008625DC">
              <w:rPr>
                <w:lang w:val="en-AU"/>
              </w:rPr>
              <w:t>ompetitive</w:t>
            </w:r>
            <w:proofErr w:type="gramEnd"/>
            <w:r w:rsidR="008235F0" w:rsidRPr="008625DC">
              <w:rPr>
                <w:lang w:val="en-AU"/>
              </w:rPr>
              <w:t xml:space="preserve"> market costs include wholesale energy purchase costs and the costs of the retail sale of electricity. They account</w:t>
            </w:r>
            <w:r w:rsidR="004D2C93" w:rsidRPr="008625DC">
              <w:rPr>
                <w:lang w:val="en-AU"/>
              </w:rPr>
              <w:t>ed</w:t>
            </w:r>
            <w:r w:rsidR="008235F0" w:rsidRPr="008625DC">
              <w:rPr>
                <w:lang w:val="en-AU"/>
              </w:rPr>
              <w:t xml:space="preserve"> for around 33 per cent of the national average residential electricity price.</w:t>
            </w:r>
          </w:p>
          <w:p w14:paraId="7C790EFA" w14:textId="2908B32B" w:rsidR="008235F0" w:rsidRPr="008625DC" w:rsidRDefault="008235F0" w:rsidP="00163367">
            <w:pPr>
              <w:pStyle w:val="Bullet"/>
              <w:numPr>
                <w:ilvl w:val="0"/>
                <w:numId w:val="0"/>
              </w:numPr>
            </w:pPr>
            <w:r w:rsidRPr="008625DC">
              <w:t>The previous report on 2011</w:t>
            </w:r>
            <w:r w:rsidR="00602723" w:rsidRPr="008625DC">
              <w:t>–</w:t>
            </w:r>
            <w:r w:rsidRPr="008625DC">
              <w:t xml:space="preserve">12 electricity prices demonstrated that the main driver of upward pressure on retail prices at that point was network prices. The </w:t>
            </w:r>
            <w:r w:rsidR="00602723" w:rsidRPr="008625DC">
              <w:t>anticipated</w:t>
            </w:r>
            <w:r w:rsidRPr="008625DC">
              <w:t xml:space="preserve"> stabilisation has been borne out </w:t>
            </w:r>
            <w:r w:rsidR="00951147" w:rsidRPr="008625DC">
              <w:t xml:space="preserve">in </w:t>
            </w:r>
            <w:r w:rsidRPr="008625DC">
              <w:t xml:space="preserve">the new report. The increases in network prices </w:t>
            </w:r>
            <w:r w:rsidR="00602723" w:rsidRPr="008625DC">
              <w:t>larg</w:t>
            </w:r>
            <w:r w:rsidR="002A7643" w:rsidRPr="008625DC">
              <w:t>e</w:t>
            </w:r>
            <w:r w:rsidR="00602723" w:rsidRPr="008625DC">
              <w:t xml:space="preserve">ly reflect the costs of </w:t>
            </w:r>
            <w:r w:rsidRPr="008625DC">
              <w:t>replac</w:t>
            </w:r>
            <w:r w:rsidR="00602723" w:rsidRPr="008625DC">
              <w:t xml:space="preserve">ing </w:t>
            </w:r>
            <w:r w:rsidRPr="008625DC">
              <w:t xml:space="preserve">and upgrading </w:t>
            </w:r>
            <w:r w:rsidR="00602723" w:rsidRPr="008625DC">
              <w:t>the</w:t>
            </w:r>
            <w:r w:rsidRPr="008625DC">
              <w:t xml:space="preserve"> network infrastructure.</w:t>
            </w:r>
          </w:p>
          <w:p w14:paraId="4B407CB0" w14:textId="6107BFDB" w:rsidR="008235F0" w:rsidRPr="008625DC" w:rsidRDefault="008235F0" w:rsidP="00163367">
            <w:pPr>
              <w:pStyle w:val="Bullet"/>
              <w:numPr>
                <w:ilvl w:val="0"/>
                <w:numId w:val="0"/>
              </w:numPr>
            </w:pPr>
            <w:r w:rsidRPr="008625DC">
              <w:t xml:space="preserve">A number of processes underway </w:t>
            </w:r>
            <w:r w:rsidR="00EB290E" w:rsidRPr="008625DC">
              <w:t xml:space="preserve">are </w:t>
            </w:r>
            <w:r w:rsidRPr="008625DC">
              <w:t>designed to improve the efficiency of regulated network costs. For example, new rules made by the AEMC in November 2012 have given the Australian Energy Regulator greater discretion and more tools to determine efficient costs and revenues when undertaking network regulatory determinations. The AEMC has also commenced a rule change process on the way distribution network businesses set their network tariffs. The AEMC will consider how distribution businesses can be encouraged to set network tariffs in a more cost</w:t>
            </w:r>
            <w:r w:rsidR="00C74E19" w:rsidRPr="008625DC">
              <w:noBreakHyphen/>
            </w:r>
            <w:r w:rsidRPr="008625DC">
              <w:t>reflective manner in undertaking this rule change.</w:t>
            </w:r>
          </w:p>
          <w:p w14:paraId="03FC4D20" w14:textId="3491753A" w:rsidR="008235F0" w:rsidRPr="008625DC" w:rsidRDefault="00EB290E" w:rsidP="00EB290E">
            <w:pPr>
              <w:pStyle w:val="Bullet"/>
              <w:numPr>
                <w:ilvl w:val="0"/>
                <w:numId w:val="0"/>
              </w:numPr>
            </w:pPr>
            <w:r w:rsidRPr="008625DC">
              <w:t>Rather than finding that competition has contributed to price increases,</w:t>
            </w:r>
            <w:r w:rsidR="008235F0" w:rsidRPr="008625DC">
              <w:t xml:space="preserve"> the report notes that competition in retail markets has allowed consumers to access better deals on price. Policies in most National Electricity Market jurisdictions allow for market</w:t>
            </w:r>
            <w:r w:rsidR="00C74E19" w:rsidRPr="008625DC">
              <w:noBreakHyphen/>
            </w:r>
            <w:r w:rsidR="008235F0" w:rsidRPr="008625DC">
              <w:t xml:space="preserve">based prices and consumers in those </w:t>
            </w:r>
            <w:r w:rsidR="0046149D" w:rsidRPr="008625DC">
              <w:t>S</w:t>
            </w:r>
            <w:r w:rsidR="008235F0" w:rsidRPr="008625DC">
              <w:t>tates have, for example, been able to save 5</w:t>
            </w:r>
            <w:r w:rsidR="00C74E19" w:rsidRPr="008625DC">
              <w:noBreakHyphen/>
            </w:r>
            <w:r w:rsidR="008235F0" w:rsidRPr="008625DC">
              <w:t>16</w:t>
            </w:r>
            <w:r w:rsidR="00602723" w:rsidRPr="008625DC">
              <w:t xml:space="preserve"> per cent</w:t>
            </w:r>
            <w:r w:rsidR="008235F0" w:rsidRPr="008625DC">
              <w:t xml:space="preserve"> in 2012</w:t>
            </w:r>
            <w:r w:rsidR="00602723" w:rsidRPr="008625DC">
              <w:t>–</w:t>
            </w:r>
            <w:r w:rsidR="008235F0" w:rsidRPr="008625DC">
              <w:t>13 by shopping around for the best deal and switching from regulated offers.</w:t>
            </w:r>
            <w:r w:rsidR="00CF51C3" w:rsidRPr="008625DC">
              <w:rPr>
                <w:rStyle w:val="FootnoteReference"/>
              </w:rPr>
              <w:footnoteReference w:id="141"/>
            </w:r>
            <w:r w:rsidR="008235F0" w:rsidRPr="008625DC">
              <w:t xml:space="preserve"> The finalisation of competition reforms, such as the full implementation of the National Energy Retail Law, would be expected to further mitigate future price increases.</w:t>
            </w:r>
          </w:p>
        </w:tc>
      </w:tr>
    </w:tbl>
    <w:p w14:paraId="41CF1B13" w14:textId="77777777" w:rsidR="00777DB9" w:rsidRPr="008625DC" w:rsidRDefault="00777DB9" w:rsidP="00C13D07">
      <w:pPr>
        <w:spacing w:before="240" w:after="120"/>
      </w:pPr>
    </w:p>
    <w:p w14:paraId="7A41B9CC" w14:textId="77777777" w:rsidR="00777DB9" w:rsidRPr="008625DC" w:rsidRDefault="00777DB9">
      <w:pPr>
        <w:spacing w:before="0" w:after="0"/>
      </w:pPr>
      <w:r w:rsidRPr="008625DC">
        <w:br w:type="page"/>
      </w:r>
    </w:p>
    <w:p w14:paraId="7DC84CBA" w14:textId="0A6C2F80" w:rsidR="000F3CC2" w:rsidRPr="008625DC" w:rsidRDefault="000F3CC2" w:rsidP="00C13D07">
      <w:pPr>
        <w:spacing w:before="240" w:after="120"/>
      </w:pPr>
      <w:r w:rsidRPr="008625DC">
        <w:lastRenderedPageBreak/>
        <w:t xml:space="preserve">Stakeholders </w:t>
      </w:r>
      <w:r w:rsidR="007305AD" w:rsidRPr="008625DC">
        <w:t>for the most part call</w:t>
      </w:r>
      <w:r w:rsidRPr="008625DC">
        <w:t xml:space="preserve"> for full implementation of the National Energy Retail Law. The </w:t>
      </w:r>
      <w:r w:rsidR="00B336DF" w:rsidRPr="008625DC">
        <w:t xml:space="preserve">Energy Retailers Association of Australia </w:t>
      </w:r>
      <w:r w:rsidRPr="008625DC">
        <w:t>states that:</w:t>
      </w:r>
    </w:p>
    <w:p w14:paraId="08347016" w14:textId="7CFA128C" w:rsidR="000F3CC2" w:rsidRPr="008625DC" w:rsidRDefault="000F3CC2" w:rsidP="000F3CC2">
      <w:pPr>
        <w:pStyle w:val="Quotes"/>
      </w:pPr>
      <w:r w:rsidRPr="008625DC">
        <w:t xml:space="preserve">By standardising consumer protection regulation, the [National Energy Customer Framework] has the capacity to reduce costs for retailers and ensure all customers regardless of location receive the same protections. The failure of all jurisdictions to accept the </w:t>
      </w:r>
      <w:r w:rsidR="00B336DF" w:rsidRPr="008625DC">
        <w:t>[National Energy Customer Framework]</w:t>
      </w:r>
      <w:r w:rsidRPr="008625DC">
        <w:t xml:space="preserve"> in full and existence of multiple consumer protection regimes creates barriers to entry, such as increased regulatory, administrative and compliance costs, for retailers wishing to expand their operations across borders. Actions by jurisdictions that inhibit the capacity of retailer</w:t>
      </w:r>
      <w:r w:rsidR="00777DB9" w:rsidRPr="008625DC">
        <w:t xml:space="preserve">s to compete across borders </w:t>
      </w:r>
      <w:proofErr w:type="gramStart"/>
      <w:r w:rsidR="00777DB9" w:rsidRPr="008625DC">
        <w:t>is</w:t>
      </w:r>
      <w:proofErr w:type="gramEnd"/>
      <w:r w:rsidR="00777DB9" w:rsidRPr="008625DC">
        <w:t xml:space="preserve"> [</w:t>
      </w:r>
      <w:r w:rsidRPr="008625DC">
        <w:t>sic</w:t>
      </w:r>
      <w:r w:rsidR="00777DB9" w:rsidRPr="008625DC">
        <w:t>]</w:t>
      </w:r>
      <w:r w:rsidRPr="008625DC">
        <w:t xml:space="preserve"> inconsistent with the intention of the NEM. (</w:t>
      </w:r>
      <w:proofErr w:type="gramStart"/>
      <w:r w:rsidRPr="008625DC">
        <w:t>p</w:t>
      </w:r>
      <w:r w:rsidR="00C13D07" w:rsidRPr="008625DC">
        <w:t>age</w:t>
      </w:r>
      <w:proofErr w:type="gramEnd"/>
      <w:r w:rsidRPr="008625DC">
        <w:t xml:space="preserve"> 13)</w:t>
      </w:r>
    </w:p>
    <w:p w14:paraId="5EBCC0DA" w14:textId="2FEB2108" w:rsidR="000F3CC2" w:rsidRPr="008625DC" w:rsidRDefault="000F3CC2" w:rsidP="000F3CC2">
      <w:r w:rsidRPr="008625DC">
        <w:t>The Panel also notes concerns raised in submissions</w:t>
      </w:r>
      <w:r w:rsidR="007305AD" w:rsidRPr="008625DC">
        <w:t>,</w:t>
      </w:r>
      <w:r w:rsidRPr="008625DC">
        <w:t xml:space="preserve"> such as EnergyAustralia</w:t>
      </w:r>
      <w:r w:rsidR="00C74E19" w:rsidRPr="008625DC">
        <w:t>’</w:t>
      </w:r>
      <w:r w:rsidRPr="008625DC">
        <w:t>s</w:t>
      </w:r>
      <w:r w:rsidR="007305AD" w:rsidRPr="008625DC">
        <w:t>,</w:t>
      </w:r>
      <w:r w:rsidRPr="008625DC">
        <w:t xml:space="preserve"> that the benefits from a harmonised National Energy Retail Law </w:t>
      </w:r>
      <w:r w:rsidR="003A41DC" w:rsidRPr="008625DC">
        <w:t>(sometimes referred to as the National Energy Customer Framework, or NECF)</w:t>
      </w:r>
      <w:r w:rsidR="00380141" w:rsidRPr="008625DC">
        <w:t xml:space="preserve"> — </w:t>
      </w:r>
      <w:r w:rsidRPr="008625DC">
        <w:t>reduced costs to business and consumers and improved choice through lowering barriers to energy retailers operating across state and territory borders</w:t>
      </w:r>
      <w:r w:rsidR="00380141" w:rsidRPr="008625DC">
        <w:t xml:space="preserve"> — </w:t>
      </w:r>
      <w:r w:rsidR="007305AD" w:rsidRPr="008625DC">
        <w:t>are diminished</w:t>
      </w:r>
      <w:r w:rsidR="000C6319" w:rsidRPr="008625DC">
        <w:t xml:space="preserve"> by inconsistent application of the regime</w:t>
      </w:r>
      <w:r w:rsidRPr="008625DC">
        <w:t>.</w:t>
      </w:r>
    </w:p>
    <w:p w14:paraId="20EBE758" w14:textId="29A879A1" w:rsidR="003A41DC" w:rsidRPr="008625DC" w:rsidRDefault="003A41DC" w:rsidP="00C13D07">
      <w:pPr>
        <w:spacing w:after="120"/>
      </w:pPr>
      <w:r w:rsidRPr="008625DC">
        <w:t>The Queensland Competition Authority notes that</w:t>
      </w:r>
      <w:r w:rsidR="00105CDA" w:rsidRPr="008625DC">
        <w:t>:</w:t>
      </w:r>
    </w:p>
    <w:p w14:paraId="22C14AD3" w14:textId="41FF0E2F" w:rsidR="003A41DC" w:rsidRPr="008625DC" w:rsidRDefault="003A41DC" w:rsidP="003A41DC">
      <w:pPr>
        <w:pStyle w:val="Quotes"/>
      </w:pPr>
      <w:r w:rsidRPr="008625DC">
        <w:t>So far, the NECF has commenced in all states, except Queensland and Victoria. No state has adopted the NECF without variations. While some variations may have been considered necessary to reflect the particular circumstances in that state, the higher costs of retailers complying with additional obligations and the potentially negative impacts on competition should be carefully considered against the benefits. Nevertheless, in this case partial harmonisation may be</w:t>
      </w:r>
      <w:r w:rsidR="00C13D07" w:rsidRPr="008625DC">
        <w:t xml:space="preserve"> better than the status quo. (</w:t>
      </w:r>
      <w:proofErr w:type="gramStart"/>
      <w:r w:rsidR="00C13D07" w:rsidRPr="008625DC">
        <w:t>page</w:t>
      </w:r>
      <w:proofErr w:type="gramEnd"/>
      <w:r w:rsidRPr="008625DC">
        <w:t xml:space="preserve"> 8)</w:t>
      </w:r>
    </w:p>
    <w:p w14:paraId="0FE2377D" w14:textId="50E73024" w:rsidR="00D50804" w:rsidRPr="008625DC" w:rsidRDefault="00D50804" w:rsidP="00C13D07">
      <w:pPr>
        <w:spacing w:after="120"/>
      </w:pPr>
      <w:r w:rsidRPr="008625DC">
        <w:t xml:space="preserve">The AEMC, in its </w:t>
      </w:r>
      <w:r w:rsidRPr="008625DC">
        <w:rPr>
          <w:i/>
        </w:rPr>
        <w:t>2014 Retail Competition Review</w:t>
      </w:r>
      <w:r w:rsidRPr="008625DC">
        <w:t>, found that the state of competition for small customers varies across the NEM and recommended</w:t>
      </w:r>
      <w:r w:rsidR="007305AD" w:rsidRPr="008625DC">
        <w:t xml:space="preserve"> that</w:t>
      </w:r>
      <w:r w:rsidRPr="008625DC">
        <w:t xml:space="preserve"> jurisdictions:</w:t>
      </w:r>
    </w:p>
    <w:p w14:paraId="5791CAF1" w14:textId="31E8CD9D" w:rsidR="00D50804" w:rsidRPr="008625DC" w:rsidRDefault="00D50804" w:rsidP="00F624CD">
      <w:pPr>
        <w:pStyle w:val="Bullet"/>
        <w:tabs>
          <w:tab w:val="clear" w:pos="566"/>
          <w:tab w:val="num" w:pos="993"/>
        </w:tabs>
        <w:ind w:left="993" w:hanging="425"/>
        <w:rPr>
          <w:color w:val="595959" w:themeColor="text1" w:themeTint="A6"/>
        </w:rPr>
      </w:pPr>
      <w:r w:rsidRPr="008625DC">
        <w:rPr>
          <w:color w:val="595959" w:themeColor="text1" w:themeTint="A6"/>
        </w:rPr>
        <w:t>consider options for raising awareness of the tools available for comparing energy offers to improve customer confidence in the market;</w:t>
      </w:r>
    </w:p>
    <w:p w14:paraId="0F2351FA" w14:textId="28A79F58" w:rsidR="00D50804" w:rsidRPr="008625DC" w:rsidRDefault="00D50804" w:rsidP="00F624CD">
      <w:pPr>
        <w:pStyle w:val="Bullet"/>
        <w:tabs>
          <w:tab w:val="clear" w:pos="566"/>
          <w:tab w:val="num" w:pos="993"/>
        </w:tabs>
        <w:ind w:left="993" w:hanging="425"/>
        <w:rPr>
          <w:color w:val="595959" w:themeColor="text1" w:themeTint="A6"/>
        </w:rPr>
      </w:pPr>
      <w:r w:rsidRPr="008625DC">
        <w:rPr>
          <w:color w:val="595959" w:themeColor="text1" w:themeTint="A6"/>
        </w:rPr>
        <w:t>ensure concession schemes are delivering on their intended purpose in an efficient and targeted way;</w:t>
      </w:r>
    </w:p>
    <w:p w14:paraId="590C8FCD" w14:textId="77337A32" w:rsidR="00D50804" w:rsidRPr="008625DC" w:rsidRDefault="00D50804" w:rsidP="00F624CD">
      <w:pPr>
        <w:pStyle w:val="Bullet"/>
        <w:tabs>
          <w:tab w:val="clear" w:pos="566"/>
          <w:tab w:val="num" w:pos="993"/>
        </w:tabs>
        <w:ind w:left="993" w:hanging="425"/>
        <w:rPr>
          <w:color w:val="595959" w:themeColor="text1" w:themeTint="A6"/>
        </w:rPr>
      </w:pPr>
      <w:r w:rsidRPr="008625DC">
        <w:rPr>
          <w:color w:val="595959" w:themeColor="text1" w:themeTint="A6"/>
        </w:rPr>
        <w:t>continue to harmonise regulatory arrangements across jurisdictions to minimise costs, including implementing the National Energy Customer Framework; and</w:t>
      </w:r>
    </w:p>
    <w:p w14:paraId="67F570D9" w14:textId="1A098D27" w:rsidR="00D50804" w:rsidRPr="008625DC" w:rsidRDefault="00D50804" w:rsidP="00F624CD">
      <w:pPr>
        <w:pStyle w:val="Bullet"/>
        <w:tabs>
          <w:tab w:val="clear" w:pos="566"/>
          <w:tab w:val="num" w:pos="993"/>
        </w:tabs>
        <w:spacing w:after="240"/>
        <w:ind w:left="993" w:hanging="425"/>
        <w:rPr>
          <w:color w:val="595959" w:themeColor="text1" w:themeTint="A6"/>
        </w:rPr>
      </w:pPr>
      <w:proofErr w:type="gramStart"/>
      <w:r w:rsidRPr="008625DC">
        <w:rPr>
          <w:color w:val="595959" w:themeColor="text1" w:themeTint="A6"/>
        </w:rPr>
        <w:t>remove</w:t>
      </w:r>
      <w:proofErr w:type="gramEnd"/>
      <w:r w:rsidRPr="008625DC">
        <w:rPr>
          <w:color w:val="595959" w:themeColor="text1" w:themeTint="A6"/>
        </w:rPr>
        <w:t xml:space="preserve"> energy retail price regulation whe</w:t>
      </w:r>
      <w:r w:rsidR="00C13D07" w:rsidRPr="008625DC">
        <w:rPr>
          <w:color w:val="595959" w:themeColor="text1" w:themeTint="A6"/>
        </w:rPr>
        <w:t>re competition is effective. (page</w:t>
      </w:r>
      <w:r w:rsidRPr="008625DC">
        <w:rPr>
          <w:color w:val="595959" w:themeColor="text1" w:themeTint="A6"/>
        </w:rPr>
        <w:t xml:space="preserve"> iv)</w:t>
      </w:r>
    </w:p>
    <w:p w14:paraId="0A3F4244" w14:textId="3C60460F" w:rsidR="000F3CC2" w:rsidRPr="008625DC" w:rsidRDefault="000F3CC2" w:rsidP="00C13D07">
      <w:pPr>
        <w:spacing w:after="120"/>
      </w:pPr>
      <w:r w:rsidRPr="008625DC">
        <w:t>The Panel believes there is scope to go further than the previously agreed reforms</w:t>
      </w:r>
      <w:r w:rsidR="00827592" w:rsidRPr="008625DC">
        <w:t xml:space="preserve"> to further develop competition in the sector</w:t>
      </w:r>
      <w:r w:rsidR="007305AD" w:rsidRPr="008625DC">
        <w:t>.</w:t>
      </w:r>
      <w:r w:rsidRPr="008625DC">
        <w:t xml:space="preserve"> </w:t>
      </w:r>
      <w:r w:rsidR="007305AD" w:rsidRPr="008625DC">
        <w:t>F</w:t>
      </w:r>
      <w:r w:rsidRPr="008625DC">
        <w:t xml:space="preserve">or example, the Energy Networks Association writes that: </w:t>
      </w:r>
    </w:p>
    <w:p w14:paraId="37DDE0BA" w14:textId="6990414C" w:rsidR="000F3CC2" w:rsidRPr="008625DC" w:rsidRDefault="00DC5B93" w:rsidP="000F3CC2">
      <w:pPr>
        <w:pStyle w:val="Quotes"/>
        <w:rPr>
          <w:rFonts w:ascii="MyriadPro-Light" w:hAnsi="MyriadPro-Light"/>
          <w:color w:val="404040"/>
          <w:sz w:val="20"/>
        </w:rPr>
      </w:pPr>
      <w:r w:rsidRPr="008625DC">
        <w:t>[</w:t>
      </w:r>
      <w:r w:rsidR="000F3CC2" w:rsidRPr="008625DC">
        <w:t>E</w:t>
      </w:r>
      <w:r w:rsidRPr="008625DC">
        <w:t>nergy Networks Association]</w:t>
      </w:r>
      <w:r w:rsidR="000F3CC2" w:rsidRPr="008625DC">
        <w:t xml:space="preserve"> strongly supports the transfer of economic regulatory functions under the National Electricity Law and National Gas Law and Rules from the WA Economic Regulation Authority and NT Utilities Commission to the Australian Energy Regulator, and the consistent application of the third</w:t>
      </w:r>
      <w:r w:rsidR="00C74E19" w:rsidRPr="008625DC">
        <w:noBreakHyphen/>
      </w:r>
      <w:r w:rsidR="000F3CC2" w:rsidRPr="008625DC">
        <w:t>party access pricing rules (in particular, Chapters 6 and 6A of the National Electricity Rules, and the National Gas Rules) to energy networks in WA and NT. (p</w:t>
      </w:r>
      <w:r w:rsidR="00C13D07" w:rsidRPr="008625DC">
        <w:t>age</w:t>
      </w:r>
      <w:r w:rsidR="000F3CC2" w:rsidRPr="008625DC">
        <w:t xml:space="preserve"> 7)</w:t>
      </w:r>
    </w:p>
    <w:p w14:paraId="0757373D" w14:textId="6FDD55B8" w:rsidR="00BE5ACC" w:rsidRPr="008625DC" w:rsidRDefault="000F3CC2" w:rsidP="008235F0">
      <w:r w:rsidRPr="008625DC">
        <w:t>While there may be strong arguments</w:t>
      </w:r>
      <w:r w:rsidR="00380141" w:rsidRPr="008625DC">
        <w:t xml:space="preserve"> — </w:t>
      </w:r>
      <w:r w:rsidRPr="008625DC">
        <w:t>mostly on the basis of geography and high transmission losses</w:t>
      </w:r>
      <w:r w:rsidR="00380141" w:rsidRPr="008625DC">
        <w:t xml:space="preserve"> — </w:t>
      </w:r>
      <w:r w:rsidRPr="008625DC">
        <w:t>for the W</w:t>
      </w:r>
      <w:r w:rsidR="00E2620D" w:rsidRPr="008625DC">
        <w:t xml:space="preserve">estern </w:t>
      </w:r>
      <w:r w:rsidRPr="008625DC">
        <w:t>A</w:t>
      </w:r>
      <w:r w:rsidR="00E2620D" w:rsidRPr="008625DC">
        <w:t xml:space="preserve">ustralian </w:t>
      </w:r>
      <w:r w:rsidRPr="008625DC">
        <w:t>and N</w:t>
      </w:r>
      <w:r w:rsidR="00E2620D" w:rsidRPr="008625DC">
        <w:t xml:space="preserve">orthern </w:t>
      </w:r>
      <w:r w:rsidRPr="008625DC">
        <w:t>T</w:t>
      </w:r>
      <w:r w:rsidR="00E2620D" w:rsidRPr="008625DC">
        <w:t>erritory</w:t>
      </w:r>
      <w:r w:rsidRPr="008625DC">
        <w:t xml:space="preserve"> markets not to be physically joined to the National Electricity Market, the benefits of those jurisdictions adopting the national legislative and institutional frameworks can be realised without physical connection.</w:t>
      </w:r>
      <w:r w:rsidR="003A41DC" w:rsidRPr="008625DC">
        <w:t xml:space="preserve"> The Panel notes there are </w:t>
      </w:r>
      <w:r w:rsidR="003A41DC" w:rsidRPr="008625DC">
        <w:lastRenderedPageBreak/>
        <w:t>already moves underway for this to occur</w:t>
      </w:r>
      <w:r w:rsidR="003D3B29" w:rsidRPr="008625DC">
        <w:t>, with the Northern Territory Government moving to transfer responsibility f</w:t>
      </w:r>
      <w:r w:rsidR="007305AD" w:rsidRPr="008625DC">
        <w:t>or</w:t>
      </w:r>
      <w:r w:rsidR="003D3B29" w:rsidRPr="008625DC">
        <w:t xml:space="preserve"> its electricity regulation to the Australian Energy Regulator</w:t>
      </w:r>
      <w:r w:rsidR="00A3052B" w:rsidRPr="008625DC">
        <w:t xml:space="preserve"> (AER)</w:t>
      </w:r>
      <w:r w:rsidR="00966E49" w:rsidRPr="008625DC">
        <w:t>.</w:t>
      </w:r>
    </w:p>
    <w:p w14:paraId="0DE58DBD" w14:textId="66977936" w:rsidR="000653E5" w:rsidRPr="008625DC" w:rsidRDefault="00880E5D" w:rsidP="00FB084C">
      <w:pPr>
        <w:pStyle w:val="Heading3"/>
      </w:pPr>
      <w:bookmarkStart w:id="20427" w:name="_Toc394499866"/>
      <w:bookmarkStart w:id="20428" w:name="_Toc394500065"/>
      <w:bookmarkStart w:id="20429" w:name="_Toc394500799"/>
      <w:bookmarkStart w:id="20430" w:name="_Toc394500998"/>
      <w:bookmarkStart w:id="20431" w:name="_Toc393990894"/>
      <w:bookmarkStart w:id="20432" w:name="_Toc393991068"/>
      <w:bookmarkStart w:id="20433" w:name="_Toc393991167"/>
      <w:bookmarkStart w:id="20434" w:name="_Toc393991876"/>
      <w:bookmarkStart w:id="20435" w:name="_Toc393992052"/>
      <w:bookmarkStart w:id="20436" w:name="_Toc394047539"/>
      <w:bookmarkStart w:id="20437" w:name="_Toc394047716"/>
      <w:bookmarkStart w:id="20438" w:name="_Toc394047827"/>
      <w:bookmarkStart w:id="20439" w:name="_Toc394048383"/>
      <w:bookmarkStart w:id="20440" w:name="_Toc394049815"/>
      <w:bookmarkStart w:id="20441" w:name="_Toc394049995"/>
      <w:bookmarkStart w:id="20442" w:name="_Toc394051215"/>
      <w:bookmarkStart w:id="20443" w:name="_Toc394051395"/>
      <w:bookmarkStart w:id="20444" w:name="_Toc394062204"/>
      <w:bookmarkStart w:id="20445" w:name="_Toc394062542"/>
      <w:bookmarkStart w:id="20446" w:name="_Toc394069079"/>
      <w:bookmarkStart w:id="20447" w:name="_Toc394069257"/>
      <w:bookmarkStart w:id="20448" w:name="_Toc394070997"/>
      <w:bookmarkStart w:id="20449" w:name="_Toc394071175"/>
      <w:bookmarkStart w:id="20450" w:name="_Toc394312706"/>
      <w:bookmarkStart w:id="20451" w:name="_Toc394330448"/>
      <w:bookmarkStart w:id="20452" w:name="_Toc394330685"/>
      <w:bookmarkStart w:id="20453" w:name="_Toc394331379"/>
      <w:bookmarkStart w:id="20454" w:name="_Toc394330305"/>
      <w:bookmarkStart w:id="20455" w:name="_Toc394333277"/>
      <w:bookmarkStart w:id="20456" w:name="_Toc394333454"/>
      <w:bookmarkStart w:id="20457" w:name="_Toc394332855"/>
      <w:bookmarkStart w:id="20458" w:name="_Toc394333690"/>
      <w:bookmarkStart w:id="20459" w:name="_Toc394333867"/>
      <w:bookmarkStart w:id="20460" w:name="_Toc394334103"/>
      <w:bookmarkStart w:id="20461" w:name="_Toc394334280"/>
      <w:bookmarkStart w:id="20462" w:name="_Toc394334929"/>
      <w:bookmarkStart w:id="20463" w:name="_Toc394335106"/>
      <w:bookmarkStart w:id="20464" w:name="_Toc394415112"/>
      <w:bookmarkStart w:id="20465" w:name="_Toc394415310"/>
      <w:bookmarkStart w:id="20466" w:name="_Toc394412417"/>
      <w:bookmarkStart w:id="20467" w:name="_Toc394412619"/>
      <w:bookmarkStart w:id="20468" w:name="_Toc394420708"/>
      <w:bookmarkStart w:id="20469" w:name="_Toc394420912"/>
      <w:bookmarkStart w:id="20470" w:name="_Toc394421182"/>
      <w:bookmarkStart w:id="20471" w:name="_Toc394423551"/>
      <w:bookmarkStart w:id="20472" w:name="_Toc394423753"/>
      <w:bookmarkStart w:id="20473" w:name="_Toc394420485"/>
      <w:bookmarkStart w:id="20474" w:name="_Toc394422595"/>
      <w:bookmarkStart w:id="20475" w:name="_Toc394422797"/>
      <w:bookmarkStart w:id="20476" w:name="_Toc394423066"/>
      <w:bookmarkStart w:id="20477" w:name="_Toc394423268"/>
      <w:bookmarkStart w:id="20478" w:name="_Toc394424216"/>
      <w:bookmarkStart w:id="20479" w:name="_Toc394424416"/>
      <w:bookmarkStart w:id="20480" w:name="_Toc394492049"/>
      <w:bookmarkStart w:id="20481" w:name="_Toc394492249"/>
      <w:bookmarkStart w:id="20482" w:name="_Toc394495194"/>
      <w:bookmarkStart w:id="20483" w:name="_Toc394495393"/>
      <w:bookmarkStart w:id="20484" w:name="_Toc394498009"/>
      <w:bookmarkStart w:id="20485" w:name="_Toc394498208"/>
      <w:bookmarkStart w:id="20486" w:name="_Toc393985172"/>
      <w:bookmarkStart w:id="20487" w:name="_Toc393985346"/>
      <w:bookmarkStart w:id="20488" w:name="_Toc393985675"/>
      <w:bookmarkStart w:id="20489" w:name="_Toc393985850"/>
      <w:bookmarkStart w:id="20490" w:name="_Toc393986077"/>
      <w:bookmarkStart w:id="20491" w:name="_Toc393986252"/>
      <w:bookmarkStart w:id="20492" w:name="_Toc393986480"/>
      <w:bookmarkStart w:id="20493" w:name="_Toc393988087"/>
      <w:bookmarkStart w:id="20494" w:name="_Toc393988262"/>
      <w:bookmarkStart w:id="20495" w:name="_Toc393988489"/>
      <w:bookmarkStart w:id="20496" w:name="_Toc393988664"/>
      <w:bookmarkStart w:id="20497" w:name="_Toc393986656"/>
      <w:bookmarkStart w:id="20498" w:name="_Toc393989501"/>
      <w:bookmarkStart w:id="20499" w:name="_Toc393989676"/>
      <w:bookmarkStart w:id="20500" w:name="_Toc393988890"/>
      <w:bookmarkStart w:id="20501" w:name="_Toc393989064"/>
      <w:bookmarkStart w:id="20502" w:name="_Toc394502202"/>
      <w:bookmarkStart w:id="20503" w:name="_Toc394502394"/>
      <w:bookmarkStart w:id="20504" w:name="_Toc394503104"/>
      <w:bookmarkStart w:id="20505" w:name="_Toc394503753"/>
      <w:bookmarkStart w:id="20506" w:name="_Toc394502648"/>
      <w:bookmarkStart w:id="20507" w:name="_Toc394502842"/>
      <w:bookmarkStart w:id="20508" w:name="_Toc394505855"/>
      <w:bookmarkStart w:id="20509" w:name="_Toc394506171"/>
      <w:bookmarkStart w:id="20510" w:name="_Toc394506314"/>
      <w:bookmarkStart w:id="20511" w:name="_Toc394506509"/>
      <w:bookmarkStart w:id="20512" w:name="_Toc394506868"/>
      <w:bookmarkStart w:id="20513" w:name="_Toc394507063"/>
      <w:bookmarkStart w:id="20514" w:name="_Toc394560941"/>
      <w:bookmarkStart w:id="20515" w:name="_Toc394561140"/>
      <w:bookmarkStart w:id="20516" w:name="_Toc394561402"/>
      <w:bookmarkStart w:id="20517" w:name="_Toc394561973"/>
      <w:bookmarkStart w:id="20518" w:name="_Toc394582942"/>
      <w:bookmarkStart w:id="20519" w:name="_Toc394585613"/>
      <w:bookmarkStart w:id="20520" w:name="_Toc394586079"/>
      <w:bookmarkStart w:id="20521" w:name="_Toc394588011"/>
      <w:bookmarkStart w:id="20522" w:name="_Toc394588846"/>
      <w:bookmarkStart w:id="20523" w:name="_Toc394588971"/>
      <w:bookmarkStart w:id="20524" w:name="_Toc394590387"/>
      <w:bookmarkStart w:id="20525" w:name="_Toc394590580"/>
      <w:bookmarkStart w:id="20526" w:name="_Toc394654484"/>
      <w:bookmarkStart w:id="20527" w:name="_Toc394654642"/>
      <w:bookmarkStart w:id="20528" w:name="_Toc394656184"/>
      <w:bookmarkStart w:id="20529" w:name="_Toc394656341"/>
      <w:bookmarkStart w:id="20530" w:name="_Toc394659321"/>
      <w:bookmarkStart w:id="20531" w:name="_Toc394659479"/>
      <w:bookmarkStart w:id="20532" w:name="_Toc394663334"/>
      <w:bookmarkStart w:id="20533" w:name="_Toc394663490"/>
      <w:bookmarkStart w:id="20534" w:name="_Toc394667128"/>
      <w:bookmarkStart w:id="20535" w:name="_Toc394667284"/>
      <w:bookmarkStart w:id="20536" w:name="_Toc394671607"/>
      <w:bookmarkStart w:id="20537" w:name="_Toc394671767"/>
      <w:bookmarkStart w:id="20538" w:name="_Toc394674609"/>
      <w:bookmarkStart w:id="20539" w:name="_Toc394674772"/>
      <w:bookmarkStart w:id="20540" w:name="_Toc394674886"/>
      <w:bookmarkStart w:id="20541" w:name="_Toc394675052"/>
      <w:bookmarkStart w:id="20542" w:name="_Toc394675997"/>
      <w:bookmarkStart w:id="20543" w:name="_Toc394676159"/>
      <w:bookmarkStart w:id="20544" w:name="_Toc394675685"/>
      <w:bookmarkStart w:id="20545" w:name="_Toc394675848"/>
      <w:bookmarkStart w:id="20546" w:name="_Toc394918248"/>
      <w:bookmarkStart w:id="20547" w:name="_Toc394918762"/>
      <w:bookmarkStart w:id="20548" w:name="_Toc394930734"/>
      <w:bookmarkStart w:id="20549" w:name="_Toc394933648"/>
      <w:bookmarkStart w:id="20550" w:name="_Toc394933833"/>
      <w:bookmarkStart w:id="20551" w:name="_Toc394938094"/>
      <w:bookmarkStart w:id="20552" w:name="_Toc394938282"/>
      <w:bookmarkStart w:id="20553" w:name="_Toc394938596"/>
      <w:bookmarkStart w:id="20554" w:name="_Toc394937562"/>
      <w:bookmarkStart w:id="20555" w:name="_Toc394937878"/>
      <w:bookmarkStart w:id="20556" w:name="_Toc394941006"/>
      <w:bookmarkStart w:id="20557" w:name="_Toc394941193"/>
      <w:bookmarkStart w:id="20558" w:name="_Toc394941507"/>
      <w:bookmarkStart w:id="20559" w:name="_Toc394941622"/>
      <w:bookmarkStart w:id="20560" w:name="_Toc394941809"/>
      <w:bookmarkStart w:id="20561" w:name="_Toc394942123"/>
      <w:bookmarkStart w:id="20562" w:name="_Toc394939843"/>
      <w:bookmarkStart w:id="20563" w:name="_Toc394940031"/>
      <w:bookmarkStart w:id="20564" w:name="_Toc394940345"/>
      <w:bookmarkStart w:id="20565" w:name="_Toc394939455"/>
      <w:bookmarkStart w:id="20566" w:name="_Toc394939641"/>
      <w:bookmarkStart w:id="20567" w:name="_Toc394940559"/>
      <w:bookmarkStart w:id="20568" w:name="_Toc394993538"/>
      <w:bookmarkStart w:id="20569" w:name="_Toc394995419"/>
      <w:bookmarkStart w:id="20570" w:name="_Toc394995733"/>
      <w:bookmarkStart w:id="20571" w:name="_Toc394996041"/>
      <w:bookmarkStart w:id="20572" w:name="_Toc394997767"/>
      <w:bookmarkStart w:id="20573" w:name="_Toc394997978"/>
      <w:bookmarkStart w:id="20574" w:name="_Toc394998282"/>
      <w:bookmarkStart w:id="20575" w:name="_Toc394998492"/>
      <w:bookmarkStart w:id="20576" w:name="_Toc395001777"/>
      <w:bookmarkStart w:id="20577" w:name="_Toc395001991"/>
      <w:bookmarkStart w:id="20578" w:name="_Toc395003345"/>
      <w:bookmarkStart w:id="20579" w:name="_Toc395005155"/>
      <w:bookmarkStart w:id="20580" w:name="_Toc395005371"/>
      <w:bookmarkStart w:id="20581" w:name="_Toc395005586"/>
      <w:bookmarkStart w:id="20582" w:name="_Toc395008948"/>
      <w:bookmarkStart w:id="20583" w:name="_Toc395011734"/>
      <w:bookmarkStart w:id="20584" w:name="_Toc395010134"/>
      <w:bookmarkStart w:id="20585" w:name="_Toc395010318"/>
      <w:bookmarkStart w:id="20586" w:name="_Toc395009976"/>
      <w:bookmarkStart w:id="20587" w:name="_Toc395011502"/>
      <w:bookmarkStart w:id="20588" w:name="_Toc395012320"/>
      <w:bookmarkStart w:id="20589" w:name="_Toc395012503"/>
      <w:bookmarkStart w:id="20590" w:name="_Toc395012910"/>
      <w:bookmarkStart w:id="20591" w:name="_Toc395010725"/>
      <w:bookmarkStart w:id="20592" w:name="_Toc395010908"/>
      <w:bookmarkStart w:id="20593" w:name="_Toc395012198"/>
      <w:bookmarkStart w:id="20594" w:name="_Toc395012852"/>
      <w:bookmarkStart w:id="20595" w:name="_Toc395011966"/>
      <w:bookmarkStart w:id="20596" w:name="_Toc395014599"/>
      <w:bookmarkStart w:id="20597" w:name="_Toc395013190"/>
      <w:bookmarkStart w:id="20598" w:name="_Toc395084662"/>
      <w:bookmarkStart w:id="20599" w:name="_Toc395084963"/>
      <w:bookmarkStart w:id="20600" w:name="_Toc395090227"/>
      <w:bookmarkStart w:id="20601" w:name="_Toc395090417"/>
      <w:bookmarkStart w:id="20602" w:name="_Toc395090706"/>
      <w:bookmarkStart w:id="20603" w:name="_Toc395092595"/>
      <w:bookmarkStart w:id="20604" w:name="_Toc395092807"/>
      <w:bookmarkStart w:id="20605" w:name="_Toc395093001"/>
      <w:bookmarkStart w:id="20606" w:name="_Toc395093289"/>
      <w:bookmarkStart w:id="20607" w:name="_Toc395097718"/>
      <w:bookmarkStart w:id="20608" w:name="_Toc395097912"/>
      <w:bookmarkStart w:id="20609" w:name="_Toc395098199"/>
      <w:bookmarkStart w:id="20610" w:name="_Toc395105384"/>
      <w:bookmarkStart w:id="20611" w:name="_Toc395106987"/>
      <w:bookmarkStart w:id="20612" w:name="_Toc395109859"/>
      <w:bookmarkStart w:id="20613" w:name="_Toc395110051"/>
      <w:bookmarkStart w:id="20614" w:name="_Toc395109645"/>
      <w:bookmarkStart w:id="20615" w:name="_Toc395111862"/>
      <w:bookmarkStart w:id="20616" w:name="_Toc395112052"/>
      <w:bookmarkStart w:id="20617" w:name="_Toc395112350"/>
      <w:bookmarkStart w:id="20618" w:name="_Toc395106782"/>
      <w:bookmarkStart w:id="20619" w:name="_Toc395107192"/>
      <w:bookmarkStart w:id="20620" w:name="_Toc395107495"/>
      <w:bookmarkStart w:id="20621" w:name="_Toc395109450"/>
      <w:bookmarkStart w:id="20622" w:name="_Toc395108542"/>
      <w:bookmarkStart w:id="20623" w:name="_Toc395108755"/>
      <w:bookmarkStart w:id="20624" w:name="_Toc395113782"/>
      <w:bookmarkStart w:id="20625" w:name="_Toc395113995"/>
      <w:bookmarkStart w:id="20626" w:name="_Toc395114302"/>
      <w:bookmarkStart w:id="20627" w:name="_Toc395116518"/>
      <w:bookmarkStart w:id="20628" w:name="_Toc395116732"/>
      <w:bookmarkStart w:id="20629" w:name="_Toc395117040"/>
      <w:bookmarkStart w:id="20630" w:name="_Toc395112312"/>
      <w:bookmarkStart w:id="20631" w:name="_Toc395112669"/>
      <w:bookmarkStart w:id="20632" w:name="_Toc395113158"/>
      <w:bookmarkStart w:id="20633" w:name="_Toc395114994"/>
      <w:bookmarkStart w:id="20634" w:name="_Toc395115209"/>
      <w:bookmarkStart w:id="20635" w:name="_Toc395115517"/>
      <w:bookmarkStart w:id="20636" w:name="_Toc395118151"/>
      <w:bookmarkStart w:id="20637" w:name="_Toc395118364"/>
      <w:bookmarkStart w:id="20638" w:name="_Toc395118669"/>
      <w:bookmarkStart w:id="20639" w:name="_Toc395178361"/>
      <w:bookmarkStart w:id="20640" w:name="_Toc395178693"/>
      <w:bookmarkStart w:id="20641" w:name="_Toc395624556"/>
      <w:bookmarkStart w:id="20642" w:name="_Toc395624850"/>
      <w:bookmarkStart w:id="20643" w:name="_Toc395789704"/>
      <w:bookmarkStart w:id="20644" w:name="_Toc395789908"/>
      <w:bookmarkStart w:id="20645" w:name="_Toc395800665"/>
      <w:r w:rsidRPr="008625DC">
        <w:t>Gas</w:t>
      </w:r>
    </w:p>
    <w:p w14:paraId="262C0823" w14:textId="2E151380" w:rsidR="000653E5" w:rsidRPr="008625DC" w:rsidRDefault="000653E5" w:rsidP="00F624CD">
      <w:r w:rsidRPr="008625DC">
        <w:t>Reform in the gas sector has largely mirrored that of the electricity sector. The 2014 Eastern Australian Domestic Gas Study</w:t>
      </w:r>
      <w:r w:rsidRPr="008625DC">
        <w:rPr>
          <w:rStyle w:val="FootnoteReference"/>
        </w:rPr>
        <w:footnoteReference w:id="142"/>
      </w:r>
      <w:r w:rsidRPr="008625DC">
        <w:t xml:space="preserve"> examined the market in detail and found that effective competition in wholesale gas markets is linked to access to efficiently priced gas transportation, processing and storage services</w:t>
      </w:r>
      <w:r w:rsidR="007305AD" w:rsidRPr="008625DC">
        <w:t>,</w:t>
      </w:r>
      <w:r w:rsidRPr="008625DC">
        <w:t xml:space="preserve"> which in turn relies on a combination of efficient price signals and regulatory arrangements.</w:t>
      </w:r>
      <w:r w:rsidR="00787DCF" w:rsidRPr="008625DC">
        <w:t xml:space="preserve"> </w:t>
      </w:r>
    </w:p>
    <w:p w14:paraId="0240F2D9" w14:textId="54E016E9" w:rsidR="000653E5" w:rsidRPr="008625DC" w:rsidRDefault="000653E5" w:rsidP="000653E5">
      <w:r w:rsidRPr="008625DC">
        <w:t xml:space="preserve">While the report notes that this has worked well to date, with a consistent build and redevelopment of infrastructure to meet growing demand in recent years, it does flag significant changes in the market and </w:t>
      </w:r>
      <w:r w:rsidR="00775816" w:rsidRPr="008625DC">
        <w:t xml:space="preserve">that </w:t>
      </w:r>
      <w:r w:rsidRPr="008625DC">
        <w:t>changes in the regulatory and commercial arrangements could be made to address gas supply.</w:t>
      </w:r>
    </w:p>
    <w:p w14:paraId="097DEFCC" w14:textId="6E5F7241" w:rsidR="000F4438" w:rsidRPr="008625DC" w:rsidRDefault="000653E5" w:rsidP="000F4438">
      <w:r w:rsidRPr="008625DC">
        <w:t>The report summarised options for government consideration including addressing regulatory impediments to supply, improv</w:t>
      </w:r>
      <w:r w:rsidR="007305AD" w:rsidRPr="008625DC">
        <w:t>ing</w:t>
      </w:r>
      <w:r w:rsidRPr="008625DC">
        <w:t xml:space="preserve"> title administration and management, jointly facilitat</w:t>
      </w:r>
      <w:r w:rsidR="008C7C1B" w:rsidRPr="008625DC">
        <w:t>ing</w:t>
      </w:r>
      <w:r w:rsidRPr="008625DC">
        <w:t xml:space="preserve"> priority gas projects and improv</w:t>
      </w:r>
      <w:r w:rsidR="008C7C1B" w:rsidRPr="008625DC">
        <w:t>ing</w:t>
      </w:r>
      <w:r w:rsidRPr="008625DC">
        <w:t xml:space="preserve"> access to and cooperation on pre</w:t>
      </w:r>
      <w:r w:rsidR="00C74E19" w:rsidRPr="008625DC">
        <w:noBreakHyphen/>
      </w:r>
      <w:r w:rsidRPr="008625DC">
        <w:t xml:space="preserve">competitive geoscience. </w:t>
      </w:r>
    </w:p>
    <w:p w14:paraId="10B110ED" w14:textId="3F652BEB" w:rsidR="000653E5" w:rsidRPr="008625DC" w:rsidRDefault="000653E5" w:rsidP="00F624CD">
      <w:pPr>
        <w:spacing w:after="120"/>
      </w:pPr>
      <w:r w:rsidRPr="008625DC">
        <w:t xml:space="preserve">The report also indicated that a review into competition in the gas market is an option </w:t>
      </w:r>
      <w:r w:rsidR="008C7C1B" w:rsidRPr="008625DC">
        <w:t>to consider</w:t>
      </w:r>
      <w:r w:rsidRPr="008625DC">
        <w:t>, and this was echoed by EnergyAustralia</w:t>
      </w:r>
      <w:r w:rsidR="008C7C1B" w:rsidRPr="008625DC">
        <w:t xml:space="preserve"> in its recommendation that</w:t>
      </w:r>
      <w:r w:rsidRPr="008625DC">
        <w:t xml:space="preserve">: </w:t>
      </w:r>
    </w:p>
    <w:p w14:paraId="73E32060" w14:textId="70014EF4" w:rsidR="000653E5" w:rsidRPr="008625DC" w:rsidRDefault="000653E5" w:rsidP="000653E5">
      <w:pPr>
        <w:pStyle w:val="Quotes"/>
      </w:pPr>
      <w:r w:rsidRPr="008625DC">
        <w:t>The Commonwealth Government request that the Productivity Commission conduct a high level coordinated review of market design, gas market competition, the direction and structure of the existing trading and related financial markets, and the suitability of carriage models for pipeline regulation.</w:t>
      </w:r>
      <w:r w:rsidR="00C13D07" w:rsidRPr="008625DC">
        <w:t xml:space="preserve"> (</w:t>
      </w:r>
      <w:proofErr w:type="gramStart"/>
      <w:r w:rsidR="00C13D07" w:rsidRPr="008625DC">
        <w:t>page</w:t>
      </w:r>
      <w:proofErr w:type="gramEnd"/>
      <w:r w:rsidRPr="008625DC">
        <w:t xml:space="preserve"> 6)</w:t>
      </w:r>
    </w:p>
    <w:p w14:paraId="6B5DF045" w14:textId="2819DE43" w:rsidR="000653E5" w:rsidRPr="008625DC" w:rsidRDefault="000653E5" w:rsidP="00A56434">
      <w:pPr>
        <w:autoSpaceDE w:val="0"/>
        <w:autoSpaceDN w:val="0"/>
        <w:adjustRightInd w:val="0"/>
        <w:spacing w:before="0" w:after="0"/>
        <w:rPr>
          <w:color w:val="auto"/>
        </w:rPr>
      </w:pPr>
      <w:r w:rsidRPr="008625DC">
        <w:t>The Panel notes that the Australian Government will respond to the report through the Energy Green Paper.</w:t>
      </w:r>
      <w:r w:rsidR="00CA0322" w:rsidRPr="008625DC">
        <w:t xml:space="preserve"> The Panel considers the Green </w:t>
      </w:r>
      <w:r w:rsidR="00A3052B" w:rsidRPr="008625DC">
        <w:t>P</w:t>
      </w:r>
      <w:r w:rsidR="00CA0322" w:rsidRPr="008625DC">
        <w:t>aper should</w:t>
      </w:r>
      <w:r w:rsidR="00966E49" w:rsidRPr="008625DC">
        <w:t>,</w:t>
      </w:r>
      <w:r w:rsidR="00CA0322" w:rsidRPr="008625DC">
        <w:t xml:space="preserve"> among other things</w:t>
      </w:r>
      <w:r w:rsidR="00966E49" w:rsidRPr="008625DC">
        <w:t>,</w:t>
      </w:r>
      <w:r w:rsidR="00CA0322" w:rsidRPr="008625DC">
        <w:t xml:space="preserve"> examine barriers to entry in the gas market, whether access regimes are working effectively to encourage upstream and downstream competition as well as regulatory and policy impediments to the efficient operation of </w:t>
      </w:r>
      <w:r w:rsidR="008C7C1B" w:rsidRPr="008625DC">
        <w:t>Australia</w:t>
      </w:r>
      <w:r w:rsidR="00C74E19" w:rsidRPr="008625DC">
        <w:t>’</w:t>
      </w:r>
      <w:r w:rsidR="008C7C1B" w:rsidRPr="008625DC">
        <w:t>s</w:t>
      </w:r>
      <w:r w:rsidR="00CA0322" w:rsidRPr="008625DC">
        <w:t xml:space="preserve"> gas market.</w:t>
      </w:r>
      <w:r w:rsidR="00064E1A" w:rsidRPr="008625DC">
        <w:t xml:space="preserve"> The Panel would welcome the Green Paper committing to a more detailed review of competition in </w:t>
      </w:r>
      <w:r w:rsidR="00064E1A" w:rsidRPr="008625DC">
        <w:rPr>
          <w:color w:val="auto"/>
        </w:rPr>
        <w:t>the gas sector</w:t>
      </w:r>
      <w:r w:rsidR="00951147" w:rsidRPr="008625DC">
        <w:rPr>
          <w:color w:val="auto"/>
        </w:rPr>
        <w:t xml:space="preserve"> in response to the Eastern Australian Domestic Gas Study and calls in other reports such as the</w:t>
      </w:r>
      <w:r w:rsidR="00A11AC9" w:rsidRPr="008625DC">
        <w:rPr>
          <w:color w:val="auto"/>
        </w:rPr>
        <w:t xml:space="preserve"> Victorian Government</w:t>
      </w:r>
      <w:r w:rsidR="00C74E19" w:rsidRPr="008625DC">
        <w:rPr>
          <w:color w:val="auto"/>
        </w:rPr>
        <w:t>’</w:t>
      </w:r>
      <w:r w:rsidR="00A11AC9" w:rsidRPr="008625DC">
        <w:rPr>
          <w:color w:val="auto"/>
        </w:rPr>
        <w:t>s</w:t>
      </w:r>
      <w:r w:rsidR="00951147" w:rsidRPr="008625DC">
        <w:rPr>
          <w:color w:val="auto"/>
        </w:rPr>
        <w:t xml:space="preserve"> </w:t>
      </w:r>
      <w:r w:rsidR="00A11AC9" w:rsidRPr="008625DC">
        <w:rPr>
          <w:color w:val="auto"/>
        </w:rPr>
        <w:t>Gas Market Taskforce Final Report and Recommendations</w:t>
      </w:r>
      <w:r w:rsidR="00F624CD" w:rsidRPr="008625DC">
        <w:rPr>
          <w:color w:val="auto"/>
        </w:rPr>
        <w:t>.</w:t>
      </w:r>
      <w:r w:rsidR="004011F7" w:rsidRPr="008625DC">
        <w:rPr>
          <w:rStyle w:val="FootnoteReference"/>
          <w:color w:val="auto"/>
        </w:rPr>
        <w:footnoteReference w:id="143"/>
      </w:r>
    </w:p>
    <w:p w14:paraId="48F8C508" w14:textId="77777777" w:rsidR="000552C2" w:rsidRPr="008625DC" w:rsidRDefault="000552C2" w:rsidP="000653E5"/>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5CB71349" w14:textId="77777777" w:rsidTr="00FB31E5">
        <w:tc>
          <w:tcPr>
            <w:tcW w:w="5000" w:type="pct"/>
            <w:shd w:val="clear" w:color="auto" w:fill="FFFFFF" w:themeFill="background1"/>
          </w:tcPr>
          <w:p w14:paraId="0DD76867" w14:textId="711CFB8B" w:rsidR="000653E5" w:rsidRPr="008625DC" w:rsidRDefault="000653E5" w:rsidP="00FB31E5">
            <w:pPr>
              <w:pStyle w:val="Keyfindingheading"/>
            </w:pPr>
            <w:r w:rsidRPr="008625DC">
              <w:lastRenderedPageBreak/>
              <w:t>The Panel</w:t>
            </w:r>
            <w:r w:rsidR="00C74E19" w:rsidRPr="008625DC">
              <w:t>’</w:t>
            </w:r>
            <w:r w:rsidRPr="008625DC">
              <w:t>s view</w:t>
            </w:r>
          </w:p>
          <w:p w14:paraId="1BCCE919" w14:textId="0E1592FB" w:rsidR="000653E5" w:rsidRPr="008625DC" w:rsidRDefault="000653E5" w:rsidP="00FB31E5">
            <w:pPr>
              <w:pStyle w:val="Keyfindingtext"/>
            </w:pPr>
            <w:r w:rsidRPr="008625DC">
              <w:t>Reform of the energy sector remains important</w:t>
            </w:r>
            <w:r w:rsidR="00380141" w:rsidRPr="008625DC">
              <w:t xml:space="preserve"> </w:t>
            </w:r>
            <w:r w:rsidR="008C7C1B" w:rsidRPr="008625DC">
              <w:t>since energy is a key input to other sectors of the economy.</w:t>
            </w:r>
            <w:r w:rsidR="00380141" w:rsidRPr="008625DC">
              <w:t xml:space="preserve"> </w:t>
            </w:r>
            <w:r w:rsidR="008C7C1B" w:rsidRPr="008625DC">
              <w:t>I</w:t>
            </w:r>
            <w:r w:rsidRPr="008625DC">
              <w:t xml:space="preserve">ncreasing competition in energy will </w:t>
            </w:r>
            <w:r w:rsidR="008C7C1B" w:rsidRPr="008625DC">
              <w:t>help place</w:t>
            </w:r>
            <w:r w:rsidRPr="008625DC">
              <w:t xml:space="preserve"> downward pressure on energy prices </w:t>
            </w:r>
            <w:r w:rsidR="008C7C1B" w:rsidRPr="008625DC">
              <w:t>to the benefit of consumers</w:t>
            </w:r>
            <w:r w:rsidRPr="008625DC">
              <w:t>.</w:t>
            </w:r>
          </w:p>
          <w:p w14:paraId="1F1727F8" w14:textId="4F572F44" w:rsidR="000653E5" w:rsidRPr="008625DC" w:rsidRDefault="000653E5" w:rsidP="00FB31E5">
            <w:pPr>
              <w:pStyle w:val="Keyfindingtext"/>
            </w:pPr>
            <w:r w:rsidRPr="008625DC">
              <w:t xml:space="preserve">Reform of the electricity and gas sectors is well progressed </w:t>
            </w:r>
            <w:r w:rsidR="000C6319" w:rsidRPr="008625DC">
              <w:t>compared</w:t>
            </w:r>
            <w:r w:rsidRPr="008625DC">
              <w:t xml:space="preserve"> to other sectors, but it is unfinished. Reforms committed to by the Council of Australian Governments in December 2012 are still not complete.</w:t>
            </w:r>
          </w:p>
          <w:p w14:paraId="56651E4C" w14:textId="72200E7E" w:rsidR="000653E5" w:rsidRPr="008625DC" w:rsidRDefault="000653E5" w:rsidP="00FB31E5">
            <w:pPr>
              <w:pStyle w:val="Keyfindingtext"/>
            </w:pPr>
            <w:r w:rsidRPr="008625DC">
              <w:t xml:space="preserve">Examples of previously agreed reforms which should be finalised are the implementation of the National Energy Retail Law (designed to harmonise regulations for the sale and supply of energy) and retail price deregulation. The Panel notes with concern changes to the template legislation some jurisdictions have made in applying the National Energy Retail Law, and observes that this will detract from the originally intended benefits. </w:t>
            </w:r>
          </w:p>
          <w:p w14:paraId="00483536" w14:textId="20D151D6" w:rsidR="000653E5" w:rsidRPr="008625DC" w:rsidRDefault="000653E5" w:rsidP="00FB31E5">
            <w:pPr>
              <w:pStyle w:val="Keyfindingtext"/>
            </w:pPr>
            <w:r w:rsidRPr="008625DC">
              <w:t xml:space="preserve">Further benefits may be </w:t>
            </w:r>
            <w:r w:rsidR="008C7C1B" w:rsidRPr="008625DC">
              <w:t>realised</w:t>
            </w:r>
            <w:r w:rsidRPr="008625DC">
              <w:t xml:space="preserve"> in the electricity and gas sectors from the transfer of more functions to the national regime, such as reliability standards and licensing arrangements.</w:t>
            </w:r>
          </w:p>
          <w:p w14:paraId="6D2E05CC" w14:textId="6C377AF8" w:rsidR="000653E5" w:rsidRPr="008625DC" w:rsidRDefault="000653E5" w:rsidP="00FB31E5">
            <w:pPr>
              <w:pStyle w:val="Keyfindingtext"/>
            </w:pPr>
            <w:r w:rsidRPr="008625DC">
              <w:t>Competition benefits may also be realised from greater integration of the West</w:t>
            </w:r>
            <w:r w:rsidR="008C7C1B" w:rsidRPr="008625DC">
              <w:t>ern</w:t>
            </w:r>
            <w:r w:rsidRPr="008625DC">
              <w:t xml:space="preserve"> Australian and Northern Territory energy markets with the National Electricity Market.</w:t>
            </w:r>
          </w:p>
          <w:p w14:paraId="19A15142" w14:textId="1F40EA04" w:rsidR="000653E5" w:rsidRPr="008625DC" w:rsidRDefault="000653E5" w:rsidP="00FB31E5">
            <w:pPr>
              <w:pStyle w:val="Keyfindingtext"/>
            </w:pPr>
            <w:r w:rsidRPr="008625DC">
              <w:t xml:space="preserve">The Panel notes the findings of the Eastern Australian Domestic Gas Market Study that competition is largely working, but that there may need to be further monitoring of the market as it is currently in a transitional phase. </w:t>
            </w:r>
            <w:r w:rsidR="00064E1A" w:rsidRPr="008625DC">
              <w:t>The Panel supports a further, more detailed review of competition in the gas sector as proposed in the Study.</w:t>
            </w:r>
          </w:p>
        </w:tc>
      </w:tr>
    </w:tbl>
    <w:p w14:paraId="766BCE34" w14:textId="08FBA0D8" w:rsidR="000653E5" w:rsidRPr="008625DC" w:rsidRDefault="000653E5" w:rsidP="00FB084C">
      <w:pPr>
        <w:pStyle w:val="Heading3"/>
      </w:pPr>
      <w:bookmarkStart w:id="20646" w:name="_Toc395802837"/>
      <w:bookmarkStart w:id="20647" w:name="_Toc395867622"/>
      <w:bookmarkStart w:id="20648" w:name="_Toc395868531"/>
      <w:bookmarkStart w:id="20649" w:name="_Toc395868754"/>
      <w:r w:rsidRPr="008625DC">
        <w:t>Water</w:t>
      </w:r>
      <w:bookmarkEnd w:id="20646"/>
      <w:bookmarkEnd w:id="20647"/>
      <w:bookmarkEnd w:id="20648"/>
      <w:bookmarkEnd w:id="20649"/>
    </w:p>
    <w:p w14:paraId="49DCFA17" w14:textId="4658F83D" w:rsidR="000653E5" w:rsidRPr="008625DC" w:rsidRDefault="00C6270B" w:rsidP="000653E5">
      <w:r w:rsidRPr="008625DC">
        <w:t>R</w:t>
      </w:r>
      <w:r w:rsidR="000653E5" w:rsidRPr="008625DC">
        <w:t>eform has occurred in the water sector</w:t>
      </w:r>
      <w:r w:rsidRPr="008625DC">
        <w:t xml:space="preserve"> but</w:t>
      </w:r>
      <w:r w:rsidR="000653E5" w:rsidRPr="008625DC">
        <w:t xml:space="preserve"> it is not as progressed as electricity and, perhaps as a result of the absence of a national framework, has been more piecemeal. Each jurisdiction has made progress but none could be said to have fully realised the potential consumer </w:t>
      </w:r>
      <w:r w:rsidR="001D19D9" w:rsidRPr="008625DC">
        <w:t>choice and pricing</w:t>
      </w:r>
      <w:r w:rsidR="000653E5" w:rsidRPr="008625DC">
        <w:t xml:space="preserve"> benefits from reforms in the sector.</w:t>
      </w:r>
      <w:r w:rsidR="00787DCF" w:rsidRPr="008625DC">
        <w:t xml:space="preserve"> </w:t>
      </w:r>
    </w:p>
    <w:p w14:paraId="02466DC4" w14:textId="2D40BD66" w:rsidR="000653E5" w:rsidRPr="008625DC" w:rsidRDefault="000653E5" w:rsidP="000653E5">
      <w:r w:rsidRPr="008625DC">
        <w:t>For example, under the 2004 National Water Initiative, governments committed to best practice water pricing. In 2011 the PC identified economic efficiency as the overarching objective for urban water pricing</w:t>
      </w:r>
      <w:r w:rsidR="00C13D07" w:rsidRPr="008625DC">
        <w:t>.</w:t>
      </w:r>
      <w:r w:rsidR="000C6319" w:rsidRPr="008625DC">
        <w:rPr>
          <w:rStyle w:val="FootnoteReference"/>
        </w:rPr>
        <w:footnoteReference w:id="144"/>
      </w:r>
      <w:r w:rsidRPr="008625DC">
        <w:t xml:space="preserve"> The PC considered that equity issues are best dealt with outside the urban water sector through, for example, taxation and social security systems.</w:t>
      </w:r>
      <w:r w:rsidR="009F0672" w:rsidRPr="008625DC">
        <w:t xml:space="preserve"> </w:t>
      </w:r>
      <w:r w:rsidRPr="008625DC">
        <w:t>Despite these (and other) reports, the National Water Commission</w:t>
      </w:r>
      <w:r w:rsidR="00C610DF" w:rsidRPr="008625DC">
        <w:rPr>
          <w:rStyle w:val="FootnoteReference"/>
        </w:rPr>
        <w:footnoteReference w:id="145"/>
      </w:r>
      <w:r w:rsidRPr="008625DC">
        <w:t xml:space="preserve"> found that a failure to implement pricing reforms meant that jurisdictions were not realising the </w:t>
      </w:r>
      <w:r w:rsidR="00700A0A" w:rsidRPr="008625DC">
        <w:t xml:space="preserve">full </w:t>
      </w:r>
      <w:r w:rsidRPr="008625DC">
        <w:t>intended benefits.</w:t>
      </w:r>
    </w:p>
    <w:p w14:paraId="3BE34CFC" w14:textId="2144E95F" w:rsidR="000653E5" w:rsidRPr="008625DC" w:rsidRDefault="000653E5" w:rsidP="000653E5">
      <w:r w:rsidRPr="008625DC">
        <w:t>There is a diversity of approaches to institutional arrangements across jurisdictions. In addition to pricing, the N</w:t>
      </w:r>
      <w:r w:rsidR="00543B57" w:rsidRPr="008625DC">
        <w:t xml:space="preserve">ational </w:t>
      </w:r>
      <w:r w:rsidRPr="008625DC">
        <w:t>W</w:t>
      </w:r>
      <w:r w:rsidR="00543B57" w:rsidRPr="008625DC">
        <w:t xml:space="preserve">ater </w:t>
      </w:r>
      <w:r w:rsidRPr="008625DC">
        <w:t>I</w:t>
      </w:r>
      <w:r w:rsidR="00543B57" w:rsidRPr="008625DC">
        <w:t>nitiative</w:t>
      </w:r>
      <w:r w:rsidRPr="008625DC">
        <w:t xml:space="preserve"> encompassed the reform objectives of independent economic regulation and the institutional separation of service providers from the regulatory and policy functions of governments. Both </w:t>
      </w:r>
      <w:r w:rsidR="008C7C1B" w:rsidRPr="008625DC">
        <w:t>of</w:t>
      </w:r>
      <w:r w:rsidRPr="008625DC">
        <w:t xml:space="preserve"> these reforms are important to delivering efficient pricing where there is </w:t>
      </w:r>
      <w:r w:rsidR="000552C2" w:rsidRPr="008625DC">
        <w:t xml:space="preserve">a </w:t>
      </w:r>
      <w:r w:rsidRPr="008625DC">
        <w:t>natural monopoly or where markets are not well developed. The N</w:t>
      </w:r>
      <w:r w:rsidR="003C45CE" w:rsidRPr="008625DC">
        <w:t xml:space="preserve">ational </w:t>
      </w:r>
      <w:r w:rsidRPr="008625DC">
        <w:t>W</w:t>
      </w:r>
      <w:r w:rsidR="003C45CE" w:rsidRPr="008625DC">
        <w:t xml:space="preserve">ater </w:t>
      </w:r>
      <w:r w:rsidRPr="008625DC">
        <w:t>C</w:t>
      </w:r>
      <w:r w:rsidR="003C45CE" w:rsidRPr="008625DC">
        <w:t>ommission</w:t>
      </w:r>
      <w:r w:rsidRPr="008625DC">
        <w:t xml:space="preserve"> note</w:t>
      </w:r>
      <w:r w:rsidR="000552C2" w:rsidRPr="008625DC">
        <w:t>s</w:t>
      </w:r>
      <w:r w:rsidRPr="008625DC">
        <w:t xml:space="preserve"> that it continues to support independent economic regulation and institutional separation as important complements to pricing reforms</w:t>
      </w:r>
      <w:r w:rsidR="00C13D07" w:rsidRPr="008625DC">
        <w:t>.</w:t>
      </w:r>
      <w:r w:rsidR="00700A0A" w:rsidRPr="008625DC">
        <w:rPr>
          <w:rStyle w:val="FootnoteReference"/>
        </w:rPr>
        <w:footnoteReference w:id="146"/>
      </w:r>
      <w:r w:rsidR="00787DCF" w:rsidRPr="008625DC">
        <w:t xml:space="preserve"> </w:t>
      </w:r>
    </w:p>
    <w:p w14:paraId="1A0D278E" w14:textId="568D8F8D" w:rsidR="000653E5" w:rsidRPr="008625DC" w:rsidRDefault="000653E5" w:rsidP="000653E5">
      <w:r w:rsidRPr="008625DC">
        <w:lastRenderedPageBreak/>
        <w:t>Much like gas and electricity, there is significant agreement as to the most appropriate means to promote competition in the water sector</w:t>
      </w:r>
      <w:r w:rsidR="00380141" w:rsidRPr="008625DC">
        <w:t xml:space="preserve"> — </w:t>
      </w:r>
      <w:r w:rsidRPr="008625DC">
        <w:t>promote cost</w:t>
      </w:r>
      <w:r w:rsidR="00C74E19" w:rsidRPr="008625DC">
        <w:noBreakHyphen/>
      </w:r>
      <w:r w:rsidRPr="008625DC">
        <w:t>reflectivity in pricing, create clear objectives in regulation and improve governance arrangements to promote greater transparency and independence in decision</w:t>
      </w:r>
      <w:r w:rsidR="00C74E19" w:rsidRPr="008625DC">
        <w:noBreakHyphen/>
      </w:r>
      <w:r w:rsidRPr="008625DC">
        <w:t xml:space="preserve">making. However, the reforms in this area are proving slower to implement. </w:t>
      </w:r>
    </w:p>
    <w:p w14:paraId="05B33B6C" w14:textId="29C94589" w:rsidR="000653E5" w:rsidRPr="008625DC" w:rsidRDefault="000653E5" w:rsidP="00C13D07">
      <w:pPr>
        <w:spacing w:after="120"/>
      </w:pPr>
      <w:r w:rsidRPr="008625DC">
        <w:t>The Independent Pricing and Regulatory Tribunal (IPART)</w:t>
      </w:r>
      <w:r w:rsidR="008177F5" w:rsidRPr="008625DC">
        <w:t xml:space="preserve"> </w:t>
      </w:r>
      <w:proofErr w:type="gramStart"/>
      <w:r w:rsidR="008177F5" w:rsidRPr="008625DC">
        <w:t>notes</w:t>
      </w:r>
      <w:proofErr w:type="gramEnd"/>
      <w:r w:rsidR="008177F5" w:rsidRPr="008625DC">
        <w:t xml:space="preserve"> that</w:t>
      </w:r>
      <w:r w:rsidRPr="008625DC">
        <w:t>:</w:t>
      </w:r>
    </w:p>
    <w:p w14:paraId="5D011B81" w14:textId="5604FDB1" w:rsidR="008177F5" w:rsidRPr="008625DC" w:rsidRDefault="00F624CD" w:rsidP="00F624CD">
      <w:pPr>
        <w:pStyle w:val="Quotes"/>
        <w:spacing w:after="120"/>
      </w:pPr>
      <w:r w:rsidRPr="008625DC">
        <w:t>[</w:t>
      </w:r>
      <w:r w:rsidR="00160D90">
        <w:t>T</w:t>
      </w:r>
      <w:r w:rsidRPr="008625DC">
        <w:t>]</w:t>
      </w:r>
      <w:r w:rsidR="000653E5" w:rsidRPr="008625DC">
        <w:t>here is significant scope to reform the water sector.</w:t>
      </w:r>
      <w:r w:rsidR="008177F5" w:rsidRPr="008625DC">
        <w:t xml:space="preserve"> (</w:t>
      </w:r>
      <w:proofErr w:type="gramStart"/>
      <w:r w:rsidR="008177F5" w:rsidRPr="008625DC">
        <w:t>page</w:t>
      </w:r>
      <w:proofErr w:type="gramEnd"/>
      <w:r w:rsidR="008177F5" w:rsidRPr="008625DC">
        <w:t xml:space="preserve"> 14)</w:t>
      </w:r>
    </w:p>
    <w:p w14:paraId="47FB40A0" w14:textId="73D80DFA" w:rsidR="000653E5" w:rsidRPr="008625DC" w:rsidRDefault="000653E5" w:rsidP="000653E5">
      <w:pPr>
        <w:pStyle w:val="Quotes"/>
      </w:pPr>
      <w:r w:rsidRPr="008625DC">
        <w:t>Postage stamp pricing reflects the average cost of servicing a given area (eg, Sydney Water</w:t>
      </w:r>
      <w:r w:rsidR="00C74E19" w:rsidRPr="008625DC">
        <w:t>’</w:t>
      </w:r>
      <w:r w:rsidRPr="008625DC">
        <w:t>s area of operations). The National Water Initiative (NWI) pricing principles allow postage stamp pricing, but state a preference for differentiated prices in specific areas. However, postage stamp pricing remains NSW government policy. (</w:t>
      </w:r>
      <w:proofErr w:type="gramStart"/>
      <w:r w:rsidRPr="008625DC">
        <w:t>p</w:t>
      </w:r>
      <w:r w:rsidR="00C13D07" w:rsidRPr="008625DC">
        <w:t>age</w:t>
      </w:r>
      <w:proofErr w:type="gramEnd"/>
      <w:r w:rsidR="008177F5" w:rsidRPr="008625DC">
        <w:t xml:space="preserve"> 17</w:t>
      </w:r>
      <w:r w:rsidRPr="008625DC">
        <w:t xml:space="preserve">) </w:t>
      </w:r>
    </w:p>
    <w:p w14:paraId="0CEB2247" w14:textId="77777777" w:rsidR="000653E5" w:rsidRPr="008625DC" w:rsidRDefault="000653E5" w:rsidP="00C13D07">
      <w:pPr>
        <w:spacing w:after="120"/>
      </w:pPr>
      <w:r w:rsidRPr="008625DC">
        <w:t>IPART further notes that:</w:t>
      </w:r>
    </w:p>
    <w:p w14:paraId="338EC3B4" w14:textId="4BF24E3E" w:rsidR="000653E5" w:rsidRPr="008625DC" w:rsidRDefault="00F624CD" w:rsidP="000653E5">
      <w:pPr>
        <w:pStyle w:val="Quotes"/>
      </w:pPr>
      <w:r w:rsidRPr="008625DC">
        <w:t>[</w:t>
      </w:r>
      <w:r w:rsidR="00160D90">
        <w:t>I</w:t>
      </w:r>
      <w:r w:rsidRPr="008625DC">
        <w:t>]</w:t>
      </w:r>
      <w:r w:rsidR="000653E5" w:rsidRPr="008625DC">
        <w:t>t [is] important to develop nationally consistent principles in relation to competition and private sector participation in the water market, similar to the reform of water entitlements from the 2004 National Water Initiative. (</w:t>
      </w:r>
      <w:proofErr w:type="gramStart"/>
      <w:r w:rsidR="000653E5" w:rsidRPr="008625DC">
        <w:t>p</w:t>
      </w:r>
      <w:r w:rsidR="00C13D07" w:rsidRPr="008625DC">
        <w:t>age</w:t>
      </w:r>
      <w:proofErr w:type="gramEnd"/>
      <w:r w:rsidR="000653E5" w:rsidRPr="008625DC">
        <w:t xml:space="preserve"> 20)</w:t>
      </w:r>
    </w:p>
    <w:p w14:paraId="4B7BE70C" w14:textId="0915F110" w:rsidR="008C7C1B" w:rsidRPr="008625DC" w:rsidRDefault="000653E5" w:rsidP="000653E5">
      <w:r w:rsidRPr="008625DC">
        <w:t>This view is supported by Infrastructure Australia</w:t>
      </w:r>
      <w:r w:rsidR="00775816" w:rsidRPr="008625DC">
        <w:t xml:space="preserve"> in </w:t>
      </w:r>
      <w:r w:rsidR="008C7C1B" w:rsidRPr="008625DC">
        <w:t>its</w:t>
      </w:r>
      <w:r w:rsidR="00775816" w:rsidRPr="008625DC">
        <w:t xml:space="preserve"> National Infrastructure Plan</w:t>
      </w:r>
      <w:r w:rsidR="00C13D07" w:rsidRPr="008625DC">
        <w:t>.</w:t>
      </w:r>
      <w:r w:rsidR="00775816" w:rsidRPr="008625DC">
        <w:rPr>
          <w:rStyle w:val="FootnoteReference"/>
        </w:rPr>
        <w:footnoteReference w:id="147"/>
      </w:r>
      <w:r w:rsidRPr="008625DC">
        <w:t xml:space="preserve"> The Plan </w:t>
      </w:r>
      <w:r w:rsidR="000552C2" w:rsidRPr="008625DC">
        <w:t xml:space="preserve">states </w:t>
      </w:r>
      <w:r w:rsidRPr="008625DC">
        <w:t>that Australia</w:t>
      </w:r>
      <w:r w:rsidR="00C74E19" w:rsidRPr="008625DC">
        <w:t>’</w:t>
      </w:r>
      <w:r w:rsidRPr="008625DC">
        <w:t xml:space="preserve">s water industry has a complex regulatory structure, with each </w:t>
      </w:r>
      <w:r w:rsidR="0046149D" w:rsidRPr="008625DC">
        <w:t>S</w:t>
      </w:r>
      <w:r w:rsidRPr="008625DC">
        <w:t xml:space="preserve">tate and </w:t>
      </w:r>
      <w:r w:rsidR="0046149D" w:rsidRPr="008625DC">
        <w:t>T</w:t>
      </w:r>
      <w:r w:rsidRPr="008625DC">
        <w:t>erritory having its own economic regulator.</w:t>
      </w:r>
      <w:r w:rsidR="00787DCF" w:rsidRPr="008625DC">
        <w:t xml:space="preserve"> </w:t>
      </w:r>
      <w:r w:rsidRPr="008625DC">
        <w:t xml:space="preserve">In comparison, the UK has </w:t>
      </w:r>
      <w:r w:rsidR="00352AA9">
        <w:t>one water regulator to serve 60 </w:t>
      </w:r>
      <w:r w:rsidRPr="008625DC">
        <w:t>million people.</w:t>
      </w:r>
    </w:p>
    <w:p w14:paraId="3CE26E27" w14:textId="091F56B5" w:rsidR="000653E5" w:rsidRPr="008625DC" w:rsidRDefault="00775816" w:rsidP="00F624CD">
      <w:r w:rsidRPr="008625DC">
        <w:t xml:space="preserve">Infrastructure Australia </w:t>
      </w:r>
      <w:r w:rsidR="000653E5" w:rsidRPr="008625DC">
        <w:t>calls for the creation of a national economic regulator for water on the basis that it will provide stronger incentives to competitive private sector investment through greater stability, efficiency and an improved corporatisation model.</w:t>
      </w:r>
      <w:r w:rsidR="00787DCF" w:rsidRPr="008625DC">
        <w:t xml:space="preserve"> </w:t>
      </w:r>
      <w:proofErr w:type="gramStart"/>
      <w:r w:rsidRPr="008625DC">
        <w:t>The</w:t>
      </w:r>
      <w:r w:rsidR="008C7C1B" w:rsidRPr="008625DC">
        <w:t xml:space="preserve"> agency</w:t>
      </w:r>
      <w:r w:rsidR="000653E5" w:rsidRPr="008625DC">
        <w:t xml:space="preserve"> further note</w:t>
      </w:r>
      <w:r w:rsidR="008C7C1B" w:rsidRPr="008625DC">
        <w:t>s</w:t>
      </w:r>
      <w:r w:rsidR="000653E5" w:rsidRPr="008625DC">
        <w:t xml:space="preserve"> that </w:t>
      </w:r>
      <w:r w:rsidR="00C74E19" w:rsidRPr="008625DC">
        <w:t>‘</w:t>
      </w:r>
      <w:r w:rsidR="006F03E9" w:rsidRPr="008625DC">
        <w:t>short term political and public pressures can strongly influence the direction of the water industry, and pull states in different directions</w:t>
      </w:r>
      <w:r w:rsidR="00C74E19" w:rsidRPr="008625DC">
        <w:t>’</w:t>
      </w:r>
      <w:r w:rsidR="006F03E9" w:rsidRPr="008625DC">
        <w:t>, which may be addressed to a certain degree by a national regulator.</w:t>
      </w:r>
      <w:proofErr w:type="gramEnd"/>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6DE92E39" w14:textId="77777777" w:rsidTr="00FB31E5">
        <w:tc>
          <w:tcPr>
            <w:tcW w:w="5000" w:type="pct"/>
            <w:shd w:val="clear" w:color="auto" w:fill="FFFFFF" w:themeFill="background1"/>
          </w:tcPr>
          <w:p w14:paraId="55A8ABD4" w14:textId="75E4A2A5" w:rsidR="000653E5" w:rsidRPr="008625DC" w:rsidRDefault="000653E5" w:rsidP="00FB31E5">
            <w:pPr>
              <w:pStyle w:val="Keyfindingheading"/>
            </w:pPr>
            <w:r w:rsidRPr="008625DC">
              <w:t>The Panel</w:t>
            </w:r>
            <w:r w:rsidR="00C74E19" w:rsidRPr="008625DC">
              <w:t>’</w:t>
            </w:r>
            <w:r w:rsidRPr="008625DC">
              <w:t>s view</w:t>
            </w:r>
          </w:p>
          <w:p w14:paraId="42D4BFCE" w14:textId="2A7FA436" w:rsidR="000653E5" w:rsidRPr="008625DC" w:rsidRDefault="000653E5" w:rsidP="00FB31E5">
            <w:pPr>
              <w:pStyle w:val="Keyfindingtext"/>
            </w:pPr>
            <w:r w:rsidRPr="008625DC">
              <w:t xml:space="preserve">Progress in the water sector has been slower than </w:t>
            </w:r>
            <w:r w:rsidR="000552C2" w:rsidRPr="008625DC">
              <w:t xml:space="preserve">reforms in </w:t>
            </w:r>
            <w:r w:rsidRPr="008625DC">
              <w:t>electricity and gas.</w:t>
            </w:r>
          </w:p>
          <w:p w14:paraId="76CF08DD" w14:textId="512279FD" w:rsidR="000653E5" w:rsidRPr="008625DC" w:rsidRDefault="000653E5" w:rsidP="00FB31E5">
            <w:pPr>
              <w:pStyle w:val="Keyfindingtext"/>
            </w:pPr>
            <w:r w:rsidRPr="008625DC">
              <w:t xml:space="preserve">While there are clear differences between the sectors, the approach taken in the energy sector may prove instructive in terms of furthering reform, particularly in relation to the creation of national institutions and national agreements in areas of </w:t>
            </w:r>
            <w:r w:rsidR="0046149D" w:rsidRPr="008625DC">
              <w:t>S</w:t>
            </w:r>
            <w:r w:rsidRPr="008625DC">
              <w:t>tate sovereignty.</w:t>
            </w:r>
          </w:p>
          <w:p w14:paraId="7F940DFA" w14:textId="47BF14F4" w:rsidR="000653E5" w:rsidRPr="008625DC" w:rsidRDefault="000653E5" w:rsidP="00F624CD">
            <w:pPr>
              <w:pStyle w:val="Keyfindingtext"/>
              <w:spacing w:after="240"/>
            </w:pPr>
            <w:r w:rsidRPr="008625DC">
              <w:t xml:space="preserve">In the first instance, there </w:t>
            </w:r>
            <w:r w:rsidR="00A919CF" w:rsidRPr="008625DC">
              <w:t>is</w:t>
            </w:r>
            <w:r w:rsidRPr="008625DC">
              <w:t xml:space="preserve"> merit in </w:t>
            </w:r>
            <w:proofErr w:type="gramStart"/>
            <w:r w:rsidRPr="008625DC">
              <w:t>governments</w:t>
            </w:r>
            <w:proofErr w:type="gramEnd"/>
            <w:r w:rsidRPr="008625DC">
              <w:t xml:space="preserve"> re</w:t>
            </w:r>
            <w:r w:rsidR="00C74E19" w:rsidRPr="008625DC">
              <w:noBreakHyphen/>
            </w:r>
            <w:r w:rsidRPr="008625DC">
              <w:t>committing to a national water agreement, with specific regard to promoting consistent economic regulation in the water sector</w:t>
            </w:r>
            <w:r w:rsidR="00C73C9B" w:rsidRPr="008625DC">
              <w:t xml:space="preserve"> and the potential for a national regulator.</w:t>
            </w:r>
            <w:r w:rsidRPr="008625DC">
              <w:t xml:space="preserve"> </w:t>
            </w:r>
            <w:r w:rsidR="00A919CF" w:rsidRPr="008625DC">
              <w:t>Governments should also recommit to introducing efficient and cost</w:t>
            </w:r>
            <w:r w:rsidR="00C74E19" w:rsidRPr="008625DC">
              <w:noBreakHyphen/>
            </w:r>
            <w:r w:rsidR="00A919CF" w:rsidRPr="008625DC">
              <w:t xml:space="preserve">reflective pricing in water as far as </w:t>
            </w:r>
            <w:r w:rsidR="008C7C1B" w:rsidRPr="008625DC">
              <w:t xml:space="preserve">it </w:t>
            </w:r>
            <w:r w:rsidR="00A919CF" w:rsidRPr="008625DC">
              <w:t>is practical</w:t>
            </w:r>
            <w:r w:rsidR="008C7C1B" w:rsidRPr="008625DC">
              <w:t xml:space="preserve"> to do so</w:t>
            </w:r>
            <w:r w:rsidR="00A919CF" w:rsidRPr="008625DC">
              <w:t>.</w:t>
            </w:r>
          </w:p>
        </w:tc>
      </w:tr>
    </w:tbl>
    <w:p w14:paraId="3C003373" w14:textId="77777777" w:rsidR="00F624CD" w:rsidRPr="008625DC" w:rsidRDefault="00F624CD" w:rsidP="00DF3014"/>
    <w:p w14:paraId="39727CEB" w14:textId="77777777" w:rsidR="00F624CD" w:rsidRPr="008625DC" w:rsidRDefault="00F624CD" w:rsidP="00F624CD">
      <w:pPr>
        <w:rPr>
          <w:rFonts w:ascii="Calibri" w:hAnsi="Calibri" w:cs="Arial"/>
          <w:color w:val="009976"/>
          <w:sz w:val="28"/>
          <w:szCs w:val="26"/>
        </w:rPr>
      </w:pPr>
      <w:r w:rsidRPr="008625DC">
        <w:br w:type="page"/>
      </w:r>
    </w:p>
    <w:p w14:paraId="3062805A" w14:textId="7DCB8202" w:rsidR="00301655" w:rsidRPr="008625DC" w:rsidRDefault="00301655" w:rsidP="00FB084C">
      <w:pPr>
        <w:pStyle w:val="Heading3"/>
      </w:pPr>
      <w:r w:rsidRPr="008625DC">
        <w:lastRenderedPageBreak/>
        <w:t xml:space="preserve">Consumer </w:t>
      </w:r>
      <w:r w:rsidR="00051A0A" w:rsidRPr="008625DC">
        <w:t>access to data to improve competition</w:t>
      </w:r>
      <w:r w:rsidRPr="008625DC">
        <w:t xml:space="preserve"> </w:t>
      </w:r>
    </w:p>
    <w:p w14:paraId="69C3E6F4" w14:textId="4ADF286E" w:rsidR="00E40497" w:rsidRPr="008625DC" w:rsidRDefault="00E40497" w:rsidP="00051A0A">
      <w:r w:rsidRPr="008625DC">
        <w:t>M</w:t>
      </w:r>
      <w:r w:rsidR="00301655" w:rsidRPr="008625DC">
        <w:t>arkets work best when consumers are engaged and informed</w:t>
      </w:r>
      <w:r w:rsidR="00051A0A" w:rsidRPr="008625DC">
        <w:t>, empowering them to make good decisions</w:t>
      </w:r>
      <w:r w:rsidR="00301655" w:rsidRPr="008625DC">
        <w:t>.</w:t>
      </w:r>
      <w:r w:rsidR="00051A0A" w:rsidRPr="008625DC">
        <w:t xml:space="preserve"> This can be assisted by steps to provide clear, easily understood information to consumers about the products and services on offer, including through comparison services such as the AER</w:t>
      </w:r>
      <w:r w:rsidR="00C74E19" w:rsidRPr="008625DC">
        <w:t>’</w:t>
      </w:r>
      <w:r w:rsidR="00051A0A" w:rsidRPr="008625DC">
        <w:t>s energymadeeasy.gov.au</w:t>
      </w:r>
      <w:r w:rsidRPr="008625DC">
        <w:t>, which allows customers to compare electricity and gas offers in a common format</w:t>
      </w:r>
      <w:r w:rsidR="00051A0A" w:rsidRPr="008625DC">
        <w:t xml:space="preserve">. </w:t>
      </w:r>
    </w:p>
    <w:p w14:paraId="4DE2CE97" w14:textId="7A45A4C4" w:rsidR="00051A0A" w:rsidRPr="008625DC" w:rsidRDefault="00051A0A" w:rsidP="00051A0A">
      <w:r w:rsidRPr="008625DC">
        <w:t>However, as C</w:t>
      </w:r>
      <w:r w:rsidR="000552C2" w:rsidRPr="008625DC">
        <w:t xml:space="preserve">HOICE </w:t>
      </w:r>
      <w:r w:rsidRPr="008625DC">
        <w:t xml:space="preserve">submits, another means of empowering consumers by reducing information asymmetry and complexity </w:t>
      </w:r>
      <w:r w:rsidR="006E4D10" w:rsidRPr="008625DC">
        <w:t>is</w:t>
      </w:r>
      <w:r w:rsidRPr="008625DC">
        <w:t xml:space="preserve"> by providing consumers with better access to data about their own usage </w:t>
      </w:r>
      <w:r w:rsidR="00E40497" w:rsidRPr="008625DC">
        <w:t xml:space="preserve">of products and services </w:t>
      </w:r>
      <w:r w:rsidR="00C13D07" w:rsidRPr="008625DC">
        <w:t>(page</w:t>
      </w:r>
      <w:r w:rsidRPr="008625DC">
        <w:t xml:space="preserve"> 24).</w:t>
      </w:r>
      <w:r w:rsidR="00E40497" w:rsidRPr="008625DC">
        <w:t xml:space="preserve"> While such data may benefit consumers in many different markets, some of the most obvious applications are in the utilities sector. </w:t>
      </w:r>
    </w:p>
    <w:p w14:paraId="0F069B8A" w14:textId="2614E549" w:rsidR="003E2D02" w:rsidRPr="008625DC" w:rsidRDefault="003E2D02" w:rsidP="00C13D07">
      <w:pPr>
        <w:spacing w:after="120"/>
      </w:pPr>
      <w:r w:rsidRPr="008625DC">
        <w:t>Midata is a</w:t>
      </w:r>
      <w:r w:rsidR="00061D16" w:rsidRPr="008625DC">
        <w:t>n</w:t>
      </w:r>
      <w:r w:rsidRPr="008625DC">
        <w:t xml:space="preserve"> initiative in the UK supported by the Government and drawing on insights from behavioural economics. It aims to provide consumers with access to data which businesses collect about their transactions and consumption in an electronic, machine</w:t>
      </w:r>
      <w:r w:rsidR="00C74E19" w:rsidRPr="008625DC">
        <w:noBreakHyphen/>
      </w:r>
      <w:r w:rsidRPr="008625DC">
        <w:t>readable form:</w:t>
      </w:r>
    </w:p>
    <w:p w14:paraId="0B81BEEC" w14:textId="55095A0A" w:rsidR="003E2D02" w:rsidRPr="008625DC" w:rsidRDefault="00F624CD" w:rsidP="00C13D07">
      <w:pPr>
        <w:pStyle w:val="Quotes"/>
        <w:spacing w:after="120"/>
      </w:pPr>
      <w:r w:rsidRPr="008625DC">
        <w:t>[</w:t>
      </w:r>
      <w:r w:rsidR="00EF6498">
        <w:t>C</w:t>
      </w:r>
      <w:r w:rsidRPr="008625DC">
        <w:t>]</w:t>
      </w:r>
      <w:r w:rsidR="003E2D02" w:rsidRPr="008625DC">
        <w:t>onsumers will be able to make better informed decisions, often with the help of a third party. Being able to base decisions on their previous behaviour will mean individuals can choose products and services which better reflect their needs and offer them the best value. This in turn will reward firms offering the best value products in particular markets, allowing them to win more customers and profits and resources. This will drive competition in the economy.</w:t>
      </w:r>
    </w:p>
    <w:p w14:paraId="006824D6" w14:textId="756AE0A7" w:rsidR="001C7B35" w:rsidRPr="008625DC" w:rsidRDefault="003E2D02" w:rsidP="003E2D02">
      <w:pPr>
        <w:pStyle w:val="Quotes"/>
      </w:pPr>
      <w:r w:rsidRPr="008625DC">
        <w:t>As a platform for innovation: midata will lead to the creation of new businesses which will help people to interact with their consumption data in many innovative ways.</w:t>
      </w:r>
      <w:r w:rsidRPr="008625DC">
        <w:rPr>
          <w:rStyle w:val="FootnoteReference"/>
        </w:rPr>
        <w:footnoteReference w:id="148"/>
      </w:r>
    </w:p>
    <w:p w14:paraId="3D038767" w14:textId="47A210D3" w:rsidR="00051A0A" w:rsidRPr="008625DC" w:rsidRDefault="008C7C1B" w:rsidP="00051A0A">
      <w:pPr>
        <w:rPr>
          <w:szCs w:val="22"/>
        </w:rPr>
      </w:pPr>
      <w:r w:rsidRPr="008625DC">
        <w:rPr>
          <w:szCs w:val="22"/>
        </w:rPr>
        <w:t>The UK Government</w:t>
      </w:r>
      <w:r w:rsidR="00061D16" w:rsidRPr="008625DC">
        <w:rPr>
          <w:szCs w:val="22"/>
        </w:rPr>
        <w:t xml:space="preserve"> has introduced legislation that w</w:t>
      </w:r>
      <w:r w:rsidRPr="008625DC">
        <w:rPr>
          <w:szCs w:val="22"/>
        </w:rPr>
        <w:t>ill</w:t>
      </w:r>
      <w:r w:rsidR="00061D16" w:rsidRPr="008625DC">
        <w:rPr>
          <w:szCs w:val="22"/>
        </w:rPr>
        <w:t xml:space="preserve"> mandate data access in the </w:t>
      </w:r>
      <w:r w:rsidR="00C74E19" w:rsidRPr="008625DC">
        <w:rPr>
          <w:szCs w:val="22"/>
        </w:rPr>
        <w:t>‘</w:t>
      </w:r>
      <w:r w:rsidR="00061D16" w:rsidRPr="008625DC">
        <w:rPr>
          <w:szCs w:val="22"/>
        </w:rPr>
        <w:t>core</w:t>
      </w:r>
      <w:r w:rsidR="00C74E19" w:rsidRPr="008625DC">
        <w:rPr>
          <w:szCs w:val="22"/>
        </w:rPr>
        <w:t>’</w:t>
      </w:r>
      <w:r w:rsidR="00061D16" w:rsidRPr="008625DC">
        <w:rPr>
          <w:szCs w:val="22"/>
        </w:rPr>
        <w:t xml:space="preserve"> sectors of energy supply, credit cards, transaction accounts and mobile phones, and set out principles for future interventions in </w:t>
      </w:r>
      <w:r w:rsidR="00C74E19" w:rsidRPr="008625DC">
        <w:rPr>
          <w:szCs w:val="22"/>
        </w:rPr>
        <w:t>‘</w:t>
      </w:r>
      <w:r w:rsidR="00061D16" w:rsidRPr="008625DC">
        <w:rPr>
          <w:szCs w:val="22"/>
        </w:rPr>
        <w:t>non</w:t>
      </w:r>
      <w:r w:rsidR="00C74E19" w:rsidRPr="008625DC">
        <w:rPr>
          <w:szCs w:val="22"/>
        </w:rPr>
        <w:noBreakHyphen/>
      </w:r>
      <w:r w:rsidR="00061D16" w:rsidRPr="008625DC">
        <w:rPr>
          <w:szCs w:val="22"/>
        </w:rPr>
        <w:t>core</w:t>
      </w:r>
      <w:r w:rsidR="00C74E19" w:rsidRPr="008625DC">
        <w:rPr>
          <w:szCs w:val="22"/>
        </w:rPr>
        <w:t>’</w:t>
      </w:r>
      <w:r w:rsidR="00061D16" w:rsidRPr="008625DC">
        <w:rPr>
          <w:szCs w:val="22"/>
        </w:rPr>
        <w:t xml:space="preserve"> sectors if required. </w:t>
      </w:r>
    </w:p>
    <w:p w14:paraId="78922CB1" w14:textId="698B5086" w:rsidR="00061D16" w:rsidRPr="008625DC" w:rsidRDefault="00061D16" w:rsidP="00051A0A">
      <w:r w:rsidRPr="008625DC">
        <w:rPr>
          <w:szCs w:val="22"/>
        </w:rPr>
        <w:t>The US has an electricity</w:t>
      </w:r>
      <w:r w:rsidR="00C74E19" w:rsidRPr="008625DC">
        <w:rPr>
          <w:szCs w:val="22"/>
        </w:rPr>
        <w:noBreakHyphen/>
      </w:r>
      <w:r w:rsidRPr="008625DC">
        <w:rPr>
          <w:szCs w:val="22"/>
        </w:rPr>
        <w:t xml:space="preserve">specific program called Green Button, giving </w:t>
      </w:r>
      <w:r w:rsidRPr="008625DC">
        <w:t>customers access to their electricity data in a portable and shar</w:t>
      </w:r>
      <w:r w:rsidR="008C7C1B" w:rsidRPr="008625DC">
        <w:t>e</w:t>
      </w:r>
      <w:r w:rsidRPr="008625DC">
        <w:t>able format</w:t>
      </w:r>
      <w:r w:rsidR="00C13D07" w:rsidRPr="008625DC">
        <w:t>.</w:t>
      </w:r>
      <w:r w:rsidR="006F1ECB" w:rsidRPr="008625DC">
        <w:rPr>
          <w:rStyle w:val="FootnoteReference"/>
        </w:rPr>
        <w:footnoteReference w:id="149"/>
      </w:r>
    </w:p>
    <w:p w14:paraId="111C6527" w14:textId="47290298" w:rsidR="00301655" w:rsidRPr="008625DC" w:rsidRDefault="00966E49" w:rsidP="00301655">
      <w:r w:rsidRPr="008625DC">
        <w:t>The National Energy Retail Law seeks to address some of the information asymmetry concerns</w:t>
      </w:r>
      <w:r w:rsidR="00380141" w:rsidRPr="008625DC">
        <w:t xml:space="preserve"> — </w:t>
      </w:r>
      <w:r w:rsidRPr="008625DC">
        <w:t xml:space="preserve">the legislation requires the </w:t>
      </w:r>
      <w:r w:rsidR="00F97078" w:rsidRPr="008625DC">
        <w:t>AER</w:t>
      </w:r>
      <w:r w:rsidRPr="008625DC">
        <w:t xml:space="preserve"> to maintain the </w:t>
      </w:r>
      <w:r w:rsidR="00C74E19" w:rsidRPr="008625DC">
        <w:t>‘</w:t>
      </w:r>
      <w:r w:rsidRPr="008625DC">
        <w:t>energy</w:t>
      </w:r>
      <w:r w:rsidR="00C13D07" w:rsidRPr="008625DC">
        <w:t xml:space="preserve"> </w:t>
      </w:r>
      <w:r w:rsidRPr="008625DC">
        <w:t>made</w:t>
      </w:r>
      <w:r w:rsidR="00C13D07" w:rsidRPr="008625DC">
        <w:t xml:space="preserve"> </w:t>
      </w:r>
      <w:r w:rsidRPr="008625DC">
        <w:t>easy</w:t>
      </w:r>
      <w:r w:rsidR="00C74E19" w:rsidRPr="008625DC">
        <w:t>’</w:t>
      </w:r>
      <w:r w:rsidRPr="008625DC">
        <w:t xml:space="preserve"> price comparator service, as well as </w:t>
      </w:r>
      <w:proofErr w:type="gramStart"/>
      <w:r w:rsidRPr="008625DC">
        <w:t>legislating</w:t>
      </w:r>
      <w:proofErr w:type="gramEnd"/>
      <w:r w:rsidRPr="008625DC">
        <w:t xml:space="preserve"> certain requirements for the provision of information in standard form by retailers to en</w:t>
      </w:r>
      <w:r w:rsidR="004F7099" w:rsidRPr="008625DC">
        <w:t xml:space="preserve">ergy consumers. While these initiatives have gone some way to assisting consumers to better participate in energy markets, access to their </w:t>
      </w:r>
      <w:r w:rsidR="008C7C1B" w:rsidRPr="008625DC">
        <w:t xml:space="preserve">usage </w:t>
      </w:r>
      <w:r w:rsidR="004F7099" w:rsidRPr="008625DC">
        <w:t>data may further assist them to engage.</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6E4D10" w:rsidRPr="008625DC" w14:paraId="0BD0B9B0" w14:textId="77777777" w:rsidTr="0052543A">
        <w:tc>
          <w:tcPr>
            <w:tcW w:w="5000" w:type="pct"/>
            <w:shd w:val="clear" w:color="auto" w:fill="FFFFFF" w:themeFill="background1"/>
          </w:tcPr>
          <w:p w14:paraId="0A32FBD5" w14:textId="672282A2" w:rsidR="006E4D10" w:rsidRPr="008625DC" w:rsidRDefault="006E4D10" w:rsidP="006E4D10">
            <w:pPr>
              <w:pStyle w:val="Keyfindingheading"/>
            </w:pPr>
            <w:r w:rsidRPr="008625DC">
              <w:t>The Panel</w:t>
            </w:r>
            <w:r w:rsidR="00C74E19" w:rsidRPr="008625DC">
              <w:t>’</w:t>
            </w:r>
            <w:r w:rsidRPr="008625DC">
              <w:t>s view</w:t>
            </w:r>
          </w:p>
          <w:p w14:paraId="0C3EC4B4" w14:textId="19DCB201" w:rsidR="006E4D10" w:rsidRPr="008625DC" w:rsidRDefault="006E4D10" w:rsidP="006F3307">
            <w:pPr>
              <w:pStyle w:val="Keyfindingtext"/>
            </w:pPr>
            <w:r w:rsidRPr="008625DC">
              <w:t>Markets work best when consumers are engaged</w:t>
            </w:r>
            <w:r w:rsidR="000552C2" w:rsidRPr="008625DC">
              <w:t xml:space="preserve">, </w:t>
            </w:r>
            <w:r w:rsidRPr="008625DC">
              <w:t xml:space="preserve">empowering them to make </w:t>
            </w:r>
            <w:r w:rsidR="000552C2" w:rsidRPr="008625DC">
              <w:t xml:space="preserve">informed </w:t>
            </w:r>
            <w:r w:rsidRPr="008625DC">
              <w:t>decisions.</w:t>
            </w:r>
          </w:p>
          <w:p w14:paraId="5F0CDEEB" w14:textId="6F50291F" w:rsidR="006E4D10" w:rsidRPr="008625DC" w:rsidRDefault="006E4D10" w:rsidP="006E4D10">
            <w:pPr>
              <w:pStyle w:val="Keyfindingtext"/>
            </w:pPr>
            <w:r w:rsidRPr="008625DC">
              <w:t>There is capacity to enhance Australian consumers</w:t>
            </w:r>
            <w:r w:rsidR="00C74E19" w:rsidRPr="008625DC">
              <w:t>’</w:t>
            </w:r>
            <w:r w:rsidRPr="008625DC">
              <w:t xml:space="preserve"> access to data on their own </w:t>
            </w:r>
            <w:r w:rsidR="008C7C1B" w:rsidRPr="008625DC">
              <w:t>usage of utility services</w:t>
            </w:r>
            <w:r w:rsidR="006F03E9" w:rsidRPr="008625DC">
              <w:t xml:space="preserve"> in a usable format to assist consumers to make better informed decisions</w:t>
            </w:r>
            <w:r w:rsidRPr="008625DC">
              <w:t>.</w:t>
            </w:r>
          </w:p>
        </w:tc>
      </w:tr>
    </w:tbl>
    <w:p w14:paraId="6642A227" w14:textId="27E872C7" w:rsidR="000653E5" w:rsidRPr="008625DC" w:rsidRDefault="000653E5" w:rsidP="009F588C">
      <w:pPr>
        <w:rPr>
          <w:rFonts w:ascii="Calibri" w:hAnsi="Calibri"/>
          <w:color w:val="009976"/>
          <w:kern w:val="32"/>
          <w:sz w:val="40"/>
        </w:rPr>
      </w:pPr>
      <w:r w:rsidRPr="008625DC">
        <w:br w:type="page"/>
      </w:r>
    </w:p>
    <w:p w14:paraId="2553A09D" w14:textId="06165B17" w:rsidR="000653E5" w:rsidRPr="008625DC" w:rsidRDefault="000653E5" w:rsidP="000B5916">
      <w:pPr>
        <w:pStyle w:val="Heading2"/>
        <w:ind w:left="851" w:hanging="851"/>
        <w:rPr>
          <w:lang w:val="en-AU"/>
        </w:rPr>
      </w:pPr>
      <w:bookmarkStart w:id="20650" w:name="_Toc395879135"/>
      <w:bookmarkStart w:id="20651" w:name="_Toc395882038"/>
      <w:bookmarkStart w:id="20652" w:name="_Toc395882259"/>
      <w:bookmarkStart w:id="20653" w:name="_Toc395882369"/>
      <w:bookmarkStart w:id="20654" w:name="_Toc395882590"/>
      <w:bookmarkStart w:id="20655" w:name="_Toc395880533"/>
      <w:bookmarkStart w:id="20656" w:name="_Toc395880864"/>
      <w:bookmarkStart w:id="20657" w:name="_Toc395881422"/>
      <w:bookmarkStart w:id="20658" w:name="_Toc395881643"/>
      <w:bookmarkStart w:id="20659" w:name="_Toc395884028"/>
      <w:bookmarkStart w:id="20660" w:name="_Toc395880762"/>
      <w:bookmarkStart w:id="20661" w:name="_Toc395884469"/>
      <w:bookmarkStart w:id="20662" w:name="_Toc395884690"/>
      <w:bookmarkStart w:id="20663" w:name="_Toc395883178"/>
      <w:bookmarkStart w:id="20664" w:name="_Toc395883399"/>
      <w:bookmarkStart w:id="20665" w:name="_Toc395883508"/>
      <w:bookmarkStart w:id="20666" w:name="_Toc395883729"/>
      <w:bookmarkStart w:id="20667" w:name="_Toc395884810"/>
      <w:bookmarkStart w:id="20668" w:name="_Toc396123838"/>
      <w:bookmarkStart w:id="20669" w:name="_Toc396130741"/>
      <w:bookmarkStart w:id="20670" w:name="_Toc396136319"/>
      <w:bookmarkStart w:id="20671" w:name="_Toc396138773"/>
      <w:bookmarkStart w:id="20672" w:name="_Toc396144034"/>
      <w:bookmarkStart w:id="20673" w:name="_Toc396145543"/>
      <w:bookmarkStart w:id="20674" w:name="_Toc396145687"/>
      <w:bookmarkStart w:id="20675" w:name="_Toc396145969"/>
      <w:bookmarkStart w:id="20676" w:name="_Toc396147509"/>
      <w:bookmarkStart w:id="20677" w:name="_Toc396147795"/>
      <w:bookmarkStart w:id="20678" w:name="_Toc396149051"/>
      <w:bookmarkStart w:id="20679" w:name="_Toc396148765"/>
      <w:bookmarkStart w:id="20680" w:name="_Toc396149546"/>
      <w:bookmarkStart w:id="20681" w:name="_Toc396149191"/>
      <w:bookmarkStart w:id="20682" w:name="_Toc396149477"/>
      <w:bookmarkStart w:id="20683" w:name="_Toc396149154"/>
      <w:bookmarkStart w:id="20684" w:name="_Toc396149899"/>
      <w:bookmarkStart w:id="20685" w:name="_Toc396149649"/>
      <w:bookmarkStart w:id="20686" w:name="_Toc396150490"/>
      <w:bookmarkStart w:id="20687" w:name="_Toc396151379"/>
      <w:bookmarkStart w:id="20688" w:name="_Toc396151673"/>
      <w:bookmarkStart w:id="20689" w:name="_Toc396201600"/>
      <w:bookmarkStart w:id="20690" w:name="_Toc396202390"/>
      <w:bookmarkStart w:id="20691" w:name="_Toc396202685"/>
      <w:bookmarkStart w:id="20692" w:name="_Toc396203302"/>
      <w:bookmarkStart w:id="20693" w:name="_Toc396206598"/>
      <w:bookmarkStart w:id="20694" w:name="_Toc396206892"/>
      <w:bookmarkStart w:id="20695" w:name="_Toc396209426"/>
      <w:bookmarkStart w:id="20696" w:name="_Toc396209720"/>
      <w:bookmarkStart w:id="20697" w:name="_Toc396211850"/>
      <w:bookmarkStart w:id="20698" w:name="_Toc396212144"/>
      <w:bookmarkStart w:id="20699" w:name="_Toc396213194"/>
      <w:bookmarkStart w:id="20700" w:name="_Toc396213486"/>
      <w:bookmarkStart w:id="20701" w:name="_Toc396214037"/>
      <w:bookmarkStart w:id="20702" w:name="_Toc396214472"/>
      <w:bookmarkStart w:id="20703" w:name="_Toc396214762"/>
      <w:bookmarkStart w:id="20704" w:name="_Toc396220322"/>
      <w:bookmarkStart w:id="20705" w:name="_Toc396226584"/>
      <w:bookmarkStart w:id="20706" w:name="_Toc396226873"/>
      <w:bookmarkStart w:id="20707" w:name="_Toc396228784"/>
      <w:bookmarkStart w:id="20708" w:name="_Toc396229079"/>
      <w:bookmarkStart w:id="20709" w:name="_Toc396230426"/>
      <w:bookmarkStart w:id="20710" w:name="_Toc396230721"/>
      <w:bookmarkStart w:id="20711" w:name="_Toc396231863"/>
      <w:bookmarkStart w:id="20712" w:name="_Toc396233206"/>
      <w:bookmarkStart w:id="20713" w:name="_Toc396233503"/>
      <w:bookmarkStart w:id="20714" w:name="_Toc396234026"/>
      <w:bookmarkStart w:id="20715" w:name="_Toc396234323"/>
      <w:bookmarkStart w:id="20716" w:name="_Toc396234436"/>
      <w:bookmarkStart w:id="20717" w:name="_Toc396236170"/>
      <w:bookmarkStart w:id="20718" w:name="_Toc396235948"/>
      <w:bookmarkStart w:id="20719" w:name="_Toc396236558"/>
      <w:bookmarkStart w:id="20720" w:name="_Toc396237077"/>
      <w:bookmarkStart w:id="20721" w:name="_Toc396397420"/>
      <w:bookmarkStart w:id="20722" w:name="_Toc396304601"/>
      <w:bookmarkStart w:id="20723" w:name="_Toc396586136"/>
      <w:bookmarkStart w:id="20724" w:name="_Toc396815157"/>
      <w:bookmarkStart w:id="20725" w:name="_Toc396821106"/>
      <w:bookmarkStart w:id="20726" w:name="_Toc396821714"/>
      <w:bookmarkStart w:id="20727" w:name="_Toc396827564"/>
      <w:bookmarkStart w:id="20728" w:name="_Toc396828535"/>
      <w:bookmarkStart w:id="20729" w:name="_Toc396828644"/>
      <w:bookmarkStart w:id="20730" w:name="_Toc396838033"/>
      <w:bookmarkStart w:id="20731" w:name="_Toc396838431"/>
      <w:bookmarkStart w:id="20732" w:name="_Toc396904754"/>
      <w:bookmarkStart w:id="20733" w:name="_Toc396907588"/>
      <w:bookmarkStart w:id="20734" w:name="_Toc396912507"/>
      <w:bookmarkStart w:id="20735" w:name="_Toc396914487"/>
      <w:bookmarkStart w:id="20736" w:name="_Toc396915371"/>
      <w:bookmarkStart w:id="20737" w:name="_Toc396915765"/>
      <w:bookmarkStart w:id="20738" w:name="_Toc396921076"/>
      <w:bookmarkStart w:id="20739" w:name="_Toc396924416"/>
      <w:bookmarkStart w:id="20740" w:name="_Toc396925110"/>
      <w:bookmarkStart w:id="20741" w:name="_Toc396992230"/>
      <w:bookmarkStart w:id="20742" w:name="_Toc396992809"/>
      <w:bookmarkStart w:id="20743" w:name="_Toc396994473"/>
      <w:bookmarkStart w:id="20744" w:name="_Toc397002244"/>
      <w:bookmarkStart w:id="20745" w:name="_Toc397003163"/>
      <w:bookmarkStart w:id="20746" w:name="_Toc397008721"/>
      <w:bookmarkStart w:id="20747" w:name="_Toc397008939"/>
      <w:bookmarkStart w:id="20748" w:name="_Toc397011611"/>
      <w:bookmarkStart w:id="20749" w:name="_Toc397012673"/>
      <w:bookmarkStart w:id="20750" w:name="_Toc397015015"/>
      <w:bookmarkStart w:id="20751" w:name="_Toc397015502"/>
      <w:bookmarkStart w:id="20752" w:name="_Toc397070572"/>
      <w:bookmarkStart w:id="20753" w:name="_Toc397413318"/>
      <w:bookmarkStart w:id="20754" w:name="_Toc397413465"/>
      <w:bookmarkStart w:id="20755" w:name="_Toc397428043"/>
      <w:bookmarkStart w:id="20756" w:name="_Toc397439431"/>
      <w:bookmarkStart w:id="20757" w:name="_Toc397439601"/>
      <w:bookmarkStart w:id="20758" w:name="_Toc397439857"/>
      <w:bookmarkStart w:id="20759" w:name="_Toc397440159"/>
      <w:bookmarkStart w:id="20760" w:name="_Toc397441788"/>
      <w:bookmarkStart w:id="20761" w:name="_Toc395802838"/>
      <w:bookmarkStart w:id="20762" w:name="_Toc395867623"/>
      <w:bookmarkStart w:id="20763" w:name="_Toc395868532"/>
      <w:bookmarkStart w:id="20764" w:name="_Toc395868755"/>
      <w:bookmarkStart w:id="20765" w:name="_Toc397517490"/>
      <w:bookmarkStart w:id="20766" w:name="_Toc397522755"/>
      <w:bookmarkStart w:id="20767" w:name="_Toc397526173"/>
      <w:bookmarkStart w:id="20768" w:name="_Toc397528488"/>
      <w:bookmarkStart w:id="20769" w:name="_Toc397528963"/>
      <w:bookmarkStart w:id="20770" w:name="_Toc397601960"/>
      <w:bookmarkStart w:id="20771" w:name="_Toc397602695"/>
      <w:bookmarkStart w:id="20772" w:name="_Toc397605824"/>
      <w:bookmarkStart w:id="20773" w:name="_Toc397614525"/>
      <w:bookmarkStart w:id="20774" w:name="_Toc397614968"/>
      <w:bookmarkStart w:id="20775" w:name="_Toc397616411"/>
      <w:bookmarkStart w:id="20776" w:name="_Toc397616805"/>
      <w:bookmarkStart w:id="20777" w:name="_Toc397688103"/>
      <w:bookmarkStart w:id="20778" w:name="_Toc397689319"/>
      <w:bookmarkStart w:id="20779" w:name="_Toc397694599"/>
      <w:bookmarkStart w:id="20780" w:name="_Toc397696440"/>
      <w:bookmarkStart w:id="20781" w:name="_Toc397697174"/>
      <w:bookmarkStart w:id="20782" w:name="_Toc397698461"/>
      <w:bookmarkStart w:id="20783" w:name="_Toc397699827"/>
      <w:bookmarkStart w:id="20784" w:name="_Toc397700281"/>
      <w:bookmarkStart w:id="20785" w:name="_Toc397936673"/>
      <w:bookmarkStart w:id="20786" w:name="_Toc397936793"/>
      <w:bookmarkStart w:id="20787" w:name="_Toc397945949"/>
      <w:bookmarkStart w:id="20788" w:name="_Toc397946975"/>
      <w:bookmarkStart w:id="20789" w:name="_Toc397948094"/>
      <w:bookmarkStart w:id="20790" w:name="_Toc397958500"/>
      <w:bookmarkStart w:id="20791" w:name="_Toc397958742"/>
      <w:bookmarkStart w:id="20792" w:name="_Toc397959157"/>
      <w:bookmarkStart w:id="20793" w:name="_Toc397963010"/>
      <w:bookmarkStart w:id="20794" w:name="_Toc397963376"/>
      <w:bookmarkStart w:id="20795" w:name="_Toc397965453"/>
      <w:bookmarkStart w:id="20796" w:name="_Toc398197391"/>
      <w:bookmarkStart w:id="20797" w:name="_Toc398199894"/>
      <w:bookmarkStart w:id="20798" w:name="_Toc398201608"/>
      <w:bookmarkStart w:id="20799" w:name="_Toc398207213"/>
      <w:bookmarkStart w:id="20800" w:name="_Toc398210486"/>
      <w:bookmarkStart w:id="20801" w:name="_Toc398211000"/>
      <w:bookmarkStart w:id="20802" w:name="_Toc398219808"/>
      <w:bookmarkStart w:id="20803" w:name="_Toc398220183"/>
      <w:bookmarkStart w:id="20804" w:name="_Toc398220570"/>
      <w:bookmarkStart w:id="20805" w:name="_Toc398221648"/>
      <w:bookmarkStart w:id="20806" w:name="_Toc398222334"/>
      <w:bookmarkStart w:id="20807" w:name="_Toc398222646"/>
      <w:bookmarkStart w:id="20808" w:name="_Toc398223063"/>
      <w:bookmarkStart w:id="20809" w:name="_Toc398223442"/>
      <w:bookmarkStart w:id="20810" w:name="_Toc398223569"/>
      <w:bookmarkStart w:id="20811" w:name="_Toc398224377"/>
      <w:bookmarkStart w:id="20812" w:name="_Toc398225714"/>
      <w:bookmarkStart w:id="20813" w:name="_Toc398225839"/>
      <w:bookmarkStart w:id="20814" w:name="_Toc398281326"/>
      <w:bookmarkStart w:id="20815" w:name="_Toc398282185"/>
      <w:bookmarkStart w:id="20816" w:name="_Toc398284855"/>
      <w:bookmarkStart w:id="20817" w:name="_Toc398287324"/>
      <w:bookmarkStart w:id="20818" w:name="_Toc398289207"/>
      <w:bookmarkStart w:id="20819" w:name="_Toc398297204"/>
      <w:bookmarkStart w:id="20820" w:name="_Toc398298678"/>
      <w:bookmarkStart w:id="20821" w:name="_Toc398300379"/>
      <w:bookmarkStart w:id="20822" w:name="_Toc398301276"/>
      <w:bookmarkStart w:id="20823" w:name="_Toc398302461"/>
      <w:bookmarkStart w:id="20824" w:name="_Toc398302624"/>
      <w:bookmarkStart w:id="20825" w:name="_Toc398549138"/>
      <w:bookmarkStart w:id="20826" w:name="_Toc398549388"/>
      <w:bookmarkStart w:id="20827" w:name="_Toc398555807"/>
      <w:bookmarkStart w:id="20828" w:name="_Toc398559011"/>
      <w:bookmarkStart w:id="20829" w:name="_Toc398563497"/>
      <w:bookmarkStart w:id="20830" w:name="_Toc398563630"/>
      <w:bookmarkStart w:id="20831" w:name="_Toc398564029"/>
      <w:bookmarkStart w:id="20832" w:name="_Toc398827367"/>
      <w:bookmarkStart w:id="20833" w:name="_Toc398827561"/>
      <w:bookmarkStart w:id="20834" w:name="s92"/>
      <w:r w:rsidRPr="008625DC">
        <w:rPr>
          <w:lang w:val="en-AU"/>
        </w:rPr>
        <w:lastRenderedPageBreak/>
        <w:t>T</w:t>
      </w:r>
      <w:bookmarkEnd w:id="20427"/>
      <w:bookmarkEnd w:id="20428"/>
      <w:bookmarkEnd w:id="20429"/>
      <w:bookmarkEnd w:id="20430"/>
      <w:r w:rsidRPr="008625DC">
        <w:rPr>
          <w:lang w:val="en-AU"/>
        </w:rPr>
        <w:t>ransport</w:t>
      </w:r>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p>
    <w:bookmarkEnd w:id="20834"/>
    <w:p w14:paraId="72529CA1" w14:textId="77777777" w:rsidR="000653E5" w:rsidRPr="008625DC" w:rsidRDefault="000653E5" w:rsidP="00FB084C">
      <w:pPr>
        <w:pStyle w:val="Heading3"/>
      </w:pPr>
      <w:r w:rsidRPr="008625DC">
        <w:t>Aviation</w:t>
      </w:r>
    </w:p>
    <w:p w14:paraId="1C0B0F78" w14:textId="49B1FD7D" w:rsidR="000653E5" w:rsidRPr="008625DC" w:rsidRDefault="00C73C9B" w:rsidP="000653E5">
      <w:r w:rsidRPr="008625DC">
        <w:t>A</w:t>
      </w:r>
      <w:r w:rsidR="000653E5" w:rsidRPr="008625DC">
        <w:t xml:space="preserve">ll major </w:t>
      </w:r>
      <w:r w:rsidR="008D41AE" w:rsidRPr="008625DC">
        <w:t>Australian</w:t>
      </w:r>
      <w:r w:rsidR="000653E5" w:rsidRPr="008625DC">
        <w:t xml:space="preserve"> airports have been privatised through either </w:t>
      </w:r>
      <w:r w:rsidR="008C7C1B" w:rsidRPr="008625DC">
        <w:t xml:space="preserve">outright </w:t>
      </w:r>
      <w:r w:rsidR="000653E5" w:rsidRPr="008625DC">
        <w:t>sale or through 50</w:t>
      </w:r>
      <w:r w:rsidR="00C74E19" w:rsidRPr="008625DC">
        <w:noBreakHyphen/>
      </w:r>
      <w:r w:rsidR="000653E5" w:rsidRPr="008625DC">
        <w:t>year leases</w:t>
      </w:r>
      <w:r w:rsidR="00C13D07" w:rsidRPr="008625DC">
        <w:t>.</w:t>
      </w:r>
      <w:r w:rsidR="000653E5" w:rsidRPr="008625DC">
        <w:rPr>
          <w:rStyle w:val="FootnoteReference"/>
        </w:rPr>
        <w:footnoteReference w:id="150"/>
      </w:r>
      <w:r w:rsidR="00787DCF" w:rsidRPr="008625DC">
        <w:t xml:space="preserve"> </w:t>
      </w:r>
      <w:r w:rsidR="000653E5" w:rsidRPr="008625DC">
        <w:t>Airports tend to have strong natural monopoly characteristics</w:t>
      </w:r>
      <w:r w:rsidR="008C7C1B" w:rsidRPr="008625DC">
        <w:t>;</w:t>
      </w:r>
      <w:r w:rsidR="000653E5" w:rsidRPr="008625DC">
        <w:t xml:space="preserve"> consequently the effectiveness of the regulatory framework applying post</w:t>
      </w:r>
      <w:r w:rsidR="00C74E19" w:rsidRPr="008625DC">
        <w:noBreakHyphen/>
      </w:r>
      <w:r w:rsidR="000653E5" w:rsidRPr="008625DC">
        <w:t xml:space="preserve">privatisation is important to ensure appropriate prices and quality of service. </w:t>
      </w:r>
    </w:p>
    <w:p w14:paraId="2D294454" w14:textId="65631ED3" w:rsidR="00C73C9B" w:rsidRPr="008625DC" w:rsidRDefault="000653E5" w:rsidP="000653E5">
      <w:r w:rsidRPr="008625DC">
        <w:t xml:space="preserve">The PC reported on the regulation of airport services in 2012. </w:t>
      </w:r>
      <w:r w:rsidR="00C73C9B" w:rsidRPr="008625DC">
        <w:t>The PC concluded that airports</w:t>
      </w:r>
      <w:r w:rsidR="00C74E19" w:rsidRPr="008625DC">
        <w:t>’</w:t>
      </w:r>
      <w:r w:rsidR="00C73C9B" w:rsidRPr="008625DC">
        <w:t xml:space="preserve"> aeronautical charges, revenues, costs, profits and investment look reasonable compared with mostly non</w:t>
      </w:r>
      <w:r w:rsidR="00C74E19" w:rsidRPr="008625DC">
        <w:noBreakHyphen/>
      </w:r>
      <w:r w:rsidR="00C73C9B" w:rsidRPr="008625DC">
        <w:t>commercial airports overseas and existing safeguards have been little used</w:t>
      </w:r>
      <w:r w:rsidR="00380141" w:rsidRPr="008625DC">
        <w:t xml:space="preserve"> — </w:t>
      </w:r>
      <w:r w:rsidR="008C7C1B" w:rsidRPr="008625DC">
        <w:t>including</w:t>
      </w:r>
      <w:r w:rsidR="00C73C9B" w:rsidRPr="008625DC">
        <w:t xml:space="preserve"> Part</w:t>
      </w:r>
      <w:r w:rsidR="00F624CD" w:rsidRPr="008625DC">
        <w:t> </w:t>
      </w:r>
      <w:r w:rsidR="00C73C9B" w:rsidRPr="008625DC">
        <w:t xml:space="preserve">IIIA access declarations. </w:t>
      </w:r>
      <w:r w:rsidR="0076431E" w:rsidRPr="008625DC">
        <w:t>There has also been significant investment at airports, which have not suffered bottlenecks compared to other sectors.</w:t>
      </w:r>
      <w:r w:rsidR="008A33D9" w:rsidRPr="008625DC">
        <w:rPr>
          <w:rStyle w:val="FootnoteReference"/>
        </w:rPr>
        <w:footnoteReference w:id="151"/>
      </w:r>
    </w:p>
    <w:p w14:paraId="4F8F9840" w14:textId="72939A8D" w:rsidR="000653E5" w:rsidRPr="008625DC" w:rsidRDefault="000653E5" w:rsidP="000653E5">
      <w:r w:rsidRPr="008625DC">
        <w:t>The PC noted that capital city airports possessed significant market power and found that price monitoring data since 2002</w:t>
      </w:r>
      <w:r w:rsidR="00C74E19" w:rsidRPr="008625DC">
        <w:noBreakHyphen/>
      </w:r>
      <w:r w:rsidRPr="008625DC">
        <w:t>03 showed substantial price increases at most of the monitored airports. However, taken in context, price increases did not indicate systemic misuse of market power.</w:t>
      </w:r>
      <w:r w:rsidRPr="008625DC">
        <w:rPr>
          <w:rStyle w:val="FootnoteReference"/>
        </w:rPr>
        <w:footnoteReference w:id="152"/>
      </w:r>
    </w:p>
    <w:p w14:paraId="2D606196" w14:textId="691180D6" w:rsidR="000653E5" w:rsidRPr="008625DC" w:rsidRDefault="000653E5" w:rsidP="00C13D07">
      <w:pPr>
        <w:spacing w:after="120"/>
      </w:pPr>
      <w:r w:rsidRPr="008625DC">
        <w:t>The increase in prices</w:t>
      </w:r>
      <w:r w:rsidR="00C73C9B" w:rsidRPr="008625DC">
        <w:t xml:space="preserve"> has</w:t>
      </w:r>
      <w:r w:rsidRPr="008625DC">
        <w:t>, however, raised concerns with users. The Board of Airline Representatives Australia note</w:t>
      </w:r>
      <w:r w:rsidR="008C7C1B" w:rsidRPr="008625DC">
        <w:t>s</w:t>
      </w:r>
      <w:r w:rsidRPr="008625DC">
        <w:t xml:space="preserve"> that:</w:t>
      </w:r>
    </w:p>
    <w:p w14:paraId="658C7395" w14:textId="2491955A" w:rsidR="000653E5" w:rsidRPr="008625DC" w:rsidRDefault="000653E5" w:rsidP="000653E5">
      <w:pPr>
        <w:pStyle w:val="Quotes"/>
      </w:pPr>
      <w:r w:rsidRPr="008625DC">
        <w:t xml:space="preserve">While the industry has achieved large improvements in productivity, international aviation in Australia is facing significant cost pressures from the prices associated with its </w:t>
      </w:r>
      <w:r w:rsidR="00C74E19" w:rsidRPr="008625DC">
        <w:t>‘</w:t>
      </w:r>
      <w:r w:rsidRPr="008625DC">
        <w:t>aviation infrastructure</w:t>
      </w:r>
      <w:r w:rsidR="00C74E19" w:rsidRPr="008625DC">
        <w:t>’</w:t>
      </w:r>
      <w:r w:rsidRPr="008625DC">
        <w:t xml:space="preserve"> (jet fuel supply, airports, air traffic management and fire services), which will have consequences for air travel affordability and the economic growth the industry generates. (</w:t>
      </w:r>
      <w:proofErr w:type="gramStart"/>
      <w:r w:rsidRPr="008625DC">
        <w:t>p</w:t>
      </w:r>
      <w:r w:rsidR="00C13D07" w:rsidRPr="008625DC">
        <w:t>age</w:t>
      </w:r>
      <w:proofErr w:type="gramEnd"/>
      <w:r w:rsidRPr="008625DC">
        <w:t xml:space="preserve"> 3)</w:t>
      </w:r>
    </w:p>
    <w:p w14:paraId="18E3B61F" w14:textId="5CD3C4C6" w:rsidR="000653E5" w:rsidRPr="008625DC" w:rsidRDefault="000653E5" w:rsidP="000653E5">
      <w:r w:rsidRPr="008625DC">
        <w:t>While there is substantial regulation in place constraining the market power of airports, an opportunity for promoting competition was lost when Sydney Airport was privatised.</w:t>
      </w:r>
      <w:r w:rsidR="00787DCF" w:rsidRPr="008625DC">
        <w:t xml:space="preserve"> </w:t>
      </w:r>
      <w:r w:rsidRPr="008625DC">
        <w:t xml:space="preserve">When it was sold in 2002, the Australian Government provided the acquirer with the right of first refusal to operate a second Sydney airport. The ACCC notes that the right of first refusal confers </w:t>
      </w:r>
      <w:r w:rsidR="00C65F4C" w:rsidRPr="008625DC">
        <w:t xml:space="preserve">a monopoly to </w:t>
      </w:r>
      <w:r w:rsidRPr="008625DC">
        <w:t>Sydney Airport over the supply of aeronautical services for international and most domestic flights in the Sydney basin. While inclusion of this right increased the sale price</w:t>
      </w:r>
      <w:r w:rsidR="008C7C1B" w:rsidRPr="008625DC">
        <w:t>,</w:t>
      </w:r>
      <w:r w:rsidRPr="008625DC">
        <w:t xml:space="preserve"> it is likely to have had an anti</w:t>
      </w:r>
      <w:r w:rsidR="00C74E19" w:rsidRPr="008625DC">
        <w:noBreakHyphen/>
      </w:r>
      <w:r w:rsidRPr="008625DC">
        <w:t>competitive impact on the aviation sector.</w:t>
      </w:r>
      <w:r w:rsidR="005027FA" w:rsidRPr="008625DC">
        <w:t xml:space="preserve"> (ACCC submission 1, page 36) </w:t>
      </w:r>
    </w:p>
    <w:p w14:paraId="72CE7A1B" w14:textId="68446A04" w:rsidR="000653E5" w:rsidRPr="008625DC" w:rsidRDefault="000653E5" w:rsidP="000653E5">
      <w:r w:rsidRPr="008625DC">
        <w:t xml:space="preserve">The Australian Airports Association </w:t>
      </w:r>
      <w:r w:rsidR="005027FA" w:rsidRPr="008625DC">
        <w:t>(page 5)</w:t>
      </w:r>
      <w:r w:rsidRPr="008625DC">
        <w:t xml:space="preserve"> consider</w:t>
      </w:r>
      <w:r w:rsidR="008C7C1B" w:rsidRPr="008625DC">
        <w:t>s</w:t>
      </w:r>
      <w:r w:rsidRPr="008625DC">
        <w:t xml:space="preserve"> that land use planning and other restrictions limit the ability of smaller airports to compete with larger ones</w:t>
      </w:r>
      <w:r w:rsidR="00C6270B" w:rsidRPr="008625DC">
        <w:t>.</w:t>
      </w:r>
    </w:p>
    <w:p w14:paraId="2F2D2E5D" w14:textId="61560640" w:rsidR="000653E5" w:rsidRPr="008625DC" w:rsidRDefault="000653E5" w:rsidP="00C6270B">
      <w:r w:rsidRPr="008625DC">
        <w:t xml:space="preserve">Other issues raised in submissions include the lack of competition between jet fuel suppliers at airports and the cost of services provided by Airservices Australia. </w:t>
      </w:r>
    </w:p>
    <w:p w14:paraId="22B52ADD" w14:textId="46630C18" w:rsidR="000653E5" w:rsidRPr="008625DC" w:rsidRDefault="00C6270B" w:rsidP="00AF759D">
      <w:r w:rsidRPr="008625DC">
        <w:t>The</w:t>
      </w:r>
      <w:r w:rsidR="000653E5" w:rsidRPr="008625DC">
        <w:t xml:space="preserve"> </w:t>
      </w:r>
      <w:r w:rsidRPr="008625DC">
        <w:t>Board of Airline Representatives Australia</w:t>
      </w:r>
      <w:r w:rsidR="000653E5" w:rsidRPr="008625DC">
        <w:t xml:space="preserve"> note</w:t>
      </w:r>
      <w:r w:rsidR="008C7C1B" w:rsidRPr="008625DC">
        <w:t>s</w:t>
      </w:r>
      <w:r w:rsidR="000653E5" w:rsidRPr="008625DC">
        <w:t xml:space="preserve"> that international airlines operating to Australia pay some of the highest </w:t>
      </w:r>
      <w:r w:rsidR="00C74E19" w:rsidRPr="008625DC">
        <w:t>‘</w:t>
      </w:r>
      <w:r w:rsidR="000653E5" w:rsidRPr="008625DC">
        <w:t>jet fuel differentials</w:t>
      </w:r>
      <w:r w:rsidR="00C74E19" w:rsidRPr="008625DC">
        <w:t>’</w:t>
      </w:r>
      <w:r w:rsidR="000653E5" w:rsidRPr="008625DC">
        <w:t xml:space="preserve"> globally (p</w:t>
      </w:r>
      <w:r w:rsidR="00C13D07" w:rsidRPr="008625DC">
        <w:t>age</w:t>
      </w:r>
      <w:r w:rsidR="000653E5" w:rsidRPr="008625DC">
        <w:t xml:space="preserve"> 7). </w:t>
      </w:r>
    </w:p>
    <w:p w14:paraId="1FCF9D99" w14:textId="393AAF07" w:rsidR="000653E5" w:rsidRPr="008625DC" w:rsidRDefault="000653E5" w:rsidP="00C6270B">
      <w:r w:rsidRPr="008625DC">
        <w:t>In relation to services provided by Airservices Australia, the Board of Airline Representatives Australia note</w:t>
      </w:r>
      <w:r w:rsidR="008C7C1B" w:rsidRPr="008625DC">
        <w:t>s</w:t>
      </w:r>
      <w:r w:rsidRPr="008625DC">
        <w:t xml:space="preserve"> that</w:t>
      </w:r>
      <w:r w:rsidR="00C6270B" w:rsidRPr="008625DC">
        <w:t xml:space="preserve"> the</w:t>
      </w:r>
      <w:r w:rsidRPr="008625DC">
        <w:t xml:space="preserve"> existing structure of Airservices</w:t>
      </w:r>
      <w:r w:rsidR="00C74E19" w:rsidRPr="008625DC">
        <w:t>’</w:t>
      </w:r>
      <w:r w:rsidRPr="008625DC">
        <w:t xml:space="preserve"> prices encourages the development of an inefficient </w:t>
      </w:r>
      <w:r w:rsidRPr="008625DC">
        <w:lastRenderedPageBreak/>
        <w:t>aviation industry and distorts competition both between regional airports and with other modes of transport (p</w:t>
      </w:r>
      <w:r w:rsidR="00C13D07" w:rsidRPr="008625DC">
        <w:t>age</w:t>
      </w:r>
      <w:r w:rsidRPr="008625DC">
        <w:t xml:space="preserve"> 4)</w:t>
      </w:r>
      <w:r w:rsidR="008C7C1B" w:rsidRPr="008625DC">
        <w: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31EAF6EE" w14:textId="77777777" w:rsidTr="00FB31E5">
        <w:tc>
          <w:tcPr>
            <w:tcW w:w="5000" w:type="pct"/>
            <w:shd w:val="clear" w:color="auto" w:fill="FFFFFF" w:themeFill="background1"/>
          </w:tcPr>
          <w:p w14:paraId="7ADDBB23" w14:textId="4AADB337" w:rsidR="000653E5" w:rsidRPr="008625DC" w:rsidRDefault="000653E5" w:rsidP="000D4FE3">
            <w:pPr>
              <w:pStyle w:val="Keyfindingheading"/>
            </w:pPr>
            <w:bookmarkStart w:id="20835" w:name="_Toc393985179"/>
            <w:bookmarkStart w:id="20836" w:name="_Toc393985348"/>
            <w:bookmarkStart w:id="20837" w:name="_Toc393985682"/>
            <w:bookmarkStart w:id="20838" w:name="_Toc393985852"/>
            <w:bookmarkStart w:id="20839" w:name="_Toc393986084"/>
            <w:bookmarkStart w:id="20840" w:name="_Toc393986254"/>
            <w:bookmarkStart w:id="20841" w:name="_Toc393986487"/>
            <w:bookmarkStart w:id="20842" w:name="_Toc393988094"/>
            <w:bookmarkStart w:id="20843" w:name="_Toc393988264"/>
            <w:bookmarkStart w:id="20844" w:name="_Toc393988496"/>
            <w:bookmarkStart w:id="20845" w:name="_Toc393988666"/>
            <w:bookmarkStart w:id="20846" w:name="_Toc393986658"/>
            <w:bookmarkStart w:id="20847" w:name="_Toc393989508"/>
            <w:bookmarkStart w:id="20848" w:name="_Toc393989678"/>
            <w:bookmarkStart w:id="20849" w:name="_Toc393988897"/>
            <w:bookmarkStart w:id="20850" w:name="_Toc393989066"/>
            <w:bookmarkStart w:id="20851" w:name="_Toc393990901"/>
            <w:bookmarkStart w:id="20852" w:name="_Toc393991070"/>
            <w:bookmarkStart w:id="20853" w:name="_Toc393991169"/>
            <w:bookmarkStart w:id="20854" w:name="_Toc393991883"/>
            <w:bookmarkStart w:id="20855" w:name="_Toc393992054"/>
            <w:bookmarkStart w:id="20856" w:name="_Toc394047546"/>
            <w:bookmarkStart w:id="20857" w:name="_Toc394047718"/>
            <w:bookmarkStart w:id="20858" w:name="_Toc394047829"/>
            <w:bookmarkStart w:id="20859" w:name="_Toc394048385"/>
            <w:bookmarkStart w:id="20860" w:name="_Toc394049822"/>
            <w:bookmarkStart w:id="20861" w:name="_Toc394049997"/>
            <w:bookmarkStart w:id="20862" w:name="_Toc394051222"/>
            <w:bookmarkStart w:id="20863" w:name="_Toc394051397"/>
            <w:bookmarkStart w:id="20864" w:name="_Toc394062211"/>
            <w:bookmarkStart w:id="20865" w:name="_Toc394062544"/>
            <w:bookmarkStart w:id="20866" w:name="_Toc394069086"/>
            <w:bookmarkStart w:id="20867" w:name="_Toc394069259"/>
            <w:bookmarkStart w:id="20868" w:name="_Toc394071004"/>
            <w:bookmarkStart w:id="20869" w:name="_Toc394071177"/>
            <w:bookmarkStart w:id="20870" w:name="_Toc394312713"/>
            <w:bookmarkStart w:id="20871" w:name="_Toc394330450"/>
            <w:bookmarkStart w:id="20872" w:name="_Toc394330692"/>
            <w:bookmarkStart w:id="20873" w:name="_Toc394331381"/>
            <w:bookmarkStart w:id="20874" w:name="_Toc394330312"/>
            <w:bookmarkStart w:id="20875" w:name="_Toc394333284"/>
            <w:bookmarkStart w:id="20876" w:name="_Toc394333456"/>
            <w:bookmarkStart w:id="20877" w:name="_Toc394332862"/>
            <w:bookmarkStart w:id="20878" w:name="_Toc394333697"/>
            <w:bookmarkStart w:id="20879" w:name="_Toc394333869"/>
            <w:bookmarkStart w:id="20880" w:name="_Toc394334110"/>
            <w:bookmarkStart w:id="20881" w:name="_Toc394334282"/>
            <w:bookmarkStart w:id="20882" w:name="_Toc394334936"/>
            <w:bookmarkStart w:id="20883" w:name="_Toc394335108"/>
            <w:bookmarkStart w:id="20884" w:name="_Toc394415119"/>
            <w:bookmarkStart w:id="20885" w:name="_Toc394415312"/>
            <w:bookmarkStart w:id="20886" w:name="_Toc394412424"/>
            <w:bookmarkStart w:id="20887" w:name="_Toc394412621"/>
            <w:bookmarkStart w:id="20888" w:name="_Toc394420715"/>
            <w:bookmarkStart w:id="20889" w:name="_Toc394420914"/>
            <w:bookmarkStart w:id="20890" w:name="_Toc394421189"/>
            <w:bookmarkStart w:id="20891" w:name="_Toc394423558"/>
            <w:bookmarkStart w:id="20892" w:name="_Toc394423755"/>
            <w:bookmarkStart w:id="20893" w:name="_Toc394420492"/>
            <w:bookmarkStart w:id="20894" w:name="_Toc394422602"/>
            <w:bookmarkStart w:id="20895" w:name="_Toc394422799"/>
            <w:bookmarkStart w:id="20896" w:name="_Toc394423073"/>
            <w:bookmarkStart w:id="20897" w:name="_Toc394423270"/>
            <w:bookmarkStart w:id="20898" w:name="_Toc394424223"/>
            <w:bookmarkStart w:id="20899" w:name="_Toc394424418"/>
            <w:bookmarkStart w:id="20900" w:name="_Toc394492056"/>
            <w:bookmarkStart w:id="20901" w:name="_Toc394492251"/>
            <w:bookmarkStart w:id="20902" w:name="_Toc394495201"/>
            <w:bookmarkStart w:id="20903" w:name="_Toc394495395"/>
            <w:bookmarkStart w:id="20904" w:name="_Toc394498016"/>
            <w:bookmarkStart w:id="20905" w:name="_Toc394498210"/>
            <w:bookmarkStart w:id="20906" w:name="_Toc394500806"/>
            <w:bookmarkStart w:id="20907" w:name="_Toc394501000"/>
            <w:r w:rsidRPr="008625DC">
              <w:t>The Panel</w:t>
            </w:r>
            <w:r w:rsidR="00C74E19" w:rsidRPr="008625DC">
              <w:t>’</w:t>
            </w:r>
            <w:r w:rsidRPr="008625DC">
              <w:t>s view</w:t>
            </w:r>
          </w:p>
          <w:p w14:paraId="37B1B420" w14:textId="51864AB5" w:rsidR="000653E5" w:rsidRPr="008625DC" w:rsidRDefault="000653E5" w:rsidP="00FB31E5">
            <w:pPr>
              <w:pStyle w:val="Keyfindingtext"/>
            </w:pPr>
            <w:bookmarkStart w:id="20908" w:name="_Toc393985176"/>
            <w:bookmarkStart w:id="20909" w:name="_Toc393985679"/>
            <w:bookmarkStart w:id="20910" w:name="_Toc393986081"/>
            <w:bookmarkStart w:id="20911" w:name="_Toc393986484"/>
            <w:bookmarkStart w:id="20912" w:name="_Toc393988091"/>
            <w:bookmarkStart w:id="20913" w:name="_Toc393988493"/>
            <w:bookmarkStart w:id="20914" w:name="_Toc393989505"/>
            <w:bookmarkStart w:id="20915" w:name="_Toc393988894"/>
            <w:bookmarkStart w:id="20916" w:name="_Toc393990898"/>
            <w:bookmarkStart w:id="20917" w:name="_Toc393991880"/>
            <w:bookmarkStart w:id="20918" w:name="_Toc394047543"/>
            <w:bookmarkStart w:id="20919" w:name="_Toc394049819"/>
            <w:bookmarkStart w:id="20920" w:name="_Toc394051219"/>
            <w:bookmarkStart w:id="20921" w:name="_Toc394062208"/>
            <w:bookmarkStart w:id="20922" w:name="_Toc394069083"/>
            <w:bookmarkStart w:id="20923" w:name="_Toc394071001"/>
            <w:bookmarkStart w:id="20924" w:name="_Toc394312710"/>
            <w:bookmarkStart w:id="20925" w:name="_Toc394330689"/>
            <w:bookmarkStart w:id="20926" w:name="_Toc394330309"/>
            <w:bookmarkStart w:id="20927" w:name="_Toc394333281"/>
            <w:bookmarkStart w:id="20928" w:name="_Toc394332859"/>
            <w:bookmarkStart w:id="20929" w:name="_Toc394333694"/>
            <w:bookmarkStart w:id="20930" w:name="_Toc394334107"/>
            <w:bookmarkStart w:id="20931" w:name="_Toc394334933"/>
            <w:bookmarkStart w:id="20932" w:name="_Toc394415116"/>
            <w:bookmarkStart w:id="20933" w:name="_Toc394412421"/>
            <w:bookmarkStart w:id="20934" w:name="_Toc394420712"/>
            <w:bookmarkStart w:id="20935" w:name="_Toc394421186"/>
            <w:bookmarkStart w:id="20936" w:name="_Toc394423555"/>
            <w:bookmarkStart w:id="20937" w:name="_Toc394420489"/>
            <w:bookmarkStart w:id="20938" w:name="_Toc394422599"/>
            <w:bookmarkStart w:id="20939" w:name="_Toc394423070"/>
            <w:bookmarkStart w:id="20940" w:name="_Toc394424220"/>
            <w:bookmarkStart w:id="20941" w:name="_Toc394492053"/>
            <w:bookmarkStart w:id="20942" w:name="_Toc394495198"/>
            <w:bookmarkStart w:id="20943" w:name="_Toc394498013"/>
            <w:bookmarkStart w:id="20944" w:name="_Toc394500803"/>
            <w:bookmarkStart w:id="20945" w:name="_Toc394502206"/>
            <w:bookmarkStart w:id="20946" w:name="_Toc394503108"/>
            <w:bookmarkStart w:id="20947" w:name="_Toc394502652"/>
            <w:bookmarkStart w:id="20948" w:name="_Toc394505859"/>
            <w:bookmarkStart w:id="20949" w:name="_Toc394506318"/>
            <w:bookmarkStart w:id="20950" w:name="_Toc394506872"/>
            <w:bookmarkStart w:id="20951" w:name="_Toc394560945"/>
            <w:bookmarkStart w:id="20952" w:name="_Toc394561406"/>
            <w:bookmarkStart w:id="20953" w:name="_Toc394933837"/>
            <w:bookmarkStart w:id="20954" w:name="_Toc394938286"/>
            <w:bookmarkStart w:id="20955" w:name="_Toc394937566"/>
            <w:bookmarkStart w:id="20956" w:name="_Toc394941197"/>
            <w:bookmarkStart w:id="20957" w:name="_Toc394941813"/>
            <w:bookmarkStart w:id="20958" w:name="_Toc394940035"/>
            <w:bookmarkStart w:id="20959" w:name="_Toc394939645"/>
            <w:bookmarkStart w:id="20960" w:name="_Toc394993542"/>
            <w:bookmarkStart w:id="20961" w:name="_Toc394995423"/>
            <w:bookmarkStart w:id="20962" w:name="_Toc394995737"/>
            <w:bookmarkStart w:id="20963" w:name="_Toc394997982"/>
            <w:bookmarkStart w:id="20964" w:name="_Toc394998496"/>
            <w:bookmarkStart w:id="20965" w:name="_Toc395001995"/>
            <w:bookmarkStart w:id="20966" w:name="_Toc395003349"/>
            <w:bookmarkStart w:id="20967" w:name="_Toc395005590"/>
            <w:bookmarkStart w:id="20968" w:name="_Toc395004715"/>
            <w:bookmarkStart w:id="20969" w:name="_Toc395007892"/>
            <w:bookmarkStart w:id="20970" w:name="_Toc395009584"/>
            <w:bookmarkStart w:id="20971" w:name="_Toc395008435"/>
            <w:bookmarkStart w:id="20972" w:name="_Toc395090426"/>
            <w:bookmarkStart w:id="20973" w:name="_Toc395093010"/>
            <w:bookmarkStart w:id="20974" w:name="_Toc395097921"/>
            <w:bookmarkStart w:id="20975" w:name="_Toc395110060"/>
            <w:bookmarkStart w:id="20976" w:name="_Toc395112061"/>
            <w:bookmarkStart w:id="20977" w:name="_Toc395107201"/>
            <w:bookmarkStart w:id="20978" w:name="_Toc395108764"/>
            <w:bookmarkStart w:id="20979" w:name="_Toc395114004"/>
            <w:bookmarkStart w:id="20980" w:name="_Toc395116741"/>
            <w:bookmarkStart w:id="20981" w:name="_Toc395112678"/>
            <w:bookmarkStart w:id="20982" w:name="_Toc395115218"/>
            <w:bookmarkStart w:id="20983" w:name="_Toc395118372"/>
            <w:bookmarkStart w:id="20984" w:name="_Toc395624564"/>
            <w:bookmarkStart w:id="20985" w:name="_Toc395789916"/>
            <w:bookmarkStart w:id="20986" w:name="_Toc395800673"/>
            <w:r w:rsidRPr="008625DC">
              <w:t xml:space="preserve">The price monitoring and </w:t>
            </w:r>
            <w:r w:rsidR="00C74E19" w:rsidRPr="008625DC">
              <w:t>‘</w:t>
            </w:r>
            <w:r w:rsidRPr="008625DC">
              <w:t>light</w:t>
            </w:r>
            <w:r w:rsidR="00C74E19" w:rsidRPr="008625DC">
              <w:noBreakHyphen/>
            </w:r>
            <w:r w:rsidRPr="008625DC">
              <w:t>handed</w:t>
            </w:r>
            <w:r w:rsidR="00C74E19" w:rsidRPr="008625DC">
              <w:t>’</w:t>
            </w:r>
            <w:r w:rsidRPr="008625DC">
              <w:t xml:space="preserve"> regulatory approach </w:t>
            </w:r>
            <w:r w:rsidR="008C7C1B" w:rsidRPr="008625DC">
              <w:t xml:space="preserve">in aviation </w:t>
            </w:r>
            <w:r w:rsidRPr="008625DC">
              <w:t>appears to be working well overall. However, if prices continue to increase as fast as they have been that would raise concerns and may warrant a move away from light</w:t>
            </w:r>
            <w:r w:rsidR="00C74E19" w:rsidRPr="008625DC">
              <w:noBreakHyphen/>
            </w:r>
            <w:r w:rsidRPr="008625DC">
              <w:t>handed regulation for individual airports.</w:t>
            </w:r>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p>
          <w:p w14:paraId="1D1C249A" w14:textId="070816B0" w:rsidR="008C7C1B" w:rsidRPr="008625DC" w:rsidRDefault="000653E5" w:rsidP="00FB31E5">
            <w:pPr>
              <w:pStyle w:val="Keyfindingtext"/>
            </w:pPr>
            <w:bookmarkStart w:id="20987" w:name="_Toc393985177"/>
            <w:bookmarkStart w:id="20988" w:name="_Toc393985680"/>
            <w:bookmarkStart w:id="20989" w:name="_Toc393986082"/>
            <w:bookmarkStart w:id="20990" w:name="_Toc393986485"/>
            <w:bookmarkStart w:id="20991" w:name="_Toc393988092"/>
            <w:bookmarkStart w:id="20992" w:name="_Toc393988494"/>
            <w:bookmarkStart w:id="20993" w:name="_Toc393989506"/>
            <w:bookmarkStart w:id="20994" w:name="_Toc393988895"/>
            <w:bookmarkStart w:id="20995" w:name="_Toc393990899"/>
            <w:bookmarkStart w:id="20996" w:name="_Toc393991881"/>
            <w:bookmarkStart w:id="20997" w:name="_Toc394047544"/>
            <w:bookmarkStart w:id="20998" w:name="_Toc394049820"/>
            <w:bookmarkStart w:id="20999" w:name="_Toc394051220"/>
            <w:bookmarkStart w:id="21000" w:name="_Toc394062209"/>
            <w:bookmarkStart w:id="21001" w:name="_Toc394069084"/>
            <w:bookmarkStart w:id="21002" w:name="_Toc394071002"/>
            <w:bookmarkStart w:id="21003" w:name="_Toc394312711"/>
            <w:bookmarkStart w:id="21004" w:name="_Toc394330690"/>
            <w:bookmarkStart w:id="21005" w:name="_Toc394330310"/>
            <w:bookmarkStart w:id="21006" w:name="_Toc394333282"/>
            <w:bookmarkStart w:id="21007" w:name="_Toc394332860"/>
            <w:bookmarkStart w:id="21008" w:name="_Toc394333695"/>
            <w:bookmarkStart w:id="21009" w:name="_Toc394334108"/>
            <w:bookmarkStart w:id="21010" w:name="_Toc394334934"/>
            <w:bookmarkStart w:id="21011" w:name="_Toc394415117"/>
            <w:bookmarkStart w:id="21012" w:name="_Toc394412422"/>
            <w:bookmarkStart w:id="21013" w:name="_Toc394420713"/>
            <w:bookmarkStart w:id="21014" w:name="_Toc394421187"/>
            <w:bookmarkStart w:id="21015" w:name="_Toc394423556"/>
            <w:bookmarkStart w:id="21016" w:name="_Toc394420490"/>
            <w:bookmarkStart w:id="21017" w:name="_Toc394422600"/>
            <w:bookmarkStart w:id="21018" w:name="_Toc394423071"/>
            <w:bookmarkStart w:id="21019" w:name="_Toc394424221"/>
            <w:bookmarkStart w:id="21020" w:name="_Toc394492054"/>
            <w:bookmarkStart w:id="21021" w:name="_Toc394495199"/>
            <w:bookmarkStart w:id="21022" w:name="_Toc394498014"/>
            <w:bookmarkStart w:id="21023" w:name="_Toc394500804"/>
            <w:bookmarkStart w:id="21024" w:name="_Toc394502207"/>
            <w:bookmarkStart w:id="21025" w:name="_Toc394503109"/>
            <w:bookmarkStart w:id="21026" w:name="_Toc394502653"/>
            <w:bookmarkStart w:id="21027" w:name="_Toc394505860"/>
            <w:bookmarkStart w:id="21028" w:name="_Toc394506319"/>
            <w:bookmarkStart w:id="21029" w:name="_Toc394506873"/>
            <w:bookmarkStart w:id="21030" w:name="_Toc394560946"/>
            <w:bookmarkStart w:id="21031" w:name="_Toc394561407"/>
            <w:bookmarkStart w:id="21032" w:name="_Toc394938287"/>
            <w:bookmarkStart w:id="21033" w:name="_Toc394937567"/>
            <w:bookmarkStart w:id="21034" w:name="_Toc394941198"/>
            <w:bookmarkStart w:id="21035" w:name="_Toc394941814"/>
            <w:bookmarkStart w:id="21036" w:name="_Toc394940036"/>
            <w:bookmarkStart w:id="21037" w:name="_Toc394939646"/>
            <w:bookmarkStart w:id="21038" w:name="_Toc394993543"/>
            <w:bookmarkStart w:id="21039" w:name="_Toc394995424"/>
            <w:bookmarkStart w:id="21040" w:name="_Toc394995738"/>
            <w:bookmarkStart w:id="21041" w:name="_Toc394997983"/>
            <w:bookmarkStart w:id="21042" w:name="_Toc394998497"/>
            <w:bookmarkStart w:id="21043" w:name="_Toc395001476"/>
            <w:bookmarkStart w:id="21044" w:name="_Toc395001996"/>
            <w:bookmarkStart w:id="21045" w:name="_Toc395003350"/>
            <w:bookmarkStart w:id="21046" w:name="_Toc395005591"/>
            <w:bookmarkStart w:id="21047" w:name="_Toc395004716"/>
            <w:bookmarkStart w:id="21048" w:name="_Toc395007893"/>
            <w:bookmarkStart w:id="21049" w:name="_Toc395009585"/>
            <w:bookmarkStart w:id="21050" w:name="_Toc395008436"/>
            <w:bookmarkStart w:id="21051" w:name="_Toc395090427"/>
            <w:bookmarkStart w:id="21052" w:name="_Toc395093011"/>
            <w:bookmarkStart w:id="21053" w:name="_Toc395097922"/>
            <w:bookmarkStart w:id="21054" w:name="_Toc395110061"/>
            <w:bookmarkStart w:id="21055" w:name="_Toc395112062"/>
            <w:bookmarkStart w:id="21056" w:name="_Toc395107202"/>
            <w:bookmarkStart w:id="21057" w:name="_Toc395108765"/>
            <w:bookmarkStart w:id="21058" w:name="_Toc395114005"/>
            <w:bookmarkStart w:id="21059" w:name="_Toc395116742"/>
            <w:bookmarkStart w:id="21060" w:name="_Toc395112679"/>
            <w:bookmarkStart w:id="21061" w:name="_Toc395115219"/>
            <w:bookmarkStart w:id="21062" w:name="_Toc395118373"/>
            <w:bookmarkStart w:id="21063" w:name="_Toc395624565"/>
            <w:bookmarkStart w:id="21064" w:name="_Toc395789917"/>
            <w:bookmarkStart w:id="21065" w:name="_Toc395800674"/>
            <w:bookmarkStart w:id="21066" w:name="_Toc393985178"/>
            <w:bookmarkStart w:id="21067" w:name="_Toc393985681"/>
            <w:bookmarkStart w:id="21068" w:name="_Toc393986083"/>
            <w:bookmarkStart w:id="21069" w:name="_Toc393986486"/>
            <w:bookmarkStart w:id="21070" w:name="_Toc393988093"/>
            <w:bookmarkStart w:id="21071" w:name="_Toc393988495"/>
            <w:bookmarkStart w:id="21072" w:name="_Toc393989507"/>
            <w:bookmarkStart w:id="21073" w:name="_Toc393988896"/>
            <w:bookmarkStart w:id="21074" w:name="_Toc393990900"/>
            <w:bookmarkStart w:id="21075" w:name="_Toc393991882"/>
            <w:bookmarkStart w:id="21076" w:name="_Toc394047545"/>
            <w:bookmarkStart w:id="21077" w:name="_Toc394049821"/>
            <w:bookmarkStart w:id="21078" w:name="_Toc394051221"/>
            <w:bookmarkStart w:id="21079" w:name="_Toc394062210"/>
            <w:bookmarkStart w:id="21080" w:name="_Toc394069085"/>
            <w:bookmarkStart w:id="21081" w:name="_Toc394071003"/>
            <w:bookmarkStart w:id="21082" w:name="_Toc394312712"/>
            <w:bookmarkStart w:id="21083" w:name="_Toc394330691"/>
            <w:bookmarkStart w:id="21084" w:name="_Toc394330311"/>
            <w:bookmarkStart w:id="21085" w:name="_Toc394333283"/>
            <w:bookmarkStart w:id="21086" w:name="_Toc394332861"/>
            <w:bookmarkStart w:id="21087" w:name="_Toc394333696"/>
            <w:bookmarkStart w:id="21088" w:name="_Toc394334109"/>
            <w:bookmarkStart w:id="21089" w:name="_Toc394334935"/>
            <w:bookmarkStart w:id="21090" w:name="_Toc394415118"/>
            <w:bookmarkStart w:id="21091" w:name="_Toc394412423"/>
            <w:bookmarkStart w:id="21092" w:name="_Toc394420714"/>
            <w:bookmarkStart w:id="21093" w:name="_Toc394421188"/>
            <w:bookmarkStart w:id="21094" w:name="_Toc394423557"/>
            <w:bookmarkStart w:id="21095" w:name="_Toc394420491"/>
            <w:bookmarkStart w:id="21096" w:name="_Toc394422601"/>
            <w:bookmarkStart w:id="21097" w:name="_Toc394423072"/>
            <w:bookmarkStart w:id="21098" w:name="_Toc394424222"/>
            <w:bookmarkStart w:id="21099" w:name="_Toc394492055"/>
            <w:bookmarkStart w:id="21100" w:name="_Toc394495200"/>
            <w:bookmarkStart w:id="21101" w:name="_Toc394498015"/>
            <w:bookmarkStart w:id="21102" w:name="_Toc394500805"/>
            <w:bookmarkStart w:id="21103" w:name="_Toc394502208"/>
            <w:bookmarkStart w:id="21104" w:name="_Toc394503110"/>
            <w:bookmarkStart w:id="21105" w:name="_Toc394502654"/>
            <w:bookmarkStart w:id="21106" w:name="_Toc394505861"/>
            <w:bookmarkStart w:id="21107" w:name="_Toc394506320"/>
            <w:bookmarkStart w:id="21108" w:name="_Toc394506874"/>
            <w:bookmarkStart w:id="21109" w:name="_Toc394560947"/>
            <w:bookmarkStart w:id="21110" w:name="_Toc394561408"/>
            <w:bookmarkStart w:id="21111" w:name="_Toc394933839"/>
            <w:bookmarkStart w:id="21112" w:name="_Toc394938288"/>
            <w:bookmarkStart w:id="21113" w:name="_Toc394937568"/>
            <w:bookmarkStart w:id="21114" w:name="_Toc394941199"/>
            <w:bookmarkStart w:id="21115" w:name="_Toc394941815"/>
            <w:bookmarkStart w:id="21116" w:name="_Toc394940037"/>
            <w:bookmarkStart w:id="21117" w:name="_Toc394939647"/>
            <w:bookmarkStart w:id="21118" w:name="_Toc394993544"/>
            <w:bookmarkStart w:id="21119" w:name="_Toc394995425"/>
            <w:bookmarkStart w:id="21120" w:name="_Toc394995739"/>
            <w:bookmarkStart w:id="21121" w:name="_Toc394997984"/>
            <w:bookmarkStart w:id="21122" w:name="_Toc394998498"/>
            <w:bookmarkStart w:id="21123" w:name="_Toc395001477"/>
            <w:bookmarkStart w:id="21124" w:name="_Toc395001997"/>
            <w:bookmarkStart w:id="21125" w:name="_Toc395003351"/>
            <w:bookmarkStart w:id="21126" w:name="_Toc395005592"/>
            <w:bookmarkStart w:id="21127" w:name="_Toc395004717"/>
            <w:bookmarkStart w:id="21128" w:name="_Toc395007894"/>
            <w:bookmarkStart w:id="21129" w:name="_Toc395009586"/>
            <w:bookmarkStart w:id="21130" w:name="_Toc395008437"/>
            <w:bookmarkStart w:id="21131" w:name="_Toc395624566"/>
            <w:bookmarkStart w:id="21132" w:name="_Toc395789918"/>
            <w:bookmarkStart w:id="21133" w:name="_Toc395800675"/>
            <w:r w:rsidRPr="008625DC">
              <w:t>While the regulatory framework for airports a</w:t>
            </w:r>
            <w:r w:rsidR="00C6270B" w:rsidRPr="008625DC">
              <w:t>ppears to be working well, airport privatisation could have been handled better. A</w:t>
            </w:r>
            <w:r w:rsidRPr="008625DC">
              <w:t xml:space="preserve"> </w:t>
            </w:r>
            <w:r w:rsidR="003F2C99" w:rsidRPr="008625DC">
              <w:t>significant opportunity</w:t>
            </w:r>
            <w:r w:rsidRPr="008625DC">
              <w:t xml:space="preserve"> for greater competition </w:t>
            </w:r>
            <w:r w:rsidR="003F2C99" w:rsidRPr="008625DC">
              <w:t xml:space="preserve">was lost </w:t>
            </w:r>
            <w:r w:rsidRPr="008625DC">
              <w:t xml:space="preserve">as a result of Sydney Airport being privatised, with the new owner being given first right of refusal to operate the second Sydney </w:t>
            </w:r>
            <w:r w:rsidR="006C26C9" w:rsidRPr="008625DC">
              <w:t>A</w:t>
            </w:r>
            <w:r w:rsidRPr="008625DC">
              <w:t>irport.</w:t>
            </w:r>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p>
          <w:p w14:paraId="6F29567A" w14:textId="17EE24D0" w:rsidR="003F2C99" w:rsidRPr="008625DC" w:rsidRDefault="00B67E4E" w:rsidP="00FB31E5">
            <w:pPr>
              <w:pStyle w:val="Keyfindingtext"/>
            </w:pPr>
            <w:r w:rsidRPr="008625DC">
              <w:t xml:space="preserve">While privatising in </w:t>
            </w:r>
            <w:r w:rsidR="008C7C1B" w:rsidRPr="008625DC">
              <w:t xml:space="preserve">a </w:t>
            </w:r>
            <w:r w:rsidRPr="008625DC">
              <w:t>way that restricts</w:t>
            </w:r>
            <w:r w:rsidR="003F2C99" w:rsidRPr="008625DC">
              <w:t xml:space="preserve"> competition</w:t>
            </w:r>
            <w:r w:rsidRPr="008625DC">
              <w:t xml:space="preserve"> may result in a higher sale price, it comes at the long</w:t>
            </w:r>
            <w:r w:rsidR="00C74E19" w:rsidRPr="008625DC">
              <w:noBreakHyphen/>
            </w:r>
            <w:r w:rsidRPr="008625DC">
              <w:t>term cost of a less competitive market structure</w:t>
            </w:r>
            <w:r w:rsidR="003F2C99" w:rsidRPr="008625DC">
              <w:t>.</w:t>
            </w:r>
          </w:p>
          <w:p w14:paraId="45BAFF8F" w14:textId="75EF5160" w:rsidR="000653E5" w:rsidRPr="008625DC" w:rsidRDefault="000653E5" w:rsidP="00FB31E5">
            <w:pPr>
              <w:pStyle w:val="Keyfindingtext"/>
            </w:pPr>
            <w:r w:rsidRPr="008625DC">
              <w:t xml:space="preserve">The competition in jet fuel supply and </w:t>
            </w:r>
            <w:r w:rsidR="003F2C99" w:rsidRPr="008625DC">
              <w:t>the</w:t>
            </w:r>
            <w:r w:rsidRPr="008625DC">
              <w:t xml:space="preserve"> pricing structure for services provided by Airservices Australia should be a focus of further reform efforts in the sector.</w:t>
            </w:r>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p>
        </w:tc>
      </w:tr>
    </w:tbl>
    <w:p w14:paraId="1E0FC41B" w14:textId="692025C3" w:rsidR="000653E5" w:rsidRPr="008625DC" w:rsidRDefault="005A1353" w:rsidP="00FB084C">
      <w:pPr>
        <w:pStyle w:val="Heading3"/>
      </w:pPr>
      <w:bookmarkStart w:id="21134" w:name="_Toc397413319"/>
      <w:bookmarkStart w:id="21135" w:name="_Toc397413466"/>
      <w:bookmarkStart w:id="21136" w:name="_Toc393985182"/>
      <w:bookmarkStart w:id="21137" w:name="_Toc393985349"/>
      <w:bookmarkStart w:id="21138" w:name="_Toc393985685"/>
      <w:bookmarkStart w:id="21139" w:name="_Toc393985853"/>
      <w:bookmarkStart w:id="21140" w:name="_Toc393986087"/>
      <w:bookmarkStart w:id="21141" w:name="_Toc393986255"/>
      <w:bookmarkStart w:id="21142" w:name="_Toc393986490"/>
      <w:bookmarkStart w:id="21143" w:name="_Toc393988097"/>
      <w:bookmarkStart w:id="21144" w:name="_Toc393988265"/>
      <w:bookmarkStart w:id="21145" w:name="_Toc393988499"/>
      <w:bookmarkStart w:id="21146" w:name="_Toc393988667"/>
      <w:bookmarkStart w:id="21147" w:name="_Toc393986659"/>
      <w:bookmarkStart w:id="21148" w:name="_Toc393989511"/>
      <w:bookmarkStart w:id="21149" w:name="_Toc393989679"/>
      <w:bookmarkStart w:id="21150" w:name="_Toc393988900"/>
      <w:bookmarkStart w:id="21151" w:name="_Toc393989067"/>
      <w:bookmarkStart w:id="21152" w:name="_Toc393990904"/>
      <w:bookmarkStart w:id="21153" w:name="_Toc393991071"/>
      <w:bookmarkStart w:id="21154" w:name="_Toc393991170"/>
      <w:bookmarkStart w:id="21155" w:name="_Toc393991886"/>
      <w:bookmarkStart w:id="21156" w:name="_Toc393992055"/>
      <w:bookmarkStart w:id="21157" w:name="_Toc394047549"/>
      <w:bookmarkStart w:id="21158" w:name="_Toc394047719"/>
      <w:bookmarkStart w:id="21159" w:name="_Toc394047830"/>
      <w:bookmarkStart w:id="21160" w:name="_Toc394048386"/>
      <w:bookmarkStart w:id="21161" w:name="_Toc394049825"/>
      <w:bookmarkStart w:id="21162" w:name="_Toc394049998"/>
      <w:bookmarkStart w:id="21163" w:name="_Toc394051225"/>
      <w:bookmarkStart w:id="21164" w:name="_Toc394051398"/>
      <w:bookmarkStart w:id="21165" w:name="_Toc394062214"/>
      <w:bookmarkStart w:id="21166" w:name="_Toc394062545"/>
      <w:bookmarkStart w:id="21167" w:name="_Toc394069089"/>
      <w:bookmarkStart w:id="21168" w:name="_Toc394069260"/>
      <w:bookmarkStart w:id="21169" w:name="_Toc394071007"/>
      <w:bookmarkStart w:id="21170" w:name="_Toc394071178"/>
      <w:bookmarkStart w:id="21171" w:name="_Toc394312716"/>
      <w:bookmarkStart w:id="21172" w:name="_Toc394330451"/>
      <w:bookmarkStart w:id="21173" w:name="_Toc394330695"/>
      <w:bookmarkStart w:id="21174" w:name="_Toc394331382"/>
      <w:bookmarkStart w:id="21175" w:name="_Toc394330315"/>
      <w:bookmarkStart w:id="21176" w:name="_Toc394333287"/>
      <w:bookmarkStart w:id="21177" w:name="_Toc394333457"/>
      <w:bookmarkStart w:id="21178" w:name="_Toc394332865"/>
      <w:bookmarkStart w:id="21179" w:name="_Toc394333700"/>
      <w:bookmarkStart w:id="21180" w:name="_Toc394333870"/>
      <w:bookmarkStart w:id="21181" w:name="_Toc394334113"/>
      <w:bookmarkStart w:id="21182" w:name="_Toc394334283"/>
      <w:bookmarkStart w:id="21183" w:name="_Toc394334939"/>
      <w:bookmarkStart w:id="21184" w:name="_Toc394335109"/>
      <w:bookmarkStart w:id="21185" w:name="_Toc394415122"/>
      <w:bookmarkStart w:id="21186" w:name="_Toc394415313"/>
      <w:bookmarkStart w:id="21187" w:name="_Toc394412427"/>
      <w:bookmarkStart w:id="21188" w:name="_Toc394412622"/>
      <w:bookmarkStart w:id="21189" w:name="_Toc394420718"/>
      <w:bookmarkStart w:id="21190" w:name="_Toc394420915"/>
      <w:bookmarkStart w:id="21191" w:name="_Toc394421192"/>
      <w:bookmarkStart w:id="21192" w:name="_Toc394423561"/>
      <w:bookmarkStart w:id="21193" w:name="_Toc394423756"/>
      <w:bookmarkStart w:id="21194" w:name="_Toc394420495"/>
      <w:bookmarkStart w:id="21195" w:name="_Toc394422605"/>
      <w:bookmarkStart w:id="21196" w:name="_Toc394422800"/>
      <w:bookmarkStart w:id="21197" w:name="_Toc394423076"/>
      <w:bookmarkStart w:id="21198" w:name="_Toc394423271"/>
      <w:bookmarkStart w:id="21199" w:name="_Toc394424226"/>
      <w:bookmarkStart w:id="21200" w:name="_Toc394424419"/>
      <w:bookmarkStart w:id="21201" w:name="_Toc394492059"/>
      <w:bookmarkStart w:id="21202" w:name="_Toc394492252"/>
      <w:bookmarkStart w:id="21203" w:name="_Toc394495204"/>
      <w:bookmarkStart w:id="21204" w:name="_Toc394495396"/>
      <w:bookmarkStart w:id="21205" w:name="_Toc394498019"/>
      <w:bookmarkStart w:id="21206" w:name="_Toc394498211"/>
      <w:bookmarkStart w:id="21207" w:name="_Toc394500809"/>
      <w:bookmarkStart w:id="21208" w:name="_Toc394501001"/>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r w:rsidRPr="008625DC">
        <w:t xml:space="preserve">Port </w:t>
      </w:r>
      <w:r w:rsidR="00D21D5D" w:rsidRPr="008625DC">
        <w:t>r</w:t>
      </w:r>
      <w:r w:rsidRPr="008625DC">
        <w:t>eform</w:t>
      </w:r>
      <w:bookmarkEnd w:id="21134"/>
      <w:bookmarkEnd w:id="21135"/>
    </w:p>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p w14:paraId="4C8A2328" w14:textId="1C38B7BD" w:rsidR="000653E5" w:rsidRPr="008625DC" w:rsidRDefault="000653E5" w:rsidP="000653E5">
      <w:r w:rsidRPr="008625DC">
        <w:t xml:space="preserve">Port reform has resulted in the corporatisation of ports in all </w:t>
      </w:r>
      <w:r w:rsidR="0046149D" w:rsidRPr="008625DC">
        <w:t>S</w:t>
      </w:r>
      <w:r w:rsidRPr="008625DC">
        <w:t>tates and the Northern Territory. Most major ports have moved to a landlord model, where the authority is involved in provi</w:t>
      </w:r>
      <w:r w:rsidR="008C7C1B" w:rsidRPr="008625DC">
        <w:t>ding</w:t>
      </w:r>
      <w:r w:rsidRPr="008625DC">
        <w:t xml:space="preserve"> core activities only and more contestable elements such as stevedoring, dredging and towage are provided by private contractors.</w:t>
      </w:r>
      <w:r w:rsidR="005027FA" w:rsidRPr="008625DC">
        <w:rPr>
          <w:rStyle w:val="FootnoteReference"/>
        </w:rPr>
        <w:footnoteReference w:id="153"/>
      </w:r>
      <w:r w:rsidRPr="008625DC">
        <w:t xml:space="preserve"> Some ports have been privatised while others remain in government hands.</w:t>
      </w:r>
    </w:p>
    <w:p w14:paraId="0D055327" w14:textId="3FC96744" w:rsidR="00C65524" w:rsidRPr="008625DC" w:rsidRDefault="00C65524" w:rsidP="000653E5">
      <w:r w:rsidRPr="008625DC">
        <w:t>Declaration of harbour towage services was repealed in 2002, as the industry was deemed sufficiently competitive.</w:t>
      </w:r>
    </w:p>
    <w:p w14:paraId="7D3C380F" w14:textId="7086AD76" w:rsidR="00C65524" w:rsidRPr="008625DC" w:rsidRDefault="00C65524" w:rsidP="000653E5">
      <w:r w:rsidRPr="008625DC">
        <w:t xml:space="preserve">Stevedoring activities remain declared services and subject to price monitoring by the ACCC. </w:t>
      </w:r>
      <w:r w:rsidR="000653E5" w:rsidRPr="008625DC">
        <w:t xml:space="preserve">The </w:t>
      </w:r>
      <w:r w:rsidRPr="008625DC">
        <w:t>most recent</w:t>
      </w:r>
      <w:r w:rsidR="000653E5" w:rsidRPr="008625DC">
        <w:t xml:space="preserve"> report </w:t>
      </w:r>
      <w:r w:rsidRPr="008625DC">
        <w:t xml:space="preserve">by the ACCC, </w:t>
      </w:r>
      <w:r w:rsidR="000653E5" w:rsidRPr="008625DC">
        <w:rPr>
          <w:i/>
        </w:rPr>
        <w:t>Container stevedoring monitoring report no.</w:t>
      </w:r>
      <w:r w:rsidR="00F624CD" w:rsidRPr="008625DC">
        <w:rPr>
          <w:i/>
        </w:rPr>
        <w:t xml:space="preserve"> </w:t>
      </w:r>
      <w:r w:rsidRPr="008625DC">
        <w:rPr>
          <w:i/>
        </w:rPr>
        <w:t>1</w:t>
      </w:r>
      <w:r w:rsidR="005027FA" w:rsidRPr="008625DC">
        <w:rPr>
          <w:i/>
        </w:rPr>
        <w:t>5</w:t>
      </w:r>
      <w:r w:rsidRPr="008625DC">
        <w:rPr>
          <w:i/>
        </w:rPr>
        <w:t xml:space="preserve">, </w:t>
      </w:r>
      <w:r w:rsidRPr="008625DC">
        <w:t>highlights that competition in the sector is increasing and that past reform focused on improving productivity has been successful, such that users have benefitted through lower real prices and better service levels</w:t>
      </w:r>
      <w:r w:rsidR="00200CFB" w:rsidRPr="008625DC">
        <w:t xml:space="preserve"> (page viii)</w:t>
      </w:r>
      <w:r w:rsidR="006C26C9" w:rsidRPr="008625DC">
        <w:t>.</w:t>
      </w:r>
    </w:p>
    <w:p w14:paraId="2BAB6A2C" w14:textId="527F8933" w:rsidR="000653E5" w:rsidRPr="008625DC" w:rsidRDefault="00C65524" w:rsidP="00024194">
      <w:pPr>
        <w:spacing w:after="120"/>
      </w:pPr>
      <w:r w:rsidRPr="008625DC">
        <w:t>However, the ACCC notes</w:t>
      </w:r>
      <w:r w:rsidR="000653E5" w:rsidRPr="008625DC">
        <w:rPr>
          <w:i/>
        </w:rPr>
        <w:t xml:space="preserve"> </w:t>
      </w:r>
      <w:r w:rsidR="000653E5" w:rsidRPr="008625DC">
        <w:t xml:space="preserve">that returns in the industry remain persistently high, suggesting more investment in capacity and greater competition may be needed </w:t>
      </w:r>
      <w:r w:rsidR="00200CFB" w:rsidRPr="008625DC">
        <w:t>(page ix)</w:t>
      </w:r>
      <w:r w:rsidR="006C26C9" w:rsidRPr="008625DC">
        <w:t>.</w:t>
      </w:r>
      <w:r w:rsidR="00200CFB" w:rsidRPr="008625DC">
        <w:t xml:space="preserve"> </w:t>
      </w:r>
      <w:r w:rsidR="000653E5" w:rsidRPr="008625DC">
        <w:t xml:space="preserve">This raises the question of whether port authorities are sufficiently considering the need to foster greater competition through making land available for new entrants. New terminals are opening in Brisbane and Sydney and one is in prospect for Melbourne. However, as </w:t>
      </w:r>
      <w:proofErr w:type="gramStart"/>
      <w:r w:rsidR="000653E5" w:rsidRPr="008625DC">
        <w:t>Hutchison Ports Australia</w:t>
      </w:r>
      <w:proofErr w:type="gramEnd"/>
      <w:r w:rsidR="000653E5" w:rsidRPr="008625DC">
        <w:t xml:space="preserve"> note</w:t>
      </w:r>
      <w:r w:rsidR="008C7C1B" w:rsidRPr="008625DC">
        <w:t>s,</w:t>
      </w:r>
      <w:r w:rsidR="000653E5" w:rsidRPr="008625DC">
        <w:t xml:space="preserve"> for its entry to occur:</w:t>
      </w:r>
    </w:p>
    <w:p w14:paraId="6A14E1B0" w14:textId="400F9695" w:rsidR="000653E5" w:rsidRPr="008625DC" w:rsidRDefault="00F624CD" w:rsidP="000653E5">
      <w:pPr>
        <w:pStyle w:val="Quotes"/>
      </w:pPr>
      <w:r w:rsidRPr="008625DC">
        <w:t>[</w:t>
      </w:r>
      <w:r w:rsidR="000653E5" w:rsidRPr="008625DC">
        <w:t>g</w:t>
      </w:r>
      <w:r w:rsidRPr="008625DC">
        <w:t>]</w:t>
      </w:r>
      <w:r w:rsidR="000653E5" w:rsidRPr="008625DC">
        <w:t>overnments had to decide to develop and offer extra land for a new operator and Hutchison needed to submit a winning bid and invest hundreds of millions of dollars</w:t>
      </w:r>
      <w:r w:rsidR="00024194" w:rsidRPr="008625DC">
        <w:t xml:space="preserve"> establishing new terminals. (</w:t>
      </w:r>
      <w:proofErr w:type="gramStart"/>
      <w:r w:rsidR="00024194" w:rsidRPr="008625DC">
        <w:t>page</w:t>
      </w:r>
      <w:proofErr w:type="gramEnd"/>
      <w:r w:rsidR="000653E5" w:rsidRPr="008625DC">
        <w:t xml:space="preserve"> </w:t>
      </w:r>
      <w:r w:rsidR="00200CFB" w:rsidRPr="008625DC">
        <w:t>2</w:t>
      </w:r>
      <w:r w:rsidR="000653E5" w:rsidRPr="008625DC">
        <w:t>)</w:t>
      </w:r>
    </w:p>
    <w:p w14:paraId="30468740" w14:textId="54E996FA" w:rsidR="0076431E" w:rsidRPr="008625DC" w:rsidRDefault="0076431E" w:rsidP="0076431E">
      <w:r w:rsidRPr="008625DC">
        <w:t xml:space="preserve">As with airports, a key issue when privatising ports is ensuring the regulatory regime can sufficiently influence port authority activities to constrain </w:t>
      </w:r>
      <w:r w:rsidR="006C26C9" w:rsidRPr="008625DC">
        <w:t>their</w:t>
      </w:r>
      <w:r w:rsidRPr="008625DC">
        <w:t xml:space="preserve"> monopoly power.</w:t>
      </w:r>
      <w:r w:rsidR="00787DCF" w:rsidRPr="008625DC">
        <w:t xml:space="preserve"> </w:t>
      </w:r>
      <w:r w:rsidRPr="008625DC">
        <w:t xml:space="preserve">While some ports, particularly bulk ports, may have only a few large customers that can exert countervailing power, other ports may have significant market power in the absence of effective regulation. </w:t>
      </w:r>
    </w:p>
    <w:p w14:paraId="1E6EB5E5" w14:textId="1CBF79B2" w:rsidR="0076431E" w:rsidRPr="008625DC" w:rsidRDefault="0076431E" w:rsidP="0076431E">
      <w:r w:rsidRPr="008625DC">
        <w:lastRenderedPageBreak/>
        <w:t>An example of the former is the Hunter Valley coal chain, which brought together 11 coal miners, four rail haulage providers and three terminals to optimise the coal export chain in the Hunter Valley.</w:t>
      </w:r>
      <w:r w:rsidRPr="008625DC">
        <w:rPr>
          <w:rStyle w:val="FootnoteReference"/>
        </w:rPr>
        <w:footnoteReference w:id="154"/>
      </w:r>
      <w:r w:rsidRPr="008625DC">
        <w:t xml:space="preserve"> Most city container ports are likely to fall into the latter category, with neither shipping lines, stevedores nor shippers having the market power and/or the incentive to effectively constrain the port authority or each other.</w:t>
      </w:r>
    </w:p>
    <w:p w14:paraId="739FA474" w14:textId="20A53F48" w:rsidR="00C65524" w:rsidRPr="008625DC" w:rsidRDefault="00C65524" w:rsidP="00024194">
      <w:pPr>
        <w:spacing w:after="120"/>
      </w:pPr>
      <w:r w:rsidRPr="008625DC">
        <w:t>The ACCC also cite</w:t>
      </w:r>
      <w:r w:rsidR="008C7C1B" w:rsidRPr="008625DC">
        <w:t>s</w:t>
      </w:r>
      <w:r w:rsidRPr="008625DC">
        <w:t xml:space="preserve"> anecdotal evidence suggesting ports were being sold or </w:t>
      </w:r>
      <w:r w:rsidR="008C7C1B" w:rsidRPr="008625DC">
        <w:t>considered for sale</w:t>
      </w:r>
      <w:r w:rsidRPr="008625DC">
        <w:t xml:space="preserve"> with restrictions on competition in place to enhance sale p</w:t>
      </w:r>
      <w:r w:rsidR="00D21D5D" w:rsidRPr="008625DC">
        <w:t xml:space="preserve">rices (page </w:t>
      </w:r>
      <w:r w:rsidRPr="008625DC">
        <w:t>37)</w:t>
      </w:r>
      <w:r w:rsidR="008C7C1B" w:rsidRPr="008625DC">
        <w:t>.</w:t>
      </w:r>
      <w:r w:rsidRPr="008625DC">
        <w:t xml:space="preserve"> </w:t>
      </w:r>
      <w:r w:rsidR="008C7C1B" w:rsidRPr="008625DC">
        <w:t xml:space="preserve">The </w:t>
      </w:r>
      <w:r w:rsidR="006C26C9" w:rsidRPr="008625DC">
        <w:t>ACCC</w:t>
      </w:r>
      <w:r w:rsidR="008C7C1B" w:rsidRPr="008625DC">
        <w:t xml:space="preserve"> </w:t>
      </w:r>
      <w:r w:rsidRPr="008625DC">
        <w:t>note</w:t>
      </w:r>
      <w:r w:rsidR="008C7C1B" w:rsidRPr="008625DC">
        <w:t>s</w:t>
      </w:r>
      <w:r w:rsidRPr="008625DC">
        <w:t xml:space="preserve"> that:</w:t>
      </w:r>
    </w:p>
    <w:p w14:paraId="5B92FC75" w14:textId="63501CA4" w:rsidR="00C65524" w:rsidRPr="008625DC" w:rsidRDefault="00C65524" w:rsidP="00C65524">
      <w:pPr>
        <w:pStyle w:val="Quotes"/>
      </w:pPr>
      <w:r w:rsidRPr="008625DC">
        <w:t>Privatisation of port assets can raise issues of efficiency where monopoly rights are conferred by state governments, with no consideration to the prospect for competition and/or the need for economic regulation. This has the potential to result in lost efficiencies and/or higher charges which may be hard to remedy after the assets are sold. (</w:t>
      </w:r>
      <w:r w:rsidR="00086ED1" w:rsidRPr="008625DC">
        <w:t xml:space="preserve">ACCC Submission 1, </w:t>
      </w:r>
      <w:r w:rsidRPr="008625DC">
        <w:t>p</w:t>
      </w:r>
      <w:r w:rsidR="00024194" w:rsidRPr="008625DC">
        <w:t>age</w:t>
      </w:r>
      <w:r w:rsidRPr="008625DC">
        <w:t xml:space="preserve"> 38)</w:t>
      </w:r>
    </w:p>
    <w:p w14:paraId="58A85FA7" w14:textId="57E8A544" w:rsidR="000653E5" w:rsidRPr="008625DC" w:rsidRDefault="000653E5" w:rsidP="000653E5">
      <w:r w:rsidRPr="008625DC">
        <w:t xml:space="preserve">The recent policy focus has largely been around infrastructure provision both at the ports and in the port surrounds rather </w:t>
      </w:r>
      <w:r w:rsidR="006C26C9" w:rsidRPr="008625DC">
        <w:t xml:space="preserve">than </w:t>
      </w:r>
      <w:r w:rsidRPr="008625DC">
        <w:t xml:space="preserve">the regulatory framework. For a port to operate effectively, road and rail links also need to be optimised. </w:t>
      </w:r>
      <w:r w:rsidR="008C7C1B" w:rsidRPr="008625DC">
        <w:t>B</w:t>
      </w:r>
      <w:r w:rsidR="0023009C" w:rsidRPr="008625DC">
        <w:t>etter us</w:t>
      </w:r>
      <w:r w:rsidR="008C7C1B" w:rsidRPr="008625DC">
        <w:t>e of</w:t>
      </w:r>
      <w:r w:rsidR="0023009C" w:rsidRPr="008625DC">
        <w:t xml:space="preserve"> ports</w:t>
      </w:r>
      <w:r w:rsidRPr="008625DC">
        <w:t xml:space="preserve"> </w:t>
      </w:r>
      <w:r w:rsidR="0023009C" w:rsidRPr="008625DC">
        <w:t xml:space="preserve">is linked </w:t>
      </w:r>
      <w:r w:rsidRPr="008625DC">
        <w:t>to</w:t>
      </w:r>
      <w:r w:rsidR="0023009C" w:rsidRPr="008625DC">
        <w:t xml:space="preserve"> improvements in</w:t>
      </w:r>
      <w:r w:rsidRPr="008625DC">
        <w:t xml:space="preserve"> land use planning as well as pricing for other transport modes.</w:t>
      </w:r>
      <w:r w:rsidRPr="008625DC">
        <w:rPr>
          <w:rStyle w:val="FootnoteReference"/>
        </w:rPr>
        <w:footnoteReference w:id="155"/>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1160E413" w14:textId="77777777" w:rsidTr="00FB31E5">
        <w:tc>
          <w:tcPr>
            <w:tcW w:w="5000" w:type="pct"/>
            <w:shd w:val="clear" w:color="auto" w:fill="FFFFFF" w:themeFill="background1"/>
          </w:tcPr>
          <w:p w14:paraId="4E6A71E5" w14:textId="45E4BA0D" w:rsidR="000653E5" w:rsidRPr="008625DC" w:rsidRDefault="000653E5" w:rsidP="00FB31E5">
            <w:pPr>
              <w:pStyle w:val="Keyfindingheading"/>
            </w:pPr>
            <w:r w:rsidRPr="008625DC">
              <w:t>The Panel</w:t>
            </w:r>
            <w:r w:rsidR="00C74E19" w:rsidRPr="008625DC">
              <w:t>’</w:t>
            </w:r>
            <w:r w:rsidRPr="008625DC">
              <w:t>s view</w:t>
            </w:r>
          </w:p>
          <w:p w14:paraId="0937716E" w14:textId="7378C4D7" w:rsidR="0076431E" w:rsidRPr="008625DC" w:rsidRDefault="000653E5" w:rsidP="00FB31E5">
            <w:pPr>
              <w:pStyle w:val="Keyfindingtext"/>
            </w:pPr>
            <w:bookmarkStart w:id="21209" w:name="_Toc395090431"/>
            <w:bookmarkStart w:id="21210" w:name="_Toc395093015"/>
            <w:bookmarkStart w:id="21211" w:name="_Toc395097926"/>
            <w:bookmarkStart w:id="21212" w:name="_Toc395106106"/>
            <w:bookmarkStart w:id="21213" w:name="_Toc395110074"/>
            <w:bookmarkStart w:id="21214" w:name="_Toc395112076"/>
            <w:bookmarkStart w:id="21215" w:name="_Toc395107216"/>
            <w:bookmarkStart w:id="21216" w:name="_Toc395108779"/>
            <w:bookmarkStart w:id="21217" w:name="_Toc395114019"/>
            <w:bookmarkStart w:id="21218" w:name="_Toc395116756"/>
            <w:bookmarkStart w:id="21219" w:name="_Toc395112693"/>
            <w:bookmarkStart w:id="21220" w:name="_Toc395115233"/>
            <w:bookmarkStart w:id="21221" w:name="_Toc395118386"/>
            <w:bookmarkStart w:id="21222" w:name="_Toc395624579"/>
            <w:bookmarkStart w:id="21223" w:name="_Toc395789931"/>
            <w:bookmarkStart w:id="21224" w:name="_Toc395800688"/>
            <w:r w:rsidRPr="008625DC">
              <w:t xml:space="preserve">Significant reform of </w:t>
            </w:r>
            <w:r w:rsidR="0023009C" w:rsidRPr="008625DC">
              <w:t>p</w:t>
            </w:r>
            <w:r w:rsidRPr="008625DC">
              <w:t>orts has been achieve</w:t>
            </w:r>
            <w:r w:rsidR="003F2C99" w:rsidRPr="008625DC">
              <w:t xml:space="preserve">d, which has benefited users. </w:t>
            </w:r>
            <w:r w:rsidRPr="008625DC">
              <w:t xml:space="preserve">Nonetheless, various participants in many of the port services chains have significant market power. Regulators and regulatory frameworks need to </w:t>
            </w:r>
            <w:r w:rsidR="008C7C1B" w:rsidRPr="008625DC">
              <w:t>recognise</w:t>
            </w:r>
            <w:r w:rsidRPr="008625DC">
              <w:t xml:space="preserve"> this</w:t>
            </w:r>
            <w:r w:rsidR="00782D64" w:rsidRPr="008625DC">
              <w:t>, including through the application of pricing oversight and</w:t>
            </w:r>
            <w:r w:rsidR="00835E96" w:rsidRPr="008625DC">
              <w:t>,</w:t>
            </w:r>
            <w:r w:rsidR="00782D64" w:rsidRPr="008625DC">
              <w:t xml:space="preserve"> if necessary</w:t>
            </w:r>
            <w:r w:rsidR="00835E96" w:rsidRPr="008625DC">
              <w:t>,</w:t>
            </w:r>
            <w:r w:rsidR="00782D64" w:rsidRPr="008625DC">
              <w:t xml:space="preserve"> price regulation</w:t>
            </w:r>
            <w:r w:rsidRPr="008625DC">
              <w:t>.</w:t>
            </w:r>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r w:rsidR="0076431E" w:rsidRPr="008625DC">
              <w:t xml:space="preserve"> </w:t>
            </w:r>
          </w:p>
          <w:p w14:paraId="6FA112F3" w14:textId="4CFD8D0C" w:rsidR="000653E5" w:rsidRPr="008625DC" w:rsidRDefault="00782D64" w:rsidP="00FB31E5">
            <w:pPr>
              <w:pStyle w:val="Keyfindingtext"/>
            </w:pPr>
            <w:r w:rsidRPr="008625DC">
              <w:t xml:space="preserve">Leasing costs at ports </w:t>
            </w:r>
            <w:r w:rsidR="0076431E" w:rsidRPr="008625DC">
              <w:t>subject to price regulation</w:t>
            </w:r>
            <w:r w:rsidRPr="008625DC">
              <w:t xml:space="preserve"> should aim to reflect the opportunity cost </w:t>
            </w:r>
            <w:r w:rsidR="008C7C1B" w:rsidRPr="008625DC">
              <w:t>of</w:t>
            </w:r>
            <w:r w:rsidRPr="008625DC">
              <w:t xml:space="preserve"> the land and not the ability to extract monopoly rents. The latter represents an inefficient tax on </w:t>
            </w:r>
            <w:r w:rsidR="001D13F0" w:rsidRPr="008625DC">
              <w:t>consumers and business.</w:t>
            </w:r>
          </w:p>
        </w:tc>
      </w:tr>
    </w:tbl>
    <w:p w14:paraId="3B2F8023" w14:textId="05B4A159" w:rsidR="005A1353" w:rsidRPr="008625DC" w:rsidRDefault="00F31252" w:rsidP="00FB084C">
      <w:pPr>
        <w:pStyle w:val="Heading3"/>
      </w:pPr>
      <w:r w:rsidRPr="008625DC">
        <w:t>Cabotage (coastal shipping and aviation)</w:t>
      </w:r>
    </w:p>
    <w:p w14:paraId="28539EB3" w14:textId="77AE89E0" w:rsidR="005A1353" w:rsidRPr="008625DC" w:rsidRDefault="005A1353" w:rsidP="005A1353">
      <w:r w:rsidRPr="008625DC">
        <w:t>Australia has a policy of reserving coastal shipping for locally flagged vessels, though foreign</w:t>
      </w:r>
      <w:r w:rsidR="00C74E19" w:rsidRPr="008625DC">
        <w:noBreakHyphen/>
      </w:r>
      <w:r w:rsidRPr="008625DC">
        <w:t>flagged ships may carry cargo and passengers between Australian ports after being license</w:t>
      </w:r>
      <w:r w:rsidR="008C7C1B" w:rsidRPr="008625DC">
        <w:t>d</w:t>
      </w:r>
      <w:r w:rsidRPr="008625DC">
        <w:t xml:space="preserve"> to do so.</w:t>
      </w:r>
    </w:p>
    <w:p w14:paraId="2AFC06A8" w14:textId="13B92592" w:rsidR="005A1353" w:rsidRPr="008625DC" w:rsidRDefault="005A1353" w:rsidP="005A1353">
      <w:r w:rsidRPr="008625DC">
        <w:t xml:space="preserve">Significant changes were made to the process of licensing foreign vessels </w:t>
      </w:r>
      <w:r w:rsidR="00B23491" w:rsidRPr="008625DC">
        <w:t>under</w:t>
      </w:r>
      <w:r w:rsidRPr="008625DC">
        <w:t xml:space="preserve"> the </w:t>
      </w:r>
      <w:r w:rsidRPr="008625DC">
        <w:rPr>
          <w:i/>
        </w:rPr>
        <w:t>Coastal Trading (Revitalising Australian</w:t>
      </w:r>
      <w:r w:rsidRPr="008625DC">
        <w:t xml:space="preserve"> </w:t>
      </w:r>
      <w:r w:rsidRPr="008625DC">
        <w:rPr>
          <w:i/>
        </w:rPr>
        <w:t>Shipping) Act 2012</w:t>
      </w:r>
      <w:r w:rsidRPr="008625DC">
        <w:t>.</w:t>
      </w:r>
    </w:p>
    <w:p w14:paraId="21981567" w14:textId="6B724396" w:rsidR="005A1353" w:rsidRPr="008625DC" w:rsidRDefault="005A1353" w:rsidP="005A1353">
      <w:r w:rsidRPr="008625DC">
        <w:t>The licens</w:t>
      </w:r>
      <w:r w:rsidR="008C7C1B" w:rsidRPr="008625DC">
        <w:t>ing</w:t>
      </w:r>
      <w:r w:rsidRPr="008625DC">
        <w:t xml:space="preserve"> process is intended to allow Australian ships the opportunity to </w:t>
      </w:r>
      <w:r w:rsidR="00D21B63" w:rsidRPr="008625DC">
        <w:t>argue</w:t>
      </w:r>
      <w:r w:rsidRPr="008625DC">
        <w:t xml:space="preserve"> that they are in a position to undertake voyages proposed to be undertaken by foreign vessels. This </w:t>
      </w:r>
      <w:r w:rsidR="00D21B63" w:rsidRPr="008625DC">
        <w:t>represents</w:t>
      </w:r>
      <w:r w:rsidRPr="008625DC">
        <w:t xml:space="preserve"> a form of protection </w:t>
      </w:r>
      <w:r w:rsidR="00D21B63" w:rsidRPr="008625DC">
        <w:t>of</w:t>
      </w:r>
      <w:r w:rsidRPr="008625DC">
        <w:t xml:space="preserve"> Australian</w:t>
      </w:r>
      <w:r w:rsidR="00C74E19" w:rsidRPr="008625DC">
        <w:noBreakHyphen/>
      </w:r>
      <w:r w:rsidRPr="008625DC">
        <w:t>registered ships.</w:t>
      </w:r>
    </w:p>
    <w:p w14:paraId="08C492C5" w14:textId="6E7D009E" w:rsidR="00B67E4E" w:rsidRPr="008625DC" w:rsidRDefault="005A1353" w:rsidP="00024194">
      <w:r w:rsidRPr="008625DC">
        <w:t>The Government announced separate departmental</w:t>
      </w:r>
      <w:r w:rsidR="00C74E19" w:rsidRPr="008625DC">
        <w:noBreakHyphen/>
      </w:r>
      <w:r w:rsidRPr="008625DC">
        <w:t>led consultations on coastal shipping regulation on 8 April 2014.</w:t>
      </w:r>
      <w:r w:rsidRPr="008625DC">
        <w:rPr>
          <w:rStyle w:val="FootnoteReference"/>
        </w:rPr>
        <w:footnoteReference w:id="156"/>
      </w:r>
      <w:r w:rsidRPr="008625DC">
        <w:t xml:space="preserve"> </w:t>
      </w:r>
      <w:bookmarkStart w:id="21225" w:name="_Toc395106103"/>
      <w:bookmarkStart w:id="21226" w:name="_Toc395110071"/>
      <w:bookmarkStart w:id="21227" w:name="_Toc395112073"/>
      <w:bookmarkStart w:id="21228" w:name="_Toc395107213"/>
      <w:bookmarkStart w:id="21229" w:name="_Toc395108776"/>
      <w:bookmarkStart w:id="21230" w:name="_Toc395114016"/>
      <w:bookmarkStart w:id="21231" w:name="_Toc395116753"/>
      <w:bookmarkStart w:id="21232" w:name="_Toc395112690"/>
      <w:bookmarkStart w:id="21233" w:name="_Toc395115230"/>
      <w:bookmarkStart w:id="21234" w:name="_Toc395118383"/>
      <w:bookmarkStart w:id="21235" w:name="_Toc395178088"/>
      <w:r w:rsidR="00B67E4E" w:rsidRPr="008625DC">
        <w:t>In view of the separate Government process to consider possible reforms to coastal shipping</w:t>
      </w:r>
      <w:r w:rsidR="00D21B63" w:rsidRPr="008625DC">
        <w:t>,</w:t>
      </w:r>
      <w:r w:rsidR="00B67E4E" w:rsidRPr="008625DC">
        <w:t xml:space="preserve"> the </w:t>
      </w:r>
      <w:r w:rsidR="00575A09" w:rsidRPr="008625DC">
        <w:t>Panel</w:t>
      </w:r>
      <w:r w:rsidR="00B67E4E" w:rsidRPr="008625DC">
        <w:t xml:space="preserve"> has not examined th</w:t>
      </w:r>
      <w:r w:rsidR="00D21B63" w:rsidRPr="008625DC">
        <w:t>is</w:t>
      </w:r>
      <w:r w:rsidR="00B67E4E" w:rsidRPr="008625DC">
        <w:t xml:space="preserve"> issue in detail.</w:t>
      </w:r>
      <w:bookmarkEnd w:id="21225"/>
      <w:bookmarkEnd w:id="21226"/>
      <w:bookmarkEnd w:id="21227"/>
      <w:bookmarkEnd w:id="21228"/>
      <w:bookmarkEnd w:id="21229"/>
      <w:bookmarkEnd w:id="21230"/>
      <w:bookmarkEnd w:id="21231"/>
      <w:bookmarkEnd w:id="21232"/>
      <w:bookmarkEnd w:id="21233"/>
      <w:bookmarkEnd w:id="21234"/>
      <w:bookmarkEnd w:id="21235"/>
    </w:p>
    <w:p w14:paraId="30E901C1" w14:textId="14EE8259" w:rsidR="00F87805" w:rsidRPr="008625DC" w:rsidRDefault="00F87805" w:rsidP="00024194">
      <w:r w:rsidRPr="008625DC">
        <w:lastRenderedPageBreak/>
        <w:t xml:space="preserve">However, the </w:t>
      </w:r>
      <w:r w:rsidR="00B51D87" w:rsidRPr="008625DC">
        <w:t>Panel</w:t>
      </w:r>
      <w:r w:rsidRPr="008625DC">
        <w:t xml:space="preserve"> has received many submissions </w:t>
      </w:r>
      <w:r w:rsidR="00D21B63" w:rsidRPr="008625DC">
        <w:t xml:space="preserve">arguing </w:t>
      </w:r>
      <w:r w:rsidRPr="008625DC">
        <w:t xml:space="preserve">that changes made under </w:t>
      </w:r>
      <w:r w:rsidRPr="008625DC">
        <w:rPr>
          <w:i/>
        </w:rPr>
        <w:t>Coastal Trading (Revitalising Australian</w:t>
      </w:r>
      <w:r w:rsidRPr="008625DC">
        <w:t xml:space="preserve"> </w:t>
      </w:r>
      <w:r w:rsidRPr="008625DC">
        <w:rPr>
          <w:i/>
        </w:rPr>
        <w:t xml:space="preserve">Shipping) Act 2012 </w:t>
      </w:r>
      <w:r w:rsidRPr="008625DC">
        <w:t>have raised the cost and administrative complexity of coastal shipping regulation without improving its service or provision.</w:t>
      </w:r>
    </w:p>
    <w:p w14:paraId="414EE5CE" w14:textId="47B5ADEB" w:rsidR="00F87805" w:rsidRPr="008625DC" w:rsidRDefault="00F87805" w:rsidP="00024194">
      <w:pPr>
        <w:spacing w:after="120"/>
      </w:pPr>
      <w:r w:rsidRPr="008625DC">
        <w:t>This is highlighted by the Tasmanian Farmers and Graziers Association that note</w:t>
      </w:r>
      <w:r w:rsidR="00D21B63" w:rsidRPr="008625DC">
        <w:t>s</w:t>
      </w:r>
      <w:r w:rsidRPr="008625DC">
        <w:t>:</w:t>
      </w:r>
    </w:p>
    <w:p w14:paraId="1398883E" w14:textId="070531EE" w:rsidR="00F87805" w:rsidRPr="008625DC" w:rsidRDefault="00C81354" w:rsidP="00024194">
      <w:pPr>
        <w:pStyle w:val="Quotes"/>
        <w:spacing w:after="120"/>
      </w:pPr>
      <w:r w:rsidRPr="008625DC">
        <w:t>[</w:t>
      </w:r>
      <w:r w:rsidR="00F87805" w:rsidRPr="008625DC">
        <w:t>o</w:t>
      </w:r>
      <w:r w:rsidRPr="008625DC">
        <w:t>]</w:t>
      </w:r>
      <w:r w:rsidR="00F87805" w:rsidRPr="008625DC">
        <w:t>ne of the key regulatory impediments in Tasmania is the lack of competition and demarcations surrounding coastal shipping.</w:t>
      </w:r>
    </w:p>
    <w:p w14:paraId="6279D700" w14:textId="312E9D93" w:rsidR="005A1353" w:rsidRPr="008625DC" w:rsidRDefault="00024194" w:rsidP="00F87805">
      <w:pPr>
        <w:pStyle w:val="Quotes"/>
      </w:pPr>
      <w:r w:rsidRPr="008625DC">
        <w:t>T</w:t>
      </w:r>
      <w:r w:rsidR="00F87805" w:rsidRPr="008625DC">
        <w:t>hese onerous regulations result in the 420 km distance across Bass Strait being the most expensive sea transport route in the world.</w:t>
      </w:r>
      <w:r w:rsidR="00200CFB" w:rsidRPr="008625DC">
        <w:t xml:space="preserve"> (</w:t>
      </w:r>
      <w:proofErr w:type="gramStart"/>
      <w:r w:rsidR="00200CFB" w:rsidRPr="008625DC">
        <w:t>page</w:t>
      </w:r>
      <w:proofErr w:type="gramEnd"/>
      <w:r w:rsidR="00200CFB" w:rsidRPr="008625DC">
        <w:t xml:space="preserve"> 8)</w:t>
      </w:r>
    </w:p>
    <w:p w14:paraId="6D0616B2" w14:textId="0F34B5D4" w:rsidR="00290837" w:rsidRPr="008625DC" w:rsidRDefault="00290837" w:rsidP="00290837">
      <w:r w:rsidRPr="008625DC">
        <w:t xml:space="preserve">Similar to coastal shipping, Australia also prevents international airlines from picking up domestic passengers on a domestic leg of an international flight. </w:t>
      </w:r>
      <w:r w:rsidR="00EB04AA" w:rsidRPr="008625DC">
        <w:t>While not raised in submissions, the Panel did receive representations in its visit to Darwin that avia</w:t>
      </w:r>
      <w:r w:rsidR="00D17458" w:rsidRPr="008625DC">
        <w:t xml:space="preserve">tion cabotage prevented </w:t>
      </w:r>
      <w:r w:rsidR="00063E48" w:rsidRPr="008625DC">
        <w:t xml:space="preserve">domestic passengers </w:t>
      </w:r>
      <w:r w:rsidR="00D17458" w:rsidRPr="008625DC">
        <w:t>from being able to be embarked on international fli</w:t>
      </w:r>
      <w:r w:rsidRPr="008625DC">
        <w:t>ghts transiting through Darwin. For example, a flight originating in Malaysia and travelling to Darwin and then on to Sydney cannot embark passengers for the Darwin to Sydney leg.</w:t>
      </w:r>
    </w:p>
    <w:p w14:paraId="09CCC227" w14:textId="7A39DB82" w:rsidR="00EB04AA" w:rsidRPr="008625DC" w:rsidRDefault="00A27EF5" w:rsidP="00EB04AA">
      <w:r w:rsidRPr="008625DC">
        <w:t>The Panel consider</w:t>
      </w:r>
      <w:r w:rsidR="00A442EC" w:rsidRPr="008625DC">
        <w:t>s</w:t>
      </w:r>
      <w:r w:rsidRPr="008625DC">
        <w:t xml:space="preserve"> there is likely to be considerable benefits flowing from the removal of air cabotage restrictions on remote and poorly served </w:t>
      </w:r>
      <w:r w:rsidR="00A442EC" w:rsidRPr="008625DC">
        <w:t xml:space="preserve">domestic </w:t>
      </w:r>
      <w:r w:rsidRPr="008625DC">
        <w:t>routes and the current blanket air cabotage restrictions are inefficient.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5A1353" w:rsidRPr="008625DC" w14:paraId="5C752126" w14:textId="77777777" w:rsidTr="005A1353">
        <w:tc>
          <w:tcPr>
            <w:tcW w:w="5000" w:type="pct"/>
            <w:shd w:val="clear" w:color="auto" w:fill="FFFFFF" w:themeFill="background1"/>
          </w:tcPr>
          <w:p w14:paraId="7739F8E2" w14:textId="3EFBAFDA" w:rsidR="005A1353" w:rsidRPr="008625DC" w:rsidRDefault="005A1353" w:rsidP="005A1353">
            <w:pPr>
              <w:pStyle w:val="Keyfindingheading"/>
            </w:pPr>
            <w:r w:rsidRPr="008625DC">
              <w:t>The Panel</w:t>
            </w:r>
            <w:r w:rsidR="00C74E19" w:rsidRPr="008625DC">
              <w:t>’</w:t>
            </w:r>
            <w:r w:rsidRPr="008625DC">
              <w:t>s view</w:t>
            </w:r>
          </w:p>
          <w:p w14:paraId="18FEDD7A" w14:textId="168095C7" w:rsidR="005A1353" w:rsidRPr="008625DC" w:rsidRDefault="00835E96" w:rsidP="005A1353">
            <w:pPr>
              <w:pStyle w:val="Keyfindingtext"/>
            </w:pPr>
            <w:bookmarkStart w:id="21236" w:name="_Toc395106104"/>
            <w:bookmarkStart w:id="21237" w:name="_Toc395110072"/>
            <w:bookmarkStart w:id="21238" w:name="_Toc395112074"/>
            <w:bookmarkStart w:id="21239" w:name="_Toc395107214"/>
            <w:bookmarkStart w:id="21240" w:name="_Toc395108777"/>
            <w:bookmarkStart w:id="21241" w:name="_Toc395114017"/>
            <w:bookmarkStart w:id="21242" w:name="_Toc395116754"/>
            <w:bookmarkStart w:id="21243" w:name="_Toc395112691"/>
            <w:bookmarkStart w:id="21244" w:name="_Toc395115231"/>
            <w:bookmarkStart w:id="21245" w:name="_Toc395118384"/>
            <w:bookmarkStart w:id="21246" w:name="_Toc395178089"/>
            <w:r w:rsidRPr="008625DC">
              <w:t>T</w:t>
            </w:r>
            <w:r w:rsidR="00B67E4E" w:rsidRPr="008625DC">
              <w:t>he Panel</w:t>
            </w:r>
            <w:r w:rsidR="00F87805" w:rsidRPr="008625DC">
              <w:t xml:space="preserve"> </w:t>
            </w:r>
            <w:r w:rsidR="005A1353" w:rsidRPr="008625DC">
              <w:t xml:space="preserve">considers that reform of coastal shipping </w:t>
            </w:r>
            <w:r w:rsidR="00F87805" w:rsidRPr="008625DC">
              <w:t xml:space="preserve">regulation </w:t>
            </w:r>
            <w:r w:rsidR="005A1353" w:rsidRPr="008625DC">
              <w:t xml:space="preserve">should be </w:t>
            </w:r>
            <w:r w:rsidR="00F87805" w:rsidRPr="008625DC">
              <w:t>a priority</w:t>
            </w:r>
            <w:r w:rsidR="005A1353" w:rsidRPr="008625DC">
              <w:t>.</w:t>
            </w:r>
          </w:p>
          <w:p w14:paraId="143C4518" w14:textId="45E49F1E" w:rsidR="00D21B63" w:rsidRPr="008625DC" w:rsidRDefault="00AD58A2" w:rsidP="00D21B63">
            <w:pPr>
              <w:pStyle w:val="Keyfindingtext"/>
            </w:pPr>
            <w:bookmarkStart w:id="21247" w:name="_Toc395106105"/>
            <w:bookmarkStart w:id="21248" w:name="_Toc395110073"/>
            <w:bookmarkStart w:id="21249" w:name="_Toc395112075"/>
            <w:bookmarkStart w:id="21250" w:name="_Toc395107215"/>
            <w:bookmarkStart w:id="21251" w:name="_Toc395108778"/>
            <w:bookmarkStart w:id="21252" w:name="_Toc395114018"/>
            <w:bookmarkStart w:id="21253" w:name="_Toc395116755"/>
            <w:bookmarkStart w:id="21254" w:name="_Toc395112692"/>
            <w:bookmarkStart w:id="21255" w:name="_Toc395115232"/>
            <w:bookmarkStart w:id="21256" w:name="_Toc395118385"/>
            <w:bookmarkStart w:id="21257" w:name="_Toc395178090"/>
            <w:bookmarkEnd w:id="21236"/>
            <w:bookmarkEnd w:id="21237"/>
            <w:bookmarkEnd w:id="21238"/>
            <w:bookmarkEnd w:id="21239"/>
            <w:bookmarkEnd w:id="21240"/>
            <w:bookmarkEnd w:id="21241"/>
            <w:bookmarkEnd w:id="21242"/>
            <w:bookmarkEnd w:id="21243"/>
            <w:bookmarkEnd w:id="21244"/>
            <w:bookmarkEnd w:id="21245"/>
            <w:bookmarkEnd w:id="21246"/>
            <w:r w:rsidRPr="008625DC">
              <w:t xml:space="preserve">Consistent with the approach the Panel recommends for other </w:t>
            </w:r>
            <w:r w:rsidR="00835E96" w:rsidRPr="008625DC">
              <w:t xml:space="preserve">regulatory </w:t>
            </w:r>
            <w:r w:rsidRPr="008625DC">
              <w:t xml:space="preserve">reviews, the Panel considers </w:t>
            </w:r>
            <w:r w:rsidR="00D21B63" w:rsidRPr="008625DC">
              <w:t xml:space="preserve">that </w:t>
            </w:r>
            <w:r w:rsidRPr="008625DC">
              <w:t xml:space="preserve">restrictions on cabotage </w:t>
            </w:r>
            <w:r w:rsidR="00A442EC" w:rsidRPr="008625DC">
              <w:t>for shipping and aviation</w:t>
            </w:r>
            <w:r w:rsidRPr="008625DC">
              <w:t xml:space="preserve"> should be removed</w:t>
            </w:r>
            <w:r w:rsidR="00F87805" w:rsidRPr="008625DC">
              <w:t xml:space="preserve"> unless they can be shown to </w:t>
            </w:r>
            <w:r w:rsidRPr="008625DC">
              <w:t xml:space="preserve">produce </w:t>
            </w:r>
            <w:r w:rsidR="00F87805" w:rsidRPr="008625DC">
              <w:t xml:space="preserve">outcomes that are in the </w:t>
            </w:r>
            <w:r w:rsidRPr="008625DC">
              <w:t>public interest and those ou</w:t>
            </w:r>
            <w:r w:rsidR="00F87805" w:rsidRPr="008625DC">
              <w:t xml:space="preserve">tcomes can only be achieved by </w:t>
            </w:r>
            <w:r w:rsidRPr="008625DC">
              <w:t>restricting competition.</w:t>
            </w:r>
            <w:bookmarkEnd w:id="21247"/>
            <w:bookmarkEnd w:id="21248"/>
            <w:bookmarkEnd w:id="21249"/>
            <w:bookmarkEnd w:id="21250"/>
            <w:bookmarkEnd w:id="21251"/>
            <w:bookmarkEnd w:id="21252"/>
            <w:bookmarkEnd w:id="21253"/>
            <w:bookmarkEnd w:id="21254"/>
            <w:bookmarkEnd w:id="21255"/>
            <w:bookmarkEnd w:id="21256"/>
            <w:bookmarkEnd w:id="21257"/>
          </w:p>
          <w:p w14:paraId="04E4E6C1" w14:textId="6BE9896B" w:rsidR="005A1353" w:rsidRPr="008625DC" w:rsidRDefault="00AD0AA5" w:rsidP="00AD0AA5">
            <w:pPr>
              <w:pStyle w:val="Keyfindingtext"/>
            </w:pPr>
            <w:r w:rsidRPr="008625DC">
              <w:t>This approach should guide the current Government consultation process</w:t>
            </w:r>
            <w:r w:rsidR="00A442EC" w:rsidRPr="008625DC">
              <w:t xml:space="preserve"> in relation to coastal shipping</w:t>
            </w:r>
            <w:r w:rsidRPr="008625DC">
              <w:t xml:space="preserve">. </w:t>
            </w:r>
          </w:p>
        </w:tc>
      </w:tr>
    </w:tbl>
    <w:p w14:paraId="07FBBA66" w14:textId="5FC72E19" w:rsidR="000653E5" w:rsidRPr="008625DC" w:rsidRDefault="00024194" w:rsidP="00FB084C">
      <w:pPr>
        <w:pStyle w:val="Heading3"/>
      </w:pPr>
      <w:bookmarkStart w:id="21258" w:name="_Toc397413321"/>
      <w:bookmarkStart w:id="21259" w:name="_Toc397413468"/>
      <w:bookmarkStart w:id="21260" w:name="_Toc393985187"/>
      <w:bookmarkStart w:id="21261" w:name="_Toc393985352"/>
      <w:bookmarkStart w:id="21262" w:name="_Toc393985690"/>
      <w:bookmarkStart w:id="21263" w:name="_Toc393985856"/>
      <w:bookmarkStart w:id="21264" w:name="_Toc393986092"/>
      <w:bookmarkStart w:id="21265" w:name="_Toc393986258"/>
      <w:bookmarkStart w:id="21266" w:name="_Toc393986495"/>
      <w:bookmarkStart w:id="21267" w:name="_Toc393988102"/>
      <w:bookmarkStart w:id="21268" w:name="_Toc393988268"/>
      <w:bookmarkStart w:id="21269" w:name="_Toc393988504"/>
      <w:bookmarkStart w:id="21270" w:name="_Toc393988670"/>
      <w:bookmarkStart w:id="21271" w:name="_Toc393986662"/>
      <w:bookmarkStart w:id="21272" w:name="_Toc393989516"/>
      <w:bookmarkStart w:id="21273" w:name="_Toc393989682"/>
      <w:bookmarkStart w:id="21274" w:name="_Toc393988905"/>
      <w:bookmarkStart w:id="21275" w:name="_Toc393989070"/>
      <w:bookmarkStart w:id="21276" w:name="_Toc393990909"/>
      <w:bookmarkStart w:id="21277" w:name="_Toc393991074"/>
      <w:bookmarkStart w:id="21278" w:name="_Toc393991173"/>
      <w:bookmarkStart w:id="21279" w:name="_Toc393991891"/>
      <w:bookmarkStart w:id="21280" w:name="_Toc393992058"/>
      <w:bookmarkStart w:id="21281" w:name="_Toc394047554"/>
      <w:bookmarkStart w:id="21282" w:name="_Toc394047722"/>
      <w:bookmarkStart w:id="21283" w:name="_Toc394047833"/>
      <w:bookmarkStart w:id="21284" w:name="_Toc394048389"/>
      <w:bookmarkStart w:id="21285" w:name="_Toc394049830"/>
      <w:bookmarkStart w:id="21286" w:name="_Toc394050001"/>
      <w:bookmarkStart w:id="21287" w:name="_Toc394051230"/>
      <w:bookmarkStart w:id="21288" w:name="_Toc394051401"/>
      <w:bookmarkStart w:id="21289" w:name="_Toc394062219"/>
      <w:bookmarkStart w:id="21290" w:name="_Toc394062548"/>
      <w:bookmarkStart w:id="21291" w:name="_Toc394069094"/>
      <w:bookmarkStart w:id="21292" w:name="_Toc394069263"/>
      <w:bookmarkStart w:id="21293" w:name="_Toc394071012"/>
      <w:bookmarkStart w:id="21294" w:name="_Toc394071181"/>
      <w:bookmarkStart w:id="21295" w:name="_Toc394312721"/>
      <w:bookmarkStart w:id="21296" w:name="_Toc394330454"/>
      <w:bookmarkStart w:id="21297" w:name="_Toc394330700"/>
      <w:bookmarkStart w:id="21298" w:name="_Toc394331385"/>
      <w:bookmarkStart w:id="21299" w:name="_Toc394330320"/>
      <w:bookmarkStart w:id="21300" w:name="_Toc394333292"/>
      <w:bookmarkStart w:id="21301" w:name="_Toc394333460"/>
      <w:bookmarkStart w:id="21302" w:name="_Toc394332870"/>
      <w:bookmarkStart w:id="21303" w:name="_Toc394333705"/>
      <w:bookmarkStart w:id="21304" w:name="_Toc394333873"/>
      <w:bookmarkStart w:id="21305" w:name="_Toc394334118"/>
      <w:bookmarkStart w:id="21306" w:name="_Toc394334286"/>
      <w:bookmarkStart w:id="21307" w:name="_Toc394334944"/>
      <w:bookmarkStart w:id="21308" w:name="_Toc394335112"/>
      <w:bookmarkStart w:id="21309" w:name="_Toc394415127"/>
      <w:bookmarkStart w:id="21310" w:name="_Toc394415316"/>
      <w:bookmarkStart w:id="21311" w:name="_Toc394412432"/>
      <w:bookmarkStart w:id="21312" w:name="_Toc394412625"/>
      <w:bookmarkStart w:id="21313" w:name="_Toc394420723"/>
      <w:bookmarkStart w:id="21314" w:name="_Toc394420918"/>
      <w:bookmarkStart w:id="21315" w:name="_Toc394421197"/>
      <w:bookmarkStart w:id="21316" w:name="_Toc394423566"/>
      <w:bookmarkStart w:id="21317" w:name="_Toc394423759"/>
      <w:bookmarkStart w:id="21318" w:name="_Toc394420500"/>
      <w:bookmarkStart w:id="21319" w:name="_Toc394422610"/>
      <w:bookmarkStart w:id="21320" w:name="_Toc394422803"/>
      <w:bookmarkStart w:id="21321" w:name="_Toc394423081"/>
      <w:bookmarkStart w:id="21322" w:name="_Toc394423274"/>
      <w:bookmarkStart w:id="21323" w:name="_Toc394424231"/>
      <w:bookmarkStart w:id="21324" w:name="_Toc394424422"/>
      <w:bookmarkStart w:id="21325" w:name="_Toc394492064"/>
      <w:bookmarkStart w:id="21326" w:name="_Toc394492255"/>
      <w:bookmarkStart w:id="21327" w:name="_Toc394495209"/>
      <w:bookmarkStart w:id="21328" w:name="_Toc394495399"/>
      <w:bookmarkStart w:id="21329" w:name="_Toc394498024"/>
      <w:bookmarkStart w:id="21330" w:name="_Toc394498214"/>
      <w:bookmarkStart w:id="21331" w:name="_Toc394500814"/>
      <w:bookmarkStart w:id="21332" w:name="_Toc394501004"/>
      <w:r w:rsidRPr="008625DC">
        <w:t>Rail f</w:t>
      </w:r>
      <w:r w:rsidR="00A919CF" w:rsidRPr="008625DC">
        <w:t>reight</w:t>
      </w:r>
      <w:bookmarkEnd w:id="21258"/>
      <w:bookmarkEnd w:id="21259"/>
    </w:p>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p w14:paraId="7C21264D" w14:textId="08C959D2" w:rsidR="000653E5" w:rsidRPr="008625DC" w:rsidRDefault="000653E5" w:rsidP="000653E5">
      <w:r w:rsidRPr="008625DC">
        <w:t xml:space="preserve">In the rail sector, the NCP reforms </w:t>
      </w:r>
      <w:r w:rsidR="004E3403" w:rsidRPr="008625DC">
        <w:t>focused</w:t>
      </w:r>
      <w:r w:rsidRPr="008625DC">
        <w:t xml:space="preserve"> on the structural separation of the interstate track network </w:t>
      </w:r>
      <w:r w:rsidR="00D21B63" w:rsidRPr="008625DC">
        <w:t>from</w:t>
      </w:r>
      <w:r w:rsidRPr="008625DC">
        <w:t xml:space="preserve"> above</w:t>
      </w:r>
      <w:r w:rsidR="00C74E19" w:rsidRPr="008625DC">
        <w:noBreakHyphen/>
      </w:r>
      <w:r w:rsidRPr="008625DC">
        <w:t xml:space="preserve">rail operations, with the formation of the Australian Rail Track Corporation, along with the development of access regimes and regulatory bodies. Networks have been declared under the National Access Regime or equivalent </w:t>
      </w:r>
      <w:r w:rsidR="0046149D" w:rsidRPr="008625DC">
        <w:t>S</w:t>
      </w:r>
      <w:r w:rsidRPr="008625DC">
        <w:t>tate</w:t>
      </w:r>
      <w:r w:rsidR="00C74E19" w:rsidRPr="008625DC">
        <w:noBreakHyphen/>
      </w:r>
      <w:r w:rsidRPr="008625DC">
        <w:t>based regimes. Open access was also applied sporadically to related rail assets such as bulk handling assets, intermodal terminals, coal ports and grain export facilities.</w:t>
      </w:r>
    </w:p>
    <w:p w14:paraId="6C702234" w14:textId="0D2447C7" w:rsidR="000653E5" w:rsidRPr="008625DC" w:rsidRDefault="000653E5" w:rsidP="000653E5">
      <w:r w:rsidRPr="008625DC">
        <w:t>At a national level, the objectives set by the original NCP have been largely met. The application of price controls and the oversight of regulators appear to have addressed concerns about possible monopoly pricing. Regulatory regimes have generally promoted competition and entry has occurred in some access</w:t>
      </w:r>
      <w:r w:rsidR="00C74E19" w:rsidRPr="008625DC">
        <w:noBreakHyphen/>
      </w:r>
      <w:r w:rsidRPr="008625DC">
        <w:t>depend</w:t>
      </w:r>
      <w:r w:rsidR="00D21B63" w:rsidRPr="008625DC">
        <w:t>e</w:t>
      </w:r>
      <w:r w:rsidRPr="008625DC">
        <w:t>nt markets.</w:t>
      </w:r>
    </w:p>
    <w:p w14:paraId="597EC985" w14:textId="111C6534" w:rsidR="000653E5" w:rsidRPr="008625DC" w:rsidRDefault="000653E5" w:rsidP="00024194">
      <w:pPr>
        <w:spacing w:after="120"/>
      </w:pPr>
      <w:r w:rsidRPr="008625DC">
        <w:t xml:space="preserve">With the removal of regulation reserving certain freight tasks for rail under NCP, rail freight on the majority of routes now has to compete with road transport. </w:t>
      </w:r>
      <w:r w:rsidR="00B51D87" w:rsidRPr="008625DC">
        <w:t>Aurizon notes</w:t>
      </w:r>
      <w:r w:rsidRPr="008625DC">
        <w:t>:</w:t>
      </w:r>
    </w:p>
    <w:p w14:paraId="7005E402" w14:textId="33142F94" w:rsidR="000653E5" w:rsidRPr="008625DC" w:rsidRDefault="000653E5" w:rsidP="000653E5">
      <w:pPr>
        <w:pStyle w:val="Quotes"/>
      </w:pPr>
      <w:r w:rsidRPr="008625DC">
        <w:t>The fundamental economic problem for the interstate rail network is a lack of scale, which manifests as an inability to compete effectively with road transport. (</w:t>
      </w:r>
      <w:proofErr w:type="gramStart"/>
      <w:r w:rsidRPr="008625DC">
        <w:t>p</w:t>
      </w:r>
      <w:r w:rsidR="00024194" w:rsidRPr="008625DC">
        <w:t>age</w:t>
      </w:r>
      <w:proofErr w:type="gramEnd"/>
      <w:r w:rsidRPr="008625DC">
        <w:t xml:space="preserve"> 39) </w:t>
      </w:r>
    </w:p>
    <w:p w14:paraId="2D0901C3" w14:textId="5B75506B" w:rsidR="000653E5" w:rsidRPr="008625DC" w:rsidRDefault="00D21B63" w:rsidP="000653E5">
      <w:r w:rsidRPr="008625DC">
        <w:lastRenderedPageBreak/>
        <w:t>W</w:t>
      </w:r>
      <w:r w:rsidR="000653E5" w:rsidRPr="008625DC">
        <w:t xml:space="preserve">hile rail track may be </w:t>
      </w:r>
      <w:r w:rsidRPr="008625DC">
        <w:t>considered</w:t>
      </w:r>
      <w:r w:rsidR="000653E5" w:rsidRPr="008625DC">
        <w:t xml:space="preserve"> a natural monopoly, intermodal competition can act as an effective constraint. This has reduced the need for heavy</w:t>
      </w:r>
      <w:r w:rsidR="00C74E19" w:rsidRPr="008625DC">
        <w:noBreakHyphen/>
      </w:r>
      <w:r w:rsidR="000653E5" w:rsidRPr="008625DC">
        <w:t>handed regulation in the rail sector.</w:t>
      </w:r>
    </w:p>
    <w:p w14:paraId="2B6060D4" w14:textId="3FBAD907" w:rsidR="0076431E" w:rsidRPr="008625DC" w:rsidRDefault="00E52F4C" w:rsidP="000653E5">
      <w:r w:rsidRPr="008625DC">
        <w:t>Issues raise</w:t>
      </w:r>
      <w:r w:rsidR="00D21B63" w:rsidRPr="008625DC">
        <w:t>d</w:t>
      </w:r>
      <w:r w:rsidRPr="008625DC">
        <w:t xml:space="preserve"> in submissions include the complexity of access issues, with some above</w:t>
      </w:r>
      <w:r w:rsidR="00C74E19" w:rsidRPr="008625DC">
        <w:noBreakHyphen/>
      </w:r>
      <w:r w:rsidRPr="008625DC">
        <w:t xml:space="preserve">track operators having to contend with multiple access regimes </w:t>
      </w:r>
      <w:r w:rsidR="005A1353" w:rsidRPr="008625DC">
        <w:t>to provide a</w:t>
      </w:r>
      <w:r w:rsidRPr="008625DC">
        <w:t xml:space="preserve"> single rail service, and that structural separation has been imposed in areas where above</w:t>
      </w:r>
      <w:r w:rsidR="00C74E19" w:rsidRPr="008625DC">
        <w:noBreakHyphen/>
      </w:r>
      <w:r w:rsidRPr="008625DC">
        <w:t xml:space="preserve">rail competition </w:t>
      </w:r>
      <w:r w:rsidR="00A919CF" w:rsidRPr="008625DC">
        <w:t>has not and</w:t>
      </w:r>
      <w:r w:rsidRPr="008625DC">
        <w:t xml:space="preserve"> is unlikely to emerge.</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A919CF" w:rsidRPr="008625DC" w14:paraId="3A996130" w14:textId="77777777" w:rsidTr="0052543A">
        <w:tc>
          <w:tcPr>
            <w:tcW w:w="5000" w:type="pct"/>
            <w:shd w:val="clear" w:color="auto" w:fill="FFFFFF" w:themeFill="background1"/>
          </w:tcPr>
          <w:p w14:paraId="6E02F97D" w14:textId="67A297E8" w:rsidR="00A919CF" w:rsidRPr="008625DC" w:rsidRDefault="002A6E2B" w:rsidP="0052543A">
            <w:pPr>
              <w:pStyle w:val="Keyfindingheading"/>
            </w:pPr>
            <w:r w:rsidRPr="008625DC">
              <w:t>The Panel</w:t>
            </w:r>
            <w:r w:rsidR="00C74E19" w:rsidRPr="008625DC">
              <w:t>’</w:t>
            </w:r>
            <w:r w:rsidR="008D592C" w:rsidRPr="008625DC">
              <w:t>s v</w:t>
            </w:r>
            <w:r w:rsidR="00A919CF" w:rsidRPr="008625DC">
              <w:t>iew</w:t>
            </w:r>
          </w:p>
          <w:p w14:paraId="02BD7E0D" w14:textId="2AD8E6FC" w:rsidR="00A919CF" w:rsidRPr="008625DC" w:rsidRDefault="002A6E2B" w:rsidP="006F3307">
            <w:pPr>
              <w:pStyle w:val="Keyfindingtext"/>
            </w:pPr>
            <w:r w:rsidRPr="008625DC">
              <w:t>Rail reform has been relatively successful and proceeded at a reasonable pace. Many rail freight tasks face significant competition from road freight, which has made efficiency</w:t>
            </w:r>
            <w:r w:rsidR="00C74E19" w:rsidRPr="008625DC">
              <w:noBreakHyphen/>
            </w:r>
            <w:r w:rsidRPr="008625DC">
              <w:t>enhancing reforms relatively palatable. Regulators and policymakers should be pragmatic about structural separation of railways, recognising that on some low</w:t>
            </w:r>
            <w:r w:rsidR="00C74E19" w:rsidRPr="008625DC">
              <w:noBreakHyphen/>
            </w:r>
            <w:r w:rsidRPr="008625DC">
              <w:t>volume rail routes vertical integration may be preferable.</w:t>
            </w:r>
          </w:p>
        </w:tc>
      </w:tr>
    </w:tbl>
    <w:p w14:paraId="306C7B70" w14:textId="4CE00264" w:rsidR="00A919CF" w:rsidRPr="008625DC" w:rsidRDefault="00D21D5D" w:rsidP="00FB084C">
      <w:pPr>
        <w:pStyle w:val="Heading3"/>
      </w:pPr>
      <w:bookmarkStart w:id="21333" w:name="_Toc397413322"/>
      <w:bookmarkStart w:id="21334" w:name="_Toc397413469"/>
      <w:r w:rsidRPr="008625DC">
        <w:t>Road t</w:t>
      </w:r>
      <w:r w:rsidR="002A6E2B" w:rsidRPr="008625DC">
        <w:t>ransport</w:t>
      </w:r>
      <w:bookmarkEnd w:id="21333"/>
      <w:bookmarkEnd w:id="21334"/>
    </w:p>
    <w:p w14:paraId="10B73013" w14:textId="2CE34F18" w:rsidR="00FE3957" w:rsidRPr="008625DC" w:rsidRDefault="00FE3957" w:rsidP="00024194">
      <w:r w:rsidRPr="008625DC">
        <w:t>Australia is highly reliant on its road network for the efficient movement of goods and people both in cities and the region</w:t>
      </w:r>
      <w:r w:rsidR="00B51D87" w:rsidRPr="008625DC">
        <w:t>s</w:t>
      </w:r>
      <w:r w:rsidRPr="008625DC">
        <w:t>. More than 70 per cent of domestic freight is transported by road.</w:t>
      </w:r>
      <w:r w:rsidRPr="008625DC">
        <w:rPr>
          <w:rStyle w:val="FootnoteReference"/>
        </w:rPr>
        <w:footnoteReference w:id="157"/>
      </w:r>
    </w:p>
    <w:p w14:paraId="3BBAE5A8" w14:textId="55F9920E" w:rsidR="000653E5" w:rsidRPr="008625DC" w:rsidRDefault="000653E5" w:rsidP="00C65524">
      <w:r w:rsidRPr="008625DC">
        <w:t>Australia</w:t>
      </w:r>
      <w:r w:rsidR="00C74E19" w:rsidRPr="008625DC">
        <w:t>’</w:t>
      </w:r>
      <w:r w:rsidRPr="008625DC">
        <w:t>s road transport industry has historically operated in a diffuse regulatory and funding framework, which has imposed significant costs on some road users.</w:t>
      </w:r>
      <w:r w:rsidR="00787DCF" w:rsidRPr="008625DC">
        <w:t xml:space="preserve"> </w:t>
      </w:r>
      <w:r w:rsidRPr="008625DC">
        <w:t xml:space="preserve">Government involvement in the road transport sector covers licensing, access rules, safety regulation and road provision. </w:t>
      </w:r>
    </w:p>
    <w:p w14:paraId="391C088E" w14:textId="4B345BBE" w:rsidR="00D21B63" w:rsidRPr="008625DC" w:rsidRDefault="000653E5" w:rsidP="000653E5">
      <w:pPr>
        <w:rPr>
          <w:szCs w:val="24"/>
        </w:rPr>
      </w:pPr>
      <w:r w:rsidRPr="008625DC">
        <w:rPr>
          <w:szCs w:val="24"/>
        </w:rPr>
        <w:t>The pace of road reform in Australia has been slow compared to other transport and utilities reforms. This is partly due to roads and road transport being traditionally administered through government departments, while airlines, airports, and rail have been operated by public companies.</w:t>
      </w:r>
      <w:r w:rsidR="00787DCF" w:rsidRPr="008625DC">
        <w:rPr>
          <w:szCs w:val="24"/>
        </w:rPr>
        <w:t xml:space="preserve"> </w:t>
      </w:r>
      <w:r w:rsidRPr="008625DC">
        <w:rPr>
          <w:szCs w:val="24"/>
        </w:rPr>
        <w:t xml:space="preserve">Roads have also been seen as public goods, administered by a large number of authorities at the local, state and </w:t>
      </w:r>
      <w:r w:rsidR="00A46FEF" w:rsidRPr="008625DC">
        <w:rPr>
          <w:szCs w:val="24"/>
        </w:rPr>
        <w:t>territory</w:t>
      </w:r>
      <w:r w:rsidRPr="008625DC">
        <w:rPr>
          <w:szCs w:val="24"/>
        </w:rPr>
        <w:t xml:space="preserve"> and </w:t>
      </w:r>
      <w:r w:rsidR="00A46FEF" w:rsidRPr="008625DC">
        <w:rPr>
          <w:szCs w:val="24"/>
        </w:rPr>
        <w:t>Commonwealth</w:t>
      </w:r>
      <w:r w:rsidRPr="008625DC">
        <w:rPr>
          <w:szCs w:val="24"/>
        </w:rPr>
        <w:t xml:space="preserve"> level, and it has not been widely accepted that a public utility style organisation could charge for them.</w:t>
      </w:r>
    </w:p>
    <w:p w14:paraId="222569BA" w14:textId="5EF5D180" w:rsidR="00D21B63" w:rsidRPr="008625DC" w:rsidRDefault="00D21B63" w:rsidP="000653E5">
      <w:pPr>
        <w:rPr>
          <w:szCs w:val="24"/>
        </w:rPr>
      </w:pPr>
      <w:r w:rsidRPr="008625DC">
        <w:rPr>
          <w:szCs w:val="24"/>
        </w:rPr>
        <w:t>As a consequence, Commonwealth, state and territory governments have shown reluctance to explore more cost</w:t>
      </w:r>
      <w:r w:rsidR="00C74E19" w:rsidRPr="008625DC">
        <w:rPr>
          <w:szCs w:val="24"/>
        </w:rPr>
        <w:noBreakHyphen/>
      </w:r>
      <w:r w:rsidRPr="008625DC">
        <w:rPr>
          <w:szCs w:val="24"/>
        </w:rPr>
        <w:t>reflective pricing arrangements for roads while continuing to raise general revenue from motorists through fuel excise, registration fees and other taxes such as stamp duties.</w:t>
      </w:r>
    </w:p>
    <w:p w14:paraId="5A62330C" w14:textId="304C1B81" w:rsidR="00FE3957" w:rsidRPr="008625DC" w:rsidRDefault="00FE3957" w:rsidP="00024194">
      <w:pPr>
        <w:rPr>
          <w:rFonts w:ascii="Georgia" w:hAnsi="Georgia" w:cs="Georgia"/>
          <w:color w:val="auto"/>
          <w:sz w:val="18"/>
          <w:szCs w:val="18"/>
        </w:rPr>
      </w:pPr>
      <w:r w:rsidRPr="008625DC">
        <w:rPr>
          <w:szCs w:val="24"/>
        </w:rPr>
        <w:t>By contrast other natural monopoly sectors like electricity and water are independently regulated</w:t>
      </w:r>
      <w:r w:rsidRPr="008625DC">
        <w:rPr>
          <w:rFonts w:ascii="Georgia" w:hAnsi="Georgia" w:cs="Georgia"/>
          <w:color w:val="auto"/>
          <w:sz w:val="18"/>
          <w:szCs w:val="18"/>
        </w:rPr>
        <w:t xml:space="preserve"> </w:t>
      </w:r>
      <w:r w:rsidR="002655B3" w:rsidRPr="008625DC">
        <w:rPr>
          <w:rFonts w:ascii="Georgia" w:hAnsi="Georgia" w:cs="Georgia"/>
          <w:color w:val="auto"/>
          <w:sz w:val="18"/>
          <w:szCs w:val="18"/>
        </w:rPr>
        <w:t xml:space="preserve">to </w:t>
      </w:r>
      <w:r w:rsidRPr="008625DC">
        <w:t>identify efficient costs and prices, with use</w:t>
      </w:r>
      <w:r w:rsidR="00C74E19" w:rsidRPr="008625DC">
        <w:noBreakHyphen/>
      </w:r>
      <w:r w:rsidRPr="008625DC">
        <w:t>based charges</w:t>
      </w:r>
      <w:r w:rsidR="002655B3" w:rsidRPr="008625DC">
        <w:t xml:space="preserve"> used to fund the provision of the network.</w:t>
      </w:r>
    </w:p>
    <w:p w14:paraId="6A0EDF52" w14:textId="762650F2" w:rsidR="00E962C9" w:rsidRPr="008625DC" w:rsidRDefault="002655B3" w:rsidP="000653E5">
      <w:pPr>
        <w:rPr>
          <w:szCs w:val="24"/>
        </w:rPr>
      </w:pPr>
      <w:r w:rsidRPr="008625DC">
        <w:rPr>
          <w:szCs w:val="24"/>
        </w:rPr>
        <w:t>While</w:t>
      </w:r>
      <w:r w:rsidR="00E962C9" w:rsidRPr="008625DC">
        <w:rPr>
          <w:szCs w:val="24"/>
        </w:rPr>
        <w:t xml:space="preserve"> there has been a move towards tolling for new roads</w:t>
      </w:r>
      <w:r w:rsidRPr="008625DC">
        <w:rPr>
          <w:szCs w:val="24"/>
        </w:rPr>
        <w:t xml:space="preserve"> over the </w:t>
      </w:r>
      <w:r w:rsidR="00D21B63" w:rsidRPr="008625DC">
        <w:rPr>
          <w:szCs w:val="24"/>
        </w:rPr>
        <w:t>p</w:t>
      </w:r>
      <w:r w:rsidRPr="008625DC">
        <w:rPr>
          <w:szCs w:val="24"/>
        </w:rPr>
        <w:t>ast two decades, there has not been any attempt to account for the capital costs of the road network as a whole.</w:t>
      </w:r>
      <w:r w:rsidR="00E962C9" w:rsidRPr="008625DC">
        <w:rPr>
          <w:szCs w:val="24"/>
        </w:rPr>
        <w:t xml:space="preserve"> This has led to the situation where some routes are subject</w:t>
      </w:r>
      <w:r w:rsidR="00A90F2E" w:rsidRPr="008625DC">
        <w:rPr>
          <w:szCs w:val="24"/>
        </w:rPr>
        <w:t xml:space="preserve"> a form of road pricing while others are not</w:t>
      </w:r>
      <w:r w:rsidR="00AD0AA5" w:rsidRPr="008625DC">
        <w:rPr>
          <w:szCs w:val="24"/>
        </w:rPr>
        <w:t>,</w:t>
      </w:r>
      <w:r w:rsidR="00A90F2E" w:rsidRPr="008625DC">
        <w:rPr>
          <w:szCs w:val="24"/>
        </w:rPr>
        <w:t xml:space="preserve"> creating distortions and inequities among road users.</w:t>
      </w:r>
    </w:p>
    <w:p w14:paraId="0F498A6B" w14:textId="097C8C11" w:rsidR="00D21B63" w:rsidRPr="008625DC" w:rsidRDefault="000653E5" w:rsidP="000653E5">
      <w:r w:rsidRPr="008625DC">
        <w:t>Heavy vehicles, being a significant contributor to road damage over time, have been the main focus of road</w:t>
      </w:r>
      <w:r w:rsidR="00C74E19" w:rsidRPr="008625DC">
        <w:noBreakHyphen/>
      </w:r>
      <w:r w:rsidRPr="008625DC">
        <w:t>charging reforms. The current heavy vehicle charging regimes use a combination of registration fees and fuel</w:t>
      </w:r>
      <w:r w:rsidR="00C74E19" w:rsidRPr="008625DC">
        <w:noBreakHyphen/>
      </w:r>
      <w:r w:rsidRPr="008625DC">
        <w:t>based charges to recover cost on average and do not reflect the actual cost to the road network of an individual vehicle. Moreover</w:t>
      </w:r>
      <w:r w:rsidR="00D21B63" w:rsidRPr="008625DC">
        <w:t>,</w:t>
      </w:r>
      <w:r w:rsidRPr="008625DC">
        <w:t xml:space="preserve"> taxes and charges on road users in general are not directly linked to the provision of roads.</w:t>
      </w:r>
    </w:p>
    <w:p w14:paraId="0DDFDB17" w14:textId="1586D349" w:rsidR="000653E5" w:rsidRPr="008625DC" w:rsidRDefault="000653E5" w:rsidP="000653E5">
      <w:pPr>
        <w:rPr>
          <w:szCs w:val="24"/>
        </w:rPr>
      </w:pPr>
      <w:r w:rsidRPr="008625DC">
        <w:rPr>
          <w:szCs w:val="24"/>
        </w:rPr>
        <w:lastRenderedPageBreak/>
        <w:t xml:space="preserve">The lack of effective institutional arrangements to support efficient planning and investment in the road sector </w:t>
      </w:r>
      <w:r w:rsidR="00D21B63" w:rsidRPr="008625DC">
        <w:rPr>
          <w:szCs w:val="24"/>
        </w:rPr>
        <w:t>i</w:t>
      </w:r>
      <w:r w:rsidRPr="008625DC">
        <w:rPr>
          <w:szCs w:val="24"/>
        </w:rPr>
        <w:t>s raised in several submissions.</w:t>
      </w:r>
    </w:p>
    <w:p w14:paraId="5FE4B295" w14:textId="50EF5FF0" w:rsidR="000653E5" w:rsidRPr="008625DC" w:rsidRDefault="000653E5" w:rsidP="00024194">
      <w:pPr>
        <w:keepNext/>
        <w:spacing w:after="120"/>
        <w:rPr>
          <w:szCs w:val="24"/>
        </w:rPr>
      </w:pPr>
      <w:r w:rsidRPr="008625DC">
        <w:rPr>
          <w:szCs w:val="24"/>
        </w:rPr>
        <w:t>The Business Council of Australia (BCA) recommend</w:t>
      </w:r>
      <w:r w:rsidR="00D21B63" w:rsidRPr="008625DC">
        <w:rPr>
          <w:szCs w:val="24"/>
        </w:rPr>
        <w:t>s</w:t>
      </w:r>
      <w:r w:rsidRPr="008625DC">
        <w:rPr>
          <w:szCs w:val="24"/>
        </w:rPr>
        <w:t xml:space="preserve"> that:</w:t>
      </w:r>
    </w:p>
    <w:p w14:paraId="63A3E4EE" w14:textId="719EC34F" w:rsidR="000653E5" w:rsidRPr="008625DC" w:rsidRDefault="000653E5" w:rsidP="000653E5">
      <w:pPr>
        <w:pStyle w:val="Quotes"/>
      </w:pPr>
      <w:r w:rsidRPr="008625DC">
        <w:t>Governments should promote efficient investment and use of road transport infrastructure through adoption of broad</w:t>
      </w:r>
      <w:r w:rsidR="00C74E19" w:rsidRPr="008625DC">
        <w:noBreakHyphen/>
      </w:r>
      <w:r w:rsidRPr="008625DC">
        <w:t>based user charging, as part of comprehensive tax reform and reform of Commonwealth and state funding arrangements. (</w:t>
      </w:r>
      <w:r w:rsidR="00985C8E" w:rsidRPr="008625DC">
        <w:t xml:space="preserve">BCA Summary Report, </w:t>
      </w:r>
      <w:r w:rsidRPr="008625DC">
        <w:t>p</w:t>
      </w:r>
      <w:r w:rsidR="00D21D5D" w:rsidRPr="008625DC">
        <w:t>age</w:t>
      </w:r>
      <w:r w:rsidRPr="008625DC">
        <w:t xml:space="preserve"> </w:t>
      </w:r>
      <w:r w:rsidR="00200CFB" w:rsidRPr="008625DC">
        <w:t>15</w:t>
      </w:r>
      <w:r w:rsidRPr="008625DC">
        <w:t>)</w:t>
      </w:r>
    </w:p>
    <w:p w14:paraId="6A4E226A" w14:textId="53ADB8C0" w:rsidR="000653E5" w:rsidRPr="008625DC" w:rsidRDefault="000653E5" w:rsidP="00024194">
      <w:pPr>
        <w:spacing w:after="120"/>
        <w:rPr>
          <w:szCs w:val="24"/>
        </w:rPr>
      </w:pPr>
      <w:r w:rsidRPr="008625DC">
        <w:rPr>
          <w:szCs w:val="24"/>
        </w:rPr>
        <w:t xml:space="preserve">Lack of proper road pricing distorts choices </w:t>
      </w:r>
      <w:r w:rsidR="00D21B63" w:rsidRPr="008625DC">
        <w:rPr>
          <w:szCs w:val="24"/>
        </w:rPr>
        <w:t>among</w:t>
      </w:r>
      <w:r w:rsidRPr="008625DC">
        <w:rPr>
          <w:szCs w:val="24"/>
        </w:rPr>
        <w:t xml:space="preserve"> transport modes: for example, between roads and rail in relation to freight and roads and public transport for passenger transport. Aurizon notes that the lack of commercial viability of much of the rail freight industry is:</w:t>
      </w:r>
    </w:p>
    <w:p w14:paraId="528B3704" w14:textId="6145E800" w:rsidR="000653E5" w:rsidRPr="008625DC" w:rsidRDefault="00C81354" w:rsidP="000653E5">
      <w:pPr>
        <w:pStyle w:val="Quotes"/>
        <w:rPr>
          <w:szCs w:val="24"/>
        </w:rPr>
      </w:pPr>
      <w:r w:rsidRPr="008625DC">
        <w:t>[</w:t>
      </w:r>
      <w:r w:rsidR="000653E5" w:rsidRPr="008625DC">
        <w:t>e</w:t>
      </w:r>
      <w:r w:rsidRPr="008625DC">
        <w:t>]</w:t>
      </w:r>
      <w:r w:rsidR="000653E5" w:rsidRPr="008625DC">
        <w:t>xacerbated by the lack of competitively neutral pricing for heavy vehicle freight transport on national highways and arterial roads, despite Federal, and State Government policy advocating the shift of long</w:t>
      </w:r>
      <w:r w:rsidR="00C74E19" w:rsidRPr="008625DC">
        <w:noBreakHyphen/>
      </w:r>
      <w:r w:rsidR="000653E5" w:rsidRPr="008625DC">
        <w:t>haul freight from road to rail for economi</w:t>
      </w:r>
      <w:r w:rsidR="00024194" w:rsidRPr="008625DC">
        <w:t>c and social policy reasons. (</w:t>
      </w:r>
      <w:proofErr w:type="gramStart"/>
      <w:r w:rsidR="00024194" w:rsidRPr="008625DC">
        <w:t>page</w:t>
      </w:r>
      <w:proofErr w:type="gramEnd"/>
      <w:r w:rsidR="000653E5" w:rsidRPr="008625DC">
        <w:t xml:space="preserve"> 4)</w:t>
      </w:r>
    </w:p>
    <w:p w14:paraId="41CA6D9E" w14:textId="6DCA1A65" w:rsidR="000653E5" w:rsidRPr="008625DC" w:rsidRDefault="000653E5" w:rsidP="00024194">
      <w:pPr>
        <w:spacing w:after="120"/>
        <w:rPr>
          <w:szCs w:val="24"/>
        </w:rPr>
      </w:pPr>
      <w:r w:rsidRPr="008625DC">
        <w:rPr>
          <w:szCs w:val="24"/>
        </w:rPr>
        <w:t>Lack of proper road pricing also contributes to urban congestion, which is a growing problem in Australia</w:t>
      </w:r>
      <w:r w:rsidR="00C74E19" w:rsidRPr="008625DC">
        <w:rPr>
          <w:szCs w:val="24"/>
        </w:rPr>
        <w:t>’</w:t>
      </w:r>
      <w:r w:rsidRPr="008625DC">
        <w:rPr>
          <w:szCs w:val="24"/>
        </w:rPr>
        <w:t>s capital cities.</w:t>
      </w:r>
      <w:r w:rsidRPr="008625DC">
        <w:rPr>
          <w:rStyle w:val="FootnoteReference"/>
          <w:szCs w:val="24"/>
        </w:rPr>
        <w:footnoteReference w:id="158"/>
      </w:r>
      <w:r w:rsidRPr="008625DC">
        <w:rPr>
          <w:szCs w:val="24"/>
        </w:rPr>
        <w:t xml:space="preserve"> With road users facing little incentive to shift demand from peak to off</w:t>
      </w:r>
      <w:r w:rsidR="00C74E19" w:rsidRPr="008625DC">
        <w:rPr>
          <w:szCs w:val="24"/>
        </w:rPr>
        <w:noBreakHyphen/>
      </w:r>
      <w:r w:rsidRPr="008625DC">
        <w:rPr>
          <w:szCs w:val="24"/>
        </w:rPr>
        <w:t>peak periods, greater road capacity is needed. As IPART notes:</w:t>
      </w:r>
    </w:p>
    <w:p w14:paraId="136E293E" w14:textId="3AEDC72E" w:rsidR="000653E5" w:rsidRPr="008625DC" w:rsidRDefault="000653E5" w:rsidP="000653E5">
      <w:pPr>
        <w:pStyle w:val="Quotes"/>
      </w:pPr>
      <w:r w:rsidRPr="008625DC">
        <w:rPr>
          <w:szCs w:val="24"/>
        </w:rPr>
        <w:t xml:space="preserve">During peak periods of demand, roads are allocated through queuing which </w:t>
      </w:r>
      <w:r w:rsidRPr="008625DC">
        <w:t>imposes a far greater cost to road users and the economy than would an effective pricing mechanism</w:t>
      </w:r>
      <w:r w:rsidR="00024194" w:rsidRPr="008625DC">
        <w:rPr>
          <w:szCs w:val="24"/>
        </w:rPr>
        <w:t>. (</w:t>
      </w:r>
      <w:proofErr w:type="gramStart"/>
      <w:r w:rsidR="00024194" w:rsidRPr="008625DC">
        <w:rPr>
          <w:szCs w:val="24"/>
        </w:rPr>
        <w:t>page</w:t>
      </w:r>
      <w:proofErr w:type="gramEnd"/>
      <w:r w:rsidRPr="008625DC">
        <w:rPr>
          <w:szCs w:val="24"/>
        </w:rPr>
        <w:t xml:space="preserve"> 22)</w:t>
      </w:r>
      <w:r w:rsidR="00787DCF" w:rsidRPr="008625DC">
        <w:rPr>
          <w:szCs w:val="24"/>
        </w:rPr>
        <w:t xml:space="preserve"> </w:t>
      </w:r>
    </w:p>
    <w:p w14:paraId="7E8C73C7" w14:textId="4311C590" w:rsidR="002A6E2B" w:rsidRPr="008625DC" w:rsidRDefault="00DB7AF4" w:rsidP="00024194">
      <w:pPr>
        <w:spacing w:after="120"/>
      </w:pPr>
      <w:bookmarkStart w:id="21335" w:name="_Toc393985189"/>
      <w:bookmarkStart w:id="21336" w:name="_Toc393985354"/>
      <w:bookmarkStart w:id="21337" w:name="_Toc393985692"/>
      <w:bookmarkStart w:id="21338" w:name="_Toc393985858"/>
      <w:bookmarkStart w:id="21339" w:name="_Toc393986094"/>
      <w:bookmarkStart w:id="21340" w:name="_Toc393986260"/>
      <w:bookmarkStart w:id="21341" w:name="_Toc393986497"/>
      <w:bookmarkStart w:id="21342" w:name="_Toc393988104"/>
      <w:bookmarkStart w:id="21343" w:name="_Toc393988270"/>
      <w:bookmarkStart w:id="21344" w:name="_Toc393988506"/>
      <w:bookmarkStart w:id="21345" w:name="_Toc393988672"/>
      <w:bookmarkStart w:id="21346" w:name="_Toc393986664"/>
      <w:bookmarkStart w:id="21347" w:name="_Toc393989518"/>
      <w:bookmarkStart w:id="21348" w:name="_Toc393989684"/>
      <w:bookmarkStart w:id="21349" w:name="_Toc393988907"/>
      <w:bookmarkStart w:id="21350" w:name="_Toc393989072"/>
      <w:bookmarkStart w:id="21351" w:name="_Toc393990911"/>
      <w:bookmarkStart w:id="21352" w:name="_Toc393991076"/>
      <w:bookmarkStart w:id="21353" w:name="_Toc393991175"/>
      <w:bookmarkStart w:id="21354" w:name="_Toc393991893"/>
      <w:bookmarkStart w:id="21355" w:name="_Toc393992060"/>
      <w:bookmarkStart w:id="21356" w:name="_Toc394047556"/>
      <w:bookmarkStart w:id="21357" w:name="_Toc394047724"/>
      <w:bookmarkStart w:id="21358" w:name="_Toc394047835"/>
      <w:bookmarkStart w:id="21359" w:name="_Toc394048391"/>
      <w:bookmarkStart w:id="21360" w:name="_Toc394049832"/>
      <w:bookmarkStart w:id="21361" w:name="_Toc394050003"/>
      <w:bookmarkStart w:id="21362" w:name="_Toc394051232"/>
      <w:bookmarkStart w:id="21363" w:name="_Toc394051403"/>
      <w:bookmarkStart w:id="21364" w:name="_Toc394062221"/>
      <w:bookmarkStart w:id="21365" w:name="_Toc394062550"/>
      <w:bookmarkStart w:id="21366" w:name="_Toc394069096"/>
      <w:bookmarkStart w:id="21367" w:name="_Toc394069265"/>
      <w:bookmarkStart w:id="21368" w:name="_Toc394071014"/>
      <w:bookmarkStart w:id="21369" w:name="_Toc394071183"/>
      <w:bookmarkStart w:id="21370" w:name="_Toc394312723"/>
      <w:bookmarkStart w:id="21371" w:name="_Toc394330456"/>
      <w:bookmarkStart w:id="21372" w:name="_Toc394330702"/>
      <w:bookmarkStart w:id="21373" w:name="_Toc394331387"/>
      <w:bookmarkStart w:id="21374" w:name="_Toc394330322"/>
      <w:bookmarkStart w:id="21375" w:name="_Toc394333294"/>
      <w:bookmarkStart w:id="21376" w:name="_Toc394333462"/>
      <w:bookmarkStart w:id="21377" w:name="_Toc394332872"/>
      <w:bookmarkStart w:id="21378" w:name="_Toc394333707"/>
      <w:bookmarkStart w:id="21379" w:name="_Toc394333875"/>
      <w:bookmarkStart w:id="21380" w:name="_Toc394334120"/>
      <w:bookmarkStart w:id="21381" w:name="_Toc394334288"/>
      <w:bookmarkStart w:id="21382" w:name="_Toc394334946"/>
      <w:bookmarkStart w:id="21383" w:name="_Toc394335114"/>
      <w:bookmarkStart w:id="21384" w:name="_Toc394415129"/>
      <w:bookmarkStart w:id="21385" w:name="_Toc394415318"/>
      <w:bookmarkStart w:id="21386" w:name="_Toc394412434"/>
      <w:bookmarkStart w:id="21387" w:name="_Toc394412627"/>
      <w:bookmarkStart w:id="21388" w:name="_Toc394420725"/>
      <w:bookmarkStart w:id="21389" w:name="_Toc394420920"/>
      <w:bookmarkStart w:id="21390" w:name="_Toc394421199"/>
      <w:bookmarkStart w:id="21391" w:name="_Toc394423568"/>
      <w:bookmarkStart w:id="21392" w:name="_Toc394423761"/>
      <w:bookmarkStart w:id="21393" w:name="_Toc394420502"/>
      <w:bookmarkStart w:id="21394" w:name="_Toc394422612"/>
      <w:bookmarkStart w:id="21395" w:name="_Toc394422805"/>
      <w:bookmarkStart w:id="21396" w:name="_Toc394423083"/>
      <w:bookmarkStart w:id="21397" w:name="_Toc394423276"/>
      <w:bookmarkStart w:id="21398" w:name="_Toc394424233"/>
      <w:bookmarkStart w:id="21399" w:name="_Toc394424424"/>
      <w:bookmarkStart w:id="21400" w:name="_Toc394492066"/>
      <w:bookmarkStart w:id="21401" w:name="_Toc394492257"/>
      <w:bookmarkStart w:id="21402" w:name="_Toc394495211"/>
      <w:bookmarkStart w:id="21403" w:name="_Toc394495401"/>
      <w:bookmarkStart w:id="21404" w:name="_Toc394498026"/>
      <w:bookmarkStart w:id="21405" w:name="_Toc394498216"/>
      <w:bookmarkStart w:id="21406" w:name="_Toc394500816"/>
      <w:bookmarkStart w:id="21407" w:name="_Toc394501006"/>
      <w:r w:rsidRPr="008625DC">
        <w:t>Technologies</w:t>
      </w:r>
      <w:r w:rsidR="004E5B62" w:rsidRPr="008625DC">
        <w:t xml:space="preserve"> are </w:t>
      </w:r>
      <w:r w:rsidR="00835E96" w:rsidRPr="008625DC">
        <w:t>available</w:t>
      </w:r>
      <w:r w:rsidR="004E5B62" w:rsidRPr="008625DC">
        <w:t xml:space="preserve"> that </w:t>
      </w:r>
      <w:r w:rsidRPr="008625DC">
        <w:t>allow</w:t>
      </w:r>
      <w:r w:rsidR="00B67E4E" w:rsidRPr="008625DC">
        <w:t xml:space="preserve"> greater use of cost</w:t>
      </w:r>
      <w:r w:rsidR="00C74E19" w:rsidRPr="008625DC">
        <w:noBreakHyphen/>
      </w:r>
      <w:r w:rsidR="004E5B62" w:rsidRPr="008625DC">
        <w:t xml:space="preserve">reflective pricing, which in turn could be linked to the provision of road infrastructure. </w:t>
      </w:r>
      <w:r w:rsidR="00035F35" w:rsidRPr="008625DC">
        <w:t>This could make roads more like other sectors, where road authorities</w:t>
      </w:r>
      <w:r w:rsidR="00B67E4E" w:rsidRPr="008625DC">
        <w:t xml:space="preserve"> charge directly for their use and use</w:t>
      </w:r>
      <w:r w:rsidR="00035F35" w:rsidRPr="008625DC">
        <w:t xml:space="preserve"> the</w:t>
      </w:r>
      <w:r w:rsidR="00B67E4E" w:rsidRPr="008625DC">
        <w:t xml:space="preserve"> revenues raised for road </w:t>
      </w:r>
      <w:r w:rsidR="00835E96" w:rsidRPr="008625DC">
        <w:t>construction and maintenance</w:t>
      </w:r>
      <w:r w:rsidR="00B67E4E" w:rsidRPr="008625DC">
        <w:t xml:space="preserve">. </w:t>
      </w:r>
      <w:r w:rsidR="002A6E2B" w:rsidRPr="008625DC">
        <w:t>The PC notes in its recent report on infrastructure that:</w:t>
      </w:r>
    </w:p>
    <w:p w14:paraId="78E0E70F" w14:textId="548415E4" w:rsidR="002A6E2B" w:rsidRPr="008625DC" w:rsidRDefault="002A6E2B" w:rsidP="002A6E2B">
      <w:pPr>
        <w:pStyle w:val="Quotes"/>
      </w:pPr>
      <w:r w:rsidRPr="008625DC">
        <w:t>The adoption of a well</w:t>
      </w:r>
      <w:r w:rsidR="00C74E19" w:rsidRPr="008625DC">
        <w:noBreakHyphen/>
      </w:r>
      <w:r w:rsidRPr="008625DC">
        <w:t>designed road fund model or a corporatised public road agency model is paramount to delivering net benefits from the funding and provision of roads. In the future, road funds may be able to consider direct road user charges, which would facilitate more effective asset utilisation and more rigorous assessment of new investments.</w:t>
      </w:r>
      <w:r w:rsidRPr="008625DC">
        <w:rPr>
          <w:rStyle w:val="FootnoteReference"/>
        </w:rPr>
        <w:footnoteReference w:id="159"/>
      </w:r>
    </w:p>
    <w:p w14:paraId="1F730BA1" w14:textId="02F3C12C" w:rsidR="00E045B5" w:rsidRPr="008625DC" w:rsidRDefault="00E045B5" w:rsidP="00E045B5">
      <w:r w:rsidRPr="008625DC">
        <w:t>Importantly</w:t>
      </w:r>
      <w:r w:rsidR="00AD0AA5" w:rsidRPr="008625DC">
        <w:t>,</w:t>
      </w:r>
      <w:r w:rsidRPr="008625DC">
        <w:t xml:space="preserve"> greater use of cost</w:t>
      </w:r>
      <w:r w:rsidR="00C74E19" w:rsidRPr="008625DC">
        <w:noBreakHyphen/>
      </w:r>
      <w:r w:rsidRPr="008625DC">
        <w:t>reflective pricing linked to road provision holds the prospect of both more efficient use of road infrastructure as well as more efficient investment based on clearly identified demands. Considerable work has been undertaken by the Heavy Vehicle and Investment Reform project to progress both user charging and institutional reform. The challenge is now to agree on a model of implementation.</w:t>
      </w:r>
    </w:p>
    <w:p w14:paraId="5B632B91" w14:textId="0FDEF418" w:rsidR="00E045B5" w:rsidRPr="008625DC" w:rsidRDefault="00E045B5" w:rsidP="00E045B5">
      <w:r w:rsidRPr="008625DC">
        <w:t xml:space="preserve">Given the size and importance of the road transport industry for the economy and the importance of efficient road use and provision for urban and regional amenity and consumer </w:t>
      </w:r>
      <w:r w:rsidR="00580D32" w:rsidRPr="008625DC">
        <w:t>wellbeing</w:t>
      </w:r>
      <w:r w:rsidR="00B51D87" w:rsidRPr="008625DC">
        <w:t>,</w:t>
      </w:r>
      <w:r w:rsidRPr="008625DC">
        <w:t xml:space="preserve"> much greater progress in this area needs to be made.</w:t>
      </w:r>
    </w:p>
    <w:p w14:paraId="3A64079C" w14:textId="7BB4A52C" w:rsidR="005717FD" w:rsidRPr="008625DC" w:rsidRDefault="00035F35" w:rsidP="004E5B62">
      <w:r w:rsidRPr="008625DC">
        <w:lastRenderedPageBreak/>
        <w:t>Direct road pricing need not lead to a higher overall financial burden on motorists s</w:t>
      </w:r>
      <w:r w:rsidR="00D21B63" w:rsidRPr="008625DC">
        <w:t>ince</w:t>
      </w:r>
      <w:r w:rsidRPr="008625DC">
        <w:t xml:space="preserve"> existing </w:t>
      </w:r>
      <w:r w:rsidR="002A6E2B" w:rsidRPr="008625DC">
        <w:t xml:space="preserve">indirect </w:t>
      </w:r>
      <w:r w:rsidRPr="008625DC">
        <w:t xml:space="preserve">taxes could be reduced as direct charging is introduced. </w:t>
      </w:r>
      <w:r w:rsidR="002A6E2B" w:rsidRPr="008625DC">
        <w:t>Direct b</w:t>
      </w:r>
      <w:r w:rsidRPr="008625DC">
        <w:t>udget funding for road authorities could also be reduced as direct charging</w:t>
      </w:r>
      <w:r w:rsidR="002C24C8" w:rsidRPr="008625DC">
        <w:t xml:space="preserve"> increases</w:t>
      </w:r>
      <w:r w:rsidR="00835E96" w:rsidRPr="008625DC">
        <w:t xml:space="preserve"> and is channelled into road funds</w:t>
      </w:r>
      <w:r w:rsidRPr="008625DC">
        <w:t xml:space="preserve">. Road authorities could be subject to prices oversight and independent pricing determinations </w:t>
      </w:r>
      <w:r w:rsidR="002C24C8" w:rsidRPr="008625DC">
        <w:t>similar to</w:t>
      </w:r>
      <w:r w:rsidRPr="008625DC">
        <w:t xml:space="preserve"> monopoly networks in other sectors. </w:t>
      </w:r>
    </w:p>
    <w:p w14:paraId="6AADA155" w14:textId="147884AA" w:rsidR="005717FD" w:rsidRPr="008625DC" w:rsidRDefault="005717FD" w:rsidP="004E5B62">
      <w:r w:rsidRPr="008625DC">
        <w:t>Modelling undertaken by Infrastructure Partnerships Australia suggests that rural and regional drivers will be</w:t>
      </w:r>
      <w:r w:rsidR="00D21B63" w:rsidRPr="008625DC">
        <w:t>nefit most</w:t>
      </w:r>
      <w:r w:rsidRPr="008625DC">
        <w:t xml:space="preserve"> from a move to replace indirect charges with cost</w:t>
      </w:r>
      <w:r w:rsidR="00C74E19" w:rsidRPr="008625DC">
        <w:noBreakHyphen/>
      </w:r>
      <w:r w:rsidRPr="008625DC">
        <w:t>reflective direct road user charges.</w:t>
      </w:r>
      <w:r w:rsidRPr="008625DC">
        <w:rPr>
          <w:rStyle w:val="FootnoteReference"/>
        </w:rPr>
        <w:footnoteReference w:id="160"/>
      </w:r>
    </w:p>
    <w:p w14:paraId="36867E3C" w14:textId="32008886" w:rsidR="004E5B62" w:rsidRPr="008625DC" w:rsidRDefault="00E045B5" w:rsidP="004E5B62">
      <w:r w:rsidRPr="008625DC">
        <w:t>Th</w:t>
      </w:r>
      <w:r w:rsidR="00D21B63" w:rsidRPr="008625DC">
        <w:t>is</w:t>
      </w:r>
      <w:r w:rsidRPr="008625DC">
        <w:t xml:space="preserve"> </w:t>
      </w:r>
      <w:r w:rsidR="00035F35" w:rsidRPr="008625DC">
        <w:t xml:space="preserve">policy shift will require cooperation </w:t>
      </w:r>
      <w:r w:rsidR="00D21B63" w:rsidRPr="008625DC">
        <w:t>from</w:t>
      </w:r>
      <w:r w:rsidR="00035F35" w:rsidRPr="008625DC">
        <w:t xml:space="preserve"> all levels of government.</w:t>
      </w:r>
      <w:r w:rsidRPr="008625DC">
        <w:t xml:space="preserve"> As road pricing is introduced</w:t>
      </w:r>
      <w:r w:rsidR="00D21B63" w:rsidRPr="008625DC">
        <w:t>,</w:t>
      </w:r>
      <w:r w:rsidRPr="008625DC">
        <w:t xml:space="preserve"> the Australian Government should reduce excise and grants to the </w:t>
      </w:r>
      <w:r w:rsidR="00A46FEF" w:rsidRPr="008625DC">
        <w:t>S</w:t>
      </w:r>
      <w:r w:rsidRPr="008625DC">
        <w:t xml:space="preserve">tates and </w:t>
      </w:r>
      <w:r w:rsidR="00A46FEF" w:rsidRPr="008625DC">
        <w:t>T</w:t>
      </w:r>
      <w:r w:rsidRPr="008625DC">
        <w:t>erritories. This would allow the reform to be fiscally neutral.</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2D38556A" w14:textId="77777777" w:rsidTr="00FB31E5">
        <w:tc>
          <w:tcPr>
            <w:tcW w:w="5000" w:type="pct"/>
            <w:shd w:val="clear" w:color="auto" w:fill="FFFFFF" w:themeFill="background1"/>
          </w:tcPr>
          <w:p w14:paraId="486FF988" w14:textId="7278D270" w:rsidR="00205FEA" w:rsidRPr="008625DC" w:rsidRDefault="000653E5" w:rsidP="007425AF">
            <w:pPr>
              <w:pStyle w:val="Keyfindingheading"/>
            </w:pPr>
            <w:r w:rsidRPr="008625DC">
              <w:t>The Panel</w:t>
            </w:r>
            <w:r w:rsidR="00C74E19" w:rsidRPr="008625DC">
              <w:t>’</w:t>
            </w:r>
            <w:r w:rsidRPr="008625DC">
              <w:t>s view</w:t>
            </w:r>
            <w:bookmarkStart w:id="21408" w:name="_Toc395106112"/>
            <w:bookmarkStart w:id="21409" w:name="_Toc395110080"/>
            <w:bookmarkStart w:id="21410" w:name="_Toc395112082"/>
            <w:bookmarkStart w:id="21411" w:name="_Toc395107222"/>
            <w:bookmarkStart w:id="21412" w:name="_Toc395108785"/>
            <w:bookmarkStart w:id="21413" w:name="_Toc395114025"/>
            <w:bookmarkStart w:id="21414" w:name="_Toc395116762"/>
            <w:bookmarkStart w:id="21415" w:name="_Toc395112699"/>
            <w:bookmarkStart w:id="21416" w:name="_Toc395115239"/>
            <w:bookmarkStart w:id="21417" w:name="_Toc395118391"/>
            <w:bookmarkStart w:id="21418" w:name="_Toc395624584"/>
            <w:bookmarkStart w:id="21419" w:name="_Toc395789936"/>
            <w:bookmarkStart w:id="21420" w:name="_Toc395800693"/>
          </w:p>
          <w:p w14:paraId="6524CA47" w14:textId="77777777" w:rsidR="000653E5" w:rsidRPr="008625DC" w:rsidRDefault="000653E5" w:rsidP="00FB31E5">
            <w:pPr>
              <w:pStyle w:val="Keyfindingtext"/>
            </w:pPr>
            <w:r w:rsidRPr="008625DC">
              <w:t>Reform of road pricing and provision should be a priority. Road reform is the least advanced of all transport modes and holds the greatest prospect for efficiency improvements, which are important for Australian productivity and amenity.</w:t>
            </w:r>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p>
          <w:p w14:paraId="4F70FC2E" w14:textId="2CCF5449" w:rsidR="000653E5" w:rsidRPr="008625DC" w:rsidRDefault="000653E5" w:rsidP="00FB31E5">
            <w:pPr>
              <w:pStyle w:val="Keyfindingtext"/>
            </w:pPr>
            <w:bookmarkStart w:id="21421" w:name="_Toc395106113"/>
            <w:bookmarkStart w:id="21422" w:name="_Toc395110081"/>
            <w:bookmarkStart w:id="21423" w:name="_Toc395112083"/>
            <w:bookmarkStart w:id="21424" w:name="_Toc395107223"/>
            <w:bookmarkStart w:id="21425" w:name="_Toc395108786"/>
            <w:bookmarkStart w:id="21426" w:name="_Toc395114026"/>
            <w:bookmarkStart w:id="21427" w:name="_Toc395116763"/>
            <w:bookmarkStart w:id="21428" w:name="_Toc395112700"/>
            <w:bookmarkStart w:id="21429" w:name="_Toc395115240"/>
            <w:bookmarkStart w:id="21430" w:name="_Toc395118392"/>
            <w:bookmarkStart w:id="21431" w:name="_Toc395624585"/>
            <w:bookmarkStart w:id="21432" w:name="_Toc395789937"/>
            <w:bookmarkStart w:id="21433" w:name="_Toc395800694"/>
            <w:r w:rsidRPr="008625DC">
              <w:t xml:space="preserve">Technologies are </w:t>
            </w:r>
            <w:r w:rsidR="00835E96" w:rsidRPr="008625DC">
              <w:t>available</w:t>
            </w:r>
            <w:r w:rsidRPr="008625DC">
              <w:t xml:space="preserve"> that allow</w:t>
            </w:r>
            <w:r w:rsidR="00835E96" w:rsidRPr="008625DC">
              <w:t xml:space="preserve"> for</w:t>
            </w:r>
            <w:r w:rsidRPr="008625DC">
              <w:t xml:space="preserve"> more widespread application of cost</w:t>
            </w:r>
            <w:r w:rsidR="00C74E19" w:rsidRPr="008625DC">
              <w:noBreakHyphen/>
            </w:r>
            <w:r w:rsidRPr="008625DC">
              <w:t xml:space="preserve">reflective pricing in roads, taking into account location, time and congestion. </w:t>
            </w:r>
            <w:r w:rsidR="00835E96" w:rsidRPr="008625DC">
              <w:t>Revenue raised through</w:t>
            </w:r>
            <w:r w:rsidRPr="008625DC">
              <w:t xml:space="preserve"> road pricing should be </w:t>
            </w:r>
            <w:r w:rsidR="00835E96" w:rsidRPr="008625DC">
              <w:t>channelled into</w:t>
            </w:r>
            <w:r w:rsidRPr="008625DC">
              <w:t xml:space="preserve"> road </w:t>
            </w:r>
            <w:r w:rsidR="00835E96" w:rsidRPr="008625DC">
              <w:t>funds</w:t>
            </w:r>
            <w:r w:rsidR="00B0379C" w:rsidRPr="008625DC">
              <w:t xml:space="preserve"> to promote more efficient road use</w:t>
            </w:r>
            <w:r w:rsidRPr="008625DC">
              <w:t xml:space="preserve"> and investment.</w:t>
            </w:r>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p>
          <w:p w14:paraId="3C874A40" w14:textId="0FAA3EAD" w:rsidR="000653E5" w:rsidRPr="008625DC" w:rsidRDefault="00835E96" w:rsidP="00FB31E5">
            <w:pPr>
              <w:pStyle w:val="Keyfindingtext"/>
            </w:pPr>
            <w:bookmarkStart w:id="21434" w:name="_Toc395106114"/>
            <w:bookmarkStart w:id="21435" w:name="_Toc395112084"/>
            <w:bookmarkStart w:id="21436" w:name="_Toc395107224"/>
            <w:bookmarkStart w:id="21437" w:name="_Toc395108787"/>
            <w:bookmarkStart w:id="21438" w:name="_Toc395114027"/>
            <w:bookmarkStart w:id="21439" w:name="_Toc395116764"/>
            <w:bookmarkStart w:id="21440" w:name="_Toc395112701"/>
            <w:bookmarkStart w:id="21441" w:name="_Toc395115241"/>
            <w:bookmarkStart w:id="21442" w:name="_Toc395118393"/>
            <w:bookmarkStart w:id="21443" w:name="_Toc395624586"/>
            <w:bookmarkStart w:id="21444" w:name="_Toc395789938"/>
            <w:bookmarkStart w:id="21445" w:name="_Toc395800695"/>
            <w:r w:rsidRPr="008625DC">
              <w:t>C</w:t>
            </w:r>
            <w:r w:rsidR="000653E5" w:rsidRPr="008625DC">
              <w:t>ooperation from all levels of government</w:t>
            </w:r>
            <w:r w:rsidRPr="008625DC">
              <w:t xml:space="preserve"> will be need</w:t>
            </w:r>
            <w:r w:rsidR="00D21B63" w:rsidRPr="008625DC">
              <w:t>ed</w:t>
            </w:r>
            <w:r w:rsidRPr="008625DC">
              <w:t xml:space="preserve"> to ensure that road pricing does not </w:t>
            </w:r>
            <w:r w:rsidR="00D21B63" w:rsidRPr="008625DC">
              <w:t>result in</w:t>
            </w:r>
            <w:r w:rsidRPr="008625DC">
              <w:t xml:space="preserve"> an additional impost on road users</w:t>
            </w:r>
            <w:r w:rsidR="000653E5" w:rsidRPr="008625DC">
              <w:t>.</w:t>
            </w:r>
            <w:bookmarkEnd w:id="21434"/>
            <w:bookmarkEnd w:id="21435"/>
            <w:bookmarkEnd w:id="21436"/>
            <w:bookmarkEnd w:id="21437"/>
            <w:bookmarkEnd w:id="21438"/>
            <w:bookmarkEnd w:id="21439"/>
            <w:bookmarkEnd w:id="21440"/>
            <w:bookmarkEnd w:id="21441"/>
            <w:bookmarkEnd w:id="21442"/>
            <w:bookmarkEnd w:id="21443"/>
            <w:bookmarkEnd w:id="21444"/>
            <w:bookmarkEnd w:id="21445"/>
          </w:p>
        </w:tc>
      </w:tr>
    </w:tbl>
    <w:p w14:paraId="65318704" w14:textId="77777777" w:rsidR="000653E5" w:rsidRPr="008625DC" w:rsidRDefault="000653E5" w:rsidP="00FB084C">
      <w:pPr>
        <w:pStyle w:val="Heading3"/>
      </w:pPr>
      <w:r w:rsidRPr="008625DC">
        <w:t>Public transport</w:t>
      </w:r>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p>
    <w:p w14:paraId="189879EB" w14:textId="0850F010" w:rsidR="000653E5" w:rsidRPr="008625DC" w:rsidRDefault="00B55979" w:rsidP="005A4E5A">
      <w:pPr>
        <w:rPr>
          <w:color w:val="595959" w:themeColor="text1" w:themeTint="A6"/>
        </w:rPr>
      </w:pPr>
      <w:r w:rsidRPr="008625DC">
        <w:rPr>
          <w:szCs w:val="22"/>
        </w:rPr>
        <w:t>P</w:t>
      </w:r>
      <w:r w:rsidR="000653E5" w:rsidRPr="008625DC">
        <w:rPr>
          <w:szCs w:val="22"/>
        </w:rPr>
        <w:t>ublic transport reforms have not been pursued as part of competition policy</w:t>
      </w:r>
      <w:r w:rsidRPr="008625DC">
        <w:t xml:space="preserve">. </w:t>
      </w:r>
      <w:r w:rsidR="000653E5" w:rsidRPr="008625DC">
        <w:t xml:space="preserve">Public transport governance systems vary from </w:t>
      </w:r>
      <w:r w:rsidR="00A46FEF" w:rsidRPr="008625DC">
        <w:t>S</w:t>
      </w:r>
      <w:r w:rsidR="000653E5" w:rsidRPr="008625DC">
        <w:t xml:space="preserve">tate to </w:t>
      </w:r>
      <w:r w:rsidR="00A46FEF" w:rsidRPr="008625DC">
        <w:t>S</w:t>
      </w:r>
      <w:r w:rsidR="000653E5" w:rsidRPr="008625DC">
        <w:t>tate and city to city. For the most part, however, public transport is owned and operated by government</w:t>
      </w:r>
      <w:r w:rsidRPr="008625DC">
        <w:t>.</w:t>
      </w:r>
      <w:r w:rsidR="000653E5" w:rsidRPr="008625DC">
        <w:t xml:space="preserve"> Where the private sector provides substantial operations, for example, private bus operators, taxis and hire car services, these are often regulated or licensed by governments. </w:t>
      </w:r>
    </w:p>
    <w:p w14:paraId="2C89DF66" w14:textId="48B5F2D2" w:rsidR="000653E5" w:rsidRPr="008625DC" w:rsidRDefault="000653E5" w:rsidP="000653E5">
      <w:r w:rsidRPr="008625DC">
        <w:t xml:space="preserve">The experience in Victoria serves as an example of public transport reforms that have ultimately delivered significant benefits despite some </w:t>
      </w:r>
      <w:r w:rsidR="00B55979" w:rsidRPr="008625DC">
        <w:t xml:space="preserve">initial </w:t>
      </w:r>
      <w:r w:rsidRPr="008625DC">
        <w:t>problems. In the early 2000s urban rail, tram and country passenger rail operations were privatised. However, within a few years most of the operators needed to be bailed out by the Victorian Government. While service levels had improved significantly and passenger satisfaction increased, overestimates of patronage built into the bids meant that the subsidies agreed to under the contracts were insufficient to keep the operators solvent.</w:t>
      </w:r>
      <w:r w:rsidRPr="008625DC">
        <w:rPr>
          <w:rStyle w:val="FootnoteReference"/>
        </w:rPr>
        <w:footnoteReference w:id="161"/>
      </w:r>
    </w:p>
    <w:p w14:paraId="657BFB75" w14:textId="65F8378F" w:rsidR="000653E5" w:rsidRPr="008625DC" w:rsidRDefault="000653E5" w:rsidP="00C93DFF">
      <w:r w:rsidRPr="008625DC">
        <w:t>While the Victorian Government needed to bail out operators, it did not re</w:t>
      </w:r>
      <w:r w:rsidR="00C74E19" w:rsidRPr="008625DC">
        <w:noBreakHyphen/>
      </w:r>
      <w:r w:rsidRPr="008625DC">
        <w:t xml:space="preserve">nationalise services and train, tram and bus </w:t>
      </w:r>
      <w:r w:rsidR="0079469B" w:rsidRPr="008625DC">
        <w:t>services</w:t>
      </w:r>
      <w:r w:rsidRPr="008625DC">
        <w:t xml:space="preserve"> continue to be </w:t>
      </w:r>
      <w:r w:rsidR="0079469B" w:rsidRPr="008625DC">
        <w:t>operated privately and</w:t>
      </w:r>
      <w:r w:rsidRPr="008625DC">
        <w:t xml:space="preserve"> managed through complex contractual arrangements that provide incentives to maintain and improve service quality.</w:t>
      </w:r>
    </w:p>
    <w:p w14:paraId="606AB382" w14:textId="6CB17771" w:rsidR="000653E5" w:rsidRPr="008625DC" w:rsidRDefault="005C02FD" w:rsidP="000653E5">
      <w:r w:rsidRPr="008625DC">
        <w:t>Applying the lessons learned f</w:t>
      </w:r>
      <w:r w:rsidR="00AB1742" w:rsidRPr="008625DC">
        <w:t>rom</w:t>
      </w:r>
      <w:r w:rsidRPr="008625DC">
        <w:t xml:space="preserve"> other sectors to public transport could see greater use of </w:t>
      </w:r>
      <w:r w:rsidR="00AB1742" w:rsidRPr="008625DC">
        <w:t>contracting out,</w:t>
      </w:r>
      <w:r w:rsidRPr="008625DC">
        <w:t xml:space="preserve"> privatisation</w:t>
      </w:r>
      <w:r w:rsidR="00AB1742" w:rsidRPr="008625DC">
        <w:t xml:space="preserve"> or franchising</w:t>
      </w:r>
      <w:r w:rsidRPr="008625DC">
        <w:t>, subject to a regul</w:t>
      </w:r>
      <w:r w:rsidR="00AB1742" w:rsidRPr="008625DC">
        <w:t>atory regime imposing</w:t>
      </w:r>
      <w:r w:rsidRPr="008625DC">
        <w:t xml:space="preserve"> safeguards</w:t>
      </w:r>
      <w:r w:rsidR="00C93DFF" w:rsidRPr="008625DC">
        <w:t xml:space="preserve"> to </w:t>
      </w:r>
      <w:r w:rsidR="00C93DFF" w:rsidRPr="008625DC">
        <w:lastRenderedPageBreak/>
        <w:t>maintain service levels</w:t>
      </w:r>
      <w:r w:rsidRPr="008625DC">
        <w:t xml:space="preserve">. </w:t>
      </w:r>
      <w:r w:rsidR="00C93DFF" w:rsidRPr="008625DC">
        <w:t>Through careful contracting</w:t>
      </w:r>
      <w:r w:rsidR="0079469B" w:rsidRPr="008625DC">
        <w:t>,</w:t>
      </w:r>
      <w:r w:rsidR="00C93DFF" w:rsidRPr="008625DC">
        <w:t xml:space="preserve"> service levels and choice can be maintained or improved through increased private provision. </w:t>
      </w:r>
      <w:r w:rsidRPr="008625DC">
        <w:t>Bus services are likely to be contestable and</w:t>
      </w:r>
      <w:r w:rsidR="00C93DFF" w:rsidRPr="008625DC">
        <w:t>,</w:t>
      </w:r>
      <w:r w:rsidRPr="008625DC">
        <w:t xml:space="preserve"> while governments may wish to</w:t>
      </w:r>
      <w:r w:rsidR="00C93DFF" w:rsidRPr="008625DC">
        <w:t xml:space="preserve"> provide a minimum level of service, they should not restrict other providers from entering the market.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653E5" w:rsidRPr="008625DC" w14:paraId="4545AEDB" w14:textId="77777777" w:rsidTr="00FB31E5">
        <w:tc>
          <w:tcPr>
            <w:tcW w:w="5000" w:type="pct"/>
            <w:shd w:val="clear" w:color="auto" w:fill="FFFFFF" w:themeFill="background1"/>
          </w:tcPr>
          <w:p w14:paraId="787573AA" w14:textId="17AADD44" w:rsidR="000653E5" w:rsidRPr="008625DC" w:rsidRDefault="000653E5" w:rsidP="00FB31E5">
            <w:pPr>
              <w:pStyle w:val="Keyfindingheading"/>
            </w:pPr>
            <w:bookmarkStart w:id="21446" w:name="_Toc394499884"/>
            <w:bookmarkStart w:id="21447" w:name="_Toc394500074"/>
            <w:bookmarkStart w:id="21448" w:name="_Toc394500817"/>
            <w:bookmarkStart w:id="21449" w:name="_Toc394501007"/>
            <w:bookmarkStart w:id="21450" w:name="_Toc393985190"/>
            <w:bookmarkStart w:id="21451" w:name="_Toc393985355"/>
            <w:bookmarkStart w:id="21452" w:name="_Toc393985693"/>
            <w:bookmarkStart w:id="21453" w:name="_Toc393985859"/>
            <w:bookmarkStart w:id="21454" w:name="_Toc393986095"/>
            <w:bookmarkStart w:id="21455" w:name="_Toc393986261"/>
            <w:bookmarkStart w:id="21456" w:name="_Toc393986498"/>
            <w:bookmarkStart w:id="21457" w:name="_Toc393988105"/>
            <w:bookmarkStart w:id="21458" w:name="_Toc393988271"/>
            <w:bookmarkStart w:id="21459" w:name="_Toc393988507"/>
            <w:bookmarkStart w:id="21460" w:name="_Toc393988673"/>
            <w:bookmarkStart w:id="21461" w:name="_Toc393986665"/>
            <w:bookmarkStart w:id="21462" w:name="_Toc393989519"/>
            <w:bookmarkStart w:id="21463" w:name="_Toc393989685"/>
            <w:bookmarkStart w:id="21464" w:name="_Toc393988908"/>
            <w:bookmarkStart w:id="21465" w:name="_Toc393989073"/>
            <w:bookmarkStart w:id="21466" w:name="_Toc393990912"/>
            <w:bookmarkStart w:id="21467" w:name="_Toc393991077"/>
            <w:bookmarkStart w:id="21468" w:name="_Toc393991176"/>
            <w:bookmarkStart w:id="21469" w:name="_Toc393991894"/>
            <w:bookmarkStart w:id="21470" w:name="_Toc393992061"/>
            <w:bookmarkStart w:id="21471" w:name="_Toc394047557"/>
            <w:bookmarkStart w:id="21472" w:name="_Toc394047725"/>
            <w:bookmarkStart w:id="21473" w:name="_Toc394047836"/>
            <w:bookmarkStart w:id="21474" w:name="_Toc394048392"/>
            <w:bookmarkStart w:id="21475" w:name="_Toc394049833"/>
            <w:bookmarkStart w:id="21476" w:name="_Toc394050004"/>
            <w:bookmarkStart w:id="21477" w:name="_Toc394051233"/>
            <w:bookmarkStart w:id="21478" w:name="_Toc394051404"/>
            <w:bookmarkStart w:id="21479" w:name="_Toc394062222"/>
            <w:bookmarkStart w:id="21480" w:name="_Toc394062551"/>
            <w:bookmarkStart w:id="21481" w:name="_Toc394069097"/>
            <w:bookmarkStart w:id="21482" w:name="_Toc394069266"/>
            <w:bookmarkStart w:id="21483" w:name="_Toc394071015"/>
            <w:bookmarkStart w:id="21484" w:name="_Toc394071184"/>
            <w:bookmarkStart w:id="21485" w:name="_Toc394312724"/>
            <w:bookmarkStart w:id="21486" w:name="_Toc394330457"/>
            <w:bookmarkStart w:id="21487" w:name="_Toc394330703"/>
            <w:bookmarkStart w:id="21488" w:name="_Toc394331388"/>
            <w:bookmarkStart w:id="21489" w:name="_Toc394330323"/>
            <w:bookmarkStart w:id="21490" w:name="_Toc394333295"/>
            <w:bookmarkStart w:id="21491" w:name="_Toc394333463"/>
            <w:bookmarkStart w:id="21492" w:name="_Toc394332873"/>
            <w:bookmarkStart w:id="21493" w:name="_Toc394333708"/>
            <w:bookmarkStart w:id="21494" w:name="_Toc394333876"/>
            <w:bookmarkStart w:id="21495" w:name="_Toc394334121"/>
            <w:bookmarkStart w:id="21496" w:name="_Toc394334289"/>
            <w:bookmarkStart w:id="21497" w:name="_Toc394334947"/>
            <w:bookmarkStart w:id="21498" w:name="_Toc394335115"/>
            <w:bookmarkStart w:id="21499" w:name="_Toc394415130"/>
            <w:bookmarkStart w:id="21500" w:name="_Toc394415319"/>
            <w:bookmarkStart w:id="21501" w:name="_Toc394412435"/>
            <w:bookmarkStart w:id="21502" w:name="_Toc394412628"/>
            <w:bookmarkStart w:id="21503" w:name="_Toc394420726"/>
            <w:bookmarkStart w:id="21504" w:name="_Toc394420921"/>
            <w:bookmarkStart w:id="21505" w:name="_Toc394421200"/>
            <w:bookmarkStart w:id="21506" w:name="_Toc394423569"/>
            <w:bookmarkStart w:id="21507" w:name="_Toc394423762"/>
            <w:bookmarkStart w:id="21508" w:name="_Toc394420503"/>
            <w:bookmarkStart w:id="21509" w:name="_Toc394422613"/>
            <w:bookmarkStart w:id="21510" w:name="_Toc394422806"/>
            <w:bookmarkStart w:id="21511" w:name="_Toc394423084"/>
            <w:bookmarkStart w:id="21512" w:name="_Toc394423277"/>
            <w:bookmarkStart w:id="21513" w:name="_Toc394424234"/>
            <w:bookmarkStart w:id="21514" w:name="_Toc394424425"/>
            <w:bookmarkStart w:id="21515" w:name="_Toc394492067"/>
            <w:bookmarkStart w:id="21516" w:name="_Toc394492258"/>
            <w:bookmarkStart w:id="21517" w:name="_Toc394495212"/>
            <w:bookmarkStart w:id="21518" w:name="_Toc394495402"/>
            <w:bookmarkStart w:id="21519" w:name="_Toc394498027"/>
            <w:bookmarkStart w:id="21520" w:name="_Toc394498217"/>
            <w:r w:rsidRPr="008625DC">
              <w:t>The Panel</w:t>
            </w:r>
            <w:r w:rsidR="00C74E19" w:rsidRPr="008625DC">
              <w:t>’</w:t>
            </w:r>
            <w:r w:rsidRPr="008625DC">
              <w:t>s view</w:t>
            </w:r>
          </w:p>
          <w:p w14:paraId="4CE3411C" w14:textId="22994D85" w:rsidR="000653E5" w:rsidRPr="008625DC" w:rsidRDefault="000653E5" w:rsidP="00FB31E5">
            <w:pPr>
              <w:pStyle w:val="Keyfindingtext"/>
            </w:pPr>
            <w:bookmarkStart w:id="21521" w:name="_Toc395090434"/>
            <w:bookmarkStart w:id="21522" w:name="_Toc395093018"/>
            <w:bookmarkStart w:id="21523" w:name="_Toc395097930"/>
            <w:bookmarkStart w:id="21524" w:name="_Toc395106115"/>
            <w:bookmarkStart w:id="21525" w:name="_Toc395112085"/>
            <w:bookmarkStart w:id="21526" w:name="_Toc395107225"/>
            <w:bookmarkStart w:id="21527" w:name="_Toc395108788"/>
            <w:bookmarkStart w:id="21528" w:name="_Toc395114028"/>
            <w:bookmarkStart w:id="21529" w:name="_Toc395116765"/>
            <w:bookmarkStart w:id="21530" w:name="_Toc395112702"/>
            <w:bookmarkStart w:id="21531" w:name="_Toc395115242"/>
            <w:bookmarkStart w:id="21532" w:name="_Toc395118394"/>
            <w:bookmarkStart w:id="21533" w:name="_Toc395624587"/>
            <w:bookmarkStart w:id="21534" w:name="_Toc395789939"/>
            <w:bookmarkStart w:id="21535" w:name="_Toc395800696"/>
            <w:r w:rsidRPr="008625DC">
              <w:t>Extending NCP</w:t>
            </w:r>
            <w:r w:rsidR="00117F1B" w:rsidRPr="008625DC">
              <w:t xml:space="preserve"> principles</w:t>
            </w:r>
            <w:r w:rsidRPr="008625DC">
              <w:t xml:space="preserve"> to public transport could see more franchising and privatisation of potentially competitive elements of public transport, stronger application of competitive neutrality principles and removal of regulation that limits competition.</w:t>
            </w:r>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r w:rsidR="00C93DFF" w:rsidRPr="008625DC">
              <w:t xml:space="preserve"> This holds the prospect of providing services more efficiently and improving service levels.</w:t>
            </w:r>
          </w:p>
        </w:tc>
      </w:tr>
    </w:tbl>
    <w:p w14:paraId="76DD3E28" w14:textId="77777777" w:rsidR="00323186" w:rsidRPr="008625DC" w:rsidRDefault="00323186" w:rsidP="00FB084C">
      <w:pPr>
        <w:pStyle w:val="Heading3"/>
      </w:pPr>
      <w:bookmarkStart w:id="21536" w:name="_Toc395867619"/>
      <w:bookmarkStart w:id="21537" w:name="_Toc395868528"/>
      <w:bookmarkStart w:id="21538" w:name="_Toc395868751"/>
      <w:bookmarkStart w:id="21539" w:name="_Toc395879132"/>
      <w:bookmarkStart w:id="21540" w:name="_Toc395882034"/>
      <w:bookmarkStart w:id="21541" w:name="_Toc395882256"/>
      <w:bookmarkStart w:id="21542" w:name="_Toc395882365"/>
      <w:bookmarkStart w:id="21543" w:name="_Toc395882587"/>
      <w:bookmarkStart w:id="21544" w:name="_Toc395880529"/>
      <w:bookmarkStart w:id="21545" w:name="_Toc395880860"/>
      <w:bookmarkStart w:id="21546" w:name="_Toc395881418"/>
      <w:bookmarkStart w:id="21547" w:name="_Toc395881640"/>
      <w:bookmarkStart w:id="21548" w:name="_Toc395884025"/>
      <w:bookmarkStart w:id="21549" w:name="_Toc395880758"/>
      <w:bookmarkStart w:id="21550" w:name="_Toc395884465"/>
      <w:bookmarkStart w:id="21551" w:name="_Toc395884687"/>
      <w:bookmarkStart w:id="21552" w:name="_Toc395883174"/>
      <w:bookmarkStart w:id="21553" w:name="_Toc395883396"/>
      <w:bookmarkStart w:id="21554" w:name="_Toc395883504"/>
      <w:bookmarkStart w:id="21555" w:name="_Toc395883726"/>
      <w:bookmarkStart w:id="21556" w:name="_Toc395884806"/>
      <w:bookmarkStart w:id="21557" w:name="_Toc396123835"/>
      <w:bookmarkStart w:id="21558" w:name="_Toc396130738"/>
      <w:bookmarkStart w:id="21559" w:name="_Toc396136316"/>
      <w:bookmarkStart w:id="21560" w:name="_Toc396138770"/>
      <w:bookmarkStart w:id="21561" w:name="_Toc396144031"/>
      <w:bookmarkStart w:id="21562" w:name="_Toc396145540"/>
      <w:bookmarkStart w:id="21563" w:name="_Toc396145684"/>
      <w:bookmarkStart w:id="21564" w:name="_Toc396145966"/>
      <w:bookmarkStart w:id="21565" w:name="_Toc396147506"/>
      <w:bookmarkStart w:id="21566" w:name="_Toc396147792"/>
      <w:bookmarkStart w:id="21567" w:name="_Toc396149048"/>
      <w:bookmarkStart w:id="21568" w:name="_Toc396148762"/>
      <w:bookmarkStart w:id="21569" w:name="_Toc396149543"/>
      <w:bookmarkStart w:id="21570" w:name="_Toc396149188"/>
      <w:bookmarkStart w:id="21571" w:name="_Toc396149474"/>
      <w:bookmarkStart w:id="21572" w:name="_Toc396149151"/>
      <w:bookmarkStart w:id="21573" w:name="_Toc396149896"/>
      <w:bookmarkStart w:id="21574" w:name="_Toc396149646"/>
      <w:bookmarkStart w:id="21575" w:name="_Toc396150487"/>
      <w:bookmarkStart w:id="21576" w:name="_Toc396151376"/>
      <w:bookmarkStart w:id="21577" w:name="_Toc396151670"/>
      <w:bookmarkStart w:id="21578" w:name="_Toc396201597"/>
      <w:bookmarkStart w:id="21579" w:name="_Toc396202387"/>
      <w:bookmarkStart w:id="21580" w:name="_Toc396202682"/>
      <w:bookmarkStart w:id="21581" w:name="_Toc396203299"/>
      <w:bookmarkStart w:id="21582" w:name="_Toc396206595"/>
      <w:bookmarkStart w:id="21583" w:name="_Toc396206889"/>
      <w:bookmarkStart w:id="21584" w:name="_Toc396209423"/>
      <w:bookmarkStart w:id="21585" w:name="_Toc396209717"/>
      <w:bookmarkStart w:id="21586" w:name="_Toc396211847"/>
      <w:bookmarkStart w:id="21587" w:name="_Toc396212141"/>
      <w:bookmarkStart w:id="21588" w:name="_Toc396213191"/>
      <w:bookmarkStart w:id="21589" w:name="_Toc396213483"/>
      <w:bookmarkStart w:id="21590" w:name="_Toc396214034"/>
      <w:bookmarkStart w:id="21591" w:name="_Toc396214469"/>
      <w:bookmarkStart w:id="21592" w:name="_Toc396214759"/>
      <w:bookmarkStart w:id="21593" w:name="_Toc396220319"/>
      <w:bookmarkStart w:id="21594" w:name="_Toc396226581"/>
      <w:bookmarkStart w:id="21595" w:name="_Toc396226870"/>
      <w:bookmarkStart w:id="21596" w:name="_Toc396228781"/>
      <w:bookmarkStart w:id="21597" w:name="_Toc396229076"/>
      <w:bookmarkStart w:id="21598" w:name="_Toc396230423"/>
      <w:bookmarkStart w:id="21599" w:name="_Toc396230718"/>
      <w:bookmarkStart w:id="21600" w:name="_Toc396231860"/>
      <w:bookmarkStart w:id="21601" w:name="_Toc396233203"/>
      <w:bookmarkStart w:id="21602" w:name="_Toc396233500"/>
      <w:bookmarkStart w:id="21603" w:name="_Toc396234023"/>
      <w:bookmarkStart w:id="21604" w:name="_Toc396234320"/>
      <w:bookmarkStart w:id="21605" w:name="_Toc396234433"/>
      <w:bookmarkStart w:id="21606" w:name="_Toc396236167"/>
      <w:bookmarkStart w:id="21607" w:name="_Toc396235945"/>
      <w:bookmarkStart w:id="21608" w:name="_Toc396236555"/>
      <w:bookmarkStart w:id="21609" w:name="_Toc396237074"/>
      <w:bookmarkStart w:id="21610" w:name="_Toc396397417"/>
      <w:bookmarkStart w:id="21611" w:name="_Toc396304598"/>
      <w:bookmarkStart w:id="21612" w:name="_Toc396586133"/>
      <w:bookmarkStart w:id="21613" w:name="_Toc396815154"/>
      <w:bookmarkStart w:id="21614" w:name="_Toc396821103"/>
      <w:bookmarkStart w:id="21615" w:name="_Toc396821711"/>
      <w:bookmarkStart w:id="21616" w:name="_Toc396828645"/>
      <w:bookmarkStart w:id="21617" w:name="_Toc396838034"/>
      <w:bookmarkStart w:id="21618" w:name="_Toc396838432"/>
      <w:bookmarkStart w:id="21619" w:name="_Toc396904755"/>
      <w:bookmarkStart w:id="21620" w:name="_Toc396907589"/>
      <w:bookmarkStart w:id="21621" w:name="_Toc396912508"/>
      <w:bookmarkStart w:id="21622" w:name="_Toc396914488"/>
      <w:bookmarkStart w:id="21623" w:name="_Toc396915372"/>
      <w:bookmarkStart w:id="21624" w:name="_Toc396915766"/>
      <w:bookmarkStart w:id="21625" w:name="_Toc396921077"/>
      <w:bookmarkStart w:id="21626" w:name="_Toc396924417"/>
      <w:bookmarkStart w:id="21627" w:name="_Toc396925111"/>
      <w:bookmarkStart w:id="21628" w:name="_Toc396992231"/>
      <w:bookmarkStart w:id="21629" w:name="_Toc396992810"/>
      <w:bookmarkStart w:id="21630" w:name="_Toc396994474"/>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r w:rsidRPr="008625DC">
        <w:t>Taxis</w:t>
      </w:r>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p>
    <w:p w14:paraId="11149540" w14:textId="4B58A3C8" w:rsidR="002D7653" w:rsidRPr="008625DC" w:rsidRDefault="00323186" w:rsidP="00323186">
      <w:pPr>
        <w:spacing w:after="0"/>
        <w:rPr>
          <w:szCs w:val="24"/>
        </w:rPr>
      </w:pPr>
      <w:r w:rsidRPr="008625DC">
        <w:rPr>
          <w:szCs w:val="24"/>
        </w:rPr>
        <w:t xml:space="preserve">The taxi industry in most </w:t>
      </w:r>
      <w:r w:rsidR="00A46FEF" w:rsidRPr="008625DC">
        <w:rPr>
          <w:szCs w:val="24"/>
        </w:rPr>
        <w:t>S</w:t>
      </w:r>
      <w:r w:rsidR="00024194" w:rsidRPr="008625DC">
        <w:rPr>
          <w:szCs w:val="24"/>
        </w:rPr>
        <w:t xml:space="preserve">tates and </w:t>
      </w:r>
      <w:r w:rsidR="00A46FEF" w:rsidRPr="008625DC">
        <w:rPr>
          <w:szCs w:val="24"/>
        </w:rPr>
        <w:t>T</w:t>
      </w:r>
      <w:r w:rsidR="00024194" w:rsidRPr="008625DC">
        <w:rPr>
          <w:szCs w:val="24"/>
        </w:rPr>
        <w:t xml:space="preserve">erritories </w:t>
      </w:r>
      <w:r w:rsidRPr="008625DC">
        <w:rPr>
          <w:szCs w:val="24"/>
        </w:rPr>
        <w:t xml:space="preserve">remains heavily regulated despite </w:t>
      </w:r>
      <w:r w:rsidR="0081182B" w:rsidRPr="008625DC">
        <w:rPr>
          <w:szCs w:val="24"/>
        </w:rPr>
        <w:t xml:space="preserve">both </w:t>
      </w:r>
      <w:r w:rsidRPr="008625DC">
        <w:rPr>
          <w:szCs w:val="24"/>
        </w:rPr>
        <w:t>being a priority reform area identified under the NCP regulation review program</w:t>
      </w:r>
      <w:r w:rsidR="002D7653" w:rsidRPr="008625DC">
        <w:rPr>
          <w:szCs w:val="24"/>
        </w:rPr>
        <w:t xml:space="preserve"> and most reviews recommending substantial reform.</w:t>
      </w:r>
      <w:r w:rsidR="002D7653" w:rsidRPr="008625DC">
        <w:rPr>
          <w:rStyle w:val="FootnoteReference"/>
          <w:szCs w:val="24"/>
        </w:rPr>
        <w:footnoteReference w:id="162"/>
      </w:r>
    </w:p>
    <w:p w14:paraId="20A67633" w14:textId="455BA131" w:rsidR="00323186" w:rsidRPr="008625DC" w:rsidRDefault="00323186" w:rsidP="00024194">
      <w:r w:rsidRPr="008625DC">
        <w:t xml:space="preserve">Regulations tend to focus on two areas: the quality of taxi services and restricting the number of taxis that can operate. </w:t>
      </w:r>
    </w:p>
    <w:p w14:paraId="2D114B22" w14:textId="77777777" w:rsidR="00323186" w:rsidRPr="008625DC" w:rsidRDefault="00323186" w:rsidP="00024194">
      <w:r w:rsidRPr="008625DC">
        <w:t xml:space="preserve">Quality regulations cover areas such as the age of vehicles, roadworthiness, driver presentation and knowledge, as well as access to radio dispatch facilities. These regulations are aimed at ensuring minimum standards to promote public confidence that taxis are safe and will provide a minimum standard of service. On the whole they appear to impose little cost on the taxi industry and their customers, because they do not significantly restrict competition between taxi services. </w:t>
      </w:r>
    </w:p>
    <w:p w14:paraId="0B7C3192" w14:textId="0A47C4A2" w:rsidR="00323186" w:rsidRPr="008625DC" w:rsidRDefault="00323186" w:rsidP="00024194">
      <w:r w:rsidRPr="008625DC">
        <w:t xml:space="preserve">However, most States and Territories also restrict the quantity of taxis by requiring each taxi to have a licence and limiting the number of licences issued. This has the </w:t>
      </w:r>
      <w:r w:rsidR="009A663C" w:rsidRPr="008625DC">
        <w:t>effect</w:t>
      </w:r>
      <w:r w:rsidRPr="008625DC">
        <w:t xml:space="preserve"> of limiting responsiveness to consumer demand.</w:t>
      </w:r>
    </w:p>
    <w:p w14:paraId="368655D4" w14:textId="77777777" w:rsidR="00323186" w:rsidRPr="008625DC" w:rsidRDefault="00323186" w:rsidP="00024194">
      <w:r w:rsidRPr="008625DC">
        <w:t xml:space="preserve">New taxi licences are typically issued on an infrequent and ad hoc basis with different sale methods resulting in large variations in sale price. Most people wishing to obtain a taxi licence must purchase one from an existing licence holder. </w:t>
      </w:r>
    </w:p>
    <w:p w14:paraId="5A976ACC" w14:textId="38604A47" w:rsidR="00323186" w:rsidRPr="008625DC" w:rsidRDefault="00323186" w:rsidP="00024194">
      <w:r w:rsidRPr="008625DC">
        <w:t xml:space="preserve">While laws that regulate safety and minimum service levels are commonplace in the Australian economy, the taxi industry is virtually unique among customer service industries in having absolute limits on the </w:t>
      </w:r>
      <w:r w:rsidR="009A663C" w:rsidRPr="008625DC">
        <w:t>number</w:t>
      </w:r>
      <w:r w:rsidRPr="008625DC">
        <w:t xml:space="preserve"> of </w:t>
      </w:r>
      <w:r w:rsidR="009A663C" w:rsidRPr="008625DC">
        <w:t>service providers</w:t>
      </w:r>
      <w:r w:rsidRPr="008625DC">
        <w:t xml:space="preserve">. </w:t>
      </w:r>
    </w:p>
    <w:p w14:paraId="7DE90A91" w14:textId="77777777" w:rsidR="00323186" w:rsidRPr="008625DC" w:rsidRDefault="00323186" w:rsidP="00024194">
      <w:pPr>
        <w:spacing w:after="120"/>
      </w:pPr>
      <w:r w:rsidRPr="008625DC">
        <w:t>The Australian Taxi Industry Association considers that:</w:t>
      </w:r>
    </w:p>
    <w:p w14:paraId="7047638B" w14:textId="77421B0A" w:rsidR="00323186" w:rsidRPr="008625DC" w:rsidRDefault="00323186" w:rsidP="00323186">
      <w:pPr>
        <w:pStyle w:val="Quotes"/>
      </w:pPr>
      <w:r w:rsidRPr="008625DC">
        <w:t>State and Territory Governments cap the supply of taxi licenses (or permits) at levels that aim to balance customer convenience and service (e.g. measurable in terms of waiting times) with the viability of taxi drivers</w:t>
      </w:r>
      <w:r w:rsidR="00C74E19" w:rsidRPr="008625DC">
        <w:t>’</w:t>
      </w:r>
      <w:r w:rsidRPr="008625DC">
        <w:t xml:space="preserve"> and operators</w:t>
      </w:r>
      <w:r w:rsidR="00C74E19" w:rsidRPr="008625DC">
        <w:t>’</w:t>
      </w:r>
      <w:r w:rsidRPr="008625DC">
        <w:t xml:space="preserve"> small businesses. This leads to supply caps well in excess of normal demand, although less than the number required to service peak demand without some acceptable diminution of service. (</w:t>
      </w:r>
      <w:proofErr w:type="gramStart"/>
      <w:r w:rsidRPr="008625DC">
        <w:t>p</w:t>
      </w:r>
      <w:r w:rsidR="00024194" w:rsidRPr="008625DC">
        <w:t>age</w:t>
      </w:r>
      <w:proofErr w:type="gramEnd"/>
      <w:r w:rsidRPr="008625DC">
        <w:t xml:space="preserve"> 7)</w:t>
      </w:r>
    </w:p>
    <w:p w14:paraId="7DC2C9E6" w14:textId="77777777" w:rsidR="00323186" w:rsidRPr="008625DC" w:rsidRDefault="00323186" w:rsidP="00024194">
      <w:pPr>
        <w:rPr>
          <w:szCs w:val="24"/>
        </w:rPr>
      </w:pPr>
      <w:r w:rsidRPr="008625DC">
        <w:t>However, most service industries face variable demand, and businesses are able to operate without regulation limiting the number of operators</w:t>
      </w:r>
      <w:r w:rsidRPr="008625DC">
        <w:rPr>
          <w:szCs w:val="24"/>
        </w:rPr>
        <w:t xml:space="preserve">. </w:t>
      </w:r>
    </w:p>
    <w:p w14:paraId="34C866E1" w14:textId="7F801F0A" w:rsidR="00323186" w:rsidRPr="008625DC" w:rsidRDefault="00323186" w:rsidP="00323186">
      <w:pPr>
        <w:rPr>
          <w:szCs w:val="24"/>
        </w:rPr>
      </w:pPr>
      <w:r w:rsidRPr="008625DC">
        <w:rPr>
          <w:szCs w:val="24"/>
        </w:rPr>
        <w:lastRenderedPageBreak/>
        <w:t>The scarcity of taxi licences has seen prices paid for licences reach over $400</w:t>
      </w:r>
      <w:r w:rsidR="008177F5" w:rsidRPr="008625DC">
        <w:rPr>
          <w:szCs w:val="24"/>
        </w:rPr>
        <w:t>,</w:t>
      </w:r>
      <w:r w:rsidRPr="008625DC">
        <w:rPr>
          <w:szCs w:val="24"/>
        </w:rPr>
        <w:t>000 in Victoria and NSW, which indicates significant rents in owning a licen</w:t>
      </w:r>
      <w:r w:rsidR="009A663C" w:rsidRPr="008625DC">
        <w:rPr>
          <w:szCs w:val="24"/>
        </w:rPr>
        <w:t>c</w:t>
      </w:r>
      <w:r w:rsidRPr="008625DC">
        <w:rPr>
          <w:szCs w:val="24"/>
        </w:rPr>
        <w:t>e and is at odds with the claim that licen</w:t>
      </w:r>
      <w:r w:rsidR="009A663C" w:rsidRPr="008625DC">
        <w:rPr>
          <w:szCs w:val="24"/>
        </w:rPr>
        <w:t>c</w:t>
      </w:r>
      <w:r w:rsidRPr="008625DC">
        <w:rPr>
          <w:szCs w:val="24"/>
        </w:rPr>
        <w:t>e numbers are balanced given market conditions.</w:t>
      </w:r>
      <w:r w:rsidRPr="008625DC">
        <w:rPr>
          <w:rStyle w:val="FootnoteReference"/>
          <w:szCs w:val="24"/>
        </w:rPr>
        <w:footnoteReference w:id="163"/>
      </w:r>
      <w:r w:rsidRPr="008625DC">
        <w:rPr>
          <w:szCs w:val="24"/>
        </w:rPr>
        <w:t xml:space="preserve"> </w:t>
      </w:r>
    </w:p>
    <w:p w14:paraId="071F95FE" w14:textId="3C631F53" w:rsidR="00323186" w:rsidRPr="008625DC" w:rsidRDefault="00323186" w:rsidP="00C81354">
      <w:pPr>
        <w:spacing w:before="100" w:beforeAutospacing="1" w:after="100" w:afterAutospacing="1"/>
      </w:pPr>
      <w:r w:rsidRPr="008625DC">
        <w:rPr>
          <w:szCs w:val="24"/>
        </w:rPr>
        <w:t xml:space="preserve">IPART estimates that in NSW 15 to 20 per cent of the taxi fare arises as a result of restrictions on the number of licences and notes that the </w:t>
      </w:r>
      <w:r w:rsidRPr="008625DC">
        <w:t xml:space="preserve">passengers </w:t>
      </w:r>
      <w:r w:rsidR="009A663C" w:rsidRPr="008625DC">
        <w:t>who</w:t>
      </w:r>
      <w:r w:rsidRPr="008625DC">
        <w:t xml:space="preserve"> stand to benefit from reform include a significant number of lower income earners, many of whom have limited transport options due to age or disabilities</w:t>
      </w:r>
      <w:r w:rsidR="00024194" w:rsidRPr="008625DC">
        <w:rPr>
          <w:szCs w:val="24"/>
        </w:rPr>
        <w:t>. (</w:t>
      </w:r>
      <w:proofErr w:type="gramStart"/>
      <w:r w:rsidR="00024194" w:rsidRPr="008625DC">
        <w:rPr>
          <w:szCs w:val="24"/>
        </w:rPr>
        <w:t>page</w:t>
      </w:r>
      <w:proofErr w:type="gramEnd"/>
      <w:r w:rsidRPr="008625DC">
        <w:rPr>
          <w:szCs w:val="24"/>
        </w:rPr>
        <w:t xml:space="preserve"> 7) </w:t>
      </w:r>
    </w:p>
    <w:p w14:paraId="16B02A13" w14:textId="59304C5C" w:rsidR="00323186" w:rsidRPr="008625DC" w:rsidRDefault="00323186" w:rsidP="00323186">
      <w:r w:rsidRPr="008625DC">
        <w:t xml:space="preserve">The industry in each </w:t>
      </w:r>
      <w:r w:rsidR="00A46FEF" w:rsidRPr="008625DC">
        <w:t>jurisdiction</w:t>
      </w:r>
      <w:r w:rsidRPr="008625DC">
        <w:t xml:space="preserve"> and nationally has been subject to a series of reviews dating back more than two decades.</w:t>
      </w:r>
      <w:r w:rsidRPr="008625DC">
        <w:rPr>
          <w:rStyle w:val="FootnoteReference"/>
        </w:rPr>
        <w:footnoteReference w:id="164"/>
      </w:r>
      <w:r w:rsidRPr="008625DC">
        <w:t xml:space="preserve"> However, apart from recent reforms in Victoria (see Box </w:t>
      </w:r>
      <w:r w:rsidR="00AE1285" w:rsidRPr="008625DC">
        <w:t>9</w:t>
      </w:r>
      <w:r w:rsidRPr="008625DC">
        <w:t>.</w:t>
      </w:r>
      <w:r w:rsidR="00AE1285" w:rsidRPr="008625DC">
        <w:t>3</w:t>
      </w:r>
      <w:r w:rsidRPr="008625DC">
        <w:t>) there has been little reform undertaken.</w:t>
      </w:r>
      <w:r w:rsidR="00AD0AA5" w:rsidRPr="008625DC">
        <w:t xml:space="preserve"> T</w:t>
      </w:r>
      <w:r w:rsidRPr="008625DC">
        <w:t xml:space="preserve">he Victorian case demonstrates that change for the benefit of consumers is possible. </w:t>
      </w:r>
    </w:p>
    <w:tbl>
      <w:tblPr>
        <w:tblW w:w="9072" w:type="dxa"/>
        <w:tblInd w:w="108" w:type="dxa"/>
        <w:shd w:val="clear" w:color="auto" w:fill="E6E6E6"/>
        <w:tblLook w:val="01E0" w:firstRow="1" w:lastRow="1" w:firstColumn="1" w:lastColumn="1" w:noHBand="0" w:noVBand="0"/>
      </w:tblPr>
      <w:tblGrid>
        <w:gridCol w:w="9072"/>
      </w:tblGrid>
      <w:tr w:rsidR="00323186" w:rsidRPr="008625DC" w14:paraId="69C79990" w14:textId="77777777" w:rsidTr="002D7653">
        <w:tc>
          <w:tcPr>
            <w:tcW w:w="5000" w:type="pct"/>
            <w:shd w:val="clear" w:color="auto" w:fill="E6E6E6"/>
          </w:tcPr>
          <w:p w14:paraId="7F4ADF88" w14:textId="3967FFDF" w:rsidR="00323186" w:rsidRPr="008625DC" w:rsidRDefault="00323186" w:rsidP="002D7653">
            <w:pPr>
              <w:pStyle w:val="BoxHeading"/>
            </w:pPr>
            <w:r w:rsidRPr="008625DC">
              <w:t xml:space="preserve">Box </w:t>
            </w:r>
            <w:r w:rsidR="00AE1285" w:rsidRPr="008625DC">
              <w:t>9.3:</w:t>
            </w:r>
            <w:r w:rsidRPr="008625DC">
              <w:t xml:space="preserve"> Victorian </w:t>
            </w:r>
            <w:r w:rsidR="009A663C" w:rsidRPr="008625DC">
              <w:t>t</w:t>
            </w:r>
            <w:r w:rsidRPr="008625DC">
              <w:t xml:space="preserve">axi </w:t>
            </w:r>
            <w:r w:rsidR="009A663C" w:rsidRPr="008625DC">
              <w:t>r</w:t>
            </w:r>
            <w:r w:rsidRPr="008625DC">
              <w:t>eforms</w:t>
            </w:r>
          </w:p>
          <w:p w14:paraId="766E734B" w14:textId="77777777" w:rsidR="00323186" w:rsidRPr="008625DC" w:rsidRDefault="00323186" w:rsidP="00024194">
            <w:pPr>
              <w:pStyle w:val="BoxText"/>
              <w:rPr>
                <w:color w:val="222222"/>
              </w:rPr>
            </w:pPr>
            <w:r w:rsidRPr="008625DC">
              <w:t xml:space="preserve">In Victoria, dissatisfaction with taxi costs and service levels led the Government to undertake fundamental reforms </w:t>
            </w:r>
            <w:r w:rsidRPr="008625DC">
              <w:rPr>
                <w:color w:val="222222"/>
              </w:rPr>
              <w:t>mostly along the lines recommend by the Taxi Industry Inquiry 2012.</w:t>
            </w:r>
            <w:r w:rsidRPr="008625DC">
              <w:rPr>
                <w:rStyle w:val="FootnoteReference"/>
                <w:color w:val="222222"/>
              </w:rPr>
              <w:footnoteReference w:id="165"/>
            </w:r>
            <w:r w:rsidRPr="008625DC">
              <w:rPr>
                <w:color w:val="222222"/>
              </w:rPr>
              <w:t xml:space="preserve"> </w:t>
            </w:r>
          </w:p>
          <w:p w14:paraId="0649ED13" w14:textId="77777777" w:rsidR="00323186" w:rsidRPr="008625DC" w:rsidRDefault="00323186" w:rsidP="00024194">
            <w:pPr>
              <w:pStyle w:val="BoxText"/>
              <w:rPr>
                <w:color w:val="222222"/>
              </w:rPr>
            </w:pPr>
            <w:r w:rsidRPr="008625DC">
              <w:rPr>
                <w:color w:val="222222"/>
              </w:rPr>
              <w:t>These reforms include:</w:t>
            </w:r>
          </w:p>
          <w:p w14:paraId="5D18A9DF" w14:textId="6A338BD1" w:rsidR="00323186" w:rsidRPr="008625DC" w:rsidRDefault="00323186" w:rsidP="00AD0AA5">
            <w:pPr>
              <w:pStyle w:val="Bullet"/>
              <w:rPr>
                <w:color w:val="auto"/>
              </w:rPr>
            </w:pPr>
            <w:r w:rsidRPr="008625DC">
              <w:t>increased pay and higher standards for drivers under a new mandatory Driver Agreement;</w:t>
            </w:r>
          </w:p>
          <w:p w14:paraId="1639C427" w14:textId="260BFEDB" w:rsidR="00323186" w:rsidRPr="008625DC" w:rsidRDefault="00323186" w:rsidP="00AD0AA5">
            <w:pPr>
              <w:pStyle w:val="Bullet"/>
            </w:pPr>
            <w:r w:rsidRPr="008625DC">
              <w:t>improvements to the fare structure including peak and off</w:t>
            </w:r>
            <w:r w:rsidR="00C74E19" w:rsidRPr="008625DC">
              <w:noBreakHyphen/>
            </w:r>
            <w:r w:rsidRPr="008625DC">
              <w:t>peak pricing;</w:t>
            </w:r>
          </w:p>
          <w:p w14:paraId="4126D479" w14:textId="053CDB8C" w:rsidR="00323186" w:rsidRPr="008625DC" w:rsidRDefault="00323186" w:rsidP="00AD0AA5">
            <w:pPr>
              <w:pStyle w:val="Bullet"/>
            </w:pPr>
            <w:r w:rsidRPr="008625DC">
              <w:t>cutting the service fee for card payment from 10 per cent to five per cent;</w:t>
            </w:r>
          </w:p>
          <w:p w14:paraId="09B20AAA" w14:textId="41CAE3CD" w:rsidR="00323186" w:rsidRPr="008625DC" w:rsidRDefault="00323186" w:rsidP="00AD0AA5">
            <w:pPr>
              <w:pStyle w:val="Bullet"/>
            </w:pPr>
            <w:r w:rsidRPr="008625DC">
              <w:t>regulated fares moving from prescribed fares to maximum fares, providing the ability for customers to be offered discounted rates, such as lower fares to the airport;</w:t>
            </w:r>
          </w:p>
          <w:p w14:paraId="0E4FD408" w14:textId="6DFE87C8" w:rsidR="00323186" w:rsidRPr="008625DC" w:rsidRDefault="00323186" w:rsidP="00AD0AA5">
            <w:pPr>
              <w:pStyle w:val="Bullet"/>
            </w:pPr>
            <w:r w:rsidRPr="008625DC">
              <w:t>a zoning system</w:t>
            </w:r>
            <w:r w:rsidR="00380141" w:rsidRPr="008625DC">
              <w:t xml:space="preserve"> — </w:t>
            </w:r>
            <w:r w:rsidRPr="008625DC">
              <w:t>metro, urban (including large regional centres), regional, and country</w:t>
            </w:r>
            <w:r w:rsidR="00380141" w:rsidRPr="008625DC">
              <w:t xml:space="preserve"> — </w:t>
            </w:r>
            <w:r w:rsidRPr="008625DC">
              <w:t>with separate licence fees applying;</w:t>
            </w:r>
          </w:p>
          <w:p w14:paraId="2785FA32" w14:textId="7C8A38CB" w:rsidR="00323186" w:rsidRPr="008625DC" w:rsidRDefault="00323186" w:rsidP="00AD0AA5">
            <w:pPr>
              <w:pStyle w:val="Bullet"/>
            </w:pPr>
            <w:r w:rsidRPr="008625DC">
              <w:rPr>
                <w:bCs/>
              </w:rPr>
              <w:t>opening the market with the</w:t>
            </w:r>
            <w:r w:rsidRPr="008625DC">
              <w:t xml:space="preserve"> Taxi Services Commission issuing new licences as the market demands, with a set annual fee for licences—the fee will be lower in regional and country areas, and for wheelchair</w:t>
            </w:r>
            <w:r w:rsidR="00C74E19" w:rsidRPr="008625DC">
              <w:noBreakHyphen/>
            </w:r>
            <w:r w:rsidRPr="008625DC">
              <w:t>accessible vehicles;</w:t>
            </w:r>
          </w:p>
          <w:p w14:paraId="59DC07FC" w14:textId="4A19AB68" w:rsidR="00323186" w:rsidRPr="008625DC" w:rsidRDefault="00323186" w:rsidP="00AD0AA5">
            <w:pPr>
              <w:pStyle w:val="Bullet"/>
            </w:pPr>
            <w:r w:rsidRPr="008625DC">
              <w:t xml:space="preserve">a new </w:t>
            </w:r>
            <w:r w:rsidR="00C74E19" w:rsidRPr="008625DC">
              <w:t>‘</w:t>
            </w:r>
            <w:r w:rsidRPr="008625DC">
              <w:t>consumer interest test</w:t>
            </w:r>
            <w:r w:rsidR="00C74E19" w:rsidRPr="008625DC">
              <w:t>’</w:t>
            </w:r>
            <w:r w:rsidRPr="008625DC">
              <w:t xml:space="preserve"> will apply to regional and country zones to consider the benefits of new licences for customers;</w:t>
            </w:r>
          </w:p>
          <w:p w14:paraId="692B34BF" w14:textId="282B21D3" w:rsidR="00323186" w:rsidRPr="008625DC" w:rsidRDefault="00323186" w:rsidP="00AD0AA5">
            <w:pPr>
              <w:pStyle w:val="Bullet"/>
            </w:pPr>
            <w:r w:rsidRPr="008625DC">
              <w:t>enabling taxis and hire cars to compete for contract work to fill the gaps in public transport services; and</w:t>
            </w:r>
          </w:p>
          <w:p w14:paraId="39937A4C" w14:textId="764C5884" w:rsidR="00323186" w:rsidRPr="008625DC" w:rsidRDefault="00323186" w:rsidP="00AD0AA5">
            <w:pPr>
              <w:pStyle w:val="Bullet"/>
            </w:pPr>
            <w:proofErr w:type="gramStart"/>
            <w:r w:rsidRPr="008625DC">
              <w:t>removing</w:t>
            </w:r>
            <w:proofErr w:type="gramEnd"/>
            <w:r w:rsidRPr="008625DC">
              <w:t xml:space="preserve"> the requirement to offer taxi services on a continual basis, allowing taxi operators to set their own hours.</w:t>
            </w:r>
            <w:r w:rsidRPr="008625DC">
              <w:rPr>
                <w:rStyle w:val="FootnoteReference"/>
              </w:rPr>
              <w:footnoteReference w:id="166"/>
            </w:r>
          </w:p>
        </w:tc>
      </w:tr>
    </w:tbl>
    <w:p w14:paraId="2C2C2C39" w14:textId="214C84C3" w:rsidR="00323186" w:rsidRPr="008625DC" w:rsidRDefault="00323186" w:rsidP="00C81354">
      <w:pPr>
        <w:spacing w:before="240"/>
      </w:pPr>
      <w:r w:rsidRPr="008625DC">
        <w:t xml:space="preserve">Technological change is also </w:t>
      </w:r>
      <w:r w:rsidR="00C74E19" w:rsidRPr="008625DC">
        <w:t>‘</w:t>
      </w:r>
      <w:r w:rsidRPr="008625DC">
        <w:t>disrupting</w:t>
      </w:r>
      <w:r w:rsidR="00C74E19" w:rsidRPr="008625DC">
        <w:t>’</w:t>
      </w:r>
      <w:r w:rsidRPr="008625DC">
        <w:t xml:space="preserve"> the taxi industry and forcing change upon it.</w:t>
      </w:r>
      <w:r w:rsidR="009A663C" w:rsidRPr="008625DC">
        <w:t xml:space="preserve"> </w:t>
      </w:r>
      <w:r w:rsidRPr="008625DC">
        <w:t xml:space="preserve">For example, traditional booking methods are being challenged by the emergence of apps such as GoCatch and ingogo, as is the industry itself through rideshare apps like </w:t>
      </w:r>
      <w:r w:rsidR="007A6FEE" w:rsidRPr="008625DC">
        <w:t>Uber</w:t>
      </w:r>
      <w:r w:rsidRPr="008625DC">
        <w:t xml:space="preserve"> that can connect individuals wanting a lift to drivers willing to take them for a fee.</w:t>
      </w:r>
    </w:p>
    <w:p w14:paraId="4AA84AE6" w14:textId="4B56F90F" w:rsidR="00704B75" w:rsidRPr="008625DC" w:rsidRDefault="00704B75" w:rsidP="00024194">
      <w:r w:rsidRPr="008625DC">
        <w:lastRenderedPageBreak/>
        <w:t xml:space="preserve">The emergence of </w:t>
      </w:r>
      <w:r w:rsidR="007A6FEE" w:rsidRPr="008625DC">
        <w:t>Uber</w:t>
      </w:r>
      <w:r w:rsidRPr="008625DC">
        <w:t xml:space="preserve"> has been particularly controversial as regulatory agencies have been questioning its legality and fining drivers, notwithstanding considerable public demand for its services. This indicates existing regulation is more concerned with protecting a particular business model than being flexible enough to allow innovative transport services to emerge.</w:t>
      </w:r>
    </w:p>
    <w:p w14:paraId="35A94366" w14:textId="73453D70" w:rsidR="00323186" w:rsidRPr="008625DC" w:rsidRDefault="00323186" w:rsidP="00024194">
      <w:pPr>
        <w:spacing w:after="120"/>
      </w:pPr>
      <w:r w:rsidRPr="008625DC">
        <w:t>National Seniors Australia</w:t>
      </w:r>
      <w:r w:rsidR="00657C2E" w:rsidRPr="008625DC">
        <w:t xml:space="preserve"> notes that</w:t>
      </w:r>
      <w:r w:rsidRPr="008625DC">
        <w:t xml:space="preserve"> new technologies are having the effect of empowering consumers:</w:t>
      </w:r>
    </w:p>
    <w:p w14:paraId="398B7ED7" w14:textId="4CF0C044" w:rsidR="00323186" w:rsidRPr="008625DC" w:rsidRDefault="00C81354" w:rsidP="00323186">
      <w:pPr>
        <w:pStyle w:val="Quotes"/>
      </w:pPr>
      <w:r w:rsidRPr="008625DC">
        <w:t>[</w:t>
      </w:r>
      <w:r w:rsidR="0009009B">
        <w:t>T</w:t>
      </w:r>
      <w:r w:rsidRPr="008625DC">
        <w:t>]</w:t>
      </w:r>
      <w:r w:rsidR="00323186" w:rsidRPr="008625DC">
        <w:t>he digital revolution</w:t>
      </w:r>
      <w:r w:rsidR="00380141" w:rsidRPr="008625DC">
        <w:t xml:space="preserve"> — </w:t>
      </w:r>
      <w:r w:rsidR="00323186" w:rsidRPr="008625DC">
        <w:t>including the growing use of mobile telephone applications in combination with satellite navigation technologies</w:t>
      </w:r>
      <w:r w:rsidR="00380141" w:rsidRPr="008625DC">
        <w:t xml:space="preserve"> — </w:t>
      </w:r>
      <w:r w:rsidR="00323186" w:rsidRPr="008625DC">
        <w:t xml:space="preserve">is giving rise to opportunities for new entrants to breakdown existing taxi network monopolies, enabling consumers to exercise greater choice and receive prompter service. </w:t>
      </w:r>
      <w:r w:rsidR="00323186" w:rsidRPr="008625DC">
        <w:rPr>
          <w:szCs w:val="22"/>
        </w:rPr>
        <w:t>It will be important to ensure that these innovations are not stifled by further anti</w:t>
      </w:r>
      <w:r w:rsidR="00C74E19" w:rsidRPr="008625DC">
        <w:rPr>
          <w:szCs w:val="22"/>
        </w:rPr>
        <w:noBreakHyphen/>
      </w:r>
      <w:r w:rsidR="00323186" w:rsidRPr="008625DC">
        <w:rPr>
          <w:szCs w:val="22"/>
        </w:rPr>
        <w:t xml:space="preserve">competitive regulation aimed at protecting incumbents. </w:t>
      </w:r>
      <w:r w:rsidR="00024194" w:rsidRPr="008625DC">
        <w:t>(</w:t>
      </w:r>
      <w:proofErr w:type="gramStart"/>
      <w:r w:rsidR="00024194" w:rsidRPr="008625DC">
        <w:t>page</w:t>
      </w:r>
      <w:r w:rsidR="008873A2" w:rsidRPr="008625DC">
        <w:t>s</w:t>
      </w:r>
      <w:proofErr w:type="gramEnd"/>
      <w:r w:rsidR="00323186" w:rsidRPr="008625DC">
        <w:t xml:space="preserve"> 14</w:t>
      </w:r>
      <w:r w:rsidR="00C74E19" w:rsidRPr="008625DC">
        <w:noBreakHyphen/>
      </w:r>
      <w:r w:rsidR="008873A2" w:rsidRPr="008625DC">
        <w:t>15</w:t>
      </w:r>
      <w:r w:rsidR="00323186" w:rsidRPr="008625DC">
        <w:t>)</w:t>
      </w:r>
    </w:p>
    <w:p w14:paraId="378DCF54" w14:textId="61FA224A" w:rsidR="00323186" w:rsidRPr="008625DC" w:rsidRDefault="00323186" w:rsidP="00024194">
      <w:r w:rsidRPr="008625DC">
        <w:t xml:space="preserve">While taxi reform </w:t>
      </w:r>
      <w:r w:rsidR="00771FCB" w:rsidRPr="008625DC">
        <w:t>is</w:t>
      </w:r>
      <w:r w:rsidRPr="008625DC">
        <w:t xml:space="preserve"> not</w:t>
      </w:r>
      <w:r w:rsidR="00771FCB" w:rsidRPr="008625DC">
        <w:t xml:space="preserve"> expected to</w:t>
      </w:r>
      <w:r w:rsidRPr="008625DC">
        <w:t xml:space="preserve"> make a major contribution to national productivity, the sector is an important component of metropolitan transport, and can be particularly important for the mobility of the elderly and those with a disability. More affordable and convenient taxi services give consumers options. Significantly reduced barriers to entry could see more taxis operate at peak times, without needing to operate at off</w:t>
      </w:r>
      <w:r w:rsidR="00C74E19" w:rsidRPr="008625DC">
        <w:noBreakHyphen/>
      </w:r>
      <w:r w:rsidRPr="008625DC">
        <w:t>peak times just to earn a return on the licen</w:t>
      </w:r>
      <w:r w:rsidR="009A663C" w:rsidRPr="008625DC">
        <w:t>c</w:t>
      </w:r>
      <w:r w:rsidRPr="008625DC">
        <w:t>e.</w:t>
      </w:r>
    </w:p>
    <w:p w14:paraId="7A8D3274" w14:textId="139BA44B" w:rsidR="00323186" w:rsidRPr="008625DC" w:rsidRDefault="00323186" w:rsidP="00024194">
      <w:r w:rsidRPr="008625DC">
        <w:t>The Panel considers that the longstanding failure to reform taxi regulation has undermined the credibility of governments</w:t>
      </w:r>
      <w:r w:rsidR="00C74E19" w:rsidRPr="008625DC">
        <w:t>’</w:t>
      </w:r>
      <w:r w:rsidRPr="008625DC">
        <w:t xml:space="preserve"> commitment to competition policy more broadly, making it harder to argue the case for reform in other areas.</w:t>
      </w:r>
      <w:r w:rsidR="009A663C" w:rsidRPr="008625DC">
        <w:t xml:space="preserve"> </w:t>
      </w:r>
      <w:r w:rsidRPr="008625DC">
        <w:t xml:space="preserve">The Victorian example demonstrates that change is possible and technological </w:t>
      </w:r>
      <w:r w:rsidR="00C74E19" w:rsidRPr="008625DC">
        <w:t>‘</w:t>
      </w:r>
      <w:r w:rsidRPr="008625DC">
        <w:t>disruption</w:t>
      </w:r>
      <w:r w:rsidR="00C74E19" w:rsidRPr="008625DC">
        <w:t>’</w:t>
      </w:r>
      <w:r w:rsidRPr="008625DC">
        <w:t xml:space="preserve"> suggests that change driven by consumers is inevitable.</w:t>
      </w:r>
    </w:p>
    <w:p w14:paraId="3A0339E9" w14:textId="1300AB31" w:rsidR="00323186" w:rsidRPr="008625DC" w:rsidRDefault="00323186" w:rsidP="00024194">
      <w:r w:rsidRPr="008625DC">
        <w:t xml:space="preserve">The focus of reform in the taxi industry needs to be twofold: to reduce </w:t>
      </w:r>
      <w:r w:rsidR="009A663C" w:rsidRPr="008625DC">
        <w:t xml:space="preserve">or eliminate </w:t>
      </w:r>
      <w:r w:rsidRPr="008625DC">
        <w:t>restriction</w:t>
      </w:r>
      <w:r w:rsidR="009A663C" w:rsidRPr="008625DC">
        <w:t>s</w:t>
      </w:r>
      <w:r w:rsidRPr="008625DC">
        <w:t xml:space="preserve"> on the supply of taxis that limit choice and increase prices for consumers; while ensuring that technological change that can benefi</w:t>
      </w:r>
      <w:r w:rsidR="00024194" w:rsidRPr="008625DC">
        <w:t>t consumers is not discouraged.</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323186" w:rsidRPr="008625DC" w14:paraId="5227DE13" w14:textId="77777777" w:rsidTr="002D7653">
        <w:tc>
          <w:tcPr>
            <w:tcW w:w="5000" w:type="pct"/>
            <w:shd w:val="clear" w:color="auto" w:fill="FFFFFF" w:themeFill="background1"/>
          </w:tcPr>
          <w:p w14:paraId="28D169AD" w14:textId="2B99E9AC" w:rsidR="00323186" w:rsidRPr="008625DC" w:rsidRDefault="00323186" w:rsidP="002D7653">
            <w:pPr>
              <w:pStyle w:val="Keyfindingheading"/>
            </w:pPr>
            <w:r w:rsidRPr="008625DC">
              <w:t>The Panel</w:t>
            </w:r>
            <w:r w:rsidR="00C74E19" w:rsidRPr="008625DC">
              <w:t>’</w:t>
            </w:r>
            <w:r w:rsidRPr="008625DC">
              <w:t>s view</w:t>
            </w:r>
          </w:p>
          <w:p w14:paraId="04CFD703" w14:textId="320E1BBF" w:rsidR="00323186" w:rsidRPr="008625DC" w:rsidRDefault="00323186" w:rsidP="002D7653">
            <w:pPr>
              <w:pStyle w:val="Keyfindingtext"/>
            </w:pPr>
            <w:bookmarkStart w:id="21631" w:name="_Toc395624588"/>
            <w:bookmarkStart w:id="21632" w:name="_Toc395789940"/>
            <w:bookmarkStart w:id="21633" w:name="_Toc395800697"/>
            <w:r w:rsidRPr="008625DC">
              <w:t xml:space="preserve">Taxi industry reform in most </w:t>
            </w:r>
            <w:r w:rsidR="00A46FEF" w:rsidRPr="008625DC">
              <w:t>S</w:t>
            </w:r>
            <w:r w:rsidRPr="008625DC">
              <w:t>tates</w:t>
            </w:r>
            <w:r w:rsidR="00A46FEF" w:rsidRPr="008625DC">
              <w:t xml:space="preserve"> and Territories</w:t>
            </w:r>
            <w:r w:rsidRPr="008625DC">
              <w:t xml:space="preserve"> is long overdue.</w:t>
            </w:r>
            <w:r w:rsidR="00EB570E" w:rsidRPr="008625DC">
              <w:t xml:space="preserve"> Many restrictions remain that limit competition by creating barriers to entry and preventing innovation</w:t>
            </w:r>
            <w:r w:rsidRPr="008625DC">
              <w:t>.</w:t>
            </w:r>
          </w:p>
          <w:p w14:paraId="3478344E" w14:textId="77777777" w:rsidR="00323186" w:rsidRPr="008625DC" w:rsidRDefault="00323186" w:rsidP="002D7653">
            <w:pPr>
              <w:pStyle w:val="Keyfindingtext"/>
            </w:pPr>
            <w:r w:rsidRPr="008625DC">
              <w:t>The regulatory framework for taxi regulation could be enhanced considerably through independent regulators having the power to make determinations (rather than recommendations), including on the number and type of taxi licences to be issued.</w:t>
            </w:r>
            <w:bookmarkEnd w:id="21631"/>
            <w:bookmarkEnd w:id="21632"/>
            <w:bookmarkEnd w:id="21633"/>
          </w:p>
          <w:p w14:paraId="027B603E" w14:textId="3CC04DF1" w:rsidR="00323186" w:rsidRPr="008625DC" w:rsidRDefault="00323186" w:rsidP="005A249A">
            <w:pPr>
              <w:pStyle w:val="Keyfindingtext"/>
            </w:pPr>
            <w:bookmarkStart w:id="21634" w:name="_Toc395084671"/>
            <w:bookmarkStart w:id="21635" w:name="_Toc395084972"/>
            <w:bookmarkStart w:id="21636" w:name="_Toc395090435"/>
            <w:bookmarkStart w:id="21637" w:name="_Toc395093019"/>
            <w:bookmarkStart w:id="21638" w:name="_Toc395097931"/>
            <w:bookmarkStart w:id="21639" w:name="_Toc395106116"/>
            <w:bookmarkStart w:id="21640" w:name="_Toc395112086"/>
            <w:bookmarkStart w:id="21641" w:name="_Toc395107226"/>
            <w:bookmarkStart w:id="21642" w:name="_Toc395108789"/>
            <w:bookmarkStart w:id="21643" w:name="_Toc395114029"/>
            <w:bookmarkStart w:id="21644" w:name="_Toc395116766"/>
            <w:bookmarkStart w:id="21645" w:name="_Toc395112703"/>
            <w:bookmarkStart w:id="21646" w:name="_Toc395115243"/>
            <w:bookmarkStart w:id="21647" w:name="_Toc395118395"/>
            <w:bookmarkStart w:id="21648" w:name="_Toc395624589"/>
            <w:bookmarkStart w:id="21649" w:name="_Toc395789941"/>
            <w:bookmarkStart w:id="21650" w:name="_Toc395800698"/>
            <w:r w:rsidRPr="008625DC">
              <w:t xml:space="preserve">Mobile technologies are emerging that </w:t>
            </w:r>
            <w:proofErr w:type="gramStart"/>
            <w:r w:rsidRPr="008625DC">
              <w:t>compete</w:t>
            </w:r>
            <w:proofErr w:type="gramEnd"/>
            <w:r w:rsidRPr="008625DC">
              <w:t xml:space="preserve"> with traditional taxi booking services and support the emergence of innovative passenger transport services. Any regulation of such services should be consumer</w:t>
            </w:r>
            <w:r w:rsidR="00C74E19" w:rsidRPr="008625DC">
              <w:noBreakHyphen/>
            </w:r>
            <w:r w:rsidR="004E3403" w:rsidRPr="008625DC">
              <w:t>focused</w:t>
            </w:r>
            <w:r w:rsidRPr="008625DC">
              <w:t xml:space="preserve"> and not inhibit innovation or protect existing business models.</w:t>
            </w:r>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p>
        </w:tc>
      </w:tr>
    </w:tbl>
    <w:p w14:paraId="446C5C7B" w14:textId="22636BBD" w:rsidR="000225AB" w:rsidRPr="008625DC" w:rsidRDefault="00323186">
      <w:pPr>
        <w:spacing w:before="0" w:after="0"/>
      </w:pPr>
      <w:r w:rsidRPr="008625DC">
        <w:br w:type="page"/>
      </w:r>
    </w:p>
    <w:p w14:paraId="73377191" w14:textId="42167530" w:rsidR="000225AB" w:rsidRPr="008625DC" w:rsidRDefault="000225AB" w:rsidP="00864E0A">
      <w:pPr>
        <w:pStyle w:val="Heading1"/>
        <w:ind w:left="851" w:hanging="851"/>
      </w:pPr>
      <w:bookmarkStart w:id="21651" w:name="_Toc393985216"/>
      <w:bookmarkStart w:id="21652" w:name="_Toc393985362"/>
      <w:bookmarkStart w:id="21653" w:name="_Toc393985719"/>
      <w:bookmarkStart w:id="21654" w:name="_Toc393985866"/>
      <w:bookmarkStart w:id="21655" w:name="_Toc393986121"/>
      <w:bookmarkStart w:id="21656" w:name="_Toc393986268"/>
      <w:bookmarkStart w:id="21657" w:name="_Toc393986524"/>
      <w:bookmarkStart w:id="21658" w:name="_Toc393988131"/>
      <w:bookmarkStart w:id="21659" w:name="_Toc393988278"/>
      <w:bookmarkStart w:id="21660" w:name="_Toc393988533"/>
      <w:bookmarkStart w:id="21661" w:name="_Toc393988680"/>
      <w:bookmarkStart w:id="21662" w:name="_Toc393986672"/>
      <w:bookmarkStart w:id="21663" w:name="_Toc393989545"/>
      <w:bookmarkStart w:id="21664" w:name="_Toc393989692"/>
      <w:bookmarkStart w:id="21665" w:name="_Toc393988934"/>
      <w:bookmarkStart w:id="21666" w:name="_Toc393989080"/>
      <w:bookmarkStart w:id="21667" w:name="_Toc393990938"/>
      <w:bookmarkStart w:id="21668" w:name="_Toc393991084"/>
      <w:bookmarkStart w:id="21669" w:name="_Toc393991183"/>
      <w:bookmarkStart w:id="21670" w:name="_Toc393991922"/>
      <w:bookmarkStart w:id="21671" w:name="_Toc393992068"/>
      <w:bookmarkStart w:id="21672" w:name="_Toc394047585"/>
      <w:bookmarkStart w:id="21673" w:name="_Toc394047732"/>
      <w:bookmarkStart w:id="21674" w:name="_Toc394047843"/>
      <w:bookmarkStart w:id="21675" w:name="_Toc394048399"/>
      <w:bookmarkStart w:id="21676" w:name="_Toc394049861"/>
      <w:bookmarkStart w:id="21677" w:name="_Toc394050011"/>
      <w:bookmarkStart w:id="21678" w:name="_Toc394051261"/>
      <w:bookmarkStart w:id="21679" w:name="_Toc394051411"/>
      <w:bookmarkStart w:id="21680" w:name="_Toc394062250"/>
      <w:bookmarkStart w:id="21681" w:name="_Toc394062558"/>
      <w:bookmarkStart w:id="21682" w:name="_Toc394069125"/>
      <w:bookmarkStart w:id="21683" w:name="_Toc394069273"/>
      <w:bookmarkStart w:id="21684" w:name="_Toc394071043"/>
      <w:bookmarkStart w:id="21685" w:name="_Toc394071191"/>
      <w:bookmarkStart w:id="21686" w:name="_Toc394312752"/>
      <w:bookmarkStart w:id="21687" w:name="_Toc394330464"/>
      <w:bookmarkStart w:id="21688" w:name="_Toc394330732"/>
      <w:bookmarkStart w:id="21689" w:name="_Toc394331247"/>
      <w:bookmarkStart w:id="21690" w:name="_Toc394331395"/>
      <w:bookmarkStart w:id="21691" w:name="_Toc394330352"/>
      <w:bookmarkStart w:id="21692" w:name="_Toc394333323"/>
      <w:bookmarkStart w:id="21693" w:name="_Toc394333470"/>
      <w:bookmarkStart w:id="21694" w:name="_Toc394333736"/>
      <w:bookmarkStart w:id="21695" w:name="_Toc394333883"/>
      <w:bookmarkStart w:id="21696" w:name="_Toc394334149"/>
      <w:bookmarkStart w:id="21697" w:name="_Toc394334296"/>
      <w:bookmarkStart w:id="21698" w:name="_Toc394334975"/>
      <w:bookmarkStart w:id="21699" w:name="_Toc394335122"/>
      <w:bookmarkStart w:id="21700" w:name="_Toc394415162"/>
      <w:bookmarkStart w:id="21701" w:name="_Toc394415330"/>
      <w:bookmarkStart w:id="21702" w:name="_Toc394412467"/>
      <w:bookmarkStart w:id="21703" w:name="_Toc394412639"/>
      <w:bookmarkStart w:id="21704" w:name="_Toc394420760"/>
      <w:bookmarkStart w:id="21705" w:name="_Toc394420932"/>
      <w:bookmarkStart w:id="21706" w:name="_Toc394423603"/>
      <w:bookmarkStart w:id="21707" w:name="_Toc394423773"/>
      <w:bookmarkStart w:id="21708" w:name="_Toc394422647"/>
      <w:bookmarkStart w:id="21709" w:name="_Toc394422817"/>
      <w:bookmarkStart w:id="21710" w:name="_Toc394423118"/>
      <w:bookmarkStart w:id="21711" w:name="_Toc394423288"/>
      <w:bookmarkStart w:id="21712" w:name="_Toc394424268"/>
      <w:bookmarkStart w:id="21713" w:name="_Toc394424436"/>
      <w:bookmarkStart w:id="21714" w:name="_Toc394492101"/>
      <w:bookmarkStart w:id="21715" w:name="_Toc394492269"/>
      <w:bookmarkStart w:id="21716" w:name="_Toc394495245"/>
      <w:bookmarkStart w:id="21717" w:name="_Toc394495413"/>
      <w:bookmarkStart w:id="21718" w:name="_Toc394498060"/>
      <w:bookmarkStart w:id="21719" w:name="_Toc394498228"/>
      <w:bookmarkStart w:id="21720" w:name="_Toc394500850"/>
      <w:bookmarkStart w:id="21721" w:name="_Toc394501018"/>
      <w:bookmarkStart w:id="21722" w:name="_Toc394502247"/>
      <w:bookmarkStart w:id="21723" w:name="_Toc394502408"/>
      <w:bookmarkStart w:id="21724" w:name="_Toc394503147"/>
      <w:bookmarkStart w:id="21725" w:name="_Toc394503766"/>
      <w:bookmarkStart w:id="21726" w:name="_Toc394502691"/>
      <w:bookmarkStart w:id="21727" w:name="_Toc394502855"/>
      <w:bookmarkStart w:id="21728" w:name="_Toc394505898"/>
      <w:bookmarkStart w:id="21729" w:name="_Toc394506184"/>
      <w:bookmarkStart w:id="21730" w:name="_Toc394506357"/>
      <w:bookmarkStart w:id="21731" w:name="_Toc394506522"/>
      <w:bookmarkStart w:id="21732" w:name="_Toc394506911"/>
      <w:bookmarkStart w:id="21733" w:name="_Toc394507076"/>
      <w:bookmarkStart w:id="21734" w:name="_Toc394560984"/>
      <w:bookmarkStart w:id="21735" w:name="_Toc394561153"/>
      <w:bookmarkStart w:id="21736" w:name="_Toc394561445"/>
      <w:bookmarkStart w:id="21737" w:name="_Toc394561986"/>
      <w:bookmarkStart w:id="21738" w:name="_Toc394582976"/>
      <w:bookmarkStart w:id="21739" w:name="_Toc394585647"/>
      <w:bookmarkStart w:id="21740" w:name="_Toc394586113"/>
      <w:bookmarkStart w:id="21741" w:name="_Toc394588045"/>
      <w:bookmarkStart w:id="21742" w:name="_Toc394588880"/>
      <w:bookmarkStart w:id="21743" w:name="_Toc394589005"/>
      <w:bookmarkStart w:id="21744" w:name="_Toc394590421"/>
      <w:bookmarkStart w:id="21745" w:name="_Toc394590614"/>
      <w:bookmarkStart w:id="21746" w:name="_Toc394654515"/>
      <w:bookmarkStart w:id="21747" w:name="_Toc394654673"/>
      <w:bookmarkStart w:id="21748" w:name="_Toc394656215"/>
      <w:bookmarkStart w:id="21749" w:name="_Toc394656372"/>
      <w:bookmarkStart w:id="21750" w:name="_Toc394659352"/>
      <w:bookmarkStart w:id="21751" w:name="_Toc394659510"/>
      <w:bookmarkStart w:id="21752" w:name="_Toc394663364"/>
      <w:bookmarkStart w:id="21753" w:name="_Toc394663520"/>
      <w:bookmarkStart w:id="21754" w:name="_Toc394667158"/>
      <w:bookmarkStart w:id="21755" w:name="_Toc394667314"/>
      <w:bookmarkStart w:id="21756" w:name="_Toc394671637"/>
      <w:bookmarkStart w:id="21757" w:name="_Toc394671797"/>
      <w:bookmarkStart w:id="21758" w:name="_Toc394674639"/>
      <w:bookmarkStart w:id="21759" w:name="_Toc394674802"/>
      <w:bookmarkStart w:id="21760" w:name="_Toc394674916"/>
      <w:bookmarkStart w:id="21761" w:name="_Toc394675082"/>
      <w:bookmarkStart w:id="21762" w:name="_Toc394676027"/>
      <w:bookmarkStart w:id="21763" w:name="_Toc394676189"/>
      <w:bookmarkStart w:id="21764" w:name="_Toc394675715"/>
      <w:bookmarkStart w:id="21765" w:name="_Toc394675878"/>
      <w:bookmarkStart w:id="21766" w:name="_Toc394918278"/>
      <w:bookmarkStart w:id="21767" w:name="_Toc394918792"/>
      <w:bookmarkStart w:id="21768" w:name="_Toc394930764"/>
      <w:bookmarkStart w:id="21769" w:name="_Toc394933677"/>
      <w:bookmarkStart w:id="21770" w:name="_Toc394938124"/>
      <w:bookmarkStart w:id="21771" w:name="_Toc394938369"/>
      <w:bookmarkStart w:id="21772" w:name="_Toc394938626"/>
      <w:bookmarkStart w:id="21773" w:name="_Toc394937649"/>
      <w:bookmarkStart w:id="21774" w:name="_Toc394937908"/>
      <w:bookmarkStart w:id="21775" w:name="_Toc394941036"/>
      <w:bookmarkStart w:id="21776" w:name="_Toc394941280"/>
      <w:bookmarkStart w:id="21777" w:name="_Toc394941537"/>
      <w:bookmarkStart w:id="21778" w:name="_Toc394941652"/>
      <w:bookmarkStart w:id="21779" w:name="_Toc394941896"/>
      <w:bookmarkStart w:id="21780" w:name="_Toc394942153"/>
      <w:bookmarkStart w:id="21781" w:name="_Toc394939873"/>
      <w:bookmarkStart w:id="21782" w:name="_Toc394940118"/>
      <w:bookmarkStart w:id="21783" w:name="_Toc394940375"/>
      <w:bookmarkStart w:id="21784" w:name="_Toc394939485"/>
      <w:bookmarkStart w:id="21785" w:name="_Toc394939728"/>
      <w:bookmarkStart w:id="21786" w:name="_Toc394940589"/>
      <w:bookmarkStart w:id="21787" w:name="_Toc394993625"/>
      <w:bookmarkStart w:id="21788" w:name="_Toc394995506"/>
      <w:bookmarkStart w:id="21789" w:name="_Toc394995820"/>
      <w:bookmarkStart w:id="21790" w:name="_Toc394996069"/>
      <w:bookmarkStart w:id="21791" w:name="_Toc394997795"/>
      <w:bookmarkStart w:id="21792" w:name="_Toc394998063"/>
      <w:bookmarkStart w:id="21793" w:name="_Toc394998310"/>
      <w:bookmarkStart w:id="21794" w:name="_Toc394998577"/>
      <w:bookmarkStart w:id="21795" w:name="_Toc395001805"/>
      <w:bookmarkStart w:id="21796" w:name="_Toc395002076"/>
      <w:bookmarkStart w:id="21797" w:name="_Toc395001282"/>
      <w:bookmarkStart w:id="21798" w:name="_Toc395001556"/>
      <w:bookmarkStart w:id="21799" w:name="_Toc395002845"/>
      <w:bookmarkStart w:id="21800" w:name="_Toc395003430"/>
      <w:bookmarkStart w:id="21801" w:name="_Toc395005057"/>
      <w:bookmarkStart w:id="21802" w:name="_Toc395005183"/>
      <w:bookmarkStart w:id="21803" w:name="_Toc395005399"/>
      <w:bookmarkStart w:id="21804" w:name="_Toc395005671"/>
      <w:bookmarkStart w:id="21805" w:name="_Toc395008976"/>
      <w:bookmarkStart w:id="21806" w:name="_Toc395009665"/>
      <w:bookmarkStart w:id="21807" w:name="_Toc395011762"/>
      <w:bookmarkStart w:id="21808" w:name="_Toc395010162"/>
      <w:bookmarkStart w:id="21809" w:name="_Toc395010406"/>
      <w:bookmarkStart w:id="21810" w:name="_Toc395010004"/>
      <w:bookmarkStart w:id="21811" w:name="_Toc395011530"/>
      <w:bookmarkStart w:id="21812" w:name="_Toc395012348"/>
      <w:bookmarkStart w:id="21813" w:name="_Toc395012590"/>
      <w:bookmarkStart w:id="21814" w:name="_Toc395012938"/>
      <w:bookmarkStart w:id="21815" w:name="_Toc395010753"/>
      <w:bookmarkStart w:id="21816" w:name="_Toc395012226"/>
      <w:bookmarkStart w:id="21817" w:name="_Toc395013053"/>
      <w:bookmarkStart w:id="21818" w:name="_Toc395012055"/>
      <w:bookmarkStart w:id="21819" w:name="_Toc395014394"/>
      <w:bookmarkStart w:id="21820" w:name="_Toc395014627"/>
      <w:bookmarkStart w:id="21821" w:name="_Toc395013218"/>
      <w:bookmarkStart w:id="21822" w:name="_Toc395084742"/>
      <w:bookmarkStart w:id="21823" w:name="_Toc395085043"/>
      <w:bookmarkStart w:id="21824" w:name="_Toc395090257"/>
      <w:bookmarkStart w:id="21825" w:name="_Toc395090509"/>
      <w:bookmarkStart w:id="21826" w:name="_Toc395090736"/>
      <w:bookmarkStart w:id="21827" w:name="_Toc395092625"/>
      <w:bookmarkStart w:id="21828" w:name="_Toc395092837"/>
      <w:bookmarkStart w:id="21829" w:name="_Toc395093093"/>
      <w:bookmarkStart w:id="21830" w:name="_Toc395093319"/>
      <w:bookmarkStart w:id="21831" w:name="_Toc395097748"/>
      <w:bookmarkStart w:id="21832" w:name="_Toc395098005"/>
      <w:bookmarkStart w:id="21833" w:name="_Toc395098229"/>
      <w:bookmarkStart w:id="21834" w:name="_Toc395105414"/>
      <w:bookmarkStart w:id="21835" w:name="_Toc395106189"/>
      <w:bookmarkStart w:id="21836" w:name="_Toc395107017"/>
      <w:bookmarkStart w:id="21837" w:name="_Toc395109889"/>
      <w:bookmarkStart w:id="21838" w:name="_Toc395109675"/>
      <w:bookmarkStart w:id="21839" w:name="_Toc395109782"/>
      <w:bookmarkStart w:id="21840" w:name="_Toc395111892"/>
      <w:bookmarkStart w:id="21841" w:name="_Toc395112159"/>
      <w:bookmarkStart w:id="21842" w:name="_Toc395112380"/>
      <w:bookmarkStart w:id="21843" w:name="_Toc395106812"/>
      <w:bookmarkStart w:id="21844" w:name="_Toc395107301"/>
      <w:bookmarkStart w:id="21845" w:name="_Toc395107525"/>
      <w:bookmarkStart w:id="21846" w:name="_Toc395109480"/>
      <w:bookmarkStart w:id="21847" w:name="_Toc395108572"/>
      <w:bookmarkStart w:id="21848" w:name="_Toc395108862"/>
      <w:bookmarkStart w:id="21849" w:name="_Toc395113812"/>
      <w:bookmarkStart w:id="21850" w:name="_Toc395114102"/>
      <w:bookmarkStart w:id="21851" w:name="_Toc395114332"/>
      <w:bookmarkStart w:id="21852" w:name="_Toc395116548"/>
      <w:bookmarkStart w:id="21853" w:name="_Toc395116839"/>
      <w:bookmarkStart w:id="21854" w:name="_Toc395117070"/>
      <w:bookmarkStart w:id="21855" w:name="_Toc395112485"/>
      <w:bookmarkStart w:id="21856" w:name="_Toc395112776"/>
      <w:bookmarkStart w:id="21857" w:name="_Toc395113188"/>
      <w:bookmarkStart w:id="21858" w:name="_Toc395115024"/>
      <w:bookmarkStart w:id="21859" w:name="_Toc395115316"/>
      <w:bookmarkStart w:id="21860" w:name="_Toc395115547"/>
      <w:bookmarkStart w:id="21861" w:name="_Toc395118179"/>
      <w:bookmarkStart w:id="21862" w:name="_Toc395118468"/>
      <w:bookmarkStart w:id="21863" w:name="_Toc395118697"/>
      <w:bookmarkStart w:id="21864" w:name="_Toc395178389"/>
      <w:bookmarkStart w:id="21865" w:name="_Toc395178721"/>
      <w:bookmarkStart w:id="21866" w:name="_Toc395624662"/>
      <w:bookmarkStart w:id="21867" w:name="_Toc395624878"/>
      <w:bookmarkStart w:id="21868" w:name="_Toc395789732"/>
      <w:bookmarkStart w:id="21869" w:name="_Toc395790013"/>
      <w:bookmarkStart w:id="21870" w:name="_Toc395800771"/>
      <w:bookmarkStart w:id="21871" w:name="_Toc395802861"/>
      <w:bookmarkStart w:id="21872" w:name="_Toc395867625"/>
      <w:bookmarkStart w:id="21873" w:name="_Toc395868534"/>
      <w:bookmarkStart w:id="21874" w:name="_Toc395868757"/>
      <w:bookmarkStart w:id="21875" w:name="_Toc395879136"/>
      <w:bookmarkStart w:id="21876" w:name="_Toc395882039"/>
      <w:bookmarkStart w:id="21877" w:name="_Toc395882260"/>
      <w:bookmarkStart w:id="21878" w:name="_Toc395882370"/>
      <w:bookmarkStart w:id="21879" w:name="_Toc395882591"/>
      <w:bookmarkStart w:id="21880" w:name="_Toc395880534"/>
      <w:bookmarkStart w:id="21881" w:name="_Toc395880865"/>
      <w:bookmarkStart w:id="21882" w:name="_Toc395881423"/>
      <w:bookmarkStart w:id="21883" w:name="_Toc395881644"/>
      <w:bookmarkStart w:id="21884" w:name="_Toc395884029"/>
      <w:bookmarkStart w:id="21885" w:name="_Toc395880763"/>
      <w:bookmarkStart w:id="21886" w:name="_Toc395884470"/>
      <w:bookmarkStart w:id="21887" w:name="_Toc395884691"/>
      <w:bookmarkStart w:id="21888" w:name="_Toc395883179"/>
      <w:bookmarkStart w:id="21889" w:name="_Toc395883400"/>
      <w:bookmarkStart w:id="21890" w:name="_Toc395883509"/>
      <w:bookmarkStart w:id="21891" w:name="_Toc395883730"/>
      <w:bookmarkStart w:id="21892" w:name="_Toc395884811"/>
      <w:bookmarkStart w:id="21893" w:name="_Toc396123839"/>
      <w:bookmarkStart w:id="21894" w:name="_Toc396130742"/>
      <w:bookmarkStart w:id="21895" w:name="_Toc396136320"/>
      <w:bookmarkStart w:id="21896" w:name="_Toc396138774"/>
      <w:bookmarkStart w:id="21897" w:name="_Toc396144035"/>
      <w:bookmarkStart w:id="21898" w:name="_Toc396145544"/>
      <w:bookmarkStart w:id="21899" w:name="_Toc396145970"/>
      <w:bookmarkStart w:id="21900" w:name="_Toc396147510"/>
      <w:bookmarkStart w:id="21901" w:name="_Toc396147796"/>
      <w:bookmarkStart w:id="21902" w:name="_Toc396149052"/>
      <w:bookmarkStart w:id="21903" w:name="_Toc396148766"/>
      <w:bookmarkStart w:id="21904" w:name="_Toc396149547"/>
      <w:bookmarkStart w:id="21905" w:name="_Toc396149192"/>
      <w:bookmarkStart w:id="21906" w:name="_Toc396149478"/>
      <w:bookmarkStart w:id="21907" w:name="_Toc396149155"/>
      <w:bookmarkStart w:id="21908" w:name="_Toc396149900"/>
      <w:bookmarkStart w:id="21909" w:name="_Toc396149650"/>
      <w:bookmarkStart w:id="21910" w:name="_Toc396150491"/>
      <w:bookmarkStart w:id="21911" w:name="_Toc396151380"/>
      <w:bookmarkStart w:id="21912" w:name="_Toc396151674"/>
      <w:bookmarkStart w:id="21913" w:name="_Toc396201601"/>
      <w:bookmarkStart w:id="21914" w:name="_Toc396202391"/>
      <w:bookmarkStart w:id="21915" w:name="_Toc396202686"/>
      <w:bookmarkStart w:id="21916" w:name="_Toc396203303"/>
      <w:bookmarkStart w:id="21917" w:name="_Toc396206599"/>
      <w:bookmarkStart w:id="21918" w:name="_Toc396206893"/>
      <w:bookmarkStart w:id="21919" w:name="_Toc396209427"/>
      <w:bookmarkStart w:id="21920" w:name="_Toc396209721"/>
      <w:bookmarkStart w:id="21921" w:name="_Toc396211851"/>
      <w:bookmarkStart w:id="21922" w:name="_Toc396212145"/>
      <w:bookmarkStart w:id="21923" w:name="_Toc396213195"/>
      <w:bookmarkStart w:id="21924" w:name="_Toc396213487"/>
      <w:bookmarkStart w:id="21925" w:name="_Toc396214038"/>
      <w:bookmarkStart w:id="21926" w:name="_Toc396214473"/>
      <w:bookmarkStart w:id="21927" w:name="_Toc396214763"/>
      <w:bookmarkStart w:id="21928" w:name="_Toc396220323"/>
      <w:bookmarkStart w:id="21929" w:name="_Toc396226585"/>
      <w:bookmarkStart w:id="21930" w:name="_Toc396226874"/>
      <w:bookmarkStart w:id="21931" w:name="_Toc396228785"/>
      <w:bookmarkStart w:id="21932" w:name="_Toc396229080"/>
      <w:bookmarkStart w:id="21933" w:name="_Toc396230427"/>
      <w:bookmarkStart w:id="21934" w:name="_Toc396230722"/>
      <w:bookmarkStart w:id="21935" w:name="_Toc396231864"/>
      <w:bookmarkStart w:id="21936" w:name="_Toc396233207"/>
      <w:bookmarkStart w:id="21937" w:name="_Toc396233504"/>
      <w:bookmarkStart w:id="21938" w:name="_Toc396234027"/>
      <w:bookmarkStart w:id="21939" w:name="_Toc396234324"/>
      <w:bookmarkStart w:id="21940" w:name="_Toc396234437"/>
      <w:bookmarkStart w:id="21941" w:name="_Toc396236171"/>
      <w:bookmarkStart w:id="21942" w:name="_Toc396235949"/>
      <w:bookmarkStart w:id="21943" w:name="_Toc396236559"/>
      <w:bookmarkStart w:id="21944" w:name="_Toc396237078"/>
      <w:bookmarkStart w:id="21945" w:name="_Toc396397421"/>
      <w:bookmarkStart w:id="21946" w:name="_Toc396304602"/>
      <w:bookmarkStart w:id="21947" w:name="_Toc396586137"/>
      <w:bookmarkStart w:id="21948" w:name="_Toc396815158"/>
      <w:bookmarkStart w:id="21949" w:name="_Toc396821107"/>
      <w:bookmarkStart w:id="21950" w:name="_Toc396821715"/>
      <w:bookmarkStart w:id="21951" w:name="_Toc396827565"/>
      <w:bookmarkStart w:id="21952" w:name="_Toc396828536"/>
      <w:bookmarkStart w:id="21953" w:name="_Toc396828646"/>
      <w:bookmarkStart w:id="21954" w:name="_Toc396838035"/>
      <w:bookmarkStart w:id="21955" w:name="_Toc396838433"/>
      <w:bookmarkStart w:id="21956" w:name="_Toc396904756"/>
      <w:bookmarkStart w:id="21957" w:name="_Toc396907590"/>
      <w:bookmarkStart w:id="21958" w:name="_Toc396912509"/>
      <w:bookmarkStart w:id="21959" w:name="_Toc396914489"/>
      <w:bookmarkStart w:id="21960" w:name="_Toc396915373"/>
      <w:bookmarkStart w:id="21961" w:name="_Toc396915767"/>
      <w:bookmarkStart w:id="21962" w:name="_Toc396921078"/>
      <w:bookmarkStart w:id="21963" w:name="_Toc396924418"/>
      <w:bookmarkStart w:id="21964" w:name="_Toc396925112"/>
      <w:bookmarkStart w:id="21965" w:name="_Toc396992232"/>
      <w:bookmarkStart w:id="21966" w:name="_Toc396992811"/>
      <w:bookmarkStart w:id="21967" w:name="_Toc396994475"/>
      <w:bookmarkStart w:id="21968" w:name="_Toc397002245"/>
      <w:bookmarkStart w:id="21969" w:name="_Toc397003164"/>
      <w:bookmarkStart w:id="21970" w:name="_Toc397008722"/>
      <w:bookmarkStart w:id="21971" w:name="_Toc397008940"/>
      <w:bookmarkStart w:id="21972" w:name="_Toc397011612"/>
      <w:bookmarkStart w:id="21973" w:name="_Toc397012674"/>
      <w:bookmarkStart w:id="21974" w:name="_Toc397015016"/>
      <w:bookmarkStart w:id="21975" w:name="_Toc397015503"/>
      <w:bookmarkStart w:id="21976" w:name="_Toc397070573"/>
      <w:bookmarkStart w:id="21977" w:name="_Toc397413323"/>
      <w:bookmarkStart w:id="21978" w:name="_Toc397413470"/>
      <w:bookmarkStart w:id="21979" w:name="_Toc397428044"/>
      <w:bookmarkStart w:id="21980" w:name="_Toc397439432"/>
      <w:bookmarkStart w:id="21981" w:name="_Toc397439602"/>
      <w:bookmarkStart w:id="21982" w:name="_Toc397439858"/>
      <w:bookmarkStart w:id="21983" w:name="_Toc397440160"/>
      <w:bookmarkStart w:id="21984" w:name="_Toc397441789"/>
      <w:bookmarkStart w:id="21985" w:name="_Toc397517491"/>
      <w:bookmarkStart w:id="21986" w:name="_Toc397522756"/>
      <w:bookmarkStart w:id="21987" w:name="_Toc397526174"/>
      <w:bookmarkStart w:id="21988" w:name="_Toc397528489"/>
      <w:bookmarkStart w:id="21989" w:name="_Toc397528964"/>
      <w:bookmarkStart w:id="21990" w:name="_Toc397601961"/>
      <w:bookmarkStart w:id="21991" w:name="_Toc397602696"/>
      <w:bookmarkStart w:id="21992" w:name="_Toc397605825"/>
      <w:bookmarkStart w:id="21993" w:name="_Toc397614526"/>
      <w:bookmarkStart w:id="21994" w:name="_Toc397614969"/>
      <w:bookmarkStart w:id="21995" w:name="_Toc397616412"/>
      <w:bookmarkStart w:id="21996" w:name="_Toc397616806"/>
      <w:bookmarkStart w:id="21997" w:name="_Toc397688104"/>
      <w:bookmarkStart w:id="21998" w:name="_Toc397689320"/>
      <w:bookmarkStart w:id="21999" w:name="_Toc397694600"/>
      <w:bookmarkStart w:id="22000" w:name="_Toc397696441"/>
      <w:bookmarkStart w:id="22001" w:name="_Toc397697175"/>
      <w:bookmarkStart w:id="22002" w:name="_Toc397698462"/>
      <w:bookmarkStart w:id="22003" w:name="_Toc397699828"/>
      <w:bookmarkStart w:id="22004" w:name="_Toc397700282"/>
      <w:bookmarkStart w:id="22005" w:name="_Toc397936674"/>
      <w:bookmarkStart w:id="22006" w:name="_Toc397936794"/>
      <w:bookmarkStart w:id="22007" w:name="_Toc397945950"/>
      <w:bookmarkStart w:id="22008" w:name="_Toc397946976"/>
      <w:bookmarkStart w:id="22009" w:name="_Toc397948095"/>
      <w:bookmarkStart w:id="22010" w:name="_Toc397958501"/>
      <w:bookmarkStart w:id="22011" w:name="_Toc397958743"/>
      <w:bookmarkStart w:id="22012" w:name="_Toc397959158"/>
      <w:bookmarkStart w:id="22013" w:name="_Toc397963011"/>
      <w:bookmarkStart w:id="22014" w:name="_Toc397963377"/>
      <w:bookmarkStart w:id="22015" w:name="_Toc397965454"/>
      <w:bookmarkStart w:id="22016" w:name="_Toc398197392"/>
      <w:bookmarkStart w:id="22017" w:name="_Toc398199895"/>
      <w:bookmarkStart w:id="22018" w:name="_Toc398201609"/>
      <w:bookmarkStart w:id="22019" w:name="_Toc398207214"/>
      <w:bookmarkStart w:id="22020" w:name="_Toc398210487"/>
      <w:bookmarkStart w:id="22021" w:name="_Toc398211001"/>
      <w:bookmarkStart w:id="22022" w:name="_Toc398219809"/>
      <w:bookmarkStart w:id="22023" w:name="_Toc398220184"/>
      <w:bookmarkStart w:id="22024" w:name="_Toc398220571"/>
      <w:bookmarkStart w:id="22025" w:name="_Toc398221649"/>
      <w:bookmarkStart w:id="22026" w:name="_Toc398222335"/>
      <w:bookmarkStart w:id="22027" w:name="_Toc398222647"/>
      <w:bookmarkStart w:id="22028" w:name="_Toc398223064"/>
      <w:bookmarkStart w:id="22029" w:name="_Toc398223443"/>
      <w:bookmarkStart w:id="22030" w:name="_Toc398223570"/>
      <w:bookmarkStart w:id="22031" w:name="_Toc398224378"/>
      <w:bookmarkStart w:id="22032" w:name="_Toc398225715"/>
      <w:bookmarkStart w:id="22033" w:name="_Toc398225840"/>
      <w:bookmarkStart w:id="22034" w:name="_Toc398281327"/>
      <w:bookmarkStart w:id="22035" w:name="_Toc398282186"/>
      <w:bookmarkStart w:id="22036" w:name="_Toc398284856"/>
      <w:bookmarkStart w:id="22037" w:name="_Toc398287325"/>
      <w:bookmarkStart w:id="22038" w:name="_Toc398289208"/>
      <w:bookmarkStart w:id="22039" w:name="_Toc398297205"/>
      <w:bookmarkStart w:id="22040" w:name="_Toc398298679"/>
      <w:bookmarkStart w:id="22041" w:name="_Toc398300380"/>
      <w:bookmarkStart w:id="22042" w:name="_Toc398301277"/>
      <w:bookmarkStart w:id="22043" w:name="_Toc398302462"/>
      <w:bookmarkStart w:id="22044" w:name="_Toc398302625"/>
      <w:bookmarkStart w:id="22045" w:name="_Toc398549139"/>
      <w:bookmarkStart w:id="22046" w:name="_Toc398549389"/>
      <w:bookmarkStart w:id="22047" w:name="_Toc398555808"/>
      <w:bookmarkStart w:id="22048" w:name="_Toc398559012"/>
      <w:bookmarkStart w:id="22049" w:name="_Toc398563498"/>
      <w:bookmarkStart w:id="22050" w:name="_Toc398563631"/>
      <w:bookmarkStart w:id="22051" w:name="_Toc398564030"/>
      <w:bookmarkStart w:id="22052" w:name="_Toc398827368"/>
      <w:bookmarkStart w:id="22053" w:name="_Toc398827562"/>
      <w:bookmarkStart w:id="22054" w:name="Ch10"/>
      <w:r w:rsidRPr="008625DC">
        <w:lastRenderedPageBreak/>
        <w:t>Human services</w:t>
      </w:r>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p>
    <w:bookmarkEnd w:id="22054"/>
    <w:p w14:paraId="4FCA9206" w14:textId="1B27E104" w:rsidR="000225AB" w:rsidRPr="008625DC" w:rsidRDefault="000225AB" w:rsidP="000225AB">
      <w:r w:rsidRPr="008625DC">
        <w:t>The lives of Australians are immeasurably richer from access to high</w:t>
      </w:r>
      <w:r w:rsidR="00C74E19" w:rsidRPr="008625DC">
        <w:noBreakHyphen/>
      </w:r>
      <w:r w:rsidRPr="008625DC">
        <w:t xml:space="preserve">quality human services. The human services sector </w:t>
      </w:r>
      <w:r w:rsidR="00792C54" w:rsidRPr="008625DC">
        <w:t>covers</w:t>
      </w:r>
      <w:r w:rsidRPr="008625DC">
        <w:t xml:space="preserve"> a diverse range of services </w:t>
      </w:r>
      <w:r w:rsidR="00792C54" w:rsidRPr="008625DC">
        <w:t>including</w:t>
      </w:r>
      <w:r w:rsidRPr="008625DC">
        <w:t xml:space="preserve"> health, education, disability care, aged care, job services, public housing and correctional services. </w:t>
      </w:r>
    </w:p>
    <w:p w14:paraId="6E725BE8" w14:textId="39607DC3" w:rsidR="00115849" w:rsidRPr="008625DC" w:rsidRDefault="00B75E97" w:rsidP="00115849">
      <w:r w:rsidRPr="008625DC">
        <w:t xml:space="preserve">Human services are </w:t>
      </w:r>
      <w:r w:rsidR="00240A63" w:rsidRPr="008625DC">
        <w:t xml:space="preserve">a large and growing </w:t>
      </w:r>
      <w:r w:rsidR="007A0DFD" w:rsidRPr="008625DC">
        <w:t>part of the Australian economy</w:t>
      </w:r>
      <w:r w:rsidR="00532D12" w:rsidRPr="008625DC">
        <w:rPr>
          <w:rStyle w:val="FootnoteReference"/>
        </w:rPr>
        <w:footnoteReference w:id="167"/>
      </w:r>
      <w:r w:rsidR="007A0DFD" w:rsidRPr="008625DC">
        <w:t xml:space="preserve"> </w:t>
      </w:r>
      <w:r w:rsidR="00115849" w:rsidRPr="008625DC">
        <w:t xml:space="preserve">and governments are making significant changes in some human services sectors. For instance, encouraging innovation and greater consumer choice are important features of </w:t>
      </w:r>
      <w:r w:rsidR="00A80527" w:rsidRPr="008625DC">
        <w:t>recent</w:t>
      </w:r>
      <w:r w:rsidR="00115849" w:rsidRPr="008625DC">
        <w:t xml:space="preserve"> changes </w:t>
      </w:r>
      <w:r w:rsidR="00A80527" w:rsidRPr="008625DC">
        <w:t>to</w:t>
      </w:r>
      <w:r w:rsidR="00115849" w:rsidRPr="008625DC">
        <w:t xml:space="preserve"> disability care and support</w:t>
      </w:r>
      <w:r w:rsidR="00A80527" w:rsidRPr="008625DC">
        <w:t>,</w:t>
      </w:r>
      <w:r w:rsidR="00115849" w:rsidRPr="008625DC">
        <w:t xml:space="preserve"> and aged care. </w:t>
      </w:r>
    </w:p>
    <w:p w14:paraId="6DC83D95" w14:textId="34FCEEF9" w:rsidR="007A0DFD" w:rsidRPr="008625DC" w:rsidRDefault="00240A63" w:rsidP="000225AB">
      <w:r w:rsidRPr="008625DC">
        <w:t>The question</w:t>
      </w:r>
      <w:r w:rsidR="00006512" w:rsidRPr="008625DC">
        <w:t>s</w:t>
      </w:r>
      <w:r w:rsidRPr="008625DC">
        <w:t xml:space="preserve"> </w:t>
      </w:r>
      <w:r w:rsidR="00792C54" w:rsidRPr="008625DC">
        <w:t>before</w:t>
      </w:r>
      <w:r w:rsidRPr="008625DC">
        <w:t xml:space="preserve"> the Panel </w:t>
      </w:r>
      <w:r w:rsidR="00006512" w:rsidRPr="008625DC">
        <w:t>are</w:t>
      </w:r>
      <w:r w:rsidRPr="008625DC">
        <w:t xml:space="preserve"> </w:t>
      </w:r>
      <w:r w:rsidR="00F45756" w:rsidRPr="008625DC">
        <w:t xml:space="preserve">how to build on the good work already </w:t>
      </w:r>
      <w:r w:rsidR="00A6165C" w:rsidRPr="008625DC">
        <w:t>under way</w:t>
      </w:r>
      <w:r w:rsidR="00F45756" w:rsidRPr="008625DC">
        <w:t xml:space="preserve"> and </w:t>
      </w:r>
      <w:r w:rsidRPr="008625DC">
        <w:t>whether greater choice, diversity and innovation in human services could be driven by competition</w:t>
      </w:r>
      <w:r w:rsidR="00165B8D" w:rsidRPr="008625DC">
        <w:t xml:space="preserve"> policy</w:t>
      </w:r>
      <w:r w:rsidRPr="008625DC">
        <w:t>. I</w:t>
      </w:r>
      <w:r w:rsidR="00437B24" w:rsidRPr="008625DC">
        <w:t xml:space="preserve">ncreasing </w:t>
      </w:r>
      <w:r w:rsidRPr="008625DC">
        <w:t>quality and choice of services available to Australians w</w:t>
      </w:r>
      <w:r w:rsidR="00437B24" w:rsidRPr="008625DC">
        <w:t xml:space="preserve">ould </w:t>
      </w:r>
      <w:r w:rsidRPr="008625DC">
        <w:t>creat</w:t>
      </w:r>
      <w:r w:rsidR="00437B24" w:rsidRPr="008625DC">
        <w:t>e</w:t>
      </w:r>
      <w:r w:rsidRPr="008625DC">
        <w:t xml:space="preserve"> a large positive impact on wellbeing with higher quality human services better meeting peoples</w:t>
      </w:r>
      <w:r w:rsidR="00C74E19" w:rsidRPr="008625DC">
        <w:t>’</w:t>
      </w:r>
      <w:r w:rsidRPr="008625DC">
        <w:t xml:space="preserve"> needs.</w:t>
      </w:r>
    </w:p>
    <w:p w14:paraId="630CF6D1" w14:textId="6B1DFAE4" w:rsidR="00A80527" w:rsidRPr="008625DC" w:rsidRDefault="000225AB" w:rsidP="00A80527">
      <w:r w:rsidRPr="008625DC">
        <w:t xml:space="preserve">This </w:t>
      </w:r>
      <w:r w:rsidR="00792C54" w:rsidRPr="008625DC">
        <w:t>c</w:t>
      </w:r>
      <w:r w:rsidRPr="008625DC">
        <w:t xml:space="preserve">hapter addresses four key themes in relation to the human services sector. </w:t>
      </w:r>
      <w:proofErr w:type="gramStart"/>
      <w:r w:rsidR="00792C54" w:rsidRPr="008625DC">
        <w:t>First</w:t>
      </w:r>
      <w:r w:rsidRPr="008625DC">
        <w:t xml:space="preserve">, </w:t>
      </w:r>
      <w:r w:rsidR="00A625F6" w:rsidRPr="008625DC">
        <w:t>the</w:t>
      </w:r>
      <w:r w:rsidRPr="008625DC">
        <w:t xml:space="preserve"> separation of funding, regulation and service delivery.</w:t>
      </w:r>
      <w:proofErr w:type="gramEnd"/>
      <w:r w:rsidRPr="008625DC">
        <w:t xml:space="preserve"> This </w:t>
      </w:r>
      <w:r w:rsidR="00037020" w:rsidRPr="008625DC">
        <w:t xml:space="preserve">is not about changing the </w:t>
      </w:r>
      <w:r w:rsidRPr="008625DC">
        <w:t xml:space="preserve">level of government funding for </w:t>
      </w:r>
      <w:r w:rsidR="005119A8" w:rsidRPr="008625DC">
        <w:t>human</w:t>
      </w:r>
      <w:r w:rsidRPr="008625DC">
        <w:t xml:space="preserve"> services, but </w:t>
      </w:r>
      <w:r w:rsidR="00037020" w:rsidRPr="008625DC">
        <w:t xml:space="preserve">about </w:t>
      </w:r>
      <w:r w:rsidRPr="008625DC">
        <w:t>introduc</w:t>
      </w:r>
      <w:r w:rsidR="00037020" w:rsidRPr="008625DC">
        <w:t>ing</w:t>
      </w:r>
      <w:r w:rsidRPr="008625DC">
        <w:t xml:space="preserve"> some independence into service regulation and some competition into service delivery.</w:t>
      </w:r>
    </w:p>
    <w:p w14:paraId="1CF691CF" w14:textId="20159BAA" w:rsidR="000225AB" w:rsidRPr="008625DC" w:rsidRDefault="000225AB" w:rsidP="000225AB">
      <w:r w:rsidRPr="008625DC">
        <w:t xml:space="preserve">It is important to note that the Panel has no views on the absolute funding levels for human services, and this subject </w:t>
      </w:r>
      <w:r w:rsidR="00792C54" w:rsidRPr="008625DC">
        <w:t>lies</w:t>
      </w:r>
      <w:r w:rsidRPr="008625DC">
        <w:t xml:space="preserve"> outside the </w:t>
      </w:r>
      <w:r w:rsidR="00792C54" w:rsidRPr="008625DC">
        <w:t>Terms</w:t>
      </w:r>
      <w:r w:rsidRPr="008625DC">
        <w:t xml:space="preserve"> of </w:t>
      </w:r>
      <w:r w:rsidR="00792C54" w:rsidRPr="008625DC">
        <w:t>R</w:t>
      </w:r>
      <w:r w:rsidRPr="008625DC">
        <w:t xml:space="preserve">eference </w:t>
      </w:r>
      <w:r w:rsidR="00736394" w:rsidRPr="008625DC">
        <w:t>of</w:t>
      </w:r>
      <w:r w:rsidRPr="008625DC">
        <w:t xml:space="preserve"> the Review. </w:t>
      </w:r>
    </w:p>
    <w:p w14:paraId="3A448392" w14:textId="0C70C256" w:rsidR="000225AB" w:rsidRPr="008625DC" w:rsidRDefault="00792C54" w:rsidP="000225AB">
      <w:r w:rsidRPr="008625DC">
        <w:t>Second</w:t>
      </w:r>
      <w:r w:rsidR="000225AB" w:rsidRPr="008625DC">
        <w:t xml:space="preserve">, </w:t>
      </w:r>
      <w:r w:rsidR="00A625F6" w:rsidRPr="008625DC">
        <w:t>this chapter</w:t>
      </w:r>
      <w:r w:rsidR="000225AB" w:rsidRPr="008625DC">
        <w:t xml:space="preserve"> discuss</w:t>
      </w:r>
      <w:r w:rsidR="00A625F6" w:rsidRPr="008625DC">
        <w:t>es</w:t>
      </w:r>
      <w:r w:rsidR="000225AB" w:rsidRPr="008625DC">
        <w:t xml:space="preserve"> the potential for greater consumer choice in human services. Consumers can value greater choice </w:t>
      </w:r>
      <w:r w:rsidR="005308C0" w:rsidRPr="008625DC">
        <w:t>from</w:t>
      </w:r>
      <w:r w:rsidR="000225AB" w:rsidRPr="008625DC">
        <w:t xml:space="preserve"> their service provider in education and health, as in other aspects of their lives. </w:t>
      </w:r>
    </w:p>
    <w:p w14:paraId="71785BEA" w14:textId="281282DD" w:rsidR="000225AB" w:rsidRPr="008625DC" w:rsidRDefault="00792C54" w:rsidP="000225AB">
      <w:r w:rsidRPr="008625DC">
        <w:t>Third</w:t>
      </w:r>
      <w:r w:rsidR="000225AB" w:rsidRPr="008625DC">
        <w:t xml:space="preserve">, </w:t>
      </w:r>
      <w:r w:rsidR="00A625F6" w:rsidRPr="008625DC">
        <w:t>this chapter discusses</w:t>
      </w:r>
      <w:r w:rsidR="000225AB" w:rsidRPr="008625DC">
        <w:t xml:space="preserve"> the importance of diversity of service providers. In many </w:t>
      </w:r>
      <w:r w:rsidR="00165B8D" w:rsidRPr="008625DC">
        <w:t>sectors</w:t>
      </w:r>
      <w:r w:rsidR="000225AB" w:rsidRPr="008625DC">
        <w:t xml:space="preserve"> of human services there are already diverse providers, with both not</w:t>
      </w:r>
      <w:r w:rsidR="00C74E19" w:rsidRPr="008625DC">
        <w:noBreakHyphen/>
      </w:r>
      <w:r w:rsidR="000225AB" w:rsidRPr="008625DC">
        <w:t>for</w:t>
      </w:r>
      <w:r w:rsidR="00C74E19" w:rsidRPr="008625DC">
        <w:noBreakHyphen/>
      </w:r>
      <w:r w:rsidR="000225AB" w:rsidRPr="008625DC">
        <w:t>profit and for</w:t>
      </w:r>
      <w:r w:rsidR="00C74E19" w:rsidRPr="008625DC">
        <w:noBreakHyphen/>
      </w:r>
      <w:r w:rsidR="000225AB" w:rsidRPr="008625DC">
        <w:t xml:space="preserve">profit service provision available. </w:t>
      </w:r>
      <w:r w:rsidR="00A625F6" w:rsidRPr="008625DC">
        <w:t>T</w:t>
      </w:r>
      <w:r w:rsidR="000225AB" w:rsidRPr="008625DC">
        <w:t>his is an important feature of human services, and should be preserved.</w:t>
      </w:r>
    </w:p>
    <w:p w14:paraId="5DDD895E" w14:textId="33D1451F" w:rsidR="00A80527" w:rsidRPr="008625DC" w:rsidRDefault="00A80527" w:rsidP="00A80527">
      <w:bookmarkStart w:id="22055" w:name="_Toc393985218"/>
      <w:bookmarkStart w:id="22056" w:name="_Toc393985364"/>
      <w:bookmarkStart w:id="22057" w:name="_Toc393985721"/>
      <w:bookmarkStart w:id="22058" w:name="_Toc393985868"/>
      <w:bookmarkStart w:id="22059" w:name="_Toc393986123"/>
      <w:bookmarkStart w:id="22060" w:name="_Toc393986270"/>
      <w:bookmarkStart w:id="22061" w:name="_Toc393986526"/>
      <w:bookmarkStart w:id="22062" w:name="_Toc393988133"/>
      <w:bookmarkStart w:id="22063" w:name="_Toc393988280"/>
      <w:bookmarkStart w:id="22064" w:name="_Toc393988535"/>
      <w:bookmarkStart w:id="22065" w:name="_Toc393988682"/>
      <w:bookmarkStart w:id="22066" w:name="_Toc393986674"/>
      <w:bookmarkStart w:id="22067" w:name="_Toc393989547"/>
      <w:bookmarkStart w:id="22068" w:name="_Toc393989694"/>
      <w:bookmarkStart w:id="22069" w:name="_Toc393988936"/>
      <w:bookmarkStart w:id="22070" w:name="_Toc393989082"/>
      <w:bookmarkStart w:id="22071" w:name="_Toc393990940"/>
      <w:bookmarkStart w:id="22072" w:name="_Toc393991086"/>
      <w:bookmarkStart w:id="22073" w:name="_Toc393991185"/>
      <w:bookmarkStart w:id="22074" w:name="_Toc393991924"/>
      <w:bookmarkStart w:id="22075" w:name="_Toc393992070"/>
      <w:bookmarkStart w:id="22076" w:name="_Toc394047587"/>
      <w:bookmarkStart w:id="22077" w:name="_Toc394047734"/>
      <w:bookmarkStart w:id="22078" w:name="_Toc394047845"/>
      <w:bookmarkStart w:id="22079" w:name="_Toc394048401"/>
      <w:bookmarkStart w:id="22080" w:name="_Toc394049863"/>
      <w:bookmarkStart w:id="22081" w:name="_Toc394050013"/>
      <w:bookmarkStart w:id="22082" w:name="_Toc394051263"/>
      <w:bookmarkStart w:id="22083" w:name="_Toc394051413"/>
      <w:bookmarkStart w:id="22084" w:name="_Toc394062252"/>
      <w:bookmarkStart w:id="22085" w:name="_Toc394062560"/>
      <w:bookmarkStart w:id="22086" w:name="_Toc394069127"/>
      <w:bookmarkStart w:id="22087" w:name="_Toc394069275"/>
      <w:bookmarkStart w:id="22088" w:name="_Toc394071045"/>
      <w:bookmarkStart w:id="22089" w:name="_Toc394071193"/>
      <w:bookmarkStart w:id="22090" w:name="_Toc394312754"/>
      <w:bookmarkStart w:id="22091" w:name="_Toc394330466"/>
      <w:bookmarkStart w:id="22092" w:name="_Toc394330734"/>
      <w:bookmarkStart w:id="22093" w:name="_Toc394331249"/>
      <w:bookmarkStart w:id="22094" w:name="_Toc394331397"/>
      <w:bookmarkStart w:id="22095" w:name="_Toc394330354"/>
      <w:bookmarkStart w:id="22096" w:name="_Toc394333325"/>
      <w:bookmarkStart w:id="22097" w:name="_Toc394333472"/>
      <w:bookmarkStart w:id="22098" w:name="_Toc394333738"/>
      <w:bookmarkStart w:id="22099" w:name="_Toc394333885"/>
      <w:bookmarkStart w:id="22100" w:name="_Toc394334151"/>
      <w:bookmarkStart w:id="22101" w:name="_Toc394334298"/>
      <w:bookmarkStart w:id="22102" w:name="_Toc394334977"/>
      <w:bookmarkStart w:id="22103" w:name="_Toc394335124"/>
      <w:bookmarkStart w:id="22104" w:name="_Toc394415164"/>
      <w:bookmarkStart w:id="22105" w:name="_Toc394415332"/>
      <w:bookmarkStart w:id="22106" w:name="_Toc394412469"/>
      <w:bookmarkStart w:id="22107" w:name="_Toc394412641"/>
      <w:bookmarkStart w:id="22108" w:name="_Toc394420762"/>
      <w:bookmarkStart w:id="22109" w:name="_Toc394420934"/>
      <w:bookmarkStart w:id="22110" w:name="_Toc394423605"/>
      <w:bookmarkStart w:id="22111" w:name="_Toc394423775"/>
      <w:bookmarkStart w:id="22112" w:name="_Toc394422649"/>
      <w:bookmarkStart w:id="22113" w:name="_Toc394422819"/>
      <w:bookmarkStart w:id="22114" w:name="_Toc394423120"/>
      <w:bookmarkStart w:id="22115" w:name="_Toc394423290"/>
      <w:bookmarkStart w:id="22116" w:name="_Toc394424270"/>
      <w:bookmarkStart w:id="22117" w:name="_Toc394424438"/>
      <w:bookmarkStart w:id="22118" w:name="_Toc394492103"/>
      <w:bookmarkStart w:id="22119" w:name="_Toc394492271"/>
      <w:bookmarkStart w:id="22120" w:name="_Toc394495247"/>
      <w:bookmarkStart w:id="22121" w:name="_Toc394495415"/>
      <w:bookmarkStart w:id="22122" w:name="_Toc394498062"/>
      <w:bookmarkStart w:id="22123" w:name="_Toc394498230"/>
      <w:bookmarkStart w:id="22124" w:name="_Toc394500852"/>
      <w:bookmarkStart w:id="22125" w:name="_Toc394501020"/>
      <w:bookmarkStart w:id="22126" w:name="_Toc394502249"/>
      <w:bookmarkStart w:id="22127" w:name="_Toc394502410"/>
      <w:bookmarkStart w:id="22128" w:name="_Toc394503149"/>
      <w:bookmarkStart w:id="22129" w:name="_Toc394503768"/>
      <w:bookmarkStart w:id="22130" w:name="_Toc394502693"/>
      <w:bookmarkStart w:id="22131" w:name="_Toc394502857"/>
      <w:bookmarkStart w:id="22132" w:name="_Toc394505900"/>
      <w:bookmarkStart w:id="22133" w:name="_Toc394506186"/>
      <w:bookmarkStart w:id="22134" w:name="_Toc394506359"/>
      <w:bookmarkStart w:id="22135" w:name="_Toc394506524"/>
      <w:bookmarkStart w:id="22136" w:name="_Toc394506913"/>
      <w:bookmarkStart w:id="22137" w:name="_Toc394507078"/>
      <w:bookmarkStart w:id="22138" w:name="_Toc394560986"/>
      <w:bookmarkStart w:id="22139" w:name="_Toc394561155"/>
      <w:bookmarkStart w:id="22140" w:name="_Toc394561447"/>
      <w:bookmarkStart w:id="22141" w:name="_Toc394561988"/>
      <w:bookmarkStart w:id="22142" w:name="_Toc394582978"/>
      <w:bookmarkStart w:id="22143" w:name="_Toc394585649"/>
      <w:bookmarkStart w:id="22144" w:name="_Toc394586115"/>
      <w:bookmarkStart w:id="22145" w:name="_Toc394588047"/>
      <w:bookmarkStart w:id="22146" w:name="_Toc394588882"/>
      <w:bookmarkStart w:id="22147" w:name="_Toc394589007"/>
      <w:bookmarkStart w:id="22148" w:name="_Toc394590423"/>
      <w:bookmarkStart w:id="22149" w:name="_Toc394590616"/>
      <w:bookmarkStart w:id="22150" w:name="_Toc394654517"/>
      <w:bookmarkStart w:id="22151" w:name="_Toc394654675"/>
      <w:bookmarkStart w:id="22152" w:name="_Toc394656217"/>
      <w:bookmarkStart w:id="22153" w:name="_Toc394656374"/>
      <w:bookmarkStart w:id="22154" w:name="_Toc394659354"/>
      <w:bookmarkStart w:id="22155" w:name="_Toc394659512"/>
      <w:bookmarkStart w:id="22156" w:name="_Toc394663366"/>
      <w:bookmarkStart w:id="22157" w:name="_Toc394663522"/>
      <w:bookmarkStart w:id="22158" w:name="_Toc394667160"/>
      <w:bookmarkStart w:id="22159" w:name="_Toc394667316"/>
      <w:bookmarkStart w:id="22160" w:name="_Toc394671639"/>
      <w:bookmarkStart w:id="22161" w:name="_Toc394671799"/>
      <w:bookmarkStart w:id="22162" w:name="_Toc394674641"/>
      <w:bookmarkStart w:id="22163" w:name="_Toc394674804"/>
      <w:bookmarkStart w:id="22164" w:name="_Toc394674918"/>
      <w:bookmarkStart w:id="22165" w:name="_Toc394675084"/>
      <w:bookmarkStart w:id="22166" w:name="_Toc394676029"/>
      <w:bookmarkStart w:id="22167" w:name="_Toc394676191"/>
      <w:bookmarkStart w:id="22168" w:name="_Toc394675717"/>
      <w:bookmarkStart w:id="22169" w:name="_Toc394675880"/>
      <w:bookmarkStart w:id="22170" w:name="_Toc394918280"/>
      <w:bookmarkStart w:id="22171" w:name="_Toc394918794"/>
      <w:bookmarkStart w:id="22172" w:name="_Toc394930766"/>
      <w:bookmarkStart w:id="22173" w:name="_Toc394933679"/>
      <w:bookmarkStart w:id="22174" w:name="_Toc394938126"/>
      <w:bookmarkStart w:id="22175" w:name="_Toc394938371"/>
      <w:bookmarkStart w:id="22176" w:name="_Toc394938628"/>
      <w:bookmarkStart w:id="22177" w:name="_Toc394937651"/>
      <w:bookmarkStart w:id="22178" w:name="_Toc394937910"/>
      <w:bookmarkStart w:id="22179" w:name="_Toc394941038"/>
      <w:bookmarkStart w:id="22180" w:name="_Toc394941282"/>
      <w:bookmarkStart w:id="22181" w:name="_Toc394941539"/>
      <w:bookmarkStart w:id="22182" w:name="_Toc394941654"/>
      <w:bookmarkStart w:id="22183" w:name="_Toc394941898"/>
      <w:bookmarkStart w:id="22184" w:name="_Toc394942155"/>
      <w:bookmarkStart w:id="22185" w:name="_Toc394939875"/>
      <w:bookmarkStart w:id="22186" w:name="_Toc394940120"/>
      <w:bookmarkStart w:id="22187" w:name="_Toc394940377"/>
      <w:bookmarkStart w:id="22188" w:name="_Toc394939487"/>
      <w:bookmarkStart w:id="22189" w:name="_Toc394939730"/>
      <w:bookmarkStart w:id="22190" w:name="_Toc394940591"/>
      <w:bookmarkStart w:id="22191" w:name="_Toc394993627"/>
      <w:bookmarkStart w:id="22192" w:name="_Toc394995508"/>
      <w:bookmarkStart w:id="22193" w:name="_Toc394995822"/>
      <w:bookmarkStart w:id="22194" w:name="_Toc394996071"/>
      <w:bookmarkStart w:id="22195" w:name="_Toc394997797"/>
      <w:bookmarkStart w:id="22196" w:name="_Toc394998065"/>
      <w:bookmarkStart w:id="22197" w:name="_Toc394998312"/>
      <w:bookmarkStart w:id="22198" w:name="_Toc394998579"/>
      <w:bookmarkStart w:id="22199" w:name="_Toc395001807"/>
      <w:bookmarkStart w:id="22200" w:name="_Toc395002078"/>
      <w:bookmarkStart w:id="22201" w:name="_Toc395001284"/>
      <w:bookmarkStart w:id="22202" w:name="_Toc395001558"/>
      <w:bookmarkStart w:id="22203" w:name="_Toc395002847"/>
      <w:bookmarkStart w:id="22204" w:name="_Toc395003432"/>
      <w:bookmarkStart w:id="22205" w:name="_Toc395005059"/>
      <w:bookmarkStart w:id="22206" w:name="_Toc395005185"/>
      <w:bookmarkStart w:id="22207" w:name="_Toc395005401"/>
      <w:bookmarkStart w:id="22208" w:name="_Toc395005673"/>
      <w:bookmarkStart w:id="22209" w:name="_Toc395008978"/>
      <w:bookmarkStart w:id="22210" w:name="_Toc395009667"/>
      <w:bookmarkStart w:id="22211" w:name="_Toc395011764"/>
      <w:bookmarkStart w:id="22212" w:name="_Toc395010164"/>
      <w:bookmarkStart w:id="22213" w:name="_Toc395010408"/>
      <w:bookmarkStart w:id="22214" w:name="_Toc395010006"/>
      <w:bookmarkStart w:id="22215" w:name="_Toc395011532"/>
      <w:bookmarkStart w:id="22216" w:name="_Toc395012350"/>
      <w:bookmarkStart w:id="22217" w:name="_Toc395012592"/>
      <w:bookmarkStart w:id="22218" w:name="_Toc395012940"/>
      <w:bookmarkStart w:id="22219" w:name="_Toc395010755"/>
      <w:bookmarkStart w:id="22220" w:name="_Toc395012228"/>
      <w:bookmarkStart w:id="22221" w:name="_Toc395013055"/>
      <w:bookmarkStart w:id="22222" w:name="_Toc395012057"/>
      <w:bookmarkStart w:id="22223" w:name="_Toc395014396"/>
      <w:bookmarkStart w:id="22224" w:name="_Toc395014629"/>
      <w:bookmarkStart w:id="22225" w:name="_Toc395013220"/>
      <w:bookmarkStart w:id="22226" w:name="_Toc395084744"/>
      <w:bookmarkStart w:id="22227" w:name="_Toc395085045"/>
      <w:bookmarkStart w:id="22228" w:name="_Toc395090259"/>
      <w:bookmarkStart w:id="22229" w:name="_Toc395090511"/>
      <w:bookmarkStart w:id="22230" w:name="_Toc395090738"/>
      <w:bookmarkStart w:id="22231" w:name="_Toc395092627"/>
      <w:bookmarkStart w:id="22232" w:name="_Toc395092839"/>
      <w:bookmarkStart w:id="22233" w:name="_Toc395093095"/>
      <w:bookmarkStart w:id="22234" w:name="_Toc395093321"/>
      <w:bookmarkStart w:id="22235" w:name="_Toc395097750"/>
      <w:bookmarkStart w:id="22236" w:name="_Toc395098007"/>
      <w:bookmarkStart w:id="22237" w:name="_Toc395098231"/>
      <w:bookmarkStart w:id="22238" w:name="_Toc395105416"/>
      <w:bookmarkStart w:id="22239" w:name="_Toc395106191"/>
      <w:bookmarkStart w:id="22240" w:name="_Toc395107019"/>
      <w:bookmarkStart w:id="22241" w:name="_Toc395109891"/>
      <w:bookmarkStart w:id="22242" w:name="_Toc395109677"/>
      <w:bookmarkStart w:id="22243" w:name="_Toc395109784"/>
      <w:bookmarkStart w:id="22244" w:name="_Toc395111894"/>
      <w:bookmarkStart w:id="22245" w:name="_Toc395112161"/>
      <w:bookmarkStart w:id="22246" w:name="_Toc395112382"/>
      <w:bookmarkStart w:id="22247" w:name="_Toc395106814"/>
      <w:bookmarkStart w:id="22248" w:name="_Toc395107303"/>
      <w:bookmarkStart w:id="22249" w:name="_Toc395107527"/>
      <w:bookmarkStart w:id="22250" w:name="_Toc395109519"/>
      <w:bookmarkStart w:id="22251" w:name="_Toc395108574"/>
      <w:bookmarkStart w:id="22252" w:name="_Toc395108864"/>
      <w:bookmarkStart w:id="22253" w:name="_Toc395113814"/>
      <w:bookmarkStart w:id="22254" w:name="_Toc395114104"/>
      <w:bookmarkStart w:id="22255" w:name="_Toc395114334"/>
      <w:bookmarkStart w:id="22256" w:name="_Toc395116550"/>
      <w:bookmarkStart w:id="22257" w:name="_Toc395116841"/>
      <w:bookmarkStart w:id="22258" w:name="_Toc395117072"/>
      <w:bookmarkStart w:id="22259" w:name="_Toc395112487"/>
      <w:bookmarkStart w:id="22260" w:name="_Toc395112778"/>
      <w:bookmarkStart w:id="22261" w:name="_Toc395113190"/>
      <w:bookmarkStart w:id="22262" w:name="_Toc395115026"/>
      <w:bookmarkStart w:id="22263" w:name="_Toc395115318"/>
      <w:bookmarkStart w:id="22264" w:name="_Toc395115549"/>
      <w:bookmarkStart w:id="22265" w:name="_Toc395118181"/>
      <w:bookmarkStart w:id="22266" w:name="_Toc395118470"/>
      <w:bookmarkStart w:id="22267" w:name="_Toc395118699"/>
      <w:bookmarkStart w:id="22268" w:name="_Toc395178391"/>
      <w:bookmarkStart w:id="22269" w:name="_Toc395178723"/>
      <w:bookmarkStart w:id="22270" w:name="_Toc395624664"/>
      <w:bookmarkStart w:id="22271" w:name="_Toc395624880"/>
      <w:bookmarkStart w:id="22272" w:name="_Toc395789734"/>
      <w:bookmarkStart w:id="22273" w:name="_Toc395790015"/>
      <w:bookmarkStart w:id="22274" w:name="_Toc395800773"/>
      <w:bookmarkStart w:id="22275" w:name="_Toc395802863"/>
      <w:bookmarkStart w:id="22276" w:name="_Toc395867626"/>
      <w:bookmarkStart w:id="22277" w:name="_Toc395868535"/>
      <w:bookmarkStart w:id="22278" w:name="_Toc395868758"/>
      <w:bookmarkStart w:id="22279" w:name="_Toc395879137"/>
      <w:bookmarkStart w:id="22280" w:name="_Toc395882040"/>
      <w:bookmarkStart w:id="22281" w:name="_Toc395882261"/>
      <w:bookmarkStart w:id="22282" w:name="_Toc395882371"/>
      <w:bookmarkStart w:id="22283" w:name="_Toc395882592"/>
      <w:bookmarkStart w:id="22284" w:name="_Toc395880535"/>
      <w:bookmarkStart w:id="22285" w:name="_Toc395880866"/>
      <w:bookmarkStart w:id="22286" w:name="_Toc395881424"/>
      <w:bookmarkStart w:id="22287" w:name="_Toc395881645"/>
      <w:bookmarkStart w:id="22288" w:name="_Toc395884030"/>
      <w:bookmarkStart w:id="22289" w:name="_Toc395880764"/>
      <w:bookmarkStart w:id="22290" w:name="_Toc395884471"/>
      <w:bookmarkStart w:id="22291" w:name="_Toc395884692"/>
      <w:bookmarkStart w:id="22292" w:name="_Toc395883180"/>
      <w:bookmarkStart w:id="22293" w:name="_Toc395883401"/>
      <w:bookmarkStart w:id="22294" w:name="_Toc395883510"/>
      <w:bookmarkStart w:id="22295" w:name="_Toc395883731"/>
      <w:bookmarkStart w:id="22296" w:name="_Toc395884812"/>
      <w:bookmarkStart w:id="22297" w:name="_Toc396123840"/>
      <w:bookmarkStart w:id="22298" w:name="_Toc396130743"/>
      <w:bookmarkStart w:id="22299" w:name="_Toc396136321"/>
      <w:bookmarkStart w:id="22300" w:name="_Toc396138775"/>
      <w:bookmarkStart w:id="22301" w:name="_Toc396144036"/>
      <w:bookmarkStart w:id="22302" w:name="_Toc396145545"/>
      <w:bookmarkStart w:id="22303" w:name="_Toc396145689"/>
      <w:bookmarkStart w:id="22304" w:name="_Toc396145971"/>
      <w:bookmarkStart w:id="22305" w:name="_Toc396147511"/>
      <w:bookmarkStart w:id="22306" w:name="_Toc396147797"/>
      <w:bookmarkStart w:id="22307" w:name="_Toc396149053"/>
      <w:bookmarkStart w:id="22308" w:name="_Toc396148767"/>
      <w:bookmarkStart w:id="22309" w:name="_Toc396149548"/>
      <w:bookmarkStart w:id="22310" w:name="_Toc396149193"/>
      <w:bookmarkStart w:id="22311" w:name="_Toc396149479"/>
      <w:bookmarkStart w:id="22312" w:name="_Toc396149156"/>
      <w:bookmarkStart w:id="22313" w:name="_Toc396149901"/>
      <w:bookmarkStart w:id="22314" w:name="_Toc396149651"/>
      <w:bookmarkStart w:id="22315" w:name="_Toc396150492"/>
      <w:bookmarkStart w:id="22316" w:name="_Toc396151381"/>
      <w:bookmarkStart w:id="22317" w:name="_Toc396151675"/>
      <w:bookmarkStart w:id="22318" w:name="_Toc396201602"/>
      <w:bookmarkStart w:id="22319" w:name="_Toc396202392"/>
      <w:bookmarkStart w:id="22320" w:name="_Toc396202687"/>
      <w:bookmarkStart w:id="22321" w:name="_Toc396203304"/>
      <w:bookmarkStart w:id="22322" w:name="_Toc396206600"/>
      <w:bookmarkStart w:id="22323" w:name="_Toc396206894"/>
      <w:bookmarkStart w:id="22324" w:name="_Toc396209428"/>
      <w:bookmarkStart w:id="22325" w:name="_Toc396209722"/>
      <w:bookmarkStart w:id="22326" w:name="_Toc396211852"/>
      <w:bookmarkStart w:id="22327" w:name="_Toc396212146"/>
      <w:bookmarkStart w:id="22328" w:name="_Toc396213196"/>
      <w:bookmarkStart w:id="22329" w:name="_Toc396213488"/>
      <w:bookmarkStart w:id="22330" w:name="_Toc396214039"/>
      <w:bookmarkStart w:id="22331" w:name="_Toc396214474"/>
      <w:bookmarkStart w:id="22332" w:name="_Toc396214764"/>
      <w:bookmarkStart w:id="22333" w:name="_Toc396220324"/>
      <w:bookmarkStart w:id="22334" w:name="_Toc396226586"/>
      <w:bookmarkStart w:id="22335" w:name="_Toc396226875"/>
      <w:bookmarkStart w:id="22336" w:name="_Toc396228786"/>
      <w:bookmarkStart w:id="22337" w:name="_Toc396229081"/>
      <w:bookmarkStart w:id="22338" w:name="_Toc396230428"/>
      <w:bookmarkStart w:id="22339" w:name="_Toc396230723"/>
      <w:bookmarkStart w:id="22340" w:name="_Toc396231865"/>
      <w:bookmarkStart w:id="22341" w:name="_Toc396233208"/>
      <w:bookmarkStart w:id="22342" w:name="_Toc396233505"/>
      <w:bookmarkStart w:id="22343" w:name="_Toc396234028"/>
      <w:bookmarkStart w:id="22344" w:name="_Toc396234325"/>
      <w:bookmarkStart w:id="22345" w:name="_Toc396234438"/>
      <w:bookmarkStart w:id="22346" w:name="_Toc396236172"/>
      <w:bookmarkStart w:id="22347" w:name="_Toc396235950"/>
      <w:bookmarkStart w:id="22348" w:name="_Toc396236560"/>
      <w:bookmarkStart w:id="22349" w:name="_Toc396237079"/>
      <w:bookmarkStart w:id="22350" w:name="_Toc396397422"/>
      <w:bookmarkStart w:id="22351" w:name="_Toc396304603"/>
      <w:bookmarkStart w:id="22352" w:name="_Toc396586138"/>
      <w:bookmarkStart w:id="22353" w:name="_Toc396815159"/>
      <w:bookmarkStart w:id="22354" w:name="_Toc396821108"/>
      <w:bookmarkStart w:id="22355" w:name="_Toc396821716"/>
      <w:bookmarkStart w:id="22356" w:name="_Toc396827566"/>
      <w:bookmarkStart w:id="22357" w:name="_Toc396828537"/>
      <w:bookmarkStart w:id="22358" w:name="_Toc396828647"/>
      <w:bookmarkStart w:id="22359" w:name="_Toc396838036"/>
      <w:bookmarkStart w:id="22360" w:name="_Toc396838434"/>
      <w:bookmarkStart w:id="22361" w:name="_Toc396904757"/>
      <w:bookmarkStart w:id="22362" w:name="_Toc396907591"/>
      <w:bookmarkStart w:id="22363" w:name="_Toc396912510"/>
      <w:bookmarkStart w:id="22364" w:name="_Toc396914490"/>
      <w:bookmarkStart w:id="22365" w:name="_Toc396915374"/>
      <w:bookmarkStart w:id="22366" w:name="_Toc396915768"/>
      <w:bookmarkStart w:id="22367" w:name="_Toc396921079"/>
      <w:bookmarkStart w:id="22368" w:name="_Toc396924419"/>
      <w:bookmarkStart w:id="22369" w:name="_Toc396925113"/>
      <w:bookmarkStart w:id="22370" w:name="_Toc396992233"/>
      <w:bookmarkStart w:id="22371" w:name="_Toc396992812"/>
      <w:bookmarkStart w:id="22372" w:name="_Toc396994476"/>
      <w:bookmarkStart w:id="22373" w:name="_Toc397002246"/>
      <w:bookmarkStart w:id="22374" w:name="_Toc397003165"/>
      <w:bookmarkStart w:id="22375" w:name="_Toc397008723"/>
      <w:bookmarkStart w:id="22376" w:name="_Toc397008941"/>
      <w:bookmarkStart w:id="22377" w:name="_Toc397011613"/>
      <w:bookmarkStart w:id="22378" w:name="_Toc397012675"/>
      <w:bookmarkStart w:id="22379" w:name="_Toc397015017"/>
      <w:bookmarkStart w:id="22380" w:name="_Toc397015504"/>
      <w:bookmarkStart w:id="22381" w:name="_Toc397070574"/>
      <w:bookmarkStart w:id="22382" w:name="_Toc397413324"/>
      <w:bookmarkStart w:id="22383" w:name="_Toc397413471"/>
      <w:bookmarkStart w:id="22384" w:name="_Toc397428045"/>
      <w:bookmarkStart w:id="22385" w:name="_Toc397439433"/>
      <w:bookmarkStart w:id="22386" w:name="_Toc397439603"/>
      <w:bookmarkStart w:id="22387" w:name="_Toc397439859"/>
      <w:bookmarkStart w:id="22388" w:name="_Toc397440161"/>
      <w:bookmarkStart w:id="22389" w:name="_Toc397441790"/>
      <w:bookmarkStart w:id="22390" w:name="_Toc397517492"/>
      <w:bookmarkStart w:id="22391" w:name="_Toc397522757"/>
      <w:bookmarkStart w:id="22392" w:name="_Toc397526175"/>
      <w:bookmarkStart w:id="22393" w:name="_Toc397528490"/>
      <w:bookmarkStart w:id="22394" w:name="_Toc397528965"/>
      <w:bookmarkStart w:id="22395" w:name="_Toc397601962"/>
      <w:bookmarkStart w:id="22396" w:name="_Toc397602697"/>
      <w:bookmarkStart w:id="22397" w:name="_Toc397605830"/>
      <w:bookmarkStart w:id="22398" w:name="_Toc397614527"/>
      <w:bookmarkStart w:id="22399" w:name="_Toc397614970"/>
      <w:bookmarkStart w:id="22400" w:name="_Toc397616413"/>
      <w:bookmarkStart w:id="22401" w:name="_Toc397616807"/>
      <w:r w:rsidRPr="008625DC">
        <w:t xml:space="preserve">Last, </w:t>
      </w:r>
      <w:r w:rsidR="00A625F6" w:rsidRPr="008625DC">
        <w:t>this chapter discusses</w:t>
      </w:r>
      <w:r w:rsidRPr="008625DC">
        <w:t xml:space="preserve"> the importance of careful implementation of changes to how human services are delivered. These services can have profound impacts on peoples</w:t>
      </w:r>
      <w:r w:rsidR="00C74E19" w:rsidRPr="008625DC">
        <w:t>’</w:t>
      </w:r>
      <w:r w:rsidRPr="008625DC">
        <w:t xml:space="preserve"> lives, and so changes must be made carefully. Pilot programs, flexible rules and post</w:t>
      </w:r>
      <w:r w:rsidR="00C74E19" w:rsidRPr="008625DC">
        <w:noBreakHyphen/>
      </w:r>
      <w:r w:rsidRPr="008625DC">
        <w:t xml:space="preserve">implementation reviews </w:t>
      </w:r>
      <w:r w:rsidR="00AB20D6" w:rsidRPr="008625DC">
        <w:t>can</w:t>
      </w:r>
      <w:r w:rsidRPr="008625DC">
        <w:t xml:space="preserve"> be useful tools for implementing change. </w:t>
      </w:r>
    </w:p>
    <w:p w14:paraId="4FE3982A" w14:textId="77777777" w:rsidR="000225AB" w:rsidRPr="008625DC" w:rsidRDefault="000225AB" w:rsidP="000B5916">
      <w:pPr>
        <w:pStyle w:val="Heading2"/>
        <w:ind w:left="851" w:hanging="851"/>
        <w:rPr>
          <w:lang w:val="en-AU"/>
        </w:rPr>
      </w:pPr>
      <w:bookmarkStart w:id="22402" w:name="_Toc397688105"/>
      <w:bookmarkStart w:id="22403" w:name="_Toc397689321"/>
      <w:bookmarkStart w:id="22404" w:name="_Toc397694601"/>
      <w:bookmarkStart w:id="22405" w:name="_Toc397696442"/>
      <w:bookmarkStart w:id="22406" w:name="_Toc397697176"/>
      <w:bookmarkStart w:id="22407" w:name="_Toc397698463"/>
      <w:bookmarkStart w:id="22408" w:name="_Toc397699829"/>
      <w:bookmarkStart w:id="22409" w:name="_Toc397700283"/>
      <w:bookmarkStart w:id="22410" w:name="_Toc397936675"/>
      <w:bookmarkStart w:id="22411" w:name="_Toc397936795"/>
      <w:bookmarkStart w:id="22412" w:name="_Toc397945951"/>
      <w:bookmarkStart w:id="22413" w:name="_Toc397946977"/>
      <w:bookmarkStart w:id="22414" w:name="_Toc397948096"/>
      <w:bookmarkStart w:id="22415" w:name="_Toc397958502"/>
      <w:bookmarkStart w:id="22416" w:name="_Toc397958744"/>
      <w:bookmarkStart w:id="22417" w:name="_Toc397959159"/>
      <w:bookmarkStart w:id="22418" w:name="_Toc397963012"/>
      <w:bookmarkStart w:id="22419" w:name="_Toc397963378"/>
      <w:bookmarkStart w:id="22420" w:name="_Toc397965455"/>
      <w:bookmarkStart w:id="22421" w:name="_Toc398197393"/>
      <w:bookmarkStart w:id="22422" w:name="_Toc398199896"/>
      <w:bookmarkStart w:id="22423" w:name="_Toc398201610"/>
      <w:bookmarkStart w:id="22424" w:name="_Toc398207215"/>
      <w:bookmarkStart w:id="22425" w:name="_Toc398210488"/>
      <w:bookmarkStart w:id="22426" w:name="_Toc398211002"/>
      <w:bookmarkStart w:id="22427" w:name="_Toc398219810"/>
      <w:bookmarkStart w:id="22428" w:name="_Toc398220185"/>
      <w:bookmarkStart w:id="22429" w:name="_Toc398220572"/>
      <w:bookmarkStart w:id="22430" w:name="_Toc398221650"/>
      <w:bookmarkStart w:id="22431" w:name="_Toc398222336"/>
      <w:bookmarkStart w:id="22432" w:name="_Toc398222648"/>
      <w:bookmarkStart w:id="22433" w:name="_Toc398223065"/>
      <w:bookmarkStart w:id="22434" w:name="_Toc398223444"/>
      <w:bookmarkStart w:id="22435" w:name="_Toc398223571"/>
      <w:bookmarkStart w:id="22436" w:name="_Toc398224379"/>
      <w:bookmarkStart w:id="22437" w:name="_Toc398225716"/>
      <w:bookmarkStart w:id="22438" w:name="_Toc398225841"/>
      <w:bookmarkStart w:id="22439" w:name="_Toc398281328"/>
      <w:bookmarkStart w:id="22440" w:name="_Toc398282187"/>
      <w:bookmarkStart w:id="22441" w:name="_Toc398284857"/>
      <w:bookmarkStart w:id="22442" w:name="_Toc398287326"/>
      <w:bookmarkStart w:id="22443" w:name="_Toc398289209"/>
      <w:bookmarkStart w:id="22444" w:name="_Toc398297206"/>
      <w:bookmarkStart w:id="22445" w:name="_Toc398298680"/>
      <w:bookmarkStart w:id="22446" w:name="_Toc398300381"/>
      <w:bookmarkStart w:id="22447" w:name="_Toc398301278"/>
      <w:bookmarkStart w:id="22448" w:name="_Toc398302463"/>
      <w:bookmarkStart w:id="22449" w:name="_Toc398302626"/>
      <w:bookmarkStart w:id="22450" w:name="_Toc398549140"/>
      <w:bookmarkStart w:id="22451" w:name="_Toc398549390"/>
      <w:bookmarkStart w:id="22452" w:name="_Toc398555809"/>
      <w:bookmarkStart w:id="22453" w:name="_Toc398559013"/>
      <w:bookmarkStart w:id="22454" w:name="_Toc398563499"/>
      <w:bookmarkStart w:id="22455" w:name="_Toc398563632"/>
      <w:bookmarkStart w:id="22456" w:name="_Toc398564031"/>
      <w:bookmarkStart w:id="22457" w:name="_Toc398827369"/>
      <w:bookmarkStart w:id="22458" w:name="_Toc398827563"/>
      <w:r w:rsidRPr="008625DC">
        <w:rPr>
          <w:lang w:val="en-AU"/>
        </w:rPr>
        <w:t>Role of government</w:t>
      </w:r>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p>
    <w:p w14:paraId="695169D5" w14:textId="53E1F581" w:rsidR="000225AB" w:rsidRPr="008625DC" w:rsidRDefault="000225AB" w:rsidP="000225AB">
      <w:r w:rsidRPr="008625DC">
        <w:t xml:space="preserve">Governments at all levels have traditionally played </w:t>
      </w:r>
      <w:r w:rsidR="00031976" w:rsidRPr="008625DC">
        <w:t>an important</w:t>
      </w:r>
      <w:r w:rsidRPr="008625DC">
        <w:t xml:space="preserve"> role in human service delivery in Australia. In many cases governments, </w:t>
      </w:r>
      <w:r w:rsidR="00AE0655" w:rsidRPr="008625DC">
        <w:t xml:space="preserve">including </w:t>
      </w:r>
      <w:r w:rsidR="007773DB" w:rsidRPr="008625DC">
        <w:t xml:space="preserve">via </w:t>
      </w:r>
      <w:r w:rsidR="00031976" w:rsidRPr="008625DC">
        <w:t>their</w:t>
      </w:r>
      <w:r w:rsidR="007773DB" w:rsidRPr="008625DC">
        <w:t xml:space="preserve"> departments</w:t>
      </w:r>
      <w:r w:rsidRPr="008625DC">
        <w:t xml:space="preserve">, have determined what is </w:t>
      </w:r>
      <w:r w:rsidR="00AB20D6" w:rsidRPr="008625DC">
        <w:t>supplied</w:t>
      </w:r>
      <w:r w:rsidRPr="008625DC">
        <w:t xml:space="preserve">, how much is </w:t>
      </w:r>
      <w:r w:rsidR="00AB20D6" w:rsidRPr="008625DC">
        <w:t xml:space="preserve">supplied </w:t>
      </w:r>
      <w:r w:rsidR="00AE0655" w:rsidRPr="008625DC">
        <w:t>(through the budget process)</w:t>
      </w:r>
      <w:r w:rsidRPr="008625DC">
        <w:t xml:space="preserve">, and </w:t>
      </w:r>
      <w:r w:rsidR="00AB20D6" w:rsidRPr="008625DC">
        <w:t>supplied many of the services</w:t>
      </w:r>
      <w:r w:rsidRPr="008625DC">
        <w:t xml:space="preserve"> themselves. </w:t>
      </w:r>
    </w:p>
    <w:p w14:paraId="735603C4" w14:textId="4CA6FA1D" w:rsidR="000225AB" w:rsidRPr="008625DC" w:rsidRDefault="000225AB" w:rsidP="000225AB">
      <w:r w:rsidRPr="008625DC">
        <w:t xml:space="preserve">Across most human services the power to regulate and implement policy lies with the </w:t>
      </w:r>
      <w:r w:rsidR="00A46FEF" w:rsidRPr="008625DC">
        <w:t>S</w:t>
      </w:r>
      <w:r w:rsidR="00792C54" w:rsidRPr="008625DC">
        <w:t>tates</w:t>
      </w:r>
      <w:r w:rsidRPr="008625DC">
        <w:t xml:space="preserve"> and </w:t>
      </w:r>
      <w:r w:rsidR="00A46FEF" w:rsidRPr="008625DC">
        <w:t>T</w:t>
      </w:r>
      <w:r w:rsidRPr="008625DC">
        <w:t>erritories</w:t>
      </w:r>
      <w:r w:rsidR="00A46FEF" w:rsidRPr="008625DC">
        <w:t>;</w:t>
      </w:r>
      <w:r w:rsidRPr="008625DC">
        <w:t xml:space="preserve"> however</w:t>
      </w:r>
      <w:r w:rsidR="00A46FEF" w:rsidRPr="008625DC">
        <w:t>,</w:t>
      </w:r>
      <w:r w:rsidRPr="008625DC">
        <w:t xml:space="preserve"> the Commonwealth has some leverage through financial grants and </w:t>
      </w:r>
      <w:r w:rsidR="007773DB" w:rsidRPr="008625DC">
        <w:t>Council of Australian Government</w:t>
      </w:r>
      <w:r w:rsidRPr="008625DC">
        <w:t xml:space="preserve"> </w:t>
      </w:r>
      <w:r w:rsidR="007773DB" w:rsidRPr="008625DC">
        <w:t>(</w:t>
      </w:r>
      <w:r w:rsidRPr="008625DC">
        <w:t>COAG</w:t>
      </w:r>
      <w:r w:rsidR="007773DB" w:rsidRPr="008625DC">
        <w:t>)</w:t>
      </w:r>
      <w:r w:rsidRPr="008625DC">
        <w:t xml:space="preserve"> processes. For example, tied grants </w:t>
      </w:r>
      <w:r w:rsidR="004B684A" w:rsidRPr="008625DC">
        <w:t xml:space="preserve">made to tertiary education </w:t>
      </w:r>
      <w:r w:rsidR="004B684A" w:rsidRPr="008625DC">
        <w:lastRenderedPageBreak/>
        <w:t xml:space="preserve">institutions </w:t>
      </w:r>
      <w:r w:rsidRPr="008625DC">
        <w:t xml:space="preserve">have given the Commonwealth an ongoing and dominant role in university policy and regulation. </w:t>
      </w:r>
    </w:p>
    <w:p w14:paraId="45DB6BEA" w14:textId="1C4A7270" w:rsidR="000225AB" w:rsidRPr="008625DC" w:rsidRDefault="007773DB" w:rsidP="000225AB">
      <w:pPr>
        <w:rPr>
          <w:color w:val="auto"/>
        </w:rPr>
      </w:pPr>
      <w:r w:rsidRPr="008625DC">
        <w:t>S</w:t>
      </w:r>
      <w:r w:rsidR="000225AB" w:rsidRPr="008625DC">
        <w:t xml:space="preserve">tate and territory governments may </w:t>
      </w:r>
      <w:r w:rsidRPr="008625DC">
        <w:t>choose to</w:t>
      </w:r>
      <w:r w:rsidR="000225AB" w:rsidRPr="008625DC">
        <w:t xml:space="preserve"> delegate </w:t>
      </w:r>
      <w:r w:rsidR="00B47EF5" w:rsidRPr="008625DC">
        <w:t xml:space="preserve">responsibilities </w:t>
      </w:r>
      <w:r w:rsidR="000225AB" w:rsidRPr="008625DC">
        <w:t>to local government</w:t>
      </w:r>
      <w:r w:rsidRPr="008625DC">
        <w:t xml:space="preserve"> to develop and implement human services policy</w:t>
      </w:r>
      <w:r w:rsidR="000225AB" w:rsidRPr="008625DC">
        <w:t xml:space="preserve">. The </w:t>
      </w:r>
      <w:r w:rsidR="00792C54" w:rsidRPr="008625DC">
        <w:t>Productivity Commission (</w:t>
      </w:r>
      <w:r w:rsidR="000225AB" w:rsidRPr="008625DC">
        <w:t>PC</w:t>
      </w:r>
      <w:r w:rsidR="00792C54" w:rsidRPr="008625DC">
        <w:t>)</w:t>
      </w:r>
      <w:r w:rsidR="000225AB" w:rsidRPr="008625DC">
        <w:t xml:space="preserve"> has found that local governments are involved in various human services sectors including </w:t>
      </w:r>
      <w:r w:rsidR="000225AB" w:rsidRPr="008625DC">
        <w:rPr>
          <w:color w:val="auto"/>
        </w:rPr>
        <w:t>aged care and child care services, health clinics, youth centres, community</w:t>
      </w:r>
      <w:r w:rsidR="000225AB" w:rsidRPr="008625DC">
        <w:t xml:space="preserve"> </w:t>
      </w:r>
      <w:r w:rsidR="000225AB" w:rsidRPr="008625DC">
        <w:rPr>
          <w:color w:val="auto"/>
        </w:rPr>
        <w:t>housing refuges and facilities, counselling and welfare services.</w:t>
      </w:r>
      <w:r w:rsidR="000225AB" w:rsidRPr="008625DC">
        <w:rPr>
          <w:rStyle w:val="FootnoteReference"/>
          <w:color w:val="auto"/>
        </w:rPr>
        <w:footnoteReference w:id="168"/>
      </w:r>
    </w:p>
    <w:p w14:paraId="2B8B45B0" w14:textId="77777777" w:rsidR="000225AB" w:rsidRPr="008625DC" w:rsidRDefault="000225AB" w:rsidP="00FB084C">
      <w:pPr>
        <w:pStyle w:val="Heading3"/>
      </w:pPr>
      <w:r w:rsidRPr="008625DC">
        <w:t>Funding of human services</w:t>
      </w:r>
    </w:p>
    <w:p w14:paraId="18FD2ADC" w14:textId="2D732A45" w:rsidR="000225AB" w:rsidRPr="008625DC" w:rsidRDefault="000225AB" w:rsidP="000225AB">
      <w:r w:rsidRPr="008625DC">
        <w:t>The Panel will not make recommendations on overall levels of funding</w:t>
      </w:r>
      <w:r w:rsidR="00380141" w:rsidRPr="008625DC">
        <w:t xml:space="preserve"> — </w:t>
      </w:r>
      <w:r w:rsidRPr="008625DC">
        <w:t>funding decisions are a matter for governments and are generally determined through budget processes. However</w:t>
      </w:r>
      <w:r w:rsidR="00384CD0" w:rsidRPr="008625DC">
        <w:t>,</w:t>
      </w:r>
      <w:r w:rsidRPr="008625DC">
        <w:t xml:space="preserve"> funding levels and methods can have important implications for choice, diversity and innovation in human services markets.</w:t>
      </w:r>
    </w:p>
    <w:p w14:paraId="4361FD0F" w14:textId="6F1658DC" w:rsidR="000225AB" w:rsidRPr="008625DC" w:rsidRDefault="000225AB" w:rsidP="000225AB">
      <w:r w:rsidRPr="008625DC">
        <w:t>The question of funding centres on setting the bounds of the service that will be paid for or subsidised by governments and structuring the funds that flow from the government to providers</w:t>
      </w:r>
      <w:r w:rsidR="0072024B" w:rsidRPr="008625DC">
        <w:t xml:space="preserve"> or users</w:t>
      </w:r>
      <w:r w:rsidRPr="008625DC">
        <w:t xml:space="preserve">. </w:t>
      </w:r>
      <w:r w:rsidR="005308C0" w:rsidRPr="008625DC">
        <w:t>While some human services are block funded, others have</w:t>
      </w:r>
      <w:r w:rsidRPr="008625DC">
        <w:t xml:space="preserve"> </w:t>
      </w:r>
      <w:r w:rsidR="00C74E19" w:rsidRPr="008625DC">
        <w:t>‘</w:t>
      </w:r>
      <w:r w:rsidRPr="008625DC">
        <w:t>entry criteria</w:t>
      </w:r>
      <w:r w:rsidR="00C74E19" w:rsidRPr="008625DC">
        <w:t>’</w:t>
      </w:r>
      <w:r w:rsidRPr="008625DC">
        <w:t xml:space="preserve"> that </w:t>
      </w:r>
      <w:r w:rsidR="005308C0" w:rsidRPr="008625DC">
        <w:t>qualifies</w:t>
      </w:r>
      <w:r w:rsidRPr="008625DC">
        <w:t xml:space="preserve"> an individual for </w:t>
      </w:r>
      <w:r w:rsidR="005308C0" w:rsidRPr="008625DC">
        <w:t xml:space="preserve">funding associated with </w:t>
      </w:r>
      <w:r w:rsidRPr="008625DC">
        <w:t xml:space="preserve">a level of service. </w:t>
      </w:r>
      <w:r w:rsidR="00792C54" w:rsidRPr="008625DC">
        <w:t>Policy</w:t>
      </w:r>
      <w:r w:rsidRPr="008625DC">
        <w:t xml:space="preserve">makers may change entry criteria from time to time, for example, to better reflect changing demographics. </w:t>
      </w:r>
    </w:p>
    <w:tbl>
      <w:tblPr>
        <w:tblW w:w="9072" w:type="dxa"/>
        <w:tblInd w:w="108" w:type="dxa"/>
        <w:shd w:val="clear" w:color="auto" w:fill="E6E6E6"/>
        <w:tblLook w:val="01E0" w:firstRow="1" w:lastRow="1" w:firstColumn="1" w:lastColumn="1" w:noHBand="0" w:noVBand="0"/>
      </w:tblPr>
      <w:tblGrid>
        <w:gridCol w:w="9072"/>
      </w:tblGrid>
      <w:tr w:rsidR="000225AB" w:rsidRPr="008625DC" w14:paraId="6B34F77C" w14:textId="77777777" w:rsidTr="00F01103">
        <w:tc>
          <w:tcPr>
            <w:tcW w:w="5000" w:type="pct"/>
            <w:shd w:val="clear" w:color="auto" w:fill="E6E6E6"/>
          </w:tcPr>
          <w:p w14:paraId="2135F8B3" w14:textId="25B095AE" w:rsidR="000225AB" w:rsidRPr="008625DC" w:rsidRDefault="003E52A5" w:rsidP="00F01103">
            <w:pPr>
              <w:pStyle w:val="BoxHeading"/>
            </w:pPr>
            <w:r w:rsidRPr="008625DC">
              <w:lastRenderedPageBreak/>
              <w:t>Box</w:t>
            </w:r>
            <w:r w:rsidR="00B071F2" w:rsidRPr="008625DC">
              <w:t xml:space="preserve"> </w:t>
            </w:r>
            <w:r w:rsidR="00AE1285" w:rsidRPr="008625DC">
              <w:t>10</w:t>
            </w:r>
            <w:r w:rsidR="00B071F2" w:rsidRPr="008625DC">
              <w:t>.</w:t>
            </w:r>
            <w:r w:rsidR="00E21EBC" w:rsidRPr="008625DC">
              <w:t>1</w:t>
            </w:r>
            <w:r w:rsidR="00B071F2" w:rsidRPr="008625DC">
              <w:t xml:space="preserve">: </w:t>
            </w:r>
            <w:r w:rsidR="000225AB" w:rsidRPr="008625DC">
              <w:t xml:space="preserve">Funding </w:t>
            </w:r>
            <w:r w:rsidR="00384CD0" w:rsidRPr="008625DC">
              <w:t>human services</w:t>
            </w:r>
            <w:r w:rsidR="000225AB" w:rsidRPr="008625DC">
              <w:t xml:space="preserve"> as a policy decision</w:t>
            </w:r>
          </w:p>
          <w:p w14:paraId="2E92B31C" w14:textId="77777777" w:rsidR="000225AB" w:rsidRPr="008625DC" w:rsidRDefault="000225AB" w:rsidP="00024194">
            <w:pPr>
              <w:pStyle w:val="Boxheading2"/>
            </w:pPr>
            <w:r w:rsidRPr="008625DC">
              <w:t>Schools</w:t>
            </w:r>
          </w:p>
          <w:p w14:paraId="4CEE08F8" w14:textId="12B8A0AA" w:rsidR="000225AB" w:rsidRPr="008625DC" w:rsidRDefault="000225AB" w:rsidP="00F01103">
            <w:pPr>
              <w:pStyle w:val="BoxText"/>
            </w:pPr>
            <w:r w:rsidRPr="008625DC">
              <w:t xml:space="preserve">A significant portion of government funding for schools is provided on a </w:t>
            </w:r>
            <w:r w:rsidR="00C74E19" w:rsidRPr="008625DC">
              <w:t>‘</w:t>
            </w:r>
            <w:r w:rsidRPr="008625DC">
              <w:t>per student</w:t>
            </w:r>
            <w:r w:rsidR="00C74E19" w:rsidRPr="008625DC">
              <w:t>’</w:t>
            </w:r>
            <w:r w:rsidRPr="008625DC">
              <w:t xml:space="preserve"> basis.</w:t>
            </w:r>
            <w:r w:rsidR="00F45C71" w:rsidRPr="008625DC">
              <w:rPr>
                <w:rStyle w:val="FootnoteReference"/>
              </w:rPr>
              <w:footnoteReference w:id="169"/>
            </w:r>
            <w:r w:rsidRPr="008625DC">
              <w:t xml:space="preserve"> This policy decision by governments ensures that each student has an entitlement to a certain level of funding, regardless of which school they attend.</w:t>
            </w:r>
          </w:p>
          <w:p w14:paraId="62DAFD17" w14:textId="77777777" w:rsidR="000225AB" w:rsidRPr="008625DC" w:rsidRDefault="000225AB" w:rsidP="00024194">
            <w:pPr>
              <w:pStyle w:val="Boxheading2"/>
            </w:pPr>
            <w:r w:rsidRPr="008625DC">
              <w:t>Disability care and support</w:t>
            </w:r>
          </w:p>
          <w:p w14:paraId="07EB51B4" w14:textId="52579E1E" w:rsidR="00F45C71" w:rsidRPr="008625DC" w:rsidRDefault="00F45C71" w:rsidP="00881819">
            <w:pPr>
              <w:pStyle w:val="Default"/>
              <w:spacing w:after="120"/>
              <w:rPr>
                <w:rFonts w:asciiTheme="minorHAnsi" w:hAnsiTheme="minorHAnsi"/>
                <w:sz w:val="22"/>
              </w:rPr>
            </w:pPr>
            <w:r w:rsidRPr="008625DC">
              <w:rPr>
                <w:rFonts w:asciiTheme="minorHAnsi" w:hAnsiTheme="minorHAnsi"/>
                <w:sz w:val="22"/>
              </w:rPr>
              <w:t xml:space="preserve">The rollout of the National Disability Insurance Scheme (NDIS) required an initial decision by policymakers on who </w:t>
            </w:r>
            <w:r w:rsidR="003529B7" w:rsidRPr="008625DC">
              <w:rPr>
                <w:rFonts w:asciiTheme="minorHAnsi" w:hAnsiTheme="minorHAnsi"/>
                <w:sz w:val="22"/>
                <w:szCs w:val="22"/>
              </w:rPr>
              <w:t xml:space="preserve">will </w:t>
            </w:r>
            <w:r w:rsidRPr="008625DC">
              <w:rPr>
                <w:rFonts w:asciiTheme="minorHAnsi" w:hAnsiTheme="minorHAnsi"/>
                <w:sz w:val="22"/>
                <w:szCs w:val="22"/>
              </w:rPr>
              <w:t>qualif</w:t>
            </w:r>
            <w:r w:rsidR="003529B7" w:rsidRPr="008625DC">
              <w:rPr>
                <w:rFonts w:asciiTheme="minorHAnsi" w:hAnsiTheme="minorHAnsi"/>
                <w:sz w:val="22"/>
                <w:szCs w:val="22"/>
              </w:rPr>
              <w:t>y</w:t>
            </w:r>
            <w:r w:rsidRPr="008625DC">
              <w:rPr>
                <w:rFonts w:asciiTheme="minorHAnsi" w:hAnsiTheme="minorHAnsi"/>
                <w:sz w:val="22"/>
                <w:szCs w:val="22"/>
              </w:rPr>
              <w:t xml:space="preserve"> for public disability funding.</w:t>
            </w:r>
            <w:r w:rsidRPr="008625DC">
              <w:rPr>
                <w:rFonts w:asciiTheme="minorHAnsi" w:hAnsiTheme="minorHAnsi"/>
                <w:sz w:val="22"/>
              </w:rPr>
              <w:t xml:space="preserve"> During the launch period (</w:t>
            </w:r>
            <w:r w:rsidRPr="008625DC">
              <w:rPr>
                <w:rFonts w:asciiTheme="minorHAnsi" w:hAnsiTheme="minorHAnsi"/>
                <w:color w:val="3C3C3C"/>
                <w:sz w:val="22"/>
              </w:rPr>
              <w:t>July 2013 to 30 June 2016)</w:t>
            </w:r>
            <w:r w:rsidRPr="008625DC">
              <w:rPr>
                <w:rFonts w:asciiTheme="minorHAnsi" w:hAnsiTheme="minorHAnsi"/>
                <w:sz w:val="22"/>
              </w:rPr>
              <w:t xml:space="preserve">, </w:t>
            </w:r>
            <w:r w:rsidR="00D808A1" w:rsidRPr="008625DC">
              <w:rPr>
                <w:rFonts w:asciiTheme="minorHAnsi" w:hAnsiTheme="minorHAnsi"/>
                <w:sz w:val="22"/>
              </w:rPr>
              <w:t xml:space="preserve">individuals </w:t>
            </w:r>
            <w:r w:rsidRPr="008625DC">
              <w:rPr>
                <w:rFonts w:asciiTheme="minorHAnsi" w:hAnsiTheme="minorHAnsi"/>
                <w:sz w:val="22"/>
              </w:rPr>
              <w:t xml:space="preserve">will </w:t>
            </w:r>
            <w:r w:rsidR="00AE0655" w:rsidRPr="008625DC">
              <w:rPr>
                <w:rFonts w:asciiTheme="minorHAnsi" w:hAnsiTheme="minorHAnsi"/>
                <w:sz w:val="22"/>
              </w:rPr>
              <w:t xml:space="preserve">qualify </w:t>
            </w:r>
            <w:r w:rsidRPr="008625DC">
              <w:rPr>
                <w:rFonts w:asciiTheme="minorHAnsi" w:hAnsiTheme="minorHAnsi"/>
                <w:sz w:val="22"/>
              </w:rPr>
              <w:t>if they are in a launch location, are the right age for that location and meet either the disability or early intervention requirements. The disability requi</w:t>
            </w:r>
            <w:r w:rsidRPr="008625DC">
              <w:rPr>
                <w:rFonts w:asciiTheme="minorHAnsi" w:hAnsiTheme="minorHAnsi" w:cs="Arial"/>
                <w:sz w:val="22"/>
                <w:szCs w:val="22"/>
              </w:rPr>
              <w:t>rements</w:t>
            </w:r>
            <w:r w:rsidRPr="008625DC">
              <w:rPr>
                <w:rFonts w:asciiTheme="minorHAnsi" w:hAnsiTheme="minorHAnsi"/>
                <w:sz w:val="22"/>
              </w:rPr>
              <w:t xml:space="preserve"> are:</w:t>
            </w:r>
          </w:p>
          <w:p w14:paraId="58A92578" w14:textId="0616D67D" w:rsidR="00F45C71" w:rsidRPr="008625DC" w:rsidRDefault="00D808A1" w:rsidP="00467524">
            <w:pPr>
              <w:pStyle w:val="BoxBullet"/>
              <w:rPr>
                <w:lang w:val="en-AU"/>
              </w:rPr>
            </w:pPr>
            <w:r w:rsidRPr="008625DC">
              <w:rPr>
                <w:lang w:val="en-AU"/>
              </w:rPr>
              <w:t>the individual has</w:t>
            </w:r>
            <w:r w:rsidR="00F45C71" w:rsidRPr="008625DC">
              <w:rPr>
                <w:lang w:val="en-AU"/>
              </w:rPr>
              <w:t xml:space="preserve"> a permanent disability</w:t>
            </w:r>
            <w:r w:rsidR="003529B7" w:rsidRPr="008625DC">
              <w:rPr>
                <w:szCs w:val="22"/>
                <w:lang w:val="en-AU"/>
              </w:rPr>
              <w:t>;</w:t>
            </w:r>
            <w:r w:rsidR="00F45C71" w:rsidRPr="008625DC">
              <w:rPr>
                <w:lang w:val="en-AU"/>
              </w:rPr>
              <w:t xml:space="preserve"> and </w:t>
            </w:r>
          </w:p>
          <w:p w14:paraId="08790DB4" w14:textId="02FA1102" w:rsidR="00F45C71" w:rsidRPr="008625DC" w:rsidRDefault="00D808A1" w:rsidP="00467524">
            <w:pPr>
              <w:pStyle w:val="BoxBullet"/>
              <w:rPr>
                <w:lang w:val="en-AU"/>
              </w:rPr>
            </w:pPr>
            <w:r w:rsidRPr="008625DC">
              <w:rPr>
                <w:lang w:val="en-AU"/>
              </w:rPr>
              <w:t xml:space="preserve">the </w:t>
            </w:r>
            <w:r w:rsidR="00F45C71" w:rsidRPr="008625DC">
              <w:rPr>
                <w:lang w:val="en-AU"/>
              </w:rPr>
              <w:t xml:space="preserve">impairment substantially reduces </w:t>
            </w:r>
            <w:r w:rsidRPr="008625DC">
              <w:rPr>
                <w:lang w:val="en-AU"/>
              </w:rPr>
              <w:t>the individual</w:t>
            </w:r>
            <w:r w:rsidR="00C74E19" w:rsidRPr="008625DC">
              <w:rPr>
                <w:lang w:val="en-AU"/>
              </w:rPr>
              <w:t>’</w:t>
            </w:r>
            <w:r w:rsidRPr="008625DC">
              <w:rPr>
                <w:lang w:val="en-AU"/>
              </w:rPr>
              <w:t xml:space="preserve">s </w:t>
            </w:r>
            <w:r w:rsidR="00F45C71" w:rsidRPr="008625DC">
              <w:rPr>
                <w:lang w:val="en-AU"/>
              </w:rPr>
              <w:t xml:space="preserve">ability to participate effectively in activities, or perform tasks or actions unless </w:t>
            </w:r>
            <w:r w:rsidRPr="008625DC">
              <w:rPr>
                <w:lang w:val="en-AU"/>
              </w:rPr>
              <w:t xml:space="preserve">they </w:t>
            </w:r>
            <w:r w:rsidR="00F45C71" w:rsidRPr="008625DC">
              <w:rPr>
                <w:lang w:val="en-AU"/>
              </w:rPr>
              <w:t>have</w:t>
            </w:r>
          </w:p>
          <w:p w14:paraId="3D1C91EB" w14:textId="270F669E" w:rsidR="00F45C71" w:rsidRPr="008625DC" w:rsidRDefault="00F45C71" w:rsidP="00467524">
            <w:pPr>
              <w:pStyle w:val="BoxDash"/>
              <w:spacing w:after="0"/>
            </w:pPr>
            <w:r w:rsidRPr="008625DC">
              <w:t xml:space="preserve">assistance from other people on most days, or </w:t>
            </w:r>
          </w:p>
          <w:p w14:paraId="0C16A9C2" w14:textId="34143D57" w:rsidR="00F45C71" w:rsidRPr="008625DC" w:rsidRDefault="00D808A1" w:rsidP="00467524">
            <w:pPr>
              <w:pStyle w:val="BoxDash"/>
              <w:spacing w:after="0"/>
            </w:pPr>
            <w:r w:rsidRPr="008625DC">
              <w:t>they</w:t>
            </w:r>
            <w:r w:rsidR="00F45C71" w:rsidRPr="008625DC">
              <w:t xml:space="preserve"> have assistive technology, equipment (other than common items such as glasses) or </w:t>
            </w:r>
          </w:p>
          <w:p w14:paraId="7D50D71E" w14:textId="0124F065" w:rsidR="00F45C71" w:rsidRPr="008625DC" w:rsidRDefault="00606C19" w:rsidP="00467524">
            <w:pPr>
              <w:pStyle w:val="BoxDash"/>
              <w:spacing w:after="0"/>
            </w:pPr>
            <w:r w:rsidRPr="008625DC">
              <w:t>t</w:t>
            </w:r>
            <w:r w:rsidR="00D808A1" w:rsidRPr="008625DC">
              <w:t>he individual</w:t>
            </w:r>
            <w:r w:rsidR="00F45C71" w:rsidRPr="008625DC">
              <w:t xml:space="preserve"> can</w:t>
            </w:r>
            <w:r w:rsidR="00C74E19" w:rsidRPr="008625DC">
              <w:t>’</w:t>
            </w:r>
            <w:r w:rsidR="00F45C71" w:rsidRPr="008625DC">
              <w:t xml:space="preserve">t participate effectively even with assistance or aides and equipment; and </w:t>
            </w:r>
          </w:p>
          <w:p w14:paraId="57148FB4" w14:textId="52D0BE06" w:rsidR="00F45C71" w:rsidRPr="008625DC" w:rsidRDefault="00D808A1" w:rsidP="00467524">
            <w:pPr>
              <w:pStyle w:val="BoxBullet"/>
              <w:rPr>
                <w:lang w:val="en-AU"/>
              </w:rPr>
            </w:pPr>
            <w:r w:rsidRPr="008625DC">
              <w:rPr>
                <w:lang w:val="en-AU"/>
              </w:rPr>
              <w:t xml:space="preserve">the </w:t>
            </w:r>
            <w:r w:rsidR="00F45C71" w:rsidRPr="008625DC">
              <w:rPr>
                <w:lang w:val="en-AU"/>
              </w:rPr>
              <w:t xml:space="preserve">impairment affects </w:t>
            </w:r>
            <w:r w:rsidRPr="008625DC">
              <w:rPr>
                <w:lang w:val="en-AU"/>
              </w:rPr>
              <w:t>the individual</w:t>
            </w:r>
            <w:r w:rsidR="00C74E19" w:rsidRPr="008625DC">
              <w:rPr>
                <w:lang w:val="en-AU"/>
              </w:rPr>
              <w:t>’</w:t>
            </w:r>
            <w:r w:rsidRPr="008625DC">
              <w:rPr>
                <w:lang w:val="en-AU"/>
              </w:rPr>
              <w:t xml:space="preserve">s </w:t>
            </w:r>
            <w:r w:rsidR="00F45C71" w:rsidRPr="008625DC">
              <w:rPr>
                <w:lang w:val="en-AU"/>
              </w:rPr>
              <w:t>capacity for social and economic participation</w:t>
            </w:r>
            <w:r w:rsidR="003529B7" w:rsidRPr="008625DC">
              <w:rPr>
                <w:szCs w:val="22"/>
                <w:lang w:val="en-AU"/>
              </w:rPr>
              <w:t>;</w:t>
            </w:r>
            <w:r w:rsidR="00F45C71" w:rsidRPr="008625DC">
              <w:rPr>
                <w:lang w:val="en-AU"/>
              </w:rPr>
              <w:t xml:space="preserve"> and </w:t>
            </w:r>
          </w:p>
          <w:p w14:paraId="062C43E2" w14:textId="112F07D9" w:rsidR="000225AB" w:rsidRPr="008625DC" w:rsidRDefault="00606C19" w:rsidP="00467524">
            <w:pPr>
              <w:pStyle w:val="BoxBullet"/>
              <w:rPr>
                <w:lang w:val="en-AU"/>
              </w:rPr>
            </w:pPr>
            <w:proofErr w:type="gramStart"/>
            <w:r w:rsidRPr="008625DC">
              <w:rPr>
                <w:lang w:val="en-AU"/>
              </w:rPr>
              <w:t>the</w:t>
            </w:r>
            <w:proofErr w:type="gramEnd"/>
            <w:r w:rsidRPr="008625DC">
              <w:rPr>
                <w:lang w:val="en-AU"/>
              </w:rPr>
              <w:t xml:space="preserve"> individual is</w:t>
            </w:r>
            <w:r w:rsidR="00F45C71" w:rsidRPr="008625DC">
              <w:rPr>
                <w:lang w:val="en-AU"/>
              </w:rPr>
              <w:t xml:space="preserve"> likely to require support under the NDIS (and not another service system such as the health system) for </w:t>
            </w:r>
            <w:r w:rsidRPr="008625DC">
              <w:rPr>
                <w:lang w:val="en-AU"/>
              </w:rPr>
              <w:t xml:space="preserve">their </w:t>
            </w:r>
            <w:r w:rsidR="00F45C71" w:rsidRPr="008625DC">
              <w:rPr>
                <w:lang w:val="en-AU"/>
              </w:rPr>
              <w:t>lifetime.</w:t>
            </w:r>
            <w:r w:rsidR="00F45C71" w:rsidRPr="008625DC">
              <w:rPr>
                <w:rStyle w:val="FootnoteReference"/>
                <w:lang w:val="en-AU"/>
              </w:rPr>
              <w:footnoteReference w:id="170"/>
            </w:r>
          </w:p>
        </w:tc>
      </w:tr>
    </w:tbl>
    <w:p w14:paraId="3D5EC8F1" w14:textId="77777777" w:rsidR="000225AB" w:rsidRPr="008625DC" w:rsidRDefault="000225AB" w:rsidP="00352AA9">
      <w:pPr>
        <w:spacing w:before="240"/>
      </w:pPr>
      <w:r w:rsidRPr="008625DC">
        <w:t xml:space="preserve">While some </w:t>
      </w:r>
      <w:r w:rsidR="00031976" w:rsidRPr="008625DC">
        <w:t xml:space="preserve">types of </w:t>
      </w:r>
      <w:r w:rsidRPr="008625DC">
        <w:t xml:space="preserve">human services </w:t>
      </w:r>
      <w:r w:rsidR="00031976" w:rsidRPr="008625DC">
        <w:t xml:space="preserve">funding </w:t>
      </w:r>
      <w:r w:rsidR="00792C54" w:rsidRPr="008625DC">
        <w:t>are</w:t>
      </w:r>
      <w:r w:rsidRPr="008625DC">
        <w:t xml:space="preserve"> transparent and directly relate to a specific service</w:t>
      </w:r>
      <w:r w:rsidR="00380141" w:rsidRPr="008625DC">
        <w:t xml:space="preserve"> — </w:t>
      </w:r>
      <w:r w:rsidRPr="008625DC">
        <w:t xml:space="preserve">for example, Medicare provides a direct </w:t>
      </w:r>
      <w:r w:rsidR="00D4695F" w:rsidRPr="008625DC">
        <w:t xml:space="preserve">benefit to patients when they visit a </w:t>
      </w:r>
      <w:r w:rsidRPr="008625DC">
        <w:t>GP</w:t>
      </w:r>
      <w:r w:rsidR="00380141" w:rsidRPr="008625DC">
        <w:t xml:space="preserve"> — </w:t>
      </w:r>
      <w:r w:rsidRPr="008625DC">
        <w:t xml:space="preserve">other types of funding may be less transparent. </w:t>
      </w:r>
    </w:p>
    <w:p w14:paraId="784F9040" w14:textId="4A27CA12" w:rsidR="000225AB" w:rsidRPr="008625DC" w:rsidRDefault="000225AB" w:rsidP="00880E5D">
      <w:r w:rsidRPr="008625DC">
        <w:t xml:space="preserve">Many human service providers are expected to provide services on a universal basis. </w:t>
      </w:r>
      <w:r w:rsidR="00F45C71" w:rsidRPr="008625DC">
        <w:t>This can be classified as a community service obligation (CSO), which is an activity that provide</w:t>
      </w:r>
      <w:r w:rsidR="003529B7" w:rsidRPr="008625DC">
        <w:t>s</w:t>
      </w:r>
      <w:r w:rsidRPr="008625DC">
        <w:t xml:space="preserve"> community or individual benefits but would not generally be </w:t>
      </w:r>
      <w:r w:rsidR="00BF4B16" w:rsidRPr="008625DC">
        <w:t>undertaken</w:t>
      </w:r>
      <w:r w:rsidRPr="008625DC">
        <w:t xml:space="preserve"> </w:t>
      </w:r>
      <w:r w:rsidR="00C23EAF" w:rsidRPr="008625DC">
        <w:t>in the normal course of business</w:t>
      </w:r>
      <w:r w:rsidRPr="008625DC">
        <w:t xml:space="preserve">. </w:t>
      </w:r>
      <w:r w:rsidR="00855CC4" w:rsidRPr="008625DC">
        <w:t xml:space="preserve">Government providers may </w:t>
      </w:r>
      <w:r w:rsidR="00792C54" w:rsidRPr="008625DC">
        <w:t>need</w:t>
      </w:r>
      <w:r w:rsidR="00165B8D" w:rsidRPr="008625DC">
        <w:t xml:space="preserve"> to </w:t>
      </w:r>
      <w:r w:rsidR="00792C54" w:rsidRPr="008625DC">
        <w:t>fulfil</w:t>
      </w:r>
      <w:r w:rsidR="00855CC4" w:rsidRPr="008625DC">
        <w:t xml:space="preserve"> CSOs or the government may contract with private providers to deliver CSOs on their behalf.</w:t>
      </w:r>
    </w:p>
    <w:p w14:paraId="6B8648AD" w14:textId="0464AF85" w:rsidR="000225AB" w:rsidRPr="008625DC" w:rsidRDefault="000225AB" w:rsidP="00467524">
      <w:pPr>
        <w:spacing w:after="120"/>
        <w:rPr>
          <w:color w:val="auto"/>
        </w:rPr>
      </w:pPr>
      <w:r w:rsidRPr="008625DC">
        <w:t xml:space="preserve">Several submissions </w:t>
      </w:r>
      <w:r w:rsidR="00792C54" w:rsidRPr="008625DC">
        <w:t>recognise</w:t>
      </w:r>
      <w:r w:rsidRPr="008625DC">
        <w:t xml:space="preserve"> that traditional methods for funding CSOs typically lack transparency.</w:t>
      </w:r>
      <w:r w:rsidRPr="008625DC">
        <w:rPr>
          <w:rFonts w:cs="Arial"/>
          <w:color w:val="auto"/>
          <w:szCs w:val="22"/>
        </w:rPr>
        <w:t xml:space="preserve"> </w:t>
      </w:r>
      <w:r w:rsidR="00F45C71" w:rsidRPr="008625DC">
        <w:t>IPART</w:t>
      </w:r>
      <w:r w:rsidRPr="008625DC">
        <w:t xml:space="preserve"> points out:</w:t>
      </w:r>
    </w:p>
    <w:p w14:paraId="199F14AE" w14:textId="7E40BC06" w:rsidR="000225AB" w:rsidRPr="008625DC" w:rsidRDefault="00467524" w:rsidP="000225AB">
      <w:pPr>
        <w:pStyle w:val="Quotes"/>
      </w:pPr>
      <w:r w:rsidRPr="008625DC">
        <w:t>[</w:t>
      </w:r>
      <w:r w:rsidR="000225AB" w:rsidRPr="008625DC">
        <w:t>p</w:t>
      </w:r>
      <w:r w:rsidRPr="008625DC">
        <w:t>]</w:t>
      </w:r>
      <w:r w:rsidR="000225AB" w:rsidRPr="008625DC">
        <w:t>roviders are often required to absorb the cost of CSOs into their operating budgets, often involving non</w:t>
      </w:r>
      <w:r w:rsidR="00C74E19" w:rsidRPr="008625DC">
        <w:noBreakHyphen/>
      </w:r>
      <w:r w:rsidR="000225AB" w:rsidRPr="008625DC">
        <w:t>transparent internal cross</w:t>
      </w:r>
      <w:r w:rsidR="00C74E19" w:rsidRPr="008625DC">
        <w:noBreakHyphen/>
      </w:r>
      <w:r w:rsidR="000225AB" w:rsidRPr="008625DC">
        <w:t>subsidies</w:t>
      </w:r>
      <w:r w:rsidR="00104511" w:rsidRPr="008625DC">
        <w:t xml:space="preserve"> </w:t>
      </w:r>
      <w:r w:rsidR="00EC1C9E" w:rsidRPr="008625DC">
        <w:t>… because CSOs are not directly funded by the government, agencies have to overcharge for some of their other services in order to cover the costs of their CSOs</w:t>
      </w:r>
      <w:r w:rsidR="00104511" w:rsidRPr="008625DC">
        <w:t xml:space="preserve"> </w:t>
      </w:r>
      <w:r w:rsidR="00EC1C9E" w:rsidRPr="008625DC">
        <w:t>… This in turn can lead to the restriction of competition in otherwise contestable areas so the internal cross</w:t>
      </w:r>
      <w:r w:rsidR="00C74E19" w:rsidRPr="008625DC">
        <w:noBreakHyphen/>
      </w:r>
      <w:r w:rsidR="00EC1C9E" w:rsidRPr="008625DC">
        <w:t>subsidies can be maintained</w:t>
      </w:r>
      <w:r w:rsidR="00104511" w:rsidRPr="008625DC">
        <w:t xml:space="preserve">. </w:t>
      </w:r>
      <w:r w:rsidR="00F45C71" w:rsidRPr="008625DC">
        <w:t>(</w:t>
      </w:r>
      <w:proofErr w:type="gramStart"/>
      <w:r w:rsidR="00F45C71" w:rsidRPr="008625DC">
        <w:t>pages</w:t>
      </w:r>
      <w:proofErr w:type="gramEnd"/>
      <w:r w:rsidR="00F45C71" w:rsidRPr="008625DC">
        <w:t xml:space="preserve"> 4</w:t>
      </w:r>
      <w:r w:rsidRPr="008625DC">
        <w:noBreakHyphen/>
      </w:r>
      <w:r w:rsidR="00F45C71" w:rsidRPr="008625DC">
        <w:t>5)</w:t>
      </w:r>
    </w:p>
    <w:p w14:paraId="021EEA9F" w14:textId="256B02DE" w:rsidR="000225AB" w:rsidRPr="008625DC" w:rsidRDefault="00031976" w:rsidP="00012393">
      <w:pPr>
        <w:rPr>
          <w:b/>
          <w:bCs/>
        </w:rPr>
      </w:pPr>
      <w:r w:rsidRPr="008625DC">
        <w:lastRenderedPageBreak/>
        <w:t>Better</w:t>
      </w:r>
      <w:r w:rsidR="000225AB" w:rsidRPr="008625DC">
        <w:t xml:space="preserve"> transparency </w:t>
      </w:r>
      <w:r w:rsidR="00EC1C9E" w:rsidRPr="008625DC">
        <w:t xml:space="preserve">of </w:t>
      </w:r>
      <w:r w:rsidR="000A0B32" w:rsidRPr="008625DC">
        <w:t>CSOs can</w:t>
      </w:r>
      <w:r w:rsidR="000225AB" w:rsidRPr="008625DC">
        <w:t xml:space="preserve"> have</w:t>
      </w:r>
      <w:r w:rsidR="000225AB" w:rsidRPr="008625DC">
        <w:rPr>
          <w:b/>
          <w:bCs/>
        </w:rPr>
        <w:t xml:space="preserve"> </w:t>
      </w:r>
      <w:r w:rsidR="000225AB" w:rsidRPr="008625DC">
        <w:t xml:space="preserve">important </w:t>
      </w:r>
      <w:r w:rsidR="0072024B" w:rsidRPr="008625DC">
        <w:t>impacts on diversity and choice</w:t>
      </w:r>
      <w:r w:rsidR="000225AB" w:rsidRPr="008625DC">
        <w:t>. Where there are significant CSO</w:t>
      </w:r>
      <w:r w:rsidR="00C23EAF" w:rsidRPr="008625DC">
        <w:t>s</w:t>
      </w:r>
      <w:r w:rsidR="000225AB" w:rsidRPr="008625DC">
        <w:t>, potential suppliers may not be able to match the cost structure of public provider</w:t>
      </w:r>
      <w:r w:rsidR="00855CC4" w:rsidRPr="008625DC">
        <w:t>s</w:t>
      </w:r>
      <w:r w:rsidR="00EC1C9E" w:rsidRPr="008625DC">
        <w:t xml:space="preserve">, and so there may be limited private </w:t>
      </w:r>
      <w:r w:rsidR="00756CF5" w:rsidRPr="008625DC">
        <w:t>and not</w:t>
      </w:r>
      <w:r w:rsidR="00C74E19" w:rsidRPr="008625DC">
        <w:noBreakHyphen/>
      </w:r>
      <w:r w:rsidR="00756CF5" w:rsidRPr="008625DC">
        <w:t>for</w:t>
      </w:r>
      <w:r w:rsidR="00C74E19" w:rsidRPr="008625DC">
        <w:noBreakHyphen/>
      </w:r>
      <w:r w:rsidR="00756CF5" w:rsidRPr="008625DC">
        <w:t xml:space="preserve">profit </w:t>
      </w:r>
      <w:r w:rsidR="00EC1C9E" w:rsidRPr="008625DC">
        <w:t>providers entering the market</w:t>
      </w:r>
      <w:r w:rsidR="000225AB" w:rsidRPr="008625DC">
        <w:t xml:space="preserve">. On the other hand, providers tasked with delivering CSOs may become unsustainable as the </w:t>
      </w:r>
      <w:r w:rsidR="00C74E19" w:rsidRPr="008625DC">
        <w:t>‘</w:t>
      </w:r>
      <w:r w:rsidR="000225AB" w:rsidRPr="008625DC">
        <w:t xml:space="preserve">higher prices needed to fund the subsidy to CSOs can be undercut by competitors that only supply </w:t>
      </w:r>
      <w:r w:rsidR="00C23EAF" w:rsidRPr="008625DC">
        <w:t xml:space="preserve">those </w:t>
      </w:r>
      <w:r w:rsidR="000225AB" w:rsidRPr="008625DC">
        <w:t>users which generate profits</w:t>
      </w:r>
      <w:r w:rsidR="00C74E19" w:rsidRPr="008625DC">
        <w:t>’</w:t>
      </w:r>
      <w:r w:rsidR="00D21D5D" w:rsidRPr="008625DC">
        <w:t>.</w:t>
      </w:r>
      <w:r w:rsidR="000225AB" w:rsidRPr="008625DC">
        <w:rPr>
          <w:rStyle w:val="FootnoteReference"/>
        </w:rPr>
        <w:footnoteReference w:id="171"/>
      </w:r>
      <w:r w:rsidR="000225AB" w:rsidRPr="008625DC">
        <w:rPr>
          <w:b/>
          <w:bCs/>
        </w:rPr>
        <w:t xml:space="preserve"> </w:t>
      </w:r>
    </w:p>
    <w:p w14:paraId="771B942D" w14:textId="77777777" w:rsidR="000225AB" w:rsidRPr="008625DC" w:rsidRDefault="000225AB" w:rsidP="00012393">
      <w:r w:rsidRPr="008625DC">
        <w:t xml:space="preserve">By making CSOs transparent and funding them directly, important community services can continue to be provided, while still leaving room for new providers to enter and </w:t>
      </w:r>
      <w:r w:rsidR="0072024B" w:rsidRPr="008625DC">
        <w:t>offer services</w:t>
      </w:r>
      <w:r w:rsidRPr="008625DC">
        <w:t xml:space="preserve"> in other parts of the market.</w:t>
      </w:r>
    </w:p>
    <w:p w14:paraId="2FAD89DC" w14:textId="77777777" w:rsidR="000225AB" w:rsidRPr="008625DC" w:rsidRDefault="000225AB" w:rsidP="00FB084C">
      <w:pPr>
        <w:pStyle w:val="Heading3"/>
      </w:pPr>
      <w:r w:rsidRPr="008625DC">
        <w:t>Regulation of human services</w:t>
      </w:r>
    </w:p>
    <w:p w14:paraId="2F8E7C9D" w14:textId="54721C50" w:rsidR="000225AB" w:rsidRPr="008625DC" w:rsidRDefault="00031976" w:rsidP="000225AB">
      <w:r w:rsidRPr="008625DC">
        <w:t>Regulation</w:t>
      </w:r>
      <w:r w:rsidR="000225AB" w:rsidRPr="008625DC">
        <w:t xml:space="preserve"> is separate and distinct from funding. Regulation can cover many important functions including</w:t>
      </w:r>
      <w:r w:rsidR="007B18AA" w:rsidRPr="008625DC">
        <w:t>:</w:t>
      </w:r>
      <w:r w:rsidR="000225AB" w:rsidRPr="008625DC">
        <w:t xml:space="preserve"> assessing whether a particular person qualifies to receive a service; licensing service providers; </w:t>
      </w:r>
      <w:r w:rsidR="00D4695F" w:rsidRPr="008625DC">
        <w:t xml:space="preserve">imposing standards for goods and services; </w:t>
      </w:r>
      <w:r w:rsidR="000225AB" w:rsidRPr="008625DC">
        <w:t>and setting the rules for price regulation of service</w:t>
      </w:r>
      <w:r w:rsidR="007B18AA" w:rsidRPr="008625DC">
        <w:t>s</w:t>
      </w:r>
      <w:r w:rsidR="000225AB" w:rsidRPr="008625DC">
        <w:t>. Unlike questions of funding</w:t>
      </w:r>
      <w:r w:rsidR="00384CD0" w:rsidRPr="008625DC">
        <w:t>,</w:t>
      </w:r>
      <w:r w:rsidR="000225AB" w:rsidRPr="008625DC">
        <w:t xml:space="preserve"> which will generally form part of a longer</w:t>
      </w:r>
      <w:r w:rsidR="00C74E19" w:rsidRPr="008625DC">
        <w:noBreakHyphen/>
      </w:r>
      <w:r w:rsidR="000225AB" w:rsidRPr="008625DC">
        <w:t>term policy, exercising a regulatory function may need the flexibility to adapt to changing circumstances relatively quickly.</w:t>
      </w:r>
    </w:p>
    <w:p w14:paraId="084F55A6" w14:textId="77777777" w:rsidR="000225AB" w:rsidRPr="008625DC" w:rsidRDefault="000225AB" w:rsidP="0077479C">
      <w:pPr>
        <w:spacing w:after="120"/>
      </w:pPr>
      <w:r w:rsidRPr="008625DC">
        <w:t>Examples of regulatory functions in human services markets include:</w:t>
      </w:r>
    </w:p>
    <w:p w14:paraId="66958723" w14:textId="538E6841" w:rsidR="000225AB" w:rsidRPr="008625DC" w:rsidRDefault="00D21D5D" w:rsidP="000225AB">
      <w:pPr>
        <w:pStyle w:val="Bullet"/>
      </w:pPr>
      <w:r w:rsidRPr="008625DC">
        <w:t>a</w:t>
      </w:r>
      <w:r w:rsidR="000225AB" w:rsidRPr="008625DC">
        <w:t xml:space="preserve">uthorising a higher education institution to classify itself as an </w:t>
      </w:r>
      <w:r w:rsidR="00C74E19" w:rsidRPr="008625DC">
        <w:t>‘</w:t>
      </w:r>
      <w:r w:rsidR="000225AB" w:rsidRPr="008625DC">
        <w:t>Australian University</w:t>
      </w:r>
      <w:r w:rsidR="00C74E19" w:rsidRPr="008625DC">
        <w:t>’</w:t>
      </w:r>
      <w:r w:rsidR="000225AB" w:rsidRPr="008625DC">
        <w:t>;</w:t>
      </w:r>
    </w:p>
    <w:p w14:paraId="4B003D1E" w14:textId="64E4F2E3" w:rsidR="000225AB" w:rsidRPr="008625DC" w:rsidRDefault="00D21D5D" w:rsidP="000225AB">
      <w:pPr>
        <w:pStyle w:val="Bullet"/>
      </w:pPr>
      <w:r w:rsidRPr="008625DC">
        <w:t>a</w:t>
      </w:r>
      <w:r w:rsidR="000225AB" w:rsidRPr="008625DC">
        <w:t>ssessing the care and support needs of an aged care resident; and</w:t>
      </w:r>
    </w:p>
    <w:p w14:paraId="6335852F" w14:textId="35025D54" w:rsidR="000225AB" w:rsidRPr="008625DC" w:rsidRDefault="00D21D5D" w:rsidP="0077479C">
      <w:pPr>
        <w:pStyle w:val="Bullet"/>
        <w:spacing w:after="240"/>
      </w:pPr>
      <w:proofErr w:type="gramStart"/>
      <w:r w:rsidRPr="008625DC">
        <w:t>s</w:t>
      </w:r>
      <w:r w:rsidR="000225AB" w:rsidRPr="008625DC">
        <w:t>etting</w:t>
      </w:r>
      <w:proofErr w:type="gramEnd"/>
      <w:r w:rsidR="000225AB" w:rsidRPr="008625DC">
        <w:t xml:space="preserve"> an approved price for particular services provided by disability support workers.</w:t>
      </w:r>
    </w:p>
    <w:p w14:paraId="17433B63" w14:textId="42558C9B" w:rsidR="000225AB" w:rsidRPr="008625DC" w:rsidRDefault="00F45C71" w:rsidP="000225AB">
      <w:r w:rsidRPr="008625DC">
        <w:t>Government</w:t>
      </w:r>
      <w:r w:rsidR="005308C0" w:rsidRPr="008625DC">
        <w:t>s</w:t>
      </w:r>
      <w:r w:rsidR="000225AB" w:rsidRPr="008625DC">
        <w:t xml:space="preserve"> may vest these functions </w:t>
      </w:r>
      <w:r w:rsidR="00792C54" w:rsidRPr="008625DC">
        <w:t>in</w:t>
      </w:r>
      <w:r w:rsidR="000225AB" w:rsidRPr="008625DC">
        <w:t xml:space="preserve"> a single regulator, or split them among several different regulators.</w:t>
      </w:r>
    </w:p>
    <w:tbl>
      <w:tblPr>
        <w:tblW w:w="9072" w:type="dxa"/>
        <w:tblInd w:w="108" w:type="dxa"/>
        <w:shd w:val="clear" w:color="auto" w:fill="E6E6E6"/>
        <w:tblLook w:val="01E0" w:firstRow="1" w:lastRow="1" w:firstColumn="1" w:lastColumn="1" w:noHBand="0" w:noVBand="0"/>
      </w:tblPr>
      <w:tblGrid>
        <w:gridCol w:w="9072"/>
      </w:tblGrid>
      <w:tr w:rsidR="000225AB" w:rsidRPr="008625DC" w14:paraId="2B6650A0" w14:textId="77777777" w:rsidTr="00F01103">
        <w:tc>
          <w:tcPr>
            <w:tcW w:w="5000" w:type="pct"/>
            <w:shd w:val="clear" w:color="auto" w:fill="E6E6E6"/>
          </w:tcPr>
          <w:p w14:paraId="0949FA3E" w14:textId="66263386" w:rsidR="000225AB" w:rsidRPr="008625DC" w:rsidRDefault="003E52A5" w:rsidP="00F01103">
            <w:pPr>
              <w:pStyle w:val="BoxHeading"/>
            </w:pPr>
            <w:r w:rsidRPr="008625DC">
              <w:lastRenderedPageBreak/>
              <w:t>Box</w:t>
            </w:r>
            <w:r w:rsidR="00B071F2" w:rsidRPr="008625DC">
              <w:t xml:space="preserve"> </w:t>
            </w:r>
            <w:r w:rsidR="00AE1285" w:rsidRPr="008625DC">
              <w:t>10</w:t>
            </w:r>
            <w:r w:rsidR="00B071F2" w:rsidRPr="008625DC">
              <w:t>.</w:t>
            </w:r>
            <w:r w:rsidR="00AE1285" w:rsidRPr="008625DC">
              <w:t>2</w:t>
            </w:r>
            <w:r w:rsidR="00B071F2" w:rsidRPr="008625DC">
              <w:t xml:space="preserve">: </w:t>
            </w:r>
            <w:r w:rsidR="007B18AA" w:rsidRPr="008625DC">
              <w:t>Disability care and support regulator</w:t>
            </w:r>
          </w:p>
          <w:p w14:paraId="3A93D50F" w14:textId="6816DBF7" w:rsidR="00865167" w:rsidRPr="008625DC" w:rsidRDefault="00865167" w:rsidP="00467524">
            <w:pPr>
              <w:pStyle w:val="BoxText"/>
            </w:pPr>
            <w:r w:rsidRPr="008625DC">
              <w:t xml:space="preserve">The National Disability Insurance Agency (NDIA) is a statutory agency whose functions include delivering the National Disability Insurance Scheme (NDIS). </w:t>
            </w:r>
          </w:p>
          <w:p w14:paraId="3A2A3FBA" w14:textId="4B7C8034" w:rsidR="00865167" w:rsidRPr="008625DC" w:rsidRDefault="00865167" w:rsidP="00467524">
            <w:pPr>
              <w:pStyle w:val="BoxText"/>
            </w:pPr>
            <w:r w:rsidRPr="008625DC">
              <w:t>The NDIA assists participants in the NDIS to develop plans with individualised packages of supports, which include the reasonable and necessary supports directly related to meeting a participant</w:t>
            </w:r>
            <w:r w:rsidR="00C74E19" w:rsidRPr="008625DC">
              <w:t>’</w:t>
            </w:r>
            <w:r w:rsidRPr="008625DC">
              <w:t>s ongoing disability support needs. These plans are reviewed regularly and can be modified, for example, when a participant</w:t>
            </w:r>
            <w:r w:rsidR="00C74E19" w:rsidRPr="008625DC">
              <w:t>’</w:t>
            </w:r>
            <w:r w:rsidRPr="008625DC">
              <w:t>s circumstances and needs change.</w:t>
            </w:r>
          </w:p>
          <w:p w14:paraId="01DBA75A" w14:textId="1708BDE1" w:rsidR="00865167" w:rsidRPr="008625DC" w:rsidRDefault="00865167" w:rsidP="00467524">
            <w:pPr>
              <w:pStyle w:val="BoxText"/>
            </w:pPr>
            <w:r w:rsidRPr="008625DC">
              <w:t>The NDIA (through its CEO) has a range of decision</w:t>
            </w:r>
            <w:r w:rsidR="00C74E19" w:rsidRPr="008625DC">
              <w:noBreakHyphen/>
            </w:r>
            <w:r w:rsidRPr="008625DC">
              <w:t>making powers under the NDIS Act including:</w:t>
            </w:r>
          </w:p>
          <w:p w14:paraId="62AFE6EF" w14:textId="77777777" w:rsidR="00865167" w:rsidRPr="008625DC" w:rsidRDefault="00865167" w:rsidP="00467524">
            <w:pPr>
              <w:pStyle w:val="BoxBullet"/>
              <w:rPr>
                <w:lang w:val="en-AU"/>
              </w:rPr>
            </w:pPr>
            <w:r w:rsidRPr="008625DC">
              <w:rPr>
                <w:lang w:val="en-AU"/>
              </w:rPr>
              <w:t>access decisions: assessing whether a person meets the access criteria to become a participant in the NDIS;</w:t>
            </w:r>
          </w:p>
          <w:p w14:paraId="113B445C" w14:textId="77777777" w:rsidR="00865167" w:rsidRPr="008625DC" w:rsidRDefault="00865167" w:rsidP="00467524">
            <w:pPr>
              <w:pStyle w:val="BoxBullet"/>
              <w:rPr>
                <w:lang w:val="en-AU"/>
              </w:rPr>
            </w:pPr>
            <w:r w:rsidRPr="008625DC">
              <w:rPr>
                <w:lang w:val="en-AU"/>
              </w:rPr>
              <w:t>planning decisions: for NDIS participants, approving and reviewing plans, including the reasonable and necessary supports that will be funded or provided through the NDIS;</w:t>
            </w:r>
          </w:p>
          <w:p w14:paraId="29BA2642" w14:textId="77777777" w:rsidR="00865167" w:rsidRPr="008625DC" w:rsidRDefault="00865167" w:rsidP="00467524">
            <w:pPr>
              <w:pStyle w:val="BoxBullet"/>
              <w:rPr>
                <w:lang w:val="en-AU"/>
              </w:rPr>
            </w:pPr>
            <w:r w:rsidRPr="008625DC">
              <w:rPr>
                <w:lang w:val="en-AU"/>
              </w:rPr>
              <w:t>registered provider decisions: approving persons or entities to be registered providers of supports under the NDIS; and</w:t>
            </w:r>
          </w:p>
          <w:p w14:paraId="655A8B97" w14:textId="0CD6E9F6" w:rsidR="00865167" w:rsidRPr="008625DC" w:rsidRDefault="00865167" w:rsidP="00467524">
            <w:pPr>
              <w:pStyle w:val="BoxBullet"/>
              <w:rPr>
                <w:lang w:val="en-AU"/>
              </w:rPr>
            </w:pPr>
            <w:proofErr w:type="gramStart"/>
            <w:r w:rsidRPr="008625DC">
              <w:rPr>
                <w:lang w:val="en-AU"/>
              </w:rPr>
              <w:t>nominee</w:t>
            </w:r>
            <w:proofErr w:type="gramEnd"/>
            <w:r w:rsidRPr="008625DC">
              <w:rPr>
                <w:lang w:val="en-AU"/>
              </w:rPr>
              <w:t xml:space="preserve"> decisions: appointing a nominee for certain NDIS participants who need assistance in developing and managing their plan.</w:t>
            </w:r>
            <w:r w:rsidR="001125D8" w:rsidRPr="008625DC">
              <w:rPr>
                <w:rStyle w:val="FootnoteReference"/>
                <w:lang w:val="en-AU"/>
              </w:rPr>
              <w:footnoteReference w:id="172"/>
            </w:r>
          </w:p>
          <w:p w14:paraId="2856F79F" w14:textId="4326F9C7" w:rsidR="000225AB" w:rsidRPr="008625DC" w:rsidRDefault="00666876" w:rsidP="00865167">
            <w:pPr>
              <w:rPr>
                <w:rFonts w:ascii="Calibri" w:hAnsi="Calibri"/>
                <w:color w:val="1F497D"/>
              </w:rPr>
            </w:pPr>
            <w:r w:rsidRPr="008625DC">
              <w:t xml:space="preserve">In its Disability Care and Support Report, the PC argued that the type of </w:t>
            </w:r>
            <w:r w:rsidR="00865167" w:rsidRPr="008625DC">
              <w:t>individualised</w:t>
            </w:r>
            <w:r w:rsidRPr="008625DC">
              <w:t xml:space="preserve"> assessment </w:t>
            </w:r>
            <w:r w:rsidR="00865167" w:rsidRPr="008625DC">
              <w:t xml:space="preserve">of participants </w:t>
            </w:r>
            <w:r w:rsidRPr="008625DC">
              <w:t xml:space="preserve">undertaken by the NDIA is </w:t>
            </w:r>
            <w:r w:rsidR="00C74E19" w:rsidRPr="008625DC">
              <w:t>‘</w:t>
            </w:r>
            <w:r w:rsidRPr="008625DC">
              <w:t>an essential element of avoiding … chronic underfunding</w:t>
            </w:r>
            <w:r w:rsidR="00C74E19" w:rsidRPr="008625DC">
              <w:t>’.</w:t>
            </w:r>
            <w:r w:rsidR="00DE0688" w:rsidRPr="008625DC">
              <w:rPr>
                <w:rStyle w:val="FootnoteReference"/>
              </w:rPr>
              <w:footnoteReference w:id="173"/>
            </w:r>
            <w:r w:rsidR="00C74E19" w:rsidRPr="008625DC">
              <w:t xml:space="preserve"> </w:t>
            </w:r>
            <w:r w:rsidRPr="008625DC">
              <w:t xml:space="preserve">The </w:t>
            </w:r>
            <w:r w:rsidR="00865167" w:rsidRPr="008625DC">
              <w:t>design</w:t>
            </w:r>
            <w:r w:rsidRPr="008625DC">
              <w:t xml:space="preserve"> of the </w:t>
            </w:r>
            <w:r w:rsidR="00865167" w:rsidRPr="008625DC">
              <w:t xml:space="preserve">NDIS is intended to </w:t>
            </w:r>
            <w:r w:rsidRPr="008625DC">
              <w:t xml:space="preserve">ensure </w:t>
            </w:r>
            <w:r w:rsidR="00865167" w:rsidRPr="008625DC">
              <w:t xml:space="preserve">the NDIA </w:t>
            </w:r>
            <w:r w:rsidRPr="008625DC">
              <w:t>has the ability to quickly and efficiently change individual plans where</w:t>
            </w:r>
            <w:r w:rsidR="00865167" w:rsidRPr="008625DC">
              <w:t xml:space="preserve"> required</w:t>
            </w:r>
            <w:r w:rsidRPr="008625DC">
              <w:t>.</w:t>
            </w:r>
          </w:p>
        </w:tc>
      </w:tr>
    </w:tbl>
    <w:p w14:paraId="395802C7" w14:textId="51F236B4" w:rsidR="000225AB" w:rsidRPr="008625DC" w:rsidRDefault="002F31D6" w:rsidP="000B5916">
      <w:pPr>
        <w:pStyle w:val="Heading2"/>
        <w:ind w:left="851" w:hanging="851"/>
        <w:rPr>
          <w:lang w:val="en-AU"/>
        </w:rPr>
      </w:pPr>
      <w:bookmarkStart w:id="22459" w:name="_Toc395867627"/>
      <w:bookmarkStart w:id="22460" w:name="_Toc395868536"/>
      <w:bookmarkStart w:id="22461" w:name="_Toc395868759"/>
      <w:bookmarkStart w:id="22462" w:name="_Toc395879138"/>
      <w:bookmarkStart w:id="22463" w:name="_Toc395882041"/>
      <w:bookmarkStart w:id="22464" w:name="_Toc395882262"/>
      <w:bookmarkStart w:id="22465" w:name="_Toc395882372"/>
      <w:bookmarkStart w:id="22466" w:name="_Toc395882593"/>
      <w:bookmarkStart w:id="22467" w:name="_Toc395880536"/>
      <w:bookmarkStart w:id="22468" w:name="_Toc395880867"/>
      <w:bookmarkStart w:id="22469" w:name="_Toc395881425"/>
      <w:bookmarkStart w:id="22470" w:name="_Toc395881646"/>
      <w:bookmarkStart w:id="22471" w:name="_Toc395883810"/>
      <w:bookmarkStart w:id="22472" w:name="_Toc395884031"/>
      <w:bookmarkStart w:id="22473" w:name="_Toc395880765"/>
      <w:bookmarkStart w:id="22474" w:name="_Toc395884472"/>
      <w:bookmarkStart w:id="22475" w:name="_Toc395884693"/>
      <w:bookmarkStart w:id="22476" w:name="_Toc395883181"/>
      <w:bookmarkStart w:id="22477" w:name="_Toc395883402"/>
      <w:bookmarkStart w:id="22478" w:name="_Toc395883511"/>
      <w:bookmarkStart w:id="22479" w:name="_Toc395883732"/>
      <w:bookmarkStart w:id="22480" w:name="_Toc395884813"/>
      <w:bookmarkStart w:id="22481" w:name="_Toc396123841"/>
      <w:bookmarkStart w:id="22482" w:name="_Toc396130744"/>
      <w:bookmarkStart w:id="22483" w:name="_Toc396136322"/>
      <w:bookmarkStart w:id="22484" w:name="_Toc396137537"/>
      <w:bookmarkStart w:id="22485" w:name="_Toc396138776"/>
      <w:bookmarkStart w:id="22486" w:name="_Toc396144037"/>
      <w:bookmarkStart w:id="22487" w:name="_Toc396145546"/>
      <w:bookmarkStart w:id="22488" w:name="_Toc396145690"/>
      <w:bookmarkStart w:id="22489" w:name="_Toc396145972"/>
      <w:bookmarkStart w:id="22490" w:name="_Toc396147512"/>
      <w:bookmarkStart w:id="22491" w:name="_Toc396147798"/>
      <w:bookmarkStart w:id="22492" w:name="_Toc396149054"/>
      <w:bookmarkStart w:id="22493" w:name="_Toc396148768"/>
      <w:bookmarkStart w:id="22494" w:name="_Toc396149549"/>
      <w:bookmarkStart w:id="22495" w:name="_Toc396149194"/>
      <w:bookmarkStart w:id="22496" w:name="_Toc396149480"/>
      <w:bookmarkStart w:id="22497" w:name="_Toc396149157"/>
      <w:bookmarkStart w:id="22498" w:name="_Toc396149902"/>
      <w:bookmarkStart w:id="22499" w:name="_Toc396149652"/>
      <w:bookmarkStart w:id="22500" w:name="_Toc396150493"/>
      <w:bookmarkStart w:id="22501" w:name="_Toc396151382"/>
      <w:bookmarkStart w:id="22502" w:name="_Toc396151676"/>
      <w:bookmarkStart w:id="22503" w:name="_Toc396201603"/>
      <w:bookmarkStart w:id="22504" w:name="_Toc396202393"/>
      <w:bookmarkStart w:id="22505" w:name="_Toc396202688"/>
      <w:bookmarkStart w:id="22506" w:name="_Toc396203305"/>
      <w:bookmarkStart w:id="22507" w:name="_Toc396206601"/>
      <w:bookmarkStart w:id="22508" w:name="_Toc396206895"/>
      <w:bookmarkStart w:id="22509" w:name="_Toc396209429"/>
      <w:bookmarkStart w:id="22510" w:name="_Toc396209723"/>
      <w:bookmarkStart w:id="22511" w:name="_Toc396211853"/>
      <w:bookmarkStart w:id="22512" w:name="_Toc396212147"/>
      <w:bookmarkStart w:id="22513" w:name="_Toc396213197"/>
      <w:bookmarkStart w:id="22514" w:name="_Toc396213489"/>
      <w:bookmarkStart w:id="22515" w:name="_Toc396214040"/>
      <w:bookmarkStart w:id="22516" w:name="_Toc396214475"/>
      <w:bookmarkStart w:id="22517" w:name="_Toc396214765"/>
      <w:bookmarkStart w:id="22518" w:name="_Toc396220325"/>
      <w:bookmarkStart w:id="22519" w:name="_Toc396226587"/>
      <w:bookmarkStart w:id="22520" w:name="_Toc396226876"/>
      <w:bookmarkStart w:id="22521" w:name="_Toc396228787"/>
      <w:bookmarkStart w:id="22522" w:name="_Toc396229082"/>
      <w:bookmarkStart w:id="22523" w:name="_Toc396230429"/>
      <w:bookmarkStart w:id="22524" w:name="_Toc396230724"/>
      <w:bookmarkStart w:id="22525" w:name="_Toc396231866"/>
      <w:bookmarkStart w:id="22526" w:name="_Toc396233209"/>
      <w:bookmarkStart w:id="22527" w:name="_Toc396233506"/>
      <w:bookmarkStart w:id="22528" w:name="_Toc396234029"/>
      <w:bookmarkStart w:id="22529" w:name="_Toc396234326"/>
      <w:bookmarkStart w:id="22530" w:name="_Toc396234439"/>
      <w:bookmarkStart w:id="22531" w:name="_Toc396236173"/>
      <w:bookmarkStart w:id="22532" w:name="_Toc396235951"/>
      <w:bookmarkStart w:id="22533" w:name="_Toc396236561"/>
      <w:bookmarkStart w:id="22534" w:name="_Toc396237080"/>
      <w:bookmarkStart w:id="22535" w:name="_Toc396397423"/>
      <w:bookmarkStart w:id="22536" w:name="_Toc396304604"/>
      <w:bookmarkStart w:id="22537" w:name="_Toc396586139"/>
      <w:bookmarkStart w:id="22538" w:name="_Toc396815160"/>
      <w:bookmarkStart w:id="22539" w:name="_Toc396821109"/>
      <w:bookmarkStart w:id="22540" w:name="_Toc396821717"/>
      <w:bookmarkStart w:id="22541" w:name="_Toc396827567"/>
      <w:bookmarkStart w:id="22542" w:name="_Toc396828538"/>
      <w:bookmarkStart w:id="22543" w:name="_Toc396828648"/>
      <w:bookmarkStart w:id="22544" w:name="_Toc396838037"/>
      <w:bookmarkStart w:id="22545" w:name="_Toc396838435"/>
      <w:bookmarkStart w:id="22546" w:name="_Toc396904758"/>
      <w:bookmarkStart w:id="22547" w:name="_Toc396907592"/>
      <w:bookmarkStart w:id="22548" w:name="_Toc396912511"/>
      <w:bookmarkStart w:id="22549" w:name="_Toc396914491"/>
      <w:bookmarkStart w:id="22550" w:name="_Toc396915375"/>
      <w:bookmarkStart w:id="22551" w:name="_Toc396915769"/>
      <w:bookmarkStart w:id="22552" w:name="_Toc396921080"/>
      <w:bookmarkStart w:id="22553" w:name="_Toc396924420"/>
      <w:bookmarkStart w:id="22554" w:name="_Toc396925114"/>
      <w:bookmarkStart w:id="22555" w:name="_Toc396992234"/>
      <w:bookmarkStart w:id="22556" w:name="_Toc396992813"/>
      <w:bookmarkStart w:id="22557" w:name="_Toc396994477"/>
      <w:bookmarkStart w:id="22558" w:name="_Toc397002247"/>
      <w:bookmarkStart w:id="22559" w:name="_Toc397003166"/>
      <w:bookmarkStart w:id="22560" w:name="_Toc397008724"/>
      <w:bookmarkStart w:id="22561" w:name="_Toc397008942"/>
      <w:bookmarkStart w:id="22562" w:name="_Toc397011614"/>
      <w:bookmarkStart w:id="22563" w:name="_Toc397012676"/>
      <w:bookmarkStart w:id="22564" w:name="_Toc397015018"/>
      <w:bookmarkStart w:id="22565" w:name="_Toc397015505"/>
      <w:bookmarkStart w:id="22566" w:name="_Toc397070575"/>
      <w:bookmarkStart w:id="22567" w:name="_Toc397413325"/>
      <w:bookmarkStart w:id="22568" w:name="_Toc397413472"/>
      <w:bookmarkStart w:id="22569" w:name="_Toc397428046"/>
      <w:bookmarkStart w:id="22570" w:name="_Toc397439434"/>
      <w:bookmarkStart w:id="22571" w:name="_Toc397439604"/>
      <w:bookmarkStart w:id="22572" w:name="_Toc397439860"/>
      <w:bookmarkStart w:id="22573" w:name="_Toc397440162"/>
      <w:bookmarkStart w:id="22574" w:name="_Toc397441791"/>
      <w:bookmarkStart w:id="22575" w:name="_Toc397517493"/>
      <w:bookmarkStart w:id="22576" w:name="_Toc397522758"/>
      <w:bookmarkStart w:id="22577" w:name="_Toc397526176"/>
      <w:bookmarkStart w:id="22578" w:name="_Toc397528491"/>
      <w:bookmarkStart w:id="22579" w:name="_Toc397528966"/>
      <w:bookmarkStart w:id="22580" w:name="_Toc397601963"/>
      <w:bookmarkStart w:id="22581" w:name="_Toc397602698"/>
      <w:bookmarkStart w:id="22582" w:name="_Toc397605831"/>
      <w:bookmarkStart w:id="22583" w:name="_Toc397614528"/>
      <w:bookmarkStart w:id="22584" w:name="_Toc397614971"/>
      <w:bookmarkStart w:id="22585" w:name="_Toc397616414"/>
      <w:bookmarkStart w:id="22586" w:name="_Toc397616808"/>
      <w:bookmarkStart w:id="22587" w:name="_Toc397688106"/>
      <w:bookmarkStart w:id="22588" w:name="_Toc397689322"/>
      <w:bookmarkStart w:id="22589" w:name="_Toc397694602"/>
      <w:bookmarkStart w:id="22590" w:name="_Toc397696443"/>
      <w:bookmarkStart w:id="22591" w:name="_Toc397697177"/>
      <w:bookmarkStart w:id="22592" w:name="_Toc397698464"/>
      <w:bookmarkStart w:id="22593" w:name="_Toc397699830"/>
      <w:bookmarkStart w:id="22594" w:name="_Toc397700284"/>
      <w:bookmarkStart w:id="22595" w:name="_Toc397936676"/>
      <w:bookmarkStart w:id="22596" w:name="_Toc397936796"/>
      <w:bookmarkStart w:id="22597" w:name="_Toc397945952"/>
      <w:bookmarkStart w:id="22598" w:name="_Toc397946978"/>
      <w:bookmarkStart w:id="22599" w:name="_Toc397948097"/>
      <w:bookmarkStart w:id="22600" w:name="_Toc397958503"/>
      <w:bookmarkStart w:id="22601" w:name="_Toc397958745"/>
      <w:bookmarkStart w:id="22602" w:name="_Toc397959160"/>
      <w:bookmarkStart w:id="22603" w:name="_Toc397963013"/>
      <w:bookmarkStart w:id="22604" w:name="_Toc397963379"/>
      <w:bookmarkStart w:id="22605" w:name="_Toc397965456"/>
      <w:bookmarkStart w:id="22606" w:name="_Toc398197394"/>
      <w:bookmarkStart w:id="22607" w:name="_Toc398199897"/>
      <w:bookmarkStart w:id="22608" w:name="_Toc398201611"/>
      <w:bookmarkStart w:id="22609" w:name="_Toc398207216"/>
      <w:bookmarkStart w:id="22610" w:name="_Toc398210489"/>
      <w:bookmarkStart w:id="22611" w:name="_Toc398211003"/>
      <w:bookmarkStart w:id="22612" w:name="_Toc398219811"/>
      <w:bookmarkStart w:id="22613" w:name="_Toc398220186"/>
      <w:bookmarkStart w:id="22614" w:name="_Toc398220573"/>
      <w:bookmarkStart w:id="22615" w:name="_Toc398221651"/>
      <w:bookmarkStart w:id="22616" w:name="_Toc398222337"/>
      <w:bookmarkStart w:id="22617" w:name="_Toc398222649"/>
      <w:bookmarkStart w:id="22618" w:name="_Toc398223066"/>
      <w:bookmarkStart w:id="22619" w:name="_Toc398223445"/>
      <w:bookmarkStart w:id="22620" w:name="_Toc398223572"/>
      <w:bookmarkStart w:id="22621" w:name="_Toc398224380"/>
      <w:bookmarkStart w:id="22622" w:name="_Toc398225717"/>
      <w:bookmarkStart w:id="22623" w:name="_Toc398225842"/>
      <w:bookmarkStart w:id="22624" w:name="_Toc398281329"/>
      <w:bookmarkStart w:id="22625" w:name="_Toc398282188"/>
      <w:bookmarkStart w:id="22626" w:name="_Toc398284858"/>
      <w:bookmarkStart w:id="22627" w:name="_Toc398287327"/>
      <w:bookmarkStart w:id="22628" w:name="_Toc398289210"/>
      <w:bookmarkStart w:id="22629" w:name="_Toc398297207"/>
      <w:bookmarkStart w:id="22630" w:name="_Toc398298681"/>
      <w:bookmarkStart w:id="22631" w:name="_Toc398300382"/>
      <w:bookmarkStart w:id="22632" w:name="_Toc398301279"/>
      <w:bookmarkStart w:id="22633" w:name="_Toc398302464"/>
      <w:bookmarkStart w:id="22634" w:name="_Toc398302627"/>
      <w:bookmarkStart w:id="22635" w:name="_Toc398549141"/>
      <w:bookmarkStart w:id="22636" w:name="_Toc398549391"/>
      <w:bookmarkStart w:id="22637" w:name="_Toc398555810"/>
      <w:bookmarkStart w:id="22638" w:name="_Toc398559014"/>
      <w:bookmarkStart w:id="22639" w:name="_Toc398563500"/>
      <w:bookmarkStart w:id="22640" w:name="_Toc398563633"/>
      <w:bookmarkStart w:id="22641" w:name="_Toc398564032"/>
      <w:bookmarkStart w:id="22642" w:name="_Toc398827370"/>
      <w:bookmarkStart w:id="22643" w:name="_Toc398827564"/>
      <w:r w:rsidRPr="008625DC">
        <w:rPr>
          <w:lang w:val="en-AU"/>
        </w:rPr>
        <w:t>Separation of f</w:t>
      </w:r>
      <w:r w:rsidR="000225AB" w:rsidRPr="008625DC">
        <w:rPr>
          <w:lang w:val="en-AU"/>
        </w:rPr>
        <w:t>unding</w:t>
      </w:r>
      <w:r w:rsidR="004138F3" w:rsidRPr="008625DC">
        <w:rPr>
          <w:lang w:val="en-AU"/>
        </w:rPr>
        <w:t xml:space="preserve">, </w:t>
      </w:r>
      <w:r w:rsidRPr="008625DC">
        <w:rPr>
          <w:lang w:val="en-AU"/>
        </w:rPr>
        <w:t>r</w:t>
      </w:r>
      <w:r w:rsidR="000225AB" w:rsidRPr="008625DC">
        <w:rPr>
          <w:lang w:val="en-AU"/>
        </w:rPr>
        <w:t xml:space="preserve">egulation and </w:t>
      </w:r>
      <w:r w:rsidRPr="008625DC">
        <w:rPr>
          <w:lang w:val="en-AU"/>
        </w:rPr>
        <w:t>s</w:t>
      </w:r>
      <w:r w:rsidR="004138F3" w:rsidRPr="008625DC">
        <w:rPr>
          <w:lang w:val="en-AU"/>
        </w:rPr>
        <w:t xml:space="preserve">ervice </w:t>
      </w:r>
      <w:r w:rsidRPr="008625DC">
        <w:rPr>
          <w:lang w:val="en-AU"/>
        </w:rPr>
        <w:t>p</w:t>
      </w:r>
      <w:r w:rsidR="000225AB" w:rsidRPr="008625DC">
        <w:rPr>
          <w:lang w:val="en-AU"/>
        </w:rPr>
        <w:t>rovision</w:t>
      </w:r>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p>
    <w:p w14:paraId="56F7E743" w14:textId="51BF9C82" w:rsidR="000225AB" w:rsidRPr="008625DC" w:rsidRDefault="00792C54" w:rsidP="000225AB">
      <w:r w:rsidRPr="008625DC">
        <w:t>S</w:t>
      </w:r>
      <w:r w:rsidR="000225AB" w:rsidRPr="008625DC">
        <w:t>eparation of funding</w:t>
      </w:r>
      <w:r w:rsidR="004138F3" w:rsidRPr="008625DC">
        <w:t xml:space="preserve">, </w:t>
      </w:r>
      <w:r w:rsidR="000225AB" w:rsidRPr="008625DC">
        <w:t xml:space="preserve">regulation and provision of human services involves maintaining government funding </w:t>
      </w:r>
      <w:r w:rsidR="00654F0C" w:rsidRPr="008625DC">
        <w:t>of</w:t>
      </w:r>
      <w:r w:rsidR="000225AB" w:rsidRPr="008625DC">
        <w:t xml:space="preserve"> </w:t>
      </w:r>
      <w:r w:rsidR="003C0D2E" w:rsidRPr="008625DC">
        <w:t>human</w:t>
      </w:r>
      <w:r w:rsidR="000225AB" w:rsidRPr="008625DC">
        <w:t xml:space="preserve"> services while introducing some independence into service regulation, and </w:t>
      </w:r>
      <w:r w:rsidR="00AB20D6" w:rsidRPr="008625DC">
        <w:t>the potential for</w:t>
      </w:r>
      <w:r w:rsidR="000225AB" w:rsidRPr="008625DC">
        <w:t xml:space="preserve"> some competition into service delivery.</w:t>
      </w:r>
    </w:p>
    <w:p w14:paraId="7F6FD279" w14:textId="7BBA9FAF" w:rsidR="000225AB" w:rsidRPr="008625DC" w:rsidRDefault="00C23EAF" w:rsidP="004138F3">
      <w:r w:rsidRPr="008625DC">
        <w:t>S</w:t>
      </w:r>
      <w:r w:rsidR="00B75E97" w:rsidRPr="008625DC">
        <w:t xml:space="preserve">eparation has the potential to </w:t>
      </w:r>
      <w:r w:rsidR="004138F3" w:rsidRPr="008625DC">
        <w:t xml:space="preserve">enhance the quality of service provided to consumers and the </w:t>
      </w:r>
      <w:r w:rsidR="009420DE" w:rsidRPr="008625DC">
        <w:t>effectiveness</w:t>
      </w:r>
      <w:r w:rsidR="004138F3" w:rsidRPr="008625DC">
        <w:t xml:space="preserve"> of service provision. The PC </w:t>
      </w:r>
      <w:r w:rsidR="000225AB" w:rsidRPr="008625DC">
        <w:t xml:space="preserve">notes that administered markets </w:t>
      </w:r>
      <w:r w:rsidR="004138F3" w:rsidRPr="008625DC">
        <w:t xml:space="preserve">(markets where services are delivered by the government with no exposure to competition) </w:t>
      </w:r>
      <w:r w:rsidR="00C74E19" w:rsidRPr="008625DC">
        <w:t>‘</w:t>
      </w:r>
      <w:r w:rsidR="000225AB" w:rsidRPr="008625DC">
        <w:t>often fail to provide strong incentives for service providers to improve their efficiency and to deliver the levels and quality of service required by users</w:t>
      </w:r>
      <w:r w:rsidR="00C74E19" w:rsidRPr="008625DC">
        <w:t>’</w:t>
      </w:r>
      <w:r w:rsidR="00467524" w:rsidRPr="008625DC">
        <w:t>.</w:t>
      </w:r>
      <w:r w:rsidR="00437D99" w:rsidRPr="008625DC">
        <w:t xml:space="preserve"> (</w:t>
      </w:r>
      <w:proofErr w:type="gramStart"/>
      <w:r w:rsidR="00437D99" w:rsidRPr="008625DC">
        <w:t>page</w:t>
      </w:r>
      <w:proofErr w:type="gramEnd"/>
      <w:r w:rsidR="00467524" w:rsidRPr="008625DC">
        <w:t xml:space="preserve"> 35)</w:t>
      </w:r>
    </w:p>
    <w:p w14:paraId="3FD8B1EE" w14:textId="48A50FD5" w:rsidR="00AC6B9A" w:rsidRPr="008625DC" w:rsidRDefault="004138F3" w:rsidP="00AC6B9A">
      <w:r w:rsidRPr="008625DC">
        <w:t>Australian governments have increasingly considered how to introduce competition into administered markets</w:t>
      </w:r>
      <w:r w:rsidR="00AC6B9A" w:rsidRPr="008625DC">
        <w:t>, including through contracting out</w:t>
      </w:r>
      <w:r w:rsidR="00756CF5" w:rsidRPr="008625DC">
        <w:t xml:space="preserve"> and commissioning</w:t>
      </w:r>
      <w:r w:rsidRPr="008625DC">
        <w:t xml:space="preserve">. However, </w:t>
      </w:r>
      <w:r w:rsidR="000225AB" w:rsidRPr="008625DC">
        <w:t xml:space="preserve">in many human services markets </w:t>
      </w:r>
      <w:r w:rsidR="007B18AA" w:rsidRPr="008625DC">
        <w:t>in</w:t>
      </w:r>
      <w:r w:rsidR="000225AB" w:rsidRPr="008625DC">
        <w:t xml:space="preserve"> Australia</w:t>
      </w:r>
      <w:r w:rsidR="003529B7" w:rsidRPr="008625DC">
        <w:t>,</w:t>
      </w:r>
      <w:r w:rsidR="000225AB" w:rsidRPr="008625DC">
        <w:t xml:space="preserve"> there are </w:t>
      </w:r>
      <w:r w:rsidR="00B75E97" w:rsidRPr="008625DC">
        <w:t xml:space="preserve">still </w:t>
      </w:r>
      <w:r w:rsidR="000225AB" w:rsidRPr="008625DC">
        <w:t xml:space="preserve">services </w:t>
      </w:r>
      <w:r w:rsidR="00AC6B9A" w:rsidRPr="008625DC">
        <w:t xml:space="preserve">that </w:t>
      </w:r>
      <w:r w:rsidR="007B18AA" w:rsidRPr="008625DC">
        <w:t xml:space="preserve">the government </w:t>
      </w:r>
      <w:r w:rsidR="005308C0" w:rsidRPr="008625DC">
        <w:t xml:space="preserve">block </w:t>
      </w:r>
      <w:r w:rsidR="00B75E97" w:rsidRPr="008625DC">
        <w:t>funds</w:t>
      </w:r>
      <w:r w:rsidR="007B18AA" w:rsidRPr="008625DC">
        <w:t xml:space="preserve">, regulates and </w:t>
      </w:r>
      <w:r w:rsidR="00B75E97" w:rsidRPr="008625DC">
        <w:t>provides</w:t>
      </w:r>
      <w:r w:rsidR="00C23EAF" w:rsidRPr="008625DC">
        <w:t xml:space="preserve"> through the same organisation</w:t>
      </w:r>
      <w:r w:rsidR="000225AB" w:rsidRPr="008625DC">
        <w:t>.</w:t>
      </w:r>
      <w:r w:rsidR="00AC6B9A" w:rsidRPr="008625DC">
        <w:t xml:space="preserve"> </w:t>
      </w:r>
    </w:p>
    <w:p w14:paraId="6F0E97C8" w14:textId="368CD544" w:rsidR="000225AB" w:rsidRPr="008625DC" w:rsidRDefault="000225AB" w:rsidP="00467524">
      <w:pPr>
        <w:keepNext/>
        <w:spacing w:after="120"/>
      </w:pPr>
      <w:r w:rsidRPr="008625DC">
        <w:lastRenderedPageBreak/>
        <w:t>Most submissions which considered s</w:t>
      </w:r>
      <w:r w:rsidR="000E07B8" w:rsidRPr="008625DC">
        <w:t xml:space="preserve">eparating functions </w:t>
      </w:r>
      <w:r w:rsidRPr="008625DC">
        <w:t xml:space="preserve">did so in the context of utilities. For example, </w:t>
      </w:r>
      <w:r w:rsidR="00AE0655" w:rsidRPr="008625DC">
        <w:t xml:space="preserve">the </w:t>
      </w:r>
      <w:r w:rsidRPr="008625DC">
        <w:t xml:space="preserve">Australian Communications Consumer Action Network </w:t>
      </w:r>
      <w:r w:rsidR="00792C54" w:rsidRPr="008625DC">
        <w:t>notes</w:t>
      </w:r>
      <w:r w:rsidRPr="008625DC">
        <w:t xml:space="preserve"> the positive aspects of </w:t>
      </w:r>
      <w:r w:rsidR="000E07B8" w:rsidRPr="008625DC">
        <w:t>separating functions in communications</w:t>
      </w:r>
      <w:r w:rsidR="00AC6B9A" w:rsidRPr="008625DC">
        <w:t xml:space="preserve"> (which was done as part of the NCP reforms)</w:t>
      </w:r>
      <w:r w:rsidRPr="008625DC">
        <w:t>, including that:</w:t>
      </w:r>
    </w:p>
    <w:p w14:paraId="1DE1CC12" w14:textId="732DA64A" w:rsidR="000225AB" w:rsidRPr="008625DC" w:rsidRDefault="000225AB" w:rsidP="000225AB">
      <w:pPr>
        <w:pStyle w:val="Quotes"/>
      </w:pPr>
      <w:r w:rsidRPr="008625DC">
        <w:rPr>
          <w:szCs w:val="22"/>
        </w:rPr>
        <w:t>Structural changes to the communications market</w:t>
      </w:r>
      <w:r w:rsidR="005167E9" w:rsidRPr="008625DC">
        <w:rPr>
          <w:szCs w:val="22"/>
        </w:rPr>
        <w:t xml:space="preserve"> </w:t>
      </w:r>
      <w:r w:rsidRPr="008625DC">
        <w:rPr>
          <w:szCs w:val="22"/>
        </w:rPr>
        <w:t>… substantially improved competition in the Australian market. This led to a proliferation of consumer choice</w:t>
      </w:r>
      <w:r w:rsidR="00352AA9">
        <w:rPr>
          <w:szCs w:val="22"/>
        </w:rPr>
        <w:t>.</w:t>
      </w:r>
      <w:r w:rsidRPr="008625DC">
        <w:rPr>
          <w:szCs w:val="22"/>
        </w:rPr>
        <w:t xml:space="preserve"> (</w:t>
      </w:r>
      <w:proofErr w:type="gramStart"/>
      <w:r w:rsidRPr="008625DC">
        <w:rPr>
          <w:szCs w:val="22"/>
        </w:rPr>
        <w:t>p</w:t>
      </w:r>
      <w:r w:rsidR="00437D99" w:rsidRPr="008625DC">
        <w:rPr>
          <w:szCs w:val="22"/>
        </w:rPr>
        <w:t>age</w:t>
      </w:r>
      <w:proofErr w:type="gramEnd"/>
      <w:r w:rsidR="00352AA9">
        <w:rPr>
          <w:szCs w:val="22"/>
        </w:rPr>
        <w:t xml:space="preserve"> 4)</w:t>
      </w:r>
    </w:p>
    <w:p w14:paraId="175FD95D" w14:textId="4331A45D" w:rsidR="000225AB" w:rsidRPr="008625DC" w:rsidRDefault="000225AB" w:rsidP="000225AB">
      <w:r w:rsidRPr="008625DC">
        <w:t>However</w:t>
      </w:r>
      <w:r w:rsidR="00792C54" w:rsidRPr="008625DC">
        <w:t>,</w:t>
      </w:r>
      <w:r w:rsidRPr="008625DC">
        <w:t xml:space="preserve"> some submitters </w:t>
      </w:r>
      <w:r w:rsidR="00357E20" w:rsidRPr="008625DC">
        <w:t>note</w:t>
      </w:r>
      <w:r w:rsidRPr="008625DC">
        <w:t xml:space="preserve"> actual or potential difficulties with separating functions in human services markets. For example, the Australian Education Union </w:t>
      </w:r>
      <w:r w:rsidR="00792C54" w:rsidRPr="008625DC">
        <w:t>states</w:t>
      </w:r>
      <w:r w:rsidRPr="008625DC">
        <w:t xml:space="preserve"> that </w:t>
      </w:r>
      <w:r w:rsidR="00C74E19" w:rsidRPr="008625DC">
        <w:t>‘</w:t>
      </w:r>
      <w:r w:rsidRPr="008625DC">
        <w:t>there should not be a separation between funder and provider of service delivery</w:t>
      </w:r>
      <w:r w:rsidR="00C74E19" w:rsidRPr="008625DC">
        <w:t>’</w:t>
      </w:r>
      <w:r w:rsidRPr="008625DC">
        <w:t xml:space="preserve"> (p</w:t>
      </w:r>
      <w:r w:rsidR="00437D99" w:rsidRPr="008625DC">
        <w:t>age</w:t>
      </w:r>
      <w:r w:rsidRPr="008625DC">
        <w:t xml:space="preserve"> 2) and </w:t>
      </w:r>
      <w:r w:rsidR="00792C54" w:rsidRPr="008625DC">
        <w:t>goes</w:t>
      </w:r>
      <w:r w:rsidRPr="008625DC">
        <w:t xml:space="preserve"> on to add that separation of these functions may lead to increased costs to consumers and issues of access and equity</w:t>
      </w:r>
      <w:r w:rsidR="00467524" w:rsidRPr="008625DC">
        <w:t>.</w:t>
      </w:r>
      <w:r w:rsidRPr="008625DC">
        <w:t xml:space="preserve"> (</w:t>
      </w:r>
      <w:proofErr w:type="gramStart"/>
      <w:r w:rsidRPr="008625DC">
        <w:t>p</w:t>
      </w:r>
      <w:r w:rsidR="00437D99" w:rsidRPr="008625DC">
        <w:t>age</w:t>
      </w:r>
      <w:proofErr w:type="gramEnd"/>
      <w:r w:rsidR="00467524" w:rsidRPr="008625DC">
        <w:t xml:space="preserve"> 3)</w:t>
      </w:r>
      <w:r w:rsidRPr="008625DC">
        <w:t xml:space="preserve"> </w:t>
      </w:r>
    </w:p>
    <w:p w14:paraId="5840B6F3" w14:textId="4696C6D7" w:rsidR="002D7403" w:rsidRPr="008625DC" w:rsidRDefault="000225AB" w:rsidP="002D7403">
      <w:r w:rsidRPr="008625DC">
        <w:t>While the potential</w:t>
      </w:r>
      <w:r w:rsidRPr="008625DC" w:rsidDel="00A849AE">
        <w:t xml:space="preserve"> </w:t>
      </w:r>
      <w:r w:rsidRPr="008625DC">
        <w:t xml:space="preserve">challenges associated with separation must be recognised, splitting the </w:t>
      </w:r>
      <w:r w:rsidR="000E07B8" w:rsidRPr="008625DC">
        <w:t xml:space="preserve">regulator </w:t>
      </w:r>
      <w:r w:rsidRPr="008625DC">
        <w:t xml:space="preserve">from the provider </w:t>
      </w:r>
      <w:r w:rsidR="00DE2BB4" w:rsidRPr="008625DC">
        <w:t xml:space="preserve">can </w:t>
      </w:r>
      <w:r w:rsidRPr="008625DC">
        <w:t xml:space="preserve">give the regulator greater scope to make decisions in the best interests of </w:t>
      </w:r>
      <w:r w:rsidR="00DE2BB4" w:rsidRPr="008625DC">
        <w:t>consumers</w:t>
      </w:r>
      <w:r w:rsidRPr="008625DC">
        <w:t xml:space="preserve">. </w:t>
      </w:r>
      <w:r w:rsidR="009420DE" w:rsidRPr="008625DC">
        <w:t>For example, t</w:t>
      </w:r>
      <w:r w:rsidR="002D7403" w:rsidRPr="008625DC">
        <w:t>he PC</w:t>
      </w:r>
      <w:r w:rsidR="00DE2BB4" w:rsidRPr="008625DC">
        <w:t xml:space="preserve"> noted that</w:t>
      </w:r>
      <w:r w:rsidR="00792C54" w:rsidRPr="008625DC">
        <w:t>,</w:t>
      </w:r>
      <w:r w:rsidR="00DE2BB4" w:rsidRPr="008625DC">
        <w:t xml:space="preserve"> </w:t>
      </w:r>
      <w:r w:rsidR="009420DE" w:rsidRPr="008625DC">
        <w:t>where</w:t>
      </w:r>
      <w:r w:rsidR="002D7403" w:rsidRPr="008625DC">
        <w:t xml:space="preserve"> </w:t>
      </w:r>
      <w:r w:rsidR="00DE2BB4" w:rsidRPr="008625DC">
        <w:t>a</w:t>
      </w:r>
      <w:r w:rsidR="002D7403" w:rsidRPr="008625DC">
        <w:t xml:space="preserve"> regulator </w:t>
      </w:r>
      <w:r w:rsidR="009420DE" w:rsidRPr="008625DC">
        <w:t>and provider are the same entity,</w:t>
      </w:r>
      <w:r w:rsidR="002D7403" w:rsidRPr="008625DC">
        <w:t xml:space="preserve"> regulators </w:t>
      </w:r>
      <w:r w:rsidR="00C74E19" w:rsidRPr="008625DC">
        <w:t>‘</w:t>
      </w:r>
      <w:r w:rsidR="002D7403" w:rsidRPr="008625DC">
        <w:t xml:space="preserve">often find ways of favouring the arms of their own </w:t>
      </w:r>
      <w:r w:rsidR="00F45C71" w:rsidRPr="008625DC">
        <w:t>businesses</w:t>
      </w:r>
      <w:r w:rsidR="00C74E19" w:rsidRPr="008625DC">
        <w:t>’</w:t>
      </w:r>
      <w:r w:rsidR="00467524" w:rsidRPr="008625DC">
        <w:t>.</w:t>
      </w:r>
      <w:r w:rsidR="002D7403" w:rsidRPr="008625DC">
        <w:rPr>
          <w:rStyle w:val="FootnoteReference"/>
        </w:rPr>
        <w:footnoteReference w:id="174"/>
      </w:r>
    </w:p>
    <w:p w14:paraId="45B76DCE" w14:textId="02179F51" w:rsidR="000225AB" w:rsidRPr="008625DC" w:rsidRDefault="000225AB" w:rsidP="000225AB">
      <w:r w:rsidRPr="008625DC">
        <w:t xml:space="preserve">There may also be specific advantages from specialisation. For example, the regulator </w:t>
      </w:r>
      <w:r w:rsidR="009420DE" w:rsidRPr="008625DC">
        <w:t>can focus</w:t>
      </w:r>
      <w:r w:rsidRPr="008625DC">
        <w:t xml:space="preserve"> on ensuring that service providers meet basic quality requirements, rather than micro</w:t>
      </w:r>
      <w:r w:rsidR="00C74E19" w:rsidRPr="008625DC">
        <w:noBreakHyphen/>
      </w:r>
      <w:r w:rsidRPr="008625DC">
        <w:t xml:space="preserve">managing contracts; or the regulator could be responsible for licensing or registering each service provider, so that consumers know that providers are reliable, but without stifling innovation or adding unnecessary cost. </w:t>
      </w:r>
    </w:p>
    <w:p w14:paraId="28FC5666" w14:textId="77777777" w:rsidR="000225AB" w:rsidRPr="008625DC" w:rsidRDefault="000E07B8" w:rsidP="000225AB">
      <w:r w:rsidRPr="008625DC">
        <w:t>Independent regulation can also help to encourage entry in service delivery markets</w:t>
      </w:r>
      <w:r w:rsidR="00380141" w:rsidRPr="008625DC">
        <w:t xml:space="preserve"> — </w:t>
      </w:r>
      <w:r w:rsidR="009420DE" w:rsidRPr="008625DC">
        <w:t>leading to more</w:t>
      </w:r>
      <w:r w:rsidRPr="008625DC">
        <w:t xml:space="preserve"> choice, diversity and innovation</w:t>
      </w:r>
      <w:r w:rsidR="00380141" w:rsidRPr="008625DC">
        <w:t xml:space="preserve"> — </w:t>
      </w:r>
      <w:r w:rsidRPr="008625DC">
        <w:t xml:space="preserve">as providers will </w:t>
      </w:r>
      <w:r w:rsidR="009420DE" w:rsidRPr="008625DC">
        <w:t>have</w:t>
      </w:r>
      <w:r w:rsidRPr="008625DC">
        <w:t xml:space="preserve"> a level of certainty and stability with regard to the regulatory environment.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225AB" w:rsidRPr="008625DC" w14:paraId="16E7C5F1" w14:textId="77777777" w:rsidTr="00F01103">
        <w:tc>
          <w:tcPr>
            <w:tcW w:w="5000" w:type="pct"/>
            <w:shd w:val="clear" w:color="auto" w:fill="FFFFFF" w:themeFill="background1"/>
          </w:tcPr>
          <w:p w14:paraId="5394A494" w14:textId="5C5A2424" w:rsidR="000225AB" w:rsidRPr="008625DC" w:rsidRDefault="00A6385D" w:rsidP="00F01103">
            <w:pPr>
              <w:pStyle w:val="Keyfindingheading"/>
            </w:pPr>
            <w:r w:rsidRPr="008625DC">
              <w:lastRenderedPageBreak/>
              <w:t xml:space="preserve">The </w:t>
            </w:r>
            <w:r w:rsidR="000225AB" w:rsidRPr="008625DC">
              <w:t>Panel</w:t>
            </w:r>
            <w:r w:rsidR="00C74E19" w:rsidRPr="008625DC">
              <w:t>’</w:t>
            </w:r>
            <w:r w:rsidRPr="008625DC">
              <w:t>s</w:t>
            </w:r>
            <w:r w:rsidR="000225AB" w:rsidRPr="008625DC">
              <w:t xml:space="preserve"> view</w:t>
            </w:r>
          </w:p>
          <w:p w14:paraId="087AA413" w14:textId="29D36DD8" w:rsidR="000225AB" w:rsidRPr="008625DC" w:rsidRDefault="000225AB" w:rsidP="00F01103">
            <w:pPr>
              <w:pStyle w:val="Keyfindingtext"/>
            </w:pPr>
            <w:bookmarkStart w:id="22644" w:name="_Toc393985219"/>
            <w:bookmarkStart w:id="22645" w:name="_Toc393985722"/>
            <w:bookmarkStart w:id="22646" w:name="_Toc393986124"/>
            <w:bookmarkStart w:id="22647" w:name="_Toc393986527"/>
            <w:bookmarkStart w:id="22648" w:name="_Toc393988134"/>
            <w:bookmarkStart w:id="22649" w:name="_Toc393988536"/>
            <w:bookmarkStart w:id="22650" w:name="_Toc393989548"/>
            <w:bookmarkStart w:id="22651" w:name="_Toc393988937"/>
            <w:bookmarkStart w:id="22652" w:name="_Toc393990941"/>
            <w:bookmarkStart w:id="22653" w:name="_Toc393991925"/>
            <w:bookmarkStart w:id="22654" w:name="_Toc394047588"/>
            <w:bookmarkStart w:id="22655" w:name="_Toc394049864"/>
            <w:bookmarkStart w:id="22656" w:name="_Toc394051264"/>
            <w:bookmarkStart w:id="22657" w:name="_Toc394062253"/>
            <w:bookmarkStart w:id="22658" w:name="_Toc394069128"/>
            <w:bookmarkStart w:id="22659" w:name="_Toc394071046"/>
            <w:bookmarkStart w:id="22660" w:name="_Toc394312755"/>
            <w:bookmarkStart w:id="22661" w:name="_Toc394330735"/>
            <w:bookmarkStart w:id="22662" w:name="_Toc394331250"/>
            <w:bookmarkStart w:id="22663" w:name="_Toc394330355"/>
            <w:bookmarkStart w:id="22664" w:name="_Toc394333326"/>
            <w:bookmarkStart w:id="22665" w:name="_Toc394333739"/>
            <w:bookmarkStart w:id="22666" w:name="_Toc394334152"/>
            <w:bookmarkStart w:id="22667" w:name="_Toc394334978"/>
            <w:bookmarkStart w:id="22668" w:name="_Toc394415165"/>
            <w:bookmarkStart w:id="22669" w:name="_Toc394412470"/>
            <w:bookmarkStart w:id="22670" w:name="_Toc394420763"/>
            <w:bookmarkStart w:id="22671" w:name="_Toc394423606"/>
            <w:bookmarkStart w:id="22672" w:name="_Toc394422650"/>
            <w:bookmarkStart w:id="22673" w:name="_Toc394423121"/>
            <w:bookmarkStart w:id="22674" w:name="_Toc394424271"/>
            <w:bookmarkStart w:id="22675" w:name="_Toc394481510"/>
            <w:bookmarkStart w:id="22676" w:name="_Toc394484142"/>
            <w:bookmarkStart w:id="22677" w:name="_Toc394492104"/>
            <w:bookmarkStart w:id="22678" w:name="_Toc394493040"/>
            <w:bookmarkStart w:id="22679" w:name="_Toc394493975"/>
            <w:bookmarkStart w:id="22680" w:name="_Toc394494781"/>
            <w:bookmarkStart w:id="22681" w:name="_Toc394495248"/>
            <w:bookmarkStart w:id="22682" w:name="_Toc394500853"/>
            <w:bookmarkStart w:id="22683" w:name="_Toc394502250"/>
            <w:bookmarkStart w:id="22684" w:name="_Toc394503150"/>
            <w:bookmarkStart w:id="22685" w:name="_Toc394502694"/>
            <w:bookmarkStart w:id="22686" w:name="_Toc394505901"/>
            <w:bookmarkStart w:id="22687" w:name="_Toc394506360"/>
            <w:bookmarkStart w:id="22688" w:name="_Toc394506914"/>
            <w:bookmarkStart w:id="22689" w:name="_Toc394560987"/>
            <w:bookmarkStart w:id="22690" w:name="_Toc394561448"/>
            <w:bookmarkStart w:id="22691" w:name="_Toc394938372"/>
            <w:bookmarkStart w:id="22692" w:name="_Toc394937652"/>
            <w:bookmarkStart w:id="22693" w:name="_Toc394941283"/>
            <w:bookmarkStart w:id="22694" w:name="_Toc394941899"/>
            <w:bookmarkStart w:id="22695" w:name="_Toc394940121"/>
            <w:bookmarkStart w:id="22696" w:name="_Toc394939731"/>
            <w:bookmarkStart w:id="22697" w:name="_Toc394993628"/>
            <w:bookmarkStart w:id="22698" w:name="_Toc394995509"/>
            <w:bookmarkStart w:id="22699" w:name="_Toc394995823"/>
            <w:bookmarkStart w:id="22700" w:name="_Toc394998066"/>
            <w:bookmarkStart w:id="22701" w:name="_Toc394998580"/>
            <w:bookmarkStart w:id="22702" w:name="_Toc395002079"/>
            <w:bookmarkStart w:id="22703" w:name="_Toc395001285"/>
            <w:bookmarkStart w:id="22704" w:name="_Toc395001559"/>
            <w:bookmarkStart w:id="22705" w:name="_Toc395002848"/>
            <w:bookmarkStart w:id="22706" w:name="_Toc395003433"/>
            <w:bookmarkStart w:id="22707" w:name="_Toc395005674"/>
            <w:bookmarkStart w:id="22708" w:name="_Toc395009668"/>
            <w:bookmarkStart w:id="22709" w:name="_Toc395010409"/>
            <w:bookmarkStart w:id="22710" w:name="_Toc395012593"/>
            <w:bookmarkStart w:id="22711" w:name="_Toc395011000"/>
            <w:bookmarkStart w:id="22712" w:name="_Toc395013056"/>
            <w:bookmarkStart w:id="22713" w:name="_Toc395012058"/>
            <w:bookmarkStart w:id="22714" w:name="_Toc395014397"/>
            <w:bookmarkStart w:id="22715" w:name="_Toc395084745"/>
            <w:bookmarkStart w:id="22716" w:name="_Toc395085046"/>
            <w:bookmarkStart w:id="22717" w:name="_Toc395090512"/>
            <w:bookmarkStart w:id="22718" w:name="_Toc395093096"/>
            <w:bookmarkStart w:id="22719" w:name="_Toc395098008"/>
            <w:bookmarkStart w:id="22720" w:name="_Toc395106192"/>
            <w:bookmarkStart w:id="22721" w:name="_Toc395109785"/>
            <w:bookmarkStart w:id="22722" w:name="_Toc395112162"/>
            <w:bookmarkStart w:id="22723" w:name="_Toc395107304"/>
            <w:bookmarkStart w:id="22724" w:name="_Toc395108865"/>
            <w:bookmarkStart w:id="22725" w:name="_Toc395114105"/>
            <w:bookmarkStart w:id="22726" w:name="_Toc395116842"/>
            <w:bookmarkStart w:id="22727" w:name="_Toc395112779"/>
            <w:bookmarkStart w:id="22728" w:name="_Toc395115319"/>
            <w:bookmarkStart w:id="22729" w:name="_Toc395118471"/>
            <w:bookmarkStart w:id="22730" w:name="_Toc395624665"/>
            <w:bookmarkStart w:id="22731" w:name="_Toc395790016"/>
            <w:bookmarkStart w:id="22732" w:name="_Toc395800774"/>
            <w:r w:rsidRPr="008625DC">
              <w:t>Human services are vital to all Australians</w:t>
            </w:r>
            <w:r w:rsidR="00C74E19" w:rsidRPr="008625DC">
              <w:t>’</w:t>
            </w:r>
            <w:r w:rsidRPr="008625DC">
              <w:t xml:space="preserve"> </w:t>
            </w:r>
            <w:r w:rsidR="00580D32" w:rsidRPr="008625DC">
              <w:t>wellbeing</w:t>
            </w:r>
            <w:r w:rsidRPr="008625DC">
              <w:t xml:space="preserve">, and the delivery of </w:t>
            </w:r>
            <w:r w:rsidR="00C23EAF" w:rsidRPr="008625DC">
              <w:t>high</w:t>
            </w:r>
            <w:r w:rsidR="00C74E19" w:rsidRPr="008625DC">
              <w:noBreakHyphen/>
            </w:r>
            <w:r w:rsidR="00C23EAF" w:rsidRPr="008625DC">
              <w:t xml:space="preserve">quality </w:t>
            </w:r>
            <w:r w:rsidRPr="008625DC">
              <w:t xml:space="preserve">human services can </w:t>
            </w:r>
            <w:r w:rsidR="00C23EAF" w:rsidRPr="008625DC">
              <w:t>significantly improve</w:t>
            </w:r>
            <w:r w:rsidRPr="008625DC">
              <w:t xml:space="preserve"> peoples</w:t>
            </w:r>
            <w:r w:rsidR="00C74E19" w:rsidRPr="008625DC">
              <w:t>’</w:t>
            </w:r>
            <w:r w:rsidRPr="008625DC">
              <w:t xml:space="preserve"> standard of living and quality of life. Particularly with Australia</w:t>
            </w:r>
            <w:r w:rsidR="00C74E19" w:rsidRPr="008625DC">
              <w:t>’</w:t>
            </w:r>
            <w:r w:rsidRPr="008625DC">
              <w:t>s ag</w:t>
            </w:r>
            <w:r w:rsidR="001665D6" w:rsidRPr="008625DC">
              <w:t>e</w:t>
            </w:r>
            <w:r w:rsidRPr="008625DC">
              <w:t>ing population, the size and importance of the human services sector will increase over the coming decades.</w:t>
            </w:r>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p>
          <w:p w14:paraId="63F52C5D" w14:textId="7872D29C" w:rsidR="000225AB" w:rsidRPr="008625DC" w:rsidRDefault="000225AB" w:rsidP="00F01103">
            <w:pPr>
              <w:pStyle w:val="Keyfindingtext"/>
            </w:pPr>
            <w:bookmarkStart w:id="22733" w:name="_Toc393985220"/>
            <w:bookmarkStart w:id="22734" w:name="_Toc393985723"/>
            <w:bookmarkStart w:id="22735" w:name="_Toc393986125"/>
            <w:bookmarkStart w:id="22736" w:name="_Toc393986528"/>
            <w:bookmarkStart w:id="22737" w:name="_Toc393988135"/>
            <w:bookmarkStart w:id="22738" w:name="_Toc393988537"/>
            <w:bookmarkStart w:id="22739" w:name="_Toc393989549"/>
            <w:bookmarkStart w:id="22740" w:name="_Toc393988938"/>
            <w:bookmarkStart w:id="22741" w:name="_Toc393990942"/>
            <w:bookmarkStart w:id="22742" w:name="_Toc393991926"/>
            <w:bookmarkStart w:id="22743" w:name="_Toc394047589"/>
            <w:bookmarkStart w:id="22744" w:name="_Toc394049865"/>
            <w:bookmarkStart w:id="22745" w:name="_Toc394051265"/>
            <w:bookmarkStart w:id="22746" w:name="_Toc394062254"/>
            <w:bookmarkStart w:id="22747" w:name="_Toc394069129"/>
            <w:bookmarkStart w:id="22748" w:name="_Toc394071047"/>
            <w:bookmarkStart w:id="22749" w:name="_Toc394312756"/>
            <w:bookmarkStart w:id="22750" w:name="_Toc394330736"/>
            <w:bookmarkStart w:id="22751" w:name="_Toc394331251"/>
            <w:bookmarkStart w:id="22752" w:name="_Toc394330356"/>
            <w:bookmarkStart w:id="22753" w:name="_Toc394333327"/>
            <w:bookmarkStart w:id="22754" w:name="_Toc394333740"/>
            <w:bookmarkStart w:id="22755" w:name="_Toc394334153"/>
            <w:bookmarkStart w:id="22756" w:name="_Toc394334979"/>
            <w:bookmarkStart w:id="22757" w:name="_Toc394415166"/>
            <w:bookmarkStart w:id="22758" w:name="_Toc394412471"/>
            <w:bookmarkStart w:id="22759" w:name="_Toc394420764"/>
            <w:bookmarkStart w:id="22760" w:name="_Toc394423607"/>
            <w:bookmarkStart w:id="22761" w:name="_Toc394422651"/>
            <w:bookmarkStart w:id="22762" w:name="_Toc394423122"/>
            <w:bookmarkStart w:id="22763" w:name="_Toc394424272"/>
            <w:bookmarkStart w:id="22764" w:name="_Toc394481511"/>
            <w:bookmarkStart w:id="22765" w:name="_Toc394484143"/>
            <w:bookmarkStart w:id="22766" w:name="_Toc394492105"/>
            <w:bookmarkStart w:id="22767" w:name="_Toc394493041"/>
            <w:bookmarkStart w:id="22768" w:name="_Toc394493976"/>
            <w:bookmarkStart w:id="22769" w:name="_Toc394494782"/>
            <w:bookmarkStart w:id="22770" w:name="_Toc394495249"/>
            <w:bookmarkStart w:id="22771" w:name="_Toc394500854"/>
            <w:bookmarkStart w:id="22772" w:name="_Toc394502251"/>
            <w:bookmarkStart w:id="22773" w:name="_Toc394503151"/>
            <w:bookmarkStart w:id="22774" w:name="_Toc394502695"/>
            <w:bookmarkStart w:id="22775" w:name="_Toc394505902"/>
            <w:bookmarkStart w:id="22776" w:name="_Toc394506361"/>
            <w:bookmarkStart w:id="22777" w:name="_Toc394506915"/>
            <w:bookmarkStart w:id="22778" w:name="_Toc394560988"/>
            <w:bookmarkStart w:id="22779" w:name="_Toc394561449"/>
            <w:bookmarkStart w:id="22780" w:name="_Toc394938373"/>
            <w:bookmarkStart w:id="22781" w:name="_Toc394937653"/>
            <w:bookmarkStart w:id="22782" w:name="_Toc394941284"/>
            <w:bookmarkStart w:id="22783" w:name="_Toc394941900"/>
            <w:bookmarkStart w:id="22784" w:name="_Toc394940122"/>
            <w:bookmarkStart w:id="22785" w:name="_Toc394939732"/>
            <w:bookmarkStart w:id="22786" w:name="_Toc394993629"/>
            <w:bookmarkStart w:id="22787" w:name="_Toc394995510"/>
            <w:bookmarkStart w:id="22788" w:name="_Toc394995824"/>
            <w:bookmarkStart w:id="22789" w:name="_Toc394998067"/>
            <w:bookmarkStart w:id="22790" w:name="_Toc394998581"/>
            <w:bookmarkStart w:id="22791" w:name="_Toc395002080"/>
            <w:bookmarkStart w:id="22792" w:name="_Toc395001286"/>
            <w:bookmarkStart w:id="22793" w:name="_Toc395001560"/>
            <w:bookmarkStart w:id="22794" w:name="_Toc395002849"/>
            <w:bookmarkStart w:id="22795" w:name="_Toc395003434"/>
            <w:bookmarkStart w:id="22796" w:name="_Toc395005675"/>
            <w:bookmarkStart w:id="22797" w:name="_Toc395009669"/>
            <w:bookmarkStart w:id="22798" w:name="_Toc395010410"/>
            <w:bookmarkStart w:id="22799" w:name="_Toc395012594"/>
            <w:bookmarkStart w:id="22800" w:name="_Toc395011001"/>
            <w:bookmarkStart w:id="22801" w:name="_Toc395013057"/>
            <w:bookmarkStart w:id="22802" w:name="_Toc395012059"/>
            <w:bookmarkStart w:id="22803" w:name="_Toc395014398"/>
            <w:bookmarkStart w:id="22804" w:name="_Toc395084746"/>
            <w:bookmarkStart w:id="22805" w:name="_Toc395085047"/>
            <w:bookmarkStart w:id="22806" w:name="_Toc395090513"/>
            <w:bookmarkStart w:id="22807" w:name="_Toc395093097"/>
            <w:bookmarkStart w:id="22808" w:name="_Toc395098009"/>
            <w:bookmarkStart w:id="22809" w:name="_Toc395106193"/>
            <w:bookmarkStart w:id="22810" w:name="_Toc395109786"/>
            <w:bookmarkStart w:id="22811" w:name="_Toc395112163"/>
            <w:bookmarkStart w:id="22812" w:name="_Toc395107305"/>
            <w:bookmarkStart w:id="22813" w:name="_Toc395108866"/>
            <w:bookmarkStart w:id="22814" w:name="_Toc395114106"/>
            <w:bookmarkStart w:id="22815" w:name="_Toc395116843"/>
            <w:bookmarkStart w:id="22816" w:name="_Toc395112780"/>
            <w:bookmarkStart w:id="22817" w:name="_Toc395115320"/>
            <w:bookmarkStart w:id="22818" w:name="_Toc395118472"/>
            <w:bookmarkStart w:id="22819" w:name="_Toc395624666"/>
            <w:bookmarkStart w:id="22820" w:name="_Toc395790017"/>
            <w:bookmarkStart w:id="22821" w:name="_Toc395800775"/>
            <w:r w:rsidRPr="008625DC">
              <w:t xml:space="preserve">Governments </w:t>
            </w:r>
            <w:r w:rsidR="00756CF5" w:rsidRPr="008625DC">
              <w:t>at</w:t>
            </w:r>
            <w:r w:rsidRPr="008625DC">
              <w:t xml:space="preserve"> all levels have traditionally played a significant role in all aspects of human service delivery in Australia, including funding, regulation and provision</w:t>
            </w:r>
            <w:r w:rsidR="00AE0655" w:rsidRPr="008625DC">
              <w:t>.</w:t>
            </w:r>
            <w:r w:rsidRPr="008625DC">
              <w:t xml:space="preserve"> </w:t>
            </w:r>
            <w:r w:rsidR="00AE0655" w:rsidRPr="008625DC">
              <w:t>H</w:t>
            </w:r>
            <w:r w:rsidRPr="008625DC">
              <w:t xml:space="preserve">owever there has been a trend to </w:t>
            </w:r>
            <w:r w:rsidR="00C23EAF" w:rsidRPr="008625DC">
              <w:t>encourage innovation and consumer choice in areas like disability care and support</w:t>
            </w:r>
            <w:r w:rsidR="00357E20" w:rsidRPr="008625DC">
              <w:t>,</w:t>
            </w:r>
            <w:r w:rsidR="00C23EAF" w:rsidRPr="008625DC">
              <w:t xml:space="preserve"> and aged care</w:t>
            </w:r>
            <w:r w:rsidRPr="008625DC">
              <w:t>.</w:t>
            </w:r>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p>
          <w:p w14:paraId="6604B472" w14:textId="79F0E627" w:rsidR="00C84F06" w:rsidRPr="008625DC" w:rsidRDefault="000225AB" w:rsidP="00F45C71">
            <w:pPr>
              <w:pStyle w:val="Keyfindingtext"/>
            </w:pPr>
            <w:bookmarkStart w:id="22822" w:name="_Toc393985221"/>
            <w:bookmarkStart w:id="22823" w:name="_Toc393985724"/>
            <w:bookmarkStart w:id="22824" w:name="_Toc393986126"/>
            <w:bookmarkStart w:id="22825" w:name="_Toc393986529"/>
            <w:bookmarkStart w:id="22826" w:name="_Toc393988136"/>
            <w:bookmarkStart w:id="22827" w:name="_Toc393988538"/>
            <w:bookmarkStart w:id="22828" w:name="_Toc393989550"/>
            <w:bookmarkStart w:id="22829" w:name="_Toc393988939"/>
            <w:bookmarkStart w:id="22830" w:name="_Toc393990943"/>
            <w:bookmarkStart w:id="22831" w:name="_Toc393991927"/>
            <w:bookmarkStart w:id="22832" w:name="_Toc394047590"/>
            <w:bookmarkStart w:id="22833" w:name="_Toc394049866"/>
            <w:bookmarkStart w:id="22834" w:name="_Toc394051266"/>
            <w:bookmarkStart w:id="22835" w:name="_Toc394062255"/>
            <w:bookmarkStart w:id="22836" w:name="_Toc394069130"/>
            <w:bookmarkStart w:id="22837" w:name="_Toc394071048"/>
            <w:bookmarkStart w:id="22838" w:name="_Toc394312757"/>
            <w:bookmarkStart w:id="22839" w:name="_Toc394330737"/>
            <w:bookmarkStart w:id="22840" w:name="_Toc394331252"/>
            <w:bookmarkStart w:id="22841" w:name="_Toc394330357"/>
            <w:bookmarkStart w:id="22842" w:name="_Toc394333328"/>
            <w:bookmarkStart w:id="22843" w:name="_Toc394333741"/>
            <w:bookmarkStart w:id="22844" w:name="_Toc394334154"/>
            <w:bookmarkStart w:id="22845" w:name="_Toc394334980"/>
            <w:bookmarkStart w:id="22846" w:name="_Toc394415167"/>
            <w:bookmarkStart w:id="22847" w:name="_Toc394412472"/>
            <w:bookmarkStart w:id="22848" w:name="_Toc394420765"/>
            <w:bookmarkStart w:id="22849" w:name="_Toc394423608"/>
            <w:bookmarkStart w:id="22850" w:name="_Toc394422652"/>
            <w:bookmarkStart w:id="22851" w:name="_Toc394423123"/>
            <w:bookmarkStart w:id="22852" w:name="_Toc394424273"/>
            <w:bookmarkStart w:id="22853" w:name="_Toc394481512"/>
            <w:bookmarkStart w:id="22854" w:name="_Toc394484144"/>
            <w:bookmarkStart w:id="22855" w:name="_Toc394492106"/>
            <w:bookmarkStart w:id="22856" w:name="_Toc394493042"/>
            <w:bookmarkStart w:id="22857" w:name="_Toc394493977"/>
            <w:bookmarkStart w:id="22858" w:name="_Toc394494783"/>
            <w:bookmarkStart w:id="22859" w:name="_Toc394495250"/>
            <w:bookmarkStart w:id="22860" w:name="_Toc394500855"/>
            <w:bookmarkStart w:id="22861" w:name="_Toc394502252"/>
            <w:bookmarkStart w:id="22862" w:name="_Toc394503152"/>
            <w:bookmarkStart w:id="22863" w:name="_Toc394502696"/>
            <w:bookmarkStart w:id="22864" w:name="_Toc394505903"/>
            <w:bookmarkStart w:id="22865" w:name="_Toc394506362"/>
            <w:bookmarkStart w:id="22866" w:name="_Toc394506916"/>
            <w:bookmarkStart w:id="22867" w:name="_Toc394560989"/>
            <w:bookmarkStart w:id="22868" w:name="_Toc394561450"/>
            <w:bookmarkStart w:id="22869" w:name="_Toc394938374"/>
            <w:bookmarkStart w:id="22870" w:name="_Toc394937654"/>
            <w:bookmarkStart w:id="22871" w:name="_Toc394941285"/>
            <w:bookmarkStart w:id="22872" w:name="_Toc394941901"/>
            <w:bookmarkStart w:id="22873" w:name="_Toc394940123"/>
            <w:bookmarkStart w:id="22874" w:name="_Toc394939733"/>
            <w:bookmarkStart w:id="22875" w:name="_Toc394993630"/>
            <w:bookmarkStart w:id="22876" w:name="_Toc394995511"/>
            <w:bookmarkStart w:id="22877" w:name="_Toc394995825"/>
            <w:bookmarkStart w:id="22878" w:name="_Toc394998068"/>
            <w:bookmarkStart w:id="22879" w:name="_Toc394998582"/>
            <w:bookmarkStart w:id="22880" w:name="_Toc395002081"/>
            <w:bookmarkStart w:id="22881" w:name="_Toc395001287"/>
            <w:bookmarkStart w:id="22882" w:name="_Toc395001561"/>
            <w:bookmarkStart w:id="22883" w:name="_Toc395002850"/>
            <w:bookmarkStart w:id="22884" w:name="_Toc395003435"/>
            <w:bookmarkStart w:id="22885" w:name="_Toc395005676"/>
            <w:bookmarkStart w:id="22886" w:name="_Toc395006316"/>
            <w:bookmarkStart w:id="22887" w:name="_Toc395009670"/>
            <w:bookmarkStart w:id="22888" w:name="_Toc395010411"/>
            <w:bookmarkStart w:id="22889" w:name="_Toc395012595"/>
            <w:bookmarkStart w:id="22890" w:name="_Toc395011002"/>
            <w:bookmarkStart w:id="22891" w:name="_Toc395013058"/>
            <w:bookmarkStart w:id="22892" w:name="_Toc395012060"/>
            <w:bookmarkStart w:id="22893" w:name="_Toc395014399"/>
            <w:bookmarkStart w:id="22894" w:name="_Toc395084747"/>
            <w:bookmarkStart w:id="22895" w:name="_Toc395085048"/>
            <w:bookmarkStart w:id="22896" w:name="_Toc395090514"/>
            <w:bookmarkStart w:id="22897" w:name="_Toc395093098"/>
            <w:bookmarkStart w:id="22898" w:name="_Toc395098010"/>
            <w:bookmarkStart w:id="22899" w:name="_Toc395106194"/>
            <w:bookmarkStart w:id="22900" w:name="_Toc395109787"/>
            <w:bookmarkStart w:id="22901" w:name="_Toc395112164"/>
            <w:bookmarkStart w:id="22902" w:name="_Toc395107306"/>
            <w:bookmarkStart w:id="22903" w:name="_Toc395108867"/>
            <w:bookmarkStart w:id="22904" w:name="_Toc395114107"/>
            <w:bookmarkStart w:id="22905" w:name="_Toc395116844"/>
            <w:bookmarkStart w:id="22906" w:name="_Toc395112781"/>
            <w:bookmarkStart w:id="22907" w:name="_Toc395115321"/>
            <w:bookmarkStart w:id="22908" w:name="_Toc395118473"/>
            <w:bookmarkStart w:id="22909" w:name="_Toc395624667"/>
            <w:bookmarkStart w:id="22910" w:name="_Toc395790018"/>
            <w:bookmarkStart w:id="22911" w:name="_Toc395800776"/>
            <w:r w:rsidRPr="008625DC">
              <w:t>A separation of regulation, funding and provision of human services can improve outcomes for users, including through enhancing choice, diversity and innovation.</w:t>
            </w:r>
            <w:r w:rsidR="00787DCF" w:rsidRPr="008625DC">
              <w:t xml:space="preserve"> </w:t>
            </w:r>
            <w:r w:rsidRPr="008625DC">
              <w:t xml:space="preserve">Independent regulation can help to encourage entry </w:t>
            </w:r>
            <w:r w:rsidR="00AE0655" w:rsidRPr="008625DC">
              <w:t xml:space="preserve">by </w:t>
            </w:r>
            <w:r w:rsidR="009420DE" w:rsidRPr="008625DC">
              <w:t>a diversity of new providers</w:t>
            </w:r>
            <w:r w:rsidRPr="008625DC">
              <w:t xml:space="preserve"> in service delivery markets, as providers will be afforded a level of certainty and stability with regard to the regulatory environment</w:t>
            </w:r>
            <w:r w:rsidR="00DE2BB4" w:rsidRPr="008625DC">
              <w:t>.</w:t>
            </w:r>
            <w:r w:rsidRPr="008625DC">
              <w:t xml:space="preserve"> </w:t>
            </w:r>
          </w:p>
          <w:p w14:paraId="4FB3E638" w14:textId="5D8B7605" w:rsidR="000225AB" w:rsidRPr="008625DC" w:rsidRDefault="000225AB" w:rsidP="00F01103">
            <w:pPr>
              <w:pStyle w:val="Keyfindingtext"/>
            </w:pPr>
            <w:r w:rsidRPr="008625DC">
              <w:t>Separation of these functions must be carefully implemented to address any concerns relating to access, costs to consumers, and fairness.</w:t>
            </w:r>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p>
          <w:p w14:paraId="4393C48A" w14:textId="2E347CC3" w:rsidR="000225AB" w:rsidRPr="008625DC" w:rsidRDefault="000225AB" w:rsidP="00F01103">
            <w:pPr>
              <w:pStyle w:val="Keyfindingtext"/>
            </w:pPr>
            <w:bookmarkStart w:id="22912" w:name="_Toc393985222"/>
            <w:bookmarkStart w:id="22913" w:name="_Toc393985725"/>
            <w:bookmarkStart w:id="22914" w:name="_Toc393986127"/>
            <w:bookmarkStart w:id="22915" w:name="_Toc393986530"/>
            <w:bookmarkStart w:id="22916" w:name="_Toc393988137"/>
            <w:bookmarkStart w:id="22917" w:name="_Toc393988539"/>
            <w:bookmarkStart w:id="22918" w:name="_Toc393989551"/>
            <w:bookmarkStart w:id="22919" w:name="_Toc393988940"/>
            <w:bookmarkStart w:id="22920" w:name="_Toc393990944"/>
            <w:bookmarkStart w:id="22921" w:name="_Toc393991928"/>
            <w:bookmarkStart w:id="22922" w:name="_Toc394047591"/>
            <w:bookmarkStart w:id="22923" w:name="_Toc394049867"/>
            <w:bookmarkStart w:id="22924" w:name="_Toc394051267"/>
            <w:bookmarkStart w:id="22925" w:name="_Toc394062256"/>
            <w:bookmarkStart w:id="22926" w:name="_Toc394069131"/>
            <w:bookmarkStart w:id="22927" w:name="_Toc394071049"/>
            <w:bookmarkStart w:id="22928" w:name="_Toc394312758"/>
            <w:bookmarkStart w:id="22929" w:name="_Toc394330738"/>
            <w:bookmarkStart w:id="22930" w:name="_Toc394331253"/>
            <w:bookmarkStart w:id="22931" w:name="_Toc394330358"/>
            <w:bookmarkStart w:id="22932" w:name="_Toc394333329"/>
            <w:bookmarkStart w:id="22933" w:name="_Toc394333742"/>
            <w:bookmarkStart w:id="22934" w:name="_Toc394334155"/>
            <w:bookmarkStart w:id="22935" w:name="_Toc394334981"/>
            <w:bookmarkStart w:id="22936" w:name="_Toc394415168"/>
            <w:bookmarkStart w:id="22937" w:name="_Toc394412473"/>
            <w:bookmarkStart w:id="22938" w:name="_Toc394420766"/>
            <w:bookmarkStart w:id="22939" w:name="_Toc394423609"/>
            <w:bookmarkStart w:id="22940" w:name="_Toc394422653"/>
            <w:bookmarkStart w:id="22941" w:name="_Toc394423124"/>
            <w:bookmarkStart w:id="22942" w:name="_Toc394424274"/>
            <w:bookmarkStart w:id="22943" w:name="_Toc394481513"/>
            <w:bookmarkStart w:id="22944" w:name="_Toc394484145"/>
            <w:bookmarkStart w:id="22945" w:name="_Toc394492107"/>
            <w:bookmarkStart w:id="22946" w:name="_Toc394493043"/>
            <w:bookmarkStart w:id="22947" w:name="_Toc394493978"/>
            <w:bookmarkStart w:id="22948" w:name="_Toc394494784"/>
            <w:bookmarkStart w:id="22949" w:name="_Toc394495251"/>
            <w:bookmarkStart w:id="22950" w:name="_Toc394500856"/>
            <w:bookmarkStart w:id="22951" w:name="_Toc394502253"/>
            <w:bookmarkStart w:id="22952" w:name="_Toc394503153"/>
            <w:bookmarkStart w:id="22953" w:name="_Toc394502697"/>
            <w:bookmarkStart w:id="22954" w:name="_Toc394505904"/>
            <w:bookmarkStart w:id="22955" w:name="_Toc394506363"/>
            <w:bookmarkStart w:id="22956" w:name="_Toc394506917"/>
            <w:bookmarkStart w:id="22957" w:name="_Toc394560990"/>
            <w:bookmarkStart w:id="22958" w:name="_Toc394561451"/>
            <w:bookmarkStart w:id="22959" w:name="_Toc394938375"/>
            <w:bookmarkStart w:id="22960" w:name="_Toc394937655"/>
            <w:bookmarkStart w:id="22961" w:name="_Toc394941286"/>
            <w:bookmarkStart w:id="22962" w:name="_Toc394941902"/>
            <w:bookmarkStart w:id="22963" w:name="_Toc394940124"/>
            <w:bookmarkStart w:id="22964" w:name="_Toc394939734"/>
            <w:bookmarkStart w:id="22965" w:name="_Toc394993631"/>
            <w:bookmarkStart w:id="22966" w:name="_Toc394995512"/>
            <w:bookmarkStart w:id="22967" w:name="_Toc394995826"/>
            <w:bookmarkStart w:id="22968" w:name="_Toc394998069"/>
            <w:bookmarkStart w:id="22969" w:name="_Toc394998583"/>
            <w:bookmarkStart w:id="22970" w:name="_Toc395002082"/>
            <w:bookmarkStart w:id="22971" w:name="_Toc395001288"/>
            <w:bookmarkStart w:id="22972" w:name="_Toc395001562"/>
            <w:bookmarkStart w:id="22973" w:name="_Toc395002851"/>
            <w:bookmarkStart w:id="22974" w:name="_Toc395003436"/>
            <w:bookmarkStart w:id="22975" w:name="_Toc395005677"/>
            <w:bookmarkStart w:id="22976" w:name="_Toc395009671"/>
            <w:bookmarkStart w:id="22977" w:name="_Toc395012596"/>
            <w:bookmarkStart w:id="22978" w:name="_Toc395011003"/>
            <w:bookmarkStart w:id="22979" w:name="_Toc395013059"/>
            <w:bookmarkStart w:id="22980" w:name="_Toc395012061"/>
            <w:bookmarkStart w:id="22981" w:name="_Toc395014400"/>
            <w:bookmarkStart w:id="22982" w:name="_Toc395084748"/>
            <w:bookmarkStart w:id="22983" w:name="_Toc395085049"/>
            <w:bookmarkStart w:id="22984" w:name="_Toc395090515"/>
            <w:bookmarkStart w:id="22985" w:name="_Toc395093099"/>
            <w:bookmarkStart w:id="22986" w:name="_Toc395098011"/>
            <w:bookmarkStart w:id="22987" w:name="_Toc395106195"/>
            <w:bookmarkStart w:id="22988" w:name="_Toc395109788"/>
            <w:bookmarkStart w:id="22989" w:name="_Toc395112165"/>
            <w:bookmarkStart w:id="22990" w:name="_Toc395107307"/>
            <w:bookmarkStart w:id="22991" w:name="_Toc395108868"/>
            <w:bookmarkStart w:id="22992" w:name="_Toc395114108"/>
            <w:bookmarkStart w:id="22993" w:name="_Toc395116845"/>
            <w:bookmarkStart w:id="22994" w:name="_Toc395112782"/>
            <w:bookmarkStart w:id="22995" w:name="_Toc395115322"/>
            <w:bookmarkStart w:id="22996" w:name="_Toc395118474"/>
            <w:bookmarkStart w:id="22997" w:name="_Toc395624668"/>
            <w:bookmarkStart w:id="22998" w:name="_Toc395790019"/>
            <w:bookmarkStart w:id="22999" w:name="_Toc395800777"/>
            <w:r w:rsidRPr="008625DC">
              <w:t xml:space="preserve">Traditional funding for </w:t>
            </w:r>
            <w:r w:rsidRPr="008625DC">
              <w:rPr>
                <w:color w:val="auto"/>
              </w:rPr>
              <w:t>CSOs</w:t>
            </w:r>
            <w:r w:rsidRPr="008625DC">
              <w:t xml:space="preserve"> can lack transparency. </w:t>
            </w:r>
            <w:r w:rsidRPr="008625DC">
              <w:rPr>
                <w:bCs/>
              </w:rPr>
              <w:t>Transparent</w:t>
            </w:r>
            <w:r w:rsidRPr="008625DC">
              <w:t xml:space="preserve"> and direct funding of CSOs has several advantages, including improving </w:t>
            </w:r>
            <w:r w:rsidRPr="008625DC">
              <w:rPr>
                <w:color w:val="auto"/>
              </w:rPr>
              <w:t xml:space="preserve">efficiency, accountability and equity. This can </w:t>
            </w:r>
            <w:r w:rsidRPr="008625DC">
              <w:rPr>
                <w:bCs/>
              </w:rPr>
              <w:t>have important implications for competition, as it can minimise cross</w:t>
            </w:r>
            <w:r w:rsidR="00C74E19" w:rsidRPr="008625DC">
              <w:rPr>
                <w:bCs/>
              </w:rPr>
              <w:noBreakHyphen/>
            </w:r>
            <w:r w:rsidRPr="008625DC">
              <w:rPr>
                <w:bCs/>
              </w:rPr>
              <w:t xml:space="preserve">subsidies that may </w:t>
            </w:r>
            <w:r w:rsidR="009420DE" w:rsidRPr="008625DC">
              <w:rPr>
                <w:bCs/>
              </w:rPr>
              <w:t xml:space="preserve">have the effect of </w:t>
            </w:r>
            <w:r w:rsidRPr="008625DC">
              <w:rPr>
                <w:bCs/>
              </w:rPr>
              <w:t>prevent</w:t>
            </w:r>
            <w:r w:rsidR="009420DE" w:rsidRPr="008625DC">
              <w:rPr>
                <w:bCs/>
              </w:rPr>
              <w:t>ing</w:t>
            </w:r>
            <w:r w:rsidRPr="008625DC">
              <w:rPr>
                <w:bCs/>
              </w:rPr>
              <w:t xml:space="preserve"> potential suppliers from entering and </w:t>
            </w:r>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r w:rsidR="00C23EAF" w:rsidRPr="008625DC">
              <w:rPr>
                <w:bCs/>
              </w:rPr>
              <w:t>delivering innovative services</w:t>
            </w:r>
            <w:r w:rsidRPr="008625DC">
              <w:rPr>
                <w:bCs/>
              </w:rPr>
              <w:t>.</w:t>
            </w:r>
          </w:p>
        </w:tc>
      </w:tr>
    </w:tbl>
    <w:p w14:paraId="54A15FED" w14:textId="44CAD932" w:rsidR="000225AB" w:rsidRPr="008625DC" w:rsidRDefault="000225AB" w:rsidP="000B5916">
      <w:pPr>
        <w:pStyle w:val="Heading2"/>
        <w:ind w:left="851" w:hanging="851"/>
        <w:rPr>
          <w:lang w:val="en-AU"/>
        </w:rPr>
      </w:pPr>
      <w:bookmarkStart w:id="23000" w:name="_Toc393985223"/>
      <w:bookmarkStart w:id="23001" w:name="_Toc393985365"/>
      <w:bookmarkStart w:id="23002" w:name="_Toc393985726"/>
      <w:bookmarkStart w:id="23003" w:name="_Toc393985869"/>
      <w:bookmarkStart w:id="23004" w:name="_Toc393986128"/>
      <w:bookmarkStart w:id="23005" w:name="_Toc393986271"/>
      <w:bookmarkStart w:id="23006" w:name="_Toc393986531"/>
      <w:bookmarkStart w:id="23007" w:name="_Toc393988138"/>
      <w:bookmarkStart w:id="23008" w:name="_Toc393988281"/>
      <w:bookmarkStart w:id="23009" w:name="_Toc393988540"/>
      <w:bookmarkStart w:id="23010" w:name="_Toc393988683"/>
      <w:bookmarkStart w:id="23011" w:name="_Toc393986675"/>
      <w:bookmarkStart w:id="23012" w:name="_Toc393989552"/>
      <w:bookmarkStart w:id="23013" w:name="_Toc393989695"/>
      <w:bookmarkStart w:id="23014" w:name="_Toc393988941"/>
      <w:bookmarkStart w:id="23015" w:name="_Toc393989083"/>
      <w:bookmarkStart w:id="23016" w:name="_Toc393990945"/>
      <w:bookmarkStart w:id="23017" w:name="_Toc393991087"/>
      <w:bookmarkStart w:id="23018" w:name="_Toc393991186"/>
      <w:bookmarkStart w:id="23019" w:name="_Toc393991929"/>
      <w:bookmarkStart w:id="23020" w:name="_Toc393992071"/>
      <w:bookmarkStart w:id="23021" w:name="_Toc394047592"/>
      <w:bookmarkStart w:id="23022" w:name="_Toc394047735"/>
      <w:bookmarkStart w:id="23023" w:name="_Toc394047846"/>
      <w:bookmarkStart w:id="23024" w:name="_Toc394048402"/>
      <w:bookmarkStart w:id="23025" w:name="_Toc394049868"/>
      <w:bookmarkStart w:id="23026" w:name="_Toc394050014"/>
      <w:bookmarkStart w:id="23027" w:name="_Toc394051268"/>
      <w:bookmarkStart w:id="23028" w:name="_Toc394051414"/>
      <w:bookmarkStart w:id="23029" w:name="_Toc394062257"/>
      <w:bookmarkStart w:id="23030" w:name="_Toc394062561"/>
      <w:bookmarkStart w:id="23031" w:name="_Toc394069132"/>
      <w:bookmarkStart w:id="23032" w:name="_Toc394069276"/>
      <w:bookmarkStart w:id="23033" w:name="_Toc394071050"/>
      <w:bookmarkStart w:id="23034" w:name="_Toc394071194"/>
      <w:bookmarkStart w:id="23035" w:name="_Toc394312759"/>
      <w:bookmarkStart w:id="23036" w:name="_Toc394330467"/>
      <w:bookmarkStart w:id="23037" w:name="_Toc394330739"/>
      <w:bookmarkStart w:id="23038" w:name="_Toc394331254"/>
      <w:bookmarkStart w:id="23039" w:name="_Toc394331398"/>
      <w:bookmarkStart w:id="23040" w:name="_Toc394330359"/>
      <w:bookmarkStart w:id="23041" w:name="_Toc394333330"/>
      <w:bookmarkStart w:id="23042" w:name="_Toc394333473"/>
      <w:bookmarkStart w:id="23043" w:name="_Toc394333743"/>
      <w:bookmarkStart w:id="23044" w:name="_Toc394333886"/>
      <w:bookmarkStart w:id="23045" w:name="_Toc394334156"/>
      <w:bookmarkStart w:id="23046" w:name="_Toc394334299"/>
      <w:bookmarkStart w:id="23047" w:name="_Toc394334982"/>
      <w:bookmarkStart w:id="23048" w:name="_Toc394335125"/>
      <w:bookmarkStart w:id="23049" w:name="_Toc394415169"/>
      <w:bookmarkStart w:id="23050" w:name="_Toc394415333"/>
      <w:bookmarkStart w:id="23051" w:name="_Toc394412474"/>
      <w:bookmarkStart w:id="23052" w:name="_Toc394412642"/>
      <w:bookmarkStart w:id="23053" w:name="_Toc394420767"/>
      <w:bookmarkStart w:id="23054" w:name="_Toc394420935"/>
      <w:bookmarkStart w:id="23055" w:name="_Toc394423610"/>
      <w:bookmarkStart w:id="23056" w:name="_Toc394423776"/>
      <w:bookmarkStart w:id="23057" w:name="_Toc394422654"/>
      <w:bookmarkStart w:id="23058" w:name="_Toc394422820"/>
      <w:bookmarkStart w:id="23059" w:name="_Toc394423125"/>
      <w:bookmarkStart w:id="23060" w:name="_Toc394423291"/>
      <w:bookmarkStart w:id="23061" w:name="_Toc394424275"/>
      <w:bookmarkStart w:id="23062" w:name="_Toc394424439"/>
      <w:bookmarkStart w:id="23063" w:name="_Toc394492108"/>
      <w:bookmarkStart w:id="23064" w:name="_Toc394492272"/>
      <w:bookmarkStart w:id="23065" w:name="_Toc394495252"/>
      <w:bookmarkStart w:id="23066" w:name="_Toc394495416"/>
      <w:bookmarkStart w:id="23067" w:name="_Toc394498067"/>
      <w:bookmarkStart w:id="23068" w:name="_Toc394498231"/>
      <w:bookmarkStart w:id="23069" w:name="_Toc394500857"/>
      <w:bookmarkStart w:id="23070" w:name="_Toc394501021"/>
      <w:bookmarkStart w:id="23071" w:name="_Toc394502254"/>
      <w:bookmarkStart w:id="23072" w:name="_Toc394502411"/>
      <w:bookmarkStart w:id="23073" w:name="_Toc394503154"/>
      <w:bookmarkStart w:id="23074" w:name="_Toc394503769"/>
      <w:bookmarkStart w:id="23075" w:name="_Toc394502698"/>
      <w:bookmarkStart w:id="23076" w:name="_Toc394502858"/>
      <w:bookmarkStart w:id="23077" w:name="_Toc394505905"/>
      <w:bookmarkStart w:id="23078" w:name="_Toc394506187"/>
      <w:bookmarkStart w:id="23079" w:name="_Toc394506364"/>
      <w:bookmarkStart w:id="23080" w:name="_Toc394506525"/>
      <w:bookmarkStart w:id="23081" w:name="_Toc394506918"/>
      <w:bookmarkStart w:id="23082" w:name="_Toc394507079"/>
      <w:bookmarkStart w:id="23083" w:name="_Toc394560991"/>
      <w:bookmarkStart w:id="23084" w:name="_Toc394561156"/>
      <w:bookmarkStart w:id="23085" w:name="_Toc394561452"/>
      <w:bookmarkStart w:id="23086" w:name="_Toc394561989"/>
      <w:bookmarkStart w:id="23087" w:name="_Toc394582979"/>
      <w:bookmarkStart w:id="23088" w:name="_Toc394585650"/>
      <w:bookmarkStart w:id="23089" w:name="_Toc394586116"/>
      <w:bookmarkStart w:id="23090" w:name="_Toc394588048"/>
      <w:bookmarkStart w:id="23091" w:name="_Toc394588883"/>
      <w:bookmarkStart w:id="23092" w:name="_Toc394589008"/>
      <w:bookmarkStart w:id="23093" w:name="_Toc394590424"/>
      <w:bookmarkStart w:id="23094" w:name="_Toc394590617"/>
      <w:bookmarkStart w:id="23095" w:name="_Toc394654518"/>
      <w:bookmarkStart w:id="23096" w:name="_Toc394654676"/>
      <w:bookmarkStart w:id="23097" w:name="_Toc394656218"/>
      <w:bookmarkStart w:id="23098" w:name="_Toc394656375"/>
      <w:bookmarkStart w:id="23099" w:name="_Toc394659355"/>
      <w:bookmarkStart w:id="23100" w:name="_Toc394659513"/>
      <w:bookmarkStart w:id="23101" w:name="_Toc394663367"/>
      <w:bookmarkStart w:id="23102" w:name="_Toc394663523"/>
      <w:bookmarkStart w:id="23103" w:name="_Toc394667161"/>
      <w:bookmarkStart w:id="23104" w:name="_Toc394667317"/>
      <w:bookmarkStart w:id="23105" w:name="_Toc394671640"/>
      <w:bookmarkStart w:id="23106" w:name="_Toc394671800"/>
      <w:bookmarkStart w:id="23107" w:name="_Toc394674642"/>
      <w:bookmarkStart w:id="23108" w:name="_Toc394674805"/>
      <w:bookmarkStart w:id="23109" w:name="_Toc394674919"/>
      <w:bookmarkStart w:id="23110" w:name="_Toc394675085"/>
      <w:bookmarkStart w:id="23111" w:name="_Toc394676030"/>
      <w:bookmarkStart w:id="23112" w:name="_Toc394676192"/>
      <w:bookmarkStart w:id="23113" w:name="_Toc394675718"/>
      <w:bookmarkStart w:id="23114" w:name="_Toc394675881"/>
      <w:bookmarkStart w:id="23115" w:name="_Toc394918281"/>
      <w:bookmarkStart w:id="23116" w:name="_Toc394918795"/>
      <w:bookmarkStart w:id="23117" w:name="_Toc394930767"/>
      <w:bookmarkStart w:id="23118" w:name="_Toc394933680"/>
      <w:bookmarkStart w:id="23119" w:name="_Toc394938127"/>
      <w:bookmarkStart w:id="23120" w:name="_Toc394938376"/>
      <w:bookmarkStart w:id="23121" w:name="_Toc394938629"/>
      <w:bookmarkStart w:id="23122" w:name="_Toc394937656"/>
      <w:bookmarkStart w:id="23123" w:name="_Toc394937911"/>
      <w:bookmarkStart w:id="23124" w:name="_Toc394941039"/>
      <w:bookmarkStart w:id="23125" w:name="_Toc394941287"/>
      <w:bookmarkStart w:id="23126" w:name="_Toc394941540"/>
      <w:bookmarkStart w:id="23127" w:name="_Toc394941655"/>
      <w:bookmarkStart w:id="23128" w:name="_Toc394941903"/>
      <w:bookmarkStart w:id="23129" w:name="_Toc394942156"/>
      <w:bookmarkStart w:id="23130" w:name="_Toc394939876"/>
      <w:bookmarkStart w:id="23131" w:name="_Toc394940125"/>
      <w:bookmarkStart w:id="23132" w:name="_Toc394940378"/>
      <w:bookmarkStart w:id="23133" w:name="_Toc394939488"/>
      <w:bookmarkStart w:id="23134" w:name="_Toc394939735"/>
      <w:bookmarkStart w:id="23135" w:name="_Toc394940592"/>
      <w:bookmarkStart w:id="23136" w:name="_Toc394993632"/>
      <w:bookmarkStart w:id="23137" w:name="_Toc394995513"/>
      <w:bookmarkStart w:id="23138" w:name="_Toc394995827"/>
      <w:bookmarkStart w:id="23139" w:name="_Toc394996072"/>
      <w:bookmarkStart w:id="23140" w:name="_Toc394997798"/>
      <w:bookmarkStart w:id="23141" w:name="_Toc394998070"/>
      <w:bookmarkStart w:id="23142" w:name="_Toc394998313"/>
      <w:bookmarkStart w:id="23143" w:name="_Toc394998584"/>
      <w:bookmarkStart w:id="23144" w:name="_Toc395001808"/>
      <w:bookmarkStart w:id="23145" w:name="_Toc395002083"/>
      <w:bookmarkStart w:id="23146" w:name="_Toc395001289"/>
      <w:bookmarkStart w:id="23147" w:name="_Toc395001563"/>
      <w:bookmarkStart w:id="23148" w:name="_Toc395002852"/>
      <w:bookmarkStart w:id="23149" w:name="_Toc395003437"/>
      <w:bookmarkStart w:id="23150" w:name="_Toc395005060"/>
      <w:bookmarkStart w:id="23151" w:name="_Toc395005186"/>
      <w:bookmarkStart w:id="23152" w:name="_Toc395005402"/>
      <w:bookmarkStart w:id="23153" w:name="_Toc395005678"/>
      <w:bookmarkStart w:id="23154" w:name="_Toc395008979"/>
      <w:bookmarkStart w:id="23155" w:name="_Toc395009672"/>
      <w:bookmarkStart w:id="23156" w:name="_Toc395011765"/>
      <w:bookmarkStart w:id="23157" w:name="_Toc395010165"/>
      <w:bookmarkStart w:id="23158" w:name="_Toc395010413"/>
      <w:bookmarkStart w:id="23159" w:name="_Toc395010007"/>
      <w:bookmarkStart w:id="23160" w:name="_Toc395011533"/>
      <w:bookmarkStart w:id="23161" w:name="_Toc395012351"/>
      <w:bookmarkStart w:id="23162" w:name="_Toc395012597"/>
      <w:bookmarkStart w:id="23163" w:name="_Toc395012941"/>
      <w:bookmarkStart w:id="23164" w:name="_Toc395010756"/>
      <w:bookmarkStart w:id="23165" w:name="_Toc395011004"/>
      <w:bookmarkStart w:id="23166" w:name="_Toc395012229"/>
      <w:bookmarkStart w:id="23167" w:name="_Toc395013060"/>
      <w:bookmarkStart w:id="23168" w:name="_Toc395012062"/>
      <w:bookmarkStart w:id="23169" w:name="_Toc395014401"/>
      <w:bookmarkStart w:id="23170" w:name="_Toc395014630"/>
      <w:bookmarkStart w:id="23171" w:name="_Toc395013221"/>
      <w:bookmarkStart w:id="23172" w:name="_Toc395084749"/>
      <w:bookmarkStart w:id="23173" w:name="_Toc395085050"/>
      <w:bookmarkStart w:id="23174" w:name="_Toc395090260"/>
      <w:bookmarkStart w:id="23175" w:name="_Toc395090739"/>
      <w:bookmarkStart w:id="23176" w:name="_Toc395092628"/>
      <w:bookmarkStart w:id="23177" w:name="_Toc395092840"/>
      <w:bookmarkStart w:id="23178" w:name="_Toc395093100"/>
      <w:bookmarkStart w:id="23179" w:name="_Toc395093322"/>
      <w:bookmarkStart w:id="23180" w:name="_Toc395097751"/>
      <w:bookmarkStart w:id="23181" w:name="_Toc395098012"/>
      <w:bookmarkStart w:id="23182" w:name="_Toc395098232"/>
      <w:bookmarkStart w:id="23183" w:name="_Toc395105417"/>
      <w:bookmarkStart w:id="23184" w:name="_Toc395106196"/>
      <w:bookmarkStart w:id="23185" w:name="_Toc395107020"/>
      <w:bookmarkStart w:id="23186" w:name="_Toc395109892"/>
      <w:bookmarkStart w:id="23187" w:name="_Toc395109678"/>
      <w:bookmarkStart w:id="23188" w:name="_Toc395109789"/>
      <w:bookmarkStart w:id="23189" w:name="_Toc395111895"/>
      <w:bookmarkStart w:id="23190" w:name="_Toc395112166"/>
      <w:bookmarkStart w:id="23191" w:name="_Toc395112383"/>
      <w:bookmarkStart w:id="23192" w:name="_Toc395106815"/>
      <w:bookmarkStart w:id="23193" w:name="_Toc395107308"/>
      <w:bookmarkStart w:id="23194" w:name="_Toc395107528"/>
      <w:bookmarkStart w:id="23195" w:name="_Toc395109520"/>
      <w:bookmarkStart w:id="23196" w:name="_Toc395108575"/>
      <w:bookmarkStart w:id="23197" w:name="_Toc395108869"/>
      <w:bookmarkStart w:id="23198" w:name="_Toc395113815"/>
      <w:bookmarkStart w:id="23199" w:name="_Toc395114109"/>
      <w:bookmarkStart w:id="23200" w:name="_Toc395114335"/>
      <w:bookmarkStart w:id="23201" w:name="_Toc395116551"/>
      <w:bookmarkStart w:id="23202" w:name="_Toc395116846"/>
      <w:bookmarkStart w:id="23203" w:name="_Toc395117073"/>
      <w:bookmarkStart w:id="23204" w:name="_Toc395112488"/>
      <w:bookmarkStart w:id="23205" w:name="_Toc395112783"/>
      <w:bookmarkStart w:id="23206" w:name="_Toc395113191"/>
      <w:bookmarkStart w:id="23207" w:name="_Toc395115027"/>
      <w:bookmarkStart w:id="23208" w:name="_Toc395115323"/>
      <w:bookmarkStart w:id="23209" w:name="_Toc395115550"/>
      <w:bookmarkStart w:id="23210" w:name="_Toc395118182"/>
      <w:bookmarkStart w:id="23211" w:name="_Toc395118475"/>
      <w:bookmarkStart w:id="23212" w:name="_Toc395118700"/>
      <w:bookmarkStart w:id="23213" w:name="_Toc395178392"/>
      <w:bookmarkStart w:id="23214" w:name="_Toc395178724"/>
      <w:bookmarkStart w:id="23215" w:name="_Toc395624669"/>
      <w:bookmarkStart w:id="23216" w:name="_Toc395624881"/>
      <w:bookmarkStart w:id="23217" w:name="_Toc395789735"/>
      <w:bookmarkStart w:id="23218" w:name="_Toc395790020"/>
      <w:bookmarkStart w:id="23219" w:name="_Toc395800778"/>
      <w:bookmarkStart w:id="23220" w:name="_Toc395802864"/>
      <w:bookmarkStart w:id="23221" w:name="_Toc395867628"/>
      <w:bookmarkStart w:id="23222" w:name="_Toc395868537"/>
      <w:bookmarkStart w:id="23223" w:name="_Toc395868760"/>
      <w:bookmarkStart w:id="23224" w:name="_Toc395879139"/>
      <w:bookmarkStart w:id="23225" w:name="_Toc395882042"/>
      <w:bookmarkStart w:id="23226" w:name="_Toc395882263"/>
      <w:bookmarkStart w:id="23227" w:name="_Toc395882373"/>
      <w:bookmarkStart w:id="23228" w:name="_Toc395882594"/>
      <w:bookmarkStart w:id="23229" w:name="_Toc395880537"/>
      <w:bookmarkStart w:id="23230" w:name="_Toc395880868"/>
      <w:bookmarkStart w:id="23231" w:name="_Toc395881426"/>
      <w:bookmarkStart w:id="23232" w:name="_Toc395881647"/>
      <w:bookmarkStart w:id="23233" w:name="_Toc395883811"/>
      <w:bookmarkStart w:id="23234" w:name="_Toc395884032"/>
      <w:bookmarkStart w:id="23235" w:name="_Toc395880766"/>
      <w:bookmarkStart w:id="23236" w:name="_Toc395884473"/>
      <w:bookmarkStart w:id="23237" w:name="_Toc395884694"/>
      <w:bookmarkStart w:id="23238" w:name="_Toc395883182"/>
      <w:bookmarkStart w:id="23239" w:name="_Toc395883403"/>
      <w:bookmarkStart w:id="23240" w:name="_Toc395883512"/>
      <w:bookmarkStart w:id="23241" w:name="_Toc395883733"/>
      <w:bookmarkStart w:id="23242" w:name="_Toc395884814"/>
      <w:bookmarkStart w:id="23243" w:name="_Toc396123842"/>
      <w:bookmarkStart w:id="23244" w:name="_Toc396130745"/>
      <w:bookmarkStart w:id="23245" w:name="_Toc396136323"/>
      <w:bookmarkStart w:id="23246" w:name="_Toc396138777"/>
      <w:bookmarkStart w:id="23247" w:name="_Toc396144038"/>
      <w:bookmarkStart w:id="23248" w:name="_Toc396145547"/>
      <w:bookmarkStart w:id="23249" w:name="_Toc396145691"/>
      <w:bookmarkStart w:id="23250" w:name="_Toc396145973"/>
      <w:bookmarkStart w:id="23251" w:name="_Toc396147513"/>
      <w:bookmarkStart w:id="23252" w:name="_Toc396147799"/>
      <w:bookmarkStart w:id="23253" w:name="_Toc396149055"/>
      <w:bookmarkStart w:id="23254" w:name="_Toc396148769"/>
      <w:bookmarkStart w:id="23255" w:name="_Toc396149550"/>
      <w:bookmarkStart w:id="23256" w:name="_Toc396149195"/>
      <w:bookmarkStart w:id="23257" w:name="_Toc396149481"/>
      <w:bookmarkStart w:id="23258" w:name="_Toc396149158"/>
      <w:bookmarkStart w:id="23259" w:name="_Toc396149903"/>
      <w:bookmarkStart w:id="23260" w:name="_Toc396149653"/>
      <w:bookmarkStart w:id="23261" w:name="_Toc396150494"/>
      <w:bookmarkStart w:id="23262" w:name="_Toc396151383"/>
      <w:bookmarkStart w:id="23263" w:name="_Toc396151677"/>
      <w:bookmarkStart w:id="23264" w:name="_Toc396201604"/>
      <w:bookmarkStart w:id="23265" w:name="_Toc396202394"/>
      <w:bookmarkStart w:id="23266" w:name="_Toc396202689"/>
      <w:bookmarkStart w:id="23267" w:name="_Toc396203306"/>
      <w:bookmarkStart w:id="23268" w:name="_Toc396206602"/>
      <w:bookmarkStart w:id="23269" w:name="_Toc396206896"/>
      <w:bookmarkStart w:id="23270" w:name="_Toc396209430"/>
      <w:bookmarkStart w:id="23271" w:name="_Toc396209724"/>
      <w:bookmarkStart w:id="23272" w:name="_Toc396211854"/>
      <w:bookmarkStart w:id="23273" w:name="_Toc396212148"/>
      <w:bookmarkStart w:id="23274" w:name="_Toc396213198"/>
      <w:bookmarkStart w:id="23275" w:name="_Toc396213490"/>
      <w:bookmarkStart w:id="23276" w:name="_Toc396214041"/>
      <w:bookmarkStart w:id="23277" w:name="_Toc396214476"/>
      <w:bookmarkStart w:id="23278" w:name="_Toc396214766"/>
      <w:bookmarkStart w:id="23279" w:name="_Toc396220326"/>
      <w:bookmarkStart w:id="23280" w:name="_Toc396226588"/>
      <w:bookmarkStart w:id="23281" w:name="_Toc396226877"/>
      <w:bookmarkStart w:id="23282" w:name="_Toc396228788"/>
      <w:bookmarkStart w:id="23283" w:name="_Toc396229083"/>
      <w:bookmarkStart w:id="23284" w:name="_Toc396230430"/>
      <w:bookmarkStart w:id="23285" w:name="_Toc396230725"/>
      <w:bookmarkStart w:id="23286" w:name="_Toc396231867"/>
      <w:bookmarkStart w:id="23287" w:name="_Toc396233210"/>
      <w:bookmarkStart w:id="23288" w:name="_Toc396233507"/>
      <w:bookmarkStart w:id="23289" w:name="_Toc396234030"/>
      <w:bookmarkStart w:id="23290" w:name="_Toc396234327"/>
      <w:bookmarkStart w:id="23291" w:name="_Toc396234440"/>
      <w:bookmarkStart w:id="23292" w:name="_Toc396236174"/>
      <w:bookmarkStart w:id="23293" w:name="_Toc396235952"/>
      <w:bookmarkStart w:id="23294" w:name="_Toc396236562"/>
      <w:bookmarkStart w:id="23295" w:name="_Toc396237081"/>
      <w:bookmarkStart w:id="23296" w:name="_Toc396397424"/>
      <w:bookmarkStart w:id="23297" w:name="_Toc396304605"/>
      <w:bookmarkStart w:id="23298" w:name="_Toc396586140"/>
      <w:bookmarkStart w:id="23299" w:name="_Toc396815161"/>
      <w:bookmarkStart w:id="23300" w:name="_Toc396821110"/>
      <w:bookmarkStart w:id="23301" w:name="_Toc396821718"/>
      <w:bookmarkStart w:id="23302" w:name="_Toc396827568"/>
      <w:bookmarkStart w:id="23303" w:name="_Toc396828539"/>
      <w:bookmarkStart w:id="23304" w:name="_Toc396828649"/>
      <w:bookmarkStart w:id="23305" w:name="_Toc396838038"/>
      <w:bookmarkStart w:id="23306" w:name="_Toc396838436"/>
      <w:bookmarkStart w:id="23307" w:name="_Toc396904759"/>
      <w:bookmarkStart w:id="23308" w:name="_Toc396907593"/>
      <w:bookmarkStart w:id="23309" w:name="_Toc396912512"/>
      <w:bookmarkStart w:id="23310" w:name="_Toc396914492"/>
      <w:bookmarkStart w:id="23311" w:name="_Toc396915376"/>
      <w:bookmarkStart w:id="23312" w:name="_Toc396915770"/>
      <w:bookmarkStart w:id="23313" w:name="_Toc396921081"/>
      <w:bookmarkStart w:id="23314" w:name="_Toc396924421"/>
      <w:bookmarkStart w:id="23315" w:name="_Toc396925115"/>
      <w:bookmarkStart w:id="23316" w:name="_Toc396992235"/>
      <w:bookmarkStart w:id="23317" w:name="_Toc396992814"/>
      <w:bookmarkStart w:id="23318" w:name="_Toc396994478"/>
      <w:bookmarkStart w:id="23319" w:name="_Toc397002248"/>
      <w:bookmarkStart w:id="23320" w:name="_Toc397003167"/>
      <w:bookmarkStart w:id="23321" w:name="_Toc397008725"/>
      <w:bookmarkStart w:id="23322" w:name="_Toc397008943"/>
      <w:bookmarkStart w:id="23323" w:name="_Toc397011615"/>
      <w:bookmarkStart w:id="23324" w:name="_Toc397012677"/>
      <w:bookmarkStart w:id="23325" w:name="_Toc397015019"/>
      <w:bookmarkStart w:id="23326" w:name="_Toc397015506"/>
      <w:bookmarkStart w:id="23327" w:name="_Toc397070576"/>
      <w:bookmarkStart w:id="23328" w:name="_Toc397413326"/>
      <w:bookmarkStart w:id="23329" w:name="_Toc397413473"/>
      <w:bookmarkStart w:id="23330" w:name="_Toc397428047"/>
      <w:bookmarkStart w:id="23331" w:name="_Toc397439435"/>
      <w:bookmarkStart w:id="23332" w:name="_Toc397439605"/>
      <w:bookmarkStart w:id="23333" w:name="_Toc397439861"/>
      <w:bookmarkStart w:id="23334" w:name="_Toc397440163"/>
      <w:bookmarkStart w:id="23335" w:name="_Toc397441792"/>
      <w:bookmarkStart w:id="23336" w:name="_Toc397517494"/>
      <w:bookmarkStart w:id="23337" w:name="_Toc397522759"/>
      <w:bookmarkStart w:id="23338" w:name="_Toc397526177"/>
      <w:bookmarkStart w:id="23339" w:name="_Toc397528492"/>
      <w:bookmarkStart w:id="23340" w:name="_Toc397528967"/>
      <w:bookmarkStart w:id="23341" w:name="_Toc397601964"/>
      <w:bookmarkStart w:id="23342" w:name="_Toc397602699"/>
      <w:bookmarkStart w:id="23343" w:name="_Toc397605832"/>
      <w:bookmarkStart w:id="23344" w:name="_Toc397614529"/>
      <w:bookmarkStart w:id="23345" w:name="_Toc397614972"/>
      <w:bookmarkStart w:id="23346" w:name="_Toc397616415"/>
      <w:bookmarkStart w:id="23347" w:name="_Toc397616809"/>
      <w:bookmarkStart w:id="23348" w:name="_Toc397688107"/>
      <w:bookmarkStart w:id="23349" w:name="_Toc397689323"/>
      <w:bookmarkStart w:id="23350" w:name="_Toc397694603"/>
      <w:bookmarkStart w:id="23351" w:name="_Toc397696444"/>
      <w:bookmarkStart w:id="23352" w:name="_Toc397697178"/>
      <w:bookmarkStart w:id="23353" w:name="_Toc397698465"/>
      <w:bookmarkStart w:id="23354" w:name="_Toc397699831"/>
      <w:bookmarkStart w:id="23355" w:name="_Toc397700285"/>
      <w:bookmarkStart w:id="23356" w:name="_Toc397936677"/>
      <w:bookmarkStart w:id="23357" w:name="_Toc397936797"/>
      <w:bookmarkStart w:id="23358" w:name="_Toc397945953"/>
      <w:bookmarkStart w:id="23359" w:name="_Toc397946979"/>
      <w:bookmarkStart w:id="23360" w:name="_Toc397948098"/>
      <w:bookmarkStart w:id="23361" w:name="_Toc397958504"/>
      <w:bookmarkStart w:id="23362" w:name="_Toc397958746"/>
      <w:bookmarkStart w:id="23363" w:name="_Toc397959161"/>
      <w:bookmarkStart w:id="23364" w:name="_Toc397963014"/>
      <w:bookmarkStart w:id="23365" w:name="_Toc397963380"/>
      <w:bookmarkStart w:id="23366" w:name="_Toc397965457"/>
      <w:bookmarkStart w:id="23367" w:name="_Toc398197395"/>
      <w:bookmarkStart w:id="23368" w:name="_Toc398199898"/>
      <w:bookmarkStart w:id="23369" w:name="_Toc398201612"/>
      <w:bookmarkStart w:id="23370" w:name="_Toc398207217"/>
      <w:bookmarkStart w:id="23371" w:name="_Toc398210490"/>
      <w:bookmarkStart w:id="23372" w:name="_Toc398211004"/>
      <w:bookmarkStart w:id="23373" w:name="_Toc398219812"/>
      <w:bookmarkStart w:id="23374" w:name="_Toc398220187"/>
      <w:bookmarkStart w:id="23375" w:name="_Toc398220574"/>
      <w:bookmarkStart w:id="23376" w:name="_Toc398221652"/>
      <w:bookmarkStart w:id="23377" w:name="_Toc398222338"/>
      <w:bookmarkStart w:id="23378" w:name="_Toc398222650"/>
      <w:bookmarkStart w:id="23379" w:name="_Toc398223067"/>
      <w:bookmarkStart w:id="23380" w:name="_Toc398223446"/>
      <w:bookmarkStart w:id="23381" w:name="_Toc398223573"/>
      <w:bookmarkStart w:id="23382" w:name="_Toc398224381"/>
      <w:bookmarkStart w:id="23383" w:name="_Toc398225718"/>
      <w:bookmarkStart w:id="23384" w:name="_Toc398225843"/>
      <w:bookmarkStart w:id="23385" w:name="_Toc398281330"/>
      <w:bookmarkStart w:id="23386" w:name="_Toc398282189"/>
      <w:bookmarkStart w:id="23387" w:name="_Toc398284859"/>
      <w:bookmarkStart w:id="23388" w:name="_Toc398287328"/>
      <w:bookmarkStart w:id="23389" w:name="_Toc398289211"/>
      <w:bookmarkStart w:id="23390" w:name="_Toc398297208"/>
      <w:bookmarkStart w:id="23391" w:name="_Toc398298682"/>
      <w:bookmarkStart w:id="23392" w:name="_Toc398300383"/>
      <w:bookmarkStart w:id="23393" w:name="_Toc398301280"/>
      <w:bookmarkStart w:id="23394" w:name="_Toc398302465"/>
      <w:bookmarkStart w:id="23395" w:name="_Toc398302628"/>
      <w:bookmarkStart w:id="23396" w:name="_Toc398549142"/>
      <w:bookmarkStart w:id="23397" w:name="_Toc398549392"/>
      <w:bookmarkStart w:id="23398" w:name="_Toc398555811"/>
      <w:bookmarkStart w:id="23399" w:name="_Toc398559015"/>
      <w:bookmarkStart w:id="23400" w:name="_Toc398563501"/>
      <w:bookmarkStart w:id="23401" w:name="_Toc398563634"/>
      <w:bookmarkStart w:id="23402" w:name="_Toc398564033"/>
      <w:bookmarkStart w:id="23403" w:name="_Toc398827371"/>
      <w:bookmarkStart w:id="23404" w:name="_Toc398827565"/>
      <w:r w:rsidRPr="008625DC">
        <w:rPr>
          <w:lang w:val="en-AU"/>
        </w:rPr>
        <w:t>Introducing more consumer choice</w:t>
      </w:r>
      <w:bookmarkEnd w:id="23000"/>
      <w:bookmarkEnd w:id="23001"/>
      <w:bookmarkEnd w:id="23002"/>
      <w:bookmarkEnd w:id="23003"/>
      <w:bookmarkEnd w:id="23004"/>
      <w:bookmarkEnd w:id="23005"/>
      <w:bookmarkEnd w:id="23006"/>
      <w:bookmarkEnd w:id="23007"/>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p>
    <w:p w14:paraId="4DE9FBD6" w14:textId="095DE0CD" w:rsidR="000225AB" w:rsidRPr="008625DC" w:rsidRDefault="000225AB" w:rsidP="000225AB">
      <w:r w:rsidRPr="008625DC">
        <w:t>Traditionally, government</w:t>
      </w:r>
      <w:r w:rsidR="00C23EAF" w:rsidRPr="008625DC">
        <w:t>s</w:t>
      </w:r>
      <w:r w:rsidRPr="008625DC">
        <w:t xml:space="preserve"> ha</w:t>
      </w:r>
      <w:r w:rsidR="00C23EAF" w:rsidRPr="008625DC">
        <w:t>ve</w:t>
      </w:r>
      <w:r w:rsidRPr="008625DC">
        <w:t xml:space="preserve"> decided what </w:t>
      </w:r>
      <w:r w:rsidR="00F8725A" w:rsidRPr="008625DC">
        <w:t xml:space="preserve">human </w:t>
      </w:r>
      <w:r w:rsidRPr="008625DC">
        <w:t xml:space="preserve">services will be delivered. One result of this </w:t>
      </w:r>
      <w:r w:rsidR="001665D6" w:rsidRPr="008625DC">
        <w:t>practice</w:t>
      </w:r>
      <w:r w:rsidRPr="008625DC">
        <w:t xml:space="preserve"> is that an individual</w:t>
      </w:r>
      <w:r w:rsidR="00C74E19" w:rsidRPr="008625DC">
        <w:t>’</w:t>
      </w:r>
      <w:r w:rsidRPr="008625DC">
        <w:t>s needs are not fully reflected in the standardised service offered.</w:t>
      </w:r>
    </w:p>
    <w:p w14:paraId="1CAD084D" w14:textId="33D40249" w:rsidR="00F45C71" w:rsidRPr="008625DC" w:rsidRDefault="00F45C71" w:rsidP="00F45C71">
      <w:pPr>
        <w:spacing w:after="120"/>
      </w:pPr>
      <w:r w:rsidRPr="008625DC">
        <w:t>The PC, in the context of disability care and support, points to some important reasons for moving to self</w:t>
      </w:r>
      <w:r w:rsidR="00C74E19" w:rsidRPr="008625DC">
        <w:noBreakHyphen/>
      </w:r>
      <w:r w:rsidRPr="008625DC">
        <w:t>directed funding as a way of providing people who use services more choice</w:t>
      </w:r>
      <w:r w:rsidR="00B078D0" w:rsidRPr="008625DC">
        <w:t>.</w:t>
      </w:r>
    </w:p>
    <w:p w14:paraId="15E09846" w14:textId="77777777" w:rsidR="00F45C71" w:rsidRPr="008625DC" w:rsidRDefault="00F45C71" w:rsidP="00467524">
      <w:pPr>
        <w:pStyle w:val="Bullet"/>
      </w:pPr>
      <w:r w:rsidRPr="008625DC">
        <w:t>There is a social expectation that people should be able to run most aspects of their lives.</w:t>
      </w:r>
    </w:p>
    <w:p w14:paraId="643E7CE9" w14:textId="77777777" w:rsidR="00F45C71" w:rsidRPr="008625DC" w:rsidRDefault="00F45C71" w:rsidP="00467524">
      <w:pPr>
        <w:pStyle w:val="Bullet"/>
      </w:pPr>
      <w:r w:rsidRPr="008625DC">
        <w:t xml:space="preserve">Consumers will have different and changing preferences about what matters in their lives, which are not easily observable by others. </w:t>
      </w:r>
    </w:p>
    <w:p w14:paraId="0F00BA0C" w14:textId="3F510ADD" w:rsidR="000225AB" w:rsidRPr="008625DC" w:rsidRDefault="000225AB" w:rsidP="00467524">
      <w:pPr>
        <w:pStyle w:val="Bullet"/>
      </w:pPr>
      <w:r w:rsidRPr="008625DC">
        <w:t>Lack of choice can result in poorer quality and more expensive services, and less diversity and innovation.</w:t>
      </w:r>
      <w:r w:rsidR="00C84F06" w:rsidRPr="008625DC">
        <w:t xml:space="preserve"> </w:t>
      </w:r>
      <w:r w:rsidRPr="008625DC">
        <w:t>In contrast, consumer control</w:t>
      </w:r>
      <w:r w:rsidR="004235E4" w:rsidRPr="008625DC">
        <w:t xml:space="preserve"> </w:t>
      </w:r>
      <w:r w:rsidR="00F45C71" w:rsidRPr="008625DC">
        <w:t>of budgets</w:t>
      </w:r>
      <w:r w:rsidRPr="008625DC">
        <w:t xml:space="preserve"> creates incentives for suppliers to satisfy the needs of consumers, given that they would otherwise lose their business.</w:t>
      </w:r>
      <w:r w:rsidR="00787DCF" w:rsidRPr="008625DC">
        <w:t xml:space="preserve"> </w:t>
      </w:r>
      <w:r w:rsidRPr="008625DC">
        <w:t>That in turn typically leads to</w:t>
      </w:r>
      <w:r w:rsidR="005167E9" w:rsidRPr="008625DC">
        <w:t xml:space="preserve"> </w:t>
      </w:r>
      <w:r w:rsidRPr="008625DC">
        <w:t>differentiated products for different niches</w:t>
      </w:r>
      <w:r w:rsidR="00F45C71" w:rsidRPr="008625DC">
        <w:t>.</w:t>
      </w:r>
      <w:r w:rsidR="00F45C71" w:rsidRPr="008625DC">
        <w:rPr>
          <w:rStyle w:val="FootnoteReference"/>
          <w:color w:val="auto"/>
        </w:rPr>
        <w:footnoteReference w:id="175"/>
      </w:r>
    </w:p>
    <w:tbl>
      <w:tblPr>
        <w:tblW w:w="9072" w:type="dxa"/>
        <w:tblInd w:w="108" w:type="dxa"/>
        <w:shd w:val="clear" w:color="auto" w:fill="E6E6E6"/>
        <w:tblLook w:val="01E0" w:firstRow="1" w:lastRow="1" w:firstColumn="1" w:lastColumn="1" w:noHBand="0" w:noVBand="0"/>
      </w:tblPr>
      <w:tblGrid>
        <w:gridCol w:w="9072"/>
      </w:tblGrid>
      <w:tr w:rsidR="000225AB" w:rsidRPr="008625DC" w14:paraId="3AB970DD" w14:textId="77777777" w:rsidTr="00F01103">
        <w:tc>
          <w:tcPr>
            <w:tcW w:w="5000" w:type="pct"/>
            <w:shd w:val="clear" w:color="auto" w:fill="E6E6E6"/>
          </w:tcPr>
          <w:p w14:paraId="3313A335" w14:textId="36560482" w:rsidR="000225AB" w:rsidRPr="008625DC" w:rsidRDefault="003E52A5" w:rsidP="00F01103">
            <w:pPr>
              <w:pStyle w:val="BoxHeading"/>
            </w:pPr>
            <w:r w:rsidRPr="008625DC">
              <w:lastRenderedPageBreak/>
              <w:t>Box</w:t>
            </w:r>
            <w:r w:rsidR="00E21EBC" w:rsidRPr="008625DC">
              <w:t xml:space="preserve"> </w:t>
            </w:r>
            <w:r w:rsidR="00AE1285" w:rsidRPr="008625DC">
              <w:t>10.</w:t>
            </w:r>
            <w:r w:rsidR="0085532E" w:rsidRPr="008625DC">
              <w:t>3</w:t>
            </w:r>
            <w:r w:rsidR="00B071F2" w:rsidRPr="008625DC">
              <w:t xml:space="preserve">: </w:t>
            </w:r>
            <w:r w:rsidR="000225AB" w:rsidRPr="008625DC">
              <w:t>Benefits of choice</w:t>
            </w:r>
            <w:r w:rsidR="00380141" w:rsidRPr="008625DC">
              <w:t xml:space="preserve"> — </w:t>
            </w:r>
            <w:r w:rsidR="000225AB" w:rsidRPr="008625DC">
              <w:t>aged care examples</w:t>
            </w:r>
          </w:p>
          <w:p w14:paraId="6F4021F1" w14:textId="0FD96063" w:rsidR="000225AB" w:rsidRPr="008625DC" w:rsidRDefault="00F8725A" w:rsidP="00F01103">
            <w:pPr>
              <w:pStyle w:val="BoxText"/>
            </w:pPr>
            <w:r w:rsidRPr="008625DC">
              <w:t>The</w:t>
            </w:r>
            <w:r w:rsidR="000225AB" w:rsidRPr="008625DC">
              <w:t xml:space="preserve"> Brotherhood of St Laurence released a paper</w:t>
            </w:r>
            <w:r w:rsidRPr="008625DC">
              <w:rPr>
                <w:rStyle w:val="FootnoteReference"/>
              </w:rPr>
              <w:footnoteReference w:id="176"/>
            </w:r>
            <w:r w:rsidR="000225AB" w:rsidRPr="008625DC">
              <w:t xml:space="preserve"> on consumer choice in aged care services, which surveys some of the advantages consumers have </w:t>
            </w:r>
            <w:r w:rsidR="001665D6" w:rsidRPr="008625DC">
              <w:t>enjoyed</w:t>
            </w:r>
            <w:r w:rsidR="000225AB" w:rsidRPr="008625DC">
              <w:t xml:space="preserve"> from increased choice.</w:t>
            </w:r>
          </w:p>
          <w:p w14:paraId="0A63197C" w14:textId="6DCF6FED" w:rsidR="000225AB" w:rsidRPr="008625DC" w:rsidRDefault="000225AB" w:rsidP="00F01103">
            <w:pPr>
              <w:pStyle w:val="BoxText"/>
            </w:pPr>
            <w:r w:rsidRPr="008625DC">
              <w:t xml:space="preserve">Overall, consumers found that having control of funds meant that service providers became more responsive to their individual requirements. This increased the bargaining power that consumers had with service providers, case managers and other professionals. The </w:t>
            </w:r>
            <w:r w:rsidR="00DE0688" w:rsidRPr="008625DC">
              <w:t>paper</w:t>
            </w:r>
            <w:r w:rsidRPr="008625DC">
              <w:t xml:space="preserve"> provided some examples of choice:</w:t>
            </w:r>
          </w:p>
          <w:p w14:paraId="61630938" w14:textId="411E4F04" w:rsidR="000225AB" w:rsidRPr="008625DC" w:rsidRDefault="000225AB" w:rsidP="00467524">
            <w:pPr>
              <w:pStyle w:val="BoxBullet"/>
              <w:rPr>
                <w:lang w:val="en-AU"/>
              </w:rPr>
            </w:pPr>
            <w:r w:rsidRPr="008625DC">
              <w:rPr>
                <w:lang w:val="en-AU"/>
              </w:rPr>
              <w:t xml:space="preserve">One man employed someone to fetch a meal from his local pub after rejecting </w:t>
            </w:r>
            <w:r w:rsidR="00C74E19" w:rsidRPr="008625DC">
              <w:rPr>
                <w:lang w:val="en-AU"/>
              </w:rPr>
              <w:t>‘</w:t>
            </w:r>
            <w:r w:rsidRPr="008625DC">
              <w:rPr>
                <w:lang w:val="en-AU"/>
              </w:rPr>
              <w:t>meals on wheels</w:t>
            </w:r>
            <w:r w:rsidR="00C74E19" w:rsidRPr="008625DC">
              <w:rPr>
                <w:lang w:val="en-AU"/>
              </w:rPr>
              <w:t>’</w:t>
            </w:r>
            <w:r w:rsidRPr="008625DC">
              <w:rPr>
                <w:lang w:val="en-AU"/>
              </w:rPr>
              <w:t>. In another case a consumer employed a support worker who cooked meals of the person</w:t>
            </w:r>
            <w:r w:rsidR="00C74E19" w:rsidRPr="008625DC">
              <w:rPr>
                <w:lang w:val="en-AU"/>
              </w:rPr>
              <w:t>’</w:t>
            </w:r>
            <w:r w:rsidRPr="008625DC">
              <w:rPr>
                <w:lang w:val="en-AU"/>
              </w:rPr>
              <w:t>s choosing.</w:t>
            </w:r>
          </w:p>
          <w:p w14:paraId="2F659085" w14:textId="77777777" w:rsidR="000225AB" w:rsidRPr="008625DC" w:rsidRDefault="000225AB" w:rsidP="00467524">
            <w:pPr>
              <w:pStyle w:val="BoxBullet"/>
              <w:rPr>
                <w:lang w:val="en-AU"/>
              </w:rPr>
            </w:pPr>
            <w:r w:rsidRPr="008625DC">
              <w:rPr>
                <w:lang w:val="en-AU"/>
              </w:rPr>
              <w:t>A consumer used funding to buy assistive technology, such as sensors that automatically switched on a light when the person got out of bed and a lifeline alarm to summon help if there was a fall.</w:t>
            </w:r>
          </w:p>
          <w:p w14:paraId="66661CB9" w14:textId="77777777" w:rsidR="000225AB" w:rsidRPr="008625DC" w:rsidRDefault="000225AB" w:rsidP="00467524">
            <w:pPr>
              <w:pStyle w:val="BoxBullet"/>
              <w:rPr>
                <w:lang w:val="en-AU"/>
              </w:rPr>
            </w:pPr>
            <w:r w:rsidRPr="008625DC">
              <w:rPr>
                <w:lang w:val="en-AU"/>
              </w:rPr>
              <w:t>One group of consumers of mixed ages living independently in their own flats pooled their funding to buy services they needed, giving them greater purchasing power.</w:t>
            </w:r>
          </w:p>
          <w:p w14:paraId="7668E050" w14:textId="77777777" w:rsidR="000225AB" w:rsidRPr="008625DC" w:rsidRDefault="000225AB" w:rsidP="00467524">
            <w:pPr>
              <w:pStyle w:val="BoxBullet"/>
              <w:rPr>
                <w:lang w:val="en-AU"/>
              </w:rPr>
            </w:pPr>
            <w:r w:rsidRPr="008625DC">
              <w:rPr>
                <w:lang w:val="en-AU"/>
              </w:rPr>
              <w:t xml:space="preserve">Consumers also benefitted from being able to choose their support workers, rather than being assisted by agency staff </w:t>
            </w:r>
            <w:proofErr w:type="gramStart"/>
            <w:r w:rsidRPr="008625DC">
              <w:rPr>
                <w:lang w:val="en-AU"/>
              </w:rPr>
              <w:t>who</w:t>
            </w:r>
            <w:proofErr w:type="gramEnd"/>
            <w:r w:rsidRPr="008625DC">
              <w:rPr>
                <w:lang w:val="en-AU"/>
              </w:rPr>
              <w:t xml:space="preserve"> changed frequently. One consumer stated:</w:t>
            </w:r>
          </w:p>
          <w:p w14:paraId="2B3210C0" w14:textId="4725B554" w:rsidR="000225AB" w:rsidRPr="008625DC" w:rsidRDefault="000225AB" w:rsidP="00467524">
            <w:pPr>
              <w:pStyle w:val="BoxText"/>
              <w:spacing w:after="240"/>
              <w:ind w:left="885"/>
            </w:pPr>
            <w:r w:rsidRPr="008625DC">
              <w:t>Direct payments give me control. I now have a say in what I eat and drink, what I do and when I do it. I can choose carers that can help me to live my life. I can have continuity instead of a different carer every day.</w:t>
            </w:r>
            <w:r w:rsidR="00DE0688" w:rsidRPr="008625DC">
              <w:rPr>
                <w:rStyle w:val="FootnoteReference"/>
              </w:rPr>
              <w:footnoteReference w:id="177"/>
            </w:r>
          </w:p>
        </w:tc>
      </w:tr>
    </w:tbl>
    <w:p w14:paraId="6BC99546" w14:textId="14F07C36" w:rsidR="000225AB" w:rsidRPr="008625DC" w:rsidRDefault="000225AB" w:rsidP="00467524">
      <w:pPr>
        <w:spacing w:before="240"/>
      </w:pPr>
      <w:r w:rsidRPr="008625DC">
        <w:t xml:space="preserve">There are various </w:t>
      </w:r>
      <w:r w:rsidR="00C23EAF" w:rsidRPr="008625DC">
        <w:t>approaches to</w:t>
      </w:r>
      <w:r w:rsidRPr="008625DC">
        <w:t xml:space="preserve"> introducing more consumer choice into human services. The UK government has decided to put consumer choice at the heart of service delivery, effectively having a presumption that consumer choice will generally be the best model (discussed in </w:t>
      </w:r>
      <w:r w:rsidR="003E52A5" w:rsidRPr="008625DC">
        <w:t>Box</w:t>
      </w:r>
      <w:r w:rsidRPr="008625DC">
        <w:t xml:space="preserve"> </w:t>
      </w:r>
      <w:r w:rsidR="00AE1285" w:rsidRPr="008625DC">
        <w:t>10.4</w:t>
      </w:r>
      <w:r w:rsidRPr="008625DC">
        <w:t xml:space="preserve"> below).</w:t>
      </w:r>
      <w:r w:rsidR="00787DCF" w:rsidRPr="008625DC">
        <w:t xml:space="preserve"> </w:t>
      </w:r>
      <w:r w:rsidRPr="008625DC">
        <w:t>An</w:t>
      </w:r>
      <w:r w:rsidR="00467524" w:rsidRPr="008625DC">
        <w:t> </w:t>
      </w:r>
      <w:r w:rsidRPr="008625DC">
        <w:t>alternative approach is a market</w:t>
      </w:r>
      <w:r w:rsidR="00C74E19" w:rsidRPr="008625DC">
        <w:noBreakHyphen/>
      </w:r>
      <w:r w:rsidRPr="008625DC">
        <w:t>by</w:t>
      </w:r>
      <w:r w:rsidR="00C74E19" w:rsidRPr="008625DC">
        <w:noBreakHyphen/>
      </w:r>
      <w:r w:rsidRPr="008625DC">
        <w:t xml:space="preserve">market analysis to extend choice gradually into selected human services markets where it is appropriate. </w:t>
      </w:r>
    </w:p>
    <w:p w14:paraId="02F898AB" w14:textId="77777777" w:rsidR="00F45C71" w:rsidRPr="008625DC" w:rsidRDefault="00F45C71" w:rsidP="00880E5D"/>
    <w:tbl>
      <w:tblPr>
        <w:tblW w:w="9072" w:type="dxa"/>
        <w:tblInd w:w="108" w:type="dxa"/>
        <w:shd w:val="clear" w:color="auto" w:fill="E6E6E6"/>
        <w:tblLook w:val="01E0" w:firstRow="1" w:lastRow="1" w:firstColumn="1" w:lastColumn="1" w:noHBand="0" w:noVBand="0"/>
      </w:tblPr>
      <w:tblGrid>
        <w:gridCol w:w="9072"/>
      </w:tblGrid>
      <w:tr w:rsidR="000225AB" w:rsidRPr="008625DC" w14:paraId="5657742D" w14:textId="77777777" w:rsidTr="00F01103">
        <w:tc>
          <w:tcPr>
            <w:tcW w:w="5000" w:type="pct"/>
            <w:shd w:val="clear" w:color="auto" w:fill="E6E6E6"/>
          </w:tcPr>
          <w:p w14:paraId="2080B500" w14:textId="4B180297" w:rsidR="000225AB" w:rsidRPr="008625DC" w:rsidRDefault="003E52A5" w:rsidP="00F01103">
            <w:pPr>
              <w:pStyle w:val="BoxHeading"/>
            </w:pPr>
            <w:r w:rsidRPr="008625DC">
              <w:lastRenderedPageBreak/>
              <w:t>Box</w:t>
            </w:r>
            <w:r w:rsidR="00B071F2" w:rsidRPr="008625DC">
              <w:t xml:space="preserve"> </w:t>
            </w:r>
            <w:r w:rsidR="00AE1285" w:rsidRPr="008625DC">
              <w:t>10.4</w:t>
            </w:r>
            <w:r w:rsidR="000225AB" w:rsidRPr="008625DC">
              <w:t xml:space="preserve">: UK </w:t>
            </w:r>
            <w:r w:rsidR="00F45C71" w:rsidRPr="008625DC">
              <w:t>public</w:t>
            </w:r>
            <w:r w:rsidR="000225AB" w:rsidRPr="008625DC">
              <w:t xml:space="preserve"> services reforms</w:t>
            </w:r>
          </w:p>
          <w:p w14:paraId="04AC7741" w14:textId="0E2F8555" w:rsidR="000225AB" w:rsidRPr="008625DC" w:rsidRDefault="000225AB" w:rsidP="00E5196A">
            <w:pPr>
              <w:pStyle w:val="BoxText"/>
            </w:pPr>
            <w:r w:rsidRPr="008625DC">
              <w:t>The UK has gone further than Australia in introducing competition and choice into the delivery of public services.</w:t>
            </w:r>
            <w:r w:rsidR="00787DCF" w:rsidRPr="008625DC">
              <w:t xml:space="preserve"> </w:t>
            </w:r>
            <w:r w:rsidRPr="008625DC">
              <w:t>The Open Public Services White Paper</w:t>
            </w:r>
            <w:r w:rsidR="00F8725A" w:rsidRPr="008625DC">
              <w:rPr>
                <w:rStyle w:val="FootnoteReference"/>
              </w:rPr>
              <w:footnoteReference w:id="178"/>
            </w:r>
            <w:r w:rsidR="00787DCF" w:rsidRPr="008625DC">
              <w:t xml:space="preserve"> </w:t>
            </w:r>
            <w:r w:rsidRPr="008625DC">
              <w:t>proposes five principles for modernising the UK</w:t>
            </w:r>
            <w:r w:rsidR="00C74E19" w:rsidRPr="008625DC">
              <w:t>’</w:t>
            </w:r>
            <w:r w:rsidRPr="008625DC">
              <w:t>s public services</w:t>
            </w:r>
            <w:r w:rsidR="00F8725A" w:rsidRPr="008625DC">
              <w:t>.</w:t>
            </w:r>
            <w:r w:rsidR="00F8725A" w:rsidRPr="008625DC" w:rsidDel="00F8725A">
              <w:t xml:space="preserve"> </w:t>
            </w:r>
          </w:p>
          <w:p w14:paraId="4B16B6FB" w14:textId="34BD46C5" w:rsidR="000225AB" w:rsidRPr="008625DC" w:rsidRDefault="00F8725A" w:rsidP="00E5196A">
            <w:pPr>
              <w:pStyle w:val="BoxBullet"/>
              <w:rPr>
                <w:lang w:val="en-AU"/>
              </w:rPr>
            </w:pPr>
            <w:r w:rsidRPr="008625DC">
              <w:rPr>
                <w:b/>
                <w:lang w:val="en-AU"/>
              </w:rPr>
              <w:t>I</w:t>
            </w:r>
            <w:r w:rsidR="000225AB" w:rsidRPr="008625DC">
              <w:rPr>
                <w:b/>
                <w:lang w:val="en-AU"/>
              </w:rPr>
              <w:t>ncreasing choice</w:t>
            </w:r>
            <w:r w:rsidR="000225AB" w:rsidRPr="008625DC">
              <w:rPr>
                <w:lang w:val="en-AU"/>
              </w:rPr>
              <w:t xml:space="preserve"> wherever possible</w:t>
            </w:r>
            <w:r w:rsidR="00380141" w:rsidRPr="008625DC">
              <w:rPr>
                <w:lang w:val="en-AU"/>
              </w:rPr>
              <w:t xml:space="preserve"> — </w:t>
            </w:r>
            <w:r w:rsidR="000225AB" w:rsidRPr="008625DC">
              <w:rPr>
                <w:lang w:val="en-AU"/>
              </w:rPr>
              <w:t>which means putting people in control, either through direct payments, personal budgets, entitlements or choice.</w:t>
            </w:r>
            <w:r w:rsidR="00787DCF" w:rsidRPr="008625DC">
              <w:rPr>
                <w:lang w:val="en-AU"/>
              </w:rPr>
              <w:t xml:space="preserve"> </w:t>
            </w:r>
            <w:r w:rsidR="000225AB" w:rsidRPr="008625DC">
              <w:rPr>
                <w:lang w:val="en-AU"/>
              </w:rPr>
              <w:t>Where direct consumer control is not possible, elected representatives should have more choice about how services are provided</w:t>
            </w:r>
            <w:r w:rsidRPr="008625DC">
              <w:rPr>
                <w:lang w:val="en-AU"/>
              </w:rPr>
              <w:t>.</w:t>
            </w:r>
          </w:p>
          <w:p w14:paraId="4176A98E" w14:textId="37B685C0" w:rsidR="000225AB" w:rsidRPr="008625DC" w:rsidRDefault="00F8725A" w:rsidP="00E5196A">
            <w:pPr>
              <w:pStyle w:val="BoxBullet"/>
              <w:rPr>
                <w:lang w:val="en-AU"/>
              </w:rPr>
            </w:pPr>
            <w:r w:rsidRPr="008625DC">
              <w:rPr>
                <w:b/>
                <w:lang w:val="en-AU"/>
              </w:rPr>
              <w:t>D</w:t>
            </w:r>
            <w:r w:rsidR="000225AB" w:rsidRPr="008625DC">
              <w:rPr>
                <w:b/>
                <w:lang w:val="en-AU"/>
              </w:rPr>
              <w:t>ecentralising</w:t>
            </w:r>
            <w:r w:rsidR="000225AB" w:rsidRPr="008625DC">
              <w:rPr>
                <w:lang w:val="en-AU"/>
              </w:rPr>
              <w:t xml:space="preserve"> to the lowest appropriate level</w:t>
            </w:r>
            <w:r w:rsidR="00380141" w:rsidRPr="008625DC">
              <w:rPr>
                <w:lang w:val="en-AU"/>
              </w:rPr>
              <w:t xml:space="preserve"> — </w:t>
            </w:r>
            <w:r w:rsidR="000225AB" w:rsidRPr="008625DC">
              <w:rPr>
                <w:lang w:val="en-AU"/>
              </w:rPr>
              <w:t>where possible this will be individuals; otherwise to the lowest</w:t>
            </w:r>
            <w:r w:rsidR="00C74E19" w:rsidRPr="008625DC">
              <w:rPr>
                <w:lang w:val="en-AU"/>
              </w:rPr>
              <w:noBreakHyphen/>
            </w:r>
            <w:r w:rsidR="000225AB" w:rsidRPr="008625DC">
              <w:rPr>
                <w:lang w:val="en-AU"/>
              </w:rPr>
              <w:t>level body such as community groups or neighbourhood councils</w:t>
            </w:r>
            <w:r w:rsidRPr="008625DC">
              <w:rPr>
                <w:lang w:val="en-AU"/>
              </w:rPr>
              <w:t>.</w:t>
            </w:r>
          </w:p>
          <w:p w14:paraId="0053756C" w14:textId="57AF33BF" w:rsidR="000225AB" w:rsidRPr="008625DC" w:rsidRDefault="00F8725A" w:rsidP="00E5196A">
            <w:pPr>
              <w:pStyle w:val="BoxBullet"/>
              <w:rPr>
                <w:lang w:val="en-AU"/>
              </w:rPr>
            </w:pPr>
            <w:r w:rsidRPr="008625DC">
              <w:rPr>
                <w:lang w:val="en-AU"/>
              </w:rPr>
              <w:t>O</w:t>
            </w:r>
            <w:r w:rsidR="000225AB" w:rsidRPr="008625DC">
              <w:rPr>
                <w:lang w:val="en-AU"/>
              </w:rPr>
              <w:t xml:space="preserve">pening service delivery to a </w:t>
            </w:r>
            <w:r w:rsidR="000225AB" w:rsidRPr="008625DC">
              <w:rPr>
                <w:b/>
                <w:lang w:val="en-AU"/>
              </w:rPr>
              <w:t>range of providers</w:t>
            </w:r>
            <w:r w:rsidR="00380141" w:rsidRPr="008625DC">
              <w:rPr>
                <w:lang w:val="en-AU"/>
              </w:rPr>
              <w:t xml:space="preserve"> — </w:t>
            </w:r>
            <w:r w:rsidR="000225AB" w:rsidRPr="008625DC">
              <w:rPr>
                <w:lang w:val="en-AU"/>
              </w:rPr>
              <w:t>high</w:t>
            </w:r>
            <w:r w:rsidR="00C74E19" w:rsidRPr="008625DC">
              <w:rPr>
                <w:lang w:val="en-AU"/>
              </w:rPr>
              <w:noBreakHyphen/>
            </w:r>
            <w:r w:rsidR="000225AB" w:rsidRPr="008625DC">
              <w:rPr>
                <w:lang w:val="en-AU"/>
              </w:rPr>
              <w:t>quality services can be provided by the public sector, the voluntary sector and the private sector.</w:t>
            </w:r>
            <w:r w:rsidR="00787DCF" w:rsidRPr="008625DC">
              <w:rPr>
                <w:lang w:val="en-AU"/>
              </w:rPr>
              <w:t xml:space="preserve"> </w:t>
            </w:r>
            <w:r w:rsidR="000225AB" w:rsidRPr="008625DC">
              <w:rPr>
                <w:lang w:val="en-AU"/>
              </w:rPr>
              <w:t>This means breaking down regulatory or financial barriers so there is a diverse range of providers.</w:t>
            </w:r>
            <w:r w:rsidR="00787DCF" w:rsidRPr="008625DC">
              <w:rPr>
                <w:lang w:val="en-AU"/>
              </w:rPr>
              <w:t xml:space="preserve"> </w:t>
            </w:r>
            <w:r w:rsidR="000225AB" w:rsidRPr="008625DC">
              <w:rPr>
                <w:lang w:val="en-AU"/>
              </w:rPr>
              <w:t>It also means transparency about the quality and value for money of public services so that new providers can enter and challenge under</w:t>
            </w:r>
            <w:r w:rsidR="00C74E19" w:rsidRPr="008625DC">
              <w:rPr>
                <w:lang w:val="en-AU"/>
              </w:rPr>
              <w:noBreakHyphen/>
            </w:r>
            <w:r w:rsidR="000225AB" w:rsidRPr="008625DC">
              <w:rPr>
                <w:lang w:val="en-AU"/>
              </w:rPr>
              <w:t>performers</w:t>
            </w:r>
            <w:r w:rsidRPr="008625DC">
              <w:rPr>
                <w:lang w:val="en-AU"/>
              </w:rPr>
              <w:t>.</w:t>
            </w:r>
          </w:p>
          <w:p w14:paraId="1CCC52A1" w14:textId="76A0FC05" w:rsidR="000225AB" w:rsidRPr="008625DC" w:rsidRDefault="00F8725A" w:rsidP="00E5196A">
            <w:pPr>
              <w:pStyle w:val="BoxBullet"/>
              <w:rPr>
                <w:lang w:val="en-AU"/>
              </w:rPr>
            </w:pPr>
            <w:r w:rsidRPr="008625DC">
              <w:rPr>
                <w:lang w:val="en-AU"/>
              </w:rPr>
              <w:t>E</w:t>
            </w:r>
            <w:r w:rsidR="000225AB" w:rsidRPr="008625DC">
              <w:rPr>
                <w:lang w:val="en-AU"/>
              </w:rPr>
              <w:t xml:space="preserve">nsuring </w:t>
            </w:r>
            <w:r w:rsidR="000225AB" w:rsidRPr="008625DC">
              <w:rPr>
                <w:b/>
                <w:lang w:val="en-AU"/>
              </w:rPr>
              <w:t>fair access</w:t>
            </w:r>
            <w:r w:rsidR="00380141" w:rsidRPr="008625DC">
              <w:rPr>
                <w:lang w:val="en-AU"/>
              </w:rPr>
              <w:t xml:space="preserve"> — </w:t>
            </w:r>
            <w:r w:rsidR="000225AB" w:rsidRPr="008625DC">
              <w:rPr>
                <w:lang w:val="en-AU"/>
              </w:rPr>
              <w:t>government funding should favour those with disadvantage</w:t>
            </w:r>
            <w:r w:rsidRPr="008625DC">
              <w:rPr>
                <w:lang w:val="en-AU"/>
              </w:rPr>
              <w:t>.</w:t>
            </w:r>
          </w:p>
          <w:p w14:paraId="72410D7C" w14:textId="18F131DF" w:rsidR="000225AB" w:rsidRPr="008625DC" w:rsidRDefault="00F8725A" w:rsidP="00E5196A">
            <w:pPr>
              <w:pStyle w:val="BoxBullet"/>
              <w:spacing w:after="180"/>
              <w:rPr>
                <w:lang w:val="en-AU"/>
              </w:rPr>
            </w:pPr>
            <w:r w:rsidRPr="008625DC">
              <w:rPr>
                <w:b/>
                <w:lang w:val="en-AU"/>
              </w:rPr>
              <w:t>A</w:t>
            </w:r>
            <w:r w:rsidR="000225AB" w:rsidRPr="008625DC">
              <w:rPr>
                <w:b/>
                <w:lang w:val="en-AU"/>
              </w:rPr>
              <w:t>ccountability</w:t>
            </w:r>
            <w:r w:rsidR="000225AB" w:rsidRPr="008625DC">
              <w:rPr>
                <w:lang w:val="en-AU"/>
              </w:rPr>
              <w:t xml:space="preserve"> to users and to taxpayers.</w:t>
            </w:r>
          </w:p>
          <w:p w14:paraId="44AF4DE0" w14:textId="42E59C7C" w:rsidR="000225AB" w:rsidRPr="008625DC" w:rsidRDefault="00B078D0" w:rsidP="00E5196A">
            <w:pPr>
              <w:pStyle w:val="BoxText"/>
            </w:pPr>
            <w:r w:rsidRPr="008625DC">
              <w:t>D</w:t>
            </w:r>
            <w:r w:rsidR="000225AB" w:rsidRPr="008625DC">
              <w:t>ifferent public services have different characteristics</w:t>
            </w:r>
            <w:r w:rsidRPr="008625DC">
              <w:t>. The</w:t>
            </w:r>
            <w:r w:rsidR="000225AB" w:rsidRPr="008625DC">
              <w:t xml:space="preserve"> White Paper identifies three categories of public service and more detailed principles</w:t>
            </w:r>
            <w:r w:rsidRPr="008625DC">
              <w:t xml:space="preserve"> for each type of public service. </w:t>
            </w:r>
          </w:p>
          <w:p w14:paraId="144B5F92" w14:textId="77777777" w:rsidR="000225AB" w:rsidRPr="008625DC" w:rsidRDefault="000225AB" w:rsidP="00F01103">
            <w:pPr>
              <w:pStyle w:val="Dash"/>
              <w:numPr>
                <w:ilvl w:val="0"/>
                <w:numId w:val="0"/>
              </w:numPr>
              <w:spacing w:before="0" w:after="120"/>
            </w:pPr>
            <w:r w:rsidRPr="008625DC">
              <w:rPr>
                <w:b/>
              </w:rPr>
              <w:t>1. Individual services</w:t>
            </w:r>
            <w:r w:rsidRPr="008625DC">
              <w:t>:</w:t>
            </w:r>
          </w:p>
          <w:p w14:paraId="2A9E2BAC" w14:textId="32CD6C50" w:rsidR="000225AB" w:rsidRPr="008625DC" w:rsidRDefault="000225AB" w:rsidP="00E5196A">
            <w:pPr>
              <w:pStyle w:val="BoxBullet"/>
              <w:rPr>
                <w:lang w:val="en-AU"/>
              </w:rPr>
            </w:pPr>
            <w:r w:rsidRPr="008625DC">
              <w:rPr>
                <w:lang w:val="en-AU"/>
              </w:rPr>
              <w:t>funding follows people</w:t>
            </w:r>
            <w:r w:rsidR="00C74E19" w:rsidRPr="008625DC">
              <w:rPr>
                <w:lang w:val="en-AU"/>
              </w:rPr>
              <w:t>’</w:t>
            </w:r>
            <w:r w:rsidRPr="008625DC">
              <w:rPr>
                <w:lang w:val="en-AU"/>
              </w:rPr>
              <w:t>s choices;</w:t>
            </w:r>
          </w:p>
          <w:p w14:paraId="10FE31D7" w14:textId="77777777" w:rsidR="000225AB" w:rsidRPr="008625DC" w:rsidRDefault="000225AB" w:rsidP="00E5196A">
            <w:pPr>
              <w:pStyle w:val="BoxBullet"/>
              <w:rPr>
                <w:lang w:val="en-AU"/>
              </w:rPr>
            </w:pPr>
            <w:r w:rsidRPr="008625DC">
              <w:rPr>
                <w:lang w:val="en-AU"/>
              </w:rPr>
              <w:t>robust framework of choice in each sector;</w:t>
            </w:r>
          </w:p>
          <w:p w14:paraId="02CABC1B" w14:textId="77777777" w:rsidR="000225AB" w:rsidRPr="008625DC" w:rsidRDefault="000225AB" w:rsidP="00E5196A">
            <w:pPr>
              <w:pStyle w:val="BoxBullet"/>
              <w:rPr>
                <w:lang w:val="en-AU"/>
              </w:rPr>
            </w:pPr>
            <w:r w:rsidRPr="008625DC">
              <w:rPr>
                <w:lang w:val="en-AU"/>
              </w:rPr>
              <w:t>publishing key data about public services and provider performance;</w:t>
            </w:r>
          </w:p>
          <w:p w14:paraId="369F17B9" w14:textId="16E55E3E" w:rsidR="000225AB" w:rsidRPr="008625DC" w:rsidRDefault="000225AB" w:rsidP="00E5196A">
            <w:pPr>
              <w:pStyle w:val="BoxBullet"/>
              <w:rPr>
                <w:lang w:val="en-AU"/>
              </w:rPr>
            </w:pPr>
            <w:r w:rsidRPr="008625DC">
              <w:rPr>
                <w:lang w:val="en-AU"/>
              </w:rPr>
              <w:t>target funding at disadvantage</w:t>
            </w:r>
            <w:r w:rsidR="00333B72" w:rsidRPr="008625DC">
              <w:rPr>
                <w:lang w:val="en-AU"/>
              </w:rPr>
              <w:t>;</w:t>
            </w:r>
            <w:r w:rsidRPr="008625DC">
              <w:rPr>
                <w:lang w:val="en-AU"/>
              </w:rPr>
              <w:t xml:space="preserve"> (e.g. a </w:t>
            </w:r>
            <w:r w:rsidR="00C74E19" w:rsidRPr="008625DC">
              <w:rPr>
                <w:lang w:val="en-AU"/>
              </w:rPr>
              <w:t>‘</w:t>
            </w:r>
            <w:r w:rsidRPr="008625DC">
              <w:rPr>
                <w:lang w:val="en-AU"/>
              </w:rPr>
              <w:t>pupil premium</w:t>
            </w:r>
            <w:r w:rsidR="00C74E19" w:rsidRPr="008625DC">
              <w:rPr>
                <w:lang w:val="en-AU"/>
              </w:rPr>
              <w:t>’</w:t>
            </w:r>
            <w:r w:rsidRPr="008625DC">
              <w:rPr>
                <w:lang w:val="en-AU"/>
              </w:rPr>
              <w:t xml:space="preserve"> paid to schools who take on disadvantaged students);</w:t>
            </w:r>
          </w:p>
          <w:p w14:paraId="105DEBBB" w14:textId="1CC94E92" w:rsidR="000225AB" w:rsidRPr="008625DC" w:rsidRDefault="001665D6" w:rsidP="00E5196A">
            <w:pPr>
              <w:pStyle w:val="BoxBullet"/>
              <w:rPr>
                <w:lang w:val="en-AU"/>
              </w:rPr>
            </w:pPr>
            <w:r w:rsidRPr="008625DC">
              <w:rPr>
                <w:lang w:val="en-AU"/>
              </w:rPr>
              <w:t>licens</w:t>
            </w:r>
            <w:r w:rsidR="000225AB" w:rsidRPr="008625DC">
              <w:rPr>
                <w:lang w:val="en-AU"/>
              </w:rPr>
              <w:t xml:space="preserve">e individual providers by </w:t>
            </w:r>
            <w:r w:rsidRPr="008625DC">
              <w:rPr>
                <w:lang w:val="en-AU"/>
              </w:rPr>
              <w:t xml:space="preserve">a </w:t>
            </w:r>
            <w:r w:rsidR="000225AB" w:rsidRPr="008625DC">
              <w:rPr>
                <w:lang w:val="en-AU"/>
              </w:rPr>
              <w:t>relevant regulator; and</w:t>
            </w:r>
          </w:p>
          <w:p w14:paraId="7E290F0A" w14:textId="7FF4AE45" w:rsidR="000225AB" w:rsidRPr="008625DC" w:rsidRDefault="000225AB" w:rsidP="00E5196A">
            <w:pPr>
              <w:pStyle w:val="BoxBullet"/>
              <w:spacing w:after="180"/>
              <w:rPr>
                <w:lang w:val="en-AU"/>
              </w:rPr>
            </w:pPr>
            <w:proofErr w:type="gramStart"/>
            <w:r w:rsidRPr="008625DC">
              <w:rPr>
                <w:lang w:val="en-AU"/>
              </w:rPr>
              <w:t>access</w:t>
            </w:r>
            <w:proofErr w:type="gramEnd"/>
            <w:r w:rsidRPr="008625DC">
              <w:rPr>
                <w:lang w:val="en-AU"/>
              </w:rPr>
              <w:t xml:space="preserve"> to redress such as </w:t>
            </w:r>
            <w:r w:rsidR="0004556B" w:rsidRPr="008625DC">
              <w:rPr>
                <w:lang w:val="en-AU"/>
              </w:rPr>
              <w:t>an</w:t>
            </w:r>
            <w:r w:rsidRPr="008625DC">
              <w:rPr>
                <w:lang w:val="en-AU"/>
              </w:rPr>
              <w:t xml:space="preserve"> Ombudsman.</w:t>
            </w:r>
          </w:p>
          <w:p w14:paraId="0832F5FC" w14:textId="7461B74D" w:rsidR="000225AB" w:rsidRPr="008625DC" w:rsidRDefault="000225AB" w:rsidP="00E5196A">
            <w:pPr>
              <w:pStyle w:val="Bullet"/>
              <w:numPr>
                <w:ilvl w:val="0"/>
                <w:numId w:val="0"/>
              </w:numPr>
              <w:spacing w:after="180"/>
            </w:pPr>
            <w:r w:rsidRPr="008625DC">
              <w:t xml:space="preserve">For some individual services, consumers have a legal right to choose and must be provided with choices by law. For example, when a GP refers a consumer to a medical specialist, they must offer a shortlist of hospitals or clinics for the consumer to choose </w:t>
            </w:r>
            <w:r w:rsidR="001665D6" w:rsidRPr="008625DC">
              <w:t>among</w:t>
            </w:r>
            <w:r w:rsidRPr="008625DC">
              <w:t xml:space="preserve">. </w:t>
            </w:r>
          </w:p>
          <w:p w14:paraId="2613880F" w14:textId="3BFF6112" w:rsidR="000225AB" w:rsidRPr="008625DC" w:rsidRDefault="000225AB" w:rsidP="00E5196A">
            <w:pPr>
              <w:pStyle w:val="BoxText"/>
              <w:spacing w:after="180"/>
            </w:pPr>
            <w:r w:rsidRPr="008625DC">
              <w:rPr>
                <w:b/>
              </w:rPr>
              <w:t>2. Neighbourhood services</w:t>
            </w:r>
            <w:r w:rsidRPr="008625DC">
              <w:t>: these are services which are used by the community collectively, such as local libraries and parks.</w:t>
            </w:r>
            <w:r w:rsidR="00787DCF" w:rsidRPr="008625DC">
              <w:t xml:space="preserve"> </w:t>
            </w:r>
            <w:r w:rsidRPr="008625DC">
              <w:t xml:space="preserve">In line with the principle of decentralising to the lowest appropriate level, the UK </w:t>
            </w:r>
            <w:r w:rsidR="001665D6" w:rsidRPr="008625DC">
              <w:t>g</w:t>
            </w:r>
            <w:r w:rsidRPr="008625DC">
              <w:t>overnment is looking to more community ownership.</w:t>
            </w:r>
          </w:p>
        </w:tc>
      </w:tr>
    </w:tbl>
    <w:p w14:paraId="7BC3C198" w14:textId="77777777" w:rsidR="00E5196A" w:rsidRPr="008625DC" w:rsidRDefault="00E5196A">
      <w:r w:rsidRPr="008625DC">
        <w:br w:type="page"/>
      </w:r>
    </w:p>
    <w:tbl>
      <w:tblPr>
        <w:tblW w:w="9072" w:type="dxa"/>
        <w:tblInd w:w="108" w:type="dxa"/>
        <w:shd w:val="clear" w:color="auto" w:fill="E6E6E6"/>
        <w:tblLook w:val="01E0" w:firstRow="1" w:lastRow="1" w:firstColumn="1" w:lastColumn="1" w:noHBand="0" w:noVBand="0"/>
      </w:tblPr>
      <w:tblGrid>
        <w:gridCol w:w="9072"/>
      </w:tblGrid>
      <w:tr w:rsidR="000225AB" w:rsidRPr="008625DC" w14:paraId="48099E9D" w14:textId="77777777" w:rsidTr="00F01103">
        <w:tc>
          <w:tcPr>
            <w:tcW w:w="5000" w:type="pct"/>
            <w:shd w:val="clear" w:color="auto" w:fill="E6E6E6"/>
          </w:tcPr>
          <w:p w14:paraId="29B7BE90" w14:textId="7684E9AE" w:rsidR="000225AB" w:rsidRPr="008625DC" w:rsidRDefault="000225AB" w:rsidP="00E5196A">
            <w:pPr>
              <w:pStyle w:val="BoxText"/>
            </w:pPr>
            <w:r w:rsidRPr="008625DC">
              <w:rPr>
                <w:b/>
              </w:rPr>
              <w:lastRenderedPageBreak/>
              <w:t>3. Commissioned services</w:t>
            </w:r>
            <w:r w:rsidRPr="008625DC">
              <w:t>: these are services where user choice is unlikely to work as a model, for reasons such as:</w:t>
            </w:r>
          </w:p>
          <w:p w14:paraId="0916688B" w14:textId="77777777" w:rsidR="000225AB" w:rsidRPr="008625DC" w:rsidRDefault="000225AB" w:rsidP="00E5196A">
            <w:pPr>
              <w:pStyle w:val="BoxBullet"/>
              <w:rPr>
                <w:lang w:val="en-AU"/>
              </w:rPr>
            </w:pPr>
            <w:r w:rsidRPr="008625DC">
              <w:rPr>
                <w:lang w:val="en-AU"/>
              </w:rPr>
              <w:t>the service is a natural monopoly;</w:t>
            </w:r>
          </w:p>
          <w:p w14:paraId="3BB541E3" w14:textId="77777777" w:rsidR="000225AB" w:rsidRPr="008625DC" w:rsidRDefault="000225AB" w:rsidP="00E5196A">
            <w:pPr>
              <w:pStyle w:val="BoxBullet"/>
              <w:rPr>
                <w:lang w:val="en-AU"/>
              </w:rPr>
            </w:pPr>
            <w:r w:rsidRPr="008625DC">
              <w:rPr>
                <w:lang w:val="en-AU"/>
              </w:rPr>
              <w:t>the service is being provided for people who are not able to make the appropriate choices themselves (such as drug rehabilitation); or</w:t>
            </w:r>
          </w:p>
          <w:p w14:paraId="33AD6D71" w14:textId="530943D9" w:rsidR="000225AB" w:rsidRPr="008625DC" w:rsidRDefault="000225AB" w:rsidP="00E5196A">
            <w:pPr>
              <w:pStyle w:val="BoxBullet"/>
              <w:spacing w:after="180"/>
              <w:rPr>
                <w:lang w:val="en-AU"/>
              </w:rPr>
            </w:pPr>
            <w:proofErr w:type="gramStart"/>
            <w:r w:rsidRPr="008625DC">
              <w:rPr>
                <w:lang w:val="en-AU"/>
              </w:rPr>
              <w:t>there</w:t>
            </w:r>
            <w:proofErr w:type="gramEnd"/>
            <w:r w:rsidRPr="008625DC">
              <w:rPr>
                <w:lang w:val="en-AU"/>
              </w:rPr>
              <w:t xml:space="preserve"> are security</w:t>
            </w:r>
            <w:r w:rsidR="00C74E19" w:rsidRPr="008625DC">
              <w:rPr>
                <w:lang w:val="en-AU"/>
              </w:rPr>
              <w:noBreakHyphen/>
            </w:r>
            <w:r w:rsidRPr="008625DC">
              <w:rPr>
                <w:lang w:val="en-AU"/>
              </w:rPr>
              <w:t>related or quasi</w:t>
            </w:r>
            <w:r w:rsidR="00C74E19" w:rsidRPr="008625DC">
              <w:rPr>
                <w:lang w:val="en-AU"/>
              </w:rPr>
              <w:noBreakHyphen/>
            </w:r>
            <w:r w:rsidRPr="008625DC">
              <w:rPr>
                <w:lang w:val="en-AU"/>
              </w:rPr>
              <w:t>judicial issues (such as the court system or planning laws</w:t>
            </w:r>
            <w:r w:rsidR="001665D6" w:rsidRPr="008625DC">
              <w:rPr>
                <w:lang w:val="en-AU"/>
              </w:rPr>
              <w:t>).</w:t>
            </w:r>
          </w:p>
          <w:p w14:paraId="51626D58" w14:textId="771B9C64" w:rsidR="000225AB" w:rsidRPr="008625DC" w:rsidRDefault="000225AB" w:rsidP="00333B72">
            <w:r w:rsidRPr="008625DC">
              <w:t>In this case, the UK has decided to switch the default from the government providing the service to the government commissioning the service from a range of providers, and to separate purchasers from providers to encourage innovation.</w:t>
            </w:r>
          </w:p>
        </w:tc>
      </w:tr>
    </w:tbl>
    <w:p w14:paraId="66A20A86" w14:textId="77777777" w:rsidR="000225AB" w:rsidRPr="008625DC" w:rsidRDefault="000225AB" w:rsidP="00FB084C">
      <w:pPr>
        <w:pStyle w:val="Heading3"/>
      </w:pPr>
      <w:r w:rsidRPr="008625DC">
        <w:t>Should consumer choice be applied to a particular human service?</w:t>
      </w:r>
    </w:p>
    <w:p w14:paraId="717A9649" w14:textId="3D498E09" w:rsidR="000225AB" w:rsidRPr="008625DC" w:rsidRDefault="000225AB" w:rsidP="000225AB">
      <w:r w:rsidRPr="008625DC">
        <w:t xml:space="preserve">There are factors which can make it easier or harder to apply consumer choice to a particular </w:t>
      </w:r>
      <w:r w:rsidR="0004556B" w:rsidRPr="008625DC">
        <w:t>service</w:t>
      </w:r>
      <w:r w:rsidRPr="008625DC">
        <w:t>, and some of these factors are discussed below.</w:t>
      </w:r>
      <w:r w:rsidR="00787DCF" w:rsidRPr="008625DC">
        <w:t xml:space="preserve"> </w:t>
      </w:r>
      <w:r w:rsidRPr="008625DC">
        <w:t xml:space="preserve">A consumer choice model is not the right one for all </w:t>
      </w:r>
      <w:r w:rsidR="0004556B" w:rsidRPr="008625DC">
        <w:t>services</w:t>
      </w:r>
      <w:r w:rsidRPr="008625DC">
        <w:t xml:space="preserve">. </w:t>
      </w:r>
      <w:proofErr w:type="gramStart"/>
      <w:r w:rsidR="005308C0" w:rsidRPr="008625DC">
        <w:t xml:space="preserve">The traditional block funding approach where the user is a </w:t>
      </w:r>
      <w:r w:rsidR="00333B72" w:rsidRPr="008625DC">
        <w:t>passive</w:t>
      </w:r>
      <w:r w:rsidR="005308C0" w:rsidRPr="008625DC">
        <w:t xml:space="preserve"> recipient of services, often from one provider, may remain appropriate in some circumstances.</w:t>
      </w:r>
      <w:proofErr w:type="gramEnd"/>
      <w:r w:rsidR="005308C0" w:rsidRPr="008625DC">
        <w:t xml:space="preserve"> </w:t>
      </w:r>
      <w:r w:rsidRPr="008625DC">
        <w:t>The diagram below provides high</w:t>
      </w:r>
      <w:r w:rsidR="00C74E19" w:rsidRPr="008625DC">
        <w:noBreakHyphen/>
      </w:r>
      <w:r w:rsidRPr="008625DC">
        <w:t xml:space="preserve">level guidance on some of the features </w:t>
      </w:r>
      <w:r w:rsidR="001665D6" w:rsidRPr="008625DC">
        <w:t>that</w:t>
      </w:r>
      <w:r w:rsidRPr="008625DC">
        <w:t xml:space="preserve"> may determine the suitability of consumer choice </w:t>
      </w:r>
      <w:r w:rsidR="0004556B" w:rsidRPr="008625DC">
        <w:t>for</w:t>
      </w:r>
      <w:r w:rsidRPr="008625DC">
        <w:t xml:space="preserve"> a particular human </w:t>
      </w:r>
      <w:r w:rsidR="0004556B" w:rsidRPr="008625DC">
        <w:t>service</w:t>
      </w:r>
      <w:r w:rsidRPr="008625DC">
        <w:t>.</w:t>
      </w:r>
    </w:p>
    <w:p w14:paraId="032B0FF6" w14:textId="07593681" w:rsidR="000225AB" w:rsidRPr="008625DC" w:rsidRDefault="000225AB" w:rsidP="007D01D9">
      <w:pPr>
        <w:pStyle w:val="ChartMainHeading"/>
      </w:pPr>
      <w:r w:rsidRPr="008625DC">
        <w:t xml:space="preserve">The application of consumer choice </w:t>
      </w:r>
      <w:r w:rsidR="0004556B" w:rsidRPr="008625DC">
        <w:t>to</w:t>
      </w:r>
      <w:r w:rsidRPr="008625DC">
        <w:t xml:space="preserve"> human services</w:t>
      </w:r>
    </w:p>
    <w:p w14:paraId="260FF5AF" w14:textId="15D6F799" w:rsidR="000225AB" w:rsidRPr="008625DC" w:rsidRDefault="004E5A86" w:rsidP="00E5196A">
      <w:pPr>
        <w:pStyle w:val="ChartGraphic"/>
      </w:pPr>
      <w:r w:rsidRPr="008625DC">
        <w:rPr>
          <w:noProof/>
        </w:rPr>
        <w:drawing>
          <wp:inline distT="0" distB="0" distL="0" distR="0" wp14:anchorId="547C612A" wp14:editId="6572E89C">
            <wp:extent cx="5538159" cy="4658264"/>
            <wp:effectExtent l="0" t="0" r="5715" b="9525"/>
            <wp:docPr id="2" name="Picture 2" descr="The diagram shows factors that will make it easier or harder to apply consumer choice. These factors include whether the market has a range of providers (easy to apply choice) versus a market which is a natural monopoly (harder to apply choice). If the complexity of the service is high it will be harder to apply choice, versus a simple service or one where there is good information available to guide consumers in making a choice. Likewise, it will be harder to apply choice to a one-off or urgent transaction, versus a repeat transaction. In addition, if capacity constraints, switching costs or transaction costs are high then it will be harder to apply choice.&#10;If the government imposes tight specifications on service delivery (resulting in limited ability for suppliers to compete on price or quality) then in will be harder to apply choice, versus a performance-based government standard which allows suppliers to innovate. &#10;" title="Application of consumer choice to human servic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5253" cy="4655820"/>
                    </a:xfrm>
                    <a:prstGeom prst="rect">
                      <a:avLst/>
                    </a:prstGeom>
                    <a:noFill/>
                    <a:ln>
                      <a:noFill/>
                    </a:ln>
                  </pic:spPr>
                </pic:pic>
              </a:graphicData>
            </a:graphic>
          </wp:inline>
        </w:drawing>
      </w:r>
    </w:p>
    <w:p w14:paraId="61CA842A" w14:textId="77777777" w:rsidR="00E5196A" w:rsidRPr="008625DC" w:rsidRDefault="00E5196A" w:rsidP="00E5196A"/>
    <w:p w14:paraId="4D50FF96" w14:textId="4CC9B6D1" w:rsidR="000225AB" w:rsidRPr="008625DC" w:rsidRDefault="000225AB" w:rsidP="000225AB">
      <w:r w:rsidRPr="008625DC">
        <w:lastRenderedPageBreak/>
        <w:t xml:space="preserve">Sometimes the market will be a natural monopoly which can only support one supplier (e.g. a local bus route) or where the </w:t>
      </w:r>
      <w:r w:rsidR="001665D6" w:rsidRPr="008625DC">
        <w:t>g</w:t>
      </w:r>
      <w:r w:rsidRPr="008625DC">
        <w:t>overnment achieves efficiencies by being the only supplier</w:t>
      </w:r>
      <w:r w:rsidR="00D4695F" w:rsidRPr="008625DC">
        <w:t xml:space="preserve"> or purchaser</w:t>
      </w:r>
      <w:r w:rsidRPr="008625DC">
        <w:t xml:space="preserve">. For example, the </w:t>
      </w:r>
      <w:r w:rsidR="00DE0688" w:rsidRPr="008625DC">
        <w:t>Australian Government</w:t>
      </w:r>
      <w:r w:rsidRPr="008625DC">
        <w:t xml:space="preserve"> is currently the sole purchaser of </w:t>
      </w:r>
      <w:r w:rsidR="00D4695F" w:rsidRPr="008625DC">
        <w:t xml:space="preserve">PBS subsidised </w:t>
      </w:r>
      <w:r w:rsidRPr="008625DC">
        <w:t>pharmaceuticals, which may allow for lower pharmaceutical prices</w:t>
      </w:r>
      <w:r w:rsidR="001665D6" w:rsidRPr="008625DC">
        <w:t xml:space="preserve"> to be achieved</w:t>
      </w:r>
      <w:r w:rsidRPr="008625DC">
        <w:t xml:space="preserve">. </w:t>
      </w:r>
    </w:p>
    <w:p w14:paraId="3769F323" w14:textId="0D5DD828" w:rsidR="000225AB" w:rsidRPr="008625DC" w:rsidRDefault="000225AB" w:rsidP="000225AB">
      <w:r w:rsidRPr="008625DC">
        <w:t>In contrast, a market which currently has many suppliers (or the potential for many suppliers to enter) will make it easier to introduce consumer choice.</w:t>
      </w:r>
      <w:r w:rsidR="00787DCF" w:rsidRPr="008625DC">
        <w:t xml:space="preserve"> </w:t>
      </w:r>
      <w:r w:rsidRPr="008625DC">
        <w:t>The recent consumer choice reforms to aged care and disability services (</w:t>
      </w:r>
      <w:r w:rsidR="00B64EE3" w:rsidRPr="008625DC">
        <w:t>see</w:t>
      </w:r>
      <w:r w:rsidRPr="008625DC">
        <w:t xml:space="preserve"> </w:t>
      </w:r>
      <w:r w:rsidR="003E52A5" w:rsidRPr="008625DC">
        <w:t>Box</w:t>
      </w:r>
      <w:r w:rsidR="00B64EE3" w:rsidRPr="008625DC">
        <w:t> </w:t>
      </w:r>
      <w:r w:rsidR="00AE1285" w:rsidRPr="008625DC">
        <w:t>10.7</w:t>
      </w:r>
      <w:r w:rsidRPr="008625DC">
        <w:t xml:space="preserve">) were made easier </w:t>
      </w:r>
      <w:r w:rsidR="00333B72" w:rsidRPr="008625DC">
        <w:t>because there were</w:t>
      </w:r>
      <w:r w:rsidRPr="008625DC">
        <w:t xml:space="preserve"> a number of existing private providers already operating alongside government providers.</w:t>
      </w:r>
    </w:p>
    <w:p w14:paraId="76A150CA" w14:textId="67F21965" w:rsidR="000225AB" w:rsidRPr="008625DC" w:rsidRDefault="000225AB" w:rsidP="000225AB">
      <w:r w:rsidRPr="008625DC">
        <w:t xml:space="preserve">It may be possible for </w:t>
      </w:r>
      <w:r w:rsidR="001665D6" w:rsidRPr="008625DC">
        <w:t>g</w:t>
      </w:r>
      <w:r w:rsidRPr="008625DC">
        <w:t>overnment to encourage the entry of suppliers into markets which are being opened up to consumer choice, for example</w:t>
      </w:r>
      <w:r w:rsidR="00357E20" w:rsidRPr="008625DC">
        <w:t>,</w:t>
      </w:r>
      <w:r w:rsidRPr="008625DC">
        <w:t xml:space="preserve"> by assisting with start</w:t>
      </w:r>
      <w:r w:rsidR="00C74E19" w:rsidRPr="008625DC">
        <w:noBreakHyphen/>
      </w:r>
      <w:r w:rsidRPr="008625DC">
        <w:t>up costs, or guaranteeing a number of initial consumers. Social Benefit Bonds are an example of this.</w:t>
      </w:r>
      <w:r w:rsidR="00F45C71" w:rsidRPr="008625DC">
        <w:rPr>
          <w:rStyle w:val="FootnoteReference"/>
        </w:rPr>
        <w:footnoteReference w:id="179"/>
      </w:r>
    </w:p>
    <w:p w14:paraId="25A555BD" w14:textId="207CEF32" w:rsidR="000225AB" w:rsidRPr="008625DC" w:rsidRDefault="000225AB" w:rsidP="000225AB">
      <w:r w:rsidRPr="008625DC">
        <w:t xml:space="preserve">If </w:t>
      </w:r>
      <w:r w:rsidR="001665D6" w:rsidRPr="008625DC">
        <w:t>g</w:t>
      </w:r>
      <w:r w:rsidRPr="008625DC">
        <w:t>overnment is currently the sole (or one of few) suppliers in the market, there may also be a large investment required in building up the skills in the non</w:t>
      </w:r>
      <w:r w:rsidR="00C74E19" w:rsidRPr="008625DC">
        <w:noBreakHyphen/>
      </w:r>
      <w:r w:rsidRPr="008625DC">
        <w:t>government sector to deliver the services. Unexpected implementation problems may also arise, including controlling for quality of service.</w:t>
      </w:r>
    </w:p>
    <w:p w14:paraId="52D6ECFB" w14:textId="4035C84A" w:rsidR="000225AB" w:rsidRPr="008625DC" w:rsidRDefault="000225AB" w:rsidP="000225AB">
      <w:r w:rsidRPr="008625DC">
        <w:t>Good information is also crucial to guiding consumer choice</w:t>
      </w:r>
      <w:r w:rsidR="0004556B" w:rsidRPr="008625DC">
        <w:t>. I</w:t>
      </w:r>
      <w:r w:rsidR="001665D6" w:rsidRPr="008625DC">
        <w:t>f</w:t>
      </w:r>
      <w:r w:rsidRPr="008625DC">
        <w:t xml:space="preserve"> consumer</w:t>
      </w:r>
      <w:r w:rsidR="001665D6" w:rsidRPr="008625DC">
        <w:t>s</w:t>
      </w:r>
      <w:r w:rsidRPr="008625DC">
        <w:t xml:space="preserve"> or their </w:t>
      </w:r>
      <w:r w:rsidR="001665D6" w:rsidRPr="008625DC">
        <w:t>agents lack</w:t>
      </w:r>
      <w:r w:rsidRPr="008625DC">
        <w:t xml:space="preserve"> information, it will be difficult for them to make a proper choice about the best course of action. </w:t>
      </w:r>
    </w:p>
    <w:p w14:paraId="1A4E314D" w14:textId="6F1BDA8C" w:rsidR="000225AB" w:rsidRPr="008625DC" w:rsidRDefault="000225AB" w:rsidP="000225AB">
      <w:r w:rsidRPr="008625DC">
        <w:t>It will be easier to apply consumer choice to a repeat or ongoing transaction, for example</w:t>
      </w:r>
      <w:r w:rsidR="001665D6" w:rsidRPr="008625DC">
        <w:t>,</w:t>
      </w:r>
      <w:r w:rsidRPr="008625DC">
        <w:t xml:space="preserve"> choice of in</w:t>
      </w:r>
      <w:r w:rsidR="00C74E19" w:rsidRPr="008625DC">
        <w:noBreakHyphen/>
      </w:r>
      <w:r w:rsidRPr="008625DC">
        <w:t>home disability support, rather than to a one</w:t>
      </w:r>
      <w:r w:rsidR="00C74E19" w:rsidRPr="008625DC">
        <w:noBreakHyphen/>
      </w:r>
      <w:r w:rsidRPr="008625DC">
        <w:t xml:space="preserve">off transaction. In addition, consumers who are in a catastrophic situation, such as requiring emergency surgery, </w:t>
      </w:r>
      <w:r w:rsidR="009D5601" w:rsidRPr="008625DC">
        <w:t>may not have the capacity to exercise choice</w:t>
      </w:r>
      <w:r w:rsidRPr="008625DC">
        <w:t>.</w:t>
      </w:r>
    </w:p>
    <w:p w14:paraId="44C621D3" w14:textId="06BE3BF6" w:rsidR="000225AB" w:rsidRPr="008625DC" w:rsidRDefault="000225AB" w:rsidP="000225AB">
      <w:r w:rsidRPr="008625DC">
        <w:t>Capacity constraints are also an issue in human services, as the number of places that can be offered may restrict consumer choice. For example, not all children can go to the same school and not all patients can be treated in the same hospital.</w:t>
      </w:r>
      <w:r w:rsidR="00787DCF" w:rsidRPr="008625DC">
        <w:t xml:space="preserve"> </w:t>
      </w:r>
      <w:r w:rsidRPr="008625DC">
        <w:t>If choice leads to an excess of demand over supply, some way of managing demand will be required. This may lead to constrained choice or there may be queuing.</w:t>
      </w:r>
      <w:r w:rsidR="00787DCF" w:rsidRPr="008625DC">
        <w:t xml:space="preserve"> </w:t>
      </w:r>
      <w:r w:rsidRPr="008625DC">
        <w:t xml:space="preserve">However, this may </w:t>
      </w:r>
      <w:r w:rsidR="001665D6" w:rsidRPr="008625DC">
        <w:t xml:space="preserve">still </w:t>
      </w:r>
      <w:r w:rsidRPr="008625DC">
        <w:t>be a better outcome for consumers than having no choice at all.</w:t>
      </w:r>
    </w:p>
    <w:p w14:paraId="4C72F67A" w14:textId="01852558" w:rsidR="00467D2E" w:rsidRPr="008625DC" w:rsidRDefault="00467D2E" w:rsidP="00467D2E">
      <w:r w:rsidRPr="008625DC">
        <w:t xml:space="preserve">On the other hand, allowing for consumer choice, particularly in areas where the government was previously the main or sole service </w:t>
      </w:r>
      <w:proofErr w:type="gramStart"/>
      <w:r w:rsidR="005434EE" w:rsidRPr="008625DC">
        <w:t>provider,</w:t>
      </w:r>
      <w:proofErr w:type="gramEnd"/>
      <w:r w:rsidRPr="008625DC">
        <w:t xml:space="preserve"> will open </w:t>
      </w:r>
      <w:r w:rsidR="005434EE" w:rsidRPr="008625DC">
        <w:t xml:space="preserve">up </w:t>
      </w:r>
      <w:r w:rsidRPr="008625DC">
        <w:t xml:space="preserve">the possibility that some providers cannot attract enough customers and so will fail. </w:t>
      </w:r>
      <w:r w:rsidR="005434EE" w:rsidRPr="008625DC">
        <w:t xml:space="preserve">Provider failure is a normal part of operating in </w:t>
      </w:r>
      <w:r w:rsidR="005308C0" w:rsidRPr="008625DC">
        <w:t>all</w:t>
      </w:r>
      <w:r w:rsidR="005434EE" w:rsidRPr="008625DC">
        <w:t xml:space="preserve"> markets and if providers face no threat of exit if they underperform then the full </w:t>
      </w:r>
      <w:r w:rsidR="005308C0" w:rsidRPr="008625DC">
        <w:t xml:space="preserve">consumer </w:t>
      </w:r>
      <w:r w:rsidR="005434EE" w:rsidRPr="008625DC">
        <w:t xml:space="preserve">benefits are unlikely to be realised. </w:t>
      </w:r>
      <w:r w:rsidRPr="008625DC">
        <w:t>As previously noted, government will need to design the market policy and regulatory oversight. This will include</w:t>
      </w:r>
      <w:r w:rsidRPr="008625DC" w:rsidDel="00F8725A">
        <w:t xml:space="preserve"> </w:t>
      </w:r>
      <w:r w:rsidR="005434EE" w:rsidRPr="008625DC">
        <w:t xml:space="preserve">arrangements for service continuity </w:t>
      </w:r>
      <w:r w:rsidRPr="008625DC">
        <w:t xml:space="preserve">in case of provider failure. </w:t>
      </w:r>
    </w:p>
    <w:p w14:paraId="000C871B" w14:textId="5D519E78" w:rsidR="000225AB" w:rsidRPr="008625DC" w:rsidRDefault="000225AB" w:rsidP="000225AB">
      <w:r w:rsidRPr="008625DC">
        <w:t>It will be easier to apply consumer choice where consumers can easily switch between service providers.</w:t>
      </w:r>
      <w:r w:rsidR="00787DCF" w:rsidRPr="008625DC">
        <w:t xml:space="preserve"> </w:t>
      </w:r>
      <w:r w:rsidRPr="008625DC">
        <w:t>Consumer choice may not lead to efficient or competitive outcomes where there are financial costs (e.g. increased travel costs associated with a new provider) or non</w:t>
      </w:r>
      <w:r w:rsidR="00C74E19" w:rsidRPr="008625DC">
        <w:noBreakHyphen/>
      </w:r>
      <w:r w:rsidRPr="008625DC">
        <w:t>financial costs (e.g.</w:t>
      </w:r>
      <w:r w:rsidR="00E5196A" w:rsidRPr="008625DC">
        <w:t> </w:t>
      </w:r>
      <w:r w:rsidRPr="008625DC">
        <w:t>a child may be unwilling to change schools due to the social networks they have established).</w:t>
      </w:r>
    </w:p>
    <w:p w14:paraId="7BA7B60D" w14:textId="3FA8BE09" w:rsidR="000225AB" w:rsidRPr="008625DC" w:rsidRDefault="000225AB" w:rsidP="000225AB">
      <w:r w:rsidRPr="008625DC">
        <w:t xml:space="preserve">If </w:t>
      </w:r>
      <w:r w:rsidR="001665D6" w:rsidRPr="008625DC">
        <w:t>g</w:t>
      </w:r>
      <w:r w:rsidRPr="008625DC">
        <w:t xml:space="preserve">overnment wishes to have tight control and set prescriptive standards over the product </w:t>
      </w:r>
      <w:r w:rsidR="0004556B" w:rsidRPr="008625DC">
        <w:t xml:space="preserve">or service </w:t>
      </w:r>
      <w:r w:rsidRPr="008625DC">
        <w:t>provided to consumers, then the usual benefits of competition</w:t>
      </w:r>
      <w:r w:rsidR="00380141" w:rsidRPr="008625DC">
        <w:t xml:space="preserve"> — </w:t>
      </w:r>
      <w:r w:rsidRPr="008625DC">
        <w:t>diversity of product, innovation and price competition</w:t>
      </w:r>
      <w:r w:rsidR="00380141" w:rsidRPr="008625DC">
        <w:t xml:space="preserve"> — </w:t>
      </w:r>
      <w:r w:rsidRPr="008625DC">
        <w:t xml:space="preserve">are unlikely to arise. In these cases, it may be more efficient for </w:t>
      </w:r>
      <w:r w:rsidR="001665D6" w:rsidRPr="008625DC">
        <w:t>g</w:t>
      </w:r>
      <w:r w:rsidRPr="008625DC">
        <w:t xml:space="preserve">overnment to remain the sole provider of the service, or to pursue joint venture or managed competition models with </w:t>
      </w:r>
      <w:r w:rsidR="0004556B" w:rsidRPr="008625DC">
        <w:t>non</w:t>
      </w:r>
      <w:r w:rsidR="00C74E19" w:rsidRPr="008625DC">
        <w:noBreakHyphen/>
      </w:r>
      <w:r w:rsidR="0004556B" w:rsidRPr="008625DC">
        <w:t>government providers</w:t>
      </w:r>
      <w:r w:rsidRPr="008625DC">
        <w:t>.</w:t>
      </w:r>
    </w:p>
    <w:p w14:paraId="6C00071C" w14:textId="77777777" w:rsidR="000225AB" w:rsidRPr="008625DC" w:rsidRDefault="000225AB" w:rsidP="00FB084C">
      <w:pPr>
        <w:pStyle w:val="Heading3"/>
      </w:pPr>
      <w:r w:rsidRPr="008625DC">
        <w:lastRenderedPageBreak/>
        <w:t>Limits to consumer choice in human services</w:t>
      </w:r>
    </w:p>
    <w:p w14:paraId="581DA459" w14:textId="77777777" w:rsidR="000225AB" w:rsidRPr="008625DC" w:rsidRDefault="000225AB" w:rsidP="004235E4">
      <w:r w:rsidRPr="008625DC">
        <w:t>In some circumstances, consumers may not be in the best position to choose the appropriate service, and so another model (e.g. government choice or service provider choice) may be more appropriate.</w:t>
      </w:r>
    </w:p>
    <w:p w14:paraId="0436C8D2" w14:textId="7B679357" w:rsidR="000225AB" w:rsidRPr="008625DC" w:rsidRDefault="000225AB" w:rsidP="004235E4">
      <w:r w:rsidRPr="008625DC">
        <w:t>In some human services, the consequences of consumers making the wrong choice can be very severe. As the Consumer</w:t>
      </w:r>
      <w:r w:rsidR="00C74E19" w:rsidRPr="008625DC">
        <w:t>’</w:t>
      </w:r>
      <w:r w:rsidRPr="008625DC">
        <w:t xml:space="preserve">s Federation of Australia </w:t>
      </w:r>
      <w:r w:rsidR="001665D6" w:rsidRPr="008625DC">
        <w:t>notes</w:t>
      </w:r>
      <w:r w:rsidRPr="008625DC">
        <w:t xml:space="preserve"> </w:t>
      </w:r>
      <w:r w:rsidR="00C74E19" w:rsidRPr="008625DC">
        <w:t>‘</w:t>
      </w:r>
      <w:r w:rsidRPr="008625DC">
        <w:t xml:space="preserve">the risk of making a </w:t>
      </w:r>
      <w:r w:rsidR="00C74E19" w:rsidRPr="008625DC">
        <w:t>‘</w:t>
      </w:r>
      <w:r w:rsidRPr="008625DC">
        <w:t>wrong</w:t>
      </w:r>
      <w:r w:rsidR="00C74E19" w:rsidRPr="008625DC">
        <w:t>’</w:t>
      </w:r>
      <w:r w:rsidRPr="008625DC">
        <w:t xml:space="preserve"> choice in health or education can have significant long</w:t>
      </w:r>
      <w:r w:rsidR="00C74E19" w:rsidRPr="008625DC">
        <w:noBreakHyphen/>
      </w:r>
      <w:r w:rsidRPr="008625DC">
        <w:t>term consequences</w:t>
      </w:r>
      <w:r w:rsidR="004235E4" w:rsidRPr="008625DC">
        <w:t xml:space="preserve"> </w:t>
      </w:r>
      <w:r w:rsidRPr="008625DC">
        <w:t>… it is not appropriate or fair to pass on those risks [to consumers] in the absence of an appropriate, and high standard, safety net in public services</w:t>
      </w:r>
      <w:r w:rsidR="00C74E19" w:rsidRPr="008625DC">
        <w:t>’</w:t>
      </w:r>
      <w:r w:rsidR="00E5196A" w:rsidRPr="008625DC">
        <w:t>.</w:t>
      </w:r>
      <w:r w:rsidR="0004556B" w:rsidRPr="008625DC">
        <w:t xml:space="preserve"> (</w:t>
      </w:r>
      <w:proofErr w:type="gramStart"/>
      <w:r w:rsidR="004235E4" w:rsidRPr="008625DC">
        <w:t>pages</w:t>
      </w:r>
      <w:proofErr w:type="gramEnd"/>
      <w:r w:rsidR="00C22703" w:rsidRPr="008625DC">
        <w:t xml:space="preserve"> 8</w:t>
      </w:r>
      <w:r w:rsidR="00C74E19" w:rsidRPr="008625DC">
        <w:noBreakHyphen/>
      </w:r>
      <w:r w:rsidR="00DE0688" w:rsidRPr="008625DC">
        <w:t>9</w:t>
      </w:r>
      <w:r w:rsidR="00E5196A" w:rsidRPr="008625DC">
        <w:t>)</w:t>
      </w:r>
    </w:p>
    <w:p w14:paraId="44C2D5A3" w14:textId="35D4208E" w:rsidR="000225AB" w:rsidRPr="008625DC" w:rsidRDefault="000225AB" w:rsidP="004235E4">
      <w:r w:rsidRPr="008625DC">
        <w:t xml:space="preserve">In other cases people do not </w:t>
      </w:r>
      <w:r w:rsidR="0004556B" w:rsidRPr="008625DC">
        <w:t xml:space="preserve">really </w:t>
      </w:r>
      <w:r w:rsidRPr="008625DC">
        <w:t xml:space="preserve">choose to use </w:t>
      </w:r>
      <w:r w:rsidR="0004556B" w:rsidRPr="008625DC">
        <w:t xml:space="preserve">a particular </w:t>
      </w:r>
      <w:r w:rsidRPr="008625DC">
        <w:t xml:space="preserve">human </w:t>
      </w:r>
      <w:r w:rsidR="0004556B" w:rsidRPr="008625DC">
        <w:t>service</w:t>
      </w:r>
      <w:r w:rsidRPr="008625DC">
        <w:t>, but do so in response to adverse circumstances beyond their control. If the need for the service is time</w:t>
      </w:r>
      <w:r w:rsidR="00C74E19" w:rsidRPr="008625DC">
        <w:noBreakHyphen/>
      </w:r>
      <w:r w:rsidRPr="008625DC">
        <w:t xml:space="preserve">critical, there may be </w:t>
      </w:r>
      <w:r w:rsidR="009D5601" w:rsidRPr="008625DC">
        <w:t>little</w:t>
      </w:r>
      <w:r w:rsidRPr="008625DC">
        <w:t xml:space="preserve"> room for consumers to exercise choice. For example, once a patient has arrived at the emergency </w:t>
      </w:r>
      <w:r w:rsidR="009D5601" w:rsidRPr="008625DC">
        <w:t>department</w:t>
      </w:r>
      <w:r w:rsidRPr="008625DC">
        <w:t xml:space="preserve">, decisions </w:t>
      </w:r>
      <w:r w:rsidR="005308C0" w:rsidRPr="008625DC">
        <w:t>need to be</w:t>
      </w:r>
      <w:r w:rsidR="009D5601" w:rsidRPr="008625DC">
        <w:t xml:space="preserve"> </w:t>
      </w:r>
      <w:r w:rsidRPr="008625DC">
        <w:t xml:space="preserve">made by the service provider </w:t>
      </w:r>
      <w:r w:rsidR="009D5601" w:rsidRPr="008625DC">
        <w:t xml:space="preserve">about what treatment is required </w:t>
      </w:r>
      <w:r w:rsidRPr="008625DC">
        <w:t xml:space="preserve">(with little room for the patient or other party who </w:t>
      </w:r>
      <w:r w:rsidR="001665D6" w:rsidRPr="008625DC">
        <w:t>may</w:t>
      </w:r>
      <w:r w:rsidRPr="008625DC">
        <w:t xml:space="preserve"> be footing the bill to decide the best </w:t>
      </w:r>
      <w:r w:rsidR="009D5601" w:rsidRPr="008625DC">
        <w:t>treatment, price and value</w:t>
      </w:r>
      <w:r w:rsidRPr="008625DC">
        <w:t>).</w:t>
      </w:r>
    </w:p>
    <w:p w14:paraId="018AB4A5" w14:textId="16A06E5C" w:rsidR="000225AB" w:rsidRPr="008625DC" w:rsidRDefault="000225AB" w:rsidP="004235E4">
      <w:r w:rsidRPr="008625DC">
        <w:t>Some vulnerable consumers will be unable to exercise choice</w:t>
      </w:r>
      <w:r w:rsidR="001665D6" w:rsidRPr="008625DC">
        <w:t xml:space="preserve"> fully</w:t>
      </w:r>
      <w:r w:rsidRPr="008625DC">
        <w:t xml:space="preserve">, for example patients in need of drug or alcohol rehabilitation. In other cases consumers may not wish to exercise choice, </w:t>
      </w:r>
      <w:r w:rsidR="00F8725A" w:rsidRPr="008625DC">
        <w:t xml:space="preserve">and consider this </w:t>
      </w:r>
      <w:r w:rsidRPr="008625DC">
        <w:t xml:space="preserve">a burden they do not wish to shoulder. This suggests that a </w:t>
      </w:r>
      <w:r w:rsidR="00C74E19" w:rsidRPr="008625DC">
        <w:t>‘</w:t>
      </w:r>
      <w:r w:rsidRPr="008625DC">
        <w:t>default option</w:t>
      </w:r>
      <w:r w:rsidR="00C74E19" w:rsidRPr="008625DC">
        <w:t>’</w:t>
      </w:r>
      <w:r w:rsidRPr="008625DC">
        <w:t xml:space="preserve"> should always be available.</w:t>
      </w:r>
    </w:p>
    <w:p w14:paraId="4140DD08" w14:textId="55DAF623" w:rsidR="000225AB" w:rsidRPr="008625DC" w:rsidRDefault="000225AB" w:rsidP="004235E4">
      <w:r w:rsidRPr="008625DC">
        <w:t xml:space="preserve">There are also situations where it may be very costly or complex to provide </w:t>
      </w:r>
      <w:r w:rsidR="009D5601" w:rsidRPr="008625DC">
        <w:t>adequate</w:t>
      </w:r>
      <w:r w:rsidRPr="008625DC">
        <w:t xml:space="preserve"> information to consumer</w:t>
      </w:r>
      <w:r w:rsidR="001665D6" w:rsidRPr="008625DC">
        <w:t>s</w:t>
      </w:r>
      <w:r w:rsidRPr="008625DC">
        <w:t xml:space="preserve"> to allow them to make informed decision</w:t>
      </w:r>
      <w:r w:rsidR="001665D6" w:rsidRPr="008625DC">
        <w:t>s</w:t>
      </w:r>
      <w:r w:rsidRPr="008625DC">
        <w:t>. C</w:t>
      </w:r>
      <w:r w:rsidR="00F241EF" w:rsidRPr="008625DC">
        <w:t>HOICE</w:t>
      </w:r>
      <w:r w:rsidRPr="008625DC">
        <w:t xml:space="preserve"> highlights </w:t>
      </w:r>
      <w:r w:rsidR="00C74E19" w:rsidRPr="008625DC">
        <w:t>‘</w:t>
      </w:r>
      <w:r w:rsidRPr="008625DC">
        <w:t>the importance of better information on factors that matter to consumers, in forms that they can use, in any extension of competition within health and education. This will require government to ensure that suppliers make base data available, in usable formats.</w:t>
      </w:r>
      <w:r w:rsidR="00C74E19" w:rsidRPr="008625DC">
        <w:t>’</w:t>
      </w:r>
      <w:r w:rsidR="0004556B" w:rsidRPr="008625DC">
        <w:t xml:space="preserve"> (</w:t>
      </w:r>
      <w:proofErr w:type="gramStart"/>
      <w:r w:rsidR="0004556B" w:rsidRPr="008625DC">
        <w:t>p</w:t>
      </w:r>
      <w:r w:rsidR="004235E4" w:rsidRPr="008625DC">
        <w:t>age</w:t>
      </w:r>
      <w:proofErr w:type="gramEnd"/>
      <w:r w:rsidR="0004556B" w:rsidRPr="008625DC">
        <w:t xml:space="preserve"> </w:t>
      </w:r>
      <w:r w:rsidR="00C22703" w:rsidRPr="008625DC">
        <w:t>27</w:t>
      </w:r>
      <w:r w:rsidR="0004556B" w:rsidRPr="008625DC">
        <w:t>)</w:t>
      </w:r>
    </w:p>
    <w:p w14:paraId="2658F23E" w14:textId="4506B63F" w:rsidR="00213350" w:rsidRPr="008625DC" w:rsidRDefault="00213350" w:rsidP="00E5196A">
      <w:pPr>
        <w:spacing w:after="120"/>
      </w:pPr>
      <w:r w:rsidRPr="008625DC">
        <w:t>In other circumstances, choice may need to be balanced against other factors</w:t>
      </w:r>
      <w:r w:rsidRPr="008625DC">
        <w:rPr>
          <w:rFonts w:cs="ArialMT"/>
        </w:rPr>
        <w:t xml:space="preserve"> including </w:t>
      </w:r>
      <w:r w:rsidRPr="008625DC">
        <w:t>access to high</w:t>
      </w:r>
      <w:r w:rsidR="00C74E19" w:rsidRPr="008625DC">
        <w:noBreakHyphen/>
      </w:r>
      <w:r w:rsidRPr="008625DC">
        <w:t>quality services and social equity. For example, in school education, a recent OECD report found that:</w:t>
      </w:r>
    </w:p>
    <w:p w14:paraId="49387831" w14:textId="4F8C6AAA" w:rsidR="00213350" w:rsidRPr="008625DC" w:rsidRDefault="00213350" w:rsidP="00AD2BDD">
      <w:pPr>
        <w:pStyle w:val="Quotes"/>
      </w:pPr>
      <w:r w:rsidRPr="008625DC">
        <w:t>School systems with low levels of competition among schools often have high levels of social inclusion, meaning that students from diverse social backgrounds attend the same schools. In contrast, in systems where parents can choose schools, and schools compete for enrolment, schools are often more socially segregated.</w:t>
      </w:r>
      <w:r w:rsidRPr="008625DC">
        <w:rPr>
          <w:rStyle w:val="FootnoteReference"/>
        </w:rPr>
        <w:footnoteReference w:id="180"/>
      </w:r>
    </w:p>
    <w:p w14:paraId="30534016" w14:textId="2A7EE0E9" w:rsidR="00B85EC5" w:rsidRPr="008625DC" w:rsidRDefault="00213350" w:rsidP="00B85EC5">
      <w:r w:rsidRPr="008625DC">
        <w:t xml:space="preserve">Outcomes from </w:t>
      </w:r>
      <w:r w:rsidR="00B85EC5" w:rsidRPr="008625DC">
        <w:t>Sweden</w:t>
      </w:r>
      <w:r w:rsidR="00C74E19" w:rsidRPr="008625DC">
        <w:t>’</w:t>
      </w:r>
      <w:r w:rsidR="00B85EC5" w:rsidRPr="008625DC">
        <w:t>s education choice system are consistent with the OECD findings that certain types of families tend to make better use of the choice system, increasing social segregation.</w:t>
      </w:r>
      <w:r w:rsidR="00606C19" w:rsidRPr="008625DC">
        <w:rPr>
          <w:rStyle w:val="FootnoteReference"/>
        </w:rPr>
        <w:footnoteReference w:id="181"/>
      </w:r>
      <w:r w:rsidR="00B85EC5" w:rsidRPr="008625DC">
        <w:t xml:space="preserve"> This highlights that formal equality of access is not enough in all cases to ensure that every family understands the system and uses it. </w:t>
      </w:r>
    </w:p>
    <w:p w14:paraId="10F30FA8" w14:textId="2BD4F643" w:rsidR="00556F30" w:rsidRPr="008625DC" w:rsidRDefault="00556F30" w:rsidP="00556F30">
      <w:r w:rsidRPr="008625DC">
        <w:t>However, inequality is often worse without choice. In the context of school choice, not permitting consumers to choose between government</w:t>
      </w:r>
      <w:r w:rsidR="00C74E19" w:rsidRPr="008625DC">
        <w:noBreakHyphen/>
      </w:r>
      <w:r w:rsidRPr="008625DC">
        <w:t>funded providers will constrain choice to those able to afford private schools.</w:t>
      </w:r>
    </w:p>
    <w:p w14:paraId="706C537F" w14:textId="6D4A7AAF" w:rsidR="000225AB" w:rsidRPr="008625DC" w:rsidRDefault="00BC70F0" w:rsidP="000225AB">
      <w:r w:rsidRPr="008625DC">
        <w:t>T</w:t>
      </w:r>
      <w:r w:rsidR="00B85EC5" w:rsidRPr="008625DC">
        <w:t>here have also been demonstrated benefits from Sweden</w:t>
      </w:r>
      <w:r w:rsidR="00C74E19" w:rsidRPr="008625DC">
        <w:t>’</w:t>
      </w:r>
      <w:r w:rsidR="00B85EC5" w:rsidRPr="008625DC">
        <w:t xml:space="preserve">s education choice system, including the emergence of a number of innovative school models from the independent sector. There has also </w:t>
      </w:r>
      <w:r w:rsidR="00B85EC5" w:rsidRPr="008625DC">
        <w:lastRenderedPageBreak/>
        <w:t>been evidence that schools perform better in areas where parents are given more choice of schools.</w:t>
      </w:r>
      <w:r w:rsidR="00B85EC5" w:rsidRPr="008625DC">
        <w:rPr>
          <w:rStyle w:val="FootnoteReference"/>
        </w:rPr>
        <w:footnoteReference w:id="182"/>
      </w:r>
      <w:r w:rsidR="002C325C" w:rsidRPr="008625DC">
        <w:t xml:space="preserve"> </w:t>
      </w:r>
      <w:r w:rsidR="000225AB" w:rsidRPr="008625DC">
        <w:t xml:space="preserve">It is important to note that </w:t>
      </w:r>
      <w:r w:rsidR="000225AB" w:rsidRPr="008625DC">
        <w:rPr>
          <w:i/>
        </w:rPr>
        <w:t>someone</w:t>
      </w:r>
      <w:r w:rsidR="000225AB" w:rsidRPr="008625DC">
        <w:t xml:space="preserve"> will always be making a choice about what service is provided to consumers, whether that is the government, the service provider (e.g. doctor), a purchase adviser or consumer</w:t>
      </w:r>
      <w:r w:rsidR="001665D6" w:rsidRPr="008625DC">
        <w:t>s</w:t>
      </w:r>
      <w:r w:rsidR="000225AB" w:rsidRPr="008625DC">
        <w:t xml:space="preserve"> themselves. When government is making the choice for the consumer, it is possible that sub</w:t>
      </w:r>
      <w:r w:rsidR="00C74E19" w:rsidRPr="008625DC">
        <w:noBreakHyphen/>
      </w:r>
      <w:r w:rsidR="000225AB" w:rsidRPr="008625DC">
        <w:t>optimal decisions may be made due to factors such as poor program design or inadequate information on the consumer</w:t>
      </w:r>
      <w:r w:rsidR="00C74E19" w:rsidRPr="008625DC">
        <w:t>’</w:t>
      </w:r>
      <w:r w:rsidR="000225AB" w:rsidRPr="008625DC">
        <w:t>s needs and preferences.</w:t>
      </w:r>
    </w:p>
    <w:p w14:paraId="06CC2168" w14:textId="06D1142B" w:rsidR="000225AB" w:rsidRPr="008625DC" w:rsidRDefault="00461494" w:rsidP="00FB084C">
      <w:pPr>
        <w:pStyle w:val="Heading3"/>
      </w:pPr>
      <w:r w:rsidRPr="008625DC">
        <w:t>Consumer information</w:t>
      </w:r>
      <w:r w:rsidR="00CA06FE" w:rsidRPr="008625DC">
        <w:t xml:space="preserve"> in human services</w:t>
      </w:r>
    </w:p>
    <w:p w14:paraId="32EEEA8B" w14:textId="5EAF5F05" w:rsidR="00A66B50" w:rsidRPr="008625DC" w:rsidRDefault="000225AB" w:rsidP="003508FF">
      <w:r w:rsidRPr="008625DC">
        <w:t xml:space="preserve">In order to </w:t>
      </w:r>
      <w:r w:rsidR="00726F65" w:rsidRPr="008625DC">
        <w:t>choose what is right for them</w:t>
      </w:r>
      <w:r w:rsidRPr="008625DC">
        <w:t xml:space="preserve">, consumers must be able and willing to gather and process </w:t>
      </w:r>
      <w:r w:rsidR="0004556B" w:rsidRPr="008625DC">
        <w:t>the right</w:t>
      </w:r>
      <w:r w:rsidRPr="008625DC">
        <w:t xml:space="preserve"> information. </w:t>
      </w:r>
      <w:r w:rsidR="00A66B50" w:rsidRPr="008625DC">
        <w:t>Ideally, this information should be freely available, aggregated (e.g. on a single website), easy to interpret and access, and relevant to the user</w:t>
      </w:r>
      <w:r w:rsidR="00C74E19" w:rsidRPr="008625DC">
        <w:t>’</w:t>
      </w:r>
      <w:r w:rsidR="00A66B50" w:rsidRPr="008625DC">
        <w:t>s needs. Consumers should have access to objective, outcomes</w:t>
      </w:r>
      <w:r w:rsidR="00C74E19" w:rsidRPr="008625DC">
        <w:noBreakHyphen/>
      </w:r>
      <w:r w:rsidR="00A66B50" w:rsidRPr="008625DC">
        <w:t xml:space="preserve">based data on available services, and/or to feedback from previous users of the services (noting that this may raise issues of </w:t>
      </w:r>
      <w:r w:rsidR="003508FF" w:rsidRPr="008625DC">
        <w:t xml:space="preserve">privacy and </w:t>
      </w:r>
      <w:r w:rsidR="00A66B50" w:rsidRPr="008625DC">
        <w:t xml:space="preserve">misinformation). </w:t>
      </w:r>
    </w:p>
    <w:p w14:paraId="10B574A7" w14:textId="27BAB285" w:rsidR="003F3A8C" w:rsidRPr="008625DC" w:rsidRDefault="003F3A8C" w:rsidP="003508FF">
      <w:r w:rsidRPr="008625DC">
        <w:t xml:space="preserve">Disadvantaged individuals and groups may need greater assistance in navigating the choices they face. This can </w:t>
      </w:r>
      <w:r w:rsidR="00427DBE" w:rsidRPr="008625DC">
        <w:t>include</w:t>
      </w:r>
      <w:r w:rsidRPr="008625DC">
        <w:t xml:space="preserve"> providing information through accessible communication channels that suit individual consumers</w:t>
      </w:r>
      <w:r w:rsidR="00C74E19" w:rsidRPr="008625DC">
        <w:t>’</w:t>
      </w:r>
      <w:r w:rsidRPr="008625DC">
        <w:t xml:space="preserve"> needs. </w:t>
      </w:r>
    </w:p>
    <w:p w14:paraId="12A8A3D3" w14:textId="77FDBC0A" w:rsidR="00A66B50" w:rsidRPr="008625DC" w:rsidRDefault="00A66B50" w:rsidP="003508FF">
      <w:r w:rsidRPr="008625DC">
        <w:t xml:space="preserve">Where complexity is high, there can be a role for </w:t>
      </w:r>
      <w:r w:rsidR="00C74E19" w:rsidRPr="008625DC">
        <w:t>‘</w:t>
      </w:r>
      <w:r w:rsidRPr="008625DC">
        <w:t>mediated choice</w:t>
      </w:r>
      <w:r w:rsidR="00C74E19" w:rsidRPr="008625DC">
        <w:t>’</w:t>
      </w:r>
      <w:r w:rsidRPr="008625DC">
        <w:t xml:space="preserve">, such as the use of purchase advisers (e.g. a GP to assist in the choice of surgeon), or </w:t>
      </w:r>
      <w:r w:rsidR="0077411B" w:rsidRPr="008625DC">
        <w:t>where</w:t>
      </w:r>
      <w:r w:rsidRPr="008625DC">
        <w:t xml:space="preserve"> the individual is not in a good position to make a choice (e.g. a relative to assist in choosing care for a dementia sufferer).</w:t>
      </w:r>
    </w:p>
    <w:p w14:paraId="6AA19A82" w14:textId="6E1978D0" w:rsidR="00A66B50" w:rsidRPr="008625DC" w:rsidRDefault="00A66B50" w:rsidP="00A66B50">
      <w:r w:rsidRPr="008625DC">
        <w:t>Where a purchase adviser is used, the incentives of the adviser must be aligned with those of the consumer. The purchase adviser should not have financial or other incentives to over</w:t>
      </w:r>
      <w:r w:rsidR="00C74E19" w:rsidRPr="008625DC">
        <w:noBreakHyphen/>
      </w:r>
      <w:r w:rsidRPr="008625DC">
        <w:t>service the consumer (for example, by referring them for unnecessary health tests) or to refer the consumer to one particular service provider.</w:t>
      </w:r>
    </w:p>
    <w:tbl>
      <w:tblPr>
        <w:tblW w:w="9072" w:type="dxa"/>
        <w:tblInd w:w="108" w:type="dxa"/>
        <w:shd w:val="clear" w:color="auto" w:fill="E6E6E6"/>
        <w:tblLook w:val="01E0" w:firstRow="1" w:lastRow="1" w:firstColumn="1" w:lastColumn="1" w:noHBand="0" w:noVBand="0"/>
      </w:tblPr>
      <w:tblGrid>
        <w:gridCol w:w="9072"/>
      </w:tblGrid>
      <w:tr w:rsidR="000225AB" w:rsidRPr="008625DC" w14:paraId="1235A8AB" w14:textId="77777777" w:rsidTr="00F01103">
        <w:tc>
          <w:tcPr>
            <w:tcW w:w="5000" w:type="pct"/>
            <w:shd w:val="clear" w:color="auto" w:fill="E6E6E6"/>
          </w:tcPr>
          <w:p w14:paraId="44E2CB4B" w14:textId="19123DE4" w:rsidR="000225AB" w:rsidRPr="008625DC" w:rsidRDefault="003E52A5" w:rsidP="00F01103">
            <w:pPr>
              <w:pStyle w:val="BoxHeading"/>
              <w:spacing w:line="260" w:lineRule="exact"/>
              <w:jc w:val="both"/>
            </w:pPr>
            <w:r w:rsidRPr="008625DC">
              <w:lastRenderedPageBreak/>
              <w:t>Box</w:t>
            </w:r>
            <w:r w:rsidR="00B071F2" w:rsidRPr="008625DC">
              <w:t xml:space="preserve"> </w:t>
            </w:r>
            <w:r w:rsidR="00AE1285" w:rsidRPr="008625DC">
              <w:t>10.5</w:t>
            </w:r>
            <w:r w:rsidR="000225AB" w:rsidRPr="008625DC">
              <w:t xml:space="preserve">: </w:t>
            </w:r>
            <w:r w:rsidR="0077411B" w:rsidRPr="008625DC">
              <w:t>C</w:t>
            </w:r>
            <w:r w:rsidR="000225AB" w:rsidRPr="008625DC">
              <w:t>onsumer information systems</w:t>
            </w:r>
          </w:p>
          <w:p w14:paraId="2CAD3BB0" w14:textId="2BAE37C6" w:rsidR="00012CD2" w:rsidRPr="008625DC" w:rsidRDefault="00012CD2" w:rsidP="00E5196A">
            <w:pPr>
              <w:pStyle w:val="BoxText"/>
            </w:pPr>
            <w:r w:rsidRPr="008625DC">
              <w:rPr>
                <w:u w:val="single"/>
              </w:rPr>
              <w:t>Health information:</w:t>
            </w:r>
            <w:r w:rsidRPr="008625DC">
              <w:t xml:space="preserve"> There are some national Australian databases of health information, including myhospitals.gov.au, which provides comparative </w:t>
            </w:r>
            <w:r w:rsidR="0077411B" w:rsidRPr="008625DC">
              <w:t xml:space="preserve">data on </w:t>
            </w:r>
            <w:r w:rsidRPr="008625DC">
              <w:t>hospitals including average waiting times and infection risks. Consumers can also visit ahpra.gov.au to check that their health practitioner is registered and see if they have been reprimanded or have any conditions on their ability to practice.</w:t>
            </w:r>
          </w:p>
          <w:p w14:paraId="0CD7A290" w14:textId="3B48D7F4" w:rsidR="00012CD2" w:rsidRPr="008625DC" w:rsidRDefault="00012CD2" w:rsidP="00E5196A">
            <w:pPr>
              <w:pStyle w:val="BoxText"/>
            </w:pPr>
            <w:r w:rsidRPr="008625DC">
              <w:t xml:space="preserve">However, the UK has gone further. </w:t>
            </w:r>
            <w:r w:rsidR="00C74E19" w:rsidRPr="008625DC">
              <w:t>‘</w:t>
            </w:r>
            <w:r w:rsidRPr="008625DC">
              <w:t>NHS choices</w:t>
            </w:r>
            <w:r w:rsidR="00C74E19" w:rsidRPr="008625DC">
              <w:t>’</w:t>
            </w:r>
            <w:r w:rsidRPr="008625DC">
              <w:t xml:space="preserve"> is a national website that provides extensive health information to consumers in an accessible format. Information includes: services offered by individual health professionals; their risk</w:t>
            </w:r>
            <w:r w:rsidR="00C74E19" w:rsidRPr="008625DC">
              <w:noBreakHyphen/>
            </w:r>
            <w:r w:rsidRPr="008625DC">
              <w:t xml:space="preserve">adjusted patient mortality rate; and consumer reviews of health services. When data on individual consultant treatment outcomes </w:t>
            </w:r>
            <w:r w:rsidR="0077411B" w:rsidRPr="008625DC">
              <w:t>were</w:t>
            </w:r>
            <w:r w:rsidRPr="008625DC">
              <w:t xml:space="preserve"> first provided, the National Medical Director of NHS England noted:</w:t>
            </w:r>
          </w:p>
          <w:p w14:paraId="478416B3" w14:textId="0035CDD8" w:rsidR="00012CD2" w:rsidRPr="008625DC" w:rsidRDefault="00012CD2" w:rsidP="00352AA9">
            <w:pPr>
              <w:pStyle w:val="BoxText"/>
              <w:spacing w:after="180"/>
              <w:ind w:left="459"/>
            </w:pPr>
            <w:r w:rsidRPr="008625DC">
              <w:t>This is a major breakthrough in NHS transparency. We know from our experience with heart surgery that putting this information into the public domain can help drive up standards. That</w:t>
            </w:r>
            <w:r w:rsidR="00352AA9">
              <w:t> </w:t>
            </w:r>
            <w:r w:rsidRPr="008625DC">
              <w:t>means more patients surviving operations and there is no greater prize than that.</w:t>
            </w:r>
            <w:r w:rsidRPr="008625DC">
              <w:rPr>
                <w:rStyle w:val="FootnoteReference"/>
              </w:rPr>
              <w:footnoteReference w:id="183"/>
            </w:r>
            <w:r w:rsidR="004235E4" w:rsidRPr="008625DC">
              <w:t xml:space="preserve"> </w:t>
            </w:r>
          </w:p>
          <w:p w14:paraId="777D04FF" w14:textId="21AFEB15" w:rsidR="000225AB" w:rsidRPr="008625DC" w:rsidRDefault="00012CD2" w:rsidP="00012CD2">
            <w:pPr>
              <w:pStyle w:val="BoxText"/>
            </w:pPr>
            <w:r w:rsidRPr="008625DC">
              <w:rPr>
                <w:u w:val="single"/>
              </w:rPr>
              <w:t>School information</w:t>
            </w:r>
            <w:r w:rsidRPr="008625DC">
              <w:t>: myschool.edu.au enables parents and carers to search detailed profiles of Australian schools simply by entering a school</w:t>
            </w:r>
            <w:r w:rsidR="00C74E19" w:rsidRPr="008625DC">
              <w:t>’</w:t>
            </w:r>
            <w:r w:rsidRPr="008625DC">
              <w:t>s name, suburb or postcode. It contains data on factors including academic achievement (as measured by the NAPLAN national testing); school finances and a mapping function to show a school</w:t>
            </w:r>
            <w:r w:rsidR="00C74E19" w:rsidRPr="008625DC">
              <w:t>’</w:t>
            </w:r>
            <w:r w:rsidRPr="008625DC">
              <w:t>s location along with other schools in the same area. It now has six years of data which parents and carers can use to compare a particular school</w:t>
            </w:r>
            <w:r w:rsidR="00C74E19" w:rsidRPr="008625DC">
              <w:t>’</w:t>
            </w:r>
            <w:r w:rsidRPr="008625DC">
              <w:t>s progress with that of schools serving similar student populations. It is widely used, with over 1.2 million visitors in 2013.</w:t>
            </w:r>
            <w:r w:rsidR="00F45C71" w:rsidRPr="008625DC">
              <w:rPr>
                <w:rStyle w:val="FootnoteReference"/>
              </w:rPr>
              <w:footnoteReference w:id="184"/>
            </w:r>
          </w:p>
        </w:tc>
      </w:tr>
    </w:tbl>
    <w:p w14:paraId="2B3EFA82" w14:textId="3A299CE1" w:rsidR="00461494" w:rsidRPr="008625DC" w:rsidRDefault="00461494" w:rsidP="00FB084C">
      <w:pPr>
        <w:pStyle w:val="Heading3"/>
      </w:pPr>
      <w:r w:rsidRPr="008625DC">
        <w:t>Other barriers to consumer choice</w:t>
      </w:r>
    </w:p>
    <w:p w14:paraId="75F26959" w14:textId="36BF2617" w:rsidR="00461494" w:rsidRPr="008625DC" w:rsidRDefault="00461494" w:rsidP="000225AB">
      <w:r w:rsidRPr="008625DC">
        <w:t>As well as information issues, there are other concerns which may present barriers to consumer choice</w:t>
      </w:r>
      <w:r w:rsidR="0076314A" w:rsidRPr="008625DC">
        <w:t>, including residing in remote or regional areas</w:t>
      </w:r>
      <w:r w:rsidRPr="008625DC">
        <w:t>.</w:t>
      </w:r>
    </w:p>
    <w:p w14:paraId="2A9DE63C" w14:textId="47DB7E15" w:rsidR="00076AAF" w:rsidRPr="008625DC" w:rsidRDefault="005434EE" w:rsidP="000225AB">
      <w:pPr>
        <w:tabs>
          <w:tab w:val="left" w:pos="5954"/>
        </w:tabs>
      </w:pPr>
      <w:r w:rsidRPr="008625DC">
        <w:t>For example</w:t>
      </w:r>
      <w:r w:rsidR="00076AAF" w:rsidRPr="008625DC">
        <w:t>, financial or non</w:t>
      </w:r>
      <w:r w:rsidR="00C74E19" w:rsidRPr="008625DC">
        <w:noBreakHyphen/>
      </w:r>
      <w:r w:rsidR="00076AAF" w:rsidRPr="008625DC">
        <w:t xml:space="preserve">financial switching costs may make it difficult for consumers to exercise their choice. Wherever possible, </w:t>
      </w:r>
      <w:r w:rsidR="003F3A8C" w:rsidRPr="008625DC">
        <w:t>governments</w:t>
      </w:r>
      <w:r w:rsidR="00076AAF" w:rsidRPr="008625DC">
        <w:t xml:space="preserve"> should take steps to lower switching costs </w:t>
      </w:r>
      <w:r w:rsidR="003F3A8C" w:rsidRPr="008625DC">
        <w:t>to make it easy for consumers to switch to a provider who can better meet their needs. Lowering switching costs was recognised as a potential improvement to the UK</w:t>
      </w:r>
      <w:r w:rsidR="00C74E19" w:rsidRPr="008625DC">
        <w:t>’</w:t>
      </w:r>
      <w:r w:rsidR="003F3A8C" w:rsidRPr="008625DC">
        <w:t>s choice</w:t>
      </w:r>
      <w:r w:rsidR="00C74E19" w:rsidRPr="008625DC">
        <w:noBreakHyphen/>
      </w:r>
      <w:r w:rsidR="003F3A8C" w:rsidRPr="008625DC">
        <w:t xml:space="preserve">based human services system in the Barriers to Choice Review discussed in Box </w:t>
      </w:r>
      <w:r w:rsidR="00AE1285" w:rsidRPr="008625DC">
        <w:t>10.6</w:t>
      </w:r>
      <w:r w:rsidR="003F3A8C" w:rsidRPr="008625DC">
        <w:t xml:space="preserve"> below. </w:t>
      </w:r>
    </w:p>
    <w:tbl>
      <w:tblPr>
        <w:tblW w:w="9072" w:type="dxa"/>
        <w:tblInd w:w="108" w:type="dxa"/>
        <w:shd w:val="clear" w:color="auto" w:fill="E6E6E6"/>
        <w:tblLook w:val="01E0" w:firstRow="1" w:lastRow="1" w:firstColumn="1" w:lastColumn="1" w:noHBand="0" w:noVBand="0"/>
      </w:tblPr>
      <w:tblGrid>
        <w:gridCol w:w="9072"/>
      </w:tblGrid>
      <w:tr w:rsidR="00D61D4B" w:rsidRPr="008625DC" w14:paraId="6D374F95" w14:textId="77777777">
        <w:tc>
          <w:tcPr>
            <w:tcW w:w="5000" w:type="pct"/>
            <w:shd w:val="clear" w:color="auto" w:fill="E6E6E6"/>
          </w:tcPr>
          <w:p w14:paraId="609C3BFD" w14:textId="77777777" w:rsidR="00D61D4B" w:rsidRPr="008625DC" w:rsidRDefault="00D61D4B" w:rsidP="00AE1285">
            <w:pPr>
              <w:pStyle w:val="BoxHeading"/>
            </w:pPr>
            <w:r w:rsidRPr="008625DC">
              <w:t xml:space="preserve">Box </w:t>
            </w:r>
            <w:r w:rsidR="00AE1285" w:rsidRPr="008625DC">
              <w:t>10.6</w:t>
            </w:r>
            <w:r w:rsidRPr="008625DC">
              <w:t>: The UK Experience</w:t>
            </w:r>
            <w:r w:rsidR="00380141" w:rsidRPr="008625DC">
              <w:t xml:space="preserve"> — </w:t>
            </w:r>
            <w:r w:rsidRPr="008625DC">
              <w:t>The Barriers to Choice Review</w:t>
            </w:r>
            <w:r w:rsidR="00352495" w:rsidRPr="008625DC">
              <w:rPr>
                <w:rStyle w:val="FootnoteReference"/>
              </w:rPr>
              <w:footnoteReference w:id="185"/>
            </w:r>
          </w:p>
          <w:p w14:paraId="64B63D03" w14:textId="77777777" w:rsidR="00C626B4" w:rsidRPr="008625DC" w:rsidRDefault="00C626B4" w:rsidP="00C626B4">
            <w:pPr>
              <w:pStyle w:val="BoxText"/>
            </w:pPr>
            <w:r w:rsidRPr="008625DC">
              <w:t>The UK undertook a review in 2013 to examine how people were using the choices they had been given in human services, with a particular focus on how choices were used and valued by the most disadvantaged. Some key findings were:</w:t>
            </w:r>
          </w:p>
          <w:p w14:paraId="0FE8B368" w14:textId="4DB290F0" w:rsidR="00D61D4B" w:rsidRPr="008625DC" w:rsidRDefault="00C626B4" w:rsidP="00C626B4">
            <w:pPr>
              <w:pStyle w:val="BoxBullet"/>
              <w:spacing w:after="0"/>
              <w:rPr>
                <w:lang w:val="en-AU"/>
              </w:rPr>
            </w:pPr>
            <w:r w:rsidRPr="008625DC">
              <w:rPr>
                <w:lang w:val="en-AU"/>
              </w:rPr>
              <w:t>around half the population were exercising choice;</w:t>
            </w:r>
          </w:p>
        </w:tc>
      </w:tr>
      <w:tr w:rsidR="000225AB" w:rsidRPr="008625DC" w14:paraId="64AE92A1" w14:textId="77777777" w:rsidTr="00F01103">
        <w:tc>
          <w:tcPr>
            <w:tcW w:w="5000" w:type="pct"/>
            <w:shd w:val="clear" w:color="auto" w:fill="E6E6E6"/>
          </w:tcPr>
          <w:p w14:paraId="7FBF80C6" w14:textId="27902F91" w:rsidR="000225AB" w:rsidRPr="008625DC" w:rsidRDefault="00333B72" w:rsidP="00C626B4">
            <w:pPr>
              <w:pStyle w:val="BoxBullet"/>
              <w:spacing w:after="240"/>
              <w:rPr>
                <w:lang w:val="en-AU"/>
              </w:rPr>
            </w:pPr>
            <w:r w:rsidRPr="008625DC">
              <w:rPr>
                <w:lang w:val="en-AU"/>
              </w:rPr>
              <w:t>t</w:t>
            </w:r>
            <w:r w:rsidR="000225AB" w:rsidRPr="008625DC">
              <w:rPr>
                <w:lang w:val="en-AU"/>
              </w:rPr>
              <w:t>he three top factors that people considered when choosing were the location (55</w:t>
            </w:r>
            <w:r w:rsidR="00F45C71" w:rsidRPr="008625DC">
              <w:rPr>
                <w:lang w:val="en-AU"/>
              </w:rPr>
              <w:t xml:space="preserve"> per cent),</w:t>
            </w:r>
            <w:r w:rsidR="000225AB" w:rsidRPr="008625DC">
              <w:rPr>
                <w:lang w:val="en-AU"/>
              </w:rPr>
              <w:t xml:space="preserve"> quality (15</w:t>
            </w:r>
            <w:r w:rsidR="00F45C71" w:rsidRPr="008625DC">
              <w:rPr>
                <w:lang w:val="en-AU"/>
              </w:rPr>
              <w:t xml:space="preserve"> per cent)</w:t>
            </w:r>
            <w:r w:rsidR="000225AB" w:rsidRPr="008625DC">
              <w:rPr>
                <w:lang w:val="en-AU"/>
              </w:rPr>
              <w:t xml:space="preserve"> and reputation (15</w:t>
            </w:r>
            <w:r w:rsidR="00F45C71" w:rsidRPr="008625DC">
              <w:rPr>
                <w:lang w:val="en-AU"/>
              </w:rPr>
              <w:t xml:space="preserve"> per cent)</w:t>
            </w:r>
            <w:r w:rsidR="000225AB" w:rsidRPr="008625DC">
              <w:rPr>
                <w:lang w:val="en-AU"/>
              </w:rPr>
              <w:t xml:space="preserve"> of the service</w:t>
            </w:r>
            <w:r w:rsidR="00DE0688" w:rsidRPr="008625DC">
              <w:rPr>
                <w:lang w:val="en-AU"/>
              </w:rPr>
              <w:t>;</w:t>
            </w:r>
            <w:r w:rsidR="000225AB" w:rsidRPr="008625DC">
              <w:rPr>
                <w:lang w:val="en-AU"/>
              </w:rPr>
              <w:t xml:space="preserve"> </w:t>
            </w:r>
          </w:p>
          <w:p w14:paraId="70BC1CFE" w14:textId="48082383" w:rsidR="000225AB" w:rsidRPr="008625DC" w:rsidRDefault="00333B72" w:rsidP="00C626B4">
            <w:pPr>
              <w:pStyle w:val="BoxBullet"/>
              <w:keepNext/>
              <w:rPr>
                <w:lang w:val="en-AU"/>
              </w:rPr>
            </w:pPr>
            <w:r w:rsidRPr="008625DC">
              <w:rPr>
                <w:lang w:val="en-AU"/>
              </w:rPr>
              <w:lastRenderedPageBreak/>
              <w:t>t</w:t>
            </w:r>
            <w:r w:rsidR="000225AB" w:rsidRPr="008625DC">
              <w:rPr>
                <w:lang w:val="en-AU"/>
              </w:rPr>
              <w:t xml:space="preserve">here was strong public support for being able to choose, but around </w:t>
            </w:r>
            <w:r w:rsidR="0077411B" w:rsidRPr="008625DC">
              <w:rPr>
                <w:lang w:val="en-AU"/>
              </w:rPr>
              <w:t>one</w:t>
            </w:r>
            <w:r w:rsidR="000225AB" w:rsidRPr="008625DC">
              <w:rPr>
                <w:lang w:val="en-AU"/>
              </w:rPr>
              <w:t xml:space="preserve"> third of the population found it difficult</w:t>
            </w:r>
            <w:r w:rsidR="00DE0688" w:rsidRPr="008625DC">
              <w:rPr>
                <w:lang w:val="en-AU"/>
              </w:rPr>
              <w:t>;</w:t>
            </w:r>
          </w:p>
          <w:p w14:paraId="7BB14038" w14:textId="45CA9459" w:rsidR="000225AB" w:rsidRPr="008625DC" w:rsidRDefault="00333B72" w:rsidP="00467524">
            <w:pPr>
              <w:pStyle w:val="BoxBullet"/>
              <w:rPr>
                <w:lang w:val="en-AU"/>
              </w:rPr>
            </w:pPr>
            <w:proofErr w:type="gramStart"/>
            <w:r w:rsidRPr="008625DC">
              <w:rPr>
                <w:lang w:val="en-AU"/>
              </w:rPr>
              <w:t>t</w:t>
            </w:r>
            <w:r w:rsidR="000225AB" w:rsidRPr="008625DC">
              <w:rPr>
                <w:lang w:val="en-AU"/>
              </w:rPr>
              <w:t>he</w:t>
            </w:r>
            <w:proofErr w:type="gramEnd"/>
            <w:r w:rsidR="000225AB" w:rsidRPr="008625DC">
              <w:rPr>
                <w:lang w:val="en-AU"/>
              </w:rPr>
              <w:t xml:space="preserve"> biggest barriers to choice were a combination of access and information. People without access to computers or cars were at a double disadvantage when it came to exercising choice</w:t>
            </w:r>
            <w:r w:rsidR="00DE0688" w:rsidRPr="008625DC">
              <w:rPr>
                <w:lang w:val="en-AU"/>
              </w:rPr>
              <w:t>; and</w:t>
            </w:r>
          </w:p>
          <w:p w14:paraId="59F99F99" w14:textId="2D432B91" w:rsidR="000225AB" w:rsidRPr="008625DC" w:rsidRDefault="00333B72" w:rsidP="00C626B4">
            <w:pPr>
              <w:pStyle w:val="BoxBullet"/>
              <w:spacing w:after="180"/>
              <w:rPr>
                <w:lang w:val="en-AU"/>
              </w:rPr>
            </w:pPr>
            <w:proofErr w:type="gramStart"/>
            <w:r w:rsidRPr="008625DC">
              <w:rPr>
                <w:lang w:val="en-AU"/>
              </w:rPr>
              <w:t>p</w:t>
            </w:r>
            <w:r w:rsidR="000225AB" w:rsidRPr="008625DC">
              <w:rPr>
                <w:lang w:val="en-AU"/>
              </w:rPr>
              <w:t>eople</w:t>
            </w:r>
            <w:proofErr w:type="gramEnd"/>
            <w:r w:rsidR="000225AB" w:rsidRPr="008625DC">
              <w:rPr>
                <w:lang w:val="en-AU"/>
              </w:rPr>
              <w:t xml:space="preserve"> were generally happy with the service provided, including in situations where they had no choice.</w:t>
            </w:r>
          </w:p>
          <w:p w14:paraId="586CA924" w14:textId="4A7A6EE0" w:rsidR="000225AB" w:rsidRPr="008625DC" w:rsidRDefault="000225AB" w:rsidP="004235E4">
            <w:pPr>
              <w:pStyle w:val="BoxText"/>
            </w:pPr>
            <w:r w:rsidRPr="008625DC">
              <w:t>The report proposed some improvements to the UK</w:t>
            </w:r>
            <w:r w:rsidR="00C74E19" w:rsidRPr="008625DC">
              <w:t>’</w:t>
            </w:r>
            <w:r w:rsidRPr="008625DC">
              <w:t>s choice based system, including:</w:t>
            </w:r>
          </w:p>
          <w:p w14:paraId="5BA1ADE2" w14:textId="0024BCD4" w:rsidR="000225AB" w:rsidRPr="008625DC" w:rsidRDefault="00333B72" w:rsidP="00467524">
            <w:pPr>
              <w:pStyle w:val="BoxBullet"/>
              <w:rPr>
                <w:lang w:val="en-AU"/>
              </w:rPr>
            </w:pPr>
            <w:proofErr w:type="gramStart"/>
            <w:r w:rsidRPr="008625DC">
              <w:rPr>
                <w:lang w:val="en-AU"/>
              </w:rPr>
              <w:t>t</w:t>
            </w:r>
            <w:r w:rsidR="000225AB" w:rsidRPr="008625DC">
              <w:rPr>
                <w:lang w:val="en-AU"/>
              </w:rPr>
              <w:t>he</w:t>
            </w:r>
            <w:proofErr w:type="gramEnd"/>
            <w:r w:rsidR="000225AB" w:rsidRPr="008625DC">
              <w:rPr>
                <w:lang w:val="en-AU"/>
              </w:rPr>
              <w:t xml:space="preserve"> system should give more power to service users, especially disadvantaged groups. It was found that these groups were less comfortable about exercising choice, more frustrated by bureaucratic barriers and more affected by difficulties like transport</w:t>
            </w:r>
            <w:r w:rsidR="00DE0688" w:rsidRPr="008625DC">
              <w:rPr>
                <w:lang w:val="en-AU"/>
              </w:rPr>
              <w:t>;</w:t>
            </w:r>
          </w:p>
          <w:p w14:paraId="64988ED7" w14:textId="542D13E3" w:rsidR="000225AB" w:rsidRPr="008625DC" w:rsidRDefault="00333B72" w:rsidP="00467524">
            <w:pPr>
              <w:pStyle w:val="BoxBullet"/>
              <w:rPr>
                <w:lang w:val="en-AU"/>
              </w:rPr>
            </w:pPr>
            <w:r w:rsidRPr="008625DC">
              <w:rPr>
                <w:lang w:val="en-AU"/>
              </w:rPr>
              <w:t>i</w:t>
            </w:r>
            <w:r w:rsidR="000225AB" w:rsidRPr="008625DC">
              <w:rPr>
                <w:lang w:val="en-AU"/>
              </w:rPr>
              <w:t xml:space="preserve">t should be simple and easy for consumers to switch providers, without </w:t>
            </w:r>
            <w:r w:rsidR="00C74E19" w:rsidRPr="008625DC">
              <w:rPr>
                <w:lang w:val="en-AU"/>
              </w:rPr>
              <w:t>‘</w:t>
            </w:r>
            <w:r w:rsidR="000225AB" w:rsidRPr="008625DC">
              <w:rPr>
                <w:lang w:val="en-AU"/>
              </w:rPr>
              <w:t>losing their place in the queue</w:t>
            </w:r>
            <w:r w:rsidR="00C74E19" w:rsidRPr="008625DC">
              <w:rPr>
                <w:lang w:val="en-AU"/>
              </w:rPr>
              <w:t>’</w:t>
            </w:r>
            <w:r w:rsidR="000225AB" w:rsidRPr="008625DC">
              <w:rPr>
                <w:lang w:val="en-AU"/>
              </w:rPr>
              <w:t xml:space="preserve"> or having to undergo further assessments of eligibility</w:t>
            </w:r>
            <w:r w:rsidR="00DE0688" w:rsidRPr="008625DC">
              <w:rPr>
                <w:lang w:val="en-AU"/>
              </w:rPr>
              <w:t>;</w:t>
            </w:r>
          </w:p>
          <w:p w14:paraId="4BACC2D8" w14:textId="722D9529" w:rsidR="000225AB" w:rsidRPr="008625DC" w:rsidRDefault="00333B72" w:rsidP="00467524">
            <w:pPr>
              <w:pStyle w:val="BoxBullet"/>
              <w:rPr>
                <w:lang w:val="en-AU"/>
              </w:rPr>
            </w:pPr>
            <w:r w:rsidRPr="008625DC">
              <w:rPr>
                <w:lang w:val="en-AU"/>
              </w:rPr>
              <w:t>c</w:t>
            </w:r>
            <w:r w:rsidR="000225AB" w:rsidRPr="008625DC">
              <w:rPr>
                <w:lang w:val="en-AU"/>
              </w:rPr>
              <w:t>onsumers should have a right to request flexible service delivery (e.g. to talk to consultants on the phone or to study a different combination of subjects at school), and if the provider did not accommodate the request they would be obliged to explain why not</w:t>
            </w:r>
            <w:r w:rsidR="00DE0688" w:rsidRPr="008625DC">
              <w:rPr>
                <w:lang w:val="en-AU"/>
              </w:rPr>
              <w:t>; and</w:t>
            </w:r>
            <w:r w:rsidR="00787DCF" w:rsidRPr="008625DC">
              <w:rPr>
                <w:lang w:val="en-AU"/>
              </w:rPr>
              <w:t xml:space="preserve"> </w:t>
            </w:r>
          </w:p>
          <w:p w14:paraId="3DBBB229" w14:textId="32CF312E" w:rsidR="000225AB" w:rsidRPr="008625DC" w:rsidRDefault="00333B72" w:rsidP="00C626B4">
            <w:pPr>
              <w:pStyle w:val="BoxBullet"/>
              <w:spacing w:after="180"/>
              <w:rPr>
                <w:lang w:val="en-AU"/>
              </w:rPr>
            </w:pPr>
            <w:proofErr w:type="gramStart"/>
            <w:r w:rsidRPr="008625DC">
              <w:rPr>
                <w:lang w:val="en-AU"/>
              </w:rPr>
              <w:t>d</w:t>
            </w:r>
            <w:r w:rsidR="000225AB" w:rsidRPr="008625DC">
              <w:rPr>
                <w:lang w:val="en-AU"/>
              </w:rPr>
              <w:t>isadvantaged</w:t>
            </w:r>
            <w:proofErr w:type="gramEnd"/>
            <w:r w:rsidR="000225AB" w:rsidRPr="008625DC">
              <w:rPr>
                <w:lang w:val="en-AU"/>
              </w:rPr>
              <w:t xml:space="preserve"> groups should be given more assistance with navigating the choices before them, as many </w:t>
            </w:r>
            <w:r w:rsidR="00F45C71" w:rsidRPr="008625DC">
              <w:rPr>
                <w:lang w:val="en-AU"/>
              </w:rPr>
              <w:t>do not</w:t>
            </w:r>
            <w:r w:rsidR="000225AB" w:rsidRPr="008625DC">
              <w:rPr>
                <w:lang w:val="en-AU"/>
              </w:rPr>
              <w:t xml:space="preserve"> use the internet and may be bewildered by choice. There was a need for better information about available choices, and access to face</w:t>
            </w:r>
            <w:r w:rsidR="00C74E19" w:rsidRPr="008625DC">
              <w:rPr>
                <w:lang w:val="en-AU"/>
              </w:rPr>
              <w:noBreakHyphen/>
            </w:r>
            <w:r w:rsidR="000225AB" w:rsidRPr="008625DC">
              <w:rPr>
                <w:lang w:val="en-AU"/>
              </w:rPr>
              <w:t>to</w:t>
            </w:r>
            <w:r w:rsidR="00C74E19" w:rsidRPr="008625DC">
              <w:rPr>
                <w:lang w:val="en-AU"/>
              </w:rPr>
              <w:noBreakHyphen/>
            </w:r>
            <w:r w:rsidR="000225AB" w:rsidRPr="008625DC">
              <w:rPr>
                <w:lang w:val="en-AU"/>
              </w:rPr>
              <w:t>face advice so users could interpret the information.</w:t>
            </w:r>
          </w:p>
        </w:tc>
      </w:tr>
      <w:tr w:rsidR="000225AB" w:rsidRPr="008625DC" w14:paraId="0AF78655" w14:textId="77777777" w:rsidTr="00F01103">
        <w:tc>
          <w:tcPr>
            <w:tcW w:w="5000" w:type="pct"/>
            <w:shd w:val="clear" w:color="auto" w:fill="E6E6E6"/>
          </w:tcPr>
          <w:p w14:paraId="576CFB74" w14:textId="197C8AC9" w:rsidR="000225AB" w:rsidRPr="008625DC" w:rsidRDefault="000225AB" w:rsidP="00C626B4">
            <w:pPr>
              <w:pStyle w:val="BoxText"/>
              <w:spacing w:before="0"/>
            </w:pPr>
            <w:r w:rsidRPr="008625DC">
              <w:lastRenderedPageBreak/>
              <w:t>The review concluded that, although competition between rival service providers is a very important element of choice, the choice agenda needed to be broader than this.</w:t>
            </w:r>
            <w:r w:rsidR="00787DCF" w:rsidRPr="008625DC">
              <w:t xml:space="preserve"> </w:t>
            </w:r>
            <w:r w:rsidRPr="008625DC">
              <w:t>There should be a key focus on treating service users with dignity and respect, and treating them as equal partners in the delivery of services.</w:t>
            </w:r>
          </w:p>
        </w:tc>
      </w:tr>
    </w:tbl>
    <w:p w14:paraId="0EBCD50B" w14:textId="77777777" w:rsidR="000225AB" w:rsidRPr="008625DC" w:rsidRDefault="000225AB" w:rsidP="002E1804">
      <w:pPr>
        <w:pStyle w:val="Heading3"/>
      </w:pPr>
      <w:r w:rsidRPr="008625DC">
        <w:t xml:space="preserve">Consumer choice in the Australian context </w:t>
      </w:r>
    </w:p>
    <w:p w14:paraId="7D45C482" w14:textId="207B3B2F" w:rsidR="000225AB" w:rsidRPr="008625DC" w:rsidRDefault="000225AB" w:rsidP="000225AB">
      <w:r w:rsidRPr="008625DC">
        <w:t>Consumer choice has recently been advanced in Australia in the aged care and disability sectors.</w:t>
      </w:r>
      <w:r w:rsidR="00787DCF" w:rsidRPr="008625DC">
        <w:t xml:space="preserve"> </w:t>
      </w:r>
      <w:r w:rsidRPr="008625DC">
        <w:t>The schemes in both of these sectors have a similar structure, in that consumers are able to develop an individual plan</w:t>
      </w:r>
      <w:r w:rsidR="008571C9" w:rsidRPr="008625DC">
        <w:t>,</w:t>
      </w:r>
      <w:r w:rsidRPr="008625DC">
        <w:t xml:space="preserve"> choose and organise their care/support needs</w:t>
      </w:r>
      <w:r w:rsidR="008571C9" w:rsidRPr="008625DC">
        <w:t>,</w:t>
      </w:r>
      <w:r w:rsidRPr="008625DC">
        <w:t xml:space="preserve"> manage any funding included in their plan and review their plan and make changes if needed.</w:t>
      </w:r>
    </w:p>
    <w:p w14:paraId="7C6BA966" w14:textId="20F286E3" w:rsidR="009363EE" w:rsidRPr="008625DC" w:rsidRDefault="009363EE" w:rsidP="000225AB">
      <w:r w:rsidRPr="008625DC">
        <w:t>In introducing choice</w:t>
      </w:r>
      <w:r w:rsidR="00C74E19" w:rsidRPr="008625DC">
        <w:noBreakHyphen/>
      </w:r>
      <w:r w:rsidRPr="008625DC">
        <w:t>based models, an important element is to ensure that funding follows people</w:t>
      </w:r>
      <w:r w:rsidR="00C74E19" w:rsidRPr="008625DC">
        <w:t>’</w:t>
      </w:r>
      <w:r w:rsidRPr="008625DC">
        <w:t>s choices</w:t>
      </w:r>
      <w:r w:rsidR="00427DBE" w:rsidRPr="008625DC">
        <w:t xml:space="preserve"> so that</w:t>
      </w:r>
      <w:r w:rsidR="0031269D" w:rsidRPr="008625DC">
        <w:t xml:space="preserve"> providers have </w:t>
      </w:r>
      <w:r w:rsidR="00427DBE" w:rsidRPr="008625DC">
        <w:t>signals</w:t>
      </w:r>
      <w:r w:rsidR="0031269D" w:rsidRPr="008625DC">
        <w:t xml:space="preserve"> to better </w:t>
      </w:r>
      <w:r w:rsidR="00427DBE" w:rsidRPr="008625DC">
        <w:t>tailor</w:t>
      </w:r>
      <w:r w:rsidR="0031269D" w:rsidRPr="008625DC">
        <w:t xml:space="preserve"> services</w:t>
      </w:r>
      <w:r w:rsidR="00427DBE" w:rsidRPr="008625DC">
        <w:t xml:space="preserve"> to </w:t>
      </w:r>
      <w:r w:rsidR="004235E4" w:rsidRPr="008625DC">
        <w:t>individual and community needs.</w:t>
      </w:r>
    </w:p>
    <w:tbl>
      <w:tblPr>
        <w:tblW w:w="9072" w:type="dxa"/>
        <w:tblInd w:w="108" w:type="dxa"/>
        <w:shd w:val="clear" w:color="auto" w:fill="E6E6E6"/>
        <w:tblLook w:val="01E0" w:firstRow="1" w:lastRow="1" w:firstColumn="1" w:lastColumn="1" w:noHBand="0" w:noVBand="0"/>
      </w:tblPr>
      <w:tblGrid>
        <w:gridCol w:w="9072"/>
      </w:tblGrid>
      <w:tr w:rsidR="00D61D4B" w:rsidRPr="008625DC" w14:paraId="5FE272AD" w14:textId="77777777">
        <w:tc>
          <w:tcPr>
            <w:tcW w:w="5000" w:type="pct"/>
            <w:shd w:val="clear" w:color="auto" w:fill="E6E6E6"/>
          </w:tcPr>
          <w:p w14:paraId="4603726F" w14:textId="10A2E8F3" w:rsidR="00D61D4B" w:rsidRPr="008625DC" w:rsidRDefault="00D61D4B" w:rsidP="00D61D4B">
            <w:pPr>
              <w:pStyle w:val="BoxHeading"/>
            </w:pPr>
            <w:r w:rsidRPr="008625DC">
              <w:lastRenderedPageBreak/>
              <w:t xml:space="preserve">Box </w:t>
            </w:r>
            <w:r w:rsidR="00AE1285" w:rsidRPr="008625DC">
              <w:t>10.7</w:t>
            </w:r>
            <w:r w:rsidRPr="008625DC">
              <w:t>: Aged care and disability services</w:t>
            </w:r>
            <w:r w:rsidR="00380141" w:rsidRPr="008625DC">
              <w:t xml:space="preserve"> — </w:t>
            </w:r>
            <w:r w:rsidRPr="008625DC">
              <w:t>user choice</w:t>
            </w:r>
          </w:p>
          <w:p w14:paraId="7984CA75" w14:textId="77777777" w:rsidR="00F45C71" w:rsidRPr="008625DC" w:rsidRDefault="00F45C71" w:rsidP="00F45C71">
            <w:pPr>
              <w:pStyle w:val="Boxheading2"/>
            </w:pPr>
            <w:r w:rsidRPr="008625DC">
              <w:t>Disability services</w:t>
            </w:r>
            <w:r w:rsidRPr="008625DC">
              <w:rPr>
                <w:rStyle w:val="FootnoteReference"/>
              </w:rPr>
              <w:footnoteReference w:id="186"/>
            </w:r>
          </w:p>
          <w:p w14:paraId="7C5B27E9" w14:textId="40B21024" w:rsidR="00D61D4B" w:rsidRPr="008625DC" w:rsidRDefault="00D61D4B" w:rsidP="00D61D4B">
            <w:pPr>
              <w:pStyle w:val="BoxText"/>
            </w:pPr>
            <w:r w:rsidRPr="008625DC">
              <w:t>With the introduction of the N</w:t>
            </w:r>
            <w:r w:rsidR="00CB289D" w:rsidRPr="008625DC">
              <w:t xml:space="preserve">ational </w:t>
            </w:r>
            <w:r w:rsidRPr="008625DC">
              <w:t>D</w:t>
            </w:r>
            <w:r w:rsidR="00CB289D" w:rsidRPr="008625DC">
              <w:t xml:space="preserve">isability </w:t>
            </w:r>
            <w:r w:rsidRPr="008625DC">
              <w:t>I</w:t>
            </w:r>
            <w:r w:rsidR="00CB289D" w:rsidRPr="008625DC">
              <w:t xml:space="preserve">nsurance </w:t>
            </w:r>
            <w:r w:rsidRPr="008625DC">
              <w:t>S</w:t>
            </w:r>
            <w:r w:rsidR="00CB289D" w:rsidRPr="008625DC">
              <w:t>cheme</w:t>
            </w:r>
            <w:r w:rsidRPr="008625DC">
              <w:t xml:space="preserve"> </w:t>
            </w:r>
            <w:r w:rsidR="00F45C71" w:rsidRPr="008625DC">
              <w:t xml:space="preserve">(NDIS) </w:t>
            </w:r>
            <w:r w:rsidRPr="008625DC">
              <w:t>over the next five years, disability service providers will move from being contracted by government</w:t>
            </w:r>
            <w:r w:rsidR="00606C19" w:rsidRPr="008625DC">
              <w:t>s</w:t>
            </w:r>
            <w:r w:rsidRPr="008625DC">
              <w:t xml:space="preserve"> to being registered providers with the National Disability Insurance Agency (NDIA). Funding for disability support will follow individual service users rather than service providers, allowing individuals to choose the providers from whom they wish to receive services. Individuals electing to receive direct payments for purchasing their support (subject to a risk assessment) will not be restricted to choosing providers registered with the NDIA</w:t>
            </w:r>
            <w:r w:rsidR="00CB289D" w:rsidRPr="008625DC">
              <w:t>.</w:t>
            </w:r>
          </w:p>
          <w:p w14:paraId="50171EFD" w14:textId="77777777" w:rsidR="00D61D4B" w:rsidRPr="008625DC" w:rsidRDefault="00D61D4B" w:rsidP="004235E4">
            <w:pPr>
              <w:pStyle w:val="Boxheading2"/>
            </w:pPr>
            <w:r w:rsidRPr="008625DC">
              <w:t>Aged care (in the home)</w:t>
            </w:r>
            <w:r w:rsidRPr="00352AA9">
              <w:rPr>
                <w:rStyle w:val="FootnoteReference"/>
                <w:b w:val="0"/>
              </w:rPr>
              <w:footnoteReference w:id="187"/>
            </w:r>
          </w:p>
          <w:p w14:paraId="220CA7CE" w14:textId="37DAF6ED" w:rsidR="00D61D4B" w:rsidRPr="008625DC" w:rsidRDefault="00D61D4B" w:rsidP="00D61D4B">
            <w:pPr>
              <w:pStyle w:val="BoxText"/>
            </w:pPr>
            <w:r w:rsidRPr="008625DC">
              <w:t>Home Care Packages are now being provided on a Consu</w:t>
            </w:r>
            <w:r w:rsidR="004670AA" w:rsidRPr="008625DC">
              <w:t xml:space="preserve">mer Directed Care basis. </w:t>
            </w:r>
            <w:r w:rsidRPr="008625DC">
              <w:t>Home Care Packages are for older Australians who want to remain in their own home but need some assistance with transport, domestic chores, personal care etc.</w:t>
            </w:r>
          </w:p>
          <w:p w14:paraId="2B244CC2" w14:textId="419E3FB0" w:rsidR="004670AA" w:rsidRPr="008625DC" w:rsidRDefault="00D61D4B" w:rsidP="004670AA">
            <w:pPr>
              <w:pStyle w:val="BoxText"/>
            </w:pPr>
            <w:r w:rsidRPr="008625DC">
              <w:t>Under a C</w:t>
            </w:r>
            <w:r w:rsidR="00CB289D" w:rsidRPr="008625DC">
              <w:t xml:space="preserve">onsumer </w:t>
            </w:r>
            <w:r w:rsidRPr="008625DC">
              <w:t>D</w:t>
            </w:r>
            <w:r w:rsidR="00CB289D" w:rsidRPr="008625DC">
              <w:t xml:space="preserve">irected </w:t>
            </w:r>
            <w:r w:rsidRPr="008625DC">
              <w:t>C</w:t>
            </w:r>
            <w:r w:rsidR="00CB289D" w:rsidRPr="008625DC">
              <w:t>are</w:t>
            </w:r>
            <w:r w:rsidRPr="008625DC">
              <w:t xml:space="preserve"> package, the government provides funding to the consumer as a budget, and </w:t>
            </w:r>
            <w:r w:rsidR="0077411B" w:rsidRPr="008625DC">
              <w:t>consumers have</w:t>
            </w:r>
            <w:r w:rsidRPr="008625DC">
              <w:t xml:space="preserve"> the right to use their budget to purchase the services they choose (services must still be within the scope of the program). The consumer enters into a contract with a home care provider to deliver the services. An advocate can represent the consumer in this process if desired.</w:t>
            </w:r>
          </w:p>
          <w:p w14:paraId="44071CA3" w14:textId="7D6FFBB6" w:rsidR="00D61D4B" w:rsidRPr="008625DC" w:rsidRDefault="004670AA" w:rsidP="004670AA">
            <w:pPr>
              <w:pStyle w:val="BoxText"/>
            </w:pPr>
            <w:r w:rsidRPr="008625DC">
              <w:t xml:space="preserve">The home care providers (the suppliers) must be approved by the government. There are a large number of approved providers across the </w:t>
            </w:r>
            <w:r w:rsidR="00BC70F0" w:rsidRPr="008625DC">
              <w:t>S</w:t>
            </w:r>
            <w:r w:rsidR="0077411B" w:rsidRPr="008625DC">
              <w:t>tates</w:t>
            </w:r>
            <w:r w:rsidRPr="008625DC">
              <w:t xml:space="preserve"> and </w:t>
            </w:r>
            <w:r w:rsidR="00BC70F0" w:rsidRPr="008625DC">
              <w:t>T</w:t>
            </w:r>
            <w:r w:rsidRPr="008625DC">
              <w:t>erritories, including for</w:t>
            </w:r>
            <w:r w:rsidR="00C74E19" w:rsidRPr="008625DC">
              <w:noBreakHyphen/>
            </w:r>
            <w:r w:rsidRPr="008625DC">
              <w:t>profit and not</w:t>
            </w:r>
            <w:r w:rsidR="00C74E19" w:rsidRPr="008625DC">
              <w:noBreakHyphen/>
            </w:r>
            <w:r w:rsidRPr="008625DC">
              <w:t>for</w:t>
            </w:r>
            <w:r w:rsidR="00C74E19" w:rsidRPr="008625DC">
              <w:noBreakHyphen/>
            </w:r>
            <w:r w:rsidRPr="008625DC">
              <w:t>profit, religious and non</w:t>
            </w:r>
            <w:r w:rsidR="00C74E19" w:rsidRPr="008625DC">
              <w:noBreakHyphen/>
            </w:r>
            <w:r w:rsidRPr="008625DC">
              <w:t xml:space="preserve">denominational. </w:t>
            </w:r>
            <w:r w:rsidR="0077411B" w:rsidRPr="008625DC">
              <w:t>Consumers</w:t>
            </w:r>
            <w:r w:rsidRPr="008625DC">
              <w:t xml:space="preserve"> may choose to </w:t>
            </w:r>
            <w:r w:rsidR="00C74E19" w:rsidRPr="008625DC">
              <w:t>‘</w:t>
            </w:r>
            <w:r w:rsidRPr="008625DC">
              <w:t>top up</w:t>
            </w:r>
            <w:r w:rsidR="00C74E19" w:rsidRPr="008625DC">
              <w:t>’</w:t>
            </w:r>
            <w:r w:rsidRPr="008625DC">
              <w:t xml:space="preserve"> their package</w:t>
            </w:r>
            <w:r w:rsidR="0077411B" w:rsidRPr="008625DC">
              <w:t>s</w:t>
            </w:r>
            <w:r w:rsidRPr="008625DC">
              <w:t xml:space="preserve"> by purchasing additional care and services through their home care provider</w:t>
            </w:r>
            <w:r w:rsidR="0077411B" w:rsidRPr="008625DC">
              <w:t>s.</w:t>
            </w:r>
          </w:p>
        </w:tc>
      </w:tr>
    </w:tbl>
    <w:p w14:paraId="0D565268" w14:textId="77777777" w:rsidR="00D61D4B" w:rsidRPr="008625DC" w:rsidRDefault="00D61D4B" w:rsidP="00C626B4">
      <w:pPr>
        <w:spacing w:after="120"/>
      </w:pP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225AB" w:rsidRPr="008625DC" w14:paraId="3BBA7539" w14:textId="77777777" w:rsidTr="00F01103">
        <w:tc>
          <w:tcPr>
            <w:tcW w:w="5000" w:type="pct"/>
            <w:shd w:val="clear" w:color="auto" w:fill="FFFFFF" w:themeFill="background1"/>
          </w:tcPr>
          <w:p w14:paraId="5EC44B5F" w14:textId="5EB05B1C" w:rsidR="000225AB" w:rsidRPr="008625DC" w:rsidRDefault="000225AB" w:rsidP="00F01103">
            <w:pPr>
              <w:pStyle w:val="Keyfindingheading"/>
            </w:pPr>
            <w:r w:rsidRPr="008625DC">
              <w:t>The Panel</w:t>
            </w:r>
            <w:r w:rsidR="00C74E19" w:rsidRPr="008625DC">
              <w:t>’</w:t>
            </w:r>
            <w:r w:rsidRPr="008625DC">
              <w:t>s view</w:t>
            </w:r>
          </w:p>
          <w:p w14:paraId="0D40D9CF" w14:textId="55C1BCC6" w:rsidR="003D7B90" w:rsidRPr="008625DC" w:rsidRDefault="00D75D3F" w:rsidP="003D7B90">
            <w:pPr>
              <w:pStyle w:val="Keyfindingtext"/>
            </w:pPr>
            <w:bookmarkStart w:id="23405" w:name="_Toc394938377"/>
            <w:bookmarkStart w:id="23406" w:name="_Toc394937657"/>
            <w:bookmarkStart w:id="23407" w:name="_Toc394941288"/>
            <w:bookmarkStart w:id="23408" w:name="_Toc394941904"/>
            <w:bookmarkStart w:id="23409" w:name="_Toc394940126"/>
            <w:bookmarkStart w:id="23410" w:name="_Toc394939736"/>
            <w:bookmarkStart w:id="23411" w:name="_Toc394993633"/>
            <w:bookmarkStart w:id="23412" w:name="_Toc394995514"/>
            <w:bookmarkStart w:id="23413" w:name="_Toc394995828"/>
            <w:bookmarkStart w:id="23414" w:name="_Toc394998071"/>
            <w:bookmarkStart w:id="23415" w:name="_Toc394998585"/>
            <w:bookmarkStart w:id="23416" w:name="_Toc395002084"/>
            <w:bookmarkStart w:id="23417" w:name="_Toc395001290"/>
            <w:bookmarkStart w:id="23418" w:name="_Toc395001564"/>
            <w:bookmarkStart w:id="23419" w:name="_Toc395002853"/>
            <w:bookmarkStart w:id="23420" w:name="_Toc395003438"/>
            <w:bookmarkStart w:id="23421" w:name="_Toc395005679"/>
            <w:bookmarkStart w:id="23422" w:name="_Toc395009673"/>
            <w:bookmarkStart w:id="23423" w:name="_Toc395010414"/>
            <w:bookmarkStart w:id="23424" w:name="_Toc395012598"/>
            <w:bookmarkStart w:id="23425" w:name="_Toc395011005"/>
            <w:bookmarkStart w:id="23426" w:name="_Toc395013061"/>
            <w:bookmarkStart w:id="23427" w:name="_Toc395012063"/>
            <w:bookmarkStart w:id="23428" w:name="_Toc395014402"/>
            <w:bookmarkStart w:id="23429" w:name="_Toc395084750"/>
            <w:bookmarkStart w:id="23430" w:name="_Toc395085051"/>
            <w:bookmarkStart w:id="23431" w:name="_Toc395090517"/>
            <w:bookmarkStart w:id="23432" w:name="_Toc395093101"/>
            <w:bookmarkStart w:id="23433" w:name="_Toc395098013"/>
            <w:bookmarkStart w:id="23434" w:name="_Toc395106197"/>
            <w:bookmarkStart w:id="23435" w:name="_Toc395109790"/>
            <w:bookmarkStart w:id="23436" w:name="_Toc395112167"/>
            <w:bookmarkStart w:id="23437" w:name="_Toc395107309"/>
            <w:bookmarkStart w:id="23438" w:name="_Toc395108870"/>
            <w:bookmarkStart w:id="23439" w:name="_Toc395114110"/>
            <w:bookmarkStart w:id="23440" w:name="_Toc395116847"/>
            <w:bookmarkStart w:id="23441" w:name="_Toc395112784"/>
            <w:bookmarkStart w:id="23442" w:name="_Toc395115324"/>
            <w:bookmarkStart w:id="23443" w:name="_Toc395118476"/>
            <w:bookmarkStart w:id="23444" w:name="_Toc395624670"/>
            <w:bookmarkStart w:id="23445" w:name="_Toc395790021"/>
            <w:bookmarkStart w:id="23446" w:name="_Toc395800779"/>
            <w:bookmarkStart w:id="23447" w:name="_Toc393985224"/>
            <w:bookmarkStart w:id="23448" w:name="_Toc393985727"/>
            <w:bookmarkStart w:id="23449" w:name="_Toc393986129"/>
            <w:bookmarkStart w:id="23450" w:name="_Toc393986532"/>
            <w:bookmarkStart w:id="23451" w:name="_Toc393988139"/>
            <w:bookmarkStart w:id="23452" w:name="_Toc393988541"/>
            <w:bookmarkStart w:id="23453" w:name="_Toc393989553"/>
            <w:bookmarkStart w:id="23454" w:name="_Toc393988942"/>
            <w:bookmarkStart w:id="23455" w:name="_Toc393990946"/>
            <w:bookmarkStart w:id="23456" w:name="_Toc393991930"/>
            <w:bookmarkStart w:id="23457" w:name="_Toc394047593"/>
            <w:bookmarkStart w:id="23458" w:name="_Toc394049869"/>
            <w:bookmarkStart w:id="23459" w:name="_Toc394051269"/>
            <w:bookmarkStart w:id="23460" w:name="_Toc394062258"/>
            <w:bookmarkStart w:id="23461" w:name="_Toc394069133"/>
            <w:bookmarkStart w:id="23462" w:name="_Toc394071051"/>
            <w:bookmarkStart w:id="23463" w:name="_Toc394312760"/>
            <w:bookmarkStart w:id="23464" w:name="_Toc394330740"/>
            <w:bookmarkStart w:id="23465" w:name="_Toc394331255"/>
            <w:bookmarkStart w:id="23466" w:name="_Toc394330360"/>
            <w:bookmarkStart w:id="23467" w:name="_Toc394333331"/>
            <w:bookmarkStart w:id="23468" w:name="_Toc394333744"/>
            <w:bookmarkStart w:id="23469" w:name="_Toc394334157"/>
            <w:bookmarkStart w:id="23470" w:name="_Toc394334983"/>
            <w:bookmarkStart w:id="23471" w:name="_Toc394415170"/>
            <w:bookmarkStart w:id="23472" w:name="_Toc394412475"/>
            <w:bookmarkStart w:id="23473" w:name="_Toc394420768"/>
            <w:bookmarkStart w:id="23474" w:name="_Toc394423611"/>
            <w:bookmarkStart w:id="23475" w:name="_Toc394422655"/>
            <w:bookmarkStart w:id="23476" w:name="_Toc394423126"/>
            <w:bookmarkStart w:id="23477" w:name="_Toc394424276"/>
            <w:bookmarkStart w:id="23478" w:name="_Toc394492109"/>
            <w:bookmarkStart w:id="23479" w:name="_Toc394495253"/>
            <w:bookmarkStart w:id="23480" w:name="_Toc394498068"/>
            <w:bookmarkStart w:id="23481" w:name="_Toc394500858"/>
            <w:bookmarkStart w:id="23482" w:name="_Toc394502255"/>
            <w:bookmarkStart w:id="23483" w:name="_Toc394503155"/>
            <w:bookmarkStart w:id="23484" w:name="_Toc394502699"/>
            <w:bookmarkStart w:id="23485" w:name="_Toc394505906"/>
            <w:bookmarkStart w:id="23486" w:name="_Toc394506365"/>
            <w:bookmarkStart w:id="23487" w:name="_Toc394506919"/>
            <w:bookmarkStart w:id="23488" w:name="_Toc394560992"/>
            <w:bookmarkStart w:id="23489" w:name="_Toc394561453"/>
            <w:r w:rsidRPr="008625DC">
              <w:t>C</w:t>
            </w:r>
            <w:r w:rsidR="003D7B90" w:rsidRPr="008625DC">
              <w:t>onsumer choice in human services, as in other areas, can provide benefits to consumers and promote diversity and innovation in service delivery.</w:t>
            </w:r>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p>
          <w:p w14:paraId="5C83CBC8" w14:textId="71A5E43A" w:rsidR="000225AB" w:rsidRPr="008625DC" w:rsidRDefault="003D7B90" w:rsidP="00F01103">
            <w:pPr>
              <w:pStyle w:val="Keyfindingtext"/>
            </w:pPr>
            <w:bookmarkStart w:id="23490" w:name="_Toc394938378"/>
            <w:bookmarkStart w:id="23491" w:name="_Toc394937658"/>
            <w:bookmarkStart w:id="23492" w:name="_Toc394941289"/>
            <w:bookmarkStart w:id="23493" w:name="_Toc394941905"/>
            <w:bookmarkStart w:id="23494" w:name="_Toc394940127"/>
            <w:bookmarkStart w:id="23495" w:name="_Toc394939737"/>
            <w:bookmarkStart w:id="23496" w:name="_Toc394993634"/>
            <w:bookmarkStart w:id="23497" w:name="_Toc394995515"/>
            <w:bookmarkStart w:id="23498" w:name="_Toc394995829"/>
            <w:bookmarkStart w:id="23499" w:name="_Toc394998072"/>
            <w:bookmarkStart w:id="23500" w:name="_Toc394998586"/>
            <w:bookmarkStart w:id="23501" w:name="_Toc395002085"/>
            <w:bookmarkStart w:id="23502" w:name="_Toc395001291"/>
            <w:bookmarkStart w:id="23503" w:name="_Toc395001565"/>
            <w:bookmarkStart w:id="23504" w:name="_Toc395002854"/>
            <w:bookmarkStart w:id="23505" w:name="_Toc395003439"/>
            <w:bookmarkStart w:id="23506" w:name="_Toc395005680"/>
            <w:bookmarkStart w:id="23507" w:name="_Toc395009674"/>
            <w:bookmarkStart w:id="23508" w:name="_Toc395010415"/>
            <w:bookmarkStart w:id="23509" w:name="_Toc395012599"/>
            <w:bookmarkStart w:id="23510" w:name="_Toc395011006"/>
            <w:bookmarkStart w:id="23511" w:name="_Toc395013062"/>
            <w:bookmarkStart w:id="23512" w:name="_Toc395012064"/>
            <w:bookmarkStart w:id="23513" w:name="_Toc395014403"/>
            <w:bookmarkStart w:id="23514" w:name="_Toc395084751"/>
            <w:bookmarkStart w:id="23515" w:name="_Toc395085052"/>
            <w:bookmarkStart w:id="23516" w:name="_Toc395090518"/>
            <w:bookmarkStart w:id="23517" w:name="_Toc395093102"/>
            <w:bookmarkStart w:id="23518" w:name="_Toc395098014"/>
            <w:bookmarkStart w:id="23519" w:name="_Toc395106198"/>
            <w:bookmarkStart w:id="23520" w:name="_Toc395109791"/>
            <w:bookmarkStart w:id="23521" w:name="_Toc395112168"/>
            <w:bookmarkStart w:id="23522" w:name="_Toc395107310"/>
            <w:bookmarkStart w:id="23523" w:name="_Toc395108871"/>
            <w:bookmarkStart w:id="23524" w:name="_Toc395114111"/>
            <w:bookmarkStart w:id="23525" w:name="_Toc395116848"/>
            <w:bookmarkStart w:id="23526" w:name="_Toc395112785"/>
            <w:bookmarkStart w:id="23527" w:name="_Toc395115325"/>
            <w:bookmarkStart w:id="23528" w:name="_Toc395118477"/>
            <w:bookmarkStart w:id="23529" w:name="_Toc395624671"/>
            <w:bookmarkStart w:id="23530" w:name="_Toc395790022"/>
            <w:bookmarkStart w:id="23531" w:name="_Toc395800780"/>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r w:rsidRPr="008625DC">
              <w:t xml:space="preserve">The </w:t>
            </w:r>
            <w:r w:rsidR="000225AB" w:rsidRPr="008625DC">
              <w:t xml:space="preserve">UK has a </w:t>
            </w:r>
            <w:r w:rsidR="00C74E19" w:rsidRPr="008625DC">
              <w:t>‘</w:t>
            </w:r>
            <w:r w:rsidR="000225AB" w:rsidRPr="008625DC">
              <w:t>presumption of choice</w:t>
            </w:r>
            <w:r w:rsidR="00C74E19" w:rsidRPr="008625DC">
              <w:t>’</w:t>
            </w:r>
            <w:r w:rsidR="000225AB" w:rsidRPr="008625DC">
              <w:t xml:space="preserve"> operating across most </w:t>
            </w:r>
            <w:r w:rsidR="00F45C71" w:rsidRPr="008625DC">
              <w:t>public</w:t>
            </w:r>
            <w:r w:rsidRPr="008625DC">
              <w:t xml:space="preserve"> </w:t>
            </w:r>
            <w:r w:rsidR="000225AB" w:rsidRPr="008625DC">
              <w:t>services</w:t>
            </w:r>
            <w:r w:rsidRPr="008625DC">
              <w:t xml:space="preserve">, and has </w:t>
            </w:r>
            <w:r w:rsidR="0068793D" w:rsidRPr="008625DC">
              <w:t>adopted high</w:t>
            </w:r>
            <w:r w:rsidR="00C74E19" w:rsidRPr="008625DC">
              <w:noBreakHyphen/>
            </w:r>
            <w:r w:rsidR="0068793D" w:rsidRPr="008625DC">
              <w:t>level choice principles</w:t>
            </w:r>
            <w:r w:rsidR="000225AB" w:rsidRPr="008625DC">
              <w:t>. The Panel consider</w:t>
            </w:r>
            <w:r w:rsidR="0068793D" w:rsidRPr="008625DC">
              <w:t>s</w:t>
            </w:r>
            <w:bookmarkStart w:id="23532" w:name="_Toc394047595"/>
            <w:bookmarkStart w:id="23533" w:name="_Toc394049871"/>
            <w:bookmarkStart w:id="23534" w:name="_Toc394051271"/>
            <w:bookmarkStart w:id="23535" w:name="_Toc394062260"/>
            <w:bookmarkStart w:id="23536" w:name="_Toc394069135"/>
            <w:bookmarkStart w:id="23537" w:name="_Toc394071053"/>
            <w:bookmarkStart w:id="23538" w:name="_Toc394312762"/>
            <w:bookmarkStart w:id="23539" w:name="_Toc394330742"/>
            <w:bookmarkStart w:id="23540" w:name="_Toc394331257"/>
            <w:bookmarkStart w:id="23541" w:name="_Toc394330362"/>
            <w:bookmarkStart w:id="23542" w:name="_Toc394333333"/>
            <w:bookmarkStart w:id="23543" w:name="_Toc394333746"/>
            <w:bookmarkStart w:id="23544" w:name="_Toc394334159"/>
            <w:bookmarkStart w:id="23545" w:name="_Toc394334985"/>
            <w:bookmarkStart w:id="23546" w:name="_Toc394415172"/>
            <w:bookmarkStart w:id="23547" w:name="_Toc394412477"/>
            <w:bookmarkStart w:id="23548" w:name="_Toc394420770"/>
            <w:bookmarkStart w:id="23549" w:name="_Toc394423613"/>
            <w:bookmarkStart w:id="23550" w:name="_Toc394422657"/>
            <w:bookmarkStart w:id="23551" w:name="_Toc394423128"/>
            <w:bookmarkStart w:id="23552" w:name="_Toc394424278"/>
            <w:bookmarkStart w:id="23553" w:name="_Toc394492111"/>
            <w:bookmarkStart w:id="23554" w:name="_Toc394495255"/>
            <w:bookmarkStart w:id="23555" w:name="_Toc394498070"/>
            <w:bookmarkStart w:id="23556" w:name="_Toc394500860"/>
            <w:bookmarkStart w:id="23557" w:name="_Toc394502257"/>
            <w:bookmarkStart w:id="23558" w:name="_Toc394503157"/>
            <w:bookmarkStart w:id="23559" w:name="_Toc394502701"/>
            <w:bookmarkStart w:id="23560" w:name="_Toc394505908"/>
            <w:bookmarkStart w:id="23561" w:name="_Toc394506367"/>
            <w:bookmarkStart w:id="23562" w:name="_Toc394506921"/>
            <w:bookmarkStart w:id="23563" w:name="_Toc394560994"/>
            <w:bookmarkStart w:id="23564" w:name="_Toc394561455"/>
            <w:r w:rsidR="000225AB" w:rsidRPr="008625DC">
              <w:t xml:space="preserve"> that</w:t>
            </w:r>
            <w:r w:rsidR="0077411B" w:rsidRPr="008625DC">
              <w:t>,</w:t>
            </w:r>
            <w:r w:rsidR="000225AB" w:rsidRPr="008625DC">
              <w:t xml:space="preserve"> in a federation such as Australia</w:t>
            </w:r>
            <w:r w:rsidR="0077411B" w:rsidRPr="008625DC">
              <w:t>,</w:t>
            </w:r>
            <w:r w:rsidR="000225AB" w:rsidRPr="008625DC">
              <w:t xml:space="preserve"> it would be useful for all governments to agree on common principles to guide the implementation of consumer choice in human services.</w:t>
            </w:r>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p>
          <w:p w14:paraId="472D9BAF" w14:textId="768E5151" w:rsidR="000225AB" w:rsidRPr="008625DC" w:rsidRDefault="000225AB" w:rsidP="00BC70F0">
            <w:pPr>
              <w:pStyle w:val="Keyfindingtext"/>
            </w:pPr>
            <w:bookmarkStart w:id="23565" w:name="_Toc393985226"/>
            <w:bookmarkStart w:id="23566" w:name="_Toc393985729"/>
            <w:bookmarkStart w:id="23567" w:name="_Toc393986131"/>
            <w:bookmarkStart w:id="23568" w:name="_Toc393986534"/>
            <w:bookmarkStart w:id="23569" w:name="_Toc393988141"/>
            <w:bookmarkStart w:id="23570" w:name="_Toc393988543"/>
            <w:bookmarkStart w:id="23571" w:name="_Toc393989555"/>
            <w:bookmarkStart w:id="23572" w:name="_Toc393988944"/>
            <w:bookmarkStart w:id="23573" w:name="_Toc393990948"/>
            <w:bookmarkStart w:id="23574" w:name="_Toc393991932"/>
            <w:bookmarkStart w:id="23575" w:name="_Toc394047596"/>
            <w:bookmarkStart w:id="23576" w:name="_Toc394049872"/>
            <w:bookmarkStart w:id="23577" w:name="_Toc394051272"/>
            <w:bookmarkStart w:id="23578" w:name="_Toc394062261"/>
            <w:bookmarkStart w:id="23579" w:name="_Toc394069136"/>
            <w:bookmarkStart w:id="23580" w:name="_Toc394071054"/>
            <w:bookmarkStart w:id="23581" w:name="_Toc394312763"/>
            <w:bookmarkStart w:id="23582" w:name="_Toc394330743"/>
            <w:bookmarkStart w:id="23583" w:name="_Toc394331258"/>
            <w:bookmarkStart w:id="23584" w:name="_Toc394330363"/>
            <w:bookmarkStart w:id="23585" w:name="_Toc394333334"/>
            <w:bookmarkStart w:id="23586" w:name="_Toc394333747"/>
            <w:bookmarkStart w:id="23587" w:name="_Toc394334160"/>
            <w:bookmarkStart w:id="23588" w:name="_Toc394334986"/>
            <w:bookmarkStart w:id="23589" w:name="_Toc394415173"/>
            <w:bookmarkStart w:id="23590" w:name="_Toc394412478"/>
            <w:bookmarkStart w:id="23591" w:name="_Toc394420771"/>
            <w:bookmarkStart w:id="23592" w:name="_Toc394423614"/>
            <w:bookmarkStart w:id="23593" w:name="_Toc394422658"/>
            <w:bookmarkStart w:id="23594" w:name="_Toc394423129"/>
            <w:bookmarkStart w:id="23595" w:name="_Toc394424279"/>
            <w:bookmarkStart w:id="23596" w:name="_Toc394492112"/>
            <w:bookmarkStart w:id="23597" w:name="_Toc394495256"/>
            <w:bookmarkStart w:id="23598" w:name="_Toc394498071"/>
            <w:bookmarkStart w:id="23599" w:name="_Toc394500861"/>
            <w:bookmarkStart w:id="23600" w:name="_Toc394502258"/>
            <w:bookmarkStart w:id="23601" w:name="_Toc394503158"/>
            <w:bookmarkStart w:id="23602" w:name="_Toc394502702"/>
            <w:bookmarkStart w:id="23603" w:name="_Toc394505909"/>
            <w:bookmarkStart w:id="23604" w:name="_Toc394506368"/>
            <w:bookmarkStart w:id="23605" w:name="_Toc394506922"/>
            <w:bookmarkStart w:id="23606" w:name="_Toc394560995"/>
            <w:bookmarkStart w:id="23607" w:name="_Toc394561456"/>
            <w:bookmarkStart w:id="23608" w:name="_Toc394938379"/>
            <w:bookmarkStart w:id="23609" w:name="_Toc394937659"/>
            <w:bookmarkStart w:id="23610" w:name="_Toc394941290"/>
            <w:bookmarkStart w:id="23611" w:name="_Toc394941906"/>
            <w:bookmarkStart w:id="23612" w:name="_Toc394940128"/>
            <w:bookmarkStart w:id="23613" w:name="_Toc394939738"/>
            <w:bookmarkStart w:id="23614" w:name="_Toc394993635"/>
            <w:bookmarkStart w:id="23615" w:name="_Toc394995516"/>
            <w:bookmarkStart w:id="23616" w:name="_Toc394995830"/>
            <w:bookmarkStart w:id="23617" w:name="_Toc394998073"/>
            <w:bookmarkStart w:id="23618" w:name="_Toc394998587"/>
            <w:bookmarkStart w:id="23619" w:name="_Toc395002086"/>
            <w:bookmarkStart w:id="23620" w:name="_Toc395001292"/>
            <w:bookmarkStart w:id="23621" w:name="_Toc395001566"/>
            <w:bookmarkStart w:id="23622" w:name="_Toc395002855"/>
            <w:bookmarkStart w:id="23623" w:name="_Toc395003440"/>
            <w:bookmarkStart w:id="23624" w:name="_Toc395005681"/>
            <w:bookmarkStart w:id="23625" w:name="_Toc395009675"/>
            <w:bookmarkStart w:id="23626" w:name="_Toc395010416"/>
            <w:bookmarkStart w:id="23627" w:name="_Toc395012600"/>
            <w:bookmarkStart w:id="23628" w:name="_Toc395011007"/>
            <w:bookmarkStart w:id="23629" w:name="_Toc395013063"/>
            <w:bookmarkStart w:id="23630" w:name="_Toc395012065"/>
            <w:bookmarkStart w:id="23631" w:name="_Toc395014404"/>
            <w:bookmarkStart w:id="23632" w:name="_Toc395084752"/>
            <w:bookmarkStart w:id="23633" w:name="_Toc395085053"/>
            <w:bookmarkStart w:id="23634" w:name="_Toc395090519"/>
            <w:bookmarkStart w:id="23635" w:name="_Toc395093103"/>
            <w:bookmarkStart w:id="23636" w:name="_Toc395098015"/>
            <w:bookmarkStart w:id="23637" w:name="_Toc395106199"/>
            <w:bookmarkStart w:id="23638" w:name="_Toc395109792"/>
            <w:bookmarkStart w:id="23639" w:name="_Toc395112169"/>
            <w:bookmarkStart w:id="23640" w:name="_Toc395107311"/>
            <w:bookmarkStart w:id="23641" w:name="_Toc395108872"/>
            <w:bookmarkStart w:id="23642" w:name="_Toc395114112"/>
            <w:bookmarkStart w:id="23643" w:name="_Toc395116849"/>
            <w:bookmarkStart w:id="23644" w:name="_Toc395112786"/>
            <w:bookmarkStart w:id="23645" w:name="_Toc395115326"/>
            <w:bookmarkStart w:id="23646" w:name="_Toc395118478"/>
            <w:bookmarkStart w:id="23647" w:name="_Toc395624672"/>
            <w:bookmarkStart w:id="23648" w:name="_Toc395790023"/>
            <w:bookmarkStart w:id="23649" w:name="_Toc395800781"/>
            <w:r w:rsidRPr="008625DC">
              <w:t>The Panel</w:t>
            </w:r>
            <w:r w:rsidR="00C74E19" w:rsidRPr="008625DC">
              <w:t>’</w:t>
            </w:r>
            <w:r w:rsidRPr="008625DC">
              <w:t>s view is that</w:t>
            </w:r>
            <w:r w:rsidR="00BC70F0" w:rsidRPr="008625DC">
              <w:t xml:space="preserve"> the</w:t>
            </w:r>
            <w:r w:rsidRPr="008625DC">
              <w:t xml:space="preserve"> </w:t>
            </w:r>
            <w:r w:rsidR="00BC70F0" w:rsidRPr="008625DC">
              <w:t xml:space="preserve">Commonwealth, </w:t>
            </w:r>
            <w:r w:rsidR="00546392" w:rsidRPr="008625DC">
              <w:t>state</w:t>
            </w:r>
            <w:r w:rsidR="00AC2922" w:rsidRPr="008625DC">
              <w:t xml:space="preserve"> and</w:t>
            </w:r>
            <w:r w:rsidR="00546392" w:rsidRPr="008625DC">
              <w:t xml:space="preserve"> territory</w:t>
            </w:r>
            <w:r w:rsidRPr="008625DC" w:rsidDel="00BC70F0">
              <w:t xml:space="preserve"> </w:t>
            </w:r>
            <w:r w:rsidRPr="008625DC">
              <w:t xml:space="preserve">governments </w:t>
            </w:r>
            <w:r w:rsidR="0077411B" w:rsidRPr="008625DC">
              <w:t>should</w:t>
            </w:r>
            <w:r w:rsidRPr="008625DC">
              <w:t xml:space="preserve"> agree on choice principles, and </w:t>
            </w:r>
            <w:r w:rsidR="0077411B" w:rsidRPr="008625DC">
              <w:t xml:space="preserve">that </w:t>
            </w:r>
            <w:r w:rsidRPr="008625DC">
              <w:t xml:space="preserve">consumer choice </w:t>
            </w:r>
            <w:r w:rsidR="0077411B" w:rsidRPr="008625DC">
              <w:t>should</w:t>
            </w:r>
            <w:r w:rsidRPr="008625DC">
              <w:t xml:space="preserve"> continue to be implemented into Australian social service markets, </w:t>
            </w:r>
            <w:r w:rsidR="0077411B" w:rsidRPr="008625DC">
              <w:t>beginning</w:t>
            </w:r>
            <w:r w:rsidRPr="008625DC">
              <w:t xml:space="preserve"> with markets where it can be identified that choice is most </w:t>
            </w:r>
            <w:r w:rsidR="0077411B" w:rsidRPr="008625DC">
              <w:t>easily</w:t>
            </w:r>
            <w:r w:rsidRPr="008625DC">
              <w:t xml:space="preserve"> establish</w:t>
            </w:r>
            <w:r w:rsidR="0077411B" w:rsidRPr="008625DC">
              <w:t>ed</w:t>
            </w:r>
            <w:r w:rsidRPr="008625DC">
              <w:t>.</w:t>
            </w:r>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p>
        </w:tc>
      </w:tr>
    </w:tbl>
    <w:p w14:paraId="1D109658" w14:textId="77777777" w:rsidR="00C626B4" w:rsidRPr="008625DC" w:rsidRDefault="00C626B4" w:rsidP="00C626B4">
      <w:bookmarkStart w:id="23650" w:name="_Toc393985227"/>
      <w:bookmarkStart w:id="23651" w:name="_Toc393985366"/>
      <w:bookmarkStart w:id="23652" w:name="_Toc393985730"/>
      <w:bookmarkStart w:id="23653" w:name="_Toc393985870"/>
      <w:bookmarkStart w:id="23654" w:name="_Toc393986132"/>
      <w:bookmarkStart w:id="23655" w:name="_Toc393986272"/>
      <w:bookmarkStart w:id="23656" w:name="_Toc393986535"/>
      <w:bookmarkStart w:id="23657" w:name="_Toc393988142"/>
      <w:bookmarkStart w:id="23658" w:name="_Toc393988282"/>
      <w:bookmarkStart w:id="23659" w:name="_Toc393988544"/>
      <w:bookmarkStart w:id="23660" w:name="_Toc393988684"/>
      <w:bookmarkStart w:id="23661" w:name="_Toc393986676"/>
      <w:bookmarkStart w:id="23662" w:name="_Toc393989556"/>
      <w:bookmarkStart w:id="23663" w:name="_Toc393989696"/>
      <w:bookmarkStart w:id="23664" w:name="_Toc393988945"/>
      <w:bookmarkStart w:id="23665" w:name="_Toc393989084"/>
      <w:bookmarkStart w:id="23666" w:name="_Toc393990949"/>
      <w:bookmarkStart w:id="23667" w:name="_Toc393991088"/>
      <w:bookmarkStart w:id="23668" w:name="_Toc393991187"/>
      <w:bookmarkStart w:id="23669" w:name="_Toc393991933"/>
      <w:bookmarkStart w:id="23670" w:name="_Toc393992072"/>
      <w:bookmarkStart w:id="23671" w:name="_Toc394047597"/>
      <w:bookmarkStart w:id="23672" w:name="_Toc394047736"/>
      <w:bookmarkStart w:id="23673" w:name="_Toc394047847"/>
      <w:bookmarkStart w:id="23674" w:name="_Toc394048403"/>
      <w:bookmarkStart w:id="23675" w:name="_Toc394049873"/>
      <w:bookmarkStart w:id="23676" w:name="_Toc394050015"/>
      <w:bookmarkStart w:id="23677" w:name="_Toc394051273"/>
      <w:bookmarkStart w:id="23678" w:name="_Toc394051415"/>
      <w:bookmarkStart w:id="23679" w:name="_Toc394062262"/>
      <w:bookmarkStart w:id="23680" w:name="_Toc394062562"/>
      <w:bookmarkStart w:id="23681" w:name="_Toc394069137"/>
      <w:bookmarkStart w:id="23682" w:name="_Toc394069277"/>
      <w:bookmarkStart w:id="23683" w:name="_Toc394071055"/>
      <w:bookmarkStart w:id="23684" w:name="_Toc394071195"/>
      <w:bookmarkStart w:id="23685" w:name="_Toc394312764"/>
      <w:bookmarkStart w:id="23686" w:name="_Toc394330468"/>
      <w:bookmarkStart w:id="23687" w:name="_Toc394330744"/>
      <w:bookmarkStart w:id="23688" w:name="_Toc394331259"/>
      <w:bookmarkStart w:id="23689" w:name="_Toc394331399"/>
      <w:bookmarkStart w:id="23690" w:name="_Toc394330364"/>
      <w:bookmarkStart w:id="23691" w:name="_Toc394333335"/>
      <w:bookmarkStart w:id="23692" w:name="_Toc394333474"/>
      <w:bookmarkStart w:id="23693" w:name="_Toc394333748"/>
      <w:bookmarkStart w:id="23694" w:name="_Toc394333887"/>
      <w:bookmarkStart w:id="23695" w:name="_Toc394334161"/>
      <w:bookmarkStart w:id="23696" w:name="_Toc394334300"/>
      <w:bookmarkStart w:id="23697" w:name="_Toc394334987"/>
      <w:bookmarkStart w:id="23698" w:name="_Toc394335126"/>
      <w:bookmarkStart w:id="23699" w:name="_Toc394415174"/>
      <w:bookmarkStart w:id="23700" w:name="_Toc394415334"/>
      <w:bookmarkStart w:id="23701" w:name="_Toc394412479"/>
      <w:bookmarkStart w:id="23702" w:name="_Toc394412643"/>
      <w:bookmarkStart w:id="23703" w:name="_Toc394420772"/>
      <w:bookmarkStart w:id="23704" w:name="_Toc394420936"/>
      <w:bookmarkStart w:id="23705" w:name="_Toc394423615"/>
      <w:bookmarkStart w:id="23706" w:name="_Toc394423777"/>
      <w:bookmarkStart w:id="23707" w:name="_Toc394422659"/>
      <w:bookmarkStart w:id="23708" w:name="_Toc394422821"/>
      <w:bookmarkStart w:id="23709" w:name="_Toc394423130"/>
      <w:bookmarkStart w:id="23710" w:name="_Toc394423292"/>
      <w:bookmarkStart w:id="23711" w:name="_Toc394424280"/>
      <w:bookmarkStart w:id="23712" w:name="_Toc394424440"/>
      <w:bookmarkStart w:id="23713" w:name="_Toc394492113"/>
      <w:bookmarkStart w:id="23714" w:name="_Toc394492273"/>
      <w:bookmarkStart w:id="23715" w:name="_Toc394495257"/>
      <w:bookmarkStart w:id="23716" w:name="_Toc394495417"/>
      <w:bookmarkStart w:id="23717" w:name="_Toc394498072"/>
      <w:bookmarkStart w:id="23718" w:name="_Toc394498232"/>
      <w:bookmarkStart w:id="23719" w:name="_Toc394500862"/>
      <w:bookmarkStart w:id="23720" w:name="_Toc394501022"/>
      <w:bookmarkStart w:id="23721" w:name="_Toc394502259"/>
      <w:bookmarkStart w:id="23722" w:name="_Toc394502412"/>
      <w:bookmarkStart w:id="23723" w:name="_Toc394503159"/>
      <w:bookmarkStart w:id="23724" w:name="_Toc394503770"/>
      <w:bookmarkStart w:id="23725" w:name="_Toc394502703"/>
      <w:bookmarkStart w:id="23726" w:name="_Toc394502859"/>
      <w:bookmarkStart w:id="23727" w:name="_Toc394505910"/>
      <w:bookmarkStart w:id="23728" w:name="_Toc394506188"/>
      <w:bookmarkStart w:id="23729" w:name="_Toc394506369"/>
      <w:bookmarkStart w:id="23730" w:name="_Toc394506526"/>
      <w:bookmarkStart w:id="23731" w:name="_Toc394506923"/>
      <w:bookmarkStart w:id="23732" w:name="_Toc394507080"/>
      <w:bookmarkStart w:id="23733" w:name="_Toc394560996"/>
      <w:bookmarkStart w:id="23734" w:name="_Toc394561157"/>
      <w:bookmarkStart w:id="23735" w:name="_Toc394561457"/>
      <w:bookmarkStart w:id="23736" w:name="_Toc394561990"/>
      <w:bookmarkStart w:id="23737" w:name="_Toc394582980"/>
      <w:bookmarkStart w:id="23738" w:name="_Toc394585651"/>
      <w:bookmarkStart w:id="23739" w:name="_Toc394586117"/>
      <w:bookmarkStart w:id="23740" w:name="_Toc394588049"/>
      <w:bookmarkStart w:id="23741" w:name="_Toc394588884"/>
      <w:bookmarkStart w:id="23742" w:name="_Toc394589009"/>
      <w:bookmarkStart w:id="23743" w:name="_Toc394590425"/>
      <w:bookmarkStart w:id="23744" w:name="_Toc394590618"/>
      <w:bookmarkStart w:id="23745" w:name="_Toc394654519"/>
      <w:bookmarkStart w:id="23746" w:name="_Toc394654677"/>
      <w:bookmarkStart w:id="23747" w:name="_Toc394656219"/>
      <w:bookmarkStart w:id="23748" w:name="_Toc394656376"/>
      <w:bookmarkStart w:id="23749" w:name="_Toc394659356"/>
      <w:bookmarkStart w:id="23750" w:name="_Toc394659514"/>
      <w:bookmarkStart w:id="23751" w:name="_Toc394663368"/>
      <w:bookmarkStart w:id="23752" w:name="_Toc394663524"/>
      <w:bookmarkStart w:id="23753" w:name="_Toc394667162"/>
      <w:bookmarkStart w:id="23754" w:name="_Toc394667318"/>
      <w:bookmarkStart w:id="23755" w:name="_Toc394671641"/>
      <w:bookmarkStart w:id="23756" w:name="_Toc394671801"/>
      <w:bookmarkStart w:id="23757" w:name="_Toc394674643"/>
      <w:bookmarkStart w:id="23758" w:name="_Toc394674806"/>
      <w:bookmarkStart w:id="23759" w:name="_Toc394674920"/>
      <w:bookmarkStart w:id="23760" w:name="_Toc394675086"/>
      <w:bookmarkStart w:id="23761" w:name="_Toc394676031"/>
      <w:bookmarkStart w:id="23762" w:name="_Toc394676193"/>
      <w:bookmarkStart w:id="23763" w:name="_Toc394675719"/>
      <w:bookmarkStart w:id="23764" w:name="_Toc394675882"/>
      <w:bookmarkStart w:id="23765" w:name="_Toc394918282"/>
      <w:bookmarkStart w:id="23766" w:name="_Toc394918796"/>
      <w:bookmarkStart w:id="23767" w:name="_Toc394930768"/>
      <w:bookmarkStart w:id="23768" w:name="_Toc394933681"/>
      <w:bookmarkStart w:id="23769" w:name="_Toc394938128"/>
      <w:bookmarkStart w:id="23770" w:name="_Toc394938380"/>
      <w:bookmarkStart w:id="23771" w:name="_Toc394938630"/>
      <w:bookmarkStart w:id="23772" w:name="_Toc394937660"/>
      <w:bookmarkStart w:id="23773" w:name="_Toc394937912"/>
      <w:bookmarkStart w:id="23774" w:name="_Toc394941040"/>
      <w:bookmarkStart w:id="23775" w:name="_Toc394941291"/>
      <w:bookmarkStart w:id="23776" w:name="_Toc394941541"/>
      <w:bookmarkStart w:id="23777" w:name="_Toc394941656"/>
      <w:bookmarkStart w:id="23778" w:name="_Toc394941907"/>
      <w:bookmarkStart w:id="23779" w:name="_Toc394942157"/>
      <w:bookmarkStart w:id="23780" w:name="_Toc394939877"/>
      <w:bookmarkStart w:id="23781" w:name="_Toc394940129"/>
      <w:bookmarkStart w:id="23782" w:name="_Toc394940379"/>
      <w:bookmarkStart w:id="23783" w:name="_Toc394939489"/>
      <w:bookmarkStart w:id="23784" w:name="_Toc394939739"/>
      <w:bookmarkStart w:id="23785" w:name="_Toc394940593"/>
      <w:bookmarkStart w:id="23786" w:name="_Toc394993636"/>
      <w:bookmarkStart w:id="23787" w:name="_Toc394995517"/>
      <w:bookmarkStart w:id="23788" w:name="_Toc394995831"/>
      <w:bookmarkStart w:id="23789" w:name="_Toc394996073"/>
      <w:bookmarkStart w:id="23790" w:name="_Toc394997799"/>
      <w:bookmarkStart w:id="23791" w:name="_Toc394998074"/>
      <w:bookmarkStart w:id="23792" w:name="_Toc394998314"/>
      <w:bookmarkStart w:id="23793" w:name="_Toc394998588"/>
      <w:bookmarkStart w:id="23794" w:name="_Toc395001809"/>
      <w:bookmarkStart w:id="23795" w:name="_Toc395002087"/>
      <w:bookmarkStart w:id="23796" w:name="_Toc395001293"/>
      <w:bookmarkStart w:id="23797" w:name="_Toc395001567"/>
      <w:bookmarkStart w:id="23798" w:name="_Toc395002856"/>
      <w:bookmarkStart w:id="23799" w:name="_Toc395003441"/>
      <w:bookmarkStart w:id="23800" w:name="_Toc395005061"/>
      <w:bookmarkStart w:id="23801" w:name="_Toc395005187"/>
      <w:bookmarkStart w:id="23802" w:name="_Toc395005403"/>
      <w:bookmarkStart w:id="23803" w:name="_Toc395005682"/>
      <w:bookmarkStart w:id="23804" w:name="_Toc395008980"/>
      <w:bookmarkStart w:id="23805" w:name="_Toc395009676"/>
      <w:bookmarkStart w:id="23806" w:name="_Toc395011766"/>
      <w:bookmarkStart w:id="23807" w:name="_Toc395010166"/>
      <w:bookmarkStart w:id="23808" w:name="_Toc395010417"/>
      <w:bookmarkStart w:id="23809" w:name="_Toc395010008"/>
      <w:bookmarkStart w:id="23810" w:name="_Toc395011534"/>
      <w:bookmarkStart w:id="23811" w:name="_Toc395012352"/>
      <w:bookmarkStart w:id="23812" w:name="_Toc395012601"/>
      <w:bookmarkStart w:id="23813" w:name="_Toc395012942"/>
      <w:bookmarkStart w:id="23814" w:name="_Toc395010757"/>
      <w:bookmarkStart w:id="23815" w:name="_Toc395011008"/>
      <w:bookmarkStart w:id="23816" w:name="_Toc395012230"/>
      <w:bookmarkStart w:id="23817" w:name="_Toc395013064"/>
      <w:bookmarkStart w:id="23818" w:name="_Toc395012066"/>
      <w:bookmarkStart w:id="23819" w:name="_Toc395014405"/>
      <w:bookmarkStart w:id="23820" w:name="_Toc395014631"/>
      <w:bookmarkStart w:id="23821" w:name="_Toc395013222"/>
      <w:bookmarkStart w:id="23822" w:name="_Toc395084753"/>
      <w:bookmarkStart w:id="23823" w:name="_Toc395085054"/>
      <w:bookmarkStart w:id="23824" w:name="_Toc395090261"/>
      <w:bookmarkStart w:id="23825" w:name="_Toc395090520"/>
      <w:bookmarkStart w:id="23826" w:name="_Toc395090740"/>
      <w:bookmarkStart w:id="23827" w:name="_Toc395092629"/>
      <w:bookmarkStart w:id="23828" w:name="_Toc395092841"/>
      <w:bookmarkStart w:id="23829" w:name="_Toc395093104"/>
      <w:bookmarkStart w:id="23830" w:name="_Toc395093323"/>
      <w:bookmarkStart w:id="23831" w:name="_Toc395097752"/>
      <w:bookmarkStart w:id="23832" w:name="_Toc395098016"/>
      <w:bookmarkStart w:id="23833" w:name="_Toc395098233"/>
      <w:bookmarkStart w:id="23834" w:name="_Toc395105418"/>
      <w:bookmarkStart w:id="23835" w:name="_Toc395106200"/>
      <w:bookmarkStart w:id="23836" w:name="_Toc395107021"/>
      <w:bookmarkStart w:id="23837" w:name="_Toc395109893"/>
      <w:bookmarkStart w:id="23838" w:name="_Toc395109679"/>
      <w:bookmarkStart w:id="23839" w:name="_Toc395109793"/>
      <w:bookmarkStart w:id="23840" w:name="_Toc395111896"/>
      <w:bookmarkStart w:id="23841" w:name="_Toc395112170"/>
      <w:bookmarkStart w:id="23842" w:name="_Toc395112384"/>
      <w:bookmarkStart w:id="23843" w:name="_Toc395106816"/>
      <w:bookmarkStart w:id="23844" w:name="_Toc395107312"/>
      <w:bookmarkStart w:id="23845" w:name="_Toc395107529"/>
      <w:bookmarkStart w:id="23846" w:name="_Toc395108576"/>
      <w:bookmarkStart w:id="23847" w:name="_Toc395108873"/>
      <w:bookmarkStart w:id="23848" w:name="_Toc395113816"/>
      <w:bookmarkStart w:id="23849" w:name="_Toc395114113"/>
      <w:bookmarkStart w:id="23850" w:name="_Toc395114336"/>
      <w:bookmarkStart w:id="23851" w:name="_Toc395116552"/>
      <w:bookmarkStart w:id="23852" w:name="_Toc395116850"/>
      <w:bookmarkStart w:id="23853" w:name="_Toc395117074"/>
      <w:bookmarkStart w:id="23854" w:name="_Toc395112489"/>
      <w:bookmarkStart w:id="23855" w:name="_Toc395112787"/>
      <w:bookmarkStart w:id="23856" w:name="_Toc395113192"/>
      <w:bookmarkStart w:id="23857" w:name="_Toc395115028"/>
      <w:bookmarkStart w:id="23858" w:name="_Toc395115327"/>
      <w:bookmarkStart w:id="23859" w:name="_Toc395115551"/>
      <w:bookmarkStart w:id="23860" w:name="_Toc395118183"/>
      <w:bookmarkStart w:id="23861" w:name="_Toc395118479"/>
      <w:bookmarkStart w:id="23862" w:name="_Toc395118701"/>
      <w:bookmarkStart w:id="23863" w:name="_Toc395178393"/>
      <w:bookmarkStart w:id="23864" w:name="_Toc395178725"/>
      <w:bookmarkStart w:id="23865" w:name="_Toc395624673"/>
      <w:bookmarkStart w:id="23866" w:name="_Toc395624882"/>
      <w:bookmarkStart w:id="23867" w:name="_Toc395789736"/>
      <w:bookmarkStart w:id="23868" w:name="_Toc395790024"/>
      <w:bookmarkStart w:id="23869" w:name="_Toc395800782"/>
      <w:bookmarkStart w:id="23870" w:name="_Toc395802865"/>
      <w:bookmarkStart w:id="23871" w:name="_Toc395867629"/>
      <w:bookmarkStart w:id="23872" w:name="_Toc395868538"/>
      <w:bookmarkStart w:id="23873" w:name="_Toc395868761"/>
      <w:bookmarkStart w:id="23874" w:name="_Toc395879140"/>
      <w:bookmarkStart w:id="23875" w:name="_Toc395882043"/>
      <w:bookmarkStart w:id="23876" w:name="_Toc395882264"/>
      <w:bookmarkStart w:id="23877" w:name="_Toc395882374"/>
      <w:bookmarkStart w:id="23878" w:name="_Toc395882595"/>
      <w:bookmarkStart w:id="23879" w:name="_Toc395880538"/>
      <w:bookmarkStart w:id="23880" w:name="_Toc395880869"/>
      <w:bookmarkStart w:id="23881" w:name="_Toc395881427"/>
      <w:bookmarkStart w:id="23882" w:name="_Toc395881648"/>
      <w:bookmarkStart w:id="23883" w:name="_Toc395883812"/>
      <w:bookmarkStart w:id="23884" w:name="_Toc395884033"/>
      <w:bookmarkStart w:id="23885" w:name="_Toc395880767"/>
      <w:bookmarkStart w:id="23886" w:name="_Toc395884474"/>
      <w:bookmarkStart w:id="23887" w:name="_Toc395884695"/>
      <w:bookmarkStart w:id="23888" w:name="_Toc395883183"/>
      <w:bookmarkStart w:id="23889" w:name="_Toc395883404"/>
      <w:bookmarkStart w:id="23890" w:name="_Toc395883513"/>
      <w:bookmarkStart w:id="23891" w:name="_Toc395883734"/>
      <w:bookmarkStart w:id="23892" w:name="_Toc395884815"/>
      <w:bookmarkStart w:id="23893" w:name="_Toc396123843"/>
      <w:bookmarkStart w:id="23894" w:name="_Toc396130746"/>
      <w:bookmarkStart w:id="23895" w:name="_Toc396136324"/>
      <w:bookmarkStart w:id="23896" w:name="_Toc396145692"/>
      <w:bookmarkStart w:id="23897" w:name="_Toc396145974"/>
      <w:bookmarkStart w:id="23898" w:name="_Toc396147514"/>
      <w:bookmarkStart w:id="23899" w:name="_Toc396147800"/>
      <w:bookmarkStart w:id="23900" w:name="_Toc396149056"/>
      <w:bookmarkStart w:id="23901" w:name="_Toc396148770"/>
      <w:bookmarkStart w:id="23902" w:name="_Toc396149551"/>
      <w:bookmarkStart w:id="23903" w:name="_Toc396149196"/>
      <w:bookmarkStart w:id="23904" w:name="_Toc396149482"/>
      <w:bookmarkStart w:id="23905" w:name="_Toc396149159"/>
      <w:bookmarkStart w:id="23906" w:name="_Toc396149904"/>
      <w:bookmarkStart w:id="23907" w:name="_Toc396149654"/>
      <w:bookmarkStart w:id="23908" w:name="_Toc396150495"/>
      <w:bookmarkStart w:id="23909" w:name="_Toc396151384"/>
      <w:bookmarkStart w:id="23910" w:name="_Toc396151678"/>
      <w:bookmarkStart w:id="23911" w:name="_Toc396201605"/>
      <w:bookmarkStart w:id="23912" w:name="_Toc396202395"/>
      <w:bookmarkStart w:id="23913" w:name="_Toc396202690"/>
      <w:bookmarkStart w:id="23914" w:name="_Toc396203307"/>
      <w:bookmarkStart w:id="23915" w:name="_Toc396206603"/>
      <w:bookmarkStart w:id="23916" w:name="_Toc396206897"/>
      <w:bookmarkStart w:id="23917" w:name="_Toc396209431"/>
      <w:bookmarkStart w:id="23918" w:name="_Toc396209725"/>
      <w:bookmarkStart w:id="23919" w:name="_Toc396211855"/>
      <w:bookmarkStart w:id="23920" w:name="_Toc396212149"/>
      <w:bookmarkStart w:id="23921" w:name="_Toc396213199"/>
      <w:bookmarkStart w:id="23922" w:name="_Toc396213491"/>
      <w:bookmarkStart w:id="23923" w:name="_Toc396214042"/>
      <w:bookmarkStart w:id="23924" w:name="_Toc396214477"/>
      <w:bookmarkStart w:id="23925" w:name="_Toc396214767"/>
      <w:bookmarkStart w:id="23926" w:name="_Toc396220327"/>
      <w:bookmarkStart w:id="23927" w:name="_Toc396226589"/>
      <w:bookmarkStart w:id="23928" w:name="_Toc396226878"/>
      <w:bookmarkStart w:id="23929" w:name="_Toc396228789"/>
      <w:bookmarkStart w:id="23930" w:name="_Toc396229084"/>
      <w:bookmarkStart w:id="23931" w:name="_Toc396230431"/>
      <w:bookmarkStart w:id="23932" w:name="_Toc396230726"/>
      <w:bookmarkStart w:id="23933" w:name="_Toc396231868"/>
      <w:bookmarkStart w:id="23934" w:name="_Toc396233211"/>
      <w:bookmarkStart w:id="23935" w:name="_Toc396233508"/>
      <w:bookmarkStart w:id="23936" w:name="_Toc396234031"/>
      <w:bookmarkStart w:id="23937" w:name="_Toc396234328"/>
      <w:bookmarkStart w:id="23938" w:name="_Toc396234441"/>
      <w:bookmarkStart w:id="23939" w:name="_Toc396236175"/>
      <w:bookmarkStart w:id="23940" w:name="_Toc396235953"/>
      <w:bookmarkStart w:id="23941" w:name="_Toc396236563"/>
      <w:bookmarkStart w:id="23942" w:name="_Toc396237082"/>
      <w:bookmarkStart w:id="23943" w:name="_Toc396397425"/>
      <w:bookmarkStart w:id="23944" w:name="_Toc396304606"/>
      <w:bookmarkStart w:id="23945" w:name="_Toc396586141"/>
      <w:bookmarkStart w:id="23946" w:name="_Toc396815162"/>
      <w:bookmarkStart w:id="23947" w:name="_Toc396821111"/>
      <w:bookmarkStart w:id="23948" w:name="_Toc396821719"/>
      <w:bookmarkStart w:id="23949" w:name="_Toc396827569"/>
      <w:bookmarkStart w:id="23950" w:name="_Toc396828540"/>
      <w:bookmarkStart w:id="23951" w:name="_Toc396828650"/>
      <w:bookmarkStart w:id="23952" w:name="_Toc396838039"/>
      <w:bookmarkStart w:id="23953" w:name="_Toc396838437"/>
      <w:bookmarkStart w:id="23954" w:name="_Toc396904760"/>
      <w:bookmarkStart w:id="23955" w:name="_Toc396907594"/>
      <w:bookmarkStart w:id="23956" w:name="_Toc396912513"/>
      <w:bookmarkStart w:id="23957" w:name="_Toc396914493"/>
      <w:bookmarkStart w:id="23958" w:name="_Toc396915377"/>
      <w:bookmarkStart w:id="23959" w:name="_Toc396915771"/>
      <w:bookmarkStart w:id="23960" w:name="_Toc396921082"/>
      <w:bookmarkStart w:id="23961" w:name="_Toc396924422"/>
      <w:bookmarkStart w:id="23962" w:name="_Toc396925116"/>
      <w:bookmarkStart w:id="23963" w:name="_Toc396992236"/>
      <w:bookmarkStart w:id="23964" w:name="_Toc396992815"/>
      <w:bookmarkStart w:id="23965" w:name="_Toc396994479"/>
      <w:bookmarkStart w:id="23966" w:name="_Toc397002249"/>
      <w:bookmarkStart w:id="23967" w:name="_Toc397003168"/>
      <w:bookmarkStart w:id="23968" w:name="_Toc397008726"/>
      <w:bookmarkStart w:id="23969" w:name="_Toc397008944"/>
      <w:bookmarkStart w:id="23970" w:name="_Toc397011616"/>
      <w:bookmarkStart w:id="23971" w:name="_Toc397012678"/>
      <w:bookmarkStart w:id="23972" w:name="_Toc397015020"/>
      <w:bookmarkStart w:id="23973" w:name="_Toc397015507"/>
      <w:bookmarkStart w:id="23974" w:name="_Toc397070577"/>
      <w:bookmarkStart w:id="23975" w:name="_Toc397413327"/>
      <w:bookmarkStart w:id="23976" w:name="_Toc397413474"/>
      <w:bookmarkStart w:id="23977" w:name="_Toc397428048"/>
      <w:bookmarkStart w:id="23978" w:name="_Toc397439436"/>
      <w:bookmarkStart w:id="23979" w:name="_Toc397439606"/>
      <w:bookmarkStart w:id="23980" w:name="_Toc397439862"/>
      <w:bookmarkStart w:id="23981" w:name="_Toc397440164"/>
      <w:bookmarkStart w:id="23982" w:name="_Toc397441793"/>
      <w:bookmarkStart w:id="23983" w:name="_Toc397517495"/>
      <w:bookmarkStart w:id="23984" w:name="_Toc397522760"/>
      <w:bookmarkStart w:id="23985" w:name="_Toc397526178"/>
      <w:bookmarkStart w:id="23986" w:name="_Toc397528493"/>
      <w:bookmarkStart w:id="23987" w:name="_Toc397528968"/>
      <w:bookmarkStart w:id="23988" w:name="_Toc397601965"/>
      <w:bookmarkStart w:id="23989" w:name="_Toc397602700"/>
      <w:bookmarkStart w:id="23990" w:name="_Toc397605833"/>
      <w:bookmarkStart w:id="23991" w:name="_Toc397614530"/>
      <w:bookmarkStart w:id="23992" w:name="_Toc397614973"/>
      <w:bookmarkStart w:id="23993" w:name="_Toc397616416"/>
      <w:bookmarkStart w:id="23994" w:name="_Toc397616810"/>
      <w:bookmarkStart w:id="23995" w:name="_Toc397688108"/>
      <w:bookmarkStart w:id="23996" w:name="_Toc397689324"/>
      <w:bookmarkStart w:id="23997" w:name="_Toc397694604"/>
      <w:bookmarkStart w:id="23998" w:name="_Toc397696445"/>
      <w:bookmarkStart w:id="23999" w:name="_Toc397697179"/>
      <w:bookmarkStart w:id="24000" w:name="_Toc397698466"/>
      <w:bookmarkStart w:id="24001" w:name="_Toc397699832"/>
      <w:bookmarkStart w:id="24002" w:name="_Toc397700286"/>
      <w:bookmarkStart w:id="24003" w:name="_Toc397936678"/>
      <w:bookmarkStart w:id="24004" w:name="_Toc397936798"/>
      <w:bookmarkStart w:id="24005" w:name="_Toc397945954"/>
      <w:bookmarkStart w:id="24006" w:name="_Toc397946980"/>
      <w:bookmarkStart w:id="24007" w:name="_Toc397948099"/>
      <w:bookmarkStart w:id="24008" w:name="_Toc397958505"/>
      <w:bookmarkStart w:id="24009" w:name="_Toc397958747"/>
      <w:bookmarkStart w:id="24010" w:name="_Toc397959162"/>
      <w:bookmarkStart w:id="24011" w:name="_Toc397963015"/>
      <w:bookmarkStart w:id="24012" w:name="_Toc397963381"/>
      <w:bookmarkStart w:id="24013" w:name="_Toc397965458"/>
      <w:bookmarkStart w:id="24014" w:name="_Toc398197396"/>
      <w:bookmarkStart w:id="24015" w:name="_Toc398199899"/>
      <w:bookmarkStart w:id="24016" w:name="_Toc398201613"/>
      <w:bookmarkStart w:id="24017" w:name="_Toc398207218"/>
      <w:bookmarkStart w:id="24018" w:name="_Toc398210491"/>
      <w:bookmarkStart w:id="24019" w:name="_Toc398211005"/>
      <w:bookmarkStart w:id="24020" w:name="_Toc398219813"/>
      <w:bookmarkStart w:id="24021" w:name="_Toc398220188"/>
      <w:bookmarkStart w:id="24022" w:name="_Toc398220575"/>
      <w:bookmarkStart w:id="24023" w:name="_Toc398221653"/>
      <w:bookmarkStart w:id="24024" w:name="_Toc398222339"/>
      <w:bookmarkStart w:id="24025" w:name="_Toc398222651"/>
      <w:bookmarkStart w:id="24026" w:name="_Toc398223068"/>
      <w:bookmarkStart w:id="24027" w:name="_Toc398223447"/>
      <w:bookmarkStart w:id="24028" w:name="_Toc398223574"/>
      <w:bookmarkStart w:id="24029" w:name="_Toc398224382"/>
      <w:bookmarkStart w:id="24030" w:name="_Toc398225719"/>
      <w:bookmarkStart w:id="24031" w:name="_Toc398225844"/>
      <w:bookmarkStart w:id="24032" w:name="_Toc398281331"/>
      <w:bookmarkStart w:id="24033" w:name="_Toc398282190"/>
      <w:bookmarkStart w:id="24034" w:name="_Toc398284860"/>
      <w:bookmarkStart w:id="24035" w:name="_Toc398287329"/>
      <w:bookmarkStart w:id="24036" w:name="_Toc398289212"/>
      <w:bookmarkStart w:id="24037" w:name="_Toc398297209"/>
      <w:bookmarkStart w:id="24038" w:name="_Toc398298683"/>
      <w:bookmarkStart w:id="24039" w:name="_Toc398300384"/>
      <w:bookmarkStart w:id="24040" w:name="_Toc398301281"/>
      <w:bookmarkStart w:id="24041" w:name="_Toc398302466"/>
      <w:bookmarkStart w:id="24042" w:name="_Toc398302629"/>
      <w:bookmarkStart w:id="24043" w:name="_Toc398549143"/>
      <w:bookmarkStart w:id="24044" w:name="_Toc398549393"/>
      <w:bookmarkStart w:id="24045" w:name="_Toc398555812"/>
      <w:bookmarkStart w:id="24046" w:name="_Toc398559016"/>
      <w:bookmarkStart w:id="24047" w:name="_Toc398563502"/>
      <w:bookmarkStart w:id="24048" w:name="_Toc398563635"/>
      <w:bookmarkStart w:id="24049" w:name="_Toc398564034"/>
      <w:bookmarkStart w:id="24050" w:name="_Toc396138778"/>
      <w:bookmarkStart w:id="24051" w:name="_Toc396144039"/>
      <w:bookmarkStart w:id="24052" w:name="_Toc396145548"/>
    </w:p>
    <w:p w14:paraId="4AF48ACB" w14:textId="77777777" w:rsidR="00C626B4" w:rsidRPr="008625DC" w:rsidRDefault="00C626B4" w:rsidP="00C626B4">
      <w:pPr>
        <w:rPr>
          <w:rFonts w:ascii="Calibri" w:hAnsi="Calibri" w:cs="Arial"/>
          <w:color w:val="009976" w:themeColor="accent1"/>
          <w:sz w:val="32"/>
          <w:szCs w:val="28"/>
        </w:rPr>
      </w:pPr>
      <w:r w:rsidRPr="008625DC">
        <w:br w:type="page"/>
      </w:r>
    </w:p>
    <w:p w14:paraId="73F3E6A7" w14:textId="2F92DC0D" w:rsidR="000225AB" w:rsidRPr="008625DC" w:rsidRDefault="000225AB" w:rsidP="000B5916">
      <w:pPr>
        <w:pStyle w:val="Heading2"/>
        <w:ind w:left="851" w:hanging="851"/>
        <w:rPr>
          <w:lang w:val="en-AU"/>
        </w:rPr>
      </w:pPr>
      <w:bookmarkStart w:id="24053" w:name="_Toc398827372"/>
      <w:bookmarkStart w:id="24054" w:name="_Toc398827566"/>
      <w:r w:rsidRPr="008625DC">
        <w:rPr>
          <w:lang w:val="en-AU"/>
        </w:rPr>
        <w:lastRenderedPageBreak/>
        <w:t xml:space="preserve">Diversity </w:t>
      </w:r>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r w:rsidR="00C22A69" w:rsidRPr="008625DC">
        <w:rPr>
          <w:lang w:val="en-AU"/>
        </w:rPr>
        <w:t>of service providers</w:t>
      </w:r>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3"/>
      <w:bookmarkEnd w:id="24054"/>
      <w:r w:rsidRPr="008625DC">
        <w:rPr>
          <w:lang w:val="en-AU"/>
        </w:rPr>
        <w:t xml:space="preserve"> </w:t>
      </w:r>
      <w:bookmarkEnd w:id="24050"/>
      <w:bookmarkEnd w:id="24051"/>
      <w:bookmarkEnd w:id="24052"/>
    </w:p>
    <w:p w14:paraId="5DEDE7AD" w14:textId="77777777" w:rsidR="00BE359D" w:rsidRPr="008625DC" w:rsidRDefault="00333B72" w:rsidP="00C626B4">
      <w:pPr>
        <w:spacing w:after="120"/>
      </w:pPr>
      <w:r w:rsidRPr="008625DC">
        <w:t xml:space="preserve">Diversity in the provision of public services offers a number of potential benefits. As Professor Gary Sturgess states, these include: </w:t>
      </w:r>
    </w:p>
    <w:p w14:paraId="25B07521" w14:textId="1604E73F" w:rsidR="000225AB" w:rsidRPr="008625DC" w:rsidRDefault="000225AB" w:rsidP="00776842">
      <w:pPr>
        <w:pStyle w:val="Quotes"/>
        <w:numPr>
          <w:ilvl w:val="8"/>
          <w:numId w:val="18"/>
        </w:numPr>
        <w:spacing w:after="120"/>
        <w:ind w:left="993"/>
      </w:pPr>
      <w:r w:rsidRPr="008625DC">
        <w:rPr>
          <w:i/>
          <w:iCs/>
        </w:rPr>
        <w:t xml:space="preserve">Choice. </w:t>
      </w:r>
      <w:r w:rsidRPr="008625DC">
        <w:t>Service users value choice</w:t>
      </w:r>
      <w:r w:rsidR="004235E4" w:rsidRPr="008625DC">
        <w:t xml:space="preserve"> </w:t>
      </w:r>
      <w:r w:rsidRPr="008625DC">
        <w:t>…</w:t>
      </w:r>
    </w:p>
    <w:p w14:paraId="7D8A3BE4" w14:textId="726D19DA" w:rsidR="000225AB" w:rsidRPr="008625DC" w:rsidRDefault="000225AB" w:rsidP="00776842">
      <w:pPr>
        <w:pStyle w:val="Quotes"/>
        <w:numPr>
          <w:ilvl w:val="8"/>
          <w:numId w:val="18"/>
        </w:numPr>
        <w:spacing w:after="120"/>
        <w:ind w:left="993"/>
      </w:pPr>
      <w:r w:rsidRPr="008625DC">
        <w:rPr>
          <w:i/>
          <w:iCs/>
        </w:rPr>
        <w:t xml:space="preserve">Adaptability. </w:t>
      </w:r>
      <w:r w:rsidRPr="008625DC">
        <w:t>Institutional diversity is desirable for much the same reason as biological diversity. It means that public services as a whole are more flexible. They are better able to adapt to changing circumstances</w:t>
      </w:r>
      <w:r w:rsidR="004235E4" w:rsidRPr="008625DC">
        <w:t xml:space="preserve"> </w:t>
      </w:r>
      <w:r w:rsidRPr="008625DC">
        <w:t>…</w:t>
      </w:r>
    </w:p>
    <w:p w14:paraId="3B288FEA" w14:textId="0C2E1E1B" w:rsidR="000225AB" w:rsidRPr="008625DC" w:rsidRDefault="000225AB" w:rsidP="00776842">
      <w:pPr>
        <w:pStyle w:val="Quotes"/>
        <w:numPr>
          <w:ilvl w:val="8"/>
          <w:numId w:val="18"/>
        </w:numPr>
        <w:ind w:left="993"/>
      </w:pPr>
      <w:r w:rsidRPr="008625DC">
        <w:rPr>
          <w:i/>
          <w:iCs/>
        </w:rPr>
        <w:t xml:space="preserve">Innovation. </w:t>
      </w:r>
      <w:r w:rsidRPr="008625DC">
        <w:t>Different kinds of service providers, with different backgrounds, bring different perspectives to the challenge of delivering better and more cost</w:t>
      </w:r>
      <w:r w:rsidR="00C74E19" w:rsidRPr="008625DC">
        <w:noBreakHyphen/>
      </w:r>
      <w:r w:rsidRPr="008625DC">
        <w:t>effective public services.</w:t>
      </w:r>
      <w:r w:rsidR="00C409D7" w:rsidRPr="008625DC">
        <w:rPr>
          <w:rStyle w:val="FootnoteReference"/>
        </w:rPr>
        <w:footnoteReference w:id="188"/>
      </w:r>
      <w:r w:rsidRPr="008625DC">
        <w:t xml:space="preserve"> </w:t>
      </w:r>
    </w:p>
    <w:p w14:paraId="3C1CC892" w14:textId="05C23A4F" w:rsidR="0048673F" w:rsidRPr="008625DC" w:rsidRDefault="0048673F" w:rsidP="0048673F">
      <w:r w:rsidRPr="008625DC">
        <w:t xml:space="preserve">While the Panel favours encouraging diversity </w:t>
      </w:r>
      <w:r w:rsidR="00BC70F0" w:rsidRPr="008625DC">
        <w:t xml:space="preserve">in </w:t>
      </w:r>
      <w:r w:rsidRPr="008625DC">
        <w:t xml:space="preserve">provider methods and types, </w:t>
      </w:r>
      <w:r w:rsidR="00046B31" w:rsidRPr="008625DC">
        <w:t>it</w:t>
      </w:r>
      <w:r w:rsidRPr="008625DC">
        <w:t xml:space="preserve"> recognise</w:t>
      </w:r>
      <w:r w:rsidR="00046B31" w:rsidRPr="008625DC">
        <w:t>s</w:t>
      </w:r>
      <w:r w:rsidRPr="008625DC">
        <w:t xml:space="preserve"> that in some markets there will not be sufficient depth to support a number </w:t>
      </w:r>
      <w:r w:rsidR="00427DBE" w:rsidRPr="008625DC">
        <w:t>of</w:t>
      </w:r>
      <w:r w:rsidRPr="008625DC">
        <w:t xml:space="preserve"> providers</w:t>
      </w:r>
      <w:r w:rsidR="00380141" w:rsidRPr="008625DC">
        <w:t xml:space="preserve"> — </w:t>
      </w:r>
      <w:r w:rsidRPr="008625DC">
        <w:t xml:space="preserve">for example, certain services in remote and regional areas. Providing access to services and </w:t>
      </w:r>
      <w:r w:rsidR="005308C0" w:rsidRPr="008625DC">
        <w:t>regulation to maintain</w:t>
      </w:r>
      <w:r w:rsidRPr="008625DC">
        <w:t xml:space="preserve"> and </w:t>
      </w:r>
      <w:r w:rsidR="005308C0" w:rsidRPr="008625DC">
        <w:t>improve</w:t>
      </w:r>
      <w:r w:rsidRPr="008625DC">
        <w:t xml:space="preserve"> service quality will be an important implementation </w:t>
      </w:r>
      <w:r w:rsidR="00427DBE" w:rsidRPr="008625DC">
        <w:t>issue</w:t>
      </w:r>
      <w:r w:rsidRPr="008625DC">
        <w:t xml:space="preserve"> even in the absence of competitive pressures.</w:t>
      </w:r>
    </w:p>
    <w:p w14:paraId="1E25E80A" w14:textId="304B18C9" w:rsidR="000225AB" w:rsidRPr="008625DC" w:rsidRDefault="000225AB" w:rsidP="000225AB">
      <w:r w:rsidRPr="008625DC">
        <w:t>In Australia many of our human services including health, education, and social housing are delivered by a range of public, private and not</w:t>
      </w:r>
      <w:r w:rsidR="00C74E19" w:rsidRPr="008625DC">
        <w:noBreakHyphen/>
      </w:r>
      <w:r w:rsidRPr="008625DC">
        <w:t>for</w:t>
      </w:r>
      <w:r w:rsidR="00C74E19" w:rsidRPr="008625DC">
        <w:noBreakHyphen/>
      </w:r>
      <w:r w:rsidRPr="008625DC">
        <w:t xml:space="preserve">profit providers. The Panel is conscious of the current diversity of human services </w:t>
      </w:r>
      <w:r w:rsidR="00F17E21" w:rsidRPr="008625DC">
        <w:t>providers</w:t>
      </w:r>
      <w:r w:rsidRPr="008625DC">
        <w:t xml:space="preserve"> and does not underestimate the contribution currently made by the private and non</w:t>
      </w:r>
      <w:r w:rsidR="00C74E19" w:rsidRPr="008625DC">
        <w:noBreakHyphen/>
      </w:r>
      <w:r w:rsidRPr="008625DC">
        <w:t xml:space="preserve">government organisation sectors. </w:t>
      </w:r>
    </w:p>
    <w:p w14:paraId="2F438DEB" w14:textId="0743A372" w:rsidR="000225AB" w:rsidRPr="008625DC" w:rsidRDefault="000225AB" w:rsidP="004235E4">
      <w:pPr>
        <w:spacing w:after="120"/>
      </w:pPr>
      <w:r w:rsidRPr="008625DC">
        <w:t>But the UK, for instance, in its Open Public Services White Paper has gone further than Australia and encourages diversity with a policy principle to open service delivery to a range of providers,</w:t>
      </w:r>
      <w:r w:rsidRPr="008625DC">
        <w:rPr>
          <w:b/>
        </w:rPr>
        <w:t xml:space="preserve"> </w:t>
      </w:r>
      <w:r w:rsidRPr="008625DC">
        <w:t>which means</w:t>
      </w:r>
      <w:r w:rsidRPr="008625DC">
        <w:rPr>
          <w:b/>
        </w:rPr>
        <w:t>:</w:t>
      </w:r>
    </w:p>
    <w:p w14:paraId="4DA83262" w14:textId="1B8AEC13" w:rsidR="000225AB" w:rsidRPr="008625DC" w:rsidRDefault="00C626B4" w:rsidP="000225AB">
      <w:pPr>
        <w:pStyle w:val="Quotes"/>
      </w:pPr>
      <w:r w:rsidRPr="008625DC">
        <w:t>[</w:t>
      </w:r>
      <w:r w:rsidR="000225AB" w:rsidRPr="008625DC">
        <w:t>h</w:t>
      </w:r>
      <w:proofErr w:type="gramStart"/>
      <w:r w:rsidRPr="008625DC">
        <w:t>]</w:t>
      </w:r>
      <w:r w:rsidR="000225AB" w:rsidRPr="008625DC">
        <w:t>igh</w:t>
      </w:r>
      <w:proofErr w:type="gramEnd"/>
      <w:r w:rsidR="00C74E19" w:rsidRPr="008625DC">
        <w:noBreakHyphen/>
      </w:r>
      <w:r w:rsidR="000225AB" w:rsidRPr="008625DC">
        <w:t xml:space="preserve">quality services can be provided by the public sector, the voluntary </w:t>
      </w:r>
      <w:r w:rsidR="0068641E" w:rsidRPr="008625DC">
        <w:t xml:space="preserve">and community </w:t>
      </w:r>
      <w:r w:rsidR="000225AB" w:rsidRPr="008625DC">
        <w:t xml:space="preserve">sector </w:t>
      </w:r>
      <w:r w:rsidR="0068641E" w:rsidRPr="008625DC">
        <w:t>or</w:t>
      </w:r>
      <w:r w:rsidR="000225AB" w:rsidRPr="008625DC">
        <w:t xml:space="preserve"> the private sector</w:t>
      </w:r>
      <w:r w:rsidR="004235E4" w:rsidRPr="008625DC">
        <w:t xml:space="preserve"> </w:t>
      </w:r>
      <w:r w:rsidR="000225AB" w:rsidRPr="008625DC">
        <w:t xml:space="preserve">… That means breaking down barriers, whether regulatory or financial, so that a diverse range of providers can deliver the public services people want, ensuring a truly level playing field between the public, private and voluntary sectors. It means being totally transparent about the quality and value for money </w:t>
      </w:r>
      <w:r w:rsidR="002B5620" w:rsidRPr="008625DC">
        <w:t>for</w:t>
      </w:r>
      <w:r w:rsidR="000225AB" w:rsidRPr="008625DC">
        <w:t xml:space="preserve"> public services so that new providers can come in and challenge under</w:t>
      </w:r>
      <w:r w:rsidR="00C74E19" w:rsidRPr="008625DC">
        <w:noBreakHyphen/>
      </w:r>
      <w:r w:rsidR="000225AB" w:rsidRPr="008625DC">
        <w:t>performance.</w:t>
      </w:r>
      <w:r w:rsidR="00C409D7" w:rsidRPr="008625DC">
        <w:rPr>
          <w:rStyle w:val="FootnoteReference"/>
        </w:rPr>
        <w:footnoteReference w:id="189"/>
      </w:r>
    </w:p>
    <w:p w14:paraId="7B1F35FD" w14:textId="43639DEA" w:rsidR="00500C56" w:rsidRPr="008625DC" w:rsidRDefault="000225AB" w:rsidP="00500C56">
      <w:r w:rsidRPr="008625DC">
        <w:t>In considering whether it should recommend change in this area, the Panel does not wish to discourage or crowd</w:t>
      </w:r>
      <w:r w:rsidRPr="008625DC" w:rsidDel="00BC70F0">
        <w:t xml:space="preserve"> </w:t>
      </w:r>
      <w:r w:rsidRPr="008625DC">
        <w:t>out the important contribution the not</w:t>
      </w:r>
      <w:r w:rsidR="00C74E19" w:rsidRPr="008625DC">
        <w:noBreakHyphen/>
      </w:r>
      <w:r w:rsidRPr="008625DC">
        <w:t>for</w:t>
      </w:r>
      <w:r w:rsidR="00C74E19" w:rsidRPr="008625DC">
        <w:noBreakHyphen/>
      </w:r>
      <w:r w:rsidRPr="008625DC">
        <w:t xml:space="preserve">profit </w:t>
      </w:r>
      <w:r w:rsidR="00A25966" w:rsidRPr="008625DC">
        <w:t xml:space="preserve">sector </w:t>
      </w:r>
      <w:r w:rsidRPr="008625DC">
        <w:t xml:space="preserve">and volunteers currently make to the </w:t>
      </w:r>
      <w:r w:rsidR="00580D32" w:rsidRPr="008625DC">
        <w:t>wellbeing</w:t>
      </w:r>
      <w:r w:rsidRPr="008625DC">
        <w:t xml:space="preserve"> of Australians.</w:t>
      </w:r>
    </w:p>
    <w:p w14:paraId="7E93260A" w14:textId="776730F4" w:rsidR="000225AB" w:rsidRPr="008625DC" w:rsidRDefault="000225AB" w:rsidP="00FB084C">
      <w:pPr>
        <w:pStyle w:val="Heading3"/>
      </w:pPr>
      <w:r w:rsidRPr="008625DC">
        <w:t>Human service providers</w:t>
      </w:r>
    </w:p>
    <w:p w14:paraId="6E273E2C" w14:textId="21F7ED5C" w:rsidR="000225AB" w:rsidRPr="008625DC" w:rsidRDefault="000225AB" w:rsidP="000225AB">
      <w:r w:rsidRPr="008625DC">
        <w:t xml:space="preserve">While the delivery of human services is widely seen as a responsibility of state and territory governments, in practice few </w:t>
      </w:r>
      <w:r w:rsidR="00C22A69" w:rsidRPr="008625DC">
        <w:t>human</w:t>
      </w:r>
      <w:r w:rsidRPr="008625DC">
        <w:t xml:space="preserve"> services are delivered exclusively by government. </w:t>
      </w:r>
    </w:p>
    <w:p w14:paraId="72891771" w14:textId="75E6A8A1" w:rsidR="000225AB" w:rsidRPr="008625DC" w:rsidRDefault="000225AB" w:rsidP="000225AB">
      <w:r w:rsidRPr="008625DC">
        <w:t>In some instances, including in early childhood education and hospital care, private for</w:t>
      </w:r>
      <w:r w:rsidR="00C74E19" w:rsidRPr="008625DC">
        <w:noBreakHyphen/>
      </w:r>
      <w:r w:rsidRPr="008625DC">
        <w:t>profit and not</w:t>
      </w:r>
      <w:r w:rsidR="00C74E19" w:rsidRPr="008625DC">
        <w:noBreakHyphen/>
      </w:r>
      <w:r w:rsidRPr="008625DC">
        <w:t>for</w:t>
      </w:r>
      <w:r w:rsidR="00C74E19" w:rsidRPr="008625DC">
        <w:noBreakHyphen/>
      </w:r>
      <w:r w:rsidRPr="008625DC">
        <w:t>profit providers operate in the same market as the government, offering similar services and increasing the range of user choice.</w:t>
      </w:r>
    </w:p>
    <w:p w14:paraId="105534D4" w14:textId="57758B21" w:rsidR="000225AB" w:rsidRPr="008625DC" w:rsidRDefault="000225AB" w:rsidP="006C6643">
      <w:pPr>
        <w:spacing w:after="120"/>
        <w:rPr>
          <w:szCs w:val="22"/>
        </w:rPr>
      </w:pPr>
      <w:r w:rsidRPr="008625DC">
        <w:lastRenderedPageBreak/>
        <w:t>Increasingly services are being delivered outside the government sector. The significant changes in the disability services sector are a recent example of this development.</w:t>
      </w:r>
      <w:r w:rsidR="00080824" w:rsidRPr="008625DC">
        <w:t xml:space="preserve"> </w:t>
      </w:r>
      <w:r w:rsidRPr="008625DC">
        <w:t xml:space="preserve">As the ACCC </w:t>
      </w:r>
      <w:r w:rsidR="006C6643" w:rsidRPr="008625DC">
        <w:t>points</w:t>
      </w:r>
      <w:r w:rsidRPr="008625DC">
        <w:t xml:space="preserve"> out: </w:t>
      </w:r>
    </w:p>
    <w:p w14:paraId="2FD85659" w14:textId="09D9DF83" w:rsidR="000225AB" w:rsidRPr="008625DC" w:rsidRDefault="000225AB" w:rsidP="000225AB">
      <w:pPr>
        <w:pStyle w:val="Quotes"/>
      </w:pPr>
      <w:r w:rsidRPr="008625DC">
        <w:t>Despite the historical role of government in providing human services, a degree of competition already exists in many human services markets. This includes competition between private hospitals, doctors, secondary schools and vocational training providers</w:t>
      </w:r>
      <w:r w:rsidR="004235E4" w:rsidRPr="008625DC">
        <w:t>, to name but a few examples. (</w:t>
      </w:r>
      <w:r w:rsidR="00066B98" w:rsidRPr="008625DC">
        <w:t xml:space="preserve">ACCC </w:t>
      </w:r>
      <w:r w:rsidR="00086ED1" w:rsidRPr="008625DC">
        <w:t>S</w:t>
      </w:r>
      <w:r w:rsidR="00066B98" w:rsidRPr="008625DC">
        <w:t xml:space="preserve">ubmission 1, </w:t>
      </w:r>
      <w:r w:rsidR="004235E4" w:rsidRPr="008625DC">
        <w:t>page</w:t>
      </w:r>
      <w:r w:rsidRPr="008625DC">
        <w:t xml:space="preserve"> 68)</w:t>
      </w:r>
    </w:p>
    <w:p w14:paraId="19756A0D" w14:textId="4D0B8B41" w:rsidR="000225AB" w:rsidRPr="008625DC" w:rsidRDefault="000225AB" w:rsidP="000225AB">
      <w:r w:rsidRPr="008625DC">
        <w:t>Government, not</w:t>
      </w:r>
      <w:r w:rsidR="00C74E19" w:rsidRPr="008625DC">
        <w:noBreakHyphen/>
      </w:r>
      <w:r w:rsidRPr="008625DC">
        <w:t>for</w:t>
      </w:r>
      <w:r w:rsidR="00C74E19" w:rsidRPr="008625DC">
        <w:noBreakHyphen/>
      </w:r>
      <w:r w:rsidRPr="008625DC">
        <w:t>profit and private for</w:t>
      </w:r>
      <w:r w:rsidR="00C74E19" w:rsidRPr="008625DC">
        <w:noBreakHyphen/>
      </w:r>
      <w:r w:rsidRPr="008625DC">
        <w:t>profit providers are likely to have different strengths, and there is a place for all of these types of providers in human services sector</w:t>
      </w:r>
      <w:r w:rsidR="00B56733" w:rsidRPr="008625DC">
        <w:t>s</w:t>
      </w:r>
      <w:r w:rsidRPr="008625DC">
        <w:t xml:space="preserve">. </w:t>
      </w:r>
    </w:p>
    <w:p w14:paraId="487246C5" w14:textId="77777777" w:rsidR="000225AB" w:rsidRPr="008625DC" w:rsidRDefault="000225AB" w:rsidP="00FB084C">
      <w:pPr>
        <w:pStyle w:val="Heading3"/>
      </w:pPr>
      <w:r w:rsidRPr="008625DC">
        <w:t>Government providers</w:t>
      </w:r>
    </w:p>
    <w:p w14:paraId="6311C96F" w14:textId="555CE1DA" w:rsidR="000225AB" w:rsidRPr="008625DC" w:rsidRDefault="000225AB" w:rsidP="000225AB">
      <w:r w:rsidRPr="008625DC">
        <w:t>One of the features of the competition reforms following NCP was a change in the organisational arrangements for government providers of infrastructure services.</w:t>
      </w:r>
      <w:r w:rsidR="00787DCF" w:rsidRPr="008625DC">
        <w:t xml:space="preserve"> </w:t>
      </w:r>
      <w:r w:rsidRPr="008625DC">
        <w:t xml:space="preserve">Rather than being provided by government departments, electricity and water entities were set up as </w:t>
      </w:r>
      <w:r w:rsidR="005308C0" w:rsidRPr="008625DC">
        <w:t>Government Business Enterprises</w:t>
      </w:r>
      <w:r w:rsidRPr="008625DC">
        <w:t xml:space="preserve"> which were more independent of Ministers but subject to clearer objectives and </w:t>
      </w:r>
      <w:r w:rsidR="00F114CD" w:rsidRPr="008625DC">
        <w:t xml:space="preserve">overseen by </w:t>
      </w:r>
      <w:r w:rsidRPr="008625DC">
        <w:t>a Board of Directors.</w:t>
      </w:r>
      <w:r w:rsidR="00787DCF" w:rsidRPr="008625DC">
        <w:t xml:space="preserve"> </w:t>
      </w:r>
    </w:p>
    <w:p w14:paraId="3778AF53" w14:textId="740A6474" w:rsidR="000225AB" w:rsidRPr="008625DC" w:rsidRDefault="000225AB" w:rsidP="000225AB">
      <w:r w:rsidRPr="008625DC">
        <w:t xml:space="preserve">Part of the reason for the </w:t>
      </w:r>
      <w:r w:rsidR="005308C0" w:rsidRPr="008625DC">
        <w:t>Government Business Enterprise</w:t>
      </w:r>
      <w:r w:rsidRPr="008625DC">
        <w:t xml:space="preserve"> form </w:t>
      </w:r>
      <w:r w:rsidR="00C22A69" w:rsidRPr="008625DC">
        <w:t xml:space="preserve">in utilities </w:t>
      </w:r>
      <w:r w:rsidRPr="008625DC">
        <w:t xml:space="preserve">was that it </w:t>
      </w:r>
      <w:r w:rsidR="00C22A69" w:rsidRPr="008625DC">
        <w:t xml:space="preserve">largely </w:t>
      </w:r>
      <w:r w:rsidRPr="008625DC">
        <w:t>replicated the corporate for</w:t>
      </w:r>
      <w:r w:rsidR="00C74E19" w:rsidRPr="008625DC">
        <w:noBreakHyphen/>
      </w:r>
      <w:r w:rsidRPr="008625DC">
        <w:t>profit form of competitors that were emerging in markets such as electricity.</w:t>
      </w:r>
      <w:r w:rsidR="00080824" w:rsidRPr="008625DC">
        <w:t xml:space="preserve"> </w:t>
      </w:r>
      <w:r w:rsidRPr="008625DC">
        <w:t>As the non</w:t>
      </w:r>
      <w:r w:rsidR="00C74E19" w:rsidRPr="008625DC">
        <w:noBreakHyphen/>
      </w:r>
      <w:r w:rsidRPr="008625DC">
        <w:t>government organisational forms in human services markets are more complex (they include for</w:t>
      </w:r>
      <w:r w:rsidR="00C74E19" w:rsidRPr="008625DC">
        <w:noBreakHyphen/>
      </w:r>
      <w:r w:rsidRPr="008625DC">
        <w:t>profit and different types of not</w:t>
      </w:r>
      <w:r w:rsidR="00C74E19" w:rsidRPr="008625DC">
        <w:noBreakHyphen/>
      </w:r>
      <w:r w:rsidRPr="008625DC">
        <w:t>for</w:t>
      </w:r>
      <w:r w:rsidR="00C74E19" w:rsidRPr="008625DC">
        <w:noBreakHyphen/>
      </w:r>
      <w:r w:rsidRPr="008625DC">
        <w:t>profit)</w:t>
      </w:r>
      <w:r w:rsidR="0077411B" w:rsidRPr="008625DC">
        <w:t>,</w:t>
      </w:r>
      <w:r w:rsidRPr="008625DC">
        <w:t xml:space="preserve"> developing a single model for government providers </w:t>
      </w:r>
      <w:r w:rsidR="00C23EAF" w:rsidRPr="008625DC">
        <w:t>is unlikely to</w:t>
      </w:r>
      <w:r w:rsidRPr="008625DC">
        <w:t xml:space="preserve"> be practical. </w:t>
      </w:r>
    </w:p>
    <w:p w14:paraId="2BEAE3E3" w14:textId="7528A771" w:rsidR="000225AB" w:rsidRPr="008625DC" w:rsidRDefault="000225AB" w:rsidP="000225AB">
      <w:r w:rsidRPr="008625DC">
        <w:t xml:space="preserve">Rather, government reforms to the provision of human services have </w:t>
      </w:r>
      <w:r w:rsidR="004E3403" w:rsidRPr="008625DC">
        <w:t>focused</w:t>
      </w:r>
      <w:r w:rsidRPr="008625DC">
        <w:t xml:space="preserve"> on an expanded role for </w:t>
      </w:r>
      <w:r w:rsidR="00F648A5" w:rsidRPr="008625DC">
        <w:t xml:space="preserve">the </w:t>
      </w:r>
      <w:r w:rsidRPr="008625DC">
        <w:t>for</w:t>
      </w:r>
      <w:r w:rsidR="00C74E19" w:rsidRPr="008625DC">
        <w:noBreakHyphen/>
      </w:r>
      <w:r w:rsidRPr="008625DC">
        <w:t>profit and not</w:t>
      </w:r>
      <w:r w:rsidR="00C74E19" w:rsidRPr="008625DC">
        <w:noBreakHyphen/>
      </w:r>
      <w:r w:rsidRPr="008625DC">
        <w:t>for</w:t>
      </w:r>
      <w:r w:rsidR="00C74E19" w:rsidRPr="008625DC">
        <w:noBreakHyphen/>
      </w:r>
      <w:r w:rsidRPr="008625DC">
        <w:t>profit sectors. In many human service</w:t>
      </w:r>
      <w:r w:rsidR="0077411B" w:rsidRPr="008625DC">
        <w:t>s</w:t>
      </w:r>
      <w:r w:rsidRPr="008625DC">
        <w:t xml:space="preserve"> markets, particularly in aged care and disability care and support, governments have encouraged not</w:t>
      </w:r>
      <w:r w:rsidR="00C74E19" w:rsidRPr="008625DC">
        <w:noBreakHyphen/>
      </w:r>
      <w:r w:rsidRPr="008625DC">
        <w:t>for</w:t>
      </w:r>
      <w:r w:rsidR="00C74E19" w:rsidRPr="008625DC">
        <w:noBreakHyphen/>
      </w:r>
      <w:r w:rsidRPr="008625DC">
        <w:t xml:space="preserve">profits and charities to play an important role in meeting consumer needs. </w:t>
      </w:r>
    </w:p>
    <w:p w14:paraId="6D35420B" w14:textId="740D0024" w:rsidR="000225AB" w:rsidRPr="008625DC" w:rsidRDefault="000225AB" w:rsidP="00FB084C">
      <w:pPr>
        <w:pStyle w:val="Heading3"/>
      </w:pPr>
      <w:r w:rsidRPr="008625DC">
        <w:t>For</w:t>
      </w:r>
      <w:r w:rsidR="00C74E19" w:rsidRPr="008625DC">
        <w:noBreakHyphen/>
      </w:r>
      <w:r w:rsidRPr="008625DC">
        <w:t>profit providers</w:t>
      </w:r>
    </w:p>
    <w:p w14:paraId="2F33A43F" w14:textId="627AD297" w:rsidR="000225AB" w:rsidRPr="008625DC" w:rsidRDefault="000225AB" w:rsidP="00352AA9">
      <w:r w:rsidRPr="008625DC">
        <w:t>The private, for</w:t>
      </w:r>
      <w:r w:rsidR="00C74E19" w:rsidRPr="008625DC">
        <w:noBreakHyphen/>
      </w:r>
      <w:r w:rsidRPr="008625DC">
        <w:t>profit sector makes up a large part of service provision in some human service</w:t>
      </w:r>
      <w:r w:rsidR="0077411B" w:rsidRPr="008625DC">
        <w:t>s</w:t>
      </w:r>
      <w:r w:rsidRPr="008625DC">
        <w:t xml:space="preserve"> sectors, including aged care and child care.</w:t>
      </w:r>
    </w:p>
    <w:tbl>
      <w:tblPr>
        <w:tblW w:w="9072" w:type="dxa"/>
        <w:tblInd w:w="108" w:type="dxa"/>
        <w:shd w:val="clear" w:color="auto" w:fill="E6E6E6"/>
        <w:tblLook w:val="01E0" w:firstRow="1" w:lastRow="1" w:firstColumn="1" w:lastColumn="1" w:noHBand="0" w:noVBand="0"/>
      </w:tblPr>
      <w:tblGrid>
        <w:gridCol w:w="9072"/>
      </w:tblGrid>
      <w:tr w:rsidR="000225AB" w:rsidRPr="008625DC" w14:paraId="3C7F4898" w14:textId="77777777" w:rsidTr="00F01103">
        <w:tc>
          <w:tcPr>
            <w:tcW w:w="5000" w:type="pct"/>
            <w:shd w:val="clear" w:color="auto" w:fill="E6E6E6"/>
          </w:tcPr>
          <w:p w14:paraId="6B30CF4A" w14:textId="6DC716F9" w:rsidR="000225AB" w:rsidRPr="008625DC" w:rsidRDefault="003E52A5" w:rsidP="00C626B4">
            <w:pPr>
              <w:pStyle w:val="BoxHeading"/>
              <w:spacing w:before="120"/>
            </w:pPr>
            <w:r w:rsidRPr="008625DC">
              <w:t>Box</w:t>
            </w:r>
            <w:r w:rsidR="00B071F2" w:rsidRPr="008625DC">
              <w:t xml:space="preserve"> </w:t>
            </w:r>
            <w:r w:rsidR="00AE1285" w:rsidRPr="008625DC">
              <w:t>10.8</w:t>
            </w:r>
            <w:r w:rsidR="00B071F2" w:rsidRPr="008625DC">
              <w:t xml:space="preserve">: </w:t>
            </w:r>
            <w:r w:rsidR="000225AB" w:rsidRPr="008625DC">
              <w:t>For</w:t>
            </w:r>
            <w:r w:rsidR="00C74E19" w:rsidRPr="008625DC">
              <w:noBreakHyphen/>
            </w:r>
            <w:r w:rsidR="000225AB" w:rsidRPr="008625DC">
              <w:t>profit provision of human services in Australia</w:t>
            </w:r>
          </w:p>
          <w:p w14:paraId="4A8D31E2" w14:textId="15A7AD5D" w:rsidR="000225AB" w:rsidRPr="008625DC" w:rsidRDefault="000225AB" w:rsidP="00F01103">
            <w:pPr>
              <w:pStyle w:val="BoxText"/>
            </w:pPr>
            <w:r w:rsidRPr="008625DC">
              <w:t>Private hospitals service around 40 per cent of hospital inpatients</w:t>
            </w:r>
            <w:r w:rsidR="008571C9" w:rsidRPr="008625DC">
              <w:t>.</w:t>
            </w:r>
            <w:r w:rsidRPr="008625DC">
              <w:rPr>
                <w:rStyle w:val="FootnoteReference"/>
              </w:rPr>
              <w:footnoteReference w:id="190"/>
            </w:r>
            <w:r w:rsidRPr="008625DC">
              <w:t xml:space="preserve"> </w:t>
            </w:r>
            <w:r w:rsidR="008571C9" w:rsidRPr="008625DC">
              <w:t>A</w:t>
            </w:r>
            <w:r w:rsidRPr="008625DC">
              <w:t>round 60 per cent of private hospitals operat</w:t>
            </w:r>
            <w:r w:rsidR="008571C9" w:rsidRPr="008625DC">
              <w:t>e</w:t>
            </w:r>
            <w:r w:rsidRPr="008625DC">
              <w:t xml:space="preserve"> on a for</w:t>
            </w:r>
            <w:r w:rsidR="00C74E19" w:rsidRPr="008625DC">
              <w:noBreakHyphen/>
            </w:r>
            <w:r w:rsidRPr="008625DC">
              <w:t>profit basis.</w:t>
            </w:r>
            <w:r w:rsidRPr="008625DC">
              <w:rPr>
                <w:rStyle w:val="FootnoteReference"/>
              </w:rPr>
              <w:footnoteReference w:id="191"/>
            </w:r>
          </w:p>
          <w:p w14:paraId="25BF8970" w14:textId="7443BBD9" w:rsidR="000225AB" w:rsidRPr="008625DC" w:rsidRDefault="000225AB" w:rsidP="00F01103">
            <w:pPr>
              <w:pStyle w:val="BoxText"/>
            </w:pPr>
            <w:r w:rsidRPr="008625DC">
              <w:t>General practitioner, allied health and dental services are largely delivered by the for</w:t>
            </w:r>
            <w:r w:rsidR="00C74E19" w:rsidRPr="008625DC">
              <w:noBreakHyphen/>
            </w:r>
            <w:r w:rsidRPr="008625DC">
              <w:t>profit sector.</w:t>
            </w:r>
          </w:p>
          <w:p w14:paraId="40085B77" w14:textId="093F49B7" w:rsidR="000225AB" w:rsidRPr="008625DC" w:rsidRDefault="002E05AB" w:rsidP="00F01103">
            <w:pPr>
              <w:pStyle w:val="BoxText"/>
            </w:pPr>
            <w:r w:rsidRPr="008625DC">
              <w:t>In child care, a</w:t>
            </w:r>
            <w:r w:rsidR="000225AB" w:rsidRPr="008625DC">
              <w:t xml:space="preserve">round 70 per cent of </w:t>
            </w:r>
            <w:r w:rsidRPr="008625DC">
              <w:t>long day</w:t>
            </w:r>
            <w:r w:rsidR="000225AB" w:rsidRPr="008625DC">
              <w:t xml:space="preserve"> care is provided by the for</w:t>
            </w:r>
            <w:r w:rsidR="00C74E19" w:rsidRPr="008625DC">
              <w:noBreakHyphen/>
            </w:r>
            <w:r w:rsidR="000225AB" w:rsidRPr="008625DC">
              <w:t>profit sector.</w:t>
            </w:r>
            <w:r w:rsidR="000225AB" w:rsidRPr="008625DC">
              <w:rPr>
                <w:rStyle w:val="FootnoteReference"/>
              </w:rPr>
              <w:footnoteReference w:id="192"/>
            </w:r>
            <w:r w:rsidR="000225AB" w:rsidRPr="008625DC">
              <w:t xml:space="preserve"> </w:t>
            </w:r>
          </w:p>
          <w:p w14:paraId="1BA9AC8A" w14:textId="613EADCD" w:rsidR="000225AB" w:rsidRPr="008625DC" w:rsidRDefault="000225AB" w:rsidP="00F01103">
            <w:pPr>
              <w:pStyle w:val="BoxText"/>
            </w:pPr>
            <w:r w:rsidRPr="008625DC">
              <w:t>The for</w:t>
            </w:r>
            <w:r w:rsidR="00C74E19" w:rsidRPr="008625DC">
              <w:noBreakHyphen/>
            </w:r>
            <w:r w:rsidRPr="008625DC">
              <w:t>profit sector provide</w:t>
            </w:r>
            <w:r w:rsidR="00F114CD" w:rsidRPr="008625DC">
              <w:t>s</w:t>
            </w:r>
            <w:r w:rsidRPr="008625DC">
              <w:t xml:space="preserve"> 36 per cent of residential aged care.</w:t>
            </w:r>
            <w:r w:rsidRPr="008625DC">
              <w:rPr>
                <w:rStyle w:val="FootnoteReference"/>
              </w:rPr>
              <w:footnoteReference w:id="193"/>
            </w:r>
          </w:p>
          <w:p w14:paraId="574CE879" w14:textId="77777777" w:rsidR="000225AB" w:rsidRPr="008625DC" w:rsidRDefault="000225AB" w:rsidP="00F01103">
            <w:pPr>
              <w:pStyle w:val="BoxText"/>
            </w:pPr>
            <w:r w:rsidRPr="008625DC">
              <w:t>Private prisons hold around 19 per cent of prisoners in Australia.</w:t>
            </w:r>
            <w:r w:rsidRPr="008625DC">
              <w:rPr>
                <w:rStyle w:val="FootnoteReference"/>
              </w:rPr>
              <w:footnoteReference w:id="194"/>
            </w:r>
          </w:p>
        </w:tc>
      </w:tr>
    </w:tbl>
    <w:p w14:paraId="3B8F490E" w14:textId="77777777" w:rsidR="00C626B4" w:rsidRPr="008625DC" w:rsidRDefault="00C626B4" w:rsidP="00C626B4">
      <w:pPr>
        <w:pStyle w:val="SingleParagraph"/>
      </w:pPr>
    </w:p>
    <w:p w14:paraId="31B5B0D9" w14:textId="282DE3B5" w:rsidR="000225AB" w:rsidRPr="008625DC" w:rsidRDefault="00F114CD" w:rsidP="00880E5D">
      <w:r w:rsidRPr="008625DC">
        <w:lastRenderedPageBreak/>
        <w:t>F</w:t>
      </w:r>
      <w:r w:rsidR="000225AB" w:rsidRPr="008625DC">
        <w:t>or</w:t>
      </w:r>
      <w:r w:rsidR="00C74E19" w:rsidRPr="008625DC">
        <w:noBreakHyphen/>
      </w:r>
      <w:r w:rsidR="000225AB" w:rsidRPr="008625DC">
        <w:t xml:space="preserve">profit providers </w:t>
      </w:r>
      <w:r w:rsidRPr="008625DC">
        <w:t>can</w:t>
      </w:r>
      <w:r w:rsidR="000225AB" w:rsidRPr="008625DC">
        <w:t xml:space="preserve"> bring particular strengths to human services markets. They are likely to face stronger incentives to minimise </w:t>
      </w:r>
      <w:r w:rsidR="0077411B" w:rsidRPr="008625DC">
        <w:t>cost</w:t>
      </w:r>
      <w:r w:rsidR="000225AB" w:rsidRPr="008625DC">
        <w:t>, including through the adoption of new technologies and innovative methods of service delivery. This may improve diversity in human services markets and increase the efficiency of government expenditure.</w:t>
      </w:r>
    </w:p>
    <w:p w14:paraId="224E4ADA" w14:textId="7D06FEA8" w:rsidR="000225AB" w:rsidRPr="008625DC" w:rsidRDefault="000225AB" w:rsidP="00880E5D">
      <w:r w:rsidRPr="008625DC">
        <w:t>Consumers have been willing to place their trust in for</w:t>
      </w:r>
      <w:r w:rsidR="00C74E19" w:rsidRPr="008625DC">
        <w:noBreakHyphen/>
      </w:r>
      <w:r w:rsidRPr="008625DC">
        <w:t xml:space="preserve">profit providers, with high levels of consumer confidence and satisfaction recorded </w:t>
      </w:r>
      <w:r w:rsidR="00F114CD" w:rsidRPr="008625DC">
        <w:t>in relation to</w:t>
      </w:r>
      <w:r w:rsidRPr="008625DC">
        <w:t xml:space="preserve"> for</w:t>
      </w:r>
      <w:r w:rsidR="00C74E19" w:rsidRPr="008625DC">
        <w:noBreakHyphen/>
      </w:r>
      <w:r w:rsidRPr="008625DC">
        <w:t>profit providers such as local GPs.</w:t>
      </w:r>
      <w:r w:rsidRPr="008625DC">
        <w:rPr>
          <w:rStyle w:val="FootnoteReference"/>
        </w:rPr>
        <w:footnoteReference w:id="195"/>
      </w:r>
    </w:p>
    <w:p w14:paraId="309A54C1" w14:textId="47016C6B" w:rsidR="000225AB" w:rsidRPr="008625DC" w:rsidRDefault="000225AB" w:rsidP="00880E5D">
      <w:r w:rsidRPr="008625DC">
        <w:t>Concerns have been raised that for</w:t>
      </w:r>
      <w:r w:rsidR="00C74E19" w:rsidRPr="008625DC">
        <w:noBreakHyphen/>
      </w:r>
      <w:r w:rsidRPr="008625DC">
        <w:t xml:space="preserve">profit providers are likely to </w:t>
      </w:r>
      <w:r w:rsidR="00C74E19" w:rsidRPr="008625DC">
        <w:t>‘</w:t>
      </w:r>
      <w:r w:rsidRPr="008625DC">
        <w:t>cherry pick</w:t>
      </w:r>
      <w:r w:rsidR="00C74E19" w:rsidRPr="008625DC">
        <w:t>’</w:t>
      </w:r>
      <w:r w:rsidRPr="008625DC">
        <w:t xml:space="preserve"> the lower</w:t>
      </w:r>
      <w:r w:rsidR="00C74E19" w:rsidRPr="008625DC">
        <w:noBreakHyphen/>
      </w:r>
      <w:r w:rsidRPr="008625DC">
        <w:t>risk or more profitable consumers.</w:t>
      </w:r>
      <w:r w:rsidRPr="008625DC">
        <w:rPr>
          <w:rStyle w:val="FootnoteReference"/>
        </w:rPr>
        <w:footnoteReference w:id="196"/>
      </w:r>
      <w:r w:rsidRPr="008625DC">
        <w:t xml:space="preserve"> Policy design needs to be sensitive to this issue, and can include measures such as limiting the amount of control any service provider has over which customers they can accept; or designing the scheme to reward service providers on a </w:t>
      </w:r>
      <w:r w:rsidR="00C74E19" w:rsidRPr="008625DC">
        <w:t>‘</w:t>
      </w:r>
      <w:r w:rsidRPr="008625DC">
        <w:t>value added</w:t>
      </w:r>
      <w:r w:rsidR="00C74E19" w:rsidRPr="008625DC">
        <w:t>’</w:t>
      </w:r>
      <w:r w:rsidRPr="008625DC">
        <w:t xml:space="preserve"> basis (e.g. providing greater rewards to job service agencies </w:t>
      </w:r>
      <w:r w:rsidR="0077411B" w:rsidRPr="008625DC">
        <w:t>that</w:t>
      </w:r>
      <w:r w:rsidRPr="008625DC">
        <w:t xml:space="preserve"> find jobs for long</w:t>
      </w:r>
      <w:r w:rsidR="00C74E19" w:rsidRPr="008625DC">
        <w:noBreakHyphen/>
      </w:r>
      <w:r w:rsidRPr="008625DC">
        <w:t>term unemployed people).</w:t>
      </w:r>
    </w:p>
    <w:p w14:paraId="2BB23580" w14:textId="5A1205FE" w:rsidR="000225AB" w:rsidRPr="008625DC" w:rsidRDefault="000225AB" w:rsidP="00FB084C">
      <w:pPr>
        <w:pStyle w:val="Heading3"/>
      </w:pPr>
      <w:r w:rsidRPr="008625DC">
        <w:t>Not</w:t>
      </w:r>
      <w:r w:rsidR="00C74E19" w:rsidRPr="008625DC">
        <w:noBreakHyphen/>
      </w:r>
      <w:r w:rsidRPr="008625DC">
        <w:t>for</w:t>
      </w:r>
      <w:r w:rsidR="00C74E19" w:rsidRPr="008625DC">
        <w:noBreakHyphen/>
      </w:r>
      <w:r w:rsidRPr="008625DC">
        <w:t>profit providers</w:t>
      </w:r>
    </w:p>
    <w:p w14:paraId="6EBB2A9E" w14:textId="1CC5A958" w:rsidR="000225AB" w:rsidRPr="008625DC" w:rsidRDefault="000225AB" w:rsidP="00AA380B">
      <w:pPr>
        <w:spacing w:after="120"/>
      </w:pPr>
      <w:r w:rsidRPr="008625DC">
        <w:t>In its report on</w:t>
      </w:r>
      <w:r w:rsidRPr="008625DC">
        <w:rPr>
          <w:i/>
        </w:rPr>
        <w:t xml:space="preserve"> </w:t>
      </w:r>
      <w:r w:rsidR="006F2F54" w:rsidRPr="008625DC">
        <w:t>the c</w:t>
      </w:r>
      <w:r w:rsidRPr="008625DC">
        <w:t xml:space="preserve">ontribution of the </w:t>
      </w:r>
      <w:r w:rsidR="006F2F54" w:rsidRPr="008625DC">
        <w:t>n</w:t>
      </w:r>
      <w:r w:rsidRPr="008625DC">
        <w:t>ot</w:t>
      </w:r>
      <w:r w:rsidR="00C74E19" w:rsidRPr="008625DC">
        <w:noBreakHyphen/>
      </w:r>
      <w:r w:rsidRPr="008625DC">
        <w:t>for</w:t>
      </w:r>
      <w:r w:rsidR="00C74E19" w:rsidRPr="008625DC">
        <w:noBreakHyphen/>
      </w:r>
      <w:r w:rsidR="006F2F54" w:rsidRPr="008625DC">
        <w:t>p</w:t>
      </w:r>
      <w:r w:rsidRPr="008625DC">
        <w:t xml:space="preserve">rofit </w:t>
      </w:r>
      <w:r w:rsidR="006F2F54" w:rsidRPr="008625DC">
        <w:t>s</w:t>
      </w:r>
      <w:r w:rsidRPr="008625DC">
        <w:t>ector, the PC observed:</w:t>
      </w:r>
    </w:p>
    <w:p w14:paraId="1D5ED54E" w14:textId="73FE89E1" w:rsidR="000225AB" w:rsidRPr="008625DC" w:rsidRDefault="006F2F54" w:rsidP="00AA380B">
      <w:pPr>
        <w:pStyle w:val="Quotes"/>
        <w:spacing w:after="120"/>
      </w:pPr>
      <w:r w:rsidRPr="008625DC">
        <w:t>[Not</w:t>
      </w:r>
      <w:r w:rsidR="00C74E19" w:rsidRPr="008625DC">
        <w:noBreakHyphen/>
      </w:r>
      <w:r w:rsidRPr="008625DC">
        <w:t>for</w:t>
      </w:r>
      <w:r w:rsidR="00C74E19" w:rsidRPr="008625DC">
        <w:noBreakHyphen/>
      </w:r>
      <w:r w:rsidRPr="008625DC">
        <w:t>profits]</w:t>
      </w:r>
      <w:r w:rsidR="000225AB" w:rsidRPr="008625DC">
        <w:t xml:space="preserve"> have long been part of the Australian community landscape, encompassing both secular and non</w:t>
      </w:r>
      <w:r w:rsidR="00C74E19" w:rsidRPr="008625DC">
        <w:noBreakHyphen/>
      </w:r>
      <w:r w:rsidR="000225AB" w:rsidRPr="008625DC">
        <w:t>secular organisations</w:t>
      </w:r>
      <w:r w:rsidR="00AA380B" w:rsidRPr="008625DC">
        <w:t xml:space="preserve"> </w:t>
      </w:r>
      <w:r w:rsidR="000225AB" w:rsidRPr="008625DC">
        <w:t>…</w:t>
      </w:r>
    </w:p>
    <w:p w14:paraId="5A29C602" w14:textId="3716A0C9" w:rsidR="000225AB" w:rsidRPr="008625DC" w:rsidRDefault="000225AB" w:rsidP="000225AB">
      <w:pPr>
        <w:pStyle w:val="Quotes"/>
      </w:pPr>
      <w:r w:rsidRPr="008625DC">
        <w:t>The most recognised part of the sector is involved in human service delivery, including community services, education and health</w:t>
      </w:r>
      <w:r w:rsidR="00AA380B" w:rsidRPr="008625DC">
        <w:t xml:space="preserve"> </w:t>
      </w:r>
      <w:r w:rsidRPr="008625DC">
        <w:t xml:space="preserve">… More recently, the sector is being viewed as a means to address social disadvantage. </w:t>
      </w:r>
      <w:r w:rsidR="006F2F54" w:rsidRPr="008625DC">
        <w:t>[</w:t>
      </w:r>
      <w:r w:rsidRPr="008625DC">
        <w:t>N</w:t>
      </w:r>
      <w:r w:rsidR="006F2F54" w:rsidRPr="008625DC">
        <w:t>ot</w:t>
      </w:r>
      <w:r w:rsidR="00C74E19" w:rsidRPr="008625DC">
        <w:noBreakHyphen/>
      </w:r>
      <w:r w:rsidR="006F2F54" w:rsidRPr="008625DC">
        <w:t>for</w:t>
      </w:r>
      <w:r w:rsidR="00C74E19" w:rsidRPr="008625DC">
        <w:noBreakHyphen/>
      </w:r>
      <w:r w:rsidR="006F2F54" w:rsidRPr="008625DC">
        <w:t>profits]</w:t>
      </w:r>
      <w:r w:rsidRPr="008625DC">
        <w:t xml:space="preserve"> are generally viewed as more trustworthy than government or business, and hence, worthy of support.</w:t>
      </w:r>
      <w:r w:rsidRPr="008625DC">
        <w:rPr>
          <w:rStyle w:val="FootnoteReference"/>
        </w:rPr>
        <w:footnoteReference w:id="197"/>
      </w:r>
    </w:p>
    <w:p w14:paraId="0F9E2F2B" w14:textId="097750B6" w:rsidR="000225AB" w:rsidRPr="008625DC" w:rsidRDefault="000225AB" w:rsidP="000225AB">
      <w:r w:rsidRPr="008625DC">
        <w:t xml:space="preserve">The Panel recognises that the </w:t>
      </w:r>
      <w:r w:rsidR="0077411B" w:rsidRPr="008625DC">
        <w:t>not</w:t>
      </w:r>
      <w:r w:rsidR="00C74E19" w:rsidRPr="008625DC">
        <w:noBreakHyphen/>
      </w:r>
      <w:r w:rsidR="0077411B" w:rsidRPr="008625DC">
        <w:t>for</w:t>
      </w:r>
      <w:r w:rsidR="00C74E19" w:rsidRPr="008625DC">
        <w:noBreakHyphen/>
      </w:r>
      <w:r w:rsidR="0077411B" w:rsidRPr="008625DC">
        <w:t>profit</w:t>
      </w:r>
      <w:r w:rsidRPr="008625DC">
        <w:t xml:space="preserve"> sector makes an enormous contribution to the lives of Australians.</w:t>
      </w:r>
      <w:r w:rsidR="00787DCF" w:rsidRPr="008625DC">
        <w:t xml:space="preserve"> </w:t>
      </w:r>
      <w:r w:rsidR="0068641E" w:rsidRPr="008625DC">
        <w:t>I</w:t>
      </w:r>
      <w:r w:rsidRPr="008625DC">
        <w:t>n 2006</w:t>
      </w:r>
      <w:r w:rsidR="00C74E19" w:rsidRPr="008625DC">
        <w:noBreakHyphen/>
      </w:r>
      <w:r w:rsidRPr="008625DC">
        <w:t>07</w:t>
      </w:r>
      <w:r w:rsidR="0068641E" w:rsidRPr="008625DC">
        <w:t>,</w:t>
      </w:r>
      <w:r w:rsidRPr="008625DC">
        <w:t xml:space="preserve"> </w:t>
      </w:r>
      <w:r w:rsidR="0068641E" w:rsidRPr="008625DC">
        <w:t>the sector</w:t>
      </w:r>
      <w:r w:rsidRPr="008625DC">
        <w:t xml:space="preserve"> accounted for 4.1 per cent of GDP (which does not include the contribution of volunteers), employed close to 890</w:t>
      </w:r>
      <w:r w:rsidR="00C626B4" w:rsidRPr="008625DC">
        <w:t>,</w:t>
      </w:r>
      <w:r w:rsidRPr="008625DC">
        <w:t>000 people and utilised the services of some 4.6</w:t>
      </w:r>
      <w:r w:rsidR="00C626B4" w:rsidRPr="008625DC">
        <w:t> </w:t>
      </w:r>
      <w:r w:rsidRPr="008625DC">
        <w:t>million volunteers.</w:t>
      </w:r>
      <w:r w:rsidRPr="008625DC">
        <w:rPr>
          <w:rStyle w:val="FootnoteReference"/>
        </w:rPr>
        <w:footnoteReference w:id="198"/>
      </w:r>
    </w:p>
    <w:p w14:paraId="42844270" w14:textId="1C7C9B47" w:rsidR="000225AB" w:rsidRPr="008625DC" w:rsidRDefault="000225AB" w:rsidP="00D603CA">
      <w:pPr>
        <w:spacing w:after="120"/>
      </w:pPr>
      <w:r w:rsidRPr="008625DC">
        <w:t>It is preserving and enhancing this contribution, while considering issues of diversity, innovation and choice that has driven the Panel</w:t>
      </w:r>
      <w:r w:rsidR="00C74E19" w:rsidRPr="008625DC">
        <w:t>’</w:t>
      </w:r>
      <w:r w:rsidRPr="008625DC">
        <w:t xml:space="preserve">s considerations. As National Disability Services </w:t>
      </w:r>
      <w:r w:rsidR="00066B98" w:rsidRPr="008625DC">
        <w:t>note</w:t>
      </w:r>
      <w:r w:rsidR="008F15E8" w:rsidRPr="008625DC">
        <w:t>s</w:t>
      </w:r>
      <w:r w:rsidRPr="008625DC">
        <w:t>:</w:t>
      </w:r>
    </w:p>
    <w:p w14:paraId="66F596E8" w14:textId="01D1434E" w:rsidR="000225AB" w:rsidRPr="008625DC" w:rsidRDefault="000225AB" w:rsidP="000225AB">
      <w:pPr>
        <w:pStyle w:val="Quotes"/>
      </w:pPr>
      <w:r w:rsidRPr="008625DC">
        <w:t>Increased competition would be counter</w:t>
      </w:r>
      <w:r w:rsidR="00C74E19" w:rsidRPr="008625DC">
        <w:noBreakHyphen/>
      </w:r>
      <w:r w:rsidRPr="008625DC">
        <w:t>productive if it undermined the ability of not</w:t>
      </w:r>
      <w:r w:rsidR="00C74E19" w:rsidRPr="008625DC">
        <w:noBreakHyphen/>
      </w:r>
      <w:r w:rsidRPr="008625DC">
        <w:t>for</w:t>
      </w:r>
      <w:r w:rsidR="00C74E19" w:rsidRPr="008625DC">
        <w:noBreakHyphen/>
      </w:r>
      <w:r w:rsidRPr="008625DC">
        <w:t>profit disability support services to cooperate and collaborate, particularly in relation to community development and the production of social capital. (</w:t>
      </w:r>
      <w:proofErr w:type="gramStart"/>
      <w:r w:rsidRPr="008625DC">
        <w:t>p</w:t>
      </w:r>
      <w:r w:rsidR="00AA380B" w:rsidRPr="008625DC">
        <w:t>age</w:t>
      </w:r>
      <w:proofErr w:type="gramEnd"/>
      <w:r w:rsidRPr="008625DC">
        <w:t xml:space="preserve"> 3)</w:t>
      </w:r>
    </w:p>
    <w:p w14:paraId="76AB2269" w14:textId="77777777" w:rsidR="000225AB" w:rsidRPr="008625DC" w:rsidRDefault="000225AB" w:rsidP="00FB084C">
      <w:pPr>
        <w:pStyle w:val="Heading3"/>
      </w:pPr>
      <w:r w:rsidRPr="008625DC">
        <w:t>Mutual Providers</w:t>
      </w:r>
    </w:p>
    <w:p w14:paraId="1E541813" w14:textId="6582AFDB" w:rsidR="000225AB" w:rsidRPr="008625DC" w:rsidRDefault="000225AB" w:rsidP="000225AB">
      <w:pPr>
        <w:pStyle w:val="Default"/>
        <w:rPr>
          <w:rFonts w:asciiTheme="minorHAnsi" w:eastAsia="Times New Roman" w:hAnsiTheme="minorHAnsi"/>
          <w:sz w:val="22"/>
          <w:lang w:eastAsia="en-AU"/>
        </w:rPr>
      </w:pPr>
      <w:r w:rsidRPr="008625DC">
        <w:rPr>
          <w:rFonts w:asciiTheme="minorHAnsi" w:eastAsia="Times New Roman" w:hAnsiTheme="minorHAnsi"/>
          <w:sz w:val="22"/>
          <w:lang w:eastAsia="en-AU"/>
        </w:rPr>
        <w:t>The Business Council of Co</w:t>
      </w:r>
      <w:r w:rsidR="00C74E19" w:rsidRPr="008625DC">
        <w:rPr>
          <w:rFonts w:asciiTheme="minorHAnsi" w:eastAsia="Times New Roman" w:hAnsiTheme="minorHAnsi"/>
          <w:sz w:val="22"/>
          <w:lang w:eastAsia="en-AU"/>
        </w:rPr>
        <w:noBreakHyphen/>
      </w:r>
      <w:r w:rsidRPr="008625DC">
        <w:rPr>
          <w:rFonts w:asciiTheme="minorHAnsi" w:eastAsia="Times New Roman" w:hAnsiTheme="minorHAnsi"/>
          <w:sz w:val="22"/>
          <w:lang w:eastAsia="en-AU"/>
        </w:rPr>
        <w:t xml:space="preserve">operatives and Mutuals and the Australian Public Service Mutual Task Force have released a </w:t>
      </w:r>
      <w:r w:rsidR="00043F6D" w:rsidRPr="008625DC">
        <w:rPr>
          <w:rFonts w:asciiTheme="minorHAnsi" w:eastAsia="Times New Roman" w:hAnsiTheme="minorHAnsi"/>
          <w:sz w:val="22"/>
          <w:lang w:eastAsia="en-AU"/>
        </w:rPr>
        <w:t>White</w:t>
      </w:r>
      <w:r w:rsidRPr="008625DC">
        <w:rPr>
          <w:rFonts w:asciiTheme="minorHAnsi" w:eastAsia="Times New Roman" w:hAnsiTheme="minorHAnsi"/>
          <w:sz w:val="22"/>
          <w:lang w:eastAsia="en-AU"/>
        </w:rPr>
        <w:t xml:space="preserve"> Paper </w:t>
      </w:r>
      <w:r w:rsidR="00240ACC" w:rsidRPr="008625DC">
        <w:rPr>
          <w:rFonts w:asciiTheme="minorHAnsi" w:eastAsia="Times New Roman" w:hAnsiTheme="minorHAnsi"/>
          <w:sz w:val="22"/>
          <w:lang w:eastAsia="en-AU"/>
        </w:rPr>
        <w:t>on</w:t>
      </w:r>
      <w:r w:rsidRPr="008625DC">
        <w:rPr>
          <w:rFonts w:asciiTheme="minorHAnsi" w:eastAsia="Times New Roman" w:hAnsiTheme="minorHAnsi"/>
          <w:sz w:val="22"/>
          <w:lang w:eastAsia="en-AU"/>
        </w:rPr>
        <w:t xml:space="preserve"> public </w:t>
      </w:r>
      <w:r w:rsidR="00240ACC" w:rsidRPr="008625DC">
        <w:rPr>
          <w:rFonts w:asciiTheme="minorHAnsi" w:eastAsia="Times New Roman" w:hAnsiTheme="minorHAnsi"/>
          <w:sz w:val="22"/>
          <w:lang w:eastAsia="en-AU"/>
        </w:rPr>
        <w:t>service mutuals</w:t>
      </w:r>
      <w:r w:rsidRPr="008625DC">
        <w:rPr>
          <w:rFonts w:asciiTheme="minorHAnsi" w:hAnsiTheme="minorHAnsi"/>
          <w:sz w:val="22"/>
          <w:szCs w:val="20"/>
        </w:rPr>
        <w:t xml:space="preserve"> </w:t>
      </w:r>
      <w:r w:rsidRPr="008625DC">
        <w:rPr>
          <w:rFonts w:asciiTheme="minorHAnsi" w:hAnsiTheme="minorHAnsi"/>
          <w:sz w:val="22"/>
        </w:rPr>
        <w:t>that seeks to explore an alternative where co</w:t>
      </w:r>
      <w:r w:rsidR="00C74E19" w:rsidRPr="008625DC">
        <w:rPr>
          <w:rFonts w:asciiTheme="minorHAnsi" w:hAnsiTheme="minorHAnsi"/>
          <w:sz w:val="22"/>
        </w:rPr>
        <w:noBreakHyphen/>
      </w:r>
      <w:r w:rsidRPr="008625DC">
        <w:rPr>
          <w:rFonts w:asciiTheme="minorHAnsi" w:hAnsiTheme="minorHAnsi"/>
          <w:sz w:val="22"/>
        </w:rPr>
        <w:t>operatives and mutuals play an expanded role in delivering public services.</w:t>
      </w:r>
      <w:r w:rsidR="00787DCF" w:rsidRPr="008625DC">
        <w:rPr>
          <w:rFonts w:asciiTheme="minorHAnsi" w:hAnsiTheme="minorHAnsi"/>
          <w:sz w:val="22"/>
        </w:rPr>
        <w:t xml:space="preserve"> </w:t>
      </w:r>
      <w:r w:rsidR="00043F6D" w:rsidRPr="008625DC">
        <w:rPr>
          <w:rFonts w:asciiTheme="minorHAnsi" w:hAnsiTheme="minorHAnsi"/>
          <w:sz w:val="22"/>
        </w:rPr>
        <w:t>Public service m</w:t>
      </w:r>
      <w:r w:rsidRPr="008625DC">
        <w:rPr>
          <w:rFonts w:asciiTheme="minorHAnsi" w:hAnsiTheme="minorHAnsi"/>
          <w:sz w:val="22"/>
        </w:rPr>
        <w:t>utuals are:</w:t>
      </w:r>
    </w:p>
    <w:p w14:paraId="1B2C4308" w14:textId="06250FB7" w:rsidR="000225AB" w:rsidRPr="008625DC" w:rsidRDefault="000225AB" w:rsidP="000225AB">
      <w:pPr>
        <w:pStyle w:val="Quotes"/>
      </w:pPr>
      <w:r w:rsidRPr="008625DC">
        <w:lastRenderedPageBreak/>
        <w:t>An organisation</w:t>
      </w:r>
      <w:r w:rsidR="00AA380B" w:rsidRPr="008625DC">
        <w:t xml:space="preserve"> </w:t>
      </w:r>
      <w:r w:rsidRPr="008625DC">
        <w:t>…</w:t>
      </w:r>
      <w:r w:rsidR="00AA380B" w:rsidRPr="008625DC">
        <w:t xml:space="preserve"> </w:t>
      </w:r>
      <w:r w:rsidRPr="008625DC">
        <w:t>whereby members of the organisation are able to be involved in decision</w:t>
      </w:r>
      <w:r w:rsidR="00C74E19" w:rsidRPr="008625DC">
        <w:noBreakHyphen/>
      </w:r>
      <w:r w:rsidRPr="008625DC">
        <w:t>making, and benefit from its activities</w:t>
      </w:r>
      <w:r w:rsidR="00017FC4" w:rsidRPr="008625DC">
        <w:t>,</w:t>
      </w:r>
      <w:r w:rsidRPr="008625DC">
        <w:t xml:space="preserve"> including benefits emanating from the reinvestment of surpluses.</w:t>
      </w:r>
      <w:r w:rsidRPr="008625DC">
        <w:rPr>
          <w:rStyle w:val="FootnoteReference"/>
        </w:rPr>
        <w:footnoteReference w:id="199"/>
      </w:r>
      <w:r w:rsidRPr="008625DC">
        <w:t xml:space="preserve"> </w:t>
      </w:r>
    </w:p>
    <w:p w14:paraId="0C14513E" w14:textId="208760AE" w:rsidR="000225AB" w:rsidRPr="008625DC" w:rsidRDefault="000225AB" w:rsidP="00D603CA">
      <w:pPr>
        <w:spacing w:after="120"/>
      </w:pPr>
      <w:r w:rsidRPr="008625DC">
        <w:t xml:space="preserve">The </w:t>
      </w:r>
      <w:r w:rsidR="00017FC4" w:rsidRPr="008625DC">
        <w:t>White</w:t>
      </w:r>
      <w:r w:rsidRPr="008625DC">
        <w:t xml:space="preserve"> Paper suggests </w:t>
      </w:r>
      <w:r w:rsidR="00017FC4" w:rsidRPr="008625DC">
        <w:t xml:space="preserve">public service </w:t>
      </w:r>
      <w:r w:rsidRPr="008625DC">
        <w:t>mutuals deliver several benefits including</w:t>
      </w:r>
      <w:r w:rsidR="00017FC4" w:rsidRPr="008625DC">
        <w:t xml:space="preserve"> that they can</w:t>
      </w:r>
      <w:r w:rsidRPr="008625DC">
        <w:t>:</w:t>
      </w:r>
    </w:p>
    <w:p w14:paraId="11818A72" w14:textId="4F89DC05" w:rsidR="00017FC4" w:rsidRPr="00352AA9" w:rsidRDefault="00017FC4" w:rsidP="00352AA9">
      <w:pPr>
        <w:pStyle w:val="Bullet"/>
        <w:tabs>
          <w:tab w:val="clear" w:pos="566"/>
          <w:tab w:val="num" w:pos="993"/>
        </w:tabs>
        <w:ind w:left="993" w:hanging="425"/>
        <w:rPr>
          <w:color w:val="595959" w:themeColor="text1" w:themeTint="A6"/>
        </w:rPr>
      </w:pPr>
      <w:r w:rsidRPr="00352AA9">
        <w:rPr>
          <w:color w:val="595959" w:themeColor="text1" w:themeTint="A6"/>
        </w:rPr>
        <w:t>Increase</w:t>
      </w:r>
      <w:r w:rsidR="000225AB" w:rsidRPr="00352AA9">
        <w:rPr>
          <w:color w:val="595959" w:themeColor="text1" w:themeTint="A6"/>
        </w:rPr>
        <w:t xml:space="preserve"> organisational diversity</w:t>
      </w:r>
      <w:r w:rsidR="000225AB" w:rsidRPr="00352AA9">
        <w:rPr>
          <w:b/>
          <w:bCs/>
          <w:color w:val="595959" w:themeColor="text1" w:themeTint="A6"/>
        </w:rPr>
        <w:t xml:space="preserve"> </w:t>
      </w:r>
      <w:r w:rsidR="000225AB" w:rsidRPr="00352AA9">
        <w:rPr>
          <w:color w:val="595959" w:themeColor="text1" w:themeTint="A6"/>
        </w:rPr>
        <w:t>in public service markets</w:t>
      </w:r>
      <w:r w:rsidRPr="00352AA9">
        <w:rPr>
          <w:color w:val="595959" w:themeColor="text1" w:themeTint="A6"/>
        </w:rPr>
        <w:t>.</w:t>
      </w:r>
    </w:p>
    <w:p w14:paraId="3D647BB1" w14:textId="76CA8ABF" w:rsidR="00017FC4" w:rsidRPr="00352AA9" w:rsidRDefault="00017FC4" w:rsidP="00352AA9">
      <w:pPr>
        <w:pStyle w:val="Bullet"/>
        <w:tabs>
          <w:tab w:val="clear" w:pos="566"/>
          <w:tab w:val="num" w:pos="993"/>
        </w:tabs>
        <w:ind w:left="993" w:hanging="425"/>
        <w:rPr>
          <w:color w:val="595959" w:themeColor="text1" w:themeTint="A6"/>
        </w:rPr>
      </w:pPr>
      <w:r w:rsidRPr="00352AA9">
        <w:rPr>
          <w:color w:val="595959" w:themeColor="text1" w:themeTint="A6"/>
        </w:rPr>
        <w:t>Harness the ethos and professionalism</w:t>
      </w:r>
      <w:r w:rsidR="000225AB" w:rsidRPr="00352AA9">
        <w:rPr>
          <w:color w:val="595959" w:themeColor="text1" w:themeTint="A6"/>
        </w:rPr>
        <w:t xml:space="preserve"> of </w:t>
      </w:r>
      <w:r w:rsidRPr="00352AA9">
        <w:rPr>
          <w:color w:val="595959" w:themeColor="text1" w:themeTint="A6"/>
        </w:rPr>
        <w:t>public service employees and unleash their entrepreneurialism.</w:t>
      </w:r>
    </w:p>
    <w:p w14:paraId="41720330" w14:textId="5339C6E8" w:rsidR="00017FC4" w:rsidRPr="00352AA9" w:rsidRDefault="00017FC4" w:rsidP="00352AA9">
      <w:pPr>
        <w:pStyle w:val="Bullet"/>
        <w:tabs>
          <w:tab w:val="clear" w:pos="566"/>
          <w:tab w:val="num" w:pos="993"/>
        </w:tabs>
        <w:ind w:left="993" w:hanging="425"/>
        <w:rPr>
          <w:color w:val="595959" w:themeColor="text1" w:themeTint="A6"/>
        </w:rPr>
      </w:pPr>
      <w:r w:rsidRPr="00352AA9">
        <w:rPr>
          <w:color w:val="595959" w:themeColor="text1" w:themeTint="A6"/>
        </w:rPr>
        <w:t>Increase</w:t>
      </w:r>
      <w:r w:rsidR="000225AB" w:rsidRPr="00352AA9">
        <w:rPr>
          <w:color w:val="595959" w:themeColor="text1" w:themeTint="A6"/>
        </w:rPr>
        <w:t xml:space="preserve"> consumer choice and control</w:t>
      </w:r>
      <w:r w:rsidRPr="00352AA9">
        <w:rPr>
          <w:color w:val="595959" w:themeColor="text1" w:themeTint="A6"/>
        </w:rPr>
        <w:t>.</w:t>
      </w:r>
    </w:p>
    <w:p w14:paraId="7C4C043F" w14:textId="14216652" w:rsidR="000225AB" w:rsidRPr="008625DC" w:rsidRDefault="00017FC4" w:rsidP="00352AA9">
      <w:pPr>
        <w:pStyle w:val="Bullet"/>
        <w:tabs>
          <w:tab w:val="clear" w:pos="566"/>
          <w:tab w:val="num" w:pos="993"/>
        </w:tabs>
        <w:spacing w:after="240"/>
        <w:ind w:left="993" w:hanging="425"/>
      </w:pPr>
      <w:r w:rsidRPr="00352AA9">
        <w:rPr>
          <w:color w:val="595959" w:themeColor="text1" w:themeTint="A6"/>
        </w:rPr>
        <w:t>Stimulate</w:t>
      </w:r>
      <w:r w:rsidR="000225AB" w:rsidRPr="00352AA9">
        <w:rPr>
          <w:color w:val="595959" w:themeColor="text1" w:themeTint="A6"/>
        </w:rPr>
        <w:t xml:space="preserve"> public service innovation</w:t>
      </w:r>
      <w:r w:rsidR="00AA380B" w:rsidRPr="00352AA9">
        <w:rPr>
          <w:color w:val="595959" w:themeColor="text1" w:themeTint="A6"/>
        </w:rPr>
        <w:t>.</w:t>
      </w:r>
      <w:r w:rsidR="000225AB" w:rsidRPr="00352AA9">
        <w:rPr>
          <w:rStyle w:val="FootnoteReference"/>
          <w:color w:val="595959" w:themeColor="text1" w:themeTint="A6"/>
        </w:rPr>
        <w:footnoteReference w:id="200"/>
      </w:r>
    </w:p>
    <w:p w14:paraId="0B4BE17F" w14:textId="77777777" w:rsidR="000225AB" w:rsidRPr="008625DC" w:rsidRDefault="000225AB" w:rsidP="000225AB">
      <w:r w:rsidRPr="008625DC">
        <w:t>Public service mutuals now play a significant role in some other jurisdictions including the UK, where there has been concerted effort through public policy levers and capacity building activities to establish and expand public service mutuals.</w:t>
      </w:r>
    </w:p>
    <w:p w14:paraId="6E856C0C" w14:textId="01A89093" w:rsidR="000225AB" w:rsidRPr="008625DC" w:rsidRDefault="001E3102" w:rsidP="00FB084C">
      <w:pPr>
        <w:pStyle w:val="Heading3"/>
      </w:pPr>
      <w:r w:rsidRPr="008625DC">
        <w:t xml:space="preserve">Commissioning </w:t>
      </w:r>
      <w:r w:rsidR="008067D1" w:rsidRPr="008625DC">
        <w:t xml:space="preserve">of </w:t>
      </w:r>
      <w:r w:rsidRPr="008625DC">
        <w:t>services</w:t>
      </w:r>
    </w:p>
    <w:p w14:paraId="56D4995A" w14:textId="59085503" w:rsidR="00427DBE" w:rsidRPr="008625DC" w:rsidRDefault="00427DBE" w:rsidP="000225AB">
      <w:r w:rsidRPr="008625DC">
        <w:t>In many human service markets, a range of providers including for</w:t>
      </w:r>
      <w:r w:rsidR="00C74E19" w:rsidRPr="008625DC">
        <w:noBreakHyphen/>
      </w:r>
      <w:r w:rsidRPr="008625DC">
        <w:t>profit providers, community groups and charities play an important role in meeting consumer needs. This</w:t>
      </w:r>
      <w:r w:rsidR="000225AB" w:rsidRPr="008625DC">
        <w:t xml:space="preserve"> diversity of service providers</w:t>
      </w:r>
      <w:r w:rsidRPr="008625DC">
        <w:t>, as well as</w:t>
      </w:r>
      <w:r w:rsidR="00573216" w:rsidRPr="008625DC">
        <w:t xml:space="preserve"> high</w:t>
      </w:r>
      <w:r w:rsidR="00C74E19" w:rsidRPr="008625DC">
        <w:noBreakHyphen/>
      </w:r>
      <w:r w:rsidR="00573216" w:rsidRPr="008625DC">
        <w:t>quality outcomes for consumers</w:t>
      </w:r>
      <w:r w:rsidR="008571C9" w:rsidRPr="008625DC">
        <w:t>,</w:t>
      </w:r>
      <w:r w:rsidR="00573216" w:rsidRPr="008625DC">
        <w:t xml:space="preserve"> </w:t>
      </w:r>
      <w:r w:rsidR="000225AB" w:rsidRPr="008625DC">
        <w:t xml:space="preserve">can be encouraged </w:t>
      </w:r>
      <w:r w:rsidR="001E3102" w:rsidRPr="008625DC">
        <w:t xml:space="preserve">through </w:t>
      </w:r>
      <w:r w:rsidR="00165B8D" w:rsidRPr="008625DC">
        <w:t xml:space="preserve">government </w:t>
      </w:r>
      <w:r w:rsidR="001E3102" w:rsidRPr="008625DC">
        <w:t>commissioning decisions.</w:t>
      </w:r>
      <w:r w:rsidR="00C87B33" w:rsidRPr="008625DC">
        <w:t xml:space="preserve"> </w:t>
      </w:r>
    </w:p>
    <w:p w14:paraId="66565967" w14:textId="47A0C7A1" w:rsidR="00C23EAF" w:rsidRPr="008625DC" w:rsidRDefault="00F648A5" w:rsidP="008067D1">
      <w:r w:rsidRPr="008625DC">
        <w:t xml:space="preserve">Commissioning is </w:t>
      </w:r>
      <w:r w:rsidR="00D404C2" w:rsidRPr="008625DC">
        <w:t xml:space="preserve">where the </w:t>
      </w:r>
      <w:r w:rsidRPr="008625DC">
        <w:t xml:space="preserve">government </w:t>
      </w:r>
      <w:r w:rsidR="00D404C2" w:rsidRPr="008625DC">
        <w:t>makes</w:t>
      </w:r>
      <w:r w:rsidRPr="008625DC">
        <w:t xml:space="preserve"> decisions about</w:t>
      </w:r>
      <w:r w:rsidR="00782A07" w:rsidRPr="008625DC">
        <w:t>:</w:t>
      </w:r>
      <w:r w:rsidRPr="008625DC">
        <w:t xml:space="preserve"> </w:t>
      </w:r>
      <w:r w:rsidR="00D404C2" w:rsidRPr="008625DC">
        <w:t>human service</w:t>
      </w:r>
      <w:r w:rsidR="0077411B" w:rsidRPr="008625DC">
        <w:t>s</w:t>
      </w:r>
      <w:r w:rsidR="00D404C2" w:rsidRPr="008625DC">
        <w:t xml:space="preserve"> </w:t>
      </w:r>
      <w:r w:rsidRPr="008625DC">
        <w:t>program</w:t>
      </w:r>
      <w:r w:rsidR="00D404C2" w:rsidRPr="008625DC">
        <w:t xml:space="preserve"> </w:t>
      </w:r>
      <w:r w:rsidRPr="008625DC">
        <w:t>objectives and priorities</w:t>
      </w:r>
      <w:r w:rsidR="00782A07" w:rsidRPr="008625DC">
        <w:t xml:space="preserve">; </w:t>
      </w:r>
      <w:r w:rsidRPr="008625DC">
        <w:t>design</w:t>
      </w:r>
      <w:r w:rsidR="00D404C2" w:rsidRPr="008625DC">
        <w:t>s</w:t>
      </w:r>
      <w:r w:rsidRPr="008625DC">
        <w:t xml:space="preserve"> models </w:t>
      </w:r>
      <w:r w:rsidR="00D404C2" w:rsidRPr="008625DC">
        <w:t>o</w:t>
      </w:r>
      <w:r w:rsidRPr="008625DC">
        <w:t>f service provision</w:t>
      </w:r>
      <w:r w:rsidR="00782A07" w:rsidRPr="008625DC">
        <w:t>;</w:t>
      </w:r>
      <w:r w:rsidR="00D404C2" w:rsidRPr="008625DC">
        <w:t xml:space="preserve"> and then purchases the services from the ultimate provider</w:t>
      </w:r>
      <w:r w:rsidR="00165B8D" w:rsidRPr="008625DC">
        <w:t>s.</w:t>
      </w:r>
      <w:r w:rsidR="00427DBE" w:rsidRPr="008625DC">
        <w:t xml:space="preserve"> </w:t>
      </w:r>
      <w:r w:rsidR="00C23EAF" w:rsidRPr="008625DC">
        <w:t>While this includes directly funding choice</w:t>
      </w:r>
      <w:r w:rsidR="00C74E19" w:rsidRPr="008625DC">
        <w:noBreakHyphen/>
      </w:r>
      <w:r w:rsidR="00C23EAF" w:rsidRPr="008625DC">
        <w:t xml:space="preserve">based models, the focus of this section is </w:t>
      </w:r>
      <w:r w:rsidR="0077411B" w:rsidRPr="008625DC">
        <w:t>on</w:t>
      </w:r>
      <w:r w:rsidR="00C23EAF" w:rsidRPr="008625DC">
        <w:t xml:space="preserve"> government acting as a purchaser </w:t>
      </w:r>
      <w:r w:rsidR="00782A07" w:rsidRPr="008625DC">
        <w:t xml:space="preserve">on </w:t>
      </w:r>
      <w:r w:rsidR="00C23EAF" w:rsidRPr="008625DC">
        <w:t>behalf of the final recipient of human services.</w:t>
      </w:r>
    </w:p>
    <w:p w14:paraId="3A8145B9" w14:textId="362F32B7" w:rsidR="008067D1" w:rsidRPr="008625DC" w:rsidRDefault="001300A7" w:rsidP="003762D3">
      <w:pPr>
        <w:spacing w:after="120"/>
      </w:pPr>
      <w:r w:rsidRPr="008625DC">
        <w:t xml:space="preserve">Early models of </w:t>
      </w:r>
      <w:r w:rsidR="00AE6C4E" w:rsidRPr="008625DC">
        <w:t>contract</w:t>
      </w:r>
      <w:r w:rsidRPr="008625DC">
        <w:t>ing</w:t>
      </w:r>
      <w:r w:rsidR="00AE6C4E" w:rsidRPr="008625DC">
        <w:t xml:space="preserve"> for the provision</w:t>
      </w:r>
      <w:r w:rsidR="000225AB" w:rsidRPr="008625DC">
        <w:t xml:space="preserve"> of </w:t>
      </w:r>
      <w:r w:rsidR="00AE6C4E" w:rsidRPr="008625DC">
        <w:t>services</w:t>
      </w:r>
      <w:r w:rsidR="00C656A8" w:rsidRPr="008625DC">
        <w:t xml:space="preserve"> </w:t>
      </w:r>
      <w:r w:rsidRPr="008625DC">
        <w:t>often relied on running</w:t>
      </w:r>
      <w:r w:rsidR="00C656A8" w:rsidRPr="008625DC">
        <w:t xml:space="preserve"> </w:t>
      </w:r>
      <w:r w:rsidR="000225AB" w:rsidRPr="008625DC">
        <w:t xml:space="preserve">a </w:t>
      </w:r>
      <w:r w:rsidR="00C656A8" w:rsidRPr="008625DC">
        <w:t>tender to select a</w:t>
      </w:r>
      <w:r w:rsidR="00DE7690" w:rsidRPr="008625DC">
        <w:t xml:space="preserve"> provider or providers.</w:t>
      </w:r>
      <w:r w:rsidR="000225AB" w:rsidRPr="008625DC">
        <w:t xml:space="preserve"> </w:t>
      </w:r>
      <w:r w:rsidR="008067D1" w:rsidRPr="008625DC">
        <w:t xml:space="preserve">Competitive tendering does have benefits over the traditional </w:t>
      </w:r>
      <w:r w:rsidR="00043F6D" w:rsidRPr="008625DC">
        <w:t>funding of</w:t>
      </w:r>
      <w:r w:rsidR="008067D1" w:rsidRPr="008625DC">
        <w:t xml:space="preserve"> a government department </w:t>
      </w:r>
      <w:r w:rsidR="00043F6D" w:rsidRPr="008625DC">
        <w:t>to provide</w:t>
      </w:r>
      <w:r w:rsidR="008067D1" w:rsidRPr="008625DC">
        <w:t xml:space="preserve"> human </w:t>
      </w:r>
      <w:r w:rsidR="00043F6D" w:rsidRPr="008625DC">
        <w:t>services</w:t>
      </w:r>
      <w:r w:rsidR="008067D1" w:rsidRPr="008625DC">
        <w:t>, including:</w:t>
      </w:r>
    </w:p>
    <w:p w14:paraId="0C5CAA1E" w14:textId="24B0A9C5" w:rsidR="008067D1" w:rsidRPr="008625DC" w:rsidRDefault="0077411B" w:rsidP="008067D1">
      <w:pPr>
        <w:pStyle w:val="Bullet"/>
      </w:pPr>
      <w:r w:rsidRPr="008625DC">
        <w:t>t</w:t>
      </w:r>
      <w:r w:rsidR="008067D1" w:rsidRPr="008625DC">
        <w:t>he competitive process can lead to the best value for money bidder being selected;</w:t>
      </w:r>
    </w:p>
    <w:p w14:paraId="59F7078E" w14:textId="547F056D" w:rsidR="008067D1" w:rsidRPr="008625DC" w:rsidRDefault="0077411B" w:rsidP="008067D1">
      <w:pPr>
        <w:pStyle w:val="Bullet"/>
      </w:pPr>
      <w:r w:rsidRPr="008625DC">
        <w:t>i</w:t>
      </w:r>
      <w:r w:rsidR="008067D1" w:rsidRPr="008625DC">
        <w:t xml:space="preserve">n an open process, a number of potential suppliers have the opportunity to bid; </w:t>
      </w:r>
    </w:p>
    <w:p w14:paraId="74E9B770" w14:textId="7B3420B3" w:rsidR="008067D1" w:rsidRPr="008625DC" w:rsidRDefault="0077411B" w:rsidP="008067D1">
      <w:pPr>
        <w:pStyle w:val="Bullet"/>
      </w:pPr>
      <w:r w:rsidRPr="008625DC">
        <w:t>t</w:t>
      </w:r>
      <w:r w:rsidR="008067D1" w:rsidRPr="008625DC">
        <w:t>he process is usually transparent; and</w:t>
      </w:r>
    </w:p>
    <w:p w14:paraId="452F3042" w14:textId="7A8E191B" w:rsidR="008067D1" w:rsidRPr="008625DC" w:rsidRDefault="0077411B" w:rsidP="003762D3">
      <w:pPr>
        <w:pStyle w:val="Bullet"/>
        <w:spacing w:after="240"/>
      </w:pPr>
      <w:proofErr w:type="gramStart"/>
      <w:r w:rsidRPr="008625DC">
        <w:t>i</w:t>
      </w:r>
      <w:r w:rsidR="008067D1" w:rsidRPr="008625DC">
        <w:t>t</w:t>
      </w:r>
      <w:proofErr w:type="gramEnd"/>
      <w:r w:rsidR="008067D1" w:rsidRPr="008625DC">
        <w:t xml:space="preserve"> can identify a provider in cases where the market cannot support more than one provider.</w:t>
      </w:r>
    </w:p>
    <w:p w14:paraId="58CCB557" w14:textId="5E3014A9" w:rsidR="000225AB" w:rsidRPr="008625DC" w:rsidRDefault="008067D1" w:rsidP="003762D3">
      <w:pPr>
        <w:spacing w:after="120"/>
      </w:pPr>
      <w:r w:rsidRPr="008625DC">
        <w:t>However</w:t>
      </w:r>
      <w:r w:rsidR="0077411B" w:rsidRPr="008625DC">
        <w:t>,</w:t>
      </w:r>
      <w:r w:rsidRPr="008625DC">
        <w:t xml:space="preserve"> t</w:t>
      </w:r>
      <w:r w:rsidR="00DE7690" w:rsidRPr="008625DC">
        <w:t>he</w:t>
      </w:r>
      <w:r w:rsidR="000225AB" w:rsidRPr="008625DC">
        <w:t xml:space="preserve"> PC </w:t>
      </w:r>
      <w:r w:rsidR="00333B72" w:rsidRPr="008625DC">
        <w:t>notes</w:t>
      </w:r>
      <w:r w:rsidR="000225AB" w:rsidRPr="008625DC">
        <w:t xml:space="preserve"> that </w:t>
      </w:r>
      <w:r w:rsidR="00DE7690" w:rsidRPr="008625DC">
        <w:t>government tendering arrangements</w:t>
      </w:r>
      <w:r w:rsidR="000225AB" w:rsidRPr="008625DC">
        <w:t xml:space="preserve"> typically use short</w:t>
      </w:r>
      <w:r w:rsidR="00C74E19" w:rsidRPr="008625DC">
        <w:noBreakHyphen/>
      </w:r>
      <w:r w:rsidR="000225AB" w:rsidRPr="008625DC">
        <w:t>term and very prescriptive contracts.</w:t>
      </w:r>
      <w:r w:rsidR="000225AB" w:rsidRPr="008625DC">
        <w:rPr>
          <w:rStyle w:val="FootnoteReference"/>
        </w:rPr>
        <w:footnoteReference w:id="201"/>
      </w:r>
      <w:r w:rsidR="000225AB" w:rsidRPr="008625DC">
        <w:t xml:space="preserve"> This may be due to:</w:t>
      </w:r>
    </w:p>
    <w:p w14:paraId="4055ADE3" w14:textId="44D5562A" w:rsidR="000225AB" w:rsidRPr="008625DC" w:rsidRDefault="0077411B" w:rsidP="000225AB">
      <w:pPr>
        <w:pStyle w:val="Bullet"/>
      </w:pPr>
      <w:r w:rsidRPr="008625DC">
        <w:t>r</w:t>
      </w:r>
      <w:r w:rsidR="000225AB" w:rsidRPr="008625DC">
        <w:t>isk aversion on the part of government</w:t>
      </w:r>
      <w:r w:rsidR="0076641D" w:rsidRPr="008625DC">
        <w:t xml:space="preserve">s and </w:t>
      </w:r>
      <w:r w:rsidR="000225AB" w:rsidRPr="008625DC">
        <w:t>government agencies</w:t>
      </w:r>
      <w:r w:rsidR="00380141" w:rsidRPr="008625DC">
        <w:t xml:space="preserve"> — </w:t>
      </w:r>
      <w:r w:rsidR="000225AB" w:rsidRPr="008625DC">
        <w:t>agencies may try to control risk through being overly prescriptive; and</w:t>
      </w:r>
    </w:p>
    <w:p w14:paraId="31FCAACB" w14:textId="1EE065E1" w:rsidR="000225AB" w:rsidRPr="008625DC" w:rsidRDefault="0077411B" w:rsidP="000225AB">
      <w:pPr>
        <w:pStyle w:val="Bullet"/>
      </w:pPr>
      <w:proofErr w:type="gramStart"/>
      <w:r w:rsidRPr="008625DC">
        <w:t>l</w:t>
      </w:r>
      <w:r w:rsidR="00DE7690" w:rsidRPr="008625DC">
        <w:t>imits</w:t>
      </w:r>
      <w:proofErr w:type="gramEnd"/>
      <w:r w:rsidR="00DE7690" w:rsidRPr="008625DC">
        <w:t xml:space="preserve"> on</w:t>
      </w:r>
      <w:r w:rsidR="000225AB" w:rsidRPr="008625DC">
        <w:t xml:space="preserve"> measuring outcomes</w:t>
      </w:r>
      <w:r w:rsidR="00380141" w:rsidRPr="008625DC">
        <w:t xml:space="preserve"> — </w:t>
      </w:r>
      <w:r w:rsidR="000225AB" w:rsidRPr="008625DC">
        <w:t>in many instances, governments may not be in a position to define and measure the outcome required from the market.</w:t>
      </w:r>
    </w:p>
    <w:p w14:paraId="54AC227D" w14:textId="4038F482" w:rsidR="000225AB" w:rsidRPr="008625DC" w:rsidRDefault="00F87BE8" w:rsidP="00D603CA">
      <w:pPr>
        <w:spacing w:after="120"/>
        <w:rPr>
          <w:rFonts w:cs="Arial"/>
          <w:szCs w:val="22"/>
        </w:rPr>
      </w:pPr>
      <w:r w:rsidRPr="008625DC">
        <w:rPr>
          <w:rFonts w:cs="Arial"/>
          <w:szCs w:val="22"/>
        </w:rPr>
        <w:lastRenderedPageBreak/>
        <w:t xml:space="preserve">In practice, </w:t>
      </w:r>
      <w:r w:rsidR="00654F0C" w:rsidRPr="008625DC">
        <w:rPr>
          <w:rFonts w:cs="Arial"/>
          <w:szCs w:val="22"/>
        </w:rPr>
        <w:t>commissioning decisions</w:t>
      </w:r>
      <w:r w:rsidRPr="008625DC">
        <w:rPr>
          <w:rFonts w:cs="Arial"/>
          <w:szCs w:val="22"/>
        </w:rPr>
        <w:t xml:space="preserve"> </w:t>
      </w:r>
      <w:r w:rsidR="008067D1" w:rsidRPr="008625DC">
        <w:rPr>
          <w:rFonts w:cs="Arial"/>
          <w:szCs w:val="22"/>
        </w:rPr>
        <w:t>have</w:t>
      </w:r>
      <w:r w:rsidR="007A19FC" w:rsidRPr="008625DC">
        <w:rPr>
          <w:rFonts w:cs="Arial"/>
          <w:szCs w:val="22"/>
        </w:rPr>
        <w:t xml:space="preserve"> </w:t>
      </w:r>
      <w:r w:rsidR="001300A7" w:rsidRPr="008625DC">
        <w:rPr>
          <w:rFonts w:cs="Arial"/>
          <w:szCs w:val="22"/>
        </w:rPr>
        <w:t>often</w:t>
      </w:r>
      <w:r w:rsidR="007A19FC" w:rsidRPr="008625DC">
        <w:rPr>
          <w:rFonts w:cs="Arial"/>
          <w:szCs w:val="22"/>
        </w:rPr>
        <w:t xml:space="preserve"> been</w:t>
      </w:r>
      <w:r w:rsidRPr="008625DC">
        <w:rPr>
          <w:rFonts w:cs="Arial"/>
          <w:szCs w:val="22"/>
        </w:rPr>
        <w:t xml:space="preserve"> structured to achieve the best </w:t>
      </w:r>
      <w:r w:rsidR="00C74E19" w:rsidRPr="008625DC">
        <w:rPr>
          <w:rFonts w:cs="Arial"/>
          <w:szCs w:val="22"/>
        </w:rPr>
        <w:t>‘</w:t>
      </w:r>
      <w:r w:rsidRPr="008625DC">
        <w:rPr>
          <w:rFonts w:cs="Arial"/>
          <w:szCs w:val="22"/>
        </w:rPr>
        <w:t>value for money</w:t>
      </w:r>
      <w:r w:rsidR="00C74E19" w:rsidRPr="008625DC">
        <w:rPr>
          <w:rFonts w:cs="Arial"/>
          <w:szCs w:val="22"/>
        </w:rPr>
        <w:t>’</w:t>
      </w:r>
      <w:r w:rsidRPr="008625DC">
        <w:rPr>
          <w:rFonts w:cs="Arial"/>
          <w:szCs w:val="22"/>
        </w:rPr>
        <w:t xml:space="preserve"> which means that </w:t>
      </w:r>
      <w:r w:rsidR="00A01906" w:rsidRPr="008625DC">
        <w:rPr>
          <w:rFonts w:cs="Arial"/>
          <w:szCs w:val="22"/>
        </w:rPr>
        <w:t xml:space="preserve">public sector </w:t>
      </w:r>
      <w:r w:rsidRPr="008625DC">
        <w:rPr>
          <w:rFonts w:cs="Arial"/>
          <w:szCs w:val="22"/>
        </w:rPr>
        <w:t xml:space="preserve">commissioners </w:t>
      </w:r>
      <w:r w:rsidR="001300A7" w:rsidRPr="008625DC">
        <w:rPr>
          <w:rFonts w:cs="Arial"/>
          <w:szCs w:val="22"/>
        </w:rPr>
        <w:t>may</w:t>
      </w:r>
      <w:r w:rsidRPr="008625DC">
        <w:rPr>
          <w:rFonts w:cs="Arial"/>
          <w:szCs w:val="22"/>
        </w:rPr>
        <w:t xml:space="preserve"> focus on price at the expense of other factors</w:t>
      </w:r>
      <w:r w:rsidR="00A01906" w:rsidRPr="008625DC">
        <w:rPr>
          <w:rFonts w:cs="Arial"/>
          <w:szCs w:val="22"/>
        </w:rPr>
        <w:t>. This sometimes leads to unfortunate side effects, including not enough emphasis on</w:t>
      </w:r>
      <w:r w:rsidR="00352AA9">
        <w:rPr>
          <w:rFonts w:cs="Arial"/>
          <w:szCs w:val="22"/>
        </w:rPr>
        <w:t xml:space="preserve"> having a </w:t>
      </w:r>
      <w:r w:rsidRPr="008625DC">
        <w:rPr>
          <w:rFonts w:cs="Arial"/>
          <w:szCs w:val="22"/>
        </w:rPr>
        <w:t xml:space="preserve">local community presence </w:t>
      </w:r>
      <w:r w:rsidR="008571C9" w:rsidRPr="008625DC">
        <w:rPr>
          <w:rFonts w:cs="Arial"/>
          <w:szCs w:val="22"/>
        </w:rPr>
        <w:t>that</w:t>
      </w:r>
      <w:r w:rsidRPr="008625DC">
        <w:rPr>
          <w:rFonts w:cs="Arial"/>
          <w:szCs w:val="22"/>
        </w:rPr>
        <w:t xml:space="preserve"> is responsive to individual needs. </w:t>
      </w:r>
      <w:r w:rsidR="000225AB" w:rsidRPr="008625DC">
        <w:rPr>
          <w:rFonts w:cs="Arial"/>
          <w:szCs w:val="22"/>
        </w:rPr>
        <w:t>As the NSW Government comments:</w:t>
      </w:r>
    </w:p>
    <w:p w14:paraId="6AB408A6" w14:textId="6566C69E" w:rsidR="000225AB" w:rsidRPr="008625DC" w:rsidRDefault="000225AB" w:rsidP="000225AB">
      <w:pPr>
        <w:pStyle w:val="Quotes"/>
      </w:pPr>
      <w:r w:rsidRPr="008625DC">
        <w:t xml:space="preserve">There are more significant benefits from competition and innovation when governments take a less prescriptive approach to service delivery reform. This can allow greater adaptability and flexibility </w:t>
      </w:r>
      <w:r w:rsidR="007A19FC" w:rsidRPr="008625DC">
        <w:t>…</w:t>
      </w:r>
      <w:r w:rsidR="003762D3" w:rsidRPr="008625DC">
        <w:t xml:space="preserve"> </w:t>
      </w:r>
      <w:r w:rsidRPr="008625DC">
        <w:t>the focus should be on specifying desired outcomes and ensuring space for innovation. (</w:t>
      </w:r>
      <w:proofErr w:type="gramStart"/>
      <w:r w:rsidR="00AA380B" w:rsidRPr="008625DC">
        <w:t>page</w:t>
      </w:r>
      <w:proofErr w:type="gramEnd"/>
      <w:r w:rsidR="00AA380B" w:rsidRPr="008625DC">
        <w:t xml:space="preserve"> </w:t>
      </w:r>
      <w:r w:rsidRPr="008625DC">
        <w:t xml:space="preserve">27) </w:t>
      </w:r>
    </w:p>
    <w:p w14:paraId="4C05C3BD" w14:textId="3AC951C3" w:rsidR="00573216" w:rsidRPr="008625DC" w:rsidRDefault="00573216" w:rsidP="00573216">
      <w:r w:rsidRPr="008625DC">
        <w:t xml:space="preserve">IPART also notes the importance of focusing on outcomes: </w:t>
      </w:r>
      <w:r w:rsidR="00C74E19" w:rsidRPr="008625DC">
        <w:t>‘</w:t>
      </w:r>
      <w:r w:rsidRPr="008625DC">
        <w:t>To maximise the scope for innovation and efficiency, competitive tendering processes</w:t>
      </w:r>
      <w:r w:rsidR="003762D3" w:rsidRPr="008625DC">
        <w:t xml:space="preserve"> </w:t>
      </w:r>
      <w:r w:rsidRPr="008625DC">
        <w:t>…</w:t>
      </w:r>
      <w:r w:rsidR="003762D3" w:rsidRPr="008625DC">
        <w:t xml:space="preserve"> </w:t>
      </w:r>
      <w:r w:rsidRPr="008625DC">
        <w:t>should be outcomes</w:t>
      </w:r>
      <w:r w:rsidR="00C74E19" w:rsidRPr="008625DC">
        <w:noBreakHyphen/>
      </w:r>
      <w:r w:rsidR="004E3403" w:rsidRPr="008625DC">
        <w:t>focused</w:t>
      </w:r>
      <w:r w:rsidR="00C74E19" w:rsidRPr="008625DC">
        <w:t>’</w:t>
      </w:r>
      <w:r w:rsidRPr="008625DC">
        <w:t xml:space="preserve"> (</w:t>
      </w:r>
      <w:r w:rsidR="00AA380B" w:rsidRPr="008625DC">
        <w:t xml:space="preserve">page </w:t>
      </w:r>
      <w:r w:rsidRPr="008625DC">
        <w:t>14). As an example, an outcomes focus would emphasise the skills students learn, rather than the hours spent in the classroom.</w:t>
      </w:r>
    </w:p>
    <w:p w14:paraId="79C74B1F" w14:textId="7E0EE9A7" w:rsidR="007824EE" w:rsidRPr="008625DC" w:rsidRDefault="00F838F7" w:rsidP="007824EE">
      <w:r w:rsidRPr="008625DC">
        <w:t>Commissioning</w:t>
      </w:r>
      <w:r w:rsidR="00B56733" w:rsidRPr="008625DC">
        <w:t xml:space="preserve"> human serv</w:t>
      </w:r>
      <w:r w:rsidRPr="008625DC">
        <w:t>ices with an outcomes focus</w:t>
      </w:r>
      <w:r w:rsidR="007824EE" w:rsidRPr="008625DC">
        <w:t xml:space="preserve"> is one way that governments can </w:t>
      </w:r>
      <w:r w:rsidRPr="008625DC">
        <w:t>encourage a diversity of providers</w:t>
      </w:r>
      <w:r w:rsidR="007824EE" w:rsidRPr="008625DC">
        <w:t xml:space="preserve">. For example, when the </w:t>
      </w:r>
      <w:r w:rsidR="008571C9" w:rsidRPr="008625DC">
        <w:t>j</w:t>
      </w:r>
      <w:r w:rsidR="007824EE" w:rsidRPr="008625DC">
        <w:t xml:space="preserve">ob </w:t>
      </w:r>
      <w:r w:rsidR="008571C9" w:rsidRPr="008625DC">
        <w:t>s</w:t>
      </w:r>
      <w:r w:rsidR="007824EE" w:rsidRPr="008625DC">
        <w:t xml:space="preserve">ervices market was originally deregulated, the Department of Employment noted that </w:t>
      </w:r>
      <w:r w:rsidR="00C74E19" w:rsidRPr="008625DC">
        <w:t>‘</w:t>
      </w:r>
      <w:r w:rsidR="008571C9" w:rsidRPr="008625DC">
        <w:t>[j]</w:t>
      </w:r>
      <w:r w:rsidR="007824EE" w:rsidRPr="008625DC">
        <w:t>ob seekers and employers would benefit from the diversity in provider type, philosophy and approach to employment services by choosing a provider that suited them best</w:t>
      </w:r>
      <w:r w:rsidR="00C74E19" w:rsidRPr="008625DC">
        <w:t>’</w:t>
      </w:r>
      <w:r w:rsidR="007824EE" w:rsidRPr="008625DC">
        <w:t>.</w:t>
      </w:r>
      <w:r w:rsidR="007824EE" w:rsidRPr="008625DC">
        <w:rPr>
          <w:rStyle w:val="FootnoteReference"/>
        </w:rPr>
        <w:footnoteReference w:id="202"/>
      </w:r>
      <w:r w:rsidR="007824EE" w:rsidRPr="008625DC">
        <w:t xml:space="preserve"> </w:t>
      </w:r>
    </w:p>
    <w:p w14:paraId="0A19AB1D" w14:textId="3EDD91AE" w:rsidR="00F838F7" w:rsidRPr="008625DC" w:rsidRDefault="007824EE" w:rsidP="00573216">
      <w:r w:rsidRPr="008625DC">
        <w:t xml:space="preserve">A focus on outcomes </w:t>
      </w:r>
      <w:r w:rsidR="002407E1" w:rsidRPr="008625DC">
        <w:t>means</w:t>
      </w:r>
      <w:r w:rsidRPr="008625DC">
        <w:t xml:space="preserve"> that a diverse range of providers have the opportunity to </w:t>
      </w:r>
      <w:r w:rsidR="00D603CA" w:rsidRPr="008625DC">
        <w:t xml:space="preserve">offer different types of services and </w:t>
      </w:r>
      <w:r w:rsidR="002407E1" w:rsidRPr="008625DC">
        <w:t>different methods of service delivery</w:t>
      </w:r>
      <w:r w:rsidR="00F838F7" w:rsidRPr="008625DC">
        <w:t xml:space="preserve"> </w:t>
      </w:r>
      <w:proofErr w:type="gramStart"/>
      <w:r w:rsidR="00F838F7" w:rsidRPr="008625DC">
        <w:t xml:space="preserve">that </w:t>
      </w:r>
      <w:r w:rsidR="002407E1" w:rsidRPr="008625DC">
        <w:t>are</w:t>
      </w:r>
      <w:proofErr w:type="gramEnd"/>
      <w:r w:rsidR="00F838F7" w:rsidRPr="008625DC">
        <w:t xml:space="preserve"> responsive to individual and community needs. </w:t>
      </w:r>
    </w:p>
    <w:p w14:paraId="6905CEA6" w14:textId="0C3049B4" w:rsidR="00427DBE" w:rsidRPr="008625DC" w:rsidRDefault="001878EF" w:rsidP="00573216">
      <w:r w:rsidRPr="008625DC">
        <w:t>Governments can go further to encourage high</w:t>
      </w:r>
      <w:r w:rsidR="00C74E19" w:rsidRPr="008625DC">
        <w:noBreakHyphen/>
      </w:r>
      <w:r w:rsidRPr="008625DC">
        <w:t xml:space="preserve">quality user outcomes through </w:t>
      </w:r>
      <w:r w:rsidR="00427DBE" w:rsidRPr="008625DC">
        <w:t>linking financial rewards with performance.</w:t>
      </w:r>
    </w:p>
    <w:p w14:paraId="58B8AC90" w14:textId="21B1279B" w:rsidR="007A19FC" w:rsidRPr="008625DC" w:rsidRDefault="007A19FC" w:rsidP="007A19FC">
      <w:r w:rsidRPr="008625DC">
        <w:t>Over time governments have trialled more innovative approaches to commissioning.</w:t>
      </w:r>
      <w:r w:rsidR="00787DCF" w:rsidRPr="008625DC">
        <w:t xml:space="preserve"> </w:t>
      </w:r>
      <w:r w:rsidRPr="008625DC">
        <w:t>For instance</w:t>
      </w:r>
      <w:r w:rsidR="0077411B" w:rsidRPr="008625DC">
        <w:t>,</w:t>
      </w:r>
      <w:r w:rsidRPr="008625DC">
        <w:t xml:space="preserve"> the NSW Government in partnership with the private and community sectors has developed two social benefit bonds to deliver prevention and early intervention programs. These programs are initially funded by private investors who receive a return on their investment if agreed social outcomes are achieved. This is an example of encouraging good performance by providers, by allowing for financial rewards for performance above stated targets, and penalties for performance below stated targets.</w:t>
      </w:r>
    </w:p>
    <w:p w14:paraId="467E2496" w14:textId="7187015A" w:rsidR="00F14B2C" w:rsidRPr="008625DC" w:rsidRDefault="00573216" w:rsidP="00D603CA">
      <w:pPr>
        <w:spacing w:after="120"/>
        <w:rPr>
          <w:rFonts w:cs="Arial"/>
        </w:rPr>
      </w:pPr>
      <w:r w:rsidRPr="008625DC">
        <w:rPr>
          <w:rFonts w:cs="Arial"/>
        </w:rPr>
        <w:t>New</w:t>
      </w:r>
      <w:r w:rsidR="00F14B2C" w:rsidRPr="008625DC">
        <w:rPr>
          <w:rFonts w:cs="Arial"/>
        </w:rPr>
        <w:t>er</w:t>
      </w:r>
      <w:r w:rsidRPr="008625DC">
        <w:rPr>
          <w:rFonts w:cs="Arial"/>
        </w:rPr>
        <w:t xml:space="preserve"> approaches to commissioning focus more on contestability, rather than </w:t>
      </w:r>
      <w:r w:rsidR="00F14B2C" w:rsidRPr="008625DC">
        <w:rPr>
          <w:rFonts w:cs="Arial"/>
        </w:rPr>
        <w:t xml:space="preserve">strict competitive tender processes. A paper on </w:t>
      </w:r>
      <w:r w:rsidR="00364CB5" w:rsidRPr="008625DC">
        <w:rPr>
          <w:rFonts w:cs="Arial"/>
        </w:rPr>
        <w:t>contestability</w:t>
      </w:r>
      <w:r w:rsidR="00F14B2C" w:rsidRPr="008625DC">
        <w:rPr>
          <w:rFonts w:cs="Arial"/>
        </w:rPr>
        <w:t xml:space="preserve"> in the UK </w:t>
      </w:r>
      <w:r w:rsidR="00364CB5" w:rsidRPr="008625DC">
        <w:rPr>
          <w:rFonts w:cs="Arial"/>
        </w:rPr>
        <w:t>health</w:t>
      </w:r>
      <w:r w:rsidR="00F14B2C" w:rsidRPr="008625DC">
        <w:rPr>
          <w:rFonts w:cs="Arial"/>
        </w:rPr>
        <w:t xml:space="preserve"> system notes</w:t>
      </w:r>
      <w:r w:rsidR="00364CB5" w:rsidRPr="008625DC">
        <w:rPr>
          <w:rFonts w:cs="Arial"/>
        </w:rPr>
        <w:t>:</w:t>
      </w:r>
    </w:p>
    <w:p w14:paraId="0EC2DC7F" w14:textId="65CE1AFF" w:rsidR="00F14B2C" w:rsidRPr="008625DC" w:rsidRDefault="00F14B2C" w:rsidP="003762D3">
      <w:pPr>
        <w:pStyle w:val="Quotes"/>
        <w:spacing w:after="120"/>
        <w:rPr>
          <w:szCs w:val="22"/>
        </w:rPr>
      </w:pPr>
      <w:r w:rsidRPr="008625DC">
        <w:rPr>
          <w:szCs w:val="22"/>
        </w:rPr>
        <w:t>In recognition of the limits of competition, managers and doctors have moved increasingly to establish collaborative arrangements in which purchasers and providers work together on a long term basis</w:t>
      </w:r>
      <w:r w:rsidR="003762D3" w:rsidRPr="008625DC">
        <w:rPr>
          <w:szCs w:val="22"/>
        </w:rPr>
        <w:t xml:space="preserve"> </w:t>
      </w:r>
      <w:r w:rsidR="00364CB5" w:rsidRPr="008625DC">
        <w:rPr>
          <w:szCs w:val="22"/>
        </w:rPr>
        <w:t>…</w:t>
      </w:r>
    </w:p>
    <w:p w14:paraId="4E9009FD" w14:textId="1A57CB83" w:rsidR="00F14B2C" w:rsidRPr="008625DC" w:rsidRDefault="003762D3" w:rsidP="00364CB5">
      <w:pPr>
        <w:pStyle w:val="Quotes"/>
      </w:pPr>
      <w:r w:rsidRPr="008625DC">
        <w:t>[</w:t>
      </w:r>
      <w:r w:rsidR="00F14B2C" w:rsidRPr="008625DC">
        <w:t>t</w:t>
      </w:r>
      <w:r w:rsidRPr="008625DC">
        <w:t>]</w:t>
      </w:r>
      <w:r w:rsidR="00F14B2C" w:rsidRPr="008625DC">
        <w:t>he stimulus to improv</w:t>
      </w:r>
      <w:r w:rsidR="00364CB5" w:rsidRPr="008625DC">
        <w:t xml:space="preserve">e performance which arises from </w:t>
      </w:r>
      <w:r w:rsidR="00F14B2C" w:rsidRPr="008625DC">
        <w:t>the threat that contracts may be moved to an alternative</w:t>
      </w:r>
      <w:r w:rsidR="00364CB5" w:rsidRPr="008625DC">
        <w:t xml:space="preserve"> </w:t>
      </w:r>
      <w:r w:rsidR="00F14B2C" w:rsidRPr="008625DC">
        <w:t xml:space="preserve">provider should not </w:t>
      </w:r>
      <w:r w:rsidR="00364CB5" w:rsidRPr="008625DC">
        <w:t xml:space="preserve">be lost. The middle way between </w:t>
      </w:r>
      <w:r w:rsidR="00F14B2C" w:rsidRPr="008625DC">
        <w:t xml:space="preserve">planning and competition is a path called contestability. </w:t>
      </w:r>
      <w:r w:rsidR="00364CB5" w:rsidRPr="008625DC">
        <w:t xml:space="preserve">This </w:t>
      </w:r>
      <w:r w:rsidR="00F14B2C" w:rsidRPr="008625DC">
        <w:t>recognises that health ca</w:t>
      </w:r>
      <w:r w:rsidR="00364CB5" w:rsidRPr="008625DC">
        <w:t xml:space="preserve">re requires cooperation between </w:t>
      </w:r>
      <w:r w:rsidR="00F14B2C" w:rsidRPr="008625DC">
        <w:t>purchasers and providers and th</w:t>
      </w:r>
      <w:r w:rsidR="00364CB5" w:rsidRPr="008625DC">
        <w:t xml:space="preserve">e capacity to plan developments </w:t>
      </w:r>
      <w:r w:rsidR="00F14B2C" w:rsidRPr="008625DC">
        <w:t>on a long term basis. At th</w:t>
      </w:r>
      <w:r w:rsidR="00364CB5" w:rsidRPr="008625DC">
        <w:t xml:space="preserve">e same time, it is based on the </w:t>
      </w:r>
      <w:r w:rsidR="00F14B2C" w:rsidRPr="008625DC">
        <w:t xml:space="preserve">premise that performance may </w:t>
      </w:r>
      <w:r w:rsidR="00F14B2C" w:rsidRPr="008625DC">
        <w:lastRenderedPageBreak/>
        <w:t>stagnate unl</w:t>
      </w:r>
      <w:r w:rsidR="00364CB5" w:rsidRPr="008625DC">
        <w:t xml:space="preserve">ess there are </w:t>
      </w:r>
      <w:r w:rsidR="00F14B2C" w:rsidRPr="008625DC">
        <w:t>sufficient incentives to bring about continuous improvements.</w:t>
      </w:r>
      <w:r w:rsidR="00364CB5" w:rsidRPr="008625DC">
        <w:rPr>
          <w:rStyle w:val="FootnoteReference"/>
        </w:rPr>
        <w:footnoteReference w:id="203"/>
      </w:r>
    </w:p>
    <w:p w14:paraId="67CFC9AA" w14:textId="26F7F751" w:rsidR="009363EE" w:rsidRPr="008625DC" w:rsidRDefault="009363EE" w:rsidP="00D405AE">
      <w:pPr>
        <w:pStyle w:val="Bullet"/>
        <w:numPr>
          <w:ilvl w:val="0"/>
          <w:numId w:val="0"/>
        </w:numPr>
      </w:pPr>
      <w:r w:rsidRPr="008625DC">
        <w:rPr>
          <w:rFonts w:cs="Arial"/>
        </w:rPr>
        <w:t>In some cases, w</w:t>
      </w:r>
      <w:r w:rsidRPr="008625DC">
        <w:t xml:space="preserve">here a range of actual or potential service providers exist, rather than commissioning directly, governments can instead allow </w:t>
      </w:r>
      <w:r w:rsidR="00427DBE" w:rsidRPr="008625DC">
        <w:t xml:space="preserve">an </w:t>
      </w:r>
      <w:r w:rsidRPr="008625DC">
        <w:t xml:space="preserve">independent </w:t>
      </w:r>
      <w:r w:rsidR="00427DBE" w:rsidRPr="008625DC">
        <w:t xml:space="preserve">regulator </w:t>
      </w:r>
      <w:r w:rsidRPr="008625DC">
        <w:t xml:space="preserve">to license any provider that meets and maintains prescribed standards. This approach </w:t>
      </w:r>
      <w:r w:rsidR="00427DBE" w:rsidRPr="008625DC">
        <w:t>can allow</w:t>
      </w:r>
      <w:r w:rsidRPr="008625DC">
        <w:t xml:space="preserve"> a wide</w:t>
      </w:r>
      <w:r w:rsidR="00427DBE" w:rsidRPr="008625DC">
        <w:t>r</w:t>
      </w:r>
      <w:r w:rsidRPr="008625DC">
        <w:t xml:space="preserve"> range of providers to offer services in the market.</w:t>
      </w:r>
    </w:p>
    <w:p w14:paraId="3EB41387" w14:textId="42240407" w:rsidR="00364CB5" w:rsidRPr="008625DC" w:rsidRDefault="009363EE" w:rsidP="001559D4">
      <w:pPr>
        <w:autoSpaceDE w:val="0"/>
        <w:autoSpaceDN w:val="0"/>
        <w:adjustRightInd w:val="0"/>
        <w:spacing w:before="0"/>
        <w:rPr>
          <w:rFonts w:cs="Arial"/>
        </w:rPr>
      </w:pPr>
      <w:r w:rsidRPr="008625DC">
        <w:rPr>
          <w:rFonts w:cs="Arial"/>
        </w:rPr>
        <w:t>Ultimately, i</w:t>
      </w:r>
      <w:r w:rsidR="0007021E" w:rsidRPr="008625DC">
        <w:rPr>
          <w:rFonts w:cs="Arial"/>
        </w:rPr>
        <w:t>n line with more recent approaches to commissioning human services, t</w:t>
      </w:r>
      <w:r w:rsidR="00364CB5" w:rsidRPr="008625DC">
        <w:rPr>
          <w:rFonts w:cs="Arial"/>
        </w:rPr>
        <w:t xml:space="preserve">he goal for public sector commissioners should be balancing the need to give providers room to innovate and </w:t>
      </w:r>
      <w:r w:rsidR="0007021E" w:rsidRPr="008625DC">
        <w:rPr>
          <w:rFonts w:cs="Arial"/>
        </w:rPr>
        <w:t>respond to</w:t>
      </w:r>
      <w:r w:rsidR="00364CB5" w:rsidRPr="008625DC">
        <w:rPr>
          <w:rFonts w:cs="Arial"/>
        </w:rPr>
        <w:t xml:space="preserve"> consumer needs, while setting down a credible benchmarking system which allows the commissioner to replace an underperforming provider.</w:t>
      </w:r>
    </w:p>
    <w:p w14:paraId="5EB59B5E" w14:textId="77777777" w:rsidR="001559D4" w:rsidRPr="008625DC" w:rsidRDefault="001559D4" w:rsidP="001559D4">
      <w:pPr>
        <w:pStyle w:val="Heading3"/>
      </w:pPr>
      <w:bookmarkStart w:id="24055" w:name="_Toc393985240"/>
      <w:bookmarkStart w:id="24056" w:name="_Toc393985368"/>
      <w:bookmarkStart w:id="24057" w:name="_Toc393985743"/>
      <w:bookmarkStart w:id="24058" w:name="_Toc393985872"/>
      <w:bookmarkStart w:id="24059" w:name="_Toc393986145"/>
      <w:bookmarkStart w:id="24060" w:name="_Toc393986274"/>
      <w:bookmarkStart w:id="24061" w:name="_Toc393986548"/>
      <w:bookmarkStart w:id="24062" w:name="_Toc393988155"/>
      <w:bookmarkStart w:id="24063" w:name="_Toc393988284"/>
      <w:bookmarkStart w:id="24064" w:name="_Toc393988557"/>
      <w:bookmarkStart w:id="24065" w:name="_Toc393988686"/>
      <w:bookmarkStart w:id="24066" w:name="_Toc393986678"/>
      <w:bookmarkStart w:id="24067" w:name="_Toc393989569"/>
      <w:bookmarkStart w:id="24068" w:name="_Toc393989698"/>
      <w:bookmarkStart w:id="24069" w:name="_Toc393988958"/>
      <w:bookmarkStart w:id="24070" w:name="_Toc393989086"/>
      <w:bookmarkStart w:id="24071" w:name="_Toc393990962"/>
      <w:bookmarkStart w:id="24072" w:name="_Toc393991090"/>
      <w:bookmarkStart w:id="24073" w:name="_Toc393991189"/>
      <w:bookmarkStart w:id="24074" w:name="_Toc393991946"/>
      <w:bookmarkStart w:id="24075" w:name="_Toc393992074"/>
      <w:bookmarkStart w:id="24076" w:name="_Toc394047610"/>
      <w:bookmarkStart w:id="24077" w:name="_Toc394047738"/>
      <w:bookmarkStart w:id="24078" w:name="_Toc394047849"/>
      <w:bookmarkStart w:id="24079" w:name="_Toc394048277"/>
      <w:bookmarkStart w:id="24080" w:name="_Toc394048405"/>
      <w:bookmarkStart w:id="24081" w:name="_Toc394049886"/>
      <w:bookmarkStart w:id="24082" w:name="_Toc394050017"/>
      <w:bookmarkStart w:id="24083" w:name="_Toc394051286"/>
      <w:bookmarkStart w:id="24084" w:name="_Toc394051417"/>
      <w:bookmarkStart w:id="24085" w:name="_Toc394062275"/>
      <w:bookmarkStart w:id="24086" w:name="_Toc394062564"/>
      <w:bookmarkStart w:id="24087" w:name="_Toc394069150"/>
      <w:bookmarkStart w:id="24088" w:name="_Toc394069279"/>
      <w:bookmarkStart w:id="24089" w:name="_Toc394071068"/>
      <w:bookmarkStart w:id="24090" w:name="_Toc394071197"/>
      <w:bookmarkStart w:id="24091" w:name="_Toc394312777"/>
      <w:bookmarkStart w:id="24092" w:name="_Toc394330470"/>
      <w:bookmarkStart w:id="24093" w:name="_Toc394330753"/>
      <w:bookmarkStart w:id="24094" w:name="_Toc394331268"/>
      <w:bookmarkStart w:id="24095" w:name="_Toc394331401"/>
      <w:bookmarkStart w:id="24096" w:name="_Toc394330373"/>
      <w:bookmarkStart w:id="24097" w:name="_Toc394333344"/>
      <w:bookmarkStart w:id="24098" w:name="_Toc394333476"/>
      <w:bookmarkStart w:id="24099" w:name="_Toc394333757"/>
      <w:bookmarkStart w:id="24100" w:name="_Toc394333889"/>
      <w:bookmarkStart w:id="24101" w:name="_Toc394334170"/>
      <w:bookmarkStart w:id="24102" w:name="_Toc394334302"/>
      <w:bookmarkStart w:id="24103" w:name="_Toc394334996"/>
      <w:bookmarkStart w:id="24104" w:name="_Toc394335128"/>
      <w:bookmarkStart w:id="24105" w:name="_Toc394415183"/>
      <w:bookmarkStart w:id="24106" w:name="_Toc394415336"/>
      <w:bookmarkStart w:id="24107" w:name="_Toc394412488"/>
      <w:bookmarkStart w:id="24108" w:name="_Toc394412645"/>
      <w:bookmarkStart w:id="24109" w:name="_Toc394420781"/>
      <w:bookmarkStart w:id="24110" w:name="_Toc394420938"/>
      <w:bookmarkStart w:id="24111" w:name="_Toc394423624"/>
      <w:bookmarkStart w:id="24112" w:name="_Toc394423779"/>
      <w:bookmarkStart w:id="24113" w:name="_Toc394422668"/>
      <w:bookmarkStart w:id="24114" w:name="_Toc394422823"/>
      <w:bookmarkStart w:id="24115" w:name="_Toc394423139"/>
      <w:bookmarkStart w:id="24116" w:name="_Toc394423294"/>
      <w:bookmarkStart w:id="24117" w:name="_Toc394424289"/>
      <w:bookmarkStart w:id="24118" w:name="_Toc394424442"/>
      <w:bookmarkStart w:id="24119" w:name="_Toc394492122"/>
      <w:bookmarkStart w:id="24120" w:name="_Toc394492275"/>
      <w:bookmarkStart w:id="24121" w:name="_Toc394495266"/>
      <w:bookmarkStart w:id="24122" w:name="_Toc394495419"/>
      <w:bookmarkStart w:id="24123" w:name="_Toc394498081"/>
      <w:bookmarkStart w:id="24124" w:name="_Toc394498234"/>
      <w:bookmarkStart w:id="24125" w:name="_Toc394500871"/>
      <w:bookmarkStart w:id="24126" w:name="_Toc394501024"/>
      <w:bookmarkStart w:id="24127" w:name="_Toc394502268"/>
      <w:bookmarkStart w:id="24128" w:name="_Toc394502414"/>
      <w:bookmarkStart w:id="24129" w:name="_Toc394503168"/>
      <w:bookmarkStart w:id="24130" w:name="_Toc394503772"/>
      <w:bookmarkStart w:id="24131" w:name="_Toc394502712"/>
      <w:bookmarkStart w:id="24132" w:name="_Toc394502861"/>
      <w:bookmarkStart w:id="24133" w:name="_Toc394505919"/>
      <w:bookmarkStart w:id="24134" w:name="_Toc394506190"/>
      <w:bookmarkStart w:id="24135" w:name="_Toc394506378"/>
      <w:bookmarkStart w:id="24136" w:name="_Toc394506528"/>
      <w:bookmarkStart w:id="24137" w:name="_Toc394506932"/>
      <w:bookmarkStart w:id="24138" w:name="_Toc394507082"/>
      <w:bookmarkStart w:id="24139" w:name="_Toc394561005"/>
      <w:bookmarkStart w:id="24140" w:name="_Toc394561159"/>
      <w:bookmarkStart w:id="24141" w:name="_Toc394561466"/>
      <w:bookmarkStart w:id="24142" w:name="_Toc394561992"/>
      <w:bookmarkStart w:id="24143" w:name="_Toc394582954"/>
      <w:bookmarkStart w:id="24144" w:name="_Toc394585625"/>
      <w:bookmarkStart w:id="24145" w:name="_Toc394586091"/>
      <w:bookmarkStart w:id="24146" w:name="_Toc394588023"/>
      <w:bookmarkStart w:id="24147" w:name="_Toc394588858"/>
      <w:bookmarkStart w:id="24148" w:name="_Toc394588983"/>
      <w:bookmarkStart w:id="24149" w:name="_Toc394590399"/>
      <w:bookmarkStart w:id="24150" w:name="_Toc394590592"/>
      <w:bookmarkStart w:id="24151" w:name="_Toc394654494"/>
      <w:bookmarkStart w:id="24152" w:name="_Toc394654652"/>
      <w:bookmarkStart w:id="24153" w:name="_Toc394656194"/>
      <w:bookmarkStart w:id="24154" w:name="_Toc394656351"/>
      <w:bookmarkStart w:id="24155" w:name="_Toc394659331"/>
      <w:bookmarkStart w:id="24156" w:name="_Toc394659489"/>
      <w:bookmarkStart w:id="24157" w:name="_Toc394663344"/>
      <w:bookmarkStart w:id="24158" w:name="_Toc394663500"/>
      <w:bookmarkStart w:id="24159" w:name="_Toc394667138"/>
      <w:bookmarkStart w:id="24160" w:name="_Toc394667294"/>
      <w:bookmarkStart w:id="24161" w:name="_Toc394671617"/>
      <w:bookmarkStart w:id="24162" w:name="_Toc394671777"/>
      <w:bookmarkStart w:id="24163" w:name="_Toc394674619"/>
      <w:bookmarkStart w:id="24164" w:name="_Toc394674782"/>
      <w:bookmarkStart w:id="24165" w:name="_Toc394674896"/>
      <w:bookmarkStart w:id="24166" w:name="_Toc394675062"/>
      <w:bookmarkStart w:id="24167" w:name="_Toc394676007"/>
      <w:bookmarkStart w:id="24168" w:name="_Toc394676169"/>
      <w:bookmarkStart w:id="24169" w:name="_Toc394675695"/>
      <w:bookmarkStart w:id="24170" w:name="_Toc394675858"/>
      <w:bookmarkStart w:id="24171" w:name="_Toc394918258"/>
      <w:bookmarkStart w:id="24172" w:name="_Toc394918772"/>
      <w:bookmarkStart w:id="24173" w:name="_Toc394930744"/>
      <w:bookmarkStart w:id="24174" w:name="_Toc394933657"/>
      <w:bookmarkStart w:id="24175" w:name="_Toc394938103"/>
      <w:bookmarkStart w:id="24176" w:name="_Toc394938313"/>
      <w:bookmarkStart w:id="24177" w:name="_Toc394938605"/>
      <w:bookmarkStart w:id="24178" w:name="_Toc394937593"/>
      <w:bookmarkStart w:id="24179" w:name="_Toc394937887"/>
      <w:bookmarkStart w:id="24180" w:name="_Toc394941015"/>
      <w:bookmarkStart w:id="24181" w:name="_Toc394941224"/>
      <w:bookmarkStart w:id="24182" w:name="_Toc394941516"/>
      <w:bookmarkStart w:id="24183" w:name="_Toc394941631"/>
      <w:bookmarkStart w:id="24184" w:name="_Toc394941840"/>
      <w:bookmarkStart w:id="24185" w:name="_Toc394942132"/>
      <w:bookmarkStart w:id="24186" w:name="_Toc394939852"/>
      <w:bookmarkStart w:id="24187" w:name="_Toc394940062"/>
      <w:bookmarkStart w:id="24188" w:name="_Toc394940354"/>
      <w:bookmarkStart w:id="24189" w:name="_Toc394939464"/>
      <w:bookmarkStart w:id="24190" w:name="_Toc394939672"/>
      <w:bookmarkStart w:id="24191" w:name="_Toc394940568"/>
      <w:bookmarkStart w:id="24192" w:name="_Toc394993569"/>
      <w:bookmarkStart w:id="24193" w:name="_Toc394995450"/>
      <w:bookmarkStart w:id="24194" w:name="_Toc394995764"/>
      <w:bookmarkStart w:id="24195" w:name="_Toc394996050"/>
      <w:bookmarkStart w:id="24196" w:name="_Toc394997776"/>
      <w:bookmarkStart w:id="24197" w:name="_Toc394998009"/>
      <w:bookmarkStart w:id="24198" w:name="_Toc394998291"/>
      <w:bookmarkStart w:id="24199" w:name="_Toc394998523"/>
      <w:bookmarkStart w:id="24200" w:name="_Toc395001786"/>
      <w:bookmarkStart w:id="24201" w:name="_Toc395002022"/>
      <w:bookmarkStart w:id="24202" w:name="_Toc395001502"/>
      <w:bookmarkStart w:id="24203" w:name="_Toc395003376"/>
      <w:bookmarkStart w:id="24204" w:name="_Toc395005164"/>
      <w:bookmarkStart w:id="24205" w:name="_Toc395005380"/>
      <w:bookmarkStart w:id="24206" w:name="_Toc395005617"/>
      <w:bookmarkStart w:id="24207" w:name="_Toc395008957"/>
      <w:bookmarkStart w:id="24208" w:name="_Toc395009611"/>
      <w:bookmarkStart w:id="24209" w:name="_Toc395011743"/>
      <w:bookmarkStart w:id="24210" w:name="_Toc395010143"/>
      <w:bookmarkStart w:id="24211" w:name="_Toc395010350"/>
      <w:bookmarkStart w:id="24212" w:name="_Toc395009985"/>
      <w:bookmarkStart w:id="24213" w:name="_Toc395011511"/>
      <w:bookmarkStart w:id="24214" w:name="_Toc395012329"/>
      <w:bookmarkStart w:id="24215" w:name="_Toc395012534"/>
      <w:bookmarkStart w:id="24216" w:name="_Toc395012919"/>
      <w:bookmarkStart w:id="24217" w:name="_Toc395010734"/>
      <w:bookmarkStart w:id="24218" w:name="_Toc395010939"/>
      <w:bookmarkStart w:id="24219" w:name="_Toc395012207"/>
      <w:bookmarkStart w:id="24220" w:name="_Toc395012883"/>
      <w:bookmarkStart w:id="24221" w:name="_Toc395011999"/>
      <w:bookmarkStart w:id="24222" w:name="_Toc395014608"/>
      <w:bookmarkStart w:id="24223" w:name="_Toc395013199"/>
      <w:bookmarkStart w:id="24224" w:name="_Toc395084690"/>
      <w:bookmarkStart w:id="24225" w:name="_Toc395084991"/>
      <w:bookmarkStart w:id="24226" w:name="_Toc395090236"/>
      <w:bookmarkStart w:id="24227" w:name="_Toc395090454"/>
      <w:bookmarkStart w:id="24228" w:name="_Toc395090715"/>
      <w:bookmarkStart w:id="24229" w:name="_Toc395092604"/>
      <w:bookmarkStart w:id="24230" w:name="_Toc395092816"/>
      <w:bookmarkStart w:id="24231" w:name="_Toc395093038"/>
      <w:bookmarkStart w:id="24232" w:name="_Toc395093298"/>
      <w:bookmarkStart w:id="24233" w:name="_Toc395097727"/>
      <w:bookmarkStart w:id="24234" w:name="_Toc395097950"/>
      <w:bookmarkStart w:id="24235" w:name="_Toc395098208"/>
      <w:bookmarkStart w:id="24236" w:name="_Toc395105393"/>
      <w:bookmarkStart w:id="24237" w:name="_Toc395106135"/>
      <w:bookmarkStart w:id="24238" w:name="_Toc395106996"/>
      <w:bookmarkStart w:id="24239" w:name="_Toc395109868"/>
      <w:bookmarkStart w:id="24240" w:name="_Toc395109654"/>
      <w:bookmarkStart w:id="24241" w:name="_Toc395111871"/>
      <w:bookmarkStart w:id="24242" w:name="_Toc395112105"/>
      <w:bookmarkStart w:id="24243" w:name="_Toc395112359"/>
      <w:bookmarkStart w:id="24244" w:name="_Toc395106791"/>
      <w:bookmarkStart w:id="24245" w:name="_Toc395107245"/>
      <w:bookmarkStart w:id="24246" w:name="_Toc395107504"/>
      <w:bookmarkStart w:id="24247" w:name="_Toc395109459"/>
      <w:bookmarkStart w:id="24248" w:name="_Toc395108551"/>
      <w:bookmarkStart w:id="24249" w:name="_Toc395108808"/>
      <w:bookmarkStart w:id="24250" w:name="_Toc395113791"/>
      <w:bookmarkStart w:id="24251" w:name="_Toc395114048"/>
      <w:bookmarkStart w:id="24252" w:name="_Toc395114311"/>
      <w:bookmarkStart w:id="24253" w:name="_Toc395116527"/>
      <w:bookmarkStart w:id="24254" w:name="_Toc395116785"/>
      <w:bookmarkStart w:id="24255" w:name="_Toc395117049"/>
      <w:bookmarkStart w:id="24256" w:name="_Toc395112464"/>
      <w:bookmarkStart w:id="24257" w:name="_Toc395112722"/>
      <w:bookmarkStart w:id="24258" w:name="_Toc395113167"/>
      <w:bookmarkStart w:id="24259" w:name="_Toc395115003"/>
      <w:bookmarkStart w:id="24260" w:name="_Toc395115262"/>
      <w:bookmarkStart w:id="24261" w:name="_Toc395115526"/>
      <w:bookmarkStart w:id="24262" w:name="_Toc395118158"/>
      <w:bookmarkStart w:id="24263" w:name="_Toc395118414"/>
      <w:bookmarkStart w:id="24264" w:name="_Toc395118676"/>
      <w:bookmarkStart w:id="24265" w:name="_Toc395178368"/>
      <w:bookmarkStart w:id="24266" w:name="_Toc395178700"/>
      <w:bookmarkStart w:id="24267" w:name="_Toc395624608"/>
      <w:bookmarkStart w:id="24268" w:name="_Toc395624857"/>
      <w:bookmarkStart w:id="24269" w:name="_Toc395789711"/>
      <w:bookmarkStart w:id="24270" w:name="_Toc395789960"/>
      <w:bookmarkStart w:id="24271" w:name="_Toc395800717"/>
      <w:bookmarkStart w:id="24272" w:name="_Toc396138780"/>
      <w:bookmarkStart w:id="24273" w:name="_Toc396144041"/>
      <w:bookmarkStart w:id="24274" w:name="_Toc396145550"/>
      <w:bookmarkStart w:id="24275" w:name="_Toc396145694"/>
      <w:bookmarkStart w:id="24276" w:name="_Toc396145976"/>
      <w:bookmarkStart w:id="24277" w:name="_Toc396147516"/>
      <w:bookmarkStart w:id="24278" w:name="_Toc396147802"/>
      <w:bookmarkStart w:id="24279" w:name="_Toc396149058"/>
      <w:bookmarkStart w:id="24280" w:name="_Toc396148772"/>
      <w:bookmarkStart w:id="24281" w:name="_Toc396149553"/>
      <w:bookmarkStart w:id="24282" w:name="_Toc396149198"/>
      <w:bookmarkStart w:id="24283" w:name="_Toc396149484"/>
      <w:bookmarkStart w:id="24284" w:name="_Toc396149161"/>
      <w:bookmarkStart w:id="24285" w:name="_Toc396149906"/>
      <w:bookmarkStart w:id="24286" w:name="_Toc396149656"/>
      <w:bookmarkStart w:id="24287" w:name="_Toc396150497"/>
      <w:bookmarkStart w:id="24288" w:name="_Toc396151386"/>
      <w:bookmarkStart w:id="24289" w:name="_Toc396151680"/>
      <w:bookmarkStart w:id="24290" w:name="_Toc396201607"/>
      <w:bookmarkStart w:id="24291" w:name="_Toc396202397"/>
      <w:bookmarkStart w:id="24292" w:name="_Toc396202692"/>
      <w:bookmarkStart w:id="24293" w:name="_Toc396203309"/>
      <w:bookmarkStart w:id="24294" w:name="_Toc396206605"/>
      <w:bookmarkStart w:id="24295" w:name="_Toc396206899"/>
      <w:bookmarkStart w:id="24296" w:name="_Toc396209433"/>
      <w:bookmarkStart w:id="24297" w:name="_Toc396209727"/>
      <w:bookmarkStart w:id="24298" w:name="_Toc396211857"/>
      <w:bookmarkStart w:id="24299" w:name="_Toc396212151"/>
      <w:bookmarkStart w:id="24300" w:name="_Toc396213201"/>
      <w:bookmarkStart w:id="24301" w:name="_Toc396213493"/>
      <w:bookmarkStart w:id="24302" w:name="_Toc396214044"/>
      <w:bookmarkStart w:id="24303" w:name="_Toc396214479"/>
      <w:bookmarkStart w:id="24304" w:name="_Toc396214769"/>
      <w:bookmarkStart w:id="24305" w:name="_Toc396220329"/>
      <w:bookmarkStart w:id="24306" w:name="_Toc396226591"/>
      <w:bookmarkStart w:id="24307" w:name="_Toc396226880"/>
      <w:bookmarkStart w:id="24308" w:name="_Toc396228791"/>
      <w:bookmarkStart w:id="24309" w:name="_Toc396229086"/>
      <w:bookmarkStart w:id="24310" w:name="_Toc396230433"/>
      <w:bookmarkStart w:id="24311" w:name="_Toc396230728"/>
      <w:bookmarkStart w:id="24312" w:name="_Toc396231870"/>
      <w:bookmarkStart w:id="24313" w:name="_Toc396233213"/>
      <w:bookmarkStart w:id="24314" w:name="_Toc396233510"/>
      <w:bookmarkStart w:id="24315" w:name="_Toc396234033"/>
      <w:bookmarkStart w:id="24316" w:name="_Toc396234330"/>
      <w:bookmarkStart w:id="24317" w:name="_Toc396234443"/>
      <w:bookmarkStart w:id="24318" w:name="_Toc396236177"/>
      <w:bookmarkStart w:id="24319" w:name="_Toc396235955"/>
      <w:bookmarkStart w:id="24320" w:name="_Toc396236565"/>
      <w:bookmarkStart w:id="24321" w:name="_Toc396237084"/>
      <w:bookmarkStart w:id="24322" w:name="_Toc396397427"/>
      <w:bookmarkStart w:id="24323" w:name="_Toc396304608"/>
      <w:bookmarkStart w:id="24324" w:name="_Toc396586143"/>
      <w:bookmarkStart w:id="24325" w:name="_Toc396815164"/>
      <w:bookmarkStart w:id="24326" w:name="_Toc396821113"/>
      <w:bookmarkStart w:id="24327" w:name="_Toc396821721"/>
      <w:bookmarkStart w:id="24328" w:name="_Toc396827571"/>
      <w:bookmarkStart w:id="24329" w:name="_Toc396828542"/>
      <w:bookmarkStart w:id="24330" w:name="_Toc396828652"/>
      <w:bookmarkStart w:id="24331" w:name="_Toc396838041"/>
      <w:bookmarkStart w:id="24332" w:name="_Toc396838439"/>
      <w:bookmarkStart w:id="24333" w:name="_Toc396904762"/>
      <w:bookmarkStart w:id="24334" w:name="_Toc396907596"/>
      <w:bookmarkStart w:id="24335" w:name="_Toc396912515"/>
      <w:bookmarkStart w:id="24336" w:name="_Toc396914495"/>
      <w:bookmarkStart w:id="24337" w:name="_Toc396915379"/>
      <w:bookmarkStart w:id="24338" w:name="_Toc396915773"/>
      <w:bookmarkStart w:id="24339" w:name="_Toc396921084"/>
      <w:bookmarkStart w:id="24340" w:name="_Toc396924424"/>
      <w:bookmarkStart w:id="24341" w:name="_Toc396925118"/>
      <w:bookmarkStart w:id="24342" w:name="_Toc396992238"/>
      <w:bookmarkStart w:id="24343" w:name="_Toc396992817"/>
      <w:bookmarkStart w:id="24344" w:name="_Toc396994481"/>
      <w:bookmarkStart w:id="24345" w:name="_Toc397002251"/>
      <w:bookmarkStart w:id="24346" w:name="_Toc397003170"/>
      <w:bookmarkStart w:id="24347" w:name="_Toc397008728"/>
      <w:bookmarkStart w:id="24348" w:name="_Toc397008946"/>
      <w:bookmarkStart w:id="24349" w:name="_Toc397011618"/>
      <w:bookmarkStart w:id="24350" w:name="_Toc397012680"/>
      <w:bookmarkStart w:id="24351" w:name="_Toc397015022"/>
      <w:bookmarkStart w:id="24352" w:name="_Toc397015509"/>
      <w:bookmarkStart w:id="24353" w:name="_Toc397070579"/>
      <w:bookmarkStart w:id="24354" w:name="_Toc397413329"/>
      <w:bookmarkStart w:id="24355" w:name="_Toc397413476"/>
      <w:bookmarkStart w:id="24356" w:name="_Toc397428050"/>
      <w:bookmarkStart w:id="24357" w:name="_Toc397439438"/>
      <w:bookmarkStart w:id="24358" w:name="_Toc397439608"/>
      <w:bookmarkStart w:id="24359" w:name="_Toc397439864"/>
      <w:bookmarkStart w:id="24360" w:name="_Toc397440166"/>
      <w:bookmarkStart w:id="24361" w:name="_Toc397441795"/>
      <w:bookmarkStart w:id="24362" w:name="_Toc397517497"/>
      <w:bookmarkStart w:id="24363" w:name="_Toc397522762"/>
      <w:bookmarkStart w:id="24364" w:name="_Toc397526180"/>
      <w:bookmarkStart w:id="24365" w:name="_Toc397528495"/>
      <w:bookmarkStart w:id="24366" w:name="_Toc397528970"/>
      <w:bookmarkStart w:id="24367" w:name="_Toc397601967"/>
      <w:bookmarkStart w:id="24368" w:name="_Toc397602702"/>
      <w:bookmarkStart w:id="24369" w:name="_Toc397605835"/>
      <w:bookmarkStart w:id="24370" w:name="_Toc397614532"/>
      <w:bookmarkStart w:id="24371" w:name="_Toc397614975"/>
      <w:bookmarkStart w:id="24372" w:name="_Toc397616418"/>
      <w:bookmarkStart w:id="24373" w:name="_Toc397616812"/>
      <w:bookmarkStart w:id="24374" w:name="_Toc397688110"/>
      <w:bookmarkStart w:id="24375" w:name="_Toc397689326"/>
      <w:bookmarkStart w:id="24376" w:name="_Toc397694606"/>
      <w:bookmarkStart w:id="24377" w:name="_Toc397696447"/>
      <w:bookmarkStart w:id="24378" w:name="_Toc397697181"/>
      <w:bookmarkStart w:id="24379" w:name="_Toc397698468"/>
      <w:bookmarkStart w:id="24380" w:name="_Toc397699834"/>
      <w:bookmarkStart w:id="24381" w:name="_Toc397700288"/>
      <w:bookmarkStart w:id="24382" w:name="_Toc397936680"/>
      <w:bookmarkStart w:id="24383" w:name="_Toc397936800"/>
      <w:bookmarkStart w:id="24384" w:name="_Toc397945956"/>
      <w:bookmarkStart w:id="24385" w:name="_Toc397946982"/>
      <w:bookmarkStart w:id="24386" w:name="_Toc397948101"/>
      <w:bookmarkStart w:id="24387" w:name="_Toc397958507"/>
      <w:bookmarkStart w:id="24388" w:name="_Toc397958749"/>
      <w:bookmarkStart w:id="24389" w:name="_Toc397959164"/>
      <w:bookmarkStart w:id="24390" w:name="_Toc397963017"/>
      <w:bookmarkStart w:id="24391" w:name="_Toc397963383"/>
      <w:bookmarkStart w:id="24392" w:name="_Toc397965460"/>
      <w:bookmarkStart w:id="24393" w:name="_Toc398197398"/>
      <w:bookmarkStart w:id="24394" w:name="_Toc398199901"/>
      <w:bookmarkStart w:id="24395" w:name="_Toc398201615"/>
      <w:bookmarkStart w:id="24396" w:name="_Toc398207220"/>
      <w:bookmarkStart w:id="24397" w:name="_Toc398209924"/>
      <w:bookmarkStart w:id="24398" w:name="_Toc398210493"/>
      <w:bookmarkStart w:id="24399" w:name="_Toc398211007"/>
      <w:bookmarkStart w:id="24400" w:name="_Toc398219815"/>
      <w:bookmarkStart w:id="24401" w:name="_Toc398220190"/>
      <w:bookmarkStart w:id="24402" w:name="_Toc398220577"/>
      <w:bookmarkStart w:id="24403" w:name="_Toc398221655"/>
      <w:bookmarkStart w:id="24404" w:name="_Toc398222341"/>
      <w:bookmarkStart w:id="24405" w:name="_Toc398222653"/>
      <w:bookmarkStart w:id="24406" w:name="_Toc398223070"/>
      <w:bookmarkStart w:id="24407" w:name="_Toc398223449"/>
      <w:bookmarkStart w:id="24408" w:name="_Toc398223576"/>
      <w:bookmarkStart w:id="24409" w:name="_Toc398224384"/>
      <w:bookmarkStart w:id="24410" w:name="_Toc398225721"/>
      <w:bookmarkStart w:id="24411" w:name="_Toc398225846"/>
      <w:bookmarkStart w:id="24412" w:name="_Toc398281333"/>
      <w:bookmarkStart w:id="24413" w:name="_Toc398282192"/>
      <w:bookmarkStart w:id="24414" w:name="_Toc398284862"/>
      <w:bookmarkStart w:id="24415" w:name="_Toc398287331"/>
      <w:bookmarkStart w:id="24416" w:name="_Toc398289214"/>
      <w:bookmarkStart w:id="24417" w:name="_Toc398297211"/>
      <w:bookmarkStart w:id="24418" w:name="_Toc398298685"/>
      <w:bookmarkStart w:id="24419" w:name="_Toc398300386"/>
      <w:bookmarkStart w:id="24420" w:name="_Toc398301283"/>
      <w:bookmarkStart w:id="24421" w:name="_Toc398302468"/>
      <w:bookmarkStart w:id="24422" w:name="_Toc398302631"/>
      <w:bookmarkStart w:id="24423" w:name="_Toc398549145"/>
      <w:bookmarkStart w:id="24424" w:name="_Toc398549395"/>
      <w:bookmarkStart w:id="24425" w:name="_Toc398555814"/>
      <w:bookmarkStart w:id="24426" w:name="_Toc398559018"/>
      <w:bookmarkStart w:id="24427" w:name="_Toc398563504"/>
      <w:bookmarkStart w:id="24428" w:name="_Toc398563637"/>
      <w:bookmarkStart w:id="24429" w:name="_Toc398564036"/>
      <w:bookmarkStart w:id="24430" w:name="_Toc395802840"/>
      <w:bookmarkStart w:id="24431" w:name="_Toc395867631"/>
      <w:bookmarkStart w:id="24432" w:name="_Toc395868540"/>
      <w:bookmarkStart w:id="24433" w:name="_Toc395868763"/>
      <w:bookmarkStart w:id="24434" w:name="_Toc395879142"/>
      <w:bookmarkStart w:id="24435" w:name="_Toc395882045"/>
      <w:bookmarkStart w:id="24436" w:name="_Toc395882266"/>
      <w:bookmarkStart w:id="24437" w:name="_Toc395882376"/>
      <w:bookmarkStart w:id="24438" w:name="_Toc395882597"/>
      <w:bookmarkStart w:id="24439" w:name="_Toc395880540"/>
      <w:bookmarkStart w:id="24440" w:name="_Toc395880871"/>
      <w:bookmarkStart w:id="24441" w:name="_Toc395881429"/>
      <w:bookmarkStart w:id="24442" w:name="_Toc395881650"/>
      <w:bookmarkStart w:id="24443" w:name="_Toc395883814"/>
      <w:bookmarkStart w:id="24444" w:name="_Toc395884035"/>
      <w:bookmarkStart w:id="24445" w:name="_Toc395880769"/>
      <w:bookmarkStart w:id="24446" w:name="_Toc395884476"/>
      <w:bookmarkStart w:id="24447" w:name="_Toc395884697"/>
      <w:bookmarkStart w:id="24448" w:name="_Toc395883185"/>
      <w:bookmarkStart w:id="24449" w:name="_Toc395883406"/>
      <w:bookmarkStart w:id="24450" w:name="_Toc395883515"/>
      <w:bookmarkStart w:id="24451" w:name="_Toc395883736"/>
      <w:bookmarkStart w:id="24452" w:name="_Toc395884817"/>
      <w:bookmarkStart w:id="24453" w:name="_Toc396123845"/>
      <w:bookmarkStart w:id="24454" w:name="_Toc396130748"/>
      <w:bookmarkStart w:id="24455" w:name="_Toc396136326"/>
      <w:bookmarkStart w:id="24456" w:name="Ch11"/>
      <w:r w:rsidRPr="008625DC">
        <w:t>Public Private Partnerships (PPPs)</w:t>
      </w:r>
    </w:p>
    <w:p w14:paraId="78164667" w14:textId="77777777" w:rsidR="001559D4" w:rsidRPr="008625DC" w:rsidRDefault="001559D4" w:rsidP="001559D4">
      <w:r w:rsidRPr="008625DC">
        <w:t>A PPP is a contract between a government and a private party (or several private parties) for the provision of a service or delivery of a major project. PPPs may be used where there is a need for a long</w:t>
      </w:r>
      <w:r w:rsidRPr="008625DC">
        <w:noBreakHyphen/>
        <w:t>term partnership between the government and the service provider, and where there is a significant level of investment on the part of the private party. PPPs are typically more complicated than conventional procurement contracts.</w:t>
      </w:r>
    </w:p>
    <w:p w14:paraId="0997D4C8" w14:textId="77777777" w:rsidR="001559D4" w:rsidRPr="008625DC" w:rsidRDefault="001559D4" w:rsidP="003762D3">
      <w:pPr>
        <w:spacing w:after="120"/>
      </w:pPr>
      <w:r w:rsidRPr="008625DC">
        <w:t>The WA Economic Regulation Authority Inquiry into Microeconomic Reform in Western Australia noted the benefits of PPPs including:</w:t>
      </w:r>
    </w:p>
    <w:p w14:paraId="20CABDC5" w14:textId="45C7F086" w:rsidR="001559D4" w:rsidRPr="008625DC" w:rsidRDefault="003762D3" w:rsidP="001559D4">
      <w:pPr>
        <w:pStyle w:val="Quotes"/>
      </w:pPr>
      <w:r w:rsidRPr="008625DC">
        <w:t>[</w:t>
      </w:r>
      <w:r w:rsidR="004E04F2">
        <w:t>T</w:t>
      </w:r>
      <w:r w:rsidRPr="008625DC">
        <w:t>]</w:t>
      </w:r>
      <w:r w:rsidR="001559D4" w:rsidRPr="008625DC">
        <w:t>hey represent an attractive mechanism to introduce incentives for a greater level of private sector innovation and contestability into government services and associated infrastructure delivery.</w:t>
      </w:r>
      <w:r w:rsidR="001559D4" w:rsidRPr="008625DC">
        <w:rPr>
          <w:rStyle w:val="FootnoteReference"/>
        </w:rPr>
        <w:footnoteReference w:id="204"/>
      </w:r>
    </w:p>
    <w:p w14:paraId="1CDF027D" w14:textId="77777777" w:rsidR="001559D4" w:rsidRPr="008625DC" w:rsidRDefault="001559D4" w:rsidP="004E04F2">
      <w:pPr>
        <w:pStyle w:val="Quotes"/>
        <w:spacing w:after="100"/>
        <w:ind w:left="0"/>
        <w:rPr>
          <w:color w:val="000000"/>
        </w:rPr>
      </w:pPr>
      <w:r w:rsidRPr="008625DC">
        <w:rPr>
          <w:color w:val="000000"/>
        </w:rPr>
        <w:t>While traditionally used to deliver large infrastructure projects, the International Finance Corporation, a member of the World Bank Group, recognises the increasing use of PPPs in human services markets, particularly the health sector. It notes that health sector PPPs can take a range of forms including:</w:t>
      </w:r>
    </w:p>
    <w:p w14:paraId="326F39AC" w14:textId="06794C83" w:rsidR="001559D4" w:rsidRPr="008625DC" w:rsidRDefault="00596876" w:rsidP="004E04F2">
      <w:pPr>
        <w:numPr>
          <w:ilvl w:val="0"/>
          <w:numId w:val="30"/>
        </w:numPr>
        <w:tabs>
          <w:tab w:val="num" w:pos="993"/>
        </w:tabs>
        <w:spacing w:before="100" w:after="100"/>
        <w:ind w:left="993" w:hanging="426"/>
        <w:rPr>
          <w:color w:val="595959" w:themeColor="text1" w:themeTint="A6"/>
        </w:rPr>
      </w:pPr>
      <w:r w:rsidRPr="008625DC">
        <w:rPr>
          <w:color w:val="595959" w:themeColor="text1" w:themeTint="A6"/>
        </w:rPr>
        <w:t>o</w:t>
      </w:r>
      <w:r w:rsidR="001559D4" w:rsidRPr="008625DC">
        <w:rPr>
          <w:color w:val="595959" w:themeColor="text1" w:themeTint="A6"/>
        </w:rPr>
        <w:t>utsourcing</w:t>
      </w:r>
      <w:r w:rsidR="001559D4" w:rsidRPr="008625DC">
        <w:rPr>
          <w:rFonts w:eastAsiaTheme="minorEastAsia"/>
          <w:color w:val="595959" w:themeColor="text1" w:themeTint="A6"/>
        </w:rPr>
        <w:t xml:space="preserve"> non</w:t>
      </w:r>
      <w:r w:rsidR="001559D4" w:rsidRPr="008625DC">
        <w:rPr>
          <w:rFonts w:eastAsiaTheme="minorEastAsia"/>
          <w:color w:val="595959" w:themeColor="text1" w:themeTint="A6"/>
        </w:rPr>
        <w:noBreakHyphen/>
        <w:t>clinical support services</w:t>
      </w:r>
      <w:r w:rsidRPr="008625DC">
        <w:rPr>
          <w:color w:val="595959" w:themeColor="text1" w:themeTint="A6"/>
        </w:rPr>
        <w:t>;</w:t>
      </w:r>
    </w:p>
    <w:p w14:paraId="7004412A" w14:textId="19FB5CE2" w:rsidR="001559D4" w:rsidRPr="008625DC" w:rsidRDefault="00596876" w:rsidP="004E04F2">
      <w:pPr>
        <w:numPr>
          <w:ilvl w:val="0"/>
          <w:numId w:val="30"/>
        </w:numPr>
        <w:tabs>
          <w:tab w:val="num" w:pos="993"/>
        </w:tabs>
        <w:spacing w:before="100" w:after="100"/>
        <w:ind w:left="993" w:hanging="426"/>
        <w:rPr>
          <w:color w:val="595959" w:themeColor="text1" w:themeTint="A6"/>
        </w:rPr>
      </w:pPr>
      <w:r w:rsidRPr="008625DC">
        <w:rPr>
          <w:color w:val="595959" w:themeColor="text1" w:themeTint="A6"/>
        </w:rPr>
        <w:t>o</w:t>
      </w:r>
      <w:r w:rsidR="001559D4" w:rsidRPr="008625DC">
        <w:rPr>
          <w:color w:val="595959" w:themeColor="text1" w:themeTint="A6"/>
        </w:rPr>
        <w:t>utsourcing</w:t>
      </w:r>
      <w:r w:rsidR="001559D4" w:rsidRPr="008625DC">
        <w:rPr>
          <w:rFonts w:eastAsiaTheme="minorEastAsia"/>
          <w:color w:val="595959" w:themeColor="text1" w:themeTint="A6"/>
        </w:rPr>
        <w:t xml:space="preserve"> clinical support services</w:t>
      </w:r>
      <w:r w:rsidRPr="008625DC">
        <w:rPr>
          <w:color w:val="595959" w:themeColor="text1" w:themeTint="A6"/>
        </w:rPr>
        <w:t>;</w:t>
      </w:r>
    </w:p>
    <w:p w14:paraId="6E44E59C" w14:textId="04140ED6" w:rsidR="001559D4" w:rsidRPr="008625DC" w:rsidRDefault="00596876" w:rsidP="004E04F2">
      <w:pPr>
        <w:numPr>
          <w:ilvl w:val="0"/>
          <w:numId w:val="30"/>
        </w:numPr>
        <w:tabs>
          <w:tab w:val="num" w:pos="993"/>
        </w:tabs>
        <w:spacing w:before="100" w:after="100"/>
        <w:ind w:left="993" w:hanging="426"/>
        <w:rPr>
          <w:color w:val="595959" w:themeColor="text1" w:themeTint="A6"/>
        </w:rPr>
      </w:pPr>
      <w:r w:rsidRPr="008625DC">
        <w:rPr>
          <w:color w:val="595959" w:themeColor="text1" w:themeTint="A6"/>
        </w:rPr>
        <w:t>o</w:t>
      </w:r>
      <w:r w:rsidR="001559D4" w:rsidRPr="008625DC">
        <w:rPr>
          <w:color w:val="595959" w:themeColor="text1" w:themeTint="A6"/>
        </w:rPr>
        <w:t>utsourcing</w:t>
      </w:r>
      <w:r w:rsidR="001559D4" w:rsidRPr="008625DC">
        <w:rPr>
          <w:rFonts w:eastAsiaTheme="minorEastAsia"/>
          <w:color w:val="595959" w:themeColor="text1" w:themeTint="A6"/>
        </w:rPr>
        <w:t xml:space="preserve"> clinical services</w:t>
      </w:r>
      <w:r w:rsidRPr="008625DC">
        <w:rPr>
          <w:color w:val="595959" w:themeColor="text1" w:themeTint="A6"/>
        </w:rPr>
        <w:t>;</w:t>
      </w:r>
    </w:p>
    <w:p w14:paraId="64298D87" w14:textId="120DD7A4" w:rsidR="001559D4" w:rsidRPr="008625DC" w:rsidRDefault="00596876" w:rsidP="004E04F2">
      <w:pPr>
        <w:numPr>
          <w:ilvl w:val="0"/>
          <w:numId w:val="30"/>
        </w:numPr>
        <w:tabs>
          <w:tab w:val="num" w:pos="993"/>
        </w:tabs>
        <w:spacing w:before="100" w:after="100"/>
        <w:ind w:left="993" w:hanging="426"/>
        <w:rPr>
          <w:color w:val="595959" w:themeColor="text1" w:themeTint="A6"/>
        </w:rPr>
      </w:pPr>
      <w:r w:rsidRPr="008625DC">
        <w:rPr>
          <w:color w:val="595959" w:themeColor="text1" w:themeTint="A6"/>
        </w:rPr>
        <w:t>p</w:t>
      </w:r>
      <w:r w:rsidR="001559D4" w:rsidRPr="008625DC">
        <w:rPr>
          <w:color w:val="595959" w:themeColor="text1" w:themeTint="A6"/>
        </w:rPr>
        <w:t>rivate</w:t>
      </w:r>
      <w:r w:rsidR="001559D4" w:rsidRPr="008625DC">
        <w:rPr>
          <w:rFonts w:eastAsiaTheme="minorEastAsia"/>
          <w:color w:val="595959" w:themeColor="text1" w:themeTint="A6"/>
        </w:rPr>
        <w:t xml:space="preserve"> management of a public hospital</w:t>
      </w:r>
      <w:r w:rsidRPr="008625DC">
        <w:rPr>
          <w:color w:val="595959" w:themeColor="text1" w:themeTint="A6"/>
        </w:rPr>
        <w:t>; and</w:t>
      </w:r>
    </w:p>
    <w:p w14:paraId="292757A0" w14:textId="68836552" w:rsidR="001559D4" w:rsidRPr="008625DC" w:rsidRDefault="00596876" w:rsidP="00CD4B2B">
      <w:pPr>
        <w:numPr>
          <w:ilvl w:val="0"/>
          <w:numId w:val="30"/>
        </w:numPr>
        <w:tabs>
          <w:tab w:val="num" w:pos="993"/>
        </w:tabs>
        <w:ind w:left="993" w:hanging="426"/>
        <w:rPr>
          <w:color w:val="595959" w:themeColor="text1" w:themeTint="A6"/>
        </w:rPr>
      </w:pPr>
      <w:proofErr w:type="gramStart"/>
      <w:r w:rsidRPr="008625DC">
        <w:rPr>
          <w:color w:val="595959" w:themeColor="text1" w:themeTint="A6"/>
        </w:rPr>
        <w:t>p</w:t>
      </w:r>
      <w:r w:rsidR="001559D4" w:rsidRPr="008625DC">
        <w:rPr>
          <w:color w:val="595959" w:themeColor="text1" w:themeTint="A6"/>
        </w:rPr>
        <w:t>rivate</w:t>
      </w:r>
      <w:proofErr w:type="gramEnd"/>
      <w:r w:rsidR="001559D4" w:rsidRPr="008625DC">
        <w:rPr>
          <w:rFonts w:eastAsiaTheme="minorEastAsia"/>
          <w:color w:val="595959" w:themeColor="text1" w:themeTint="A6"/>
        </w:rPr>
        <w:t xml:space="preserve"> financing, construction and operation of a public hospital.</w:t>
      </w:r>
      <w:r w:rsidR="001559D4" w:rsidRPr="008625DC">
        <w:rPr>
          <w:rFonts w:eastAsiaTheme="minorEastAsia"/>
          <w:color w:val="595959" w:themeColor="text1" w:themeTint="A6"/>
          <w:vertAlign w:val="superscript"/>
        </w:rPr>
        <w:footnoteReference w:id="205"/>
      </w:r>
      <w:r w:rsidR="001559D4" w:rsidRPr="008625DC">
        <w:rPr>
          <w:rFonts w:eastAsiaTheme="minorEastAsia"/>
          <w:color w:val="595959" w:themeColor="text1" w:themeTint="A6"/>
        </w:rPr>
        <w:t xml:space="preserve"> </w:t>
      </w:r>
    </w:p>
    <w:p w14:paraId="655957F6" w14:textId="77777777" w:rsidR="001559D4" w:rsidRPr="008625DC" w:rsidRDefault="001559D4" w:rsidP="004E04F2">
      <w:pPr>
        <w:pStyle w:val="Quotes"/>
        <w:spacing w:after="100"/>
        <w:ind w:left="0"/>
        <w:rPr>
          <w:color w:val="000000"/>
        </w:rPr>
      </w:pPr>
      <w:r w:rsidRPr="008625DC">
        <w:rPr>
          <w:color w:val="000000"/>
        </w:rPr>
        <w:t xml:space="preserve">While PPPs may be a good model for service delivery in some circumstances, they are not without risks or costs. The International Finance Corporation notes some of these risks, including: </w:t>
      </w:r>
    </w:p>
    <w:p w14:paraId="2F90531B" w14:textId="2051656A" w:rsidR="001559D4" w:rsidRPr="008625DC" w:rsidRDefault="001559D4" w:rsidP="00CD4B2B">
      <w:pPr>
        <w:numPr>
          <w:ilvl w:val="0"/>
          <w:numId w:val="30"/>
        </w:numPr>
        <w:tabs>
          <w:tab w:val="num" w:pos="993"/>
        </w:tabs>
        <w:spacing w:after="120"/>
        <w:ind w:left="993" w:hanging="426"/>
        <w:rPr>
          <w:color w:val="595959" w:themeColor="text1" w:themeTint="A6"/>
        </w:rPr>
      </w:pPr>
      <w:r w:rsidRPr="008625DC">
        <w:rPr>
          <w:color w:val="595959" w:themeColor="text1" w:themeTint="A6"/>
        </w:rPr>
        <w:t>PPP contracts can be very complex</w:t>
      </w:r>
      <w:r w:rsidR="00596876" w:rsidRPr="008625DC">
        <w:rPr>
          <w:color w:val="595959" w:themeColor="text1" w:themeTint="A6"/>
        </w:rPr>
        <w:t>;</w:t>
      </w:r>
    </w:p>
    <w:p w14:paraId="4ED10B60" w14:textId="5C9A47D3" w:rsidR="001559D4" w:rsidRPr="008625DC" w:rsidRDefault="00596876" w:rsidP="00CD4B2B">
      <w:pPr>
        <w:numPr>
          <w:ilvl w:val="0"/>
          <w:numId w:val="30"/>
        </w:numPr>
        <w:tabs>
          <w:tab w:val="num" w:pos="993"/>
        </w:tabs>
        <w:spacing w:after="120"/>
        <w:ind w:left="993" w:hanging="426"/>
        <w:rPr>
          <w:color w:val="595959" w:themeColor="text1" w:themeTint="A6"/>
        </w:rPr>
      </w:pPr>
      <w:r w:rsidRPr="008625DC">
        <w:rPr>
          <w:color w:val="595959" w:themeColor="text1" w:themeTint="A6"/>
        </w:rPr>
        <w:t>r</w:t>
      </w:r>
      <w:r w:rsidR="001559D4" w:rsidRPr="008625DC">
        <w:rPr>
          <w:color w:val="595959" w:themeColor="text1" w:themeTint="A6"/>
        </w:rPr>
        <w:t>esults assessment is often subjective</w:t>
      </w:r>
      <w:r w:rsidRPr="008625DC">
        <w:rPr>
          <w:color w:val="595959" w:themeColor="text1" w:themeTint="A6"/>
        </w:rPr>
        <w:t>;</w:t>
      </w:r>
    </w:p>
    <w:p w14:paraId="44AE302D" w14:textId="25C2570D" w:rsidR="001559D4" w:rsidRPr="008625DC" w:rsidRDefault="00596876" w:rsidP="00CD4B2B">
      <w:pPr>
        <w:keepNext/>
        <w:numPr>
          <w:ilvl w:val="0"/>
          <w:numId w:val="30"/>
        </w:numPr>
        <w:tabs>
          <w:tab w:val="num" w:pos="993"/>
        </w:tabs>
        <w:spacing w:before="100" w:after="100"/>
        <w:ind w:left="992" w:hanging="425"/>
        <w:rPr>
          <w:color w:val="595959" w:themeColor="text1" w:themeTint="A6"/>
        </w:rPr>
      </w:pPr>
      <w:r w:rsidRPr="008625DC">
        <w:rPr>
          <w:color w:val="595959" w:themeColor="text1" w:themeTint="A6"/>
        </w:rPr>
        <w:lastRenderedPageBreak/>
        <w:t>p</w:t>
      </w:r>
      <w:r w:rsidR="001559D4" w:rsidRPr="008625DC">
        <w:rPr>
          <w:color w:val="595959" w:themeColor="text1" w:themeTint="A6"/>
        </w:rPr>
        <w:t>ublic sector may be locked into contracts while health demands change</w:t>
      </w:r>
      <w:r w:rsidRPr="008625DC">
        <w:rPr>
          <w:color w:val="595959" w:themeColor="text1" w:themeTint="A6"/>
        </w:rPr>
        <w:t>; and</w:t>
      </w:r>
    </w:p>
    <w:p w14:paraId="697B0111" w14:textId="77777777" w:rsidR="001559D4" w:rsidRPr="008625DC" w:rsidRDefault="001559D4" w:rsidP="00CD4B2B">
      <w:pPr>
        <w:numPr>
          <w:ilvl w:val="0"/>
          <w:numId w:val="30"/>
        </w:numPr>
        <w:tabs>
          <w:tab w:val="num" w:pos="993"/>
        </w:tabs>
        <w:ind w:left="993" w:hanging="426"/>
      </w:pPr>
      <w:r w:rsidRPr="008625DC">
        <w:rPr>
          <w:color w:val="595959" w:themeColor="text1" w:themeTint="A6"/>
        </w:rPr>
        <w:t>PPPs may not gain the population’s trust.</w:t>
      </w:r>
      <w:r w:rsidRPr="008625DC">
        <w:rPr>
          <w:rStyle w:val="FootnoteReference"/>
        </w:rPr>
        <w:footnoteReference w:id="206"/>
      </w:r>
    </w:p>
    <w:p w14:paraId="2EE4D766" w14:textId="77777777" w:rsidR="001559D4" w:rsidRPr="008625DC" w:rsidRDefault="001559D4" w:rsidP="001559D4">
      <w:pPr>
        <w:autoSpaceDE w:val="0"/>
        <w:autoSpaceDN w:val="0"/>
        <w:adjustRightInd w:val="0"/>
        <w:spacing w:before="0" w:after="0"/>
        <w:rPr>
          <w:szCs w:val="22"/>
        </w:rPr>
      </w:pPr>
      <w:r w:rsidRPr="008625DC">
        <w:rPr>
          <w:szCs w:val="22"/>
        </w:rPr>
        <w:t>However, it also recognises the advantages of PPPs including:</w:t>
      </w:r>
    </w:p>
    <w:p w14:paraId="1C281EF3" w14:textId="15926AC8" w:rsidR="001559D4" w:rsidRPr="008625DC" w:rsidRDefault="00596876" w:rsidP="00596876">
      <w:pPr>
        <w:numPr>
          <w:ilvl w:val="0"/>
          <w:numId w:val="30"/>
        </w:numPr>
        <w:tabs>
          <w:tab w:val="num" w:pos="993"/>
        </w:tabs>
        <w:spacing w:after="120"/>
        <w:ind w:left="993" w:hanging="426"/>
        <w:rPr>
          <w:color w:val="595959" w:themeColor="text1" w:themeTint="A6"/>
        </w:rPr>
      </w:pPr>
      <w:r w:rsidRPr="008625DC">
        <w:rPr>
          <w:color w:val="595959" w:themeColor="text1" w:themeTint="A6"/>
        </w:rPr>
        <w:t>m</w:t>
      </w:r>
      <w:r w:rsidR="001559D4" w:rsidRPr="008625DC">
        <w:rPr>
          <w:color w:val="595959" w:themeColor="text1" w:themeTint="A6"/>
        </w:rPr>
        <w:t>ore incentives for private sector to perform</w:t>
      </w:r>
      <w:r w:rsidRPr="008625DC">
        <w:rPr>
          <w:color w:val="595959" w:themeColor="text1" w:themeTint="A6"/>
        </w:rPr>
        <w:t>;</w:t>
      </w:r>
    </w:p>
    <w:p w14:paraId="4A382146" w14:textId="2D1745BD" w:rsidR="001559D4" w:rsidRPr="008625DC" w:rsidRDefault="00596876" w:rsidP="00596876">
      <w:pPr>
        <w:numPr>
          <w:ilvl w:val="0"/>
          <w:numId w:val="30"/>
        </w:numPr>
        <w:tabs>
          <w:tab w:val="num" w:pos="993"/>
        </w:tabs>
        <w:spacing w:after="120"/>
        <w:ind w:left="993" w:hanging="426"/>
        <w:rPr>
          <w:color w:val="595959" w:themeColor="text1" w:themeTint="A6"/>
        </w:rPr>
      </w:pPr>
      <w:r w:rsidRPr="008625DC">
        <w:rPr>
          <w:color w:val="595959" w:themeColor="text1" w:themeTint="A6"/>
        </w:rPr>
        <w:t>n</w:t>
      </w:r>
      <w:r w:rsidR="001559D4" w:rsidRPr="008625DC">
        <w:rPr>
          <w:color w:val="595959" w:themeColor="text1" w:themeTint="A6"/>
        </w:rPr>
        <w:t>ew facilities available earlier</w:t>
      </w:r>
      <w:r w:rsidRPr="008625DC">
        <w:rPr>
          <w:color w:val="595959" w:themeColor="text1" w:themeTint="A6"/>
        </w:rPr>
        <w:t>;</w:t>
      </w:r>
    </w:p>
    <w:p w14:paraId="666161D4" w14:textId="70DB25A7" w:rsidR="001559D4" w:rsidRPr="008625DC" w:rsidRDefault="00596876" w:rsidP="00596876">
      <w:pPr>
        <w:numPr>
          <w:ilvl w:val="0"/>
          <w:numId w:val="30"/>
        </w:numPr>
        <w:tabs>
          <w:tab w:val="num" w:pos="993"/>
        </w:tabs>
        <w:spacing w:after="120"/>
        <w:ind w:left="993" w:hanging="426"/>
        <w:rPr>
          <w:color w:val="595959" w:themeColor="text1" w:themeTint="A6"/>
        </w:rPr>
      </w:pPr>
      <w:r w:rsidRPr="008625DC">
        <w:rPr>
          <w:color w:val="595959" w:themeColor="text1" w:themeTint="A6"/>
        </w:rPr>
        <w:t>in</w:t>
      </w:r>
      <w:r w:rsidR="001559D4" w:rsidRPr="008625DC">
        <w:rPr>
          <w:color w:val="595959" w:themeColor="text1" w:themeTint="A6"/>
        </w:rPr>
        <w:t>creased levels of efficiency and innovation</w:t>
      </w:r>
      <w:r w:rsidRPr="008625DC">
        <w:rPr>
          <w:color w:val="595959" w:themeColor="text1" w:themeTint="A6"/>
        </w:rPr>
        <w:t>;</w:t>
      </w:r>
    </w:p>
    <w:p w14:paraId="40F2F555" w14:textId="22405A5A" w:rsidR="001559D4" w:rsidRPr="008625DC" w:rsidRDefault="00596876" w:rsidP="00596876">
      <w:pPr>
        <w:numPr>
          <w:ilvl w:val="0"/>
          <w:numId w:val="30"/>
        </w:numPr>
        <w:tabs>
          <w:tab w:val="num" w:pos="993"/>
        </w:tabs>
        <w:spacing w:after="120"/>
        <w:ind w:left="993" w:hanging="426"/>
        <w:rPr>
          <w:color w:val="595959" w:themeColor="text1" w:themeTint="A6"/>
        </w:rPr>
      </w:pPr>
      <w:r w:rsidRPr="008625DC">
        <w:rPr>
          <w:color w:val="595959" w:themeColor="text1" w:themeTint="A6"/>
        </w:rPr>
        <w:t>r</w:t>
      </w:r>
      <w:r w:rsidR="001559D4" w:rsidRPr="008625DC">
        <w:rPr>
          <w:color w:val="595959" w:themeColor="text1" w:themeTint="A6"/>
        </w:rPr>
        <w:t>isks transferred to private sector</w:t>
      </w:r>
      <w:r w:rsidRPr="008625DC">
        <w:rPr>
          <w:color w:val="595959" w:themeColor="text1" w:themeTint="A6"/>
        </w:rPr>
        <w:t>; and</w:t>
      </w:r>
    </w:p>
    <w:p w14:paraId="43BA8642" w14:textId="0059F180" w:rsidR="001559D4" w:rsidRPr="008625DC" w:rsidRDefault="00596876" w:rsidP="00CD4B2B">
      <w:pPr>
        <w:numPr>
          <w:ilvl w:val="0"/>
          <w:numId w:val="30"/>
        </w:numPr>
        <w:tabs>
          <w:tab w:val="num" w:pos="993"/>
        </w:tabs>
        <w:ind w:left="993" w:hanging="426"/>
        <w:rPr>
          <w:szCs w:val="22"/>
        </w:rPr>
      </w:pPr>
      <w:proofErr w:type="gramStart"/>
      <w:r w:rsidRPr="008625DC">
        <w:rPr>
          <w:color w:val="595959" w:themeColor="text1" w:themeTint="A6"/>
        </w:rPr>
        <w:t>f</w:t>
      </w:r>
      <w:r w:rsidR="001559D4" w:rsidRPr="008625DC">
        <w:rPr>
          <w:color w:val="595959" w:themeColor="text1" w:themeTint="A6"/>
        </w:rPr>
        <w:t>orward</w:t>
      </w:r>
      <w:proofErr w:type="gramEnd"/>
      <w:r w:rsidR="001559D4" w:rsidRPr="008625DC">
        <w:rPr>
          <w:color w:val="595959" w:themeColor="text1" w:themeTint="A6"/>
        </w:rPr>
        <w:t xml:space="preserve"> spending commitments known and able to be planned for.</w:t>
      </w:r>
      <w:r w:rsidR="001559D4" w:rsidRPr="008625DC">
        <w:rPr>
          <w:rStyle w:val="FootnoteReference"/>
          <w:szCs w:val="22"/>
        </w:rPr>
        <w:footnoteReference w:id="207"/>
      </w:r>
    </w:p>
    <w:p w14:paraId="65BD7DA6" w14:textId="77777777" w:rsidR="001559D4" w:rsidRPr="008625DC" w:rsidRDefault="001559D4" w:rsidP="001559D4">
      <w:r w:rsidRPr="008625DC">
        <w:rPr>
          <w:szCs w:val="22"/>
        </w:rPr>
        <w:t xml:space="preserve">Australia has a rich history of undertaking PPPs. They have typically been used to deliver large infrastructure projects, such as </w:t>
      </w:r>
      <w:r w:rsidRPr="008625DC">
        <w:t xml:space="preserve">toll roads, railways and water supply facilities. The PC noted </w:t>
      </w:r>
      <w:r w:rsidRPr="008625DC">
        <w:rPr>
          <w:szCs w:val="22"/>
        </w:rPr>
        <w:t>that outcomes</w:t>
      </w:r>
      <w:r w:rsidRPr="008625DC">
        <w:t xml:space="preserve"> from PPP infrastructure projects have been mixed, which is consistent with what has been observed internationally.</w:t>
      </w:r>
      <w:r w:rsidRPr="008625DC">
        <w:rPr>
          <w:rStyle w:val="FootnoteReference"/>
        </w:rPr>
        <w:footnoteReference w:id="208"/>
      </w:r>
    </w:p>
    <w:p w14:paraId="318A23D2" w14:textId="77777777" w:rsidR="001559D4" w:rsidRPr="008625DC" w:rsidRDefault="001559D4" w:rsidP="001559D4">
      <w:pPr>
        <w:spacing w:after="120"/>
        <w:rPr>
          <w:szCs w:val="22"/>
        </w:rPr>
      </w:pPr>
      <w:r w:rsidRPr="008625DC">
        <w:rPr>
          <w:szCs w:val="22"/>
        </w:rPr>
        <w:t xml:space="preserve">While construction of infrastructure continues to be a focus for PPPs in Australia, the PC notes that: </w:t>
      </w:r>
    </w:p>
    <w:p w14:paraId="1B8CF2F4" w14:textId="77777777" w:rsidR="001559D4" w:rsidRPr="008625DC" w:rsidRDefault="001559D4" w:rsidP="001559D4">
      <w:pPr>
        <w:pStyle w:val="Quotes"/>
      </w:pPr>
      <w:r w:rsidRPr="008625DC">
        <w:rPr>
          <w:szCs w:val="22"/>
        </w:rPr>
        <w:t>Bundling and contracting out the financing, design, construction, maintenance and operation of public infrastructure services (as can occur under a PPP) may deliver further efficiency benefits by creating incentives and opportunities to reduce costs over the life of the project.</w:t>
      </w:r>
      <w:r w:rsidRPr="008625DC">
        <w:rPr>
          <w:rStyle w:val="FootnoteReference"/>
          <w:szCs w:val="22"/>
        </w:rPr>
        <w:footnoteReference w:id="209"/>
      </w:r>
    </w:p>
    <w:p w14:paraId="09512EF2" w14:textId="77777777" w:rsidR="001559D4" w:rsidRPr="008625DC" w:rsidRDefault="001559D4" w:rsidP="001559D4">
      <w:pPr>
        <w:autoSpaceDE w:val="0"/>
        <w:autoSpaceDN w:val="0"/>
        <w:adjustRightInd w:val="0"/>
        <w:spacing w:before="0" w:after="0"/>
      </w:pPr>
      <w:r w:rsidRPr="008625DC">
        <w:t>In moving to PPP models that include service delivery, contract design takes on a new importance, with a need to ensure procurement is outcomes</w:t>
      </w:r>
      <w:r w:rsidRPr="008625DC">
        <w:noBreakHyphen/>
        <w:t>based.</w:t>
      </w:r>
    </w:p>
    <w:tbl>
      <w:tblPr>
        <w:tblW w:w="9072" w:type="dxa"/>
        <w:tblInd w:w="108" w:type="dxa"/>
        <w:shd w:val="clear" w:color="auto" w:fill="E6E6E6"/>
        <w:tblLook w:val="01E0" w:firstRow="1" w:lastRow="1" w:firstColumn="1" w:lastColumn="1" w:noHBand="0" w:noVBand="0"/>
      </w:tblPr>
      <w:tblGrid>
        <w:gridCol w:w="9072"/>
      </w:tblGrid>
      <w:tr w:rsidR="001559D4" w:rsidRPr="008625DC" w14:paraId="40BA8249" w14:textId="77777777" w:rsidTr="001559D4">
        <w:tc>
          <w:tcPr>
            <w:tcW w:w="5000" w:type="pct"/>
            <w:shd w:val="clear" w:color="auto" w:fill="E6E6E6"/>
          </w:tcPr>
          <w:p w14:paraId="0A82A527" w14:textId="77777777" w:rsidR="001559D4" w:rsidRPr="008625DC" w:rsidRDefault="001559D4" w:rsidP="001559D4">
            <w:pPr>
              <w:pStyle w:val="BoxHeading"/>
            </w:pPr>
            <w:r w:rsidRPr="008625DC">
              <w:lastRenderedPageBreak/>
              <w:t>Box 10.9: State government hospital and health service PPPs</w:t>
            </w:r>
          </w:p>
          <w:p w14:paraId="5106753A" w14:textId="77777777" w:rsidR="001559D4" w:rsidRPr="008625DC" w:rsidRDefault="001559D4" w:rsidP="00CD4B2B">
            <w:pPr>
              <w:pStyle w:val="BoxText"/>
              <w:rPr>
                <w:color w:val="auto"/>
              </w:rPr>
            </w:pPr>
            <w:r w:rsidRPr="008625DC">
              <w:t>Several States have introduced or are considering introducing PPPs to deliver health services, with Western Australia making particular progress. The Joondalup Health Campus is the largest health care facility in Perth</w:t>
            </w:r>
            <w:r w:rsidRPr="008625DC">
              <w:rPr>
                <w:color w:val="auto"/>
              </w:rPr>
              <w:t>’s Northern suburbs, providing 24</w:t>
            </w:r>
            <w:r w:rsidRPr="008625DC">
              <w:rPr>
                <w:color w:val="auto"/>
              </w:rPr>
              <w:noBreakHyphen/>
              <w:t>hour acute care from an integrated public and private campus. In a speech at the unveiling of the expansion of the Joondalup Health Campus, Ramsay Health, the private provider stated:</w:t>
            </w:r>
          </w:p>
          <w:p w14:paraId="7FCC046A" w14:textId="77777777" w:rsidR="001559D4" w:rsidRPr="008625DC" w:rsidRDefault="001559D4" w:rsidP="001559D4">
            <w:pPr>
              <w:pStyle w:val="Quotes"/>
            </w:pPr>
            <w:r w:rsidRPr="008625DC">
              <w:t>The public</w:t>
            </w:r>
            <w:r w:rsidRPr="008625DC">
              <w:noBreakHyphen/>
              <w:t>private partnership at Joondalup Health Campus dates back 15 years and continues to go from strength to strength. This project is a terrific example of how the public and private sector can work together to deliver services and value for money for the public.</w:t>
            </w:r>
            <w:r w:rsidRPr="008625DC">
              <w:rPr>
                <w:rStyle w:val="FootnoteReference"/>
              </w:rPr>
              <w:footnoteReference w:id="210"/>
            </w:r>
          </w:p>
          <w:p w14:paraId="50D24840" w14:textId="77777777" w:rsidR="001559D4" w:rsidRPr="008625DC" w:rsidRDefault="001559D4" w:rsidP="00CD4B2B">
            <w:pPr>
              <w:pStyle w:val="BoxText"/>
              <w:rPr>
                <w:color w:val="auto"/>
              </w:rPr>
            </w:pPr>
            <w:r w:rsidRPr="008625DC">
              <w:rPr>
                <w:color w:val="auto"/>
              </w:rPr>
              <w:t>Infrastructure Partnerships Australia has noted that the Joondalup Health Campus is ‘</w:t>
            </w:r>
            <w:r w:rsidRPr="008625DC">
              <w:t>widely considered to be one of the nation’s best examples of a successful healthcare PPP’</w:t>
            </w:r>
            <w:r w:rsidRPr="008625DC">
              <w:rPr>
                <w:rStyle w:val="FootnoteReference"/>
                <w:szCs w:val="22"/>
              </w:rPr>
              <w:footnoteReference w:id="211"/>
            </w:r>
            <w:r w:rsidRPr="008625DC">
              <w:t xml:space="preserve"> with estimated cost savings of 23 per cent, and an ‘A’ rating for reviews conducted by the Western Australian Department of Health’s Licensing Standards and Review Unit every year since 2006. </w:t>
            </w:r>
          </w:p>
          <w:p w14:paraId="2E2A8EC0" w14:textId="77777777" w:rsidR="001559D4" w:rsidRPr="008625DC" w:rsidRDefault="001559D4" w:rsidP="00CD4B2B">
            <w:pPr>
              <w:pStyle w:val="BoxText"/>
              <w:rPr>
                <w:rFonts w:cs="Arial"/>
              </w:rPr>
            </w:pPr>
            <w:r w:rsidRPr="008625DC">
              <w:t xml:space="preserve">The Western Australian government plans to enter a new PPP with St John of God Health Care for a 307 bed Midland Public Hospital. </w:t>
            </w:r>
          </w:p>
          <w:p w14:paraId="31B32AE0" w14:textId="77777777" w:rsidR="001559D4" w:rsidRPr="008625DC" w:rsidRDefault="001559D4" w:rsidP="00CD4B2B">
            <w:pPr>
              <w:pStyle w:val="BoxText"/>
            </w:pPr>
            <w:r w:rsidRPr="008625DC">
              <w:t xml:space="preserve">South Australia is also looking to use a PPP framework in developing the new Royal Adelaide Hospital. The South Australian Department of Health web page on </w:t>
            </w:r>
            <w:r w:rsidRPr="008625DC">
              <w:rPr>
                <w:i/>
              </w:rPr>
              <w:t>Public Private Partnership and the new Royal Adelaide Hospital</w:t>
            </w:r>
            <w:r w:rsidRPr="008625DC">
              <w:t xml:space="preserve"> notes:</w:t>
            </w:r>
          </w:p>
          <w:p w14:paraId="4180A605" w14:textId="77777777" w:rsidR="001559D4" w:rsidRPr="008625DC" w:rsidRDefault="001559D4" w:rsidP="001559D4">
            <w:pPr>
              <w:pStyle w:val="Quotes"/>
            </w:pPr>
            <w:r w:rsidRPr="008625DC">
              <w:t>The PPP process recognises that both the public sector and the private sector have certain advantages relative to the other in the performance of specific tasks, and can enable public services and infrastructure to be provided in the most economically efficient manner by allowing each sector to do what it does best.</w:t>
            </w:r>
            <w:r w:rsidRPr="008625DC">
              <w:rPr>
                <w:rStyle w:val="FootnoteReference"/>
              </w:rPr>
              <w:footnoteReference w:id="212"/>
            </w:r>
          </w:p>
          <w:p w14:paraId="7F6DF510" w14:textId="77777777" w:rsidR="001559D4" w:rsidRPr="008625DC" w:rsidRDefault="001559D4" w:rsidP="00CD4B2B">
            <w:pPr>
              <w:pStyle w:val="BoxText"/>
            </w:pPr>
            <w:r w:rsidRPr="008625DC">
              <w:t>In addition, the NSW Government submission details a PPP for the proposed Northern Beaches Hospital:</w:t>
            </w:r>
          </w:p>
          <w:p w14:paraId="385F728E" w14:textId="46BCFF2E" w:rsidR="001559D4" w:rsidRPr="008625DC" w:rsidRDefault="001559D4" w:rsidP="001559D4">
            <w:pPr>
              <w:pStyle w:val="Quotes"/>
            </w:pPr>
            <w:r w:rsidRPr="008625DC">
              <w:t>The NSW Government is currently evaluating bids … to design, construct, operate (on a fully outsourced basis) and maintain a hospital on Sydney’s northern beaches. In partnering with the private sector, a private Hospital Operator will be responsible for all aspects of design and construction of the hospital and the provision of clinical services, clinical support services and facility related services for public patients, under a long term contract with the NSW government</w:t>
            </w:r>
            <w:r w:rsidR="00582FDE" w:rsidRPr="008625DC">
              <w:t xml:space="preserve"> </w:t>
            </w:r>
            <w:r w:rsidRPr="008625DC">
              <w:t>… This model provides maximum opportunity to add value through innovation and whole of system integrated delivery, with significant benefits to the community. (page 24)</w:t>
            </w:r>
          </w:p>
        </w:tc>
      </w:tr>
    </w:tbl>
    <w:p w14:paraId="4E24F60C" w14:textId="77777777" w:rsidR="001559D4" w:rsidRPr="008625DC" w:rsidRDefault="001559D4" w:rsidP="001559D4"/>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559D4" w:rsidRPr="008625DC" w14:paraId="00BE86CC" w14:textId="77777777" w:rsidTr="001559D4">
        <w:tc>
          <w:tcPr>
            <w:tcW w:w="5000" w:type="pct"/>
            <w:shd w:val="clear" w:color="auto" w:fill="FFFFFF" w:themeFill="background1"/>
          </w:tcPr>
          <w:p w14:paraId="7B0007CB" w14:textId="77777777" w:rsidR="001559D4" w:rsidRPr="008625DC" w:rsidRDefault="001559D4" w:rsidP="001559D4">
            <w:pPr>
              <w:pStyle w:val="Keyfindingheading"/>
            </w:pPr>
            <w:r w:rsidRPr="008625DC">
              <w:lastRenderedPageBreak/>
              <w:t>The Panel’s view</w:t>
            </w:r>
          </w:p>
          <w:p w14:paraId="4B37E3FE" w14:textId="77777777" w:rsidR="001559D4" w:rsidRPr="008625DC" w:rsidRDefault="001559D4" w:rsidP="001559D4">
            <w:pPr>
              <w:pStyle w:val="Keyfindingtext"/>
            </w:pPr>
            <w:r w:rsidRPr="008625DC">
              <w:t>Many human services are delivered by a range of public, private and not</w:t>
            </w:r>
            <w:r w:rsidRPr="008625DC">
              <w:noBreakHyphen/>
              <w:t>for</w:t>
            </w:r>
            <w:r w:rsidRPr="008625DC">
              <w:noBreakHyphen/>
              <w:t>profit providers. Each type of provider makes an important contribution to individuals and to the broader community.</w:t>
            </w:r>
          </w:p>
          <w:p w14:paraId="3A325AAB" w14:textId="77777777" w:rsidR="001559D4" w:rsidRPr="008625DC" w:rsidRDefault="001559D4" w:rsidP="001559D4">
            <w:pPr>
              <w:pStyle w:val="Keyfindingtext"/>
            </w:pPr>
            <w:r w:rsidRPr="008625DC">
              <w:t>Governments may have significant influence over the diversity of providers in human services, particularly through commissioning arrangements.</w:t>
            </w:r>
          </w:p>
          <w:p w14:paraId="38CD3254" w14:textId="2ACEB9C4" w:rsidR="001559D4" w:rsidRPr="008625DC" w:rsidRDefault="001559D4" w:rsidP="001559D4">
            <w:pPr>
              <w:pStyle w:val="Keyfindingtext"/>
            </w:pPr>
            <w:r w:rsidRPr="008625DC">
              <w:t>In the past, contracting for the provision of human services was often achieved through competitive tendering</w:t>
            </w:r>
            <w:r w:rsidR="008571C9" w:rsidRPr="008625DC">
              <w:t>;</w:t>
            </w:r>
            <w:r w:rsidRPr="008625DC">
              <w:t xml:space="preserve"> however</w:t>
            </w:r>
            <w:r w:rsidR="008571C9" w:rsidRPr="008625DC">
              <w:t>,</w:t>
            </w:r>
            <w:r w:rsidRPr="008625DC">
              <w:t xml:space="preserve"> tendering can focus on price at the expense of other factors including fairness and responsiveness to individual needs.</w:t>
            </w:r>
          </w:p>
          <w:p w14:paraId="3310A30C" w14:textId="48202CDB" w:rsidR="001559D4" w:rsidRPr="008625DC" w:rsidRDefault="001559D4" w:rsidP="001559D4">
            <w:pPr>
              <w:pStyle w:val="Keyfindingtext"/>
            </w:pPr>
            <w:r w:rsidRPr="008625DC">
              <w:t xml:space="preserve">More recently, governments have begun to trial innovative approaches to commissioning </w:t>
            </w:r>
            <w:r w:rsidR="008571C9" w:rsidRPr="008625DC">
              <w:t>that</w:t>
            </w:r>
            <w:r w:rsidRPr="008625DC">
              <w:t xml:space="preserve"> focus on giving providers room to meet consumer needs, while allowing governments to step in and remove poor performers. </w:t>
            </w:r>
          </w:p>
          <w:p w14:paraId="204BD7BB" w14:textId="77777777" w:rsidR="001559D4" w:rsidRPr="008625DC" w:rsidRDefault="001559D4" w:rsidP="001559D4">
            <w:pPr>
              <w:pStyle w:val="Keyfindingtext"/>
            </w:pPr>
            <w:r w:rsidRPr="008625DC">
              <w:t>By commissioning the provision of human services with an outcomes focus, governments can encourage a diversity of provider methods and types, which can have important consumer benefits in relation to choice, adaptability and innovation.</w:t>
            </w:r>
          </w:p>
          <w:p w14:paraId="189FE8A5" w14:textId="77777777" w:rsidR="001559D4" w:rsidRPr="008625DC" w:rsidRDefault="001559D4" w:rsidP="001559D4">
            <w:pPr>
              <w:pStyle w:val="Keyfindingtext"/>
            </w:pPr>
            <w:r w:rsidRPr="008625DC">
              <w:t>Public Private Partnerships (PPPs) are an option for long</w:t>
            </w:r>
            <w:r w:rsidRPr="008625DC">
              <w:noBreakHyphen/>
              <w:t xml:space="preserve">term infrastructure and/or service delivery arrangements and could be used in a range of human services sectors. PPPs can have specific advantages for human services users, including </w:t>
            </w:r>
            <w:proofErr w:type="gramStart"/>
            <w:r w:rsidRPr="008625DC">
              <w:t>that new facilities</w:t>
            </w:r>
            <w:proofErr w:type="gramEnd"/>
            <w:r w:rsidRPr="008625DC">
              <w:t xml:space="preserve"> may be available earlier with potentially increased levels</w:t>
            </w:r>
            <w:r w:rsidRPr="008625DC">
              <w:rPr>
                <w:szCs w:val="22"/>
              </w:rPr>
              <w:t xml:space="preserve"> of innovation. However, PPPs must be carefully managed in light of previous mixed results.</w:t>
            </w:r>
          </w:p>
          <w:p w14:paraId="49ACAEE6" w14:textId="77777777" w:rsidR="001559D4" w:rsidRPr="008625DC" w:rsidRDefault="001559D4" w:rsidP="00582FDE">
            <w:pPr>
              <w:pStyle w:val="Keyfindingtext"/>
            </w:pPr>
            <w:r w:rsidRPr="008625DC">
              <w:t>The primary consideration in commissioning human services should be achieving high</w:t>
            </w:r>
            <w:r w:rsidRPr="008625DC">
              <w:noBreakHyphen/>
              <w:t>quality outcomes for users.</w:t>
            </w:r>
          </w:p>
        </w:tc>
      </w:tr>
    </w:tbl>
    <w:p w14:paraId="6C2D1C1E" w14:textId="77777777" w:rsidR="001559D4" w:rsidRPr="008625DC" w:rsidRDefault="001559D4" w:rsidP="001559D4">
      <w:pPr>
        <w:pStyle w:val="Heading2"/>
        <w:ind w:left="851" w:hanging="851"/>
        <w:rPr>
          <w:lang w:val="en-AU"/>
        </w:rPr>
      </w:pPr>
      <w:bookmarkStart w:id="24457" w:name="_Toc398827373"/>
      <w:bookmarkStart w:id="24458" w:name="_Toc398827567"/>
      <w:r w:rsidRPr="008625DC">
        <w:rPr>
          <w:lang w:val="en-AU"/>
        </w:rPr>
        <w:t>Implementation issues</w:t>
      </w:r>
      <w:bookmarkEnd w:id="24457"/>
      <w:bookmarkEnd w:id="24458"/>
      <w:r w:rsidRPr="008625DC">
        <w:rPr>
          <w:lang w:val="en-AU"/>
        </w:rPr>
        <w:t xml:space="preserve"> </w:t>
      </w:r>
    </w:p>
    <w:p w14:paraId="199C8BB6" w14:textId="77777777" w:rsidR="001559D4" w:rsidRPr="008625DC" w:rsidRDefault="001559D4" w:rsidP="001559D4">
      <w:r w:rsidRPr="008625DC">
        <w:t xml:space="preserve">Like any changes to public policy, implementation of changes to human services needs to be well considered. In addition, human services have a lasting impact on people’s lives and wellbeing, increasing the importance of ‘getting it right’ when designing and implementing policy changes. </w:t>
      </w:r>
    </w:p>
    <w:p w14:paraId="25A877D8" w14:textId="56E85C99" w:rsidR="001559D4" w:rsidRPr="008625DC" w:rsidRDefault="001559D4" w:rsidP="00582FDE">
      <w:pPr>
        <w:spacing w:after="120"/>
      </w:pPr>
      <w:r w:rsidRPr="008625DC">
        <w:t xml:space="preserve">The PC notes that: </w:t>
      </w:r>
    </w:p>
    <w:p w14:paraId="4B0A722F" w14:textId="77777777" w:rsidR="001559D4" w:rsidRPr="008625DC" w:rsidRDefault="001559D4" w:rsidP="001559D4">
      <w:pPr>
        <w:pStyle w:val="Quotes"/>
      </w:pPr>
      <w:r w:rsidRPr="008625DC">
        <w:t>Experience with market</w:t>
      </w:r>
      <w:r w:rsidRPr="008625DC">
        <w:noBreakHyphen/>
        <w:t>based instruments in human services (and other sectors) in Australia suggests that such mechanisms often require refinement over time to promote improved outcomes. (</w:t>
      </w:r>
      <w:proofErr w:type="gramStart"/>
      <w:r w:rsidRPr="008625DC">
        <w:t>page</w:t>
      </w:r>
      <w:proofErr w:type="gramEnd"/>
      <w:r w:rsidRPr="008625DC">
        <w:t xml:space="preserve"> 37) </w:t>
      </w:r>
    </w:p>
    <w:p w14:paraId="6ACB514F" w14:textId="77777777" w:rsidR="001559D4" w:rsidRPr="008625DC" w:rsidRDefault="001559D4" w:rsidP="001559D4">
      <w:r w:rsidRPr="008625DC">
        <w:t xml:space="preserve">Policy changes in this area have often been implemented via a staged process, sometimes involving trials or pilot schemes, with the feedback from such schemes being used to refine the program. The Panel recognises that reform in human services sectors can seem slow, but that the ultimate goal of improving the lives of Australians makes pursuing reform worthwhile. </w:t>
      </w:r>
    </w:p>
    <w:p w14:paraId="14FB348B" w14:textId="77777777" w:rsidR="001559D4" w:rsidRPr="008625DC" w:rsidRDefault="001559D4" w:rsidP="001559D4">
      <w:r w:rsidRPr="008625DC">
        <w:t>Well in advance of the introduction of the National Disability Insurance Scheme, Western Australia began work to reform disability care and support services. The Western Australian government has noted that its disability system has ‘evolved through 25 years of bi</w:t>
      </w:r>
      <w:r w:rsidRPr="008625DC">
        <w:noBreakHyphen/>
        <w:t xml:space="preserve">partisan reform and funding </w:t>
      </w:r>
      <w:r w:rsidRPr="008625DC">
        <w:lastRenderedPageBreak/>
        <w:t>growth’</w:t>
      </w:r>
      <w:r w:rsidRPr="008625DC">
        <w:rPr>
          <w:rStyle w:val="FootnoteReference"/>
          <w:szCs w:val="22"/>
        </w:rPr>
        <w:footnoteReference w:id="213"/>
      </w:r>
      <w:r w:rsidRPr="008625DC">
        <w:t xml:space="preserve"> to a place where the key focus is on ‘individualised funding, developing local relationships and for the support provided to people through the network of Local Area Coordinators’.</w:t>
      </w:r>
      <w:r w:rsidRPr="008625DC">
        <w:rPr>
          <w:rStyle w:val="FootnoteReference"/>
          <w:szCs w:val="22"/>
        </w:rPr>
        <w:footnoteReference w:id="214"/>
      </w:r>
    </w:p>
    <w:p w14:paraId="041B811B" w14:textId="77777777" w:rsidR="001559D4" w:rsidRPr="008625DC" w:rsidRDefault="001559D4" w:rsidP="001559D4">
      <w:pPr>
        <w:rPr>
          <w:color w:val="auto"/>
        </w:rPr>
      </w:pPr>
      <w:r w:rsidRPr="008625DC">
        <w:t xml:space="preserve">Even after 25 years of progress, Western Australia continues to refine its disability services system, with a key focus on </w:t>
      </w:r>
      <w:r w:rsidRPr="008625DC">
        <w:rPr>
          <w:rFonts w:cs="Arial"/>
          <w:color w:val="auto"/>
        </w:rPr>
        <w:t xml:space="preserve">giving people with disability, their families and </w:t>
      </w:r>
      <w:proofErr w:type="gramStart"/>
      <w:r w:rsidRPr="008625DC">
        <w:rPr>
          <w:rFonts w:cs="Arial"/>
          <w:color w:val="auto"/>
        </w:rPr>
        <w:t>carers</w:t>
      </w:r>
      <w:proofErr w:type="gramEnd"/>
      <w:r w:rsidRPr="008625DC">
        <w:rPr>
          <w:rFonts w:cs="Arial"/>
          <w:color w:val="auto"/>
        </w:rPr>
        <w:t xml:space="preserve"> genuine choice and control in their lives.</w:t>
      </w:r>
      <w:r w:rsidRPr="008625DC">
        <w:rPr>
          <w:rStyle w:val="FootnoteReference"/>
          <w:rFonts w:cs="Arial"/>
          <w:color w:val="auto"/>
          <w:szCs w:val="22"/>
        </w:rPr>
        <w:footnoteReference w:id="215"/>
      </w:r>
    </w:p>
    <w:tbl>
      <w:tblPr>
        <w:tblW w:w="9072" w:type="dxa"/>
        <w:tblInd w:w="108" w:type="dxa"/>
        <w:shd w:val="clear" w:color="auto" w:fill="E6E6E6"/>
        <w:tblLook w:val="01E0" w:firstRow="1" w:lastRow="1" w:firstColumn="1" w:lastColumn="1" w:noHBand="0" w:noVBand="0"/>
      </w:tblPr>
      <w:tblGrid>
        <w:gridCol w:w="9072"/>
      </w:tblGrid>
      <w:tr w:rsidR="001559D4" w:rsidRPr="008625DC" w14:paraId="07302354" w14:textId="77777777" w:rsidTr="001559D4">
        <w:tc>
          <w:tcPr>
            <w:tcW w:w="5000" w:type="pct"/>
            <w:shd w:val="clear" w:color="auto" w:fill="E6E6E6"/>
          </w:tcPr>
          <w:p w14:paraId="2E349CA9" w14:textId="77777777" w:rsidR="001559D4" w:rsidRPr="008625DC" w:rsidRDefault="001559D4" w:rsidP="001559D4">
            <w:pPr>
              <w:pStyle w:val="BoxHeading"/>
            </w:pPr>
            <w:r w:rsidRPr="008625DC">
              <w:t>Box 10.10: Assessing the outcomes of competition — example from Job Network</w:t>
            </w:r>
          </w:p>
          <w:p w14:paraId="336ACD8C" w14:textId="77777777" w:rsidR="001559D4" w:rsidRPr="008625DC" w:rsidRDefault="001559D4" w:rsidP="00582FDE">
            <w:pPr>
              <w:pStyle w:val="BoxText"/>
            </w:pPr>
            <w:r w:rsidRPr="008625DC">
              <w:t>The PC reviewed</w:t>
            </w:r>
            <w:r w:rsidRPr="008625DC">
              <w:rPr>
                <w:rStyle w:val="FootnoteReference"/>
              </w:rPr>
              <w:footnoteReference w:id="216"/>
            </w:r>
            <w:r w:rsidRPr="008625DC">
              <w:t xml:space="preserve"> the impact of the Job Network reforms, and drew some general lessons for areas where the government purchases services. While the overall impact of these reforms was positive, there were some implementation issues where the PC made specific recommendations for improvement.</w:t>
            </w:r>
          </w:p>
          <w:p w14:paraId="235C38A5" w14:textId="77777777" w:rsidR="001559D4" w:rsidRPr="008625DC" w:rsidRDefault="001559D4" w:rsidP="00582FDE">
            <w:pPr>
              <w:pStyle w:val="Boxheading2"/>
            </w:pPr>
            <w:r w:rsidRPr="008625DC">
              <w:t>Choice and information</w:t>
            </w:r>
          </w:p>
          <w:p w14:paraId="23F5E20B" w14:textId="77777777" w:rsidR="001559D4" w:rsidRPr="008625DC" w:rsidRDefault="001559D4" w:rsidP="00582FDE">
            <w:pPr>
              <w:pStyle w:val="BoxText"/>
            </w:pPr>
            <w:r w:rsidRPr="008625DC">
              <w:t>With the advent of competition in the market, most job seekers could choose from a number of providers in their area, however, the PC found that only around one in five job seekers were making an active choice. In addition, once a job seeker was allocated to a provider, they were generally not permitted to switch providers. One method for enhancing user engagement and improving choice is through the provision of accurate and relevant information.</w:t>
            </w:r>
          </w:p>
          <w:p w14:paraId="2AED7A24" w14:textId="77777777" w:rsidR="001559D4" w:rsidRPr="008625DC" w:rsidRDefault="001559D4" w:rsidP="00582FDE">
            <w:pPr>
              <w:pStyle w:val="Boxheading2"/>
            </w:pPr>
            <w:r w:rsidRPr="008625DC">
              <w:t>Tendering versus licensing</w:t>
            </w:r>
          </w:p>
          <w:p w14:paraId="73738F1E" w14:textId="77777777" w:rsidR="001559D4" w:rsidRPr="008625DC" w:rsidRDefault="001559D4" w:rsidP="00582FDE">
            <w:pPr>
              <w:pStyle w:val="BoxText"/>
            </w:pPr>
            <w:r w:rsidRPr="008625DC">
              <w:t>While the move from a monopoly provider to a tendered market did result in some benefits, tendering can be complex and expensive; and might also result in an excessive focus on price, ultimately leading to a lower quality of service. The PC recommended that a licensing system could be more appropriate, which would allow any agency that met and maintained the prescribed standards to provide services at the going prices.</w:t>
            </w:r>
          </w:p>
          <w:p w14:paraId="33465C26" w14:textId="77777777" w:rsidR="001559D4" w:rsidRPr="008625DC" w:rsidRDefault="001559D4" w:rsidP="00582FDE">
            <w:pPr>
              <w:pStyle w:val="Boxheading2"/>
            </w:pPr>
            <w:r w:rsidRPr="008625DC">
              <w:t>Regulation</w:t>
            </w:r>
          </w:p>
          <w:p w14:paraId="2D49E703" w14:textId="77777777" w:rsidR="001559D4" w:rsidRPr="008625DC" w:rsidRDefault="001559D4" w:rsidP="00582FDE">
            <w:pPr>
              <w:pStyle w:val="BoxText"/>
            </w:pPr>
            <w:r w:rsidRPr="008625DC">
              <w:t>In the job services market, the PC found that regulatory oversight imposed excessive compliance burdens — undermining the desirable flexibility of the system. The PC recommended adoption of a risk management approach to contract monitoring, based on minimum necessary surveillance to ensure accountability and achievement of specified goals.</w:t>
            </w:r>
          </w:p>
        </w:tc>
      </w:tr>
    </w:tbl>
    <w:p w14:paraId="5CC7FAB2" w14:textId="77777777" w:rsidR="001559D4" w:rsidRPr="008625DC" w:rsidRDefault="001559D4" w:rsidP="00582FDE">
      <w:pPr>
        <w:spacing w:before="240" w:after="120"/>
      </w:pPr>
      <w:r w:rsidRPr="008625DC">
        <w:t>Potential issues with implementation do not mean that competition reforms in human services should be abandoned. In his review of government service sector reform, Peter Shergold noted:</w:t>
      </w:r>
    </w:p>
    <w:p w14:paraId="7EE96CCE" w14:textId="77777777" w:rsidR="001559D4" w:rsidRPr="008625DC" w:rsidRDefault="001559D4" w:rsidP="001559D4">
      <w:pPr>
        <w:pStyle w:val="Quotes"/>
      </w:pPr>
      <w:r w:rsidRPr="008625DC">
        <w:t>A culture of innovation needs to be actively encouraged. Risk should be managed prudently by a willingness to pilot, demonstrate and evaluate new approaches. In the public arena, as elsewhere, any innovation carries risk of failure. In the design of community services, there should be a willingness to trial often, fail early, and learn quickly from mistakes. At present too much public innovation involves frontline employees finding workarounds to heavily prescribed processes.</w:t>
      </w:r>
      <w:r w:rsidRPr="008625DC">
        <w:rPr>
          <w:rStyle w:val="FootnoteReference"/>
          <w:rFonts w:cs="Arial"/>
        </w:rPr>
        <w:footnoteReference w:id="217"/>
      </w:r>
    </w:p>
    <w:p w14:paraId="5C001B7D" w14:textId="77777777" w:rsidR="001559D4" w:rsidRPr="008625DC" w:rsidRDefault="001559D4" w:rsidP="001559D4">
      <w:pPr>
        <w:rPr>
          <w:color w:val="auto"/>
        </w:rPr>
      </w:pPr>
      <w:r w:rsidRPr="008625DC">
        <w:lastRenderedPageBreak/>
        <w:t>The Panel favours an environment where individual jurisdictions work together and share lessons learned in an effort to encourage high</w:t>
      </w:r>
      <w:r w:rsidRPr="008625DC">
        <w:noBreakHyphen/>
        <w:t xml:space="preserve">quality user outcomes. Results and feedback from trials or pilot schemes can be disseminated via an intergovernmental process. Through encouraging communication and the sharing of knowledge </w:t>
      </w:r>
      <w:r w:rsidRPr="008625DC">
        <w:rPr>
          <w:color w:val="auto"/>
        </w:rPr>
        <w:t>among jurisdictions, continuous learning can be factored into human services delivery models.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559D4" w:rsidRPr="008625DC" w14:paraId="6CE2900E" w14:textId="77777777" w:rsidTr="001559D4">
        <w:tc>
          <w:tcPr>
            <w:tcW w:w="5000" w:type="pct"/>
            <w:shd w:val="clear" w:color="auto" w:fill="FFFFFF" w:themeFill="background1"/>
          </w:tcPr>
          <w:p w14:paraId="0B2B5F9B" w14:textId="77777777" w:rsidR="001559D4" w:rsidRPr="008625DC" w:rsidRDefault="001559D4" w:rsidP="001559D4">
            <w:pPr>
              <w:pStyle w:val="Keyfindingheading"/>
            </w:pPr>
            <w:r w:rsidRPr="008625DC">
              <w:t>The Panel’s view</w:t>
            </w:r>
          </w:p>
          <w:p w14:paraId="19FF84F1" w14:textId="77777777" w:rsidR="001559D4" w:rsidRPr="008625DC" w:rsidRDefault="001559D4" w:rsidP="001559D4">
            <w:pPr>
              <w:pStyle w:val="Keyfindingtext"/>
            </w:pPr>
            <w:r w:rsidRPr="008625DC">
              <w:t>Implementing changes to human services needs to be well considered and will require refinement over time to promote high</w:t>
            </w:r>
            <w:r w:rsidRPr="008625DC">
              <w:noBreakHyphen/>
              <w:t>quality user outcomes.</w:t>
            </w:r>
          </w:p>
          <w:p w14:paraId="7A9BDDE6" w14:textId="77777777" w:rsidR="001559D4" w:rsidRPr="008625DC" w:rsidRDefault="001559D4" w:rsidP="001559D4">
            <w:pPr>
              <w:pStyle w:val="Keyfindingtext"/>
            </w:pPr>
            <w:r w:rsidRPr="008625DC">
              <w:t>Governments can progressively introduce change through trials or pilot schemes.</w:t>
            </w:r>
          </w:p>
          <w:p w14:paraId="489CC447" w14:textId="77777777" w:rsidR="001559D4" w:rsidRPr="008625DC" w:rsidRDefault="001559D4" w:rsidP="001559D4">
            <w:pPr>
              <w:pStyle w:val="Keyfindingtext"/>
            </w:pPr>
            <w:r w:rsidRPr="008625DC">
              <w:t>While any change may result in implementation issues, the Panel considers that potential issues with implementation do not mean that competition reforms in human services should be abandoned.</w:t>
            </w:r>
          </w:p>
          <w:p w14:paraId="4122BE12" w14:textId="79CF9BF3" w:rsidR="001559D4" w:rsidRPr="008625DC" w:rsidRDefault="001559D4" w:rsidP="001559D4">
            <w:pPr>
              <w:pStyle w:val="Keyfindingtext"/>
            </w:pPr>
            <w:r w:rsidRPr="008625DC">
              <w:t xml:space="preserve">Feedback and lessons learned from trials can be disseminated via an intergovernmental process </w:t>
            </w:r>
            <w:r w:rsidR="008571C9" w:rsidRPr="008625DC">
              <w:t>that</w:t>
            </w:r>
            <w:r w:rsidRPr="008625DC">
              <w:t xml:space="preserve"> encourages jurisdictions to continually improve service delivery. </w:t>
            </w:r>
          </w:p>
        </w:tc>
      </w:tr>
    </w:tbl>
    <w:p w14:paraId="4ABD48EB" w14:textId="77777777" w:rsidR="001559D4" w:rsidRPr="008625DC" w:rsidRDefault="001559D4" w:rsidP="001559D4">
      <w:pPr>
        <w:pStyle w:val="SingleParagraph"/>
      </w:pPr>
    </w:p>
    <w:p w14:paraId="5AA3457F" w14:textId="77777777" w:rsidR="001559D4" w:rsidRPr="008625DC" w:rsidRDefault="001559D4" w:rsidP="001559D4">
      <w:pPr>
        <w:pStyle w:val="Quotes"/>
        <w:ind w:left="0"/>
      </w:pPr>
      <w:r w:rsidRPr="008625DC">
        <w:br w:type="page"/>
      </w:r>
    </w:p>
    <w:p w14:paraId="50BEA8C3" w14:textId="77777777" w:rsidR="001E4B43" w:rsidRPr="008625DC" w:rsidRDefault="001E4B43" w:rsidP="001E4B43">
      <w:pPr>
        <w:pStyle w:val="Heading1"/>
        <w:ind w:left="851" w:hanging="851"/>
      </w:pPr>
      <w:bookmarkStart w:id="24459" w:name="_Toc398827374"/>
      <w:bookmarkStart w:id="24460" w:name="_Toc398827568"/>
      <w:r w:rsidRPr="008625DC">
        <w:lastRenderedPageBreak/>
        <w:t>Competitive neutrality</w:t>
      </w:r>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59"/>
      <w:bookmarkEnd w:id="24460"/>
      <w:r w:rsidRPr="008625DC">
        <w:t xml:space="preserve"> </w:t>
      </w:r>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p>
    <w:p w14:paraId="3D5D2EC3" w14:textId="77777777" w:rsidR="001E4B43" w:rsidRPr="008625DC" w:rsidRDefault="001E4B43" w:rsidP="001E4B43">
      <w:pPr>
        <w:pStyle w:val="Heading2"/>
        <w:ind w:left="851" w:hanging="851"/>
        <w:rPr>
          <w:lang w:val="en-AU"/>
        </w:rPr>
      </w:pPr>
      <w:bookmarkStart w:id="24461" w:name="_Toc396144042"/>
      <w:bookmarkStart w:id="24462" w:name="_Toc396145551"/>
      <w:bookmarkStart w:id="24463" w:name="_Toc396147517"/>
      <w:bookmarkStart w:id="24464" w:name="_Toc396147803"/>
      <w:bookmarkStart w:id="24465" w:name="_Toc396147106"/>
      <w:bookmarkStart w:id="24466" w:name="_Toc396147392"/>
      <w:bookmarkStart w:id="24467" w:name="_Toc396149059"/>
      <w:bookmarkStart w:id="24468" w:name="_Toc396148773"/>
      <w:bookmarkStart w:id="24469" w:name="_Toc396149554"/>
      <w:bookmarkStart w:id="24470" w:name="_Toc396149199"/>
      <w:bookmarkStart w:id="24471" w:name="_Toc396149485"/>
      <w:bookmarkStart w:id="24472" w:name="_Toc396149162"/>
      <w:bookmarkStart w:id="24473" w:name="_Toc396149907"/>
      <w:bookmarkStart w:id="24474" w:name="_Toc396149657"/>
      <w:bookmarkStart w:id="24475" w:name="_Toc396150498"/>
      <w:bookmarkStart w:id="24476" w:name="_Toc396151387"/>
      <w:bookmarkStart w:id="24477" w:name="_Toc396151681"/>
      <w:bookmarkStart w:id="24478" w:name="_Toc396201608"/>
      <w:bookmarkStart w:id="24479" w:name="_Toc396202398"/>
      <w:bookmarkStart w:id="24480" w:name="_Toc396202693"/>
      <w:bookmarkStart w:id="24481" w:name="_Toc396203310"/>
      <w:bookmarkStart w:id="24482" w:name="_Toc396206606"/>
      <w:bookmarkStart w:id="24483" w:name="_Toc396206900"/>
      <w:bookmarkStart w:id="24484" w:name="_Toc396209434"/>
      <w:bookmarkStart w:id="24485" w:name="_Toc396209728"/>
      <w:bookmarkStart w:id="24486" w:name="_Toc396211858"/>
      <w:bookmarkStart w:id="24487" w:name="_Toc396212152"/>
      <w:bookmarkStart w:id="24488" w:name="_Toc396213202"/>
      <w:bookmarkStart w:id="24489" w:name="_Toc396213494"/>
      <w:bookmarkStart w:id="24490" w:name="_Toc396214045"/>
      <w:bookmarkStart w:id="24491" w:name="_Toc396214480"/>
      <w:bookmarkStart w:id="24492" w:name="_Toc396214770"/>
      <w:bookmarkStart w:id="24493" w:name="_Toc396220330"/>
      <w:bookmarkStart w:id="24494" w:name="_Toc396226592"/>
      <w:bookmarkStart w:id="24495" w:name="_Toc396226881"/>
      <w:bookmarkStart w:id="24496" w:name="_Toc396228792"/>
      <w:bookmarkStart w:id="24497" w:name="_Toc396229087"/>
      <w:bookmarkStart w:id="24498" w:name="_Toc396230434"/>
      <w:bookmarkStart w:id="24499" w:name="_Toc396230729"/>
      <w:bookmarkStart w:id="24500" w:name="_Toc396231871"/>
      <w:bookmarkStart w:id="24501" w:name="_Toc396233214"/>
      <w:bookmarkStart w:id="24502" w:name="_Toc396233511"/>
      <w:bookmarkStart w:id="24503" w:name="_Toc396234034"/>
      <w:bookmarkStart w:id="24504" w:name="_Toc396234331"/>
      <w:bookmarkStart w:id="24505" w:name="_Toc396234444"/>
      <w:bookmarkStart w:id="24506" w:name="_Toc396236178"/>
      <w:bookmarkStart w:id="24507" w:name="_Toc396235956"/>
      <w:bookmarkStart w:id="24508" w:name="_Toc396236566"/>
      <w:bookmarkStart w:id="24509" w:name="_Toc396237085"/>
      <w:bookmarkStart w:id="24510" w:name="_Toc396397428"/>
      <w:bookmarkStart w:id="24511" w:name="_Toc396304609"/>
      <w:bookmarkStart w:id="24512" w:name="_Toc396586144"/>
      <w:bookmarkStart w:id="24513" w:name="_Toc396815165"/>
      <w:bookmarkStart w:id="24514" w:name="_Toc396821114"/>
      <w:bookmarkStart w:id="24515" w:name="_Toc396821722"/>
      <w:bookmarkStart w:id="24516" w:name="_Toc396827572"/>
      <w:bookmarkStart w:id="24517" w:name="_Toc396828543"/>
      <w:bookmarkStart w:id="24518" w:name="_Toc396828653"/>
      <w:bookmarkStart w:id="24519" w:name="_Toc396838042"/>
      <w:bookmarkStart w:id="24520" w:name="_Toc396838440"/>
      <w:bookmarkStart w:id="24521" w:name="_Toc396904763"/>
      <w:bookmarkStart w:id="24522" w:name="_Toc396907597"/>
      <w:bookmarkStart w:id="24523" w:name="_Toc396912516"/>
      <w:bookmarkStart w:id="24524" w:name="_Toc396914496"/>
      <w:bookmarkStart w:id="24525" w:name="_Toc396915380"/>
      <w:bookmarkStart w:id="24526" w:name="_Toc396915774"/>
      <w:bookmarkStart w:id="24527" w:name="_Toc396921085"/>
      <w:bookmarkStart w:id="24528" w:name="_Toc396924425"/>
      <w:bookmarkStart w:id="24529" w:name="_Toc396925119"/>
      <w:bookmarkStart w:id="24530" w:name="_Toc396992239"/>
      <w:bookmarkStart w:id="24531" w:name="_Toc396992818"/>
      <w:bookmarkStart w:id="24532" w:name="_Toc396994482"/>
      <w:bookmarkStart w:id="24533" w:name="_Toc397002252"/>
      <w:bookmarkStart w:id="24534" w:name="_Toc397003171"/>
      <w:bookmarkStart w:id="24535" w:name="_Toc397008729"/>
      <w:bookmarkStart w:id="24536" w:name="_Toc397008947"/>
      <w:bookmarkStart w:id="24537" w:name="_Toc397011619"/>
      <w:bookmarkStart w:id="24538" w:name="_Toc397012681"/>
      <w:bookmarkStart w:id="24539" w:name="_Toc397015023"/>
      <w:bookmarkStart w:id="24540" w:name="_Toc397015510"/>
      <w:bookmarkStart w:id="24541" w:name="_Toc397070580"/>
      <w:bookmarkStart w:id="24542" w:name="_Toc397413330"/>
      <w:bookmarkStart w:id="24543" w:name="_Toc397413477"/>
      <w:bookmarkStart w:id="24544" w:name="_Toc397428051"/>
      <w:bookmarkStart w:id="24545" w:name="_Toc397439439"/>
      <w:bookmarkStart w:id="24546" w:name="_Toc397439609"/>
      <w:bookmarkStart w:id="24547" w:name="_Toc397439865"/>
      <w:bookmarkStart w:id="24548" w:name="_Toc397440167"/>
      <w:bookmarkStart w:id="24549" w:name="_Toc397441796"/>
      <w:bookmarkStart w:id="24550" w:name="_Toc397517498"/>
      <w:bookmarkStart w:id="24551" w:name="_Toc397522763"/>
      <w:bookmarkStart w:id="24552" w:name="_Toc397526181"/>
      <w:bookmarkStart w:id="24553" w:name="_Toc397528496"/>
      <w:bookmarkStart w:id="24554" w:name="_Toc397528971"/>
      <w:bookmarkStart w:id="24555" w:name="_Toc397601968"/>
      <w:bookmarkStart w:id="24556" w:name="_Toc397602703"/>
      <w:bookmarkStart w:id="24557" w:name="_Toc397605836"/>
      <w:bookmarkStart w:id="24558" w:name="_Toc397614533"/>
      <w:bookmarkStart w:id="24559" w:name="_Toc397614976"/>
      <w:bookmarkStart w:id="24560" w:name="_Toc397616419"/>
      <w:bookmarkStart w:id="24561" w:name="_Toc397616813"/>
      <w:bookmarkStart w:id="24562" w:name="_Toc397688111"/>
      <w:bookmarkStart w:id="24563" w:name="_Toc397689327"/>
      <w:bookmarkStart w:id="24564" w:name="_Toc397694607"/>
      <w:bookmarkStart w:id="24565" w:name="_Toc397696448"/>
      <w:bookmarkStart w:id="24566" w:name="_Toc397697182"/>
      <w:bookmarkStart w:id="24567" w:name="_Toc397698469"/>
      <w:bookmarkStart w:id="24568" w:name="_Toc397699835"/>
      <w:bookmarkStart w:id="24569" w:name="_Toc397700289"/>
      <w:bookmarkStart w:id="24570" w:name="_Toc397936681"/>
      <w:bookmarkStart w:id="24571" w:name="_Toc397936801"/>
      <w:bookmarkStart w:id="24572" w:name="_Toc397945957"/>
      <w:bookmarkStart w:id="24573" w:name="_Toc397946983"/>
      <w:bookmarkStart w:id="24574" w:name="_Toc397948102"/>
      <w:bookmarkStart w:id="24575" w:name="_Toc397958508"/>
      <w:bookmarkStart w:id="24576" w:name="_Toc397958750"/>
      <w:bookmarkStart w:id="24577" w:name="_Toc397959165"/>
      <w:bookmarkStart w:id="24578" w:name="_Toc397963018"/>
      <w:bookmarkStart w:id="24579" w:name="_Toc397963384"/>
      <w:bookmarkStart w:id="24580" w:name="_Toc397965461"/>
      <w:bookmarkStart w:id="24581" w:name="_Toc398197399"/>
      <w:bookmarkStart w:id="24582" w:name="_Toc398199902"/>
      <w:bookmarkStart w:id="24583" w:name="_Toc398201616"/>
      <w:bookmarkStart w:id="24584" w:name="_Toc398207221"/>
      <w:bookmarkStart w:id="24585" w:name="_Toc398209925"/>
      <w:bookmarkStart w:id="24586" w:name="_Toc398210494"/>
      <w:bookmarkStart w:id="24587" w:name="_Toc398211008"/>
      <w:bookmarkStart w:id="24588" w:name="_Toc398219816"/>
      <w:bookmarkStart w:id="24589" w:name="_Toc398220191"/>
      <w:bookmarkStart w:id="24590" w:name="_Toc398220578"/>
      <w:bookmarkStart w:id="24591" w:name="_Toc398221656"/>
      <w:bookmarkStart w:id="24592" w:name="_Toc398222342"/>
      <w:bookmarkStart w:id="24593" w:name="_Toc398222654"/>
      <w:bookmarkStart w:id="24594" w:name="_Toc398223071"/>
      <w:bookmarkStart w:id="24595" w:name="_Toc398223450"/>
      <w:bookmarkStart w:id="24596" w:name="_Toc398223577"/>
      <w:bookmarkStart w:id="24597" w:name="_Toc398224385"/>
      <w:bookmarkStart w:id="24598" w:name="_Toc398225722"/>
      <w:bookmarkStart w:id="24599" w:name="_Toc398225847"/>
      <w:bookmarkStart w:id="24600" w:name="_Toc398281334"/>
      <w:bookmarkStart w:id="24601" w:name="_Toc398282193"/>
      <w:bookmarkStart w:id="24602" w:name="_Toc398284863"/>
      <w:bookmarkStart w:id="24603" w:name="_Toc398287332"/>
      <w:bookmarkStart w:id="24604" w:name="_Toc398289215"/>
      <w:bookmarkStart w:id="24605" w:name="_Toc398297212"/>
      <w:bookmarkStart w:id="24606" w:name="_Toc398298686"/>
      <w:bookmarkStart w:id="24607" w:name="_Toc398300387"/>
      <w:bookmarkStart w:id="24608" w:name="_Toc398301284"/>
      <w:bookmarkStart w:id="24609" w:name="_Toc398302469"/>
      <w:bookmarkStart w:id="24610" w:name="_Toc398302632"/>
      <w:bookmarkStart w:id="24611" w:name="_Toc398549146"/>
      <w:bookmarkStart w:id="24612" w:name="_Toc398549396"/>
      <w:bookmarkStart w:id="24613" w:name="_Toc398555815"/>
      <w:bookmarkStart w:id="24614" w:name="_Toc398559019"/>
      <w:bookmarkStart w:id="24615" w:name="_Toc398563505"/>
      <w:bookmarkStart w:id="24616" w:name="_Toc398563638"/>
      <w:bookmarkStart w:id="24617" w:name="_Toc398564037"/>
      <w:bookmarkStart w:id="24618" w:name="_Toc398827375"/>
      <w:bookmarkStart w:id="24619" w:name="_Toc398827569"/>
      <w:bookmarkStart w:id="24620" w:name="_Toc394654495"/>
      <w:bookmarkStart w:id="24621" w:name="_Toc394654653"/>
      <w:bookmarkStart w:id="24622" w:name="_Toc394656195"/>
      <w:bookmarkStart w:id="24623" w:name="_Toc394656352"/>
      <w:bookmarkStart w:id="24624" w:name="_Toc394659332"/>
      <w:bookmarkStart w:id="24625" w:name="_Toc394659490"/>
      <w:bookmarkStart w:id="24626" w:name="_Toc394663345"/>
      <w:bookmarkStart w:id="24627" w:name="_Toc394663501"/>
      <w:bookmarkStart w:id="24628" w:name="_Toc394667139"/>
      <w:bookmarkStart w:id="24629" w:name="_Toc394667295"/>
      <w:bookmarkStart w:id="24630" w:name="_Toc394671618"/>
      <w:bookmarkStart w:id="24631" w:name="_Toc394671778"/>
      <w:bookmarkStart w:id="24632" w:name="_Toc394674620"/>
      <w:bookmarkStart w:id="24633" w:name="_Toc394674783"/>
      <w:bookmarkStart w:id="24634" w:name="_Toc394674897"/>
      <w:bookmarkStart w:id="24635" w:name="_Toc394675063"/>
      <w:bookmarkStart w:id="24636" w:name="_Toc394676008"/>
      <w:bookmarkStart w:id="24637" w:name="_Toc394676170"/>
      <w:bookmarkStart w:id="24638" w:name="_Toc394675696"/>
      <w:bookmarkStart w:id="24639" w:name="_Toc394675859"/>
      <w:bookmarkStart w:id="24640" w:name="_Toc394918259"/>
      <w:bookmarkStart w:id="24641" w:name="_Toc394918773"/>
      <w:bookmarkStart w:id="24642" w:name="_Toc394930745"/>
      <w:bookmarkStart w:id="24643" w:name="_Toc394933658"/>
      <w:bookmarkStart w:id="24644" w:name="_Toc394938104"/>
      <w:bookmarkStart w:id="24645" w:name="_Toc394938314"/>
      <w:bookmarkStart w:id="24646" w:name="_Toc394938606"/>
      <w:bookmarkStart w:id="24647" w:name="_Toc394937594"/>
      <w:bookmarkStart w:id="24648" w:name="_Toc394937888"/>
      <w:bookmarkStart w:id="24649" w:name="_Toc394941016"/>
      <w:bookmarkStart w:id="24650" w:name="_Toc394941225"/>
      <w:bookmarkStart w:id="24651" w:name="_Toc394941517"/>
      <w:bookmarkStart w:id="24652" w:name="_Toc394941632"/>
      <w:bookmarkStart w:id="24653" w:name="_Toc394941841"/>
      <w:bookmarkStart w:id="24654" w:name="_Toc394942133"/>
      <w:bookmarkStart w:id="24655" w:name="_Toc394939853"/>
      <w:bookmarkStart w:id="24656" w:name="_Toc394940063"/>
      <w:bookmarkStart w:id="24657" w:name="_Toc394940355"/>
      <w:bookmarkStart w:id="24658" w:name="_Toc394939465"/>
      <w:bookmarkStart w:id="24659" w:name="_Toc394939673"/>
      <w:bookmarkStart w:id="24660" w:name="_Toc394940569"/>
      <w:bookmarkStart w:id="24661" w:name="_Toc394993570"/>
      <w:bookmarkStart w:id="24662" w:name="_Toc394995451"/>
      <w:bookmarkStart w:id="24663" w:name="_Toc394995765"/>
      <w:bookmarkStart w:id="24664" w:name="_Toc394996051"/>
      <w:bookmarkStart w:id="24665" w:name="_Toc394997777"/>
      <w:bookmarkStart w:id="24666" w:name="_Toc394998010"/>
      <w:bookmarkStart w:id="24667" w:name="_Toc394998292"/>
      <w:bookmarkStart w:id="24668" w:name="_Toc394998524"/>
      <w:bookmarkStart w:id="24669" w:name="_Toc395001787"/>
      <w:bookmarkStart w:id="24670" w:name="_Toc395002023"/>
      <w:bookmarkStart w:id="24671" w:name="_Toc395001503"/>
      <w:bookmarkStart w:id="24672" w:name="_Toc395003377"/>
      <w:bookmarkStart w:id="24673" w:name="_Toc395005165"/>
      <w:bookmarkStart w:id="24674" w:name="_Toc395005381"/>
      <w:bookmarkStart w:id="24675" w:name="_Toc395005618"/>
      <w:bookmarkStart w:id="24676" w:name="_Toc395008958"/>
      <w:bookmarkStart w:id="24677" w:name="_Toc395009612"/>
      <w:bookmarkStart w:id="24678" w:name="_Toc395011744"/>
      <w:bookmarkStart w:id="24679" w:name="_Toc395010144"/>
      <w:bookmarkStart w:id="24680" w:name="_Toc395010351"/>
      <w:bookmarkStart w:id="24681" w:name="_Toc395009986"/>
      <w:bookmarkStart w:id="24682" w:name="_Toc395011512"/>
      <w:bookmarkStart w:id="24683" w:name="_Toc395012330"/>
      <w:bookmarkStart w:id="24684" w:name="_Toc395012535"/>
      <w:bookmarkStart w:id="24685" w:name="_Toc395012920"/>
      <w:bookmarkStart w:id="24686" w:name="_Toc395010940"/>
      <w:bookmarkStart w:id="24687" w:name="_Toc395012208"/>
      <w:bookmarkStart w:id="24688" w:name="_Toc395012884"/>
      <w:bookmarkStart w:id="24689" w:name="_Toc395012000"/>
      <w:bookmarkStart w:id="24690" w:name="_Toc395014609"/>
      <w:bookmarkStart w:id="24691" w:name="_Toc395013200"/>
      <w:bookmarkStart w:id="24692" w:name="_Toc395084691"/>
      <w:bookmarkStart w:id="24693" w:name="_Toc395084992"/>
      <w:bookmarkStart w:id="24694" w:name="_Toc395090237"/>
      <w:bookmarkStart w:id="24695" w:name="_Toc395090455"/>
      <w:bookmarkStart w:id="24696" w:name="_Toc395090716"/>
      <w:bookmarkStart w:id="24697" w:name="_Toc395092605"/>
      <w:bookmarkStart w:id="24698" w:name="_Toc395092817"/>
      <w:bookmarkStart w:id="24699" w:name="_Toc395093039"/>
      <w:bookmarkStart w:id="24700" w:name="_Toc395093299"/>
      <w:bookmarkStart w:id="24701" w:name="_Toc395097728"/>
      <w:bookmarkStart w:id="24702" w:name="_Toc395097951"/>
      <w:bookmarkStart w:id="24703" w:name="_Toc395098209"/>
      <w:bookmarkStart w:id="24704" w:name="_Toc395105394"/>
      <w:bookmarkStart w:id="24705" w:name="_Toc395106136"/>
      <w:bookmarkStart w:id="24706" w:name="_Toc395106997"/>
      <w:bookmarkStart w:id="24707" w:name="_Toc395109869"/>
      <w:bookmarkStart w:id="24708" w:name="_Toc395109655"/>
      <w:bookmarkStart w:id="24709" w:name="_Toc395111872"/>
      <w:bookmarkStart w:id="24710" w:name="_Toc395112106"/>
      <w:bookmarkStart w:id="24711" w:name="_Toc395112360"/>
      <w:bookmarkStart w:id="24712" w:name="_Toc395107246"/>
      <w:bookmarkStart w:id="24713" w:name="_Toc395107505"/>
      <w:bookmarkStart w:id="24714" w:name="_Toc395109460"/>
      <w:bookmarkStart w:id="24715" w:name="_Toc395108552"/>
      <w:bookmarkStart w:id="24716" w:name="_Toc395108809"/>
      <w:bookmarkStart w:id="24717" w:name="_Toc395113792"/>
      <w:bookmarkStart w:id="24718" w:name="_Toc395114049"/>
      <w:bookmarkStart w:id="24719" w:name="_Toc395114312"/>
      <w:bookmarkStart w:id="24720" w:name="_Toc395116528"/>
      <w:bookmarkStart w:id="24721" w:name="_Toc395116786"/>
      <w:bookmarkStart w:id="24722" w:name="_Toc395117050"/>
      <w:bookmarkStart w:id="24723" w:name="_Toc395112465"/>
      <w:bookmarkStart w:id="24724" w:name="_Toc395112723"/>
      <w:bookmarkStart w:id="24725" w:name="_Toc395113168"/>
      <w:bookmarkStart w:id="24726" w:name="_Toc395115004"/>
      <w:bookmarkStart w:id="24727" w:name="_Toc395115263"/>
      <w:bookmarkStart w:id="24728" w:name="_Toc395115527"/>
      <w:bookmarkStart w:id="24729" w:name="_Toc395118159"/>
      <w:bookmarkStart w:id="24730" w:name="_Toc395118415"/>
      <w:bookmarkStart w:id="24731" w:name="_Toc395118677"/>
      <w:bookmarkStart w:id="24732" w:name="_Toc395178369"/>
      <w:bookmarkStart w:id="24733" w:name="_Toc395178701"/>
      <w:bookmarkStart w:id="24734" w:name="_Toc395624609"/>
      <w:bookmarkStart w:id="24735" w:name="_Toc395624858"/>
      <w:bookmarkStart w:id="24736" w:name="_Toc395789712"/>
      <w:bookmarkStart w:id="24737" w:name="_Toc395789961"/>
      <w:bookmarkStart w:id="24738" w:name="_Toc395800718"/>
      <w:bookmarkStart w:id="24739" w:name="_Toc395802841"/>
      <w:bookmarkStart w:id="24740" w:name="_Toc395867632"/>
      <w:bookmarkStart w:id="24741" w:name="_Toc395868541"/>
      <w:bookmarkStart w:id="24742" w:name="_Toc395868764"/>
      <w:bookmarkStart w:id="24743" w:name="_Toc395879143"/>
      <w:bookmarkStart w:id="24744" w:name="_Toc395882046"/>
      <w:bookmarkStart w:id="24745" w:name="_Toc395882267"/>
      <w:bookmarkStart w:id="24746" w:name="_Toc395882377"/>
      <w:bookmarkStart w:id="24747" w:name="_Toc395882598"/>
      <w:bookmarkStart w:id="24748" w:name="_Toc395880541"/>
      <w:bookmarkStart w:id="24749" w:name="_Toc395880872"/>
      <w:bookmarkStart w:id="24750" w:name="_Toc395881430"/>
      <w:bookmarkStart w:id="24751" w:name="_Toc395881651"/>
      <w:bookmarkStart w:id="24752" w:name="_Toc395881363"/>
      <w:bookmarkStart w:id="24753" w:name="_Toc395883815"/>
      <w:bookmarkStart w:id="24754" w:name="_Toc395884036"/>
      <w:bookmarkStart w:id="24755" w:name="_Toc395880770"/>
      <w:bookmarkStart w:id="24756" w:name="_Toc395884477"/>
      <w:bookmarkStart w:id="24757" w:name="_Toc395884698"/>
      <w:bookmarkStart w:id="24758" w:name="_Toc395883186"/>
      <w:bookmarkStart w:id="24759" w:name="_Toc395883407"/>
      <w:bookmarkStart w:id="24760" w:name="_Toc395883516"/>
      <w:bookmarkStart w:id="24761" w:name="_Toc395883737"/>
      <w:bookmarkStart w:id="24762" w:name="_Toc395884818"/>
      <w:bookmarkStart w:id="24763" w:name="_Toc396123846"/>
      <w:bookmarkStart w:id="24764" w:name="_Toc396130749"/>
      <w:bookmarkStart w:id="24765" w:name="_Toc396136327"/>
      <w:bookmarkStart w:id="24766" w:name="_Toc396138781"/>
      <w:bookmarkEnd w:id="24456"/>
      <w:r w:rsidRPr="008625DC">
        <w:rPr>
          <w:lang w:val="en-AU"/>
        </w:rPr>
        <w:t>W</w:t>
      </w:r>
      <w:bookmarkEnd w:id="24461"/>
      <w:bookmarkEnd w:id="24462"/>
      <w:bookmarkEnd w:id="24463"/>
      <w:bookmarkEnd w:id="24464"/>
      <w:bookmarkEnd w:id="24465"/>
      <w:bookmarkEnd w:id="24466"/>
      <w:bookmarkEnd w:id="24467"/>
      <w:bookmarkEnd w:id="24468"/>
      <w:bookmarkEnd w:id="24469"/>
      <w:r w:rsidRPr="008625DC">
        <w:rPr>
          <w:lang w:val="en-AU"/>
        </w:rPr>
        <w:t>hat is competitive neutrality?</w:t>
      </w:r>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r w:rsidRPr="008625DC">
        <w:rPr>
          <w:lang w:val="en-AU"/>
        </w:rPr>
        <w:t xml:space="preserve"> </w:t>
      </w:r>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p>
    <w:p w14:paraId="3AD7B439" w14:textId="0D3848F1" w:rsidR="001E4B43" w:rsidRPr="008625DC" w:rsidRDefault="001E4B43" w:rsidP="001E4B43">
      <w:pPr>
        <w:spacing w:after="120"/>
      </w:pPr>
      <w:r w:rsidRPr="008625DC">
        <w:t>The concept of competitive neutrality is broad. The Organisation for Economic Co</w:t>
      </w:r>
      <w:r w:rsidR="00C74E19" w:rsidRPr="008625DC">
        <w:noBreakHyphen/>
      </w:r>
      <w:r w:rsidRPr="008625DC">
        <w:t>operation and Development (OECD) recently defined competitive neutrality as occurring:</w:t>
      </w:r>
    </w:p>
    <w:p w14:paraId="0029D031" w14:textId="4E044D65" w:rsidR="001E4B43" w:rsidRPr="008625DC" w:rsidRDefault="00582FDE" w:rsidP="001E4B43">
      <w:pPr>
        <w:pStyle w:val="Quotes"/>
      </w:pPr>
      <w:r w:rsidRPr="008625DC">
        <w:t>[</w:t>
      </w:r>
      <w:r w:rsidR="00CD4B2B">
        <w:t>W</w:t>
      </w:r>
      <w:r w:rsidRPr="008625DC">
        <w:t>]</w:t>
      </w:r>
      <w:r w:rsidR="001E4B43" w:rsidRPr="008625DC">
        <w:t>here no entity operating in an economic market is subject to undue competitive advantages or disadvantages.</w:t>
      </w:r>
      <w:r w:rsidR="001E4B43" w:rsidRPr="008625DC">
        <w:rPr>
          <w:rStyle w:val="FootnoteReference"/>
        </w:rPr>
        <w:footnoteReference w:id="218"/>
      </w:r>
    </w:p>
    <w:p w14:paraId="5F24A757" w14:textId="77777777" w:rsidR="001E4B43" w:rsidRPr="008625DC" w:rsidRDefault="001E4B43" w:rsidP="001E4B43">
      <w:r w:rsidRPr="008625DC">
        <w:t xml:space="preserve">Competitive neutrality can be affected by ownership, institutional forms or specific objectives of entities. </w:t>
      </w:r>
    </w:p>
    <w:p w14:paraId="1C348FA6" w14:textId="167E2FA5" w:rsidR="001E4B43" w:rsidRPr="008625DC" w:rsidRDefault="001E4B43" w:rsidP="001E4B43">
      <w:r w:rsidRPr="008625DC">
        <w:t>The rationale for pursuing competitive neutrality is to improve the allocation of the economy</w:t>
      </w:r>
      <w:r w:rsidR="00C74E19" w:rsidRPr="008625DC">
        <w:t>’</w:t>
      </w:r>
      <w:r w:rsidRPr="008625DC">
        <w:t xml:space="preserve">s resources and to improve competitive processes. Governments compete with the private sector in a variety of markets. If government has undue advantage relative to other players, this can result in government having lower costs and therefore being able to charge lower prices than private sector competitors. </w:t>
      </w:r>
    </w:p>
    <w:p w14:paraId="27778968" w14:textId="77777777" w:rsidR="001E4B43" w:rsidRPr="008625DC" w:rsidRDefault="001E4B43" w:rsidP="001E4B43">
      <w:pPr>
        <w:spacing w:after="120"/>
      </w:pPr>
      <w:r w:rsidRPr="008625DC">
        <w:t xml:space="preserve">Government ownership can result in undue advantage if one or more of the following exist: </w:t>
      </w:r>
    </w:p>
    <w:p w14:paraId="2FDF13CE" w14:textId="77777777" w:rsidR="001E4B43" w:rsidRPr="008625DC" w:rsidRDefault="001E4B43" w:rsidP="001E4B43">
      <w:pPr>
        <w:pStyle w:val="Bullet"/>
      </w:pPr>
      <w:r w:rsidRPr="008625DC">
        <w:t>tax exemptions or concessions, for example income tax, payroll tax, land tax and stamp duty;</w:t>
      </w:r>
    </w:p>
    <w:p w14:paraId="1C078215" w14:textId="77777777" w:rsidR="001E4B43" w:rsidRPr="008625DC" w:rsidRDefault="001E4B43" w:rsidP="001E4B43">
      <w:pPr>
        <w:pStyle w:val="Bullet"/>
      </w:pPr>
      <w:r w:rsidRPr="008625DC">
        <w:t xml:space="preserve">cheaper debt financing reflecting the credit risk of governments; </w:t>
      </w:r>
    </w:p>
    <w:p w14:paraId="6716149A" w14:textId="77777777" w:rsidR="001E4B43" w:rsidRPr="008625DC" w:rsidRDefault="001E4B43" w:rsidP="001E4B43">
      <w:pPr>
        <w:pStyle w:val="Bullet"/>
      </w:pPr>
      <w:r w:rsidRPr="008625DC">
        <w:t>the absence of a requirement to make a commercial rate of return on assets; and</w:t>
      </w:r>
    </w:p>
    <w:p w14:paraId="552141E5" w14:textId="77777777" w:rsidR="001E4B43" w:rsidRPr="008625DC" w:rsidRDefault="001E4B43" w:rsidP="001E4B43">
      <w:pPr>
        <w:pStyle w:val="Bullet"/>
        <w:spacing w:after="240"/>
      </w:pPr>
      <w:proofErr w:type="gramStart"/>
      <w:r w:rsidRPr="008625DC">
        <w:t>exemptions</w:t>
      </w:r>
      <w:proofErr w:type="gramEnd"/>
      <w:r w:rsidRPr="008625DC">
        <w:t xml:space="preserve"> from regulatory constraints or costs. </w:t>
      </w:r>
    </w:p>
    <w:p w14:paraId="77E9C1E2" w14:textId="77777777" w:rsidR="001E4B43" w:rsidRPr="008625DC" w:rsidRDefault="001E4B43" w:rsidP="001E4B43">
      <w:pPr>
        <w:spacing w:after="120"/>
      </w:pPr>
      <w:r w:rsidRPr="008625DC">
        <w:t xml:space="preserve">As part of the Competition Principles Agreement (CPA), all Australian governments committed to applying competition principles to government business activities. The objective of competitive neutrality, as expressed in the CPA is: </w:t>
      </w:r>
    </w:p>
    <w:p w14:paraId="5DBFF72E" w14:textId="7780AB30" w:rsidR="001E4B43" w:rsidRPr="008625DC" w:rsidRDefault="00582FDE" w:rsidP="001E4B43">
      <w:pPr>
        <w:pStyle w:val="Quotes"/>
      </w:pPr>
      <w:r w:rsidRPr="008625DC">
        <w:t>[</w:t>
      </w:r>
      <w:r w:rsidR="0009009B">
        <w:t>T</w:t>
      </w:r>
      <w:r w:rsidRPr="008625DC">
        <w:t>]</w:t>
      </w:r>
      <w:r w:rsidR="001E4B43" w:rsidRPr="008625DC">
        <w:t>he elimination of resource allocation distortions arising out of the public ownership of entities engaged in significant business activities: Government businesses should not enjoy any net competitive advantage simply as a result of their public sector ownership.</w:t>
      </w:r>
      <w:r w:rsidR="001E4B43" w:rsidRPr="008625DC">
        <w:rPr>
          <w:rStyle w:val="FootnoteReference"/>
        </w:rPr>
        <w:footnoteReference w:id="219"/>
      </w:r>
    </w:p>
    <w:p w14:paraId="287A981F" w14:textId="534C6951" w:rsidR="001E4B43" w:rsidRPr="008625DC" w:rsidRDefault="001E4B43" w:rsidP="001E4B43">
      <w:r w:rsidRPr="008625DC">
        <w:t xml:space="preserve">Each jurisdiction developed its own competitive neutrality policy, guidelines and </w:t>
      </w:r>
      <w:r w:rsidR="00582FDE" w:rsidRPr="008625DC">
        <w:t>complaint</w:t>
      </w:r>
      <w:r w:rsidR="00C74E19" w:rsidRPr="008625DC">
        <w:noBreakHyphen/>
      </w:r>
      <w:r w:rsidRPr="008625DC">
        <w:t>handling mechanism (some are handled by independent units; others by regulators or departments).</w:t>
      </w:r>
      <w:r w:rsidRPr="008625DC">
        <w:rPr>
          <w:rStyle w:val="FootnoteReference"/>
        </w:rPr>
        <w:footnoteReference w:id="220"/>
      </w:r>
      <w:r w:rsidRPr="008625DC">
        <w:t xml:space="preserve"> </w:t>
      </w:r>
    </w:p>
    <w:p w14:paraId="022AB322" w14:textId="77777777" w:rsidR="001E4B43" w:rsidRPr="008625DC" w:rsidRDefault="001E4B43" w:rsidP="001E4B43">
      <w:r w:rsidRPr="008625DC">
        <w:t>Although there is some variation, the policies require government business activities to charge prices that fully reflect costs and to compete on the same footing as private sector businesses in terms of taxation, debt, regulation and earning a commercial rate of return. The principle of competitive neutrality does not extend to competitive advantages arising from factors such as business size, skills, location or customer loyalty.</w:t>
      </w:r>
      <w:r w:rsidRPr="008625DC">
        <w:rPr>
          <w:rStyle w:val="FootnoteReference"/>
        </w:rPr>
        <w:footnoteReference w:id="221"/>
      </w:r>
      <w:r w:rsidRPr="008625DC">
        <w:t xml:space="preserve"> </w:t>
      </w:r>
    </w:p>
    <w:p w14:paraId="3B26D8F9" w14:textId="453BFA16" w:rsidR="001E4B43" w:rsidRPr="008625DC" w:rsidRDefault="001E4B43" w:rsidP="001E4B43">
      <w:r w:rsidRPr="008625DC">
        <w:lastRenderedPageBreak/>
        <w:t>Competitive neutrality arrangements apply to significant government businesses (where the benefits from doing so outweigh the costs), not to non</w:t>
      </w:r>
      <w:r w:rsidR="00C74E19" w:rsidRPr="008625DC">
        <w:noBreakHyphen/>
      </w:r>
      <w:r w:rsidRPr="008625DC">
        <w:t>profit, non</w:t>
      </w:r>
      <w:r w:rsidR="00C74E19" w:rsidRPr="008625DC">
        <w:noBreakHyphen/>
      </w:r>
      <w:r w:rsidRPr="008625DC">
        <w:t>business activities (</w:t>
      </w:r>
      <w:r w:rsidRPr="008625DC">
        <w:rPr>
          <w:color w:val="auto"/>
        </w:rPr>
        <w:t xml:space="preserve">Box 11.1). </w:t>
      </w:r>
      <w:r w:rsidRPr="008625DC">
        <w:t xml:space="preserve">The threshold test used for identifying </w:t>
      </w:r>
      <w:r w:rsidR="00C74E19" w:rsidRPr="008625DC">
        <w:t>‘</w:t>
      </w:r>
      <w:r w:rsidRPr="008625DC">
        <w:t>significant</w:t>
      </w:r>
      <w:r w:rsidR="00C74E19" w:rsidRPr="008625DC">
        <w:t>’</w:t>
      </w:r>
      <w:r w:rsidRPr="008625DC">
        <w:t xml:space="preserve"> business activities varies across the jurisdictions. </w:t>
      </w:r>
    </w:p>
    <w:tbl>
      <w:tblPr>
        <w:tblW w:w="9072" w:type="dxa"/>
        <w:tblInd w:w="108" w:type="dxa"/>
        <w:shd w:val="clear" w:color="auto" w:fill="E6E6E6"/>
        <w:tblLook w:val="01E0" w:firstRow="1" w:lastRow="1" w:firstColumn="1" w:lastColumn="1" w:noHBand="0" w:noVBand="0"/>
      </w:tblPr>
      <w:tblGrid>
        <w:gridCol w:w="9072"/>
      </w:tblGrid>
      <w:tr w:rsidR="001E4B43" w:rsidRPr="008625DC" w14:paraId="0FC97C26" w14:textId="77777777" w:rsidTr="001E4B43">
        <w:tc>
          <w:tcPr>
            <w:tcW w:w="5000" w:type="pct"/>
            <w:shd w:val="clear" w:color="auto" w:fill="E6E6E6"/>
          </w:tcPr>
          <w:p w14:paraId="5C5E9615" w14:textId="77777777" w:rsidR="001E4B43" w:rsidRPr="008625DC" w:rsidRDefault="001E4B43" w:rsidP="001E4B43">
            <w:pPr>
              <w:pStyle w:val="BoxHeading"/>
            </w:pPr>
            <w:r w:rsidRPr="008625DC">
              <w:t xml:space="preserve">Box 11.1: Significant government business activity </w:t>
            </w:r>
          </w:p>
          <w:p w14:paraId="33B09B5E" w14:textId="03B85A9F" w:rsidR="001E4B43" w:rsidRPr="008625DC" w:rsidRDefault="001E4B43" w:rsidP="001E4B43">
            <w:pPr>
              <w:pStyle w:val="BoxText"/>
            </w:pPr>
            <w:r w:rsidRPr="008625DC">
              <w:t xml:space="preserve">The Australian Government Competitive Neutrality Complaints Office asks two questions to determine whether government </w:t>
            </w:r>
            <w:r w:rsidR="002C16E2" w:rsidRPr="008625DC">
              <w:t>entities</w:t>
            </w:r>
            <w:r w:rsidRPr="008625DC">
              <w:t xml:space="preserve"> are operating a significant business activity.</w:t>
            </w:r>
            <w:r w:rsidRPr="008625DC">
              <w:rPr>
                <w:rStyle w:val="FootnoteReference"/>
              </w:rPr>
              <w:t xml:space="preserve"> </w:t>
            </w:r>
            <w:r w:rsidRPr="008625DC">
              <w:rPr>
                <w:rStyle w:val="FootnoteReference"/>
              </w:rPr>
              <w:footnoteReference w:id="222"/>
            </w:r>
            <w:r w:rsidRPr="008625DC">
              <w:rPr>
                <w:rStyle w:val="FootnoteReference"/>
              </w:rPr>
              <w:t xml:space="preserve"> </w:t>
            </w:r>
          </w:p>
          <w:p w14:paraId="194522AB" w14:textId="77777777" w:rsidR="001E4B43" w:rsidRPr="008625DC" w:rsidRDefault="001E4B43" w:rsidP="00582FDE">
            <w:pPr>
              <w:pStyle w:val="Boxheading2"/>
              <w:rPr>
                <w:b w:val="0"/>
              </w:rPr>
            </w:pPr>
            <w:r w:rsidRPr="008625DC">
              <w:t xml:space="preserve">Question 1: Is the entity conducting a business? </w:t>
            </w:r>
          </w:p>
          <w:p w14:paraId="0C4FB278" w14:textId="77777777" w:rsidR="001E4B43" w:rsidRPr="008625DC" w:rsidRDefault="001E4B43" w:rsidP="00802D55">
            <w:pPr>
              <w:pStyle w:val="ListParagraph"/>
              <w:numPr>
                <w:ilvl w:val="0"/>
                <w:numId w:val="16"/>
              </w:numPr>
              <w:ind w:left="459"/>
            </w:pPr>
            <w:r w:rsidRPr="008625DC">
              <w:t>are they charging for goods or services (not necessarily to the final consumer);</w:t>
            </w:r>
          </w:p>
          <w:p w14:paraId="687E6FD8" w14:textId="77777777" w:rsidR="001E4B43" w:rsidRPr="008625DC" w:rsidRDefault="001E4B43" w:rsidP="00802D55">
            <w:pPr>
              <w:pStyle w:val="ListParagraph"/>
              <w:numPr>
                <w:ilvl w:val="0"/>
                <w:numId w:val="16"/>
              </w:numPr>
              <w:ind w:left="459"/>
            </w:pPr>
            <w:r w:rsidRPr="008625DC">
              <w:t xml:space="preserve">is there an actual or potential competitor (either in the private or public sector) — purchasers are not to be restricted by law or policy from choosing alternative sources of supply; and </w:t>
            </w:r>
          </w:p>
          <w:p w14:paraId="5595B1E5" w14:textId="77777777" w:rsidR="001E4B43" w:rsidRPr="008625DC" w:rsidRDefault="001E4B43" w:rsidP="00802D55">
            <w:pPr>
              <w:pStyle w:val="ListParagraph"/>
              <w:numPr>
                <w:ilvl w:val="0"/>
                <w:numId w:val="16"/>
              </w:numPr>
              <w:spacing w:after="180"/>
              <w:ind w:left="459"/>
            </w:pPr>
            <w:proofErr w:type="gramStart"/>
            <w:r w:rsidRPr="008625DC">
              <w:t>do</w:t>
            </w:r>
            <w:proofErr w:type="gramEnd"/>
            <w:r w:rsidRPr="008625DC">
              <w:t xml:space="preserve"> managers have a degree of independence in relation to the production or supply of the good or service </w:t>
            </w:r>
            <w:r w:rsidRPr="008625DC">
              <w:rPr>
                <w:i/>
              </w:rPr>
              <w:t>and</w:t>
            </w:r>
            <w:r w:rsidRPr="008625DC">
              <w:t xml:space="preserve"> the price at which it is provided? </w:t>
            </w:r>
          </w:p>
          <w:p w14:paraId="6AD684C4" w14:textId="77777777" w:rsidR="001E4B43" w:rsidRPr="008625DC" w:rsidRDefault="001E4B43" w:rsidP="00802D55">
            <w:pPr>
              <w:spacing w:after="180"/>
            </w:pPr>
            <w:r w:rsidRPr="008625DC">
              <w:t xml:space="preserve">If the answer is yes to all these questions, then the entity is conducting a business. </w:t>
            </w:r>
          </w:p>
          <w:p w14:paraId="42B04698" w14:textId="77777777" w:rsidR="001E4B43" w:rsidRPr="008625DC" w:rsidRDefault="001E4B43" w:rsidP="00802D55">
            <w:pPr>
              <w:pStyle w:val="Boxheading2"/>
              <w:rPr>
                <w:b w:val="0"/>
              </w:rPr>
            </w:pPr>
            <w:r w:rsidRPr="008625DC">
              <w:t xml:space="preserve">Question 2: Is the business significant? </w:t>
            </w:r>
          </w:p>
          <w:p w14:paraId="7F910490" w14:textId="77777777" w:rsidR="001E4B43" w:rsidRPr="008625DC" w:rsidRDefault="001E4B43" w:rsidP="001E4B43">
            <w:pPr>
              <w:pStyle w:val="BoxText"/>
            </w:pPr>
            <w:r w:rsidRPr="008625DC">
              <w:t>The following business activities are automatically considered significant for the purposes of competitive neutrality policy:</w:t>
            </w:r>
          </w:p>
          <w:p w14:paraId="79691639" w14:textId="77777777" w:rsidR="001E4B43" w:rsidRPr="008625DC" w:rsidRDefault="001E4B43" w:rsidP="00467524">
            <w:pPr>
              <w:pStyle w:val="BoxBullet"/>
              <w:rPr>
                <w:lang w:val="en-AU"/>
              </w:rPr>
            </w:pPr>
            <w:r w:rsidRPr="008625DC">
              <w:rPr>
                <w:lang w:val="en-AU"/>
              </w:rPr>
              <w:t>all government business enterprises and their subsidiaries;</w:t>
            </w:r>
          </w:p>
          <w:p w14:paraId="4F8689F5" w14:textId="77777777" w:rsidR="001E4B43" w:rsidRPr="008625DC" w:rsidRDefault="001E4B43" w:rsidP="00467524">
            <w:pPr>
              <w:pStyle w:val="BoxBullet"/>
              <w:rPr>
                <w:lang w:val="en-AU"/>
              </w:rPr>
            </w:pPr>
            <w:r w:rsidRPr="008625DC">
              <w:rPr>
                <w:lang w:val="en-AU"/>
              </w:rPr>
              <w:t>all Commonwealth companies;</w:t>
            </w:r>
          </w:p>
          <w:p w14:paraId="77676294" w14:textId="77777777" w:rsidR="001E4B43" w:rsidRPr="008625DC" w:rsidRDefault="001E4B43" w:rsidP="00467524">
            <w:pPr>
              <w:pStyle w:val="BoxBullet"/>
              <w:rPr>
                <w:lang w:val="en-AU"/>
              </w:rPr>
            </w:pPr>
            <w:r w:rsidRPr="008625DC">
              <w:rPr>
                <w:lang w:val="en-AU"/>
              </w:rPr>
              <w:t>all business units;</w:t>
            </w:r>
          </w:p>
          <w:p w14:paraId="543DBB27" w14:textId="77777777" w:rsidR="001E4B43" w:rsidRPr="008625DC" w:rsidRDefault="001E4B43" w:rsidP="00467524">
            <w:pPr>
              <w:pStyle w:val="BoxBullet"/>
              <w:rPr>
                <w:lang w:val="en-AU"/>
              </w:rPr>
            </w:pPr>
            <w:r w:rsidRPr="008625DC">
              <w:rPr>
                <w:lang w:val="en-AU"/>
              </w:rPr>
              <w:t>baseline costing for activities undertaken for market testing purposes;</w:t>
            </w:r>
          </w:p>
          <w:p w14:paraId="5F41BCE1" w14:textId="77777777" w:rsidR="001E4B43" w:rsidRPr="008625DC" w:rsidRDefault="001E4B43" w:rsidP="00467524">
            <w:pPr>
              <w:pStyle w:val="BoxBullet"/>
              <w:rPr>
                <w:lang w:val="en-AU"/>
              </w:rPr>
            </w:pPr>
            <w:r w:rsidRPr="008625DC">
              <w:rPr>
                <w:lang w:val="en-AU"/>
              </w:rPr>
              <w:t>public sector bids over $10 million; and</w:t>
            </w:r>
          </w:p>
          <w:p w14:paraId="77F7EB49" w14:textId="77777777" w:rsidR="001E4B43" w:rsidRPr="008625DC" w:rsidRDefault="001E4B43" w:rsidP="00802D55">
            <w:pPr>
              <w:pStyle w:val="BoxBullet"/>
              <w:spacing w:after="180"/>
              <w:rPr>
                <w:lang w:val="en-AU"/>
              </w:rPr>
            </w:pPr>
            <w:proofErr w:type="gramStart"/>
            <w:r w:rsidRPr="008625DC">
              <w:rPr>
                <w:lang w:val="en-AU"/>
              </w:rPr>
              <w:t>other</w:t>
            </w:r>
            <w:proofErr w:type="gramEnd"/>
            <w:r w:rsidRPr="008625DC">
              <w:rPr>
                <w:lang w:val="en-AU"/>
              </w:rPr>
              <w:t xml:space="preserve"> government business activities undertaken by prescribed agencies or departments with a commercial turnover of at least $10 million per annum.</w:t>
            </w:r>
          </w:p>
          <w:p w14:paraId="7D0A50C4" w14:textId="77777777" w:rsidR="001E4B43" w:rsidRPr="008625DC" w:rsidRDefault="001E4B43" w:rsidP="001E4B43">
            <w:pPr>
              <w:pStyle w:val="BoxText"/>
            </w:pPr>
            <w:r w:rsidRPr="008625DC">
              <w:t>Competitive neutrality arrangements apply to significant business activities, but only to the extent that the benefits of the arrangements outweigh the costs.</w:t>
            </w:r>
          </w:p>
        </w:tc>
      </w:tr>
    </w:tbl>
    <w:p w14:paraId="3FAC648B" w14:textId="416B6F0F" w:rsidR="001E4B43" w:rsidRPr="008625DC" w:rsidRDefault="001E4B43" w:rsidP="00802D55">
      <w:pPr>
        <w:spacing w:before="240" w:after="120"/>
      </w:pPr>
      <w:r w:rsidRPr="008625DC">
        <w:t>The application of competitive neutrality involves separating out commercial and non</w:t>
      </w:r>
      <w:r w:rsidR="00C74E19" w:rsidRPr="008625DC">
        <w:noBreakHyphen/>
      </w:r>
      <w:r w:rsidRPr="008625DC">
        <w:t xml:space="preserve">commercial activities. As the OECD says: </w:t>
      </w:r>
    </w:p>
    <w:p w14:paraId="5399FED0" w14:textId="3F0E970B" w:rsidR="001E4B43" w:rsidRPr="008625DC" w:rsidRDefault="001E4B43" w:rsidP="001E4B43">
      <w:pPr>
        <w:pStyle w:val="Quotes"/>
      </w:pPr>
      <w:r w:rsidRPr="008625DC">
        <w:t>An important aspect in addressing competitive neutrality is the degree of corporatisation of government business activities and the extent to which commercial and non</w:t>
      </w:r>
      <w:r w:rsidR="00C74E19" w:rsidRPr="008625DC">
        <w:noBreakHyphen/>
      </w:r>
      <w:r w:rsidRPr="008625DC">
        <w:t>commercial activities are structurally separated. Separation makes it easier for the commercial activities to operate in a market</w:t>
      </w:r>
      <w:r w:rsidR="00C74E19" w:rsidRPr="008625DC">
        <w:noBreakHyphen/>
      </w:r>
      <w:r w:rsidRPr="008625DC">
        <w:t>consistent way.</w:t>
      </w:r>
      <w:r w:rsidRPr="008625DC">
        <w:rPr>
          <w:rStyle w:val="FootnoteReference"/>
        </w:rPr>
        <w:footnoteReference w:id="223"/>
      </w:r>
    </w:p>
    <w:p w14:paraId="55D154FE" w14:textId="77777777" w:rsidR="001E4B43" w:rsidRPr="008625DC" w:rsidRDefault="001E4B43" w:rsidP="001E4B43">
      <w:r w:rsidRPr="008625DC">
        <w:t xml:space="preserve">The CPA states that significant government business enterprises (classified as Public Trading Enterprises and Public Financial Enterprises under the Government Financial Statistics Classification) should adopt (where appropriate) a corporatisation model and impose similar commercial and regulatory obligations as those faced by private sector businesses. For other significant business </w:t>
      </w:r>
      <w:r w:rsidRPr="008625DC">
        <w:lastRenderedPageBreak/>
        <w:t>activities undertaken by agencies as part of a broader range of functions, the CPA suggests that the same principles should be applied or agencies should ensure that prices charged for goods and services reflect the full costs of service delivery (</w:t>
      </w:r>
      <w:r w:rsidRPr="008625DC">
        <w:rPr>
          <w:color w:val="auto"/>
        </w:rPr>
        <w:t>Box 11.2)</w:t>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1E4B43" w:rsidRPr="008625DC" w14:paraId="39E27DDF" w14:textId="77777777" w:rsidTr="001E4B43">
        <w:tc>
          <w:tcPr>
            <w:tcW w:w="5000" w:type="pct"/>
            <w:shd w:val="clear" w:color="auto" w:fill="E6E6E6"/>
          </w:tcPr>
          <w:p w14:paraId="5AB66F89" w14:textId="23211F43" w:rsidR="001E4B43" w:rsidRPr="008625DC" w:rsidRDefault="001E4B43" w:rsidP="001E4B43">
            <w:pPr>
              <w:pStyle w:val="BoxHeading"/>
            </w:pPr>
            <w:r w:rsidRPr="008625DC">
              <w:t>Box 11.2: Corporatisation, commercialisation and full cost</w:t>
            </w:r>
            <w:r w:rsidR="00C74E19" w:rsidRPr="008625DC">
              <w:noBreakHyphen/>
            </w:r>
            <w:r w:rsidRPr="008625DC">
              <w:t xml:space="preserve">reflective pricing </w:t>
            </w:r>
          </w:p>
          <w:p w14:paraId="23E1BDC0" w14:textId="74AB8F45" w:rsidR="001E4B43" w:rsidRPr="008625DC" w:rsidRDefault="001E4B43" w:rsidP="001E4B43">
            <w:pPr>
              <w:pStyle w:val="BoxText"/>
            </w:pPr>
            <w:r w:rsidRPr="008625DC">
              <w:t>A range of measures have been adopted to achieve competitive neutrality including corporatisation, commercialisation and cost</w:t>
            </w:r>
            <w:r w:rsidR="00C74E19" w:rsidRPr="008625DC">
              <w:noBreakHyphen/>
            </w:r>
            <w:r w:rsidRPr="008625DC">
              <w:t>reflective pricing.</w:t>
            </w:r>
            <w:r w:rsidRPr="008625DC">
              <w:rPr>
                <w:rStyle w:val="FootnoteReference"/>
              </w:rPr>
              <w:footnoteReference w:id="224"/>
            </w:r>
          </w:p>
          <w:p w14:paraId="26394691" w14:textId="77777777" w:rsidR="001E4B43" w:rsidRPr="008625DC" w:rsidRDefault="001E4B43" w:rsidP="001E4B43">
            <w:pPr>
              <w:spacing w:after="120"/>
            </w:pPr>
            <w:r w:rsidRPr="008625DC">
              <w:rPr>
                <w:b/>
              </w:rPr>
              <w:t>Corporatisation</w:t>
            </w:r>
            <w:r w:rsidRPr="008625DC">
              <w:t xml:space="preserve"> — the creation of a separate legal business entity to provide the relevant goods and services. Such an entity is characterised by:</w:t>
            </w:r>
          </w:p>
          <w:p w14:paraId="7E54FE04" w14:textId="24D67D32" w:rsidR="001E4B43" w:rsidRPr="008625DC" w:rsidRDefault="001E4B43" w:rsidP="00467524">
            <w:pPr>
              <w:pStyle w:val="BoxBullet"/>
              <w:rPr>
                <w:lang w:val="en-AU"/>
              </w:rPr>
            </w:pPr>
            <w:r w:rsidRPr="008625DC">
              <w:rPr>
                <w:lang w:val="en-AU"/>
              </w:rPr>
              <w:t>clear and non</w:t>
            </w:r>
            <w:r w:rsidR="00C74E19" w:rsidRPr="008625DC">
              <w:rPr>
                <w:lang w:val="en-AU"/>
              </w:rPr>
              <w:noBreakHyphen/>
            </w:r>
            <w:r w:rsidRPr="008625DC">
              <w:rPr>
                <w:lang w:val="en-AU"/>
              </w:rPr>
              <w:t>conflicting objectives;</w:t>
            </w:r>
          </w:p>
          <w:p w14:paraId="1DA1DB63" w14:textId="77777777" w:rsidR="001E4B43" w:rsidRPr="008625DC" w:rsidRDefault="001E4B43" w:rsidP="00467524">
            <w:pPr>
              <w:pStyle w:val="BoxBullet"/>
              <w:rPr>
                <w:lang w:val="en-AU"/>
              </w:rPr>
            </w:pPr>
            <w:r w:rsidRPr="008625DC">
              <w:rPr>
                <w:lang w:val="en-AU"/>
              </w:rPr>
              <w:t>managerial responsibility, authority and autonomy;</w:t>
            </w:r>
          </w:p>
          <w:p w14:paraId="656A2913" w14:textId="77777777" w:rsidR="001E4B43" w:rsidRPr="008625DC" w:rsidRDefault="001E4B43" w:rsidP="00467524">
            <w:pPr>
              <w:pStyle w:val="BoxBullet"/>
              <w:rPr>
                <w:lang w:val="en-AU"/>
              </w:rPr>
            </w:pPr>
            <w:r w:rsidRPr="008625DC">
              <w:rPr>
                <w:lang w:val="en-AU"/>
              </w:rPr>
              <w:t>independent and objective performance monitoring; and</w:t>
            </w:r>
          </w:p>
          <w:p w14:paraId="34B69C03" w14:textId="7E2F8C2E" w:rsidR="001E4B43" w:rsidRPr="008625DC" w:rsidRDefault="001E4B43" w:rsidP="00802D55">
            <w:pPr>
              <w:pStyle w:val="BoxBullet"/>
              <w:spacing w:after="180"/>
              <w:rPr>
                <w:lang w:val="en-AU"/>
              </w:rPr>
            </w:pPr>
            <w:proofErr w:type="gramStart"/>
            <w:r w:rsidRPr="008625DC">
              <w:rPr>
                <w:lang w:val="en-AU"/>
              </w:rPr>
              <w:t>performance</w:t>
            </w:r>
            <w:r w:rsidR="00C74E19" w:rsidRPr="008625DC">
              <w:rPr>
                <w:lang w:val="en-AU"/>
              </w:rPr>
              <w:noBreakHyphen/>
            </w:r>
            <w:r w:rsidRPr="008625DC">
              <w:rPr>
                <w:lang w:val="en-AU"/>
              </w:rPr>
              <w:t>based</w:t>
            </w:r>
            <w:proofErr w:type="gramEnd"/>
            <w:r w:rsidRPr="008625DC">
              <w:rPr>
                <w:lang w:val="en-AU"/>
              </w:rPr>
              <w:t xml:space="preserve"> rewards and sanctions. </w:t>
            </w:r>
          </w:p>
          <w:p w14:paraId="5C8BFE53" w14:textId="0831B454" w:rsidR="001E4B43" w:rsidRPr="008625DC" w:rsidRDefault="001E4B43" w:rsidP="001E4B43">
            <w:pPr>
              <w:pStyle w:val="BoxText"/>
            </w:pPr>
            <w:r w:rsidRPr="008625DC">
              <w:rPr>
                <w:b/>
              </w:rPr>
              <w:t>Commercialisation</w:t>
            </w:r>
            <w:r w:rsidRPr="008625DC">
              <w:t xml:space="preserve"> — organising an activity along commercial lines without creating a separate legal business entity. This is typically achieved by introducing and applying a set of commercial practices to the business functions of the government agency. Relevant commercial practices include separate accounting for, and funding of, non</w:t>
            </w:r>
            <w:r w:rsidR="00C74E19" w:rsidRPr="008625DC">
              <w:noBreakHyphen/>
            </w:r>
            <w:r w:rsidRPr="008625DC">
              <w:t xml:space="preserve">commercial activities and separation of regulatory functions from commercial activities. </w:t>
            </w:r>
          </w:p>
          <w:p w14:paraId="01A88AD3" w14:textId="1CA5362B" w:rsidR="001E4B43" w:rsidRPr="008625DC" w:rsidRDefault="001E4B43" w:rsidP="00094FE2">
            <w:pPr>
              <w:pStyle w:val="BoxText"/>
            </w:pPr>
            <w:r w:rsidRPr="008625DC">
              <w:rPr>
                <w:b/>
              </w:rPr>
              <w:t>Full cost</w:t>
            </w:r>
            <w:r w:rsidR="00C74E19" w:rsidRPr="008625DC">
              <w:rPr>
                <w:b/>
              </w:rPr>
              <w:noBreakHyphen/>
            </w:r>
            <w:r w:rsidRPr="008625DC">
              <w:rPr>
                <w:b/>
              </w:rPr>
              <w:t>reflective pricing</w:t>
            </w:r>
            <w:r w:rsidRPr="008625DC">
              <w:t xml:space="preserve"> — taking into account all the costs that can be attributed to the provision of the good or service (including cost advantages and disadvantages of government ownership). </w:t>
            </w:r>
          </w:p>
        </w:tc>
      </w:tr>
    </w:tbl>
    <w:p w14:paraId="410396D9" w14:textId="77777777" w:rsidR="001E4B43" w:rsidRPr="008625DC" w:rsidRDefault="001E4B43" w:rsidP="00802D55">
      <w:pPr>
        <w:spacing w:before="240" w:after="120"/>
      </w:pPr>
      <w:r w:rsidRPr="008625DC">
        <w:t xml:space="preserve">Competitive neutrality policy does not require governments to remove community service obligations (CSOs) from their businesses. But competitive neutrality does require that any CSOs are transparent, appropriately costed and directly funded by governments. The Australian Government Competitive Neutrality Guidelines for Managers states that: </w:t>
      </w:r>
    </w:p>
    <w:p w14:paraId="41BEE909" w14:textId="5A279C03" w:rsidR="001E4B43" w:rsidRPr="008625DC" w:rsidRDefault="001E4B43" w:rsidP="001E4B43">
      <w:pPr>
        <w:pStyle w:val="Quotes"/>
      </w:pPr>
      <w:r w:rsidRPr="008625DC">
        <w:t>A best practice approach would be for CSOs to be funded from the purchasing portfolio</w:t>
      </w:r>
      <w:r w:rsidR="00C74E19" w:rsidRPr="008625DC">
        <w:t>’</w:t>
      </w:r>
      <w:r w:rsidRPr="008625DC">
        <w:t>s budget, with costs negotiated as if it were part of a commercially negotiated agreement. CSOs should include similar CN [competitive neutrality] requirements as other activities. For example, CSO activities should incorporate CN adjustments (e.g. tax adjustments) and earn a RoR [rate of return] (just as if they had been contracted out).</w:t>
      </w:r>
      <w:r w:rsidRPr="008625DC">
        <w:rPr>
          <w:rStyle w:val="FootnoteReference"/>
        </w:rPr>
        <w:footnoteReference w:id="225"/>
      </w:r>
      <w:r w:rsidRPr="008625DC">
        <w:t xml:space="preserve"> </w:t>
      </w:r>
    </w:p>
    <w:p w14:paraId="53FECED1" w14:textId="3FE17689" w:rsidR="001E4B43" w:rsidRPr="008625DC" w:rsidRDefault="001E4B43" w:rsidP="001E4B43">
      <w:r w:rsidRPr="008625DC">
        <w:t>One of the benefits of competitive neutrality is improved transparency and accountability of government business activities, including greater transparency around CSOs which in turn provides a safeguard against distorting cross</w:t>
      </w:r>
      <w:r w:rsidR="00C74E19" w:rsidRPr="008625DC">
        <w:noBreakHyphen/>
      </w:r>
      <w:r w:rsidRPr="008625DC">
        <w:t xml:space="preserve">subsidisation. </w:t>
      </w:r>
    </w:p>
    <w:p w14:paraId="71510BE1" w14:textId="77777777" w:rsidR="001E4B43" w:rsidRPr="008625DC" w:rsidRDefault="001E4B43" w:rsidP="00802D55">
      <w:pPr>
        <w:spacing w:after="120"/>
      </w:pPr>
      <w:r w:rsidRPr="008625DC">
        <w:t>The need to comply with a competitive neutrality policy can also lead to improved performance of government business activities. As Trembath has said:</w:t>
      </w:r>
    </w:p>
    <w:p w14:paraId="4D419C6A" w14:textId="6EA1403A" w:rsidR="001E4B43" w:rsidRPr="008625DC" w:rsidRDefault="001E4B43" w:rsidP="001E4B43">
      <w:pPr>
        <w:pStyle w:val="Quotes"/>
      </w:pPr>
      <w:r w:rsidRPr="008625DC">
        <w:t>CN</w:t>
      </w:r>
      <w:r w:rsidR="00C74E19" w:rsidRPr="008625DC">
        <w:t>’</w:t>
      </w:r>
      <w:r w:rsidRPr="008625DC">
        <w:t xml:space="preserve">s requirement for government entities to face comparable costs and regulations to the private sector (that is, to face market incentives) means that the owner governments make better informed decisions about the future of those entities. Full attribution of costs often leads governments to assess afresh whether they wish to provide a good or service </w:t>
      </w:r>
      <w:r w:rsidRPr="008625DC">
        <w:lastRenderedPageBreak/>
        <w:t>directly through a subsidiary entity, to introduce tenders to allow competitive bidding for the provision of the good or service, or to vacate the area of production.</w:t>
      </w:r>
      <w:r w:rsidRPr="008625DC">
        <w:rPr>
          <w:rStyle w:val="FootnoteReference"/>
        </w:rPr>
        <w:footnoteReference w:id="226"/>
      </w:r>
    </w:p>
    <w:p w14:paraId="691A7B14" w14:textId="77777777" w:rsidR="001E4B43" w:rsidRPr="008625DC" w:rsidRDefault="001E4B43" w:rsidP="001E4B43">
      <w:pPr>
        <w:pStyle w:val="Heading2"/>
        <w:ind w:left="851" w:hanging="851"/>
        <w:rPr>
          <w:lang w:val="en-AU"/>
        </w:rPr>
      </w:pPr>
      <w:bookmarkStart w:id="24767" w:name="_Toc397015511"/>
      <w:bookmarkStart w:id="24768" w:name="_Toc396149200"/>
      <w:bookmarkStart w:id="24769" w:name="_Toc396149486"/>
      <w:bookmarkStart w:id="24770" w:name="_Toc396149163"/>
      <w:bookmarkStart w:id="24771" w:name="_Toc396149908"/>
      <w:bookmarkStart w:id="24772" w:name="_Toc396149658"/>
      <w:bookmarkStart w:id="24773" w:name="_Toc396150499"/>
      <w:bookmarkStart w:id="24774" w:name="_Toc396151388"/>
      <w:bookmarkStart w:id="24775" w:name="_Toc396151682"/>
      <w:bookmarkStart w:id="24776" w:name="_Toc396201609"/>
      <w:bookmarkStart w:id="24777" w:name="_Toc396202399"/>
      <w:bookmarkStart w:id="24778" w:name="_Toc396202694"/>
      <w:bookmarkStart w:id="24779" w:name="_Toc396203311"/>
      <w:bookmarkStart w:id="24780" w:name="_Toc396206607"/>
      <w:bookmarkStart w:id="24781" w:name="_Toc396206901"/>
      <w:bookmarkStart w:id="24782" w:name="_Toc396209435"/>
      <w:bookmarkStart w:id="24783" w:name="_Toc396209729"/>
      <w:bookmarkStart w:id="24784" w:name="_Toc396211859"/>
      <w:bookmarkStart w:id="24785" w:name="_Toc396212153"/>
      <w:bookmarkStart w:id="24786" w:name="_Toc396213203"/>
      <w:bookmarkStart w:id="24787" w:name="_Toc396213495"/>
      <w:bookmarkStart w:id="24788" w:name="_Toc396214046"/>
      <w:bookmarkStart w:id="24789" w:name="_Toc396214481"/>
      <w:bookmarkStart w:id="24790" w:name="_Toc396214771"/>
      <w:bookmarkStart w:id="24791" w:name="_Toc396220331"/>
      <w:bookmarkStart w:id="24792" w:name="_Toc396226593"/>
      <w:bookmarkStart w:id="24793" w:name="_Toc396226882"/>
      <w:bookmarkStart w:id="24794" w:name="_Toc396228793"/>
      <w:bookmarkStart w:id="24795" w:name="_Toc396229088"/>
      <w:bookmarkStart w:id="24796" w:name="_Toc396230435"/>
      <w:bookmarkStart w:id="24797" w:name="_Toc396230730"/>
      <w:bookmarkStart w:id="24798" w:name="_Toc396231872"/>
      <w:bookmarkStart w:id="24799" w:name="_Toc396233215"/>
      <w:bookmarkStart w:id="24800" w:name="_Toc396233512"/>
      <w:bookmarkStart w:id="24801" w:name="_Toc396234035"/>
      <w:bookmarkStart w:id="24802" w:name="_Toc396234332"/>
      <w:bookmarkStart w:id="24803" w:name="_Toc396234445"/>
      <w:bookmarkStart w:id="24804" w:name="_Toc396236179"/>
      <w:bookmarkStart w:id="24805" w:name="_Toc396235957"/>
      <w:bookmarkStart w:id="24806" w:name="_Toc396236567"/>
      <w:bookmarkStart w:id="24807" w:name="_Toc396237086"/>
      <w:bookmarkStart w:id="24808" w:name="_Toc396397429"/>
      <w:bookmarkStart w:id="24809" w:name="_Toc396304610"/>
      <w:bookmarkStart w:id="24810" w:name="_Toc396586145"/>
      <w:bookmarkStart w:id="24811" w:name="_Toc396815166"/>
      <w:bookmarkStart w:id="24812" w:name="_Toc396821115"/>
      <w:bookmarkStart w:id="24813" w:name="_Toc396821723"/>
      <w:bookmarkStart w:id="24814" w:name="_Toc396827573"/>
      <w:bookmarkStart w:id="24815" w:name="_Toc396828544"/>
      <w:bookmarkStart w:id="24816" w:name="_Toc396828654"/>
      <w:bookmarkStart w:id="24817" w:name="_Toc396838043"/>
      <w:bookmarkStart w:id="24818" w:name="_Toc396838441"/>
      <w:bookmarkStart w:id="24819" w:name="_Toc396904764"/>
      <w:bookmarkStart w:id="24820" w:name="_Toc396907598"/>
      <w:bookmarkStart w:id="24821" w:name="_Toc396912517"/>
      <w:bookmarkStart w:id="24822" w:name="_Toc396914497"/>
      <w:bookmarkStart w:id="24823" w:name="_Toc396915381"/>
      <w:bookmarkStart w:id="24824" w:name="_Toc396915775"/>
      <w:bookmarkStart w:id="24825" w:name="_Toc396921086"/>
      <w:bookmarkStart w:id="24826" w:name="_Toc396924426"/>
      <w:bookmarkStart w:id="24827" w:name="_Toc396925120"/>
      <w:bookmarkStart w:id="24828" w:name="_Toc396992240"/>
      <w:bookmarkStart w:id="24829" w:name="_Toc396992819"/>
      <w:bookmarkStart w:id="24830" w:name="_Toc396994483"/>
      <w:bookmarkStart w:id="24831" w:name="_Toc397002253"/>
      <w:bookmarkStart w:id="24832" w:name="_Toc397003172"/>
      <w:bookmarkStart w:id="24833" w:name="_Toc397011620"/>
      <w:bookmarkStart w:id="24834" w:name="_Toc397012682"/>
      <w:bookmarkStart w:id="24835" w:name="_Toc397015024"/>
      <w:bookmarkStart w:id="24836" w:name="_Toc394654496"/>
      <w:bookmarkStart w:id="24837" w:name="_Toc394654654"/>
      <w:bookmarkStart w:id="24838" w:name="_Toc394656196"/>
      <w:bookmarkStart w:id="24839" w:name="_Toc394656353"/>
      <w:bookmarkStart w:id="24840" w:name="_Toc394659333"/>
      <w:bookmarkStart w:id="24841" w:name="_Toc394659491"/>
      <w:bookmarkStart w:id="24842" w:name="_Toc394663346"/>
      <w:bookmarkStart w:id="24843" w:name="_Toc394663502"/>
      <w:bookmarkStart w:id="24844" w:name="_Toc394667140"/>
      <w:bookmarkStart w:id="24845" w:name="_Toc394667296"/>
      <w:bookmarkStart w:id="24846" w:name="_Toc394671619"/>
      <w:bookmarkStart w:id="24847" w:name="_Toc394671779"/>
      <w:bookmarkStart w:id="24848" w:name="_Toc394674621"/>
      <w:bookmarkStart w:id="24849" w:name="_Toc394674784"/>
      <w:bookmarkStart w:id="24850" w:name="_Toc394674898"/>
      <w:bookmarkStart w:id="24851" w:name="_Toc394675064"/>
      <w:bookmarkStart w:id="24852" w:name="_Toc394676009"/>
      <w:bookmarkStart w:id="24853" w:name="_Toc394676171"/>
      <w:bookmarkStart w:id="24854" w:name="_Toc394675697"/>
      <w:bookmarkStart w:id="24855" w:name="_Toc394675860"/>
      <w:bookmarkStart w:id="24856" w:name="_Toc394918260"/>
      <w:bookmarkStart w:id="24857" w:name="_Toc394918774"/>
      <w:bookmarkStart w:id="24858" w:name="_Toc394930746"/>
      <w:bookmarkStart w:id="24859" w:name="_Toc394933659"/>
      <w:bookmarkStart w:id="24860" w:name="_Toc394938105"/>
      <w:bookmarkStart w:id="24861" w:name="_Toc394938315"/>
      <w:bookmarkStart w:id="24862" w:name="_Toc394938607"/>
      <w:bookmarkStart w:id="24863" w:name="_Toc394937595"/>
      <w:bookmarkStart w:id="24864" w:name="_Toc394937889"/>
      <w:bookmarkStart w:id="24865" w:name="_Toc394941017"/>
      <w:bookmarkStart w:id="24866" w:name="_Toc394941226"/>
      <w:bookmarkStart w:id="24867" w:name="_Toc394941518"/>
      <w:bookmarkStart w:id="24868" w:name="_Toc394941633"/>
      <w:bookmarkStart w:id="24869" w:name="_Toc394941842"/>
      <w:bookmarkStart w:id="24870" w:name="_Toc394942134"/>
      <w:bookmarkStart w:id="24871" w:name="_Toc394939854"/>
      <w:bookmarkStart w:id="24872" w:name="_Toc394940064"/>
      <w:bookmarkStart w:id="24873" w:name="_Toc394940356"/>
      <w:bookmarkStart w:id="24874" w:name="_Toc394939466"/>
      <w:bookmarkStart w:id="24875" w:name="_Toc394939674"/>
      <w:bookmarkStart w:id="24876" w:name="_Toc394940570"/>
      <w:bookmarkStart w:id="24877" w:name="_Toc394993571"/>
      <w:bookmarkStart w:id="24878" w:name="_Toc394995452"/>
      <w:bookmarkStart w:id="24879" w:name="_Toc394995766"/>
      <w:bookmarkStart w:id="24880" w:name="_Toc394996052"/>
      <w:bookmarkStart w:id="24881" w:name="_Toc394997778"/>
      <w:bookmarkStart w:id="24882" w:name="_Toc394998011"/>
      <w:bookmarkStart w:id="24883" w:name="_Toc394998293"/>
      <w:bookmarkStart w:id="24884" w:name="_Toc394998525"/>
      <w:bookmarkStart w:id="24885" w:name="_Toc395001788"/>
      <w:bookmarkStart w:id="24886" w:name="_Toc395002024"/>
      <w:bookmarkStart w:id="24887" w:name="_Toc395001504"/>
      <w:bookmarkStart w:id="24888" w:name="_Toc395003378"/>
      <w:bookmarkStart w:id="24889" w:name="_Toc395005166"/>
      <w:bookmarkStart w:id="24890" w:name="_Toc395005382"/>
      <w:bookmarkStart w:id="24891" w:name="_Toc395005619"/>
      <w:bookmarkStart w:id="24892" w:name="_Toc395008959"/>
      <w:bookmarkStart w:id="24893" w:name="_Toc395009613"/>
      <w:bookmarkStart w:id="24894" w:name="_Toc395011745"/>
      <w:bookmarkStart w:id="24895" w:name="_Toc395010145"/>
      <w:bookmarkStart w:id="24896" w:name="_Toc395010352"/>
      <w:bookmarkStart w:id="24897" w:name="_Toc395009987"/>
      <w:bookmarkStart w:id="24898" w:name="_Toc395011513"/>
      <w:bookmarkStart w:id="24899" w:name="_Toc395012331"/>
      <w:bookmarkStart w:id="24900" w:name="_Toc395012536"/>
      <w:bookmarkStart w:id="24901" w:name="_Toc395012921"/>
      <w:bookmarkStart w:id="24902" w:name="_Toc395010736"/>
      <w:bookmarkStart w:id="24903" w:name="_Toc395010941"/>
      <w:bookmarkStart w:id="24904" w:name="_Toc395012209"/>
      <w:bookmarkStart w:id="24905" w:name="_Toc395012885"/>
      <w:bookmarkStart w:id="24906" w:name="_Toc395012001"/>
      <w:bookmarkStart w:id="24907" w:name="_Toc395014610"/>
      <w:bookmarkStart w:id="24908" w:name="_Toc395013201"/>
      <w:bookmarkStart w:id="24909" w:name="_Toc395084692"/>
      <w:bookmarkStart w:id="24910" w:name="_Toc395084993"/>
      <w:bookmarkStart w:id="24911" w:name="_Toc395090238"/>
      <w:bookmarkStart w:id="24912" w:name="_Toc395090456"/>
      <w:bookmarkStart w:id="24913" w:name="_Toc395090717"/>
      <w:bookmarkStart w:id="24914" w:name="_Toc395092606"/>
      <w:bookmarkStart w:id="24915" w:name="_Toc395092818"/>
      <w:bookmarkStart w:id="24916" w:name="_Toc395093040"/>
      <w:bookmarkStart w:id="24917" w:name="_Toc395093300"/>
      <w:bookmarkStart w:id="24918" w:name="_Toc395097729"/>
      <w:bookmarkStart w:id="24919" w:name="_Toc395097952"/>
      <w:bookmarkStart w:id="24920" w:name="_Toc395098210"/>
      <w:bookmarkStart w:id="24921" w:name="_Toc395105395"/>
      <w:bookmarkStart w:id="24922" w:name="_Toc395106137"/>
      <w:bookmarkStart w:id="24923" w:name="_Toc395106998"/>
      <w:bookmarkStart w:id="24924" w:name="_Toc395109870"/>
      <w:bookmarkStart w:id="24925" w:name="_Toc395109656"/>
      <w:bookmarkStart w:id="24926" w:name="_Toc395111873"/>
      <w:bookmarkStart w:id="24927" w:name="_Toc395112107"/>
      <w:bookmarkStart w:id="24928" w:name="_Toc395112361"/>
      <w:bookmarkStart w:id="24929" w:name="_Toc395106793"/>
      <w:bookmarkStart w:id="24930" w:name="_Toc395107247"/>
      <w:bookmarkStart w:id="24931" w:name="_Toc395107506"/>
      <w:bookmarkStart w:id="24932" w:name="_Toc395109461"/>
      <w:bookmarkStart w:id="24933" w:name="_Toc395108553"/>
      <w:bookmarkStart w:id="24934" w:name="_Toc395108810"/>
      <w:bookmarkStart w:id="24935" w:name="_Toc395113793"/>
      <w:bookmarkStart w:id="24936" w:name="_Toc395114050"/>
      <w:bookmarkStart w:id="24937" w:name="_Toc395114313"/>
      <w:bookmarkStart w:id="24938" w:name="_Toc395116529"/>
      <w:bookmarkStart w:id="24939" w:name="_Toc395116787"/>
      <w:bookmarkStart w:id="24940" w:name="_Toc395117051"/>
      <w:bookmarkStart w:id="24941" w:name="_Toc395112466"/>
      <w:bookmarkStart w:id="24942" w:name="_Toc395112724"/>
      <w:bookmarkStart w:id="24943" w:name="_Toc395113169"/>
      <w:bookmarkStart w:id="24944" w:name="_Toc395115005"/>
      <w:bookmarkStart w:id="24945" w:name="_Toc395115264"/>
      <w:bookmarkStart w:id="24946" w:name="_Toc395115528"/>
      <w:bookmarkStart w:id="24947" w:name="_Toc395118160"/>
      <w:bookmarkStart w:id="24948" w:name="_Toc395118416"/>
      <w:bookmarkStart w:id="24949" w:name="_Toc395118678"/>
      <w:bookmarkStart w:id="24950" w:name="_Toc395178370"/>
      <w:bookmarkStart w:id="24951" w:name="_Toc395178702"/>
      <w:bookmarkStart w:id="24952" w:name="_Toc395624610"/>
      <w:bookmarkStart w:id="24953" w:name="_Toc395624859"/>
      <w:bookmarkStart w:id="24954" w:name="_Toc395789713"/>
      <w:bookmarkStart w:id="24955" w:name="_Toc395789962"/>
      <w:bookmarkStart w:id="24956" w:name="_Toc395800719"/>
      <w:bookmarkStart w:id="24957" w:name="_Toc395802842"/>
      <w:bookmarkStart w:id="24958" w:name="_Toc395867633"/>
      <w:bookmarkStart w:id="24959" w:name="_Toc395868542"/>
      <w:bookmarkStart w:id="24960" w:name="_Toc395868765"/>
      <w:bookmarkStart w:id="24961" w:name="_Toc395879144"/>
      <w:bookmarkStart w:id="24962" w:name="_Toc395882047"/>
      <w:bookmarkStart w:id="24963" w:name="_Toc395882268"/>
      <w:bookmarkStart w:id="24964" w:name="_Toc395882378"/>
      <w:bookmarkStart w:id="24965" w:name="_Toc395882599"/>
      <w:bookmarkStart w:id="24966" w:name="_Toc395880542"/>
      <w:bookmarkStart w:id="24967" w:name="_Toc395880873"/>
      <w:bookmarkStart w:id="24968" w:name="_Toc395881431"/>
      <w:bookmarkStart w:id="24969" w:name="_Toc395881652"/>
      <w:bookmarkStart w:id="24970" w:name="_Toc395881364"/>
      <w:bookmarkStart w:id="24971" w:name="_Toc395883816"/>
      <w:bookmarkStart w:id="24972" w:name="_Toc395884037"/>
      <w:bookmarkStart w:id="24973" w:name="_Toc395880771"/>
      <w:bookmarkStart w:id="24974" w:name="_Toc395884478"/>
      <w:bookmarkStart w:id="24975" w:name="_Toc395884699"/>
      <w:bookmarkStart w:id="24976" w:name="_Toc395883187"/>
      <w:bookmarkStart w:id="24977" w:name="_Toc395883408"/>
      <w:bookmarkStart w:id="24978" w:name="_Toc395883517"/>
      <w:bookmarkStart w:id="24979" w:name="_Toc395883738"/>
      <w:bookmarkStart w:id="24980" w:name="_Toc395884819"/>
      <w:bookmarkStart w:id="24981" w:name="_Toc396123847"/>
      <w:bookmarkStart w:id="24982" w:name="_Toc396130750"/>
      <w:bookmarkStart w:id="24983" w:name="_Toc396136328"/>
      <w:bookmarkStart w:id="24984" w:name="_Toc396138782"/>
      <w:bookmarkStart w:id="24985" w:name="_Toc396144043"/>
      <w:bookmarkStart w:id="24986" w:name="_Toc396145552"/>
      <w:bookmarkStart w:id="24987" w:name="_Toc396145696"/>
      <w:bookmarkStart w:id="24988" w:name="_Toc396145978"/>
      <w:bookmarkStart w:id="24989" w:name="_Toc396147518"/>
      <w:bookmarkStart w:id="24990" w:name="_Toc396147804"/>
      <w:bookmarkStart w:id="24991" w:name="_Toc396147107"/>
      <w:bookmarkStart w:id="24992" w:name="_Toc396147393"/>
      <w:bookmarkStart w:id="24993" w:name="_Toc396149060"/>
      <w:bookmarkStart w:id="24994" w:name="_Toc396148774"/>
      <w:bookmarkStart w:id="24995" w:name="_Toc396149555"/>
      <w:bookmarkStart w:id="24996" w:name="_Toc393985243"/>
      <w:bookmarkStart w:id="24997" w:name="_Toc393985371"/>
      <w:bookmarkStart w:id="24998" w:name="_Toc393985746"/>
      <w:bookmarkStart w:id="24999" w:name="_Toc393985875"/>
      <w:bookmarkStart w:id="25000" w:name="_Toc393986148"/>
      <w:bookmarkStart w:id="25001" w:name="_Toc393986277"/>
      <w:bookmarkStart w:id="25002" w:name="_Toc393986551"/>
      <w:bookmarkStart w:id="25003" w:name="_Toc393988158"/>
      <w:bookmarkStart w:id="25004" w:name="_Toc393988287"/>
      <w:bookmarkStart w:id="25005" w:name="_Toc393988560"/>
      <w:bookmarkStart w:id="25006" w:name="_Toc393988689"/>
      <w:bookmarkStart w:id="25007" w:name="_Toc393986681"/>
      <w:bookmarkStart w:id="25008" w:name="_Toc393989571"/>
      <w:bookmarkStart w:id="25009" w:name="_Toc393989700"/>
      <w:bookmarkStart w:id="25010" w:name="_Toc393988960"/>
      <w:bookmarkStart w:id="25011" w:name="_Toc393989088"/>
      <w:bookmarkStart w:id="25012" w:name="_Toc393990964"/>
      <w:bookmarkStart w:id="25013" w:name="_Toc393991092"/>
      <w:bookmarkStart w:id="25014" w:name="_Toc393991191"/>
      <w:bookmarkStart w:id="25015" w:name="_Toc393991948"/>
      <w:bookmarkStart w:id="25016" w:name="_Toc393992076"/>
      <w:bookmarkStart w:id="25017" w:name="_Toc394047612"/>
      <w:bookmarkStart w:id="25018" w:name="_Toc394047740"/>
      <w:bookmarkStart w:id="25019" w:name="_Toc394047851"/>
      <w:bookmarkStart w:id="25020" w:name="_Toc394048279"/>
      <w:bookmarkStart w:id="25021" w:name="_Toc394048407"/>
      <w:bookmarkStart w:id="25022" w:name="_Toc394049888"/>
      <w:bookmarkStart w:id="25023" w:name="_Toc394050019"/>
      <w:bookmarkStart w:id="25024" w:name="_Toc394051288"/>
      <w:bookmarkStart w:id="25025" w:name="_Toc394051419"/>
      <w:bookmarkStart w:id="25026" w:name="_Toc394062277"/>
      <w:bookmarkStart w:id="25027" w:name="_Toc394062566"/>
      <w:bookmarkStart w:id="25028" w:name="_Toc394069152"/>
      <w:bookmarkStart w:id="25029" w:name="_Toc394069281"/>
      <w:bookmarkStart w:id="25030" w:name="_Toc394071070"/>
      <w:bookmarkStart w:id="25031" w:name="_Toc394071199"/>
      <w:bookmarkStart w:id="25032" w:name="_Toc394312779"/>
      <w:bookmarkStart w:id="25033" w:name="_Toc394330472"/>
      <w:bookmarkStart w:id="25034" w:name="_Toc394330755"/>
      <w:bookmarkStart w:id="25035" w:name="_Toc394331270"/>
      <w:bookmarkStart w:id="25036" w:name="_Toc394331403"/>
      <w:bookmarkStart w:id="25037" w:name="_Toc394330375"/>
      <w:bookmarkStart w:id="25038" w:name="_Toc394333346"/>
      <w:bookmarkStart w:id="25039" w:name="_Toc394333478"/>
      <w:bookmarkStart w:id="25040" w:name="_Toc394333759"/>
      <w:bookmarkStart w:id="25041" w:name="_Toc394333891"/>
      <w:bookmarkStart w:id="25042" w:name="_Toc394334172"/>
      <w:bookmarkStart w:id="25043" w:name="_Toc394334304"/>
      <w:bookmarkStart w:id="25044" w:name="_Toc394334998"/>
      <w:bookmarkStart w:id="25045" w:name="_Toc394335130"/>
      <w:bookmarkStart w:id="25046" w:name="_Toc394415185"/>
      <w:bookmarkStart w:id="25047" w:name="_Toc394415338"/>
      <w:bookmarkStart w:id="25048" w:name="_Toc394412490"/>
      <w:bookmarkStart w:id="25049" w:name="_Toc394412647"/>
      <w:bookmarkStart w:id="25050" w:name="_Toc394420783"/>
      <w:bookmarkStart w:id="25051" w:name="_Toc394420940"/>
      <w:bookmarkStart w:id="25052" w:name="_Toc394423626"/>
      <w:bookmarkStart w:id="25053" w:name="_Toc394423781"/>
      <w:bookmarkStart w:id="25054" w:name="_Toc394422670"/>
      <w:bookmarkStart w:id="25055" w:name="_Toc394422825"/>
      <w:bookmarkStart w:id="25056" w:name="_Toc394423141"/>
      <w:bookmarkStart w:id="25057" w:name="_Toc394423296"/>
      <w:bookmarkStart w:id="25058" w:name="_Toc394424291"/>
      <w:bookmarkStart w:id="25059" w:name="_Toc394424444"/>
      <w:bookmarkStart w:id="25060" w:name="_Toc394492124"/>
      <w:bookmarkStart w:id="25061" w:name="_Toc394492277"/>
      <w:bookmarkStart w:id="25062" w:name="_Toc394495268"/>
      <w:bookmarkStart w:id="25063" w:name="_Toc394495421"/>
      <w:bookmarkStart w:id="25064" w:name="_Toc394498083"/>
      <w:bookmarkStart w:id="25065" w:name="_Toc394498236"/>
      <w:bookmarkStart w:id="25066" w:name="_Toc394500873"/>
      <w:bookmarkStart w:id="25067" w:name="_Toc394501026"/>
      <w:bookmarkStart w:id="25068" w:name="_Toc394502270"/>
      <w:bookmarkStart w:id="25069" w:name="_Toc394502416"/>
      <w:bookmarkStart w:id="25070" w:name="_Toc394503170"/>
      <w:bookmarkStart w:id="25071" w:name="_Toc394503774"/>
      <w:bookmarkStart w:id="25072" w:name="_Toc394502714"/>
      <w:bookmarkStart w:id="25073" w:name="_Toc394502863"/>
      <w:bookmarkStart w:id="25074" w:name="_Toc394505921"/>
      <w:bookmarkStart w:id="25075" w:name="_Toc394506192"/>
      <w:bookmarkStart w:id="25076" w:name="_Toc394506380"/>
      <w:bookmarkStart w:id="25077" w:name="_Toc394506530"/>
      <w:bookmarkStart w:id="25078" w:name="_Toc394506934"/>
      <w:bookmarkStart w:id="25079" w:name="_Toc394507084"/>
      <w:bookmarkStart w:id="25080" w:name="_Toc394561007"/>
      <w:bookmarkStart w:id="25081" w:name="_Toc394561161"/>
      <w:bookmarkStart w:id="25082" w:name="_Toc394561468"/>
      <w:bookmarkStart w:id="25083" w:name="_Toc394561994"/>
      <w:bookmarkStart w:id="25084" w:name="_Toc394582956"/>
      <w:bookmarkStart w:id="25085" w:name="_Toc394585627"/>
      <w:bookmarkStart w:id="25086" w:name="_Toc394586093"/>
      <w:bookmarkStart w:id="25087" w:name="_Toc394588025"/>
      <w:bookmarkStart w:id="25088" w:name="_Toc394588860"/>
      <w:bookmarkStart w:id="25089" w:name="_Toc394588985"/>
      <w:bookmarkStart w:id="25090" w:name="_Toc394590401"/>
      <w:bookmarkStart w:id="25091" w:name="_Toc394590594"/>
      <w:bookmarkStart w:id="25092" w:name="_Toc397070581"/>
      <w:bookmarkStart w:id="25093" w:name="_Toc397413331"/>
      <w:bookmarkStart w:id="25094" w:name="_Toc397413478"/>
      <w:bookmarkStart w:id="25095" w:name="_Toc397428052"/>
      <w:bookmarkStart w:id="25096" w:name="_Toc397439440"/>
      <w:bookmarkStart w:id="25097" w:name="_Toc397439610"/>
      <w:bookmarkStart w:id="25098" w:name="_Toc397439866"/>
      <w:bookmarkStart w:id="25099" w:name="_Toc397440168"/>
      <w:bookmarkStart w:id="25100" w:name="_Toc397441797"/>
      <w:bookmarkStart w:id="25101" w:name="_Toc397517499"/>
      <w:bookmarkStart w:id="25102" w:name="_Toc397522764"/>
      <w:bookmarkStart w:id="25103" w:name="_Toc397526182"/>
      <w:bookmarkStart w:id="25104" w:name="_Toc397528497"/>
      <w:bookmarkStart w:id="25105" w:name="_Toc397528972"/>
      <w:bookmarkStart w:id="25106" w:name="_Toc397601969"/>
      <w:bookmarkStart w:id="25107" w:name="_Toc397602704"/>
      <w:bookmarkStart w:id="25108" w:name="_Toc397605837"/>
      <w:bookmarkStart w:id="25109" w:name="_Toc397614534"/>
      <w:bookmarkStart w:id="25110" w:name="_Toc397614977"/>
      <w:bookmarkStart w:id="25111" w:name="_Toc397616420"/>
      <w:bookmarkStart w:id="25112" w:name="_Toc397616814"/>
      <w:bookmarkStart w:id="25113" w:name="_Toc397688112"/>
      <w:bookmarkStart w:id="25114" w:name="_Toc397689328"/>
      <w:bookmarkStart w:id="25115" w:name="_Toc397694608"/>
      <w:bookmarkStart w:id="25116" w:name="_Toc397696449"/>
      <w:bookmarkStart w:id="25117" w:name="_Toc397697183"/>
      <w:bookmarkStart w:id="25118" w:name="_Toc397698470"/>
      <w:bookmarkStart w:id="25119" w:name="_Toc397699836"/>
      <w:bookmarkStart w:id="25120" w:name="_Toc397700290"/>
      <w:bookmarkStart w:id="25121" w:name="_Toc397936682"/>
      <w:bookmarkStart w:id="25122" w:name="_Toc397936802"/>
      <w:bookmarkStart w:id="25123" w:name="_Toc397945958"/>
      <w:bookmarkStart w:id="25124" w:name="_Toc397946984"/>
      <w:bookmarkStart w:id="25125" w:name="_Toc397948103"/>
      <w:bookmarkStart w:id="25126" w:name="_Toc397958509"/>
      <w:bookmarkStart w:id="25127" w:name="_Toc397958751"/>
      <w:bookmarkStart w:id="25128" w:name="_Toc397959166"/>
      <w:bookmarkStart w:id="25129" w:name="_Toc397963019"/>
      <w:bookmarkStart w:id="25130" w:name="_Toc397963385"/>
      <w:bookmarkStart w:id="25131" w:name="_Toc397965462"/>
      <w:bookmarkStart w:id="25132" w:name="_Toc398197400"/>
      <w:bookmarkStart w:id="25133" w:name="_Toc398199903"/>
      <w:bookmarkStart w:id="25134" w:name="_Toc398201617"/>
      <w:bookmarkStart w:id="25135" w:name="_Toc398207222"/>
      <w:bookmarkStart w:id="25136" w:name="_Toc398209926"/>
      <w:bookmarkStart w:id="25137" w:name="_Toc398210495"/>
      <w:bookmarkStart w:id="25138" w:name="_Toc398211009"/>
      <w:bookmarkStart w:id="25139" w:name="_Toc398219817"/>
      <w:bookmarkStart w:id="25140" w:name="_Toc398220192"/>
      <w:bookmarkStart w:id="25141" w:name="_Toc398220579"/>
      <w:bookmarkStart w:id="25142" w:name="_Toc398221657"/>
      <w:bookmarkStart w:id="25143" w:name="_Toc398222343"/>
      <w:bookmarkStart w:id="25144" w:name="_Toc398222655"/>
      <w:bookmarkStart w:id="25145" w:name="_Toc398223072"/>
      <w:bookmarkStart w:id="25146" w:name="_Toc398223451"/>
      <w:bookmarkStart w:id="25147" w:name="_Toc398223578"/>
      <w:bookmarkStart w:id="25148" w:name="_Toc398224386"/>
      <w:bookmarkStart w:id="25149" w:name="_Toc398225723"/>
      <w:bookmarkStart w:id="25150" w:name="_Toc398225848"/>
      <w:bookmarkStart w:id="25151" w:name="_Toc398281335"/>
      <w:bookmarkStart w:id="25152" w:name="_Toc398282194"/>
      <w:bookmarkStart w:id="25153" w:name="_Toc398284864"/>
      <w:bookmarkStart w:id="25154" w:name="_Toc398287333"/>
      <w:bookmarkStart w:id="25155" w:name="_Toc398289216"/>
      <w:bookmarkStart w:id="25156" w:name="_Toc398297213"/>
      <w:bookmarkStart w:id="25157" w:name="_Toc398298687"/>
      <w:bookmarkStart w:id="25158" w:name="_Toc398300388"/>
      <w:bookmarkStart w:id="25159" w:name="_Toc398301285"/>
      <w:bookmarkStart w:id="25160" w:name="_Toc398302470"/>
      <w:bookmarkStart w:id="25161" w:name="_Toc398302633"/>
      <w:bookmarkStart w:id="25162" w:name="_Toc398549147"/>
      <w:bookmarkStart w:id="25163" w:name="_Toc398549397"/>
      <w:bookmarkStart w:id="25164" w:name="_Toc398555816"/>
      <w:bookmarkStart w:id="25165" w:name="_Toc398559020"/>
      <w:bookmarkStart w:id="25166" w:name="_Toc398563506"/>
      <w:bookmarkStart w:id="25167" w:name="_Toc398563639"/>
      <w:bookmarkStart w:id="25168" w:name="_Toc398564038"/>
      <w:bookmarkStart w:id="25169" w:name="_Toc398827376"/>
      <w:bookmarkStart w:id="25170" w:name="_Toc398827570"/>
      <w:r w:rsidRPr="008625DC">
        <w:rPr>
          <w:lang w:val="en-AU"/>
        </w:rPr>
        <w:t>C</w:t>
      </w:r>
      <w:bookmarkEnd w:id="24767"/>
      <w:r w:rsidRPr="008625DC">
        <w:rPr>
          <w:lang w:val="en-AU"/>
        </w:rPr>
        <w:t xml:space="preserve">oncerns raised with competitive </w:t>
      </w:r>
      <w:bookmarkStart w:id="25171" w:name="_Toc397008730"/>
      <w:bookmarkStart w:id="25172" w:name="_Toc397008948"/>
      <w:r w:rsidRPr="008625DC">
        <w:rPr>
          <w:lang w:val="en-AU"/>
        </w:rPr>
        <w:t>neutrality</w:t>
      </w:r>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71"/>
      <w:bookmarkEnd w:id="25172"/>
      <w:bookmarkEnd w:id="25169"/>
      <w:bookmarkEnd w:id="25170"/>
    </w:p>
    <w:p w14:paraId="37F08FAC" w14:textId="29C0028A" w:rsidR="001E4B43" w:rsidRPr="008625DC" w:rsidRDefault="001E4B43" w:rsidP="001E4B43">
      <w:r w:rsidRPr="008625DC">
        <w:t>There is overwhelming support from stakeholders for the principle of competitive neutrality with calls for Australian governments to recommit to competitive neutrality policy.</w:t>
      </w:r>
      <w:r w:rsidRPr="008625DC">
        <w:rPr>
          <w:rStyle w:val="FootnoteReference"/>
        </w:rPr>
        <w:footnoteReference w:id="227"/>
      </w:r>
      <w:r w:rsidRPr="008625DC">
        <w:t xml:space="preserve"> </w:t>
      </w:r>
    </w:p>
    <w:p w14:paraId="22C4986C" w14:textId="77777777" w:rsidR="001E4B43" w:rsidRPr="008625DC" w:rsidRDefault="001E4B43" w:rsidP="00802D55">
      <w:pPr>
        <w:spacing w:after="120"/>
      </w:pPr>
      <w:r w:rsidRPr="008625DC">
        <w:t>The OECD recently commented that:</w:t>
      </w:r>
    </w:p>
    <w:p w14:paraId="6B182007" w14:textId="77777777" w:rsidR="001E4B43" w:rsidRPr="008625DC" w:rsidRDefault="001E4B43" w:rsidP="001E4B43">
      <w:pPr>
        <w:pStyle w:val="Quotes"/>
      </w:pPr>
      <w:r w:rsidRPr="008625DC">
        <w:t>The most complete competitive neutrality framework implemented today is the one found in Australia. As described in other OECD documents this framework is backed by separate implementation and complaints handling mechanisms.</w:t>
      </w:r>
      <w:r w:rsidRPr="008625DC">
        <w:rPr>
          <w:rStyle w:val="FootnoteReference"/>
        </w:rPr>
        <w:footnoteReference w:id="228"/>
      </w:r>
    </w:p>
    <w:p w14:paraId="1791A09C" w14:textId="77777777" w:rsidR="001E4B43" w:rsidRPr="008625DC" w:rsidRDefault="001E4B43" w:rsidP="00802D55">
      <w:pPr>
        <w:spacing w:after="120"/>
      </w:pPr>
      <w:r w:rsidRPr="008625DC">
        <w:t>Capobianco and Christiansen also state:</w:t>
      </w:r>
    </w:p>
    <w:p w14:paraId="48CB4216" w14:textId="330AD6A2" w:rsidR="001E4B43" w:rsidRPr="008625DC" w:rsidRDefault="001E4B43" w:rsidP="001E4B43">
      <w:pPr>
        <w:pStyle w:val="Quotes"/>
      </w:pPr>
      <w:r w:rsidRPr="008625DC">
        <w:t>Australia</w:t>
      </w:r>
      <w:r w:rsidR="00C74E19" w:rsidRPr="008625DC">
        <w:t>’</w:t>
      </w:r>
      <w:r w:rsidRPr="008625DC">
        <w:t>s competitive neutrality policy has apparently worked well for the following reasons: (1) it deepened the reform of public enterprises in Australia; (2) it has been implemented by large governmental businesses, which led to significant efficiency gains; and (3) it substantially eliminated the advantages of government ownership.</w:t>
      </w:r>
      <w:r w:rsidRPr="008625DC">
        <w:rPr>
          <w:rStyle w:val="FootnoteReference"/>
        </w:rPr>
        <w:footnoteReference w:id="229"/>
      </w:r>
    </w:p>
    <w:p w14:paraId="38B30F6C" w14:textId="77777777" w:rsidR="001E4B43" w:rsidRPr="008625DC" w:rsidRDefault="001E4B43" w:rsidP="001E4B43">
      <w:r w:rsidRPr="008625DC">
        <w:t xml:space="preserve">But stakeholders raised concerns about the application of competitive neutrality. </w:t>
      </w:r>
    </w:p>
    <w:p w14:paraId="48637C5F" w14:textId="77777777" w:rsidR="001E4B43" w:rsidRPr="008625DC" w:rsidRDefault="001E4B43" w:rsidP="00802D55">
      <w:pPr>
        <w:spacing w:after="120"/>
      </w:pPr>
      <w:r w:rsidRPr="008625DC">
        <w:t xml:space="preserve">Concerns are raised about the practical application of competitive neutrality in a wide range of activities that compete with government, including businesses in insurance, transport, energy, telecommunications, health, commercial land development, construction, accommodation, waste collection, printing, legal services, agriculture, tourism, child care and education. For example: </w:t>
      </w:r>
    </w:p>
    <w:p w14:paraId="2BA7360F" w14:textId="3D3E1B61" w:rsidR="001E4B43" w:rsidRPr="008625DC" w:rsidRDefault="001E4B43" w:rsidP="001E4B43">
      <w:pPr>
        <w:pStyle w:val="Bullet"/>
      </w:pPr>
      <w:r w:rsidRPr="008625DC">
        <w:t xml:space="preserve">the Australian Information Industry Association notes that </w:t>
      </w:r>
      <w:r w:rsidR="00C74E19" w:rsidRPr="008625DC">
        <w:t>‘</w:t>
      </w:r>
      <w:r w:rsidRPr="008625DC">
        <w:t>there are some instances, notably in the telecommunications sector, where competitive neutrality seems to not function effectively</w:t>
      </w:r>
      <w:r w:rsidR="00C74E19" w:rsidRPr="008625DC">
        <w:t>’</w:t>
      </w:r>
      <w:r w:rsidRPr="008625DC">
        <w:t xml:space="preserve"> (page 12);</w:t>
      </w:r>
    </w:p>
    <w:p w14:paraId="48D1A65B" w14:textId="08F292C5" w:rsidR="001E4B43" w:rsidRPr="008625DC" w:rsidRDefault="001E4B43" w:rsidP="00802D55">
      <w:pPr>
        <w:pStyle w:val="Bullet"/>
      </w:pPr>
      <w:r w:rsidRPr="008625DC">
        <w:t xml:space="preserve">the Australian Private Hospitals Association says </w:t>
      </w:r>
      <w:r w:rsidR="00C74E19" w:rsidRPr="008625DC">
        <w:t>‘</w:t>
      </w:r>
      <w:r w:rsidRPr="008625DC">
        <w:t>distinctions between regulatory arrangements applicable to public and private sectors not only work against competitive neutrality but also limit private sector patient access to affordable and appropriate treatment options</w:t>
      </w:r>
      <w:r w:rsidR="00C74E19" w:rsidRPr="008625DC">
        <w:t>’</w:t>
      </w:r>
      <w:r w:rsidRPr="008625DC">
        <w:t xml:space="preserve"> (page 8); </w:t>
      </w:r>
    </w:p>
    <w:p w14:paraId="2DE7C0C9" w14:textId="0EBE35F7" w:rsidR="001E4B43" w:rsidRPr="008625DC" w:rsidRDefault="001E4B43" w:rsidP="001E4B43">
      <w:pPr>
        <w:pStyle w:val="Bullet"/>
      </w:pPr>
      <w:r w:rsidRPr="008625DC">
        <w:t>Paramedical Services Pty Ltd claims a lack of competitive neutrality in the non</w:t>
      </w:r>
      <w:r w:rsidR="00C74E19" w:rsidRPr="008625DC">
        <w:noBreakHyphen/>
      </w:r>
      <w:r w:rsidRPr="008625DC">
        <w:t>emergency patient transport sector, with government ambulance services enjoying an unfair advantage due to subsidisation (pages 11</w:t>
      </w:r>
      <w:r w:rsidR="00C74E19" w:rsidRPr="008625DC">
        <w:noBreakHyphen/>
      </w:r>
      <w:r w:rsidRPr="008625DC">
        <w:t>12); and</w:t>
      </w:r>
    </w:p>
    <w:p w14:paraId="2EDB9CB0" w14:textId="1F61DA44" w:rsidR="001E4B43" w:rsidRPr="008625DC" w:rsidRDefault="001E4B43" w:rsidP="001E4B43">
      <w:pPr>
        <w:pStyle w:val="Bullet"/>
        <w:spacing w:after="240"/>
        <w:rPr>
          <w:color w:val="auto"/>
        </w:rPr>
      </w:pPr>
      <w:proofErr w:type="gramStart"/>
      <w:r w:rsidRPr="008625DC">
        <w:t>the</w:t>
      </w:r>
      <w:proofErr w:type="gramEnd"/>
      <w:r w:rsidRPr="008625DC">
        <w:t xml:space="preserve"> Australian</w:t>
      </w:r>
      <w:r w:rsidRPr="008625DC">
        <w:rPr>
          <w:color w:val="auto"/>
        </w:rPr>
        <w:t xml:space="preserve"> Education Union says that </w:t>
      </w:r>
      <w:r w:rsidR="00C74E19" w:rsidRPr="008625DC">
        <w:rPr>
          <w:color w:val="auto"/>
        </w:rPr>
        <w:t>‘</w:t>
      </w:r>
      <w:r w:rsidRPr="008625DC">
        <w:rPr>
          <w:color w:val="auto"/>
        </w:rPr>
        <w:t>competitive neutrality policy has been disastrous where it has been introduced (primarily in VET)</w:t>
      </w:r>
      <w:r w:rsidR="00C74E19" w:rsidRPr="008625DC">
        <w:rPr>
          <w:color w:val="auto"/>
        </w:rPr>
        <w:t>’</w:t>
      </w:r>
      <w:r w:rsidRPr="008625DC">
        <w:rPr>
          <w:color w:val="auto"/>
        </w:rPr>
        <w:t>. (</w:t>
      </w:r>
      <w:proofErr w:type="gramStart"/>
      <w:r w:rsidRPr="008625DC">
        <w:rPr>
          <w:color w:val="auto"/>
        </w:rPr>
        <w:t>page</w:t>
      </w:r>
      <w:proofErr w:type="gramEnd"/>
      <w:r w:rsidRPr="008625DC">
        <w:rPr>
          <w:color w:val="auto"/>
        </w:rPr>
        <w:t xml:space="preserve"> 2).</w:t>
      </w:r>
    </w:p>
    <w:p w14:paraId="3A16D239" w14:textId="77777777" w:rsidR="001E4B43" w:rsidRPr="008625DC" w:rsidRDefault="001E4B43" w:rsidP="001E4B43">
      <w:r w:rsidRPr="008625DC">
        <w:t>A number of submissions express concerns about businesses competing with local government. For example:</w:t>
      </w:r>
    </w:p>
    <w:p w14:paraId="188B96B9" w14:textId="77777777" w:rsidR="001E4B43" w:rsidRPr="008625DC" w:rsidRDefault="001E4B43" w:rsidP="001E4B43">
      <w:pPr>
        <w:pStyle w:val="Bullet"/>
      </w:pPr>
      <w:r w:rsidRPr="008625DC">
        <w:lastRenderedPageBreak/>
        <w:t xml:space="preserve">The Chamber of Commerce and Industry Queensland raises the issue of councils charging for waste collection through rate payments, impeding private competitors who are able to offer lower prices, increased services and more choice for consumers. It also raises concerns about local councils providing free access to showgrounds or parklands for motorhomes which make it difficult for local caravan park owners (who are subject to fees, licences, taxes and the need for insurance) to compete (page 5). </w:t>
      </w:r>
    </w:p>
    <w:p w14:paraId="3E21EBA8" w14:textId="1EC736A7" w:rsidR="001E4B43" w:rsidRPr="008625DC" w:rsidRDefault="001E4B43" w:rsidP="001E4B43">
      <w:pPr>
        <w:pStyle w:val="Bullet"/>
        <w:spacing w:after="240"/>
      </w:pPr>
      <w:r w:rsidRPr="008625DC">
        <w:t xml:space="preserve">The difficulty in competing with childcare centres subsidised by local councils is raised in an anonymous submission: </w:t>
      </w:r>
      <w:r w:rsidR="00C74E19" w:rsidRPr="008625DC">
        <w:t>‘</w:t>
      </w:r>
      <w:r w:rsidRPr="008625DC">
        <w:t>Council subsidises its two centres … to the tune of $700,000+ per year using rate payer</w:t>
      </w:r>
      <w:r w:rsidR="00C74E19" w:rsidRPr="008625DC">
        <w:t>’</w:t>
      </w:r>
      <w:r w:rsidRPr="008625DC">
        <w:t>s money … This allows them to keep fees to a minimum and pay staff well above award wages … This current behaviour is anti</w:t>
      </w:r>
      <w:r w:rsidR="00C74E19" w:rsidRPr="008625DC">
        <w:noBreakHyphen/>
      </w:r>
      <w:r w:rsidRPr="008625DC">
        <w:t>competitive and makes it difficult for private centres to compete.</w:t>
      </w:r>
      <w:r w:rsidR="00C74E19" w:rsidRPr="008625DC">
        <w:t>’</w:t>
      </w:r>
      <w:r w:rsidRPr="008625DC">
        <w:t xml:space="preserve"> (Anonymous Childcare, page 1</w:t>
      </w:r>
      <w:r w:rsidR="00802D55" w:rsidRPr="008625DC">
        <w:t>)</w:t>
      </w:r>
    </w:p>
    <w:p w14:paraId="365A6B91" w14:textId="77777777" w:rsidR="001E4B43" w:rsidRPr="008625DC" w:rsidRDefault="001E4B43" w:rsidP="001E4B43">
      <w:r w:rsidRPr="008625DC">
        <w:t>The breadth of sectors where competitive neutrality issues are raised points to this as an area potentially representing an obstacle to alternative providers offering services in a range of markets.</w:t>
      </w:r>
    </w:p>
    <w:p w14:paraId="45DD63DB" w14:textId="77777777" w:rsidR="001E4B43" w:rsidRPr="008625DC" w:rsidRDefault="001E4B43" w:rsidP="001E4B43">
      <w:r w:rsidRPr="008625DC">
        <w:t xml:space="preserve">The Panel cannot adjudicate every claimed breach of competitive neutrality raised in submissions. However, it is possible that some of the complaints fall outside the parameters of current policy. For example, the government activity may not meet the current definition of a significant business activity. </w:t>
      </w:r>
    </w:p>
    <w:p w14:paraId="594C9BA7" w14:textId="77777777" w:rsidR="001E4B43" w:rsidRPr="008625DC" w:rsidRDefault="001E4B43" w:rsidP="00802D55">
      <w:pPr>
        <w:spacing w:after="120"/>
      </w:pPr>
      <w:r w:rsidRPr="008625DC">
        <w:t>However, as the Queensland Competition Authority states:</w:t>
      </w:r>
    </w:p>
    <w:p w14:paraId="6AFC405D" w14:textId="77777777" w:rsidR="001E4B43" w:rsidRPr="008625DC" w:rsidRDefault="001E4B43" w:rsidP="001E4B43">
      <w:pPr>
        <w:pStyle w:val="Quotes"/>
      </w:pPr>
      <w:r w:rsidRPr="008625DC">
        <w:t>The revenue thresholds may not be met on a council by council basis, but the impact could be significant if the same problems are recurring for the same types of businesses across the state. This is particularly problematic for small businesses that compete, or would like to compete, to provide services. (</w:t>
      </w:r>
      <w:proofErr w:type="gramStart"/>
      <w:r w:rsidRPr="008625DC">
        <w:t>page</w:t>
      </w:r>
      <w:proofErr w:type="gramEnd"/>
      <w:r w:rsidRPr="008625DC">
        <w:t xml:space="preserve"> 14)</w:t>
      </w:r>
    </w:p>
    <w:p w14:paraId="6A3E22CC" w14:textId="1068DE28" w:rsidR="001E4B43" w:rsidRPr="008625DC" w:rsidRDefault="001E4B43" w:rsidP="001E4B43">
      <w:r w:rsidRPr="008625DC">
        <w:t>Stakeholders raise concerns about a number of instances where governments exercise regulatory or planning approval functions while also operating businesses that compete with private sector enterprises. For example</w:t>
      </w:r>
      <w:proofErr w:type="gramStart"/>
      <w:r w:rsidRPr="008625DC">
        <w:t>,</w:t>
      </w:r>
      <w:proofErr w:type="gramEnd"/>
      <w:r w:rsidRPr="008625DC">
        <w:rPr>
          <w:rStyle w:val="FootnoteReference"/>
        </w:rPr>
        <w:t xml:space="preserve"> </w:t>
      </w:r>
      <w:r w:rsidRPr="008625DC">
        <w:t>Cement Concrete and Aggregates Australia raises concerns about local governments being both applicant and assessor within the planning and development application process (page 2). The Construction Material Processors Association raises a similar concern about councils considering planning permits for an extractive operation which was in direct competition with the Council</w:t>
      </w:r>
      <w:r w:rsidR="00C74E19" w:rsidRPr="008625DC">
        <w:t>’</w:t>
      </w:r>
      <w:r w:rsidRPr="008625DC">
        <w:t>s quarry (page 11).</w:t>
      </w:r>
      <w:r w:rsidRPr="008625DC">
        <w:rPr>
          <w:rStyle w:val="FootnoteReference"/>
        </w:rPr>
        <w:footnoteReference w:id="230"/>
      </w:r>
      <w:r w:rsidRPr="008625DC">
        <w:t xml:space="preserve"> </w:t>
      </w:r>
    </w:p>
    <w:p w14:paraId="6CC9E56A" w14:textId="7E60A6BC" w:rsidR="001E4B43" w:rsidRPr="008625DC" w:rsidRDefault="001E4B43" w:rsidP="00802D55">
      <w:pPr>
        <w:spacing w:after="120"/>
      </w:pPr>
      <w:r w:rsidRPr="008625DC">
        <w:t>IPART also raises concerns about State Owned Corporations having a mix of commercial and non</w:t>
      </w:r>
      <w:r w:rsidR="00C74E19" w:rsidRPr="008625DC">
        <w:noBreakHyphen/>
      </w:r>
      <w:r w:rsidRPr="008625DC">
        <w:t xml:space="preserve">commercial principal objectives. </w:t>
      </w:r>
    </w:p>
    <w:p w14:paraId="187316A3" w14:textId="0E048A8F" w:rsidR="001E4B43" w:rsidRPr="008625DC" w:rsidRDefault="00802D55" w:rsidP="001E4B43">
      <w:pPr>
        <w:pStyle w:val="Quotes"/>
      </w:pPr>
      <w:r w:rsidRPr="008625DC">
        <w:t>[</w:t>
      </w:r>
      <w:r w:rsidR="00CD4B2B">
        <w:t>I</w:t>
      </w:r>
      <w:r w:rsidRPr="008625DC">
        <w:t>]</w:t>
      </w:r>
      <w:r w:rsidR="001E4B43" w:rsidRPr="008625DC">
        <w:t>t is important that SOCs are not placed at a disadvantage because they are required to pursue unfunded non</w:t>
      </w:r>
      <w:r w:rsidR="00C74E19" w:rsidRPr="008625DC">
        <w:noBreakHyphen/>
      </w:r>
      <w:r w:rsidR="001E4B43" w:rsidRPr="008625DC">
        <w:t xml:space="preserve">commercial objectives. We have identified some aspects of the </w:t>
      </w:r>
      <w:r w:rsidR="001E4B43" w:rsidRPr="008625DC">
        <w:rPr>
          <w:i/>
        </w:rPr>
        <w:t>State Owned Corporations Act 1989</w:t>
      </w:r>
      <w:r w:rsidR="001E4B43" w:rsidRPr="008625DC">
        <w:rPr>
          <w:rFonts w:ascii="BookAntiqua-Italic" w:hAnsi="BookAntiqua-Italic" w:cs="BookAntiqua-Italic"/>
          <w:i/>
          <w:iCs/>
        </w:rPr>
        <w:t xml:space="preserve"> </w:t>
      </w:r>
      <w:r w:rsidR="001E4B43" w:rsidRPr="008625DC">
        <w:t>(NSW) (SOC Act) that inhibit competitive neutrality. (</w:t>
      </w:r>
      <w:proofErr w:type="gramStart"/>
      <w:r w:rsidR="001E4B43" w:rsidRPr="008625DC">
        <w:t>page</w:t>
      </w:r>
      <w:proofErr w:type="gramEnd"/>
      <w:r w:rsidR="001E4B43" w:rsidRPr="008625DC">
        <w:t xml:space="preserve"> 23</w:t>
      </w:r>
      <w:r w:rsidRPr="008625DC">
        <w:t>)</w:t>
      </w:r>
    </w:p>
    <w:p w14:paraId="123819C0" w14:textId="77777777" w:rsidR="001E4B43" w:rsidRPr="008625DC" w:rsidRDefault="001E4B43" w:rsidP="001E4B43">
      <w:pPr>
        <w:spacing w:after="120"/>
      </w:pPr>
      <w:r w:rsidRPr="008625DC">
        <w:t>The operational practices under which government businesses operate can have implications for competitive neutrality. As the OECD recently said:</w:t>
      </w:r>
    </w:p>
    <w:p w14:paraId="0D408683" w14:textId="1AB43802" w:rsidR="001E4B43" w:rsidRPr="008625DC" w:rsidRDefault="001E4B43" w:rsidP="001E4B43">
      <w:pPr>
        <w:pStyle w:val="Quotes"/>
      </w:pPr>
      <w:r w:rsidRPr="008625DC">
        <w:t>It is easier to pursue neutrality when competitive activities are carried out in an entity with an independent identity, operated at arm</w:t>
      </w:r>
      <w:r w:rsidR="00C74E19" w:rsidRPr="008625DC">
        <w:t>’</w:t>
      </w:r>
      <w:r w:rsidRPr="008625DC">
        <w:t xml:space="preserve">s length from general government. To achieve this governments can incorporate government businesses according to best </w:t>
      </w:r>
      <w:r w:rsidRPr="008625DC">
        <w:lastRenderedPageBreak/>
        <w:t>practices (i.e. the OECD Guidelines on Corporate Governance of State</w:t>
      </w:r>
      <w:r w:rsidR="00C74E19" w:rsidRPr="008625DC">
        <w:noBreakHyphen/>
      </w:r>
      <w:r w:rsidRPr="008625DC">
        <w:t>Owned Enterprises) or to structurally separate commercial from non</w:t>
      </w:r>
      <w:r w:rsidR="00C74E19" w:rsidRPr="008625DC">
        <w:noBreakHyphen/>
      </w:r>
      <w:r w:rsidRPr="008625DC">
        <w:t>commercial activities. This could also be useful in countering ad</w:t>
      </w:r>
      <w:r w:rsidR="00C74E19" w:rsidRPr="008625DC">
        <w:noBreakHyphen/>
      </w:r>
      <w:r w:rsidRPr="008625DC">
        <w:t>hoc political interventions that might impede competitive neutrality.</w:t>
      </w:r>
      <w:r w:rsidRPr="008625DC">
        <w:rPr>
          <w:rStyle w:val="FootnoteReference"/>
        </w:rPr>
        <w:footnoteReference w:id="231"/>
      </w:r>
    </w:p>
    <w:p w14:paraId="7F75060F" w14:textId="77777777" w:rsidR="001E4B43" w:rsidRPr="008625DC" w:rsidRDefault="001E4B43" w:rsidP="001E4B43">
      <w:pPr>
        <w:pStyle w:val="Heading3"/>
      </w:pPr>
      <w:r w:rsidRPr="008625DC">
        <w:t xml:space="preserve">Calls to improve transparency </w:t>
      </w:r>
    </w:p>
    <w:p w14:paraId="47766FAD" w14:textId="28C55EA7" w:rsidR="001E4B43" w:rsidRPr="008625DC" w:rsidRDefault="001E4B43" w:rsidP="001E4B43">
      <w:pPr>
        <w:spacing w:after="120"/>
      </w:pPr>
      <w:r w:rsidRPr="008625DC">
        <w:t>Some submissions suggest that there is a lack of community awareness about competitive neutrality and limited public disclosure of governments</w:t>
      </w:r>
      <w:r w:rsidR="00C74E19" w:rsidRPr="008625DC">
        <w:t>’</w:t>
      </w:r>
      <w:r w:rsidRPr="008625DC">
        <w:t xml:space="preserve"> compliance with competitive neutrality. The Business Law Section of the Law Council of Australia notes that:</w:t>
      </w:r>
    </w:p>
    <w:p w14:paraId="25A70DDA" w14:textId="67542F1B" w:rsidR="001E4B43" w:rsidRPr="008625DC" w:rsidRDefault="00802D55" w:rsidP="00802D55">
      <w:pPr>
        <w:pStyle w:val="Quotes"/>
        <w:spacing w:after="120"/>
      </w:pPr>
      <w:r w:rsidRPr="008625DC">
        <w:t>[</w:t>
      </w:r>
      <w:r w:rsidR="00CD4B2B">
        <w:t>T</w:t>
      </w:r>
      <w:r w:rsidRPr="008625DC">
        <w:t>]</w:t>
      </w:r>
      <w:r w:rsidR="001E4B43" w:rsidRPr="008625DC">
        <w:t xml:space="preserve">he current system has limited visibility in the legal and business community, and lacks the machinery to enforce a complaint and incentives for ongoing compliance. </w:t>
      </w:r>
    </w:p>
    <w:p w14:paraId="14CB1B0C" w14:textId="1CE781EF" w:rsidR="001E4B43" w:rsidRPr="008625DC" w:rsidRDefault="001E4B43" w:rsidP="001E4B43">
      <w:pPr>
        <w:pStyle w:val="Quotes"/>
      </w:pPr>
      <w:r w:rsidRPr="008625DC">
        <w:t>A more effective system for dealing with specific complaints would need to involve formal obligations and enforceable adjudication by an independent body such as the Australian Competition Tribunal. Because most complaints would be likely to involve competing public policy objectives, any claim based on non</w:t>
      </w:r>
      <w:r w:rsidR="00C74E19" w:rsidRPr="008625DC">
        <w:noBreakHyphen/>
      </w:r>
      <w:r w:rsidRPr="008625DC">
        <w:t>adherence to a competitive neutrality principle would need to be subject to an overall assessment as to whether the conduct had a net public benefit. (</w:t>
      </w:r>
      <w:proofErr w:type="gramStart"/>
      <w:r w:rsidRPr="008625DC">
        <w:t>pages</w:t>
      </w:r>
      <w:proofErr w:type="gramEnd"/>
      <w:r w:rsidRPr="008625DC">
        <w:t xml:space="preserve"> 5</w:t>
      </w:r>
      <w:r w:rsidR="00C74E19" w:rsidRPr="008625DC">
        <w:noBreakHyphen/>
      </w:r>
      <w:r w:rsidRPr="008625DC">
        <w:t>6)</w:t>
      </w:r>
    </w:p>
    <w:p w14:paraId="4ED94D56" w14:textId="77777777" w:rsidR="001E4B43" w:rsidRPr="008625DC" w:rsidRDefault="001E4B43" w:rsidP="001E4B43">
      <w:pPr>
        <w:spacing w:after="120"/>
      </w:pPr>
      <w:r w:rsidRPr="008625DC">
        <w:t>Typical of the concerns are those expressed by the Australian Chamber of Commerce and Industry (ACCI):</w:t>
      </w:r>
    </w:p>
    <w:p w14:paraId="0178BC01" w14:textId="7CE02955" w:rsidR="001E4B43" w:rsidRPr="008625DC" w:rsidRDefault="00CD4B2B" w:rsidP="001E4B43">
      <w:pPr>
        <w:pStyle w:val="Quotes"/>
      </w:pPr>
      <w:r>
        <w:t>F</w:t>
      </w:r>
      <w:r w:rsidR="001E4B43" w:rsidRPr="008625DC">
        <w:t xml:space="preserve">ew businesses know exactly what competitive neutrality is, few complaints are filed, and for those upheld, </w:t>
      </w:r>
      <w:proofErr w:type="gramStart"/>
      <w:r w:rsidR="001E4B43" w:rsidRPr="008625DC">
        <w:t>government</w:t>
      </w:r>
      <w:r w:rsidR="00C74E19" w:rsidRPr="008625DC">
        <w:t>’</w:t>
      </w:r>
      <w:r w:rsidR="001E4B43" w:rsidRPr="008625DC">
        <w:t>s</w:t>
      </w:r>
      <w:proofErr w:type="gramEnd"/>
      <w:r w:rsidR="001E4B43" w:rsidRPr="008625DC">
        <w:t xml:space="preserve"> response is usually slow. A fundamental issue remains regarding the inadequacy of the enforcement process. (</w:t>
      </w:r>
      <w:proofErr w:type="gramStart"/>
      <w:r w:rsidR="001E4B43" w:rsidRPr="008625DC">
        <w:t>page</w:t>
      </w:r>
      <w:proofErr w:type="gramEnd"/>
      <w:r w:rsidR="001E4B43" w:rsidRPr="008625DC">
        <w:t xml:space="preserve"> 23)</w:t>
      </w:r>
    </w:p>
    <w:p w14:paraId="0FD12B16" w14:textId="1DDF8ABA" w:rsidR="001E4B43" w:rsidRPr="008625DC" w:rsidRDefault="001E4B43" w:rsidP="001E4B43">
      <w:pPr>
        <w:pStyle w:val="BoxText"/>
        <w:spacing w:after="240"/>
      </w:pPr>
      <w:r w:rsidRPr="008625DC">
        <w:t>The ACCC also notes that since 2005, there has not been significant reporting on competitive neutrality compliance across the jurisdictions. Prior to 2005 the NCC considered competitive neutrality implementation across jurisdictions as part of its annual progress assessment of NCP. (</w:t>
      </w:r>
      <w:r w:rsidR="00086ED1" w:rsidRPr="008625DC">
        <w:t xml:space="preserve">ACCC Submission 1, </w:t>
      </w:r>
      <w:r w:rsidRPr="008625DC">
        <w:t xml:space="preserve">page 26) </w:t>
      </w:r>
    </w:p>
    <w:p w14:paraId="666EB1B9" w14:textId="378DD05B" w:rsidR="001E4B43" w:rsidRPr="008625DC" w:rsidRDefault="001E4B43" w:rsidP="001E4B43">
      <w:pPr>
        <w:pStyle w:val="BoxText"/>
        <w:spacing w:after="240"/>
      </w:pPr>
      <w:r w:rsidRPr="008625DC">
        <w:t xml:space="preserve">The PC recommends that governments review </w:t>
      </w:r>
      <w:r w:rsidR="00C74E19" w:rsidRPr="008625DC">
        <w:t>‘</w:t>
      </w:r>
      <w:r w:rsidRPr="008625DC">
        <w:t>whether processes for handling competitive neutrality complaints are identifiable, independent and accessible</w:t>
      </w:r>
      <w:r w:rsidR="00C74E19" w:rsidRPr="008625DC">
        <w:t>’</w:t>
      </w:r>
      <w:r w:rsidRPr="008625DC">
        <w:t>. (</w:t>
      </w:r>
      <w:proofErr w:type="gramStart"/>
      <w:r w:rsidRPr="008625DC">
        <w:t>page</w:t>
      </w:r>
      <w:proofErr w:type="gramEnd"/>
      <w:r w:rsidRPr="008625DC">
        <w:t xml:space="preserve"> 34) </w:t>
      </w:r>
    </w:p>
    <w:p w14:paraId="3FA4FD88" w14:textId="6A46AE34" w:rsidR="001E4B43" w:rsidRPr="008625DC" w:rsidRDefault="001E4B43" w:rsidP="001E4B43">
      <w:pPr>
        <w:pStyle w:val="BoxText"/>
        <w:spacing w:after="240"/>
      </w:pPr>
      <w:r w:rsidRPr="008625DC">
        <w:t>ACCI points to the small number of complaints as evidence that the system is not performing well</w:t>
      </w:r>
      <w:r w:rsidR="00CD4B2B">
        <w:t>.</w:t>
      </w:r>
      <w:r w:rsidR="002C16E2" w:rsidRPr="008625DC">
        <w:t xml:space="preserve"> (</w:t>
      </w:r>
      <w:proofErr w:type="gramStart"/>
      <w:r w:rsidR="002C16E2" w:rsidRPr="008625DC">
        <w:t>page</w:t>
      </w:r>
      <w:proofErr w:type="gramEnd"/>
      <w:r w:rsidR="002C16E2" w:rsidRPr="008625DC">
        <w:t xml:space="preserve"> 24)</w:t>
      </w:r>
      <w:r w:rsidRPr="008625DC">
        <w:rPr>
          <w:rStyle w:val="FootnoteReference"/>
        </w:rPr>
        <w:footnoteReference w:id="232"/>
      </w:r>
    </w:p>
    <w:p w14:paraId="379F1B2E" w14:textId="0BA4C963" w:rsidR="001E4B43" w:rsidRPr="008625DC" w:rsidRDefault="001E4B43" w:rsidP="001E4B43">
      <w:r w:rsidRPr="008625DC">
        <w:t>In 2013 the Victorian Competition and Efficiency Commission undertook a comparison of competitive neutrality across Australian jurisdictions. It found that 112 competitive neutrality complaints were investigated across all jurisdictions between 1996 and 2012. During 2011</w:t>
      </w:r>
      <w:r w:rsidR="00C74E19" w:rsidRPr="008625DC">
        <w:noBreakHyphen/>
      </w:r>
      <w:r w:rsidRPr="008625DC">
        <w:t>12 there were five complaints investigated across all jurisdictions.</w:t>
      </w:r>
      <w:r w:rsidRPr="008625DC">
        <w:rPr>
          <w:rStyle w:val="FootnoteReference"/>
        </w:rPr>
        <w:footnoteReference w:id="233"/>
      </w:r>
      <w:r w:rsidRPr="008625DC">
        <w:t xml:space="preserve"> </w:t>
      </w:r>
    </w:p>
    <w:p w14:paraId="6DE28634" w14:textId="77777777" w:rsidR="001E4B43" w:rsidRPr="008625DC" w:rsidRDefault="001E4B43" w:rsidP="001E4B43">
      <w:pPr>
        <w:spacing w:after="120"/>
      </w:pPr>
      <w:r w:rsidRPr="008625DC">
        <w:t xml:space="preserve">The declining number of complaints could reflect government business activities becoming familiar with their competitive neutrality responsibilities and ensuring that breaches do not occur. The Panel heard from some jurisdictions that competitive neutrality was now part of the culture with </w:t>
      </w:r>
      <w:r w:rsidRPr="008625DC">
        <w:lastRenderedPageBreak/>
        <w:t xml:space="preserve">government businesses seeking advice on complying with competitive neutrality before making changes to business activities. </w:t>
      </w:r>
    </w:p>
    <w:p w14:paraId="26437892" w14:textId="77777777" w:rsidR="001E4B43" w:rsidRPr="008625DC" w:rsidRDefault="001E4B43" w:rsidP="001E4B43">
      <w:pPr>
        <w:spacing w:after="120"/>
      </w:pPr>
      <w:r w:rsidRPr="008625DC">
        <w:t>A recent article by competition law authors Alexandra Merrett and Rachel Trindade also noted:</w:t>
      </w:r>
    </w:p>
    <w:p w14:paraId="0575404D" w14:textId="34854525" w:rsidR="001E4B43" w:rsidRPr="008625DC" w:rsidRDefault="001E4B43" w:rsidP="001E4B43">
      <w:pPr>
        <w:pStyle w:val="Quotes"/>
      </w:pPr>
      <w:r w:rsidRPr="008625DC">
        <w:t>The very low level of complaints could be because government businesses across the country are so compliant that there</w:t>
      </w:r>
      <w:r w:rsidR="00C74E19" w:rsidRPr="008625DC">
        <w:t>’</w:t>
      </w:r>
      <w:r w:rsidRPr="008625DC">
        <w:t>s not even a suspicion that they could be failing to fulfil their obligations. On the other hand, it just might be that private businesses have no clue that such obligations exist or they (or their advisors) have no faith in the competitive neutrality process and cannot be bothered wasting time and money in pursuit of a complaint.</w:t>
      </w:r>
      <w:r w:rsidRPr="008625DC">
        <w:rPr>
          <w:rStyle w:val="FootnoteReference"/>
        </w:rPr>
        <w:footnoteReference w:id="234"/>
      </w:r>
    </w:p>
    <w:p w14:paraId="7E30737B" w14:textId="50074208" w:rsidR="001E4B43" w:rsidRPr="008625DC" w:rsidRDefault="001E4B43" w:rsidP="001E4B43">
      <w:pPr>
        <w:spacing w:after="120"/>
      </w:pPr>
      <w:r w:rsidRPr="008625DC">
        <w:t>The PC recommends that competitive neutrality policy require self</w:t>
      </w:r>
      <w:r w:rsidR="00C74E19" w:rsidRPr="008625DC">
        <w:noBreakHyphen/>
      </w:r>
      <w:r w:rsidRPr="008625DC">
        <w:t>reporting in annual reports by government businesses of the steps taken to comply with the policy. The PC argues that this would:</w:t>
      </w:r>
    </w:p>
    <w:p w14:paraId="23CB27A7" w14:textId="144901D4" w:rsidR="001E4B43" w:rsidRPr="008625DC" w:rsidRDefault="00802D55" w:rsidP="001E4B43">
      <w:pPr>
        <w:pStyle w:val="Quotes"/>
      </w:pPr>
      <w:r w:rsidRPr="008625DC">
        <w:t>[</w:t>
      </w:r>
      <w:r w:rsidR="00CD4B2B">
        <w:t>B</w:t>
      </w:r>
      <w:r w:rsidRPr="008625DC">
        <w:t>]</w:t>
      </w:r>
      <w:r w:rsidR="001E4B43" w:rsidRPr="008625DC">
        <w:t>oth aid in the assessment of compliance and also provide some transparency to private sector competitors that the business is operating in line with government policy. (</w:t>
      </w:r>
      <w:proofErr w:type="gramStart"/>
      <w:r w:rsidR="001E4B43" w:rsidRPr="008625DC">
        <w:t>page</w:t>
      </w:r>
      <w:proofErr w:type="gramEnd"/>
      <w:r w:rsidRPr="008625DC">
        <w:t> </w:t>
      </w:r>
      <w:r w:rsidR="001E4B43" w:rsidRPr="008625DC">
        <w:t>34)</w:t>
      </w:r>
    </w:p>
    <w:p w14:paraId="43BCEFC9" w14:textId="4408BC08" w:rsidR="001E4B43" w:rsidRPr="008625DC" w:rsidRDefault="001E4B43" w:rsidP="001E4B43">
      <w:r w:rsidRPr="008625DC">
        <w:t>In addition the PC recommends that the Heads of Treasuries should produce their annual competitive neutrality matrix within six months of the end of each financial year</w:t>
      </w:r>
      <w:r w:rsidR="00802D55" w:rsidRPr="008625DC">
        <w:t>.</w:t>
      </w:r>
      <w:r w:rsidRPr="008625DC">
        <w:t xml:space="preserve"> (</w:t>
      </w:r>
      <w:proofErr w:type="gramStart"/>
      <w:r w:rsidRPr="008625DC">
        <w:t>page</w:t>
      </w:r>
      <w:proofErr w:type="gramEnd"/>
      <w:r w:rsidRPr="008625DC">
        <w:t xml:space="preserve"> 34) </w:t>
      </w:r>
    </w:p>
    <w:p w14:paraId="4247BBC0" w14:textId="10BB4F50" w:rsidR="001E4B43" w:rsidRPr="008625DC" w:rsidRDefault="001E4B43" w:rsidP="001E4B43">
      <w:r w:rsidRPr="008625DC">
        <w:t>A number of submitters raise the issue of the need for stronger obligations on government to respond to the findings of competitive neutrality policy breaches and recommendations.</w:t>
      </w:r>
      <w:r w:rsidRPr="008625DC">
        <w:rPr>
          <w:rStyle w:val="FootnoteReference"/>
        </w:rPr>
        <w:footnoteReference w:id="235"/>
      </w:r>
      <w:r w:rsidRPr="008625DC">
        <w:t xml:space="preserve"> The PC notes that there are no formal requirements and recent investigations undertaken by the Australian Government Competitive Neutrality Complaints Office have not had official responses. The ACCC suggests that a review into the timeliness and transparency of complaints handing and the implementation of recommendations could promote more effective regimes</w:t>
      </w:r>
      <w:r w:rsidR="00802D55" w:rsidRPr="008625DC">
        <w:t>.</w:t>
      </w:r>
      <w:r w:rsidRPr="008625DC">
        <w:t xml:space="preserve"> (</w:t>
      </w:r>
      <w:r w:rsidR="002C16E2" w:rsidRPr="008625DC">
        <w:t xml:space="preserve">ACCC Submission 1, </w:t>
      </w:r>
      <w:r w:rsidRPr="008625DC">
        <w:t>page 26)</w:t>
      </w:r>
    </w:p>
    <w:p w14:paraId="54FA8466" w14:textId="77777777" w:rsidR="001E4B43" w:rsidRPr="008625DC" w:rsidRDefault="001E4B43" w:rsidP="001E4B43">
      <w:pPr>
        <w:pStyle w:val="Heading3"/>
      </w:pPr>
      <w:r w:rsidRPr="008625DC">
        <w:t>Calls to review competitive neutrality policy</w:t>
      </w:r>
    </w:p>
    <w:p w14:paraId="29B61A1E" w14:textId="77777777" w:rsidR="001E4B43" w:rsidRPr="008625DC" w:rsidRDefault="001E4B43" w:rsidP="001E4B43">
      <w:pPr>
        <w:spacing w:after="120"/>
      </w:pPr>
      <w:r w:rsidRPr="008625DC">
        <w:t>Submissions contain calls for a review of competitive neutrality policy.</w:t>
      </w:r>
      <w:r w:rsidRPr="008625DC">
        <w:rPr>
          <w:rStyle w:val="FootnoteReference"/>
        </w:rPr>
        <w:footnoteReference w:id="236"/>
      </w:r>
      <w:r w:rsidRPr="008625DC">
        <w:t xml:space="preserve"> Areas identified where competitive neutrality policy could be improved to ensure better policy outcomes include: </w:t>
      </w:r>
    </w:p>
    <w:p w14:paraId="4A14BB4D" w14:textId="73536C3F" w:rsidR="001E4B43" w:rsidRPr="008625DC" w:rsidRDefault="001E4B43" w:rsidP="001E4B43">
      <w:pPr>
        <w:pStyle w:val="Bullet"/>
      </w:pPr>
      <w:r w:rsidRPr="008625DC">
        <w:t>clearer guidelines on the application of competitive neutrality during the start</w:t>
      </w:r>
      <w:r w:rsidR="00C74E19" w:rsidRPr="008625DC">
        <w:noBreakHyphen/>
      </w:r>
      <w:r w:rsidRPr="008625DC">
        <w:t>up stages of new government business enterprises that are or will be engaged in significant business activities, including the extent to which competitive neutrality provisions should be included in business models and initial planning;</w:t>
      </w:r>
    </w:p>
    <w:p w14:paraId="186260FA" w14:textId="38E1EACC" w:rsidR="001E4B43" w:rsidRPr="008625DC" w:rsidRDefault="001E4B43" w:rsidP="001E4B43">
      <w:pPr>
        <w:pStyle w:val="Bullet"/>
      </w:pPr>
      <w:r w:rsidRPr="008625DC">
        <w:t xml:space="preserve">defining the </w:t>
      </w:r>
      <w:r w:rsidR="00C74E19" w:rsidRPr="008625DC">
        <w:t>‘</w:t>
      </w:r>
      <w:r w:rsidRPr="008625DC">
        <w:t>longer term</w:t>
      </w:r>
      <w:r w:rsidR="00C74E19" w:rsidRPr="008625DC">
        <w:t>’</w:t>
      </w:r>
      <w:r w:rsidRPr="008625DC">
        <w:t xml:space="preserve"> to which the policy applies — a critical component of the application of the competitive neutrality policy is that government businesses earn a commercial rate of return to justify the retention of assets over the longer term, but as the PC states </w:t>
      </w:r>
      <w:r w:rsidR="00C74E19" w:rsidRPr="008625DC">
        <w:t>‘</w:t>
      </w:r>
      <w:r w:rsidRPr="008625DC">
        <w:t>this term is not defined, nor is there guidance on its application to a start</w:t>
      </w:r>
      <w:r w:rsidR="00C74E19" w:rsidRPr="008625DC">
        <w:noBreakHyphen/>
      </w:r>
      <w:r w:rsidRPr="008625DC">
        <w:t>up business</w:t>
      </w:r>
      <w:r w:rsidR="00C74E19" w:rsidRPr="008625DC">
        <w:t>’</w:t>
      </w:r>
      <w:r w:rsidRPr="008625DC">
        <w:t xml:space="preserve"> (page 34);</w:t>
      </w:r>
      <w:r w:rsidRPr="008625DC" w:rsidDel="003E2519">
        <w:rPr>
          <w:rStyle w:val="FootnoteReference"/>
          <w:rFonts w:ascii="ArialMT" w:hAnsi="ArialMT" w:cs="ArialMT"/>
          <w:color w:val="auto"/>
          <w:szCs w:val="22"/>
        </w:rPr>
        <w:t xml:space="preserve"> </w:t>
      </w:r>
      <w:r w:rsidRPr="008625DC">
        <w:t>and</w:t>
      </w:r>
    </w:p>
    <w:p w14:paraId="112F0ECC" w14:textId="79693942" w:rsidR="001E4B43" w:rsidRPr="008625DC" w:rsidRDefault="001E4B43" w:rsidP="001E4B43">
      <w:pPr>
        <w:pStyle w:val="Bullet"/>
      </w:pPr>
      <w:proofErr w:type="gramStart"/>
      <w:r w:rsidRPr="008625DC">
        <w:t>principles</w:t>
      </w:r>
      <w:proofErr w:type="gramEnd"/>
      <w:r w:rsidRPr="008625DC">
        <w:t xml:space="preserve"> for identifying and specifying non</w:t>
      </w:r>
      <w:r w:rsidR="00C74E19" w:rsidRPr="008625DC">
        <w:noBreakHyphen/>
      </w:r>
      <w:r w:rsidRPr="008625DC">
        <w:t xml:space="preserve">commercial objectives of government businesses and those activities that should be transparently funded. </w:t>
      </w:r>
    </w:p>
    <w:p w14:paraId="55574F85" w14:textId="77777777" w:rsidR="001E4B43" w:rsidRPr="008625DC" w:rsidRDefault="001E4B43" w:rsidP="001E4B43">
      <w:r w:rsidRPr="008625DC">
        <w:lastRenderedPageBreak/>
        <w:t>The Chamber of Commerce and Industry Queensland suggests that the small business community would be better served if the policy covered all government businesses that engage in commercial operations. (</w:t>
      </w:r>
      <w:proofErr w:type="gramStart"/>
      <w:r w:rsidRPr="008625DC">
        <w:t>page</w:t>
      </w:r>
      <w:proofErr w:type="gramEnd"/>
      <w:r w:rsidRPr="008625DC">
        <w:t xml:space="preserve"> 5)</w:t>
      </w:r>
    </w:p>
    <w:p w14:paraId="11928FFD" w14:textId="77777777" w:rsidR="001E4B43" w:rsidRPr="008625DC" w:rsidRDefault="001E4B43" w:rsidP="001E4B43">
      <w:pPr>
        <w:spacing w:before="240" w:after="120"/>
      </w:pPr>
      <w:r w:rsidRPr="008625DC">
        <w:t>National Seniors Australia also argues for extending competitive neutrality policies:</w:t>
      </w:r>
    </w:p>
    <w:p w14:paraId="3EAA9B40" w14:textId="0750494C" w:rsidR="001E4B43" w:rsidRPr="008625DC" w:rsidRDefault="00802D55" w:rsidP="001E4B43">
      <w:pPr>
        <w:pStyle w:val="Quotes"/>
      </w:pPr>
      <w:r w:rsidRPr="008625DC">
        <w:t>[</w:t>
      </w:r>
      <w:r w:rsidR="00CD4B2B">
        <w:t>T</w:t>
      </w:r>
      <w:r w:rsidRPr="008625DC">
        <w:t>]</w:t>
      </w:r>
      <w:r w:rsidR="001E4B43" w:rsidRPr="008625DC">
        <w:t>o any area where government agencies may compete with private or not</w:t>
      </w:r>
      <w:r w:rsidR="00C74E19" w:rsidRPr="008625DC">
        <w:noBreakHyphen/>
      </w:r>
      <w:r w:rsidR="001E4B43" w:rsidRPr="008625DC">
        <w:t>for</w:t>
      </w:r>
      <w:r w:rsidR="00C74E19" w:rsidRPr="008625DC">
        <w:noBreakHyphen/>
      </w:r>
      <w:r w:rsidR="001E4B43" w:rsidRPr="008625DC">
        <w:t>profit bodies for the supply of services. (</w:t>
      </w:r>
      <w:proofErr w:type="gramStart"/>
      <w:r w:rsidR="001E4B43" w:rsidRPr="008625DC">
        <w:t>page</w:t>
      </w:r>
      <w:proofErr w:type="gramEnd"/>
      <w:r w:rsidR="001E4B43" w:rsidRPr="008625DC">
        <w:t xml:space="preserve"> 6)</w:t>
      </w:r>
    </w:p>
    <w:p w14:paraId="3212C4E3" w14:textId="600BE29D" w:rsidR="001E4B43" w:rsidRPr="008625DC" w:rsidRDefault="001E4B43" w:rsidP="001E4B43">
      <w:r w:rsidRPr="008625DC">
        <w:t xml:space="preserve">As discussed earlier, assessment of government activities to which the current competitive neutrality policy applies is based on an interpretation of a </w:t>
      </w:r>
      <w:r w:rsidR="00C74E19" w:rsidRPr="008625DC">
        <w:t>‘</w:t>
      </w:r>
      <w:r w:rsidRPr="008625DC">
        <w:t>significant business activity</w:t>
      </w:r>
      <w:r w:rsidR="00C74E19" w:rsidRPr="008625DC">
        <w:t>’</w:t>
      </w:r>
      <w:r w:rsidRPr="008625DC">
        <w:t xml:space="preserve"> and where the benefits of implementing the policy outweigh the costs (Box 11.1). An important question is whether the scope of competitive neutrality should be extended to cover a wider set of government activities. </w:t>
      </w:r>
    </w:p>
    <w:p w14:paraId="1517FBC1" w14:textId="77777777" w:rsidR="001E4B43" w:rsidRPr="008625DC" w:rsidRDefault="001E4B43" w:rsidP="001E4B43">
      <w:pPr>
        <w:spacing w:after="120"/>
      </w:pPr>
      <w:r w:rsidRPr="008625DC">
        <w:t>What is captured by competitive neutrality policy varies across the OECD. As the OECD recently said:</w:t>
      </w:r>
    </w:p>
    <w:p w14:paraId="5421D2EF" w14:textId="1892484A" w:rsidR="001E4B43" w:rsidRPr="008625DC" w:rsidRDefault="001E4B43" w:rsidP="001E4B43">
      <w:pPr>
        <w:pStyle w:val="Quotes"/>
      </w:pPr>
      <w:r w:rsidRPr="008625DC">
        <w:t xml:space="preserve">Some national authorities apply competitive neutrality policies only to the activities of </w:t>
      </w:r>
      <w:r w:rsidR="00C74E19" w:rsidRPr="008625DC">
        <w:t>‘</w:t>
      </w:r>
      <w:r w:rsidRPr="008625DC">
        <w:t>traditional</w:t>
      </w:r>
      <w:r w:rsidR="00C74E19" w:rsidRPr="008625DC">
        <w:t>’</w:t>
      </w:r>
      <w:r w:rsidRPr="008625DC">
        <w:t xml:space="preserve"> state</w:t>
      </w:r>
      <w:r w:rsidR="00C74E19" w:rsidRPr="008625DC">
        <w:noBreakHyphen/>
      </w:r>
      <w:r w:rsidRPr="008625DC">
        <w:t xml:space="preserve">owned enterprises (SOEs). Others apply competitive neutrality practices to all types of government activities that can be characterised as </w:t>
      </w:r>
      <w:r w:rsidR="00C74E19" w:rsidRPr="008625DC">
        <w:t>‘</w:t>
      </w:r>
      <w:r w:rsidRPr="008625DC">
        <w:t>commercial</w:t>
      </w:r>
      <w:r w:rsidR="00C74E19" w:rsidRPr="008625DC">
        <w:t>’</w:t>
      </w:r>
      <w:r w:rsidRPr="008625DC">
        <w:t xml:space="preserve"> in nature (</w:t>
      </w:r>
      <w:r w:rsidRPr="008625DC">
        <w:rPr>
          <w:rFonts w:cs="Caecilia-Italic"/>
          <w:iCs/>
        </w:rPr>
        <w:t>e.g.</w:t>
      </w:r>
      <w:r w:rsidRPr="008625DC">
        <w:rPr>
          <w:rFonts w:ascii="Caecilia-Italic" w:hAnsi="Caecilia-Italic" w:cs="Caecilia-Italic"/>
          <w:i/>
          <w:iCs/>
        </w:rPr>
        <w:t xml:space="preserve"> </w:t>
      </w:r>
      <w:r w:rsidRPr="008625DC">
        <w:t xml:space="preserve">where they provide goods and services in a given market), regardless of their legal form or profit objectives. There is no universal definition for what constitutes government </w:t>
      </w:r>
      <w:r w:rsidR="00C74E19" w:rsidRPr="008625DC">
        <w:t>‘</w:t>
      </w:r>
      <w:r w:rsidRPr="008625DC">
        <w:t>business</w:t>
      </w:r>
      <w:r w:rsidR="00C74E19" w:rsidRPr="008625DC">
        <w:t>’</w:t>
      </w:r>
      <w:r w:rsidRPr="008625DC">
        <w:t xml:space="preserve"> activities; neither is there a clear definition for the demarcation between what constitutes commercial and non</w:t>
      </w:r>
      <w:r w:rsidR="00C74E19" w:rsidRPr="008625DC">
        <w:noBreakHyphen/>
      </w:r>
      <w:r w:rsidRPr="008625DC">
        <w:t>commercial activities.</w:t>
      </w:r>
      <w:r w:rsidRPr="008625DC">
        <w:rPr>
          <w:rStyle w:val="FootnoteReference"/>
        </w:rPr>
        <w:footnoteReference w:id="237"/>
      </w:r>
    </w:p>
    <w:p w14:paraId="30A60107" w14:textId="2E188DA0" w:rsidR="001E4B43" w:rsidRPr="008625DC" w:rsidRDefault="001E4B43" w:rsidP="001E4B43">
      <w:r w:rsidRPr="008625DC">
        <w:t>That said, activities which are commercial in nature are typically characterised as a combination of the following: where there is a charge for the good or service; there are no restrictions on profitability; and there is actual or potential competition.</w:t>
      </w:r>
      <w:r w:rsidR="00094FE2" w:rsidRPr="008625DC">
        <w:rPr>
          <w:rStyle w:val="FootnoteReference"/>
        </w:rPr>
        <w:footnoteReference w:id="238"/>
      </w:r>
      <w:r w:rsidRPr="008625DC">
        <w:t xml:space="preserve"> These characteristics are in line with the current business test applied under competitive neutrality policy (Box 11.1).</w:t>
      </w:r>
    </w:p>
    <w:p w14:paraId="6B823A17" w14:textId="0BFA9231" w:rsidR="001E4B43" w:rsidRPr="008625DC" w:rsidRDefault="001E4B43" w:rsidP="001E4B43">
      <w:r w:rsidRPr="008625DC">
        <w:t xml:space="preserve">A further issue is the appropriateness of the threshold tests for identifying </w:t>
      </w:r>
      <w:r w:rsidR="00C74E19" w:rsidRPr="008625DC">
        <w:t>‘</w:t>
      </w:r>
      <w:r w:rsidRPr="008625DC">
        <w:t>significant business activity</w:t>
      </w:r>
      <w:r w:rsidR="00C74E19" w:rsidRPr="008625DC">
        <w:t>’</w:t>
      </w:r>
      <w:r w:rsidRPr="008625DC">
        <w:t xml:space="preserve">. As discussed earlier, the threshold tests vary across the jurisdictions. </w:t>
      </w:r>
    </w:p>
    <w:p w14:paraId="7DFB684E" w14:textId="7B0BFB12" w:rsidR="001E4B43" w:rsidRPr="008625DC" w:rsidRDefault="001E4B43" w:rsidP="001E4B43">
      <w:r w:rsidRPr="008625DC">
        <w:t>Some jurisdictions have not revised their competitive neutrality policy statements in more than a decade. The Australian Government has not revised its competitive neutrality policy since 1996. The ongoing applicability of competitive neutrality requires that governments maintain up</w:t>
      </w:r>
      <w:r w:rsidR="00C74E19" w:rsidRPr="008625DC">
        <w:noBreakHyphen/>
      </w:r>
      <w:r w:rsidRPr="008625DC">
        <w:t>to</w:t>
      </w:r>
      <w:r w:rsidR="00C74E19" w:rsidRPr="008625DC">
        <w:noBreakHyphen/>
      </w:r>
      <w:r w:rsidRPr="008625DC">
        <w:t xml:space="preserve">date policies. Updating the policies can also reinvigorate government commitment to competitive neutrality policy. </w:t>
      </w:r>
    </w:p>
    <w:p w14:paraId="30DD8461" w14:textId="170E17F7" w:rsidR="001E4B43" w:rsidRPr="008625DC" w:rsidRDefault="001E4B43" w:rsidP="001E4B43">
      <w:r w:rsidRPr="008625DC">
        <w:t xml:space="preserve">In addition, since each jurisdiction is able to adopt its own approach to competitive neutrality, there is an opportunity to compare across jurisdictions to determine </w:t>
      </w:r>
      <w:r w:rsidR="00C74E19" w:rsidRPr="008625DC">
        <w:t>‘</w:t>
      </w:r>
      <w:r w:rsidRPr="008625DC">
        <w:t>best practice</w:t>
      </w:r>
      <w:r w:rsidR="00C74E19" w:rsidRPr="008625DC">
        <w:t>’</w:t>
      </w:r>
      <w:r w:rsidRPr="008625DC">
        <w:t xml:space="preserve"> as a basis for updating policies and improving current arrangements.</w:t>
      </w:r>
    </w:p>
    <w:p w14:paraId="3D2C4372" w14:textId="3E0E902D" w:rsidR="001E4B43" w:rsidRPr="008625DC" w:rsidRDefault="001E4B43" w:rsidP="001E4B43">
      <w:r w:rsidRPr="008625DC">
        <w:t>Trembath</w:t>
      </w:r>
      <w:r w:rsidRPr="008625DC">
        <w:rPr>
          <w:rStyle w:val="FootnoteReference"/>
        </w:rPr>
        <w:footnoteReference w:id="239"/>
      </w:r>
      <w:r w:rsidRPr="008625DC">
        <w:t xml:space="preserve"> suggests that a best practice model for determining the scope of competitive neutrality involves regularly reviewing the activities</w:t>
      </w:r>
      <w:r w:rsidR="00C74E19" w:rsidRPr="008625DC">
        <w:t>’</w:t>
      </w:r>
      <w:r w:rsidRPr="008625DC">
        <w:t xml:space="preserve"> status of significance or non</w:t>
      </w:r>
      <w:r w:rsidR="00C74E19" w:rsidRPr="008625DC">
        <w:noBreakHyphen/>
      </w:r>
      <w:r w:rsidRPr="008625DC">
        <w:t>significance. Also, allegations of non</w:t>
      </w:r>
      <w:r w:rsidR="00C74E19" w:rsidRPr="008625DC">
        <w:noBreakHyphen/>
      </w:r>
      <w:r w:rsidRPr="008625DC">
        <w:t>compliance should be heard by a body separate from the government businesses that could be the subject of complaint</w:t>
      </w:r>
      <w:r w:rsidR="00C74E19" w:rsidRPr="008625DC">
        <w:t xml:space="preserve">.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E4B43" w:rsidRPr="008625DC" w14:paraId="1FEFFAC8" w14:textId="77777777" w:rsidTr="001E4B43">
        <w:tc>
          <w:tcPr>
            <w:tcW w:w="5000" w:type="pct"/>
            <w:shd w:val="clear" w:color="auto" w:fill="FFFFFF" w:themeFill="background1"/>
          </w:tcPr>
          <w:p w14:paraId="66244DD2" w14:textId="200B5C38" w:rsidR="001E4B43" w:rsidRPr="008625DC" w:rsidRDefault="001E4B43" w:rsidP="001E4B43">
            <w:pPr>
              <w:pStyle w:val="Keyfindingheading"/>
            </w:pPr>
            <w:r w:rsidRPr="008625DC">
              <w:lastRenderedPageBreak/>
              <w:t>The Panel</w:t>
            </w:r>
            <w:r w:rsidR="00C74E19" w:rsidRPr="008625DC">
              <w:t>’</w:t>
            </w:r>
            <w:r w:rsidRPr="008625DC">
              <w:t>s view</w:t>
            </w:r>
          </w:p>
          <w:p w14:paraId="19CA503A" w14:textId="77777777" w:rsidR="001E4B43" w:rsidRPr="008625DC" w:rsidRDefault="001E4B43" w:rsidP="001E4B43">
            <w:pPr>
              <w:pStyle w:val="Keyfindingtext"/>
            </w:pPr>
            <w:bookmarkStart w:id="25173" w:name="_Toc393985244"/>
            <w:bookmarkStart w:id="25174" w:name="_Toc393985747"/>
            <w:bookmarkStart w:id="25175" w:name="_Toc393986149"/>
            <w:bookmarkStart w:id="25176" w:name="_Toc393986552"/>
            <w:bookmarkStart w:id="25177" w:name="_Toc393988159"/>
            <w:bookmarkStart w:id="25178" w:name="_Toc393988561"/>
            <w:bookmarkStart w:id="25179" w:name="_Toc393989572"/>
            <w:bookmarkStart w:id="25180" w:name="_Toc393988961"/>
            <w:bookmarkStart w:id="25181" w:name="_Toc393990965"/>
            <w:bookmarkStart w:id="25182" w:name="_Toc393991949"/>
            <w:bookmarkStart w:id="25183" w:name="_Toc394047613"/>
            <w:bookmarkStart w:id="25184" w:name="_Toc394048280"/>
            <w:bookmarkStart w:id="25185" w:name="_Toc394049889"/>
            <w:bookmarkStart w:id="25186" w:name="_Toc394051289"/>
            <w:bookmarkStart w:id="25187" w:name="_Toc394062278"/>
            <w:bookmarkStart w:id="25188" w:name="_Toc394069153"/>
            <w:bookmarkStart w:id="25189" w:name="_Toc394071071"/>
            <w:bookmarkStart w:id="25190" w:name="_Toc394312780"/>
            <w:bookmarkStart w:id="25191" w:name="_Toc394330756"/>
            <w:bookmarkStart w:id="25192" w:name="_Toc394331271"/>
            <w:bookmarkStart w:id="25193" w:name="_Toc394330376"/>
            <w:bookmarkStart w:id="25194" w:name="_Toc394333347"/>
            <w:bookmarkStart w:id="25195" w:name="_Toc394333760"/>
            <w:bookmarkStart w:id="25196" w:name="_Toc394334173"/>
            <w:bookmarkStart w:id="25197" w:name="_Toc394334999"/>
            <w:bookmarkStart w:id="25198" w:name="_Toc394415186"/>
            <w:bookmarkStart w:id="25199" w:name="_Toc394412491"/>
            <w:bookmarkStart w:id="25200" w:name="_Toc394420784"/>
            <w:bookmarkStart w:id="25201" w:name="_Toc394423627"/>
            <w:bookmarkStart w:id="25202" w:name="_Toc394422671"/>
            <w:bookmarkStart w:id="25203" w:name="_Toc394423142"/>
            <w:bookmarkStart w:id="25204" w:name="_Toc394424292"/>
            <w:bookmarkStart w:id="25205" w:name="_Toc394492125"/>
            <w:bookmarkStart w:id="25206" w:name="_Toc394495269"/>
            <w:bookmarkStart w:id="25207" w:name="_Toc394498084"/>
            <w:bookmarkStart w:id="25208" w:name="_Toc394500874"/>
            <w:bookmarkStart w:id="25209" w:name="_Toc394502271"/>
            <w:bookmarkStart w:id="25210" w:name="_Toc394503171"/>
            <w:bookmarkStart w:id="25211" w:name="_Toc394502715"/>
            <w:bookmarkStart w:id="25212" w:name="_Toc394505922"/>
            <w:bookmarkStart w:id="25213" w:name="_Toc394506381"/>
            <w:bookmarkStart w:id="25214" w:name="_Toc394506935"/>
            <w:bookmarkStart w:id="25215" w:name="_Toc394561008"/>
            <w:bookmarkStart w:id="25216" w:name="_Toc394561469"/>
            <w:bookmarkStart w:id="25217" w:name="_Toc394938316"/>
            <w:bookmarkStart w:id="25218" w:name="_Toc394937596"/>
            <w:bookmarkStart w:id="25219" w:name="_Toc394941227"/>
            <w:bookmarkStart w:id="25220" w:name="_Toc394941843"/>
            <w:bookmarkStart w:id="25221" w:name="_Toc394940065"/>
            <w:bookmarkStart w:id="25222" w:name="_Toc394939675"/>
            <w:bookmarkStart w:id="25223" w:name="_Toc394993572"/>
            <w:bookmarkStart w:id="25224" w:name="_Toc394995453"/>
            <w:bookmarkStart w:id="25225" w:name="_Toc394995767"/>
            <w:bookmarkStart w:id="25226" w:name="_Toc394998012"/>
            <w:bookmarkStart w:id="25227" w:name="_Toc394998526"/>
            <w:bookmarkStart w:id="25228" w:name="_Toc395002025"/>
            <w:bookmarkStart w:id="25229" w:name="_Toc395001505"/>
            <w:bookmarkStart w:id="25230" w:name="_Toc395003379"/>
            <w:bookmarkStart w:id="25231" w:name="_Toc395005620"/>
            <w:bookmarkStart w:id="25232" w:name="_Toc395009614"/>
            <w:bookmarkStart w:id="25233" w:name="_Toc395012537"/>
            <w:bookmarkStart w:id="25234" w:name="_Toc395010942"/>
            <w:bookmarkStart w:id="25235" w:name="_Toc395012886"/>
            <w:bookmarkStart w:id="25236" w:name="_Toc395012002"/>
            <w:bookmarkStart w:id="25237" w:name="_Toc395084693"/>
            <w:bookmarkStart w:id="25238" w:name="_Toc395084994"/>
            <w:bookmarkStart w:id="25239" w:name="_Toc395090457"/>
            <w:bookmarkStart w:id="25240" w:name="_Toc395093041"/>
            <w:bookmarkStart w:id="25241" w:name="_Toc395097953"/>
            <w:bookmarkStart w:id="25242" w:name="_Toc395106138"/>
            <w:bookmarkStart w:id="25243" w:name="_Toc395112108"/>
            <w:bookmarkStart w:id="25244" w:name="_Toc395107248"/>
            <w:bookmarkStart w:id="25245" w:name="_Toc395108811"/>
            <w:bookmarkStart w:id="25246" w:name="_Toc395114051"/>
            <w:bookmarkStart w:id="25247" w:name="_Toc395116788"/>
            <w:bookmarkStart w:id="25248" w:name="_Toc395112725"/>
            <w:bookmarkStart w:id="25249" w:name="_Toc395115265"/>
            <w:bookmarkStart w:id="25250" w:name="_Toc395118417"/>
            <w:bookmarkStart w:id="25251" w:name="_Toc395624611"/>
            <w:bookmarkStart w:id="25252" w:name="_Toc395789963"/>
            <w:bookmarkStart w:id="25253" w:name="_Toc395800720"/>
            <w:r w:rsidRPr="008625DC">
              <w:t>The principle of competitive neutrality is a key mechanism for strengthening competition in sectors where government is a major provider of services.</w:t>
            </w:r>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p>
          <w:p w14:paraId="017479DF" w14:textId="5699A247" w:rsidR="001E4B43" w:rsidRPr="008625DC" w:rsidRDefault="001E4B43" w:rsidP="001E4B43">
            <w:pPr>
              <w:pStyle w:val="Keyfindingtext"/>
            </w:pPr>
            <w:bookmarkStart w:id="25254" w:name="_Toc393985245"/>
            <w:bookmarkStart w:id="25255" w:name="_Toc393985748"/>
            <w:bookmarkStart w:id="25256" w:name="_Toc393986150"/>
            <w:bookmarkStart w:id="25257" w:name="_Toc393986553"/>
            <w:bookmarkStart w:id="25258" w:name="_Toc393988160"/>
            <w:bookmarkStart w:id="25259" w:name="_Toc393988562"/>
            <w:bookmarkStart w:id="25260" w:name="_Toc393989573"/>
            <w:bookmarkStart w:id="25261" w:name="_Toc393988962"/>
            <w:bookmarkStart w:id="25262" w:name="_Toc393990966"/>
            <w:bookmarkStart w:id="25263" w:name="_Toc393991950"/>
            <w:bookmarkStart w:id="25264" w:name="_Toc394047614"/>
            <w:bookmarkStart w:id="25265" w:name="_Toc394048281"/>
            <w:bookmarkStart w:id="25266" w:name="_Toc394049890"/>
            <w:bookmarkStart w:id="25267" w:name="_Toc394051290"/>
            <w:bookmarkStart w:id="25268" w:name="_Toc394062279"/>
            <w:bookmarkStart w:id="25269" w:name="_Toc394069154"/>
            <w:bookmarkStart w:id="25270" w:name="_Toc394071072"/>
            <w:bookmarkStart w:id="25271" w:name="_Toc394312781"/>
            <w:bookmarkStart w:id="25272" w:name="_Toc394330757"/>
            <w:bookmarkStart w:id="25273" w:name="_Toc394331272"/>
            <w:bookmarkStart w:id="25274" w:name="_Toc394330377"/>
            <w:bookmarkStart w:id="25275" w:name="_Toc394333348"/>
            <w:bookmarkStart w:id="25276" w:name="_Toc394333761"/>
            <w:bookmarkStart w:id="25277" w:name="_Toc394334174"/>
            <w:bookmarkStart w:id="25278" w:name="_Toc394335000"/>
            <w:bookmarkStart w:id="25279" w:name="_Toc394415187"/>
            <w:bookmarkStart w:id="25280" w:name="_Toc394412492"/>
            <w:bookmarkStart w:id="25281" w:name="_Toc394420785"/>
            <w:bookmarkStart w:id="25282" w:name="_Toc394423628"/>
            <w:bookmarkStart w:id="25283" w:name="_Toc394422672"/>
            <w:bookmarkStart w:id="25284" w:name="_Toc394423143"/>
            <w:bookmarkStart w:id="25285" w:name="_Toc394424293"/>
            <w:bookmarkStart w:id="25286" w:name="_Toc394492126"/>
            <w:bookmarkStart w:id="25287" w:name="_Toc394495270"/>
            <w:bookmarkStart w:id="25288" w:name="_Toc394498085"/>
            <w:bookmarkStart w:id="25289" w:name="_Toc394500875"/>
            <w:bookmarkStart w:id="25290" w:name="_Toc394502272"/>
            <w:bookmarkStart w:id="25291" w:name="_Toc394503172"/>
            <w:bookmarkStart w:id="25292" w:name="_Toc394502716"/>
            <w:bookmarkStart w:id="25293" w:name="_Toc394505923"/>
            <w:bookmarkStart w:id="25294" w:name="_Toc394506382"/>
            <w:bookmarkStart w:id="25295" w:name="_Toc394506936"/>
            <w:bookmarkStart w:id="25296" w:name="_Toc394561009"/>
            <w:bookmarkStart w:id="25297" w:name="_Toc394561470"/>
            <w:bookmarkStart w:id="25298" w:name="_Toc395624612"/>
            <w:bookmarkStart w:id="25299" w:name="_Toc395800721"/>
            <w:bookmarkStart w:id="25300" w:name="_Toc394938317"/>
            <w:bookmarkStart w:id="25301" w:name="_Toc394937597"/>
            <w:bookmarkStart w:id="25302" w:name="_Toc394941228"/>
            <w:bookmarkStart w:id="25303" w:name="_Toc394941844"/>
            <w:bookmarkStart w:id="25304" w:name="_Toc394940066"/>
            <w:bookmarkStart w:id="25305" w:name="_Toc394939676"/>
            <w:bookmarkStart w:id="25306" w:name="_Toc394993573"/>
            <w:bookmarkStart w:id="25307" w:name="_Toc394995454"/>
            <w:bookmarkStart w:id="25308" w:name="_Toc394995768"/>
            <w:bookmarkStart w:id="25309" w:name="_Toc394998013"/>
            <w:bookmarkStart w:id="25310" w:name="_Toc394998527"/>
            <w:bookmarkStart w:id="25311" w:name="_Toc395002026"/>
            <w:bookmarkStart w:id="25312" w:name="_Toc395001506"/>
            <w:bookmarkStart w:id="25313" w:name="_Toc395003380"/>
            <w:bookmarkStart w:id="25314" w:name="_Toc395005621"/>
            <w:bookmarkStart w:id="25315" w:name="_Toc395009615"/>
            <w:bookmarkStart w:id="25316" w:name="_Toc395010354"/>
            <w:bookmarkStart w:id="25317" w:name="_Toc395012538"/>
            <w:bookmarkStart w:id="25318" w:name="_Toc395010943"/>
            <w:bookmarkStart w:id="25319" w:name="_Toc395012887"/>
            <w:bookmarkStart w:id="25320" w:name="_Toc395012003"/>
            <w:bookmarkStart w:id="25321" w:name="_Toc395084694"/>
            <w:bookmarkStart w:id="25322" w:name="_Toc395084995"/>
            <w:bookmarkStart w:id="25323" w:name="_Toc395090458"/>
            <w:bookmarkStart w:id="25324" w:name="_Toc395093042"/>
            <w:bookmarkStart w:id="25325" w:name="_Toc395097954"/>
            <w:bookmarkStart w:id="25326" w:name="_Toc395106139"/>
            <w:bookmarkStart w:id="25327" w:name="_Toc395112109"/>
            <w:bookmarkStart w:id="25328" w:name="_Toc395107249"/>
            <w:bookmarkStart w:id="25329" w:name="_Toc395108812"/>
            <w:bookmarkStart w:id="25330" w:name="_Toc395114052"/>
            <w:bookmarkStart w:id="25331" w:name="_Toc395116789"/>
            <w:bookmarkStart w:id="25332" w:name="_Toc395112726"/>
            <w:bookmarkStart w:id="25333" w:name="_Toc395115266"/>
            <w:bookmarkStart w:id="25334" w:name="_Toc395118418"/>
            <w:bookmarkStart w:id="25335" w:name="_Toc395789964"/>
            <w:r w:rsidRPr="008625DC">
              <w:t>Concerns around competitive neutrality were raised with the Panel, particularly where businesses, in many instances small businesses, compete with local government.</w:t>
            </w:r>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r w:rsidRPr="008625DC">
              <w:t xml:space="preserve"> While the government activities may not be </w:t>
            </w:r>
            <w:r w:rsidR="00C74E19" w:rsidRPr="008625DC">
              <w:t>‘</w:t>
            </w:r>
            <w:r w:rsidRPr="008625DC">
              <w:t>significant</w:t>
            </w:r>
            <w:r w:rsidR="00C74E19" w:rsidRPr="008625DC">
              <w:t>’</w:t>
            </w:r>
            <w:r w:rsidRPr="008625DC">
              <w:t xml:space="preserve"> as judged by relevant guidelines, the breadth of sectors where issues were raised points to this as a potential obstacle to small business competing in a range of markets.</w:t>
            </w:r>
            <w:bookmarkEnd w:id="25298"/>
            <w:bookmarkEnd w:id="25299"/>
          </w:p>
          <w:p w14:paraId="6C740759" w14:textId="77777777" w:rsidR="001E4B43" w:rsidRPr="008625DC" w:rsidRDefault="001E4B43" w:rsidP="001E4B43">
            <w:pPr>
              <w:pStyle w:val="Keyfindingtext"/>
            </w:pPr>
            <w:bookmarkStart w:id="25336" w:name="_Toc395624613"/>
            <w:bookmarkStart w:id="25337" w:name="_Toc395800722"/>
            <w:bookmarkStart w:id="25338" w:name="_Toc394938318"/>
            <w:bookmarkStart w:id="25339" w:name="_Toc394937598"/>
            <w:bookmarkStart w:id="25340" w:name="_Toc394941229"/>
            <w:bookmarkStart w:id="25341" w:name="_Toc394941845"/>
            <w:bookmarkStart w:id="25342" w:name="_Toc394940067"/>
            <w:bookmarkStart w:id="25343" w:name="_Toc394939677"/>
            <w:bookmarkStart w:id="25344" w:name="_Toc394993574"/>
            <w:bookmarkStart w:id="25345" w:name="_Toc394995455"/>
            <w:bookmarkStart w:id="25346" w:name="_Toc394995769"/>
            <w:bookmarkStart w:id="25347" w:name="_Toc394998014"/>
            <w:bookmarkStart w:id="25348" w:name="_Toc394998528"/>
            <w:bookmarkStart w:id="25349" w:name="_Toc395001507"/>
            <w:bookmarkStart w:id="25350" w:name="_Toc395002027"/>
            <w:bookmarkStart w:id="25351" w:name="_Toc395003381"/>
            <w:bookmarkStart w:id="25352" w:name="_Toc395005622"/>
            <w:bookmarkStart w:id="25353" w:name="_Toc395009616"/>
            <w:bookmarkStart w:id="25354" w:name="_Toc395010355"/>
            <w:bookmarkStart w:id="25355" w:name="_Toc395012539"/>
            <w:bookmarkStart w:id="25356" w:name="_Toc395010944"/>
            <w:bookmarkStart w:id="25357" w:name="_Toc395012888"/>
            <w:bookmarkStart w:id="25358" w:name="_Toc395012004"/>
            <w:bookmarkStart w:id="25359" w:name="_Toc395084695"/>
            <w:bookmarkStart w:id="25360" w:name="_Toc395084996"/>
            <w:bookmarkStart w:id="25361" w:name="_Toc395090459"/>
            <w:bookmarkStart w:id="25362" w:name="_Toc395093043"/>
            <w:bookmarkStart w:id="25363" w:name="_Toc395097955"/>
            <w:bookmarkStart w:id="25364" w:name="_Toc395106140"/>
            <w:bookmarkStart w:id="25365" w:name="_Toc395112110"/>
            <w:bookmarkStart w:id="25366" w:name="_Toc395107250"/>
            <w:bookmarkStart w:id="25367" w:name="_Toc395108813"/>
            <w:bookmarkStart w:id="25368" w:name="_Toc395114053"/>
            <w:bookmarkStart w:id="25369" w:name="_Toc395116790"/>
            <w:bookmarkStart w:id="25370" w:name="_Toc395112727"/>
            <w:bookmarkStart w:id="25371" w:name="_Toc395115267"/>
            <w:bookmarkStart w:id="25372" w:name="_Toc395118419"/>
            <w:bookmarkStart w:id="25373" w:name="_Toc395624614"/>
            <w:bookmarkStart w:id="25374" w:name="_Toc395789965"/>
            <w:bookmarkStart w:id="25375" w:name="_Toc395800723"/>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r w:rsidRPr="008625DC">
              <w:t>The Panel is also concerned by the number of instances where local governments act as regulator and provider in a contested market.</w:t>
            </w:r>
            <w:bookmarkEnd w:id="25336"/>
            <w:bookmarkEnd w:id="25337"/>
            <w:r w:rsidRPr="008625DC">
              <w:t xml:space="preserve"> The operational practices under which government businesses operate can have implications for competitive neutrality. </w:t>
            </w:r>
          </w:p>
          <w:p w14:paraId="3A4AC909" w14:textId="77777777" w:rsidR="001E4B43" w:rsidRPr="008625DC" w:rsidRDefault="001E4B43" w:rsidP="001E4B43">
            <w:pPr>
              <w:pStyle w:val="Keyfindingtext"/>
            </w:pPr>
            <w:r w:rsidRPr="008625DC">
              <w:t>The absence of any requirement to respond to breaches of competitive neutrality is clearly undermining the efficacy of competitive neutrality policy</w:t>
            </w:r>
            <w:bookmarkEnd w:id="25338"/>
            <w:bookmarkEnd w:id="25339"/>
            <w:bookmarkEnd w:id="25340"/>
            <w:bookmarkEnd w:id="25341"/>
            <w:bookmarkEnd w:id="25342"/>
            <w:bookmarkEnd w:id="25343"/>
            <w:bookmarkEnd w:id="25344"/>
            <w:bookmarkEnd w:id="25345"/>
            <w:bookmarkEnd w:id="25346"/>
            <w:bookmarkEnd w:id="25347"/>
            <w:bookmarkEnd w:id="25348"/>
            <w:bookmarkEnd w:id="25349"/>
            <w:r w:rsidRPr="008625DC">
              <w:t>.</w:t>
            </w:r>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p>
          <w:p w14:paraId="620F2C45" w14:textId="33CA2240" w:rsidR="001E4B43" w:rsidRPr="008625DC" w:rsidRDefault="001E4B43" w:rsidP="001E4B43">
            <w:pPr>
              <w:pStyle w:val="Keyfindingtext"/>
            </w:pPr>
            <w:bookmarkStart w:id="25376" w:name="_Toc393985247"/>
            <w:bookmarkStart w:id="25377" w:name="_Toc393985750"/>
            <w:bookmarkStart w:id="25378" w:name="_Toc393986152"/>
            <w:bookmarkStart w:id="25379" w:name="_Toc393986555"/>
            <w:bookmarkStart w:id="25380" w:name="_Toc393988162"/>
            <w:bookmarkStart w:id="25381" w:name="_Toc393988564"/>
            <w:bookmarkStart w:id="25382" w:name="_Toc393989575"/>
            <w:bookmarkStart w:id="25383" w:name="_Toc393988964"/>
            <w:bookmarkStart w:id="25384" w:name="_Toc393990968"/>
            <w:bookmarkStart w:id="25385" w:name="_Toc393991952"/>
            <w:bookmarkStart w:id="25386" w:name="_Toc394047616"/>
            <w:bookmarkStart w:id="25387" w:name="_Toc394048283"/>
            <w:bookmarkStart w:id="25388" w:name="_Toc394049892"/>
            <w:bookmarkStart w:id="25389" w:name="_Toc394051292"/>
            <w:bookmarkStart w:id="25390" w:name="_Toc394062281"/>
            <w:bookmarkStart w:id="25391" w:name="_Toc394069156"/>
            <w:bookmarkStart w:id="25392" w:name="_Toc394071074"/>
            <w:bookmarkStart w:id="25393" w:name="_Toc394312783"/>
            <w:bookmarkStart w:id="25394" w:name="_Toc394330759"/>
            <w:bookmarkStart w:id="25395" w:name="_Toc394331274"/>
            <w:bookmarkStart w:id="25396" w:name="_Toc394330379"/>
            <w:bookmarkStart w:id="25397" w:name="_Toc394333350"/>
            <w:bookmarkStart w:id="25398" w:name="_Toc394333763"/>
            <w:bookmarkStart w:id="25399" w:name="_Toc394334176"/>
            <w:bookmarkStart w:id="25400" w:name="_Toc394335002"/>
            <w:bookmarkStart w:id="25401" w:name="_Toc394415189"/>
            <w:bookmarkStart w:id="25402" w:name="_Toc394412494"/>
            <w:bookmarkStart w:id="25403" w:name="_Toc394420787"/>
            <w:bookmarkStart w:id="25404" w:name="_Toc394423630"/>
            <w:bookmarkStart w:id="25405" w:name="_Toc394422674"/>
            <w:bookmarkStart w:id="25406" w:name="_Toc394423145"/>
            <w:bookmarkStart w:id="25407" w:name="_Toc394424295"/>
            <w:bookmarkStart w:id="25408" w:name="_Toc394492128"/>
            <w:bookmarkStart w:id="25409" w:name="_Toc394495272"/>
            <w:bookmarkStart w:id="25410" w:name="_Toc394498087"/>
            <w:bookmarkStart w:id="25411" w:name="_Toc394500877"/>
            <w:bookmarkStart w:id="25412" w:name="_Toc394502274"/>
            <w:bookmarkStart w:id="25413" w:name="_Toc394503174"/>
            <w:bookmarkStart w:id="25414" w:name="_Toc394502718"/>
            <w:bookmarkStart w:id="25415" w:name="_Toc394505925"/>
            <w:bookmarkStart w:id="25416" w:name="_Toc394506384"/>
            <w:bookmarkStart w:id="25417" w:name="_Toc394506938"/>
            <w:bookmarkStart w:id="25418" w:name="_Toc394561011"/>
            <w:bookmarkStart w:id="25419" w:name="_Toc394561472"/>
            <w:bookmarkStart w:id="25420" w:name="_Toc394938319"/>
            <w:bookmarkStart w:id="25421" w:name="_Toc394937599"/>
            <w:bookmarkStart w:id="25422" w:name="_Toc394941230"/>
            <w:bookmarkStart w:id="25423" w:name="_Toc394941846"/>
            <w:bookmarkStart w:id="25424" w:name="_Toc394940068"/>
            <w:bookmarkStart w:id="25425" w:name="_Toc394939678"/>
            <w:bookmarkStart w:id="25426" w:name="_Toc394993575"/>
            <w:bookmarkStart w:id="25427" w:name="_Toc394995456"/>
            <w:bookmarkStart w:id="25428" w:name="_Toc394995770"/>
            <w:bookmarkStart w:id="25429" w:name="_Toc394998015"/>
            <w:bookmarkStart w:id="25430" w:name="_Toc394998529"/>
            <w:bookmarkStart w:id="25431" w:name="_Toc395002028"/>
            <w:bookmarkStart w:id="25432" w:name="_Toc395001508"/>
            <w:bookmarkStart w:id="25433" w:name="_Toc395003382"/>
            <w:bookmarkStart w:id="25434" w:name="_Toc395005623"/>
            <w:bookmarkStart w:id="25435" w:name="_Toc395009617"/>
            <w:bookmarkStart w:id="25436" w:name="_Toc395010356"/>
            <w:bookmarkStart w:id="25437" w:name="_Toc395012540"/>
            <w:bookmarkStart w:id="25438" w:name="_Toc395010945"/>
            <w:bookmarkStart w:id="25439" w:name="_Toc395012889"/>
            <w:bookmarkStart w:id="25440" w:name="_Toc395012005"/>
            <w:bookmarkStart w:id="25441" w:name="_Toc395084696"/>
            <w:bookmarkStart w:id="25442" w:name="_Toc395084997"/>
            <w:bookmarkStart w:id="25443" w:name="_Toc395090460"/>
            <w:bookmarkStart w:id="25444" w:name="_Toc395093044"/>
            <w:bookmarkStart w:id="25445" w:name="_Toc395097956"/>
            <w:bookmarkStart w:id="25446" w:name="_Toc395106141"/>
            <w:bookmarkStart w:id="25447" w:name="_Toc395112111"/>
            <w:bookmarkStart w:id="25448" w:name="_Toc395107251"/>
            <w:bookmarkStart w:id="25449" w:name="_Toc395108814"/>
            <w:bookmarkStart w:id="25450" w:name="_Toc395114054"/>
            <w:bookmarkStart w:id="25451" w:name="_Toc395116791"/>
            <w:bookmarkStart w:id="25452" w:name="_Toc395112728"/>
            <w:bookmarkStart w:id="25453" w:name="_Toc395115268"/>
            <w:bookmarkStart w:id="25454" w:name="_Toc395118420"/>
            <w:bookmarkStart w:id="25455" w:name="_Toc395624615"/>
            <w:bookmarkStart w:id="25456" w:name="_Toc395789966"/>
            <w:bookmarkStart w:id="25457" w:name="_Toc395800724"/>
            <w:r w:rsidRPr="008625DC">
              <w:t>Competitive neutrality policies need to remain relevant and up</w:t>
            </w:r>
            <w:r w:rsidR="00C74E19" w:rsidRPr="008625DC">
              <w:noBreakHyphen/>
            </w:r>
            <w:r w:rsidRPr="008625DC">
              <w:t>to</w:t>
            </w:r>
            <w:r w:rsidR="00C74E19" w:rsidRPr="008625DC">
              <w:noBreakHyphen/>
            </w:r>
            <w:r w:rsidRPr="008625DC">
              <w:t>date. Specific matters that should be considered include: guidelines on the application of competitive neutrality during the start</w:t>
            </w:r>
            <w:r w:rsidR="00C74E19" w:rsidRPr="008625DC">
              <w:noBreakHyphen/>
            </w:r>
            <w:r w:rsidRPr="008625DC">
              <w:t>up stages of government businesses; the period of time over which start</w:t>
            </w:r>
            <w:r w:rsidR="00C74E19" w:rsidRPr="008625DC">
              <w:noBreakHyphen/>
            </w:r>
            <w:r w:rsidRPr="008625DC">
              <w:t>up government businesses should earn a commercial rate of return; and threshold tests for identifying significant business activities</w:t>
            </w:r>
            <w:r w:rsidR="00C74E19" w:rsidRPr="008625DC">
              <w:t xml:space="preserve">. </w:t>
            </w:r>
          </w:p>
          <w:p w14:paraId="7B223046" w14:textId="77777777" w:rsidR="001E4B43" w:rsidRPr="008625DC" w:rsidRDefault="001E4B43" w:rsidP="001E4B43">
            <w:pPr>
              <w:pStyle w:val="Keyfindingtext"/>
            </w:pPr>
            <w:r w:rsidRPr="008625DC">
              <w:t>There is scope to increase the transparency and effectiveness of competitive neutrality complaints processes and compliance with competitive neutrality policy, including by:</w:t>
            </w:r>
          </w:p>
          <w:p w14:paraId="69A2EC22" w14:textId="77777777" w:rsidR="001E4B43" w:rsidRPr="008625DC" w:rsidRDefault="001E4B43" w:rsidP="000C0498">
            <w:pPr>
              <w:pStyle w:val="BoxBullet"/>
              <w:rPr>
                <w:lang w:val="en-AU"/>
              </w:rPr>
            </w:pPr>
            <w:r w:rsidRPr="008625DC">
              <w:rPr>
                <w:lang w:val="en-AU"/>
              </w:rPr>
              <w:t>assigning responsibility for investigation of complaints to a body independent of government;</w:t>
            </w:r>
          </w:p>
          <w:p w14:paraId="2A49B430" w14:textId="77777777" w:rsidR="001E4B43" w:rsidRPr="008625DC" w:rsidRDefault="001E4B43" w:rsidP="000C0498">
            <w:pPr>
              <w:pStyle w:val="BoxBullet"/>
              <w:rPr>
                <w:lang w:val="en-AU"/>
              </w:rPr>
            </w:pPr>
            <w:r w:rsidRPr="008625DC">
              <w:rPr>
                <w:lang w:val="en-AU"/>
              </w:rPr>
              <w:t>requiring governments to respond publicly to the findings of complaint investigations; and</w:t>
            </w:r>
          </w:p>
          <w:p w14:paraId="68925520" w14:textId="77777777" w:rsidR="001E4B43" w:rsidRPr="008625DC" w:rsidRDefault="001E4B43" w:rsidP="00CD4B2B">
            <w:pPr>
              <w:pStyle w:val="BoxBullet"/>
              <w:spacing w:after="180"/>
              <w:rPr>
                <w:lang w:val="en-AU"/>
              </w:rPr>
            </w:pPr>
            <w:proofErr w:type="gramStart"/>
            <w:r w:rsidRPr="008625DC">
              <w:rPr>
                <w:lang w:val="en-AU"/>
              </w:rPr>
              <w:t>requiring</w:t>
            </w:r>
            <w:proofErr w:type="gramEnd"/>
            <w:r w:rsidRPr="008625DC">
              <w:rPr>
                <w:lang w:val="en-AU"/>
              </w:rPr>
              <w:t xml:space="preserve"> government businesses to include a statement on compliance with competitive neutrality in their annual reports. </w:t>
            </w:r>
          </w:p>
          <w:p w14:paraId="50D89599" w14:textId="2312BC5F" w:rsidR="001E4B43" w:rsidRPr="008625DC" w:rsidRDefault="001E4B43" w:rsidP="001E4B43">
            <w:pPr>
              <w:pStyle w:val="Keyfindingtext"/>
            </w:pPr>
            <w:r w:rsidRPr="008625DC">
              <w:t xml:space="preserve">Since each jurisdiction is able to adopt its own approach to competitive neutrality, there is an opportunity to compare across jurisdictions to determine </w:t>
            </w:r>
            <w:r w:rsidR="00C74E19" w:rsidRPr="008625DC">
              <w:t>‘</w:t>
            </w:r>
            <w:r w:rsidRPr="008625DC">
              <w:t>best practice</w:t>
            </w:r>
            <w:r w:rsidR="00C74E19" w:rsidRPr="008625DC">
              <w:t>’</w:t>
            </w:r>
            <w:r w:rsidRPr="008625DC">
              <w:t xml:space="preserve"> as a basis for updating policies and improving current arrangements.</w:t>
            </w:r>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r w:rsidRPr="008625DC">
              <w:t xml:space="preserve"> </w:t>
            </w:r>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p>
        </w:tc>
      </w:tr>
    </w:tbl>
    <w:p w14:paraId="54748938" w14:textId="77777777" w:rsidR="001E4B43" w:rsidRPr="008625DC" w:rsidRDefault="001E4B43" w:rsidP="001E4B43">
      <w:pPr>
        <w:pStyle w:val="Heading3"/>
      </w:pPr>
      <w:r w:rsidRPr="008625DC">
        <w:t xml:space="preserve">Scope of current competitive neutrality principles </w:t>
      </w:r>
    </w:p>
    <w:p w14:paraId="15C11CE3" w14:textId="77777777" w:rsidR="001E4B43" w:rsidRPr="008625DC" w:rsidRDefault="001E4B43" w:rsidP="001E4B43">
      <w:r w:rsidRPr="008625DC">
        <w:t xml:space="preserve">Current competitive neutrality policies apply to significant business activities but the Panel seeks to extend competition into human services. </w:t>
      </w:r>
    </w:p>
    <w:p w14:paraId="2C7DE764" w14:textId="7DF23B4C" w:rsidR="001E4B43" w:rsidRPr="008625DC" w:rsidRDefault="001E4B43" w:rsidP="001E4B43">
      <w:r w:rsidRPr="008625DC">
        <w:t xml:space="preserve">The ACCC notes the scope for greater competition in human services and suggests that mechanisms by which this could be achieved include facilitating competitive neutrality between private and public providers and also by promoting competition between </w:t>
      </w:r>
      <w:r w:rsidR="00C74E19" w:rsidRPr="008625DC">
        <w:t>‘</w:t>
      </w:r>
      <w:r w:rsidRPr="008625DC">
        <w:t>public</w:t>
      </w:r>
      <w:r w:rsidR="00C74E19" w:rsidRPr="008625DC">
        <w:t>’</w:t>
      </w:r>
      <w:r w:rsidRPr="008625DC">
        <w:t xml:space="preserve"> providers (page 8). </w:t>
      </w:r>
    </w:p>
    <w:p w14:paraId="7522A045" w14:textId="77777777" w:rsidR="001E4B43" w:rsidRPr="008625DC" w:rsidRDefault="001E4B43" w:rsidP="000C0498">
      <w:pPr>
        <w:spacing w:after="120"/>
      </w:pPr>
      <w:r w:rsidRPr="008625DC">
        <w:t xml:space="preserve">The NSW Government also suggests that there is scope to increase the contestability of public service markets: </w:t>
      </w:r>
    </w:p>
    <w:p w14:paraId="4C6B7911" w14:textId="0E518EC6" w:rsidR="001E4B43" w:rsidRPr="008625DC" w:rsidRDefault="001E4B43" w:rsidP="001E4B43">
      <w:pPr>
        <w:pStyle w:val="Quotes"/>
      </w:pPr>
      <w:r w:rsidRPr="008625DC">
        <w:t xml:space="preserve">In some areas, impediments exist that make it challenging for the private sector to effectively </w:t>
      </w:r>
      <w:proofErr w:type="gramStart"/>
      <w:r w:rsidRPr="008625DC">
        <w:t>compete</w:t>
      </w:r>
      <w:proofErr w:type="gramEnd"/>
      <w:r w:rsidRPr="008625DC">
        <w:t xml:space="preserve"> with the public sector, despite competitive neutrality requirements. There may be scope to increase contestability in public service markets, including for individual components of the service delivery chain, if community service obligations (CSOs) were transparent, explicitly priced and directly funded by the government. (</w:t>
      </w:r>
      <w:proofErr w:type="gramStart"/>
      <w:r w:rsidRPr="008625DC">
        <w:t>page</w:t>
      </w:r>
      <w:proofErr w:type="gramEnd"/>
      <w:r w:rsidR="000C0498" w:rsidRPr="008625DC">
        <w:t> </w:t>
      </w:r>
      <w:r w:rsidRPr="008625DC">
        <w:t>22)</w:t>
      </w:r>
    </w:p>
    <w:p w14:paraId="521060B5" w14:textId="26A5D414" w:rsidR="001E4B43" w:rsidRPr="008625DC" w:rsidRDefault="001E4B43" w:rsidP="000C0498">
      <w:pPr>
        <w:spacing w:after="120"/>
      </w:pPr>
      <w:r w:rsidRPr="008625DC">
        <w:lastRenderedPageBreak/>
        <w:t xml:space="preserve">The NSW Government notes that changes to increase contestability in the </w:t>
      </w:r>
      <w:r w:rsidR="002C16E2" w:rsidRPr="008625DC">
        <w:t>vocational education and training</w:t>
      </w:r>
      <w:r w:rsidRPr="008625DC">
        <w:t xml:space="preserve"> market in NSW will require TAFE Institutes to compete on a more neutral basis.</w:t>
      </w:r>
    </w:p>
    <w:p w14:paraId="595AF04C" w14:textId="7738F1CB" w:rsidR="001E4B43" w:rsidRPr="008625DC" w:rsidRDefault="001E4B43" w:rsidP="001E4B43">
      <w:pPr>
        <w:pStyle w:val="Quotes"/>
      </w:pPr>
      <w:r w:rsidRPr="008625DC">
        <w:t>These reforms include introducing a demand</w:t>
      </w:r>
      <w:r w:rsidR="00C74E19" w:rsidRPr="008625DC">
        <w:noBreakHyphen/>
      </w:r>
      <w:r w:rsidRPr="008625DC">
        <w:t>driven system through individual student entitlements to government subsidised training for identified skills (from 1 January 2015), allowing the funds to follow the student to their choice of approved training organisation and increasing the contestability of government subsidies for training. The reforms also change TAFE governance structures, increasing competitive neutrality by separating the purchaser and provider roles and ensuring TAFE Institutes compete on a more neutral basis. (</w:t>
      </w:r>
      <w:proofErr w:type="gramStart"/>
      <w:r w:rsidRPr="008625DC">
        <w:t>page</w:t>
      </w:r>
      <w:proofErr w:type="gramEnd"/>
      <w:r w:rsidRPr="008625DC">
        <w:t xml:space="preserve"> 25)</w:t>
      </w:r>
    </w:p>
    <w:p w14:paraId="10C166B5" w14:textId="77777777" w:rsidR="001E4B43" w:rsidRPr="008625DC" w:rsidRDefault="001E4B43" w:rsidP="001E4B43">
      <w:r w:rsidRPr="008625DC">
        <w:t>Key challenges associated with obtaining competitive neutrality in human services include structural separation, determining the operational form for government business activities (particularly when the activities sit within a broader range of government functions) and transparent costing and funding of CSOs.</w:t>
      </w:r>
    </w:p>
    <w:p w14:paraId="668DF216" w14:textId="5E816AC9" w:rsidR="001E4B43" w:rsidRPr="008625DC" w:rsidRDefault="001E4B43" w:rsidP="001E4B43">
      <w:r w:rsidRPr="008625DC">
        <w:t>Appropriate cost allocation mechanisms for identifying shared costs, assets and liabilities are also particularly important when business activities share costs across a broader range of government activities. If all costs are not correctly attributed to the business activity the government business could undercut private competitors. Transparency around cost structures also ensures that any CSOs are not used to cross</w:t>
      </w:r>
      <w:r w:rsidR="00C74E19" w:rsidRPr="008625DC">
        <w:noBreakHyphen/>
      </w:r>
      <w:r w:rsidRPr="008625DC">
        <w:t xml:space="preserve">subsidies commercial activities. </w:t>
      </w:r>
    </w:p>
    <w:p w14:paraId="6E8D2901" w14:textId="77777777" w:rsidR="001E4B43" w:rsidRPr="008625DC" w:rsidRDefault="001E4B43" w:rsidP="001E4B43">
      <w:r w:rsidRPr="008625DC">
        <w:t>Getting the right competitive neutrality policy settings in place in human services will be crucial to securing the benefits of a diverse range of innovative providers, including expanding choice to users.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1E4B43" w:rsidRPr="008625DC" w14:paraId="7F782B0A" w14:textId="77777777" w:rsidTr="001E4B43">
        <w:tc>
          <w:tcPr>
            <w:tcW w:w="5000" w:type="pct"/>
            <w:shd w:val="clear" w:color="auto" w:fill="FFFFFF" w:themeFill="background1"/>
          </w:tcPr>
          <w:p w14:paraId="386B0499" w14:textId="3A9E2279" w:rsidR="001E4B43" w:rsidRPr="008625DC" w:rsidRDefault="001E4B43" w:rsidP="001E4B43">
            <w:pPr>
              <w:pStyle w:val="Keyfindingheading"/>
            </w:pPr>
            <w:r w:rsidRPr="008625DC">
              <w:t>The Panel</w:t>
            </w:r>
            <w:r w:rsidR="00C74E19" w:rsidRPr="008625DC">
              <w:t>’</w:t>
            </w:r>
            <w:r w:rsidRPr="008625DC">
              <w:t>s view</w:t>
            </w:r>
          </w:p>
          <w:p w14:paraId="7C9C375F" w14:textId="77777777" w:rsidR="001E4B43" w:rsidRPr="008625DC" w:rsidRDefault="001E4B43" w:rsidP="001E4B43">
            <w:pPr>
              <w:pStyle w:val="Keyfindingtext"/>
            </w:pPr>
            <w:r w:rsidRPr="008625DC">
              <w:t xml:space="preserve">There may be scope to extend the principles of competitive neutrality to markets where governments and other providers are supplying services, including human services. </w:t>
            </w:r>
          </w:p>
          <w:p w14:paraId="100536E5" w14:textId="77777777" w:rsidR="001E4B43" w:rsidRPr="008625DC" w:rsidRDefault="001E4B43" w:rsidP="001E4B43">
            <w:pPr>
              <w:pStyle w:val="Keyfindingtext"/>
            </w:pPr>
            <w:r w:rsidRPr="008625DC">
              <w:t xml:space="preserve">The case for extending the principle of competitive neutrality is greatest when: </w:t>
            </w:r>
          </w:p>
          <w:p w14:paraId="33179A93" w14:textId="77777777" w:rsidR="001E4B43" w:rsidRPr="008625DC" w:rsidRDefault="001E4B43" w:rsidP="000C0498">
            <w:pPr>
              <w:pStyle w:val="BoxBullet"/>
              <w:rPr>
                <w:lang w:val="en-AU"/>
              </w:rPr>
            </w:pPr>
            <w:r w:rsidRPr="008625DC">
              <w:rPr>
                <w:lang w:val="en-AU"/>
              </w:rPr>
              <w:t xml:space="preserve">there are different arrangements for government providers operating in the same market as alternative providers; and </w:t>
            </w:r>
          </w:p>
          <w:p w14:paraId="2B91D9C3" w14:textId="77777777" w:rsidR="001E4B43" w:rsidRPr="008625DC" w:rsidRDefault="001E4B43" w:rsidP="000C0498">
            <w:pPr>
              <w:pStyle w:val="BoxBullet"/>
              <w:rPr>
                <w:lang w:val="en-AU"/>
              </w:rPr>
            </w:pPr>
            <w:proofErr w:type="gramStart"/>
            <w:r w:rsidRPr="008625DC">
              <w:rPr>
                <w:lang w:val="en-AU"/>
              </w:rPr>
              <w:t>the</w:t>
            </w:r>
            <w:proofErr w:type="gramEnd"/>
            <w:r w:rsidRPr="008625DC">
              <w:rPr>
                <w:lang w:val="en-AU"/>
              </w:rPr>
              <w:t xml:space="preserve"> differential treatment is not justified on net public benefit grounds. </w:t>
            </w:r>
          </w:p>
          <w:p w14:paraId="155BD7F2" w14:textId="77777777" w:rsidR="001E4B43" w:rsidRPr="008625DC" w:rsidRDefault="001E4B43" w:rsidP="001E4B43">
            <w:pPr>
              <w:pStyle w:val="Keyfindingtext"/>
            </w:pPr>
            <w:r w:rsidRPr="008625DC">
              <w:t xml:space="preserve">Getting the competitive neutrality settings right in human services will be crucial to facilitating choice for users and securing the benefits of a diverse range of service providers. </w:t>
            </w:r>
          </w:p>
        </w:tc>
      </w:tr>
    </w:tbl>
    <w:p w14:paraId="40180D74" w14:textId="77777777" w:rsidR="001E4B43" w:rsidRPr="008625DC" w:rsidRDefault="001E4B43" w:rsidP="001E4B43">
      <w:pPr>
        <w:pStyle w:val="SingleParagraph"/>
      </w:pPr>
    </w:p>
    <w:p w14:paraId="75C8E77D" w14:textId="77777777" w:rsidR="001E4B43" w:rsidRPr="008625DC" w:rsidRDefault="001E4B43" w:rsidP="001E4B43">
      <w:r w:rsidRPr="008625DC">
        <w:br w:type="page"/>
      </w:r>
    </w:p>
    <w:p w14:paraId="704CFBAD" w14:textId="77777777" w:rsidR="002D34B7" w:rsidRPr="008625DC" w:rsidRDefault="002D34B7" w:rsidP="00864E0A">
      <w:pPr>
        <w:pStyle w:val="Heading1"/>
        <w:ind w:left="851" w:hanging="851"/>
      </w:pPr>
      <w:bookmarkStart w:id="25458" w:name="_Toc396123848"/>
      <w:bookmarkStart w:id="25459" w:name="_Toc396130751"/>
      <w:bookmarkStart w:id="25460" w:name="_Toc396136329"/>
      <w:bookmarkStart w:id="25461" w:name="_Toc396138783"/>
      <w:bookmarkStart w:id="25462" w:name="_Toc396144044"/>
      <w:bookmarkStart w:id="25463" w:name="_Toc396145553"/>
      <w:bookmarkStart w:id="25464" w:name="_Toc396145697"/>
      <w:bookmarkStart w:id="25465" w:name="_Toc396145979"/>
      <w:bookmarkStart w:id="25466" w:name="_Toc396147519"/>
      <w:bookmarkStart w:id="25467" w:name="_Toc396147805"/>
      <w:bookmarkStart w:id="25468" w:name="_Toc396149061"/>
      <w:bookmarkStart w:id="25469" w:name="_Toc396148775"/>
      <w:bookmarkStart w:id="25470" w:name="_Toc396149556"/>
      <w:bookmarkStart w:id="25471" w:name="_Toc396149201"/>
      <w:bookmarkStart w:id="25472" w:name="_Toc396149487"/>
      <w:bookmarkStart w:id="25473" w:name="_Toc396149164"/>
      <w:bookmarkStart w:id="25474" w:name="_Toc396149909"/>
      <w:bookmarkStart w:id="25475" w:name="_Toc396149659"/>
      <w:bookmarkStart w:id="25476" w:name="_Toc396150500"/>
      <w:bookmarkStart w:id="25477" w:name="_Toc396151389"/>
      <w:bookmarkStart w:id="25478" w:name="_Toc396151683"/>
      <w:bookmarkStart w:id="25479" w:name="_Toc396201610"/>
      <w:bookmarkStart w:id="25480" w:name="_Toc396202400"/>
      <w:bookmarkStart w:id="25481" w:name="_Toc396202695"/>
      <w:bookmarkStart w:id="25482" w:name="_Toc396203312"/>
      <w:bookmarkStart w:id="25483" w:name="_Toc396206608"/>
      <w:bookmarkStart w:id="25484" w:name="_Toc396206902"/>
      <w:bookmarkStart w:id="25485" w:name="_Toc396209436"/>
      <w:bookmarkStart w:id="25486" w:name="_Toc396209730"/>
      <w:bookmarkStart w:id="25487" w:name="_Toc396211860"/>
      <w:bookmarkStart w:id="25488" w:name="_Toc396212154"/>
      <w:bookmarkStart w:id="25489" w:name="_Toc396213204"/>
      <w:bookmarkStart w:id="25490" w:name="_Toc396213496"/>
      <w:bookmarkStart w:id="25491" w:name="_Toc396214047"/>
      <w:bookmarkStart w:id="25492" w:name="_Toc396214482"/>
      <w:bookmarkStart w:id="25493" w:name="_Toc396214772"/>
      <w:bookmarkStart w:id="25494" w:name="_Toc396220332"/>
      <w:bookmarkStart w:id="25495" w:name="_Toc396226594"/>
      <w:bookmarkStart w:id="25496" w:name="_Toc396226883"/>
      <w:bookmarkStart w:id="25497" w:name="_Toc396228794"/>
      <w:bookmarkStart w:id="25498" w:name="_Toc396229089"/>
      <w:bookmarkStart w:id="25499" w:name="_Toc396230436"/>
      <w:bookmarkStart w:id="25500" w:name="_Toc396230731"/>
      <w:bookmarkStart w:id="25501" w:name="_Toc396231873"/>
      <w:bookmarkStart w:id="25502" w:name="_Toc396233216"/>
      <w:bookmarkStart w:id="25503" w:name="_Toc396233513"/>
      <w:bookmarkStart w:id="25504" w:name="_Toc396234036"/>
      <w:bookmarkStart w:id="25505" w:name="_Toc396234333"/>
      <w:bookmarkStart w:id="25506" w:name="_Toc396234446"/>
      <w:bookmarkStart w:id="25507" w:name="_Toc396236180"/>
      <w:bookmarkStart w:id="25508" w:name="_Toc396235958"/>
      <w:bookmarkStart w:id="25509" w:name="_Toc396236568"/>
      <w:bookmarkStart w:id="25510" w:name="_Toc396237087"/>
      <w:bookmarkStart w:id="25511" w:name="_Toc396397430"/>
      <w:bookmarkStart w:id="25512" w:name="_Toc396304611"/>
      <w:bookmarkStart w:id="25513" w:name="_Toc396586146"/>
      <w:bookmarkStart w:id="25514" w:name="_Toc396815167"/>
      <w:bookmarkStart w:id="25515" w:name="_Toc396821116"/>
      <w:bookmarkStart w:id="25516" w:name="_Toc396821724"/>
      <w:bookmarkStart w:id="25517" w:name="_Toc396827574"/>
      <w:bookmarkStart w:id="25518" w:name="_Toc396828545"/>
      <w:bookmarkStart w:id="25519" w:name="_Toc396828655"/>
      <w:bookmarkStart w:id="25520" w:name="_Toc396838044"/>
      <w:bookmarkStart w:id="25521" w:name="_Toc396838442"/>
      <w:bookmarkStart w:id="25522" w:name="_Toc396904765"/>
      <w:bookmarkStart w:id="25523" w:name="_Toc396907599"/>
      <w:bookmarkStart w:id="25524" w:name="_Toc396912518"/>
      <w:bookmarkStart w:id="25525" w:name="_Toc396914498"/>
      <w:bookmarkStart w:id="25526" w:name="_Toc396915382"/>
      <w:bookmarkStart w:id="25527" w:name="_Toc396915776"/>
      <w:bookmarkStart w:id="25528" w:name="_Toc396921087"/>
      <w:bookmarkStart w:id="25529" w:name="_Toc396924427"/>
      <w:bookmarkStart w:id="25530" w:name="_Toc396925121"/>
      <w:bookmarkStart w:id="25531" w:name="_Toc396992241"/>
      <w:bookmarkStart w:id="25532" w:name="_Toc396992820"/>
      <w:bookmarkStart w:id="25533" w:name="_Toc396994484"/>
      <w:bookmarkStart w:id="25534" w:name="_Toc397002254"/>
      <w:bookmarkStart w:id="25535" w:name="_Toc397003173"/>
      <w:bookmarkStart w:id="25536" w:name="_Toc397008731"/>
      <w:bookmarkStart w:id="25537" w:name="_Toc397008949"/>
      <w:bookmarkStart w:id="25538" w:name="_Toc397011621"/>
      <w:bookmarkStart w:id="25539" w:name="_Toc397012683"/>
      <w:bookmarkStart w:id="25540" w:name="_Toc397015025"/>
      <w:bookmarkStart w:id="25541" w:name="_Toc397015512"/>
      <w:bookmarkStart w:id="25542" w:name="_Toc397070582"/>
      <w:bookmarkStart w:id="25543" w:name="_Toc397413332"/>
      <w:bookmarkStart w:id="25544" w:name="_Toc397413479"/>
      <w:bookmarkStart w:id="25545" w:name="_Toc397428053"/>
      <w:bookmarkStart w:id="25546" w:name="_Toc397439441"/>
      <w:bookmarkStart w:id="25547" w:name="_Toc397439611"/>
      <w:bookmarkStart w:id="25548" w:name="_Toc397439867"/>
      <w:bookmarkStart w:id="25549" w:name="_Toc397440169"/>
      <w:bookmarkStart w:id="25550" w:name="_Toc397441798"/>
      <w:bookmarkStart w:id="25551" w:name="_Toc397517500"/>
      <w:bookmarkStart w:id="25552" w:name="_Toc397522765"/>
      <w:bookmarkStart w:id="25553" w:name="_Toc397526183"/>
      <w:bookmarkStart w:id="25554" w:name="_Toc397528498"/>
      <w:bookmarkStart w:id="25555" w:name="_Toc397528973"/>
      <w:bookmarkStart w:id="25556" w:name="_Toc397601970"/>
      <w:bookmarkStart w:id="25557" w:name="_Toc397602705"/>
      <w:bookmarkStart w:id="25558" w:name="_Toc397605838"/>
      <w:bookmarkStart w:id="25559" w:name="_Toc397614535"/>
      <w:bookmarkStart w:id="25560" w:name="_Toc397614978"/>
      <w:bookmarkStart w:id="25561" w:name="_Toc397616421"/>
      <w:bookmarkStart w:id="25562" w:name="_Toc397616815"/>
      <w:bookmarkStart w:id="25563" w:name="_Toc397688113"/>
      <w:bookmarkStart w:id="25564" w:name="_Toc397689329"/>
      <w:bookmarkStart w:id="25565" w:name="_Toc397694609"/>
      <w:bookmarkStart w:id="25566" w:name="_Toc397696450"/>
      <w:bookmarkStart w:id="25567" w:name="_Toc397697184"/>
      <w:bookmarkStart w:id="25568" w:name="_Toc397698471"/>
      <w:bookmarkStart w:id="25569" w:name="_Toc397699837"/>
      <w:bookmarkStart w:id="25570" w:name="_Toc397700291"/>
      <w:bookmarkStart w:id="25571" w:name="_Toc397936683"/>
      <w:bookmarkStart w:id="25572" w:name="_Toc397936803"/>
      <w:bookmarkStart w:id="25573" w:name="_Toc397945959"/>
      <w:bookmarkStart w:id="25574" w:name="_Toc397946985"/>
      <w:bookmarkStart w:id="25575" w:name="_Toc397948104"/>
      <w:bookmarkStart w:id="25576" w:name="_Toc397958510"/>
      <w:bookmarkStart w:id="25577" w:name="_Toc397958752"/>
      <w:bookmarkStart w:id="25578" w:name="_Toc397959167"/>
      <w:bookmarkStart w:id="25579" w:name="_Toc397963020"/>
      <w:bookmarkStart w:id="25580" w:name="_Toc397963386"/>
      <w:bookmarkStart w:id="25581" w:name="_Toc397965463"/>
      <w:bookmarkStart w:id="25582" w:name="_Toc398197401"/>
      <w:bookmarkStart w:id="25583" w:name="_Toc398199904"/>
      <w:bookmarkStart w:id="25584" w:name="_Toc398201618"/>
      <w:bookmarkStart w:id="25585" w:name="_Toc398207223"/>
      <w:bookmarkStart w:id="25586" w:name="_Toc398209927"/>
      <w:bookmarkStart w:id="25587" w:name="_Toc398210496"/>
      <w:bookmarkStart w:id="25588" w:name="_Toc398211010"/>
      <w:bookmarkStart w:id="25589" w:name="_Toc398219818"/>
      <w:bookmarkStart w:id="25590" w:name="_Toc398220193"/>
      <w:bookmarkStart w:id="25591" w:name="_Toc398220580"/>
      <w:bookmarkStart w:id="25592" w:name="_Toc398221658"/>
      <w:bookmarkStart w:id="25593" w:name="_Toc398222344"/>
      <w:bookmarkStart w:id="25594" w:name="_Toc398222656"/>
      <w:bookmarkStart w:id="25595" w:name="_Toc398223073"/>
      <w:bookmarkStart w:id="25596" w:name="_Toc398223452"/>
      <w:bookmarkStart w:id="25597" w:name="_Toc398223579"/>
      <w:bookmarkStart w:id="25598" w:name="_Toc398224387"/>
      <w:bookmarkStart w:id="25599" w:name="_Toc398225724"/>
      <w:bookmarkStart w:id="25600" w:name="_Toc398225849"/>
      <w:bookmarkStart w:id="25601" w:name="_Toc398281336"/>
      <w:bookmarkStart w:id="25602" w:name="_Toc398282195"/>
      <w:bookmarkStart w:id="25603" w:name="_Toc398284865"/>
      <w:bookmarkStart w:id="25604" w:name="_Toc398287334"/>
      <w:bookmarkStart w:id="25605" w:name="_Toc398289217"/>
      <w:bookmarkStart w:id="25606" w:name="_Toc398297214"/>
      <w:bookmarkStart w:id="25607" w:name="_Toc398298688"/>
      <w:bookmarkStart w:id="25608" w:name="_Toc398300389"/>
      <w:bookmarkStart w:id="25609" w:name="_Toc398301286"/>
      <w:bookmarkStart w:id="25610" w:name="_Toc398302471"/>
      <w:bookmarkStart w:id="25611" w:name="_Toc398302634"/>
      <w:bookmarkStart w:id="25612" w:name="_Toc398549148"/>
      <w:bookmarkStart w:id="25613" w:name="_Toc398549398"/>
      <w:bookmarkStart w:id="25614" w:name="_Toc398555817"/>
      <w:bookmarkStart w:id="25615" w:name="_Toc398559021"/>
      <w:bookmarkStart w:id="25616" w:name="_Toc398563507"/>
      <w:bookmarkStart w:id="25617" w:name="_Toc398563640"/>
      <w:bookmarkStart w:id="25618" w:name="_Toc398564039"/>
      <w:bookmarkStart w:id="25619" w:name="_Toc398827377"/>
      <w:bookmarkStart w:id="25620" w:name="_Toc398827571"/>
      <w:bookmarkStart w:id="25621" w:name="Ch12"/>
      <w:bookmarkStart w:id="25622" w:name="_Toc394582982"/>
      <w:bookmarkStart w:id="25623" w:name="_Toc394585653"/>
      <w:bookmarkStart w:id="25624" w:name="_Toc394586119"/>
      <w:bookmarkStart w:id="25625" w:name="_Toc394588051"/>
      <w:bookmarkStart w:id="25626" w:name="_Toc394588886"/>
      <w:bookmarkStart w:id="25627" w:name="_Toc394589011"/>
      <w:bookmarkStart w:id="25628" w:name="_Toc394590427"/>
      <w:bookmarkStart w:id="25629" w:name="_Toc394590620"/>
      <w:bookmarkStart w:id="25630" w:name="_Toc394654521"/>
      <w:bookmarkStart w:id="25631" w:name="_Toc394654679"/>
      <w:bookmarkStart w:id="25632" w:name="_Toc394656221"/>
      <w:bookmarkStart w:id="25633" w:name="_Toc394656378"/>
      <w:bookmarkStart w:id="25634" w:name="_Toc394659358"/>
      <w:bookmarkStart w:id="25635" w:name="_Toc394659516"/>
      <w:bookmarkStart w:id="25636" w:name="_Toc394663370"/>
      <w:bookmarkStart w:id="25637" w:name="_Toc394663526"/>
      <w:bookmarkStart w:id="25638" w:name="_Toc394667164"/>
      <w:bookmarkStart w:id="25639" w:name="_Toc394667320"/>
      <w:bookmarkStart w:id="25640" w:name="_Toc394671643"/>
      <w:bookmarkStart w:id="25641" w:name="_Toc394671803"/>
      <w:bookmarkStart w:id="25642" w:name="_Toc394674645"/>
      <w:bookmarkStart w:id="25643" w:name="_Toc394674808"/>
      <w:bookmarkStart w:id="25644" w:name="_Toc394674922"/>
      <w:bookmarkStart w:id="25645" w:name="_Toc394675088"/>
      <w:bookmarkStart w:id="25646" w:name="_Toc394676033"/>
      <w:bookmarkStart w:id="25647" w:name="_Toc394676195"/>
      <w:bookmarkStart w:id="25648" w:name="_Toc394675721"/>
      <w:bookmarkStart w:id="25649" w:name="_Toc394675884"/>
      <w:bookmarkStart w:id="25650" w:name="_Toc394918284"/>
      <w:bookmarkStart w:id="25651" w:name="_Toc394918798"/>
      <w:bookmarkStart w:id="25652" w:name="_Toc394930770"/>
      <w:bookmarkStart w:id="25653" w:name="_Toc394933683"/>
      <w:bookmarkStart w:id="25654" w:name="_Toc394938130"/>
      <w:bookmarkStart w:id="25655" w:name="_Toc394938632"/>
      <w:bookmarkStart w:id="25656" w:name="_Toc394937914"/>
      <w:bookmarkStart w:id="25657" w:name="_Toc394941042"/>
      <w:bookmarkStart w:id="25658" w:name="_Toc394941543"/>
      <w:bookmarkStart w:id="25659" w:name="_Toc394941658"/>
      <w:bookmarkStart w:id="25660" w:name="_Toc394942159"/>
      <w:bookmarkStart w:id="25661" w:name="_Toc394939879"/>
      <w:bookmarkStart w:id="25662" w:name="_Toc394940381"/>
      <w:bookmarkStart w:id="25663" w:name="_Toc394939491"/>
      <w:bookmarkStart w:id="25664" w:name="_Toc394940595"/>
      <w:bookmarkStart w:id="25665" w:name="_Toc394995526"/>
      <w:bookmarkStart w:id="25666" w:name="_Toc394995840"/>
      <w:bookmarkStart w:id="25667" w:name="_Toc394996075"/>
      <w:bookmarkStart w:id="25668" w:name="_Toc394997801"/>
      <w:bookmarkStart w:id="25669" w:name="_Toc394998083"/>
      <w:bookmarkStart w:id="25670" w:name="_Toc394998316"/>
      <w:bookmarkStart w:id="25671" w:name="_Toc394998597"/>
      <w:bookmarkStart w:id="25672" w:name="_Toc395001811"/>
      <w:bookmarkStart w:id="25673" w:name="_Toc395002096"/>
      <w:bookmarkStart w:id="25674" w:name="_Toc395001302"/>
      <w:bookmarkStart w:id="25675" w:name="_Toc395001576"/>
      <w:bookmarkStart w:id="25676" w:name="_Toc395002865"/>
      <w:bookmarkStart w:id="25677" w:name="_Toc395003450"/>
      <w:bookmarkStart w:id="25678" w:name="_Toc395005063"/>
      <w:bookmarkStart w:id="25679" w:name="_Toc395005189"/>
      <w:bookmarkStart w:id="25680" w:name="_Toc395005405"/>
      <w:bookmarkStart w:id="25681" w:name="_Toc395005691"/>
      <w:bookmarkStart w:id="25682" w:name="_Toc395008982"/>
      <w:bookmarkStart w:id="25683" w:name="_Toc395009685"/>
      <w:bookmarkStart w:id="25684" w:name="_Toc395011768"/>
      <w:bookmarkStart w:id="25685" w:name="_Toc395010168"/>
      <w:bookmarkStart w:id="25686" w:name="_Toc395010426"/>
      <w:bookmarkStart w:id="25687" w:name="_Toc395010010"/>
      <w:bookmarkStart w:id="25688" w:name="_Toc395011536"/>
      <w:bookmarkStart w:id="25689" w:name="_Toc395012354"/>
      <w:bookmarkStart w:id="25690" w:name="_Toc395012610"/>
      <w:bookmarkStart w:id="25691" w:name="_Toc395012944"/>
      <w:bookmarkStart w:id="25692" w:name="_Toc395010759"/>
      <w:bookmarkStart w:id="25693" w:name="_Toc395012232"/>
      <w:bookmarkStart w:id="25694" w:name="_Toc395013073"/>
      <w:bookmarkStart w:id="25695" w:name="_Toc395012075"/>
      <w:bookmarkStart w:id="25696" w:name="_Toc395014414"/>
      <w:bookmarkStart w:id="25697" w:name="_Toc395014633"/>
      <w:bookmarkStart w:id="25698" w:name="_Toc395013224"/>
      <w:bookmarkStart w:id="25699" w:name="_Toc395084765"/>
      <w:bookmarkStart w:id="25700" w:name="_Toc395085066"/>
      <w:bookmarkStart w:id="25701" w:name="_Toc395090263"/>
      <w:bookmarkStart w:id="25702" w:name="_Toc395090532"/>
      <w:bookmarkStart w:id="25703" w:name="_Toc395090742"/>
      <w:bookmarkStart w:id="25704" w:name="_Toc395092631"/>
      <w:bookmarkStart w:id="25705" w:name="_Toc395092843"/>
      <w:bookmarkStart w:id="25706" w:name="_Toc395093116"/>
      <w:bookmarkStart w:id="25707" w:name="_Toc395093325"/>
      <w:bookmarkStart w:id="25708" w:name="_Toc395097754"/>
      <w:bookmarkStart w:id="25709" w:name="_Toc395098028"/>
      <w:bookmarkStart w:id="25710" w:name="_Toc395098235"/>
      <w:bookmarkStart w:id="25711" w:name="_Toc395105420"/>
      <w:bookmarkStart w:id="25712" w:name="_Toc395106212"/>
      <w:bookmarkStart w:id="25713" w:name="_Toc395107023"/>
      <w:bookmarkStart w:id="25714" w:name="_Toc395109895"/>
      <w:bookmarkStart w:id="25715" w:name="_Toc395109681"/>
      <w:bookmarkStart w:id="25716" w:name="_Toc395109805"/>
      <w:bookmarkStart w:id="25717" w:name="_Toc395111898"/>
      <w:bookmarkStart w:id="25718" w:name="_Toc395112182"/>
      <w:bookmarkStart w:id="25719" w:name="_Toc395112386"/>
      <w:bookmarkStart w:id="25720" w:name="_Toc395106818"/>
      <w:bookmarkStart w:id="25721" w:name="_Toc395107324"/>
      <w:bookmarkStart w:id="25722" w:name="_Toc395107531"/>
      <w:bookmarkStart w:id="25723" w:name="_Toc395109625"/>
      <w:bookmarkStart w:id="25724" w:name="_Toc395108578"/>
      <w:bookmarkStart w:id="25725" w:name="_Toc395108885"/>
      <w:bookmarkStart w:id="25726" w:name="_Toc395113818"/>
      <w:bookmarkStart w:id="25727" w:name="_Toc395114125"/>
      <w:bookmarkStart w:id="25728" w:name="_Toc395114338"/>
      <w:bookmarkStart w:id="25729" w:name="_Toc395116554"/>
      <w:bookmarkStart w:id="25730" w:name="_Toc395116862"/>
      <w:bookmarkStart w:id="25731" w:name="_Toc395117076"/>
      <w:bookmarkStart w:id="25732" w:name="_Toc395112491"/>
      <w:bookmarkStart w:id="25733" w:name="_Toc395112799"/>
      <w:bookmarkStart w:id="25734" w:name="_Toc395113194"/>
      <w:bookmarkStart w:id="25735" w:name="_Toc395115030"/>
      <w:bookmarkStart w:id="25736" w:name="_Toc395115339"/>
      <w:bookmarkStart w:id="25737" w:name="_Toc395115553"/>
      <w:bookmarkStart w:id="25738" w:name="_Toc395118185"/>
      <w:bookmarkStart w:id="25739" w:name="_Toc395118491"/>
      <w:bookmarkStart w:id="25740" w:name="_Toc395118703"/>
      <w:bookmarkStart w:id="25741" w:name="_Toc395178395"/>
      <w:bookmarkStart w:id="25742" w:name="_Toc395178727"/>
      <w:bookmarkStart w:id="25743" w:name="_Toc395624685"/>
      <w:bookmarkStart w:id="25744" w:name="_Toc395624884"/>
      <w:bookmarkStart w:id="25745" w:name="_Toc395789738"/>
      <w:bookmarkStart w:id="25746" w:name="_Toc395790036"/>
      <w:bookmarkStart w:id="25747" w:name="_Toc395800794"/>
      <w:bookmarkStart w:id="25748" w:name="_Toc395802867"/>
      <w:bookmarkStart w:id="25749" w:name="_Toc393985003"/>
      <w:bookmarkStart w:id="25750" w:name="_Toc393985307"/>
      <w:bookmarkStart w:id="25751" w:name="_Toc393985505"/>
      <w:bookmarkStart w:id="25752" w:name="_Toc393985810"/>
      <w:bookmarkStart w:id="25753" w:name="_Toc393985907"/>
      <w:bookmarkStart w:id="25754" w:name="_Toc393986212"/>
      <w:bookmarkStart w:id="25755" w:name="_Toc393986310"/>
      <w:bookmarkStart w:id="25756" w:name="_Toc393987917"/>
      <w:bookmarkStart w:id="25757" w:name="_Toc393988222"/>
      <w:bookmarkStart w:id="25758" w:name="_Toc393988624"/>
      <w:bookmarkStart w:id="25759" w:name="_Toc393986616"/>
      <w:bookmarkStart w:id="25760" w:name="_Toc393989330"/>
      <w:bookmarkStart w:id="25761" w:name="_Toc393989636"/>
      <w:bookmarkStart w:id="25762" w:name="_Toc393987821"/>
      <w:bookmarkStart w:id="25763" w:name="_Toc393988718"/>
      <w:bookmarkStart w:id="25764" w:name="_Toc393989024"/>
      <w:bookmarkStart w:id="25765" w:name="_Toc393990722"/>
      <w:bookmarkStart w:id="25766" w:name="_Toc393991028"/>
      <w:bookmarkStart w:id="25767" w:name="_Toc393991127"/>
      <w:bookmarkStart w:id="25768" w:name="_Toc393991704"/>
      <w:bookmarkStart w:id="25769" w:name="_Toc393992012"/>
      <w:bookmarkStart w:id="25770" w:name="_Toc394047369"/>
      <w:bookmarkStart w:id="25771" w:name="_Toc394047676"/>
      <w:bookmarkStart w:id="25772" w:name="_Toc394047787"/>
      <w:bookmarkStart w:id="25773" w:name="_Toc394047334"/>
      <w:bookmarkStart w:id="25774" w:name="_Toc394048343"/>
      <w:bookmarkStart w:id="25775" w:name="_Toc394049644"/>
      <w:bookmarkStart w:id="25776" w:name="_Toc394049955"/>
      <w:bookmarkStart w:id="25777" w:name="_Toc394051044"/>
      <w:bookmarkStart w:id="25778" w:name="_Toc394051355"/>
      <w:bookmarkStart w:id="25779" w:name="_Toc394062033"/>
      <w:bookmarkStart w:id="25780" w:name="_Toc394062502"/>
      <w:bookmarkStart w:id="25781" w:name="_Toc394068908"/>
      <w:bookmarkStart w:id="25782" w:name="_Toc394069217"/>
      <w:bookmarkStart w:id="25783" w:name="_Toc394070730"/>
      <w:bookmarkStart w:id="25784" w:name="_Toc394071135"/>
      <w:bookmarkStart w:id="25785" w:name="_Toc394312230"/>
      <w:bookmarkStart w:id="25786" w:name="_Toc394330402"/>
      <w:bookmarkStart w:id="25787" w:name="_Toc394330499"/>
      <w:bookmarkStart w:id="25788" w:name="_Toc394331333"/>
      <w:bookmarkStart w:id="25789" w:name="_Toc394330118"/>
      <w:bookmarkStart w:id="25790" w:name="_Toc394333092"/>
      <w:bookmarkStart w:id="25791" w:name="_Toc394333409"/>
      <w:bookmarkStart w:id="25792" w:name="_Toc394333505"/>
      <w:bookmarkStart w:id="25793" w:name="_Toc394333822"/>
      <w:bookmarkStart w:id="25794" w:name="_Toc394333918"/>
      <w:bookmarkStart w:id="25795" w:name="_Toc394334235"/>
      <w:bookmarkStart w:id="25796" w:name="_Toc394334744"/>
      <w:bookmarkStart w:id="25797" w:name="_Toc394335061"/>
      <w:bookmarkStart w:id="25798" w:name="_Toc394414933"/>
      <w:bookmarkStart w:id="25799" w:name="_Toc394415265"/>
      <w:bookmarkStart w:id="25800" w:name="_Toc394412238"/>
      <w:bookmarkStart w:id="25801" w:name="_Toc394412574"/>
      <w:bookmarkStart w:id="25802" w:name="_Toc394420514"/>
      <w:bookmarkStart w:id="25803" w:name="_Toc394420867"/>
      <w:bookmarkStart w:id="25804" w:name="_Toc394420988"/>
      <w:bookmarkStart w:id="25805" w:name="_Toc394423358"/>
      <w:bookmarkStart w:id="25806" w:name="_Toc394423708"/>
      <w:bookmarkStart w:id="25807" w:name="_Toc394420292"/>
      <w:bookmarkStart w:id="25808" w:name="_Toc394422401"/>
      <w:bookmarkStart w:id="25809" w:name="_Toc394422752"/>
      <w:bookmarkStart w:id="25810" w:name="_Toc394422872"/>
      <w:bookmarkStart w:id="25811" w:name="_Toc394423223"/>
      <w:bookmarkStart w:id="25812" w:name="_Toc394424022"/>
      <w:bookmarkStart w:id="25813" w:name="_Toc394424371"/>
      <w:bookmarkStart w:id="25814" w:name="_Toc394491857"/>
      <w:bookmarkStart w:id="25815" w:name="_Toc394492202"/>
      <w:bookmarkStart w:id="25816" w:name="_Toc394495002"/>
      <w:bookmarkStart w:id="25817" w:name="_Toc394495346"/>
      <w:bookmarkStart w:id="25818" w:name="_Toc394497814"/>
      <w:bookmarkStart w:id="25819" w:name="_Toc394498161"/>
      <w:bookmarkStart w:id="25820" w:name="_Toc394500606"/>
      <w:bookmarkStart w:id="25821" w:name="_Toc394500951"/>
      <w:bookmarkStart w:id="25822" w:name="_Toc394502010"/>
      <w:bookmarkStart w:id="25823" w:name="_Toc394502348"/>
      <w:bookmarkStart w:id="25824" w:name="_Toc394502912"/>
      <w:bookmarkStart w:id="25825" w:name="_Toc394503707"/>
      <w:bookmarkStart w:id="25826" w:name="_Toc394502225"/>
      <w:bookmarkStart w:id="25827" w:name="_Toc394502796"/>
      <w:bookmarkStart w:id="25828" w:name="_Toc394505663"/>
      <w:bookmarkStart w:id="25829" w:name="_Toc394506124"/>
      <w:bookmarkStart w:id="25830" w:name="_Toc394506002"/>
      <w:bookmarkStart w:id="25831" w:name="_Toc394506462"/>
      <w:bookmarkStart w:id="25832" w:name="_Toc394506676"/>
      <w:bookmarkStart w:id="25833" w:name="_Toc394507016"/>
      <w:bookmarkStart w:id="25834" w:name="_Toc394560749"/>
      <w:bookmarkStart w:id="25835" w:name="_Toc394561091"/>
      <w:bookmarkStart w:id="25836" w:name="_Toc394561213"/>
      <w:bookmarkStart w:id="25837" w:name="_Toc394561924"/>
      <w:r w:rsidRPr="008625DC">
        <w:lastRenderedPageBreak/>
        <w:t>Procurement</w:t>
      </w:r>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p>
    <w:bookmarkEnd w:id="25621"/>
    <w:p w14:paraId="7F93B338" w14:textId="301E7A25" w:rsidR="004C33CF" w:rsidRPr="008625DC" w:rsidRDefault="005C7535" w:rsidP="004E61D7">
      <w:r w:rsidRPr="008625DC">
        <w:t xml:space="preserve">Governments purchase a range of goods and services from external sources to help meet their policy </w:t>
      </w:r>
      <w:r w:rsidR="00121208" w:rsidRPr="008625DC">
        <w:t>goals</w:t>
      </w:r>
      <w:r w:rsidRPr="008625DC">
        <w:t xml:space="preserve">. Procurement </w:t>
      </w:r>
      <w:r w:rsidR="00121208" w:rsidRPr="008625DC">
        <w:t>is the process of</w:t>
      </w:r>
      <w:r w:rsidRPr="008625DC">
        <w:t xml:space="preserve"> acquiring goods or services, and government procurement arrangements cover a very broad range of purchase contracts</w:t>
      </w:r>
      <w:r w:rsidR="00380141" w:rsidRPr="008625DC">
        <w:t xml:space="preserve"> — </w:t>
      </w:r>
      <w:r w:rsidR="004C33CF" w:rsidRPr="008625DC">
        <w:t>from cleaning and maintenance of government buildings, to</w:t>
      </w:r>
      <w:r w:rsidR="000B7D70" w:rsidRPr="008625DC">
        <w:t xml:space="preserve"> large infrastructure</w:t>
      </w:r>
      <w:r w:rsidR="004C33CF" w:rsidRPr="008625DC">
        <w:t xml:space="preserve"> projects such as the building of a new road, to special one</w:t>
      </w:r>
      <w:r w:rsidR="00C74E19" w:rsidRPr="008625DC">
        <w:noBreakHyphen/>
      </w:r>
      <w:r w:rsidR="004C33CF" w:rsidRPr="008625DC">
        <w:t xml:space="preserve">off </w:t>
      </w:r>
      <w:r w:rsidR="000B7D70" w:rsidRPr="008625DC">
        <w:t xml:space="preserve">financial advice </w:t>
      </w:r>
      <w:r w:rsidR="000309A4" w:rsidRPr="008625DC">
        <w:t>on</w:t>
      </w:r>
      <w:r w:rsidR="000B7D70" w:rsidRPr="008625DC">
        <w:t xml:space="preserve"> the sale of a government asset</w:t>
      </w:r>
      <w:r w:rsidR="004C33CF" w:rsidRPr="008625DC">
        <w:t>, and even to the direct provision of human services such as out</w:t>
      </w:r>
      <w:r w:rsidR="00C74E19" w:rsidRPr="008625DC">
        <w:noBreakHyphen/>
      </w:r>
      <w:r w:rsidR="004C33CF" w:rsidRPr="008625DC">
        <w:t>of</w:t>
      </w:r>
      <w:r w:rsidR="00C74E19" w:rsidRPr="008625DC">
        <w:noBreakHyphen/>
      </w:r>
      <w:r w:rsidR="004C33CF" w:rsidRPr="008625DC">
        <w:t>home care.</w:t>
      </w:r>
    </w:p>
    <w:p w14:paraId="40846E02" w14:textId="31D98FA9" w:rsidR="005C7535" w:rsidRPr="008625DC" w:rsidRDefault="005C7535" w:rsidP="004E61D7">
      <w:r w:rsidRPr="008625DC">
        <w:t xml:space="preserve">Through making direct </w:t>
      </w:r>
      <w:r w:rsidR="00121208" w:rsidRPr="008625DC">
        <w:t>purchase</w:t>
      </w:r>
      <w:r w:rsidRPr="008625DC">
        <w:t xml:space="preserve"> decisions, </w:t>
      </w:r>
      <w:r w:rsidR="00121208" w:rsidRPr="008625DC">
        <w:t>governments</w:t>
      </w:r>
      <w:r w:rsidRPr="008625DC">
        <w:t xml:space="preserve"> can have a big impact on </w:t>
      </w:r>
      <w:r w:rsidR="00121208" w:rsidRPr="008625DC">
        <w:t>the range of goods and services ultimately offered to consumers.</w:t>
      </w:r>
    </w:p>
    <w:p w14:paraId="3D059034" w14:textId="026926C2" w:rsidR="001973E2" w:rsidRPr="008625DC" w:rsidRDefault="001973E2" w:rsidP="004E61D7">
      <w:r w:rsidRPr="008625DC">
        <w:t xml:space="preserve">A number of submissions raise procurement issues, including </w:t>
      </w:r>
      <w:r w:rsidR="007C216E" w:rsidRPr="008625DC">
        <w:t>in relation to complexity, risk and accessibility</w:t>
      </w:r>
      <w:r w:rsidR="002A0103" w:rsidRPr="008625DC">
        <w:t>, particularly for small businesses trying to win government contracts</w:t>
      </w:r>
      <w:r w:rsidR="007C216E" w:rsidRPr="008625DC">
        <w:t>.</w:t>
      </w:r>
    </w:p>
    <w:p w14:paraId="7EB5C22E" w14:textId="2D30A9C9" w:rsidR="002A0103" w:rsidRPr="008625DC" w:rsidRDefault="007C216E" w:rsidP="002A0103">
      <w:pPr>
        <w:rPr>
          <w:rFonts w:ascii="Times New Roman" w:hAnsi="Times New Roman"/>
          <w:color w:val="auto"/>
          <w:sz w:val="20"/>
        </w:rPr>
      </w:pPr>
      <w:r w:rsidRPr="008625DC">
        <w:t xml:space="preserve">As discussed in </w:t>
      </w:r>
      <w:hyperlink w:anchor="Ch10" w:history="1">
        <w:r w:rsidRPr="008625DC">
          <w:rPr>
            <w:rStyle w:val="Hyperlink"/>
          </w:rPr>
          <w:t xml:space="preserve">Chapter </w:t>
        </w:r>
        <w:r w:rsidR="00AE1285" w:rsidRPr="008625DC">
          <w:rPr>
            <w:rStyle w:val="Hyperlink"/>
          </w:rPr>
          <w:t>10</w:t>
        </w:r>
      </w:hyperlink>
      <w:r w:rsidRPr="008625DC">
        <w:t xml:space="preserve"> on </w:t>
      </w:r>
      <w:r w:rsidR="005C4F8C" w:rsidRPr="008625DC">
        <w:t>human s</w:t>
      </w:r>
      <w:r w:rsidRPr="008625DC">
        <w:t xml:space="preserve">ervices, </w:t>
      </w:r>
      <w:r w:rsidR="002A0103" w:rsidRPr="008625DC">
        <w:t xml:space="preserve">government procurement processes have </w:t>
      </w:r>
      <w:r w:rsidR="008815C3" w:rsidRPr="008625DC">
        <w:t xml:space="preserve">often </w:t>
      </w:r>
      <w:r w:rsidR="002A0103" w:rsidRPr="008625DC">
        <w:t xml:space="preserve">been </w:t>
      </w:r>
      <w:r w:rsidR="00715A02" w:rsidRPr="008625DC">
        <w:t>risk averse and</w:t>
      </w:r>
      <w:r w:rsidR="002A0103" w:rsidRPr="008625DC">
        <w:t xml:space="preserve"> prescriptive. Kevin R Beck state</w:t>
      </w:r>
      <w:r w:rsidR="00B33BD9" w:rsidRPr="008625DC">
        <w:t>s</w:t>
      </w:r>
      <w:r w:rsidR="002A0103" w:rsidRPr="008625DC">
        <w:t xml:space="preserve"> that tender documents are </w:t>
      </w:r>
      <w:r w:rsidR="00C74E19" w:rsidRPr="008625DC">
        <w:t>‘</w:t>
      </w:r>
      <w:r w:rsidR="002A0103" w:rsidRPr="008625DC">
        <w:t>prescriptively written to place the entire onus on the respondent with risk and accountability deflection away from the agency</w:t>
      </w:r>
      <w:r w:rsidR="00C74E19" w:rsidRPr="008625DC">
        <w:t>’</w:t>
      </w:r>
      <w:r w:rsidR="002A0103" w:rsidRPr="008625DC">
        <w:t xml:space="preserve"> (</w:t>
      </w:r>
      <w:r w:rsidR="00AA380B" w:rsidRPr="008625DC">
        <w:t xml:space="preserve">page </w:t>
      </w:r>
      <w:r w:rsidR="002A0103" w:rsidRPr="008625DC">
        <w:t>3)</w:t>
      </w:r>
      <w:r w:rsidR="00C55518" w:rsidRPr="008625DC">
        <w:t>.</w:t>
      </w:r>
      <w:r w:rsidR="002A0103" w:rsidRPr="008625DC">
        <w:t xml:space="preserve"> Catherine Collins notes that </w:t>
      </w:r>
      <w:r w:rsidR="00C74E19" w:rsidRPr="008625DC">
        <w:t>‘</w:t>
      </w:r>
      <w:r w:rsidR="002A0103" w:rsidRPr="008625DC">
        <w:rPr>
          <w:rFonts w:cs="Arial"/>
        </w:rPr>
        <w:t>tender documents for government contracts are unnecessarily large and complex</w:t>
      </w:r>
      <w:r w:rsidR="00C74E19" w:rsidRPr="008625DC">
        <w:rPr>
          <w:rFonts w:cs="Arial"/>
        </w:rPr>
        <w:t>’</w:t>
      </w:r>
      <w:r w:rsidR="002A0103" w:rsidRPr="008625DC">
        <w:rPr>
          <w:rFonts w:cs="Arial"/>
        </w:rPr>
        <w:t xml:space="preserve"> (</w:t>
      </w:r>
      <w:r w:rsidR="00AA380B" w:rsidRPr="008625DC">
        <w:rPr>
          <w:rFonts w:cs="Arial"/>
        </w:rPr>
        <w:t xml:space="preserve">page </w:t>
      </w:r>
      <w:r w:rsidR="002A0103" w:rsidRPr="008625DC">
        <w:rPr>
          <w:rFonts w:cs="Arial"/>
        </w:rPr>
        <w:t>1) which can make it particularly difficult for smaller businesses to compete.</w:t>
      </w:r>
      <w:r w:rsidR="002A0103" w:rsidRPr="008625DC">
        <w:rPr>
          <w:rFonts w:ascii="Times New Roman" w:hAnsi="Times New Roman"/>
          <w:color w:val="auto"/>
          <w:sz w:val="20"/>
        </w:rPr>
        <w:t xml:space="preserve"> </w:t>
      </w:r>
    </w:p>
    <w:p w14:paraId="026AF755" w14:textId="628769BC" w:rsidR="004B49BE" w:rsidRPr="008625DC" w:rsidRDefault="008537A9" w:rsidP="00DA5197">
      <w:pPr>
        <w:spacing w:after="120"/>
      </w:pPr>
      <w:r w:rsidRPr="008625DC">
        <w:t>Even in cases where governments require very specific goods or services, g</w:t>
      </w:r>
      <w:r w:rsidR="00595AA5" w:rsidRPr="008625DC">
        <w:t xml:space="preserve">overnments can play a role in helping a range of businesses understand and bid for tenders. </w:t>
      </w:r>
      <w:r w:rsidR="0031484D" w:rsidRPr="008625DC">
        <w:t>For example, the Western Australian government hosts seminars for businesses want</w:t>
      </w:r>
      <w:r w:rsidR="00B33BD9" w:rsidRPr="008625DC">
        <w:t>ing</w:t>
      </w:r>
      <w:r w:rsidR="0031484D" w:rsidRPr="008625DC">
        <w:t xml:space="preserve"> information on the government quote and tender process.</w:t>
      </w:r>
      <w:r w:rsidR="0031484D" w:rsidRPr="008625DC">
        <w:rPr>
          <w:rStyle w:val="FootnoteReference"/>
        </w:rPr>
        <w:footnoteReference w:id="240"/>
      </w:r>
      <w:r w:rsidR="0031484D" w:rsidRPr="008625DC">
        <w:t xml:space="preserve"> Governments can also take steps to ensure that contracts are written in </w:t>
      </w:r>
      <w:r w:rsidR="00B33BD9" w:rsidRPr="008625DC">
        <w:t xml:space="preserve">a </w:t>
      </w:r>
      <w:r w:rsidR="0031484D" w:rsidRPr="008625DC">
        <w:t>way that is easy for businesses to understand and which allow</w:t>
      </w:r>
      <w:r w:rsidR="00B33BD9" w:rsidRPr="008625DC">
        <w:t>s</w:t>
      </w:r>
      <w:r w:rsidR="0031484D" w:rsidRPr="008625DC">
        <w:t xml:space="preserve"> for a range of innovate solutions to be considered.</w:t>
      </w:r>
      <w:r w:rsidR="004B49BE" w:rsidRPr="008625DC">
        <w:t xml:space="preserve"> </w:t>
      </w:r>
      <w:r w:rsidR="00B33BD9" w:rsidRPr="008625DC">
        <w:t>T</w:t>
      </w:r>
      <w:r w:rsidR="004B49BE" w:rsidRPr="008625DC">
        <w:t>he Chamber of Commerce and Industry Queensland observ</w:t>
      </w:r>
      <w:r w:rsidR="00B33BD9" w:rsidRPr="008625DC">
        <w:t>es</w:t>
      </w:r>
      <w:r w:rsidR="004B49BE" w:rsidRPr="008625DC">
        <w:t>:</w:t>
      </w:r>
    </w:p>
    <w:p w14:paraId="5C9F3804" w14:textId="062EC339" w:rsidR="004B49BE" w:rsidRPr="008625DC" w:rsidRDefault="009E4990" w:rsidP="004B49BE">
      <w:pPr>
        <w:pStyle w:val="Quotes"/>
      </w:pPr>
      <w:r w:rsidRPr="008625DC">
        <w:t>[</w:t>
      </w:r>
      <w:r w:rsidR="00CD4B2B">
        <w:t>T</w:t>
      </w:r>
      <w:r w:rsidRPr="008625DC">
        <w:t>]</w:t>
      </w:r>
      <w:r w:rsidR="004B49BE" w:rsidRPr="008625DC">
        <w:t>he tender process itself is highly onerous and often small businesses do not have the time and resources that large businesses do to effectively compete for local tenders</w:t>
      </w:r>
      <w:r w:rsidR="00A136AF" w:rsidRPr="008625DC">
        <w:t>.</w:t>
      </w:r>
      <w:r w:rsidR="00E5188A" w:rsidRPr="008625DC">
        <w:t xml:space="preserve"> (</w:t>
      </w:r>
      <w:proofErr w:type="gramStart"/>
      <w:r w:rsidR="00AA380B" w:rsidRPr="008625DC">
        <w:t>page</w:t>
      </w:r>
      <w:proofErr w:type="gramEnd"/>
      <w:r w:rsidR="00AA380B" w:rsidRPr="008625DC">
        <w:t xml:space="preserve"> </w:t>
      </w:r>
      <w:r w:rsidR="00E5188A" w:rsidRPr="008625DC">
        <w:t>9)</w:t>
      </w:r>
    </w:p>
    <w:p w14:paraId="4F0AA246" w14:textId="59F28554" w:rsidR="008537A9" w:rsidRPr="008625DC" w:rsidRDefault="008537A9" w:rsidP="004B49BE">
      <w:pPr>
        <w:rPr>
          <w:color w:val="auto"/>
        </w:rPr>
      </w:pPr>
      <w:r w:rsidRPr="008625DC">
        <w:t xml:space="preserve">In line with our observations on commissioning human services, </w:t>
      </w:r>
      <w:r w:rsidR="00FD1FC1" w:rsidRPr="008625DC">
        <w:t xml:space="preserve">where possible </w:t>
      </w:r>
      <w:r w:rsidRPr="008625DC">
        <w:t xml:space="preserve">the Panel </w:t>
      </w:r>
      <w:r w:rsidRPr="008625DC">
        <w:rPr>
          <w:color w:val="auto"/>
        </w:rPr>
        <w:t>favours procurement practices with a focus</w:t>
      </w:r>
      <w:r w:rsidR="00B33BD9" w:rsidRPr="008625DC">
        <w:rPr>
          <w:color w:val="auto"/>
        </w:rPr>
        <w:t xml:space="preserve"> on</w:t>
      </w:r>
      <w:r w:rsidRPr="008625DC">
        <w:rPr>
          <w:color w:val="auto"/>
        </w:rPr>
        <w:t xml:space="preserve"> outcomes rather than outputs. </w:t>
      </w:r>
      <w:r w:rsidR="00FD1FC1" w:rsidRPr="008625DC">
        <w:rPr>
          <w:color w:val="auto"/>
        </w:rPr>
        <w:t xml:space="preserve">An outcomes focus allows bidders to suggest </w:t>
      </w:r>
      <w:r w:rsidR="000309A4" w:rsidRPr="008625DC">
        <w:rPr>
          <w:color w:val="auto"/>
        </w:rPr>
        <w:t>different approaches</w:t>
      </w:r>
      <w:r w:rsidR="00FD1FC1" w:rsidRPr="008625DC">
        <w:rPr>
          <w:color w:val="auto"/>
        </w:rPr>
        <w:t xml:space="preserve"> for achieving the government</w:t>
      </w:r>
      <w:r w:rsidR="00C74E19" w:rsidRPr="008625DC">
        <w:rPr>
          <w:color w:val="auto"/>
        </w:rPr>
        <w:t>’</w:t>
      </w:r>
      <w:r w:rsidR="00FD1FC1" w:rsidRPr="008625DC">
        <w:rPr>
          <w:color w:val="auto"/>
        </w:rPr>
        <w:t xml:space="preserve">s desired result, rather than having to demonstrate specific activities, tasks or assets. It allows </w:t>
      </w:r>
      <w:r w:rsidR="00FD1FC1" w:rsidRPr="008625DC">
        <w:rPr>
          <w:rStyle w:val="A2"/>
          <w:color w:val="auto"/>
          <w:sz w:val="22"/>
        </w:rPr>
        <w:t xml:space="preserve">potential bidders to offer new and innovative ways to meet government </w:t>
      </w:r>
      <w:r w:rsidR="000309A4" w:rsidRPr="008625DC">
        <w:rPr>
          <w:rStyle w:val="A2"/>
          <w:color w:val="auto"/>
          <w:sz w:val="22"/>
        </w:rPr>
        <w:t>demands</w:t>
      </w:r>
      <w:r w:rsidR="00FD1FC1" w:rsidRPr="008625DC">
        <w:rPr>
          <w:rStyle w:val="A2"/>
          <w:color w:val="auto"/>
          <w:sz w:val="22"/>
        </w:rPr>
        <w:t xml:space="preserve"> and helps to encourage a diverse range of potential providers.</w:t>
      </w:r>
    </w:p>
    <w:p w14:paraId="55E1D08C" w14:textId="35631EF9" w:rsidR="0094423D" w:rsidRPr="008625DC" w:rsidRDefault="000E3786" w:rsidP="000F3EA7">
      <w:pPr>
        <w:autoSpaceDE w:val="0"/>
        <w:autoSpaceDN w:val="0"/>
        <w:adjustRightInd w:val="0"/>
        <w:spacing w:before="0"/>
        <w:rPr>
          <w:rFonts w:cs="Arial"/>
        </w:rPr>
      </w:pPr>
      <w:r w:rsidRPr="008625DC">
        <w:rPr>
          <w:rFonts w:cs="Arial"/>
        </w:rPr>
        <w:t>An example</w:t>
      </w:r>
      <w:r w:rsidR="0094423D" w:rsidRPr="008625DC">
        <w:rPr>
          <w:rFonts w:cs="Arial"/>
        </w:rPr>
        <w:t xml:space="preserve"> of outcomes</w:t>
      </w:r>
      <w:r w:rsidR="00C74E19" w:rsidRPr="008625DC">
        <w:rPr>
          <w:rFonts w:cs="Arial"/>
        </w:rPr>
        <w:noBreakHyphen/>
      </w:r>
      <w:r w:rsidR="0094423D" w:rsidRPr="008625DC">
        <w:rPr>
          <w:rFonts w:cs="Arial"/>
        </w:rPr>
        <w:t xml:space="preserve">based procurement can be as simple as a tender for building maintenance specifying that floors must be clean and have a uniformly glossy finish (outcome focus), rather than specifying that a </w:t>
      </w:r>
      <w:r w:rsidR="0094423D" w:rsidRPr="008625DC">
        <w:rPr>
          <w:iCs/>
        </w:rPr>
        <w:t>contractor must strip and re</w:t>
      </w:r>
      <w:r w:rsidR="00C74E19" w:rsidRPr="008625DC">
        <w:rPr>
          <w:iCs/>
        </w:rPr>
        <w:noBreakHyphen/>
      </w:r>
      <w:r w:rsidR="0094423D" w:rsidRPr="008625DC">
        <w:rPr>
          <w:iCs/>
        </w:rPr>
        <w:t>wax the floors weekly (output focus).</w:t>
      </w:r>
      <w:r w:rsidR="0094423D" w:rsidRPr="008625DC">
        <w:rPr>
          <w:rStyle w:val="FootnoteReference"/>
          <w:iCs/>
        </w:rPr>
        <w:footnoteReference w:id="241"/>
      </w:r>
    </w:p>
    <w:p w14:paraId="6CEFF0F6" w14:textId="035C89D7" w:rsidR="00FD1FC1" w:rsidRPr="008625DC" w:rsidRDefault="00FD1FC1" w:rsidP="000F3EA7">
      <w:pPr>
        <w:autoSpaceDE w:val="0"/>
        <w:autoSpaceDN w:val="0"/>
        <w:adjustRightInd w:val="0"/>
        <w:spacing w:before="0"/>
        <w:rPr>
          <w:rFonts w:cs="Arial"/>
        </w:rPr>
      </w:pPr>
      <w:r w:rsidRPr="008625DC">
        <w:rPr>
          <w:rFonts w:cs="Arial"/>
        </w:rPr>
        <w:t>Of course, moving to outcomes</w:t>
      </w:r>
      <w:r w:rsidR="00C74E19" w:rsidRPr="008625DC">
        <w:rPr>
          <w:rFonts w:cs="Arial"/>
        </w:rPr>
        <w:noBreakHyphen/>
      </w:r>
      <w:r w:rsidRPr="008625DC">
        <w:rPr>
          <w:rFonts w:cs="Arial"/>
        </w:rPr>
        <w:t xml:space="preserve">based procurement is not without challenges, and </w:t>
      </w:r>
      <w:r w:rsidR="0094423D" w:rsidRPr="008625DC">
        <w:rPr>
          <w:rFonts w:cs="Arial"/>
        </w:rPr>
        <w:t>governments</w:t>
      </w:r>
      <w:r w:rsidRPr="008625DC">
        <w:rPr>
          <w:rFonts w:cs="Arial"/>
        </w:rPr>
        <w:t xml:space="preserve"> will need to</w:t>
      </w:r>
      <w:r w:rsidR="0094423D" w:rsidRPr="008625DC">
        <w:rPr>
          <w:rFonts w:cs="Arial"/>
        </w:rPr>
        <w:t xml:space="preserve"> find ways to define desired outcomes and measure performance. </w:t>
      </w:r>
      <w:r w:rsidR="005C4F8C" w:rsidRPr="008625DC">
        <w:rPr>
          <w:rFonts w:cs="Arial"/>
        </w:rPr>
        <w:t>But the Panel</w:t>
      </w:r>
      <w:r w:rsidRPr="008625DC">
        <w:rPr>
          <w:rFonts w:cs="Arial"/>
        </w:rPr>
        <w:t xml:space="preserve"> note</w:t>
      </w:r>
      <w:r w:rsidR="005C4F8C" w:rsidRPr="008625DC">
        <w:rPr>
          <w:rFonts w:cs="Arial"/>
        </w:rPr>
        <w:t>s</w:t>
      </w:r>
      <w:r w:rsidRPr="008625DC">
        <w:rPr>
          <w:rFonts w:cs="Arial"/>
        </w:rPr>
        <w:t xml:space="preserve"> the </w:t>
      </w:r>
      <w:r w:rsidR="0094423D" w:rsidRPr="008625DC">
        <w:rPr>
          <w:rFonts w:cs="Arial"/>
        </w:rPr>
        <w:lastRenderedPageBreak/>
        <w:t xml:space="preserve">steps governments are already taking, including the NSW </w:t>
      </w:r>
      <w:r w:rsidR="00B33BD9" w:rsidRPr="008625DC">
        <w:rPr>
          <w:rFonts w:cs="Arial"/>
        </w:rPr>
        <w:t>G</w:t>
      </w:r>
      <w:r w:rsidR="0094423D" w:rsidRPr="008625DC">
        <w:rPr>
          <w:rFonts w:cs="Arial"/>
        </w:rPr>
        <w:t>overnment</w:t>
      </w:r>
      <w:r w:rsidR="00C74E19" w:rsidRPr="008625DC">
        <w:rPr>
          <w:rFonts w:cs="Arial"/>
        </w:rPr>
        <w:t>’</w:t>
      </w:r>
      <w:r w:rsidR="00B33BD9" w:rsidRPr="008625DC">
        <w:rPr>
          <w:rFonts w:cs="Arial"/>
        </w:rPr>
        <w:t>s</w:t>
      </w:r>
      <w:r w:rsidR="0094423D" w:rsidRPr="008625DC">
        <w:rPr>
          <w:rFonts w:cs="Arial"/>
        </w:rPr>
        <w:t xml:space="preserve"> Procurement Roadmap for 2013 and 2014</w:t>
      </w:r>
      <w:r w:rsidR="00B33BD9" w:rsidRPr="008625DC">
        <w:rPr>
          <w:rFonts w:cs="Arial"/>
        </w:rPr>
        <w:t>,</w:t>
      </w:r>
      <w:r w:rsidR="0094423D" w:rsidRPr="008625DC">
        <w:rPr>
          <w:rFonts w:cs="Arial"/>
        </w:rPr>
        <w:t xml:space="preserve"> which includes a commitment to move away from </w:t>
      </w:r>
      <w:r w:rsidR="00C74E19" w:rsidRPr="008625DC">
        <w:rPr>
          <w:rFonts w:cs="Arial"/>
        </w:rPr>
        <w:t>‘</w:t>
      </w:r>
      <w:r w:rsidR="0094423D" w:rsidRPr="008625DC">
        <w:rPr>
          <w:rFonts w:cs="Arial"/>
        </w:rPr>
        <w:t>one</w:t>
      </w:r>
      <w:r w:rsidR="00C74E19" w:rsidRPr="008625DC">
        <w:rPr>
          <w:rFonts w:cs="Arial"/>
        </w:rPr>
        <w:noBreakHyphen/>
      </w:r>
      <w:r w:rsidR="0094423D" w:rsidRPr="008625DC">
        <w:rPr>
          <w:rFonts w:cs="Arial"/>
        </w:rPr>
        <w:t>size fits all</w:t>
      </w:r>
      <w:r w:rsidR="00C74E19" w:rsidRPr="008625DC">
        <w:rPr>
          <w:rFonts w:cs="Arial"/>
        </w:rPr>
        <w:t>’</w:t>
      </w:r>
      <w:r w:rsidR="0094423D" w:rsidRPr="008625DC">
        <w:rPr>
          <w:rFonts w:cs="Arial"/>
        </w:rPr>
        <w:t xml:space="preserve"> tenders and use </w:t>
      </w:r>
      <w:r w:rsidR="0094423D" w:rsidRPr="008625DC">
        <w:rPr>
          <w:rStyle w:val="A2"/>
          <w:sz w:val="22"/>
        </w:rPr>
        <w:t>more flexible and less complex procurement strategies</w:t>
      </w:r>
      <w:r w:rsidR="0094423D" w:rsidRPr="008625DC">
        <w:rPr>
          <w:rStyle w:val="A2"/>
        </w:rPr>
        <w:t>.</w:t>
      </w:r>
      <w:r w:rsidR="0094423D" w:rsidRPr="008625DC">
        <w:rPr>
          <w:rStyle w:val="FootnoteReference"/>
          <w:sz w:val="21"/>
          <w:szCs w:val="21"/>
        </w:rPr>
        <w:footnoteReference w:id="242"/>
      </w:r>
    </w:p>
    <w:p w14:paraId="2394EF55" w14:textId="6288D9F2" w:rsidR="00715A02" w:rsidRPr="008625DC" w:rsidRDefault="00715A02" w:rsidP="00DA5197">
      <w:pPr>
        <w:autoSpaceDE w:val="0"/>
        <w:autoSpaceDN w:val="0"/>
        <w:adjustRightInd w:val="0"/>
        <w:spacing w:before="0" w:after="120"/>
        <w:rPr>
          <w:rFonts w:cs="Arial"/>
        </w:rPr>
      </w:pPr>
      <w:r w:rsidRPr="008625DC">
        <w:rPr>
          <w:rFonts w:cs="Arial"/>
        </w:rPr>
        <w:t xml:space="preserve">The balance in ensuring that procurement processes meet community needs while allowing room for new innovative firms to compete is captured in the NSW Government comment: </w:t>
      </w:r>
    </w:p>
    <w:p w14:paraId="23AE4A2D" w14:textId="4697042C" w:rsidR="00715A02" w:rsidRPr="008625DC" w:rsidRDefault="00715A02" w:rsidP="00715A02">
      <w:pPr>
        <w:pStyle w:val="Quotes"/>
      </w:pPr>
      <w:r w:rsidRPr="008625DC">
        <w:t>Where reform involves contracting with non</w:t>
      </w:r>
      <w:r w:rsidR="00C74E19" w:rsidRPr="008625DC">
        <w:noBreakHyphen/>
      </w:r>
      <w:r w:rsidRPr="008625DC">
        <w:t>government service providers, contracts should be structured to ensure competitive tension is maintained. For example, contract durations should be short enough to maintain competitive pressures on incumbent service providers, but of sufficient length to ensure service providers obtain a satisfactory return</w:t>
      </w:r>
      <w:r w:rsidR="00DA5197" w:rsidRPr="008625DC">
        <w:t>.</w:t>
      </w:r>
      <w:r w:rsidRPr="008625DC">
        <w:t xml:space="preserve"> (</w:t>
      </w:r>
      <w:proofErr w:type="gramStart"/>
      <w:r w:rsidR="00AA380B" w:rsidRPr="008625DC">
        <w:t>page</w:t>
      </w:r>
      <w:proofErr w:type="gramEnd"/>
      <w:r w:rsidR="00AA380B" w:rsidRPr="008625DC">
        <w:t xml:space="preserve"> </w:t>
      </w:r>
      <w:r w:rsidRPr="008625DC">
        <w:t xml:space="preserve">27) </w:t>
      </w:r>
    </w:p>
    <w:p w14:paraId="60F0D5D7" w14:textId="7609ADD2" w:rsidR="00506192" w:rsidRPr="008625DC" w:rsidRDefault="00506192" w:rsidP="00C74DF8">
      <w:r w:rsidRPr="008625DC">
        <w:t xml:space="preserve">In considering ways to encourage innovation, choice and responsiveness </w:t>
      </w:r>
      <w:r w:rsidR="00B33BD9" w:rsidRPr="008625DC">
        <w:t>in</w:t>
      </w:r>
      <w:r w:rsidRPr="008625DC">
        <w:t xml:space="preserve"> procurement practices, governments could </w:t>
      </w:r>
      <w:r w:rsidR="008815C3" w:rsidRPr="008625DC">
        <w:t>have trials or pilots of</w:t>
      </w:r>
      <w:r w:rsidRPr="008625DC">
        <w:t xml:space="preserve"> different types of tenders. Feedback and le</w:t>
      </w:r>
      <w:r w:rsidR="00B33BD9" w:rsidRPr="008625DC">
        <w:t>ssons learned</w:t>
      </w:r>
      <w:r w:rsidRPr="008625DC">
        <w:t xml:space="preserve"> from pilot tenders could then be incorporated into future procurement guidelines and practices.</w:t>
      </w:r>
    </w:p>
    <w:p w14:paraId="56E89330" w14:textId="4FA7A6DF" w:rsidR="00506192" w:rsidRPr="008625DC" w:rsidRDefault="00506192" w:rsidP="00C74DF8">
      <w:r w:rsidRPr="008625DC">
        <w:t xml:space="preserve">In addition, the competition principles set out in </w:t>
      </w:r>
      <w:r w:rsidR="00B33BD9" w:rsidRPr="008625DC">
        <w:t>the Panel</w:t>
      </w:r>
      <w:r w:rsidR="00C74E19" w:rsidRPr="008625DC">
        <w:t>’</w:t>
      </w:r>
      <w:r w:rsidR="00B33BD9" w:rsidRPr="008625DC">
        <w:t xml:space="preserve">s </w:t>
      </w:r>
      <w:hyperlink w:anchor="DR1" w:history="1">
        <w:r w:rsidRPr="008625DC">
          <w:rPr>
            <w:rStyle w:val="Hyperlink"/>
          </w:rPr>
          <w:t>Draft Recommendation 1</w:t>
        </w:r>
      </w:hyperlink>
      <w:r w:rsidRPr="008625DC">
        <w:t xml:space="preserve"> are directed at promoting choice and a diversity of providers. Both of these principles could be incorporated into procurement decisions.</w:t>
      </w:r>
    </w:p>
    <w:p w14:paraId="0F40C618" w14:textId="341B734B" w:rsidR="00227F46" w:rsidRPr="008625DC" w:rsidRDefault="008430D9" w:rsidP="00227F46">
      <w:r w:rsidRPr="008625DC">
        <w:t>Under</w:t>
      </w:r>
      <w:r w:rsidR="00227F46" w:rsidRPr="008625DC">
        <w:t xml:space="preserve"> the </w:t>
      </w:r>
      <w:r w:rsidRPr="008625DC">
        <w:t>NCP</w:t>
      </w:r>
      <w:r w:rsidR="00227F46" w:rsidRPr="008625DC">
        <w:t xml:space="preserve">, governments agreed to extend the CCA </w:t>
      </w:r>
      <w:r w:rsidRPr="008625DC">
        <w:t xml:space="preserve">so that it applied </w:t>
      </w:r>
      <w:r w:rsidR="00227F46" w:rsidRPr="008625DC">
        <w:t xml:space="preserve">to the Crown </w:t>
      </w:r>
      <w:r w:rsidRPr="008625DC">
        <w:t xml:space="preserve">so far as it carried on </w:t>
      </w:r>
      <w:r w:rsidR="00227F46" w:rsidRPr="008625DC">
        <w:t>a business</w:t>
      </w:r>
      <w:r w:rsidRPr="008625DC">
        <w:t>,</w:t>
      </w:r>
      <w:r w:rsidR="00227F46" w:rsidRPr="008625DC">
        <w:t xml:space="preserve"> either directly or through an authority. The CCA states that a business includes a business not carried on for profit.</w:t>
      </w:r>
    </w:p>
    <w:p w14:paraId="42FC2F7B" w14:textId="52D85B4C" w:rsidR="00227F46" w:rsidRPr="008625DC" w:rsidRDefault="00227F46" w:rsidP="009E4990">
      <w:pPr>
        <w:spacing w:after="120"/>
      </w:pPr>
      <w:r w:rsidRPr="008625DC">
        <w:t xml:space="preserve">While the CCA does not </w:t>
      </w:r>
      <w:r w:rsidR="008430D9" w:rsidRPr="008625DC">
        <w:t>define</w:t>
      </w:r>
      <w:r w:rsidRPr="008625DC">
        <w:t xml:space="preserve"> what the term </w:t>
      </w:r>
      <w:r w:rsidR="00C74E19" w:rsidRPr="008625DC">
        <w:t>‘</w:t>
      </w:r>
      <w:r w:rsidRPr="008625DC">
        <w:t>carry on business</w:t>
      </w:r>
      <w:r w:rsidR="00C74E19" w:rsidRPr="008625DC">
        <w:t>’</w:t>
      </w:r>
      <w:r w:rsidRPr="008625DC">
        <w:t xml:space="preserve"> means, section 2C sets out some activities that are </w:t>
      </w:r>
      <w:r w:rsidR="008430D9" w:rsidRPr="008625DC">
        <w:t>excluded</w:t>
      </w:r>
      <w:r w:rsidRPr="008625DC">
        <w:t>:</w:t>
      </w:r>
    </w:p>
    <w:p w14:paraId="5FB65454" w14:textId="0FDBED58" w:rsidR="00227F46" w:rsidRPr="008625DC" w:rsidRDefault="008430D9" w:rsidP="009E4990">
      <w:pPr>
        <w:pStyle w:val="Bullet"/>
      </w:pPr>
      <w:r w:rsidRPr="008625DC">
        <w:t xml:space="preserve">imposing or </w:t>
      </w:r>
      <w:r w:rsidR="005C4F8C" w:rsidRPr="008625DC">
        <w:t>c</w:t>
      </w:r>
      <w:r w:rsidR="00227F46" w:rsidRPr="008625DC">
        <w:t>ollecting taxes</w:t>
      </w:r>
      <w:r w:rsidR="005C4F8C" w:rsidRPr="008625DC">
        <w:t>,</w:t>
      </w:r>
      <w:r w:rsidR="00227F46" w:rsidRPr="008625DC">
        <w:t xml:space="preserve"> levies or licence fees</w:t>
      </w:r>
      <w:r w:rsidR="005C4F8C" w:rsidRPr="008625DC">
        <w:t>;</w:t>
      </w:r>
    </w:p>
    <w:p w14:paraId="70CE01C4" w14:textId="3B388917" w:rsidR="00227F46" w:rsidRPr="008625DC" w:rsidRDefault="005C4F8C" w:rsidP="009E4990">
      <w:pPr>
        <w:pStyle w:val="Bullet"/>
      </w:pPr>
      <w:r w:rsidRPr="008625DC">
        <w:t>g</w:t>
      </w:r>
      <w:r w:rsidR="00227F46" w:rsidRPr="008625DC">
        <w:t>ranting or varying licences</w:t>
      </w:r>
      <w:r w:rsidRPr="008625DC">
        <w:t>; and</w:t>
      </w:r>
    </w:p>
    <w:p w14:paraId="2A26A195" w14:textId="4B042810" w:rsidR="00227F46" w:rsidRPr="008625DC" w:rsidRDefault="005C4F8C" w:rsidP="009E4990">
      <w:pPr>
        <w:pStyle w:val="Bullet"/>
        <w:spacing w:after="240"/>
      </w:pPr>
      <w:proofErr w:type="gramStart"/>
      <w:r w:rsidRPr="008625DC">
        <w:t>a</w:t>
      </w:r>
      <w:proofErr w:type="gramEnd"/>
      <w:r w:rsidR="00227F46" w:rsidRPr="008625DC">
        <w:t xml:space="preserve"> transaction involving only the </w:t>
      </w:r>
      <w:r w:rsidRPr="008625DC">
        <w:t>Crown</w:t>
      </w:r>
      <w:r w:rsidR="00227F46" w:rsidRPr="008625DC">
        <w:t xml:space="preserve"> and/or non</w:t>
      </w:r>
      <w:r w:rsidR="00C74E19" w:rsidRPr="008625DC">
        <w:noBreakHyphen/>
      </w:r>
      <w:r w:rsidR="00227F46" w:rsidRPr="008625DC">
        <w:t>commercial authorities</w:t>
      </w:r>
      <w:r w:rsidR="00CD4B2B">
        <w:t>.</w:t>
      </w:r>
    </w:p>
    <w:p w14:paraId="2711A1D4" w14:textId="2CBE96AD" w:rsidR="00227F46" w:rsidRPr="008625DC" w:rsidRDefault="00227F46" w:rsidP="00227F46">
      <w:r w:rsidRPr="008625DC">
        <w:t xml:space="preserve">There is also considerable case law on the question of what constitutes </w:t>
      </w:r>
      <w:r w:rsidR="00C74E19" w:rsidRPr="008625DC">
        <w:t>‘</w:t>
      </w:r>
      <w:r w:rsidRPr="008625DC">
        <w:t>carrying on a business</w:t>
      </w:r>
      <w:r w:rsidR="00C74E19" w:rsidRPr="008625DC">
        <w:t>’</w:t>
      </w:r>
      <w:r w:rsidRPr="008625DC">
        <w:t xml:space="preserve">. </w:t>
      </w:r>
    </w:p>
    <w:p w14:paraId="5F2119B4" w14:textId="3572DBF1" w:rsidR="00227F46" w:rsidRPr="008625DC" w:rsidRDefault="00227F46" w:rsidP="00227F46">
      <w:r w:rsidRPr="008625DC">
        <w:t>There are many circumstances in which the Crown (whether as a department or an authority) participates in markets, sometimes with a substantial presence, but may not necessarily carry on a business for the purposes of the CCA. This is particularly the case in the area of procurement: whether for the delivery of large infrastructure projects or the regular requirements of the health or education systems.</w:t>
      </w:r>
    </w:p>
    <w:tbl>
      <w:tblPr>
        <w:tblW w:w="9072" w:type="dxa"/>
        <w:tblInd w:w="108" w:type="dxa"/>
        <w:shd w:val="clear" w:color="auto" w:fill="E6E6E6"/>
        <w:tblLook w:val="01E0" w:firstRow="1" w:lastRow="1" w:firstColumn="1" w:lastColumn="1" w:noHBand="0" w:noVBand="0"/>
      </w:tblPr>
      <w:tblGrid>
        <w:gridCol w:w="9072"/>
      </w:tblGrid>
      <w:tr w:rsidR="00227F46" w:rsidRPr="008625DC" w14:paraId="670C4E6B" w14:textId="77777777">
        <w:tc>
          <w:tcPr>
            <w:tcW w:w="5000" w:type="pct"/>
            <w:shd w:val="clear" w:color="auto" w:fill="E6E6E6"/>
          </w:tcPr>
          <w:p w14:paraId="30B86968" w14:textId="4034E7A4" w:rsidR="00227F46" w:rsidRPr="008625DC" w:rsidRDefault="000A37A8">
            <w:pPr>
              <w:pStyle w:val="BoxHeading"/>
            </w:pPr>
            <w:r w:rsidRPr="008625DC">
              <w:lastRenderedPageBreak/>
              <w:t>A</w:t>
            </w:r>
            <w:r w:rsidR="00227F46" w:rsidRPr="008625DC">
              <w:t>pplying competition law to government activities</w:t>
            </w:r>
            <w:r w:rsidRPr="008625DC">
              <w:t xml:space="preserve"> in other jurisdictions</w:t>
            </w:r>
          </w:p>
          <w:p w14:paraId="2D0DACF1" w14:textId="79EDB87D" w:rsidR="00227F46" w:rsidRPr="008625DC" w:rsidRDefault="00227F46" w:rsidP="009E4990">
            <w:pPr>
              <w:pStyle w:val="Boxheading2"/>
              <w:rPr>
                <w:b w:val="0"/>
              </w:rPr>
            </w:pPr>
            <w:r w:rsidRPr="008625DC">
              <w:t>New Zealand</w:t>
            </w:r>
          </w:p>
          <w:p w14:paraId="0533A37E" w14:textId="216ED8FB" w:rsidR="00227F46" w:rsidRPr="008625DC" w:rsidRDefault="00227F46" w:rsidP="00227F46">
            <w:pPr>
              <w:pStyle w:val="BoxText"/>
            </w:pPr>
            <w:r w:rsidRPr="008625DC">
              <w:t xml:space="preserve">The New Zealand Commerce Act has a broader application to the Crown than the Australian law. The Commerce Act </w:t>
            </w:r>
            <w:r w:rsidR="009E4990" w:rsidRPr="008625DC">
              <w:t>‘</w:t>
            </w:r>
            <w:r w:rsidRPr="008625DC">
              <w:t>shall bind the Crown insofar as it engages in trade</w:t>
            </w:r>
            <w:r w:rsidR="009E4990" w:rsidRPr="008625DC">
              <w:t>’</w:t>
            </w:r>
            <w:r w:rsidRPr="008625DC">
              <w:t>. If the Crown is engaged in trade for certain activities, then it is subject to the Commerce Act in relation to those activities. The Crown is regarded as all government and quasi</w:t>
            </w:r>
            <w:r w:rsidR="00C74E19" w:rsidRPr="008625DC">
              <w:noBreakHyphen/>
            </w:r>
            <w:r w:rsidRPr="008625DC">
              <w:t>government bodies.</w:t>
            </w:r>
          </w:p>
          <w:p w14:paraId="2913CE20" w14:textId="7C199581" w:rsidR="00227F46" w:rsidRPr="008625DC" w:rsidRDefault="009E4990" w:rsidP="00227F46">
            <w:pPr>
              <w:pStyle w:val="BoxText"/>
            </w:pPr>
            <w:r w:rsidRPr="008625DC">
              <w:t>‘</w:t>
            </w:r>
            <w:r w:rsidR="00227F46" w:rsidRPr="008625DC">
              <w:t>Trade</w:t>
            </w:r>
            <w:r w:rsidRPr="008625DC">
              <w:t>’</w:t>
            </w:r>
            <w:r w:rsidR="00227F46" w:rsidRPr="008625DC">
              <w:t xml:space="preserve"> is defined in the New Zealand Commerce Act as any trade, business, industry, profession, occupation, activity of commerce, or undertaking relating to the supply or acquisition of goods or services, or to the disposition or acquisition of any interest in land. The </w:t>
            </w:r>
            <w:r w:rsidR="002F554E" w:rsidRPr="008625DC">
              <w:t>courts</w:t>
            </w:r>
            <w:r w:rsidR="00227F46" w:rsidRPr="008625DC">
              <w:t xml:space="preserve"> have interpreted the phrase </w:t>
            </w:r>
            <w:r w:rsidR="00F81072" w:rsidRPr="008625DC">
              <w:t>‘</w:t>
            </w:r>
            <w:r w:rsidR="00227F46" w:rsidRPr="008625DC">
              <w:t>engaged in trade</w:t>
            </w:r>
            <w:r w:rsidR="00F81072" w:rsidRPr="008625DC">
              <w:t>’</w:t>
            </w:r>
            <w:r w:rsidR="00227F46" w:rsidRPr="008625DC">
              <w:t xml:space="preserve"> to have the meaning </w:t>
            </w:r>
            <w:r w:rsidR="00F81072" w:rsidRPr="008625DC">
              <w:t>‘</w:t>
            </w:r>
            <w:r w:rsidR="00227F46" w:rsidRPr="008625DC">
              <w:t>carrying on trade</w:t>
            </w:r>
            <w:r w:rsidR="00F81072" w:rsidRPr="008625DC">
              <w:t>’</w:t>
            </w:r>
            <w:r w:rsidR="00227F46" w:rsidRPr="008625DC">
              <w:t xml:space="preserve">. This means the Crown must be doing more than just carrying out activities that affect trade, to invoke the application of the Act. </w:t>
            </w:r>
          </w:p>
          <w:p w14:paraId="77D761B0" w14:textId="77777777" w:rsidR="00227F46" w:rsidRPr="008625DC" w:rsidRDefault="00227F46" w:rsidP="00227F46">
            <w:pPr>
              <w:pStyle w:val="BoxText"/>
            </w:pPr>
            <w:r w:rsidRPr="008625DC">
              <w:t>The trading functions of the Crown will be subject to the Act; its administrative and regulatory functions will not. Often Crown Corporations carry out trading activities of the Crown. Unlike the Crown itself, when a Crown Corporation is engaged in trade its whole sphere of activity becomes subject to the Act, not just its trading activities.</w:t>
            </w:r>
          </w:p>
          <w:p w14:paraId="1CCB8265" w14:textId="18D70AD2" w:rsidR="00227F46" w:rsidRPr="008625DC" w:rsidRDefault="00227F46" w:rsidP="00227F46">
            <w:pPr>
              <w:pStyle w:val="BoxText"/>
            </w:pPr>
            <w:r w:rsidRPr="008625DC">
              <w:t>The Crown is subject to almost all the same penalties as private sector organisations, including third</w:t>
            </w:r>
            <w:r w:rsidR="00C74E19" w:rsidRPr="008625DC">
              <w:noBreakHyphen/>
            </w:r>
            <w:r w:rsidRPr="008625DC">
              <w:t xml:space="preserve">party damages actions and other </w:t>
            </w:r>
            <w:r w:rsidR="002F554E" w:rsidRPr="008625DC">
              <w:t xml:space="preserve">court </w:t>
            </w:r>
            <w:r w:rsidRPr="008625DC">
              <w:t xml:space="preserve">orders. The only penalty to which the Crown is not subject is a pecuniary penalty payable to itself. </w:t>
            </w:r>
          </w:p>
          <w:p w14:paraId="46560DEB" w14:textId="42B0DFCA" w:rsidR="00227F46" w:rsidRPr="008625DC" w:rsidRDefault="00227F46" w:rsidP="00227F46">
            <w:pPr>
              <w:pStyle w:val="BoxText"/>
            </w:pPr>
            <w:r w:rsidRPr="008625DC">
              <w:t>Interconnected bodies corporate are not subject to the prohibition against anti</w:t>
            </w:r>
            <w:r w:rsidR="00C74E19" w:rsidRPr="008625DC">
              <w:noBreakHyphen/>
            </w:r>
            <w:r w:rsidRPr="008625DC">
              <w:t>competitive mergers or agreements, where arrangements are solely between subsidiaries and/or the parent company. Amendments in NZ have:</w:t>
            </w:r>
          </w:p>
          <w:p w14:paraId="6E60D72C" w14:textId="43A33A58" w:rsidR="00227F46" w:rsidRPr="008625DC" w:rsidRDefault="005C4F8C" w:rsidP="00F81072">
            <w:pPr>
              <w:pStyle w:val="BoxBullet"/>
              <w:rPr>
                <w:lang w:val="en-AU"/>
              </w:rPr>
            </w:pPr>
            <w:proofErr w:type="gramStart"/>
            <w:r w:rsidRPr="008625DC">
              <w:rPr>
                <w:rStyle w:val="BulletChar"/>
                <w:lang w:val="en-AU"/>
              </w:rPr>
              <w:t>f</w:t>
            </w:r>
            <w:r w:rsidR="00227F46" w:rsidRPr="008625DC">
              <w:rPr>
                <w:rStyle w:val="BulletChar"/>
                <w:lang w:val="en-AU"/>
              </w:rPr>
              <w:t>ollowing</w:t>
            </w:r>
            <w:proofErr w:type="gramEnd"/>
            <w:r w:rsidR="00227F46" w:rsidRPr="008625DC">
              <w:rPr>
                <w:rStyle w:val="BulletChar"/>
                <w:lang w:val="en-AU"/>
              </w:rPr>
              <w:t xml:space="preserve"> the electricity reforms, ensured agreements between bodies corporate owned by the Crown are subject to the Commerce Act as if they were arrangements between independent companies.</w:t>
            </w:r>
            <w:r w:rsidR="00227F46" w:rsidRPr="008625DC">
              <w:rPr>
                <w:lang w:val="en-AU"/>
              </w:rPr>
              <w:t xml:space="preserve"> </w:t>
            </w:r>
          </w:p>
          <w:p w14:paraId="2EBFCD3C" w14:textId="01D8E8BE" w:rsidR="00227F46" w:rsidRPr="008625DC" w:rsidRDefault="005C4F8C" w:rsidP="00CD4B2B">
            <w:pPr>
              <w:pStyle w:val="BoxBullet"/>
              <w:spacing w:after="180"/>
              <w:rPr>
                <w:lang w:val="en-AU"/>
              </w:rPr>
            </w:pPr>
            <w:proofErr w:type="gramStart"/>
            <w:r w:rsidRPr="008625DC">
              <w:rPr>
                <w:lang w:val="en-AU"/>
              </w:rPr>
              <w:t>s</w:t>
            </w:r>
            <w:r w:rsidR="00227F46" w:rsidRPr="008625DC">
              <w:rPr>
                <w:lang w:val="en-AU"/>
              </w:rPr>
              <w:t>ubsequently</w:t>
            </w:r>
            <w:proofErr w:type="gramEnd"/>
            <w:r w:rsidR="00227F46" w:rsidRPr="008625DC">
              <w:rPr>
                <w:lang w:val="en-AU"/>
              </w:rPr>
              <w:t xml:space="preserve"> reversed this for Crown owned health trading enterprises, </w:t>
            </w:r>
            <w:r w:rsidRPr="008625DC">
              <w:rPr>
                <w:lang w:val="en-AU"/>
              </w:rPr>
              <w:t>with the result that</w:t>
            </w:r>
            <w:r w:rsidR="00227F46" w:rsidRPr="008625DC">
              <w:rPr>
                <w:lang w:val="en-AU"/>
              </w:rPr>
              <w:t xml:space="preserve"> a public hospital merger is </w:t>
            </w:r>
            <w:r w:rsidRPr="008625DC">
              <w:rPr>
                <w:lang w:val="en-AU"/>
              </w:rPr>
              <w:t>treated as</w:t>
            </w:r>
            <w:r w:rsidR="00227F46" w:rsidRPr="008625DC">
              <w:rPr>
                <w:lang w:val="en-AU"/>
              </w:rPr>
              <w:t xml:space="preserve"> a reorganisation within an interconnected body corporate rather than as a merger between two independent entities.</w:t>
            </w:r>
          </w:p>
          <w:p w14:paraId="0F313763" w14:textId="532D356B" w:rsidR="00227F46" w:rsidRPr="008625DC" w:rsidRDefault="00227F46" w:rsidP="009E4990">
            <w:pPr>
              <w:pStyle w:val="Boxheading2"/>
              <w:rPr>
                <w:b w:val="0"/>
              </w:rPr>
            </w:pPr>
            <w:r w:rsidRPr="008625DC">
              <w:t>United Kingdom</w:t>
            </w:r>
          </w:p>
          <w:p w14:paraId="13EC51EC" w14:textId="32086C38" w:rsidR="00227F46" w:rsidRPr="008625DC" w:rsidRDefault="00231663" w:rsidP="00227F46">
            <w:pPr>
              <w:pStyle w:val="BoxText"/>
            </w:pPr>
            <w:r w:rsidRPr="008625DC">
              <w:t xml:space="preserve">The </w:t>
            </w:r>
            <w:r w:rsidRPr="008625DC">
              <w:rPr>
                <w:i/>
              </w:rPr>
              <w:t>Competition Act 1998</w:t>
            </w:r>
            <w:r w:rsidRPr="008625DC">
              <w:t xml:space="preserve"> (UK) applies to government activities where the body is an </w:t>
            </w:r>
            <w:r w:rsidR="00C74E19" w:rsidRPr="008625DC">
              <w:t>‘</w:t>
            </w:r>
            <w:r w:rsidRPr="008625DC">
              <w:t>undertaking</w:t>
            </w:r>
            <w:r w:rsidR="00C74E19" w:rsidRPr="008625DC">
              <w:t>’</w:t>
            </w:r>
            <w:r w:rsidRPr="008625DC">
              <w:t xml:space="preserve"> for the purposes of the law and where its activities are commercial in nature.</w:t>
            </w:r>
          </w:p>
          <w:p w14:paraId="408A62F0" w14:textId="309CD03F" w:rsidR="00231663" w:rsidRPr="008625DC" w:rsidRDefault="00231663" w:rsidP="00227F46">
            <w:pPr>
              <w:pStyle w:val="BoxText"/>
            </w:pPr>
            <w:r w:rsidRPr="008625DC">
              <w:t xml:space="preserve">In determining whether a public body is acting as an undertaking in relation to </w:t>
            </w:r>
            <w:r w:rsidR="005C4F8C" w:rsidRPr="008625DC">
              <w:t>the</w:t>
            </w:r>
            <w:r w:rsidRPr="008625DC">
              <w:t xml:space="preserve"> purchase of goods or services in a market, the economic or non</w:t>
            </w:r>
            <w:r w:rsidR="00C74E19" w:rsidRPr="008625DC">
              <w:noBreakHyphen/>
            </w:r>
            <w:r w:rsidRPr="008625DC">
              <w:t>economic nature of that purchasing activity depends on the end use to which the public body puts the goods or services bought.</w:t>
            </w:r>
          </w:p>
          <w:p w14:paraId="2D4727BF" w14:textId="77777777" w:rsidR="000A2EE9" w:rsidRPr="008625DC" w:rsidRDefault="00231663" w:rsidP="00767A14">
            <w:pPr>
              <w:pStyle w:val="BoxText"/>
            </w:pPr>
            <w:r w:rsidRPr="008625DC">
              <w:t>A public body is likely to be engaging in economic activity if it is supplying a good or service, and that supply is of a commercial nature. Conduct will not amount to economic activity if it is of a wholly social nature.</w:t>
            </w:r>
          </w:p>
          <w:p w14:paraId="2DB07F31" w14:textId="3CCA052F" w:rsidR="00227F46" w:rsidRPr="008625DC" w:rsidRDefault="00767A14" w:rsidP="008430D9">
            <w:pPr>
              <w:pStyle w:val="BoxText"/>
              <w:rPr>
                <w:sz w:val="21"/>
              </w:rPr>
            </w:pPr>
            <w:r w:rsidRPr="008625DC">
              <w:t xml:space="preserve">In 2012 </w:t>
            </w:r>
            <w:r w:rsidRPr="008625DC">
              <w:rPr>
                <w:sz w:val="21"/>
                <w:szCs w:val="21"/>
              </w:rPr>
              <w:t xml:space="preserve">the </w:t>
            </w:r>
            <w:r w:rsidRPr="008625DC">
              <w:t xml:space="preserve">UK Parliament passed the </w:t>
            </w:r>
            <w:r w:rsidRPr="008625DC">
              <w:rPr>
                <w:i/>
                <w:sz w:val="21"/>
              </w:rPr>
              <w:t>Health and Social Care Act 2012</w:t>
            </w:r>
            <w:r w:rsidRPr="008625DC">
              <w:rPr>
                <w:sz w:val="21"/>
                <w:szCs w:val="21"/>
              </w:rPr>
              <w:t xml:space="preserve"> (UK), which </w:t>
            </w:r>
            <w:r w:rsidRPr="008625DC">
              <w:t xml:space="preserve">specifically applies the competition law merger controls in the </w:t>
            </w:r>
            <w:r w:rsidRPr="008625DC">
              <w:rPr>
                <w:i/>
              </w:rPr>
              <w:t>Enterprise Act 2002</w:t>
            </w:r>
            <w:r w:rsidRPr="008625DC">
              <w:t xml:space="preserve"> to </w:t>
            </w:r>
            <w:r w:rsidRPr="008625DC">
              <w:rPr>
                <w:sz w:val="21"/>
                <w:szCs w:val="21"/>
              </w:rPr>
              <w:t xml:space="preserve">NHS Foundation Trust hospital mergers. </w:t>
            </w:r>
          </w:p>
        </w:tc>
      </w:tr>
    </w:tbl>
    <w:p w14:paraId="6EA80D9C" w14:textId="320A7855" w:rsidR="000A37A8" w:rsidRPr="008625DC" w:rsidRDefault="000A37A8" w:rsidP="000A37A8"/>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F3EA7" w:rsidRPr="008625DC" w14:paraId="575898AA" w14:textId="77777777" w:rsidTr="0052543A">
        <w:tc>
          <w:tcPr>
            <w:tcW w:w="5000" w:type="pct"/>
            <w:shd w:val="clear" w:color="auto" w:fill="FFFFFF" w:themeFill="background1"/>
          </w:tcPr>
          <w:p w14:paraId="774A81F2" w14:textId="2CF95304" w:rsidR="000F3EA7" w:rsidRPr="008625DC" w:rsidRDefault="000F3EA7" w:rsidP="0052543A">
            <w:pPr>
              <w:pStyle w:val="Keyfindingheading"/>
            </w:pPr>
            <w:r w:rsidRPr="008625DC">
              <w:lastRenderedPageBreak/>
              <w:t>The Panel</w:t>
            </w:r>
            <w:r w:rsidR="00C74E19" w:rsidRPr="008625DC">
              <w:t>’</w:t>
            </w:r>
            <w:r w:rsidRPr="008625DC">
              <w:t>s view</w:t>
            </w:r>
          </w:p>
          <w:p w14:paraId="006821A5" w14:textId="20EBB843" w:rsidR="000F3EA7" w:rsidRPr="008625DC" w:rsidRDefault="005B4571" w:rsidP="006F3307">
            <w:pPr>
              <w:pStyle w:val="Keyfindingtext"/>
            </w:pPr>
            <w:r w:rsidRPr="008625DC">
              <w:t xml:space="preserve">Government procurement guidelines and decisions can have a big impact on </w:t>
            </w:r>
            <w:r w:rsidR="00137FCB" w:rsidRPr="008625DC">
              <w:t xml:space="preserve">the range of goods and services ultimately </w:t>
            </w:r>
            <w:r w:rsidR="00A15D89" w:rsidRPr="008625DC">
              <w:t>available</w:t>
            </w:r>
            <w:r w:rsidR="00137FCB" w:rsidRPr="008625DC">
              <w:t xml:space="preserve"> to consumers.</w:t>
            </w:r>
          </w:p>
          <w:p w14:paraId="13A7DDEA" w14:textId="5EE4C629" w:rsidR="00137FCB" w:rsidRPr="008625DC" w:rsidRDefault="00137FCB" w:rsidP="006F3307">
            <w:pPr>
              <w:pStyle w:val="Keyfindingtext"/>
            </w:pPr>
            <w:r w:rsidRPr="008625DC">
              <w:t xml:space="preserve">Tender documents have traditionally been written prescriptively </w:t>
            </w:r>
            <w:r w:rsidR="00322DE3" w:rsidRPr="008625DC">
              <w:t xml:space="preserve">and with an overarching focus on value for money. While risk management and value for money are both important considerations, </w:t>
            </w:r>
            <w:r w:rsidR="00F4016F" w:rsidRPr="008625DC">
              <w:t xml:space="preserve">too narrow a focus on these factors can </w:t>
            </w:r>
            <w:r w:rsidR="00322DE3" w:rsidRPr="008625DC">
              <w:t xml:space="preserve">constrain choice, innovation and responsiveness in the </w:t>
            </w:r>
            <w:r w:rsidR="00F4016F" w:rsidRPr="008625DC">
              <w:t>government</w:t>
            </w:r>
            <w:r w:rsidR="00C74E19" w:rsidRPr="008625DC">
              <w:noBreakHyphen/>
            </w:r>
            <w:r w:rsidR="00F4016F" w:rsidRPr="008625DC">
              <w:t xml:space="preserve">commissioned </w:t>
            </w:r>
            <w:r w:rsidR="00322DE3" w:rsidRPr="008625DC">
              <w:t>provision of goods and services.</w:t>
            </w:r>
          </w:p>
          <w:p w14:paraId="3EB10C05" w14:textId="3A66FFD4" w:rsidR="000F3EA7" w:rsidRPr="008625DC" w:rsidRDefault="00A15D89" w:rsidP="006F3307">
            <w:pPr>
              <w:pStyle w:val="Keyfindingtext"/>
            </w:pPr>
            <w:r w:rsidRPr="008625DC">
              <w:t xml:space="preserve">Governments can take steps to encourage diversity, choice and innovation in procurement arrangements. </w:t>
            </w:r>
            <w:r w:rsidR="00840939" w:rsidRPr="008625DC">
              <w:t>Tendering with a</w:t>
            </w:r>
            <w:r w:rsidR="008B59DF" w:rsidRPr="008625DC">
              <w:t xml:space="preserve"> focus on</w:t>
            </w:r>
            <w:r w:rsidR="00840939" w:rsidRPr="008625DC">
              <w:t xml:space="preserve"> outcomes, rather than output</w:t>
            </w:r>
            <w:r w:rsidR="008B59DF" w:rsidRPr="008625DC">
              <w:t>s</w:t>
            </w:r>
            <w:r w:rsidR="00840939" w:rsidRPr="008625DC">
              <w:t>, and trials of less prescriptive tender documents could encourage bidders to suggest new and innovative methods for achieving the government</w:t>
            </w:r>
            <w:r w:rsidR="00C74E19" w:rsidRPr="008625DC">
              <w:t>’</w:t>
            </w:r>
            <w:r w:rsidR="00840939" w:rsidRPr="008625DC">
              <w:t>s desired result</w:t>
            </w:r>
            <w:r w:rsidR="005C4F8C" w:rsidRPr="008625DC">
              <w:t>,</w:t>
            </w:r>
            <w:r w:rsidR="00840939" w:rsidRPr="008625DC">
              <w:t xml:space="preserve"> while e</w:t>
            </w:r>
            <w:r w:rsidRPr="008625DC">
              <w:t>ducation and information sessions can help a broad range of businesses understand the procurement process</w:t>
            </w:r>
            <w:r w:rsidR="00840939" w:rsidRPr="008625DC">
              <w:t>.</w:t>
            </w:r>
          </w:p>
          <w:p w14:paraId="04EC5121" w14:textId="77777777" w:rsidR="000A37A8" w:rsidRPr="008625DC" w:rsidRDefault="004175EA" w:rsidP="006F3307">
            <w:pPr>
              <w:pStyle w:val="Keyfindingtext"/>
            </w:pPr>
            <w:r w:rsidRPr="008625DC">
              <w:t>Competition principles, particularly those promoting choice and a diversity of providers, should be incorporated into procurement policies</w:t>
            </w:r>
            <w:r w:rsidR="000A37A8" w:rsidRPr="008625DC">
              <w:t>.</w:t>
            </w:r>
          </w:p>
          <w:p w14:paraId="35DF6CAA" w14:textId="38204796" w:rsidR="000F3EA7" w:rsidRPr="008625DC" w:rsidRDefault="000A37A8" w:rsidP="006F3307">
            <w:pPr>
              <w:pStyle w:val="Keyfindingtext"/>
            </w:pPr>
            <w:r w:rsidRPr="008625DC">
              <w:t xml:space="preserve">Through its commercial </w:t>
            </w:r>
            <w:r w:rsidR="008430D9" w:rsidRPr="008625DC">
              <w:t xml:space="preserve">transactions </w:t>
            </w:r>
            <w:r w:rsidRPr="008625DC">
              <w:t xml:space="preserve">entered into with market participants, the Crown </w:t>
            </w:r>
            <w:r w:rsidR="008430D9" w:rsidRPr="008625DC">
              <w:t xml:space="preserve">(whether in right of the Commonwealth, state, territory or local governments) </w:t>
            </w:r>
            <w:r w:rsidRPr="008625DC">
              <w:t>has the potential to harm competition. The Panel considers that the NCP reforms should be carried a step further and that the Crown should be subject to the competition law insofar as it undertakes a</w:t>
            </w:r>
            <w:r w:rsidR="008430D9" w:rsidRPr="008625DC">
              <w:t>ctivity in trade or commerce</w:t>
            </w:r>
            <w:r w:rsidRPr="008625DC">
              <w:t>.</w:t>
            </w:r>
          </w:p>
        </w:tc>
      </w:tr>
    </w:tbl>
    <w:p w14:paraId="334985B9" w14:textId="77777777" w:rsidR="000F3EA7" w:rsidRPr="008625DC" w:rsidRDefault="000F3EA7" w:rsidP="00C74DF8"/>
    <w:p w14:paraId="4D4E492E" w14:textId="77777777" w:rsidR="004B159C" w:rsidRPr="008625DC" w:rsidRDefault="004B159C">
      <w:pPr>
        <w:spacing w:before="0" w:after="0"/>
        <w:rPr>
          <w:rFonts w:ascii="Calibri" w:hAnsi="Calibri" w:cs="Calibri"/>
          <w:color w:val="auto"/>
          <w:sz w:val="24"/>
          <w:szCs w:val="24"/>
        </w:rPr>
      </w:pPr>
      <w:r w:rsidRPr="008625DC">
        <w:rPr>
          <w:rFonts w:ascii="Calibri" w:hAnsi="Calibri" w:cs="Calibri"/>
          <w:color w:val="auto"/>
          <w:sz w:val="24"/>
          <w:szCs w:val="24"/>
        </w:rPr>
        <w:br w:type="page"/>
      </w:r>
    </w:p>
    <w:p w14:paraId="1F5D5D6A" w14:textId="77777777" w:rsidR="004B159C" w:rsidRPr="008625DC" w:rsidRDefault="004B159C" w:rsidP="00864E0A">
      <w:pPr>
        <w:pStyle w:val="Heading1"/>
        <w:ind w:left="851" w:hanging="851"/>
      </w:pPr>
      <w:bookmarkStart w:id="25838" w:name="_Toc397601971"/>
      <w:bookmarkStart w:id="25839" w:name="_Toc397602706"/>
      <w:bookmarkStart w:id="25840" w:name="_Toc397605839"/>
      <w:bookmarkStart w:id="25841" w:name="_Toc397614536"/>
      <w:bookmarkStart w:id="25842" w:name="_Toc397614979"/>
      <w:bookmarkStart w:id="25843" w:name="_Toc397616422"/>
      <w:bookmarkStart w:id="25844" w:name="_Toc397616816"/>
      <w:bookmarkStart w:id="25845" w:name="_Toc397688114"/>
      <w:bookmarkStart w:id="25846" w:name="_Toc397689330"/>
      <w:bookmarkStart w:id="25847" w:name="_Toc397694610"/>
      <w:bookmarkStart w:id="25848" w:name="_Toc397696451"/>
      <w:bookmarkStart w:id="25849" w:name="_Toc397697185"/>
      <w:bookmarkStart w:id="25850" w:name="_Toc397698472"/>
      <w:bookmarkStart w:id="25851" w:name="_Toc397699838"/>
      <w:bookmarkStart w:id="25852" w:name="_Toc397700292"/>
      <w:bookmarkStart w:id="25853" w:name="_Toc397936684"/>
      <w:bookmarkStart w:id="25854" w:name="_Toc397936804"/>
      <w:bookmarkStart w:id="25855" w:name="_Toc397945960"/>
      <w:bookmarkStart w:id="25856" w:name="_Toc397946986"/>
      <w:bookmarkStart w:id="25857" w:name="_Toc397948105"/>
      <w:bookmarkStart w:id="25858" w:name="_Toc397958511"/>
      <w:bookmarkStart w:id="25859" w:name="_Toc397958753"/>
      <w:bookmarkStart w:id="25860" w:name="_Toc397959168"/>
      <w:bookmarkStart w:id="25861" w:name="_Toc397963021"/>
      <w:bookmarkStart w:id="25862" w:name="_Toc397963387"/>
      <w:bookmarkStart w:id="25863" w:name="_Toc397965464"/>
      <w:bookmarkStart w:id="25864" w:name="_Toc398197402"/>
      <w:bookmarkStart w:id="25865" w:name="_Toc398199905"/>
      <w:bookmarkStart w:id="25866" w:name="_Toc398201619"/>
      <w:bookmarkStart w:id="25867" w:name="_Toc398207224"/>
      <w:bookmarkStart w:id="25868" w:name="_Toc398209928"/>
      <w:bookmarkStart w:id="25869" w:name="_Toc398210497"/>
      <w:bookmarkStart w:id="25870" w:name="_Toc398211011"/>
      <w:bookmarkStart w:id="25871" w:name="_Toc398219819"/>
      <w:bookmarkStart w:id="25872" w:name="_Toc398220194"/>
      <w:bookmarkStart w:id="25873" w:name="_Toc398220581"/>
      <w:bookmarkStart w:id="25874" w:name="_Toc398221659"/>
      <w:bookmarkStart w:id="25875" w:name="_Toc398222345"/>
      <w:bookmarkStart w:id="25876" w:name="_Toc398222657"/>
      <w:bookmarkStart w:id="25877" w:name="_Toc398223074"/>
      <w:bookmarkStart w:id="25878" w:name="_Toc398223453"/>
      <w:bookmarkStart w:id="25879" w:name="_Toc398223580"/>
      <w:bookmarkStart w:id="25880" w:name="_Toc398224388"/>
      <w:bookmarkStart w:id="25881" w:name="_Toc398225725"/>
      <w:bookmarkStart w:id="25882" w:name="_Toc398225850"/>
      <w:bookmarkStart w:id="25883" w:name="_Toc398281337"/>
      <w:bookmarkStart w:id="25884" w:name="_Toc398282196"/>
      <w:bookmarkStart w:id="25885" w:name="_Toc398284866"/>
      <w:bookmarkStart w:id="25886" w:name="_Toc398287335"/>
      <w:bookmarkStart w:id="25887" w:name="_Toc398289218"/>
      <w:bookmarkStart w:id="25888" w:name="_Toc398297215"/>
      <w:bookmarkStart w:id="25889" w:name="_Toc398298689"/>
      <w:bookmarkStart w:id="25890" w:name="_Toc398300390"/>
      <w:bookmarkStart w:id="25891" w:name="_Toc398301287"/>
      <w:bookmarkStart w:id="25892" w:name="_Toc398302472"/>
      <w:bookmarkStart w:id="25893" w:name="_Toc398302635"/>
      <w:bookmarkStart w:id="25894" w:name="_Toc398549149"/>
      <w:bookmarkStart w:id="25895" w:name="_Toc398549399"/>
      <w:bookmarkStart w:id="25896" w:name="_Toc398555818"/>
      <w:bookmarkStart w:id="25897" w:name="_Toc398559022"/>
      <w:bookmarkStart w:id="25898" w:name="_Toc398563508"/>
      <w:bookmarkStart w:id="25899" w:name="_Toc398563641"/>
      <w:bookmarkStart w:id="25900" w:name="_Toc398564040"/>
      <w:bookmarkStart w:id="25901" w:name="_Toc398827378"/>
      <w:bookmarkStart w:id="25902" w:name="_Toc398827572"/>
      <w:bookmarkStart w:id="25903" w:name="Ch13"/>
      <w:r w:rsidRPr="008625DC">
        <w:lastRenderedPageBreak/>
        <w:t>Key retail markets</w:t>
      </w:r>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p>
    <w:bookmarkEnd w:id="25903"/>
    <w:p w14:paraId="5BD57E01" w14:textId="6B6AD465" w:rsidR="004B159C" w:rsidRPr="008625DC" w:rsidRDefault="004B159C" w:rsidP="00F81072">
      <w:r w:rsidRPr="008625DC">
        <w:t>Competition in the grocery</w:t>
      </w:r>
      <w:r w:rsidR="00D643DD" w:rsidRPr="008625DC">
        <w:t xml:space="preserve"> and</w:t>
      </w:r>
      <w:r w:rsidRPr="008625DC">
        <w:t xml:space="preserve"> fuel retailing markets in Australia has been an area of considerable public, media and political interest and concern over many years, not least because these products are frequently purchased, largely non</w:t>
      </w:r>
      <w:r w:rsidR="00C74E19" w:rsidRPr="008625DC">
        <w:noBreakHyphen/>
      </w:r>
      <w:r w:rsidRPr="008625DC">
        <w:t xml:space="preserve">discretionary for most consumers, and account for a significant proportion of consumer spending. </w:t>
      </w:r>
    </w:p>
    <w:p w14:paraId="284FC5AE" w14:textId="77777777" w:rsidR="004B159C" w:rsidRPr="008625DC" w:rsidRDefault="004B159C" w:rsidP="000B5916">
      <w:pPr>
        <w:pStyle w:val="Heading2"/>
        <w:ind w:left="851" w:hanging="851"/>
        <w:rPr>
          <w:lang w:val="en-AU"/>
        </w:rPr>
      </w:pPr>
      <w:bookmarkStart w:id="25904" w:name="s131"/>
      <w:bookmarkStart w:id="25905" w:name="_Toc397601972"/>
      <w:bookmarkStart w:id="25906" w:name="_Toc397602707"/>
      <w:bookmarkStart w:id="25907" w:name="_Toc397605840"/>
      <w:bookmarkStart w:id="25908" w:name="_Toc397614537"/>
      <w:bookmarkStart w:id="25909" w:name="_Toc397614980"/>
      <w:bookmarkStart w:id="25910" w:name="_Toc397616423"/>
      <w:bookmarkStart w:id="25911" w:name="_Toc397616817"/>
      <w:bookmarkStart w:id="25912" w:name="_Toc397688115"/>
      <w:bookmarkStart w:id="25913" w:name="_Toc397689331"/>
      <w:bookmarkStart w:id="25914" w:name="_Toc397694611"/>
      <w:bookmarkStart w:id="25915" w:name="_Toc397696452"/>
      <w:bookmarkStart w:id="25916" w:name="_Toc397697186"/>
      <w:bookmarkStart w:id="25917" w:name="_Toc397698473"/>
      <w:bookmarkStart w:id="25918" w:name="_Toc397699839"/>
      <w:bookmarkStart w:id="25919" w:name="_Toc397700293"/>
      <w:bookmarkStart w:id="25920" w:name="_Toc397936685"/>
      <w:bookmarkStart w:id="25921" w:name="_Toc397936805"/>
      <w:bookmarkStart w:id="25922" w:name="_Toc397945961"/>
      <w:bookmarkStart w:id="25923" w:name="_Toc397946987"/>
      <w:bookmarkStart w:id="25924" w:name="_Toc397948106"/>
      <w:bookmarkStart w:id="25925" w:name="_Toc397958512"/>
      <w:bookmarkStart w:id="25926" w:name="_Toc397958754"/>
      <w:bookmarkStart w:id="25927" w:name="_Toc397959169"/>
      <w:bookmarkStart w:id="25928" w:name="_Toc397963022"/>
      <w:bookmarkStart w:id="25929" w:name="_Toc397963388"/>
      <w:bookmarkStart w:id="25930" w:name="_Toc397965465"/>
      <w:bookmarkStart w:id="25931" w:name="_Toc398197403"/>
      <w:bookmarkStart w:id="25932" w:name="_Toc398199906"/>
      <w:bookmarkStart w:id="25933" w:name="_Toc398201620"/>
      <w:bookmarkStart w:id="25934" w:name="_Toc398207225"/>
      <w:bookmarkStart w:id="25935" w:name="_Toc398209929"/>
      <w:bookmarkStart w:id="25936" w:name="_Toc398210498"/>
      <w:bookmarkStart w:id="25937" w:name="_Toc398211012"/>
      <w:bookmarkStart w:id="25938" w:name="_Toc398219820"/>
      <w:bookmarkStart w:id="25939" w:name="_Toc398220195"/>
      <w:bookmarkStart w:id="25940" w:name="_Toc398220582"/>
      <w:bookmarkStart w:id="25941" w:name="_Toc398221660"/>
      <w:bookmarkStart w:id="25942" w:name="_Toc398222346"/>
      <w:bookmarkStart w:id="25943" w:name="_Toc398222658"/>
      <w:bookmarkStart w:id="25944" w:name="_Toc398223075"/>
      <w:bookmarkStart w:id="25945" w:name="_Toc398223454"/>
      <w:bookmarkStart w:id="25946" w:name="_Toc398223581"/>
      <w:bookmarkStart w:id="25947" w:name="_Toc398224389"/>
      <w:bookmarkStart w:id="25948" w:name="_Toc398225726"/>
      <w:bookmarkStart w:id="25949" w:name="_Toc398225851"/>
      <w:bookmarkStart w:id="25950" w:name="_Toc398281338"/>
      <w:bookmarkStart w:id="25951" w:name="_Toc398282197"/>
      <w:bookmarkStart w:id="25952" w:name="_Toc398284867"/>
      <w:bookmarkStart w:id="25953" w:name="_Toc398287336"/>
      <w:bookmarkStart w:id="25954" w:name="_Toc398289219"/>
      <w:bookmarkStart w:id="25955" w:name="_Toc398297216"/>
      <w:bookmarkStart w:id="25956" w:name="_Toc398298690"/>
      <w:bookmarkStart w:id="25957" w:name="_Toc398300391"/>
      <w:bookmarkStart w:id="25958" w:name="_Toc398301288"/>
      <w:bookmarkStart w:id="25959" w:name="_Toc398302473"/>
      <w:bookmarkStart w:id="25960" w:name="_Toc398302636"/>
      <w:bookmarkStart w:id="25961" w:name="_Toc398549150"/>
      <w:bookmarkStart w:id="25962" w:name="_Toc398549400"/>
      <w:bookmarkStart w:id="25963" w:name="_Toc398555819"/>
      <w:bookmarkStart w:id="25964" w:name="_Toc398559023"/>
      <w:bookmarkStart w:id="25965" w:name="_Toc398563509"/>
      <w:bookmarkStart w:id="25966" w:name="_Toc398563642"/>
      <w:bookmarkStart w:id="25967" w:name="_Toc398564041"/>
      <w:bookmarkStart w:id="25968" w:name="_Toc398827379"/>
      <w:bookmarkStart w:id="25969" w:name="_Toc398827573"/>
      <w:bookmarkEnd w:id="25904"/>
      <w:r w:rsidRPr="008625DC">
        <w:rPr>
          <w:lang w:val="en-AU"/>
        </w:rPr>
        <w:t>Supermarkets</w:t>
      </w:r>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p>
    <w:p w14:paraId="175F6B78" w14:textId="43F5AA61" w:rsidR="004B159C" w:rsidRPr="008625DC" w:rsidRDefault="004B159C" w:rsidP="004B159C">
      <w:pPr>
        <w:spacing w:after="120"/>
      </w:pPr>
      <w:r w:rsidRPr="008625DC">
        <w:t xml:space="preserve">A number of small businesses, supermarkets and their representatives, consumers and other stakeholders made submissions raising concerns about the major supermarket chains Woolworths and Coles. For example, Master Grocers Australia </w:t>
      </w:r>
      <w:r w:rsidR="008A0D37" w:rsidRPr="008625DC">
        <w:t>states</w:t>
      </w:r>
      <w:r w:rsidRPr="008625DC">
        <w:t>:</w:t>
      </w:r>
    </w:p>
    <w:p w14:paraId="42AAAA78" w14:textId="7193C0F5" w:rsidR="004B159C" w:rsidRPr="008625DC" w:rsidRDefault="00F81072" w:rsidP="004B159C">
      <w:pPr>
        <w:pStyle w:val="Quotes"/>
      </w:pPr>
      <w:r w:rsidRPr="008625DC">
        <w:t>[</w:t>
      </w:r>
      <w:r w:rsidR="00CD4B2B">
        <w:t>T</w:t>
      </w:r>
      <w:r w:rsidRPr="008625DC">
        <w:t>]</w:t>
      </w:r>
      <w:r w:rsidR="004B159C" w:rsidRPr="008625DC">
        <w:t>he market dominance of two major retailers is seriously affecting the ability of smaller independent retailers to compete effectively</w:t>
      </w:r>
      <w:r w:rsidR="006E482F" w:rsidRPr="008625DC">
        <w:t>.</w:t>
      </w:r>
      <w:r w:rsidR="004B159C" w:rsidRPr="008625DC">
        <w:t xml:space="preserve"> (</w:t>
      </w:r>
      <w:proofErr w:type="gramStart"/>
      <w:r w:rsidR="004B159C" w:rsidRPr="008625DC">
        <w:t>page</w:t>
      </w:r>
      <w:proofErr w:type="gramEnd"/>
      <w:r w:rsidR="004B159C" w:rsidRPr="008625DC">
        <w:t xml:space="preserve"> 6</w:t>
      </w:r>
      <w:r w:rsidR="006E482F" w:rsidRPr="008625DC">
        <w:t>)</w:t>
      </w:r>
    </w:p>
    <w:p w14:paraId="285A8933" w14:textId="65C73B10" w:rsidR="004B159C" w:rsidRPr="008625DC" w:rsidRDefault="004B159C" w:rsidP="00F81072">
      <w:r w:rsidRPr="008625DC">
        <w:t xml:space="preserve">Other stakeholders, including Woolworths </w:t>
      </w:r>
      <w:r w:rsidR="00594906" w:rsidRPr="008625DC">
        <w:t xml:space="preserve">(page 7) </w:t>
      </w:r>
      <w:r w:rsidRPr="008625DC">
        <w:t>and Coles</w:t>
      </w:r>
      <w:r w:rsidR="00594906" w:rsidRPr="008625DC">
        <w:t xml:space="preserve"> (page 4)</w:t>
      </w:r>
      <w:r w:rsidRPr="008625DC">
        <w:t>, alternatively submit that the grocery industry is highly competitive, and has become more so in recent years</w:t>
      </w:r>
      <w:r w:rsidR="00D15937" w:rsidRPr="008625DC">
        <w:t>.</w:t>
      </w:r>
    </w:p>
    <w:p w14:paraId="344E2792" w14:textId="63A5601A" w:rsidR="004B159C" w:rsidRPr="008625DC" w:rsidRDefault="004B159C" w:rsidP="004B159C">
      <w:r w:rsidRPr="008625DC">
        <w:t>Australia</w:t>
      </w:r>
      <w:r w:rsidR="00C74E19" w:rsidRPr="008625DC">
        <w:t>’</w:t>
      </w:r>
      <w:r w:rsidRPr="008625DC">
        <w:t xml:space="preserve">s grocery market is concentrated, but not uniquely so (see Box </w:t>
      </w:r>
      <w:r w:rsidR="003F194A" w:rsidRPr="008625DC">
        <w:t>1</w:t>
      </w:r>
      <w:r w:rsidR="00C216C5" w:rsidRPr="008625DC">
        <w:t>3.</w:t>
      </w:r>
      <w:r w:rsidR="003F194A" w:rsidRPr="008625DC">
        <w:t>1</w:t>
      </w:r>
      <w:r w:rsidRPr="008625DC">
        <w:t xml:space="preserve"> below). While concentration is relevant, it is not determinative of the level of competition in a market. A concentrated market with </w:t>
      </w:r>
      <w:r w:rsidR="00C216C5" w:rsidRPr="008625DC">
        <w:t xml:space="preserve">significant </w:t>
      </w:r>
      <w:r w:rsidRPr="008625DC">
        <w:t xml:space="preserve">barriers to entry may be conducive to weak competition, but competition between supermarkets in Australia appears to have intensified in recent years </w:t>
      </w:r>
      <w:r w:rsidR="00C216C5" w:rsidRPr="008625DC">
        <w:t>following</w:t>
      </w:r>
      <w:r w:rsidRPr="008625DC">
        <w:t xml:space="preserve"> Wesfarmers</w:t>
      </w:r>
      <w:r w:rsidR="00C74E19" w:rsidRPr="008625DC">
        <w:t>’</w:t>
      </w:r>
      <w:r w:rsidRPr="008625DC">
        <w:t xml:space="preserve"> acquisition of Coles and the expansion of </w:t>
      </w:r>
      <w:r w:rsidR="0015308D" w:rsidRPr="008625DC">
        <w:t>ALDI</w:t>
      </w:r>
      <w:r w:rsidRPr="008625DC">
        <w:t xml:space="preserve"> and Costco; consequently, few concerns have been raised about prices charged to consumers by supermarkets.</w:t>
      </w:r>
    </w:p>
    <w:tbl>
      <w:tblPr>
        <w:tblW w:w="9178" w:type="dxa"/>
        <w:tblInd w:w="108" w:type="dxa"/>
        <w:shd w:val="clear" w:color="auto" w:fill="E6E6E6"/>
        <w:tblLook w:val="01E0" w:firstRow="1" w:lastRow="1" w:firstColumn="1" w:lastColumn="1" w:noHBand="0" w:noVBand="0"/>
      </w:tblPr>
      <w:tblGrid>
        <w:gridCol w:w="9178"/>
      </w:tblGrid>
      <w:tr w:rsidR="004B159C" w:rsidRPr="008625DC" w14:paraId="553DED03" w14:textId="77777777" w:rsidTr="004B159C">
        <w:tc>
          <w:tcPr>
            <w:tcW w:w="5000" w:type="pct"/>
            <w:shd w:val="clear" w:color="auto" w:fill="E6E6E6"/>
          </w:tcPr>
          <w:p w14:paraId="3550CECD" w14:textId="1FD1D5FD" w:rsidR="004B159C" w:rsidRPr="008625DC" w:rsidRDefault="004B159C" w:rsidP="004B159C">
            <w:pPr>
              <w:pStyle w:val="BoxHeading"/>
              <w:spacing w:before="120"/>
            </w:pPr>
            <w:r w:rsidRPr="008625DC">
              <w:t xml:space="preserve">Box </w:t>
            </w:r>
            <w:r w:rsidR="003F194A" w:rsidRPr="008625DC">
              <w:t>1</w:t>
            </w:r>
            <w:r w:rsidR="00B051B3" w:rsidRPr="008625DC">
              <w:t>3.</w:t>
            </w:r>
            <w:r w:rsidR="003F194A" w:rsidRPr="008625DC">
              <w:t>1</w:t>
            </w:r>
            <w:r w:rsidRPr="008625DC">
              <w:t xml:space="preserve">: Market </w:t>
            </w:r>
            <w:r w:rsidR="008815C3" w:rsidRPr="008625DC">
              <w:t>c</w:t>
            </w:r>
            <w:r w:rsidR="00D04127" w:rsidRPr="008625DC">
              <w:t>oncentration</w:t>
            </w:r>
          </w:p>
          <w:p w14:paraId="781A623D" w14:textId="77777777" w:rsidR="004B159C" w:rsidRPr="008625DC" w:rsidRDefault="004B159C" w:rsidP="004B159C">
            <w:pPr>
              <w:pStyle w:val="Boxheading2"/>
              <w:spacing w:after="60"/>
            </w:pPr>
            <w:r w:rsidRPr="008625DC">
              <w:t xml:space="preserve">Choice of measure affects outcome: </w:t>
            </w:r>
          </w:p>
          <w:p w14:paraId="2737C136" w14:textId="3484FA99" w:rsidR="004B159C" w:rsidRPr="008625DC" w:rsidRDefault="004B159C" w:rsidP="00467524">
            <w:pPr>
              <w:pStyle w:val="BoxBullet"/>
              <w:rPr>
                <w:lang w:val="en-AU"/>
              </w:rPr>
            </w:pPr>
            <w:r w:rsidRPr="008625DC">
              <w:rPr>
                <w:lang w:val="en-AU"/>
              </w:rPr>
              <w:t xml:space="preserve">Estimates of market share and international comparisons are fraught. There is no single </w:t>
            </w:r>
            <w:r w:rsidR="00C74E19" w:rsidRPr="008625DC">
              <w:rPr>
                <w:lang w:val="en-AU"/>
              </w:rPr>
              <w:t>‘</w:t>
            </w:r>
            <w:r w:rsidRPr="008625DC">
              <w:rPr>
                <w:lang w:val="en-AU"/>
              </w:rPr>
              <w:t>true</w:t>
            </w:r>
            <w:r w:rsidR="00C74E19" w:rsidRPr="008625DC">
              <w:rPr>
                <w:lang w:val="en-AU"/>
              </w:rPr>
              <w:t>’</w:t>
            </w:r>
            <w:r w:rsidRPr="008625DC">
              <w:rPr>
                <w:lang w:val="en-AU"/>
              </w:rPr>
              <w:t xml:space="preserve"> measure. Each may be useful depending on the question being asked. </w:t>
            </w:r>
          </w:p>
          <w:p w14:paraId="20FC029F" w14:textId="07D34667" w:rsidR="004B159C" w:rsidRPr="008625DC" w:rsidRDefault="004B159C" w:rsidP="00467524">
            <w:pPr>
              <w:pStyle w:val="BoxBullet"/>
              <w:rPr>
                <w:lang w:val="en-AU"/>
              </w:rPr>
            </w:pPr>
            <w:r w:rsidRPr="008625DC">
              <w:rPr>
                <w:lang w:val="en-AU"/>
              </w:rPr>
              <w:t>The ACCC</w:t>
            </w:r>
            <w:r w:rsidR="00C74E19" w:rsidRPr="008625DC">
              <w:rPr>
                <w:lang w:val="en-AU"/>
              </w:rPr>
              <w:t>’</w:t>
            </w:r>
            <w:r w:rsidRPr="008625DC">
              <w:rPr>
                <w:lang w:val="en-AU"/>
              </w:rPr>
              <w:t xml:space="preserve">s 2008 Grocery Inquiry </w:t>
            </w:r>
            <w:r w:rsidR="00C216C5" w:rsidRPr="008625DC">
              <w:rPr>
                <w:lang w:val="en-AU"/>
              </w:rPr>
              <w:t>Report</w:t>
            </w:r>
            <w:r w:rsidRPr="008625DC">
              <w:rPr>
                <w:lang w:val="en-AU"/>
              </w:rPr>
              <w:t xml:space="preserve"> devoted </w:t>
            </w:r>
            <w:r w:rsidR="006E482F" w:rsidRPr="008625DC">
              <w:rPr>
                <w:lang w:val="en-AU"/>
              </w:rPr>
              <w:t xml:space="preserve">over </w:t>
            </w:r>
            <w:r w:rsidRPr="008625DC">
              <w:rPr>
                <w:lang w:val="en-AU"/>
              </w:rPr>
              <w:t>2</w:t>
            </w:r>
            <w:r w:rsidR="006E482F" w:rsidRPr="008625DC">
              <w:rPr>
                <w:lang w:val="en-AU"/>
              </w:rPr>
              <w:t>0</w:t>
            </w:r>
            <w:r w:rsidRPr="008625DC">
              <w:rPr>
                <w:lang w:val="en-AU"/>
              </w:rPr>
              <w:t xml:space="preserve"> pages to measures of market share in Australia and overseas, and concluded that while the level of concentration was not optimal, it did not in its own right prevent competition; other factors must be assessed before drawing any conclusions on the degree of competition in the market. </w:t>
            </w:r>
          </w:p>
          <w:p w14:paraId="7EFD449B" w14:textId="77777777" w:rsidR="004B159C" w:rsidRPr="008625DC" w:rsidRDefault="004B159C" w:rsidP="00467524">
            <w:pPr>
              <w:pStyle w:val="BoxBullet"/>
              <w:rPr>
                <w:lang w:val="en-AU"/>
              </w:rPr>
            </w:pPr>
            <w:r w:rsidRPr="008625DC">
              <w:rPr>
                <w:lang w:val="en-AU"/>
              </w:rPr>
              <w:t xml:space="preserve">It reported a number of market share figures published by overseas supermarket investigations (generally by competition agencies). We have supplemented these figures with other published estimates to produce the table below: </w:t>
            </w:r>
          </w:p>
        </w:tc>
      </w:tr>
    </w:tbl>
    <w:p w14:paraId="15BE9AE6" w14:textId="77777777" w:rsidR="00F81072" w:rsidRPr="008625DC" w:rsidRDefault="00F81072">
      <w:r w:rsidRPr="008625DC">
        <w:rPr>
          <w:b/>
        </w:rPr>
        <w:br w:type="page"/>
      </w:r>
    </w:p>
    <w:tbl>
      <w:tblPr>
        <w:tblW w:w="9178" w:type="dxa"/>
        <w:tblInd w:w="108" w:type="dxa"/>
        <w:shd w:val="clear" w:color="auto" w:fill="E6E6E6"/>
        <w:tblLook w:val="01E0" w:firstRow="1" w:lastRow="1" w:firstColumn="1" w:lastColumn="1" w:noHBand="0" w:noVBand="0"/>
      </w:tblPr>
      <w:tblGrid>
        <w:gridCol w:w="9178"/>
      </w:tblGrid>
      <w:tr w:rsidR="004B159C" w:rsidRPr="008625DC" w14:paraId="76BC3D8F" w14:textId="77777777" w:rsidTr="004B159C">
        <w:tc>
          <w:tcPr>
            <w:tcW w:w="5000" w:type="pct"/>
            <w:shd w:val="clear" w:color="auto" w:fill="E6E6E6"/>
          </w:tcPr>
          <w:p w14:paraId="43BA6BEC" w14:textId="77CD3030" w:rsidR="004B159C" w:rsidRPr="008625DC" w:rsidRDefault="004B159C" w:rsidP="00F81072">
            <w:pPr>
              <w:pStyle w:val="Boxheading2"/>
              <w:spacing w:after="60"/>
            </w:pPr>
            <w:r w:rsidRPr="008625DC">
              <w:lastRenderedPageBreak/>
              <w:t xml:space="preserve">Table: Estimated </w:t>
            </w:r>
            <w:r w:rsidR="00F81072" w:rsidRPr="008625DC">
              <w:t>grocery market shares</w:t>
            </w:r>
            <w:r w:rsidRPr="008625DC">
              <w:t xml:space="preserve"> (%) by </w:t>
            </w:r>
            <w:r w:rsidR="00F81072" w:rsidRPr="008625DC">
              <w:t>c</w:t>
            </w:r>
            <w:r w:rsidRPr="008625DC">
              <w:t>ountry</w:t>
            </w:r>
          </w:p>
          <w:tbl>
            <w:tblPr>
              <w:tblW w:w="88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276"/>
              <w:gridCol w:w="770"/>
              <w:gridCol w:w="851"/>
              <w:gridCol w:w="933"/>
              <w:gridCol w:w="940"/>
              <w:gridCol w:w="952"/>
              <w:gridCol w:w="662"/>
              <w:gridCol w:w="1292"/>
            </w:tblGrid>
            <w:tr w:rsidR="004B159C" w:rsidRPr="008625DC" w14:paraId="3B3605E0" w14:textId="77777777" w:rsidTr="00F47248">
              <w:trPr>
                <w:trHeight w:val="306"/>
              </w:trPr>
              <w:tc>
                <w:tcPr>
                  <w:tcW w:w="1212" w:type="dxa"/>
                  <w:shd w:val="clear" w:color="auto" w:fill="auto"/>
                  <w:noWrap/>
                  <w:vAlign w:val="bottom"/>
                  <w:hideMark/>
                </w:tcPr>
                <w:p w14:paraId="61CB22C9" w14:textId="77777777" w:rsidR="004B159C" w:rsidRPr="008625DC" w:rsidRDefault="004B159C" w:rsidP="004B159C">
                  <w:pPr>
                    <w:spacing w:before="0" w:after="0"/>
                    <w:rPr>
                      <w:rFonts w:ascii="Calibri" w:hAnsi="Calibri"/>
                      <w:sz w:val="20"/>
                    </w:rPr>
                  </w:pPr>
                  <w:r w:rsidRPr="008625DC">
                    <w:rPr>
                      <w:rFonts w:ascii="Calibri" w:hAnsi="Calibri"/>
                      <w:sz w:val="20"/>
                    </w:rPr>
                    <w:t>Largest 4 firms</w:t>
                  </w:r>
                </w:p>
              </w:tc>
              <w:tc>
                <w:tcPr>
                  <w:tcW w:w="1276" w:type="dxa"/>
                  <w:vAlign w:val="center"/>
                </w:tcPr>
                <w:p w14:paraId="490261FE" w14:textId="77777777" w:rsidR="004B159C" w:rsidRPr="008625DC" w:rsidRDefault="004B159C" w:rsidP="004B159C">
                  <w:pPr>
                    <w:spacing w:after="0"/>
                    <w:jc w:val="center"/>
                    <w:rPr>
                      <w:rFonts w:ascii="Calibri" w:hAnsi="Calibri"/>
                      <w:b/>
                      <w:sz w:val="20"/>
                    </w:rPr>
                  </w:pPr>
                  <w:r w:rsidRPr="008625DC">
                    <w:rPr>
                      <w:rFonts w:ascii="Calibri" w:hAnsi="Calibri"/>
                      <w:b/>
                      <w:sz w:val="20"/>
                    </w:rPr>
                    <w:t>Australia*</w:t>
                  </w:r>
                </w:p>
              </w:tc>
              <w:tc>
                <w:tcPr>
                  <w:tcW w:w="770" w:type="dxa"/>
                  <w:shd w:val="clear" w:color="auto" w:fill="auto"/>
                  <w:noWrap/>
                  <w:vAlign w:val="center"/>
                  <w:hideMark/>
                </w:tcPr>
                <w:p w14:paraId="7B763977" w14:textId="77777777" w:rsidR="004B159C" w:rsidRPr="008625DC" w:rsidRDefault="004B159C" w:rsidP="004B159C">
                  <w:pPr>
                    <w:spacing w:after="0"/>
                    <w:jc w:val="center"/>
                    <w:rPr>
                      <w:rFonts w:ascii="Calibri" w:hAnsi="Calibri"/>
                      <w:b/>
                      <w:sz w:val="20"/>
                    </w:rPr>
                  </w:pPr>
                  <w:r w:rsidRPr="008625DC">
                    <w:rPr>
                      <w:rFonts w:ascii="Calibri" w:hAnsi="Calibri"/>
                      <w:b/>
                      <w:sz w:val="20"/>
                    </w:rPr>
                    <w:t>NZ*</w:t>
                  </w:r>
                </w:p>
              </w:tc>
              <w:tc>
                <w:tcPr>
                  <w:tcW w:w="851" w:type="dxa"/>
                  <w:shd w:val="clear" w:color="auto" w:fill="auto"/>
                  <w:noWrap/>
                  <w:vAlign w:val="center"/>
                  <w:hideMark/>
                </w:tcPr>
                <w:p w14:paraId="01879587" w14:textId="77777777" w:rsidR="004B159C" w:rsidRPr="008625DC" w:rsidRDefault="004B159C" w:rsidP="004B159C">
                  <w:pPr>
                    <w:spacing w:after="0"/>
                    <w:jc w:val="center"/>
                    <w:rPr>
                      <w:rFonts w:ascii="Calibri" w:hAnsi="Calibri"/>
                      <w:b/>
                      <w:sz w:val="20"/>
                    </w:rPr>
                  </w:pPr>
                  <w:r w:rsidRPr="008625DC">
                    <w:rPr>
                      <w:rFonts w:ascii="Calibri" w:hAnsi="Calibri"/>
                      <w:b/>
                      <w:sz w:val="20"/>
                    </w:rPr>
                    <w:t>UK*</w:t>
                  </w:r>
                </w:p>
              </w:tc>
              <w:tc>
                <w:tcPr>
                  <w:tcW w:w="933" w:type="dxa"/>
                  <w:shd w:val="clear" w:color="auto" w:fill="auto"/>
                  <w:noWrap/>
                  <w:vAlign w:val="center"/>
                  <w:hideMark/>
                </w:tcPr>
                <w:p w14:paraId="498002EE" w14:textId="77777777" w:rsidR="004B159C" w:rsidRPr="008625DC" w:rsidRDefault="004B159C" w:rsidP="004B159C">
                  <w:pPr>
                    <w:spacing w:after="0"/>
                    <w:jc w:val="center"/>
                    <w:rPr>
                      <w:rFonts w:ascii="Calibri" w:hAnsi="Calibri"/>
                      <w:b/>
                      <w:sz w:val="20"/>
                    </w:rPr>
                  </w:pPr>
                  <w:r w:rsidRPr="008625DC">
                    <w:rPr>
                      <w:rFonts w:ascii="Calibri" w:hAnsi="Calibri"/>
                      <w:b/>
                      <w:sz w:val="20"/>
                    </w:rPr>
                    <w:t>Canada*</w:t>
                  </w:r>
                </w:p>
              </w:tc>
              <w:tc>
                <w:tcPr>
                  <w:tcW w:w="940" w:type="dxa"/>
                  <w:shd w:val="clear" w:color="auto" w:fill="auto"/>
                  <w:noWrap/>
                  <w:vAlign w:val="center"/>
                  <w:hideMark/>
                </w:tcPr>
                <w:p w14:paraId="4EFD48B7" w14:textId="77777777" w:rsidR="004B159C" w:rsidRPr="008625DC" w:rsidRDefault="004B159C" w:rsidP="004B159C">
                  <w:pPr>
                    <w:spacing w:after="0"/>
                    <w:jc w:val="center"/>
                    <w:rPr>
                      <w:rFonts w:ascii="Calibri" w:hAnsi="Calibri"/>
                      <w:b/>
                      <w:sz w:val="20"/>
                    </w:rPr>
                  </w:pPr>
                  <w:r w:rsidRPr="008625DC">
                    <w:rPr>
                      <w:rFonts w:ascii="Calibri" w:hAnsi="Calibri"/>
                      <w:b/>
                      <w:sz w:val="20"/>
                    </w:rPr>
                    <w:t>Ireland*</w:t>
                  </w:r>
                </w:p>
              </w:tc>
              <w:tc>
                <w:tcPr>
                  <w:tcW w:w="952" w:type="dxa"/>
                  <w:shd w:val="clear" w:color="auto" w:fill="auto"/>
                  <w:noWrap/>
                  <w:vAlign w:val="center"/>
                  <w:hideMark/>
                </w:tcPr>
                <w:p w14:paraId="65DB7B21" w14:textId="77777777" w:rsidR="004B159C" w:rsidRPr="008625DC" w:rsidRDefault="004B159C" w:rsidP="004B159C">
                  <w:pPr>
                    <w:spacing w:after="0"/>
                    <w:jc w:val="center"/>
                    <w:rPr>
                      <w:rFonts w:ascii="Calibri" w:hAnsi="Calibri"/>
                      <w:b/>
                      <w:sz w:val="20"/>
                    </w:rPr>
                  </w:pPr>
                  <w:r w:rsidRPr="008625DC">
                    <w:rPr>
                      <w:rFonts w:ascii="Calibri" w:hAnsi="Calibri"/>
                      <w:b/>
                      <w:sz w:val="20"/>
                    </w:rPr>
                    <w:t>Austria*</w:t>
                  </w:r>
                </w:p>
              </w:tc>
              <w:tc>
                <w:tcPr>
                  <w:tcW w:w="662" w:type="dxa"/>
                  <w:vAlign w:val="center"/>
                </w:tcPr>
                <w:p w14:paraId="300F9B59" w14:textId="77777777" w:rsidR="004B159C" w:rsidRPr="008625DC" w:rsidRDefault="004B159C" w:rsidP="004B159C">
                  <w:pPr>
                    <w:spacing w:after="0"/>
                    <w:jc w:val="center"/>
                    <w:rPr>
                      <w:rFonts w:ascii="Calibri" w:hAnsi="Calibri"/>
                      <w:b/>
                      <w:sz w:val="20"/>
                    </w:rPr>
                  </w:pPr>
                  <w:r w:rsidRPr="008625DC">
                    <w:rPr>
                      <w:rFonts w:ascii="Calibri" w:hAnsi="Calibri"/>
                      <w:b/>
                      <w:sz w:val="20"/>
                    </w:rPr>
                    <w:t>USA^</w:t>
                  </w:r>
                </w:p>
              </w:tc>
              <w:tc>
                <w:tcPr>
                  <w:tcW w:w="1292" w:type="dxa"/>
                  <w:vAlign w:val="center"/>
                </w:tcPr>
                <w:p w14:paraId="61C7708F" w14:textId="77777777" w:rsidR="004B159C" w:rsidRPr="008625DC" w:rsidRDefault="004B159C" w:rsidP="004B159C">
                  <w:pPr>
                    <w:spacing w:after="0"/>
                    <w:jc w:val="center"/>
                    <w:rPr>
                      <w:rFonts w:ascii="Calibri" w:hAnsi="Calibri"/>
                      <w:b/>
                      <w:sz w:val="20"/>
                    </w:rPr>
                  </w:pPr>
                  <w:r w:rsidRPr="008625DC">
                    <w:rPr>
                      <w:rFonts w:ascii="Calibri" w:hAnsi="Calibri"/>
                      <w:b/>
                      <w:sz w:val="20"/>
                    </w:rPr>
                    <w:t>Switzerland~</w:t>
                  </w:r>
                </w:p>
              </w:tc>
            </w:tr>
            <w:tr w:rsidR="004B159C" w:rsidRPr="008625DC" w14:paraId="2FA007D8" w14:textId="77777777" w:rsidTr="00F47248">
              <w:trPr>
                <w:trHeight w:val="300"/>
              </w:trPr>
              <w:tc>
                <w:tcPr>
                  <w:tcW w:w="1212" w:type="dxa"/>
                  <w:shd w:val="clear" w:color="auto" w:fill="auto"/>
                  <w:noWrap/>
                  <w:vAlign w:val="bottom"/>
                  <w:hideMark/>
                </w:tcPr>
                <w:p w14:paraId="228C39BE" w14:textId="77777777" w:rsidR="004B159C" w:rsidRPr="008625DC" w:rsidRDefault="004B159C" w:rsidP="004B159C">
                  <w:pPr>
                    <w:spacing w:before="60" w:after="0"/>
                    <w:rPr>
                      <w:rFonts w:ascii="Calibri" w:hAnsi="Calibri"/>
                      <w:sz w:val="20"/>
                    </w:rPr>
                  </w:pPr>
                  <w:r w:rsidRPr="008625DC">
                    <w:rPr>
                      <w:rFonts w:ascii="Calibri" w:hAnsi="Calibri"/>
                      <w:sz w:val="20"/>
                    </w:rPr>
                    <w:t>1</w:t>
                  </w:r>
                </w:p>
              </w:tc>
              <w:tc>
                <w:tcPr>
                  <w:tcW w:w="1276" w:type="dxa"/>
                </w:tcPr>
                <w:p w14:paraId="788FFFEB" w14:textId="77777777" w:rsidR="004B159C" w:rsidRPr="008625DC" w:rsidRDefault="004B159C" w:rsidP="004B159C">
                  <w:pPr>
                    <w:spacing w:before="60" w:after="0"/>
                    <w:jc w:val="right"/>
                    <w:rPr>
                      <w:rFonts w:ascii="Calibri" w:hAnsi="Calibri"/>
                      <w:sz w:val="20"/>
                    </w:rPr>
                  </w:pPr>
                  <w:r w:rsidRPr="008625DC">
                    <w:rPr>
                      <w:rFonts w:ascii="Calibri" w:hAnsi="Calibri"/>
                      <w:sz w:val="20"/>
                    </w:rPr>
                    <w:t>30+</w:t>
                  </w:r>
                </w:p>
              </w:tc>
              <w:tc>
                <w:tcPr>
                  <w:tcW w:w="770" w:type="dxa"/>
                  <w:shd w:val="clear" w:color="auto" w:fill="auto"/>
                  <w:noWrap/>
                  <w:vAlign w:val="bottom"/>
                  <w:hideMark/>
                </w:tcPr>
                <w:p w14:paraId="4759C8AA" w14:textId="77777777" w:rsidR="004B159C" w:rsidRPr="008625DC" w:rsidRDefault="004B159C" w:rsidP="004B159C">
                  <w:pPr>
                    <w:spacing w:before="60" w:after="0"/>
                    <w:jc w:val="right"/>
                    <w:rPr>
                      <w:rFonts w:ascii="Calibri" w:hAnsi="Calibri"/>
                      <w:sz w:val="20"/>
                    </w:rPr>
                  </w:pPr>
                  <w:r w:rsidRPr="008625DC">
                    <w:rPr>
                      <w:rFonts w:ascii="Calibri" w:hAnsi="Calibri"/>
                      <w:sz w:val="20"/>
                    </w:rPr>
                    <w:t>56</w:t>
                  </w:r>
                </w:p>
              </w:tc>
              <w:tc>
                <w:tcPr>
                  <w:tcW w:w="851" w:type="dxa"/>
                  <w:shd w:val="clear" w:color="auto" w:fill="auto"/>
                  <w:noWrap/>
                  <w:vAlign w:val="bottom"/>
                  <w:hideMark/>
                </w:tcPr>
                <w:p w14:paraId="5A7409FB" w14:textId="77777777" w:rsidR="004B159C" w:rsidRPr="008625DC" w:rsidRDefault="004B159C" w:rsidP="004B159C">
                  <w:pPr>
                    <w:spacing w:before="60" w:after="0"/>
                    <w:jc w:val="right"/>
                    <w:rPr>
                      <w:rFonts w:ascii="Calibri" w:hAnsi="Calibri"/>
                      <w:sz w:val="20"/>
                    </w:rPr>
                  </w:pPr>
                  <w:r w:rsidRPr="008625DC">
                    <w:rPr>
                      <w:rFonts w:ascii="Calibri" w:hAnsi="Calibri"/>
                      <w:sz w:val="20"/>
                    </w:rPr>
                    <w:t>27.6</w:t>
                  </w:r>
                </w:p>
              </w:tc>
              <w:tc>
                <w:tcPr>
                  <w:tcW w:w="933" w:type="dxa"/>
                  <w:shd w:val="clear" w:color="auto" w:fill="auto"/>
                  <w:noWrap/>
                  <w:vAlign w:val="bottom"/>
                  <w:hideMark/>
                </w:tcPr>
                <w:p w14:paraId="30AFD56D" w14:textId="77777777" w:rsidR="004B159C" w:rsidRPr="008625DC" w:rsidRDefault="004B159C" w:rsidP="004B159C">
                  <w:pPr>
                    <w:spacing w:before="60" w:after="0"/>
                    <w:jc w:val="right"/>
                    <w:rPr>
                      <w:rFonts w:ascii="Calibri" w:hAnsi="Calibri"/>
                      <w:sz w:val="20"/>
                    </w:rPr>
                  </w:pPr>
                  <w:r w:rsidRPr="008625DC">
                    <w:rPr>
                      <w:rFonts w:ascii="Calibri" w:hAnsi="Calibri"/>
                      <w:sz w:val="20"/>
                    </w:rPr>
                    <w:t>29</w:t>
                  </w:r>
                </w:p>
              </w:tc>
              <w:tc>
                <w:tcPr>
                  <w:tcW w:w="940" w:type="dxa"/>
                  <w:shd w:val="clear" w:color="auto" w:fill="auto"/>
                  <w:noWrap/>
                  <w:vAlign w:val="bottom"/>
                  <w:hideMark/>
                </w:tcPr>
                <w:p w14:paraId="649B7802" w14:textId="30C17A76" w:rsidR="004B159C" w:rsidRPr="008625DC" w:rsidRDefault="007065B7" w:rsidP="004B159C">
                  <w:pPr>
                    <w:spacing w:before="60" w:after="0"/>
                    <w:jc w:val="right"/>
                    <w:rPr>
                      <w:rFonts w:ascii="Calibri" w:hAnsi="Calibri"/>
                      <w:sz w:val="20"/>
                    </w:rPr>
                  </w:pPr>
                  <w:r w:rsidRPr="008625DC">
                    <w:rPr>
                      <w:rFonts w:ascii="Calibri" w:hAnsi="Calibri"/>
                      <w:sz w:val="20"/>
                    </w:rPr>
                    <w:t>20</w:t>
                  </w:r>
                  <w:r w:rsidR="00C74E19" w:rsidRPr="008625DC">
                    <w:rPr>
                      <w:rFonts w:ascii="Calibri" w:hAnsi="Calibri"/>
                      <w:sz w:val="20"/>
                    </w:rPr>
                    <w:noBreakHyphen/>
                  </w:r>
                  <w:r w:rsidRPr="008625DC">
                    <w:rPr>
                      <w:rFonts w:ascii="Calibri" w:hAnsi="Calibri"/>
                      <w:sz w:val="20"/>
                    </w:rPr>
                    <w:t>25</w:t>
                  </w:r>
                </w:p>
              </w:tc>
              <w:tc>
                <w:tcPr>
                  <w:tcW w:w="952" w:type="dxa"/>
                  <w:shd w:val="clear" w:color="auto" w:fill="auto"/>
                  <w:noWrap/>
                  <w:vAlign w:val="bottom"/>
                  <w:hideMark/>
                </w:tcPr>
                <w:p w14:paraId="3B57D485"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662" w:type="dxa"/>
                </w:tcPr>
                <w:p w14:paraId="3380CC75" w14:textId="77777777" w:rsidR="004B159C" w:rsidRPr="008625DC" w:rsidRDefault="004B159C" w:rsidP="004B159C">
                  <w:pPr>
                    <w:spacing w:before="60" w:after="0"/>
                    <w:jc w:val="right"/>
                    <w:rPr>
                      <w:rFonts w:ascii="Calibri" w:hAnsi="Calibri"/>
                      <w:sz w:val="20"/>
                    </w:rPr>
                  </w:pPr>
                  <w:r w:rsidRPr="008625DC">
                    <w:rPr>
                      <w:rFonts w:ascii="Calibri" w:hAnsi="Calibri"/>
                      <w:sz w:val="20"/>
                    </w:rPr>
                    <w:t>25</w:t>
                  </w:r>
                </w:p>
              </w:tc>
              <w:tc>
                <w:tcPr>
                  <w:tcW w:w="1292" w:type="dxa"/>
                </w:tcPr>
                <w:p w14:paraId="6F306BAF" w14:textId="325252D9" w:rsidR="004B159C" w:rsidRPr="008625DC" w:rsidRDefault="004B159C" w:rsidP="00F47248">
                  <w:pPr>
                    <w:spacing w:before="60" w:after="0"/>
                    <w:jc w:val="right"/>
                    <w:rPr>
                      <w:rFonts w:ascii="Calibri" w:hAnsi="Calibri"/>
                      <w:sz w:val="20"/>
                    </w:rPr>
                  </w:pPr>
                  <w:r w:rsidRPr="008625DC">
                    <w:rPr>
                      <w:rFonts w:ascii="Calibri" w:hAnsi="Calibri"/>
                      <w:sz w:val="20"/>
                    </w:rPr>
                    <w:t>3</w:t>
                  </w:r>
                  <w:r w:rsidR="00F47248" w:rsidRPr="008625DC">
                    <w:rPr>
                      <w:rFonts w:ascii="Calibri" w:hAnsi="Calibri"/>
                      <w:sz w:val="20"/>
                    </w:rPr>
                    <w:t>2</w:t>
                  </w:r>
                </w:p>
              </w:tc>
            </w:tr>
            <w:tr w:rsidR="004B159C" w:rsidRPr="008625DC" w14:paraId="3FAB9C0C" w14:textId="77777777" w:rsidTr="00F47248">
              <w:trPr>
                <w:trHeight w:val="300"/>
              </w:trPr>
              <w:tc>
                <w:tcPr>
                  <w:tcW w:w="1212" w:type="dxa"/>
                  <w:shd w:val="clear" w:color="auto" w:fill="auto"/>
                  <w:noWrap/>
                  <w:vAlign w:val="bottom"/>
                  <w:hideMark/>
                </w:tcPr>
                <w:p w14:paraId="2959B945" w14:textId="77777777" w:rsidR="004B159C" w:rsidRPr="008625DC" w:rsidRDefault="004B159C" w:rsidP="004B159C">
                  <w:pPr>
                    <w:spacing w:before="60" w:after="0"/>
                    <w:rPr>
                      <w:rFonts w:ascii="Calibri" w:hAnsi="Calibri"/>
                      <w:sz w:val="20"/>
                    </w:rPr>
                  </w:pPr>
                  <w:r w:rsidRPr="008625DC">
                    <w:rPr>
                      <w:rFonts w:ascii="Calibri" w:hAnsi="Calibri"/>
                      <w:sz w:val="20"/>
                    </w:rPr>
                    <w:t>2</w:t>
                  </w:r>
                </w:p>
              </w:tc>
              <w:tc>
                <w:tcPr>
                  <w:tcW w:w="1276" w:type="dxa"/>
                </w:tcPr>
                <w:p w14:paraId="722550B3" w14:textId="2ACC00A0" w:rsidR="004B159C" w:rsidRPr="008625DC" w:rsidRDefault="00F47248" w:rsidP="00F47248">
                  <w:pPr>
                    <w:spacing w:before="60" w:after="0"/>
                    <w:jc w:val="right"/>
                    <w:rPr>
                      <w:rFonts w:ascii="Calibri" w:hAnsi="Calibri"/>
                      <w:sz w:val="20"/>
                    </w:rPr>
                  </w:pPr>
                  <w:r w:rsidRPr="008625DC">
                    <w:rPr>
                      <w:rFonts w:ascii="Calibri" w:hAnsi="Calibri"/>
                      <w:sz w:val="20"/>
                    </w:rPr>
                    <w:sym w:font="Symbol" w:char="F0BB"/>
                  </w:r>
                  <w:r w:rsidR="004B159C" w:rsidRPr="008625DC">
                    <w:rPr>
                      <w:rFonts w:ascii="Calibri" w:hAnsi="Calibri"/>
                      <w:sz w:val="20"/>
                    </w:rPr>
                    <w:t>2</w:t>
                  </w:r>
                  <w:r w:rsidRPr="008625DC">
                    <w:rPr>
                      <w:rFonts w:ascii="Calibri" w:hAnsi="Calibri"/>
                      <w:sz w:val="20"/>
                    </w:rPr>
                    <w:t>5</w:t>
                  </w:r>
                </w:p>
              </w:tc>
              <w:tc>
                <w:tcPr>
                  <w:tcW w:w="770" w:type="dxa"/>
                  <w:shd w:val="clear" w:color="auto" w:fill="auto"/>
                  <w:noWrap/>
                  <w:vAlign w:val="bottom"/>
                  <w:hideMark/>
                </w:tcPr>
                <w:p w14:paraId="1C95CB8E" w14:textId="77777777" w:rsidR="004B159C" w:rsidRPr="008625DC" w:rsidRDefault="004B159C" w:rsidP="004B159C">
                  <w:pPr>
                    <w:spacing w:before="60" w:after="0"/>
                    <w:jc w:val="right"/>
                    <w:rPr>
                      <w:rFonts w:ascii="Calibri" w:hAnsi="Calibri"/>
                      <w:sz w:val="20"/>
                    </w:rPr>
                  </w:pPr>
                  <w:r w:rsidRPr="008625DC">
                    <w:rPr>
                      <w:rFonts w:ascii="Calibri" w:hAnsi="Calibri"/>
                      <w:sz w:val="20"/>
                    </w:rPr>
                    <w:t>44</w:t>
                  </w:r>
                </w:p>
              </w:tc>
              <w:tc>
                <w:tcPr>
                  <w:tcW w:w="851" w:type="dxa"/>
                  <w:shd w:val="clear" w:color="auto" w:fill="auto"/>
                  <w:noWrap/>
                  <w:vAlign w:val="bottom"/>
                  <w:hideMark/>
                </w:tcPr>
                <w:p w14:paraId="39AEC90C" w14:textId="77777777" w:rsidR="004B159C" w:rsidRPr="008625DC" w:rsidRDefault="004B159C" w:rsidP="004B159C">
                  <w:pPr>
                    <w:spacing w:before="60" w:after="0"/>
                    <w:jc w:val="right"/>
                    <w:rPr>
                      <w:rFonts w:ascii="Calibri" w:hAnsi="Calibri"/>
                      <w:sz w:val="20"/>
                    </w:rPr>
                  </w:pPr>
                  <w:r w:rsidRPr="008625DC">
                    <w:rPr>
                      <w:rFonts w:ascii="Calibri" w:hAnsi="Calibri"/>
                      <w:sz w:val="20"/>
                    </w:rPr>
                    <w:t>14.1</w:t>
                  </w:r>
                </w:p>
              </w:tc>
              <w:tc>
                <w:tcPr>
                  <w:tcW w:w="933" w:type="dxa"/>
                  <w:shd w:val="clear" w:color="auto" w:fill="auto"/>
                  <w:noWrap/>
                  <w:vAlign w:val="bottom"/>
                  <w:hideMark/>
                </w:tcPr>
                <w:p w14:paraId="0163AFA0" w14:textId="77777777" w:rsidR="004B159C" w:rsidRPr="008625DC" w:rsidRDefault="004B159C" w:rsidP="004B159C">
                  <w:pPr>
                    <w:spacing w:before="60" w:after="0"/>
                    <w:jc w:val="right"/>
                    <w:rPr>
                      <w:rFonts w:ascii="Calibri" w:hAnsi="Calibri"/>
                      <w:sz w:val="20"/>
                    </w:rPr>
                  </w:pPr>
                  <w:r w:rsidRPr="008625DC">
                    <w:rPr>
                      <w:rFonts w:ascii="Calibri" w:hAnsi="Calibri"/>
                      <w:sz w:val="20"/>
                    </w:rPr>
                    <w:t>22</w:t>
                  </w:r>
                </w:p>
              </w:tc>
              <w:tc>
                <w:tcPr>
                  <w:tcW w:w="940" w:type="dxa"/>
                  <w:shd w:val="clear" w:color="auto" w:fill="auto"/>
                  <w:noWrap/>
                  <w:vAlign w:val="bottom"/>
                  <w:hideMark/>
                </w:tcPr>
                <w:p w14:paraId="68552D91" w14:textId="226A236E" w:rsidR="004B159C" w:rsidRPr="008625DC" w:rsidRDefault="007065B7" w:rsidP="004B159C">
                  <w:pPr>
                    <w:spacing w:before="60" w:after="0"/>
                    <w:jc w:val="right"/>
                    <w:rPr>
                      <w:rFonts w:ascii="Calibri" w:hAnsi="Calibri"/>
                      <w:sz w:val="20"/>
                    </w:rPr>
                  </w:pPr>
                  <w:r w:rsidRPr="008625DC">
                    <w:rPr>
                      <w:rFonts w:ascii="Calibri" w:hAnsi="Calibri"/>
                      <w:sz w:val="20"/>
                    </w:rPr>
                    <w:t>15</w:t>
                  </w:r>
                  <w:r w:rsidR="00C74E19" w:rsidRPr="008625DC">
                    <w:rPr>
                      <w:rFonts w:ascii="Calibri" w:hAnsi="Calibri"/>
                      <w:sz w:val="20"/>
                    </w:rPr>
                    <w:noBreakHyphen/>
                  </w:r>
                  <w:r w:rsidRPr="008625DC">
                    <w:rPr>
                      <w:rFonts w:ascii="Calibri" w:hAnsi="Calibri"/>
                      <w:sz w:val="20"/>
                    </w:rPr>
                    <w:t>20</w:t>
                  </w:r>
                </w:p>
              </w:tc>
              <w:tc>
                <w:tcPr>
                  <w:tcW w:w="952" w:type="dxa"/>
                  <w:shd w:val="clear" w:color="auto" w:fill="auto"/>
                  <w:noWrap/>
                  <w:vAlign w:val="bottom"/>
                  <w:hideMark/>
                </w:tcPr>
                <w:p w14:paraId="26C20678"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662" w:type="dxa"/>
                </w:tcPr>
                <w:p w14:paraId="7C7EF305" w14:textId="77777777" w:rsidR="004B159C" w:rsidRPr="008625DC" w:rsidRDefault="004B159C" w:rsidP="004B159C">
                  <w:pPr>
                    <w:spacing w:before="60" w:after="0"/>
                    <w:jc w:val="right"/>
                    <w:rPr>
                      <w:rFonts w:ascii="Calibri" w:hAnsi="Calibri"/>
                      <w:sz w:val="20"/>
                    </w:rPr>
                  </w:pPr>
                  <w:r w:rsidRPr="008625DC">
                    <w:rPr>
                      <w:rFonts w:ascii="Calibri" w:hAnsi="Calibri"/>
                      <w:sz w:val="20"/>
                    </w:rPr>
                    <w:t>17</w:t>
                  </w:r>
                </w:p>
              </w:tc>
              <w:tc>
                <w:tcPr>
                  <w:tcW w:w="1292" w:type="dxa"/>
                </w:tcPr>
                <w:p w14:paraId="2D3E0752" w14:textId="700EF9B6" w:rsidR="004B159C" w:rsidRPr="008625DC" w:rsidRDefault="00F47248" w:rsidP="00F47248">
                  <w:pPr>
                    <w:spacing w:before="60" w:after="0"/>
                    <w:jc w:val="right"/>
                    <w:rPr>
                      <w:rFonts w:ascii="Calibri" w:hAnsi="Calibri"/>
                      <w:sz w:val="20"/>
                    </w:rPr>
                  </w:pPr>
                  <w:r w:rsidRPr="008625DC">
                    <w:rPr>
                      <w:rFonts w:ascii="Calibri" w:hAnsi="Calibri"/>
                      <w:sz w:val="20"/>
                    </w:rPr>
                    <w:t>24</w:t>
                  </w:r>
                </w:p>
              </w:tc>
            </w:tr>
            <w:tr w:rsidR="004B159C" w:rsidRPr="008625DC" w14:paraId="0CB19EA1" w14:textId="77777777" w:rsidTr="00F47248">
              <w:trPr>
                <w:trHeight w:val="300"/>
              </w:trPr>
              <w:tc>
                <w:tcPr>
                  <w:tcW w:w="1212" w:type="dxa"/>
                  <w:shd w:val="clear" w:color="auto" w:fill="auto"/>
                  <w:noWrap/>
                  <w:vAlign w:val="bottom"/>
                  <w:hideMark/>
                </w:tcPr>
                <w:p w14:paraId="358E483C" w14:textId="7BBA13A5" w:rsidR="004B159C" w:rsidRPr="008625DC" w:rsidRDefault="004B159C" w:rsidP="004B159C">
                  <w:pPr>
                    <w:spacing w:before="60" w:after="0"/>
                    <w:rPr>
                      <w:rFonts w:ascii="Calibri" w:hAnsi="Calibri"/>
                      <w:sz w:val="20"/>
                    </w:rPr>
                  </w:pPr>
                  <w:r w:rsidRPr="008625DC">
                    <w:rPr>
                      <w:rFonts w:ascii="Calibri" w:hAnsi="Calibri"/>
                      <w:sz w:val="20"/>
                    </w:rPr>
                    <w:t>3</w:t>
                  </w:r>
                </w:p>
              </w:tc>
              <w:tc>
                <w:tcPr>
                  <w:tcW w:w="1276" w:type="dxa"/>
                </w:tcPr>
                <w:p w14:paraId="2E75F167" w14:textId="256BB747" w:rsidR="004B159C" w:rsidRPr="008625DC" w:rsidRDefault="004B159C" w:rsidP="004B159C">
                  <w:pPr>
                    <w:spacing w:before="60" w:after="0"/>
                    <w:jc w:val="right"/>
                    <w:rPr>
                      <w:rFonts w:ascii="Calibri" w:hAnsi="Calibri"/>
                      <w:sz w:val="20"/>
                    </w:rPr>
                  </w:pPr>
                  <w:r w:rsidRPr="008625DC">
                    <w:rPr>
                      <w:rFonts w:ascii="Calibri" w:hAnsi="Calibri"/>
                      <w:sz w:val="20"/>
                    </w:rPr>
                    <w:t>IGA, 15</w:t>
                  </w:r>
                  <w:r w:rsidR="00C74E19" w:rsidRPr="008625DC">
                    <w:rPr>
                      <w:rFonts w:ascii="Calibri" w:hAnsi="Calibri"/>
                      <w:sz w:val="20"/>
                    </w:rPr>
                    <w:noBreakHyphen/>
                  </w:r>
                  <w:r w:rsidRPr="008625DC">
                    <w:rPr>
                      <w:rFonts w:ascii="Calibri" w:hAnsi="Calibri"/>
                      <w:sz w:val="20"/>
                    </w:rPr>
                    <w:t>17</w:t>
                  </w:r>
                  <w:r w:rsidR="00DE0688" w:rsidRPr="008625DC">
                    <w:rPr>
                      <w:rFonts w:ascii="Calibri" w:hAnsi="Calibri"/>
                      <w:sz w:val="20"/>
                      <w:vertAlign w:val="superscript"/>
                    </w:rPr>
                    <w:t xml:space="preserve"> (a)</w:t>
                  </w:r>
                </w:p>
              </w:tc>
              <w:tc>
                <w:tcPr>
                  <w:tcW w:w="770" w:type="dxa"/>
                  <w:shd w:val="clear" w:color="auto" w:fill="auto"/>
                  <w:noWrap/>
                  <w:vAlign w:val="bottom"/>
                  <w:hideMark/>
                </w:tcPr>
                <w:p w14:paraId="7DBABA75"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851" w:type="dxa"/>
                  <w:shd w:val="clear" w:color="auto" w:fill="auto"/>
                  <w:noWrap/>
                  <w:vAlign w:val="bottom"/>
                  <w:hideMark/>
                </w:tcPr>
                <w:p w14:paraId="7F9003A0" w14:textId="77777777" w:rsidR="004B159C" w:rsidRPr="008625DC" w:rsidRDefault="004B159C" w:rsidP="004B159C">
                  <w:pPr>
                    <w:spacing w:before="60" w:after="0"/>
                    <w:jc w:val="right"/>
                    <w:rPr>
                      <w:rFonts w:ascii="Calibri" w:hAnsi="Calibri"/>
                      <w:sz w:val="20"/>
                    </w:rPr>
                  </w:pPr>
                  <w:r w:rsidRPr="008625DC">
                    <w:rPr>
                      <w:rFonts w:ascii="Calibri" w:hAnsi="Calibri"/>
                      <w:sz w:val="20"/>
                    </w:rPr>
                    <w:t>13.8</w:t>
                  </w:r>
                </w:p>
              </w:tc>
              <w:tc>
                <w:tcPr>
                  <w:tcW w:w="933" w:type="dxa"/>
                  <w:shd w:val="clear" w:color="auto" w:fill="auto"/>
                  <w:noWrap/>
                  <w:vAlign w:val="bottom"/>
                  <w:hideMark/>
                </w:tcPr>
                <w:p w14:paraId="52E80B55" w14:textId="77777777" w:rsidR="004B159C" w:rsidRPr="008625DC" w:rsidRDefault="004B159C" w:rsidP="004B159C">
                  <w:pPr>
                    <w:spacing w:before="60" w:after="0"/>
                    <w:jc w:val="right"/>
                    <w:rPr>
                      <w:rFonts w:ascii="Calibri" w:hAnsi="Calibri"/>
                      <w:sz w:val="20"/>
                    </w:rPr>
                  </w:pPr>
                  <w:r w:rsidRPr="008625DC">
                    <w:rPr>
                      <w:rFonts w:ascii="Calibri" w:hAnsi="Calibri"/>
                      <w:sz w:val="20"/>
                    </w:rPr>
                    <w:t>14</w:t>
                  </w:r>
                </w:p>
              </w:tc>
              <w:tc>
                <w:tcPr>
                  <w:tcW w:w="940" w:type="dxa"/>
                  <w:shd w:val="clear" w:color="auto" w:fill="auto"/>
                  <w:noWrap/>
                  <w:vAlign w:val="bottom"/>
                  <w:hideMark/>
                </w:tcPr>
                <w:p w14:paraId="2B079F9C" w14:textId="77777777" w:rsidR="004B159C" w:rsidRPr="008625DC" w:rsidRDefault="004B159C" w:rsidP="004B159C">
                  <w:pPr>
                    <w:spacing w:before="60" w:after="0"/>
                    <w:jc w:val="right"/>
                    <w:rPr>
                      <w:rFonts w:ascii="Calibri" w:hAnsi="Calibri"/>
                      <w:sz w:val="20"/>
                    </w:rPr>
                  </w:pPr>
                  <w:r w:rsidRPr="008625DC">
                    <w:rPr>
                      <w:rFonts w:ascii="Calibri" w:hAnsi="Calibri"/>
                      <w:sz w:val="20"/>
                    </w:rPr>
                    <w:t>15</w:t>
                  </w:r>
                </w:p>
              </w:tc>
              <w:tc>
                <w:tcPr>
                  <w:tcW w:w="952" w:type="dxa"/>
                  <w:shd w:val="clear" w:color="auto" w:fill="auto"/>
                  <w:noWrap/>
                  <w:vAlign w:val="bottom"/>
                  <w:hideMark/>
                </w:tcPr>
                <w:p w14:paraId="5E82F471"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662" w:type="dxa"/>
                </w:tcPr>
                <w:p w14:paraId="60E88BE9" w14:textId="77777777" w:rsidR="004B159C" w:rsidRPr="008625DC" w:rsidRDefault="004B159C" w:rsidP="004B159C">
                  <w:pPr>
                    <w:spacing w:before="60" w:after="0"/>
                    <w:jc w:val="right"/>
                    <w:rPr>
                      <w:rFonts w:ascii="Calibri" w:hAnsi="Calibri"/>
                      <w:sz w:val="20"/>
                    </w:rPr>
                  </w:pPr>
                  <w:r w:rsidRPr="008625DC">
                    <w:rPr>
                      <w:rFonts w:ascii="Calibri" w:hAnsi="Calibri"/>
                      <w:sz w:val="20"/>
                    </w:rPr>
                    <w:t>8</w:t>
                  </w:r>
                </w:p>
              </w:tc>
              <w:tc>
                <w:tcPr>
                  <w:tcW w:w="1292" w:type="dxa"/>
                  <w:vAlign w:val="bottom"/>
                </w:tcPr>
                <w:p w14:paraId="544C42F5"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r>
            <w:tr w:rsidR="004B159C" w:rsidRPr="008625DC" w14:paraId="5D740F0D" w14:textId="77777777" w:rsidTr="00F47248">
              <w:trPr>
                <w:trHeight w:val="300"/>
              </w:trPr>
              <w:tc>
                <w:tcPr>
                  <w:tcW w:w="1212" w:type="dxa"/>
                  <w:shd w:val="clear" w:color="auto" w:fill="auto"/>
                  <w:noWrap/>
                  <w:vAlign w:val="bottom"/>
                  <w:hideMark/>
                </w:tcPr>
                <w:p w14:paraId="151F3000" w14:textId="0F0FCED3" w:rsidR="004B159C" w:rsidRPr="008625DC" w:rsidRDefault="004B159C" w:rsidP="004B159C">
                  <w:pPr>
                    <w:spacing w:before="60" w:after="0"/>
                    <w:rPr>
                      <w:rFonts w:ascii="Calibri" w:hAnsi="Calibri"/>
                      <w:sz w:val="20"/>
                    </w:rPr>
                  </w:pPr>
                  <w:r w:rsidRPr="008625DC">
                    <w:rPr>
                      <w:rFonts w:ascii="Calibri" w:hAnsi="Calibri"/>
                      <w:sz w:val="20"/>
                    </w:rPr>
                    <w:t>4</w:t>
                  </w:r>
                </w:p>
              </w:tc>
              <w:tc>
                <w:tcPr>
                  <w:tcW w:w="1276" w:type="dxa"/>
                </w:tcPr>
                <w:p w14:paraId="68813B9A" w14:textId="26E9DF63" w:rsidR="004B159C" w:rsidRPr="008625DC" w:rsidRDefault="0015308D" w:rsidP="004B159C">
                  <w:pPr>
                    <w:spacing w:before="60" w:after="0"/>
                    <w:jc w:val="right"/>
                    <w:rPr>
                      <w:rFonts w:ascii="Calibri" w:hAnsi="Calibri"/>
                      <w:sz w:val="20"/>
                    </w:rPr>
                  </w:pPr>
                  <w:r w:rsidRPr="008625DC">
                    <w:rPr>
                      <w:rFonts w:ascii="Calibri" w:hAnsi="Calibri"/>
                      <w:sz w:val="20"/>
                    </w:rPr>
                    <w:t>ALDI</w:t>
                  </w:r>
                  <w:r w:rsidR="004B159C" w:rsidRPr="008625DC">
                    <w:rPr>
                      <w:rFonts w:ascii="Calibri" w:hAnsi="Calibri"/>
                      <w:sz w:val="20"/>
                    </w:rPr>
                    <w:t>, 6</w:t>
                  </w:r>
                  <w:r w:rsidR="00DE0688" w:rsidRPr="008625DC">
                    <w:rPr>
                      <w:rFonts w:ascii="Calibri" w:hAnsi="Calibri"/>
                      <w:sz w:val="20"/>
                      <w:vertAlign w:val="superscript"/>
                    </w:rPr>
                    <w:t xml:space="preserve"> (a)</w:t>
                  </w:r>
                </w:p>
              </w:tc>
              <w:tc>
                <w:tcPr>
                  <w:tcW w:w="770" w:type="dxa"/>
                  <w:shd w:val="clear" w:color="auto" w:fill="auto"/>
                  <w:noWrap/>
                  <w:vAlign w:val="bottom"/>
                  <w:hideMark/>
                </w:tcPr>
                <w:p w14:paraId="40D86759"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851" w:type="dxa"/>
                  <w:shd w:val="clear" w:color="auto" w:fill="auto"/>
                  <w:noWrap/>
                  <w:vAlign w:val="bottom"/>
                  <w:hideMark/>
                </w:tcPr>
                <w:p w14:paraId="4901AA75" w14:textId="77777777" w:rsidR="004B159C" w:rsidRPr="008625DC" w:rsidRDefault="004B159C" w:rsidP="004B159C">
                  <w:pPr>
                    <w:spacing w:before="60" w:after="0"/>
                    <w:jc w:val="right"/>
                    <w:rPr>
                      <w:rFonts w:ascii="Calibri" w:hAnsi="Calibri"/>
                      <w:sz w:val="20"/>
                    </w:rPr>
                  </w:pPr>
                  <w:r w:rsidRPr="008625DC">
                    <w:rPr>
                      <w:rFonts w:ascii="Calibri" w:hAnsi="Calibri"/>
                      <w:sz w:val="20"/>
                    </w:rPr>
                    <w:t>9.9</w:t>
                  </w:r>
                </w:p>
              </w:tc>
              <w:tc>
                <w:tcPr>
                  <w:tcW w:w="933" w:type="dxa"/>
                  <w:shd w:val="clear" w:color="auto" w:fill="auto"/>
                  <w:noWrap/>
                  <w:vAlign w:val="bottom"/>
                  <w:hideMark/>
                </w:tcPr>
                <w:p w14:paraId="5FF51E46" w14:textId="77777777" w:rsidR="004B159C" w:rsidRPr="008625DC" w:rsidRDefault="004B159C" w:rsidP="004B159C">
                  <w:pPr>
                    <w:spacing w:before="60" w:after="0"/>
                    <w:jc w:val="right"/>
                    <w:rPr>
                      <w:rFonts w:ascii="Calibri" w:hAnsi="Calibri"/>
                      <w:sz w:val="20"/>
                    </w:rPr>
                  </w:pPr>
                  <w:r w:rsidRPr="008625DC">
                    <w:rPr>
                      <w:rFonts w:ascii="Calibri" w:hAnsi="Calibri"/>
                      <w:sz w:val="20"/>
                    </w:rPr>
                    <w:t>11</w:t>
                  </w:r>
                </w:p>
              </w:tc>
              <w:tc>
                <w:tcPr>
                  <w:tcW w:w="940" w:type="dxa"/>
                  <w:shd w:val="clear" w:color="auto" w:fill="auto"/>
                  <w:noWrap/>
                  <w:vAlign w:val="bottom"/>
                  <w:hideMark/>
                </w:tcPr>
                <w:p w14:paraId="5997401D" w14:textId="77777777" w:rsidR="004B159C" w:rsidRPr="008625DC" w:rsidRDefault="004B159C" w:rsidP="004B159C">
                  <w:pPr>
                    <w:spacing w:before="60" w:after="0"/>
                    <w:jc w:val="right"/>
                    <w:rPr>
                      <w:rFonts w:ascii="Calibri" w:hAnsi="Calibri"/>
                      <w:sz w:val="20"/>
                    </w:rPr>
                  </w:pPr>
                  <w:r w:rsidRPr="008625DC">
                    <w:rPr>
                      <w:rFonts w:ascii="Calibri" w:hAnsi="Calibri"/>
                      <w:sz w:val="20"/>
                    </w:rPr>
                    <w:t>10</w:t>
                  </w:r>
                </w:p>
              </w:tc>
              <w:tc>
                <w:tcPr>
                  <w:tcW w:w="952" w:type="dxa"/>
                  <w:shd w:val="clear" w:color="auto" w:fill="auto"/>
                  <w:noWrap/>
                  <w:vAlign w:val="bottom"/>
                  <w:hideMark/>
                </w:tcPr>
                <w:p w14:paraId="1A838CD4"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c>
                <w:tcPr>
                  <w:tcW w:w="662" w:type="dxa"/>
                </w:tcPr>
                <w:p w14:paraId="43BE50E5" w14:textId="77777777" w:rsidR="004B159C" w:rsidRPr="008625DC" w:rsidRDefault="004B159C" w:rsidP="004B159C">
                  <w:pPr>
                    <w:spacing w:before="60" w:after="0"/>
                    <w:jc w:val="right"/>
                    <w:rPr>
                      <w:rFonts w:ascii="Calibri" w:hAnsi="Calibri"/>
                      <w:sz w:val="20"/>
                    </w:rPr>
                  </w:pPr>
                  <w:r w:rsidRPr="008625DC">
                    <w:rPr>
                      <w:rFonts w:ascii="Calibri" w:hAnsi="Calibri"/>
                      <w:sz w:val="20"/>
                    </w:rPr>
                    <w:t>5</w:t>
                  </w:r>
                </w:p>
              </w:tc>
              <w:tc>
                <w:tcPr>
                  <w:tcW w:w="1292" w:type="dxa"/>
                  <w:vAlign w:val="bottom"/>
                </w:tcPr>
                <w:p w14:paraId="77323DA6" w14:textId="77777777" w:rsidR="004B159C" w:rsidRPr="008625DC" w:rsidRDefault="004B159C" w:rsidP="004B159C">
                  <w:pPr>
                    <w:spacing w:before="60" w:after="0"/>
                    <w:jc w:val="right"/>
                    <w:rPr>
                      <w:rFonts w:ascii="Calibri" w:hAnsi="Calibri"/>
                      <w:sz w:val="20"/>
                    </w:rPr>
                  </w:pPr>
                  <w:r w:rsidRPr="008625DC">
                    <w:rPr>
                      <w:rFonts w:ascii="Calibri" w:hAnsi="Calibri"/>
                      <w:sz w:val="20"/>
                    </w:rPr>
                    <w:t>N/A </w:t>
                  </w:r>
                </w:p>
              </w:tc>
            </w:tr>
            <w:tr w:rsidR="004B159C" w:rsidRPr="008625DC" w14:paraId="506B87FA" w14:textId="77777777" w:rsidTr="00F47248">
              <w:trPr>
                <w:trHeight w:val="300"/>
              </w:trPr>
              <w:tc>
                <w:tcPr>
                  <w:tcW w:w="1212" w:type="dxa"/>
                  <w:shd w:val="clear" w:color="auto" w:fill="auto"/>
                  <w:noWrap/>
                  <w:vAlign w:val="bottom"/>
                  <w:hideMark/>
                </w:tcPr>
                <w:p w14:paraId="48724867" w14:textId="77777777" w:rsidR="004B159C" w:rsidRPr="008625DC" w:rsidRDefault="004B159C" w:rsidP="004B159C">
                  <w:pPr>
                    <w:spacing w:before="60" w:after="0"/>
                    <w:rPr>
                      <w:rFonts w:ascii="Calibri" w:hAnsi="Calibri"/>
                      <w:b/>
                      <w:sz w:val="20"/>
                    </w:rPr>
                  </w:pPr>
                  <w:r w:rsidRPr="008625DC">
                    <w:rPr>
                      <w:rFonts w:ascii="Calibri" w:hAnsi="Calibri"/>
                      <w:b/>
                      <w:sz w:val="20"/>
                    </w:rPr>
                    <w:t>Top 4 total</w:t>
                  </w:r>
                </w:p>
              </w:tc>
              <w:tc>
                <w:tcPr>
                  <w:tcW w:w="1276" w:type="dxa"/>
                </w:tcPr>
                <w:p w14:paraId="635079B9" w14:textId="1D105A93" w:rsidR="004B159C" w:rsidRPr="006938C4" w:rsidRDefault="007065B7" w:rsidP="004B159C">
                  <w:pPr>
                    <w:spacing w:before="60" w:after="0"/>
                    <w:jc w:val="right"/>
                    <w:rPr>
                      <w:rFonts w:ascii="Calibri" w:hAnsi="Calibri"/>
                      <w:b/>
                      <w:sz w:val="20"/>
                    </w:rPr>
                  </w:pPr>
                  <w:r w:rsidRPr="006938C4">
                    <w:rPr>
                      <w:rFonts w:ascii="Calibri" w:hAnsi="Calibri"/>
                      <w:b/>
                      <w:sz w:val="20"/>
                    </w:rPr>
                    <w:t>75</w:t>
                  </w:r>
                  <w:r w:rsidR="00C74E19" w:rsidRPr="006938C4">
                    <w:rPr>
                      <w:rFonts w:ascii="Calibri" w:hAnsi="Calibri"/>
                      <w:b/>
                      <w:sz w:val="20"/>
                    </w:rPr>
                    <w:noBreakHyphen/>
                  </w:r>
                  <w:r w:rsidRPr="006938C4">
                    <w:rPr>
                      <w:rFonts w:ascii="Calibri" w:hAnsi="Calibri"/>
                      <w:b/>
                      <w:sz w:val="20"/>
                    </w:rPr>
                    <w:t>80</w:t>
                  </w:r>
                </w:p>
              </w:tc>
              <w:tc>
                <w:tcPr>
                  <w:tcW w:w="770" w:type="dxa"/>
                  <w:shd w:val="clear" w:color="auto" w:fill="auto"/>
                  <w:noWrap/>
                  <w:vAlign w:val="bottom"/>
                  <w:hideMark/>
                </w:tcPr>
                <w:p w14:paraId="215A9409"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100</w:t>
                  </w:r>
                </w:p>
              </w:tc>
              <w:tc>
                <w:tcPr>
                  <w:tcW w:w="851" w:type="dxa"/>
                  <w:shd w:val="clear" w:color="auto" w:fill="auto"/>
                  <w:noWrap/>
                  <w:vAlign w:val="bottom"/>
                  <w:hideMark/>
                </w:tcPr>
                <w:p w14:paraId="2AEDF157"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65.4</w:t>
                  </w:r>
                </w:p>
              </w:tc>
              <w:tc>
                <w:tcPr>
                  <w:tcW w:w="933" w:type="dxa"/>
                  <w:shd w:val="clear" w:color="auto" w:fill="auto"/>
                  <w:noWrap/>
                  <w:vAlign w:val="bottom"/>
                  <w:hideMark/>
                </w:tcPr>
                <w:p w14:paraId="055068CE"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76</w:t>
                  </w:r>
                </w:p>
              </w:tc>
              <w:tc>
                <w:tcPr>
                  <w:tcW w:w="940" w:type="dxa"/>
                  <w:shd w:val="clear" w:color="auto" w:fill="auto"/>
                  <w:noWrap/>
                  <w:vAlign w:val="bottom"/>
                  <w:hideMark/>
                </w:tcPr>
                <w:p w14:paraId="78D16446" w14:textId="29BEF941" w:rsidR="004B159C" w:rsidRPr="008625DC" w:rsidRDefault="007065B7" w:rsidP="004B159C">
                  <w:pPr>
                    <w:spacing w:before="60" w:after="0"/>
                    <w:jc w:val="right"/>
                    <w:rPr>
                      <w:rFonts w:ascii="Calibri" w:hAnsi="Calibri"/>
                      <w:b/>
                      <w:sz w:val="20"/>
                    </w:rPr>
                  </w:pPr>
                  <w:r w:rsidRPr="008625DC">
                    <w:rPr>
                      <w:rFonts w:ascii="Calibri" w:hAnsi="Calibri"/>
                      <w:b/>
                      <w:sz w:val="20"/>
                    </w:rPr>
                    <w:t>50</w:t>
                  </w:r>
                  <w:r w:rsidR="00C74E19" w:rsidRPr="008625DC">
                    <w:rPr>
                      <w:rFonts w:ascii="Calibri" w:hAnsi="Calibri"/>
                      <w:b/>
                      <w:sz w:val="20"/>
                    </w:rPr>
                    <w:noBreakHyphen/>
                  </w:r>
                  <w:r w:rsidRPr="008625DC">
                    <w:rPr>
                      <w:rFonts w:ascii="Calibri" w:hAnsi="Calibri"/>
                      <w:b/>
                      <w:sz w:val="20"/>
                    </w:rPr>
                    <w:t>70</w:t>
                  </w:r>
                </w:p>
              </w:tc>
              <w:tc>
                <w:tcPr>
                  <w:tcW w:w="952" w:type="dxa"/>
                  <w:shd w:val="clear" w:color="auto" w:fill="auto"/>
                  <w:noWrap/>
                  <w:vAlign w:val="bottom"/>
                  <w:hideMark/>
                </w:tcPr>
                <w:p w14:paraId="1400CF89"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N/A</w:t>
                  </w:r>
                </w:p>
              </w:tc>
              <w:tc>
                <w:tcPr>
                  <w:tcW w:w="662" w:type="dxa"/>
                </w:tcPr>
                <w:p w14:paraId="7E268937"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55</w:t>
                  </w:r>
                </w:p>
              </w:tc>
              <w:tc>
                <w:tcPr>
                  <w:tcW w:w="1292" w:type="dxa"/>
                </w:tcPr>
                <w:p w14:paraId="276B0A01"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N/A</w:t>
                  </w:r>
                </w:p>
              </w:tc>
            </w:tr>
            <w:tr w:rsidR="004B159C" w:rsidRPr="008625DC" w14:paraId="666F5DE2" w14:textId="77777777" w:rsidTr="00F47248">
              <w:trPr>
                <w:trHeight w:val="300"/>
              </w:trPr>
              <w:tc>
                <w:tcPr>
                  <w:tcW w:w="1212" w:type="dxa"/>
                  <w:shd w:val="clear" w:color="auto" w:fill="auto"/>
                  <w:noWrap/>
                  <w:vAlign w:val="bottom"/>
                  <w:hideMark/>
                </w:tcPr>
                <w:p w14:paraId="484C63D4" w14:textId="77777777" w:rsidR="004B159C" w:rsidRPr="008625DC" w:rsidRDefault="004B159C" w:rsidP="004B159C">
                  <w:pPr>
                    <w:spacing w:before="60" w:after="0"/>
                    <w:rPr>
                      <w:rFonts w:ascii="Calibri" w:hAnsi="Calibri"/>
                      <w:b/>
                      <w:sz w:val="20"/>
                    </w:rPr>
                  </w:pPr>
                  <w:r w:rsidRPr="008625DC">
                    <w:rPr>
                      <w:rFonts w:ascii="Calibri" w:hAnsi="Calibri"/>
                      <w:b/>
                      <w:sz w:val="20"/>
                    </w:rPr>
                    <w:t>Top 2 total</w:t>
                  </w:r>
                </w:p>
              </w:tc>
              <w:tc>
                <w:tcPr>
                  <w:tcW w:w="1276" w:type="dxa"/>
                </w:tcPr>
                <w:p w14:paraId="359E85F9" w14:textId="57E2970E" w:rsidR="004B159C" w:rsidRPr="006938C4" w:rsidRDefault="004B159C" w:rsidP="004B159C">
                  <w:pPr>
                    <w:spacing w:before="60" w:after="0"/>
                    <w:jc w:val="right"/>
                    <w:rPr>
                      <w:rFonts w:ascii="Calibri" w:hAnsi="Calibri"/>
                      <w:b/>
                      <w:sz w:val="20"/>
                    </w:rPr>
                  </w:pPr>
                  <w:r w:rsidRPr="006938C4">
                    <w:rPr>
                      <w:rFonts w:ascii="Calibri" w:hAnsi="Calibri"/>
                      <w:b/>
                      <w:sz w:val="20"/>
                    </w:rPr>
                    <w:t>55</w:t>
                  </w:r>
                  <w:r w:rsidR="00C74E19" w:rsidRPr="006938C4">
                    <w:rPr>
                      <w:rFonts w:ascii="Calibri" w:hAnsi="Calibri"/>
                      <w:b/>
                      <w:sz w:val="20"/>
                    </w:rPr>
                    <w:noBreakHyphen/>
                  </w:r>
                  <w:r w:rsidRPr="006938C4">
                    <w:rPr>
                      <w:rFonts w:ascii="Calibri" w:hAnsi="Calibri"/>
                      <w:b/>
                      <w:sz w:val="20"/>
                    </w:rPr>
                    <w:t>60</w:t>
                  </w:r>
                </w:p>
              </w:tc>
              <w:tc>
                <w:tcPr>
                  <w:tcW w:w="770" w:type="dxa"/>
                  <w:shd w:val="clear" w:color="auto" w:fill="auto"/>
                  <w:noWrap/>
                  <w:vAlign w:val="bottom"/>
                  <w:hideMark/>
                </w:tcPr>
                <w:p w14:paraId="1D865FA6"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100</w:t>
                  </w:r>
                </w:p>
              </w:tc>
              <w:tc>
                <w:tcPr>
                  <w:tcW w:w="851" w:type="dxa"/>
                  <w:shd w:val="clear" w:color="auto" w:fill="auto"/>
                  <w:noWrap/>
                  <w:vAlign w:val="bottom"/>
                  <w:hideMark/>
                </w:tcPr>
                <w:p w14:paraId="47103401"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41.7</w:t>
                  </w:r>
                </w:p>
              </w:tc>
              <w:tc>
                <w:tcPr>
                  <w:tcW w:w="933" w:type="dxa"/>
                  <w:shd w:val="clear" w:color="auto" w:fill="auto"/>
                  <w:noWrap/>
                  <w:vAlign w:val="bottom"/>
                  <w:hideMark/>
                </w:tcPr>
                <w:p w14:paraId="53A7D5E4"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51</w:t>
                  </w:r>
                </w:p>
              </w:tc>
              <w:tc>
                <w:tcPr>
                  <w:tcW w:w="940" w:type="dxa"/>
                  <w:shd w:val="clear" w:color="auto" w:fill="auto"/>
                  <w:noWrap/>
                  <w:vAlign w:val="bottom"/>
                  <w:hideMark/>
                </w:tcPr>
                <w:p w14:paraId="68C56943" w14:textId="1AF38E83" w:rsidR="004B159C" w:rsidRPr="008625DC" w:rsidRDefault="007065B7" w:rsidP="004B159C">
                  <w:pPr>
                    <w:spacing w:before="60" w:after="0"/>
                    <w:jc w:val="right"/>
                    <w:rPr>
                      <w:rFonts w:ascii="Calibri" w:hAnsi="Calibri"/>
                      <w:b/>
                      <w:sz w:val="20"/>
                    </w:rPr>
                  </w:pPr>
                  <w:r w:rsidRPr="008625DC">
                    <w:rPr>
                      <w:rFonts w:ascii="Calibri" w:hAnsi="Calibri"/>
                      <w:b/>
                      <w:sz w:val="20"/>
                    </w:rPr>
                    <w:t>35</w:t>
                  </w:r>
                  <w:r w:rsidR="00C74E19" w:rsidRPr="008625DC">
                    <w:rPr>
                      <w:rFonts w:ascii="Calibri" w:hAnsi="Calibri"/>
                      <w:b/>
                      <w:sz w:val="20"/>
                    </w:rPr>
                    <w:noBreakHyphen/>
                  </w:r>
                  <w:r w:rsidRPr="008625DC">
                    <w:rPr>
                      <w:rFonts w:ascii="Calibri" w:hAnsi="Calibri"/>
                      <w:b/>
                      <w:sz w:val="20"/>
                    </w:rPr>
                    <w:t>45</w:t>
                  </w:r>
                </w:p>
              </w:tc>
              <w:tc>
                <w:tcPr>
                  <w:tcW w:w="952" w:type="dxa"/>
                  <w:shd w:val="clear" w:color="auto" w:fill="auto"/>
                  <w:noWrap/>
                  <w:vAlign w:val="bottom"/>
                  <w:hideMark/>
                </w:tcPr>
                <w:p w14:paraId="78641C95" w14:textId="31EF09A3" w:rsidR="004B159C" w:rsidRPr="008625DC" w:rsidRDefault="004B159C" w:rsidP="004B159C">
                  <w:pPr>
                    <w:spacing w:before="60" w:after="0"/>
                    <w:jc w:val="right"/>
                    <w:rPr>
                      <w:rFonts w:ascii="Calibri" w:hAnsi="Calibri"/>
                      <w:b/>
                      <w:sz w:val="20"/>
                    </w:rPr>
                  </w:pPr>
                  <w:r w:rsidRPr="008625DC">
                    <w:rPr>
                      <w:rFonts w:ascii="Calibri" w:hAnsi="Calibri"/>
                      <w:b/>
                      <w:sz w:val="20"/>
                    </w:rPr>
                    <w:t>65</w:t>
                  </w:r>
                  <w:r w:rsidR="00C74E19" w:rsidRPr="008625DC">
                    <w:rPr>
                      <w:rFonts w:ascii="Calibri" w:hAnsi="Calibri"/>
                      <w:b/>
                      <w:sz w:val="20"/>
                    </w:rPr>
                    <w:noBreakHyphen/>
                  </w:r>
                  <w:r w:rsidRPr="008625DC">
                    <w:rPr>
                      <w:rFonts w:ascii="Calibri" w:hAnsi="Calibri"/>
                      <w:b/>
                      <w:sz w:val="20"/>
                    </w:rPr>
                    <w:t>70</w:t>
                  </w:r>
                </w:p>
              </w:tc>
              <w:tc>
                <w:tcPr>
                  <w:tcW w:w="662" w:type="dxa"/>
                </w:tcPr>
                <w:p w14:paraId="33A979E3" w14:textId="77777777" w:rsidR="004B159C" w:rsidRPr="008625DC" w:rsidRDefault="004B159C" w:rsidP="004B159C">
                  <w:pPr>
                    <w:spacing w:before="60" w:after="0"/>
                    <w:jc w:val="right"/>
                    <w:rPr>
                      <w:rFonts w:ascii="Calibri" w:hAnsi="Calibri"/>
                      <w:b/>
                      <w:sz w:val="20"/>
                    </w:rPr>
                  </w:pPr>
                  <w:r w:rsidRPr="008625DC">
                    <w:rPr>
                      <w:rFonts w:ascii="Calibri" w:hAnsi="Calibri"/>
                      <w:b/>
                      <w:sz w:val="20"/>
                    </w:rPr>
                    <w:t>42</w:t>
                  </w:r>
                </w:p>
              </w:tc>
              <w:tc>
                <w:tcPr>
                  <w:tcW w:w="1292" w:type="dxa"/>
                </w:tcPr>
                <w:p w14:paraId="07B5D9C0" w14:textId="6DA6D352" w:rsidR="004B159C" w:rsidRPr="008625DC" w:rsidRDefault="00F47248" w:rsidP="00F47248">
                  <w:pPr>
                    <w:spacing w:before="60" w:after="0"/>
                    <w:jc w:val="right"/>
                    <w:rPr>
                      <w:rFonts w:ascii="Calibri" w:hAnsi="Calibri"/>
                      <w:b/>
                      <w:sz w:val="20"/>
                    </w:rPr>
                  </w:pPr>
                  <w:r w:rsidRPr="008625DC">
                    <w:rPr>
                      <w:rFonts w:ascii="Calibri" w:hAnsi="Calibri"/>
                      <w:b/>
                      <w:sz w:val="20"/>
                    </w:rPr>
                    <w:t>56</w:t>
                  </w:r>
                </w:p>
              </w:tc>
            </w:tr>
          </w:tbl>
          <w:p w14:paraId="641B7016" w14:textId="6DB21174" w:rsidR="003E126C" w:rsidRPr="008625DC" w:rsidRDefault="004B159C" w:rsidP="004B159C">
            <w:pPr>
              <w:pStyle w:val="ChartandTableFootnoteAlpha"/>
              <w:numPr>
                <w:ilvl w:val="0"/>
                <w:numId w:val="0"/>
              </w:numPr>
              <w:ind w:left="176"/>
              <w:jc w:val="left"/>
              <w:rPr>
                <w:i/>
                <w:iCs/>
              </w:rPr>
            </w:pPr>
            <w:r w:rsidRPr="008625DC">
              <w:rPr>
                <w:i/>
              </w:rPr>
              <w:t xml:space="preserve">Sources: </w:t>
            </w:r>
            <w:r w:rsidR="003E126C" w:rsidRPr="008625DC">
              <w:rPr>
                <w:i/>
                <w:iCs/>
              </w:rPr>
              <w:t>*</w:t>
            </w:r>
            <w:r w:rsidR="003E126C" w:rsidRPr="008625DC">
              <w:rPr>
                <w:iCs/>
              </w:rPr>
              <w:t>ACCC 2008,</w:t>
            </w:r>
            <w:r w:rsidR="003E126C" w:rsidRPr="008625DC">
              <w:rPr>
                <w:i/>
                <w:iCs/>
              </w:rPr>
              <w:t xml:space="preserve"> </w:t>
            </w:r>
            <w:hyperlink r:id="rId48" w:history="1">
              <w:r w:rsidR="003E126C" w:rsidRPr="008625DC">
                <w:rPr>
                  <w:rStyle w:val="Hyperlink"/>
                </w:rPr>
                <w:t>Report of the ACCC inquiry into the competitiveness of retail prices for standard groceries</w:t>
              </w:r>
            </w:hyperlink>
            <w:r w:rsidR="003E126C" w:rsidRPr="008625DC">
              <w:t>, page 48</w:t>
            </w:r>
            <w:r w:rsidR="00CD4B2B">
              <w:rPr>
                <w:i/>
                <w:iCs/>
              </w:rPr>
              <w:t xml:space="preserve">,  </w:t>
            </w:r>
            <w:hyperlink r:id="rId49" w:history="1">
              <w:r w:rsidR="003E126C" w:rsidRPr="008625DC">
                <w:rPr>
                  <w:rStyle w:val="Hyperlink"/>
                  <w:i/>
                  <w:iCs/>
                </w:rPr>
                <w:t>www.theconversation.com</w:t>
              </w:r>
            </w:hyperlink>
            <w:r w:rsidR="003E126C" w:rsidRPr="008625DC">
              <w:rPr>
                <w:i/>
                <w:iCs/>
              </w:rPr>
              <w:t xml:space="preserve"> ‘2013 Fact</w:t>
            </w:r>
            <w:r w:rsidR="00CD4B2B">
              <w:rPr>
                <w:i/>
                <w:iCs/>
              </w:rPr>
              <w:t xml:space="preserve"> </w:t>
            </w:r>
            <w:r w:rsidR="003E126C" w:rsidRPr="008625DC">
              <w:rPr>
                <w:i/>
                <w:iCs/>
              </w:rPr>
              <w:t xml:space="preserve">check on Grocery Market Concentration’ </w:t>
            </w:r>
            <w:r w:rsidR="003E126C" w:rsidRPr="008625DC">
              <w:t xml:space="preserve">(note this measure is ‘share of food retail sector’), </w:t>
            </w:r>
            <w:hyperlink r:id="rId50" w:history="1">
              <w:r w:rsidR="003E126C" w:rsidRPr="008625DC">
                <w:rPr>
                  <w:rStyle w:val="Hyperlink"/>
                  <w:i/>
                  <w:iCs/>
                </w:rPr>
                <w:t>www.euromonitor.com</w:t>
              </w:r>
            </w:hyperlink>
            <w:r w:rsidR="003E126C" w:rsidRPr="008625DC">
              <w:rPr>
                <w:i/>
                <w:iCs/>
              </w:rPr>
              <w:t xml:space="preserve"> ‘Grocery Retailers in Switzerland’.</w:t>
            </w:r>
          </w:p>
          <w:p w14:paraId="59719DB6" w14:textId="0BA7D862" w:rsidR="004B159C" w:rsidRPr="008625DC" w:rsidRDefault="00DE0688" w:rsidP="006C1ED5">
            <w:pPr>
              <w:pStyle w:val="ChartandTableFootnoteAlpha"/>
              <w:numPr>
                <w:ilvl w:val="0"/>
                <w:numId w:val="0"/>
              </w:numPr>
              <w:spacing w:before="20"/>
              <w:ind w:left="176"/>
              <w:jc w:val="left"/>
            </w:pPr>
            <w:r w:rsidRPr="008625DC">
              <w:t>(a) These figures were not generated on the same basis as those shown for the largest two firms.</w:t>
            </w:r>
          </w:p>
        </w:tc>
      </w:tr>
    </w:tbl>
    <w:p w14:paraId="2E928D1D" w14:textId="624C2B3A" w:rsidR="004B159C" w:rsidRPr="008625DC" w:rsidRDefault="004B159C" w:rsidP="006C1ED5">
      <w:pPr>
        <w:spacing w:before="240"/>
      </w:pPr>
      <w:r w:rsidRPr="008625DC">
        <w:t>A separate issue to market concentration is whether there is anti</w:t>
      </w:r>
      <w:r w:rsidR="00C74E19" w:rsidRPr="008625DC">
        <w:noBreakHyphen/>
      </w:r>
      <w:r w:rsidRPr="008625DC">
        <w:t xml:space="preserve">competitive conduct by some players in the market. </w:t>
      </w:r>
    </w:p>
    <w:p w14:paraId="473C563F" w14:textId="25F33BD7" w:rsidR="004B159C" w:rsidRPr="008625DC" w:rsidRDefault="004B159C" w:rsidP="004B159C">
      <w:r w:rsidRPr="008625DC">
        <w:t xml:space="preserve">Stakeholders raise a number of concerns about what might broadly be categorised as competition issues (including competition law issues) in relation to supermarkets. These </w:t>
      </w:r>
      <w:r w:rsidR="00D15937" w:rsidRPr="008625DC">
        <w:t>include</w:t>
      </w:r>
      <w:r w:rsidRPr="008625DC">
        <w:t xml:space="preserve">: concerns that the pricing and other behaviour of major supermarket chains </w:t>
      </w:r>
      <w:r w:rsidR="006E482F" w:rsidRPr="008625DC">
        <w:t xml:space="preserve">including ‘predatory capacity’ </w:t>
      </w:r>
      <w:r w:rsidRPr="008625DC">
        <w:t>drives out independent retailers, and the CCA fails to prevent this; the prices they pay to suppliers are too low (disadvantaging both suppliers and other retailers); their treatment of suppliers is unfair</w:t>
      </w:r>
      <w:r w:rsidR="007F1E42" w:rsidRPr="008625DC">
        <w:t>;</w:t>
      </w:r>
      <w:r w:rsidRPr="008625DC">
        <w:t xml:space="preserve"> and that their fuel discount shopper dockets unfairly disadvantage independent supermarkets and fuel retailers.</w:t>
      </w:r>
    </w:p>
    <w:p w14:paraId="70C57804" w14:textId="77777777" w:rsidR="004B159C" w:rsidRPr="008625DC" w:rsidRDefault="004B159C" w:rsidP="004B159C">
      <w:pPr>
        <w:spacing w:after="120"/>
      </w:pPr>
      <w:r w:rsidRPr="008625DC">
        <w:t>For example, Business SA submits:</w:t>
      </w:r>
    </w:p>
    <w:p w14:paraId="629A1614" w14:textId="77777777" w:rsidR="004B159C" w:rsidRPr="008625DC" w:rsidRDefault="004B159C" w:rsidP="004B159C">
      <w:pPr>
        <w:pStyle w:val="Quotes"/>
      </w:pPr>
      <w:r w:rsidRPr="008625DC">
        <w:t>Smaller, independent retailers are not worried about competing with the larger retailers, but are concerned about being pushed out of the market with tactics which will eventually result in a duopoly or monopoly market. This is not only at a supermarket level, but also at an individual brand level. (</w:t>
      </w:r>
      <w:proofErr w:type="gramStart"/>
      <w:r w:rsidRPr="008625DC">
        <w:t>page</w:t>
      </w:r>
      <w:proofErr w:type="gramEnd"/>
      <w:r w:rsidRPr="008625DC">
        <w:t xml:space="preserve"> 6)</w:t>
      </w:r>
    </w:p>
    <w:p w14:paraId="4C4DFB5F" w14:textId="22591AD3" w:rsidR="004B159C" w:rsidRPr="008625DC" w:rsidRDefault="004B159C" w:rsidP="004B159C">
      <w:pPr>
        <w:spacing w:after="120"/>
      </w:pPr>
      <w:r w:rsidRPr="008625DC">
        <w:t xml:space="preserve">Another category of concern is that increasing use of private brands is reducing shelf space for branded products. Lynden Griggs and Jane Nielsen comment </w:t>
      </w:r>
      <w:r w:rsidR="006E482F" w:rsidRPr="008625DC">
        <w:t xml:space="preserve">on the rise of supermarket private labels, noting </w:t>
      </w:r>
      <w:r w:rsidRPr="008625DC">
        <w:t xml:space="preserve">that: </w:t>
      </w:r>
    </w:p>
    <w:p w14:paraId="66B139E2" w14:textId="240D9306" w:rsidR="004B159C" w:rsidRPr="008625DC" w:rsidRDefault="006E482F" w:rsidP="004B159C">
      <w:pPr>
        <w:pStyle w:val="Quotes"/>
      </w:pPr>
      <w:r w:rsidRPr="008625DC">
        <w:t>In the short term they</w:t>
      </w:r>
      <w:r w:rsidR="004B159C" w:rsidRPr="008625DC">
        <w:t xml:space="preserve"> may well see reduced prices, but long term, potentially, a reduction in choice and a reduction in innovation as small suppliers to the supermarket giants are removed from the market. (</w:t>
      </w:r>
      <w:proofErr w:type="gramStart"/>
      <w:r w:rsidR="004B159C" w:rsidRPr="008625DC">
        <w:t>page</w:t>
      </w:r>
      <w:proofErr w:type="gramEnd"/>
      <w:r w:rsidR="004B159C" w:rsidRPr="008625DC">
        <w:t xml:space="preserve"> 1)</w:t>
      </w:r>
    </w:p>
    <w:p w14:paraId="38069328" w14:textId="1DA644EB" w:rsidR="004B159C" w:rsidRPr="008625DC" w:rsidRDefault="004B159C" w:rsidP="004B159C">
      <w:r w:rsidRPr="008625DC">
        <w:t>There are a range of provisions in the CCA that are designed to address anti</w:t>
      </w:r>
      <w:r w:rsidR="00C74E19" w:rsidRPr="008625DC">
        <w:noBreakHyphen/>
      </w:r>
      <w:r w:rsidRPr="008625DC">
        <w:t>competitive conduct</w:t>
      </w:r>
      <w:r w:rsidR="007F1E42" w:rsidRPr="008625DC">
        <w:t>. I</w:t>
      </w:r>
      <w:r w:rsidRPr="008625DC">
        <w:t>n particular, provisions that relate to the misuse of market power and unconscionable conduct. The Panel</w:t>
      </w:r>
      <w:r w:rsidR="00C74E19" w:rsidRPr="008625DC">
        <w:t>’</w:t>
      </w:r>
      <w:r w:rsidRPr="008625DC">
        <w:t xml:space="preserve">s views on these provisions and possible amendments are set out at </w:t>
      </w:r>
      <w:hyperlink w:anchor="Ch3" w:history="1">
        <w:r w:rsidR="00AB0460" w:rsidRPr="008625DC">
          <w:rPr>
            <w:rStyle w:val="Hyperlink"/>
          </w:rPr>
          <w:t>Chapter 3</w:t>
        </w:r>
      </w:hyperlink>
      <w:r w:rsidRPr="008625DC">
        <w:t xml:space="preserve"> of this Draft Report.</w:t>
      </w:r>
    </w:p>
    <w:p w14:paraId="6F482944" w14:textId="59815341" w:rsidR="004B159C" w:rsidRPr="008625DC" w:rsidRDefault="004B159C" w:rsidP="004B159C">
      <w:r w:rsidRPr="008625DC">
        <w:t xml:space="preserve">The Panel notes that the ACCC has recently instituted proceedings </w:t>
      </w:r>
      <w:r w:rsidR="004A32BA" w:rsidRPr="008625DC">
        <w:t>in the supermarket sector</w:t>
      </w:r>
      <w:r w:rsidRPr="008625DC">
        <w:t xml:space="preserve"> alleg</w:t>
      </w:r>
      <w:r w:rsidR="004A32BA" w:rsidRPr="008625DC">
        <w:t>ing</w:t>
      </w:r>
      <w:r w:rsidRPr="008625DC">
        <w:t xml:space="preserve"> unconscionable conduct </w:t>
      </w:r>
      <w:r w:rsidR="000A2DBF" w:rsidRPr="008625DC">
        <w:t>in dealings with</w:t>
      </w:r>
      <w:r w:rsidRPr="008625DC">
        <w:t xml:space="preserve"> suppliers. The Panel does not make any comment on the merits of the case. However, </w:t>
      </w:r>
      <w:r w:rsidR="00046B31" w:rsidRPr="008625DC">
        <w:t>the Panel</w:t>
      </w:r>
      <w:r w:rsidRPr="008625DC">
        <w:t xml:space="preserve"> do</w:t>
      </w:r>
      <w:r w:rsidR="00046B31" w:rsidRPr="008625DC">
        <w:t>es</w:t>
      </w:r>
      <w:r w:rsidRPr="008625DC">
        <w:t xml:space="preserve"> note that it provides an opportunity for these issues to be aired and assessed in the </w:t>
      </w:r>
      <w:r w:rsidR="002F554E" w:rsidRPr="008625DC">
        <w:t>courts</w:t>
      </w:r>
      <w:r w:rsidRPr="008625DC">
        <w:t>, where they are best considered.</w:t>
      </w:r>
    </w:p>
    <w:p w14:paraId="3E63F756" w14:textId="5A6A876C" w:rsidR="004B159C" w:rsidRPr="008625DC" w:rsidRDefault="004B159C" w:rsidP="004B159C">
      <w:r w:rsidRPr="008625DC">
        <w:t xml:space="preserve">The Panel cannot adjudicate on whether a CCA breach has occurred or not in </w:t>
      </w:r>
      <w:r w:rsidR="00046B31" w:rsidRPr="008625DC">
        <w:t xml:space="preserve">particular </w:t>
      </w:r>
      <w:r w:rsidRPr="008625DC">
        <w:t xml:space="preserve">cases. However, </w:t>
      </w:r>
      <w:r w:rsidR="00046B31" w:rsidRPr="008625DC">
        <w:t>the Panel</w:t>
      </w:r>
      <w:r w:rsidRPr="008625DC">
        <w:t xml:space="preserve"> can reaffirm that these provisions </w:t>
      </w:r>
      <w:r w:rsidR="000A2DBF" w:rsidRPr="008625DC">
        <w:t xml:space="preserve">should only </w:t>
      </w:r>
      <w:r w:rsidRPr="008625DC">
        <w:t>prohibit</w:t>
      </w:r>
      <w:r w:rsidR="000A2DBF" w:rsidRPr="008625DC">
        <w:t xml:space="preserve"> conduct </w:t>
      </w:r>
      <w:r w:rsidRPr="008625DC">
        <w:t xml:space="preserve">that harms competition, not individual firms. In particular, the CCA does not, and should not, seek to restrain a </w:t>
      </w:r>
      <w:r w:rsidRPr="008625DC">
        <w:lastRenderedPageBreak/>
        <w:t>competitor because it is big</w:t>
      </w:r>
      <w:r w:rsidR="00434731" w:rsidRPr="008625DC">
        <w:t>, or because</w:t>
      </w:r>
      <w:r w:rsidRPr="008625DC">
        <w:t xml:space="preserve"> its scale </w:t>
      </w:r>
      <w:r w:rsidR="00434731" w:rsidRPr="008625DC">
        <w:t>or scope of operations enables</w:t>
      </w:r>
      <w:r w:rsidRPr="008625DC">
        <w:t xml:space="preserve"> it to </w:t>
      </w:r>
      <w:r w:rsidR="00434731" w:rsidRPr="008625DC">
        <w:t xml:space="preserve">innovate and </w:t>
      </w:r>
      <w:r w:rsidR="00DF19B5" w:rsidRPr="008625DC">
        <w:t>thus provide</w:t>
      </w:r>
      <w:r w:rsidR="00434731" w:rsidRPr="008625DC">
        <w:t xml:space="preserve"> </w:t>
      </w:r>
      <w:r w:rsidRPr="008625DC">
        <w:t xml:space="preserve">benefits </w:t>
      </w:r>
      <w:r w:rsidR="00434731" w:rsidRPr="008625DC">
        <w:t>for</w:t>
      </w:r>
      <w:r w:rsidRPr="008625DC">
        <w:t xml:space="preserve"> consumers. </w:t>
      </w:r>
    </w:p>
    <w:p w14:paraId="1C146BCC" w14:textId="456598FC" w:rsidR="004B159C" w:rsidRPr="008625DC" w:rsidRDefault="004B159C" w:rsidP="004B159C">
      <w:r w:rsidRPr="008625DC">
        <w:t xml:space="preserve">The introduction of a properly designed and effective industry code </w:t>
      </w:r>
      <w:r w:rsidR="007F1E42" w:rsidRPr="008625DC">
        <w:t>should</w:t>
      </w:r>
      <w:r w:rsidRPr="008625DC">
        <w:t xml:space="preserve"> assist in ensuring that suppliers are able to contract fairly and efficiently. However, any such code should not lead to agreements that benefit retailers and suppliers at the expense of consumers. </w:t>
      </w:r>
    </w:p>
    <w:p w14:paraId="5EFFF0AA" w14:textId="77777777" w:rsidR="00D04127" w:rsidRPr="008625DC" w:rsidRDefault="004B159C" w:rsidP="004B159C">
      <w:r w:rsidRPr="008625DC">
        <w:t xml:space="preserve">The Panel considers instead that consumers and small businesses operating in the retail sector can benefit from the introduction of more competition through eliminating barriers to entry that currently exist. </w:t>
      </w:r>
    </w:p>
    <w:p w14:paraId="56782482" w14:textId="1BC09F66" w:rsidR="004B159C" w:rsidRPr="008625DC" w:rsidRDefault="004B159C" w:rsidP="004B159C">
      <w:r w:rsidRPr="008625DC">
        <w:t xml:space="preserve">In particular, there remain some restrictions on trading hours and on the goods that can be sold within a supermarket or service station (e.g. alcohol and pharmacy products). </w:t>
      </w:r>
    </w:p>
    <w:p w14:paraId="5A1D804B" w14:textId="2E11BF40" w:rsidR="004B159C" w:rsidRPr="008625DC" w:rsidRDefault="004B159C" w:rsidP="004B159C">
      <w:r w:rsidRPr="008625DC">
        <w:t>Further, the ACCC</w:t>
      </w:r>
      <w:r w:rsidR="00C74E19" w:rsidRPr="008625DC">
        <w:t>’</w:t>
      </w:r>
      <w:r w:rsidRPr="008625DC">
        <w:t xml:space="preserve">s 2008 </w:t>
      </w:r>
      <w:r w:rsidR="00DF19B5" w:rsidRPr="008625DC">
        <w:t xml:space="preserve">grocery </w:t>
      </w:r>
      <w:r w:rsidRPr="008625DC">
        <w:t xml:space="preserve">report noted that planning and zoning laws act as a barrier to the establishment of new supermarkets. It noted that independent supermarkets were particularly concerned with impediments to new developments given the difficulties they have in obtaining access to </w:t>
      </w:r>
      <w:r w:rsidR="00DF19B5" w:rsidRPr="008625DC">
        <w:t xml:space="preserve">existing </w:t>
      </w:r>
      <w:r w:rsidRPr="008625DC">
        <w:t>sites.</w:t>
      </w:r>
      <w:r w:rsidR="00EF7B89" w:rsidRPr="008625DC">
        <w:rPr>
          <w:rStyle w:val="FootnoteReference"/>
        </w:rPr>
        <w:footnoteReference w:id="243"/>
      </w:r>
      <w:r w:rsidRPr="008625DC">
        <w:t xml:space="preserve"> </w:t>
      </w:r>
      <w:r w:rsidR="0015308D" w:rsidRPr="008625DC">
        <w:t>ALDI</w:t>
      </w:r>
      <w:r w:rsidRPr="008625DC">
        <w:t xml:space="preserve"> also indicate</w:t>
      </w:r>
      <w:r w:rsidR="008F15E8" w:rsidRPr="008625DC">
        <w:t>s</w:t>
      </w:r>
      <w:r w:rsidRPr="008625DC">
        <w:t xml:space="preserve"> that these laws are a barrier to expansion</w:t>
      </w:r>
      <w:r w:rsidR="00594906" w:rsidRPr="008625DC">
        <w:t xml:space="preserve"> (page 1)</w:t>
      </w:r>
      <w:r w:rsidRPr="008625DC">
        <w:t xml:space="preserve">. </w:t>
      </w:r>
      <w:r w:rsidR="004F4B94" w:rsidRPr="008625DC">
        <w:t>The Panel has recommended changes to p</w:t>
      </w:r>
      <w:r w:rsidRPr="008625DC">
        <w:t xml:space="preserve">lanning and zoning regulation </w:t>
      </w:r>
      <w:r w:rsidR="004F4B94" w:rsidRPr="008625DC">
        <w:t xml:space="preserve">at </w:t>
      </w:r>
      <w:hyperlink w:anchor="DR10" w:history="1">
        <w:r w:rsidR="00050A9C" w:rsidRPr="008625DC">
          <w:rPr>
            <w:rStyle w:val="Hyperlink"/>
          </w:rPr>
          <w:t xml:space="preserve">Draft </w:t>
        </w:r>
        <w:r w:rsidR="004F4B94" w:rsidRPr="008625DC">
          <w:rPr>
            <w:rStyle w:val="Hyperlink"/>
          </w:rPr>
          <w:t>Recommendation 10</w:t>
        </w:r>
      </w:hyperlink>
      <w:r w:rsidR="004F4B94" w:rsidRPr="008625DC">
        <w:t xml:space="preserve">. </w:t>
      </w:r>
    </w:p>
    <w:p w14:paraId="38CF9AC2" w14:textId="0D64C8D8" w:rsidR="004B159C" w:rsidRPr="008625DC" w:rsidRDefault="004B159C" w:rsidP="004B159C">
      <w:r w:rsidRPr="008625DC">
        <w:t xml:space="preserve">Concerns have also been raised with the range of retail outlets now operated </w:t>
      </w:r>
      <w:r w:rsidR="007F1E42" w:rsidRPr="008625DC">
        <w:t>as part of</w:t>
      </w:r>
      <w:r w:rsidRPr="008625DC">
        <w:t xml:space="preserve"> the corporate structures of Woolworths and Wesfarmers. For example, Vito Alfio Palermo notes that one or both of Woolworths or Wesfarmers are involved in </w:t>
      </w:r>
      <w:r w:rsidR="00C74E19" w:rsidRPr="008625DC">
        <w:t>‘</w:t>
      </w:r>
      <w:r w:rsidRPr="008625DC">
        <w:t xml:space="preserve">… </w:t>
      </w:r>
      <w:r w:rsidR="007065B7" w:rsidRPr="008625DC">
        <w:t>g</w:t>
      </w:r>
      <w:r w:rsidRPr="008625DC">
        <w:t>roceries, liquor, hotels, hardware, electronics, apparel and homeware, office supplies …</w:t>
      </w:r>
      <w:r w:rsidR="00C74E19" w:rsidRPr="008625DC">
        <w:t>’</w:t>
      </w:r>
      <w:r w:rsidRPr="008625DC">
        <w:t xml:space="preserve"> (page 1)</w:t>
      </w:r>
    </w:p>
    <w:p w14:paraId="0F70D255" w14:textId="5898759C" w:rsidR="004B159C" w:rsidRPr="008625DC" w:rsidRDefault="004B159C" w:rsidP="004B159C">
      <w:pPr>
        <w:spacing w:after="120"/>
      </w:pPr>
      <w:r w:rsidRPr="008625DC">
        <w:t>The move of the large supermarket chains into regional areas has also raised concerns about a loss of amenity and changes to the community. For example, Drakes Supermarkets submits:</w:t>
      </w:r>
    </w:p>
    <w:p w14:paraId="7641AFC9" w14:textId="1CE083CC" w:rsidR="004B159C" w:rsidRPr="008625DC" w:rsidRDefault="004B159C" w:rsidP="004B159C">
      <w:pPr>
        <w:pStyle w:val="Quotes"/>
      </w:pPr>
      <w:r w:rsidRPr="008625DC">
        <w:t>It is my view that [Coles and Woolworths] are land banking in many parts of [SA] where … competition already exists. They are applying for rezoning of industrial and or commercial land usually outside existing shopping zones with the intent to shift the market away from existing zones. They have created major problems in the Riverland, South East and Adelaide Hills by locating outside traditional main streets. (</w:t>
      </w:r>
      <w:proofErr w:type="gramStart"/>
      <w:r w:rsidRPr="008625DC">
        <w:t>page</w:t>
      </w:r>
      <w:proofErr w:type="gramEnd"/>
      <w:r w:rsidRPr="008625DC">
        <w:t xml:space="preserve"> 2) </w:t>
      </w:r>
    </w:p>
    <w:p w14:paraId="5101B8F7" w14:textId="6294803D" w:rsidR="004B159C" w:rsidRPr="008625DC" w:rsidRDefault="004B159C" w:rsidP="004B159C">
      <w:r w:rsidRPr="008625DC">
        <w:t>Structural changes such as these raise reasonable concerns for individuals about how their amenity will be affected. Changes that affect the level of activity occurring on the main street or in other traditional retail modes, or that result in some small, long</w:t>
      </w:r>
      <w:r w:rsidR="00C74E19" w:rsidRPr="008625DC">
        <w:noBreakHyphen/>
      </w:r>
      <w:r w:rsidRPr="008625DC">
        <w:t>term or family</w:t>
      </w:r>
      <w:r w:rsidR="00C74E19" w:rsidRPr="008625DC">
        <w:noBreakHyphen/>
      </w:r>
      <w:r w:rsidRPr="008625DC">
        <w:t xml:space="preserve">run businesses closing can have real impacts on the local community. </w:t>
      </w:r>
    </w:p>
    <w:p w14:paraId="0B08AAA9" w14:textId="4012C972" w:rsidR="004B159C" w:rsidRPr="008625DC" w:rsidRDefault="004B159C" w:rsidP="004B159C">
      <w:r w:rsidRPr="008625DC">
        <w:t xml:space="preserve">These issues have been strongly stated and are clearly of concern to consumers and small business. </w:t>
      </w:r>
      <w:r w:rsidR="00046B31" w:rsidRPr="008625DC">
        <w:t>The Panel is</w:t>
      </w:r>
      <w:r w:rsidRPr="008625DC">
        <w:t xml:space="preserve"> grateful to the small businesses and individuals who have been prepared to share their stories with us. But </w:t>
      </w:r>
      <w:r w:rsidR="00046B31" w:rsidRPr="008625DC">
        <w:t>the Panel has</w:t>
      </w:r>
      <w:r w:rsidRPr="008625DC">
        <w:t xml:space="preserve"> also heard of new small businesses opening up in new retail centres to take advantage of the customers attracted by the introduction of Coles or Woolworths.</w:t>
      </w:r>
      <w:r w:rsidR="00CF51C3" w:rsidRPr="008625DC">
        <w:t xml:space="preserve"> </w:t>
      </w:r>
      <w:r w:rsidR="00046B31" w:rsidRPr="008625DC">
        <w:t>The Panel</w:t>
      </w:r>
      <w:r w:rsidRPr="008625DC">
        <w:t xml:space="preserve"> ha</w:t>
      </w:r>
      <w:r w:rsidR="00046B31" w:rsidRPr="008625DC">
        <w:t>s</w:t>
      </w:r>
      <w:r w:rsidRPr="008625DC">
        <w:t xml:space="preserve"> also heard members of local communities who intend to continue to provide custom to the small, family</w:t>
      </w:r>
      <w:r w:rsidR="00C74E19" w:rsidRPr="008625DC">
        <w:noBreakHyphen/>
      </w:r>
      <w:r w:rsidRPr="008625DC">
        <w:t>run businesses that they have traditionally frequented.</w:t>
      </w:r>
    </w:p>
    <w:p w14:paraId="4936BA6E" w14:textId="2AE6C563" w:rsidR="00434731" w:rsidRPr="008625DC" w:rsidRDefault="00434731" w:rsidP="00434731">
      <w:r w:rsidRPr="008625DC">
        <w:t xml:space="preserve">The Panel considers that these concerns are not matters to be addressed by the competition laws. They reflect broader economic and social changes that are often the outcome of competition. </w:t>
      </w:r>
      <w:r w:rsidR="00CF51C3" w:rsidRPr="008625DC">
        <w:t>U</w:t>
      </w:r>
      <w:r w:rsidRPr="008625DC">
        <w:t>ndoubtedly these changes can damage individual businesses. However, consumer preferences and choice should be the ultimate determinant of which businesses succeed and prosper.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4B159C" w:rsidRPr="008625DC" w14:paraId="3B8BCCC7" w14:textId="77777777" w:rsidTr="004B159C">
        <w:tc>
          <w:tcPr>
            <w:tcW w:w="5000" w:type="pct"/>
            <w:shd w:val="clear" w:color="auto" w:fill="FFFFFF" w:themeFill="background1"/>
          </w:tcPr>
          <w:p w14:paraId="04E3C5A6" w14:textId="4DDF7618" w:rsidR="004B159C" w:rsidRPr="008625DC" w:rsidRDefault="004B159C" w:rsidP="004B159C">
            <w:pPr>
              <w:pStyle w:val="Keyfindingheading"/>
            </w:pPr>
            <w:r w:rsidRPr="008625DC">
              <w:lastRenderedPageBreak/>
              <w:t>The Panel</w:t>
            </w:r>
            <w:r w:rsidR="00C74E19" w:rsidRPr="008625DC">
              <w:t>’</w:t>
            </w:r>
            <w:r w:rsidRPr="008625DC">
              <w:t>s view</w:t>
            </w:r>
          </w:p>
          <w:p w14:paraId="31222CB9" w14:textId="604397DC" w:rsidR="004B159C" w:rsidRPr="008625DC" w:rsidRDefault="004B159C" w:rsidP="004B159C">
            <w:pPr>
              <w:pStyle w:val="Keyfindingtext"/>
            </w:pPr>
            <w:r w:rsidRPr="008625DC">
              <w:t>Australia</w:t>
            </w:r>
            <w:r w:rsidR="00C74E19" w:rsidRPr="008625DC">
              <w:t>’</w:t>
            </w:r>
            <w:r w:rsidRPr="008625DC">
              <w:t>s grocery market is concentrated, but not uniquely so. Competition appears to have intensified in recent years with Wesfarmers</w:t>
            </w:r>
            <w:r w:rsidR="00C74E19" w:rsidRPr="008625DC">
              <w:t>’</w:t>
            </w:r>
            <w:r w:rsidRPr="008625DC">
              <w:t xml:space="preserve"> acquisition of Coles and the expansion of </w:t>
            </w:r>
            <w:r w:rsidR="0015308D" w:rsidRPr="008625DC">
              <w:t>ALDI</w:t>
            </w:r>
            <w:r w:rsidRPr="008625DC">
              <w:t xml:space="preserve"> and Costco; consequently, few concerns have been raised about prices.</w:t>
            </w:r>
          </w:p>
          <w:p w14:paraId="071A90A0" w14:textId="7558D090" w:rsidR="004B159C" w:rsidRPr="008625DC" w:rsidRDefault="004B159C" w:rsidP="004B159C">
            <w:pPr>
              <w:pStyle w:val="Keyfindingtext"/>
            </w:pPr>
            <w:r w:rsidRPr="008625DC">
              <w:t xml:space="preserve">Small supermarkets have alleged that the major supermarkets are misusing their market power, including through </w:t>
            </w:r>
            <w:r w:rsidR="00C74E19" w:rsidRPr="008625DC">
              <w:t>‘</w:t>
            </w:r>
            <w:r w:rsidRPr="008625DC">
              <w:t>predatory capacity</w:t>
            </w:r>
            <w:r w:rsidR="00C74E19" w:rsidRPr="008625DC">
              <w:t>’</w:t>
            </w:r>
            <w:r w:rsidRPr="008625DC">
              <w:t xml:space="preserve"> and targeting particular retailers. Suppliers have raised concerns about misuse of market power and unconscionable conduct by the major supermarket chains. The Panel</w:t>
            </w:r>
            <w:r w:rsidR="00C74E19" w:rsidRPr="008625DC">
              <w:t>’</w:t>
            </w:r>
            <w:r w:rsidRPr="008625DC">
              <w:t xml:space="preserve">s views on the relevant provisions of the CCA are set out at </w:t>
            </w:r>
            <w:hyperlink w:anchor="Ch3" w:history="1">
              <w:r w:rsidR="00515618" w:rsidRPr="008625DC">
                <w:rPr>
                  <w:rStyle w:val="Hyperlink"/>
                </w:rPr>
                <w:t>Chapter 3</w:t>
              </w:r>
            </w:hyperlink>
            <w:r w:rsidRPr="008625DC">
              <w:t xml:space="preserve"> of this Draft Report.</w:t>
            </w:r>
          </w:p>
          <w:p w14:paraId="212AEE51" w14:textId="2189CEB5" w:rsidR="004B159C" w:rsidRPr="008625DC" w:rsidRDefault="005C16B5" w:rsidP="004B159C">
            <w:pPr>
              <w:pStyle w:val="Keyfindingtext"/>
            </w:pPr>
            <w:r w:rsidRPr="008625DC">
              <w:t xml:space="preserve">The Panel cannot adjudicate on whether a CCA breach has occurred or not in particular cases. However, the Panel can reaffirm that these provisions should only prohibit conduct that harms competition, not individual competitors. </w:t>
            </w:r>
            <w:r w:rsidR="00046B31" w:rsidRPr="008625DC">
              <w:t>The Panel</w:t>
            </w:r>
            <w:r w:rsidR="004B159C" w:rsidRPr="008625DC">
              <w:t xml:space="preserve"> also note</w:t>
            </w:r>
            <w:r w:rsidR="00046B31" w:rsidRPr="008625DC">
              <w:t>s</w:t>
            </w:r>
            <w:r w:rsidR="004B159C" w:rsidRPr="008625DC">
              <w:t xml:space="preserve"> the present litigation concerning the ACCC</w:t>
            </w:r>
            <w:r w:rsidR="00C74E19" w:rsidRPr="008625DC">
              <w:t>’</w:t>
            </w:r>
            <w:r w:rsidR="004B159C" w:rsidRPr="008625DC">
              <w:t xml:space="preserve">s allegations of unconscionable conduct </w:t>
            </w:r>
            <w:r w:rsidR="004A32BA" w:rsidRPr="008625DC">
              <w:t>in the supermarket sector</w:t>
            </w:r>
            <w:r w:rsidR="004B159C" w:rsidRPr="008625DC">
              <w:t>.</w:t>
            </w:r>
          </w:p>
          <w:p w14:paraId="07056901" w14:textId="7C632599" w:rsidR="004B159C" w:rsidRPr="008625DC" w:rsidRDefault="004B159C" w:rsidP="004B159C">
            <w:pPr>
              <w:pStyle w:val="Keyfindingtext"/>
            </w:pPr>
            <w:r w:rsidRPr="008625DC">
              <w:t xml:space="preserve">The introduction of a properly designed and effective industry code </w:t>
            </w:r>
            <w:r w:rsidR="007F1E42" w:rsidRPr="008625DC">
              <w:t>should</w:t>
            </w:r>
            <w:r w:rsidRPr="008625DC">
              <w:t xml:space="preserve"> also assist in ensuring that suppliers are able to contract fairly and efficiently. </w:t>
            </w:r>
          </w:p>
          <w:p w14:paraId="7599FB17" w14:textId="6C280919" w:rsidR="004B159C" w:rsidRPr="008625DC" w:rsidRDefault="004B159C" w:rsidP="004B159C">
            <w:pPr>
              <w:pStyle w:val="Keyfindingtext"/>
            </w:pPr>
            <w:r w:rsidRPr="008625DC">
              <w:t xml:space="preserve">The removal of some regulatory barriers would strengthen competition in the supermarket sector. Planning and zoning restrictions are limiting the growth of </w:t>
            </w:r>
            <w:r w:rsidR="0015308D" w:rsidRPr="008625DC">
              <w:t>ALDI</w:t>
            </w:r>
            <w:r w:rsidRPr="008625DC">
              <w:t>, and the ACCC has previously identified that they particularly affect the ability of independent supermarkets to compete.</w:t>
            </w:r>
          </w:p>
          <w:p w14:paraId="2F42963F" w14:textId="77777777" w:rsidR="004B159C" w:rsidRPr="008625DC" w:rsidRDefault="004B159C" w:rsidP="004B159C">
            <w:pPr>
              <w:pStyle w:val="Keyfindingtext"/>
            </w:pPr>
            <w:r w:rsidRPr="008625DC">
              <w:t xml:space="preserve">Trading </w:t>
            </w:r>
            <w:proofErr w:type="gramStart"/>
            <w:r w:rsidRPr="008625DC">
              <w:t>hours</w:t>
            </w:r>
            <w:proofErr w:type="gramEnd"/>
            <w:r w:rsidRPr="008625DC">
              <w:t xml:space="preserve"> restrictions and restrictions preventing supermarkets from selling liquor are also an impediment to competition.</w:t>
            </w:r>
          </w:p>
          <w:p w14:paraId="7F96AA02" w14:textId="3C7D3066" w:rsidR="004F4B94" w:rsidRPr="008625DC" w:rsidRDefault="004B159C" w:rsidP="004B159C">
            <w:pPr>
              <w:pStyle w:val="Keyfindingtext"/>
            </w:pPr>
            <w:r w:rsidRPr="008625DC">
              <w:t xml:space="preserve">There have been a number of structural changes in the operation of supermarkets, such as greater vertical integration and use of </w:t>
            </w:r>
            <w:r w:rsidR="00C74E19" w:rsidRPr="008625DC">
              <w:t>‘</w:t>
            </w:r>
            <w:r w:rsidRPr="008625DC">
              <w:t>home brands</w:t>
            </w:r>
            <w:r w:rsidR="00C74E19" w:rsidRPr="008625DC">
              <w:t>’</w:t>
            </w:r>
            <w:r w:rsidRPr="008625DC">
              <w:t xml:space="preserve">, an increase in the range and categories of goods sold within supermarkets, and greater participation by supermarket operators in other sectors. Like all structural changes, these can result in dislocation and other costs that affect the wellbeing of others. </w:t>
            </w:r>
          </w:p>
          <w:p w14:paraId="6B9483A9" w14:textId="25F57337" w:rsidR="004B159C" w:rsidRPr="008625DC" w:rsidRDefault="004B159C" w:rsidP="004B159C">
            <w:pPr>
              <w:pStyle w:val="Keyfindingtext"/>
            </w:pPr>
            <w:r w:rsidRPr="008625DC">
              <w:t>The move of larger supermarket chains into regional areas can also raise concerns about a loss of amenity and changes to the community.</w:t>
            </w:r>
            <w:r w:rsidR="005F26C6" w:rsidRPr="008625DC">
              <w:t xml:space="preserve"> </w:t>
            </w:r>
            <w:r w:rsidRPr="008625DC">
              <w:t>While the Panel is sensitive to these concerns, they do not of themselves raise competition policy or law issues.</w:t>
            </w:r>
          </w:p>
        </w:tc>
      </w:tr>
    </w:tbl>
    <w:p w14:paraId="7D3BB4CC" w14:textId="77777777" w:rsidR="004B159C" w:rsidRPr="008625DC" w:rsidRDefault="004B159C" w:rsidP="000B5916">
      <w:pPr>
        <w:pStyle w:val="Heading2"/>
        <w:ind w:left="851" w:hanging="851"/>
        <w:rPr>
          <w:lang w:val="en-AU"/>
        </w:rPr>
      </w:pPr>
      <w:bookmarkStart w:id="25970" w:name="_Toc397601973"/>
      <w:bookmarkStart w:id="25971" w:name="_Toc397602708"/>
      <w:bookmarkStart w:id="25972" w:name="_Toc397605841"/>
      <w:bookmarkStart w:id="25973" w:name="_Toc397614538"/>
      <w:bookmarkStart w:id="25974" w:name="_Toc397614981"/>
      <w:bookmarkStart w:id="25975" w:name="_Toc397616424"/>
      <w:bookmarkStart w:id="25976" w:name="_Toc397616818"/>
      <w:bookmarkStart w:id="25977" w:name="_Toc397688116"/>
      <w:bookmarkStart w:id="25978" w:name="_Toc397689332"/>
      <w:bookmarkStart w:id="25979" w:name="_Toc397694612"/>
      <w:bookmarkStart w:id="25980" w:name="_Toc397696453"/>
      <w:bookmarkStart w:id="25981" w:name="_Toc397697187"/>
      <w:bookmarkStart w:id="25982" w:name="_Toc397698474"/>
      <w:bookmarkStart w:id="25983" w:name="_Toc397699840"/>
      <w:bookmarkStart w:id="25984" w:name="_Toc397700294"/>
      <w:bookmarkStart w:id="25985" w:name="_Toc397936686"/>
      <w:bookmarkStart w:id="25986" w:name="_Toc397936806"/>
      <w:bookmarkStart w:id="25987" w:name="_Toc397945962"/>
      <w:bookmarkStart w:id="25988" w:name="_Toc397946988"/>
      <w:bookmarkStart w:id="25989" w:name="_Toc397948107"/>
      <w:bookmarkStart w:id="25990" w:name="_Toc397958513"/>
      <w:bookmarkStart w:id="25991" w:name="_Toc397958755"/>
      <w:bookmarkStart w:id="25992" w:name="_Toc397959170"/>
      <w:bookmarkStart w:id="25993" w:name="_Toc397963023"/>
      <w:bookmarkStart w:id="25994" w:name="_Toc397963389"/>
      <w:bookmarkStart w:id="25995" w:name="_Toc397965466"/>
      <w:bookmarkStart w:id="25996" w:name="_Toc398197404"/>
      <w:bookmarkStart w:id="25997" w:name="_Toc398199907"/>
      <w:bookmarkStart w:id="25998" w:name="_Toc398201621"/>
      <w:bookmarkStart w:id="25999" w:name="_Toc398207226"/>
      <w:bookmarkStart w:id="26000" w:name="_Toc398209930"/>
      <w:bookmarkStart w:id="26001" w:name="_Toc398210499"/>
      <w:bookmarkStart w:id="26002" w:name="_Toc398211013"/>
      <w:bookmarkStart w:id="26003" w:name="_Toc398219821"/>
      <w:bookmarkStart w:id="26004" w:name="_Toc398220196"/>
      <w:bookmarkStart w:id="26005" w:name="_Toc398220583"/>
      <w:bookmarkStart w:id="26006" w:name="_Toc398221661"/>
      <w:bookmarkStart w:id="26007" w:name="_Toc398222347"/>
      <w:bookmarkStart w:id="26008" w:name="_Toc398222659"/>
      <w:bookmarkStart w:id="26009" w:name="_Toc398223076"/>
      <w:bookmarkStart w:id="26010" w:name="_Toc398223455"/>
      <w:bookmarkStart w:id="26011" w:name="_Toc398223582"/>
      <w:bookmarkStart w:id="26012" w:name="_Toc398224390"/>
      <w:bookmarkStart w:id="26013" w:name="_Toc398225727"/>
      <w:bookmarkStart w:id="26014" w:name="_Toc398225852"/>
      <w:bookmarkStart w:id="26015" w:name="_Toc398281339"/>
      <w:bookmarkStart w:id="26016" w:name="_Toc398282198"/>
      <w:bookmarkStart w:id="26017" w:name="_Toc398284868"/>
      <w:bookmarkStart w:id="26018" w:name="_Toc398287337"/>
      <w:bookmarkStart w:id="26019" w:name="_Toc398289220"/>
      <w:bookmarkStart w:id="26020" w:name="_Toc398297217"/>
      <w:bookmarkStart w:id="26021" w:name="_Toc398298691"/>
      <w:bookmarkStart w:id="26022" w:name="_Toc398300392"/>
      <w:bookmarkStart w:id="26023" w:name="_Toc398301289"/>
      <w:bookmarkStart w:id="26024" w:name="_Toc398302474"/>
      <w:bookmarkStart w:id="26025" w:name="_Toc398302637"/>
      <w:bookmarkStart w:id="26026" w:name="_Toc398549151"/>
      <w:bookmarkStart w:id="26027" w:name="_Toc398549401"/>
      <w:bookmarkStart w:id="26028" w:name="_Toc398555820"/>
      <w:bookmarkStart w:id="26029" w:name="_Toc398559024"/>
      <w:bookmarkStart w:id="26030" w:name="_Toc398563510"/>
      <w:bookmarkStart w:id="26031" w:name="_Toc398563643"/>
      <w:bookmarkStart w:id="26032" w:name="_Toc398564042"/>
      <w:bookmarkStart w:id="26033" w:name="_Toc398827380"/>
      <w:bookmarkStart w:id="26034" w:name="_Toc398827574"/>
      <w:bookmarkStart w:id="26035" w:name="s132"/>
      <w:r w:rsidRPr="008625DC">
        <w:rPr>
          <w:lang w:val="en-AU"/>
        </w:rPr>
        <w:t>Fuel retailing</w:t>
      </w:r>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p>
    <w:bookmarkEnd w:id="26035"/>
    <w:p w14:paraId="7693F363" w14:textId="5C78B1DA" w:rsidR="004B159C" w:rsidRPr="008625DC" w:rsidRDefault="004B159C" w:rsidP="004B159C">
      <w:r w:rsidRPr="008625DC">
        <w:t>The fuel retailing sector has been the subject of numerous reviews. Most notably, in 2007 the ACCC conducted an inquiry into the price of unleaded petrol.</w:t>
      </w:r>
      <w:r w:rsidRPr="008625DC">
        <w:rPr>
          <w:rStyle w:val="FootnoteReference"/>
        </w:rPr>
        <w:footnoteReference w:id="244"/>
      </w:r>
      <w:r w:rsidRPr="008625DC">
        <w:t xml:space="preserve"> It found that wholesaling was dominated by four large players (Shell, BP, Caltex</w:t>
      </w:r>
      <w:r w:rsidR="007F1E42" w:rsidRPr="008625DC">
        <w:t xml:space="preserve"> and</w:t>
      </w:r>
      <w:r w:rsidRPr="008625DC">
        <w:t xml:space="preserve"> Mobil) and identified options to improve competition but did not identify serious market failures warranting government intervention.</w:t>
      </w:r>
    </w:p>
    <w:p w14:paraId="24ED11C8" w14:textId="5E395553" w:rsidR="004B159C" w:rsidRPr="008625DC" w:rsidRDefault="004B159C" w:rsidP="004B159C">
      <w:r w:rsidRPr="008625DC">
        <w:t>In particular it identified a need to ensure that access to fuel terminals did not act as an impediment to the importation of fuel by independent wholesalers. The ACCC</w:t>
      </w:r>
      <w:r w:rsidR="00C74E19" w:rsidRPr="008625DC">
        <w:t>’</w:t>
      </w:r>
      <w:r w:rsidRPr="008625DC">
        <w:t>s 2013 fuel monitoring work shows that independent imports have increased in recent years</w:t>
      </w:r>
      <w:r w:rsidR="00845BB3" w:rsidRPr="008625DC">
        <w:t>.</w:t>
      </w:r>
      <w:r w:rsidR="00D37F07" w:rsidRPr="008625DC">
        <w:rPr>
          <w:rStyle w:val="FootnoteReference"/>
        </w:rPr>
        <w:footnoteReference w:id="245"/>
      </w:r>
    </w:p>
    <w:p w14:paraId="35CFE007" w14:textId="63CF99F4" w:rsidR="004B159C" w:rsidRPr="008625DC" w:rsidRDefault="004B159C" w:rsidP="004B159C">
      <w:r w:rsidRPr="008625DC">
        <w:t>The retail level was found to have far more competitors, and the petrol operations of the supermarkets were an important presence, as well as the operations of independent retailers</w:t>
      </w:r>
      <w:r w:rsidR="007F1E42" w:rsidRPr="008625DC">
        <w:t>.</w:t>
      </w:r>
      <w:r w:rsidRPr="008625DC">
        <w:t xml:space="preserve"> </w:t>
      </w:r>
    </w:p>
    <w:p w14:paraId="02D23321" w14:textId="0C5A3138" w:rsidR="004B159C" w:rsidRPr="008625DC" w:rsidRDefault="004B159C" w:rsidP="004B159C">
      <w:r w:rsidRPr="008625DC">
        <w:lastRenderedPageBreak/>
        <w:t>NRMA raise</w:t>
      </w:r>
      <w:r w:rsidR="008A0D37" w:rsidRPr="008625DC">
        <w:t>s</w:t>
      </w:r>
      <w:r w:rsidRPr="008625DC">
        <w:t xml:space="preserve"> concerns </w:t>
      </w:r>
      <w:r w:rsidR="00EF7B89" w:rsidRPr="008625DC">
        <w:t>about concentration in the fuel market</w:t>
      </w:r>
      <w:r w:rsidRPr="008625DC">
        <w:t xml:space="preserve"> in Australia </w:t>
      </w:r>
      <w:r w:rsidR="00EF7B89" w:rsidRPr="008625DC">
        <w:t xml:space="preserve">(page </w:t>
      </w:r>
      <w:r w:rsidR="00F0464E" w:rsidRPr="008625DC">
        <w:t>2</w:t>
      </w:r>
      <w:r w:rsidR="00EF7B89" w:rsidRPr="008625DC">
        <w:t>)</w:t>
      </w:r>
      <w:r w:rsidRPr="008625DC">
        <w:t>. It commend</w:t>
      </w:r>
      <w:r w:rsidR="008A0D37" w:rsidRPr="008625DC">
        <w:t>s</w:t>
      </w:r>
      <w:r w:rsidRPr="008625DC">
        <w:t xml:space="preserve"> the ACCC for having opposed some acquisitions in the fuel retail sector, but considers that prices are still higher than they should be, particularly in regional areas where competition is more limited</w:t>
      </w:r>
      <w:r w:rsidR="006C1ED5" w:rsidRPr="008625DC">
        <w:t>.</w:t>
      </w:r>
      <w:r w:rsidR="00EF7B89" w:rsidRPr="008625DC">
        <w:t xml:space="preserve"> (</w:t>
      </w:r>
      <w:proofErr w:type="gramStart"/>
      <w:r w:rsidR="00EF7B89" w:rsidRPr="008625DC">
        <w:t>page</w:t>
      </w:r>
      <w:r w:rsidR="00F0464E" w:rsidRPr="008625DC">
        <w:t>s</w:t>
      </w:r>
      <w:proofErr w:type="gramEnd"/>
      <w:r w:rsidR="006C1ED5" w:rsidRPr="008625DC">
        <w:t> </w:t>
      </w:r>
      <w:r w:rsidR="00EF7B89" w:rsidRPr="008625DC">
        <w:t>2</w:t>
      </w:r>
      <w:r w:rsidR="00F0464E" w:rsidRPr="008625DC">
        <w:t>-3</w:t>
      </w:r>
      <w:r w:rsidR="00EF7B89" w:rsidRPr="008625DC">
        <w:t>)</w:t>
      </w:r>
      <w:r w:rsidRPr="008625DC">
        <w:t xml:space="preserve"> </w:t>
      </w:r>
    </w:p>
    <w:p w14:paraId="0DB11321" w14:textId="0B9227E8" w:rsidR="00D84152" w:rsidRPr="008625DC" w:rsidRDefault="00D84152" w:rsidP="00D84152">
      <w:r w:rsidRPr="008625DC">
        <w:t xml:space="preserve">Some stakeholders raise concerns </w:t>
      </w:r>
      <w:r w:rsidR="00555C58" w:rsidRPr="008625DC">
        <w:t>that</w:t>
      </w:r>
      <w:r w:rsidR="00007069" w:rsidRPr="008625DC">
        <w:t xml:space="preserve"> </w:t>
      </w:r>
      <w:r w:rsidRPr="008625DC">
        <w:t>the use of discount fuel shopper dockets constitutes a misuse of market power.</w:t>
      </w:r>
      <w:r w:rsidRPr="008625DC">
        <w:rPr>
          <w:rStyle w:val="FootnoteReference"/>
        </w:rPr>
        <w:footnoteReference w:id="246"/>
      </w:r>
      <w:r w:rsidRPr="008625DC">
        <w:t xml:space="preserve"> Following an investigation, the ACCC accepted court</w:t>
      </w:r>
      <w:r w:rsidR="00C74E19" w:rsidRPr="008625DC">
        <w:noBreakHyphen/>
      </w:r>
      <w:r w:rsidRPr="008625DC">
        <w:t xml:space="preserve">enforceable undertakings from Woolworths and Coles limiting the extent of fuel discounts to </w:t>
      </w:r>
      <w:r w:rsidR="00007069" w:rsidRPr="008625DC">
        <w:t>four</w:t>
      </w:r>
      <w:r w:rsidRPr="008625DC">
        <w:t xml:space="preserve"> cents per litre. This appears to have addressed the concerns of these submitters for the time being.</w:t>
      </w:r>
    </w:p>
    <w:p w14:paraId="745EA60B" w14:textId="435B9913" w:rsidR="00D84152" w:rsidRPr="008625DC" w:rsidRDefault="00D84152" w:rsidP="00D84152">
      <w:r w:rsidRPr="008625DC">
        <w:t xml:space="preserve">Should larger discounts reappear following the expiry of the undertakings, the ACCC could pursue court action under the CCA if it formed the view that such conduct constituted a breach of the CCA. In this context, the Panel notes its proposed changes to the misuse of market power provisions of the CCA at </w:t>
      </w:r>
      <w:hyperlink w:anchor="s37" w:history="1">
        <w:r w:rsidRPr="008625DC">
          <w:rPr>
            <w:rStyle w:val="Hyperlink"/>
          </w:rPr>
          <w:t>Section 3.7</w:t>
        </w:r>
      </w:hyperlink>
      <w:r w:rsidRPr="008625DC">
        <w:t>.</w:t>
      </w:r>
    </w:p>
    <w:p w14:paraId="3878645F" w14:textId="77777777" w:rsidR="00D84152" w:rsidRPr="008625DC" w:rsidRDefault="00D84152" w:rsidP="00D84152">
      <w:r w:rsidRPr="008625DC">
        <w:t>The Panel is not persuaded that consumers are made worse off by the availability of fuel discounts at their current levels.</w:t>
      </w:r>
    </w:p>
    <w:p w14:paraId="766EBE67" w14:textId="595652F1" w:rsidR="004B159C" w:rsidRPr="008625DC" w:rsidRDefault="00594906" w:rsidP="00AE36C5">
      <w:r w:rsidRPr="008625DC">
        <w:t>T</w:t>
      </w:r>
      <w:r w:rsidR="004B159C" w:rsidRPr="008625DC">
        <w:t xml:space="preserve">he </w:t>
      </w:r>
      <w:r w:rsidRPr="008625DC">
        <w:t>Australian Automobile Association</w:t>
      </w:r>
      <w:r w:rsidR="004B159C" w:rsidRPr="008625DC">
        <w:t xml:space="preserve"> </w:t>
      </w:r>
      <w:r w:rsidRPr="008625DC">
        <w:t>(pages 4</w:t>
      </w:r>
      <w:r w:rsidR="00C74E19" w:rsidRPr="008625DC">
        <w:noBreakHyphen/>
      </w:r>
      <w:r w:rsidRPr="008625DC">
        <w:t>5) raises</w:t>
      </w:r>
      <w:r w:rsidR="004B159C" w:rsidRPr="008625DC">
        <w:t xml:space="preserve"> petrol price boards</w:t>
      </w:r>
      <w:r w:rsidRPr="008625DC">
        <w:t>, and proposes a national standard be developed</w:t>
      </w:r>
      <w:r w:rsidR="004B159C" w:rsidRPr="008625DC">
        <w:t>. Presently</w:t>
      </w:r>
      <w:r w:rsidR="00434731" w:rsidRPr="008625DC">
        <w:t>,</w:t>
      </w:r>
      <w:r w:rsidR="004B159C" w:rsidRPr="008625DC">
        <w:t xml:space="preserve"> in most of Australia</w:t>
      </w:r>
      <w:r w:rsidR="00434731" w:rsidRPr="008625DC">
        <w:t>,</w:t>
      </w:r>
      <w:r w:rsidR="004B159C" w:rsidRPr="008625DC">
        <w:t xml:space="preserve"> </w:t>
      </w:r>
      <w:r w:rsidR="00F0464E" w:rsidRPr="008625DC">
        <w:t>price boards</w:t>
      </w:r>
      <w:r w:rsidR="004B159C" w:rsidRPr="008625DC">
        <w:t xml:space="preserve"> are permitted to show the discounted </w:t>
      </w:r>
      <w:r w:rsidR="00C74E19" w:rsidRPr="008625DC">
        <w:t>‘</w:t>
      </w:r>
      <w:r w:rsidR="004B159C" w:rsidRPr="008625DC">
        <w:t>shopper docket</w:t>
      </w:r>
      <w:r w:rsidR="00C74E19" w:rsidRPr="008625DC">
        <w:t>’</w:t>
      </w:r>
      <w:r w:rsidR="004B159C" w:rsidRPr="008625DC">
        <w:t xml:space="preserve"> price, but it was submitted that this may mislead consumers and unfairly advantage firms offering such discounts. The ACCC has not taken </w:t>
      </w:r>
      <w:r w:rsidR="00EC5626" w:rsidRPr="008625DC">
        <w:t>c</w:t>
      </w:r>
      <w:r w:rsidR="004B159C" w:rsidRPr="008625DC">
        <w:t>ourt action in response to such conduct to date, but the Panel notes that the CCA contains provisions dealing with misleading and deceptive conduct.</w:t>
      </w:r>
    </w:p>
    <w:p w14:paraId="118B752D" w14:textId="08E7BB5B" w:rsidR="004B159C" w:rsidRPr="008625DC" w:rsidRDefault="008A0D37" w:rsidP="004B159C">
      <w:pPr>
        <w:spacing w:after="120"/>
      </w:pPr>
      <w:r w:rsidRPr="008625DC">
        <w:t>National Seniors Australia draws</w:t>
      </w:r>
      <w:r w:rsidR="004B159C" w:rsidRPr="008625DC">
        <w:t xml:space="preserve"> attention to the relevance of price signalling </w:t>
      </w:r>
      <w:r w:rsidR="007F1E42" w:rsidRPr="008625DC">
        <w:t>provisions</w:t>
      </w:r>
      <w:r w:rsidR="004B159C" w:rsidRPr="008625DC">
        <w:t xml:space="preserve">, which presently </w:t>
      </w:r>
      <w:r w:rsidR="007F1E42" w:rsidRPr="008625DC">
        <w:t>apply</w:t>
      </w:r>
      <w:r w:rsidR="004B159C" w:rsidRPr="008625DC">
        <w:t xml:space="preserve"> only to banking, to the fuel retailing market</w:t>
      </w:r>
      <w:r w:rsidR="000324B9" w:rsidRPr="008625DC">
        <w:t>:</w:t>
      </w:r>
      <w:r w:rsidR="004B159C" w:rsidRPr="008625DC">
        <w:t xml:space="preserve"> </w:t>
      </w:r>
    </w:p>
    <w:p w14:paraId="2E1AFE37" w14:textId="1F298CD5" w:rsidR="004B159C" w:rsidRPr="008625DC" w:rsidRDefault="004B159C" w:rsidP="004B159C">
      <w:pPr>
        <w:pStyle w:val="Quotes"/>
      </w:pPr>
      <w:r w:rsidRPr="008625DC">
        <w:t xml:space="preserve">National </w:t>
      </w:r>
      <w:proofErr w:type="gramStart"/>
      <w:r w:rsidRPr="008625DC">
        <w:t>Seniors</w:t>
      </w:r>
      <w:proofErr w:type="gramEnd"/>
      <w:r w:rsidRPr="008625DC">
        <w:t xml:space="preserve"> questions whether competition law is working effectively to ensure genuine price competition in automotive fuel retailing, where weekly price movements posted by the major distribution companies appear to move in tandem. The Review should consider whether price signalling provisions … should be extended to fuel suppliers and other sectors. (National Seniors</w:t>
      </w:r>
      <w:r w:rsidR="00C458D9" w:rsidRPr="008625DC">
        <w:t xml:space="preserve"> Australia</w:t>
      </w:r>
      <w:r w:rsidRPr="008625DC">
        <w:t>, page 8)</w:t>
      </w:r>
    </w:p>
    <w:p w14:paraId="5C9746AA" w14:textId="626B5DF5" w:rsidR="004B159C" w:rsidRPr="008625DC" w:rsidRDefault="004B159C" w:rsidP="004B159C">
      <w:r w:rsidRPr="008625DC">
        <w:t>The Panel</w:t>
      </w:r>
      <w:r w:rsidR="00C74E19" w:rsidRPr="008625DC">
        <w:t>’</w:t>
      </w:r>
      <w:r w:rsidRPr="008625DC">
        <w:t xml:space="preserve">s views on price signalling provisions of the CCA are set out in </w:t>
      </w:r>
      <w:hyperlink w:anchor="s36" w:history="1">
        <w:r w:rsidR="00C538EE" w:rsidRPr="008625DC">
          <w:rPr>
            <w:rStyle w:val="Hyperlink"/>
          </w:rPr>
          <w:t>Section</w:t>
        </w:r>
        <w:r w:rsidRPr="008625DC">
          <w:rPr>
            <w:rStyle w:val="Hyperlink"/>
          </w:rPr>
          <w:t xml:space="preserve"> </w:t>
        </w:r>
        <w:r w:rsidR="003F194A" w:rsidRPr="008625DC">
          <w:rPr>
            <w:rStyle w:val="Hyperlink"/>
          </w:rPr>
          <w:t>3.</w:t>
        </w:r>
        <w:r w:rsidR="00311F43" w:rsidRPr="008625DC">
          <w:rPr>
            <w:rStyle w:val="Hyperlink"/>
          </w:rPr>
          <w:t>6</w:t>
        </w:r>
      </w:hyperlink>
      <w:r w:rsidRPr="008625DC">
        <w:t xml:space="preserve">. The Panel also notes the current litigation in which the ACCC alleges that </w:t>
      </w:r>
      <w:r w:rsidR="000324B9" w:rsidRPr="008625DC">
        <w:t xml:space="preserve">Informed Sources service, which shares pricing information between fuel retailers, </w:t>
      </w:r>
      <w:r w:rsidR="00434731" w:rsidRPr="008625DC">
        <w:t xml:space="preserve">and participating petrol retailers </w:t>
      </w:r>
      <w:r w:rsidRPr="008625DC">
        <w:t>ha</w:t>
      </w:r>
      <w:r w:rsidR="00434731" w:rsidRPr="008625DC">
        <w:t>ve</w:t>
      </w:r>
      <w:r w:rsidRPr="008625DC">
        <w:t xml:space="preserve"> breached section</w:t>
      </w:r>
      <w:r w:rsidR="006C1ED5" w:rsidRPr="008625DC">
        <w:t> </w:t>
      </w:r>
      <w:r w:rsidRPr="008625DC">
        <w:t>45 of the CCA, which prohibits contracts</w:t>
      </w:r>
      <w:r w:rsidR="007F1E42" w:rsidRPr="008625DC">
        <w:t>,</w:t>
      </w:r>
      <w:r w:rsidRPr="008625DC">
        <w:t xml:space="preserve"> arrangements </w:t>
      </w:r>
      <w:r w:rsidR="007F1E42" w:rsidRPr="008625DC">
        <w:t>and understandings</w:t>
      </w:r>
      <w:r w:rsidRPr="008625DC">
        <w:t xml:space="preserve"> that have the </w:t>
      </w:r>
      <w:r w:rsidR="00AA5953" w:rsidRPr="008625DC">
        <w:t xml:space="preserve">purpose, </w:t>
      </w:r>
      <w:r w:rsidRPr="008625DC">
        <w:t xml:space="preserve">effect or likely effect of </w:t>
      </w:r>
      <w:r w:rsidR="00AA5953" w:rsidRPr="008625DC">
        <w:t xml:space="preserve">substantially lessening </w:t>
      </w:r>
      <w:r w:rsidRPr="008625DC">
        <w:t>competition.</w:t>
      </w:r>
    </w:p>
    <w:p w14:paraId="327EDAEC" w14:textId="77777777" w:rsidR="004B159C" w:rsidRPr="008625DC" w:rsidRDefault="004B159C" w:rsidP="004B159C">
      <w:pPr>
        <w:pStyle w:val="Bullet"/>
        <w:numPr>
          <w:ilvl w:val="0"/>
          <w:numId w:val="0"/>
        </w:numPr>
        <w:spacing w:before="280" w:after="200"/>
      </w:pPr>
      <w:r w:rsidRPr="008625DC">
        <w:t xml:space="preserve">The Australasian Convenience and Petroleum Marketers Association </w:t>
      </w:r>
      <w:proofErr w:type="gramStart"/>
      <w:r w:rsidRPr="008625DC">
        <w:t>has</w:t>
      </w:r>
      <w:proofErr w:type="gramEnd"/>
      <w:r w:rsidRPr="008625DC">
        <w:t xml:space="preserve"> made public comments emphasising the importance of terminal access to facilitate wholesaling competition.</w:t>
      </w:r>
      <w:r w:rsidRPr="008625DC">
        <w:rPr>
          <w:rStyle w:val="FootnoteReference"/>
        </w:rPr>
        <w:footnoteReference w:id="247"/>
      </w:r>
      <w:r w:rsidRPr="008625DC">
        <w:t xml:space="preserve"> </w:t>
      </w:r>
    </w:p>
    <w:p w14:paraId="47A1708B" w14:textId="3E0E66A4" w:rsidR="004B159C" w:rsidRPr="008625DC" w:rsidRDefault="004B159C" w:rsidP="004B159C">
      <w:pPr>
        <w:pStyle w:val="Bullet"/>
        <w:numPr>
          <w:ilvl w:val="0"/>
          <w:numId w:val="0"/>
        </w:numPr>
        <w:spacing w:before="280" w:after="200"/>
      </w:pPr>
      <w:r w:rsidRPr="008625DC">
        <w:t xml:space="preserve">The availability of a timely and effective scheme to allow access, where appropriate, to natural monopoly infrastructure, provides a possible avenue should independent wholesalers </w:t>
      </w:r>
      <w:proofErr w:type="gramStart"/>
      <w:r w:rsidRPr="008625DC">
        <w:t>be</w:t>
      </w:r>
      <w:proofErr w:type="gramEnd"/>
      <w:r w:rsidRPr="008625DC">
        <w:t xml:space="preserve"> frustrated in their attempts to gain access through commercial negotiations. The Panel</w:t>
      </w:r>
      <w:r w:rsidR="00C74E19" w:rsidRPr="008625DC">
        <w:t>’</w:t>
      </w:r>
      <w:r w:rsidRPr="008625DC">
        <w:t>s views on the access regime under the CCA are set out at</w:t>
      </w:r>
      <w:r w:rsidR="00F0464E" w:rsidRPr="008625DC">
        <w:t xml:space="preserve"> </w:t>
      </w:r>
      <w:hyperlink w:anchor="s316" w:history="1">
        <w:r w:rsidR="00F0464E" w:rsidRPr="008625DC">
          <w:rPr>
            <w:rStyle w:val="Hyperlink"/>
          </w:rPr>
          <w:t>Section 3.16</w:t>
        </w:r>
      </w:hyperlink>
      <w:r w:rsidRPr="008625DC">
        <w:t>. The Panel has not seen evidence that would justify industry</w:t>
      </w:r>
      <w:r w:rsidR="00C74E19" w:rsidRPr="008625DC">
        <w:noBreakHyphen/>
      </w:r>
      <w:r w:rsidRPr="008625DC">
        <w:t xml:space="preserve">specific intervention to facilitate such access for fuel terminals. </w:t>
      </w:r>
    </w:p>
    <w:p w14:paraId="1767520D" w14:textId="77777777" w:rsidR="004B159C" w:rsidRPr="008625DC" w:rsidRDefault="004B159C" w:rsidP="004B159C">
      <w:pPr>
        <w:pStyle w:val="Bullet"/>
        <w:numPr>
          <w:ilvl w:val="0"/>
          <w:numId w:val="0"/>
        </w:numPr>
        <w:spacing w:before="280" w:after="200"/>
      </w:pPr>
      <w:r w:rsidRPr="008625DC">
        <w:lastRenderedPageBreak/>
        <w:t>As noted in relation to other sectors, the Panel notes the importance of planning and zoning regulations taking into account competition. To the extent that they allow only one service station serving a given area and discourage the opening of multiple service stations in close proximity, such restrictions may reduce the likelihood of close competition that allows and encourages price comparison by consumers.</w:t>
      </w:r>
    </w:p>
    <w:p w14:paraId="0A30ADCC" w14:textId="7D32CD79" w:rsidR="00856D4E" w:rsidRPr="008625DC" w:rsidRDefault="004B159C" w:rsidP="00856D4E">
      <w:pPr>
        <w:pStyle w:val="Bullet"/>
        <w:numPr>
          <w:ilvl w:val="0"/>
          <w:numId w:val="0"/>
        </w:numPr>
        <w:spacing w:before="280" w:after="200"/>
      </w:pPr>
      <w:r w:rsidRPr="008625DC">
        <w:t>The ACCC submit</w:t>
      </w:r>
      <w:r w:rsidR="00856D4E" w:rsidRPr="008625DC">
        <w:t>s</w:t>
      </w:r>
      <w:r w:rsidRPr="008625DC">
        <w:t xml:space="preserve"> that the </w:t>
      </w:r>
      <w:r w:rsidR="007F1E42" w:rsidRPr="008625DC">
        <w:t>NSW</w:t>
      </w:r>
      <w:r w:rsidRPr="008625DC">
        <w:t xml:space="preserve"> government mandate requiring that a certain proportion of petrol sold in the state should </w:t>
      </w:r>
      <w:r w:rsidR="007F1E42" w:rsidRPr="008625DC">
        <w:t>contain</w:t>
      </w:r>
      <w:r w:rsidRPr="008625DC">
        <w:t xml:space="preserve"> ethanol </w:t>
      </w:r>
      <w:r w:rsidR="00856D4E" w:rsidRPr="008625DC">
        <w:t>i</w:t>
      </w:r>
      <w:r w:rsidR="00856D4E" w:rsidRPr="008625DC">
        <w:rPr>
          <w:szCs w:val="22"/>
        </w:rPr>
        <w:t>s an example of regulation that limits competition and imposes costs on society (</w:t>
      </w:r>
      <w:r w:rsidR="00D04174" w:rsidRPr="008625DC">
        <w:t xml:space="preserve">ACCC Submission 1, </w:t>
      </w:r>
      <w:r w:rsidR="00856D4E" w:rsidRPr="008625DC">
        <w:rPr>
          <w:szCs w:val="22"/>
        </w:rPr>
        <w:t>page 40)</w:t>
      </w:r>
      <w:r w:rsidRPr="008625DC">
        <w:t>. The ACCC submits that the mandate has failed to achieve its industry assistance goals while at the same time it has diminished consumer choice and has led to consumers paying higher prices as they switch to premium fuels to avoid ethanol. The Panel considers that this mandate should be reviewed and repealed unless it can be shown t</w:t>
      </w:r>
      <w:r w:rsidR="00856D4E" w:rsidRPr="008625DC">
        <w:t xml:space="preserve">hat it is in the public interest and that its objectives can only be achieved by restricting competition.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4B159C" w:rsidRPr="008625DC" w14:paraId="28BEE3A7" w14:textId="77777777" w:rsidTr="004B159C">
        <w:tc>
          <w:tcPr>
            <w:tcW w:w="5000" w:type="pct"/>
            <w:shd w:val="clear" w:color="auto" w:fill="FFFFFF" w:themeFill="background1"/>
          </w:tcPr>
          <w:p w14:paraId="71B14653" w14:textId="0C6ACD59" w:rsidR="004B159C" w:rsidRPr="008625DC" w:rsidRDefault="004B159C" w:rsidP="004B159C">
            <w:pPr>
              <w:pStyle w:val="Keyfindingheading"/>
            </w:pPr>
            <w:r w:rsidRPr="008625DC">
              <w:t>The Panel</w:t>
            </w:r>
            <w:r w:rsidR="00C74E19" w:rsidRPr="008625DC">
              <w:t>’</w:t>
            </w:r>
            <w:r w:rsidRPr="008625DC">
              <w:t>s view</w:t>
            </w:r>
          </w:p>
          <w:p w14:paraId="38E3E21A" w14:textId="110E4E8F" w:rsidR="004B159C" w:rsidRPr="008625DC" w:rsidRDefault="004B159C" w:rsidP="004B159C">
            <w:pPr>
              <w:pStyle w:val="Keyfindingtext"/>
            </w:pPr>
            <w:r w:rsidRPr="008625DC">
              <w:t>Shopper dockets were a source of considerable concern, particularly for small competitors. These were up to 45</w:t>
            </w:r>
            <w:r w:rsidR="006C1ED5" w:rsidRPr="008625DC">
              <w:t> </w:t>
            </w:r>
            <w:r w:rsidRPr="008625DC">
              <w:t>c</w:t>
            </w:r>
            <w:r w:rsidR="006C1ED5" w:rsidRPr="008625DC">
              <w:t>ents</w:t>
            </w:r>
            <w:r w:rsidR="007F1E42" w:rsidRPr="008625DC">
              <w:t xml:space="preserve"> per </w:t>
            </w:r>
            <w:r w:rsidRPr="008625DC">
              <w:t>litre but are now limited to 4</w:t>
            </w:r>
            <w:r w:rsidR="006C1ED5" w:rsidRPr="008625DC">
              <w:t xml:space="preserve"> </w:t>
            </w:r>
            <w:r w:rsidRPr="008625DC">
              <w:t>c</w:t>
            </w:r>
            <w:r w:rsidR="006C1ED5" w:rsidRPr="008625DC">
              <w:t>ents</w:t>
            </w:r>
            <w:r w:rsidR="007F1E42" w:rsidRPr="008625DC">
              <w:t xml:space="preserve"> per </w:t>
            </w:r>
            <w:r w:rsidRPr="008625DC">
              <w:t xml:space="preserve">litre through undertakings to the ACCC. </w:t>
            </w:r>
          </w:p>
          <w:p w14:paraId="1965D457" w14:textId="77777777" w:rsidR="004B159C" w:rsidRPr="008625DC" w:rsidRDefault="004B159C" w:rsidP="004B159C">
            <w:pPr>
              <w:pStyle w:val="Keyfindingtext"/>
            </w:pPr>
            <w:r w:rsidRPr="008625DC">
              <w:t>The Panel has heard submissions on this issue but at present is not persuaded that consumers are made worse off by, rather than benefitting from, the availability of discounts at their current levels. The Panel notes the undertakings accepted by the ACCC and the availability of the misuse of market power provisions of the CCA should future competition concerns emerge in this context.</w:t>
            </w:r>
          </w:p>
          <w:p w14:paraId="728FDFB9" w14:textId="77777777" w:rsidR="004B159C" w:rsidRPr="008625DC" w:rsidRDefault="004B159C" w:rsidP="004B159C">
            <w:pPr>
              <w:pStyle w:val="Keyfindingtext"/>
            </w:pPr>
            <w:r w:rsidRPr="008625DC">
              <w:t>Stakeholders expressed concerns that prices are higher in certain regional areas, but the Panel does not consider that this is explained by any clear shortcoming in the law or policy.</w:t>
            </w:r>
          </w:p>
          <w:p w14:paraId="1486BF69" w14:textId="5FF110ED" w:rsidR="004B159C" w:rsidRPr="008625DC" w:rsidRDefault="004B159C" w:rsidP="004B159C">
            <w:pPr>
              <w:pStyle w:val="Keyfindingtext"/>
            </w:pPr>
            <w:r w:rsidRPr="008625DC">
              <w:t xml:space="preserve">We express no view as to any effect the Informed Sources pricing information sharing service has on competition. </w:t>
            </w:r>
            <w:r w:rsidR="00736394" w:rsidRPr="008625DC">
              <w:t>The Panel</w:t>
            </w:r>
            <w:r w:rsidR="00C74E19" w:rsidRPr="008625DC">
              <w:t>’</w:t>
            </w:r>
            <w:r w:rsidR="00736394" w:rsidRPr="008625DC">
              <w:t>s</w:t>
            </w:r>
            <w:r w:rsidRPr="008625DC">
              <w:t xml:space="preserve"> views on the price signalling provisions of the CCA are set out in </w:t>
            </w:r>
            <w:hyperlink w:anchor="s36" w:history="1">
              <w:r w:rsidR="00C538EE" w:rsidRPr="008625DC">
                <w:rPr>
                  <w:rStyle w:val="Hyperlink"/>
                </w:rPr>
                <w:t>Section</w:t>
              </w:r>
              <w:r w:rsidRPr="008625DC">
                <w:rPr>
                  <w:rStyle w:val="Hyperlink"/>
                </w:rPr>
                <w:t xml:space="preserve"> </w:t>
              </w:r>
              <w:r w:rsidR="002C325C" w:rsidRPr="008625DC">
                <w:rPr>
                  <w:rStyle w:val="Hyperlink"/>
                </w:rPr>
                <w:t>3.</w:t>
              </w:r>
              <w:r w:rsidR="00311F43" w:rsidRPr="008625DC">
                <w:rPr>
                  <w:rStyle w:val="Hyperlink"/>
                </w:rPr>
                <w:t>6</w:t>
              </w:r>
            </w:hyperlink>
            <w:r w:rsidRPr="008625DC">
              <w:t>.</w:t>
            </w:r>
          </w:p>
          <w:p w14:paraId="1069D4B9" w14:textId="585C8B11" w:rsidR="004B159C" w:rsidRPr="008625DC" w:rsidRDefault="004B159C" w:rsidP="004B159C">
            <w:pPr>
              <w:pStyle w:val="Keyfindingtext"/>
            </w:pPr>
            <w:r w:rsidRPr="008625DC">
              <w:t xml:space="preserve">The NSW ethanol mandate should be reviewed against </w:t>
            </w:r>
            <w:r w:rsidR="00856D4E" w:rsidRPr="008625DC">
              <w:t>the public benefit test set out at</w:t>
            </w:r>
            <w:r w:rsidRPr="008625DC">
              <w:t xml:space="preserve"> </w:t>
            </w:r>
            <w:hyperlink w:anchor="DR11" w:history="1">
              <w:r w:rsidRPr="008625DC">
                <w:rPr>
                  <w:rStyle w:val="Hyperlink"/>
                </w:rPr>
                <w:t>Draft Recommendation 1</w:t>
              </w:r>
              <w:r w:rsidR="00A946F4" w:rsidRPr="008625DC">
                <w:rPr>
                  <w:rStyle w:val="Hyperlink"/>
                </w:rPr>
                <w:t>1</w:t>
              </w:r>
            </w:hyperlink>
            <w:r w:rsidR="00856D4E" w:rsidRPr="008625DC">
              <w:t xml:space="preserve"> and repealed unless it can be shown that it is in the public interest and that its objectives can only be achieved by restricting competition</w:t>
            </w:r>
            <w:r w:rsidRPr="008625DC">
              <w:t xml:space="preserve">. </w:t>
            </w:r>
          </w:p>
          <w:p w14:paraId="47126BD0" w14:textId="77777777" w:rsidR="004B159C" w:rsidRPr="008625DC" w:rsidRDefault="004B159C" w:rsidP="004B159C">
            <w:pPr>
              <w:pStyle w:val="Keyfindingtext"/>
            </w:pPr>
            <w:r w:rsidRPr="008625DC">
              <w:t xml:space="preserve">In relation to the regulation of petrol price boards, the Panel considers that the case for regulation to require the undiscounted price (only) to be displayed has not been made out. </w:t>
            </w:r>
          </w:p>
        </w:tc>
      </w:tr>
    </w:tbl>
    <w:p w14:paraId="3E305662" w14:textId="77777777" w:rsidR="004B159C" w:rsidRPr="008625DC" w:rsidRDefault="004B159C" w:rsidP="004B159C">
      <w:pPr>
        <w:spacing w:before="0" w:after="0"/>
      </w:pPr>
    </w:p>
    <w:p w14:paraId="3CF4F74D" w14:textId="77777777" w:rsidR="00A8424A" w:rsidRPr="008625DC" w:rsidRDefault="00A8424A" w:rsidP="00C74DF8">
      <w:pPr>
        <w:rPr>
          <w:rFonts w:ascii="Calibri" w:hAnsi="Calibri" w:cs="Calibri"/>
          <w:color w:val="auto"/>
          <w:sz w:val="24"/>
          <w:szCs w:val="24"/>
        </w:rPr>
        <w:sectPr w:rsidR="00A8424A" w:rsidRPr="008625DC" w:rsidSect="00AA577F">
          <w:pgSz w:w="11906" w:h="16838" w:code="9"/>
          <w:pgMar w:top="1418" w:right="1418" w:bottom="1418" w:left="1418" w:header="709" w:footer="709" w:gutter="0"/>
          <w:cols w:space="708"/>
          <w:docGrid w:linePitch="360"/>
        </w:sectPr>
      </w:pPr>
    </w:p>
    <w:p w14:paraId="6B60DCC9" w14:textId="6764EA14" w:rsidR="000225AB" w:rsidRPr="008625DC" w:rsidRDefault="00331A08" w:rsidP="00392423">
      <w:pPr>
        <w:pStyle w:val="PartHeading"/>
      </w:pPr>
      <w:bookmarkStart w:id="26036" w:name="Pt4"/>
      <w:bookmarkStart w:id="26037" w:name="_Toc395867634"/>
      <w:bookmarkStart w:id="26038" w:name="_Toc395868543"/>
      <w:bookmarkStart w:id="26039" w:name="_Toc395868766"/>
      <w:bookmarkStart w:id="26040" w:name="_Toc395879145"/>
      <w:bookmarkStart w:id="26041" w:name="_Toc395882048"/>
      <w:bookmarkStart w:id="26042" w:name="_Toc395882269"/>
      <w:bookmarkStart w:id="26043" w:name="_Toc395882379"/>
      <w:bookmarkStart w:id="26044" w:name="_Toc395882600"/>
      <w:bookmarkStart w:id="26045" w:name="_Toc395880543"/>
      <w:bookmarkStart w:id="26046" w:name="_Toc395880874"/>
      <w:bookmarkStart w:id="26047" w:name="_Toc395881432"/>
      <w:bookmarkStart w:id="26048" w:name="_Toc395881653"/>
      <w:bookmarkStart w:id="26049" w:name="_Toc395881365"/>
      <w:bookmarkStart w:id="26050" w:name="_Toc395883817"/>
      <w:bookmarkStart w:id="26051" w:name="_Toc395884038"/>
      <w:bookmarkStart w:id="26052" w:name="_Toc395880772"/>
      <w:bookmarkStart w:id="26053" w:name="_Toc395884479"/>
      <w:bookmarkStart w:id="26054" w:name="_Toc395884700"/>
      <w:bookmarkStart w:id="26055" w:name="_Toc395883188"/>
      <w:bookmarkStart w:id="26056" w:name="_Toc395883409"/>
      <w:bookmarkStart w:id="26057" w:name="_Toc395883518"/>
      <w:bookmarkStart w:id="26058" w:name="_Toc395883739"/>
      <w:bookmarkStart w:id="26059" w:name="_Toc395884820"/>
      <w:bookmarkStart w:id="26060" w:name="_Toc396123849"/>
      <w:bookmarkStart w:id="26061" w:name="_Toc396130752"/>
      <w:bookmarkStart w:id="26062" w:name="_Toc396136330"/>
      <w:bookmarkStart w:id="26063" w:name="_Toc396138784"/>
      <w:bookmarkStart w:id="26064" w:name="_Toc396144045"/>
      <w:bookmarkStart w:id="26065" w:name="_Toc396145554"/>
      <w:bookmarkStart w:id="26066" w:name="_Toc396145698"/>
      <w:bookmarkStart w:id="26067" w:name="_Toc396145980"/>
      <w:bookmarkStart w:id="26068" w:name="_Toc396147520"/>
      <w:bookmarkStart w:id="26069" w:name="_Toc396147806"/>
      <w:bookmarkStart w:id="26070" w:name="_Toc396149062"/>
      <w:bookmarkStart w:id="26071" w:name="_Toc396148776"/>
      <w:bookmarkStart w:id="26072" w:name="_Toc396149557"/>
      <w:bookmarkStart w:id="26073" w:name="_Toc396149202"/>
      <w:bookmarkStart w:id="26074" w:name="_Toc396149488"/>
      <w:bookmarkStart w:id="26075" w:name="_Toc396149165"/>
      <w:bookmarkStart w:id="26076" w:name="_Toc396149910"/>
      <w:bookmarkStart w:id="26077" w:name="_Toc396149660"/>
      <w:bookmarkStart w:id="26078" w:name="_Toc396150501"/>
      <w:bookmarkStart w:id="26079" w:name="_Toc396151390"/>
      <w:bookmarkStart w:id="26080" w:name="_Toc396151684"/>
      <w:bookmarkStart w:id="26081" w:name="_Toc396201611"/>
      <w:bookmarkStart w:id="26082" w:name="_Toc396202401"/>
      <w:bookmarkStart w:id="26083" w:name="_Toc396202696"/>
      <w:bookmarkStart w:id="26084" w:name="_Toc396203313"/>
      <w:bookmarkStart w:id="26085" w:name="_Toc396206609"/>
      <w:bookmarkStart w:id="26086" w:name="_Toc396206903"/>
      <w:bookmarkStart w:id="26087" w:name="_Toc396209437"/>
      <w:bookmarkStart w:id="26088" w:name="_Toc396209731"/>
      <w:bookmarkStart w:id="26089" w:name="_Toc396211861"/>
      <w:bookmarkStart w:id="26090" w:name="_Toc396212155"/>
      <w:bookmarkStart w:id="26091" w:name="_Toc396213205"/>
      <w:bookmarkStart w:id="26092" w:name="_Toc396213497"/>
      <w:bookmarkStart w:id="26093" w:name="_Toc396214048"/>
      <w:bookmarkStart w:id="26094" w:name="_Toc396214483"/>
      <w:bookmarkStart w:id="26095" w:name="_Toc396214773"/>
      <w:bookmarkStart w:id="26096" w:name="_Toc396220333"/>
      <w:bookmarkStart w:id="26097" w:name="_Toc396226595"/>
      <w:bookmarkStart w:id="26098" w:name="_Toc396226884"/>
      <w:bookmarkStart w:id="26099" w:name="_Toc396228795"/>
      <w:bookmarkStart w:id="26100" w:name="_Toc396229090"/>
      <w:bookmarkStart w:id="26101" w:name="_Toc396230437"/>
      <w:bookmarkStart w:id="26102" w:name="_Toc396230732"/>
      <w:bookmarkStart w:id="26103" w:name="_Toc396231874"/>
      <w:bookmarkStart w:id="26104" w:name="_Toc396233217"/>
      <w:bookmarkStart w:id="26105" w:name="_Toc396233514"/>
      <w:bookmarkStart w:id="26106" w:name="_Toc396234037"/>
      <w:bookmarkStart w:id="26107" w:name="_Toc396234334"/>
      <w:bookmarkStart w:id="26108" w:name="_Toc396234447"/>
      <w:bookmarkStart w:id="26109" w:name="_Toc396236181"/>
      <w:bookmarkStart w:id="26110" w:name="_Toc396235959"/>
      <w:bookmarkStart w:id="26111" w:name="_Toc396236569"/>
      <w:bookmarkStart w:id="26112" w:name="_Toc396237088"/>
      <w:bookmarkStart w:id="26113" w:name="_Toc396397431"/>
      <w:bookmarkStart w:id="26114" w:name="_Toc396304612"/>
      <w:bookmarkStart w:id="26115" w:name="_Toc396586147"/>
      <w:bookmarkStart w:id="26116" w:name="_Toc396815168"/>
      <w:bookmarkStart w:id="26117" w:name="_Toc396821117"/>
      <w:bookmarkStart w:id="26118" w:name="_Toc396821725"/>
      <w:bookmarkStart w:id="26119" w:name="_Toc396827575"/>
      <w:bookmarkStart w:id="26120" w:name="_Toc396828546"/>
      <w:bookmarkStart w:id="26121" w:name="_Toc396828656"/>
      <w:bookmarkStart w:id="26122" w:name="_Toc396838045"/>
      <w:bookmarkStart w:id="26123" w:name="_Toc396838443"/>
      <w:bookmarkStart w:id="26124" w:name="_Toc396904766"/>
      <w:bookmarkStart w:id="26125" w:name="_Toc396907600"/>
      <w:bookmarkStart w:id="26126" w:name="_Toc396912519"/>
      <w:bookmarkStart w:id="26127" w:name="_Toc396914499"/>
      <w:bookmarkStart w:id="26128" w:name="_Toc396915383"/>
      <w:bookmarkStart w:id="26129" w:name="_Toc396915777"/>
      <w:bookmarkStart w:id="26130" w:name="_Toc396921088"/>
      <w:bookmarkStart w:id="26131" w:name="_Toc396924428"/>
      <w:bookmarkStart w:id="26132" w:name="_Toc396925122"/>
      <w:bookmarkStart w:id="26133" w:name="_Toc396992242"/>
      <w:bookmarkStart w:id="26134" w:name="_Toc396992821"/>
      <w:bookmarkStart w:id="26135" w:name="_Toc396994485"/>
      <w:bookmarkStart w:id="26136" w:name="_Toc397002255"/>
      <w:bookmarkStart w:id="26137" w:name="_Toc397003174"/>
      <w:bookmarkStart w:id="26138" w:name="_Toc397008732"/>
      <w:bookmarkStart w:id="26139" w:name="_Toc397008950"/>
      <w:bookmarkStart w:id="26140" w:name="_Toc397011622"/>
      <w:bookmarkStart w:id="26141" w:name="_Toc397012684"/>
      <w:bookmarkStart w:id="26142" w:name="_Toc397015026"/>
      <w:bookmarkStart w:id="26143" w:name="_Toc397015513"/>
      <w:bookmarkStart w:id="26144" w:name="_Toc397070583"/>
      <w:bookmarkStart w:id="26145" w:name="_Toc397413333"/>
      <w:bookmarkStart w:id="26146" w:name="_Toc397413480"/>
      <w:bookmarkStart w:id="26147" w:name="_Toc397428054"/>
      <w:bookmarkStart w:id="26148" w:name="_Toc397439442"/>
      <w:bookmarkStart w:id="26149" w:name="_Toc397439612"/>
      <w:bookmarkStart w:id="26150" w:name="_Toc397439868"/>
      <w:bookmarkStart w:id="26151" w:name="_Toc397440170"/>
      <w:bookmarkStart w:id="26152" w:name="_Toc397441799"/>
      <w:bookmarkStart w:id="26153" w:name="_Toc397517501"/>
      <w:bookmarkStart w:id="26154" w:name="_Toc397522766"/>
      <w:bookmarkStart w:id="26155" w:name="_Toc397526184"/>
      <w:bookmarkStart w:id="26156" w:name="_Toc397528499"/>
      <w:bookmarkStart w:id="26157" w:name="_Toc397528974"/>
      <w:bookmarkStart w:id="26158" w:name="_Toc397601974"/>
      <w:bookmarkStart w:id="26159" w:name="_Toc397602709"/>
      <w:bookmarkStart w:id="26160" w:name="_Toc397605842"/>
      <w:bookmarkStart w:id="26161" w:name="_Toc397614539"/>
      <w:bookmarkStart w:id="26162" w:name="_Toc397614982"/>
      <w:bookmarkStart w:id="26163" w:name="_Toc397616425"/>
      <w:bookmarkStart w:id="26164" w:name="_Toc397616819"/>
      <w:bookmarkStart w:id="26165" w:name="_Toc397688117"/>
      <w:bookmarkStart w:id="26166" w:name="_Toc397689333"/>
      <w:bookmarkStart w:id="26167" w:name="_Toc397694613"/>
      <w:bookmarkStart w:id="26168" w:name="_Toc397696454"/>
      <w:bookmarkStart w:id="26169" w:name="_Toc397697188"/>
      <w:bookmarkStart w:id="26170" w:name="_Toc397698475"/>
      <w:bookmarkStart w:id="26171" w:name="_Toc397699841"/>
      <w:bookmarkStart w:id="26172" w:name="_Toc397700295"/>
      <w:bookmarkStart w:id="26173" w:name="_Toc397936687"/>
      <w:bookmarkStart w:id="26174" w:name="_Toc397936807"/>
      <w:bookmarkStart w:id="26175" w:name="_Toc397945963"/>
      <w:bookmarkStart w:id="26176" w:name="_Toc397946989"/>
      <w:bookmarkStart w:id="26177" w:name="_Toc397948108"/>
      <w:bookmarkStart w:id="26178" w:name="_Toc397958514"/>
      <w:bookmarkStart w:id="26179" w:name="_Toc397958756"/>
      <w:bookmarkStart w:id="26180" w:name="_Toc397959171"/>
      <w:bookmarkStart w:id="26181" w:name="_Toc397962238"/>
      <w:bookmarkStart w:id="26182" w:name="_Toc397963024"/>
      <w:bookmarkStart w:id="26183" w:name="_Toc397963390"/>
      <w:bookmarkStart w:id="26184" w:name="_Toc397965467"/>
      <w:bookmarkStart w:id="26185" w:name="_Toc398197405"/>
      <w:bookmarkStart w:id="26186" w:name="_Toc398199908"/>
      <w:bookmarkStart w:id="26187" w:name="_Toc398201622"/>
      <w:bookmarkStart w:id="26188" w:name="_Toc398207227"/>
      <w:bookmarkStart w:id="26189" w:name="_Toc398209931"/>
      <w:bookmarkStart w:id="26190" w:name="_Toc398210500"/>
      <w:bookmarkStart w:id="26191" w:name="_Toc398211014"/>
      <w:bookmarkStart w:id="26192" w:name="_Toc398219822"/>
      <w:bookmarkStart w:id="26193" w:name="_Toc398220197"/>
      <w:bookmarkStart w:id="26194" w:name="_Toc398220584"/>
      <w:bookmarkStart w:id="26195" w:name="_Toc398221662"/>
      <w:bookmarkStart w:id="26196" w:name="_Toc398222348"/>
      <w:bookmarkStart w:id="26197" w:name="_Toc398222660"/>
      <w:bookmarkStart w:id="26198" w:name="_Toc398223077"/>
      <w:bookmarkStart w:id="26199" w:name="_Toc398223456"/>
      <w:bookmarkStart w:id="26200" w:name="_Toc398223583"/>
      <w:bookmarkStart w:id="26201" w:name="_Toc398224391"/>
      <w:bookmarkStart w:id="26202" w:name="_Toc398225728"/>
      <w:bookmarkStart w:id="26203" w:name="_Toc398225853"/>
      <w:bookmarkStart w:id="26204" w:name="_Toc398281340"/>
      <w:bookmarkStart w:id="26205" w:name="_Toc398282199"/>
      <w:bookmarkStart w:id="26206" w:name="_Toc398284869"/>
      <w:bookmarkStart w:id="26207" w:name="_Toc398287338"/>
      <w:bookmarkStart w:id="26208" w:name="_Toc398289221"/>
      <w:bookmarkStart w:id="26209" w:name="_Toc398297218"/>
      <w:bookmarkStart w:id="26210" w:name="_Toc398298692"/>
      <w:bookmarkStart w:id="26211" w:name="_Toc398300393"/>
      <w:bookmarkStart w:id="26212" w:name="_Toc398301290"/>
      <w:bookmarkStart w:id="26213" w:name="_Toc398302475"/>
      <w:bookmarkStart w:id="26214" w:name="_Toc398302638"/>
      <w:bookmarkStart w:id="26215" w:name="_Toc398549152"/>
      <w:bookmarkStart w:id="26216" w:name="_Toc398549402"/>
      <w:bookmarkStart w:id="26217" w:name="_Toc398555821"/>
      <w:bookmarkStart w:id="26218" w:name="_Toc398559025"/>
      <w:bookmarkStart w:id="26219" w:name="_Toc398563511"/>
      <w:bookmarkStart w:id="26220" w:name="_Toc398563644"/>
      <w:bookmarkStart w:id="26221" w:name="_Toc398564043"/>
      <w:bookmarkStart w:id="26222" w:name="_Toc398827381"/>
      <w:bookmarkStart w:id="26223" w:name="_Toc398827575"/>
      <w:r w:rsidRPr="008625DC">
        <w:lastRenderedPageBreak/>
        <w:t xml:space="preserve">Part </w:t>
      </w:r>
      <w:r w:rsidR="008A4E71" w:rsidRPr="008625DC">
        <w:t>4</w:t>
      </w:r>
      <w:bookmarkEnd w:id="26036"/>
      <w:r w:rsidR="00380141" w:rsidRPr="008625DC">
        <w:t xml:space="preserve"> — </w:t>
      </w:r>
      <w:r w:rsidR="000A0A87" w:rsidRPr="008625DC">
        <w:t xml:space="preserve">Competition </w:t>
      </w:r>
      <w:bookmarkEnd w:id="25622"/>
      <w:bookmarkEnd w:id="25623"/>
      <w:bookmarkEnd w:id="25624"/>
      <w:bookmarkEnd w:id="25625"/>
      <w:bookmarkEnd w:id="25626"/>
      <w:bookmarkEnd w:id="25627"/>
      <w:r w:rsidR="000A0A87" w:rsidRPr="008625DC">
        <w:t>l</w:t>
      </w:r>
      <w:r w:rsidR="000225AB" w:rsidRPr="008625DC">
        <w:t>aw</w:t>
      </w:r>
      <w:r w:rsidR="007222DC" w:rsidRPr="008625DC">
        <w:t>s</w:t>
      </w:r>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p>
    <w:p w14:paraId="778EFEEF" w14:textId="5448D192" w:rsidR="00356BD2" w:rsidRPr="008625DC" w:rsidRDefault="00356BD2" w:rsidP="00864E0A">
      <w:pPr>
        <w:pStyle w:val="Heading1"/>
        <w:ind w:left="851" w:hanging="851"/>
      </w:pPr>
      <w:bookmarkStart w:id="26224" w:name="_Toc397070584"/>
      <w:bookmarkStart w:id="26225" w:name="_Toc397413334"/>
      <w:bookmarkStart w:id="26226" w:name="_Toc397413481"/>
      <w:bookmarkStart w:id="26227" w:name="_Toc397428055"/>
      <w:bookmarkStart w:id="26228" w:name="_Toc397439443"/>
      <w:bookmarkStart w:id="26229" w:name="_Toc397439613"/>
      <w:bookmarkStart w:id="26230" w:name="_Toc397439869"/>
      <w:bookmarkStart w:id="26231" w:name="_Toc397440171"/>
      <w:bookmarkStart w:id="26232" w:name="_Toc397441800"/>
      <w:bookmarkStart w:id="26233" w:name="_Toc397517502"/>
      <w:bookmarkStart w:id="26234" w:name="_Toc397522767"/>
      <w:bookmarkStart w:id="26235" w:name="_Toc397526185"/>
      <w:bookmarkStart w:id="26236" w:name="_Toc397528500"/>
      <w:bookmarkStart w:id="26237" w:name="_Toc397528975"/>
      <w:bookmarkStart w:id="26238" w:name="_Toc397601975"/>
      <w:bookmarkStart w:id="26239" w:name="_Toc397602710"/>
      <w:bookmarkStart w:id="26240" w:name="_Toc397605843"/>
      <w:bookmarkStart w:id="26241" w:name="_Toc397614540"/>
      <w:bookmarkStart w:id="26242" w:name="_Toc397614983"/>
      <w:bookmarkStart w:id="26243" w:name="_Toc397616426"/>
      <w:bookmarkStart w:id="26244" w:name="_Toc397616820"/>
      <w:bookmarkStart w:id="26245" w:name="_Toc397688118"/>
      <w:bookmarkStart w:id="26246" w:name="_Toc397689334"/>
      <w:bookmarkStart w:id="26247" w:name="_Toc397694614"/>
      <w:bookmarkStart w:id="26248" w:name="_Toc397696455"/>
      <w:bookmarkStart w:id="26249" w:name="_Toc397697189"/>
      <w:bookmarkStart w:id="26250" w:name="_Toc397698476"/>
      <w:bookmarkStart w:id="26251" w:name="_Toc397699842"/>
      <w:bookmarkStart w:id="26252" w:name="_Toc397700296"/>
      <w:bookmarkStart w:id="26253" w:name="_Toc397936688"/>
      <w:bookmarkStart w:id="26254" w:name="_Toc397936808"/>
      <w:bookmarkStart w:id="26255" w:name="_Toc397945964"/>
      <w:bookmarkStart w:id="26256" w:name="_Toc397946990"/>
      <w:bookmarkStart w:id="26257" w:name="_Toc397948109"/>
      <w:bookmarkStart w:id="26258" w:name="_Toc397958515"/>
      <w:bookmarkStart w:id="26259" w:name="_Toc397958757"/>
      <w:bookmarkStart w:id="26260" w:name="_Toc397959172"/>
      <w:bookmarkStart w:id="26261" w:name="_Toc397962239"/>
      <w:bookmarkStart w:id="26262" w:name="_Toc397963025"/>
      <w:bookmarkStart w:id="26263" w:name="_Toc397963391"/>
      <w:bookmarkStart w:id="26264" w:name="_Toc397965468"/>
      <w:bookmarkStart w:id="26265" w:name="_Toc398197406"/>
      <w:bookmarkStart w:id="26266" w:name="_Toc398199909"/>
      <w:bookmarkStart w:id="26267" w:name="_Toc398201623"/>
      <w:bookmarkStart w:id="26268" w:name="_Toc398207228"/>
      <w:bookmarkStart w:id="26269" w:name="_Toc398209932"/>
      <w:bookmarkStart w:id="26270" w:name="_Toc398210501"/>
      <w:bookmarkStart w:id="26271" w:name="_Toc398211015"/>
      <w:bookmarkStart w:id="26272" w:name="_Toc398219823"/>
      <w:bookmarkStart w:id="26273" w:name="_Toc398220198"/>
      <w:bookmarkStart w:id="26274" w:name="_Toc398220585"/>
      <w:bookmarkStart w:id="26275" w:name="_Toc398221663"/>
      <w:bookmarkStart w:id="26276" w:name="_Toc398222349"/>
      <w:bookmarkStart w:id="26277" w:name="_Toc398222661"/>
      <w:bookmarkStart w:id="26278" w:name="_Toc398223078"/>
      <w:bookmarkStart w:id="26279" w:name="_Toc398223457"/>
      <w:bookmarkStart w:id="26280" w:name="_Toc398223584"/>
      <w:bookmarkStart w:id="26281" w:name="_Toc398224392"/>
      <w:bookmarkStart w:id="26282" w:name="_Toc398225729"/>
      <w:bookmarkStart w:id="26283" w:name="_Toc398225854"/>
      <w:bookmarkStart w:id="26284" w:name="_Toc398281341"/>
      <w:bookmarkStart w:id="26285" w:name="_Toc398282200"/>
      <w:bookmarkStart w:id="26286" w:name="_Toc398284870"/>
      <w:bookmarkStart w:id="26287" w:name="_Toc398287339"/>
      <w:bookmarkStart w:id="26288" w:name="_Toc398289222"/>
      <w:bookmarkStart w:id="26289" w:name="_Toc398297219"/>
      <w:bookmarkStart w:id="26290" w:name="_Toc398298693"/>
      <w:bookmarkStart w:id="26291" w:name="_Toc398300394"/>
      <w:bookmarkStart w:id="26292" w:name="_Toc398301291"/>
      <w:bookmarkStart w:id="26293" w:name="_Toc398302476"/>
      <w:bookmarkStart w:id="26294" w:name="_Toc398302639"/>
      <w:bookmarkStart w:id="26295" w:name="_Toc398549153"/>
      <w:bookmarkStart w:id="26296" w:name="_Toc398549403"/>
      <w:bookmarkStart w:id="26297" w:name="_Toc398555822"/>
      <w:bookmarkStart w:id="26298" w:name="_Toc398559026"/>
      <w:bookmarkStart w:id="26299" w:name="_Toc398563512"/>
      <w:bookmarkStart w:id="26300" w:name="_Toc398563645"/>
      <w:bookmarkStart w:id="26301" w:name="_Toc398564044"/>
      <w:bookmarkStart w:id="26302" w:name="_Toc398827382"/>
      <w:bookmarkStart w:id="26303" w:name="_Toc398827576"/>
      <w:bookmarkStart w:id="26304" w:name="Ch14"/>
      <w:r w:rsidRPr="008625DC">
        <w:t>Introduction to competition law issues</w:t>
      </w:r>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p>
    <w:p w14:paraId="2E494AF3" w14:textId="6946C398" w:rsidR="00356BD2" w:rsidRPr="008625DC" w:rsidRDefault="00356BD2" w:rsidP="001F2705">
      <w:bookmarkStart w:id="26305" w:name="_Toc394930771"/>
      <w:bookmarkStart w:id="26306" w:name="_Toc394933684"/>
      <w:bookmarkStart w:id="26307" w:name="_Toc394938131"/>
      <w:bookmarkStart w:id="26308" w:name="_Toc394938389"/>
      <w:bookmarkStart w:id="26309" w:name="_Toc394938633"/>
      <w:bookmarkStart w:id="26310" w:name="_Toc394937669"/>
      <w:bookmarkStart w:id="26311" w:name="_Toc394937915"/>
      <w:bookmarkStart w:id="26312" w:name="_Toc394941043"/>
      <w:bookmarkStart w:id="26313" w:name="_Toc394941300"/>
      <w:bookmarkStart w:id="26314" w:name="_Toc394941544"/>
      <w:bookmarkStart w:id="26315" w:name="_Toc394941659"/>
      <w:bookmarkStart w:id="26316" w:name="_Toc394941916"/>
      <w:bookmarkStart w:id="26317" w:name="_Toc394942160"/>
      <w:bookmarkStart w:id="26318" w:name="_Toc394939880"/>
      <w:bookmarkStart w:id="26319" w:name="_Toc394940138"/>
      <w:bookmarkStart w:id="26320" w:name="_Toc394940382"/>
      <w:bookmarkStart w:id="26321" w:name="_Toc394939492"/>
      <w:bookmarkStart w:id="26322" w:name="_Toc394939748"/>
      <w:bookmarkStart w:id="26323" w:name="_Toc394940596"/>
      <w:bookmarkStart w:id="26324" w:name="_Toc394993645"/>
      <w:bookmarkStart w:id="26325" w:name="_Toc394995527"/>
      <w:bookmarkStart w:id="26326" w:name="_Toc394995841"/>
      <w:bookmarkStart w:id="26327" w:name="_Toc394996076"/>
      <w:bookmarkStart w:id="26328" w:name="_Toc394997802"/>
      <w:bookmarkStart w:id="26329" w:name="_Toc394998084"/>
      <w:bookmarkStart w:id="26330" w:name="_Toc394998317"/>
      <w:bookmarkStart w:id="26331" w:name="_Toc394998598"/>
      <w:bookmarkStart w:id="26332" w:name="_Toc395001812"/>
      <w:bookmarkStart w:id="26333" w:name="_Toc395002097"/>
      <w:bookmarkStart w:id="26334" w:name="_Toc395001303"/>
      <w:bookmarkStart w:id="26335" w:name="_Toc395001577"/>
      <w:bookmarkStart w:id="26336" w:name="_Toc395002866"/>
      <w:bookmarkStart w:id="26337" w:name="_Toc395003451"/>
      <w:bookmarkStart w:id="26338" w:name="_Toc395005064"/>
      <w:bookmarkStart w:id="26339" w:name="_Toc395005190"/>
      <w:bookmarkStart w:id="26340" w:name="_Toc395005406"/>
      <w:bookmarkStart w:id="26341" w:name="_Toc395005692"/>
      <w:bookmarkStart w:id="26342" w:name="_Toc395008983"/>
      <w:bookmarkStart w:id="26343" w:name="_Toc395009686"/>
      <w:bookmarkStart w:id="26344" w:name="_Toc395011769"/>
      <w:bookmarkStart w:id="26345" w:name="_Toc395010169"/>
      <w:bookmarkStart w:id="26346" w:name="_Toc395010427"/>
      <w:bookmarkStart w:id="26347" w:name="_Toc395010011"/>
      <w:bookmarkStart w:id="26348" w:name="_Toc395011537"/>
      <w:bookmarkStart w:id="26349" w:name="_Toc395012355"/>
      <w:bookmarkStart w:id="26350" w:name="_Toc395012611"/>
      <w:bookmarkStart w:id="26351" w:name="_Toc395012945"/>
      <w:bookmarkStart w:id="26352" w:name="_Toc395010760"/>
      <w:bookmarkStart w:id="26353" w:name="_Toc395012233"/>
      <w:bookmarkStart w:id="26354" w:name="_Toc395013074"/>
      <w:bookmarkStart w:id="26355" w:name="_Toc395012076"/>
      <w:bookmarkStart w:id="26356" w:name="_Toc395014415"/>
      <w:bookmarkStart w:id="26357" w:name="_Toc395014634"/>
      <w:bookmarkStart w:id="26358" w:name="_Toc395013225"/>
      <w:bookmarkStart w:id="26359" w:name="_Toc395084766"/>
      <w:bookmarkStart w:id="26360" w:name="_Toc395085067"/>
      <w:bookmarkStart w:id="26361" w:name="_Toc395090264"/>
      <w:bookmarkStart w:id="26362" w:name="_Toc395090533"/>
      <w:bookmarkStart w:id="26363" w:name="_Toc395090743"/>
      <w:bookmarkStart w:id="26364" w:name="_Toc395092844"/>
      <w:bookmarkStart w:id="26365" w:name="_Toc395093117"/>
      <w:bookmarkStart w:id="26366" w:name="_Toc395093326"/>
      <w:bookmarkStart w:id="26367" w:name="_Toc395095271"/>
      <w:bookmarkStart w:id="26368" w:name="_Toc395097755"/>
      <w:bookmarkStart w:id="26369" w:name="_Toc395098029"/>
      <w:bookmarkStart w:id="26370" w:name="_Toc395098236"/>
      <w:bookmarkStart w:id="26371" w:name="_Toc395103919"/>
      <w:bookmarkStart w:id="26372" w:name="_Toc395104192"/>
      <w:bookmarkStart w:id="26373" w:name="_Toc395104399"/>
      <w:bookmarkStart w:id="26374" w:name="_Toc395105421"/>
      <w:bookmarkStart w:id="26375" w:name="_Toc395106213"/>
      <w:bookmarkStart w:id="26376" w:name="_Toc395107024"/>
      <w:bookmarkStart w:id="26377" w:name="_Toc395109896"/>
      <w:bookmarkStart w:id="26378" w:name="_Toc395109682"/>
      <w:bookmarkStart w:id="26379" w:name="_Toc395109806"/>
      <w:bookmarkStart w:id="26380" w:name="_Toc395111899"/>
      <w:bookmarkStart w:id="26381" w:name="_Toc395112183"/>
      <w:bookmarkStart w:id="26382" w:name="_Toc395112387"/>
      <w:bookmarkStart w:id="26383" w:name="_Toc395106819"/>
      <w:bookmarkStart w:id="26384" w:name="_Toc395107325"/>
      <w:bookmarkStart w:id="26385" w:name="_Toc395107532"/>
      <w:bookmarkStart w:id="26386" w:name="_Toc395109842"/>
      <w:bookmarkStart w:id="26387" w:name="_Toc395108579"/>
      <w:bookmarkStart w:id="26388" w:name="_Toc395108886"/>
      <w:bookmarkStart w:id="26389" w:name="_Toc395113819"/>
      <w:bookmarkStart w:id="26390" w:name="_Toc395114126"/>
      <w:bookmarkStart w:id="26391" w:name="_Toc395114339"/>
      <w:bookmarkStart w:id="26392" w:name="_Toc395116555"/>
      <w:bookmarkStart w:id="26393" w:name="_Toc395116863"/>
      <w:bookmarkStart w:id="26394" w:name="_Toc395117077"/>
      <w:bookmarkStart w:id="26395" w:name="_Toc395112492"/>
      <w:bookmarkStart w:id="26396" w:name="_Toc395112800"/>
      <w:bookmarkStart w:id="26397" w:name="_Toc395113195"/>
      <w:bookmarkStart w:id="26398" w:name="_Toc395115031"/>
      <w:bookmarkStart w:id="26399" w:name="_Toc395115340"/>
      <w:bookmarkStart w:id="26400" w:name="_Toc395115554"/>
      <w:bookmarkStart w:id="26401" w:name="_Toc395118186"/>
      <w:bookmarkStart w:id="26402" w:name="_Toc395118492"/>
      <w:bookmarkStart w:id="26403" w:name="_Toc395118704"/>
      <w:bookmarkStart w:id="26404" w:name="_Toc395178396"/>
      <w:bookmarkStart w:id="26405" w:name="_Toc395178728"/>
      <w:bookmarkStart w:id="26406" w:name="_Toc395624686"/>
      <w:bookmarkStart w:id="26407" w:name="_Toc395624885"/>
      <w:bookmarkStart w:id="26408" w:name="_Toc395789739"/>
      <w:bookmarkStart w:id="26409" w:name="_Toc395790037"/>
      <w:bookmarkStart w:id="26410" w:name="_Toc395800795"/>
      <w:bookmarkStart w:id="26411" w:name="_Toc395802868"/>
      <w:bookmarkStart w:id="26412" w:name="_Toc395867635"/>
      <w:bookmarkStart w:id="26413" w:name="_Toc395868544"/>
      <w:bookmarkStart w:id="26414" w:name="_Toc395868767"/>
      <w:bookmarkStart w:id="26415" w:name="_Toc395879146"/>
      <w:bookmarkStart w:id="26416" w:name="_Toc395882049"/>
      <w:bookmarkStart w:id="26417" w:name="_Toc395882270"/>
      <w:bookmarkStart w:id="26418" w:name="_Toc395882380"/>
      <w:bookmarkStart w:id="26419" w:name="_Toc395882601"/>
      <w:bookmarkStart w:id="26420" w:name="_Toc395880544"/>
      <w:bookmarkStart w:id="26421" w:name="_Toc395880875"/>
      <w:bookmarkStart w:id="26422" w:name="_Toc395881433"/>
      <w:bookmarkStart w:id="26423" w:name="_Toc395881654"/>
      <w:bookmarkStart w:id="26424" w:name="_Toc395881366"/>
      <w:bookmarkStart w:id="26425" w:name="_Toc395883818"/>
      <w:bookmarkStart w:id="26426" w:name="_Toc395884039"/>
      <w:bookmarkStart w:id="26427" w:name="_Toc395880773"/>
      <w:bookmarkStart w:id="26428" w:name="_Toc395884480"/>
      <w:bookmarkStart w:id="26429" w:name="_Toc395884701"/>
      <w:bookmarkStart w:id="26430" w:name="_Toc395883189"/>
      <w:bookmarkStart w:id="26431" w:name="_Toc395883410"/>
      <w:bookmarkStart w:id="26432" w:name="_Toc395883519"/>
      <w:bookmarkStart w:id="26433" w:name="_Toc395883740"/>
      <w:bookmarkStart w:id="26434" w:name="_Toc395884821"/>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6304"/>
      <w:r w:rsidRPr="008625DC">
        <w:t>In this Part we examine Australia</w:t>
      </w:r>
      <w:r w:rsidR="00C74E19" w:rsidRPr="008625DC">
        <w:t>’</w:t>
      </w:r>
      <w:r w:rsidRPr="008625DC">
        <w:t xml:space="preserve">s competition laws, which are contained in Part IV of the </w:t>
      </w:r>
      <w:r w:rsidR="00B41A9E" w:rsidRPr="008625DC">
        <w:rPr>
          <w:i/>
        </w:rPr>
        <w:t>Competition and Consumer Act 2010</w:t>
      </w:r>
      <w:r w:rsidR="00B41A9E" w:rsidRPr="008625DC">
        <w:t xml:space="preserve"> (</w:t>
      </w:r>
      <w:r w:rsidRPr="008625DC">
        <w:t>CCA</w:t>
      </w:r>
      <w:r w:rsidR="00B41A9E" w:rsidRPr="008625DC">
        <w:t>)</w:t>
      </w:r>
      <w:r w:rsidRPr="008625DC">
        <w:t>, to assess whether they remain fit for purpose having regard to consumer and business experience with the laws, changes that have occurred in the Australian economy and that are anticipated, and relevant international developments.</w:t>
      </w:r>
    </w:p>
    <w:p w14:paraId="4CCD0B84" w14:textId="0CCB2A1D" w:rsidR="00356BD2" w:rsidRPr="008625DC" w:rsidRDefault="00AD530F" w:rsidP="00356BD2">
      <w:hyperlink w:anchor="Pt1" w:history="1">
        <w:r w:rsidR="00356BD2" w:rsidRPr="008625DC">
          <w:rPr>
            <w:rStyle w:val="Hyperlink"/>
          </w:rPr>
          <w:t>Part 1</w:t>
        </w:r>
      </w:hyperlink>
      <w:r w:rsidR="00356BD2" w:rsidRPr="008625DC">
        <w:t xml:space="preserve"> sets out a number of principles that </w:t>
      </w:r>
      <w:r w:rsidR="0059370B" w:rsidRPr="008625DC">
        <w:t>guide the Panel</w:t>
      </w:r>
      <w:r w:rsidR="00C74E19" w:rsidRPr="008625DC">
        <w:t>’</w:t>
      </w:r>
      <w:r w:rsidR="0059370B" w:rsidRPr="008625DC">
        <w:t>s</w:t>
      </w:r>
      <w:r w:rsidR="00356BD2" w:rsidRPr="008625DC">
        <w:t xml:space="preserve"> review</w:t>
      </w:r>
      <w:r w:rsidR="0059370B" w:rsidRPr="008625DC">
        <w:t xml:space="preserve"> of Australia</w:t>
      </w:r>
      <w:r w:rsidR="00C74E19" w:rsidRPr="008625DC">
        <w:t>’</w:t>
      </w:r>
      <w:r w:rsidR="0059370B" w:rsidRPr="008625DC">
        <w:t>s competition laws</w:t>
      </w:r>
      <w:r w:rsidR="00356BD2" w:rsidRPr="008625DC">
        <w:t xml:space="preserve">. An important principle is that competition policy should foster choice and increased responsiveness to consumers. This is reflected in the objective of the CCA, </w:t>
      </w:r>
      <w:r w:rsidR="00C74E19" w:rsidRPr="008625DC">
        <w:t>‘</w:t>
      </w:r>
      <w:r w:rsidR="00356BD2" w:rsidRPr="008625DC">
        <w:t>to enhance the welfare of Australians through the promotion of competition and fair trading and provision for consumer protection</w:t>
      </w:r>
      <w:r w:rsidR="00C74E19" w:rsidRPr="008625DC">
        <w:t>’</w:t>
      </w:r>
      <w:r w:rsidR="00356BD2" w:rsidRPr="008625DC">
        <w:t xml:space="preserve"> (section 2).</w:t>
      </w:r>
    </w:p>
    <w:p w14:paraId="70BFC96A" w14:textId="77777777" w:rsidR="006F71EE" w:rsidRPr="008625DC" w:rsidRDefault="00356BD2" w:rsidP="00356BD2">
      <w:r w:rsidRPr="008625DC">
        <w:t>The CCA (and competition policy more generally) is not designed to support a particular number of participants in a market or to protect individual competitors; it is designed to ensure that the behaviour of competitors does not damage the competitive process to the detriment of consumers.</w:t>
      </w:r>
    </w:p>
    <w:p w14:paraId="713FAC7A" w14:textId="31295361" w:rsidR="00356BD2" w:rsidRPr="008625DC" w:rsidRDefault="00356BD2" w:rsidP="00356BD2">
      <w:r w:rsidRPr="008625DC">
        <w:t xml:space="preserve">The robust competitive process supported by Part IV of the CCA may inevitably lead to market participants being damaged or leaving the market completely. Those adversely </w:t>
      </w:r>
      <w:r w:rsidR="0059370B" w:rsidRPr="008625DC">
        <w:t>affected</w:t>
      </w:r>
      <w:r w:rsidRPr="008625DC">
        <w:t xml:space="preserve"> by competition may feel aggrieved by the damage that competition inflicts on their business, which in some cases may cause them to exit the market. But the CCA is </w:t>
      </w:r>
      <w:r w:rsidR="0059370B" w:rsidRPr="008625DC">
        <w:t>neither intended nor</w:t>
      </w:r>
      <w:r w:rsidRPr="008625DC">
        <w:t xml:space="preserve"> designed to protect individual competitors or classes of competitors from such outcomes.</w:t>
      </w:r>
    </w:p>
    <w:p w14:paraId="32C8C93F" w14:textId="302E11FF" w:rsidR="00356BD2" w:rsidRPr="008625DC" w:rsidRDefault="00356BD2" w:rsidP="00BD3315">
      <w:pPr>
        <w:spacing w:after="120"/>
      </w:pPr>
      <w:r w:rsidRPr="008625DC">
        <w:t xml:space="preserve">Another guiding principle is that the law </w:t>
      </w:r>
      <w:r w:rsidR="0059370B" w:rsidRPr="008625DC">
        <w:t xml:space="preserve">should </w:t>
      </w:r>
      <w:r w:rsidRPr="008625DC">
        <w:t>be simple, predictable and reliable. Those objectives can be met if:</w:t>
      </w:r>
    </w:p>
    <w:p w14:paraId="5BDD3234" w14:textId="4CBFA51F" w:rsidR="00356BD2" w:rsidRPr="008625DC" w:rsidRDefault="00356BD2" w:rsidP="00356BD2">
      <w:pPr>
        <w:pStyle w:val="Bullet"/>
      </w:pPr>
      <w:r w:rsidRPr="008625DC">
        <w:t>the law prohibits specific categories of anti</w:t>
      </w:r>
      <w:r w:rsidR="00C74E19" w:rsidRPr="008625DC">
        <w:noBreakHyphen/>
      </w:r>
      <w:r w:rsidRPr="008625DC">
        <w:t>competitive conduct, with economy wide application;</w:t>
      </w:r>
    </w:p>
    <w:p w14:paraId="4FDBD732" w14:textId="667AC57E" w:rsidR="00356BD2" w:rsidRPr="008625DC" w:rsidRDefault="00356BD2" w:rsidP="004A443B">
      <w:pPr>
        <w:pStyle w:val="Bullet"/>
      </w:pPr>
      <w:r w:rsidRPr="008625DC">
        <w:t>only conduct that is anti</w:t>
      </w:r>
      <w:r w:rsidR="00C74E19" w:rsidRPr="008625DC">
        <w:noBreakHyphen/>
      </w:r>
      <w:r w:rsidRPr="008625DC">
        <w:t>competitive in most circumstances is prohibited per se</w:t>
      </w:r>
      <w:r w:rsidR="00380141" w:rsidRPr="008625DC">
        <w:t xml:space="preserve"> — </w:t>
      </w:r>
      <w:r w:rsidRPr="008625DC">
        <w:t xml:space="preserve">other conduct is only prohibited if it can be shown that the conduct has the purpose, </w:t>
      </w:r>
      <w:r w:rsidR="001C7677" w:rsidRPr="008625DC">
        <w:t xml:space="preserve">effect </w:t>
      </w:r>
      <w:r w:rsidRPr="008625DC">
        <w:t xml:space="preserve">or likely effect, of substantially lessening competition; </w:t>
      </w:r>
    </w:p>
    <w:p w14:paraId="3FDB7EFE" w14:textId="77777777" w:rsidR="00356BD2" w:rsidRPr="008625DC" w:rsidRDefault="00356BD2" w:rsidP="00356BD2">
      <w:pPr>
        <w:pStyle w:val="Bullet"/>
      </w:pPr>
      <w:r w:rsidRPr="008625DC">
        <w:t>contraventions of the law are adjudicated by a court, with proceedings able to be initiated by a public administrator or through private suit; and</w:t>
      </w:r>
    </w:p>
    <w:p w14:paraId="62A3AA57" w14:textId="77777777" w:rsidR="00356BD2" w:rsidRPr="008625DC" w:rsidRDefault="00356BD2" w:rsidP="001F2705">
      <w:pPr>
        <w:pStyle w:val="Bullet"/>
        <w:spacing w:after="200"/>
      </w:pPr>
      <w:proofErr w:type="gramStart"/>
      <w:r w:rsidRPr="008625DC">
        <w:t>there</w:t>
      </w:r>
      <w:proofErr w:type="gramEnd"/>
      <w:r w:rsidRPr="008625DC">
        <w:t xml:space="preserve"> is facility for business to seek exemption from the laws in individual cases on public benefit grounds.</w:t>
      </w:r>
    </w:p>
    <w:p w14:paraId="3BCAC42A" w14:textId="17F054D9" w:rsidR="00356BD2" w:rsidRPr="008625DC" w:rsidRDefault="00356BD2" w:rsidP="001F2705">
      <w:pPr>
        <w:spacing w:after="200"/>
      </w:pPr>
      <w:r w:rsidRPr="008625DC">
        <w:t>The existing competition laws can be measured by how well they reflect th</w:t>
      </w:r>
      <w:r w:rsidR="0059370B" w:rsidRPr="008625DC">
        <w:t>e</w:t>
      </w:r>
      <w:r w:rsidRPr="008625DC">
        <w:t>se attributes.</w:t>
      </w:r>
    </w:p>
    <w:p w14:paraId="6CD4630F" w14:textId="77777777" w:rsidR="00356BD2" w:rsidRPr="008625DC" w:rsidRDefault="00356BD2" w:rsidP="00BD3315">
      <w:pPr>
        <w:keepNext/>
        <w:spacing w:after="120"/>
      </w:pPr>
      <w:r w:rsidRPr="008625DC">
        <w:t>The law must balance two principles:</w:t>
      </w:r>
    </w:p>
    <w:p w14:paraId="2AE9348E" w14:textId="4043058C" w:rsidR="00356BD2" w:rsidRPr="008625DC" w:rsidRDefault="00356BD2" w:rsidP="00356BD2">
      <w:pPr>
        <w:pStyle w:val="Bullet"/>
      </w:pPr>
      <w:r w:rsidRPr="008625DC">
        <w:t xml:space="preserve">that its scope not </w:t>
      </w:r>
      <w:r w:rsidR="0059370B" w:rsidRPr="008625DC">
        <w:t>over</w:t>
      </w:r>
      <w:r w:rsidR="00C74E19" w:rsidRPr="008625DC">
        <w:noBreakHyphen/>
      </w:r>
      <w:r w:rsidR="0059370B" w:rsidRPr="008625DC">
        <w:t>reach</w:t>
      </w:r>
      <w:r w:rsidRPr="008625DC">
        <w:t xml:space="preserve"> (by prohibiting pro</w:t>
      </w:r>
      <w:r w:rsidR="00C74E19" w:rsidRPr="008625DC">
        <w:noBreakHyphen/>
      </w:r>
      <w:r w:rsidRPr="008625DC">
        <w:t>competitive conduct) or fall short (by failing to prohibit anti</w:t>
      </w:r>
      <w:r w:rsidR="00C74E19" w:rsidRPr="008625DC">
        <w:noBreakHyphen/>
      </w:r>
      <w:r w:rsidRPr="008625DC">
        <w:t>competitive conduct); and</w:t>
      </w:r>
    </w:p>
    <w:p w14:paraId="4F91FA09" w14:textId="79F3D029" w:rsidR="00356BD2" w:rsidRPr="008625DC" w:rsidRDefault="00356BD2" w:rsidP="001F2705">
      <w:pPr>
        <w:pStyle w:val="Bullet"/>
        <w:spacing w:after="200"/>
      </w:pPr>
      <w:proofErr w:type="gramStart"/>
      <w:r w:rsidRPr="008625DC">
        <w:t>that</w:t>
      </w:r>
      <w:proofErr w:type="gramEnd"/>
      <w:r w:rsidRPr="008625DC">
        <w:t xml:space="preserve"> the language of the law be clear to market participants and enforceable by regulators and the court</w:t>
      </w:r>
      <w:r w:rsidR="0059370B" w:rsidRPr="008625DC">
        <w:t>s</w:t>
      </w:r>
      <w:r w:rsidRPr="008625DC">
        <w:t>.</w:t>
      </w:r>
    </w:p>
    <w:p w14:paraId="2E320BEE" w14:textId="3B9CEB99" w:rsidR="00356BD2" w:rsidRPr="008625DC" w:rsidRDefault="00356BD2" w:rsidP="00356BD2">
      <w:r w:rsidRPr="008625DC">
        <w:t>A law characterised by either under</w:t>
      </w:r>
      <w:r w:rsidR="00C74E19" w:rsidRPr="008625DC">
        <w:noBreakHyphen/>
      </w:r>
      <w:r w:rsidRPr="008625DC">
        <w:t xml:space="preserve"> or over</w:t>
      </w:r>
      <w:r w:rsidR="00C74E19" w:rsidRPr="008625DC">
        <w:noBreakHyphen/>
      </w:r>
      <w:r w:rsidRPr="008625DC">
        <w:t>reach will reduce the level of competition and will fall short of the stated objective of enhancing the welfare of Australians</w:t>
      </w:r>
      <w:r w:rsidR="0059370B" w:rsidRPr="008625DC">
        <w:t>, especially consumers</w:t>
      </w:r>
      <w:r w:rsidRPr="008625DC">
        <w:t>. A law that is unclear creates business and regulatory uncertainty, imposing costs on the economy.</w:t>
      </w:r>
    </w:p>
    <w:p w14:paraId="51006913" w14:textId="244DFB55" w:rsidR="00356BD2" w:rsidRPr="008625DC" w:rsidRDefault="00356BD2" w:rsidP="00356BD2">
      <w:r w:rsidRPr="008625DC">
        <w:lastRenderedPageBreak/>
        <w:t xml:space="preserve">The law should also keep pace with international best practice. International </w:t>
      </w:r>
      <w:r w:rsidR="001C7677" w:rsidRPr="008625DC">
        <w:t>best</w:t>
      </w:r>
      <w:r w:rsidRPr="008625DC">
        <w:t xml:space="preserve"> practice provides an important point of comparison to assess whether the scope of our law is correct and that the language and approach used is as simple as possible.</w:t>
      </w:r>
    </w:p>
    <w:p w14:paraId="17CBDFE9" w14:textId="77777777" w:rsidR="00356BD2" w:rsidRPr="008625DC" w:rsidRDefault="00356BD2" w:rsidP="00356BD2">
      <w:r w:rsidRPr="008625DC">
        <w:t>Another guiding principle is that policies and systems be adaptable to changing economic circumstances. The more complex and specific the provisions of the law, the less it is able to adapt readily to change.</w:t>
      </w:r>
    </w:p>
    <w:p w14:paraId="0359B79A" w14:textId="57811B47" w:rsidR="00356BD2" w:rsidRPr="008625DC" w:rsidRDefault="00356BD2" w:rsidP="00356BD2">
      <w:r w:rsidRPr="008625DC">
        <w:t xml:space="preserve">Broadly speaking, submissions </w:t>
      </w:r>
      <w:r w:rsidR="0059370B" w:rsidRPr="008625DC">
        <w:t xml:space="preserve">to </w:t>
      </w:r>
      <w:r w:rsidRPr="008625DC">
        <w:t xml:space="preserve">the </w:t>
      </w:r>
      <w:r w:rsidR="0059370B" w:rsidRPr="008625DC">
        <w:t xml:space="preserve">Review </w:t>
      </w:r>
      <w:r w:rsidRPr="008625DC">
        <w:t xml:space="preserve">support </w:t>
      </w:r>
      <w:r w:rsidR="0059370B" w:rsidRPr="008625DC">
        <w:t>Australia</w:t>
      </w:r>
      <w:r w:rsidR="00C74E19" w:rsidRPr="008625DC">
        <w:t>’</w:t>
      </w:r>
      <w:r w:rsidR="0059370B" w:rsidRPr="008625DC">
        <w:t>s</w:t>
      </w:r>
      <w:r w:rsidRPr="008625DC">
        <w:t xml:space="preserve"> current legislative framework. Some </w:t>
      </w:r>
      <w:r w:rsidR="0059370B" w:rsidRPr="008625DC">
        <w:t xml:space="preserve">submissions </w:t>
      </w:r>
      <w:r w:rsidRPr="008625DC">
        <w:t>identif</w:t>
      </w:r>
      <w:r w:rsidR="0059370B" w:rsidRPr="008625DC">
        <w:t>y</w:t>
      </w:r>
      <w:r w:rsidRPr="008625DC">
        <w:t xml:space="preserve"> improvements that could be made in drafting simplicity, clarity for users and better adherence to key economic underpinnings. However, difficulties in simplifying the law </w:t>
      </w:r>
      <w:r w:rsidR="0059370B" w:rsidRPr="008625DC">
        <w:t>are</w:t>
      </w:r>
      <w:r w:rsidRPr="008625DC">
        <w:t xml:space="preserve"> also noted, </w:t>
      </w:r>
      <w:r w:rsidR="0059370B" w:rsidRPr="008625DC">
        <w:t xml:space="preserve">including </w:t>
      </w:r>
      <w:r w:rsidRPr="008625DC">
        <w:t xml:space="preserve">where simpler drafting may lead to increased uncertainty. </w:t>
      </w:r>
    </w:p>
    <w:p w14:paraId="23E54D23" w14:textId="605E5628" w:rsidR="00356BD2" w:rsidRPr="008625DC" w:rsidRDefault="00356BD2" w:rsidP="00356BD2">
      <w:r w:rsidRPr="008625DC">
        <w:t xml:space="preserve">Some of the complexity in the law has arisen from amendments and additions made in response to calls for more </w:t>
      </w:r>
      <w:r w:rsidR="00C74E19" w:rsidRPr="008625DC">
        <w:t>‘</w:t>
      </w:r>
      <w:r w:rsidRPr="008625DC">
        <w:t>effective</w:t>
      </w:r>
      <w:r w:rsidR="00C74E19" w:rsidRPr="008625DC">
        <w:t>’</w:t>
      </w:r>
      <w:r w:rsidRPr="008625DC">
        <w:t xml:space="preserve"> regulation (for example, following judicial interpretation of the words of section 46) or where there has been a perceived shortfall or </w:t>
      </w:r>
      <w:r w:rsidR="0059370B" w:rsidRPr="008625DC">
        <w:t>over</w:t>
      </w:r>
      <w:r w:rsidR="00C74E19" w:rsidRPr="008625DC">
        <w:noBreakHyphen/>
      </w:r>
      <w:r w:rsidR="0059370B" w:rsidRPr="008625DC">
        <w:t>reach</w:t>
      </w:r>
      <w:r w:rsidRPr="008625DC">
        <w:t xml:space="preserve"> resulting from a court judgment. There is a need to balance the certainty provided by specific drafting against the complexity </w:t>
      </w:r>
      <w:r w:rsidR="0059370B" w:rsidRPr="008625DC">
        <w:t xml:space="preserve">that arises </w:t>
      </w:r>
      <w:r w:rsidRPr="008625DC">
        <w:t xml:space="preserve">from </w:t>
      </w:r>
      <w:r w:rsidR="0059370B" w:rsidRPr="008625DC">
        <w:t>attempts</w:t>
      </w:r>
      <w:r w:rsidRPr="008625DC">
        <w:t xml:space="preserve"> to address all possible </w:t>
      </w:r>
      <w:r w:rsidR="0059370B" w:rsidRPr="008625DC">
        <w:t>contingencies</w:t>
      </w:r>
      <w:r w:rsidRPr="008625DC">
        <w:t>.</w:t>
      </w:r>
    </w:p>
    <w:p w14:paraId="2ECD086A" w14:textId="3681CCF6" w:rsidR="00356BD2" w:rsidRPr="008625DC" w:rsidRDefault="00356BD2" w:rsidP="00356BD2">
      <w:r w:rsidRPr="008625DC">
        <w:t>The Panel considers that the current competition law provisions of the CCA, including the provisions regulating the grant</w:t>
      </w:r>
      <w:r w:rsidR="001C7677" w:rsidRPr="008625DC">
        <w:t>ing</w:t>
      </w:r>
      <w:r w:rsidRPr="008625DC">
        <w:t xml:space="preserve"> of exemptions, are unnecessarily complex. Laws that are complex impose costs on the economy: indirect costs are imposed by reason of business and regulatory uncertainty and direct costs are imposed by reason of the necessity for legal advice and prolonged legal disputation. </w:t>
      </w:r>
      <w:r w:rsidR="0059370B" w:rsidRPr="008625DC">
        <w:t>Australia</w:t>
      </w:r>
      <w:r w:rsidR="00C74E19" w:rsidRPr="008625DC">
        <w:t>’</w:t>
      </w:r>
      <w:r w:rsidR="0059370B" w:rsidRPr="008625DC">
        <w:t>s</w:t>
      </w:r>
      <w:r w:rsidRPr="008625DC">
        <w:t xml:space="preserve"> competition laws would benefit from simplification while retaining their underlying policy intent.</w:t>
      </w:r>
    </w:p>
    <w:p w14:paraId="1C1EB35D" w14:textId="2EB7023E" w:rsidR="0059370B" w:rsidRPr="008625DC" w:rsidRDefault="00356BD2" w:rsidP="00356BD2">
      <w:r w:rsidRPr="008625DC">
        <w:t xml:space="preserve">Specific instances </w:t>
      </w:r>
      <w:r w:rsidR="0059370B" w:rsidRPr="008625DC">
        <w:t xml:space="preserve">where </w:t>
      </w:r>
      <w:r w:rsidRPr="008625DC">
        <w:t xml:space="preserve">the law </w:t>
      </w:r>
      <w:r w:rsidR="0059370B" w:rsidRPr="008625DC">
        <w:t xml:space="preserve">could be improved </w:t>
      </w:r>
      <w:r w:rsidRPr="008625DC">
        <w:t xml:space="preserve">are explored in the remainder of this chapter. </w:t>
      </w:r>
      <w:r w:rsidR="00046B31" w:rsidRPr="008625DC">
        <w:t>The Panel</w:t>
      </w:r>
      <w:r w:rsidRPr="008625DC">
        <w:t xml:space="preserve"> ha</w:t>
      </w:r>
      <w:r w:rsidR="00046B31" w:rsidRPr="008625DC">
        <w:t>s</w:t>
      </w:r>
      <w:r w:rsidRPr="008625DC">
        <w:t xml:space="preserve"> been guided by </w:t>
      </w:r>
      <w:r w:rsidR="00736394" w:rsidRPr="008625DC">
        <w:t>the Review</w:t>
      </w:r>
      <w:r w:rsidR="00C74E19" w:rsidRPr="008625DC">
        <w:t>’</w:t>
      </w:r>
      <w:r w:rsidR="00736394" w:rsidRPr="008625DC">
        <w:t>s</w:t>
      </w:r>
      <w:r w:rsidRPr="008625DC">
        <w:t xml:space="preserve"> </w:t>
      </w:r>
      <w:r w:rsidR="001C7677" w:rsidRPr="008625DC">
        <w:t>T</w:t>
      </w:r>
      <w:r w:rsidRPr="008625DC">
        <w:t xml:space="preserve">erms of </w:t>
      </w:r>
      <w:r w:rsidR="001C7677" w:rsidRPr="008625DC">
        <w:t>R</w:t>
      </w:r>
      <w:r w:rsidRPr="008625DC">
        <w:t xml:space="preserve">eference and issues </w:t>
      </w:r>
      <w:r w:rsidR="0059370B" w:rsidRPr="008625DC">
        <w:t>brought to our attention</w:t>
      </w:r>
      <w:r w:rsidRPr="008625DC">
        <w:t xml:space="preserve"> in submissions </w:t>
      </w:r>
      <w:r w:rsidR="0059370B" w:rsidRPr="008625DC">
        <w:t>and consultations</w:t>
      </w:r>
      <w:r w:rsidR="00380141" w:rsidRPr="008625DC">
        <w:t>.</w:t>
      </w:r>
    </w:p>
    <w:p w14:paraId="0AC8960A" w14:textId="58C990A4" w:rsidR="00356BD2" w:rsidRPr="008625DC" w:rsidRDefault="0059370B" w:rsidP="001F2705">
      <w:pPr>
        <w:spacing w:after="120"/>
      </w:pPr>
      <w:r w:rsidRPr="008625DC">
        <w:t>The discussion is organised according to the separate topics indicated in the diagram below</w:t>
      </w:r>
      <w:r w:rsidR="00356BD2" w:rsidRPr="008625DC">
        <w:t>.</w:t>
      </w:r>
    </w:p>
    <w:p w14:paraId="339D7B28" w14:textId="3665843D" w:rsidR="00112648" w:rsidRPr="008625DC" w:rsidRDefault="007918C7" w:rsidP="00F96C39">
      <w:r w:rsidRPr="008625DC">
        <w:object w:dxaOrig="8815" w:dyaOrig="5215" w14:anchorId="70C72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diagram shows the topics are: mergers; unilateral conduct; anti-competitive agreements; employment-related matters; exemption processes; enforcement and remedies; and the National Access Regime." style="width:440.15pt;height:261.5pt" o:ole="">
            <v:imagedata r:id="rId51" o:title=""/>
          </v:shape>
          <o:OLEObject Type="Embed" ProgID="Visio.Drawing.11" ShapeID="_x0000_i1025" DrawAspect="Content" ObjectID="_1472883709" r:id="rId52"/>
        </w:objec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356BD2" w:rsidRPr="008625DC" w14:paraId="1CA4FD95" w14:textId="77777777" w:rsidTr="0052543A">
        <w:tc>
          <w:tcPr>
            <w:tcW w:w="5000" w:type="pct"/>
            <w:shd w:val="clear" w:color="auto" w:fill="FFFFFF" w:themeFill="background1"/>
          </w:tcPr>
          <w:p w14:paraId="3EF0D898" w14:textId="7EF6DD83" w:rsidR="00356BD2" w:rsidRPr="008625DC" w:rsidRDefault="00356BD2" w:rsidP="0052543A">
            <w:pPr>
              <w:pStyle w:val="Keyfindingheading"/>
            </w:pPr>
            <w:r w:rsidRPr="008625DC">
              <w:lastRenderedPageBreak/>
              <w:t>The Panel</w:t>
            </w:r>
            <w:r w:rsidR="00C74E19" w:rsidRPr="008625DC">
              <w:t>’</w:t>
            </w:r>
            <w:r w:rsidRPr="008625DC">
              <w:t>s view</w:t>
            </w:r>
          </w:p>
          <w:p w14:paraId="54693CBD" w14:textId="4A7BDDA8" w:rsidR="00356BD2" w:rsidRPr="00D11422" w:rsidRDefault="00356BD2" w:rsidP="001F2705">
            <w:pPr>
              <w:pStyle w:val="Keyfindingtext"/>
            </w:pPr>
            <w:r w:rsidRPr="008625DC">
              <w:t xml:space="preserve">Competition laws that are fit for purpose support an adaptable </w:t>
            </w:r>
            <w:r w:rsidRPr="00D11422">
              <w:t>economy by protecting the competitive process</w:t>
            </w:r>
            <w:r w:rsidR="00F011C5" w:rsidRPr="00D11422">
              <w:t>,</w:t>
            </w:r>
            <w:r w:rsidRPr="00D11422">
              <w:t xml:space="preserve"> so that a diversity of producers </w:t>
            </w:r>
            <w:r w:rsidR="006345A9" w:rsidRPr="00D11422">
              <w:t>can</w:t>
            </w:r>
            <w:r w:rsidRPr="00D11422">
              <w:t xml:space="preserve"> respond to the </w:t>
            </w:r>
            <w:r w:rsidR="006345A9" w:rsidRPr="00D11422">
              <w:t xml:space="preserve">changing </w:t>
            </w:r>
            <w:r w:rsidRPr="00D11422">
              <w:t xml:space="preserve">needs </w:t>
            </w:r>
            <w:r w:rsidR="006345A9" w:rsidRPr="00D11422">
              <w:t xml:space="preserve">and preferences </w:t>
            </w:r>
            <w:r w:rsidRPr="00D11422">
              <w:t>of consumers.</w:t>
            </w:r>
          </w:p>
          <w:p w14:paraId="644BF93F" w14:textId="12FA5EEA" w:rsidR="00356BD2" w:rsidRPr="00D11422" w:rsidRDefault="00356BD2" w:rsidP="001F2705">
            <w:pPr>
              <w:pStyle w:val="Keyfindingtext"/>
            </w:pPr>
            <w:r w:rsidRPr="008625DC">
              <w:t>The concepts, prohibitions and structure of the CCA are sound. However, there are some provisions that are unnecessarily complex</w:t>
            </w:r>
            <w:r w:rsidR="00F011C5" w:rsidRPr="00D11422">
              <w:t xml:space="preserve">, </w:t>
            </w:r>
            <w:r w:rsidR="006345A9" w:rsidRPr="00D11422">
              <w:t>contributing</w:t>
            </w:r>
            <w:r w:rsidRPr="00D11422">
              <w:t xml:space="preserve"> to business and regulatory uncertainty and impos</w:t>
            </w:r>
            <w:r w:rsidR="006345A9" w:rsidRPr="00D11422">
              <w:t>ing</w:t>
            </w:r>
            <w:r w:rsidRPr="00D11422">
              <w:t xml:space="preserve"> costs on business and the economy. </w:t>
            </w:r>
            <w:r w:rsidR="006345A9" w:rsidRPr="00D11422">
              <w:t>Such provisions</w:t>
            </w:r>
            <w:r w:rsidRPr="00D11422">
              <w:t xml:space="preserve"> can also inhibit the adaptability of the CCA to changing circumstances.</w:t>
            </w:r>
          </w:p>
          <w:p w14:paraId="049ECB95" w14:textId="77777777" w:rsidR="006345A9" w:rsidRPr="00D11422" w:rsidRDefault="00356BD2" w:rsidP="001F2705">
            <w:pPr>
              <w:pStyle w:val="Keyfindingtext"/>
            </w:pPr>
            <w:r w:rsidRPr="008625DC">
              <w:t xml:space="preserve">The Panel considers that the competition </w:t>
            </w:r>
            <w:r w:rsidRPr="00D11422">
              <w:t>law</w:t>
            </w:r>
            <w:r w:rsidR="006345A9" w:rsidRPr="00D11422">
              <w:t>s</w:t>
            </w:r>
            <w:r w:rsidRPr="00D11422">
              <w:t xml:space="preserve"> could be simplified while maintaining their current policy intent. </w:t>
            </w:r>
            <w:r w:rsidR="006345A9" w:rsidRPr="00D11422">
              <w:t>B</w:t>
            </w:r>
            <w:r w:rsidRPr="00D11422">
              <w:t xml:space="preserve">usiness and consumers would benefit from simplification of the law. </w:t>
            </w:r>
            <w:r w:rsidR="006345A9" w:rsidRPr="00D11422">
              <w:t xml:space="preserve">The Panel </w:t>
            </w:r>
            <w:r w:rsidRPr="00D11422">
              <w:t xml:space="preserve">recommends that </w:t>
            </w:r>
            <w:r w:rsidR="006345A9" w:rsidRPr="00D11422">
              <w:t xml:space="preserve">this </w:t>
            </w:r>
            <w:r w:rsidRPr="00D11422">
              <w:t>task</w:t>
            </w:r>
            <w:r w:rsidR="00F011C5" w:rsidRPr="00D11422">
              <w:t xml:space="preserve"> </w:t>
            </w:r>
            <w:r w:rsidRPr="00D11422">
              <w:t>be undertaken in conjunction with the recommended revisions set out below.</w:t>
            </w:r>
          </w:p>
          <w:p w14:paraId="51A5D6E1" w14:textId="30EC9E95" w:rsidR="00356BD2" w:rsidRPr="00D11422" w:rsidRDefault="00356BD2" w:rsidP="001F2705">
            <w:pPr>
              <w:pStyle w:val="Keyfindingtext"/>
            </w:pPr>
            <w:r w:rsidRPr="008625DC">
              <w:t xml:space="preserve">The Panel </w:t>
            </w:r>
            <w:r w:rsidR="006345A9" w:rsidRPr="00D11422">
              <w:t>specifically</w:t>
            </w:r>
            <w:r w:rsidRPr="00D11422">
              <w:t xml:space="preserve"> recommends the removal of unnecessary or now redundant competition law provisions including:</w:t>
            </w:r>
          </w:p>
          <w:p w14:paraId="62314C47" w14:textId="3C43AFA8" w:rsidR="00356BD2" w:rsidRPr="008625DC" w:rsidRDefault="00356BD2" w:rsidP="001F2705">
            <w:pPr>
              <w:pStyle w:val="BoxBullet"/>
              <w:rPr>
                <w:b/>
                <w:lang w:val="en-AU"/>
              </w:rPr>
            </w:pPr>
            <w:r w:rsidRPr="008625DC">
              <w:rPr>
                <w:lang w:val="en-AU"/>
              </w:rPr>
              <w:t>subsection 45(1) concerning contracts made before 1977;</w:t>
            </w:r>
          </w:p>
          <w:p w14:paraId="18483821" w14:textId="2E79B7E7" w:rsidR="00356BD2" w:rsidRPr="008625DC" w:rsidRDefault="00356BD2" w:rsidP="001F2705">
            <w:pPr>
              <w:pStyle w:val="BoxBullet"/>
              <w:rPr>
                <w:b/>
                <w:lang w:val="en-AU"/>
              </w:rPr>
            </w:pPr>
            <w:r w:rsidRPr="008625DC">
              <w:rPr>
                <w:lang w:val="en-AU"/>
              </w:rPr>
              <w:t>sections 45B and 45C concerning covenants;</w:t>
            </w:r>
            <w:r w:rsidR="00DB2C92" w:rsidRPr="008625DC">
              <w:rPr>
                <w:lang w:val="en-AU"/>
              </w:rPr>
              <w:t xml:space="preserve"> and</w:t>
            </w:r>
          </w:p>
          <w:p w14:paraId="259E18E4" w14:textId="5D47B533" w:rsidR="00356BD2" w:rsidRPr="008625DC" w:rsidRDefault="00356BD2" w:rsidP="001F2705">
            <w:pPr>
              <w:pStyle w:val="BoxBullet"/>
              <w:spacing w:after="180"/>
              <w:rPr>
                <w:lang w:val="en-AU"/>
              </w:rPr>
            </w:pPr>
            <w:r w:rsidRPr="008625DC">
              <w:rPr>
                <w:lang w:val="en-AU"/>
              </w:rPr>
              <w:t>sections 46A and 46B concerning misuse of market power in a trans</w:t>
            </w:r>
            <w:r w:rsidR="00C74E19" w:rsidRPr="008625DC">
              <w:rPr>
                <w:lang w:val="en-AU"/>
              </w:rPr>
              <w:noBreakHyphen/>
            </w:r>
            <w:r w:rsidRPr="008625DC">
              <w:rPr>
                <w:lang w:val="en-AU"/>
              </w:rPr>
              <w:t>Tasman market.</w:t>
            </w:r>
          </w:p>
          <w:p w14:paraId="20E8C39C" w14:textId="0C7FB3BD" w:rsidR="00356BD2" w:rsidRPr="008625DC" w:rsidRDefault="00356BD2" w:rsidP="005A249A">
            <w:pPr>
              <w:pStyle w:val="Keyfindingtext"/>
            </w:pPr>
            <w:r w:rsidRPr="008625DC">
              <w:t xml:space="preserve">The task of simplification would best be implemented by an expert legal panel, acting upon agreed recommendations and undertaking </w:t>
            </w:r>
            <w:r w:rsidR="004E3403" w:rsidRPr="008625DC">
              <w:t>focused</w:t>
            </w:r>
            <w:r w:rsidRPr="008625DC">
              <w:t xml:space="preserve"> public consultation on draft simplified law</w:t>
            </w:r>
            <w:r w:rsidR="006345A9" w:rsidRPr="008625DC">
              <w:t>s</w:t>
            </w:r>
            <w:r w:rsidRPr="008625DC">
              <w:t>.</w:t>
            </w:r>
          </w:p>
        </w:tc>
      </w:tr>
    </w:tbl>
    <w:p w14:paraId="192F7EDB" w14:textId="77777777" w:rsidR="00AE2ACD" w:rsidRPr="008625DC" w:rsidRDefault="00AE2ACD">
      <w:pPr>
        <w:spacing w:before="0" w:after="0"/>
      </w:pPr>
      <w:bookmarkStart w:id="26435" w:name="_Toc397070585"/>
      <w:bookmarkStart w:id="26436" w:name="_Toc392149010"/>
      <w:bookmarkStart w:id="26437" w:name="_Toc392159462"/>
      <w:bookmarkStart w:id="26438" w:name="_Toc392162227"/>
      <w:bookmarkStart w:id="26439" w:name="_Toc392163901"/>
      <w:bookmarkStart w:id="26440" w:name="_Toc392168936"/>
      <w:bookmarkStart w:id="26441" w:name="_Toc392169868"/>
      <w:bookmarkStart w:id="26442" w:name="_Toc392170562"/>
      <w:bookmarkStart w:id="26443" w:name="_Toc392170736"/>
      <w:bookmarkStart w:id="26444" w:name="_Toc392171151"/>
      <w:bookmarkStart w:id="26445" w:name="_Toc392172740"/>
      <w:bookmarkStart w:id="26446" w:name="_Toc392173103"/>
      <w:bookmarkStart w:id="26447" w:name="_Toc392173279"/>
      <w:bookmarkStart w:id="26448" w:name="_Toc392238270"/>
      <w:bookmarkStart w:id="26449" w:name="_Toc392247572"/>
      <w:bookmarkStart w:id="26450" w:name="_Toc392247847"/>
      <w:bookmarkStart w:id="26451" w:name="_Toc392248519"/>
      <w:bookmarkStart w:id="26452" w:name="_Toc392251052"/>
      <w:bookmarkStart w:id="26453" w:name="_Toc392253676"/>
      <w:bookmarkStart w:id="26454" w:name="_Toc392253853"/>
      <w:bookmarkStart w:id="26455" w:name="_Toc392255444"/>
      <w:bookmarkStart w:id="26456" w:name="_Toc392256239"/>
      <w:bookmarkStart w:id="26457" w:name="_Toc392257434"/>
      <w:bookmarkStart w:id="26458" w:name="_Toc392498451"/>
      <w:bookmarkStart w:id="26459" w:name="_Toc392500445"/>
      <w:bookmarkStart w:id="26460" w:name="_Toc392513259"/>
      <w:bookmarkStart w:id="26461" w:name="_Toc392514172"/>
      <w:bookmarkStart w:id="26462" w:name="_Toc392515359"/>
      <w:bookmarkStart w:id="26463" w:name="_Toc392516458"/>
      <w:bookmarkStart w:id="26464" w:name="_Toc392517287"/>
      <w:bookmarkStart w:id="26465" w:name="_Toc392517206"/>
      <w:bookmarkStart w:id="26466" w:name="_Toc392517554"/>
      <w:bookmarkStart w:id="26467" w:name="_Toc392517708"/>
      <w:bookmarkStart w:id="26468" w:name="_Toc392517788"/>
      <w:bookmarkStart w:id="26469" w:name="_Toc392684988"/>
      <w:bookmarkStart w:id="26470" w:name="_Toc392685078"/>
      <w:bookmarkStart w:id="26471" w:name="_Toc392687241"/>
      <w:bookmarkStart w:id="26472" w:name="_Toc392688409"/>
      <w:bookmarkStart w:id="26473" w:name="_Toc392689409"/>
      <w:bookmarkStart w:id="26474" w:name="_Toc392690193"/>
      <w:bookmarkStart w:id="26475" w:name="_Toc392843416"/>
      <w:bookmarkStart w:id="26476" w:name="_Toc392853050"/>
      <w:bookmarkStart w:id="26477" w:name="_Toc392859807"/>
      <w:bookmarkStart w:id="26478" w:name="_Toc392860695"/>
      <w:bookmarkStart w:id="26479" w:name="_Toc392861465"/>
      <w:bookmarkStart w:id="26480" w:name="_Toc394502015"/>
      <w:bookmarkStart w:id="26481" w:name="_Toc394502350"/>
      <w:bookmarkStart w:id="26482" w:name="_Toc394502917"/>
      <w:bookmarkStart w:id="26483" w:name="_Toc394503709"/>
      <w:bookmarkStart w:id="26484" w:name="_Toc394502461"/>
      <w:bookmarkStart w:id="26485" w:name="_Toc394502798"/>
      <w:bookmarkStart w:id="26486" w:name="_Toc394505668"/>
      <w:bookmarkStart w:id="26487" w:name="_Toc394506126"/>
      <w:bookmarkStart w:id="26488" w:name="_Toc394506007"/>
      <w:bookmarkStart w:id="26489" w:name="_Toc394506464"/>
      <w:bookmarkStart w:id="26490" w:name="_Toc394506681"/>
      <w:bookmarkStart w:id="26491" w:name="_Toc394507018"/>
      <w:bookmarkStart w:id="26492" w:name="_Toc394560754"/>
      <w:bookmarkStart w:id="26493" w:name="_Toc394561093"/>
      <w:bookmarkStart w:id="26494" w:name="_Toc394561218"/>
      <w:bookmarkStart w:id="26495" w:name="_Toc394561926"/>
      <w:bookmarkStart w:id="26496" w:name="_Toc394582985"/>
      <w:bookmarkStart w:id="26497" w:name="_Toc394585656"/>
      <w:bookmarkStart w:id="26498" w:name="_Toc394586122"/>
      <w:bookmarkStart w:id="26499" w:name="_Toc394588054"/>
      <w:bookmarkStart w:id="26500" w:name="_Toc394588889"/>
      <w:bookmarkStart w:id="26501" w:name="_Toc394589014"/>
      <w:bookmarkStart w:id="26502" w:name="_Toc394590430"/>
      <w:bookmarkStart w:id="26503" w:name="_Toc394590623"/>
      <w:bookmarkStart w:id="26504" w:name="_Toc393203422"/>
      <w:bookmarkStart w:id="26505" w:name="_Toc393207202"/>
      <w:bookmarkStart w:id="26506" w:name="_Toc393207293"/>
      <w:bookmarkStart w:id="26507" w:name="_Toc393208066"/>
      <w:bookmarkStart w:id="26508" w:name="_Toc393208164"/>
      <w:bookmarkStart w:id="26509" w:name="_Toc393208253"/>
      <w:bookmarkStart w:id="26510" w:name="_Toc393208342"/>
      <w:bookmarkStart w:id="26511" w:name="_Toc393209666"/>
      <w:bookmarkStart w:id="26512" w:name="_Toc393276029"/>
      <w:bookmarkStart w:id="26513" w:name="_Toc393278931"/>
      <w:bookmarkStart w:id="26514" w:name="_Toc393289816"/>
      <w:bookmarkStart w:id="26515" w:name="_Toc393289911"/>
      <w:bookmarkStart w:id="26516" w:name="_Toc393292296"/>
      <w:bookmarkStart w:id="26517" w:name="_Toc393293918"/>
      <w:bookmarkStart w:id="26518" w:name="_Toc393294937"/>
      <w:bookmarkStart w:id="26519" w:name="_Toc393295242"/>
      <w:bookmarkStart w:id="26520" w:name="_Toc393296233"/>
      <w:bookmarkStart w:id="26521" w:name="_Toc393363171"/>
      <w:bookmarkStart w:id="26522" w:name="_Toc393372228"/>
      <w:bookmarkStart w:id="26523" w:name="_Toc393373322"/>
      <w:bookmarkStart w:id="26524" w:name="_Toc393374430"/>
      <w:bookmarkStart w:id="26525" w:name="_Toc393379200"/>
      <w:bookmarkStart w:id="26526" w:name="_Toc393379812"/>
      <w:bookmarkStart w:id="26527" w:name="_Toc393379908"/>
      <w:bookmarkStart w:id="26528" w:name="_Toc393879120"/>
      <w:bookmarkStart w:id="26529" w:name="_Toc393879351"/>
      <w:bookmarkStart w:id="26530" w:name="_Toc393903308"/>
      <w:bookmarkStart w:id="26531" w:name="_Toc393903589"/>
      <w:bookmarkStart w:id="26532" w:name="_Toc393905224"/>
      <w:bookmarkStart w:id="26533" w:name="_Toc393905507"/>
      <w:bookmarkStart w:id="26534" w:name="_Toc393904081"/>
      <w:bookmarkStart w:id="26535" w:name="_Toc393904363"/>
      <w:bookmarkStart w:id="26536" w:name="_Toc393903980"/>
      <w:bookmarkStart w:id="26537" w:name="_Toc393905817"/>
      <w:bookmarkStart w:id="26538" w:name="_Toc393905914"/>
      <w:bookmarkStart w:id="26539" w:name="_Toc393906198"/>
      <w:bookmarkStart w:id="26540" w:name="_Toc393907891"/>
      <w:bookmarkStart w:id="26541" w:name="_Toc393908176"/>
      <w:bookmarkStart w:id="26542" w:name="_Toc393906331"/>
      <w:bookmarkStart w:id="26543" w:name="_Toc393906617"/>
      <w:bookmarkStart w:id="26544" w:name="_Toc393967469"/>
      <w:bookmarkStart w:id="26545" w:name="_Toc393968144"/>
      <w:bookmarkStart w:id="26546" w:name="_Toc393973979"/>
      <w:bookmarkStart w:id="26547" w:name="_Toc393974275"/>
      <w:bookmarkStart w:id="26548" w:name="_Toc393977924"/>
      <w:bookmarkStart w:id="26549" w:name="_Toc393985006"/>
      <w:bookmarkStart w:id="26550" w:name="_Toc393985308"/>
      <w:bookmarkStart w:id="26551" w:name="_Toc393985509"/>
      <w:bookmarkStart w:id="26552" w:name="_Toc393985812"/>
      <w:bookmarkStart w:id="26553" w:name="_Toc393985911"/>
      <w:bookmarkStart w:id="26554" w:name="_Toc393986214"/>
      <w:bookmarkStart w:id="26555" w:name="_Toc393986314"/>
      <w:bookmarkStart w:id="26556" w:name="_Toc393987921"/>
      <w:bookmarkStart w:id="26557" w:name="_Toc393988224"/>
      <w:bookmarkStart w:id="26558" w:name="_Toc393988626"/>
      <w:bookmarkStart w:id="26559" w:name="_Toc393986618"/>
      <w:bookmarkStart w:id="26560" w:name="_Toc393989334"/>
      <w:bookmarkStart w:id="26561" w:name="_Toc393989638"/>
      <w:bookmarkStart w:id="26562" w:name="_Toc393987825"/>
      <w:bookmarkStart w:id="26563" w:name="_Toc393988722"/>
      <w:bookmarkStart w:id="26564" w:name="_Toc393989026"/>
      <w:bookmarkStart w:id="26565" w:name="_Toc393990726"/>
      <w:bookmarkStart w:id="26566" w:name="_Toc393991030"/>
      <w:bookmarkStart w:id="26567" w:name="_Toc393991129"/>
      <w:bookmarkStart w:id="26568" w:name="_Toc393991708"/>
      <w:bookmarkStart w:id="26569" w:name="_Toc393992014"/>
      <w:bookmarkStart w:id="26570" w:name="_Toc394047373"/>
      <w:bookmarkStart w:id="26571" w:name="_Toc394047678"/>
      <w:bookmarkStart w:id="26572" w:name="_Toc394047789"/>
      <w:bookmarkStart w:id="26573" w:name="_Toc394047338"/>
      <w:bookmarkStart w:id="26574" w:name="_Toc394048345"/>
      <w:bookmarkStart w:id="26575" w:name="_Toc394049649"/>
      <w:bookmarkStart w:id="26576" w:name="_Toc394049957"/>
      <w:bookmarkStart w:id="26577" w:name="_Toc394051049"/>
      <w:bookmarkStart w:id="26578" w:name="_Toc394051357"/>
      <w:bookmarkStart w:id="26579" w:name="_Toc394062038"/>
      <w:bookmarkStart w:id="26580" w:name="_Toc394062504"/>
      <w:bookmarkStart w:id="26581" w:name="_Toc394068913"/>
      <w:bookmarkStart w:id="26582" w:name="_Toc394069219"/>
      <w:bookmarkStart w:id="26583" w:name="_Toc394070735"/>
      <w:bookmarkStart w:id="26584" w:name="_Toc394071137"/>
      <w:bookmarkStart w:id="26585" w:name="_Toc394312235"/>
      <w:bookmarkStart w:id="26586" w:name="_Toc394330404"/>
      <w:bookmarkStart w:id="26587" w:name="_Toc394330504"/>
      <w:bookmarkStart w:id="26588" w:name="_Toc394331335"/>
      <w:bookmarkStart w:id="26589" w:name="_Toc394330123"/>
      <w:bookmarkStart w:id="26590" w:name="_Toc394333097"/>
      <w:bookmarkStart w:id="26591" w:name="_Toc394333411"/>
      <w:bookmarkStart w:id="26592" w:name="_Toc394332675"/>
      <w:bookmarkStart w:id="26593" w:name="_Toc394333510"/>
      <w:bookmarkStart w:id="26594" w:name="_Toc394333824"/>
      <w:bookmarkStart w:id="26595" w:name="_Toc394333923"/>
      <w:bookmarkStart w:id="26596" w:name="_Toc394334237"/>
      <w:bookmarkStart w:id="26597" w:name="_Toc394334749"/>
      <w:bookmarkStart w:id="26598" w:name="_Toc394335063"/>
      <w:bookmarkStart w:id="26599" w:name="_Toc394414938"/>
      <w:bookmarkStart w:id="26600" w:name="_Toc394415267"/>
      <w:bookmarkStart w:id="26601" w:name="_Toc394412243"/>
      <w:bookmarkStart w:id="26602" w:name="_Toc394412576"/>
      <w:bookmarkStart w:id="26603" w:name="_Toc394420519"/>
      <w:bookmarkStart w:id="26604" w:name="_Toc394420869"/>
      <w:bookmarkStart w:id="26605" w:name="_Toc394420993"/>
      <w:bookmarkStart w:id="26606" w:name="_Toc394423363"/>
      <w:bookmarkStart w:id="26607" w:name="_Toc394423710"/>
      <w:bookmarkStart w:id="26608" w:name="_Toc394420297"/>
      <w:bookmarkStart w:id="26609" w:name="_Toc394422406"/>
      <w:bookmarkStart w:id="26610" w:name="_Toc394422754"/>
      <w:bookmarkStart w:id="26611" w:name="_Toc394422877"/>
      <w:bookmarkStart w:id="26612" w:name="_Toc394423225"/>
      <w:bookmarkStart w:id="26613" w:name="_Toc394424027"/>
      <w:bookmarkStart w:id="26614" w:name="_Toc394424373"/>
      <w:bookmarkStart w:id="26615" w:name="_Toc394491862"/>
      <w:bookmarkStart w:id="26616" w:name="_Toc394492204"/>
      <w:bookmarkStart w:id="26617" w:name="_Toc394495007"/>
      <w:bookmarkStart w:id="26618" w:name="_Toc394495348"/>
      <w:bookmarkStart w:id="26619" w:name="_Toc394497819"/>
      <w:bookmarkStart w:id="26620" w:name="_Toc394498163"/>
      <w:bookmarkStart w:id="26621" w:name="_Toc394500611"/>
      <w:bookmarkStart w:id="26622" w:name="_Toc394500953"/>
      <w:bookmarkStart w:id="26623" w:name="_Toc394654524"/>
      <w:bookmarkStart w:id="26624" w:name="_Toc394654682"/>
      <w:bookmarkStart w:id="26625" w:name="_Toc394656224"/>
      <w:bookmarkStart w:id="26626" w:name="_Toc394656381"/>
      <w:bookmarkStart w:id="26627" w:name="_Toc394659361"/>
      <w:bookmarkStart w:id="26628" w:name="_Toc394659519"/>
      <w:bookmarkStart w:id="26629" w:name="_Toc394663373"/>
      <w:bookmarkStart w:id="26630" w:name="_Toc394663529"/>
      <w:bookmarkStart w:id="26631" w:name="_Toc394667167"/>
      <w:bookmarkStart w:id="26632" w:name="_Toc394667323"/>
      <w:bookmarkStart w:id="26633" w:name="_Toc394671646"/>
      <w:bookmarkStart w:id="26634" w:name="_Toc394671806"/>
      <w:bookmarkStart w:id="26635" w:name="_Toc394674648"/>
      <w:bookmarkStart w:id="26636" w:name="_Toc394674811"/>
      <w:bookmarkStart w:id="26637" w:name="_Toc394674925"/>
      <w:bookmarkStart w:id="26638" w:name="_Toc394675091"/>
      <w:bookmarkStart w:id="26639" w:name="_Toc394676036"/>
      <w:bookmarkStart w:id="26640" w:name="_Toc394676198"/>
      <w:bookmarkStart w:id="26641" w:name="_Toc394675724"/>
      <w:bookmarkStart w:id="26642" w:name="_Toc394675887"/>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r w:rsidRPr="008625DC">
        <w:br w:type="page"/>
      </w:r>
      <w:bookmarkEnd w:id="26435"/>
    </w:p>
    <w:p w14:paraId="1332683D" w14:textId="77BC9C60" w:rsidR="005C5706" w:rsidRPr="008625DC" w:rsidRDefault="005C5706" w:rsidP="00864E0A">
      <w:pPr>
        <w:pStyle w:val="Heading1"/>
        <w:ind w:left="851" w:hanging="851"/>
      </w:pPr>
      <w:bookmarkStart w:id="26643" w:name="_Toc395882381"/>
      <w:bookmarkStart w:id="26644" w:name="_Toc395882602"/>
      <w:bookmarkStart w:id="26645" w:name="_Toc395880876"/>
      <w:bookmarkStart w:id="26646" w:name="_Toc395882050"/>
      <w:bookmarkStart w:id="26647" w:name="_Toc395882271"/>
      <w:bookmarkStart w:id="26648" w:name="_Toc395881434"/>
      <w:bookmarkStart w:id="26649" w:name="_Toc395881655"/>
      <w:bookmarkStart w:id="26650" w:name="_Toc395881367"/>
      <w:bookmarkStart w:id="26651" w:name="_Toc395883819"/>
      <w:bookmarkStart w:id="26652" w:name="_Toc395884040"/>
      <w:bookmarkStart w:id="26653" w:name="_Toc395880774"/>
      <w:bookmarkStart w:id="26654" w:name="_Toc395884481"/>
      <w:bookmarkStart w:id="26655" w:name="_Toc395884702"/>
      <w:bookmarkStart w:id="26656" w:name="_Toc395883190"/>
      <w:bookmarkStart w:id="26657" w:name="_Toc395883411"/>
      <w:bookmarkStart w:id="26658" w:name="_Toc395883520"/>
      <w:bookmarkStart w:id="26659" w:name="_Toc395883741"/>
      <w:bookmarkStart w:id="26660" w:name="_Toc395884822"/>
      <w:bookmarkStart w:id="26661" w:name="_Toc394918287"/>
      <w:bookmarkStart w:id="26662" w:name="_Toc394918801"/>
      <w:bookmarkStart w:id="26663" w:name="_Toc394930773"/>
      <w:bookmarkStart w:id="26664" w:name="_Toc394933686"/>
      <w:bookmarkStart w:id="26665" w:name="_Toc394938133"/>
      <w:bookmarkStart w:id="26666" w:name="_Toc394938393"/>
      <w:bookmarkStart w:id="26667" w:name="_Toc394938635"/>
      <w:bookmarkStart w:id="26668" w:name="_Toc394937673"/>
      <w:bookmarkStart w:id="26669" w:name="_Toc394937917"/>
      <w:bookmarkStart w:id="26670" w:name="_Toc394941045"/>
      <w:bookmarkStart w:id="26671" w:name="_Toc394941304"/>
      <w:bookmarkStart w:id="26672" w:name="_Toc394941546"/>
      <w:bookmarkStart w:id="26673" w:name="_Toc394941661"/>
      <w:bookmarkStart w:id="26674" w:name="_Toc394941920"/>
      <w:bookmarkStart w:id="26675" w:name="_Toc394942162"/>
      <w:bookmarkStart w:id="26676" w:name="_Toc394939882"/>
      <w:bookmarkStart w:id="26677" w:name="_Toc394940142"/>
      <w:bookmarkStart w:id="26678" w:name="_Toc394940384"/>
      <w:bookmarkStart w:id="26679" w:name="_Toc394939494"/>
      <w:bookmarkStart w:id="26680" w:name="_Toc394939752"/>
      <w:bookmarkStart w:id="26681" w:name="_Toc394940598"/>
      <w:bookmarkStart w:id="26682" w:name="_Toc394993649"/>
      <w:bookmarkStart w:id="26683" w:name="_Toc394995531"/>
      <w:bookmarkStart w:id="26684" w:name="_Toc394995845"/>
      <w:bookmarkStart w:id="26685" w:name="_Toc394996078"/>
      <w:bookmarkStart w:id="26686" w:name="_Toc394997804"/>
      <w:bookmarkStart w:id="26687" w:name="_Toc394998088"/>
      <w:bookmarkStart w:id="26688" w:name="_Toc394998319"/>
      <w:bookmarkStart w:id="26689" w:name="_Toc394998602"/>
      <w:bookmarkStart w:id="26690" w:name="_Toc395001814"/>
      <w:bookmarkStart w:id="26691" w:name="_Toc395002101"/>
      <w:bookmarkStart w:id="26692" w:name="_Toc395001307"/>
      <w:bookmarkStart w:id="26693" w:name="_Toc395001581"/>
      <w:bookmarkStart w:id="26694" w:name="_Toc395002870"/>
      <w:bookmarkStart w:id="26695" w:name="_Toc395003455"/>
      <w:bookmarkStart w:id="26696" w:name="_Toc395005066"/>
      <w:bookmarkStart w:id="26697" w:name="_Toc395005192"/>
      <w:bookmarkStart w:id="26698" w:name="_Toc395005408"/>
      <w:bookmarkStart w:id="26699" w:name="_Toc395005696"/>
      <w:bookmarkStart w:id="26700" w:name="_Toc395008985"/>
      <w:bookmarkStart w:id="26701" w:name="_Toc395009690"/>
      <w:bookmarkStart w:id="26702" w:name="_Toc395011180"/>
      <w:bookmarkStart w:id="26703" w:name="_Toc395011771"/>
      <w:bookmarkStart w:id="26704" w:name="_Toc395010171"/>
      <w:bookmarkStart w:id="26705" w:name="_Toc395010431"/>
      <w:bookmarkStart w:id="26706" w:name="_Toc395010013"/>
      <w:bookmarkStart w:id="26707" w:name="_Toc395011539"/>
      <w:bookmarkStart w:id="26708" w:name="_Toc395012357"/>
      <w:bookmarkStart w:id="26709" w:name="_Toc395012614"/>
      <w:bookmarkStart w:id="26710" w:name="_Toc395012947"/>
      <w:bookmarkStart w:id="26711" w:name="_Toc395010762"/>
      <w:bookmarkStart w:id="26712" w:name="_Toc395012235"/>
      <w:bookmarkStart w:id="26713" w:name="_Toc395013077"/>
      <w:bookmarkStart w:id="26714" w:name="_Toc395012079"/>
      <w:bookmarkStart w:id="26715" w:name="_Toc395014418"/>
      <w:bookmarkStart w:id="26716" w:name="_Toc395014636"/>
      <w:bookmarkStart w:id="26717" w:name="_Toc395013227"/>
      <w:bookmarkStart w:id="26718" w:name="_Toc395084772"/>
      <w:bookmarkStart w:id="26719" w:name="_Toc395085073"/>
      <w:bookmarkStart w:id="26720" w:name="_Toc395092633"/>
      <w:bookmarkStart w:id="26721" w:name="_Toc395092845"/>
      <w:bookmarkStart w:id="26722" w:name="_Toc395093327"/>
      <w:bookmarkStart w:id="26723" w:name="_Toc395097756"/>
      <w:bookmarkStart w:id="26724" w:name="_Toc395098033"/>
      <w:bookmarkStart w:id="26725" w:name="_Toc395098237"/>
      <w:bookmarkStart w:id="26726" w:name="_Toc395105422"/>
      <w:bookmarkStart w:id="26727" w:name="_Toc395106217"/>
      <w:bookmarkStart w:id="26728" w:name="_Toc395107025"/>
      <w:bookmarkStart w:id="26729" w:name="_Toc395109897"/>
      <w:bookmarkStart w:id="26730" w:name="_Toc395109482"/>
      <w:bookmarkStart w:id="26731" w:name="_Toc395109683"/>
      <w:bookmarkStart w:id="26732" w:name="_Toc395109810"/>
      <w:bookmarkStart w:id="26733" w:name="_Toc395111900"/>
      <w:bookmarkStart w:id="26734" w:name="_Toc395112187"/>
      <w:bookmarkStart w:id="26735" w:name="_Toc395112388"/>
      <w:bookmarkStart w:id="26736" w:name="_Toc395106820"/>
      <w:bookmarkStart w:id="26737" w:name="_Toc395107329"/>
      <w:bookmarkStart w:id="26738" w:name="_Toc395107533"/>
      <w:bookmarkStart w:id="26739" w:name="_Toc395109847"/>
      <w:bookmarkStart w:id="26740" w:name="_Toc395108580"/>
      <w:bookmarkStart w:id="26741" w:name="_Toc395108890"/>
      <w:bookmarkStart w:id="26742" w:name="_Toc395113820"/>
      <w:bookmarkStart w:id="26743" w:name="_Toc395114130"/>
      <w:bookmarkStart w:id="26744" w:name="_Toc395114340"/>
      <w:bookmarkStart w:id="26745" w:name="_Toc395116556"/>
      <w:bookmarkStart w:id="26746" w:name="_Toc395116867"/>
      <w:bookmarkStart w:id="26747" w:name="_Toc395117078"/>
      <w:bookmarkStart w:id="26748" w:name="_Toc395112493"/>
      <w:bookmarkStart w:id="26749" w:name="_Toc395112804"/>
      <w:bookmarkStart w:id="26750" w:name="_Toc395113196"/>
      <w:bookmarkStart w:id="26751" w:name="_Toc395115032"/>
      <w:bookmarkStart w:id="26752" w:name="_Toc395115344"/>
      <w:bookmarkStart w:id="26753" w:name="_Toc395115555"/>
      <w:bookmarkStart w:id="26754" w:name="_Toc395118187"/>
      <w:bookmarkStart w:id="26755" w:name="_Toc395118496"/>
      <w:bookmarkStart w:id="26756" w:name="_Toc395118705"/>
      <w:bookmarkStart w:id="26757" w:name="_Toc395178397"/>
      <w:bookmarkStart w:id="26758" w:name="_Toc395178729"/>
      <w:bookmarkStart w:id="26759" w:name="_Toc395624689"/>
      <w:bookmarkStart w:id="26760" w:name="_Toc395624886"/>
      <w:bookmarkStart w:id="26761" w:name="_Toc395789740"/>
      <w:bookmarkStart w:id="26762" w:name="_Toc395790040"/>
      <w:bookmarkStart w:id="26763" w:name="_Toc395800798"/>
      <w:bookmarkStart w:id="26764" w:name="_Toc395802869"/>
      <w:bookmarkStart w:id="26765" w:name="_Toc395867636"/>
      <w:bookmarkStart w:id="26766" w:name="_Toc395868545"/>
      <w:bookmarkStart w:id="26767" w:name="_Toc395868768"/>
      <w:bookmarkStart w:id="26768" w:name="_Toc395879147"/>
      <w:bookmarkStart w:id="26769" w:name="_Toc395878615"/>
      <w:bookmarkStart w:id="26770" w:name="_Toc396123851"/>
      <w:bookmarkStart w:id="26771" w:name="_Toc396130754"/>
      <w:bookmarkStart w:id="26772" w:name="_Toc396136332"/>
      <w:bookmarkStart w:id="26773" w:name="_Toc396138786"/>
      <w:bookmarkStart w:id="26774" w:name="_Toc396144047"/>
      <w:bookmarkStart w:id="26775" w:name="_Toc396145556"/>
      <w:bookmarkStart w:id="26776" w:name="_Toc396145700"/>
      <w:bookmarkStart w:id="26777" w:name="_Toc396145982"/>
      <w:bookmarkStart w:id="26778" w:name="_Toc396147522"/>
      <w:bookmarkStart w:id="26779" w:name="_Toc396147808"/>
      <w:bookmarkStart w:id="26780" w:name="_Toc396149064"/>
      <w:bookmarkStart w:id="26781" w:name="_Toc396148778"/>
      <w:bookmarkStart w:id="26782" w:name="_Toc396149559"/>
      <w:bookmarkStart w:id="26783" w:name="_Toc396149204"/>
      <w:bookmarkStart w:id="26784" w:name="_Toc396149490"/>
      <w:bookmarkStart w:id="26785" w:name="_Toc396149167"/>
      <w:bookmarkStart w:id="26786" w:name="_Toc396149912"/>
      <w:bookmarkStart w:id="26787" w:name="_Toc396149662"/>
      <w:bookmarkStart w:id="26788" w:name="_Toc396150503"/>
      <w:bookmarkStart w:id="26789" w:name="_Toc396151392"/>
      <w:bookmarkStart w:id="26790" w:name="_Toc396151686"/>
      <w:bookmarkStart w:id="26791" w:name="_Toc396201613"/>
      <w:bookmarkStart w:id="26792" w:name="_Toc396202403"/>
      <w:bookmarkStart w:id="26793" w:name="_Toc396202698"/>
      <w:bookmarkStart w:id="26794" w:name="_Toc396203315"/>
      <w:bookmarkStart w:id="26795" w:name="_Toc396206611"/>
      <w:bookmarkStart w:id="26796" w:name="_Toc396206905"/>
      <w:bookmarkStart w:id="26797" w:name="_Toc396209439"/>
      <w:bookmarkStart w:id="26798" w:name="_Toc396209733"/>
      <w:bookmarkStart w:id="26799" w:name="_Toc396211863"/>
      <w:bookmarkStart w:id="26800" w:name="_Toc396212157"/>
      <w:bookmarkStart w:id="26801" w:name="_Toc396213207"/>
      <w:bookmarkStart w:id="26802" w:name="_Toc396213499"/>
      <w:bookmarkStart w:id="26803" w:name="_Toc396214050"/>
      <w:bookmarkStart w:id="26804" w:name="_Toc396214485"/>
      <w:bookmarkStart w:id="26805" w:name="_Toc396214775"/>
      <w:bookmarkStart w:id="26806" w:name="_Toc396220335"/>
      <w:bookmarkStart w:id="26807" w:name="_Toc396226597"/>
      <w:bookmarkStart w:id="26808" w:name="_Toc396226886"/>
      <w:bookmarkStart w:id="26809" w:name="_Toc396228797"/>
      <w:bookmarkStart w:id="26810" w:name="_Toc396229092"/>
      <w:bookmarkStart w:id="26811" w:name="_Toc396230439"/>
      <w:bookmarkStart w:id="26812" w:name="_Toc396230734"/>
      <w:bookmarkStart w:id="26813" w:name="_Toc396231876"/>
      <w:bookmarkStart w:id="26814" w:name="_Toc396233219"/>
      <w:bookmarkStart w:id="26815" w:name="_Toc396233516"/>
      <w:bookmarkStart w:id="26816" w:name="_Toc396234039"/>
      <w:bookmarkStart w:id="26817" w:name="_Toc396234336"/>
      <w:bookmarkStart w:id="26818" w:name="_Toc396234449"/>
      <w:bookmarkStart w:id="26819" w:name="_Toc396236183"/>
      <w:bookmarkStart w:id="26820" w:name="_Toc396235961"/>
      <w:bookmarkStart w:id="26821" w:name="_Toc396236571"/>
      <w:bookmarkStart w:id="26822" w:name="_Toc396237090"/>
      <w:bookmarkStart w:id="26823" w:name="_Toc396397433"/>
      <w:bookmarkStart w:id="26824" w:name="_Toc396304614"/>
      <w:bookmarkStart w:id="26825" w:name="_Toc396586149"/>
      <w:bookmarkStart w:id="26826" w:name="_Toc396815170"/>
      <w:bookmarkStart w:id="26827" w:name="_Toc396821119"/>
      <w:bookmarkStart w:id="26828" w:name="_Toc396821727"/>
      <w:bookmarkStart w:id="26829" w:name="_Toc396827577"/>
      <w:bookmarkStart w:id="26830" w:name="_Toc396828548"/>
      <w:bookmarkStart w:id="26831" w:name="_Toc396828658"/>
      <w:bookmarkStart w:id="26832" w:name="_Toc396838047"/>
      <w:bookmarkStart w:id="26833" w:name="_Toc396838445"/>
      <w:bookmarkStart w:id="26834" w:name="_Toc396904768"/>
      <w:bookmarkStart w:id="26835" w:name="_Toc396907602"/>
      <w:bookmarkStart w:id="26836" w:name="_Toc396912521"/>
      <w:bookmarkStart w:id="26837" w:name="_Toc396914501"/>
      <w:bookmarkStart w:id="26838" w:name="_Toc396915385"/>
      <w:bookmarkStart w:id="26839" w:name="_Toc396915779"/>
      <w:bookmarkStart w:id="26840" w:name="_Toc396921090"/>
      <w:bookmarkStart w:id="26841" w:name="_Toc396924430"/>
      <w:bookmarkStart w:id="26842" w:name="_Toc396925124"/>
      <w:bookmarkStart w:id="26843" w:name="_Toc396992244"/>
      <w:bookmarkStart w:id="26844" w:name="_Toc396992823"/>
      <w:bookmarkStart w:id="26845" w:name="_Toc396994487"/>
      <w:bookmarkStart w:id="26846" w:name="_Toc397002257"/>
      <w:bookmarkStart w:id="26847" w:name="_Toc397003176"/>
      <w:bookmarkStart w:id="26848" w:name="_Toc397008734"/>
      <w:bookmarkStart w:id="26849" w:name="_Toc397008952"/>
      <w:bookmarkStart w:id="26850" w:name="_Toc397011624"/>
      <w:bookmarkStart w:id="26851" w:name="_Toc397012686"/>
      <w:bookmarkStart w:id="26852" w:name="_Toc397015028"/>
      <w:bookmarkStart w:id="26853" w:name="_Toc397015515"/>
      <w:bookmarkStart w:id="26854" w:name="_Toc397070586"/>
      <w:bookmarkStart w:id="26855" w:name="_Toc397413335"/>
      <w:bookmarkStart w:id="26856" w:name="_Toc397413482"/>
      <w:bookmarkStart w:id="26857" w:name="_Toc397428056"/>
      <w:bookmarkStart w:id="26858" w:name="_Toc397439444"/>
      <w:bookmarkStart w:id="26859" w:name="_Toc397439614"/>
      <w:bookmarkStart w:id="26860" w:name="_Toc397439870"/>
      <w:bookmarkStart w:id="26861" w:name="_Toc397440172"/>
      <w:bookmarkStart w:id="26862" w:name="_Toc397441801"/>
      <w:bookmarkStart w:id="26863" w:name="_Toc397517503"/>
      <w:bookmarkStart w:id="26864" w:name="_Toc397522768"/>
      <w:bookmarkStart w:id="26865" w:name="_Toc397526186"/>
      <w:bookmarkStart w:id="26866" w:name="_Toc397528501"/>
      <w:bookmarkStart w:id="26867" w:name="_Toc397528976"/>
      <w:bookmarkStart w:id="26868" w:name="_Toc397601976"/>
      <w:bookmarkStart w:id="26869" w:name="_Toc397602711"/>
      <w:bookmarkStart w:id="26870" w:name="_Toc397605844"/>
      <w:bookmarkStart w:id="26871" w:name="_Toc397614541"/>
      <w:bookmarkStart w:id="26872" w:name="_Toc397614984"/>
      <w:bookmarkStart w:id="26873" w:name="_Toc397616427"/>
      <w:bookmarkStart w:id="26874" w:name="_Toc397616821"/>
      <w:bookmarkStart w:id="26875" w:name="_Toc397688119"/>
      <w:bookmarkStart w:id="26876" w:name="_Toc397689335"/>
      <w:bookmarkStart w:id="26877" w:name="_Toc397694615"/>
      <w:bookmarkStart w:id="26878" w:name="_Toc397696456"/>
      <w:bookmarkStart w:id="26879" w:name="_Toc397697190"/>
      <w:bookmarkStart w:id="26880" w:name="_Toc397698477"/>
      <w:bookmarkStart w:id="26881" w:name="_Toc397699843"/>
      <w:bookmarkStart w:id="26882" w:name="_Toc397700297"/>
      <w:bookmarkStart w:id="26883" w:name="_Toc397936689"/>
      <w:bookmarkStart w:id="26884" w:name="_Toc397936809"/>
      <w:bookmarkStart w:id="26885" w:name="_Toc397945965"/>
      <w:bookmarkStart w:id="26886" w:name="_Toc397946991"/>
      <w:bookmarkStart w:id="26887" w:name="_Toc397948110"/>
      <w:bookmarkStart w:id="26888" w:name="_Toc397958516"/>
      <w:bookmarkStart w:id="26889" w:name="_Toc397958758"/>
      <w:bookmarkStart w:id="26890" w:name="_Toc397959173"/>
      <w:bookmarkStart w:id="26891" w:name="_Toc397962240"/>
      <w:bookmarkStart w:id="26892" w:name="_Toc397963026"/>
      <w:bookmarkStart w:id="26893" w:name="_Toc397963392"/>
      <w:bookmarkStart w:id="26894" w:name="_Toc397965469"/>
      <w:bookmarkStart w:id="26895" w:name="_Toc398197407"/>
      <w:bookmarkStart w:id="26896" w:name="_Toc398199910"/>
      <w:bookmarkStart w:id="26897" w:name="_Toc398201624"/>
      <w:bookmarkStart w:id="26898" w:name="_Toc398207229"/>
      <w:bookmarkStart w:id="26899" w:name="_Toc398209933"/>
      <w:bookmarkStart w:id="26900" w:name="_Toc398210502"/>
      <w:bookmarkStart w:id="26901" w:name="_Toc398211016"/>
      <w:bookmarkStart w:id="26902" w:name="_Toc398219824"/>
      <w:bookmarkStart w:id="26903" w:name="_Toc398220199"/>
      <w:bookmarkStart w:id="26904" w:name="_Toc398220586"/>
      <w:bookmarkStart w:id="26905" w:name="_Toc398221664"/>
      <w:bookmarkStart w:id="26906" w:name="_Toc398222350"/>
      <w:bookmarkStart w:id="26907" w:name="_Toc398222662"/>
      <w:bookmarkStart w:id="26908" w:name="_Toc398223079"/>
      <w:bookmarkStart w:id="26909" w:name="_Toc398223458"/>
      <w:bookmarkStart w:id="26910" w:name="_Toc398223585"/>
      <w:bookmarkStart w:id="26911" w:name="_Toc398224393"/>
      <w:bookmarkStart w:id="26912" w:name="_Toc398225730"/>
      <w:bookmarkStart w:id="26913" w:name="_Toc398225855"/>
      <w:bookmarkStart w:id="26914" w:name="_Toc398281342"/>
      <w:bookmarkStart w:id="26915" w:name="_Toc398282201"/>
      <w:bookmarkStart w:id="26916" w:name="_Toc398284871"/>
      <w:bookmarkStart w:id="26917" w:name="_Toc398287340"/>
      <w:bookmarkStart w:id="26918" w:name="_Toc398289223"/>
      <w:bookmarkStart w:id="26919" w:name="_Toc398297220"/>
      <w:bookmarkStart w:id="26920" w:name="_Toc398298694"/>
      <w:bookmarkStart w:id="26921" w:name="_Toc398300395"/>
      <w:bookmarkStart w:id="26922" w:name="_Toc398301292"/>
      <w:bookmarkStart w:id="26923" w:name="_Toc398302477"/>
      <w:bookmarkStart w:id="26924" w:name="_Toc398302640"/>
      <w:bookmarkStart w:id="26925" w:name="_Toc398549154"/>
      <w:bookmarkStart w:id="26926" w:name="_Toc398549404"/>
      <w:bookmarkStart w:id="26927" w:name="_Toc398555823"/>
      <w:bookmarkStart w:id="26928" w:name="_Toc398559027"/>
      <w:bookmarkStart w:id="26929" w:name="_Toc398563513"/>
      <w:bookmarkStart w:id="26930" w:name="_Toc398563646"/>
      <w:bookmarkStart w:id="26931" w:name="_Toc398564045"/>
      <w:bookmarkStart w:id="26932" w:name="_Toc398827383"/>
      <w:bookmarkStart w:id="26933" w:name="_Toc398827577"/>
      <w:bookmarkStart w:id="26934" w:name="Ch15"/>
      <w:r w:rsidRPr="008625DC">
        <w:lastRenderedPageBreak/>
        <w:t>M</w:t>
      </w:r>
      <w:bookmarkEnd w:id="26643"/>
      <w:bookmarkEnd w:id="26644"/>
      <w:bookmarkEnd w:id="26645"/>
      <w:r w:rsidRPr="008625DC">
        <w:t>ergers</w:t>
      </w:r>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p>
    <w:p w14:paraId="1031EF36" w14:textId="77777777" w:rsidR="005C5706" w:rsidRPr="008625DC" w:rsidRDefault="005C5706" w:rsidP="000B5916">
      <w:pPr>
        <w:pStyle w:val="Heading2"/>
        <w:ind w:left="851" w:hanging="851"/>
        <w:rPr>
          <w:lang w:val="en-AU"/>
        </w:rPr>
      </w:pPr>
      <w:bookmarkStart w:id="26935" w:name="_Toc394918288"/>
      <w:bookmarkStart w:id="26936" w:name="_Toc394918802"/>
      <w:bookmarkStart w:id="26937" w:name="_Toc394930774"/>
      <w:bookmarkStart w:id="26938" w:name="_Toc397413336"/>
      <w:bookmarkStart w:id="26939" w:name="_Toc397413483"/>
      <w:bookmarkStart w:id="26940" w:name="_Toc397439445"/>
      <w:bookmarkStart w:id="26941" w:name="_Toc397439615"/>
      <w:bookmarkStart w:id="26942" w:name="_Toc397439871"/>
      <w:bookmarkStart w:id="26943" w:name="_Toc397440173"/>
      <w:bookmarkStart w:id="26944" w:name="_Toc397441802"/>
      <w:bookmarkStart w:id="26945" w:name="_Toc397517504"/>
      <w:bookmarkStart w:id="26946" w:name="_Toc397522769"/>
      <w:bookmarkStart w:id="26947" w:name="_Toc397526187"/>
      <w:bookmarkStart w:id="26948" w:name="_Toc397528502"/>
      <w:bookmarkStart w:id="26949" w:name="_Toc397528977"/>
      <w:bookmarkStart w:id="26950" w:name="_Toc397601977"/>
      <w:bookmarkStart w:id="26951" w:name="_Toc397602712"/>
      <w:bookmarkStart w:id="26952" w:name="_Toc397605845"/>
      <w:bookmarkStart w:id="26953" w:name="_Toc397614542"/>
      <w:bookmarkStart w:id="26954" w:name="_Toc397614985"/>
      <w:bookmarkStart w:id="26955" w:name="_Toc397616428"/>
      <w:bookmarkStart w:id="26956" w:name="_Toc397616822"/>
      <w:bookmarkStart w:id="26957" w:name="_Toc397688120"/>
      <w:bookmarkStart w:id="26958" w:name="_Toc397689336"/>
      <w:bookmarkStart w:id="26959" w:name="_Toc397694616"/>
      <w:bookmarkStart w:id="26960" w:name="_Toc397696457"/>
      <w:bookmarkStart w:id="26961" w:name="_Toc397697191"/>
      <w:bookmarkStart w:id="26962" w:name="_Toc397698478"/>
      <w:bookmarkStart w:id="26963" w:name="_Toc397699844"/>
      <w:bookmarkStart w:id="26964" w:name="_Toc397700298"/>
      <w:bookmarkStart w:id="26965" w:name="_Toc397936690"/>
      <w:bookmarkStart w:id="26966" w:name="_Toc397936810"/>
      <w:bookmarkStart w:id="26967" w:name="_Toc397945966"/>
      <w:bookmarkStart w:id="26968" w:name="_Toc397946992"/>
      <w:bookmarkStart w:id="26969" w:name="_Toc397948111"/>
      <w:bookmarkStart w:id="26970" w:name="_Toc397958517"/>
      <w:bookmarkStart w:id="26971" w:name="_Toc397958759"/>
      <w:bookmarkStart w:id="26972" w:name="_Toc397959174"/>
      <w:bookmarkStart w:id="26973" w:name="_Toc397962241"/>
      <w:bookmarkStart w:id="26974" w:name="_Toc397963027"/>
      <w:bookmarkStart w:id="26975" w:name="_Toc397963393"/>
      <w:bookmarkStart w:id="26976" w:name="_Toc397965470"/>
      <w:bookmarkStart w:id="26977" w:name="_Toc398197408"/>
      <w:bookmarkStart w:id="26978" w:name="_Toc398199911"/>
      <w:bookmarkStart w:id="26979" w:name="_Toc398201625"/>
      <w:bookmarkStart w:id="26980" w:name="_Toc398207230"/>
      <w:bookmarkStart w:id="26981" w:name="_Toc398209934"/>
      <w:bookmarkStart w:id="26982" w:name="_Toc398210503"/>
      <w:bookmarkStart w:id="26983" w:name="_Toc398211017"/>
      <w:bookmarkStart w:id="26984" w:name="_Toc398219825"/>
      <w:bookmarkStart w:id="26985" w:name="_Toc398220200"/>
      <w:bookmarkStart w:id="26986" w:name="_Toc398220587"/>
      <w:bookmarkStart w:id="26987" w:name="_Toc398221665"/>
      <w:bookmarkStart w:id="26988" w:name="_Toc398222351"/>
      <w:bookmarkStart w:id="26989" w:name="_Toc398222663"/>
      <w:bookmarkStart w:id="26990" w:name="_Toc398223080"/>
      <w:bookmarkStart w:id="26991" w:name="_Toc398223459"/>
      <w:bookmarkStart w:id="26992" w:name="_Toc398223586"/>
      <w:bookmarkStart w:id="26993" w:name="_Toc398224394"/>
      <w:bookmarkStart w:id="26994" w:name="_Toc398225731"/>
      <w:bookmarkStart w:id="26995" w:name="_Toc398225856"/>
      <w:bookmarkStart w:id="26996" w:name="_Toc398281343"/>
      <w:bookmarkStart w:id="26997" w:name="_Toc398282202"/>
      <w:bookmarkStart w:id="26998" w:name="_Toc398284872"/>
      <w:bookmarkStart w:id="26999" w:name="_Toc398287341"/>
      <w:bookmarkStart w:id="27000" w:name="_Toc398289224"/>
      <w:bookmarkStart w:id="27001" w:name="_Toc398297221"/>
      <w:bookmarkStart w:id="27002" w:name="_Toc398298695"/>
      <w:bookmarkStart w:id="27003" w:name="_Toc398300396"/>
      <w:bookmarkStart w:id="27004" w:name="_Toc398301293"/>
      <w:bookmarkStart w:id="27005" w:name="_Toc398302478"/>
      <w:bookmarkStart w:id="27006" w:name="_Toc398302641"/>
      <w:bookmarkStart w:id="27007" w:name="_Toc398549155"/>
      <w:bookmarkStart w:id="27008" w:name="_Toc398549405"/>
      <w:bookmarkStart w:id="27009" w:name="_Toc398555824"/>
      <w:bookmarkStart w:id="27010" w:name="_Toc398559028"/>
      <w:bookmarkStart w:id="27011" w:name="_Toc398563514"/>
      <w:bookmarkStart w:id="27012" w:name="_Toc398563647"/>
      <w:bookmarkStart w:id="27013" w:name="_Toc398564046"/>
      <w:bookmarkStart w:id="27014" w:name="_Toc398827384"/>
      <w:bookmarkStart w:id="27015" w:name="_Toc398827578"/>
      <w:bookmarkStart w:id="27016" w:name="s151"/>
      <w:bookmarkEnd w:id="26934"/>
      <w:r w:rsidRPr="008625DC">
        <w:rPr>
          <w:lang w:val="en-AU"/>
        </w:rPr>
        <w:t>Introduction</w:t>
      </w:r>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p>
    <w:bookmarkEnd w:id="27016"/>
    <w:p w14:paraId="124998A9" w14:textId="5097C78E" w:rsidR="000E3161" w:rsidRPr="008625DC" w:rsidRDefault="000E3161" w:rsidP="000E3161">
      <w:r w:rsidRPr="008625DC">
        <w:t>Section 50 of the CCA prohibits mergers that would, or would be likely to, substantially lessen competition in a</w:t>
      </w:r>
      <w:r w:rsidR="00757D37" w:rsidRPr="008625DC">
        <w:t>ny</w:t>
      </w:r>
      <w:r w:rsidRPr="008625DC">
        <w:t xml:space="preserve"> market</w:t>
      </w:r>
      <w:r w:rsidR="00380141" w:rsidRPr="008625DC">
        <w:t xml:space="preserve">. </w:t>
      </w:r>
      <w:r w:rsidRPr="008625DC">
        <w:t>The ACCC is empowered to bring proceedings in court to prevent, or break apart, a merger that contravenes the law</w:t>
      </w:r>
      <w:r w:rsidR="00FB084C" w:rsidRPr="008625DC">
        <w:t>,</w:t>
      </w:r>
      <w:r w:rsidRPr="008625DC">
        <w:t xml:space="preserve"> or to seek a penalty. Third parties may also bring proceedings in court to break apart a merger that contravenes the law</w:t>
      </w:r>
      <w:r w:rsidR="00FB084C" w:rsidRPr="008625DC">
        <w:t>,</w:t>
      </w:r>
      <w:r w:rsidRPr="008625DC">
        <w:t xml:space="preserve"> or </w:t>
      </w:r>
      <w:r w:rsidR="00E565B9" w:rsidRPr="008625DC">
        <w:t xml:space="preserve">to </w:t>
      </w:r>
      <w:r w:rsidRPr="008625DC">
        <w:t>seek damages.</w:t>
      </w:r>
    </w:p>
    <w:p w14:paraId="2C724D2F" w14:textId="3BAE89BF" w:rsidR="000E3161" w:rsidRPr="008625DC" w:rsidRDefault="000E3161" w:rsidP="000E3161">
      <w:r w:rsidRPr="008625DC">
        <w:t>Anti</w:t>
      </w:r>
      <w:r w:rsidR="00C74E19" w:rsidRPr="008625DC">
        <w:noBreakHyphen/>
      </w:r>
      <w:r w:rsidRPr="008625DC">
        <w:t>competitive mergers can cause harm to efficiency and consumers and can bring about long</w:t>
      </w:r>
      <w:r w:rsidR="00C74E19" w:rsidRPr="008625DC">
        <w:noBreakHyphen/>
      </w:r>
      <w:r w:rsidRPr="008625DC">
        <w:t xml:space="preserve">term </w:t>
      </w:r>
      <w:r w:rsidR="00E565B9" w:rsidRPr="008625DC">
        <w:t xml:space="preserve">adverse </w:t>
      </w:r>
      <w:r w:rsidRPr="008625DC">
        <w:t>changes to markets</w:t>
      </w:r>
      <w:r w:rsidR="00380141" w:rsidRPr="008625DC">
        <w:t xml:space="preserve">. </w:t>
      </w:r>
      <w:r w:rsidRPr="008625DC">
        <w:t xml:space="preserve">However, most mergers do not unduly harm competition; indeed, mergers can deliver substantial economic benefits to business and consumers, including through economies of scale and the transfer of assets to more efficient managers. </w:t>
      </w:r>
    </w:p>
    <w:p w14:paraId="3807C9FC" w14:textId="214746BD" w:rsidR="000E3161" w:rsidRPr="008625DC" w:rsidRDefault="000E3161" w:rsidP="000E3161">
      <w:r w:rsidRPr="008625DC">
        <w:t>Australia</w:t>
      </w:r>
      <w:r w:rsidR="00C74E19" w:rsidRPr="008625DC">
        <w:t>’</w:t>
      </w:r>
      <w:r w:rsidRPr="008625DC">
        <w:t>s merger laws make provision for a merger to be authorised (</w:t>
      </w:r>
      <w:r w:rsidR="00FB084C" w:rsidRPr="008625DC">
        <w:t>that is</w:t>
      </w:r>
      <w:r w:rsidRPr="008625DC">
        <w:t>, exempted from the merger prohibition) if it is likely to result in public benefits that outweigh the likely harm to competition.</w:t>
      </w:r>
    </w:p>
    <w:p w14:paraId="3EE5E54D" w14:textId="6BA8306C" w:rsidR="00E565B9" w:rsidRPr="008625DC" w:rsidRDefault="000E3161" w:rsidP="000E3161">
      <w:r w:rsidRPr="008625DC">
        <w:t xml:space="preserve">Parties who want to seek approval before they merge to avoid </w:t>
      </w:r>
      <w:r w:rsidR="005C16B5" w:rsidRPr="008625DC">
        <w:t xml:space="preserve">the </w:t>
      </w:r>
      <w:r w:rsidRPr="008625DC">
        <w:t xml:space="preserve">risk of court action have three separate processes available to them, as set out in </w:t>
      </w:r>
      <w:r w:rsidR="00AC76CC" w:rsidRPr="008625DC">
        <w:t>the diagram</w:t>
      </w:r>
      <w:r w:rsidRPr="008625DC">
        <w:t xml:space="preserve"> below</w:t>
      </w:r>
      <w:r w:rsidR="00380141" w:rsidRPr="008625DC">
        <w:t xml:space="preserve">. </w:t>
      </w:r>
      <w:r w:rsidRPr="008625DC">
        <w:t>Merger parties can choose any of the three processes, taking into account whatever factors they think relevant, such as legal test, decision</w:t>
      </w:r>
      <w:r w:rsidR="00C74E19" w:rsidRPr="008625DC">
        <w:noBreakHyphen/>
      </w:r>
      <w:r w:rsidRPr="008625DC">
        <w:t>maker, onus of proof, timing, level of transparency and certainty, and legal costs</w:t>
      </w:r>
      <w:r w:rsidR="00380141" w:rsidRPr="008625DC">
        <w:t>.</w:t>
      </w:r>
    </w:p>
    <w:p w14:paraId="1DDC8E15" w14:textId="2041618D" w:rsidR="000E3161" w:rsidRPr="008625DC" w:rsidRDefault="000E3161" w:rsidP="000E3161">
      <w:r w:rsidRPr="008625DC">
        <w:t xml:space="preserve">Parties need only obtain one clearance or authorisation from one process to proceed with a transaction, and it is open to them to pursue more than one. For example, AGL sought informal clearance from the ACCC in early 2014 for its proposed acquisition of Macquarie Generation and, when this was not granted, it applied successfully to the </w:t>
      </w:r>
      <w:r w:rsidR="00CC2376" w:rsidRPr="008625DC">
        <w:t xml:space="preserve">Australian </w:t>
      </w:r>
      <w:r w:rsidRPr="008625DC">
        <w:t xml:space="preserve">Competition Tribunal </w:t>
      </w:r>
      <w:r w:rsidR="00DA6AA9" w:rsidRPr="008625DC">
        <w:t xml:space="preserve">(the Tribunal) </w:t>
      </w:r>
      <w:r w:rsidRPr="008625DC">
        <w:t>for merger authorisation.</w:t>
      </w:r>
    </w:p>
    <w:p w14:paraId="314384AF" w14:textId="4DFC4048" w:rsidR="000E3161" w:rsidRPr="008625DC" w:rsidRDefault="000E3161" w:rsidP="000E3161">
      <w:r w:rsidRPr="008625DC">
        <w:t>It is not compulsory to seek approval before proceeding with a merger. However, despite the lack of a legal obligation to do so, firms proposing to engage in mergers that may affect competition generally choose one or more of the available processes. While this involves some time and expense, it avoids the risk that the ACCC or a third</w:t>
      </w:r>
      <w:r w:rsidR="00E565B9" w:rsidRPr="008625DC">
        <w:t xml:space="preserve"> </w:t>
      </w:r>
      <w:r w:rsidRPr="008625DC">
        <w:t>party may ask a court to unwind a completed transaction (through a court</w:t>
      </w:r>
      <w:r w:rsidR="00C74E19" w:rsidRPr="008625DC">
        <w:noBreakHyphen/>
      </w:r>
      <w:r w:rsidRPr="008625DC">
        <w:t>ordered divestiture) and/or impose penalties if it is found to breach the CCA.</w:t>
      </w:r>
    </w:p>
    <w:p w14:paraId="6886A8F4" w14:textId="24B22E10" w:rsidR="006155AF" w:rsidRPr="008625DC" w:rsidRDefault="00625B61" w:rsidP="00BD3315">
      <w:pPr>
        <w:pStyle w:val="ChartMainHeading"/>
      </w:pPr>
      <w:r w:rsidRPr="008625DC">
        <w:lastRenderedPageBreak/>
        <w:t>Merger clearance and authorisation processes</w:t>
      </w:r>
    </w:p>
    <w:p w14:paraId="08C3DD2E" w14:textId="5DBDF71E" w:rsidR="00B07632" w:rsidRPr="008625DC" w:rsidRDefault="00F47248" w:rsidP="004A443B">
      <w:r w:rsidRPr="008625DC">
        <w:rPr>
          <w:noProof/>
        </w:rPr>
        <w:drawing>
          <wp:inline distT="0" distB="0" distL="0" distR="0" wp14:anchorId="699DD69C" wp14:editId="5C47468C">
            <wp:extent cx="5759450" cy="8135683"/>
            <wp:effectExtent l="0" t="0" r="0" b="0"/>
            <wp:docPr id="6" name="Picture 6" descr="The table shows the features of the three forms of clearance that parties can seek for a merger, being informal or formal clearance from the ACCC, or authorisation from the Tribunal. &#10;These three processes involve two different legal tests, the ‘substantial lessening of competition test’ for formal and informal clearance, and a ‘public benefit test’ test for authorisation.&#10;" title="Merger clearance and authoris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8135683"/>
                    </a:xfrm>
                    <a:prstGeom prst="rect">
                      <a:avLst/>
                    </a:prstGeom>
                    <a:noFill/>
                    <a:ln>
                      <a:noFill/>
                    </a:ln>
                  </pic:spPr>
                </pic:pic>
              </a:graphicData>
            </a:graphic>
          </wp:inline>
        </w:drawing>
      </w:r>
    </w:p>
    <w:p w14:paraId="305CEB1C" w14:textId="77777777" w:rsidR="00FB084C" w:rsidRPr="008625DC" w:rsidRDefault="00FB084C">
      <w:pPr>
        <w:spacing w:before="0" w:after="0"/>
      </w:pPr>
      <w:bookmarkStart w:id="27017" w:name="_Toc394918289"/>
      <w:bookmarkStart w:id="27018" w:name="_Toc394918803"/>
      <w:bookmarkStart w:id="27019" w:name="_Toc394930775"/>
      <w:r w:rsidRPr="008625DC">
        <w:br w:type="page"/>
      </w:r>
    </w:p>
    <w:p w14:paraId="592FB5C0" w14:textId="51E44DCF" w:rsidR="004A443B" w:rsidRPr="008625DC" w:rsidRDefault="004A443B" w:rsidP="004A443B">
      <w:r w:rsidRPr="008625DC">
        <w:lastRenderedPageBreak/>
        <w:t>Past reviews of Australia</w:t>
      </w:r>
      <w:r w:rsidR="00C74E19" w:rsidRPr="008625DC">
        <w:t>’</w:t>
      </w:r>
      <w:r w:rsidRPr="008625DC">
        <w:t>s competition law</w:t>
      </w:r>
      <w:r w:rsidR="00E565B9" w:rsidRPr="008625DC">
        <w:t>s</w:t>
      </w:r>
      <w:r w:rsidRPr="008625DC">
        <w:t xml:space="preserve"> have generated debate about the appropriate legal test for mergers. In 1992, the law was altered from a </w:t>
      </w:r>
      <w:r w:rsidR="00C74E19" w:rsidRPr="008625DC">
        <w:t>‘</w:t>
      </w:r>
      <w:r w:rsidRPr="008625DC">
        <w:t>dominance test</w:t>
      </w:r>
      <w:r w:rsidR="00C74E19" w:rsidRPr="008625DC">
        <w:t>’</w:t>
      </w:r>
      <w:r w:rsidRPr="008625DC">
        <w:t xml:space="preserve"> to a </w:t>
      </w:r>
      <w:r w:rsidR="00C74E19" w:rsidRPr="008625DC">
        <w:t>‘</w:t>
      </w:r>
      <w:r w:rsidRPr="008625DC">
        <w:t>substantial lessening of competition</w:t>
      </w:r>
      <w:r w:rsidR="00C74E19" w:rsidRPr="008625DC">
        <w:t>’</w:t>
      </w:r>
      <w:r w:rsidRPr="008625DC">
        <w:t xml:space="preserve"> test</w:t>
      </w:r>
      <w:r w:rsidR="001F2705" w:rsidRPr="008625DC">
        <w:t>.</w:t>
      </w:r>
      <w:r w:rsidR="00757D37" w:rsidRPr="008625DC">
        <w:rPr>
          <w:rStyle w:val="FootnoteReference"/>
        </w:rPr>
        <w:footnoteReference w:id="248"/>
      </w:r>
      <w:r w:rsidRPr="008625DC">
        <w:t xml:space="preserve"> In submissions to the Review, the substantial lessening of competition test appears to enjoy near</w:t>
      </w:r>
      <w:r w:rsidR="00C74E19" w:rsidRPr="008625DC">
        <w:noBreakHyphen/>
      </w:r>
      <w:r w:rsidRPr="008625DC">
        <w:t>universal support.</w:t>
      </w:r>
    </w:p>
    <w:p w14:paraId="165C7905" w14:textId="1DEDBA60" w:rsidR="004A443B" w:rsidRPr="008625DC" w:rsidRDefault="004A443B" w:rsidP="00BD3315">
      <w:pPr>
        <w:spacing w:after="120"/>
      </w:pPr>
      <w:r w:rsidRPr="008625DC">
        <w:t>Submissions raise the following issues with respect to the merger law:</w:t>
      </w:r>
    </w:p>
    <w:p w14:paraId="749B685D" w14:textId="77777777" w:rsidR="004A443B" w:rsidRPr="008625DC" w:rsidRDefault="004A443B" w:rsidP="004A443B">
      <w:pPr>
        <w:pStyle w:val="Bullet"/>
      </w:pPr>
      <w:r w:rsidRPr="008625DC">
        <w:t>the market definition applied in the assessment of mergers, particularly when merging firms compete in global markets;</w:t>
      </w:r>
    </w:p>
    <w:p w14:paraId="08FFB6CB" w14:textId="1BD4D064" w:rsidR="004A443B" w:rsidRPr="008625DC" w:rsidRDefault="004A443B" w:rsidP="004A443B">
      <w:pPr>
        <w:pStyle w:val="Bullet"/>
      </w:pPr>
      <w:r w:rsidRPr="008625DC">
        <w:t>creeping acquisitions;</w:t>
      </w:r>
    </w:p>
    <w:p w14:paraId="551438BA" w14:textId="7C05F890" w:rsidR="004A443B" w:rsidRPr="008625DC" w:rsidRDefault="004A443B" w:rsidP="004A443B">
      <w:pPr>
        <w:pStyle w:val="Bullet"/>
      </w:pPr>
      <w:r w:rsidRPr="008625DC">
        <w:t xml:space="preserve">whether merger review under the CCA should be aligned with other approval processes, such as </w:t>
      </w:r>
      <w:r w:rsidR="00E565B9" w:rsidRPr="008625DC">
        <w:t xml:space="preserve">those associated with </w:t>
      </w:r>
      <w:r w:rsidR="00CC2376" w:rsidRPr="008625DC">
        <w:t>the Foreign Investment Review Board</w:t>
      </w:r>
      <w:r w:rsidR="00E565B9" w:rsidRPr="008625DC">
        <w:t xml:space="preserve"> (FIRB)</w:t>
      </w:r>
      <w:r w:rsidRPr="008625DC">
        <w:t>; and</w:t>
      </w:r>
    </w:p>
    <w:p w14:paraId="03D10D24" w14:textId="77777777" w:rsidR="004A443B" w:rsidRPr="008625DC" w:rsidRDefault="004A443B" w:rsidP="00BD3315">
      <w:pPr>
        <w:pStyle w:val="Bullet"/>
        <w:spacing w:after="240"/>
      </w:pPr>
      <w:r w:rsidRPr="008625DC">
        <w:t>the timeliness and transparency of merger approval processes.</w:t>
      </w:r>
    </w:p>
    <w:p w14:paraId="1B07B06C" w14:textId="7F47FAEC" w:rsidR="005C5706" w:rsidRPr="008625DC" w:rsidRDefault="006866EE" w:rsidP="000B5916">
      <w:pPr>
        <w:pStyle w:val="Heading2"/>
        <w:ind w:left="851" w:hanging="851"/>
        <w:rPr>
          <w:lang w:val="en-AU"/>
        </w:rPr>
      </w:pPr>
      <w:bookmarkStart w:id="27020" w:name="_Toc398210504"/>
      <w:bookmarkStart w:id="27021" w:name="_Toc398211018"/>
      <w:bookmarkStart w:id="27022" w:name="_Toc398215699"/>
      <w:bookmarkStart w:id="27023" w:name="_Toc398219826"/>
      <w:bookmarkStart w:id="27024" w:name="_Toc398220201"/>
      <w:bookmarkStart w:id="27025" w:name="_Toc398220588"/>
      <w:bookmarkStart w:id="27026" w:name="_Toc398221666"/>
      <w:bookmarkStart w:id="27027" w:name="_Toc398222352"/>
      <w:bookmarkStart w:id="27028" w:name="_Toc398222664"/>
      <w:bookmarkStart w:id="27029" w:name="_Toc398223081"/>
      <w:bookmarkStart w:id="27030" w:name="_Toc398223460"/>
      <w:bookmarkStart w:id="27031" w:name="_Toc398223587"/>
      <w:bookmarkStart w:id="27032" w:name="_Toc398224395"/>
      <w:bookmarkStart w:id="27033" w:name="_Toc398225732"/>
      <w:bookmarkStart w:id="27034" w:name="_Toc398225857"/>
      <w:bookmarkStart w:id="27035" w:name="_Toc398281344"/>
      <w:bookmarkStart w:id="27036" w:name="_Toc398282203"/>
      <w:bookmarkStart w:id="27037" w:name="_Toc398284873"/>
      <w:bookmarkStart w:id="27038" w:name="_Toc398287342"/>
      <w:bookmarkStart w:id="27039" w:name="_Toc398289225"/>
      <w:bookmarkStart w:id="27040" w:name="_Toc398297222"/>
      <w:bookmarkStart w:id="27041" w:name="_Toc398298696"/>
      <w:bookmarkStart w:id="27042" w:name="_Toc398300397"/>
      <w:bookmarkStart w:id="27043" w:name="_Toc398301294"/>
      <w:bookmarkStart w:id="27044" w:name="_Toc398302479"/>
      <w:bookmarkStart w:id="27045" w:name="_Toc398302642"/>
      <w:bookmarkStart w:id="27046" w:name="_Toc398549156"/>
      <w:bookmarkStart w:id="27047" w:name="_Toc398549406"/>
      <w:bookmarkStart w:id="27048" w:name="_Toc398555825"/>
      <w:bookmarkStart w:id="27049" w:name="_Toc398559029"/>
      <w:bookmarkStart w:id="27050" w:name="_Toc398563515"/>
      <w:bookmarkStart w:id="27051" w:name="_Toc398563648"/>
      <w:bookmarkStart w:id="27052" w:name="_Toc398564047"/>
      <w:bookmarkStart w:id="27053" w:name="_Toc398827385"/>
      <w:bookmarkStart w:id="27054" w:name="_Toc398827579"/>
      <w:bookmarkEnd w:id="27017"/>
      <w:bookmarkEnd w:id="27018"/>
      <w:bookmarkEnd w:id="27019"/>
      <w:r w:rsidRPr="008625DC">
        <w:rPr>
          <w:lang w:val="en-AU"/>
        </w:rPr>
        <w:t>M</w:t>
      </w:r>
      <w:bookmarkEnd w:id="27020"/>
      <w:bookmarkEnd w:id="27021"/>
      <w:bookmarkEnd w:id="27022"/>
      <w:r w:rsidRPr="008625DC">
        <w:rPr>
          <w:lang w:val="en-AU"/>
        </w:rPr>
        <w:t>arket definition and global competition</w:t>
      </w:r>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p>
    <w:p w14:paraId="0AF24CA2" w14:textId="144BD1F8" w:rsidR="004A443B" w:rsidRPr="008625DC" w:rsidRDefault="004A443B" w:rsidP="00B40FD7">
      <w:r w:rsidRPr="008625DC">
        <w:t xml:space="preserve">The </w:t>
      </w:r>
      <w:r w:rsidR="00E565B9" w:rsidRPr="008625DC">
        <w:t>Panel</w:t>
      </w:r>
      <w:r w:rsidRPr="008625DC">
        <w:t xml:space="preserve"> received submissions from a number of parties including the BCA, Australian Dairy Farmers, Telstra, Foxtel, Woolworths and Wesfarmers on how a </w:t>
      </w:r>
      <w:r w:rsidR="00C74E19" w:rsidRPr="008625DC">
        <w:t>‘</w:t>
      </w:r>
      <w:r w:rsidRPr="008625DC">
        <w:t>market</w:t>
      </w:r>
      <w:r w:rsidR="00C74E19" w:rsidRPr="008625DC">
        <w:t>’</w:t>
      </w:r>
      <w:r w:rsidRPr="008625DC">
        <w:t xml:space="preserve"> is defined in the CCA and/or by the ACCC and whether market definition and merger review more broadly take full account of globalisation and competition (including the threat of competition) from overseas firms</w:t>
      </w:r>
      <w:r w:rsidR="00380141" w:rsidRPr="008625DC">
        <w:t xml:space="preserve">. </w:t>
      </w:r>
      <w:r w:rsidRPr="008625DC">
        <w:t xml:space="preserve">For example, the BCA emphasises the need for a </w:t>
      </w:r>
      <w:r w:rsidR="00C74E19" w:rsidRPr="008625DC">
        <w:t>‘</w:t>
      </w:r>
      <w:r w:rsidRPr="008625DC">
        <w:t>commercially realistic</w:t>
      </w:r>
      <w:r w:rsidR="00C74E19" w:rsidRPr="008625DC">
        <w:t>’</w:t>
      </w:r>
      <w:r w:rsidRPr="008625DC">
        <w:t xml:space="preserve"> market definition and expresses concern that </w:t>
      </w:r>
      <w:r w:rsidR="00C74E19" w:rsidRPr="008625DC">
        <w:t>‘</w:t>
      </w:r>
      <w:r w:rsidRPr="008625DC">
        <w:t>[t]he administrative approach to market definition can be at times unduly narrow</w:t>
      </w:r>
      <w:r w:rsidR="00C74E19" w:rsidRPr="008625DC">
        <w:t>’</w:t>
      </w:r>
      <w:r w:rsidR="001F2705" w:rsidRPr="008625DC">
        <w:t>.</w:t>
      </w:r>
      <w:r w:rsidRPr="008625DC">
        <w:t xml:space="preserve"> (</w:t>
      </w:r>
      <w:r w:rsidR="002C16E2" w:rsidRPr="008625DC">
        <w:t xml:space="preserve">BCA Summary Report, </w:t>
      </w:r>
      <w:r w:rsidR="00AA380B" w:rsidRPr="008625DC">
        <w:t xml:space="preserve">page </w:t>
      </w:r>
      <w:r w:rsidRPr="008625DC">
        <w:t>18</w:t>
      </w:r>
      <w:r w:rsidR="001F2705" w:rsidRPr="008625DC">
        <w:t>)</w:t>
      </w:r>
    </w:p>
    <w:p w14:paraId="0C72AB63" w14:textId="6193698B" w:rsidR="004A443B" w:rsidRPr="008625DC" w:rsidRDefault="004A443B" w:rsidP="00BD3315">
      <w:pPr>
        <w:tabs>
          <w:tab w:val="left" w:pos="0"/>
        </w:tabs>
        <w:spacing w:after="120"/>
      </w:pPr>
      <w:r w:rsidRPr="008625DC">
        <w:t xml:space="preserve">The concept of a market is central to the application of competition law, including the merger law. It is an economic concept that focuses attention on the relevant sources of competition that constrain the parties to a merger. The meaning of the term </w:t>
      </w:r>
      <w:r w:rsidR="00C74E19" w:rsidRPr="008625DC">
        <w:t>‘</w:t>
      </w:r>
      <w:r w:rsidRPr="008625DC">
        <w:t>market</w:t>
      </w:r>
      <w:r w:rsidR="00C74E19" w:rsidRPr="008625DC">
        <w:t>’</w:t>
      </w:r>
      <w:r w:rsidRPr="008625DC">
        <w:t xml:space="preserve"> under Australian law has been very stable. It was explained in 1976 by the </w:t>
      </w:r>
      <w:r w:rsidR="00CC2376" w:rsidRPr="008625DC">
        <w:t xml:space="preserve">former </w:t>
      </w:r>
      <w:r w:rsidRPr="008625DC">
        <w:t>Trade Practices Tribunal (</w:t>
      </w:r>
      <w:r w:rsidR="00CC2376" w:rsidRPr="008625DC">
        <w:t>now</w:t>
      </w:r>
      <w:r w:rsidRPr="008625DC">
        <w:t xml:space="preserve"> the </w:t>
      </w:r>
      <w:r w:rsidR="00407F1B" w:rsidRPr="008625DC">
        <w:t xml:space="preserve">Australian </w:t>
      </w:r>
      <w:r w:rsidR="00CC2376" w:rsidRPr="008625DC">
        <w:t xml:space="preserve">Competition Tribunal) </w:t>
      </w:r>
      <w:r w:rsidRPr="008625DC">
        <w:t>in the context of a merger authorisation in the following terms:</w:t>
      </w:r>
    </w:p>
    <w:p w14:paraId="2625A1D9" w14:textId="010A0516" w:rsidR="004A443B" w:rsidRPr="008625DC" w:rsidRDefault="004A443B" w:rsidP="004A443B">
      <w:pPr>
        <w:pStyle w:val="Quotes"/>
      </w:pPr>
      <w:r w:rsidRPr="008625DC">
        <w:t>A market is the area of close competition between firms or, putting it a little differently, the field of rivalry between them … Within the bounds of a market there is substitution</w:t>
      </w:r>
      <w:r w:rsidR="00380141" w:rsidRPr="008625DC">
        <w:t xml:space="preserve"> — </w:t>
      </w:r>
      <w:r w:rsidRPr="008625DC">
        <w:t>substitution between one product and another, and between one source of supply and another, in response to changing price</w:t>
      </w:r>
      <w:r w:rsidR="003D3E10" w:rsidRPr="008625DC">
        <w:t>s</w:t>
      </w:r>
      <w:r w:rsidRPr="008625DC">
        <w:t>. So a market is the field of actual and potential transactions between buyers and sellers amongst whom there can be strong substitution, at least in the long run, if given a sufficient price incentive.</w:t>
      </w:r>
      <w:r w:rsidR="0058392D" w:rsidRPr="008625DC">
        <w:rPr>
          <w:rStyle w:val="FootnoteReference"/>
        </w:rPr>
        <w:footnoteReference w:id="249"/>
      </w:r>
    </w:p>
    <w:p w14:paraId="3481F3AD" w14:textId="54BCFA3C" w:rsidR="006866EE" w:rsidRPr="008625DC" w:rsidRDefault="004A443B" w:rsidP="004A443B">
      <w:pPr>
        <w:rPr>
          <w:szCs w:val="22"/>
        </w:rPr>
      </w:pPr>
      <w:r w:rsidRPr="008625DC">
        <w:t>Th</w:t>
      </w:r>
      <w:r w:rsidR="00E565B9" w:rsidRPr="008625DC">
        <w:t>is</w:t>
      </w:r>
      <w:r w:rsidRPr="008625DC">
        <w:t xml:space="preserve"> explanation has stood the test of time. </w:t>
      </w:r>
      <w:r w:rsidR="005A63F7" w:rsidRPr="008625DC">
        <w:t xml:space="preserve">It has been approved by the High Court. </w:t>
      </w:r>
      <w:r w:rsidR="005A63F7" w:rsidRPr="008625DC">
        <w:rPr>
          <w:szCs w:val="22"/>
        </w:rPr>
        <w:t xml:space="preserve">In </w:t>
      </w:r>
      <w:r w:rsidR="005A63F7" w:rsidRPr="008625DC">
        <w:rPr>
          <w:i/>
          <w:szCs w:val="22"/>
        </w:rPr>
        <w:t>Queensland Wire v BHP</w:t>
      </w:r>
      <w:r w:rsidR="00CC2376" w:rsidRPr="008625DC">
        <w:rPr>
          <w:szCs w:val="22"/>
        </w:rPr>
        <w:t>,</w:t>
      </w:r>
      <w:r w:rsidR="005A63F7" w:rsidRPr="008625DC">
        <w:rPr>
          <w:rStyle w:val="FootnoteReference"/>
        </w:rPr>
        <w:footnoteReference w:id="250"/>
      </w:r>
      <w:r w:rsidR="005A63F7" w:rsidRPr="008625DC">
        <w:rPr>
          <w:szCs w:val="22"/>
        </w:rPr>
        <w:t xml:space="preserve"> Mason CJ and Wilson J</w:t>
      </w:r>
      <w:r w:rsidR="005A63F7" w:rsidRPr="008625DC">
        <w:rPr>
          <w:rStyle w:val="FootnoteReference"/>
          <w:szCs w:val="22"/>
        </w:rPr>
        <w:footnoteReference w:id="251"/>
      </w:r>
      <w:r w:rsidR="005A63F7" w:rsidRPr="008625DC">
        <w:rPr>
          <w:szCs w:val="22"/>
        </w:rPr>
        <w:t xml:space="preserve"> and Toohey J</w:t>
      </w:r>
      <w:r w:rsidR="005A63F7" w:rsidRPr="008625DC">
        <w:rPr>
          <w:rStyle w:val="FootnoteReference"/>
          <w:szCs w:val="22"/>
        </w:rPr>
        <w:footnoteReference w:id="252"/>
      </w:r>
      <w:r w:rsidR="005A63F7" w:rsidRPr="008625DC">
        <w:rPr>
          <w:szCs w:val="22"/>
        </w:rPr>
        <w:t xml:space="preserve"> agreed with the above passage. Deane</w:t>
      </w:r>
      <w:r w:rsidR="00C04535">
        <w:rPr>
          <w:szCs w:val="22"/>
        </w:rPr>
        <w:t> </w:t>
      </w:r>
      <w:r w:rsidR="005A63F7" w:rsidRPr="008625DC">
        <w:rPr>
          <w:szCs w:val="22"/>
        </w:rPr>
        <w:t xml:space="preserve">J used the same language and said that: </w:t>
      </w:r>
      <w:r w:rsidR="00C74E19" w:rsidRPr="008625DC">
        <w:rPr>
          <w:szCs w:val="22"/>
        </w:rPr>
        <w:t>‘</w:t>
      </w:r>
      <w:r w:rsidR="005A63F7" w:rsidRPr="008625DC">
        <w:t>market</w:t>
      </w:r>
      <w:r w:rsidR="00C74E19" w:rsidRPr="008625DC">
        <w:t>’</w:t>
      </w:r>
      <w:r w:rsidR="005A63F7" w:rsidRPr="008625DC">
        <w:t xml:space="preserve"> should, in the context of the Act, be understood in the sense of an area of potential close competition in particular goods and/or services and their </w:t>
      </w:r>
      <w:r w:rsidR="005A63F7" w:rsidRPr="008625DC">
        <w:lastRenderedPageBreak/>
        <w:t>substitutes</w:t>
      </w:r>
      <w:r w:rsidR="00C74E19" w:rsidRPr="008625DC">
        <w:t>’</w:t>
      </w:r>
      <w:r w:rsidR="005A63F7" w:rsidRPr="008625DC">
        <w:rPr>
          <w:szCs w:val="22"/>
        </w:rPr>
        <w:t>.</w:t>
      </w:r>
      <w:r w:rsidR="005A63F7" w:rsidRPr="008625DC">
        <w:rPr>
          <w:rStyle w:val="FootnoteReference"/>
          <w:szCs w:val="22"/>
        </w:rPr>
        <w:footnoteReference w:id="253"/>
      </w:r>
      <w:r w:rsidR="006866EE" w:rsidRPr="008625DC">
        <w:rPr>
          <w:szCs w:val="22"/>
        </w:rPr>
        <w:t xml:space="preserve"> </w:t>
      </w:r>
      <w:r w:rsidR="005A63F7" w:rsidRPr="008625DC">
        <w:rPr>
          <w:szCs w:val="22"/>
        </w:rPr>
        <w:t xml:space="preserve">To the same effect was the statement of Dawson J that: </w:t>
      </w:r>
      <w:r w:rsidR="00C74E19" w:rsidRPr="008625DC">
        <w:rPr>
          <w:szCs w:val="22"/>
        </w:rPr>
        <w:t>‘</w:t>
      </w:r>
      <w:r w:rsidR="005A63F7" w:rsidRPr="008625DC">
        <w:t>A market is an area in which the exchange of goods or services between buyer and seller is negotiated</w:t>
      </w:r>
      <w:r w:rsidR="00C74E19" w:rsidRPr="008625DC">
        <w:t>’</w:t>
      </w:r>
      <w:r w:rsidR="005A63F7" w:rsidRPr="008625DC">
        <w:rPr>
          <w:szCs w:val="22"/>
        </w:rPr>
        <w:t>.</w:t>
      </w:r>
      <w:r w:rsidR="005A63F7" w:rsidRPr="008625DC">
        <w:rPr>
          <w:rStyle w:val="FootnoteReference"/>
          <w:szCs w:val="22"/>
        </w:rPr>
        <w:footnoteReference w:id="254"/>
      </w:r>
    </w:p>
    <w:p w14:paraId="62FAAEAD" w14:textId="7DCEFD37" w:rsidR="00CC2376" w:rsidRPr="008625DC" w:rsidRDefault="005A63F7" w:rsidP="001F2705">
      <w:pPr>
        <w:spacing w:after="120"/>
        <w:rPr>
          <w:szCs w:val="22"/>
        </w:rPr>
      </w:pPr>
      <w:r w:rsidRPr="008625DC">
        <w:rPr>
          <w:szCs w:val="22"/>
        </w:rPr>
        <w:t xml:space="preserve">Similarly, in </w:t>
      </w:r>
      <w:r w:rsidRPr="008625DC">
        <w:rPr>
          <w:i/>
          <w:szCs w:val="22"/>
        </w:rPr>
        <w:t>Boral Besser Masonry v ACCC</w:t>
      </w:r>
      <w:r w:rsidRPr="008625DC">
        <w:rPr>
          <w:szCs w:val="22"/>
        </w:rPr>
        <w:t>,</w:t>
      </w:r>
      <w:r w:rsidRPr="008625DC">
        <w:rPr>
          <w:rStyle w:val="FootnoteReference"/>
          <w:szCs w:val="22"/>
        </w:rPr>
        <w:footnoteReference w:id="255"/>
      </w:r>
      <w:r w:rsidRPr="008625DC">
        <w:rPr>
          <w:szCs w:val="22"/>
        </w:rPr>
        <w:t xml:space="preserve"> McHugh J referred to the above passage from </w:t>
      </w:r>
      <w:r w:rsidR="00CC2376" w:rsidRPr="008625DC">
        <w:rPr>
          <w:szCs w:val="22"/>
        </w:rPr>
        <w:t>the former Trade Practices Tribunal</w:t>
      </w:r>
      <w:r w:rsidRPr="008625DC">
        <w:rPr>
          <w:szCs w:val="22"/>
        </w:rPr>
        <w:t xml:space="preserve"> and said:</w:t>
      </w:r>
    </w:p>
    <w:p w14:paraId="0CBED41B" w14:textId="50DCCC8F" w:rsidR="004A443B" w:rsidRPr="008625DC" w:rsidRDefault="001F2705" w:rsidP="00CC2376">
      <w:pPr>
        <w:pStyle w:val="Quotes"/>
      </w:pPr>
      <w:r w:rsidRPr="008625DC">
        <w:t>[</w:t>
      </w:r>
      <w:r w:rsidR="00C04535">
        <w:t>A</w:t>
      </w:r>
      <w:r w:rsidRPr="008625DC">
        <w:t>]</w:t>
      </w:r>
      <w:r w:rsidR="005A63F7" w:rsidRPr="008625DC">
        <w:t xml:space="preserve"> market describes the transactions between sellers and buyers in respect of particular products that buyers see as close or reasonable substitutes for each other given the respective prices and conditions of sale of those products</w:t>
      </w:r>
      <w:r w:rsidR="005A63F7" w:rsidRPr="008625DC">
        <w:rPr>
          <w:szCs w:val="22"/>
        </w:rPr>
        <w:t>.</w:t>
      </w:r>
      <w:r w:rsidR="005A63F7" w:rsidRPr="008625DC">
        <w:rPr>
          <w:rStyle w:val="FootnoteReference"/>
          <w:szCs w:val="22"/>
        </w:rPr>
        <w:footnoteReference w:id="256"/>
      </w:r>
    </w:p>
    <w:p w14:paraId="439AFF1A" w14:textId="5BD677BB" w:rsidR="00E565B9" w:rsidRPr="008625DC" w:rsidRDefault="004A443B" w:rsidP="00B40FD7">
      <w:r w:rsidRPr="008625DC">
        <w:t xml:space="preserve">The assessment of the likely effect of a merger on competition, including the identification of markets that are relevant to </w:t>
      </w:r>
      <w:r w:rsidR="00E565B9" w:rsidRPr="008625DC">
        <w:t>such an</w:t>
      </w:r>
      <w:r w:rsidRPr="008625DC">
        <w:t xml:space="preserve"> assessment, involves judgment. Differences of opinion can and do emerge. Very few mergers are opposed by the ACCC. For example, </w:t>
      </w:r>
      <w:r w:rsidR="00371182" w:rsidRPr="008625DC">
        <w:t>the ACCC</w:t>
      </w:r>
      <w:r w:rsidRPr="008625DC">
        <w:t xml:space="preserve"> </w:t>
      </w:r>
      <w:r w:rsidR="003D3E10" w:rsidRPr="008625DC">
        <w:t>publicly</w:t>
      </w:r>
      <w:r w:rsidRPr="008625DC">
        <w:t xml:space="preserve"> opposed six out of 2</w:t>
      </w:r>
      <w:r w:rsidR="003D3E10" w:rsidRPr="008625DC">
        <w:t>77 mergers reviewed on a non</w:t>
      </w:r>
      <w:r w:rsidR="00C74E19" w:rsidRPr="008625DC">
        <w:noBreakHyphen/>
      </w:r>
      <w:r w:rsidR="003D3E10" w:rsidRPr="008625DC">
        <w:t xml:space="preserve">confidential </w:t>
      </w:r>
      <w:r w:rsidR="001148D7" w:rsidRPr="008625DC">
        <w:t>basis</w:t>
      </w:r>
      <w:r w:rsidRPr="008625DC">
        <w:t xml:space="preserve"> in 2012</w:t>
      </w:r>
      <w:r w:rsidR="00C74E19" w:rsidRPr="008625DC">
        <w:noBreakHyphen/>
      </w:r>
      <w:r w:rsidRPr="008625DC">
        <w:t>13, or around 2 per cent</w:t>
      </w:r>
      <w:r w:rsidR="00BD3315" w:rsidRPr="008625DC">
        <w:t>.</w:t>
      </w:r>
      <w:r w:rsidRPr="008625DC">
        <w:rPr>
          <w:rStyle w:val="FootnoteReference"/>
        </w:rPr>
        <w:footnoteReference w:id="257"/>
      </w:r>
      <w:r w:rsidRPr="008625DC">
        <w:t xml:space="preserve"> This suggests that the concerns raised with the Panel emanate from a small number of high profile, contentious cases.</w:t>
      </w:r>
    </w:p>
    <w:p w14:paraId="0FDBD439" w14:textId="7FCA8005" w:rsidR="004A443B" w:rsidRPr="008625DC" w:rsidRDefault="004A443B" w:rsidP="00B40FD7">
      <w:r w:rsidRPr="008625DC">
        <w:t xml:space="preserve">It is not the role of the </w:t>
      </w:r>
      <w:r w:rsidR="00575A09" w:rsidRPr="008625DC">
        <w:t>Panel</w:t>
      </w:r>
      <w:r w:rsidRPr="008625DC">
        <w:t xml:space="preserve"> to adjudicate whether the ACCC has been right or wrong in its interpretation of the law in individual cases; when the ACCC and merger parties differ about whether a merger breaches the CCA, it is the place of the Tribunal or the </w:t>
      </w:r>
      <w:r w:rsidR="00E565B9" w:rsidRPr="008625DC">
        <w:t>c</w:t>
      </w:r>
      <w:r w:rsidRPr="008625DC">
        <w:t xml:space="preserve">ourts to decide the outcome. The </w:t>
      </w:r>
      <w:r w:rsidR="00575A09" w:rsidRPr="008625DC">
        <w:t>Panel</w:t>
      </w:r>
      <w:r w:rsidRPr="008625DC">
        <w:t xml:space="preserve"> is directed to </w:t>
      </w:r>
      <w:r w:rsidR="00371182" w:rsidRPr="008625DC">
        <w:t>assess</w:t>
      </w:r>
      <w:r w:rsidRPr="008625DC">
        <w:t xml:space="preserve"> whether the legal framework within which mergers are assessed is appropriate.</w:t>
      </w:r>
    </w:p>
    <w:p w14:paraId="7F693BF6" w14:textId="4F109F71" w:rsidR="004A443B" w:rsidRPr="008625DC" w:rsidRDefault="004A443B" w:rsidP="00B40FD7">
      <w:r w:rsidRPr="008625DC">
        <w:t xml:space="preserve">Submissions </w:t>
      </w:r>
      <w:r w:rsidR="000376F5" w:rsidRPr="008625DC">
        <w:t>r</w:t>
      </w:r>
      <w:r w:rsidRPr="008625DC">
        <w:t xml:space="preserve">aise the specific question </w:t>
      </w:r>
      <w:r w:rsidR="00371182" w:rsidRPr="008625DC">
        <w:t>of</w:t>
      </w:r>
      <w:r w:rsidRPr="008625DC">
        <w:t xml:space="preserve"> whether Australia</w:t>
      </w:r>
      <w:r w:rsidR="00C74E19" w:rsidRPr="008625DC">
        <w:t>’</w:t>
      </w:r>
      <w:r w:rsidRPr="008625DC">
        <w:t>s merger laws give proper consideration to global markets within which many businesses compete</w:t>
      </w:r>
      <w:r w:rsidR="00380141" w:rsidRPr="008625DC">
        <w:t xml:space="preserve">. </w:t>
      </w:r>
      <w:r w:rsidRPr="008625DC">
        <w:t xml:space="preserve">Concerns have been expressed that the term </w:t>
      </w:r>
      <w:r w:rsidR="00C74E19" w:rsidRPr="008625DC">
        <w:t>‘</w:t>
      </w:r>
      <w:r w:rsidRPr="008625DC">
        <w:t>market</w:t>
      </w:r>
      <w:r w:rsidR="00C74E19" w:rsidRPr="008625DC">
        <w:t>’</w:t>
      </w:r>
      <w:r w:rsidRPr="008625DC">
        <w:t xml:space="preserve"> in the CCA is defined as a market </w:t>
      </w:r>
      <w:r w:rsidR="00C74E19" w:rsidRPr="008625DC">
        <w:t>‘</w:t>
      </w:r>
      <w:r w:rsidRPr="008625DC">
        <w:t>in Australia</w:t>
      </w:r>
      <w:r w:rsidR="00C74E19" w:rsidRPr="008625DC">
        <w:t>’</w:t>
      </w:r>
      <w:r w:rsidRPr="008625DC">
        <w:t xml:space="preserve"> and that th</w:t>
      </w:r>
      <w:r w:rsidR="00E565B9" w:rsidRPr="008625DC">
        <w:t>is</w:t>
      </w:r>
      <w:r w:rsidRPr="008625DC">
        <w:t xml:space="preserve"> causes the competition analysis to be narrowly </w:t>
      </w:r>
      <w:r w:rsidR="004E3403" w:rsidRPr="008625DC">
        <w:t>focused</w:t>
      </w:r>
      <w:r w:rsidRPr="008625DC">
        <w:t>. Similar concerns about market definition and global competition have arisen overseas</w:t>
      </w:r>
      <w:r w:rsidRPr="008625DC">
        <w:rPr>
          <w:rStyle w:val="FootnoteReference"/>
        </w:rPr>
        <w:footnoteReference w:id="258"/>
      </w:r>
      <w:r w:rsidRPr="008625DC">
        <w:t xml:space="preserve"> and also arose in submissions to the Dawson Review (which did not recommend a change to the way markets are defined).</w:t>
      </w:r>
      <w:r w:rsidRPr="008625DC">
        <w:rPr>
          <w:rStyle w:val="FootnoteReference"/>
        </w:rPr>
        <w:footnoteReference w:id="259"/>
      </w:r>
    </w:p>
    <w:p w14:paraId="032E417C" w14:textId="39F9678A" w:rsidR="004A443B" w:rsidRPr="008625DC" w:rsidRDefault="004A443B" w:rsidP="00B40FD7">
      <w:r w:rsidRPr="008625DC">
        <w:t xml:space="preserve">The Panel considers that it is necessary and appropriate for the term </w:t>
      </w:r>
      <w:r w:rsidR="00C74E19" w:rsidRPr="008625DC">
        <w:t>‘</w:t>
      </w:r>
      <w:r w:rsidRPr="008625DC">
        <w:t>market</w:t>
      </w:r>
      <w:r w:rsidR="00C74E19" w:rsidRPr="008625DC">
        <w:t>’</w:t>
      </w:r>
      <w:r w:rsidRPr="008625DC">
        <w:t xml:space="preserve"> to be defined as a market in Australia. This is because the CCA is concerned with the economic welfare of Australians, not citizens of other countries. The law is intended to protect competition in Australian markets for the benefit of Australian consumers. If that aspect of the CCA w</w:t>
      </w:r>
      <w:r w:rsidR="005A63F7" w:rsidRPr="008625DC">
        <w:t>ere</w:t>
      </w:r>
      <w:r w:rsidRPr="008625DC">
        <w:t xml:space="preserve"> to be changed, and competition w</w:t>
      </w:r>
      <w:r w:rsidR="005A63F7" w:rsidRPr="008625DC">
        <w:t>ere</w:t>
      </w:r>
      <w:r w:rsidRPr="008625DC">
        <w:t xml:space="preserve"> to be assessed by reference to global markets, Australian competition law would be at risk of failing in its central objective.</w:t>
      </w:r>
    </w:p>
    <w:p w14:paraId="3272D123" w14:textId="7CCFE6BC" w:rsidR="005A63F7" w:rsidRPr="008625DC" w:rsidRDefault="005A63F7" w:rsidP="005A63F7">
      <w:r w:rsidRPr="008625DC">
        <w:t>Th</w:t>
      </w:r>
      <w:r w:rsidR="00E565B9" w:rsidRPr="008625DC">
        <w:t>is</w:t>
      </w:r>
      <w:r w:rsidRPr="008625DC">
        <w:t xml:space="preserve"> should not mean, </w:t>
      </w:r>
      <w:r w:rsidR="00E565B9" w:rsidRPr="008625DC">
        <w:t>however</w:t>
      </w:r>
      <w:r w:rsidRPr="008625DC">
        <w:t xml:space="preserve">, that the CCA ignores the forces of competition that arise outside Australia but which </w:t>
      </w:r>
      <w:r w:rsidR="00E565B9" w:rsidRPr="008625DC">
        <w:t>bear upon</w:t>
      </w:r>
      <w:r w:rsidRPr="008625DC">
        <w:t xml:space="preserve"> Australian markets. Today, more than ever, Australian consumers are able to use the internet to browse for and purchase goods and services from overseas suppliers. </w:t>
      </w:r>
      <w:r w:rsidRPr="008625DC">
        <w:lastRenderedPageBreak/>
        <w:t>While the objective of the CCA is to protect and promote competition in Australian markets, frequently the sources of competition in Australian markets are global.</w:t>
      </w:r>
    </w:p>
    <w:p w14:paraId="5CB78F1D" w14:textId="6692FA32" w:rsidR="005A63F7" w:rsidRPr="008625DC" w:rsidRDefault="005A63F7" w:rsidP="005A63F7">
      <w:r w:rsidRPr="008625DC">
        <w:t xml:space="preserve">The CCA has been framed to take account of all sources of competition that </w:t>
      </w:r>
      <w:r w:rsidR="00E565B9" w:rsidRPr="008625DC">
        <w:t>affect</w:t>
      </w:r>
      <w:r w:rsidRPr="008625DC">
        <w:t xml:space="preserve"> markets in Australia. The definition of the term </w:t>
      </w:r>
      <w:r w:rsidR="00C74E19" w:rsidRPr="008625DC">
        <w:t>‘</w:t>
      </w:r>
      <w:r w:rsidRPr="008625DC">
        <w:t>competition</w:t>
      </w:r>
      <w:r w:rsidR="00C74E19" w:rsidRPr="008625DC">
        <w:t>’</w:t>
      </w:r>
      <w:r w:rsidRPr="008625DC">
        <w:t xml:space="preserve"> in the CCA is important. In the CCA, </w:t>
      </w:r>
      <w:r w:rsidR="00C74E19" w:rsidRPr="008625DC">
        <w:t>‘</w:t>
      </w:r>
      <w:r w:rsidRPr="008625DC">
        <w:t>competition</w:t>
      </w:r>
      <w:r w:rsidR="00C74E19" w:rsidRPr="008625DC">
        <w:t>’</w:t>
      </w:r>
      <w:r w:rsidRPr="008625DC">
        <w:t xml:space="preserve"> is defined to include competition from imported goods and services.</w:t>
      </w:r>
    </w:p>
    <w:p w14:paraId="45523187" w14:textId="318B0F81" w:rsidR="00E565B9" w:rsidRPr="008625DC" w:rsidRDefault="005A63F7" w:rsidP="005A63F7">
      <w:r w:rsidRPr="008625DC">
        <w:rPr>
          <w:szCs w:val="22"/>
        </w:rPr>
        <w:t xml:space="preserve">The geographic boundaries of many markets extend beyond Australia. In those circumstances a corporation that competes for the supply of goods or services in Australia does so in the broader geographic market. Any assessment of competition under the CCA must take account of those market realities. </w:t>
      </w:r>
      <w:r w:rsidR="00371182" w:rsidRPr="008625DC">
        <w:t>This</w:t>
      </w:r>
      <w:r w:rsidRPr="008625DC">
        <w:t xml:space="preserve"> has been recognised in decisions of the courts and the Tribunal.</w:t>
      </w:r>
    </w:p>
    <w:p w14:paraId="085A3E8B" w14:textId="262B6175" w:rsidR="00371182" w:rsidRPr="008625DC" w:rsidRDefault="005A63F7" w:rsidP="001F2705">
      <w:pPr>
        <w:spacing w:after="120"/>
      </w:pPr>
      <w:r w:rsidRPr="008625DC">
        <w:t xml:space="preserve">In </w:t>
      </w:r>
      <w:r w:rsidRPr="008625DC">
        <w:rPr>
          <w:i/>
        </w:rPr>
        <w:t>Re Fortescue Metals Group</w:t>
      </w:r>
      <w:r w:rsidRPr="008625DC">
        <w:t>, the Tribunal concluded that the relevant concept of a market for the purposes of the competition law</w:t>
      </w:r>
      <w:r w:rsidR="00371182" w:rsidRPr="008625DC">
        <w:t>:</w:t>
      </w:r>
    </w:p>
    <w:p w14:paraId="6332C24C" w14:textId="5C995475" w:rsidR="00371182" w:rsidRPr="008625DC" w:rsidRDefault="001F2705" w:rsidP="00371182">
      <w:pPr>
        <w:pStyle w:val="Quotes"/>
      </w:pPr>
      <w:r w:rsidRPr="008625DC">
        <w:t>[</w:t>
      </w:r>
      <w:r w:rsidR="005A63F7" w:rsidRPr="008625DC">
        <w:t>c</w:t>
      </w:r>
      <w:r w:rsidRPr="008625DC">
        <w:t>]</w:t>
      </w:r>
      <w:r w:rsidR="005A63F7" w:rsidRPr="008625DC">
        <w:t>onsists of groups of buyers and groups of sellers in a geographic region who seek each other out as a source of supply of, or as customers for, products. The interaction of the buyers and sellers determines the price for the products.</w:t>
      </w:r>
      <w:r w:rsidR="005A63F7" w:rsidRPr="008625DC">
        <w:rPr>
          <w:vertAlign w:val="superscript"/>
        </w:rPr>
        <w:footnoteReference w:id="260"/>
      </w:r>
      <w:r w:rsidR="005A63F7" w:rsidRPr="008625DC">
        <w:t xml:space="preserve"> </w:t>
      </w:r>
    </w:p>
    <w:p w14:paraId="19F648B0" w14:textId="192AF6E5" w:rsidR="00E565B9" w:rsidRPr="008625DC" w:rsidRDefault="005A63F7" w:rsidP="005A63F7">
      <w:r w:rsidRPr="008625DC">
        <w:t xml:space="preserve">The Tribunal described the process of defining the relevant market as </w:t>
      </w:r>
      <w:r w:rsidR="00C74E19" w:rsidRPr="008625DC">
        <w:t>‘</w:t>
      </w:r>
      <w:r w:rsidRPr="008625DC">
        <w:t>the identification of the participating firms, a description of the products exchanged and the borders within which the exchange occurs</w:t>
      </w:r>
      <w:r w:rsidR="00C74E19" w:rsidRPr="008625DC">
        <w:t>’</w:t>
      </w:r>
      <w:r w:rsidRPr="008625DC">
        <w:t>.</w:t>
      </w:r>
      <w:r w:rsidRPr="008625DC">
        <w:rPr>
          <w:vertAlign w:val="superscript"/>
        </w:rPr>
        <w:footnoteReference w:id="261"/>
      </w:r>
    </w:p>
    <w:p w14:paraId="7DF362EE" w14:textId="000DFC59" w:rsidR="005A63F7" w:rsidRPr="008625DC" w:rsidRDefault="005A63F7" w:rsidP="005A63F7">
      <w:r w:rsidRPr="008625DC">
        <w:t xml:space="preserve">While the CCA is concerned with the wellbeing of Australian consumers, it takes account of all sellers </w:t>
      </w:r>
      <w:r w:rsidR="00E565B9" w:rsidRPr="008625DC">
        <w:t>that</w:t>
      </w:r>
      <w:r w:rsidRPr="008625DC">
        <w:t xml:space="preserve"> compete to supply products in Australia, wherever they may be located.</w:t>
      </w:r>
    </w:p>
    <w:p w14:paraId="2092E1EE" w14:textId="494678C8" w:rsidR="004A443B" w:rsidRPr="008625DC" w:rsidRDefault="00A13C1A" w:rsidP="00BD3315">
      <w:pPr>
        <w:spacing w:after="120"/>
      </w:pPr>
      <w:r w:rsidRPr="008625DC">
        <w:t xml:space="preserve">This is also acknowledged by </w:t>
      </w:r>
      <w:r w:rsidR="00371182" w:rsidRPr="008625DC">
        <w:t xml:space="preserve">the </w:t>
      </w:r>
      <w:r w:rsidRPr="008625DC">
        <w:t>ACCC</w:t>
      </w:r>
      <w:r w:rsidR="004A443B" w:rsidRPr="008625DC">
        <w:t xml:space="preserve">. </w:t>
      </w:r>
      <w:r w:rsidRPr="008625DC">
        <w:t>In a submission</w:t>
      </w:r>
      <w:r w:rsidR="00E565B9" w:rsidRPr="008625DC">
        <w:t xml:space="preserve"> to the Panel</w:t>
      </w:r>
      <w:r w:rsidRPr="008625DC">
        <w:t xml:space="preserve"> the ACCC state</w:t>
      </w:r>
      <w:r w:rsidR="00E565B9" w:rsidRPr="008625DC">
        <w:t>s</w:t>
      </w:r>
      <w:r w:rsidRPr="008625DC">
        <w:t xml:space="preserve">: </w:t>
      </w:r>
    </w:p>
    <w:p w14:paraId="7B82776D" w14:textId="70AA7758" w:rsidR="004A443B" w:rsidRPr="008625DC" w:rsidRDefault="004A443B" w:rsidP="00B40FD7">
      <w:pPr>
        <w:pStyle w:val="Quotes"/>
      </w:pPr>
      <w:r w:rsidRPr="008625DC">
        <w:t>The CCA</w:t>
      </w:r>
      <w:r w:rsidR="00DA5197" w:rsidRPr="008625DC">
        <w:t xml:space="preserve"> </w:t>
      </w:r>
      <w:r w:rsidRPr="008625DC">
        <w:t>…</w:t>
      </w:r>
      <w:r w:rsidR="00DA5197" w:rsidRPr="008625DC">
        <w:t xml:space="preserve"> </w:t>
      </w:r>
      <w:r w:rsidRPr="008625DC">
        <w:t>recognises that Australia operates in a global economy and provides a framework for such matters to be taken into account. For example when assessing the likely competitive effect of a proposed merger, the potential for competitive constraint to be provided by suppliers located outside Australia is taken into account by considering import competition. (ACCC</w:t>
      </w:r>
      <w:r w:rsidR="00B15334" w:rsidRPr="008625DC">
        <w:t xml:space="preserve"> </w:t>
      </w:r>
      <w:r w:rsidR="000376F5" w:rsidRPr="008625DC">
        <w:t>S</w:t>
      </w:r>
      <w:r w:rsidR="00042FD2" w:rsidRPr="008625DC">
        <w:t>ubmission</w:t>
      </w:r>
      <w:r w:rsidR="00B15334" w:rsidRPr="008625DC">
        <w:t xml:space="preserve"> 1</w:t>
      </w:r>
      <w:r w:rsidRPr="008625DC">
        <w:t xml:space="preserve">, </w:t>
      </w:r>
      <w:r w:rsidR="00AA380B" w:rsidRPr="008625DC">
        <w:t xml:space="preserve">page </w:t>
      </w:r>
      <w:r w:rsidRPr="008625DC">
        <w:t>126)</w:t>
      </w:r>
    </w:p>
    <w:p w14:paraId="0C64ED57" w14:textId="328412CE" w:rsidR="004A443B" w:rsidRPr="008625DC" w:rsidRDefault="00A13C1A" w:rsidP="00B40FD7">
      <w:r w:rsidRPr="008625DC">
        <w:t>Nevertheless, g</w:t>
      </w:r>
      <w:r w:rsidR="004A443B" w:rsidRPr="008625DC">
        <w:t xml:space="preserve">iven the importance of ensuring that global sources of competition are considered where relevant, the Panel considers that the current definition of </w:t>
      </w:r>
      <w:r w:rsidR="00C74E19" w:rsidRPr="008625DC">
        <w:t>‘</w:t>
      </w:r>
      <w:r w:rsidR="004A443B" w:rsidRPr="008625DC">
        <w:t>competition</w:t>
      </w:r>
      <w:r w:rsidR="00C74E19" w:rsidRPr="008625DC">
        <w:t>’</w:t>
      </w:r>
      <w:r w:rsidR="004A443B" w:rsidRPr="008625DC">
        <w:t xml:space="preserve"> in the CCA could be </w:t>
      </w:r>
      <w:r w:rsidRPr="008625DC">
        <w:t>strengthened</w:t>
      </w:r>
      <w:r w:rsidR="004A443B" w:rsidRPr="008625DC">
        <w:t xml:space="preserve"> so that there can be no doubt that it includes competition from </w:t>
      </w:r>
      <w:r w:rsidR="004A443B" w:rsidRPr="008625DC">
        <w:rPr>
          <w:i/>
        </w:rPr>
        <w:t>potential</w:t>
      </w:r>
      <w:r w:rsidR="004A443B" w:rsidRPr="008625DC">
        <w:t xml:space="preserve"> imports of goods and services, not just </w:t>
      </w:r>
      <w:r w:rsidR="004A443B" w:rsidRPr="008625DC">
        <w:rPr>
          <w:i/>
        </w:rPr>
        <w:t xml:space="preserve">actual </w:t>
      </w:r>
      <w:r w:rsidR="004A443B" w:rsidRPr="008625DC">
        <w:t>imports.</w:t>
      </w:r>
    </w:p>
    <w:p w14:paraId="6F1BFA57" w14:textId="0C556690" w:rsidR="004A443B" w:rsidRPr="008625DC" w:rsidRDefault="004A443B" w:rsidP="00BD3315">
      <w:pPr>
        <w:spacing w:after="120"/>
      </w:pPr>
      <w:r w:rsidRPr="008625DC">
        <w:t>Some stakeholders also question whether the ACCC</w:t>
      </w:r>
      <w:r w:rsidR="00C74E19" w:rsidRPr="008625DC">
        <w:t>’</w:t>
      </w:r>
      <w:r w:rsidRPr="008625DC">
        <w:t>s application of the CCA is constraining the ability of Australian businesses to achieve efficient scale in order to become globally competitive. For example:</w:t>
      </w:r>
    </w:p>
    <w:p w14:paraId="1F5FC362" w14:textId="15044781" w:rsidR="004A443B" w:rsidRPr="008625DC" w:rsidRDefault="004A443B" w:rsidP="00B40FD7">
      <w:pPr>
        <w:pStyle w:val="Quotes"/>
      </w:pPr>
      <w:r w:rsidRPr="008625DC">
        <w:t>Competition Policy [is] frustrating</w:t>
      </w:r>
      <w:r w:rsidRPr="008625DC" w:rsidDel="00C73620">
        <w:t xml:space="preserve"> </w:t>
      </w:r>
      <w:r w:rsidRPr="008625DC">
        <w:t>mergers of companies in the global traded goods sector in the name of competition in the domestic market, but in the process denies a producer the extent of the market required for an operation to be internationally competitive</w:t>
      </w:r>
      <w:r w:rsidR="002F11DC" w:rsidRPr="008625DC">
        <w:t xml:space="preserve"> </w:t>
      </w:r>
      <w:r w:rsidR="00C41F8A" w:rsidRPr="008625DC">
        <w:t>…</w:t>
      </w:r>
      <w:r w:rsidR="00371182" w:rsidRPr="008625DC">
        <w:t xml:space="preserve"> </w:t>
      </w:r>
      <w:r w:rsidRPr="008625DC">
        <w:t xml:space="preserve">It is recommended priority be given to mergers which favour the formation of a strong group which can compete in international markets rather than having weak fragmented entities. (The Industry Group, </w:t>
      </w:r>
      <w:r w:rsidR="00AA380B" w:rsidRPr="008625DC">
        <w:t xml:space="preserve">page </w:t>
      </w:r>
      <w:r w:rsidRPr="008625DC">
        <w:t>1</w:t>
      </w:r>
      <w:r w:rsidR="00C41F8A" w:rsidRPr="008625DC">
        <w:t>2</w:t>
      </w:r>
      <w:r w:rsidRPr="008625DC">
        <w:t>)</w:t>
      </w:r>
    </w:p>
    <w:p w14:paraId="04C81385" w14:textId="244317DE" w:rsidR="00A13C1A" w:rsidRPr="008625DC" w:rsidRDefault="00A13C1A" w:rsidP="007E63E9">
      <w:r w:rsidRPr="008625DC">
        <w:lastRenderedPageBreak/>
        <w:t>In order to compete effectively, businesses must continuously pursue economic efficiency. In many industries, efficiency requires scale. Business</w:t>
      </w:r>
      <w:r w:rsidR="00371182" w:rsidRPr="008625DC">
        <w:t>es</w:t>
      </w:r>
      <w:r w:rsidRPr="008625DC">
        <w:t xml:space="preserve"> may pursue mergers in order to achieve efficient scale to compete more effectively in global markets. </w:t>
      </w:r>
    </w:p>
    <w:p w14:paraId="0AA195C2" w14:textId="34A96BCF" w:rsidR="00A13C1A" w:rsidRPr="008625DC" w:rsidRDefault="00A13C1A" w:rsidP="007E63E9">
      <w:r w:rsidRPr="008625DC">
        <w:t>In many markets in Australia achiev</w:t>
      </w:r>
      <w:r w:rsidR="00FB084C" w:rsidRPr="008625DC">
        <w:t>ing</w:t>
      </w:r>
      <w:r w:rsidRPr="008625DC">
        <w:t xml:space="preserve"> efficient scale will not substantially lessen competition because of the constraining influence of imports. Such mergers are allowed under the CCA. However, in some markets, the opposite will be the case: the influence of imports may be weak and unable to constrain the resulting market power of the merged businesses. When that occurs there are conflicting interests: the gain to the businesses that wish to merge through achieving greater efficiency </w:t>
      </w:r>
      <w:r w:rsidR="00E565B9" w:rsidRPr="008625DC">
        <w:t>against</w:t>
      </w:r>
      <w:r w:rsidRPr="008625DC">
        <w:t xml:space="preserve"> the potential detriment to Australian consumers due to the reduction in competition.</w:t>
      </w:r>
    </w:p>
    <w:p w14:paraId="611D3144" w14:textId="7C5BB078" w:rsidR="00E565B9" w:rsidRPr="008625DC" w:rsidRDefault="00A13C1A" w:rsidP="007E63E9">
      <w:r w:rsidRPr="008625DC">
        <w:t xml:space="preserve">From time to time there are calls for competition policy to be changed to allow the formation of </w:t>
      </w:r>
      <w:r w:rsidR="00C74E19" w:rsidRPr="008625DC">
        <w:t>‘</w:t>
      </w:r>
      <w:r w:rsidRPr="008625DC">
        <w:t>national champions</w:t>
      </w:r>
      <w:r w:rsidR="00C74E19" w:rsidRPr="008625DC">
        <w:t xml:space="preserve">’ — </w:t>
      </w:r>
      <w:r w:rsidRPr="008625DC">
        <w:t>national firms that are large enough to compete globally. While the pursuit of scale efficiencies is a desirable economic objective, it is less clear whether, and in what circumstances, suspending competition laws to allow the creation of national champions is desirable from either an economic or consumer perspective.</w:t>
      </w:r>
    </w:p>
    <w:p w14:paraId="73FAEF0B" w14:textId="07BEF819" w:rsidR="00A13C1A" w:rsidRPr="008625DC" w:rsidRDefault="00A13C1A" w:rsidP="007E63E9">
      <w:r w:rsidRPr="008625DC">
        <w:t>Porter</w:t>
      </w:r>
      <w:r w:rsidRPr="008625DC">
        <w:rPr>
          <w:rStyle w:val="FootnoteReference"/>
        </w:rPr>
        <w:footnoteReference w:id="262"/>
      </w:r>
      <w:r w:rsidRPr="008625DC">
        <w:t xml:space="preserve"> and others have noted that the best preparation for overseas competition is not insulation from domestic competition but exposure to intense domestic competition. Further, the purpose of the competition laws is to enhance consumer welfare through ensuring that Australian consumers can access competitively priced goods and services. Allowing mergers to create a national champion may benefit the shareholders of the merged businesses but </w:t>
      </w:r>
      <w:r w:rsidR="00E565B9" w:rsidRPr="008625DC">
        <w:t>c</w:t>
      </w:r>
      <w:r w:rsidRPr="008625DC">
        <w:t>ould diminish the welfare of Australian consumers.</w:t>
      </w:r>
    </w:p>
    <w:tbl>
      <w:tblPr>
        <w:tblW w:w="9072" w:type="dxa"/>
        <w:tblInd w:w="108" w:type="dxa"/>
        <w:shd w:val="clear" w:color="auto" w:fill="E6E6E6"/>
        <w:tblLook w:val="01E0" w:firstRow="1" w:lastRow="1" w:firstColumn="1" w:lastColumn="1" w:noHBand="0" w:noVBand="0"/>
      </w:tblPr>
      <w:tblGrid>
        <w:gridCol w:w="9072"/>
      </w:tblGrid>
      <w:tr w:rsidR="00142F78" w:rsidRPr="008625DC" w14:paraId="31026EEC" w14:textId="77777777">
        <w:tc>
          <w:tcPr>
            <w:tcW w:w="5000" w:type="pct"/>
            <w:shd w:val="clear" w:color="auto" w:fill="E6E6E6"/>
          </w:tcPr>
          <w:p w14:paraId="16BC5FB5" w14:textId="7B442C74" w:rsidR="00142F78" w:rsidRPr="008625DC" w:rsidRDefault="003E52A5">
            <w:pPr>
              <w:pStyle w:val="BoxHeading"/>
            </w:pPr>
            <w:r w:rsidRPr="008625DC">
              <w:lastRenderedPageBreak/>
              <w:t>Box</w:t>
            </w:r>
            <w:r w:rsidR="00945DF2" w:rsidRPr="008625DC">
              <w:t xml:space="preserve"> </w:t>
            </w:r>
            <w:r w:rsidR="004B694F" w:rsidRPr="008625DC">
              <w:t>15.1</w:t>
            </w:r>
            <w:r w:rsidR="00945DF2" w:rsidRPr="008625DC">
              <w:t xml:space="preserve">: </w:t>
            </w:r>
            <w:r w:rsidR="00142F78" w:rsidRPr="008625DC">
              <w:t xml:space="preserve">Fonterra and calls for </w:t>
            </w:r>
            <w:r w:rsidR="003C3A89" w:rsidRPr="008625DC">
              <w:t>national champions in Australian agriculture</w:t>
            </w:r>
          </w:p>
          <w:p w14:paraId="6BE5CD15" w14:textId="1D4F0DE5" w:rsidR="00142F78" w:rsidRPr="008625DC" w:rsidRDefault="00E52259" w:rsidP="00343070">
            <w:pPr>
              <w:pStyle w:val="BoxText"/>
            </w:pPr>
            <w:r w:rsidRPr="008625DC">
              <w:t xml:space="preserve">Fonterra, </w:t>
            </w:r>
            <w:r w:rsidR="00EB6508" w:rsidRPr="008625DC">
              <w:t>a co</w:t>
            </w:r>
            <w:r w:rsidR="00C74E19" w:rsidRPr="008625DC">
              <w:noBreakHyphen/>
            </w:r>
            <w:r w:rsidR="00EB6508" w:rsidRPr="008625DC">
              <w:t xml:space="preserve">operative that is </w:t>
            </w:r>
            <w:r w:rsidRPr="008625DC">
              <w:t>the dominant dairy company in New Zealand, was formed from the 2001 merger of the two largest co</w:t>
            </w:r>
            <w:r w:rsidR="00C74E19" w:rsidRPr="008625DC">
              <w:noBreakHyphen/>
            </w:r>
            <w:r w:rsidRPr="008625DC">
              <w:t>operatives, New Zealand Dairy Group and Kiwi Co</w:t>
            </w:r>
            <w:r w:rsidR="00C74E19" w:rsidRPr="008625DC">
              <w:noBreakHyphen/>
            </w:r>
            <w:r w:rsidRPr="008625DC">
              <w:t xml:space="preserve">operative Dairies, together with the New Zealand Dairy Board. </w:t>
            </w:r>
            <w:r w:rsidR="00343070" w:rsidRPr="008625DC">
              <w:t>Some recent commentary has suggested that Australia should seek to emulate the formation of Fonterra</w:t>
            </w:r>
            <w:r w:rsidRPr="008625DC">
              <w:t xml:space="preserve"> </w:t>
            </w:r>
            <w:r w:rsidR="00343070" w:rsidRPr="008625DC">
              <w:t xml:space="preserve">and our competition policy and laws should </w:t>
            </w:r>
            <w:r w:rsidR="00C73620" w:rsidRPr="008625DC">
              <w:t xml:space="preserve">be amended to </w:t>
            </w:r>
            <w:r w:rsidR="00343070" w:rsidRPr="008625DC">
              <w:t>facilitate this</w:t>
            </w:r>
            <w:r w:rsidR="00E565B9" w:rsidRPr="008625DC">
              <w:t xml:space="preserve"> outcome</w:t>
            </w:r>
            <w:r w:rsidR="00343070" w:rsidRPr="008625DC">
              <w:t>.</w:t>
            </w:r>
          </w:p>
          <w:p w14:paraId="633BA84D" w14:textId="3276900C" w:rsidR="00343070" w:rsidRPr="008625DC" w:rsidRDefault="009523BD" w:rsidP="00343070">
            <w:pPr>
              <w:pStyle w:val="BoxText"/>
            </w:pPr>
            <w:r w:rsidRPr="008625DC">
              <w:t>T</w:t>
            </w:r>
            <w:r w:rsidR="00343070" w:rsidRPr="008625DC">
              <w:t xml:space="preserve">he Panel </w:t>
            </w:r>
            <w:r w:rsidR="003C3A89" w:rsidRPr="008625DC">
              <w:t>considers t</w:t>
            </w:r>
            <w:r w:rsidRPr="008625DC">
              <w:t xml:space="preserve">hat </w:t>
            </w:r>
            <w:r w:rsidR="003C3A89" w:rsidRPr="008625DC">
              <w:t>important</w:t>
            </w:r>
            <w:r w:rsidR="00343070" w:rsidRPr="008625DC">
              <w:t xml:space="preserve"> difference</w:t>
            </w:r>
            <w:r w:rsidR="003C3A89" w:rsidRPr="008625DC">
              <w:t>s</w:t>
            </w:r>
            <w:r w:rsidR="00343070" w:rsidRPr="008625DC">
              <w:t xml:space="preserve"> between </w:t>
            </w:r>
            <w:r w:rsidR="003C3A89" w:rsidRPr="008625DC">
              <w:t xml:space="preserve">the </w:t>
            </w:r>
            <w:r w:rsidR="00343070" w:rsidRPr="008625DC">
              <w:t>circumstances surrounding Fonterra</w:t>
            </w:r>
            <w:r w:rsidR="00C74E19" w:rsidRPr="008625DC">
              <w:t>’</w:t>
            </w:r>
            <w:r w:rsidR="00343070" w:rsidRPr="008625DC">
              <w:t>s formation</w:t>
            </w:r>
            <w:r w:rsidR="003C3A89" w:rsidRPr="008625DC">
              <w:t xml:space="preserve"> and those applying in Australia mean </w:t>
            </w:r>
            <w:r w:rsidR="00E565B9" w:rsidRPr="008625DC">
              <w:t xml:space="preserve">that </w:t>
            </w:r>
            <w:r w:rsidRPr="008625DC">
              <w:t xml:space="preserve">this </w:t>
            </w:r>
            <w:r w:rsidR="00E565B9" w:rsidRPr="008625DC">
              <w:t>conclusion</w:t>
            </w:r>
            <w:r w:rsidRPr="008625DC">
              <w:t xml:space="preserve"> is not </w:t>
            </w:r>
            <w:r w:rsidR="00AE6851" w:rsidRPr="008625DC">
              <w:t>soundly based</w:t>
            </w:r>
            <w:r w:rsidR="00343070" w:rsidRPr="008625DC">
              <w:t>.</w:t>
            </w:r>
          </w:p>
          <w:p w14:paraId="0E3A5B55" w14:textId="342CABCB" w:rsidR="00E52259" w:rsidRPr="008625DC" w:rsidRDefault="00E52259" w:rsidP="00343070">
            <w:pPr>
              <w:pStyle w:val="BoxText"/>
            </w:pPr>
            <w:r w:rsidRPr="008625DC">
              <w:t>T</w:t>
            </w:r>
            <w:r w:rsidR="00343070" w:rsidRPr="008625DC">
              <w:t xml:space="preserve">he </w:t>
            </w:r>
            <w:r w:rsidR="003C3A89" w:rsidRPr="008625DC">
              <w:t xml:space="preserve">New Zealand dairy </w:t>
            </w:r>
            <w:r w:rsidR="00343070" w:rsidRPr="008625DC">
              <w:t xml:space="preserve">market </w:t>
            </w:r>
            <w:r w:rsidR="009523BD" w:rsidRPr="008625DC">
              <w:t>was</w:t>
            </w:r>
            <w:r w:rsidR="003C3A89" w:rsidRPr="008625DC">
              <w:t xml:space="preserve"> highly regulated </w:t>
            </w:r>
            <w:r w:rsidR="00343070" w:rsidRPr="008625DC">
              <w:t xml:space="preserve">prior to the formation of </w:t>
            </w:r>
            <w:r w:rsidR="003C3A89" w:rsidRPr="008625DC">
              <w:t xml:space="preserve">Fonterra, including </w:t>
            </w:r>
            <w:r w:rsidRPr="008625DC">
              <w:t xml:space="preserve">through the New Zealand Dairy Board having </w:t>
            </w:r>
            <w:r w:rsidR="009523BD" w:rsidRPr="008625DC">
              <w:t>a legislated</w:t>
            </w:r>
            <w:r w:rsidR="003C3A89" w:rsidRPr="008625DC">
              <w:t xml:space="preserve"> export monopol</w:t>
            </w:r>
            <w:r w:rsidR="009523BD" w:rsidRPr="008625DC">
              <w:t>y</w:t>
            </w:r>
            <w:r w:rsidRPr="008625DC">
              <w:t>. The merger to create Fonterra was not permitted under New Zealand</w:t>
            </w:r>
            <w:r w:rsidR="00C74E19" w:rsidRPr="008625DC">
              <w:t>’</w:t>
            </w:r>
            <w:r w:rsidRPr="008625DC">
              <w:t xml:space="preserve">s competition laws but was instead facilitated through special legislation. The legislation included provisions and obligations on Fonterra designed to provide for domestic competition and prevent harm to consumers and farmers as a result of the merger. </w:t>
            </w:r>
          </w:p>
          <w:p w14:paraId="613ED2FA" w14:textId="1484BE7C" w:rsidR="00E52259" w:rsidRPr="008625DC" w:rsidRDefault="008179F4" w:rsidP="00343070">
            <w:pPr>
              <w:pStyle w:val="BoxText"/>
            </w:pPr>
            <w:r w:rsidRPr="008625DC">
              <w:t xml:space="preserve">Concerns were raised that </w:t>
            </w:r>
            <w:r w:rsidR="00E52259" w:rsidRPr="008625DC">
              <w:t>the farm</w:t>
            </w:r>
            <w:r w:rsidR="00C74E19" w:rsidRPr="008625DC">
              <w:noBreakHyphen/>
            </w:r>
            <w:r w:rsidR="00E52259" w:rsidRPr="008625DC">
              <w:t>gate price w</w:t>
            </w:r>
            <w:r w:rsidRPr="008625DC">
              <w:t>ould be</w:t>
            </w:r>
            <w:r w:rsidR="00E52259" w:rsidRPr="008625DC">
              <w:t xml:space="preserve"> depressed due to Fonterra</w:t>
            </w:r>
            <w:r w:rsidR="00C74E19" w:rsidRPr="008625DC">
              <w:t>’</w:t>
            </w:r>
            <w:r w:rsidR="00E52259" w:rsidRPr="008625DC">
              <w:t>s dominance</w:t>
            </w:r>
            <w:r w:rsidRPr="008625DC">
              <w:t xml:space="preserve"> as a buyer</w:t>
            </w:r>
            <w:r w:rsidR="00EB6508" w:rsidRPr="008625DC">
              <w:t>. These</w:t>
            </w:r>
            <w:r w:rsidR="00E52259" w:rsidRPr="008625DC">
              <w:t xml:space="preserve"> </w:t>
            </w:r>
            <w:r w:rsidR="00EB6508" w:rsidRPr="008625DC">
              <w:t>were</w:t>
            </w:r>
            <w:r w:rsidRPr="008625DC">
              <w:t xml:space="preserve"> addressed through a combination of regulation and incentives. </w:t>
            </w:r>
            <w:r w:rsidR="00EB6508" w:rsidRPr="008625DC">
              <w:t xml:space="preserve">Ongoing price monitoring, as well as </w:t>
            </w:r>
            <w:r w:rsidRPr="008625DC">
              <w:t>Fonterra</w:t>
            </w:r>
            <w:r w:rsidR="00C74E19" w:rsidRPr="008625DC">
              <w:t>’</w:t>
            </w:r>
            <w:r w:rsidR="00EB6508" w:rsidRPr="008625DC">
              <w:t>s obligations</w:t>
            </w:r>
            <w:r w:rsidRPr="008625DC">
              <w:t xml:space="preserve"> to allow</w:t>
            </w:r>
            <w:r w:rsidR="00EB6508" w:rsidRPr="008625DC">
              <w:t xml:space="preserve"> its</w:t>
            </w:r>
            <w:r w:rsidRPr="008625DC">
              <w:t xml:space="preserve"> farmer</w:t>
            </w:r>
            <w:r w:rsidR="00C74E19" w:rsidRPr="008625DC">
              <w:noBreakHyphen/>
            </w:r>
            <w:r w:rsidRPr="008625DC">
              <w:t>shareholders</w:t>
            </w:r>
            <w:r w:rsidR="00E52259" w:rsidRPr="008625DC">
              <w:t xml:space="preserve"> open entry and exit</w:t>
            </w:r>
            <w:r w:rsidRPr="008625DC">
              <w:t xml:space="preserve"> at a </w:t>
            </w:r>
            <w:r w:rsidR="00C74E19" w:rsidRPr="008625DC">
              <w:t>‘</w:t>
            </w:r>
            <w:r w:rsidRPr="008625DC">
              <w:t>fair</w:t>
            </w:r>
            <w:r w:rsidR="00C74E19" w:rsidRPr="008625DC">
              <w:t>’</w:t>
            </w:r>
            <w:r w:rsidRPr="008625DC">
              <w:t xml:space="preserve"> price</w:t>
            </w:r>
            <w:r w:rsidR="00EB6508" w:rsidRPr="008625DC">
              <w:t>, and</w:t>
            </w:r>
            <w:r w:rsidRPr="008625DC">
              <w:t xml:space="preserve"> to supply </w:t>
            </w:r>
            <w:r w:rsidR="00DF285B" w:rsidRPr="008625DC">
              <w:t xml:space="preserve">milk to </w:t>
            </w:r>
            <w:r w:rsidRPr="008625DC">
              <w:t>competing processors</w:t>
            </w:r>
            <w:r w:rsidR="00E52259" w:rsidRPr="008625DC">
              <w:t xml:space="preserve">, </w:t>
            </w:r>
            <w:r w:rsidRPr="008625DC">
              <w:t xml:space="preserve">provide competitive pressure and an incentive </w:t>
            </w:r>
            <w:r w:rsidR="00EB6508" w:rsidRPr="008625DC">
              <w:t>for</w:t>
            </w:r>
            <w:r w:rsidRPr="008625DC">
              <w:t xml:space="preserve"> competitive </w:t>
            </w:r>
            <w:r w:rsidR="00EB6508" w:rsidRPr="008625DC">
              <w:t xml:space="preserve">pricing. </w:t>
            </w:r>
            <w:r w:rsidR="00E52259" w:rsidRPr="008625DC">
              <w:t xml:space="preserve">To achieve domestic competition </w:t>
            </w:r>
            <w:r w:rsidRPr="008625DC">
              <w:t xml:space="preserve">in the sale of milk products </w:t>
            </w:r>
            <w:r w:rsidR="00E52259" w:rsidRPr="008625DC">
              <w:t>Fonterra had to divest several brands</w:t>
            </w:r>
            <w:r w:rsidRPr="008625DC">
              <w:t xml:space="preserve"> to competitors</w:t>
            </w:r>
            <w:r w:rsidR="00E52259" w:rsidRPr="008625DC">
              <w:t xml:space="preserve"> and is obligated to supply </w:t>
            </w:r>
            <w:r w:rsidR="00EB6508" w:rsidRPr="008625DC">
              <w:t>them</w:t>
            </w:r>
            <w:r w:rsidRPr="008625DC">
              <w:t xml:space="preserve"> on competitive terms</w:t>
            </w:r>
            <w:r w:rsidR="00E52259" w:rsidRPr="008625DC">
              <w:t>.</w:t>
            </w:r>
          </w:p>
          <w:p w14:paraId="53B0643E" w14:textId="0D60FC69" w:rsidR="00343070" w:rsidRPr="008625DC" w:rsidRDefault="00C74E19" w:rsidP="00BB3732">
            <w:pPr>
              <w:pStyle w:val="BoxText"/>
            </w:pPr>
            <w:r w:rsidRPr="008625DC">
              <w:t>‘</w:t>
            </w:r>
            <w:r w:rsidR="003C3A89" w:rsidRPr="008625DC">
              <w:t>Sometimes they think in Australia that we</w:t>
            </w:r>
            <w:r w:rsidRPr="008625DC">
              <w:t>’</w:t>
            </w:r>
            <w:r w:rsidR="003C3A89" w:rsidRPr="008625DC">
              <w:t>ve got a monopoly and it works, but we don</w:t>
            </w:r>
            <w:r w:rsidRPr="008625DC">
              <w:t>’</w:t>
            </w:r>
            <w:r w:rsidR="003C3A89" w:rsidRPr="008625DC">
              <w:t>t and having one doesn</w:t>
            </w:r>
            <w:r w:rsidRPr="008625DC">
              <w:t>’</w:t>
            </w:r>
            <w:r w:rsidR="003C3A89" w:rsidRPr="008625DC">
              <w:t>t</w:t>
            </w:r>
            <w:r w:rsidR="007B4D16" w:rsidRPr="008625DC">
              <w:t>,</w:t>
            </w:r>
            <w:r w:rsidRPr="008625DC">
              <w:t>’</w:t>
            </w:r>
            <w:r w:rsidR="003C3A89" w:rsidRPr="008625DC">
              <w:t xml:space="preserve"> New Zealand</w:t>
            </w:r>
            <w:r w:rsidRPr="008625DC">
              <w:t>’</w:t>
            </w:r>
            <w:r w:rsidR="003C3A89" w:rsidRPr="008625DC">
              <w:t>s Deputy Prime Minister and Minister of Finance, Bill English</w:t>
            </w:r>
            <w:r w:rsidR="00E565B9" w:rsidRPr="008625DC">
              <w:t>, has observed</w:t>
            </w:r>
            <w:r w:rsidR="003C3A89" w:rsidRPr="008625DC">
              <w:t>.</w:t>
            </w:r>
            <w:r w:rsidR="00E63CB1" w:rsidRPr="008625DC">
              <w:rPr>
                <w:rStyle w:val="FootnoteReference"/>
              </w:rPr>
              <w:footnoteReference w:id="263"/>
            </w:r>
          </w:p>
        </w:tc>
      </w:tr>
    </w:tbl>
    <w:p w14:paraId="123960A1" w14:textId="7C25E8D9" w:rsidR="004A443B" w:rsidRPr="008625DC" w:rsidRDefault="004A443B" w:rsidP="002F11DC">
      <w:pPr>
        <w:spacing w:before="240"/>
      </w:pPr>
      <w:r w:rsidRPr="008625DC">
        <w:t xml:space="preserve">The </w:t>
      </w:r>
      <w:r w:rsidR="007E63E9" w:rsidRPr="008625DC">
        <w:t>CCA has sufficient flexibility to allow public benefit issues to be adjudicated and determined by the ACCC or the Tribunal</w:t>
      </w:r>
      <w:r w:rsidRPr="008625DC">
        <w:t xml:space="preserve">. The merger authorisation process (as set out in </w:t>
      </w:r>
      <w:r w:rsidR="004B694F" w:rsidRPr="008625DC">
        <w:t>Box 15</w:t>
      </w:r>
      <w:r w:rsidRPr="008625DC">
        <w:t>.2) applies a public benefit test that covers all potential benefits and detriments, including economies of scale.</w:t>
      </w:r>
      <w:r w:rsidR="007E63E9" w:rsidRPr="008625DC">
        <w:t xml:space="preserve"> There</w:t>
      </w:r>
      <w:r w:rsidRPr="008625DC">
        <w:t xml:space="preserve"> may be occasions where it is in the public interest to allow a particular merger in order to achieve efficient scale to compete globally, notwithstanding that the merger adversely affects competition in Australia.</w:t>
      </w:r>
    </w:p>
    <w:tbl>
      <w:tblPr>
        <w:tblW w:w="9072" w:type="dxa"/>
        <w:tblInd w:w="108" w:type="dxa"/>
        <w:shd w:val="clear" w:color="auto" w:fill="E6E6E6"/>
        <w:tblLook w:val="01E0" w:firstRow="1" w:lastRow="1" w:firstColumn="1" w:lastColumn="1" w:noHBand="0" w:noVBand="0"/>
      </w:tblPr>
      <w:tblGrid>
        <w:gridCol w:w="9072"/>
      </w:tblGrid>
      <w:tr w:rsidR="00142F78" w:rsidRPr="008625DC" w14:paraId="44AFFC76" w14:textId="77777777" w:rsidTr="0080373D">
        <w:tc>
          <w:tcPr>
            <w:tcW w:w="5000" w:type="pct"/>
            <w:shd w:val="clear" w:color="auto" w:fill="E6E6E6"/>
          </w:tcPr>
          <w:p w14:paraId="2614DB09" w14:textId="2CD9A29B" w:rsidR="00142F78" w:rsidRPr="008625DC" w:rsidRDefault="003E52A5" w:rsidP="0080373D">
            <w:pPr>
              <w:pStyle w:val="BoxHeading"/>
            </w:pPr>
            <w:r w:rsidRPr="008625DC">
              <w:lastRenderedPageBreak/>
              <w:t>Box</w:t>
            </w:r>
            <w:r w:rsidR="00027F7B" w:rsidRPr="008625DC">
              <w:t xml:space="preserve"> </w:t>
            </w:r>
            <w:r w:rsidR="004B694F" w:rsidRPr="008625DC">
              <w:t>15</w:t>
            </w:r>
            <w:r w:rsidR="00027F7B" w:rsidRPr="008625DC">
              <w:t>.</w:t>
            </w:r>
            <w:r w:rsidR="00E839B8" w:rsidRPr="008625DC">
              <w:t>2</w:t>
            </w:r>
            <w:r w:rsidR="00027F7B" w:rsidRPr="008625DC">
              <w:t xml:space="preserve">: </w:t>
            </w:r>
            <w:r w:rsidR="00142F78" w:rsidRPr="008625DC">
              <w:t xml:space="preserve">Authorisation and the </w:t>
            </w:r>
            <w:r w:rsidR="00AF65A7" w:rsidRPr="008625DC">
              <w:t>public benefit t</w:t>
            </w:r>
            <w:r w:rsidR="00142F78" w:rsidRPr="008625DC">
              <w:t>est</w:t>
            </w:r>
          </w:p>
          <w:p w14:paraId="0923A231" w14:textId="1C66C44E" w:rsidR="00142F78" w:rsidRPr="008625DC" w:rsidRDefault="00142F78" w:rsidP="002F11DC">
            <w:pPr>
              <w:pStyle w:val="BoxText"/>
            </w:pPr>
            <w:bookmarkStart w:id="27055" w:name="_Toc394939753"/>
            <w:bookmarkStart w:id="27056" w:name="_Toc394993650"/>
            <w:bookmarkStart w:id="27057" w:name="_Toc394995532"/>
            <w:bookmarkStart w:id="27058" w:name="_Toc394995846"/>
            <w:bookmarkStart w:id="27059" w:name="_Toc394998089"/>
            <w:bookmarkStart w:id="27060" w:name="_Toc394998603"/>
            <w:bookmarkStart w:id="27061" w:name="_Toc395002102"/>
            <w:bookmarkStart w:id="27062" w:name="_Toc395001308"/>
            <w:bookmarkStart w:id="27063" w:name="_Toc395001582"/>
            <w:bookmarkStart w:id="27064" w:name="_Toc395002871"/>
            <w:bookmarkStart w:id="27065" w:name="_Toc395003456"/>
            <w:bookmarkStart w:id="27066" w:name="_Toc395005697"/>
            <w:bookmarkStart w:id="27067" w:name="_Toc395009691"/>
            <w:bookmarkStart w:id="27068" w:name="_Toc395010432"/>
            <w:bookmarkStart w:id="27069" w:name="_Toc395012615"/>
            <w:bookmarkStart w:id="27070" w:name="_Toc395013078"/>
            <w:bookmarkStart w:id="27071" w:name="_Toc395012080"/>
            <w:bookmarkStart w:id="27072" w:name="_Toc395014419"/>
            <w:bookmarkStart w:id="27073" w:name="_Toc395084773"/>
            <w:bookmarkStart w:id="27074" w:name="_Toc395085074"/>
            <w:bookmarkStart w:id="27075" w:name="_Toc395090540"/>
            <w:bookmarkStart w:id="27076" w:name="_Toc395093122"/>
            <w:bookmarkStart w:id="27077" w:name="_Toc395098034"/>
            <w:bookmarkStart w:id="27078" w:name="_Toc395106218"/>
            <w:bookmarkStart w:id="27079" w:name="_Toc395109483"/>
            <w:bookmarkStart w:id="27080" w:name="_Toc395109811"/>
            <w:bookmarkStart w:id="27081" w:name="_Toc395112188"/>
            <w:bookmarkStart w:id="27082" w:name="_Toc395107330"/>
            <w:bookmarkStart w:id="27083" w:name="_Toc395108891"/>
            <w:bookmarkStart w:id="27084" w:name="_Toc395114131"/>
            <w:bookmarkStart w:id="27085" w:name="_Toc395116868"/>
            <w:bookmarkStart w:id="27086" w:name="_Toc395112805"/>
            <w:bookmarkStart w:id="27087" w:name="_Toc395115345"/>
            <w:bookmarkStart w:id="27088" w:name="_Toc395118497"/>
            <w:r w:rsidRPr="008625DC">
              <w:t xml:space="preserve">Parties may seek authorisation for an acquisition. This process allows mergers even if </w:t>
            </w:r>
            <w:r w:rsidR="00BB3732" w:rsidRPr="008625DC">
              <w:t>they</w:t>
            </w:r>
            <w:r w:rsidRPr="008625DC">
              <w:t xml:space="preserve"> result in a substantial lessening of competition, but only</w:t>
            </w:r>
            <w:r w:rsidR="005C16B5" w:rsidRPr="008625DC">
              <w:t xml:space="preserve"> if they meet a public benefit test</w:t>
            </w:r>
            <w:r w:rsidRPr="008625DC">
              <w:t>. Applications</w:t>
            </w:r>
            <w:r w:rsidRPr="008625DC" w:rsidDel="00896A68">
              <w:t xml:space="preserve"> </w:t>
            </w:r>
            <w:r w:rsidRPr="008625DC">
              <w:t>have been rare (</w:t>
            </w:r>
            <w:r w:rsidR="00896A68" w:rsidRPr="008625DC">
              <w:t>only two</w:t>
            </w:r>
            <w:r w:rsidRPr="008625DC">
              <w:t xml:space="preserve"> since the Tribunal became the first</w:t>
            </w:r>
            <w:r w:rsidR="00C74E19" w:rsidRPr="008625DC">
              <w:noBreakHyphen/>
            </w:r>
            <w:r w:rsidRPr="008625DC">
              <w:t>instance decision</w:t>
            </w:r>
            <w:r w:rsidR="00C74E19" w:rsidRPr="008625DC">
              <w:noBreakHyphen/>
            </w:r>
            <w:r w:rsidRPr="008625DC">
              <w:t>maker in 2007</w:t>
            </w:r>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r w:rsidR="00896A68" w:rsidRPr="008625DC">
              <w:t>)</w:t>
            </w:r>
            <w:r w:rsidR="00FB084C" w:rsidRPr="008625DC">
              <w:t>.</w:t>
            </w:r>
          </w:p>
          <w:p w14:paraId="46EE6B70" w14:textId="4454FF87" w:rsidR="00142F78" w:rsidRPr="008625DC" w:rsidRDefault="00142F78" w:rsidP="002F11DC">
            <w:pPr>
              <w:pStyle w:val="BoxText"/>
            </w:pPr>
            <w:bookmarkStart w:id="27089" w:name="_Toc394939754"/>
            <w:bookmarkStart w:id="27090" w:name="_Toc394993651"/>
            <w:bookmarkStart w:id="27091" w:name="_Toc394995533"/>
            <w:bookmarkStart w:id="27092" w:name="_Toc394995847"/>
            <w:bookmarkStart w:id="27093" w:name="_Toc394998090"/>
            <w:bookmarkStart w:id="27094" w:name="_Toc394998604"/>
            <w:bookmarkStart w:id="27095" w:name="_Toc395002103"/>
            <w:bookmarkStart w:id="27096" w:name="_Toc395001309"/>
            <w:bookmarkStart w:id="27097" w:name="_Toc395001583"/>
            <w:bookmarkStart w:id="27098" w:name="_Toc395002872"/>
            <w:bookmarkStart w:id="27099" w:name="_Toc395003457"/>
            <w:bookmarkStart w:id="27100" w:name="_Toc395005698"/>
            <w:bookmarkStart w:id="27101" w:name="_Toc395009692"/>
            <w:bookmarkStart w:id="27102" w:name="_Toc395010433"/>
            <w:bookmarkStart w:id="27103" w:name="_Toc395012616"/>
            <w:bookmarkStart w:id="27104" w:name="_Toc395013079"/>
            <w:bookmarkStart w:id="27105" w:name="_Toc395012081"/>
            <w:bookmarkStart w:id="27106" w:name="_Toc395014420"/>
            <w:bookmarkStart w:id="27107" w:name="_Toc395084774"/>
            <w:bookmarkStart w:id="27108" w:name="_Toc395085075"/>
            <w:bookmarkStart w:id="27109" w:name="_Toc395090541"/>
            <w:bookmarkStart w:id="27110" w:name="_Toc395093123"/>
            <w:bookmarkStart w:id="27111" w:name="_Toc395098035"/>
            <w:bookmarkStart w:id="27112" w:name="_Toc395106219"/>
            <w:bookmarkStart w:id="27113" w:name="_Toc395109484"/>
            <w:bookmarkStart w:id="27114" w:name="_Toc395109812"/>
            <w:bookmarkStart w:id="27115" w:name="_Toc395112189"/>
            <w:bookmarkStart w:id="27116" w:name="_Toc395107331"/>
            <w:bookmarkStart w:id="27117" w:name="_Toc395108892"/>
            <w:bookmarkStart w:id="27118" w:name="_Toc395114132"/>
            <w:bookmarkStart w:id="27119" w:name="_Toc395116869"/>
            <w:bookmarkStart w:id="27120" w:name="_Toc395112806"/>
            <w:bookmarkStart w:id="27121" w:name="_Toc395115346"/>
            <w:bookmarkStart w:id="27122" w:name="_Toc395118498"/>
            <w:r w:rsidRPr="008625DC">
              <w:t xml:space="preserve">The test applied by the Tribunal in assessing applications is </w:t>
            </w:r>
            <w:r w:rsidR="00896A68" w:rsidRPr="008625DC">
              <w:t>that a</w:t>
            </w:r>
            <w:r w:rsidRPr="008625DC">
              <w:t>uthorisation</w:t>
            </w:r>
            <w:bookmarkStart w:id="27123" w:name="_Toc394939755"/>
            <w:bookmarkStart w:id="27124" w:name="_Toc394993652"/>
            <w:bookmarkStart w:id="27125" w:name="_Toc394995534"/>
            <w:bookmarkStart w:id="27126" w:name="_Toc394995848"/>
            <w:bookmarkStart w:id="27127" w:name="_Toc394998091"/>
            <w:bookmarkStart w:id="27128" w:name="_Toc394998605"/>
            <w:bookmarkStart w:id="27129" w:name="_Toc395002104"/>
            <w:bookmarkStart w:id="27130" w:name="_Toc395001310"/>
            <w:bookmarkStart w:id="27131" w:name="_Toc395001584"/>
            <w:bookmarkStart w:id="27132" w:name="_Toc395002873"/>
            <w:bookmarkStart w:id="27133" w:name="_Toc395003458"/>
            <w:bookmarkStart w:id="27134" w:name="_Toc395005699"/>
            <w:bookmarkStart w:id="27135" w:name="_Toc395009693"/>
            <w:bookmarkStart w:id="27136" w:name="_Toc395010434"/>
            <w:bookmarkStart w:id="27137" w:name="_Toc395012617"/>
            <w:bookmarkStart w:id="27138" w:name="_Toc395013080"/>
            <w:bookmarkStart w:id="27139" w:name="_Toc395012082"/>
            <w:bookmarkStart w:id="27140" w:name="_Toc395014421"/>
            <w:bookmarkStart w:id="27141" w:name="_Toc395084775"/>
            <w:bookmarkStart w:id="27142" w:name="_Toc395085076"/>
            <w:bookmarkStart w:id="27143" w:name="_Toc395090542"/>
            <w:bookmarkStart w:id="27144" w:name="_Toc395093124"/>
            <w:bookmarkStart w:id="27145" w:name="_Toc395098036"/>
            <w:bookmarkStart w:id="27146" w:name="_Toc395106220"/>
            <w:bookmarkStart w:id="27147" w:name="_Toc395109485"/>
            <w:bookmarkStart w:id="27148" w:name="_Toc395109813"/>
            <w:bookmarkStart w:id="27149" w:name="_Toc395112190"/>
            <w:bookmarkStart w:id="27150" w:name="_Toc395107332"/>
            <w:bookmarkStart w:id="27151" w:name="_Toc395108893"/>
            <w:bookmarkStart w:id="27152" w:name="_Toc395114133"/>
            <w:bookmarkStart w:id="27153" w:name="_Toc395116870"/>
            <w:bookmarkStart w:id="27154" w:name="_Toc395112807"/>
            <w:bookmarkStart w:id="27155" w:name="_Toc395115347"/>
            <w:bookmarkStart w:id="27156" w:name="_Toc395118499"/>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r w:rsidRPr="008625DC">
              <w:t xml:space="preserve"> must </w:t>
            </w:r>
            <w:r w:rsidRPr="008625DC">
              <w:rPr>
                <w:i/>
              </w:rPr>
              <w:t>not</w:t>
            </w:r>
            <w:r w:rsidRPr="008625DC">
              <w:t xml:space="preserve"> be granted unless </w:t>
            </w:r>
            <w:r w:rsidR="00896A68" w:rsidRPr="008625DC">
              <w:t>it</w:t>
            </w:r>
            <w:r w:rsidRPr="008625DC">
              <w:t xml:space="preserve"> is satisfied that the acquisition is likely to result in such benefit to the public that it should be allowed. The Tribunal </w:t>
            </w:r>
            <w:r w:rsidRPr="008625DC">
              <w:rPr>
                <w:i/>
              </w:rPr>
              <w:t>must</w:t>
            </w:r>
            <w:r w:rsidRPr="008625DC">
              <w:t xml:space="preserve"> consider as benefits:</w:t>
            </w:r>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p>
          <w:p w14:paraId="439C6FC5" w14:textId="56E92684" w:rsidR="00142F78" w:rsidRPr="008625DC" w:rsidRDefault="00C41F8A" w:rsidP="002F11DC">
            <w:pPr>
              <w:pStyle w:val="BoxBullet"/>
              <w:rPr>
                <w:lang w:val="en-AU"/>
              </w:rPr>
            </w:pPr>
            <w:bookmarkStart w:id="27157" w:name="_Toc394939756"/>
            <w:bookmarkStart w:id="27158" w:name="_Toc394993653"/>
            <w:bookmarkStart w:id="27159" w:name="_Toc394995535"/>
            <w:bookmarkStart w:id="27160" w:name="_Toc394995849"/>
            <w:bookmarkStart w:id="27161" w:name="_Toc394998092"/>
            <w:bookmarkStart w:id="27162" w:name="_Toc394998606"/>
            <w:bookmarkStart w:id="27163" w:name="_Toc395002105"/>
            <w:bookmarkStart w:id="27164" w:name="_Toc395001311"/>
            <w:bookmarkStart w:id="27165" w:name="_Toc395001585"/>
            <w:bookmarkStart w:id="27166" w:name="_Toc395002874"/>
            <w:bookmarkStart w:id="27167" w:name="_Toc395003459"/>
            <w:bookmarkStart w:id="27168" w:name="_Toc395005700"/>
            <w:bookmarkStart w:id="27169" w:name="_Toc395009694"/>
            <w:bookmarkStart w:id="27170" w:name="_Toc395010435"/>
            <w:bookmarkStart w:id="27171" w:name="_Toc395012618"/>
            <w:bookmarkStart w:id="27172" w:name="_Toc395013081"/>
            <w:bookmarkStart w:id="27173" w:name="_Toc395012083"/>
            <w:bookmarkStart w:id="27174" w:name="_Toc395014422"/>
            <w:bookmarkStart w:id="27175" w:name="_Toc395084776"/>
            <w:bookmarkStart w:id="27176" w:name="_Toc395085077"/>
            <w:bookmarkStart w:id="27177" w:name="_Toc395090543"/>
            <w:bookmarkStart w:id="27178" w:name="_Toc395093125"/>
            <w:bookmarkStart w:id="27179" w:name="_Toc395098037"/>
            <w:bookmarkStart w:id="27180" w:name="_Toc395106221"/>
            <w:r w:rsidRPr="008625DC">
              <w:rPr>
                <w:lang w:val="en-AU"/>
              </w:rPr>
              <w:t xml:space="preserve">a </w:t>
            </w:r>
            <w:r w:rsidR="00142F78" w:rsidRPr="008625DC">
              <w:rPr>
                <w:lang w:val="en-AU"/>
              </w:rPr>
              <w:t>significant increase in the real value of exports</w:t>
            </w:r>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r w:rsidR="00FB084C" w:rsidRPr="008625DC">
              <w:rPr>
                <w:lang w:val="en-AU"/>
              </w:rPr>
              <w:t>;</w:t>
            </w:r>
          </w:p>
          <w:p w14:paraId="6378A85D" w14:textId="7DDF7B3A" w:rsidR="00142F78" w:rsidRPr="008625DC" w:rsidRDefault="00C41F8A" w:rsidP="002F11DC">
            <w:pPr>
              <w:pStyle w:val="BoxBullet"/>
              <w:rPr>
                <w:lang w:val="en-AU"/>
              </w:rPr>
            </w:pPr>
            <w:bookmarkStart w:id="27181" w:name="_Toc394939757"/>
            <w:bookmarkStart w:id="27182" w:name="_Toc394993654"/>
            <w:bookmarkStart w:id="27183" w:name="_Toc394995536"/>
            <w:bookmarkStart w:id="27184" w:name="_Toc394995850"/>
            <w:bookmarkStart w:id="27185" w:name="_Toc394998093"/>
            <w:bookmarkStart w:id="27186" w:name="_Toc394998607"/>
            <w:bookmarkStart w:id="27187" w:name="_Toc395002106"/>
            <w:bookmarkStart w:id="27188" w:name="_Toc395001312"/>
            <w:bookmarkStart w:id="27189" w:name="_Toc395001586"/>
            <w:bookmarkStart w:id="27190" w:name="_Toc395002875"/>
            <w:bookmarkStart w:id="27191" w:name="_Toc395003460"/>
            <w:bookmarkStart w:id="27192" w:name="_Toc395005701"/>
            <w:bookmarkStart w:id="27193" w:name="_Toc395009695"/>
            <w:bookmarkStart w:id="27194" w:name="_Toc395010436"/>
            <w:bookmarkStart w:id="27195" w:name="_Toc395012619"/>
            <w:bookmarkStart w:id="27196" w:name="_Toc395013082"/>
            <w:bookmarkStart w:id="27197" w:name="_Toc395012084"/>
            <w:bookmarkStart w:id="27198" w:name="_Toc395014423"/>
            <w:bookmarkStart w:id="27199" w:name="_Toc395084777"/>
            <w:bookmarkStart w:id="27200" w:name="_Toc395085078"/>
            <w:bookmarkStart w:id="27201" w:name="_Toc395090544"/>
            <w:bookmarkStart w:id="27202" w:name="_Toc395093126"/>
            <w:bookmarkStart w:id="27203" w:name="_Toc395098038"/>
            <w:bookmarkStart w:id="27204" w:name="_Toc395106222"/>
            <w:r w:rsidRPr="008625DC">
              <w:rPr>
                <w:lang w:val="en-AU"/>
              </w:rPr>
              <w:t xml:space="preserve">a </w:t>
            </w:r>
            <w:r w:rsidR="00142F78" w:rsidRPr="008625DC">
              <w:rPr>
                <w:lang w:val="en-AU"/>
              </w:rPr>
              <w:t>significant substitution of domestic products for imported goods</w:t>
            </w:r>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r w:rsidR="00FB084C" w:rsidRPr="008625DC">
              <w:rPr>
                <w:lang w:val="en-AU"/>
              </w:rPr>
              <w:t>; and</w:t>
            </w:r>
          </w:p>
          <w:p w14:paraId="26DFE2C9" w14:textId="36C61A4D" w:rsidR="00142F78" w:rsidRPr="008625DC" w:rsidRDefault="00142F78" w:rsidP="002F11DC">
            <w:pPr>
              <w:pStyle w:val="BoxBullet"/>
              <w:spacing w:after="180"/>
              <w:rPr>
                <w:lang w:val="en-AU"/>
              </w:rPr>
            </w:pPr>
            <w:bookmarkStart w:id="27205" w:name="_Toc394939758"/>
            <w:bookmarkStart w:id="27206" w:name="_Toc394993655"/>
            <w:bookmarkStart w:id="27207" w:name="_Toc394995537"/>
            <w:bookmarkStart w:id="27208" w:name="_Toc394995851"/>
            <w:bookmarkStart w:id="27209" w:name="_Toc394998094"/>
            <w:bookmarkStart w:id="27210" w:name="_Toc394998608"/>
            <w:bookmarkStart w:id="27211" w:name="_Toc395002107"/>
            <w:bookmarkStart w:id="27212" w:name="_Toc395001313"/>
            <w:bookmarkStart w:id="27213" w:name="_Toc395001587"/>
            <w:bookmarkStart w:id="27214" w:name="_Toc395002876"/>
            <w:bookmarkStart w:id="27215" w:name="_Toc395003461"/>
            <w:bookmarkStart w:id="27216" w:name="_Toc395005702"/>
            <w:bookmarkStart w:id="27217" w:name="_Toc395009696"/>
            <w:bookmarkStart w:id="27218" w:name="_Toc395010437"/>
            <w:bookmarkStart w:id="27219" w:name="_Toc395012620"/>
            <w:bookmarkStart w:id="27220" w:name="_Toc395013083"/>
            <w:bookmarkStart w:id="27221" w:name="_Toc395012085"/>
            <w:bookmarkStart w:id="27222" w:name="_Toc395014424"/>
            <w:bookmarkStart w:id="27223" w:name="_Toc395084778"/>
            <w:bookmarkStart w:id="27224" w:name="_Toc395085079"/>
            <w:bookmarkStart w:id="27225" w:name="_Toc395090545"/>
            <w:bookmarkStart w:id="27226" w:name="_Toc395093127"/>
            <w:bookmarkStart w:id="27227" w:name="_Toc395098039"/>
            <w:bookmarkStart w:id="27228" w:name="_Toc395106223"/>
            <w:r w:rsidRPr="008625DC">
              <w:rPr>
                <w:lang w:val="en-AU"/>
              </w:rPr>
              <w:t xml:space="preserve">all </w:t>
            </w:r>
            <w:r w:rsidR="00C41F8A" w:rsidRPr="008625DC">
              <w:rPr>
                <w:lang w:val="en-AU"/>
              </w:rPr>
              <w:t>other relevant matters that relate</w:t>
            </w:r>
            <w:r w:rsidRPr="008625DC">
              <w:rPr>
                <w:lang w:val="en-AU"/>
              </w:rPr>
              <w:t xml:space="preserve"> to the international competitiveness of any Australian industry</w:t>
            </w:r>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r w:rsidR="00FB084C" w:rsidRPr="008625DC">
              <w:rPr>
                <w:lang w:val="en-AU"/>
              </w:rPr>
              <w:t>.</w:t>
            </w:r>
          </w:p>
          <w:p w14:paraId="760BFB2E" w14:textId="2D85944B" w:rsidR="00142F78" w:rsidRPr="008625DC" w:rsidRDefault="00142F78" w:rsidP="002F11DC">
            <w:pPr>
              <w:pStyle w:val="BoxText"/>
            </w:pPr>
            <w:r w:rsidRPr="008625DC">
              <w:t>Other factors may also be considered.</w:t>
            </w:r>
            <w:r w:rsidR="005C16B5" w:rsidRPr="008625DC">
              <w:rPr>
                <w:rStyle w:val="FootnoteReference"/>
              </w:rPr>
              <w:footnoteReference w:id="264"/>
            </w:r>
          </w:p>
        </w:tc>
      </w:tr>
    </w:tbl>
    <w:p w14:paraId="0498B76D" w14:textId="7CE85CE5" w:rsidR="004A443B" w:rsidRPr="008625DC" w:rsidRDefault="004A443B" w:rsidP="002F11DC">
      <w:pPr>
        <w:spacing w:before="240"/>
      </w:pPr>
      <w:r w:rsidRPr="008625DC">
        <w:t>The non</w:t>
      </w:r>
      <w:r w:rsidR="00C74E19" w:rsidRPr="008625DC">
        <w:noBreakHyphen/>
      </w:r>
      <w:r w:rsidRPr="008625DC">
        <w:t xml:space="preserve">exhaustive list of factors that must </w:t>
      </w:r>
      <w:r w:rsidR="00715D15" w:rsidRPr="008625DC">
        <w:t xml:space="preserve">be </w:t>
      </w:r>
      <w:r w:rsidRPr="008625DC">
        <w:t>take</w:t>
      </w:r>
      <w:r w:rsidR="006866EE" w:rsidRPr="008625DC">
        <w:t>n</w:t>
      </w:r>
      <w:r w:rsidRPr="008625DC">
        <w:t xml:space="preserve"> into account enables merger parties to argue that their proposed merger will result in public benefits through improving the business</w:t>
      </w:r>
      <w:r w:rsidR="00C74E19" w:rsidRPr="008625DC">
        <w:t>’</w:t>
      </w:r>
      <w:r w:rsidRPr="008625DC">
        <w:t>s ability to expand exports or compete against imports.</w:t>
      </w:r>
    </w:p>
    <w:p w14:paraId="223F6C75" w14:textId="2BFB0B90" w:rsidR="004A443B" w:rsidRPr="008625DC" w:rsidRDefault="004A443B" w:rsidP="00BD3315">
      <w:pPr>
        <w:spacing w:after="120"/>
      </w:pPr>
      <w:r w:rsidRPr="008625DC">
        <w:t xml:space="preserve">There has been some criticism of the factors that must </w:t>
      </w:r>
      <w:r w:rsidR="006866EE" w:rsidRPr="008625DC">
        <w:t xml:space="preserve">be </w:t>
      </w:r>
      <w:r w:rsidRPr="008625DC">
        <w:t>consider</w:t>
      </w:r>
      <w:r w:rsidR="006866EE" w:rsidRPr="008625DC">
        <w:t>ed</w:t>
      </w:r>
      <w:r w:rsidRPr="008625DC">
        <w:t xml:space="preserve"> under the merger authorisation process:</w:t>
      </w:r>
    </w:p>
    <w:p w14:paraId="7630914D" w14:textId="0E3FD91F" w:rsidR="004A443B" w:rsidRPr="008625DC" w:rsidRDefault="004A443B" w:rsidP="00B40FD7">
      <w:pPr>
        <w:pStyle w:val="Quotes"/>
      </w:pPr>
      <w:r w:rsidRPr="008625DC">
        <w:t>Placing emphasis on these particular indicators is very likely to lead to sub</w:t>
      </w:r>
      <w:r w:rsidR="00C74E19" w:rsidRPr="008625DC">
        <w:noBreakHyphen/>
      </w:r>
      <w:r w:rsidRPr="008625DC">
        <w:t xml:space="preserve">optimal outcomes. There is no </w:t>
      </w:r>
      <w:r w:rsidRPr="008625DC">
        <w:rPr>
          <w:i/>
          <w:iCs/>
        </w:rPr>
        <w:t xml:space="preserve">a priori </w:t>
      </w:r>
      <w:r w:rsidRPr="008625DC">
        <w:t>reason why growth in exports or the substitution of domestic production for imported products increases (or decreases) public welfare</w:t>
      </w:r>
      <w:r w:rsidR="00BD3315" w:rsidRPr="008625DC">
        <w:t xml:space="preserve"> </w:t>
      </w:r>
      <w:r w:rsidRPr="008625DC">
        <w:t>… Deeming benefit to lie with increased exports or import substitution has the potential to distort production, waste scarce resources, and ultimately reduce community incomes.</w:t>
      </w:r>
      <w:r w:rsidRPr="008625DC">
        <w:rPr>
          <w:rStyle w:val="FootnoteReference"/>
        </w:rPr>
        <w:footnoteReference w:id="265"/>
      </w:r>
    </w:p>
    <w:p w14:paraId="4FC5D73F" w14:textId="3E8335D5" w:rsidR="004A443B" w:rsidRPr="008625DC" w:rsidRDefault="004A443B" w:rsidP="004A443B">
      <w:r w:rsidRPr="008625DC">
        <w:t>The Panel agrees that this list provides a narrow view of public benefits. However, it is a non</w:t>
      </w:r>
      <w:r w:rsidR="00C74E19" w:rsidRPr="008625DC">
        <w:noBreakHyphen/>
      </w:r>
      <w:r w:rsidRPr="008625DC">
        <w:t xml:space="preserve">exhaustive list, and the Tribunal has interpreted public benefit to have a broad meaning. Given that the Tribunal is already able to take into account whatever factors it deems appropriate, a change </w:t>
      </w:r>
      <w:r w:rsidR="00C263BA" w:rsidRPr="008625DC">
        <w:t xml:space="preserve">in the law </w:t>
      </w:r>
      <w:r w:rsidRPr="008625DC">
        <w:t>may have limited utility.</w:t>
      </w:r>
    </w:p>
    <w:p w14:paraId="1E150A7C" w14:textId="5C17A533" w:rsidR="00C263BA" w:rsidRPr="008625DC" w:rsidRDefault="007E63E9" w:rsidP="004A443B">
      <w:r w:rsidRPr="008625DC">
        <w:t xml:space="preserve">The Panel considers that issues concerning the creation of </w:t>
      </w:r>
      <w:r w:rsidR="00C74E19" w:rsidRPr="008625DC">
        <w:t>‘</w:t>
      </w:r>
      <w:r w:rsidRPr="008625DC">
        <w:t>national champions</w:t>
      </w:r>
      <w:r w:rsidR="00C74E19" w:rsidRPr="008625DC">
        <w:t>’</w:t>
      </w:r>
      <w:r w:rsidRPr="008625DC">
        <w:t xml:space="preserve"> </w:t>
      </w:r>
      <w:r w:rsidR="00C263BA" w:rsidRPr="008625DC">
        <w:t>can</w:t>
      </w:r>
      <w:r w:rsidRPr="008625DC">
        <w:t xml:space="preserve"> be addressed under the </w:t>
      </w:r>
      <w:r w:rsidR="00C263BA" w:rsidRPr="008625DC">
        <w:t xml:space="preserve">existing </w:t>
      </w:r>
      <w:r w:rsidRPr="008625DC">
        <w:t>CCA framework. It is appropriate that a competition regulator, whether the ACCC or the Tribunal, adjudicate such issues as they arise from time to time.</w:t>
      </w:r>
    </w:p>
    <w:p w14:paraId="7B917A38" w14:textId="3E080485" w:rsidR="007E63E9" w:rsidRPr="008625DC" w:rsidRDefault="007E63E9" w:rsidP="004A443B">
      <w:r w:rsidRPr="008625DC">
        <w:t xml:space="preserve">As noted </w:t>
      </w:r>
      <w:r w:rsidR="00C263BA" w:rsidRPr="008625DC">
        <w:t xml:space="preserve">elsewhere </w:t>
      </w:r>
      <w:r w:rsidRPr="008625DC">
        <w:t xml:space="preserve">in this </w:t>
      </w:r>
      <w:r w:rsidR="00AF65A7" w:rsidRPr="008625DC">
        <w:t xml:space="preserve">Draft </w:t>
      </w:r>
      <w:r w:rsidRPr="008625DC">
        <w:t>Report, the Panel recommend</w:t>
      </w:r>
      <w:r w:rsidR="00C263BA" w:rsidRPr="008625DC">
        <w:t>s</w:t>
      </w:r>
      <w:r w:rsidRPr="008625DC">
        <w:t xml:space="preserve"> some procedural changes to the merger approval process and a change to the governance structure of the ACCC to ensure that</w:t>
      </w:r>
      <w:r w:rsidR="00F47248" w:rsidRPr="008625DC">
        <w:t xml:space="preserve"> broader business, consumer and economic perspectives</w:t>
      </w:r>
      <w:r w:rsidRPr="008625DC">
        <w:t xml:space="preserve"> can be brought to the work of the ACCC.</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550B25" w:rsidRPr="008625DC" w14:paraId="4B1FBF80" w14:textId="77777777" w:rsidTr="0052543A">
        <w:tc>
          <w:tcPr>
            <w:tcW w:w="5000" w:type="pct"/>
            <w:shd w:val="clear" w:color="auto" w:fill="FFFFFF" w:themeFill="background1"/>
          </w:tcPr>
          <w:p w14:paraId="1B8B2715" w14:textId="5C8AE4D5" w:rsidR="00550B25" w:rsidRPr="008625DC" w:rsidRDefault="00550B25" w:rsidP="0052543A">
            <w:pPr>
              <w:pStyle w:val="Keyfindingheading"/>
            </w:pPr>
            <w:r w:rsidRPr="008625DC">
              <w:lastRenderedPageBreak/>
              <w:t>The Panel</w:t>
            </w:r>
            <w:r w:rsidR="00C74E19" w:rsidRPr="008625DC">
              <w:t>’</w:t>
            </w:r>
            <w:r w:rsidRPr="008625DC">
              <w:t>s view</w:t>
            </w:r>
          </w:p>
          <w:p w14:paraId="3C9CCA38" w14:textId="3F4D8533" w:rsidR="007E63E9" w:rsidRPr="008625DC" w:rsidRDefault="007E63E9" w:rsidP="002F11DC">
            <w:pPr>
              <w:pStyle w:val="Keyfindingtext"/>
            </w:pPr>
            <w:r w:rsidRPr="008625DC">
              <w:t xml:space="preserve">The Panel considers that it is necessary and appropriate for the term </w:t>
            </w:r>
            <w:r w:rsidR="00C74E19" w:rsidRPr="008625DC">
              <w:t>‘</w:t>
            </w:r>
            <w:r w:rsidRPr="008625DC">
              <w:t>market</w:t>
            </w:r>
            <w:r w:rsidR="00C74E19" w:rsidRPr="008625DC">
              <w:t>’</w:t>
            </w:r>
            <w:r w:rsidRPr="008625DC">
              <w:t xml:space="preserve"> to be defined as a market in Australia. This is because the CCA is concerned with the economic welfare of Australians, not citizens of other countries.</w:t>
            </w:r>
          </w:p>
          <w:p w14:paraId="6606A354" w14:textId="3DE675F7" w:rsidR="007E63E9" w:rsidRPr="008625DC" w:rsidRDefault="007E63E9" w:rsidP="002F11DC">
            <w:pPr>
              <w:pStyle w:val="Keyfindingtext"/>
            </w:pPr>
            <w:r w:rsidRPr="008625DC">
              <w:t xml:space="preserve">While the objective of the CCA is to protect and promote competition in Australian markets, frequently the sources of competition in Australian markets are global. The CCA has been framed to take account of all sources of competition that </w:t>
            </w:r>
            <w:r w:rsidR="00C263BA" w:rsidRPr="008625DC">
              <w:t>affect</w:t>
            </w:r>
            <w:r w:rsidRPr="008625DC">
              <w:t xml:space="preserve"> markets in Australia.</w:t>
            </w:r>
            <w:r w:rsidR="006866EE" w:rsidRPr="008625DC">
              <w:t xml:space="preserve"> However, the current definition of </w:t>
            </w:r>
            <w:r w:rsidR="00C74E19" w:rsidRPr="008625DC">
              <w:t>‘</w:t>
            </w:r>
            <w:r w:rsidR="006866EE" w:rsidRPr="008625DC">
              <w:t>competition</w:t>
            </w:r>
            <w:r w:rsidR="00C74E19" w:rsidRPr="008625DC">
              <w:t>’</w:t>
            </w:r>
            <w:r w:rsidR="006866EE" w:rsidRPr="008625DC">
              <w:t xml:space="preserve"> in the CCA could be strengthened so that there can be no doubt that it includes competition from </w:t>
            </w:r>
            <w:r w:rsidR="006866EE" w:rsidRPr="008625DC">
              <w:rPr>
                <w:i/>
              </w:rPr>
              <w:t>potential</w:t>
            </w:r>
            <w:r w:rsidR="006866EE" w:rsidRPr="008625DC">
              <w:t xml:space="preserve"> imports of goods and services, not just </w:t>
            </w:r>
            <w:r w:rsidR="006866EE" w:rsidRPr="008625DC">
              <w:rPr>
                <w:i/>
              </w:rPr>
              <w:t>actual</w:t>
            </w:r>
            <w:r w:rsidR="006866EE" w:rsidRPr="008625DC">
              <w:t xml:space="preserve"> imports.</w:t>
            </w:r>
          </w:p>
          <w:p w14:paraId="27B4B751" w14:textId="06B6F2C4" w:rsidR="007E63E9" w:rsidRPr="008625DC" w:rsidRDefault="007E63E9" w:rsidP="002F11DC">
            <w:pPr>
              <w:pStyle w:val="Keyfindingtext"/>
            </w:pPr>
            <w:r w:rsidRPr="008625DC">
              <w:t>In many markets in Australia, achievement of efficient scale will not substantially lessen competition because of the constraining influence of imports. Such mergers are allowed under the CCA.</w:t>
            </w:r>
          </w:p>
          <w:p w14:paraId="39AE185F" w14:textId="6501A8AC" w:rsidR="00C263BA" w:rsidRPr="008625DC" w:rsidRDefault="007E63E9" w:rsidP="002F11DC">
            <w:pPr>
              <w:pStyle w:val="Keyfindingtext"/>
            </w:pPr>
            <w:r w:rsidRPr="008625DC">
              <w:t xml:space="preserve">If the achievement of efficient scale through a merger will also result in a substantial lessening of competition in Australia, conflicting interests arise: the gain to the businesses that wish to merge through achieving greater efficiency </w:t>
            </w:r>
            <w:r w:rsidR="00C263BA" w:rsidRPr="008625DC">
              <w:t>against</w:t>
            </w:r>
            <w:r w:rsidRPr="008625DC">
              <w:t xml:space="preserve"> the potential detriment to Australian consumers due to the reduction in competition.</w:t>
            </w:r>
          </w:p>
          <w:p w14:paraId="15967770" w14:textId="480528ED" w:rsidR="00C263BA" w:rsidRPr="008625DC" w:rsidRDefault="007E63E9" w:rsidP="002F11DC">
            <w:pPr>
              <w:pStyle w:val="Keyfindingtext"/>
            </w:pPr>
            <w:r w:rsidRPr="008625DC">
              <w:t xml:space="preserve">The Panel considers that </w:t>
            </w:r>
            <w:r w:rsidR="00C263BA" w:rsidRPr="008625DC">
              <w:t>such</w:t>
            </w:r>
            <w:r w:rsidRPr="008625DC">
              <w:t xml:space="preserve"> issues </w:t>
            </w:r>
            <w:r w:rsidR="00C263BA" w:rsidRPr="008625DC">
              <w:t>can</w:t>
            </w:r>
            <w:r w:rsidRPr="008625DC">
              <w:t xml:space="preserve"> be addressed under the </w:t>
            </w:r>
            <w:r w:rsidR="00C263BA" w:rsidRPr="008625DC">
              <w:t xml:space="preserve">existing </w:t>
            </w:r>
            <w:r w:rsidRPr="008625DC">
              <w:t>CCA framework. It is appropriate that a competition regulator, whether the ACCC or the Tribunal, adjudicate such issues as they arise from time to time.</w:t>
            </w:r>
          </w:p>
          <w:p w14:paraId="4117DA55" w14:textId="63A4D722" w:rsidR="00550B25" w:rsidRPr="008625DC" w:rsidRDefault="007E63E9" w:rsidP="002F11DC">
            <w:pPr>
              <w:pStyle w:val="Keyfindingtext"/>
              <w:rPr>
                <w:b/>
              </w:rPr>
            </w:pPr>
            <w:r w:rsidRPr="008625DC">
              <w:t xml:space="preserve">As noted </w:t>
            </w:r>
            <w:r w:rsidR="00C263BA" w:rsidRPr="008625DC">
              <w:t xml:space="preserve">elsewhere </w:t>
            </w:r>
            <w:r w:rsidRPr="008625DC">
              <w:t xml:space="preserve">in this </w:t>
            </w:r>
            <w:r w:rsidR="00C263BA" w:rsidRPr="008625DC">
              <w:t xml:space="preserve">Draft </w:t>
            </w:r>
            <w:r w:rsidRPr="008625DC">
              <w:t xml:space="preserve">Report, the Panel </w:t>
            </w:r>
            <w:r w:rsidR="00C263BA" w:rsidRPr="008625DC">
              <w:t>recommends</w:t>
            </w:r>
            <w:r w:rsidRPr="008625DC">
              <w:t xml:space="preserve"> some procedural changes to the merger approval process and a change to the governance structure of the ACCC to ensure that</w:t>
            </w:r>
            <w:r w:rsidR="00F47248" w:rsidRPr="008625DC">
              <w:t xml:space="preserve"> broader business, consumer and economic perspectives </w:t>
            </w:r>
            <w:r w:rsidRPr="008625DC">
              <w:t>can be brought to the work of the ACCC.</w:t>
            </w:r>
            <w:r w:rsidR="00BE037E" w:rsidRPr="008625DC">
              <w:t xml:space="preserve"> </w:t>
            </w:r>
          </w:p>
        </w:tc>
      </w:tr>
    </w:tbl>
    <w:p w14:paraId="09754BAA" w14:textId="73E474A4" w:rsidR="00E11566" w:rsidRPr="008625DC" w:rsidRDefault="00E11566" w:rsidP="00876477">
      <w:pPr>
        <w:pStyle w:val="Heading2"/>
        <w:ind w:left="851" w:hanging="851"/>
        <w:rPr>
          <w:lang w:val="en-AU"/>
        </w:rPr>
      </w:pPr>
      <w:bookmarkStart w:id="27229" w:name="_Toc398219827"/>
      <w:bookmarkStart w:id="27230" w:name="_Toc398220202"/>
      <w:bookmarkStart w:id="27231" w:name="_Toc398220589"/>
      <w:bookmarkStart w:id="27232" w:name="_Toc398221667"/>
      <w:bookmarkStart w:id="27233" w:name="_Toc398222353"/>
      <w:bookmarkStart w:id="27234" w:name="_Toc398222665"/>
      <w:bookmarkStart w:id="27235" w:name="_Toc398223082"/>
      <w:bookmarkStart w:id="27236" w:name="_Toc398223461"/>
      <w:bookmarkStart w:id="27237" w:name="_Toc398223588"/>
      <w:bookmarkStart w:id="27238" w:name="_Toc398224396"/>
      <w:bookmarkStart w:id="27239" w:name="_Toc398225733"/>
      <w:bookmarkStart w:id="27240" w:name="_Toc398225858"/>
      <w:bookmarkStart w:id="27241" w:name="_Toc398281345"/>
      <w:bookmarkStart w:id="27242" w:name="_Toc398282204"/>
      <w:bookmarkStart w:id="27243" w:name="_Toc398284874"/>
      <w:bookmarkStart w:id="27244" w:name="_Toc398287343"/>
      <w:bookmarkStart w:id="27245" w:name="_Toc398289226"/>
      <w:bookmarkStart w:id="27246" w:name="_Toc398297223"/>
      <w:bookmarkStart w:id="27247" w:name="_Toc398298697"/>
      <w:bookmarkStart w:id="27248" w:name="_Toc398300398"/>
      <w:bookmarkStart w:id="27249" w:name="_Toc398301295"/>
      <w:bookmarkStart w:id="27250" w:name="_Toc398302480"/>
      <w:bookmarkStart w:id="27251" w:name="_Toc398302643"/>
      <w:bookmarkStart w:id="27252" w:name="_Toc398549157"/>
      <w:bookmarkStart w:id="27253" w:name="_Toc398549407"/>
      <w:bookmarkStart w:id="27254" w:name="_Toc398555826"/>
      <w:bookmarkStart w:id="27255" w:name="_Toc398559030"/>
      <w:bookmarkStart w:id="27256" w:name="_Toc398563516"/>
      <w:bookmarkStart w:id="27257" w:name="_Toc398563649"/>
      <w:bookmarkStart w:id="27258" w:name="_Toc398564048"/>
      <w:bookmarkStart w:id="27259" w:name="_Toc398827386"/>
      <w:bookmarkStart w:id="27260" w:name="_Toc398827580"/>
      <w:r w:rsidRPr="008625DC">
        <w:rPr>
          <w:lang w:val="en-AU"/>
        </w:rPr>
        <w:t>Creeping acquisitions</w:t>
      </w:r>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p>
    <w:p w14:paraId="401F4069" w14:textId="3F2D5D44" w:rsidR="004A443B" w:rsidRPr="008625DC" w:rsidRDefault="004A443B" w:rsidP="00BD3315">
      <w:pPr>
        <w:spacing w:after="120"/>
      </w:pPr>
      <w:r w:rsidRPr="008625DC">
        <w:t>The merger provisions of the CCA focus on the effect or likely effect on competition of a merger or acquisition. In 2008 and 2009</w:t>
      </w:r>
      <w:r w:rsidR="00C263BA" w:rsidRPr="008625DC">
        <w:t xml:space="preserve"> g</w:t>
      </w:r>
      <w:r w:rsidRPr="008625DC">
        <w:t xml:space="preserve">overnment discussion papers considered possible changes to deal with </w:t>
      </w:r>
      <w:r w:rsidR="00C74E19" w:rsidRPr="008625DC">
        <w:t>‘</w:t>
      </w:r>
      <w:r w:rsidRPr="008625DC">
        <w:t>creeping acquisitions</w:t>
      </w:r>
      <w:r w:rsidR="00C74E19" w:rsidRPr="008625DC">
        <w:t>’</w:t>
      </w:r>
      <w:r w:rsidRPr="008625DC">
        <w:t>, which the 2008 paper described as:</w:t>
      </w:r>
    </w:p>
    <w:p w14:paraId="09F6C4D4" w14:textId="69D1035F" w:rsidR="004A443B" w:rsidRPr="008625DC" w:rsidRDefault="002F11DC" w:rsidP="004A443B">
      <w:pPr>
        <w:pStyle w:val="Quotes"/>
      </w:pPr>
      <w:r w:rsidRPr="008625DC">
        <w:t>[</w:t>
      </w:r>
      <w:r w:rsidR="00C04535">
        <w:t>C</w:t>
      </w:r>
      <w:r w:rsidRPr="008625DC">
        <w:t>]</w:t>
      </w:r>
      <w:r w:rsidR="004A443B" w:rsidRPr="008625DC">
        <w:t>onduct that comprises the accumulated effect of a number of small individual transactions which, when considered in isolation at the time that each transaction occurred, would not breach section 50. That is, while each transaction considered at the time it occurred may have a limited impact on competition, and would therefore not fall within the scope of section 50, over a longer period a series of such transactions may have the cumulative effect of substantially lessening competition in a market.</w:t>
      </w:r>
      <w:r w:rsidR="004A443B" w:rsidRPr="008625DC">
        <w:rPr>
          <w:rStyle w:val="FootnoteReference"/>
        </w:rPr>
        <w:footnoteReference w:id="266"/>
      </w:r>
    </w:p>
    <w:p w14:paraId="5AE9B3D5" w14:textId="1C7BAF5C" w:rsidR="004A443B" w:rsidRPr="008625DC" w:rsidRDefault="004A443B" w:rsidP="004A443B">
      <w:r w:rsidRPr="008625DC">
        <w:t xml:space="preserve">In 2011 the CCA was amended so that it now prohibits mergers likely to result in a substantial lessening of competition in </w:t>
      </w:r>
      <w:r w:rsidR="00C74E19" w:rsidRPr="008625DC">
        <w:t>‘</w:t>
      </w:r>
      <w:r w:rsidRPr="008625DC">
        <w:t>any</w:t>
      </w:r>
      <w:r w:rsidR="00C74E19" w:rsidRPr="008625DC">
        <w:t>’</w:t>
      </w:r>
      <w:r w:rsidRPr="008625DC">
        <w:t xml:space="preserve"> market, instead of applying only to a </w:t>
      </w:r>
      <w:r w:rsidR="00C74E19" w:rsidRPr="008625DC">
        <w:t>‘</w:t>
      </w:r>
      <w:r w:rsidRPr="008625DC">
        <w:t>substantial</w:t>
      </w:r>
      <w:r w:rsidR="00C74E19" w:rsidRPr="008625DC">
        <w:t>’</w:t>
      </w:r>
      <w:r w:rsidRPr="008625DC">
        <w:t xml:space="preserve"> market. Despite this change, many submitters consider that creeping acquisitions remain a problem</w:t>
      </w:r>
      <w:r w:rsidR="00380141" w:rsidRPr="008625DC">
        <w:t xml:space="preserve">. </w:t>
      </w:r>
      <w:r w:rsidRPr="008625DC">
        <w:t>For example, A</w:t>
      </w:r>
      <w:r w:rsidR="00D33C38" w:rsidRPr="008625DC">
        <w:t xml:space="preserve">ustralian </w:t>
      </w:r>
      <w:r w:rsidRPr="008625DC">
        <w:t>A</w:t>
      </w:r>
      <w:r w:rsidR="00D33C38" w:rsidRPr="008625DC">
        <w:t xml:space="preserve">irports </w:t>
      </w:r>
      <w:r w:rsidRPr="008625DC">
        <w:t>A</w:t>
      </w:r>
      <w:r w:rsidR="00D33C38" w:rsidRPr="008625DC">
        <w:t>ssociation</w:t>
      </w:r>
      <w:r w:rsidRPr="008625DC">
        <w:t>, NRMA, Retail Guild</w:t>
      </w:r>
      <w:r w:rsidR="00D33C38" w:rsidRPr="008625DC">
        <w:t xml:space="preserve"> of Australia</w:t>
      </w:r>
      <w:r w:rsidRPr="008625DC">
        <w:t xml:space="preserve">, COSBOA, Friends of Hawker Village, Metcash and AURL Foodworks all </w:t>
      </w:r>
      <w:r w:rsidR="00AF65A7" w:rsidRPr="008625DC">
        <w:t>call</w:t>
      </w:r>
      <w:r w:rsidRPr="008625DC">
        <w:t xml:space="preserve"> for changes to address creeping acquisitions. These calls </w:t>
      </w:r>
      <w:r w:rsidR="00C263BA" w:rsidRPr="008625DC">
        <w:t>are</w:t>
      </w:r>
      <w:r w:rsidRPr="008625DC">
        <w:t xml:space="preserve"> mainly in the context of concerns about the size and expansion of Woolworths and Coles in the supermarket and fuel retailing sectors.</w:t>
      </w:r>
    </w:p>
    <w:p w14:paraId="05D345BB" w14:textId="28DB65FE" w:rsidR="004A443B" w:rsidRPr="008625DC" w:rsidRDefault="004A443B" w:rsidP="004A443B">
      <w:r w:rsidRPr="008625DC">
        <w:lastRenderedPageBreak/>
        <w:t xml:space="preserve">Other stakeholders, including Woolworths, Wesfarmers, and the Business Law Section of the Law Council, </w:t>
      </w:r>
      <w:r w:rsidR="00AF65A7" w:rsidRPr="008625DC">
        <w:t>argue</w:t>
      </w:r>
      <w:r w:rsidRPr="008625DC">
        <w:t xml:space="preserve"> that no such change is warranted.</w:t>
      </w:r>
    </w:p>
    <w:p w14:paraId="2DEF054F" w14:textId="19F7DCAB" w:rsidR="004A443B" w:rsidRPr="008625DC" w:rsidRDefault="004A443B" w:rsidP="004A443B">
      <w:r w:rsidRPr="008625DC">
        <w:t>The ACCC</w:t>
      </w:r>
      <w:r w:rsidR="00C74E19" w:rsidRPr="008625DC">
        <w:t>’</w:t>
      </w:r>
      <w:r w:rsidRPr="008625DC">
        <w:t xml:space="preserve">s position in its 2008 Grocery Inquiry was that, although amendments to deal with creeping acquisitions would be desirable, </w:t>
      </w:r>
      <w:r w:rsidR="00C74E19" w:rsidRPr="008625DC">
        <w:t>‘</w:t>
      </w:r>
      <w:r w:rsidR="002F1521" w:rsidRPr="008625DC">
        <w:t xml:space="preserve">such </w:t>
      </w:r>
      <w:r w:rsidRPr="008625DC">
        <w:t xml:space="preserve">acquisitions </w:t>
      </w:r>
      <w:r w:rsidR="002F1521" w:rsidRPr="008625DC">
        <w:t xml:space="preserve">do not appear to be a significant current concern </w:t>
      </w:r>
      <w:r w:rsidRPr="008625DC">
        <w:t xml:space="preserve">in the </w:t>
      </w:r>
      <w:r w:rsidR="002F1521" w:rsidRPr="008625DC">
        <w:t>supermarket retail sector</w:t>
      </w:r>
      <w:r w:rsidR="00C74E19" w:rsidRPr="008625DC">
        <w:t>’</w:t>
      </w:r>
      <w:r w:rsidR="002F11DC" w:rsidRPr="008625DC">
        <w:t>.</w:t>
      </w:r>
      <w:r w:rsidR="002F1521" w:rsidRPr="008625DC">
        <w:rPr>
          <w:rStyle w:val="FootnoteReference"/>
        </w:rPr>
        <w:footnoteReference w:id="267"/>
      </w:r>
      <w:r w:rsidRPr="008625DC">
        <w:t xml:space="preserve"> Rather, the expansion of Woolworths and Coles had occurred mainly via organic growth, not acquisition.</w:t>
      </w:r>
    </w:p>
    <w:p w14:paraId="16867950" w14:textId="51872B59" w:rsidR="00C263BA" w:rsidRPr="008625DC" w:rsidRDefault="004A443B" w:rsidP="004A443B">
      <w:r w:rsidRPr="008625DC">
        <w:t xml:space="preserve">As a matter of concept, competition law should assess the overall effect of business conduct and not be narrowly </w:t>
      </w:r>
      <w:r w:rsidR="005A249A">
        <w:t>focus</w:t>
      </w:r>
      <w:r w:rsidR="004E3403" w:rsidRPr="008625DC">
        <w:t>ed</w:t>
      </w:r>
      <w:r w:rsidRPr="008625DC">
        <w:t xml:space="preserve"> on individual transactions. Various areas of competition law assess the anti</w:t>
      </w:r>
      <w:r w:rsidR="00C74E19" w:rsidRPr="008625DC">
        <w:noBreakHyphen/>
      </w:r>
      <w:r w:rsidRPr="008625DC">
        <w:t>competitive effect of a commercial arrangement by reference to the aggregate effect of similar arrangements (specifically, section</w:t>
      </w:r>
      <w:r w:rsidR="004F49B5" w:rsidRPr="008625DC">
        <w:t> </w:t>
      </w:r>
      <w:r w:rsidRPr="008625DC">
        <w:t>45 that prohibits anti</w:t>
      </w:r>
      <w:r w:rsidR="00C74E19" w:rsidRPr="008625DC">
        <w:noBreakHyphen/>
      </w:r>
      <w:r w:rsidRPr="008625DC">
        <w:t>competitive arrangements and section</w:t>
      </w:r>
      <w:r w:rsidR="004F49B5" w:rsidRPr="008625DC">
        <w:t> </w:t>
      </w:r>
      <w:r w:rsidRPr="008625DC">
        <w:t>47 that prohibits anti</w:t>
      </w:r>
      <w:r w:rsidR="00C74E19" w:rsidRPr="008625DC">
        <w:noBreakHyphen/>
      </w:r>
      <w:r w:rsidRPr="008625DC">
        <w:t>competitive exclusive dealing)</w:t>
      </w:r>
      <w:r w:rsidR="00380141" w:rsidRPr="008625DC">
        <w:t>.</w:t>
      </w:r>
    </w:p>
    <w:p w14:paraId="45AB7720" w14:textId="2C249312" w:rsidR="004A443B" w:rsidRPr="008625DC" w:rsidRDefault="004A443B" w:rsidP="004A443B">
      <w:r w:rsidRPr="008625DC">
        <w:t xml:space="preserve">A legitimate question therefore arises </w:t>
      </w:r>
      <w:r w:rsidR="00AF65A7" w:rsidRPr="008625DC">
        <w:t>regarding</w:t>
      </w:r>
      <w:r w:rsidRPr="008625DC">
        <w:t xml:space="preserve"> whether section</w:t>
      </w:r>
      <w:r w:rsidR="004F49B5" w:rsidRPr="008625DC">
        <w:t> </w:t>
      </w:r>
      <w:r w:rsidRPr="008625DC">
        <w:t>50, which addresses anti</w:t>
      </w:r>
      <w:r w:rsidR="00C74E19" w:rsidRPr="008625DC">
        <w:noBreakHyphen/>
      </w:r>
      <w:r w:rsidRPr="008625DC">
        <w:t>competitive mergers, should be applied so that the anti</w:t>
      </w:r>
      <w:r w:rsidR="00C74E19" w:rsidRPr="008625DC">
        <w:noBreakHyphen/>
      </w:r>
      <w:r w:rsidRPr="008625DC">
        <w:t xml:space="preserve">competitive effect of an individual merger </w:t>
      </w:r>
      <w:r w:rsidR="00AF65A7" w:rsidRPr="008625DC">
        <w:t>is</w:t>
      </w:r>
      <w:r w:rsidRPr="008625DC">
        <w:t xml:space="preserve"> assessed by reference to the aggregate effect of other mergers undertaken by the same corporation (or group of corporations) within a stated period (for example, the previous </w:t>
      </w:r>
      <w:r w:rsidR="004F49B5" w:rsidRPr="008625DC">
        <w:t>three </w:t>
      </w:r>
      <w:r w:rsidRPr="008625DC">
        <w:t>years).</w:t>
      </w:r>
    </w:p>
    <w:p w14:paraId="305B99FD" w14:textId="43216415" w:rsidR="00C263BA" w:rsidRPr="008625DC" w:rsidRDefault="004A443B" w:rsidP="004A443B">
      <w:r w:rsidRPr="008625DC">
        <w:t xml:space="preserve">There would be complexities in introducing a concept of </w:t>
      </w:r>
      <w:r w:rsidR="00C74E19" w:rsidRPr="008625DC">
        <w:t>‘</w:t>
      </w:r>
      <w:r w:rsidRPr="008625DC">
        <w:t>merger aggregation</w:t>
      </w:r>
      <w:r w:rsidR="00C74E19" w:rsidRPr="008625DC">
        <w:t>’</w:t>
      </w:r>
      <w:r w:rsidRPr="008625DC">
        <w:t xml:space="preserve"> into the </w:t>
      </w:r>
      <w:r w:rsidR="00AF65A7" w:rsidRPr="008625DC">
        <w:t>CCA.</w:t>
      </w:r>
      <w:r w:rsidRPr="008625DC">
        <w:t xml:space="preserve"> Mergers rarely occur at the same time; they occur over time. Therefore, it is necessary to choose a period of time over which to look back and </w:t>
      </w:r>
      <w:r w:rsidR="00C74E19" w:rsidRPr="008625DC">
        <w:t>‘</w:t>
      </w:r>
      <w:r w:rsidRPr="008625DC">
        <w:t>aggregate</w:t>
      </w:r>
      <w:r w:rsidR="00C74E19" w:rsidRPr="008625DC">
        <w:t>’</w:t>
      </w:r>
      <w:r w:rsidRPr="008625DC">
        <w:t xml:space="preserve"> mergers undertaken by the corporation</w:t>
      </w:r>
      <w:r w:rsidR="00380141" w:rsidRPr="008625DC">
        <w:t xml:space="preserve">. </w:t>
      </w:r>
      <w:r w:rsidRPr="008625DC">
        <w:t>The complicating factor is that market conditions may have altered materially over the period chosen.</w:t>
      </w:r>
    </w:p>
    <w:p w14:paraId="5E05CEC8" w14:textId="5D41837E" w:rsidR="004A443B" w:rsidRPr="008625DC" w:rsidRDefault="004A443B" w:rsidP="004A443B">
      <w:r w:rsidRPr="008625DC">
        <w:t>Competition may have increased or decreased over the period</w:t>
      </w:r>
      <w:r w:rsidR="00380141" w:rsidRPr="008625DC">
        <w:t xml:space="preserve">. </w:t>
      </w:r>
      <w:r w:rsidRPr="008625DC">
        <w:t>In those circumstances assessing the aggregate effect on competition of mergers that have occurred over a period becomes a difficult exercise. The longer the period that is chosen, the more difficult the task</w:t>
      </w:r>
      <w:r w:rsidR="00C263BA" w:rsidRPr="008625DC">
        <w:t xml:space="preserve"> becomes</w:t>
      </w:r>
      <w:r w:rsidRPr="008625DC">
        <w:t xml:space="preserve">. Any such change to the law would </w:t>
      </w:r>
      <w:r w:rsidR="00C263BA" w:rsidRPr="008625DC">
        <w:t>affect</w:t>
      </w:r>
      <w:r w:rsidRPr="008625DC">
        <w:t xml:space="preserve"> every corporation that undertook a merger. The assessment of every merger would involve an assessment o</w:t>
      </w:r>
      <w:r w:rsidR="00FB084C" w:rsidRPr="008625DC">
        <w:t>f</w:t>
      </w:r>
      <w:r w:rsidRPr="008625DC">
        <w:t xml:space="preserve"> previous mergers undertaken by the corporation over the stated time period. Th</w:t>
      </w:r>
      <w:r w:rsidR="00C263BA" w:rsidRPr="008625DC">
        <w:t>is</w:t>
      </w:r>
      <w:r w:rsidRPr="008625DC">
        <w:t xml:space="preserve"> would impose additional costs associated with merger review.</w:t>
      </w:r>
    </w:p>
    <w:p w14:paraId="1FDAA56D" w14:textId="77777777" w:rsidR="004A443B" w:rsidRPr="008625DC" w:rsidRDefault="004A443B" w:rsidP="004A443B">
      <w:r w:rsidRPr="008625DC">
        <w:t>On balance, in the absence of evidence of harmful acquisitions proceeding because of a gap in the law on creeping acquisitions, the Panel does not consider that the case for change has been made.</w:t>
      </w:r>
    </w:p>
    <w:p w14:paraId="717B866E" w14:textId="5A0BA648" w:rsidR="005C5706" w:rsidRPr="008625DC" w:rsidRDefault="005C5706" w:rsidP="00876477">
      <w:pPr>
        <w:pStyle w:val="Heading2"/>
        <w:ind w:left="851" w:hanging="851"/>
        <w:rPr>
          <w:lang w:val="en-AU"/>
        </w:rPr>
      </w:pPr>
      <w:bookmarkStart w:id="27261" w:name="_Toc398219828"/>
      <w:bookmarkStart w:id="27262" w:name="_Toc398220203"/>
      <w:bookmarkStart w:id="27263" w:name="_Toc398220590"/>
      <w:bookmarkStart w:id="27264" w:name="_Toc398221668"/>
      <w:bookmarkStart w:id="27265" w:name="_Toc398222354"/>
      <w:bookmarkStart w:id="27266" w:name="_Toc398222666"/>
      <w:bookmarkStart w:id="27267" w:name="_Toc398223083"/>
      <w:bookmarkStart w:id="27268" w:name="_Toc398223462"/>
      <w:bookmarkStart w:id="27269" w:name="_Toc398223589"/>
      <w:bookmarkStart w:id="27270" w:name="_Toc398224397"/>
      <w:bookmarkStart w:id="27271" w:name="_Toc398225734"/>
      <w:bookmarkStart w:id="27272" w:name="_Toc398225859"/>
      <w:bookmarkStart w:id="27273" w:name="_Toc398281346"/>
      <w:bookmarkStart w:id="27274" w:name="_Toc398282205"/>
      <w:bookmarkStart w:id="27275" w:name="_Toc398284875"/>
      <w:bookmarkStart w:id="27276" w:name="_Toc398287344"/>
      <w:bookmarkStart w:id="27277" w:name="_Toc398289227"/>
      <w:bookmarkStart w:id="27278" w:name="_Toc398297224"/>
      <w:bookmarkStart w:id="27279" w:name="_Toc398298698"/>
      <w:bookmarkStart w:id="27280" w:name="_Toc398300399"/>
      <w:bookmarkStart w:id="27281" w:name="_Toc398301296"/>
      <w:bookmarkStart w:id="27282" w:name="_Toc398302481"/>
      <w:bookmarkStart w:id="27283" w:name="_Toc398302644"/>
      <w:bookmarkStart w:id="27284" w:name="_Toc398549158"/>
      <w:bookmarkStart w:id="27285" w:name="_Toc398549408"/>
      <w:bookmarkStart w:id="27286" w:name="_Toc398555827"/>
      <w:bookmarkStart w:id="27287" w:name="_Toc398559031"/>
      <w:bookmarkStart w:id="27288" w:name="_Toc398563517"/>
      <w:bookmarkStart w:id="27289" w:name="_Toc398563650"/>
      <w:bookmarkStart w:id="27290" w:name="_Toc398564049"/>
      <w:bookmarkStart w:id="27291" w:name="_Toc398827387"/>
      <w:bookmarkStart w:id="27292" w:name="_Toc398827581"/>
      <w:r w:rsidRPr="008625DC">
        <w:rPr>
          <w:lang w:val="en-AU"/>
        </w:rPr>
        <w:t>Should merger review under the CCA be aligned with other approval processes?</w:t>
      </w:r>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p>
    <w:p w14:paraId="2E8A1A90" w14:textId="1CC5D7FA" w:rsidR="004A443B" w:rsidRPr="008625DC" w:rsidRDefault="004A443B" w:rsidP="004A443B">
      <w:r w:rsidRPr="008625DC">
        <w:t>Some stakeholders, including Australian Dairy Farmers (</w:t>
      </w:r>
      <w:r w:rsidR="00AA380B" w:rsidRPr="008625DC">
        <w:t>page</w:t>
      </w:r>
      <w:r w:rsidR="004F49B5" w:rsidRPr="008625DC">
        <w:t> </w:t>
      </w:r>
      <w:r w:rsidRPr="008625DC">
        <w:t>4), raise concerns about the coordination of the timing of the various merger approval processes that exist under Australian law. Beyond the CCA, there are various approval processes that may apply to certain mergers and acquisitions, such as foreign investment, media diversity and financial regulator approvals.</w:t>
      </w:r>
    </w:p>
    <w:p w14:paraId="0329D07F" w14:textId="436F6593" w:rsidR="004A443B" w:rsidRPr="008625DC" w:rsidRDefault="004A443B" w:rsidP="004A443B">
      <w:r w:rsidRPr="008625DC">
        <w:t xml:space="preserve">The particular concern raised by Australian Dairy Farmers </w:t>
      </w:r>
      <w:r w:rsidR="00C263BA" w:rsidRPr="008625DC">
        <w:t>arises</w:t>
      </w:r>
      <w:r w:rsidRPr="008625DC">
        <w:t xml:space="preserve"> from the bidding process for Warrnambool Cheese and Butter in 2013. One bidder, Murray Goulburn, was a competitor of </w:t>
      </w:r>
      <w:r w:rsidR="00504545" w:rsidRPr="008625DC">
        <w:t>Warrnambool Cheese and Butter</w:t>
      </w:r>
      <w:r w:rsidRPr="008625DC">
        <w:t xml:space="preserve"> for the acquisition of milk and made its bid conditional upon obtaining ACCC or Tribunal approval. Another bidder, </w:t>
      </w:r>
      <w:r w:rsidR="00C263BA" w:rsidRPr="008625DC">
        <w:t>the</w:t>
      </w:r>
      <w:r w:rsidRPr="008625DC">
        <w:t xml:space="preserve"> Canadian firm Saputo, had no activities in Australia and decided not to seek ACCC or Tribunal approval, although it did seek and obtain </w:t>
      </w:r>
      <w:r w:rsidRPr="008625DC">
        <w:lastRenderedPageBreak/>
        <w:t xml:space="preserve">approval from the Treasurer under the </w:t>
      </w:r>
      <w:r w:rsidRPr="008625DC">
        <w:rPr>
          <w:rStyle w:val="Emphasis"/>
        </w:rPr>
        <w:t>Foreign Acquisitions and Takeovers Act 1975</w:t>
      </w:r>
      <w:r w:rsidRPr="008625DC">
        <w:t xml:space="preserve"> since it was a foreign investor. </w:t>
      </w:r>
    </w:p>
    <w:p w14:paraId="514C4003" w14:textId="4A4E6448" w:rsidR="004A443B" w:rsidRPr="008625DC" w:rsidRDefault="004A443B" w:rsidP="004A443B">
      <w:r w:rsidRPr="008625DC">
        <w:t>The Treasurer provided Saputo with approval on 12</w:t>
      </w:r>
      <w:r w:rsidR="004F49B5" w:rsidRPr="008625DC">
        <w:t> </w:t>
      </w:r>
      <w:r w:rsidRPr="008625DC">
        <w:t>November</w:t>
      </w:r>
      <w:r w:rsidR="004F49B5" w:rsidRPr="008625DC">
        <w:t> </w:t>
      </w:r>
      <w:r w:rsidRPr="008625DC">
        <w:t>2013, while Murray Goulburn did not lodge its application for merger authorisation until 29 November</w:t>
      </w:r>
      <w:r w:rsidR="004F49B5" w:rsidRPr="008625DC">
        <w:t> </w:t>
      </w:r>
      <w:r w:rsidRPr="008625DC">
        <w:t>2013.</w:t>
      </w:r>
      <w:r w:rsidRPr="008625DC" w:rsidDel="00896A68">
        <w:t xml:space="preserve"> </w:t>
      </w:r>
      <w:r w:rsidRPr="008625DC">
        <w:t>Saputo</w:t>
      </w:r>
      <w:r w:rsidR="00C74E19" w:rsidRPr="008625DC">
        <w:t>’</w:t>
      </w:r>
      <w:r w:rsidRPr="008625DC">
        <w:t xml:space="preserve">s bid was accepted by the majority of </w:t>
      </w:r>
      <w:r w:rsidR="00504545" w:rsidRPr="008625DC">
        <w:t>Warrnambool Cheese and Butter</w:t>
      </w:r>
      <w:r w:rsidR="00AF65A7" w:rsidRPr="008625DC">
        <w:t xml:space="preserve"> </w:t>
      </w:r>
      <w:r w:rsidRPr="008625DC">
        <w:t>shareholders before the Tribunal could rule on Murray Goulburn</w:t>
      </w:r>
      <w:r w:rsidR="00C74E19" w:rsidRPr="008625DC">
        <w:t>’</w:t>
      </w:r>
      <w:r w:rsidRPr="008625DC">
        <w:t>s application (which was then withdrawn).</w:t>
      </w:r>
    </w:p>
    <w:p w14:paraId="4B84B470" w14:textId="77F44A7F" w:rsidR="004A443B" w:rsidRPr="008625DC" w:rsidRDefault="004A443B" w:rsidP="004A443B">
      <w:r w:rsidRPr="008625DC">
        <w:t xml:space="preserve">It </w:t>
      </w:r>
      <w:r w:rsidR="00C263BA" w:rsidRPr="008625DC">
        <w:t>is</w:t>
      </w:r>
      <w:r w:rsidRPr="008625DC">
        <w:t xml:space="preserve"> suggested that the Treasurer</w:t>
      </w:r>
      <w:r w:rsidR="00C74E19" w:rsidRPr="008625DC">
        <w:t>’</w:t>
      </w:r>
      <w:r w:rsidRPr="008625DC">
        <w:t>s decision on Saputo</w:t>
      </w:r>
      <w:r w:rsidR="00C74E19" w:rsidRPr="008625DC">
        <w:t>’</w:t>
      </w:r>
      <w:r w:rsidRPr="008625DC">
        <w:t>s bid should have been delayed until the merger authorisation process for Murray Goulburn</w:t>
      </w:r>
      <w:r w:rsidR="00C74E19" w:rsidRPr="008625DC">
        <w:t>’</w:t>
      </w:r>
      <w:r w:rsidRPr="008625DC">
        <w:t>s bid had concluded. Since any given merger may be subject</w:t>
      </w:r>
      <w:r w:rsidRPr="008625DC" w:rsidDel="007C7012">
        <w:t xml:space="preserve"> to </w:t>
      </w:r>
      <w:r w:rsidRPr="008625DC">
        <w:t>numerous approval processes, the logical extension of this proposal is</w:t>
      </w:r>
      <w:r w:rsidRPr="008625DC" w:rsidDel="007C7012">
        <w:t xml:space="preserve"> that </w:t>
      </w:r>
      <w:r w:rsidRPr="008625DC">
        <w:t xml:space="preserve">all approvals for all competing bids should be delivered simultaneously. </w:t>
      </w:r>
    </w:p>
    <w:p w14:paraId="3D0B1391" w14:textId="151E784B" w:rsidR="004A443B" w:rsidRPr="008625DC" w:rsidRDefault="004A443B" w:rsidP="004A443B">
      <w:r w:rsidRPr="008625DC">
        <w:t>The Panel does not support this proposal. The various approval processes are not related. While it is desirable that decision</w:t>
      </w:r>
      <w:r w:rsidR="00C74E19" w:rsidRPr="008625DC">
        <w:noBreakHyphen/>
      </w:r>
      <w:r w:rsidRPr="008625DC">
        <w:t xml:space="preserve">makers </w:t>
      </w:r>
      <w:r w:rsidR="00C263BA" w:rsidRPr="008625DC">
        <w:t>be</w:t>
      </w:r>
      <w:r w:rsidRPr="008625DC">
        <w:t xml:space="preserve"> cognisant of other processes, to require that each decision</w:t>
      </w:r>
      <w:r w:rsidR="00C74E19" w:rsidRPr="008625DC">
        <w:noBreakHyphen/>
      </w:r>
      <w:r w:rsidRPr="008625DC">
        <w:t>maker delay its decision until all approval processes have been completed for all bidders would impose an unwarranted burden on bidders and sellers</w:t>
      </w:r>
      <w:r w:rsidR="00380141" w:rsidRPr="008625DC">
        <w:t xml:space="preserve">. </w:t>
      </w:r>
      <w:r w:rsidRPr="008625DC">
        <w:t xml:space="preserve">Bidders and </w:t>
      </w:r>
      <w:r w:rsidR="00FB084C" w:rsidRPr="008625DC">
        <w:t>sellers</w:t>
      </w:r>
      <w:r w:rsidRPr="008625DC">
        <w:t xml:space="preserve"> are aware of the various approvals that may be required under various Australian laws and have some understanding of the time that could be taken. Sellers have incentives to ensure that competition between potential bidders is maximised in any sales process. </w:t>
      </w:r>
    </w:p>
    <w:p w14:paraId="2B30FE5B" w14:textId="77777777" w:rsidR="004A443B" w:rsidRPr="008625DC" w:rsidRDefault="004A443B" w:rsidP="00876477">
      <w:pPr>
        <w:pStyle w:val="Heading2"/>
        <w:ind w:left="851" w:hanging="851"/>
        <w:rPr>
          <w:lang w:val="en-AU"/>
        </w:rPr>
      </w:pPr>
      <w:bookmarkStart w:id="27293" w:name="_Toc398219829"/>
      <w:bookmarkStart w:id="27294" w:name="_Toc398220204"/>
      <w:bookmarkStart w:id="27295" w:name="_Toc398220591"/>
      <w:bookmarkStart w:id="27296" w:name="_Toc398221669"/>
      <w:bookmarkStart w:id="27297" w:name="_Toc398222355"/>
      <w:bookmarkStart w:id="27298" w:name="_Toc398222667"/>
      <w:bookmarkStart w:id="27299" w:name="_Toc398223084"/>
      <w:bookmarkStart w:id="27300" w:name="_Toc398223463"/>
      <w:bookmarkStart w:id="27301" w:name="_Toc398223590"/>
      <w:bookmarkStart w:id="27302" w:name="_Toc398224398"/>
      <w:bookmarkStart w:id="27303" w:name="_Toc398225735"/>
      <w:bookmarkStart w:id="27304" w:name="_Toc398225860"/>
      <w:bookmarkStart w:id="27305" w:name="_Toc398281347"/>
      <w:bookmarkStart w:id="27306" w:name="_Toc398282206"/>
      <w:bookmarkStart w:id="27307" w:name="_Toc398284876"/>
      <w:bookmarkStart w:id="27308" w:name="_Toc398287345"/>
      <w:bookmarkStart w:id="27309" w:name="_Toc398289228"/>
      <w:bookmarkStart w:id="27310" w:name="_Toc398297225"/>
      <w:bookmarkStart w:id="27311" w:name="_Toc398298699"/>
      <w:bookmarkStart w:id="27312" w:name="_Toc398300400"/>
      <w:bookmarkStart w:id="27313" w:name="_Toc398301297"/>
      <w:bookmarkStart w:id="27314" w:name="_Toc398302482"/>
      <w:bookmarkStart w:id="27315" w:name="_Toc398302645"/>
      <w:bookmarkStart w:id="27316" w:name="_Toc398549159"/>
      <w:bookmarkStart w:id="27317" w:name="_Toc398549409"/>
      <w:bookmarkStart w:id="27318" w:name="_Toc398555828"/>
      <w:bookmarkStart w:id="27319" w:name="_Toc398559032"/>
      <w:bookmarkStart w:id="27320" w:name="_Toc398563518"/>
      <w:bookmarkStart w:id="27321" w:name="_Toc398563651"/>
      <w:bookmarkStart w:id="27322" w:name="_Toc398564050"/>
      <w:bookmarkStart w:id="27323" w:name="_Toc398827388"/>
      <w:bookmarkStart w:id="27324" w:name="_Toc398827582"/>
      <w:r w:rsidRPr="008625DC">
        <w:rPr>
          <w:lang w:val="en-AU"/>
        </w:rPr>
        <w:t>Merger approval processes</w:t>
      </w:r>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p>
    <w:p w14:paraId="119ABABC" w14:textId="34F2782D" w:rsidR="004A443B" w:rsidRPr="008625DC" w:rsidRDefault="004A443B" w:rsidP="004A443B">
      <w:r w:rsidRPr="008625DC">
        <w:t xml:space="preserve">As noted earlier, parties </w:t>
      </w:r>
      <w:r w:rsidR="00C263BA" w:rsidRPr="008625DC">
        <w:t>wishing</w:t>
      </w:r>
      <w:r w:rsidRPr="008625DC">
        <w:t xml:space="preserve"> to seek approval before they merge to avoid the risk of court action have three separate processes available to them: informal clearance by the ACCC</w:t>
      </w:r>
      <w:r w:rsidR="00C263BA" w:rsidRPr="008625DC">
        <w:t>;</w:t>
      </w:r>
      <w:r w:rsidRPr="008625DC">
        <w:t xml:space="preserve"> formal clearance by the ACCC</w:t>
      </w:r>
      <w:r w:rsidR="00C263BA" w:rsidRPr="008625DC">
        <w:t>;</w:t>
      </w:r>
      <w:r w:rsidRPr="008625DC">
        <w:t xml:space="preserve"> and authorisation by the Tribunal. Many submissions </w:t>
      </w:r>
      <w:r w:rsidR="00C263BA" w:rsidRPr="008625DC">
        <w:t>are</w:t>
      </w:r>
      <w:r w:rsidRPr="008625DC">
        <w:t xml:space="preserve"> directed to these processes, with various proposals for change. The Panel has weighed these various proposals. </w:t>
      </w:r>
    </w:p>
    <w:p w14:paraId="2E794933" w14:textId="774E527C" w:rsidR="005C5706" w:rsidRPr="008625DC" w:rsidRDefault="005C5706" w:rsidP="006866EE">
      <w:pPr>
        <w:pStyle w:val="Heading3"/>
      </w:pPr>
      <w:r w:rsidRPr="008625DC">
        <w:t>ACCC</w:t>
      </w:r>
      <w:r w:rsidR="00C74E19" w:rsidRPr="008625DC">
        <w:t>’</w:t>
      </w:r>
      <w:r w:rsidRPr="008625DC">
        <w:t xml:space="preserve">s informal </w:t>
      </w:r>
      <w:r w:rsidR="000E7840" w:rsidRPr="008625DC">
        <w:t xml:space="preserve">merger clearance </w:t>
      </w:r>
      <w:r w:rsidRPr="008625DC">
        <w:t>process</w:t>
      </w:r>
    </w:p>
    <w:p w14:paraId="7DFA04DD" w14:textId="1FB38834" w:rsidR="004A443B" w:rsidRPr="008625DC" w:rsidRDefault="004A443B" w:rsidP="004A443B">
      <w:r w:rsidRPr="008625DC">
        <w:t xml:space="preserve">The informal clearance process is the most commonly used of the merger clearance options; the ACCC considered </w:t>
      </w:r>
      <w:r w:rsidR="00FE001C" w:rsidRPr="008625DC">
        <w:t>289</w:t>
      </w:r>
      <w:r w:rsidRPr="008625DC">
        <w:t xml:space="preserve"> transactions on this basis in 2012</w:t>
      </w:r>
      <w:r w:rsidR="00C74E19" w:rsidRPr="008625DC">
        <w:noBreakHyphen/>
      </w:r>
      <w:r w:rsidRPr="008625DC">
        <w:t xml:space="preserve">13. </w:t>
      </w:r>
    </w:p>
    <w:p w14:paraId="7B997C3B" w14:textId="44F6D783" w:rsidR="004A443B" w:rsidRPr="008625DC" w:rsidRDefault="004A443B" w:rsidP="004A443B">
      <w:r w:rsidRPr="008625DC">
        <w:t xml:space="preserve">Under the informal merger </w:t>
      </w:r>
      <w:r w:rsidR="00AF65A7" w:rsidRPr="008625DC">
        <w:t>clearance</w:t>
      </w:r>
      <w:r w:rsidRPr="008625DC">
        <w:t xml:space="preserve"> process</w:t>
      </w:r>
      <w:r w:rsidR="00C263BA" w:rsidRPr="008625DC">
        <w:t>,</w:t>
      </w:r>
      <w:r w:rsidRPr="008625DC">
        <w:t xml:space="preserve"> the ACCC considers information provided by the merger parties and other parties, conducts its own analysis, and forms a view as to the likely competition effects of the proposed transaction. Informal </w:t>
      </w:r>
      <w:r w:rsidR="00C74E19" w:rsidRPr="008625DC">
        <w:t>‘</w:t>
      </w:r>
      <w:r w:rsidRPr="008625DC">
        <w:t>clearance</w:t>
      </w:r>
      <w:r w:rsidR="00C74E19" w:rsidRPr="008625DC">
        <w:t>’</w:t>
      </w:r>
      <w:r w:rsidRPr="008625DC">
        <w:t xml:space="preserve"> by the ACCC does not provide statutory protection from legal action under section 50; it provides the ACCC</w:t>
      </w:r>
      <w:r w:rsidR="00C74E19" w:rsidRPr="008625DC">
        <w:t>’</w:t>
      </w:r>
      <w:r w:rsidRPr="008625DC">
        <w:t xml:space="preserve">s view on whether an acquisition is likely to breach the CCA. Similarly, ACCC opposition to a merger does not legally prohibit the merger; only a court can do that. </w:t>
      </w:r>
    </w:p>
    <w:p w14:paraId="4A3FDD7E" w14:textId="3DF2B299" w:rsidR="004A443B" w:rsidRPr="008625DC" w:rsidRDefault="004A443B" w:rsidP="004A443B">
      <w:r w:rsidRPr="008625DC">
        <w:t>The vast majority of submissions support the informal clearance process because of its flexibility and relatively low cost</w:t>
      </w:r>
      <w:r w:rsidR="00380141" w:rsidRPr="008625DC">
        <w:t xml:space="preserve">. </w:t>
      </w:r>
      <w:r w:rsidRPr="008625DC">
        <w:t xml:space="preserve">The fact that the process leads to the ACCC forming a view, rather than being a decision </w:t>
      </w:r>
      <w:r w:rsidR="00C263BA" w:rsidRPr="008625DC">
        <w:t>of</w:t>
      </w:r>
      <w:r w:rsidRPr="008625DC">
        <w:t xml:space="preserve"> a court, means that it is not necessary for parties to provide legally admissible evidence. This reduces the complexity and expense associated with the process. </w:t>
      </w:r>
    </w:p>
    <w:p w14:paraId="001F93B2" w14:textId="4380224C" w:rsidR="004A443B" w:rsidRPr="008625DC" w:rsidRDefault="004A443B" w:rsidP="00BD3315">
      <w:pPr>
        <w:spacing w:after="120"/>
      </w:pPr>
      <w:r w:rsidRPr="008625DC">
        <w:t xml:space="preserve">Changes to the informal process following the Dawson </w:t>
      </w:r>
      <w:r w:rsidR="00A811D1" w:rsidRPr="008625DC">
        <w:t>R</w:t>
      </w:r>
      <w:r w:rsidRPr="008625DC">
        <w:t xml:space="preserve">eview have generally been welcomed: </w:t>
      </w:r>
    </w:p>
    <w:p w14:paraId="5D5B6AD2" w14:textId="7EC7C10E" w:rsidR="004A443B" w:rsidRPr="008625DC" w:rsidRDefault="004A443B" w:rsidP="004A443B">
      <w:pPr>
        <w:pStyle w:val="Quotes"/>
      </w:pPr>
      <w:r w:rsidRPr="008625DC">
        <w:t xml:space="preserve">These reforms include Statements of Issues, Public Competition Assessments and letters to the merger parties often referred to as </w:t>
      </w:r>
      <w:r w:rsidR="00C74E19" w:rsidRPr="008625DC">
        <w:t>‘</w:t>
      </w:r>
      <w:r w:rsidRPr="008625DC">
        <w:t>transparency letters</w:t>
      </w:r>
      <w:r w:rsidR="00C74E19" w:rsidRPr="008625DC">
        <w:t>’</w:t>
      </w:r>
      <w:r w:rsidRPr="008625DC">
        <w:t xml:space="preserve">. The ACCC should be commended for its efforts to improve the level of accountability and transparency in its informal merger review process. (Herbert Smith Freehills, </w:t>
      </w:r>
      <w:r w:rsidR="00AA380B" w:rsidRPr="008625DC">
        <w:t>page</w:t>
      </w:r>
      <w:r w:rsidR="004F49B5" w:rsidRPr="008625DC">
        <w:t> </w:t>
      </w:r>
      <w:r w:rsidRPr="008625DC">
        <w:t>2)</w:t>
      </w:r>
    </w:p>
    <w:p w14:paraId="64BB0FB7" w14:textId="039A413F" w:rsidR="004A443B" w:rsidRPr="008625DC" w:rsidRDefault="004A443B" w:rsidP="004A443B">
      <w:r w:rsidRPr="008625DC">
        <w:lastRenderedPageBreak/>
        <w:t xml:space="preserve">However, for </w:t>
      </w:r>
      <w:r w:rsidR="00BC4382" w:rsidRPr="008625DC">
        <w:t xml:space="preserve">more </w:t>
      </w:r>
      <w:r w:rsidRPr="008625DC">
        <w:t>complex matters, some stakeholders consider that the informal process can be slow and/or unpredictable in timing. Foxtel suggest</w:t>
      </w:r>
      <w:r w:rsidR="00C263BA" w:rsidRPr="008625DC">
        <w:t>s</w:t>
      </w:r>
      <w:r w:rsidRPr="008625DC">
        <w:t xml:space="preserve"> that </w:t>
      </w:r>
      <w:r w:rsidR="00FE001C" w:rsidRPr="008625DC">
        <w:t xml:space="preserve">there </w:t>
      </w:r>
      <w:r w:rsidRPr="008625DC">
        <w:t>should be a strict time</w:t>
      </w:r>
      <w:r w:rsidR="00FE001C" w:rsidRPr="008625DC">
        <w:t>table for completion of merger clearances (page 7)</w:t>
      </w:r>
      <w:r w:rsidRPr="008625DC">
        <w:t xml:space="preserve"> rather than the current system where the ACCC can change its indicative timetable (for example, at the request of the merger parties or to allow it to gather more information in order to form a concluded view). </w:t>
      </w:r>
    </w:p>
    <w:p w14:paraId="5A9C5093" w14:textId="5162EBFD" w:rsidR="004A443B" w:rsidRPr="008625DC" w:rsidRDefault="004A443B" w:rsidP="004A443B">
      <w:r w:rsidRPr="008625DC">
        <w:t>Some stakeholders, such as the Business Law Section of the Law Council, consider that the informal process does not go far enough in providing transparency to merger parties (</w:t>
      </w:r>
      <w:r w:rsidR="00AA380B" w:rsidRPr="008625DC">
        <w:t>page</w:t>
      </w:r>
      <w:r w:rsidR="004F49B5" w:rsidRPr="008625DC">
        <w:t> </w:t>
      </w:r>
      <w:r w:rsidRPr="008625DC">
        <w:t xml:space="preserve">67). In </w:t>
      </w:r>
      <w:r w:rsidR="00C263BA" w:rsidRPr="008625DC">
        <w:t>its</w:t>
      </w:r>
      <w:r w:rsidRPr="008625DC">
        <w:t xml:space="preserve"> view, merger parties should </w:t>
      </w:r>
      <w:r w:rsidR="00FE001C" w:rsidRPr="008625DC">
        <w:t xml:space="preserve">generally </w:t>
      </w:r>
      <w:r w:rsidRPr="008625DC">
        <w:t>have access to third</w:t>
      </w:r>
      <w:r w:rsidR="00C74E19" w:rsidRPr="008625DC">
        <w:noBreakHyphen/>
      </w:r>
      <w:r w:rsidRPr="008625DC">
        <w:t>party submissions about the merger, not just the ACCC</w:t>
      </w:r>
      <w:r w:rsidR="00C74E19" w:rsidRPr="008625DC">
        <w:t>’</w:t>
      </w:r>
      <w:r w:rsidRPr="008625DC">
        <w:t xml:space="preserve">s summary of these concerns (sometimes referred to as a </w:t>
      </w:r>
      <w:r w:rsidR="00C74E19" w:rsidRPr="008625DC">
        <w:t>‘</w:t>
      </w:r>
      <w:r w:rsidRPr="008625DC">
        <w:t>transparency letter</w:t>
      </w:r>
      <w:r w:rsidR="00C74E19" w:rsidRPr="008625DC">
        <w:t>’</w:t>
      </w:r>
      <w:r w:rsidRPr="008625DC">
        <w:t xml:space="preserve">). </w:t>
      </w:r>
    </w:p>
    <w:p w14:paraId="39CBEE3F" w14:textId="1E444422" w:rsidR="004A443B" w:rsidRPr="008625DC" w:rsidRDefault="004A443B" w:rsidP="004A443B">
      <w:r w:rsidRPr="008625DC">
        <w:t>The BCA goes further, proposing the ACCC</w:t>
      </w:r>
      <w:r w:rsidR="00C74E19" w:rsidRPr="008625DC">
        <w:t>’</w:t>
      </w:r>
      <w:r w:rsidRPr="008625DC">
        <w:t xml:space="preserve">s decision on whether or not to oppose a merger should be subject to </w:t>
      </w:r>
      <w:r w:rsidR="00C74E19" w:rsidRPr="008625DC">
        <w:t>‘</w:t>
      </w:r>
      <w:r w:rsidRPr="008625DC">
        <w:t>an internal review</w:t>
      </w:r>
      <w:r w:rsidR="00C74E19" w:rsidRPr="008625DC">
        <w:t>’</w:t>
      </w:r>
      <w:r w:rsidRPr="008625DC">
        <w:t xml:space="preserve"> by </w:t>
      </w:r>
      <w:r w:rsidR="00C74E19" w:rsidRPr="008625DC">
        <w:t>‘</w:t>
      </w:r>
      <w:r w:rsidRPr="008625DC">
        <w:t>a panel of Associate Commissioners with expertise in competition law and economics</w:t>
      </w:r>
      <w:r w:rsidR="00C74E19" w:rsidRPr="008625DC">
        <w:t>’</w:t>
      </w:r>
      <w:r w:rsidRPr="008625DC">
        <w:t>, with the merger parties making submissions. The BCA</w:t>
      </w:r>
      <w:r w:rsidR="00C74E19" w:rsidRPr="008625DC">
        <w:t>’</w:t>
      </w:r>
      <w:r w:rsidR="00FE001C" w:rsidRPr="008625DC">
        <w:t>s</w:t>
      </w:r>
      <w:r w:rsidRPr="008625DC">
        <w:t xml:space="preserve"> suggest</w:t>
      </w:r>
      <w:r w:rsidR="00FE001C" w:rsidRPr="008625DC">
        <w:t>ion</w:t>
      </w:r>
      <w:r w:rsidRPr="008625DC">
        <w:t>s</w:t>
      </w:r>
      <w:r w:rsidR="00FE001C" w:rsidRPr="008625DC">
        <w:t xml:space="preserve"> include</w:t>
      </w:r>
      <w:r w:rsidRPr="008625DC">
        <w:t xml:space="preserve"> that the ACCC could allow this panel of Associate Commissioners to overturn the ACCC</w:t>
      </w:r>
      <w:r w:rsidR="00C74E19" w:rsidRPr="008625DC">
        <w:t>’</w:t>
      </w:r>
      <w:r w:rsidRPr="008625DC">
        <w:t>s original decision and make a new decision (</w:t>
      </w:r>
      <w:r w:rsidR="00136013" w:rsidRPr="008625DC">
        <w:t xml:space="preserve">BCA Main Report, </w:t>
      </w:r>
      <w:r w:rsidR="00AA380B" w:rsidRPr="008625DC">
        <w:t>page</w:t>
      </w:r>
      <w:r w:rsidR="004F49B5" w:rsidRPr="008625DC">
        <w:t> </w:t>
      </w:r>
      <w:r w:rsidR="00FE001C" w:rsidRPr="008625DC">
        <w:t>99</w:t>
      </w:r>
      <w:r w:rsidRPr="008625DC">
        <w:t>).</w:t>
      </w:r>
    </w:p>
    <w:p w14:paraId="405130ED" w14:textId="5B4880EA" w:rsidR="004A443B" w:rsidRPr="008625DC" w:rsidRDefault="004A443B" w:rsidP="004A443B">
      <w:r w:rsidRPr="008625DC">
        <w:t xml:space="preserve">However, as the Dawson Review noted, </w:t>
      </w:r>
      <w:r w:rsidR="00C74E19" w:rsidRPr="008625DC">
        <w:t>‘</w:t>
      </w:r>
      <w:r w:rsidR="00136013" w:rsidRPr="008625DC">
        <w:t>[</w:t>
      </w:r>
      <w:r w:rsidRPr="008625DC">
        <w:t>t</w:t>
      </w:r>
      <w:r w:rsidR="00136013" w:rsidRPr="008625DC">
        <w:t>]</w:t>
      </w:r>
      <w:r w:rsidRPr="008625DC">
        <w:t>he strengths of the current informal clearance process [including its speed and efficiency] stem from its informal nature, as do its weaknesses</w:t>
      </w:r>
      <w:r w:rsidR="00C74E19" w:rsidRPr="008625DC">
        <w:t>’</w:t>
      </w:r>
      <w:r w:rsidR="00BD3315" w:rsidRPr="008625DC">
        <w:t>.</w:t>
      </w:r>
      <w:r w:rsidRPr="008625DC">
        <w:rPr>
          <w:rStyle w:val="FootnoteReference"/>
        </w:rPr>
        <w:footnoteReference w:id="268"/>
      </w:r>
      <w:r w:rsidRPr="008625DC">
        <w:t xml:space="preserve"> Attempts to formalise </w:t>
      </w:r>
      <w:r w:rsidR="00101DD2" w:rsidRPr="008625DC">
        <w:t>further</w:t>
      </w:r>
      <w:r w:rsidRPr="008625DC">
        <w:t xml:space="preserve"> the informal merger </w:t>
      </w:r>
      <w:r w:rsidR="00A811D1" w:rsidRPr="008625DC">
        <w:t>clearance</w:t>
      </w:r>
      <w:r w:rsidRPr="008625DC">
        <w:t xml:space="preserve"> process would reduce its flexibility and would inevitably have timing and resourcing implications. There do not appear to be any examples of merger regimes overseas that offer a high level of transparency without also imposing stricter information requirements and longer timelines than the Australian system.</w:t>
      </w:r>
    </w:p>
    <w:p w14:paraId="683EB46F" w14:textId="77777777" w:rsidR="00E04B55" w:rsidRPr="008625DC" w:rsidRDefault="004A443B" w:rsidP="004A443B">
      <w:r w:rsidRPr="008625DC">
        <w:t>The Panel considers that it is not sensible to attempt to regulate an informal process which, by definition, operates outside any formal legal framework. The flexibility of the informal process is widely recognised as being beneficial</w:t>
      </w:r>
      <w:r w:rsidR="00380141" w:rsidRPr="008625DC">
        <w:t>.</w:t>
      </w:r>
    </w:p>
    <w:p w14:paraId="46E47DC3" w14:textId="77777777" w:rsidR="00BC4382" w:rsidRPr="008625DC" w:rsidRDefault="00BC4382" w:rsidP="00BC4382">
      <w:r w:rsidRPr="008625DC">
        <w:t>Nevertheless, the public interest is served by timely merger decisions and by transparency in the public administration of the merger law. The Panel considers that there is scope for further consultation between the ACCC and business representatives with the objective of developing an informal review process that delivers more timely decisions.</w:t>
      </w:r>
    </w:p>
    <w:p w14:paraId="4D1BA335" w14:textId="46B97E60" w:rsidR="004A443B" w:rsidRPr="008625DC" w:rsidRDefault="004A443B" w:rsidP="004A443B">
      <w:r w:rsidRPr="008625DC">
        <w:t xml:space="preserve">The Panel considers that the identified concerns about merger </w:t>
      </w:r>
      <w:r w:rsidR="00A811D1" w:rsidRPr="008625DC">
        <w:t>clearance</w:t>
      </w:r>
      <w:r w:rsidRPr="008625DC">
        <w:t xml:space="preserve"> should </w:t>
      </w:r>
      <w:r w:rsidR="00510583" w:rsidRPr="008625DC">
        <w:t xml:space="preserve">also </w:t>
      </w:r>
      <w:r w:rsidRPr="008625DC">
        <w:t>be addressed through streamlin</w:t>
      </w:r>
      <w:r w:rsidR="00C263BA" w:rsidRPr="008625DC">
        <w:t>ing</w:t>
      </w:r>
      <w:r w:rsidRPr="008625DC">
        <w:t xml:space="preserve"> </w:t>
      </w:r>
      <w:r w:rsidR="00C263BA" w:rsidRPr="008625DC">
        <w:t>the</w:t>
      </w:r>
      <w:r w:rsidRPr="008625DC">
        <w:t xml:space="preserve"> formal approval process.</w:t>
      </w:r>
    </w:p>
    <w:p w14:paraId="6B828D8E" w14:textId="693553A6" w:rsidR="005C5706" w:rsidRPr="008625DC" w:rsidRDefault="00D96804" w:rsidP="00101DD2">
      <w:pPr>
        <w:pStyle w:val="Heading3"/>
      </w:pPr>
      <w:r w:rsidRPr="008625DC">
        <w:t>F</w:t>
      </w:r>
      <w:r w:rsidR="005C5706" w:rsidRPr="008625DC">
        <w:t>ormal</w:t>
      </w:r>
      <w:r w:rsidR="000E7840" w:rsidRPr="008625DC">
        <w:t xml:space="preserve"> merger</w:t>
      </w:r>
      <w:r w:rsidR="005C5706" w:rsidRPr="008625DC">
        <w:t xml:space="preserve"> process</w:t>
      </w:r>
      <w:r w:rsidR="00CB4352" w:rsidRPr="008625DC">
        <w:t>es</w:t>
      </w:r>
      <w:r w:rsidR="00380141" w:rsidRPr="008625DC">
        <w:t xml:space="preserve"> — </w:t>
      </w:r>
      <w:r w:rsidR="004A443B" w:rsidRPr="008625DC">
        <w:t>clearance and authorisation</w:t>
      </w:r>
    </w:p>
    <w:p w14:paraId="7CC56164" w14:textId="1B57A367" w:rsidR="00B40FD7" w:rsidRPr="008625DC" w:rsidRDefault="00B40FD7" w:rsidP="00B40FD7">
      <w:bookmarkStart w:id="27325" w:name="_Toc394938134"/>
      <w:bookmarkStart w:id="27326" w:name="_Toc394938400"/>
      <w:bookmarkStart w:id="27327" w:name="_Toc394938636"/>
      <w:bookmarkStart w:id="27328" w:name="_Toc394937680"/>
      <w:bookmarkStart w:id="27329" w:name="_Toc394937918"/>
      <w:bookmarkStart w:id="27330" w:name="_Toc394941046"/>
      <w:bookmarkStart w:id="27331" w:name="_Toc394941311"/>
      <w:bookmarkStart w:id="27332" w:name="_Toc394941547"/>
      <w:bookmarkStart w:id="27333" w:name="_Toc394941662"/>
      <w:bookmarkStart w:id="27334" w:name="_Toc394941927"/>
      <w:bookmarkStart w:id="27335" w:name="_Toc394942163"/>
      <w:bookmarkStart w:id="27336" w:name="_Toc394939883"/>
      <w:bookmarkStart w:id="27337" w:name="_Toc394940149"/>
      <w:bookmarkStart w:id="27338" w:name="_Toc394940385"/>
      <w:r w:rsidRPr="008625DC">
        <w:t xml:space="preserve">Since 2007 (following recommendations made by the Dawson </w:t>
      </w:r>
      <w:r w:rsidR="00A811D1" w:rsidRPr="008625DC">
        <w:t>R</w:t>
      </w:r>
      <w:r w:rsidRPr="008625DC">
        <w:t>eview) the ACCC has been empowered under the CCA to grant a formal clearance to merger parties if it is satisfied that the merger would not substantially lessen competition; ACCC decisions are subject to review by the Tribunal. Also since 2007 the</w:t>
      </w:r>
      <w:r w:rsidR="00FB084C" w:rsidRPr="008625DC">
        <w:t xml:space="preserve"> </w:t>
      </w:r>
      <w:r w:rsidRPr="008625DC">
        <w:t>Tribunal has been empowered to grant authorisation to merger parties if it is satisfied that the public benefits resulting from the merger outweigh the anti</w:t>
      </w:r>
      <w:r w:rsidR="00C74E19" w:rsidRPr="008625DC">
        <w:noBreakHyphen/>
      </w:r>
      <w:r w:rsidRPr="008625DC">
        <w:t>competitive detriment. Prior to 2007 there was no formal clearance mechanism and the power to grant merger authorisations was vested in the ACCC, with decisions subject to review by the Tribunal.</w:t>
      </w:r>
    </w:p>
    <w:p w14:paraId="0A7D5F26" w14:textId="4E5314C5" w:rsidR="00B40FD7" w:rsidRPr="008625DC" w:rsidRDefault="00B40FD7" w:rsidP="00DA5197">
      <w:pPr>
        <w:spacing w:after="120"/>
      </w:pPr>
      <w:r w:rsidRPr="008625DC">
        <w:t>The</w:t>
      </w:r>
      <w:r w:rsidRPr="008625DC">
        <w:rPr>
          <w:b/>
        </w:rPr>
        <w:t xml:space="preserve"> </w:t>
      </w:r>
      <w:r w:rsidRPr="008625DC">
        <w:t>formal clearance process has not been used since its introduction in 2007. Stakeholders have indicated that</w:t>
      </w:r>
      <w:r w:rsidR="00C263BA" w:rsidRPr="008625DC">
        <w:t>,</w:t>
      </w:r>
      <w:r w:rsidRPr="008625DC">
        <w:t xml:space="preserve"> while improvements to the ACCC</w:t>
      </w:r>
      <w:r w:rsidR="00C74E19" w:rsidRPr="008625DC">
        <w:t>’</w:t>
      </w:r>
      <w:r w:rsidRPr="008625DC">
        <w:t>s informal process part</w:t>
      </w:r>
      <w:r w:rsidR="00C263BA" w:rsidRPr="008625DC">
        <w:t xml:space="preserve">ly </w:t>
      </w:r>
      <w:r w:rsidRPr="008625DC">
        <w:t>expla</w:t>
      </w:r>
      <w:r w:rsidR="00C263BA" w:rsidRPr="008625DC">
        <w:t>i</w:t>
      </w:r>
      <w:r w:rsidRPr="008625DC">
        <w:t xml:space="preserve">n this, unattractive features of the formal process also deter merger parties from using it. </w:t>
      </w:r>
    </w:p>
    <w:p w14:paraId="49746135" w14:textId="2CBFED1E" w:rsidR="00FE001C" w:rsidRPr="008625DC" w:rsidRDefault="00B40FD7" w:rsidP="002F11DC">
      <w:pPr>
        <w:pStyle w:val="Quotes"/>
        <w:spacing w:after="120"/>
      </w:pPr>
      <w:r w:rsidRPr="008625DC">
        <w:lastRenderedPageBreak/>
        <w:t>The formal merger clearance process has not been used, in part because it is unduly complicated by strict technical formal requirements for a compliant application, including for example, the detailed and prescriptive standard form application</w:t>
      </w:r>
      <w:r w:rsidR="00DA5197" w:rsidRPr="008625DC">
        <w:t xml:space="preserve"> </w:t>
      </w:r>
      <w:r w:rsidRPr="008625DC">
        <w:t>… which is onerous and inflexible</w:t>
      </w:r>
      <w:r w:rsidR="00136013" w:rsidRPr="008625DC">
        <w:t>.</w:t>
      </w:r>
      <w:r w:rsidR="00BD3315" w:rsidRPr="008625DC">
        <w:t xml:space="preserve"> </w:t>
      </w:r>
      <w:r w:rsidR="00FE001C" w:rsidRPr="008625DC">
        <w:t>(BCA</w:t>
      </w:r>
      <w:r w:rsidR="00136013" w:rsidRPr="008625DC">
        <w:t xml:space="preserve"> Main Report</w:t>
      </w:r>
      <w:r w:rsidR="00FE001C" w:rsidRPr="008625DC">
        <w:t>, page 63)</w:t>
      </w:r>
    </w:p>
    <w:p w14:paraId="06B7F120" w14:textId="555A3192" w:rsidR="00B40FD7" w:rsidRPr="008625DC" w:rsidRDefault="00FE001C" w:rsidP="00B40FD7">
      <w:pPr>
        <w:pStyle w:val="Quotes"/>
      </w:pPr>
      <w:r w:rsidRPr="008625DC">
        <w:t>[H</w:t>
      </w:r>
      <w:r w:rsidR="00B40FD7" w:rsidRPr="008625DC">
        <w:t>owever], the availability of this alternative to the informal process, particularly in potentially contentious cases, is desirable and should</w:t>
      </w:r>
      <w:r w:rsidR="00DA5197" w:rsidRPr="008625DC">
        <w:t xml:space="preserve"> be retained. (</w:t>
      </w:r>
      <w:r w:rsidR="00136013" w:rsidRPr="008625DC">
        <w:t>BCA Main Report, page 63</w:t>
      </w:r>
      <w:r w:rsidR="00BD3315" w:rsidRPr="008625DC">
        <w:t>)</w:t>
      </w:r>
    </w:p>
    <w:p w14:paraId="1B0DF95A" w14:textId="2A83ED5C" w:rsidR="00B40FD7" w:rsidRPr="008625DC" w:rsidRDefault="00B40FD7" w:rsidP="00B40FD7">
      <w:r w:rsidRPr="008625DC">
        <w:t xml:space="preserve">Herbert Smith Freehills submits that the onus on merger parties to establish that the merger does not breach the CCA and the requirement for Tribunal review of merger clearance decisions to be </w:t>
      </w:r>
      <w:r w:rsidR="00C74E19" w:rsidRPr="008625DC">
        <w:t>‘</w:t>
      </w:r>
      <w:r w:rsidRPr="008625DC">
        <w:t>on the record</w:t>
      </w:r>
      <w:r w:rsidR="00C74E19" w:rsidRPr="008625DC">
        <w:t>’</w:t>
      </w:r>
      <w:r w:rsidRPr="008625DC">
        <w:t xml:space="preserve"> contributes to its lack of use (</w:t>
      </w:r>
      <w:r w:rsidR="00AA380B" w:rsidRPr="008625DC">
        <w:t xml:space="preserve">page </w:t>
      </w:r>
      <w:r w:rsidR="00EE71D8" w:rsidRPr="008625DC">
        <w:t>9</w:t>
      </w:r>
      <w:r w:rsidRPr="008625DC">
        <w:t xml:space="preserve">). The </w:t>
      </w:r>
      <w:r w:rsidR="005E6F45" w:rsidRPr="008625DC">
        <w:t>Business</w:t>
      </w:r>
      <w:r w:rsidRPr="008625DC">
        <w:t xml:space="preserve"> Law </w:t>
      </w:r>
      <w:r w:rsidR="005E6F45" w:rsidRPr="008625DC">
        <w:t xml:space="preserve">Section of the </w:t>
      </w:r>
      <w:r w:rsidRPr="008625DC">
        <w:t>Law Council and Herbert Smith Freehills both call for the formal process to be amended or repealed. The</w:t>
      </w:r>
      <w:r w:rsidR="005E6F45" w:rsidRPr="008625DC">
        <w:t xml:space="preserve"> Business Law Section of the</w:t>
      </w:r>
      <w:r w:rsidRPr="008625DC">
        <w:t xml:space="preserve"> Law Council advocates replacing it with a new formal process to be triggered at a point in the informal process (</w:t>
      </w:r>
      <w:r w:rsidR="00AA380B" w:rsidRPr="008625DC">
        <w:t>page</w:t>
      </w:r>
      <w:r w:rsidR="004F49B5" w:rsidRPr="008625DC">
        <w:t> </w:t>
      </w:r>
      <w:r w:rsidRPr="008625DC">
        <w:t>6</w:t>
      </w:r>
      <w:r w:rsidR="00EB1016" w:rsidRPr="008625DC">
        <w:t>9</w:t>
      </w:r>
      <w:r w:rsidRPr="008625DC">
        <w:t>), while Herbert Smith Freehills pr</w:t>
      </w:r>
      <w:r w:rsidR="00EE71D8" w:rsidRPr="008625DC">
        <w:t>efers</w:t>
      </w:r>
      <w:r w:rsidRPr="008625DC">
        <w:t xml:space="preserve"> a new system of notification. The BCA considers that the formal process should </w:t>
      </w:r>
      <w:r w:rsidR="00A811D1" w:rsidRPr="008625DC">
        <w:t xml:space="preserve">be </w:t>
      </w:r>
      <w:r w:rsidRPr="008625DC">
        <w:t xml:space="preserve">retained and improved via a review to be conducted by the Treasury, in consultation with business, competition law practitioners and the ACCC. (BCA </w:t>
      </w:r>
      <w:r w:rsidR="00985C8E" w:rsidRPr="008625DC">
        <w:t>Summary Report</w:t>
      </w:r>
      <w:r w:rsidR="00BD3315" w:rsidRPr="008625DC">
        <w:t>,</w:t>
      </w:r>
      <w:r w:rsidRPr="008625DC">
        <w:t xml:space="preserve"> </w:t>
      </w:r>
      <w:r w:rsidR="00AA380B" w:rsidRPr="008625DC">
        <w:t>page</w:t>
      </w:r>
      <w:r w:rsidR="004F49B5" w:rsidRPr="008625DC">
        <w:t> </w:t>
      </w:r>
      <w:r w:rsidR="005E6F45" w:rsidRPr="008625DC">
        <w:t>18</w:t>
      </w:r>
      <w:r w:rsidR="005538EA" w:rsidRPr="008625DC">
        <w:t>)</w:t>
      </w:r>
    </w:p>
    <w:p w14:paraId="0223B2F6" w14:textId="2DBB13A8" w:rsidR="00B40FD7" w:rsidRPr="008625DC" w:rsidRDefault="00B40FD7" w:rsidP="00B40FD7">
      <w:r w:rsidRPr="008625DC">
        <w:t xml:space="preserve">The Panel considers that the existence of a formal merger </w:t>
      </w:r>
      <w:r w:rsidR="00A811D1" w:rsidRPr="008625DC">
        <w:t>clearance</w:t>
      </w:r>
      <w:r w:rsidRPr="008625DC">
        <w:t xml:space="preserve"> option serves a useful purpose even if it is seldom used, since it provides a time</w:t>
      </w:r>
      <w:r w:rsidR="00C74E19" w:rsidRPr="008625DC">
        <w:noBreakHyphen/>
      </w:r>
      <w:r w:rsidRPr="008625DC">
        <w:t>limited, accessible alternative to the ACCC</w:t>
      </w:r>
      <w:r w:rsidR="00C74E19" w:rsidRPr="008625DC">
        <w:t>’</w:t>
      </w:r>
      <w:r w:rsidRPr="008625DC">
        <w:t xml:space="preserve">s informal </w:t>
      </w:r>
      <w:r w:rsidR="00A811D1" w:rsidRPr="008625DC">
        <w:t>clearance</w:t>
      </w:r>
      <w:r w:rsidRPr="008625DC">
        <w:t xml:space="preserve"> process. </w:t>
      </w:r>
      <w:r w:rsidR="001067FC" w:rsidRPr="008625DC">
        <w:t>F</w:t>
      </w:r>
      <w:r w:rsidRPr="008625DC">
        <w:t xml:space="preserve">eedback from stakeholders and the fact that the process has never been used supports the view that the process needs reform </w:t>
      </w:r>
      <w:r w:rsidRPr="008625DC" w:rsidDel="007C7012">
        <w:t xml:space="preserve">to </w:t>
      </w:r>
      <w:r w:rsidRPr="008625DC">
        <w:t xml:space="preserve">remove unnecessary restrictions and requirements that may have acted as a deterrent to its use. Reform should be considered in conjunction with the authorisation process, addressing the question </w:t>
      </w:r>
      <w:r w:rsidR="00A811D1" w:rsidRPr="008625DC">
        <w:t xml:space="preserve">of </w:t>
      </w:r>
      <w:r w:rsidRPr="008625DC">
        <w:t>whether there is a need for two separate merger approval processes</w:t>
      </w:r>
      <w:r w:rsidR="00F47248" w:rsidRPr="008625DC">
        <w:t xml:space="preserve"> in addition to the informal merger clearance process</w:t>
      </w:r>
      <w:r w:rsidRPr="008625DC">
        <w:t>.</w:t>
      </w:r>
    </w:p>
    <w:p w14:paraId="47E48C00" w14:textId="62AC6C54" w:rsidR="00B40FD7" w:rsidRPr="008625DC" w:rsidRDefault="00B40FD7" w:rsidP="00B40FD7">
      <w:r w:rsidRPr="008625DC">
        <w:t>The</w:t>
      </w:r>
      <w:r w:rsidRPr="008625DC">
        <w:rPr>
          <w:b/>
        </w:rPr>
        <w:t xml:space="preserve"> </w:t>
      </w:r>
      <w:r w:rsidRPr="008625DC">
        <w:t>merger authorisation process was not commonly used when it was administered by the ACCC (with appeal to the Tribunal), and it has been used even more rarely since 2007 when administration was transferred to the Tribunal. The process has now been used twice: by Murray Goulburn in 2013 (whose application was withdrawn for commercial reasons) and by AGL this year. In AGL</w:t>
      </w:r>
      <w:r w:rsidR="00C74E19" w:rsidRPr="008625DC">
        <w:t>’</w:t>
      </w:r>
      <w:r w:rsidRPr="008625DC">
        <w:t xml:space="preserve">s case the authorisation was obtained in three months from application. However, the application followed a period </w:t>
      </w:r>
      <w:r w:rsidR="000A2DBF" w:rsidRPr="008625DC">
        <w:t xml:space="preserve">of three months </w:t>
      </w:r>
      <w:r w:rsidRPr="008625DC">
        <w:t xml:space="preserve">in which AGL sought informal clearance from the ACCC. </w:t>
      </w:r>
    </w:p>
    <w:p w14:paraId="58507012" w14:textId="336825B1" w:rsidR="00B40FD7" w:rsidRPr="008625DC" w:rsidRDefault="00B40FD7" w:rsidP="00B40FD7">
      <w:r w:rsidRPr="008625DC">
        <w:t xml:space="preserve">The </w:t>
      </w:r>
      <w:r w:rsidR="00721EC9" w:rsidRPr="008625DC">
        <w:t xml:space="preserve">Business Law Section of the </w:t>
      </w:r>
      <w:r w:rsidRPr="008625DC">
        <w:t>Law Council note</w:t>
      </w:r>
      <w:r w:rsidR="001067FC" w:rsidRPr="008625DC">
        <w:t>s</w:t>
      </w:r>
      <w:r w:rsidRPr="008625DC">
        <w:t xml:space="preserve"> that its members have </w:t>
      </w:r>
      <w:r w:rsidR="00C74E19" w:rsidRPr="008625DC">
        <w:t>‘</w:t>
      </w:r>
      <w:r w:rsidRPr="008625DC">
        <w:t>mixed views as to the efficacy of the current authorisation process contained within the Act, and the extent to which improvements could or should be made …</w:t>
      </w:r>
      <w:r w:rsidR="00C74E19" w:rsidRPr="008625DC">
        <w:t>’</w:t>
      </w:r>
      <w:r w:rsidRPr="008625DC">
        <w:t xml:space="preserve"> (</w:t>
      </w:r>
      <w:r w:rsidR="00AA380B" w:rsidRPr="008625DC">
        <w:t>page</w:t>
      </w:r>
      <w:r w:rsidR="004F49B5" w:rsidRPr="008625DC">
        <w:t> </w:t>
      </w:r>
      <w:r w:rsidRPr="008625DC">
        <w:t>72). It suggest</w:t>
      </w:r>
      <w:r w:rsidR="001067FC" w:rsidRPr="008625DC">
        <w:t>s</w:t>
      </w:r>
      <w:r w:rsidRPr="008625DC">
        <w:t xml:space="preserve"> some immediate changes, including the appointment by the Tribunal of a Counsel Assisting to allow for smoother running of matters</w:t>
      </w:r>
      <w:r w:rsidR="005538EA" w:rsidRPr="008625DC">
        <w:t>.</w:t>
      </w:r>
      <w:r w:rsidRPr="008625DC">
        <w:t xml:space="preserve"> (</w:t>
      </w:r>
      <w:r w:rsidR="00BD3315" w:rsidRPr="008625DC">
        <w:t>page </w:t>
      </w:r>
      <w:r w:rsidRPr="008625DC">
        <w:t>72</w:t>
      </w:r>
      <w:r w:rsidR="005538EA" w:rsidRPr="008625DC">
        <w:t>)</w:t>
      </w:r>
    </w:p>
    <w:p w14:paraId="7D28F7AE" w14:textId="0E6EE1E1" w:rsidR="008115CA" w:rsidRPr="008625DC" w:rsidRDefault="008115CA" w:rsidP="008115CA">
      <w:r w:rsidRPr="008625DC">
        <w:t>The ACCC submit</w:t>
      </w:r>
      <w:r w:rsidR="001067FC" w:rsidRPr="008625DC">
        <w:t>s</w:t>
      </w:r>
      <w:r w:rsidRPr="008625DC">
        <w:t xml:space="preserve"> that</w:t>
      </w:r>
      <w:r w:rsidR="001067FC" w:rsidRPr="008625DC">
        <w:t>,</w:t>
      </w:r>
      <w:r w:rsidRPr="008625DC">
        <w:t xml:space="preserve"> while the Tribunal is a highly regarded and experienced merits review body, it is not well suited to the role of first</w:t>
      </w:r>
      <w:r w:rsidR="00C74E19" w:rsidRPr="008625DC">
        <w:noBreakHyphen/>
      </w:r>
      <w:r w:rsidRPr="008625DC">
        <w:t>instance decision</w:t>
      </w:r>
      <w:r w:rsidR="00C74E19" w:rsidRPr="008625DC">
        <w:noBreakHyphen/>
      </w:r>
      <w:r w:rsidRPr="008625DC">
        <w:t>maker, and nor is the ACCC</w:t>
      </w:r>
      <w:r w:rsidR="00C74E19" w:rsidRPr="008625DC">
        <w:t>’</w:t>
      </w:r>
      <w:r w:rsidRPr="008625DC">
        <w:t>s dual role under the current merger authorisation process satisfactory. In particular, it is required both to act as an investigative body and to assist the Tribunal. The former role involves conducting market inquiries and gathering information from market participants, while the latter involves preparing a report on matters specified by the President of the Tribunal and any matter the ACCC considers relevant, calling witnesses, reporting on statements of fact, examining and cross</w:t>
      </w:r>
      <w:r w:rsidR="00C74E19" w:rsidRPr="008625DC">
        <w:noBreakHyphen/>
      </w:r>
      <w:r w:rsidRPr="008625DC">
        <w:t>examining witnesses, and making submissions on issues relevant to the application. The ACCC also raise</w:t>
      </w:r>
      <w:r w:rsidR="001067FC" w:rsidRPr="008625DC">
        <w:t>s</w:t>
      </w:r>
      <w:r w:rsidRPr="008625DC">
        <w:t xml:space="preserve"> concerns about the lack of a merits review process under the present merger authorisation process, which is inconsistent with the process for all other (non</w:t>
      </w:r>
      <w:r w:rsidR="00C74E19" w:rsidRPr="008625DC">
        <w:noBreakHyphen/>
      </w:r>
      <w:r w:rsidRPr="008625DC">
        <w:t>merger) authorisations</w:t>
      </w:r>
      <w:r w:rsidR="005538EA" w:rsidRPr="008625DC">
        <w:t>.</w:t>
      </w:r>
      <w:r w:rsidR="00042FD2" w:rsidRPr="008625DC">
        <w:t xml:space="preserve"> (ACCC submission 1, pages 83</w:t>
      </w:r>
      <w:r w:rsidR="00C74E19" w:rsidRPr="008625DC">
        <w:noBreakHyphen/>
      </w:r>
      <w:r w:rsidR="00042FD2" w:rsidRPr="008625DC">
        <w:t>86)</w:t>
      </w:r>
    </w:p>
    <w:p w14:paraId="706BB331" w14:textId="3B567DD3" w:rsidR="001067FC" w:rsidRPr="008625DC" w:rsidRDefault="00B40FD7" w:rsidP="005538EA">
      <w:r w:rsidRPr="008625DC">
        <w:t xml:space="preserve">The Panel considers that an efficient and effective formal merger approval process is important for the economy. While the informal approval process has been shown to work effectively for the </w:t>
      </w:r>
      <w:r w:rsidRPr="008625DC">
        <w:lastRenderedPageBreak/>
        <w:t xml:space="preserve">majority of mergers, parties to complex and contested mergers should have </w:t>
      </w:r>
      <w:r w:rsidR="00510583" w:rsidRPr="008625DC">
        <w:t xml:space="preserve">an alternative merger review process </w:t>
      </w:r>
      <w:r w:rsidRPr="008625DC">
        <w:t>available to them that delivers transparent and timely decision</w:t>
      </w:r>
      <w:r w:rsidR="00C74E19" w:rsidRPr="008625DC">
        <w:noBreakHyphen/>
      </w:r>
      <w:r w:rsidRPr="008625DC">
        <w:t>making, consistent with international best practice</w:t>
      </w:r>
      <w:r w:rsidR="00380141" w:rsidRPr="008625DC">
        <w:t>.</w:t>
      </w:r>
    </w:p>
    <w:p w14:paraId="440EE169" w14:textId="476DFA46" w:rsidR="00510583" w:rsidRPr="008625DC" w:rsidRDefault="00B40FD7" w:rsidP="00510583">
      <w:pPr>
        <w:spacing w:after="120"/>
      </w:pPr>
      <w:r w:rsidRPr="008625DC">
        <w:t>The Panel considers that the current dual processes for formal merger clearance have features that are sub</w:t>
      </w:r>
      <w:r w:rsidR="00C74E19" w:rsidRPr="008625DC">
        <w:noBreakHyphen/>
      </w:r>
      <w:r w:rsidRPr="008625DC">
        <w:t>optimal. It agrees with the BCA that a formal approval process should be retained and improved with the specific features settled in consultation with business, competition law practitioners and the ACCC.</w:t>
      </w:r>
      <w:r w:rsidR="00510583" w:rsidRPr="008625DC">
        <w:t xml:space="preserve"> Notwithstanding, the Panel considers that the general framework should contain the following elements:</w:t>
      </w:r>
    </w:p>
    <w:p w14:paraId="3C61F274" w14:textId="3747520A" w:rsidR="00510583" w:rsidRPr="008625DC" w:rsidRDefault="00510583" w:rsidP="00510583">
      <w:pPr>
        <w:pStyle w:val="Bullet"/>
      </w:pPr>
      <w:r w:rsidRPr="008625DC">
        <w:t>It would be preferable for the ACCC to be the first instance decision</w:t>
      </w:r>
      <w:r w:rsidR="00C74E19" w:rsidRPr="008625DC">
        <w:noBreakHyphen/>
      </w:r>
      <w:r w:rsidRPr="008625DC">
        <w:t>maker, rather than the Tribunal. The ACCC, having regard to its composition and powers, is better suited to investigation and first instance decision making in the administration of the competition law, including mergers. In comparison, the Tribunal, having regard to its constitution and powers, is better suited to an appellate or review role.</w:t>
      </w:r>
    </w:p>
    <w:p w14:paraId="7CBAE802" w14:textId="2A9BBF6F" w:rsidR="00B40FD7" w:rsidRPr="008625DC" w:rsidRDefault="00B40FD7" w:rsidP="00B40FD7">
      <w:pPr>
        <w:pStyle w:val="Bullet"/>
      </w:pPr>
      <w:r w:rsidRPr="008625DC">
        <w:t>The ACCC should be empowered to approve a merger if it is satisfied that the merger does not substantially lessen competition or it is satisfied that the merger results in public benefits that outweigh the anti</w:t>
      </w:r>
      <w:r w:rsidR="00C74E19" w:rsidRPr="008625DC">
        <w:noBreakHyphen/>
      </w:r>
      <w:r w:rsidRPr="008625DC">
        <w:t xml:space="preserve">competitive detriments. Empowering the ACCC to apply both tests </w:t>
      </w:r>
      <w:r w:rsidR="00101DD2" w:rsidRPr="008625DC">
        <w:t xml:space="preserve">would </w:t>
      </w:r>
      <w:r w:rsidRPr="008625DC">
        <w:t>enable merger parties to make a single application for approval that addresses both the anti</w:t>
      </w:r>
      <w:r w:rsidR="00C74E19" w:rsidRPr="008625DC">
        <w:noBreakHyphen/>
      </w:r>
      <w:r w:rsidRPr="008625DC">
        <w:t>competitive effects of the merger and any public benefits that arise.</w:t>
      </w:r>
    </w:p>
    <w:p w14:paraId="2963A02B" w14:textId="325F8064" w:rsidR="00B40FD7" w:rsidRPr="008625DC" w:rsidRDefault="00B40FD7" w:rsidP="00B40FD7">
      <w:pPr>
        <w:pStyle w:val="Bullet"/>
      </w:pPr>
      <w:r w:rsidRPr="008625DC">
        <w:t xml:space="preserve">The formal process should not be subject to any prescriptive information requirements. As the merger parties will have the onus to satisfy the ACCC of the competitive consequences, or public benefits, of the merger, they will </w:t>
      </w:r>
      <w:r w:rsidR="00101DD2" w:rsidRPr="008625DC">
        <w:t xml:space="preserve">have </w:t>
      </w:r>
      <w:r w:rsidRPr="008625DC">
        <w:t>sufficient incentive to place relevant information before the ACCC (or face the risk that the ACCC will not be so satisfied)</w:t>
      </w:r>
      <w:r w:rsidR="00101DD2" w:rsidRPr="008625DC">
        <w:t>. However,</w:t>
      </w:r>
      <w:r w:rsidR="00CB4352" w:rsidRPr="008625DC">
        <w:t xml:space="preserve"> the ACCC should be empowered to require the production of business and market information</w:t>
      </w:r>
      <w:r w:rsidR="00101DD2" w:rsidRPr="008625DC">
        <w:t xml:space="preserve"> to test the arguments that are advanced by the merger parties</w:t>
      </w:r>
      <w:r w:rsidRPr="008625DC">
        <w:t>.</w:t>
      </w:r>
    </w:p>
    <w:p w14:paraId="6E046CCE" w14:textId="77777777" w:rsidR="00B40FD7" w:rsidRPr="008625DC" w:rsidRDefault="00B40FD7" w:rsidP="00B40FD7">
      <w:pPr>
        <w:pStyle w:val="Bullet"/>
      </w:pPr>
      <w:r w:rsidRPr="008625DC">
        <w:t>The formal process should be subject to strict timelines that cannot be extended except with the consent of the merger parties.</w:t>
      </w:r>
    </w:p>
    <w:p w14:paraId="3ACF1D36" w14:textId="2638BF49" w:rsidR="00B40FD7" w:rsidRPr="008625DC" w:rsidRDefault="00B40FD7" w:rsidP="00BD3315">
      <w:pPr>
        <w:pStyle w:val="Bullet"/>
        <w:spacing w:after="240"/>
      </w:pPr>
      <w:r w:rsidRPr="008625DC">
        <w:t>Decisions of the ACCC should be subject to merits review by the Tribunal.</w:t>
      </w:r>
    </w:p>
    <w:p w14:paraId="36A07C8E" w14:textId="6A1F6793" w:rsidR="00B40FD7" w:rsidRPr="008625DC" w:rsidRDefault="00B40FD7" w:rsidP="00B40FD7">
      <w:pPr>
        <w:rPr>
          <w:bCs/>
          <w:szCs w:val="22"/>
        </w:rPr>
      </w:pPr>
      <w:r w:rsidRPr="008625DC">
        <w:t xml:space="preserve">The Panel notes that </w:t>
      </w:r>
      <w:r w:rsidRPr="008625DC">
        <w:rPr>
          <w:bCs/>
          <w:szCs w:val="22"/>
        </w:rPr>
        <w:t xml:space="preserve">this change could be implemented without increasing the current maximum statutory time period of six months for the determination of a merger authorisation, by allowing the ACCC and the Tribunal each a maximum of three months to make their respective determinations.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5C5706" w:rsidRPr="008625DC" w14:paraId="68B41839" w14:textId="77777777" w:rsidTr="005C5706">
        <w:tc>
          <w:tcPr>
            <w:tcW w:w="5000" w:type="pct"/>
            <w:shd w:val="clear" w:color="auto" w:fill="FFFFFF" w:themeFill="background1"/>
          </w:tcPr>
          <w:p w14:paraId="6B8EE275" w14:textId="2FFCA00B" w:rsidR="005C5706" w:rsidRPr="008625DC" w:rsidRDefault="005C5706" w:rsidP="005C5706">
            <w:pPr>
              <w:pStyle w:val="Keyfindingheading"/>
            </w:pPr>
            <w:r w:rsidRPr="008625DC">
              <w:lastRenderedPageBreak/>
              <w:t>T</w:t>
            </w:r>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r w:rsidRPr="008625DC">
              <w:t>he Panel</w:t>
            </w:r>
            <w:r w:rsidR="00C74E19" w:rsidRPr="008625DC">
              <w:t>’</w:t>
            </w:r>
            <w:r w:rsidRPr="008625DC">
              <w:t>s view</w:t>
            </w:r>
          </w:p>
          <w:p w14:paraId="6263376C" w14:textId="2326E48D" w:rsidR="00B40FD7" w:rsidRPr="008625DC" w:rsidRDefault="00B40FD7" w:rsidP="00B40FD7">
            <w:pPr>
              <w:pStyle w:val="Keyfindingtext"/>
            </w:pPr>
            <w:bookmarkStart w:id="27339" w:name="_Toc394938401"/>
            <w:bookmarkStart w:id="27340" w:name="_Toc394937681"/>
            <w:bookmarkStart w:id="27341" w:name="_Toc394941312"/>
            <w:bookmarkStart w:id="27342" w:name="_Toc394941928"/>
            <w:bookmarkStart w:id="27343" w:name="_Toc394940150"/>
            <w:bookmarkStart w:id="27344" w:name="_Toc394938402"/>
            <w:bookmarkStart w:id="27345" w:name="_Toc394937682"/>
            <w:bookmarkStart w:id="27346" w:name="_Toc394941313"/>
            <w:bookmarkStart w:id="27347" w:name="_Toc394941929"/>
            <w:bookmarkStart w:id="27348" w:name="_Toc394940151"/>
            <w:bookmarkStart w:id="27349" w:name="_Toc394938403"/>
            <w:bookmarkStart w:id="27350" w:name="_Toc394937683"/>
            <w:bookmarkStart w:id="27351" w:name="_Toc394941314"/>
            <w:bookmarkStart w:id="27352" w:name="_Toc394941930"/>
            <w:bookmarkStart w:id="27353" w:name="_Toc394940152"/>
            <w:bookmarkStart w:id="27354" w:name="_Toc394938404"/>
            <w:bookmarkStart w:id="27355" w:name="_Toc394937684"/>
            <w:bookmarkStart w:id="27356" w:name="_Toc394941315"/>
            <w:bookmarkStart w:id="27357" w:name="_Toc394941931"/>
            <w:bookmarkStart w:id="27358" w:name="_Toc394940153"/>
            <w:bookmarkStart w:id="27359" w:name="_Toc394938405"/>
            <w:bookmarkStart w:id="27360" w:name="_Toc394937685"/>
            <w:bookmarkStart w:id="27361" w:name="_Toc394941316"/>
            <w:bookmarkStart w:id="27362" w:name="_Toc394941932"/>
            <w:bookmarkStart w:id="27363" w:name="_Toc394940154"/>
            <w:bookmarkStart w:id="27364" w:name="_Toc394938406"/>
            <w:bookmarkStart w:id="27365" w:name="_Toc394937686"/>
            <w:bookmarkStart w:id="27366" w:name="_Toc394941317"/>
            <w:bookmarkStart w:id="27367" w:name="_Toc394941933"/>
            <w:bookmarkStart w:id="27368" w:name="_Toc394940155"/>
            <w:bookmarkStart w:id="27369" w:name="_Toc394938407"/>
            <w:bookmarkStart w:id="27370" w:name="_Toc394937687"/>
            <w:bookmarkStart w:id="27371" w:name="_Toc394941318"/>
            <w:bookmarkStart w:id="27372" w:name="_Toc394941934"/>
            <w:bookmarkStart w:id="27373" w:name="_Toc394940156"/>
            <w:bookmarkStart w:id="27374" w:name="_Toc394938408"/>
            <w:bookmarkStart w:id="27375" w:name="_Toc394937688"/>
            <w:bookmarkStart w:id="27376" w:name="_Toc394941319"/>
            <w:bookmarkStart w:id="27377" w:name="_Toc394941935"/>
            <w:bookmarkStart w:id="27378" w:name="_Toc394940157"/>
            <w:bookmarkStart w:id="27379" w:name="_Toc394938409"/>
            <w:bookmarkStart w:id="27380" w:name="_Toc394937689"/>
            <w:bookmarkStart w:id="27381" w:name="_Toc394941320"/>
            <w:bookmarkStart w:id="27382" w:name="_Toc394941936"/>
            <w:bookmarkStart w:id="27383" w:name="_Toc394940158"/>
            <w:bookmarkStart w:id="27384" w:name="_Toc394938410"/>
            <w:bookmarkStart w:id="27385" w:name="_Toc394937690"/>
            <w:bookmarkStart w:id="27386" w:name="_Toc394941321"/>
            <w:bookmarkStart w:id="27387" w:name="_Toc394941937"/>
            <w:bookmarkStart w:id="27388" w:name="_Toc394940159"/>
            <w:bookmarkStart w:id="27389" w:name="_Toc394938411"/>
            <w:bookmarkStart w:id="27390" w:name="_Toc394937691"/>
            <w:bookmarkStart w:id="27391" w:name="_Toc394941322"/>
            <w:bookmarkStart w:id="27392" w:name="_Toc394941938"/>
            <w:bookmarkStart w:id="27393" w:name="_Toc394940160"/>
            <w:bookmarkStart w:id="27394" w:name="_Toc394938412"/>
            <w:bookmarkStart w:id="27395" w:name="_Toc394937692"/>
            <w:bookmarkStart w:id="27396" w:name="_Toc394941323"/>
            <w:bookmarkStart w:id="27397" w:name="_Toc394941939"/>
            <w:bookmarkStart w:id="27398" w:name="_Toc394940161"/>
            <w:bookmarkStart w:id="27399" w:name="_Toc394938413"/>
            <w:bookmarkStart w:id="27400" w:name="_Toc394937693"/>
            <w:bookmarkStart w:id="27401" w:name="_Toc394941324"/>
            <w:bookmarkStart w:id="27402" w:name="_Toc394941940"/>
            <w:bookmarkStart w:id="27403" w:name="_Toc394940162"/>
            <w:bookmarkStart w:id="27404" w:name="_Toc394938414"/>
            <w:bookmarkStart w:id="27405" w:name="_Toc394937694"/>
            <w:bookmarkStart w:id="27406" w:name="_Toc394941325"/>
            <w:bookmarkStart w:id="27407" w:name="_Toc394941941"/>
            <w:bookmarkStart w:id="27408" w:name="_Toc394940163"/>
            <w:bookmarkStart w:id="27409" w:name="_Toc394939759"/>
            <w:bookmarkStart w:id="27410" w:name="_Toc394993656"/>
            <w:bookmarkStart w:id="27411" w:name="_Toc394995538"/>
            <w:bookmarkStart w:id="27412" w:name="_Toc394995852"/>
            <w:bookmarkStart w:id="27413" w:name="_Toc394998095"/>
            <w:bookmarkStart w:id="27414" w:name="_Toc394998609"/>
            <w:bookmarkStart w:id="27415" w:name="_Toc395002108"/>
            <w:bookmarkStart w:id="27416" w:name="_Toc395001314"/>
            <w:bookmarkStart w:id="27417" w:name="_Toc395001588"/>
            <w:bookmarkStart w:id="27418" w:name="_Toc395002877"/>
            <w:bookmarkStart w:id="27419" w:name="_Toc395003462"/>
            <w:bookmarkStart w:id="27420" w:name="_Toc395005703"/>
            <w:bookmarkStart w:id="27421" w:name="_Toc395009697"/>
            <w:bookmarkStart w:id="27422" w:name="_Toc395010438"/>
            <w:bookmarkStart w:id="27423" w:name="_Toc395012621"/>
            <w:bookmarkStart w:id="27424" w:name="_Toc395013084"/>
            <w:bookmarkStart w:id="27425" w:name="_Toc395012086"/>
            <w:bookmarkStart w:id="27426" w:name="_Toc395014425"/>
            <w:bookmarkStart w:id="27427" w:name="_Toc395084779"/>
            <w:bookmarkStart w:id="27428" w:name="_Toc395085080"/>
            <w:bookmarkStart w:id="27429" w:name="_Toc395090546"/>
            <w:bookmarkStart w:id="27430" w:name="_Toc395093128"/>
            <w:bookmarkStart w:id="27431" w:name="_Toc395098040"/>
            <w:bookmarkStart w:id="27432" w:name="_Toc395106224"/>
            <w:bookmarkStart w:id="27433" w:name="_Toc395109486"/>
            <w:bookmarkStart w:id="27434" w:name="_Toc395109814"/>
            <w:bookmarkStart w:id="27435" w:name="_Toc395112191"/>
            <w:bookmarkStart w:id="27436" w:name="_Toc395107333"/>
            <w:bookmarkStart w:id="27437" w:name="_Toc395108894"/>
            <w:bookmarkStart w:id="27438" w:name="_Toc395114134"/>
            <w:bookmarkStart w:id="27439" w:name="_Toc395116871"/>
            <w:bookmarkStart w:id="27440" w:name="_Toc395112808"/>
            <w:bookmarkStart w:id="27441" w:name="_Toc395115348"/>
            <w:bookmarkStart w:id="27442" w:name="_Toc395118500"/>
            <w:bookmarkStart w:id="27443" w:name="_Toc395624690"/>
            <w:bookmarkStart w:id="27444" w:name="_Toc395790041"/>
            <w:bookmarkStart w:id="27445" w:name="_Toc395800799"/>
            <w:r w:rsidRPr="008625DC">
              <w:t>T</w:t>
            </w:r>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r w:rsidRPr="008625DC">
              <w:t>he Panel</w:t>
            </w:r>
            <w:r w:rsidR="00C74E19" w:rsidRPr="008625DC">
              <w:t>’</w:t>
            </w:r>
            <w:r w:rsidRPr="008625DC">
              <w:t>s assessment is that overall the merger provisions of the CCA are working effectively.</w:t>
            </w:r>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r w:rsidRPr="008625DC">
              <w:t xml:space="preserve"> </w:t>
            </w:r>
            <w:r w:rsidR="00F8262D" w:rsidRPr="008625DC">
              <w:t xml:space="preserve">The Panel </w:t>
            </w:r>
            <w:r w:rsidRPr="008625DC">
              <w:t>does not recommend any changes to the substantive law.</w:t>
            </w:r>
          </w:p>
          <w:p w14:paraId="13520739" w14:textId="21794E19" w:rsidR="00B40FD7" w:rsidRPr="008625DC" w:rsidRDefault="00B40FD7" w:rsidP="00B40FD7">
            <w:pPr>
              <w:pStyle w:val="Keyfindingtext"/>
            </w:pPr>
            <w:bookmarkStart w:id="27446" w:name="_Toc394939760"/>
            <w:bookmarkStart w:id="27447" w:name="_Toc394993657"/>
            <w:bookmarkStart w:id="27448" w:name="_Toc394995539"/>
            <w:bookmarkStart w:id="27449" w:name="_Toc394995853"/>
            <w:bookmarkStart w:id="27450" w:name="_Toc394998096"/>
            <w:bookmarkStart w:id="27451" w:name="_Toc394998610"/>
            <w:bookmarkStart w:id="27452" w:name="_Toc395002109"/>
            <w:bookmarkStart w:id="27453" w:name="_Toc395001315"/>
            <w:bookmarkStart w:id="27454" w:name="_Toc395001589"/>
            <w:bookmarkStart w:id="27455" w:name="_Toc395002878"/>
            <w:bookmarkStart w:id="27456" w:name="_Toc395003463"/>
            <w:bookmarkStart w:id="27457" w:name="_Toc395005704"/>
            <w:bookmarkStart w:id="27458" w:name="_Toc395009698"/>
            <w:bookmarkStart w:id="27459" w:name="_Toc395010439"/>
            <w:bookmarkStart w:id="27460" w:name="_Toc395012622"/>
            <w:bookmarkStart w:id="27461" w:name="_Toc395013085"/>
            <w:bookmarkStart w:id="27462" w:name="_Toc395012087"/>
            <w:bookmarkStart w:id="27463" w:name="_Toc395014426"/>
            <w:bookmarkStart w:id="27464" w:name="_Toc395084780"/>
            <w:bookmarkStart w:id="27465" w:name="_Toc395085081"/>
            <w:bookmarkStart w:id="27466" w:name="_Toc395090547"/>
            <w:bookmarkStart w:id="27467" w:name="_Toc395093129"/>
            <w:bookmarkStart w:id="27468" w:name="_Toc395098041"/>
            <w:bookmarkStart w:id="27469" w:name="_Toc395106225"/>
            <w:bookmarkStart w:id="27470" w:name="_Toc395109487"/>
            <w:bookmarkStart w:id="27471" w:name="_Toc395109815"/>
            <w:bookmarkStart w:id="27472" w:name="_Toc395112192"/>
            <w:bookmarkStart w:id="27473" w:name="_Toc395107334"/>
            <w:bookmarkStart w:id="27474" w:name="_Toc395108895"/>
            <w:bookmarkStart w:id="27475" w:name="_Toc395114135"/>
            <w:bookmarkStart w:id="27476" w:name="_Toc395116872"/>
            <w:bookmarkStart w:id="27477" w:name="_Toc395112809"/>
            <w:bookmarkStart w:id="27478" w:name="_Toc395115349"/>
            <w:bookmarkStart w:id="27479" w:name="_Toc395118501"/>
            <w:bookmarkStart w:id="27480" w:name="_Toc395624691"/>
            <w:bookmarkStart w:id="27481" w:name="_Toc395790042"/>
            <w:bookmarkStart w:id="27482" w:name="_Toc395800800"/>
            <w:r w:rsidRPr="008625DC">
              <w:t>In relation to merger approval processes, the informal process works quickly and efficiently for a majority of mergers</w:t>
            </w:r>
            <w:r w:rsidR="00380141" w:rsidRPr="008625DC">
              <w:t xml:space="preserve">. </w:t>
            </w:r>
            <w:r w:rsidRPr="008625DC">
              <w:t xml:space="preserve">Issues of transparency and timeliness arise with the informal process when dealing with more complex and contentious matters. </w:t>
            </w:r>
            <w:r w:rsidR="00CA1851" w:rsidRPr="008625DC">
              <w:t>A</w:t>
            </w:r>
            <w:r w:rsidRPr="008625DC">
              <w:t>ddress</w:t>
            </w:r>
            <w:r w:rsidR="00CA1851" w:rsidRPr="008625DC">
              <w:t>ing</w:t>
            </w:r>
            <w:r w:rsidRPr="008625DC">
              <w:t xml:space="preserve"> those issues by changing the informal process could weaken it. </w:t>
            </w:r>
            <w:r w:rsidR="00CA1851" w:rsidRPr="008625DC">
              <w:t>Nevertheless, t</w:t>
            </w:r>
            <w:r w:rsidR="00510583" w:rsidRPr="008625DC">
              <w:t xml:space="preserve">here </w:t>
            </w:r>
            <w:r w:rsidR="007125E5" w:rsidRPr="008625DC">
              <w:t>should be</w:t>
            </w:r>
            <w:r w:rsidR="00510583" w:rsidRPr="008625DC">
              <w:t xml:space="preserve"> further consultation between the ACCC and business representatives with the objective of </w:t>
            </w:r>
            <w:r w:rsidR="006B7C8F" w:rsidRPr="008625DC">
              <w:t>delivering more timely decisions in the</w:t>
            </w:r>
            <w:r w:rsidR="00510583" w:rsidRPr="008625DC">
              <w:t xml:space="preserve"> informal review process.</w:t>
            </w:r>
          </w:p>
          <w:p w14:paraId="4CEBD924" w14:textId="45B9A8B9" w:rsidR="00B40FD7" w:rsidRPr="008625DC" w:rsidRDefault="007125E5" w:rsidP="00B40FD7">
            <w:pPr>
              <w:pStyle w:val="Keyfindingtext"/>
            </w:pPr>
            <w:bookmarkStart w:id="27483" w:name="_Toc394939761"/>
            <w:bookmarkStart w:id="27484" w:name="_Toc394993658"/>
            <w:bookmarkStart w:id="27485" w:name="_Toc394995540"/>
            <w:bookmarkStart w:id="27486" w:name="_Toc394995854"/>
            <w:bookmarkStart w:id="27487" w:name="_Toc394998097"/>
            <w:bookmarkStart w:id="27488" w:name="_Toc394998611"/>
            <w:bookmarkStart w:id="27489" w:name="_Toc395002110"/>
            <w:bookmarkStart w:id="27490" w:name="_Toc395001316"/>
            <w:bookmarkStart w:id="27491" w:name="_Toc395001590"/>
            <w:bookmarkStart w:id="27492" w:name="_Toc395002879"/>
            <w:bookmarkStart w:id="27493" w:name="_Toc395003464"/>
            <w:bookmarkStart w:id="27494" w:name="_Toc395005705"/>
            <w:bookmarkStart w:id="27495" w:name="_Toc395009699"/>
            <w:bookmarkStart w:id="27496" w:name="_Toc395010440"/>
            <w:bookmarkStart w:id="27497" w:name="_Toc395012623"/>
            <w:bookmarkStart w:id="27498" w:name="_Toc395013086"/>
            <w:bookmarkStart w:id="27499" w:name="_Toc395012088"/>
            <w:bookmarkStart w:id="27500" w:name="_Toc395014427"/>
            <w:bookmarkStart w:id="27501" w:name="_Toc395084781"/>
            <w:bookmarkStart w:id="27502" w:name="_Toc395085082"/>
            <w:bookmarkStart w:id="27503" w:name="_Toc395090548"/>
            <w:bookmarkStart w:id="27504" w:name="_Toc395093130"/>
            <w:bookmarkStart w:id="27505" w:name="_Toc395098042"/>
            <w:bookmarkStart w:id="27506" w:name="_Toc395106226"/>
            <w:bookmarkStart w:id="27507" w:name="_Toc395109488"/>
            <w:bookmarkStart w:id="27508" w:name="_Toc395109816"/>
            <w:bookmarkStart w:id="27509" w:name="_Toc395112193"/>
            <w:bookmarkStart w:id="27510" w:name="_Toc395107335"/>
            <w:bookmarkStart w:id="27511" w:name="_Toc395108896"/>
            <w:bookmarkStart w:id="27512" w:name="_Toc395114136"/>
            <w:bookmarkStart w:id="27513" w:name="_Toc395116873"/>
            <w:bookmarkStart w:id="27514" w:name="_Toc395112810"/>
            <w:bookmarkStart w:id="27515" w:name="_Toc395115350"/>
            <w:bookmarkStart w:id="27516" w:name="_Toc395118502"/>
            <w:bookmarkStart w:id="27517" w:name="_Toc395624692"/>
            <w:bookmarkStart w:id="27518" w:name="_Toc395790043"/>
            <w:bookmarkStart w:id="27519" w:name="_Toc395800801"/>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r w:rsidRPr="008625DC">
              <w:t>I</w:t>
            </w:r>
            <w:r w:rsidR="00CA1851" w:rsidRPr="008625DC">
              <w:t>t is important</w:t>
            </w:r>
            <w:r w:rsidR="00CA1851" w:rsidRPr="008625DC" w:rsidDel="007C7012">
              <w:t xml:space="preserve"> to </w:t>
            </w:r>
            <w:r w:rsidR="00CA1851" w:rsidRPr="008625DC">
              <w:t xml:space="preserve">ensure that the formal merger approval mechanism, as an alternative to informal merger clearance, is accessible and effective. </w:t>
            </w:r>
            <w:r w:rsidR="00B40FD7" w:rsidRPr="008625DC">
              <w:t>Specifically, the Panel supports reforms</w:t>
            </w:r>
            <w:r w:rsidR="00B40FD7" w:rsidRPr="008625DC" w:rsidDel="007C7012">
              <w:t xml:space="preserve"> to </w:t>
            </w:r>
            <w:r w:rsidR="00A0665A" w:rsidRPr="008625DC">
              <w:t xml:space="preserve">combine the two current formal merger exemption processes (i.e. the formal merger clearance process and the merger authorisation process) and remove unnecessary restrictions and requirements that may have </w:t>
            </w:r>
            <w:r w:rsidRPr="008625DC">
              <w:t>deterred</w:t>
            </w:r>
            <w:r w:rsidR="00A0665A" w:rsidRPr="008625DC">
              <w:t xml:space="preserve"> their use. </w:t>
            </w:r>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r w:rsidR="00B40FD7" w:rsidRPr="008625DC">
              <w:t>The Panel also considers that it is undesirable that merger authorisation applications be taken directly to the Tribunal, by</w:t>
            </w:r>
            <w:r w:rsidR="00C74E19" w:rsidRPr="008625DC">
              <w:noBreakHyphen/>
            </w:r>
            <w:r w:rsidR="00B40FD7" w:rsidRPr="008625DC">
              <w:t xml:space="preserve">passing the ACCC. </w:t>
            </w:r>
          </w:p>
          <w:p w14:paraId="0EF62634" w14:textId="504F08A3" w:rsidR="00B40FD7" w:rsidRPr="008625DC" w:rsidRDefault="00B40FD7" w:rsidP="00BD3315">
            <w:pPr>
              <w:spacing w:after="120"/>
            </w:pPr>
            <w:r w:rsidRPr="008625DC">
              <w:t xml:space="preserve">The Panel considers that the specific features </w:t>
            </w:r>
            <w:r w:rsidR="006F4FC2" w:rsidRPr="008625DC">
              <w:t xml:space="preserve">of the improved formal approval process should be </w:t>
            </w:r>
            <w:r w:rsidRPr="008625DC">
              <w:t xml:space="preserve">settled in consultation with business, competition law practitioners and the ACCC. </w:t>
            </w:r>
            <w:r w:rsidR="007C7DA0" w:rsidRPr="008625DC">
              <w:t>Notwithstanding</w:t>
            </w:r>
            <w:r w:rsidRPr="008625DC">
              <w:t>, the Panel considers that the general framework should contain the following elements:</w:t>
            </w:r>
          </w:p>
          <w:p w14:paraId="1424507E" w14:textId="281A19A2" w:rsidR="00B40FD7" w:rsidRPr="008625DC" w:rsidRDefault="00FB084C" w:rsidP="005538EA">
            <w:pPr>
              <w:pStyle w:val="BoxBullet"/>
              <w:rPr>
                <w:lang w:val="en-AU"/>
              </w:rPr>
            </w:pPr>
            <w:r w:rsidRPr="008625DC">
              <w:rPr>
                <w:lang w:val="en-AU"/>
              </w:rPr>
              <w:t>t</w:t>
            </w:r>
            <w:r w:rsidR="00B40FD7" w:rsidRPr="008625DC">
              <w:rPr>
                <w:lang w:val="en-AU"/>
              </w:rPr>
              <w:t>he ACCC should be the decision</w:t>
            </w:r>
            <w:r w:rsidR="00C74E19" w:rsidRPr="008625DC">
              <w:rPr>
                <w:lang w:val="en-AU"/>
              </w:rPr>
              <w:noBreakHyphen/>
            </w:r>
            <w:r w:rsidR="00B40FD7" w:rsidRPr="008625DC">
              <w:rPr>
                <w:lang w:val="en-AU"/>
              </w:rPr>
              <w:t>maker at first instance</w:t>
            </w:r>
            <w:r w:rsidRPr="008625DC">
              <w:rPr>
                <w:lang w:val="en-AU"/>
              </w:rPr>
              <w:t>;</w:t>
            </w:r>
            <w:r w:rsidR="00B40FD7" w:rsidRPr="008625DC">
              <w:rPr>
                <w:lang w:val="en-AU"/>
              </w:rPr>
              <w:t xml:space="preserve"> </w:t>
            </w:r>
          </w:p>
          <w:p w14:paraId="50309CB5" w14:textId="619EA13F" w:rsidR="00B40FD7" w:rsidRPr="008625DC" w:rsidRDefault="00FB084C" w:rsidP="005538EA">
            <w:pPr>
              <w:pStyle w:val="BoxBullet"/>
              <w:rPr>
                <w:lang w:val="en-AU"/>
              </w:rPr>
            </w:pPr>
            <w:r w:rsidRPr="008625DC">
              <w:rPr>
                <w:lang w:val="en-AU"/>
              </w:rPr>
              <w:t>t</w:t>
            </w:r>
            <w:r w:rsidR="00B40FD7" w:rsidRPr="008625DC">
              <w:rPr>
                <w:lang w:val="en-AU"/>
              </w:rPr>
              <w:t xml:space="preserve">he ACCC should be empowered to approve a merger if it is satisfied that the merger does not substantially lessen competition or </w:t>
            </w:r>
            <w:r w:rsidR="00F8262D" w:rsidRPr="008625DC">
              <w:rPr>
                <w:lang w:val="en-AU"/>
              </w:rPr>
              <w:t xml:space="preserve">if </w:t>
            </w:r>
            <w:r w:rsidR="00B40FD7" w:rsidRPr="008625DC">
              <w:rPr>
                <w:lang w:val="en-AU"/>
              </w:rPr>
              <w:t>it is satisfied that the merger results in public benefits that outweigh the anti</w:t>
            </w:r>
            <w:r w:rsidR="00C74E19" w:rsidRPr="008625DC">
              <w:rPr>
                <w:lang w:val="en-AU"/>
              </w:rPr>
              <w:noBreakHyphen/>
            </w:r>
            <w:r w:rsidR="00B40FD7" w:rsidRPr="008625DC">
              <w:rPr>
                <w:lang w:val="en-AU"/>
              </w:rPr>
              <w:t>competitive detriments</w:t>
            </w:r>
            <w:r w:rsidRPr="008625DC">
              <w:rPr>
                <w:lang w:val="en-AU"/>
              </w:rPr>
              <w:t>;</w:t>
            </w:r>
          </w:p>
          <w:p w14:paraId="384DFBEA" w14:textId="0CB8EB93" w:rsidR="006F4FC2" w:rsidRPr="008625DC" w:rsidRDefault="00FB084C" w:rsidP="005538EA">
            <w:pPr>
              <w:pStyle w:val="BoxBullet"/>
              <w:rPr>
                <w:lang w:val="en-AU"/>
              </w:rPr>
            </w:pPr>
            <w:r w:rsidRPr="008625DC">
              <w:rPr>
                <w:lang w:val="en-AU"/>
              </w:rPr>
              <w:t>t</w:t>
            </w:r>
            <w:r w:rsidR="00B40FD7" w:rsidRPr="008625DC">
              <w:rPr>
                <w:lang w:val="en-AU"/>
              </w:rPr>
              <w:t>he formal process should not be subject to any prescriptive information requirements</w:t>
            </w:r>
            <w:r w:rsidR="006F4FC2" w:rsidRPr="008625DC">
              <w:rPr>
                <w:lang w:val="en-AU"/>
              </w:rPr>
              <w:t>, but the ACCC should be empowered to require the production of business and market information;</w:t>
            </w:r>
          </w:p>
          <w:p w14:paraId="256B6497" w14:textId="29A731FB" w:rsidR="00B40FD7" w:rsidRPr="008625DC" w:rsidRDefault="00FB084C" w:rsidP="005538EA">
            <w:pPr>
              <w:pStyle w:val="BoxBullet"/>
              <w:rPr>
                <w:lang w:val="en-AU"/>
              </w:rPr>
            </w:pPr>
            <w:r w:rsidRPr="008625DC">
              <w:rPr>
                <w:lang w:val="en-AU"/>
              </w:rPr>
              <w:t>t</w:t>
            </w:r>
            <w:r w:rsidR="00B40FD7" w:rsidRPr="008625DC">
              <w:rPr>
                <w:lang w:val="en-AU"/>
              </w:rPr>
              <w:t>he formal process should be subject to strict timelines that cannot be extended except with the consent of the merger parties</w:t>
            </w:r>
            <w:r w:rsidRPr="008625DC">
              <w:rPr>
                <w:lang w:val="en-AU"/>
              </w:rPr>
              <w:t>; and</w:t>
            </w:r>
          </w:p>
          <w:p w14:paraId="15FB673C" w14:textId="3F4771DB" w:rsidR="005C5706" w:rsidRPr="008625DC" w:rsidRDefault="00FB084C" w:rsidP="005538EA">
            <w:pPr>
              <w:pStyle w:val="BoxBullet"/>
              <w:rPr>
                <w:lang w:val="en-AU"/>
              </w:rPr>
            </w:pPr>
            <w:r w:rsidRPr="008625DC">
              <w:rPr>
                <w:lang w:val="en-AU"/>
              </w:rPr>
              <w:t>d</w:t>
            </w:r>
            <w:r w:rsidR="00B40FD7" w:rsidRPr="008625DC">
              <w:rPr>
                <w:lang w:val="en-AU"/>
              </w:rPr>
              <w:t>ecisions of the ACCC should be subject to review by the Tribunal.</w:t>
            </w:r>
          </w:p>
        </w:tc>
      </w:tr>
    </w:tbl>
    <w:p w14:paraId="377E17BD" w14:textId="77777777" w:rsidR="005C5706" w:rsidRPr="008625DC" w:rsidRDefault="005C5706" w:rsidP="005C5706">
      <w:pPr>
        <w:spacing w:before="0" w:after="0"/>
        <w:rPr>
          <w:rFonts w:ascii="Calibri" w:hAnsi="Calibri" w:cs="Arial"/>
          <w:bCs/>
          <w:smallCaps/>
          <w:color w:val="009976"/>
          <w:kern w:val="32"/>
          <w:sz w:val="40"/>
          <w:szCs w:val="36"/>
        </w:rPr>
      </w:pPr>
      <w:r w:rsidRPr="008625DC">
        <w:br w:type="page"/>
      </w:r>
    </w:p>
    <w:p w14:paraId="0A43C622" w14:textId="0D13CDF2" w:rsidR="001674C8" w:rsidRPr="008625DC" w:rsidRDefault="00FE060F" w:rsidP="00864E0A">
      <w:pPr>
        <w:pStyle w:val="Heading1"/>
        <w:ind w:left="851" w:hanging="851"/>
      </w:pPr>
      <w:bookmarkStart w:id="27520" w:name="_Toc394918291"/>
      <w:bookmarkStart w:id="27521" w:name="_Toc394918805"/>
      <w:bookmarkStart w:id="27522" w:name="_Toc394930777"/>
      <w:bookmarkStart w:id="27523" w:name="_Toc394933688"/>
      <w:bookmarkStart w:id="27524" w:name="_Toc394938135"/>
      <w:bookmarkStart w:id="27525" w:name="_Toc394938421"/>
      <w:bookmarkStart w:id="27526" w:name="_Toc394938637"/>
      <w:bookmarkStart w:id="27527" w:name="_Toc394937701"/>
      <w:bookmarkStart w:id="27528" w:name="_Toc394937919"/>
      <w:bookmarkStart w:id="27529" w:name="_Toc394941047"/>
      <w:bookmarkStart w:id="27530" w:name="_Toc394941332"/>
      <w:bookmarkStart w:id="27531" w:name="_Toc394941548"/>
      <w:bookmarkStart w:id="27532" w:name="_Toc394941663"/>
      <w:bookmarkStart w:id="27533" w:name="_Toc394941948"/>
      <w:bookmarkStart w:id="27534" w:name="_Toc394942164"/>
      <w:bookmarkStart w:id="27535" w:name="_Toc394939884"/>
      <w:bookmarkStart w:id="27536" w:name="_Toc394940170"/>
      <w:bookmarkStart w:id="27537" w:name="_Toc394940386"/>
      <w:bookmarkStart w:id="27538" w:name="_Toc394939495"/>
      <w:bookmarkStart w:id="27539" w:name="_Toc394939767"/>
      <w:bookmarkStart w:id="27540" w:name="_Toc394940599"/>
      <w:bookmarkStart w:id="27541" w:name="_Toc394993664"/>
      <w:bookmarkStart w:id="27542" w:name="_Toc394995546"/>
      <w:bookmarkStart w:id="27543" w:name="_Toc394995860"/>
      <w:bookmarkStart w:id="27544" w:name="_Toc394996079"/>
      <w:bookmarkStart w:id="27545" w:name="_Toc394997805"/>
      <w:bookmarkStart w:id="27546" w:name="_Toc394998103"/>
      <w:bookmarkStart w:id="27547" w:name="_Toc394998320"/>
      <w:bookmarkStart w:id="27548" w:name="_Toc394998617"/>
      <w:bookmarkStart w:id="27549" w:name="_Toc395001815"/>
      <w:bookmarkStart w:id="27550" w:name="_Toc395002116"/>
      <w:bookmarkStart w:id="27551" w:name="_Toc395001322"/>
      <w:bookmarkStart w:id="27552" w:name="_Toc393978887"/>
      <w:bookmarkStart w:id="27553" w:name="_Toc395002885"/>
      <w:bookmarkStart w:id="27554" w:name="_Toc395003470"/>
      <w:bookmarkStart w:id="27555" w:name="_Toc395005067"/>
      <w:bookmarkStart w:id="27556" w:name="_Toc395005193"/>
      <w:bookmarkStart w:id="27557" w:name="_Toc395005409"/>
      <w:bookmarkStart w:id="27558" w:name="_Toc395005711"/>
      <w:bookmarkStart w:id="27559" w:name="_Toc395008986"/>
      <w:bookmarkStart w:id="27560" w:name="_Toc395009705"/>
      <w:bookmarkStart w:id="27561" w:name="_Toc395011772"/>
      <w:bookmarkStart w:id="27562" w:name="_Toc395010172"/>
      <w:bookmarkStart w:id="27563" w:name="_Toc395010446"/>
      <w:bookmarkStart w:id="27564" w:name="_Toc395010014"/>
      <w:bookmarkStart w:id="27565" w:name="_Toc395011540"/>
      <w:bookmarkStart w:id="27566" w:name="_Toc395012358"/>
      <w:bookmarkStart w:id="27567" w:name="_Toc395012629"/>
      <w:bookmarkStart w:id="27568" w:name="_Toc395012948"/>
      <w:bookmarkStart w:id="27569" w:name="_Toc395010763"/>
      <w:bookmarkStart w:id="27570" w:name="_Toc395012236"/>
      <w:bookmarkStart w:id="27571" w:name="_Toc395013092"/>
      <w:bookmarkStart w:id="27572" w:name="_Toc395012094"/>
      <w:bookmarkStart w:id="27573" w:name="_Toc395014433"/>
      <w:bookmarkStart w:id="27574" w:name="_Toc395014637"/>
      <w:bookmarkStart w:id="27575" w:name="_Toc395013228"/>
      <w:bookmarkStart w:id="27576" w:name="_Toc395084787"/>
      <w:bookmarkStart w:id="27577" w:name="_Toc395085088"/>
      <w:bookmarkStart w:id="27578" w:name="_Toc395090554"/>
      <w:bookmarkStart w:id="27579" w:name="_Toc395090746"/>
      <w:bookmarkStart w:id="27580" w:name="_Toc395092634"/>
      <w:bookmarkStart w:id="27581" w:name="_Toc395092846"/>
      <w:bookmarkStart w:id="27582" w:name="_Toc395093136"/>
      <w:bookmarkStart w:id="27583" w:name="_Toc395093328"/>
      <w:bookmarkStart w:id="27584" w:name="_Toc395097757"/>
      <w:bookmarkStart w:id="27585" w:name="_Toc395098048"/>
      <w:bookmarkStart w:id="27586" w:name="_Toc395098238"/>
      <w:bookmarkStart w:id="27587" w:name="_Toc395105423"/>
      <w:bookmarkStart w:id="27588" w:name="_Toc395106232"/>
      <w:bookmarkStart w:id="27589" w:name="_Toc395107026"/>
      <w:bookmarkStart w:id="27590" w:name="_Toc395109898"/>
      <w:bookmarkStart w:id="27591" w:name="_Toc395109494"/>
      <w:bookmarkStart w:id="27592" w:name="_Toc395109684"/>
      <w:bookmarkStart w:id="27593" w:name="_Toc395109822"/>
      <w:bookmarkStart w:id="27594" w:name="_Toc395111901"/>
      <w:bookmarkStart w:id="27595" w:name="_Toc395112199"/>
      <w:bookmarkStart w:id="27596" w:name="_Toc395112389"/>
      <w:bookmarkStart w:id="27597" w:name="_Toc395106821"/>
      <w:bookmarkStart w:id="27598" w:name="_Toc395107341"/>
      <w:bookmarkStart w:id="27599" w:name="_Toc395107534"/>
      <w:bookmarkStart w:id="27600" w:name="_Toc395109848"/>
      <w:bookmarkStart w:id="27601" w:name="_Toc395108581"/>
      <w:bookmarkStart w:id="27602" w:name="_Toc395108902"/>
      <w:bookmarkStart w:id="27603" w:name="_Toc395113821"/>
      <w:bookmarkStart w:id="27604" w:name="_Toc395114142"/>
      <w:bookmarkStart w:id="27605" w:name="_Toc395114341"/>
      <w:bookmarkStart w:id="27606" w:name="_Toc395116557"/>
      <w:bookmarkStart w:id="27607" w:name="_Toc395116879"/>
      <w:bookmarkStart w:id="27608" w:name="_Toc395117079"/>
      <w:bookmarkStart w:id="27609" w:name="_Toc395112494"/>
      <w:bookmarkStart w:id="27610" w:name="_Toc395112816"/>
      <w:bookmarkStart w:id="27611" w:name="_Toc395113197"/>
      <w:bookmarkStart w:id="27612" w:name="_Toc395115033"/>
      <w:bookmarkStart w:id="27613" w:name="_Toc395115356"/>
      <w:bookmarkStart w:id="27614" w:name="_Toc395115556"/>
      <w:bookmarkStart w:id="27615" w:name="_Toc395118188"/>
      <w:bookmarkStart w:id="27616" w:name="_Toc395118508"/>
      <w:bookmarkStart w:id="27617" w:name="_Toc395118706"/>
      <w:bookmarkStart w:id="27618" w:name="_Toc395178398"/>
      <w:bookmarkStart w:id="27619" w:name="_Toc395178730"/>
      <w:bookmarkStart w:id="27620" w:name="_Toc395624698"/>
      <w:bookmarkStart w:id="27621" w:name="_Toc395624887"/>
      <w:bookmarkStart w:id="27622" w:name="_Toc395789741"/>
      <w:bookmarkStart w:id="27623" w:name="_Toc395790049"/>
      <w:bookmarkStart w:id="27624" w:name="_Toc395800807"/>
      <w:bookmarkStart w:id="27625" w:name="_Toc395802870"/>
      <w:bookmarkStart w:id="27626" w:name="_Toc395867637"/>
      <w:bookmarkStart w:id="27627" w:name="_Toc395868546"/>
      <w:bookmarkStart w:id="27628" w:name="_Toc395868769"/>
      <w:bookmarkStart w:id="27629" w:name="_Toc395879148"/>
      <w:bookmarkStart w:id="27630" w:name="_Toc395882051"/>
      <w:bookmarkStart w:id="27631" w:name="_Toc395882272"/>
      <w:bookmarkStart w:id="27632" w:name="_Toc395882382"/>
      <w:bookmarkStart w:id="27633" w:name="_Toc395882603"/>
      <w:bookmarkStart w:id="27634" w:name="_Toc395880546"/>
      <w:bookmarkStart w:id="27635" w:name="_Toc395880877"/>
      <w:bookmarkStart w:id="27636" w:name="_Toc395881435"/>
      <w:bookmarkStart w:id="27637" w:name="_Toc395881656"/>
      <w:bookmarkStart w:id="27638" w:name="_Toc395881368"/>
      <w:bookmarkStart w:id="27639" w:name="_Toc395883820"/>
      <w:bookmarkStart w:id="27640" w:name="_Toc395884041"/>
      <w:bookmarkStart w:id="27641" w:name="_Toc395880775"/>
      <w:bookmarkStart w:id="27642" w:name="_Toc395884482"/>
      <w:bookmarkStart w:id="27643" w:name="_Toc395884703"/>
      <w:bookmarkStart w:id="27644" w:name="_Toc395883191"/>
      <w:bookmarkStart w:id="27645" w:name="_Toc395883412"/>
      <w:bookmarkStart w:id="27646" w:name="_Toc395883521"/>
      <w:bookmarkStart w:id="27647" w:name="_Toc395883742"/>
      <w:bookmarkStart w:id="27648" w:name="_Toc395884823"/>
      <w:bookmarkStart w:id="27649" w:name="_Toc396123852"/>
      <w:bookmarkStart w:id="27650" w:name="_Toc396130755"/>
      <w:bookmarkStart w:id="27651" w:name="_Toc396136333"/>
      <w:bookmarkStart w:id="27652" w:name="_Toc396138787"/>
      <w:bookmarkStart w:id="27653" w:name="_Toc396144048"/>
      <w:bookmarkStart w:id="27654" w:name="_Toc396145557"/>
      <w:bookmarkStart w:id="27655" w:name="_Toc396145701"/>
      <w:bookmarkStart w:id="27656" w:name="_Toc396145983"/>
      <w:bookmarkStart w:id="27657" w:name="_Toc396147523"/>
      <w:bookmarkStart w:id="27658" w:name="_Toc396147809"/>
      <w:bookmarkStart w:id="27659" w:name="_Toc396149065"/>
      <w:bookmarkStart w:id="27660" w:name="_Toc396148779"/>
      <w:bookmarkStart w:id="27661" w:name="_Toc396149560"/>
      <w:bookmarkStart w:id="27662" w:name="_Toc396149205"/>
      <w:bookmarkStart w:id="27663" w:name="_Toc396149491"/>
      <w:bookmarkStart w:id="27664" w:name="_Toc396149168"/>
      <w:bookmarkStart w:id="27665" w:name="_Toc396149913"/>
      <w:bookmarkStart w:id="27666" w:name="_Toc396149663"/>
      <w:bookmarkStart w:id="27667" w:name="_Toc396150504"/>
      <w:bookmarkStart w:id="27668" w:name="_Toc396151393"/>
      <w:bookmarkStart w:id="27669" w:name="_Toc396151687"/>
      <w:bookmarkStart w:id="27670" w:name="_Toc396201614"/>
      <w:bookmarkStart w:id="27671" w:name="_Toc396202404"/>
      <w:bookmarkStart w:id="27672" w:name="_Toc396202699"/>
      <w:bookmarkStart w:id="27673" w:name="_Toc396203316"/>
      <w:bookmarkStart w:id="27674" w:name="_Toc396206612"/>
      <w:bookmarkStart w:id="27675" w:name="_Toc396206906"/>
      <w:bookmarkStart w:id="27676" w:name="_Toc396209440"/>
      <w:bookmarkStart w:id="27677" w:name="_Toc396209734"/>
      <w:bookmarkStart w:id="27678" w:name="_Toc396211864"/>
      <w:bookmarkStart w:id="27679" w:name="_Toc396212158"/>
      <w:bookmarkStart w:id="27680" w:name="_Toc396213208"/>
      <w:bookmarkStart w:id="27681" w:name="_Toc396213500"/>
      <w:bookmarkStart w:id="27682" w:name="_Toc396214486"/>
      <w:bookmarkStart w:id="27683" w:name="_Toc396214776"/>
      <w:bookmarkStart w:id="27684" w:name="_Toc396220336"/>
      <w:bookmarkStart w:id="27685" w:name="_Toc396226598"/>
      <w:bookmarkStart w:id="27686" w:name="_Toc396226887"/>
      <w:bookmarkStart w:id="27687" w:name="_Toc396228798"/>
      <w:bookmarkStart w:id="27688" w:name="_Toc396229093"/>
      <w:bookmarkStart w:id="27689" w:name="_Toc396230440"/>
      <w:bookmarkStart w:id="27690" w:name="_Toc396230735"/>
      <w:bookmarkStart w:id="27691" w:name="_Toc396231877"/>
      <w:bookmarkStart w:id="27692" w:name="_Toc396233220"/>
      <w:bookmarkStart w:id="27693" w:name="_Toc396233517"/>
      <w:bookmarkStart w:id="27694" w:name="_Toc396234040"/>
      <w:bookmarkStart w:id="27695" w:name="_Toc396234337"/>
      <w:bookmarkStart w:id="27696" w:name="_Toc396234450"/>
      <w:bookmarkStart w:id="27697" w:name="_Toc396236184"/>
      <w:bookmarkStart w:id="27698" w:name="_Toc396235962"/>
      <w:bookmarkStart w:id="27699" w:name="_Toc396236572"/>
      <w:bookmarkStart w:id="27700" w:name="_Toc396237091"/>
      <w:bookmarkStart w:id="27701" w:name="_Toc396397434"/>
      <w:bookmarkStart w:id="27702" w:name="_Toc396304615"/>
      <w:bookmarkStart w:id="27703" w:name="_Toc396586150"/>
      <w:bookmarkStart w:id="27704" w:name="_Toc396815171"/>
      <w:bookmarkStart w:id="27705" w:name="_Toc396821120"/>
      <w:bookmarkStart w:id="27706" w:name="_Toc396821728"/>
      <w:bookmarkStart w:id="27707" w:name="_Toc396827578"/>
      <w:bookmarkStart w:id="27708" w:name="_Toc396828549"/>
      <w:bookmarkStart w:id="27709" w:name="_Toc396828659"/>
      <w:bookmarkStart w:id="27710" w:name="_Toc396838048"/>
      <w:bookmarkStart w:id="27711" w:name="_Toc396838446"/>
      <w:bookmarkStart w:id="27712" w:name="_Toc396904769"/>
      <w:bookmarkStart w:id="27713" w:name="_Toc396907603"/>
      <w:bookmarkStart w:id="27714" w:name="_Toc396912522"/>
      <w:bookmarkStart w:id="27715" w:name="_Toc396914502"/>
      <w:bookmarkStart w:id="27716" w:name="_Toc396915386"/>
      <w:bookmarkStart w:id="27717" w:name="_Toc396915780"/>
      <w:bookmarkStart w:id="27718" w:name="_Toc396921091"/>
      <w:bookmarkStart w:id="27719" w:name="_Toc396924431"/>
      <w:bookmarkStart w:id="27720" w:name="_Toc396925125"/>
      <w:bookmarkStart w:id="27721" w:name="_Toc396992245"/>
      <w:bookmarkStart w:id="27722" w:name="_Toc396992824"/>
      <w:bookmarkStart w:id="27723" w:name="_Toc396994488"/>
      <w:bookmarkStart w:id="27724" w:name="_Toc397002258"/>
      <w:bookmarkStart w:id="27725" w:name="_Toc397003177"/>
      <w:bookmarkStart w:id="27726" w:name="_Toc397008735"/>
      <w:bookmarkStart w:id="27727" w:name="_Toc397008953"/>
      <w:bookmarkStart w:id="27728" w:name="_Toc397011625"/>
      <w:bookmarkStart w:id="27729" w:name="_Toc397012687"/>
      <w:bookmarkStart w:id="27730" w:name="_Toc397015029"/>
      <w:bookmarkStart w:id="27731" w:name="_Toc397015516"/>
      <w:bookmarkStart w:id="27732" w:name="_Toc397070587"/>
      <w:bookmarkStart w:id="27733" w:name="_Toc397413337"/>
      <w:bookmarkStart w:id="27734" w:name="_Toc397413484"/>
      <w:bookmarkStart w:id="27735" w:name="_Toc397428057"/>
      <w:bookmarkStart w:id="27736" w:name="_Toc397439447"/>
      <w:bookmarkStart w:id="27737" w:name="_Toc397439617"/>
      <w:bookmarkStart w:id="27738" w:name="_Toc397439873"/>
      <w:bookmarkStart w:id="27739" w:name="_Toc397440175"/>
      <w:bookmarkStart w:id="27740" w:name="_Toc397441804"/>
      <w:bookmarkStart w:id="27741" w:name="_Toc397517506"/>
      <w:bookmarkStart w:id="27742" w:name="_Toc397522771"/>
      <w:bookmarkStart w:id="27743" w:name="_Toc397526189"/>
      <w:bookmarkStart w:id="27744" w:name="_Toc397528504"/>
      <w:bookmarkStart w:id="27745" w:name="_Toc397528979"/>
      <w:bookmarkStart w:id="27746" w:name="_Toc397601979"/>
      <w:bookmarkStart w:id="27747" w:name="_Toc397602714"/>
      <w:bookmarkStart w:id="27748" w:name="_Toc397605847"/>
      <w:bookmarkStart w:id="27749" w:name="_Toc397614544"/>
      <w:bookmarkStart w:id="27750" w:name="_Toc397614987"/>
      <w:bookmarkStart w:id="27751" w:name="_Toc397616430"/>
      <w:bookmarkStart w:id="27752" w:name="_Toc397616824"/>
      <w:bookmarkStart w:id="27753" w:name="_Toc397688122"/>
      <w:bookmarkStart w:id="27754" w:name="_Toc397689338"/>
      <w:bookmarkStart w:id="27755" w:name="_Toc397694618"/>
      <w:bookmarkStart w:id="27756" w:name="_Toc397696459"/>
      <w:bookmarkStart w:id="27757" w:name="_Toc397697193"/>
      <w:bookmarkStart w:id="27758" w:name="_Toc397698480"/>
      <w:bookmarkStart w:id="27759" w:name="_Toc397699846"/>
      <w:bookmarkStart w:id="27760" w:name="_Toc397700300"/>
      <w:bookmarkStart w:id="27761" w:name="_Toc397936692"/>
      <w:bookmarkStart w:id="27762" w:name="_Toc397936812"/>
      <w:bookmarkStart w:id="27763" w:name="_Toc397945968"/>
      <w:bookmarkStart w:id="27764" w:name="_Toc397946994"/>
      <w:bookmarkStart w:id="27765" w:name="_Toc397948113"/>
      <w:bookmarkStart w:id="27766" w:name="_Toc397958519"/>
      <w:bookmarkStart w:id="27767" w:name="_Toc397958761"/>
      <w:bookmarkStart w:id="27768" w:name="_Toc397959176"/>
      <w:bookmarkStart w:id="27769" w:name="_Toc397962243"/>
      <w:bookmarkStart w:id="27770" w:name="_Toc397963029"/>
      <w:bookmarkStart w:id="27771" w:name="_Toc397963395"/>
      <w:bookmarkStart w:id="27772" w:name="_Toc397965472"/>
      <w:bookmarkStart w:id="27773" w:name="_Toc398197410"/>
      <w:bookmarkStart w:id="27774" w:name="_Toc398199913"/>
      <w:bookmarkStart w:id="27775" w:name="_Toc398201627"/>
      <w:bookmarkStart w:id="27776" w:name="_Toc398207232"/>
      <w:bookmarkStart w:id="27777" w:name="_Toc398209936"/>
      <w:bookmarkStart w:id="27778" w:name="_Toc398210505"/>
      <w:bookmarkStart w:id="27779" w:name="_Toc398211019"/>
      <w:bookmarkStart w:id="27780" w:name="_Toc398219830"/>
      <w:bookmarkStart w:id="27781" w:name="_Toc398220205"/>
      <w:bookmarkStart w:id="27782" w:name="_Toc398220592"/>
      <w:bookmarkStart w:id="27783" w:name="_Toc398221670"/>
      <w:bookmarkStart w:id="27784" w:name="_Toc398222356"/>
      <w:bookmarkStart w:id="27785" w:name="_Toc398222668"/>
      <w:bookmarkStart w:id="27786" w:name="_Toc398223085"/>
      <w:bookmarkStart w:id="27787" w:name="_Toc398223464"/>
      <w:bookmarkStart w:id="27788" w:name="_Toc398223591"/>
      <w:bookmarkStart w:id="27789" w:name="_Toc398224399"/>
      <w:bookmarkStart w:id="27790" w:name="_Toc398225736"/>
      <w:bookmarkStart w:id="27791" w:name="_Toc398225861"/>
      <w:bookmarkStart w:id="27792" w:name="_Toc398281348"/>
      <w:bookmarkStart w:id="27793" w:name="_Toc398282207"/>
      <w:bookmarkStart w:id="27794" w:name="_Toc398284877"/>
      <w:bookmarkStart w:id="27795" w:name="_Toc398287346"/>
      <w:bookmarkStart w:id="27796" w:name="_Toc398289229"/>
      <w:bookmarkStart w:id="27797" w:name="_Toc398297226"/>
      <w:bookmarkStart w:id="27798" w:name="_Toc398298700"/>
      <w:bookmarkStart w:id="27799" w:name="_Toc398300401"/>
      <w:bookmarkStart w:id="27800" w:name="_Toc398301298"/>
      <w:bookmarkStart w:id="27801" w:name="_Toc398302483"/>
      <w:bookmarkStart w:id="27802" w:name="_Toc398302646"/>
      <w:bookmarkStart w:id="27803" w:name="_Toc398549160"/>
      <w:bookmarkStart w:id="27804" w:name="_Toc398549410"/>
      <w:bookmarkStart w:id="27805" w:name="_Toc398555829"/>
      <w:bookmarkStart w:id="27806" w:name="_Toc398559033"/>
      <w:bookmarkStart w:id="27807" w:name="_Toc398563519"/>
      <w:bookmarkStart w:id="27808" w:name="_Toc398563652"/>
      <w:bookmarkStart w:id="27809" w:name="_Toc398564051"/>
      <w:bookmarkStart w:id="27810" w:name="_Toc398827389"/>
      <w:bookmarkStart w:id="27811" w:name="_Toc398827583"/>
      <w:bookmarkStart w:id="27812" w:name="Ch16"/>
      <w:r w:rsidRPr="008625DC">
        <w:lastRenderedPageBreak/>
        <w:t>U</w:t>
      </w:r>
      <w:r w:rsidR="001674C8" w:rsidRPr="008625DC">
        <w:t>nilateral conduct</w:t>
      </w:r>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p>
    <w:bookmarkEnd w:id="27812"/>
    <w:p w14:paraId="574F3C6F" w14:textId="77777777" w:rsidR="007C7DA0" w:rsidRPr="008625DC" w:rsidRDefault="00D96804" w:rsidP="00D96804">
      <w:r w:rsidRPr="008625DC">
        <w:t>Firms that have a substantial degree of power in a market have the ability to engage in behaviours that damage the competitive process and thereby restrict the ability of other firms to compete effectively. Most industrialised countries have enacted competition laws with prohibitions against monopolisation or abuse of a dominant market position.</w:t>
      </w:r>
      <w:r w:rsidRPr="008625DC">
        <w:rPr>
          <w:rStyle w:val="FootnoteReference"/>
        </w:rPr>
        <w:footnoteReference w:id="269"/>
      </w:r>
    </w:p>
    <w:p w14:paraId="1B5A2FBD" w14:textId="749F90AA" w:rsidR="00D96804" w:rsidRPr="008625DC" w:rsidRDefault="00D96804" w:rsidP="00D96804">
      <w:r w:rsidRPr="008625DC">
        <w:t>Common to those laws is the principle that firms are entitled, and indeed are encouraged, to succeed through competition</w:t>
      </w:r>
      <w:r w:rsidR="00C74E19" w:rsidRPr="008625DC">
        <w:t xml:space="preserve"> — </w:t>
      </w:r>
      <w:r w:rsidRPr="008625DC">
        <w:t>by developing better products and becoming more efficient</w:t>
      </w:r>
      <w:r w:rsidR="00C74E19" w:rsidRPr="008625DC">
        <w:t xml:space="preserve"> — </w:t>
      </w:r>
      <w:r w:rsidRPr="008625DC">
        <w:t>even if they achieve a position of market dominance through their success. Th</w:t>
      </w:r>
      <w:r w:rsidR="00232C11" w:rsidRPr="008625DC">
        <w:t>ose</w:t>
      </w:r>
      <w:r w:rsidRPr="008625DC">
        <w:t xml:space="preserve"> law</w:t>
      </w:r>
      <w:r w:rsidR="00232C11" w:rsidRPr="008625DC">
        <w:t>s</w:t>
      </w:r>
      <w:r w:rsidRPr="008625DC">
        <w:t xml:space="preserve"> only prevent firms with substantial market power from engaging in conduct that damages competition</w:t>
      </w:r>
      <w:r w:rsidR="006A37C9" w:rsidRPr="008625DC">
        <w:t>.</w:t>
      </w:r>
      <w:r w:rsidR="006A37C9" w:rsidRPr="008625DC">
        <w:rPr>
          <w:rStyle w:val="FootnoteReference"/>
        </w:rPr>
        <w:footnoteReference w:id="270"/>
      </w:r>
    </w:p>
    <w:p w14:paraId="6DE61E74" w14:textId="379D72D5" w:rsidR="00D96804" w:rsidRPr="008625DC" w:rsidRDefault="00D96804" w:rsidP="00D96804">
      <w:r w:rsidRPr="008625DC">
        <w:t>Large firms may also enjoy strong bargaining power that can be abused in dealings with their suppliers and their business customers. While imbalance in bargaining power is a normal feature of commercial transactions, policy concerns are raised when strong bargaining power is exploited through imposing unreasonable obligations on suppliers and business customers. Such exploitation can traverse beyond accepted norms of commercial behaviour and can be damaging to efficiency and investment in the affected market sectors, requiring the law to respond both as a matter of commercial morality and to protect efficient market outcomes.</w:t>
      </w:r>
    </w:p>
    <w:p w14:paraId="302B3C35" w14:textId="6DBFADA5" w:rsidR="00D96804" w:rsidRPr="008625DC" w:rsidRDefault="00D96804" w:rsidP="00D96804">
      <w:r w:rsidRPr="008625DC">
        <w:t>Many countries have enacted prohibitions against unconscionable or unfair trading conduct between businesses</w:t>
      </w:r>
      <w:r w:rsidR="000F7623" w:rsidRPr="008625DC">
        <w:t xml:space="preserve"> (see </w:t>
      </w:r>
      <w:r w:rsidR="00515618" w:rsidRPr="008625DC">
        <w:t>B</w:t>
      </w:r>
      <w:r w:rsidR="000F7623" w:rsidRPr="008625DC">
        <w:t>ox 16.1)</w:t>
      </w:r>
      <w:r w:rsidRPr="008625DC">
        <w:t>. Those laws must strike a balance. On the one hand, it is important that the law not intrude excessively into the bargaining process between businesses, as the bargaining process underpins the competitive market process that serves consumers and the welfare of Australians. On the other hand, there are occasions when the bargaining process is exploited by large or powerful firms in a manner that is inconsistent with commercial morality, requiring a response.</w:t>
      </w:r>
    </w:p>
    <w:tbl>
      <w:tblPr>
        <w:tblW w:w="9072" w:type="dxa"/>
        <w:tblInd w:w="108" w:type="dxa"/>
        <w:shd w:val="clear" w:color="auto" w:fill="E6E6E6"/>
        <w:tblLook w:val="01E0" w:firstRow="1" w:lastRow="1" w:firstColumn="1" w:lastColumn="1" w:noHBand="0" w:noVBand="0"/>
      </w:tblPr>
      <w:tblGrid>
        <w:gridCol w:w="9072"/>
      </w:tblGrid>
      <w:tr w:rsidR="009F7016" w:rsidRPr="008625DC" w14:paraId="6C5B52B6" w14:textId="77777777">
        <w:tc>
          <w:tcPr>
            <w:tcW w:w="5000" w:type="pct"/>
            <w:shd w:val="clear" w:color="auto" w:fill="E6E6E6"/>
          </w:tcPr>
          <w:p w14:paraId="4E87D70A" w14:textId="279D8315" w:rsidR="009F7016" w:rsidRPr="008625DC" w:rsidRDefault="009F7016">
            <w:pPr>
              <w:pStyle w:val="BoxHeading"/>
            </w:pPr>
            <w:r w:rsidRPr="008625DC">
              <w:lastRenderedPageBreak/>
              <w:t xml:space="preserve">Box </w:t>
            </w:r>
            <w:r w:rsidR="004B694F" w:rsidRPr="008625DC">
              <w:t>16</w:t>
            </w:r>
            <w:r w:rsidRPr="008625DC">
              <w:t>.</w:t>
            </w:r>
            <w:r w:rsidR="004B694F" w:rsidRPr="008625DC">
              <w:t>1</w:t>
            </w:r>
            <w:r w:rsidRPr="008625DC">
              <w:t xml:space="preserve">: </w:t>
            </w:r>
            <w:r w:rsidR="00A530F3" w:rsidRPr="008625DC">
              <w:t>Examples of o</w:t>
            </w:r>
            <w:r w:rsidRPr="008625DC">
              <w:t xml:space="preserve">verseas approaches to </w:t>
            </w:r>
            <w:r w:rsidR="006A37C9" w:rsidRPr="008625DC">
              <w:t>anti</w:t>
            </w:r>
            <w:r w:rsidR="00C74E19" w:rsidRPr="008625DC">
              <w:noBreakHyphen/>
            </w:r>
            <w:r w:rsidR="006A37C9" w:rsidRPr="008625DC">
              <w:t>competitive unilateral conduct</w:t>
            </w:r>
          </w:p>
          <w:p w14:paraId="59BB1554" w14:textId="2AC9BB5F" w:rsidR="009F7016" w:rsidRPr="008625DC" w:rsidRDefault="00776258">
            <w:pPr>
              <w:pStyle w:val="BoxText"/>
            </w:pPr>
            <w:r w:rsidRPr="008625DC">
              <w:rPr>
                <w:b/>
              </w:rPr>
              <w:t>United States</w:t>
            </w:r>
            <w:r w:rsidRPr="008625DC">
              <w:t xml:space="preserve">: </w:t>
            </w:r>
            <w:r w:rsidR="008207BC" w:rsidRPr="008625DC">
              <w:t>P</w:t>
            </w:r>
            <w:r w:rsidRPr="008625DC">
              <w:t xml:space="preserve">rohibits monopolisation and attempted monopolisation by any firm (dominant or not) and requires </w:t>
            </w:r>
            <w:r w:rsidR="008207BC" w:rsidRPr="008625DC">
              <w:t xml:space="preserve">an </w:t>
            </w:r>
            <w:r w:rsidRPr="008625DC">
              <w:t>intent to monopolise and engag</w:t>
            </w:r>
            <w:r w:rsidR="004E5E01" w:rsidRPr="008625DC">
              <w:t>e</w:t>
            </w:r>
            <w:r w:rsidRPr="008625DC">
              <w:t xml:space="preserve"> in predatory or anticompetitive conduct</w:t>
            </w:r>
            <w:r w:rsidR="008207BC" w:rsidRPr="008625DC">
              <w:t xml:space="preserve"> </w:t>
            </w:r>
            <w:r w:rsidR="006A37C9" w:rsidRPr="008625DC">
              <w:t>to prove a contravention</w:t>
            </w:r>
            <w:r w:rsidR="005538EA" w:rsidRPr="008625DC">
              <w:t>.</w:t>
            </w:r>
            <w:r w:rsidR="006A37C9" w:rsidRPr="008625DC">
              <w:t xml:space="preserve"> </w:t>
            </w:r>
            <w:r w:rsidR="008207BC" w:rsidRPr="008625DC">
              <w:t>(Sherman Act, section 2)</w:t>
            </w:r>
          </w:p>
          <w:p w14:paraId="13158239" w14:textId="43DE2109" w:rsidR="00776258" w:rsidRPr="008625DC" w:rsidRDefault="00776258">
            <w:pPr>
              <w:pStyle w:val="BoxText"/>
            </w:pPr>
            <w:r w:rsidRPr="008625DC">
              <w:rPr>
                <w:b/>
              </w:rPr>
              <w:t>European Union</w:t>
            </w:r>
            <w:r w:rsidRPr="008625DC">
              <w:t xml:space="preserve">: </w:t>
            </w:r>
            <w:r w:rsidR="008207BC" w:rsidRPr="008625DC">
              <w:t>Prohibits any abuse by an undertaking of a dominant position</w:t>
            </w:r>
            <w:r w:rsidR="00F31EAE" w:rsidRPr="008625DC">
              <w:t xml:space="preserve"> in a market</w:t>
            </w:r>
            <w:r w:rsidR="008207BC" w:rsidRPr="008625DC">
              <w:t xml:space="preserve">. Abuse can include </w:t>
            </w:r>
            <w:r w:rsidR="00F31EAE" w:rsidRPr="008625DC">
              <w:t xml:space="preserve">imposing </w:t>
            </w:r>
            <w:r w:rsidR="008207BC" w:rsidRPr="008625DC">
              <w:t>unfair trading conditions, limiting</w:t>
            </w:r>
            <w:r w:rsidR="00F31EAE" w:rsidRPr="008625DC">
              <w:t xml:space="preserve"> production to the prejudice of consumers, or applying dissimilar conditions to equivalent transactions</w:t>
            </w:r>
            <w:r w:rsidR="005538EA" w:rsidRPr="008625DC">
              <w:t>.</w:t>
            </w:r>
            <w:r w:rsidR="00F31EAE" w:rsidRPr="008625DC">
              <w:t xml:space="preserve"> (Article 102, Treaty on the Functioning of the European Union)</w:t>
            </w:r>
          </w:p>
          <w:p w14:paraId="747B0482" w14:textId="321C334C" w:rsidR="00776258" w:rsidRPr="008625DC" w:rsidRDefault="00776258">
            <w:pPr>
              <w:pStyle w:val="BoxText"/>
            </w:pPr>
            <w:r w:rsidRPr="008625DC">
              <w:rPr>
                <w:b/>
              </w:rPr>
              <w:t>Canada</w:t>
            </w:r>
            <w:r w:rsidRPr="008625DC">
              <w:t xml:space="preserve">: </w:t>
            </w:r>
            <w:r w:rsidR="008207BC" w:rsidRPr="008625DC">
              <w:t xml:space="preserve">Prohibits </w:t>
            </w:r>
            <w:r w:rsidRPr="008625DC">
              <w:t>firm</w:t>
            </w:r>
            <w:r w:rsidR="008207BC" w:rsidRPr="008625DC">
              <w:t>s substantially or completely in control of a market from</w:t>
            </w:r>
            <w:r w:rsidRPr="008625DC">
              <w:t xml:space="preserve"> engag</w:t>
            </w:r>
            <w:r w:rsidR="008207BC" w:rsidRPr="008625DC">
              <w:t>ing</w:t>
            </w:r>
            <w:r w:rsidRPr="008625DC">
              <w:t xml:space="preserve"> in anti</w:t>
            </w:r>
            <w:r w:rsidR="00C74E19" w:rsidRPr="008625DC">
              <w:noBreakHyphen/>
            </w:r>
            <w:r w:rsidRPr="008625DC">
              <w:t xml:space="preserve">competitive </w:t>
            </w:r>
            <w:r w:rsidR="008207BC" w:rsidRPr="008625DC">
              <w:t>practices</w:t>
            </w:r>
            <w:r w:rsidRPr="008625DC">
              <w:t xml:space="preserve">, </w:t>
            </w:r>
            <w:r w:rsidR="008207BC" w:rsidRPr="008625DC">
              <w:t xml:space="preserve">which have the </w:t>
            </w:r>
            <w:r w:rsidRPr="008625DC">
              <w:t xml:space="preserve">effect or likely effect of </w:t>
            </w:r>
            <w:r w:rsidR="008207BC" w:rsidRPr="008625DC">
              <w:t xml:space="preserve">preventing or </w:t>
            </w:r>
            <w:r w:rsidRPr="008625DC">
              <w:t>lessening competition</w:t>
            </w:r>
            <w:r w:rsidR="008207BC" w:rsidRPr="008625DC">
              <w:t xml:space="preserve"> substantially in a market</w:t>
            </w:r>
            <w:r w:rsidR="005538EA" w:rsidRPr="008625DC">
              <w:t>.</w:t>
            </w:r>
            <w:r w:rsidR="008207BC" w:rsidRPr="008625DC">
              <w:t xml:space="preserve"> (Competition Act, section 79)</w:t>
            </w:r>
          </w:p>
          <w:p w14:paraId="4C517752" w14:textId="149191DB" w:rsidR="00776258" w:rsidRPr="008625DC" w:rsidRDefault="00776258" w:rsidP="00776258">
            <w:pPr>
              <w:pStyle w:val="BoxText"/>
            </w:pPr>
            <w:r w:rsidRPr="008625DC">
              <w:rPr>
                <w:b/>
              </w:rPr>
              <w:t>New Zealand</w:t>
            </w:r>
            <w:r w:rsidRPr="008625DC">
              <w:t>:</w:t>
            </w:r>
            <w:r w:rsidR="00F31EAE" w:rsidRPr="008625DC">
              <w:t xml:space="preserve"> Prohibits a person with a substantial degree of power in a market from taking advantage of that power, for the purpose of restricting entry into, preventing or deterring competitive conduct in, or eliminating a person from, that or any other market</w:t>
            </w:r>
            <w:r w:rsidR="005538EA" w:rsidRPr="008625DC">
              <w:t>.</w:t>
            </w:r>
            <w:r w:rsidR="00F31EAE" w:rsidRPr="008625DC">
              <w:t xml:space="preserve"> (Commerce Act, section 36</w:t>
            </w:r>
            <w:r w:rsidR="005538EA" w:rsidRPr="008625DC">
              <w:t>)</w:t>
            </w:r>
          </w:p>
        </w:tc>
      </w:tr>
    </w:tbl>
    <w:p w14:paraId="05B17EAC" w14:textId="48E1804C" w:rsidR="00D96804" w:rsidRPr="008625DC" w:rsidRDefault="00D96804" w:rsidP="005538EA">
      <w:pPr>
        <w:spacing w:before="240"/>
      </w:pPr>
      <w:r w:rsidRPr="008625DC">
        <w:t>In this section</w:t>
      </w:r>
      <w:r w:rsidR="000F7623" w:rsidRPr="008625DC">
        <w:t>,</w:t>
      </w:r>
      <w:r w:rsidRPr="008625DC">
        <w:t xml:space="preserve"> </w:t>
      </w:r>
      <w:r w:rsidR="000F7623" w:rsidRPr="008625DC">
        <w:t>the Panel</w:t>
      </w:r>
      <w:r w:rsidRPr="008625DC">
        <w:t xml:space="preserve"> consider</w:t>
      </w:r>
      <w:r w:rsidR="000F7623" w:rsidRPr="008625DC">
        <w:t>s</w:t>
      </w:r>
      <w:r w:rsidRPr="008625DC">
        <w:t xml:space="preserve"> the laws that regulate conduct by firms that have substantial market or bargaining power, in light of the principles set out in </w:t>
      </w:r>
      <w:r w:rsidR="004E5E01" w:rsidRPr="008625DC">
        <w:t>C</w:t>
      </w:r>
      <w:r w:rsidRPr="008625DC">
        <w:t>hapter</w:t>
      </w:r>
      <w:r w:rsidR="004F49B5" w:rsidRPr="008625DC">
        <w:t> </w:t>
      </w:r>
      <w:r w:rsidRPr="008625DC">
        <w:t>1.</w:t>
      </w:r>
    </w:p>
    <w:p w14:paraId="0F4DC586" w14:textId="253BF11D" w:rsidR="001674C8" w:rsidRPr="008625DC" w:rsidRDefault="001674C8" w:rsidP="000B5916">
      <w:pPr>
        <w:pStyle w:val="Heading2"/>
        <w:ind w:left="851" w:hanging="851"/>
        <w:rPr>
          <w:lang w:val="en-AU"/>
        </w:rPr>
      </w:pPr>
      <w:bookmarkStart w:id="27813" w:name="_Toc394500021"/>
      <w:bookmarkStart w:id="27814" w:name="_Toc394500612"/>
      <w:bookmarkStart w:id="27815" w:name="_Toc394500954"/>
      <w:bookmarkStart w:id="27816" w:name="_Toc394330405"/>
      <w:bookmarkStart w:id="27817" w:name="_Toc394330505"/>
      <w:bookmarkStart w:id="27818" w:name="_Toc394331336"/>
      <w:bookmarkStart w:id="27819" w:name="_Toc394330124"/>
      <w:bookmarkStart w:id="27820" w:name="_Toc394333098"/>
      <w:bookmarkStart w:id="27821" w:name="_Toc394333412"/>
      <w:bookmarkStart w:id="27822" w:name="_Toc394332676"/>
      <w:bookmarkStart w:id="27823" w:name="_Toc394333511"/>
      <w:bookmarkStart w:id="27824" w:name="_Toc394333825"/>
      <w:bookmarkStart w:id="27825" w:name="_Toc394333924"/>
      <w:bookmarkStart w:id="27826" w:name="_Toc394334238"/>
      <w:bookmarkStart w:id="27827" w:name="_Toc394334750"/>
      <w:bookmarkStart w:id="27828" w:name="_Toc394335064"/>
      <w:bookmarkStart w:id="27829" w:name="_Toc394414939"/>
      <w:bookmarkStart w:id="27830" w:name="_Toc394415268"/>
      <w:bookmarkStart w:id="27831" w:name="_Toc394412244"/>
      <w:bookmarkStart w:id="27832" w:name="_Toc394412577"/>
      <w:bookmarkStart w:id="27833" w:name="_Toc394420520"/>
      <w:bookmarkStart w:id="27834" w:name="_Toc394420870"/>
      <w:bookmarkStart w:id="27835" w:name="_Toc394420994"/>
      <w:bookmarkStart w:id="27836" w:name="_Toc394423364"/>
      <w:bookmarkStart w:id="27837" w:name="_Toc394423711"/>
      <w:bookmarkStart w:id="27838" w:name="_Toc394420298"/>
      <w:bookmarkStart w:id="27839" w:name="_Toc394422407"/>
      <w:bookmarkStart w:id="27840" w:name="_Toc394422755"/>
      <w:bookmarkStart w:id="27841" w:name="_Toc394422878"/>
      <w:bookmarkStart w:id="27842" w:name="_Toc394423226"/>
      <w:bookmarkStart w:id="27843" w:name="_Toc394424028"/>
      <w:bookmarkStart w:id="27844" w:name="_Toc394424374"/>
      <w:bookmarkStart w:id="27845" w:name="_Toc394491863"/>
      <w:bookmarkStart w:id="27846" w:name="_Toc394492205"/>
      <w:bookmarkStart w:id="27847" w:name="_Toc394495008"/>
      <w:bookmarkStart w:id="27848" w:name="_Toc394495349"/>
      <w:bookmarkStart w:id="27849" w:name="_Toc394497820"/>
      <w:bookmarkStart w:id="27850" w:name="_Toc394498164"/>
      <w:bookmarkStart w:id="27851" w:name="_Toc394502016"/>
      <w:bookmarkStart w:id="27852" w:name="_Toc394502351"/>
      <w:bookmarkStart w:id="27853" w:name="_Toc394502918"/>
      <w:bookmarkStart w:id="27854" w:name="_Toc394503710"/>
      <w:bookmarkStart w:id="27855" w:name="_Toc394502462"/>
      <w:bookmarkStart w:id="27856" w:name="_Toc394502799"/>
      <w:bookmarkStart w:id="27857" w:name="_Toc394505669"/>
      <w:bookmarkStart w:id="27858" w:name="_Toc394506127"/>
      <w:bookmarkStart w:id="27859" w:name="_Toc394506008"/>
      <w:bookmarkStart w:id="27860" w:name="_Toc394506465"/>
      <w:bookmarkStart w:id="27861" w:name="_Toc394506682"/>
      <w:bookmarkStart w:id="27862" w:name="_Toc394507019"/>
      <w:bookmarkStart w:id="27863" w:name="_Toc394560755"/>
      <w:bookmarkStart w:id="27864" w:name="_Toc394561094"/>
      <w:bookmarkStart w:id="27865" w:name="_Toc394561219"/>
      <w:bookmarkStart w:id="27866" w:name="_Toc394561927"/>
      <w:bookmarkStart w:id="27867" w:name="_Toc394582986"/>
      <w:bookmarkStart w:id="27868" w:name="_Toc394585657"/>
      <w:bookmarkStart w:id="27869" w:name="_Toc394586123"/>
      <w:bookmarkStart w:id="27870" w:name="_Toc394588055"/>
      <w:bookmarkStart w:id="27871" w:name="_Toc394588890"/>
      <w:bookmarkStart w:id="27872" w:name="_Toc394589015"/>
      <w:bookmarkStart w:id="27873" w:name="_Toc394590431"/>
      <w:bookmarkStart w:id="27874" w:name="_Toc394590624"/>
      <w:bookmarkStart w:id="27875" w:name="_Toc394654525"/>
      <w:bookmarkStart w:id="27876" w:name="_Toc394654683"/>
      <w:bookmarkStart w:id="27877" w:name="_Toc394656225"/>
      <w:bookmarkStart w:id="27878" w:name="_Toc394656382"/>
      <w:bookmarkStart w:id="27879" w:name="_Toc394659362"/>
      <w:bookmarkStart w:id="27880" w:name="_Toc394659520"/>
      <w:bookmarkStart w:id="27881" w:name="_Toc394663374"/>
      <w:bookmarkStart w:id="27882" w:name="_Toc394663530"/>
      <w:bookmarkStart w:id="27883" w:name="_Toc394667168"/>
      <w:bookmarkStart w:id="27884" w:name="_Toc394667324"/>
      <w:bookmarkStart w:id="27885" w:name="_Toc394671647"/>
      <w:bookmarkStart w:id="27886" w:name="_Toc394671807"/>
      <w:bookmarkStart w:id="27887" w:name="_Toc394674649"/>
      <w:bookmarkStart w:id="27888" w:name="_Toc394674812"/>
      <w:bookmarkStart w:id="27889" w:name="_Toc394674926"/>
      <w:bookmarkStart w:id="27890" w:name="_Toc394675092"/>
      <w:bookmarkStart w:id="27891" w:name="_Toc394676037"/>
      <w:bookmarkStart w:id="27892" w:name="_Toc394676199"/>
      <w:bookmarkStart w:id="27893" w:name="_Toc394675725"/>
      <w:bookmarkStart w:id="27894" w:name="_Toc394675888"/>
      <w:bookmarkStart w:id="27895" w:name="_Toc394918292"/>
      <w:bookmarkStart w:id="27896" w:name="_Toc394918806"/>
      <w:bookmarkStart w:id="27897" w:name="_Toc394930778"/>
      <w:bookmarkStart w:id="27898" w:name="_Toc394933689"/>
      <w:bookmarkStart w:id="27899" w:name="_Toc394938136"/>
      <w:bookmarkStart w:id="27900" w:name="_Toc394938422"/>
      <w:bookmarkStart w:id="27901" w:name="_Toc394938638"/>
      <w:bookmarkStart w:id="27902" w:name="_Toc394937702"/>
      <w:bookmarkStart w:id="27903" w:name="_Toc394937920"/>
      <w:bookmarkStart w:id="27904" w:name="_Toc394941048"/>
      <w:bookmarkStart w:id="27905" w:name="_Toc394941333"/>
      <w:bookmarkStart w:id="27906" w:name="_Toc394941549"/>
      <w:bookmarkStart w:id="27907" w:name="_Toc394941664"/>
      <w:bookmarkStart w:id="27908" w:name="_Toc394941949"/>
      <w:bookmarkStart w:id="27909" w:name="_Toc394942165"/>
      <w:bookmarkStart w:id="27910" w:name="_Toc394939885"/>
      <w:bookmarkStart w:id="27911" w:name="_Toc394940171"/>
      <w:bookmarkStart w:id="27912" w:name="_Toc394940387"/>
      <w:bookmarkStart w:id="27913" w:name="_Toc394939496"/>
      <w:bookmarkStart w:id="27914" w:name="_Toc394939768"/>
      <w:bookmarkStart w:id="27915" w:name="_Toc394940600"/>
      <w:bookmarkStart w:id="27916" w:name="_Toc394993665"/>
      <w:bookmarkStart w:id="27917" w:name="_Toc394995547"/>
      <w:bookmarkStart w:id="27918" w:name="_Toc394995861"/>
      <w:bookmarkStart w:id="27919" w:name="_Toc394996080"/>
      <w:bookmarkStart w:id="27920" w:name="_Toc394997806"/>
      <w:bookmarkStart w:id="27921" w:name="_Toc394998104"/>
      <w:bookmarkStart w:id="27922" w:name="_Toc394998321"/>
      <w:bookmarkStart w:id="27923" w:name="_Toc394998618"/>
      <w:bookmarkStart w:id="27924" w:name="_Toc395001816"/>
      <w:bookmarkStart w:id="27925" w:name="_Toc395002117"/>
      <w:bookmarkStart w:id="27926" w:name="_Toc395001323"/>
      <w:bookmarkStart w:id="27927" w:name="_Toc395002886"/>
      <w:bookmarkStart w:id="27928" w:name="_Toc395003471"/>
      <w:bookmarkStart w:id="27929" w:name="_Toc395005068"/>
      <w:bookmarkStart w:id="27930" w:name="_Toc395005194"/>
      <w:bookmarkStart w:id="27931" w:name="_Toc395005410"/>
      <w:bookmarkStart w:id="27932" w:name="_Toc395005712"/>
      <w:bookmarkStart w:id="27933" w:name="_Toc395008987"/>
      <w:bookmarkStart w:id="27934" w:name="_Toc395009706"/>
      <w:bookmarkStart w:id="27935" w:name="_Toc395011773"/>
      <w:bookmarkStart w:id="27936" w:name="_Toc395010173"/>
      <w:bookmarkStart w:id="27937" w:name="_Toc395010447"/>
      <w:bookmarkStart w:id="27938" w:name="_Toc395010015"/>
      <w:bookmarkStart w:id="27939" w:name="_Toc395011541"/>
      <w:bookmarkStart w:id="27940" w:name="_Toc395012359"/>
      <w:bookmarkStart w:id="27941" w:name="_Toc395012630"/>
      <w:bookmarkStart w:id="27942" w:name="_Toc395012949"/>
      <w:bookmarkStart w:id="27943" w:name="_Toc395010764"/>
      <w:bookmarkStart w:id="27944" w:name="_Toc395012237"/>
      <w:bookmarkStart w:id="27945" w:name="_Toc395013093"/>
      <w:bookmarkStart w:id="27946" w:name="_Toc395012095"/>
      <w:bookmarkStart w:id="27947" w:name="_Toc395014434"/>
      <w:bookmarkStart w:id="27948" w:name="_Toc395014638"/>
      <w:bookmarkStart w:id="27949" w:name="_Toc395013229"/>
      <w:bookmarkStart w:id="27950" w:name="_Toc395084788"/>
      <w:bookmarkStart w:id="27951" w:name="_Toc395085089"/>
      <w:bookmarkStart w:id="27952" w:name="_Toc395090555"/>
      <w:bookmarkStart w:id="27953" w:name="_Toc395090747"/>
      <w:bookmarkStart w:id="27954" w:name="_Toc395092635"/>
      <w:bookmarkStart w:id="27955" w:name="_Toc395092847"/>
      <w:bookmarkStart w:id="27956" w:name="_Toc395093137"/>
      <w:bookmarkStart w:id="27957" w:name="_Toc395093329"/>
      <w:bookmarkStart w:id="27958" w:name="_Toc395097758"/>
      <w:bookmarkStart w:id="27959" w:name="_Toc395098049"/>
      <w:bookmarkStart w:id="27960" w:name="_Toc395098239"/>
      <w:bookmarkStart w:id="27961" w:name="_Toc395105424"/>
      <w:bookmarkStart w:id="27962" w:name="_Toc395106233"/>
      <w:bookmarkStart w:id="27963" w:name="_Toc395107027"/>
      <w:bookmarkStart w:id="27964" w:name="_Toc395109899"/>
      <w:bookmarkStart w:id="27965" w:name="_Toc395109495"/>
      <w:bookmarkStart w:id="27966" w:name="_Toc395109685"/>
      <w:bookmarkStart w:id="27967" w:name="_Toc395109823"/>
      <w:bookmarkStart w:id="27968" w:name="_Toc395111902"/>
      <w:bookmarkStart w:id="27969" w:name="_Toc395112200"/>
      <w:bookmarkStart w:id="27970" w:name="_Toc395112390"/>
      <w:bookmarkStart w:id="27971" w:name="_Toc395106822"/>
      <w:bookmarkStart w:id="27972" w:name="_Toc395107342"/>
      <w:bookmarkStart w:id="27973" w:name="_Toc395107535"/>
      <w:bookmarkStart w:id="27974" w:name="_Toc395110011"/>
      <w:bookmarkStart w:id="27975" w:name="_Toc395108582"/>
      <w:bookmarkStart w:id="27976" w:name="_Toc395108903"/>
      <w:bookmarkStart w:id="27977" w:name="_Toc395113822"/>
      <w:bookmarkStart w:id="27978" w:name="_Toc395114143"/>
      <w:bookmarkStart w:id="27979" w:name="_Toc395114342"/>
      <w:bookmarkStart w:id="27980" w:name="_Toc395116558"/>
      <w:bookmarkStart w:id="27981" w:name="_Toc395116880"/>
      <w:bookmarkStart w:id="27982" w:name="_Toc395117080"/>
      <w:bookmarkStart w:id="27983" w:name="_Toc395112495"/>
      <w:bookmarkStart w:id="27984" w:name="_Toc395112817"/>
      <w:bookmarkStart w:id="27985" w:name="_Toc395113198"/>
      <w:bookmarkStart w:id="27986" w:name="_Toc395115034"/>
      <w:bookmarkStart w:id="27987" w:name="_Toc395115357"/>
      <w:bookmarkStart w:id="27988" w:name="_Toc395115557"/>
      <w:bookmarkStart w:id="27989" w:name="_Toc395118189"/>
      <w:bookmarkStart w:id="27990" w:name="_Toc395118509"/>
      <w:bookmarkStart w:id="27991" w:name="_Toc395118707"/>
      <w:bookmarkStart w:id="27992" w:name="_Toc395178399"/>
      <w:bookmarkStart w:id="27993" w:name="_Toc395178731"/>
      <w:bookmarkStart w:id="27994" w:name="_Toc395624699"/>
      <w:bookmarkStart w:id="27995" w:name="_Toc395624888"/>
      <w:bookmarkStart w:id="27996" w:name="_Toc395789742"/>
      <w:bookmarkStart w:id="27997" w:name="_Toc395790050"/>
      <w:bookmarkStart w:id="27998" w:name="_Toc395800808"/>
      <w:bookmarkStart w:id="27999" w:name="_Toc395802871"/>
      <w:bookmarkStart w:id="28000" w:name="_Toc395867638"/>
      <w:bookmarkStart w:id="28001" w:name="_Toc395868547"/>
      <w:bookmarkStart w:id="28002" w:name="_Toc395868770"/>
      <w:bookmarkStart w:id="28003" w:name="_Toc395879149"/>
      <w:bookmarkStart w:id="28004" w:name="_Toc395882052"/>
      <w:bookmarkStart w:id="28005" w:name="_Toc395882273"/>
      <w:bookmarkStart w:id="28006" w:name="_Toc395882383"/>
      <w:bookmarkStart w:id="28007" w:name="_Toc395882604"/>
      <w:bookmarkStart w:id="28008" w:name="_Toc395880547"/>
      <w:bookmarkStart w:id="28009" w:name="_Toc395880878"/>
      <w:bookmarkStart w:id="28010" w:name="_Toc395881436"/>
      <w:bookmarkStart w:id="28011" w:name="_Toc395881657"/>
      <w:bookmarkStart w:id="28012" w:name="_Toc395881369"/>
      <w:bookmarkStart w:id="28013" w:name="_Toc395883821"/>
      <w:bookmarkStart w:id="28014" w:name="_Toc395884042"/>
      <w:bookmarkStart w:id="28015" w:name="_Toc395880776"/>
      <w:bookmarkStart w:id="28016" w:name="_Toc395884483"/>
      <w:bookmarkStart w:id="28017" w:name="_Toc395884704"/>
      <w:bookmarkStart w:id="28018" w:name="_Toc395883192"/>
      <w:bookmarkStart w:id="28019" w:name="_Toc395883413"/>
      <w:bookmarkStart w:id="28020" w:name="_Toc395883522"/>
      <w:bookmarkStart w:id="28021" w:name="_Toc395883743"/>
      <w:bookmarkStart w:id="28022" w:name="_Toc395884824"/>
      <w:bookmarkStart w:id="28023" w:name="_Toc396123853"/>
      <w:bookmarkStart w:id="28024" w:name="_Toc396130756"/>
      <w:bookmarkStart w:id="28025" w:name="_Toc396136334"/>
      <w:bookmarkStart w:id="28026" w:name="_Toc396138788"/>
      <w:bookmarkStart w:id="28027" w:name="_Toc396144049"/>
      <w:bookmarkStart w:id="28028" w:name="_Toc396145558"/>
      <w:bookmarkStart w:id="28029" w:name="_Toc396145702"/>
      <w:bookmarkStart w:id="28030" w:name="_Toc396145984"/>
      <w:bookmarkStart w:id="28031" w:name="_Toc396147524"/>
      <w:bookmarkStart w:id="28032" w:name="_Toc396147810"/>
      <w:bookmarkStart w:id="28033" w:name="_Toc396149066"/>
      <w:bookmarkStart w:id="28034" w:name="_Toc396148780"/>
      <w:bookmarkStart w:id="28035" w:name="_Toc396149561"/>
      <w:bookmarkStart w:id="28036" w:name="_Toc396149206"/>
      <w:bookmarkStart w:id="28037" w:name="_Toc396149492"/>
      <w:bookmarkStart w:id="28038" w:name="_Toc396149169"/>
      <w:bookmarkStart w:id="28039" w:name="_Toc396149914"/>
      <w:bookmarkStart w:id="28040" w:name="_Toc396149664"/>
      <w:bookmarkStart w:id="28041" w:name="_Toc396150505"/>
      <w:bookmarkStart w:id="28042" w:name="_Toc396151394"/>
      <w:bookmarkStart w:id="28043" w:name="_Toc396151688"/>
      <w:bookmarkStart w:id="28044" w:name="_Toc396201615"/>
      <w:bookmarkStart w:id="28045" w:name="_Toc396202405"/>
      <w:bookmarkStart w:id="28046" w:name="_Toc396202700"/>
      <w:bookmarkStart w:id="28047" w:name="_Toc396203317"/>
      <w:bookmarkStart w:id="28048" w:name="_Toc396206613"/>
      <w:bookmarkStart w:id="28049" w:name="_Toc396206907"/>
      <w:bookmarkStart w:id="28050" w:name="_Toc396209441"/>
      <w:bookmarkStart w:id="28051" w:name="_Toc396209735"/>
      <w:bookmarkStart w:id="28052" w:name="_Toc396211865"/>
      <w:bookmarkStart w:id="28053" w:name="_Toc396212159"/>
      <w:bookmarkStart w:id="28054" w:name="_Toc396213209"/>
      <w:bookmarkStart w:id="28055" w:name="_Toc396213501"/>
      <w:bookmarkStart w:id="28056" w:name="_Toc396214487"/>
      <w:bookmarkStart w:id="28057" w:name="_Toc396214777"/>
      <w:bookmarkStart w:id="28058" w:name="_Toc396220337"/>
      <w:bookmarkStart w:id="28059" w:name="_Toc396226599"/>
      <w:bookmarkStart w:id="28060" w:name="_Toc396226888"/>
      <w:bookmarkStart w:id="28061" w:name="_Toc396228799"/>
      <w:bookmarkStart w:id="28062" w:name="_Toc396229094"/>
      <w:bookmarkStart w:id="28063" w:name="_Toc396230441"/>
      <w:bookmarkStart w:id="28064" w:name="_Toc396230736"/>
      <w:bookmarkStart w:id="28065" w:name="_Toc396231878"/>
      <w:bookmarkStart w:id="28066" w:name="_Toc396233221"/>
      <w:bookmarkStart w:id="28067" w:name="_Toc396233518"/>
      <w:bookmarkStart w:id="28068" w:name="_Toc396234041"/>
      <w:bookmarkStart w:id="28069" w:name="_Toc396234338"/>
      <w:bookmarkStart w:id="28070" w:name="_Toc396234451"/>
      <w:bookmarkStart w:id="28071" w:name="_Toc396236185"/>
      <w:bookmarkStart w:id="28072" w:name="_Toc396235963"/>
      <w:bookmarkStart w:id="28073" w:name="_Toc396236573"/>
      <w:bookmarkStart w:id="28074" w:name="_Toc396237092"/>
      <w:bookmarkStart w:id="28075" w:name="_Toc396397435"/>
      <w:bookmarkStart w:id="28076" w:name="_Toc396304616"/>
      <w:bookmarkStart w:id="28077" w:name="_Toc396586151"/>
      <w:bookmarkStart w:id="28078" w:name="_Toc396815172"/>
      <w:bookmarkStart w:id="28079" w:name="_Toc396821121"/>
      <w:bookmarkStart w:id="28080" w:name="_Toc396821729"/>
      <w:bookmarkStart w:id="28081" w:name="_Toc396827579"/>
      <w:bookmarkStart w:id="28082" w:name="_Toc396828550"/>
      <w:bookmarkStart w:id="28083" w:name="_Toc396828660"/>
      <w:bookmarkStart w:id="28084" w:name="_Toc396838049"/>
      <w:bookmarkStart w:id="28085" w:name="_Toc396838447"/>
      <w:bookmarkStart w:id="28086" w:name="_Toc396904770"/>
      <w:bookmarkStart w:id="28087" w:name="_Toc396907604"/>
      <w:bookmarkStart w:id="28088" w:name="_Toc396912523"/>
      <w:bookmarkStart w:id="28089" w:name="_Toc396914503"/>
      <w:bookmarkStart w:id="28090" w:name="_Toc396915387"/>
      <w:bookmarkStart w:id="28091" w:name="_Toc396915781"/>
      <w:bookmarkStart w:id="28092" w:name="_Toc396921092"/>
      <w:bookmarkStart w:id="28093" w:name="_Toc396924432"/>
      <w:bookmarkStart w:id="28094" w:name="_Toc396925126"/>
      <w:bookmarkStart w:id="28095" w:name="_Toc396992246"/>
      <w:bookmarkStart w:id="28096" w:name="_Toc396992825"/>
      <w:bookmarkStart w:id="28097" w:name="_Toc396994489"/>
      <w:bookmarkStart w:id="28098" w:name="_Toc397002259"/>
      <w:bookmarkStart w:id="28099" w:name="_Toc397003178"/>
      <w:bookmarkStart w:id="28100" w:name="_Toc397008736"/>
      <w:bookmarkStart w:id="28101" w:name="_Toc397008954"/>
      <w:bookmarkStart w:id="28102" w:name="_Toc397011626"/>
      <w:bookmarkStart w:id="28103" w:name="_Toc397012688"/>
      <w:bookmarkStart w:id="28104" w:name="_Toc397015030"/>
      <w:bookmarkStart w:id="28105" w:name="_Toc397015517"/>
      <w:bookmarkStart w:id="28106" w:name="_Toc397070588"/>
      <w:bookmarkStart w:id="28107" w:name="_Toc397413338"/>
      <w:bookmarkStart w:id="28108" w:name="_Toc397413485"/>
      <w:bookmarkStart w:id="28109" w:name="_Toc397428058"/>
      <w:bookmarkStart w:id="28110" w:name="_Toc397439448"/>
      <w:bookmarkStart w:id="28111" w:name="_Toc397439618"/>
      <w:bookmarkStart w:id="28112" w:name="_Toc397439874"/>
      <w:bookmarkStart w:id="28113" w:name="_Toc397440176"/>
      <w:bookmarkStart w:id="28114" w:name="_Toc397441805"/>
      <w:bookmarkStart w:id="28115" w:name="_Toc397517507"/>
      <w:bookmarkStart w:id="28116" w:name="_Toc397522772"/>
      <w:bookmarkStart w:id="28117" w:name="_Toc397526190"/>
      <w:bookmarkStart w:id="28118" w:name="_Toc397528505"/>
      <w:bookmarkStart w:id="28119" w:name="_Toc397528980"/>
      <w:bookmarkStart w:id="28120" w:name="_Toc397601980"/>
      <w:bookmarkStart w:id="28121" w:name="_Toc397602715"/>
      <w:bookmarkStart w:id="28122" w:name="_Toc397605848"/>
      <w:bookmarkStart w:id="28123" w:name="_Toc397614545"/>
      <w:bookmarkStart w:id="28124" w:name="_Toc397614988"/>
      <w:bookmarkStart w:id="28125" w:name="_Toc397616431"/>
      <w:bookmarkStart w:id="28126" w:name="_Toc397616825"/>
      <w:bookmarkStart w:id="28127" w:name="_Toc397688123"/>
      <w:bookmarkStart w:id="28128" w:name="_Toc397689339"/>
      <w:bookmarkStart w:id="28129" w:name="_Toc397694619"/>
      <w:bookmarkStart w:id="28130" w:name="_Toc397696460"/>
      <w:bookmarkStart w:id="28131" w:name="_Toc397697194"/>
      <w:bookmarkStart w:id="28132" w:name="_Toc397698481"/>
      <w:bookmarkStart w:id="28133" w:name="_Toc397699847"/>
      <w:bookmarkStart w:id="28134" w:name="_Toc397700301"/>
      <w:bookmarkStart w:id="28135" w:name="_Toc397936693"/>
      <w:bookmarkStart w:id="28136" w:name="_Toc397936813"/>
      <w:bookmarkStart w:id="28137" w:name="_Toc397945969"/>
      <w:bookmarkStart w:id="28138" w:name="_Toc397946995"/>
      <w:bookmarkStart w:id="28139" w:name="_Toc397948114"/>
      <w:bookmarkStart w:id="28140" w:name="_Toc397958520"/>
      <w:bookmarkStart w:id="28141" w:name="_Toc397958762"/>
      <w:bookmarkStart w:id="28142" w:name="_Toc397959177"/>
      <w:bookmarkStart w:id="28143" w:name="_Toc397962244"/>
      <w:bookmarkStart w:id="28144" w:name="_Toc397963030"/>
      <w:bookmarkStart w:id="28145" w:name="_Toc397963396"/>
      <w:bookmarkStart w:id="28146" w:name="_Toc397965473"/>
      <w:bookmarkStart w:id="28147" w:name="_Toc398197411"/>
      <w:bookmarkStart w:id="28148" w:name="_Toc398199914"/>
      <w:bookmarkStart w:id="28149" w:name="_Toc398201628"/>
      <w:bookmarkStart w:id="28150" w:name="_Toc398207233"/>
      <w:bookmarkStart w:id="28151" w:name="_Toc398209937"/>
      <w:bookmarkStart w:id="28152" w:name="_Toc398210506"/>
      <w:bookmarkStart w:id="28153" w:name="_Toc398211020"/>
      <w:bookmarkStart w:id="28154" w:name="_Toc398219831"/>
      <w:bookmarkStart w:id="28155" w:name="_Toc398220206"/>
      <w:bookmarkStart w:id="28156" w:name="_Toc398220593"/>
      <w:bookmarkStart w:id="28157" w:name="_Toc398221671"/>
      <w:bookmarkStart w:id="28158" w:name="_Toc398222357"/>
      <w:bookmarkStart w:id="28159" w:name="_Toc398222669"/>
      <w:bookmarkStart w:id="28160" w:name="_Toc398223086"/>
      <w:bookmarkStart w:id="28161" w:name="_Toc398223465"/>
      <w:bookmarkStart w:id="28162" w:name="_Toc398223592"/>
      <w:bookmarkStart w:id="28163" w:name="_Toc398224400"/>
      <w:bookmarkStart w:id="28164" w:name="_Toc398225737"/>
      <w:bookmarkStart w:id="28165" w:name="_Toc398225862"/>
      <w:bookmarkStart w:id="28166" w:name="_Toc398281349"/>
      <w:bookmarkStart w:id="28167" w:name="_Toc398282208"/>
      <w:bookmarkStart w:id="28168" w:name="_Toc398284878"/>
      <w:bookmarkStart w:id="28169" w:name="_Toc398287347"/>
      <w:bookmarkStart w:id="28170" w:name="_Toc398289230"/>
      <w:bookmarkStart w:id="28171" w:name="_Toc398297227"/>
      <w:bookmarkStart w:id="28172" w:name="_Toc398298701"/>
      <w:bookmarkStart w:id="28173" w:name="_Toc398300402"/>
      <w:bookmarkStart w:id="28174" w:name="_Toc398301299"/>
      <w:bookmarkStart w:id="28175" w:name="_Toc398302484"/>
      <w:bookmarkStart w:id="28176" w:name="_Toc398302647"/>
      <w:bookmarkStart w:id="28177" w:name="_Toc398549161"/>
      <w:bookmarkStart w:id="28178" w:name="_Toc398549411"/>
      <w:bookmarkStart w:id="28179" w:name="_Toc398555830"/>
      <w:bookmarkStart w:id="28180" w:name="_Toc398559034"/>
      <w:bookmarkStart w:id="28181" w:name="_Toc398563520"/>
      <w:bookmarkStart w:id="28182" w:name="_Toc398563653"/>
      <w:bookmarkStart w:id="28183" w:name="_Toc398564052"/>
      <w:bookmarkStart w:id="28184" w:name="_Toc398827390"/>
      <w:bookmarkStart w:id="28185" w:name="_Toc398827584"/>
      <w:bookmarkStart w:id="28186" w:name="s161"/>
      <w:r w:rsidRPr="008625DC">
        <w:rPr>
          <w:lang w:val="en-AU"/>
        </w:rPr>
        <w:t>M</w:t>
      </w:r>
      <w:bookmarkEnd w:id="27813"/>
      <w:bookmarkEnd w:id="27814"/>
      <w:bookmarkEnd w:id="27815"/>
      <w:r w:rsidRPr="008625DC">
        <w:rPr>
          <w:lang w:val="en-AU"/>
        </w:rPr>
        <w:t xml:space="preserve">isuse of </w:t>
      </w:r>
      <w:r w:rsidR="00A30A14" w:rsidRPr="008625DC">
        <w:rPr>
          <w:lang w:val="en-AU"/>
        </w:rPr>
        <w:t>m</w:t>
      </w:r>
      <w:r w:rsidRPr="008625DC">
        <w:rPr>
          <w:lang w:val="en-AU"/>
        </w:rPr>
        <w:t xml:space="preserve">arket </w:t>
      </w:r>
      <w:r w:rsidR="00A30A14" w:rsidRPr="008625DC">
        <w:rPr>
          <w:lang w:val="en-AU"/>
        </w:rPr>
        <w:t>p</w:t>
      </w:r>
      <w:r w:rsidRPr="008625DC">
        <w:rPr>
          <w:lang w:val="en-AU"/>
        </w:rPr>
        <w:t>ower</w:t>
      </w:r>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bookmarkEnd w:id="28005"/>
      <w:bookmarkEnd w:id="28006"/>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bookmarkEnd w:id="28151"/>
      <w:bookmarkEnd w:id="28152"/>
      <w:bookmarkEnd w:id="28153"/>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p>
    <w:bookmarkEnd w:id="28186"/>
    <w:p w14:paraId="2CD6361C" w14:textId="77777777" w:rsidR="00D96804" w:rsidRPr="008625DC" w:rsidRDefault="00D96804" w:rsidP="00D96804">
      <w:r w:rsidRPr="008625DC">
        <w:t>Section 46 of the CCA prohibits corporations that have a substantial degree of power in a market from taking advantage of that power for the purpose of eliminating or substantially damaging a competitor, preventing the entry of a person into a market, or deterring or preventing a person from engaging in competitive conduct.</w:t>
      </w:r>
      <w:r w:rsidRPr="008625DC">
        <w:rPr>
          <w:rStyle w:val="FootnoteReference"/>
        </w:rPr>
        <w:footnoteReference w:id="271"/>
      </w:r>
    </w:p>
    <w:p w14:paraId="30E6A990" w14:textId="6528F8EB" w:rsidR="00D96804" w:rsidRPr="008625DC" w:rsidRDefault="00D96804" w:rsidP="00D96804">
      <w:r w:rsidRPr="008625DC">
        <w:t xml:space="preserve">Many submissions </w:t>
      </w:r>
      <w:r w:rsidR="004E5E01" w:rsidRPr="008625DC">
        <w:t>to</w:t>
      </w:r>
      <w:r w:rsidRPr="008625DC">
        <w:t xml:space="preserve"> the </w:t>
      </w:r>
      <w:r w:rsidR="004E5E01" w:rsidRPr="008625DC">
        <w:t>Review</w:t>
      </w:r>
      <w:r w:rsidRPr="008625DC">
        <w:t xml:space="preserve"> comment on section</w:t>
      </w:r>
      <w:r w:rsidR="004F49B5" w:rsidRPr="008625DC">
        <w:t> </w:t>
      </w:r>
      <w:r w:rsidR="00776258" w:rsidRPr="008625DC">
        <w:t xml:space="preserve">46. </w:t>
      </w:r>
      <w:r w:rsidRPr="008625DC">
        <w:t>As reflected in those submissions, opinions are divided on whether section</w:t>
      </w:r>
      <w:r w:rsidR="004F49B5" w:rsidRPr="008625DC">
        <w:t> </w:t>
      </w:r>
      <w:r w:rsidRPr="008625DC">
        <w:t>46 is framed in a manner that is effective in deterring anti</w:t>
      </w:r>
      <w:r w:rsidR="00C74E19" w:rsidRPr="008625DC">
        <w:noBreakHyphen/>
      </w:r>
      <w:r w:rsidRPr="008625DC">
        <w:t xml:space="preserve">competitive behaviour by firms </w:t>
      </w:r>
      <w:r w:rsidR="00776258" w:rsidRPr="008625DC">
        <w:t>with substantial market power.</w:t>
      </w:r>
    </w:p>
    <w:p w14:paraId="1C03C78A" w14:textId="3D3B289A" w:rsidR="00D96804" w:rsidRPr="008625DC" w:rsidRDefault="00D96804" w:rsidP="005538EA">
      <w:pPr>
        <w:spacing w:after="120"/>
      </w:pPr>
      <w:r w:rsidRPr="008625DC">
        <w:t xml:space="preserve">Those seeking reform of the law most commonly propose that the prohibition should be revised or expanded to include an </w:t>
      </w:r>
      <w:r w:rsidR="00C74E19" w:rsidRPr="008625DC">
        <w:t>‘</w:t>
      </w:r>
      <w:r w:rsidRPr="008625DC">
        <w:t>effects test</w:t>
      </w:r>
      <w:r w:rsidR="00C74E19" w:rsidRPr="008625DC">
        <w:t xml:space="preserve">’ — </w:t>
      </w:r>
      <w:r w:rsidRPr="008625DC">
        <w:t>that is, a firm with substantial market power would be prohibited from taking advantage of that power if the effect is to cause anti</w:t>
      </w:r>
      <w:r w:rsidR="00C74E19" w:rsidRPr="008625DC">
        <w:noBreakHyphen/>
      </w:r>
      <w:r w:rsidRPr="008625DC">
        <w:t>competitive harm. Two main arguments are advanced for the inclusion of an effects test:</w:t>
      </w:r>
    </w:p>
    <w:p w14:paraId="580AC4E2" w14:textId="74E30BDD" w:rsidR="00D96804" w:rsidRPr="008625DC" w:rsidRDefault="00D96804" w:rsidP="00D96804">
      <w:pPr>
        <w:pStyle w:val="Bullet"/>
      </w:pPr>
      <w:r w:rsidRPr="008625DC">
        <w:t>as a matter of policy, competition law ought to be directed to the effect of commercial conduct on competition, not the purpose of the conduct, because it is the anti</w:t>
      </w:r>
      <w:r w:rsidR="00C74E19" w:rsidRPr="008625DC">
        <w:noBreakHyphen/>
      </w:r>
      <w:r w:rsidRPr="008625DC">
        <w:t xml:space="preserve">competitive effect of conduct that harms consumer welfare; and </w:t>
      </w:r>
    </w:p>
    <w:p w14:paraId="30300472" w14:textId="6DBCD5E5" w:rsidR="00D96804" w:rsidRPr="008625DC" w:rsidRDefault="00D96804" w:rsidP="005538EA">
      <w:pPr>
        <w:pStyle w:val="Bullet"/>
        <w:spacing w:after="240"/>
      </w:pPr>
      <w:r w:rsidRPr="008625DC">
        <w:t>as a matter of practicality, there can be difficulties in proving the purpose of commercial conduct because it involves a subjective enquiry, whereas proving anti</w:t>
      </w:r>
      <w:r w:rsidR="00C74E19" w:rsidRPr="008625DC">
        <w:noBreakHyphen/>
      </w:r>
      <w:r w:rsidRPr="008625DC">
        <w:t>competitive effect is less difficult because it involves an objective enquiry.</w:t>
      </w:r>
    </w:p>
    <w:p w14:paraId="3D2743EF" w14:textId="16EEF832" w:rsidR="00D96804" w:rsidRPr="008625DC" w:rsidRDefault="00D96804" w:rsidP="00D96804">
      <w:r w:rsidRPr="008625DC">
        <w:t xml:space="preserve">Those opposing reform are concerned that introducing an effects test would </w:t>
      </w:r>
      <w:r w:rsidR="00C74E19" w:rsidRPr="008625DC">
        <w:t>‘</w:t>
      </w:r>
      <w:r w:rsidRPr="008625DC">
        <w:t>chill</w:t>
      </w:r>
      <w:r w:rsidR="00C74E19" w:rsidRPr="008625DC">
        <w:t>’</w:t>
      </w:r>
      <w:r w:rsidRPr="008625DC">
        <w:t xml:space="preserve"> competitive behaviour by firms in the market</w:t>
      </w:r>
      <w:r w:rsidR="00E56183" w:rsidRPr="008625DC">
        <w:t>,</w:t>
      </w:r>
      <w:r w:rsidRPr="008625DC">
        <w:t xml:space="preserve"> which would be harmful to consumer welfare.</w:t>
      </w:r>
    </w:p>
    <w:p w14:paraId="2665FC58" w14:textId="0868EDB4" w:rsidR="00D96804" w:rsidRPr="008625DC" w:rsidRDefault="00D96804" w:rsidP="00D96804">
      <w:r w:rsidRPr="008625DC">
        <w:lastRenderedPageBreak/>
        <w:t xml:space="preserve">The debate around whether section 46 should be based solely on a </w:t>
      </w:r>
      <w:r w:rsidR="00C74E19" w:rsidRPr="008625DC">
        <w:t>‘</w:t>
      </w:r>
      <w:r w:rsidRPr="008625DC">
        <w:t>purpose</w:t>
      </w:r>
      <w:r w:rsidR="00C74E19" w:rsidRPr="008625DC">
        <w:t>’</w:t>
      </w:r>
      <w:r w:rsidRPr="008625DC">
        <w:t xml:space="preserve"> test or should also (or alternatively) have an </w:t>
      </w:r>
      <w:r w:rsidR="00C74E19" w:rsidRPr="008625DC">
        <w:t>‘</w:t>
      </w:r>
      <w:r w:rsidRPr="008625DC">
        <w:t>effects test</w:t>
      </w:r>
      <w:r w:rsidR="00C74E19" w:rsidRPr="008625DC">
        <w:t>’</w:t>
      </w:r>
      <w:r w:rsidRPr="008625DC">
        <w:t xml:space="preserve"> is one of the enduring controversies of co</w:t>
      </w:r>
      <w:r w:rsidR="00776258" w:rsidRPr="008625DC">
        <w:t xml:space="preserve">mpetition policy in Australia. </w:t>
      </w:r>
      <w:r w:rsidRPr="008625DC">
        <w:t xml:space="preserve">Section 46 has been the subject of a large number of independent reviews and parliamentary inquiries (see Box </w:t>
      </w:r>
      <w:r w:rsidR="004B694F" w:rsidRPr="008625DC">
        <w:t>16.2</w:t>
      </w:r>
      <w:r w:rsidRPr="008625DC">
        <w:t xml:space="preserve"> below).</w:t>
      </w:r>
    </w:p>
    <w:tbl>
      <w:tblPr>
        <w:tblStyle w:val="TableGrid"/>
        <w:tblW w:w="0" w:type="auto"/>
        <w:tblLook w:val="04A0" w:firstRow="1" w:lastRow="0" w:firstColumn="1" w:lastColumn="0" w:noHBand="0" w:noVBand="1"/>
      </w:tblPr>
      <w:tblGrid>
        <w:gridCol w:w="817"/>
        <w:gridCol w:w="3402"/>
        <w:gridCol w:w="1276"/>
        <w:gridCol w:w="3685"/>
      </w:tblGrid>
      <w:tr w:rsidR="00B06C36" w:rsidRPr="008625DC" w14:paraId="2BAD97E9" w14:textId="77777777" w:rsidTr="00CC66D2">
        <w:tc>
          <w:tcPr>
            <w:tcW w:w="9180" w:type="dxa"/>
            <w:gridSpan w:val="4"/>
            <w:vAlign w:val="bottom"/>
          </w:tcPr>
          <w:p w14:paraId="6FEE7FE6" w14:textId="0E03C2C6" w:rsidR="00B06C36" w:rsidRPr="008625DC" w:rsidRDefault="003E52A5" w:rsidP="004B694F">
            <w:pPr>
              <w:pStyle w:val="BoxHeading"/>
              <w:spacing w:before="0" w:line="240" w:lineRule="auto"/>
            </w:pPr>
            <w:r w:rsidRPr="008625DC">
              <w:t>Box</w:t>
            </w:r>
            <w:r w:rsidR="00E839B8" w:rsidRPr="008625DC">
              <w:t xml:space="preserve"> </w:t>
            </w:r>
            <w:r w:rsidR="004B694F" w:rsidRPr="008625DC">
              <w:t>16.2</w:t>
            </w:r>
            <w:r w:rsidR="00B06C36" w:rsidRPr="008625DC">
              <w:t>: History of proposals for an effects test</w:t>
            </w:r>
            <w:r w:rsidR="000F7623" w:rsidRPr="008625DC">
              <w:rPr>
                <w:rStyle w:val="FootnoteReference"/>
              </w:rPr>
              <w:footnoteReference w:id="272"/>
            </w:r>
          </w:p>
        </w:tc>
      </w:tr>
      <w:tr w:rsidR="002447B1" w:rsidRPr="008625DC" w14:paraId="22DC8D2D" w14:textId="77777777" w:rsidTr="00C042B7">
        <w:tc>
          <w:tcPr>
            <w:tcW w:w="817" w:type="dxa"/>
            <w:vAlign w:val="bottom"/>
          </w:tcPr>
          <w:p w14:paraId="0BE71F93" w14:textId="77777777" w:rsidR="002447B1" w:rsidRPr="008625DC" w:rsidRDefault="002447B1" w:rsidP="005538EA">
            <w:pPr>
              <w:spacing w:before="60" w:after="60" w:line="240" w:lineRule="auto"/>
              <w:jc w:val="center"/>
              <w:rPr>
                <w:b/>
                <w:sz w:val="20"/>
              </w:rPr>
            </w:pPr>
            <w:r w:rsidRPr="008625DC">
              <w:rPr>
                <w:b/>
                <w:sz w:val="20"/>
              </w:rPr>
              <w:t>Year</w:t>
            </w:r>
          </w:p>
        </w:tc>
        <w:tc>
          <w:tcPr>
            <w:tcW w:w="3402" w:type="dxa"/>
            <w:vAlign w:val="bottom"/>
          </w:tcPr>
          <w:p w14:paraId="476C20E1" w14:textId="07A56691" w:rsidR="002447B1" w:rsidRPr="008625DC" w:rsidRDefault="002447B1" w:rsidP="005538EA">
            <w:pPr>
              <w:spacing w:before="60" w:after="60" w:line="240" w:lineRule="auto"/>
              <w:jc w:val="center"/>
              <w:rPr>
                <w:b/>
                <w:sz w:val="20"/>
              </w:rPr>
            </w:pPr>
            <w:r w:rsidRPr="008625DC">
              <w:rPr>
                <w:b/>
                <w:sz w:val="20"/>
              </w:rPr>
              <w:t>Review</w:t>
            </w:r>
          </w:p>
        </w:tc>
        <w:tc>
          <w:tcPr>
            <w:tcW w:w="1276" w:type="dxa"/>
            <w:vAlign w:val="bottom"/>
          </w:tcPr>
          <w:p w14:paraId="1A363A6C" w14:textId="43843A23" w:rsidR="002447B1" w:rsidRPr="008625DC" w:rsidRDefault="002447B1" w:rsidP="005538EA">
            <w:pPr>
              <w:spacing w:before="60" w:after="60" w:line="240" w:lineRule="auto"/>
              <w:jc w:val="center"/>
              <w:rPr>
                <w:b/>
                <w:sz w:val="20"/>
              </w:rPr>
            </w:pPr>
            <w:r w:rsidRPr="008625DC">
              <w:rPr>
                <w:b/>
                <w:sz w:val="20"/>
              </w:rPr>
              <w:t>Recommend effects test?</w:t>
            </w:r>
          </w:p>
        </w:tc>
        <w:tc>
          <w:tcPr>
            <w:tcW w:w="3685" w:type="dxa"/>
            <w:vAlign w:val="bottom"/>
          </w:tcPr>
          <w:p w14:paraId="2D6BFD2E" w14:textId="5820036E" w:rsidR="002447B1" w:rsidRPr="008625DC" w:rsidRDefault="002447B1" w:rsidP="005538EA">
            <w:pPr>
              <w:spacing w:before="60" w:after="60" w:line="240" w:lineRule="auto"/>
              <w:jc w:val="center"/>
              <w:rPr>
                <w:b/>
                <w:sz w:val="20"/>
              </w:rPr>
            </w:pPr>
            <w:r w:rsidRPr="008625DC">
              <w:rPr>
                <w:b/>
                <w:sz w:val="20"/>
              </w:rPr>
              <w:t>Reasons</w:t>
            </w:r>
          </w:p>
        </w:tc>
      </w:tr>
      <w:tr w:rsidR="00DE3673" w:rsidRPr="008625DC" w14:paraId="0BDD008C" w14:textId="77777777" w:rsidTr="00C042B7">
        <w:tc>
          <w:tcPr>
            <w:tcW w:w="817" w:type="dxa"/>
          </w:tcPr>
          <w:p w14:paraId="34850F20" w14:textId="783E5351" w:rsidR="00DE3673" w:rsidRPr="008625DC" w:rsidRDefault="00DE3673" w:rsidP="00127F3A">
            <w:pPr>
              <w:spacing w:before="40" w:after="120" w:line="240" w:lineRule="auto"/>
              <w:jc w:val="center"/>
              <w:rPr>
                <w:sz w:val="20"/>
              </w:rPr>
            </w:pPr>
            <w:r w:rsidRPr="008625DC">
              <w:rPr>
                <w:sz w:val="20"/>
              </w:rPr>
              <w:t>1976</w:t>
            </w:r>
          </w:p>
        </w:tc>
        <w:tc>
          <w:tcPr>
            <w:tcW w:w="3402" w:type="dxa"/>
          </w:tcPr>
          <w:p w14:paraId="6FA21384" w14:textId="7795D6FB" w:rsidR="00DE3673" w:rsidRPr="008625DC" w:rsidRDefault="00DE3673" w:rsidP="00857DAA">
            <w:pPr>
              <w:pStyle w:val="TableTextLeft"/>
              <w:jc w:val="left"/>
            </w:pPr>
            <w:r w:rsidRPr="008625DC">
              <w:t>Trade Practices Act Review Committee (Swanson Committee)</w:t>
            </w:r>
          </w:p>
        </w:tc>
        <w:tc>
          <w:tcPr>
            <w:tcW w:w="1276" w:type="dxa"/>
          </w:tcPr>
          <w:p w14:paraId="37D3A770" w14:textId="77777777" w:rsidR="00DE3673" w:rsidRPr="008625DC" w:rsidRDefault="00DE3673" w:rsidP="00C042B7">
            <w:pPr>
              <w:spacing w:before="0" w:after="120" w:line="240" w:lineRule="auto"/>
              <w:jc w:val="center"/>
              <w:rPr>
                <w:sz w:val="20"/>
              </w:rPr>
            </w:pPr>
            <w:r w:rsidRPr="008625DC">
              <w:rPr>
                <w:sz w:val="20"/>
              </w:rPr>
              <w:t>No</w:t>
            </w:r>
          </w:p>
        </w:tc>
        <w:tc>
          <w:tcPr>
            <w:tcW w:w="3685" w:type="dxa"/>
          </w:tcPr>
          <w:p w14:paraId="4DCB5086" w14:textId="503AF9D1" w:rsidR="00DE3673" w:rsidRPr="008625DC" w:rsidRDefault="00DE3673" w:rsidP="00857DAA">
            <w:pPr>
              <w:pStyle w:val="TableTextLeft"/>
              <w:jc w:val="left"/>
            </w:pPr>
            <w:r w:rsidRPr="008625DC">
              <w:t>The section should only prohibit abuses by a monopolist that involve a proscribed purpose.</w:t>
            </w:r>
          </w:p>
        </w:tc>
      </w:tr>
      <w:tr w:rsidR="002447B1" w:rsidRPr="008625DC" w14:paraId="30DAC8EE" w14:textId="77777777" w:rsidTr="00C042B7">
        <w:tc>
          <w:tcPr>
            <w:tcW w:w="817" w:type="dxa"/>
          </w:tcPr>
          <w:p w14:paraId="081C0EE1" w14:textId="39315CF3" w:rsidR="002447B1" w:rsidRPr="008625DC" w:rsidRDefault="002447B1" w:rsidP="00127F3A">
            <w:pPr>
              <w:spacing w:before="40" w:after="120" w:line="240" w:lineRule="auto"/>
              <w:jc w:val="center"/>
              <w:rPr>
                <w:sz w:val="20"/>
              </w:rPr>
            </w:pPr>
            <w:r w:rsidRPr="008625DC">
              <w:rPr>
                <w:sz w:val="20"/>
              </w:rPr>
              <w:t>1979</w:t>
            </w:r>
          </w:p>
        </w:tc>
        <w:tc>
          <w:tcPr>
            <w:tcW w:w="3402" w:type="dxa"/>
          </w:tcPr>
          <w:p w14:paraId="0220CB6C" w14:textId="011A9403" w:rsidR="002447B1" w:rsidRPr="008625DC" w:rsidRDefault="002447B1" w:rsidP="00857DAA">
            <w:pPr>
              <w:pStyle w:val="TableTextLeft"/>
              <w:jc w:val="left"/>
            </w:pPr>
            <w:r w:rsidRPr="008625DC">
              <w:t>Trade Practices Consultative Committee (Blunt Review)</w:t>
            </w:r>
          </w:p>
        </w:tc>
        <w:tc>
          <w:tcPr>
            <w:tcW w:w="1276" w:type="dxa"/>
          </w:tcPr>
          <w:p w14:paraId="3F289A11" w14:textId="5262C438" w:rsidR="002447B1" w:rsidRPr="008625DC" w:rsidRDefault="002447B1" w:rsidP="00C042B7">
            <w:pPr>
              <w:spacing w:before="0" w:after="120" w:line="240" w:lineRule="auto"/>
              <w:jc w:val="center"/>
              <w:rPr>
                <w:sz w:val="20"/>
              </w:rPr>
            </w:pPr>
            <w:r w:rsidRPr="008625DC">
              <w:rPr>
                <w:sz w:val="20"/>
              </w:rPr>
              <w:t>No</w:t>
            </w:r>
          </w:p>
        </w:tc>
        <w:tc>
          <w:tcPr>
            <w:tcW w:w="3685" w:type="dxa"/>
          </w:tcPr>
          <w:p w14:paraId="13AB61FC" w14:textId="4C5EFA51" w:rsidR="002447B1" w:rsidRPr="008625DC" w:rsidRDefault="002447B1" w:rsidP="00857DAA">
            <w:pPr>
              <w:pStyle w:val="TableTextLeft"/>
              <w:jc w:val="left"/>
            </w:pPr>
            <w:r w:rsidRPr="008625DC">
              <w:t>Would give the section too wide an application, bringing within its ambit much legitimate business conduct.</w:t>
            </w:r>
          </w:p>
        </w:tc>
      </w:tr>
      <w:tr w:rsidR="002447B1" w:rsidRPr="008625DC" w14:paraId="4E5A698C" w14:textId="77777777" w:rsidTr="00C042B7">
        <w:tc>
          <w:tcPr>
            <w:tcW w:w="817" w:type="dxa"/>
          </w:tcPr>
          <w:p w14:paraId="0E8A56D7" w14:textId="35C7984A" w:rsidR="002447B1" w:rsidRPr="008625DC" w:rsidRDefault="002447B1" w:rsidP="00127F3A">
            <w:pPr>
              <w:spacing w:before="40" w:after="120" w:line="240" w:lineRule="auto"/>
              <w:jc w:val="center"/>
              <w:rPr>
                <w:sz w:val="20"/>
              </w:rPr>
            </w:pPr>
            <w:r w:rsidRPr="008625DC">
              <w:rPr>
                <w:sz w:val="20"/>
              </w:rPr>
              <w:t>1984</w:t>
            </w:r>
          </w:p>
        </w:tc>
        <w:tc>
          <w:tcPr>
            <w:tcW w:w="3402" w:type="dxa"/>
          </w:tcPr>
          <w:p w14:paraId="545B17C5" w14:textId="7C50325B" w:rsidR="002447B1" w:rsidRPr="008625DC" w:rsidRDefault="002447B1" w:rsidP="00857DAA">
            <w:pPr>
              <w:pStyle w:val="TableTextLeft"/>
              <w:jc w:val="left"/>
            </w:pPr>
            <w:r w:rsidRPr="008625DC">
              <w:t>Green Paper, The Trade Practices Act Proposals for Change</w:t>
            </w:r>
          </w:p>
        </w:tc>
        <w:tc>
          <w:tcPr>
            <w:tcW w:w="1276" w:type="dxa"/>
          </w:tcPr>
          <w:p w14:paraId="45ABBB14" w14:textId="525D8D4E" w:rsidR="002447B1" w:rsidRPr="008625DC" w:rsidRDefault="002447B1" w:rsidP="00C042B7">
            <w:pPr>
              <w:spacing w:before="0" w:after="120" w:line="240" w:lineRule="auto"/>
              <w:jc w:val="center"/>
              <w:rPr>
                <w:sz w:val="20"/>
              </w:rPr>
            </w:pPr>
            <w:r w:rsidRPr="008625DC">
              <w:rPr>
                <w:sz w:val="20"/>
              </w:rPr>
              <w:t>Yes</w:t>
            </w:r>
          </w:p>
        </w:tc>
        <w:tc>
          <w:tcPr>
            <w:tcW w:w="3685" w:type="dxa"/>
          </w:tcPr>
          <w:p w14:paraId="6834D849" w14:textId="6762F49C" w:rsidR="002447B1" w:rsidRPr="008625DC" w:rsidRDefault="002447B1" w:rsidP="00857DAA">
            <w:pPr>
              <w:pStyle w:val="TableTextLeft"/>
              <w:jc w:val="left"/>
            </w:pPr>
            <w:r w:rsidRPr="008625DC">
              <w:t xml:space="preserve">Difficulty in proving purpose. </w:t>
            </w:r>
          </w:p>
        </w:tc>
      </w:tr>
      <w:tr w:rsidR="002447B1" w:rsidRPr="008625DC" w14:paraId="0CCF7DCC" w14:textId="77777777" w:rsidTr="00C042B7">
        <w:tc>
          <w:tcPr>
            <w:tcW w:w="817" w:type="dxa"/>
          </w:tcPr>
          <w:p w14:paraId="5AEE4AFE" w14:textId="452A29B2" w:rsidR="002447B1" w:rsidRPr="008625DC" w:rsidRDefault="002447B1" w:rsidP="00127F3A">
            <w:pPr>
              <w:spacing w:before="40" w:after="120" w:line="240" w:lineRule="auto"/>
              <w:jc w:val="center"/>
              <w:rPr>
                <w:sz w:val="20"/>
              </w:rPr>
            </w:pPr>
            <w:r w:rsidRPr="008625DC">
              <w:rPr>
                <w:sz w:val="20"/>
              </w:rPr>
              <w:t>1989</w:t>
            </w:r>
          </w:p>
        </w:tc>
        <w:tc>
          <w:tcPr>
            <w:tcW w:w="3402" w:type="dxa"/>
          </w:tcPr>
          <w:p w14:paraId="7D8FF174" w14:textId="3167A669" w:rsidR="002447B1" w:rsidRPr="008625DC" w:rsidRDefault="002447B1" w:rsidP="00857DAA">
            <w:pPr>
              <w:pStyle w:val="TableTextLeft"/>
              <w:jc w:val="left"/>
            </w:pPr>
            <w:r w:rsidRPr="008625DC">
              <w:t>House of Representatives Standing Committee on Legal and Constitutional Affairs (Griffiths Committee)</w:t>
            </w:r>
          </w:p>
        </w:tc>
        <w:tc>
          <w:tcPr>
            <w:tcW w:w="1276" w:type="dxa"/>
          </w:tcPr>
          <w:p w14:paraId="162EE7EE" w14:textId="584D81EA" w:rsidR="002447B1" w:rsidRPr="008625DC" w:rsidRDefault="002447B1" w:rsidP="00C042B7">
            <w:pPr>
              <w:spacing w:before="0" w:after="120" w:line="240" w:lineRule="auto"/>
              <w:jc w:val="center"/>
              <w:rPr>
                <w:sz w:val="20"/>
              </w:rPr>
            </w:pPr>
            <w:r w:rsidRPr="008625DC">
              <w:rPr>
                <w:sz w:val="20"/>
              </w:rPr>
              <w:t>No</w:t>
            </w:r>
          </w:p>
        </w:tc>
        <w:tc>
          <w:tcPr>
            <w:tcW w:w="3685" w:type="dxa"/>
          </w:tcPr>
          <w:p w14:paraId="20844172" w14:textId="7CF68602" w:rsidR="002447B1" w:rsidRPr="008625DC" w:rsidRDefault="002447B1" w:rsidP="00857DAA">
            <w:pPr>
              <w:pStyle w:val="TableTextLeft"/>
              <w:jc w:val="left"/>
            </w:pPr>
            <w:r w:rsidRPr="008625DC">
              <w:t>Insufficient evidence to justify the introduction of an effects test into section</w:t>
            </w:r>
            <w:r w:rsidR="00C042B7" w:rsidRPr="008625DC">
              <w:t> </w:t>
            </w:r>
            <w:r w:rsidRPr="008625DC">
              <w:t>46.</w:t>
            </w:r>
          </w:p>
        </w:tc>
      </w:tr>
      <w:tr w:rsidR="002447B1" w:rsidRPr="008625DC" w14:paraId="2308B553" w14:textId="77777777" w:rsidTr="00C042B7">
        <w:tc>
          <w:tcPr>
            <w:tcW w:w="817" w:type="dxa"/>
          </w:tcPr>
          <w:p w14:paraId="0BD049DD" w14:textId="7D8E7132" w:rsidR="002447B1" w:rsidRPr="008625DC" w:rsidRDefault="002447B1" w:rsidP="00127F3A">
            <w:pPr>
              <w:spacing w:before="40" w:after="120" w:line="240" w:lineRule="auto"/>
              <w:jc w:val="center"/>
              <w:rPr>
                <w:sz w:val="20"/>
              </w:rPr>
            </w:pPr>
            <w:r w:rsidRPr="008625DC">
              <w:rPr>
                <w:sz w:val="20"/>
              </w:rPr>
              <w:t>1991</w:t>
            </w:r>
          </w:p>
        </w:tc>
        <w:tc>
          <w:tcPr>
            <w:tcW w:w="3402" w:type="dxa"/>
          </w:tcPr>
          <w:p w14:paraId="1BC6E4F1" w14:textId="47D5FA3C" w:rsidR="002447B1" w:rsidRPr="008625DC" w:rsidRDefault="002447B1" w:rsidP="00857DAA">
            <w:pPr>
              <w:pStyle w:val="TableTextLeft"/>
              <w:jc w:val="left"/>
            </w:pPr>
            <w:r w:rsidRPr="008625DC">
              <w:t>Senate Standing Committee on Legal and Constitutional Affairs (Cooney Committee)</w:t>
            </w:r>
          </w:p>
        </w:tc>
        <w:tc>
          <w:tcPr>
            <w:tcW w:w="1276" w:type="dxa"/>
          </w:tcPr>
          <w:p w14:paraId="3849C3E6" w14:textId="4CF77084" w:rsidR="002447B1" w:rsidRPr="008625DC" w:rsidRDefault="002447B1" w:rsidP="00C042B7">
            <w:pPr>
              <w:spacing w:before="0" w:after="120" w:line="240" w:lineRule="auto"/>
              <w:jc w:val="center"/>
              <w:rPr>
                <w:sz w:val="20"/>
              </w:rPr>
            </w:pPr>
            <w:r w:rsidRPr="008625DC">
              <w:rPr>
                <w:sz w:val="20"/>
              </w:rPr>
              <w:t>No</w:t>
            </w:r>
          </w:p>
        </w:tc>
        <w:tc>
          <w:tcPr>
            <w:tcW w:w="3685" w:type="dxa"/>
          </w:tcPr>
          <w:p w14:paraId="00ED19F0" w14:textId="0200C03F" w:rsidR="002447B1" w:rsidRPr="008625DC" w:rsidRDefault="002447B1" w:rsidP="00857DAA">
            <w:pPr>
              <w:pStyle w:val="TableTextLeft"/>
              <w:jc w:val="left"/>
            </w:pPr>
            <w:r w:rsidRPr="008625DC">
              <w:t>Might unduly broaden the scope of conduct captured by section</w:t>
            </w:r>
            <w:r w:rsidR="00C042B7" w:rsidRPr="008625DC">
              <w:t> </w:t>
            </w:r>
            <w:r w:rsidRPr="008625DC">
              <w:t>46 and challenge the competitive process itself.</w:t>
            </w:r>
          </w:p>
        </w:tc>
      </w:tr>
      <w:tr w:rsidR="002447B1" w:rsidRPr="008625DC" w14:paraId="0B80B36D" w14:textId="77777777" w:rsidTr="00C042B7">
        <w:tc>
          <w:tcPr>
            <w:tcW w:w="817" w:type="dxa"/>
          </w:tcPr>
          <w:p w14:paraId="375A03D8" w14:textId="5C997BB4" w:rsidR="002447B1" w:rsidRPr="008625DC" w:rsidRDefault="002447B1" w:rsidP="00127F3A">
            <w:pPr>
              <w:spacing w:before="40" w:after="120" w:line="240" w:lineRule="auto"/>
              <w:jc w:val="center"/>
              <w:rPr>
                <w:sz w:val="20"/>
              </w:rPr>
            </w:pPr>
            <w:r w:rsidRPr="008625DC">
              <w:rPr>
                <w:sz w:val="20"/>
              </w:rPr>
              <w:t>1993</w:t>
            </w:r>
          </w:p>
        </w:tc>
        <w:tc>
          <w:tcPr>
            <w:tcW w:w="3402" w:type="dxa"/>
          </w:tcPr>
          <w:p w14:paraId="73EE11C5" w14:textId="296B5921" w:rsidR="002447B1" w:rsidRPr="008625DC" w:rsidRDefault="002447B1" w:rsidP="00857DAA">
            <w:pPr>
              <w:pStyle w:val="TableTextLeft"/>
              <w:jc w:val="left"/>
            </w:pPr>
            <w:r w:rsidRPr="008625DC">
              <w:t>Independent Committee of Inquiry into Competition Policy in Australia (Hilmer Committee)</w:t>
            </w:r>
          </w:p>
        </w:tc>
        <w:tc>
          <w:tcPr>
            <w:tcW w:w="1276" w:type="dxa"/>
          </w:tcPr>
          <w:p w14:paraId="0F2CB791" w14:textId="507DE0C3" w:rsidR="002447B1" w:rsidRPr="008625DC" w:rsidRDefault="002447B1" w:rsidP="00C042B7">
            <w:pPr>
              <w:spacing w:before="0" w:after="120" w:line="240" w:lineRule="auto"/>
              <w:jc w:val="center"/>
              <w:rPr>
                <w:sz w:val="20"/>
              </w:rPr>
            </w:pPr>
            <w:r w:rsidRPr="008625DC">
              <w:rPr>
                <w:sz w:val="20"/>
              </w:rPr>
              <w:t>No</w:t>
            </w:r>
          </w:p>
        </w:tc>
        <w:tc>
          <w:tcPr>
            <w:tcW w:w="3685" w:type="dxa"/>
          </w:tcPr>
          <w:p w14:paraId="418AF909" w14:textId="3DE17A6F" w:rsidR="002447B1" w:rsidRPr="008625DC" w:rsidRDefault="002447B1" w:rsidP="00857DAA">
            <w:pPr>
              <w:pStyle w:val="TableTextLeft"/>
              <w:jc w:val="left"/>
            </w:pPr>
            <w:r w:rsidRPr="008625DC">
              <w:t>It would not adequately distinguish between socially detrimental and socially beneficial conduct.</w:t>
            </w:r>
          </w:p>
        </w:tc>
      </w:tr>
      <w:tr w:rsidR="002447B1" w:rsidRPr="008625DC" w14:paraId="08150276" w14:textId="77777777" w:rsidTr="00C042B7">
        <w:tc>
          <w:tcPr>
            <w:tcW w:w="817" w:type="dxa"/>
          </w:tcPr>
          <w:p w14:paraId="068927CC" w14:textId="6A52E9B6" w:rsidR="002447B1" w:rsidRPr="008625DC" w:rsidRDefault="002447B1" w:rsidP="00127F3A">
            <w:pPr>
              <w:spacing w:before="40" w:after="120" w:line="240" w:lineRule="auto"/>
              <w:jc w:val="center"/>
              <w:rPr>
                <w:sz w:val="20"/>
              </w:rPr>
            </w:pPr>
            <w:r w:rsidRPr="008625DC">
              <w:rPr>
                <w:sz w:val="20"/>
              </w:rPr>
              <w:t>1999</w:t>
            </w:r>
          </w:p>
        </w:tc>
        <w:tc>
          <w:tcPr>
            <w:tcW w:w="3402" w:type="dxa"/>
          </w:tcPr>
          <w:p w14:paraId="15433085" w14:textId="7DA37F46" w:rsidR="002447B1" w:rsidRPr="008625DC" w:rsidRDefault="002447B1" w:rsidP="00857DAA">
            <w:pPr>
              <w:pStyle w:val="TableTextLeft"/>
              <w:jc w:val="left"/>
            </w:pPr>
            <w:r w:rsidRPr="008625DC">
              <w:t>Joint Select Committee on the Retailing Sector (Baird Committee)</w:t>
            </w:r>
          </w:p>
        </w:tc>
        <w:tc>
          <w:tcPr>
            <w:tcW w:w="1276" w:type="dxa"/>
          </w:tcPr>
          <w:p w14:paraId="4DA9237A" w14:textId="2E9588D6" w:rsidR="002447B1" w:rsidRPr="008625DC" w:rsidRDefault="002447B1" w:rsidP="00C042B7">
            <w:pPr>
              <w:spacing w:before="0" w:after="120" w:line="240" w:lineRule="auto"/>
              <w:jc w:val="center"/>
              <w:rPr>
                <w:sz w:val="20"/>
              </w:rPr>
            </w:pPr>
            <w:r w:rsidRPr="008625DC">
              <w:rPr>
                <w:sz w:val="20"/>
              </w:rPr>
              <w:t>No</w:t>
            </w:r>
          </w:p>
        </w:tc>
        <w:tc>
          <w:tcPr>
            <w:tcW w:w="3685" w:type="dxa"/>
          </w:tcPr>
          <w:p w14:paraId="6CC2CBE5" w14:textId="5F816D75" w:rsidR="002447B1" w:rsidRPr="008625DC" w:rsidRDefault="002447B1" w:rsidP="00857DAA">
            <w:pPr>
              <w:pStyle w:val="TableTextLeft"/>
              <w:jc w:val="left"/>
            </w:pPr>
            <w:r w:rsidRPr="008625DC">
              <w:t>Such a far reaching change to the law may create much uncertainty in issues dealing with misuse of market power.</w:t>
            </w:r>
          </w:p>
        </w:tc>
      </w:tr>
      <w:tr w:rsidR="002447B1" w:rsidRPr="008625DC" w14:paraId="5BD0B02C" w14:textId="77777777" w:rsidTr="00C042B7">
        <w:tc>
          <w:tcPr>
            <w:tcW w:w="817" w:type="dxa"/>
          </w:tcPr>
          <w:p w14:paraId="4B7AA430" w14:textId="201F5442" w:rsidR="002447B1" w:rsidRPr="008625DC" w:rsidRDefault="002447B1" w:rsidP="00127F3A">
            <w:pPr>
              <w:spacing w:before="40" w:after="120" w:line="240" w:lineRule="auto"/>
              <w:jc w:val="center"/>
              <w:rPr>
                <w:sz w:val="20"/>
              </w:rPr>
            </w:pPr>
            <w:r w:rsidRPr="008625DC">
              <w:rPr>
                <w:sz w:val="20"/>
              </w:rPr>
              <w:t>2001</w:t>
            </w:r>
          </w:p>
        </w:tc>
        <w:tc>
          <w:tcPr>
            <w:tcW w:w="3402" w:type="dxa"/>
          </w:tcPr>
          <w:p w14:paraId="1EC498D5" w14:textId="203F72B6" w:rsidR="002447B1" w:rsidRPr="008625DC" w:rsidRDefault="002447B1" w:rsidP="00857DAA">
            <w:pPr>
              <w:pStyle w:val="TableTextLeft"/>
              <w:jc w:val="left"/>
            </w:pPr>
            <w:r w:rsidRPr="008625DC">
              <w:t>House of Representatives Standing Committee on Economics, Finance and Public Administration (Hawker Committee)</w:t>
            </w:r>
          </w:p>
        </w:tc>
        <w:tc>
          <w:tcPr>
            <w:tcW w:w="1276" w:type="dxa"/>
          </w:tcPr>
          <w:p w14:paraId="7727E71C" w14:textId="6C41E36B" w:rsidR="002447B1" w:rsidRPr="008625DC" w:rsidRDefault="002447B1" w:rsidP="00C042B7">
            <w:pPr>
              <w:spacing w:before="0" w:after="120" w:line="240" w:lineRule="auto"/>
              <w:jc w:val="center"/>
              <w:rPr>
                <w:sz w:val="20"/>
              </w:rPr>
            </w:pPr>
            <w:r w:rsidRPr="008625DC">
              <w:rPr>
                <w:sz w:val="20"/>
              </w:rPr>
              <w:t>No</w:t>
            </w:r>
          </w:p>
        </w:tc>
        <w:tc>
          <w:tcPr>
            <w:tcW w:w="3685" w:type="dxa"/>
          </w:tcPr>
          <w:p w14:paraId="50DA252B" w14:textId="1959520B" w:rsidR="002447B1" w:rsidRPr="008625DC" w:rsidRDefault="002447B1" w:rsidP="00857DAA">
            <w:pPr>
              <w:pStyle w:val="TableTextLeft"/>
              <w:jc w:val="left"/>
            </w:pPr>
            <w:r w:rsidRPr="008625DC">
              <w:t>Await the outcome of further cases on section</w:t>
            </w:r>
            <w:r w:rsidR="00C042B7" w:rsidRPr="008625DC">
              <w:t> </w:t>
            </w:r>
            <w:r w:rsidRPr="008625DC">
              <w:t>46 before considering any change to the law.</w:t>
            </w:r>
          </w:p>
        </w:tc>
      </w:tr>
      <w:tr w:rsidR="002447B1" w:rsidRPr="008625DC" w14:paraId="28215A06" w14:textId="77777777" w:rsidTr="00C042B7">
        <w:tc>
          <w:tcPr>
            <w:tcW w:w="817" w:type="dxa"/>
          </w:tcPr>
          <w:p w14:paraId="1E28986F" w14:textId="69C43302" w:rsidR="002447B1" w:rsidRPr="008625DC" w:rsidRDefault="002447B1" w:rsidP="00127F3A">
            <w:pPr>
              <w:spacing w:before="40" w:after="120" w:line="240" w:lineRule="auto"/>
              <w:jc w:val="center"/>
              <w:rPr>
                <w:sz w:val="20"/>
              </w:rPr>
            </w:pPr>
            <w:r w:rsidRPr="008625DC">
              <w:rPr>
                <w:sz w:val="20"/>
              </w:rPr>
              <w:t>2002</w:t>
            </w:r>
          </w:p>
        </w:tc>
        <w:tc>
          <w:tcPr>
            <w:tcW w:w="3402" w:type="dxa"/>
          </w:tcPr>
          <w:p w14:paraId="166C8E54" w14:textId="0A151708" w:rsidR="002447B1" w:rsidRPr="008625DC" w:rsidRDefault="002447B1" w:rsidP="00857DAA">
            <w:pPr>
              <w:pStyle w:val="TableTextLeft"/>
              <w:jc w:val="left"/>
            </w:pPr>
            <w:r w:rsidRPr="008625DC">
              <w:t>Senate Legal and Constitutional References Committee Inquiry into section</w:t>
            </w:r>
            <w:r w:rsidR="00C042B7" w:rsidRPr="008625DC">
              <w:t> </w:t>
            </w:r>
            <w:r w:rsidRPr="008625DC">
              <w:t>46 and section</w:t>
            </w:r>
            <w:r w:rsidR="00C042B7" w:rsidRPr="008625DC">
              <w:t> </w:t>
            </w:r>
            <w:r w:rsidRPr="008625DC">
              <w:t xml:space="preserve">50 of the </w:t>
            </w:r>
            <w:r w:rsidRPr="008625DC">
              <w:rPr>
                <w:i/>
              </w:rPr>
              <w:t>Trade Practices Act 1974</w:t>
            </w:r>
            <w:r w:rsidRPr="008625DC">
              <w:t>.</w:t>
            </w:r>
          </w:p>
        </w:tc>
        <w:tc>
          <w:tcPr>
            <w:tcW w:w="1276" w:type="dxa"/>
          </w:tcPr>
          <w:p w14:paraId="5D9CE23D" w14:textId="5CDE13EB" w:rsidR="002447B1" w:rsidRPr="008625DC" w:rsidRDefault="002447B1" w:rsidP="00C042B7">
            <w:pPr>
              <w:spacing w:before="0" w:after="120" w:line="240" w:lineRule="auto"/>
              <w:jc w:val="center"/>
              <w:rPr>
                <w:sz w:val="20"/>
              </w:rPr>
            </w:pPr>
            <w:r w:rsidRPr="008625DC">
              <w:rPr>
                <w:sz w:val="20"/>
              </w:rPr>
              <w:t>No</w:t>
            </w:r>
          </w:p>
        </w:tc>
        <w:tc>
          <w:tcPr>
            <w:tcW w:w="3685" w:type="dxa"/>
          </w:tcPr>
          <w:p w14:paraId="66A02110" w14:textId="260C904F" w:rsidR="002447B1" w:rsidRPr="008625DC" w:rsidRDefault="002447B1" w:rsidP="00857DAA">
            <w:pPr>
              <w:pStyle w:val="TableTextLeft"/>
              <w:jc w:val="left"/>
            </w:pPr>
            <w:r w:rsidRPr="008625DC">
              <w:t>Referred consideration of section</w:t>
            </w:r>
            <w:r w:rsidR="00C042B7" w:rsidRPr="008625DC">
              <w:t> </w:t>
            </w:r>
            <w:r w:rsidRPr="008625DC">
              <w:t>46 to the Dawson Review</w:t>
            </w:r>
          </w:p>
        </w:tc>
      </w:tr>
      <w:tr w:rsidR="002447B1" w:rsidRPr="008625DC" w14:paraId="549DEF60" w14:textId="77777777" w:rsidTr="00C042B7">
        <w:tc>
          <w:tcPr>
            <w:tcW w:w="817" w:type="dxa"/>
          </w:tcPr>
          <w:p w14:paraId="300040A2" w14:textId="6CF02E08" w:rsidR="002447B1" w:rsidRPr="008625DC" w:rsidRDefault="002447B1" w:rsidP="00127F3A">
            <w:pPr>
              <w:spacing w:before="40" w:after="120" w:line="240" w:lineRule="auto"/>
              <w:jc w:val="center"/>
              <w:rPr>
                <w:sz w:val="20"/>
              </w:rPr>
            </w:pPr>
            <w:r w:rsidRPr="008625DC">
              <w:rPr>
                <w:sz w:val="20"/>
              </w:rPr>
              <w:t>2003</w:t>
            </w:r>
          </w:p>
        </w:tc>
        <w:tc>
          <w:tcPr>
            <w:tcW w:w="3402" w:type="dxa"/>
          </w:tcPr>
          <w:p w14:paraId="58E76380" w14:textId="5ED3223F" w:rsidR="002447B1" w:rsidRPr="008625DC" w:rsidRDefault="002447B1" w:rsidP="00857DAA">
            <w:pPr>
              <w:pStyle w:val="TableTextLeft"/>
              <w:jc w:val="left"/>
            </w:pPr>
            <w:r w:rsidRPr="008625DC">
              <w:t>Trade Practices Act Review Committee (Dawson Review)</w:t>
            </w:r>
          </w:p>
        </w:tc>
        <w:tc>
          <w:tcPr>
            <w:tcW w:w="1276" w:type="dxa"/>
          </w:tcPr>
          <w:p w14:paraId="3FE1076E" w14:textId="18CB598D" w:rsidR="002447B1" w:rsidRPr="008625DC" w:rsidRDefault="002447B1" w:rsidP="00C042B7">
            <w:pPr>
              <w:spacing w:before="0" w:after="120" w:line="240" w:lineRule="auto"/>
              <w:jc w:val="center"/>
              <w:rPr>
                <w:sz w:val="20"/>
              </w:rPr>
            </w:pPr>
            <w:r w:rsidRPr="008625DC">
              <w:rPr>
                <w:sz w:val="20"/>
              </w:rPr>
              <w:t>No</w:t>
            </w:r>
          </w:p>
        </w:tc>
        <w:tc>
          <w:tcPr>
            <w:tcW w:w="3685" w:type="dxa"/>
          </w:tcPr>
          <w:p w14:paraId="36E6F050" w14:textId="0CF1794D" w:rsidR="002447B1" w:rsidRPr="008625DC" w:rsidRDefault="002447B1" w:rsidP="00857DAA">
            <w:pPr>
              <w:pStyle w:val="TableTextLeft"/>
              <w:jc w:val="left"/>
            </w:pPr>
            <w:r w:rsidRPr="008625DC">
              <w:t>The addition of an effects test would increase the risk of regulatory error and render purpose ineffective as a means of distinguishing between pro</w:t>
            </w:r>
            <w:r w:rsidR="00C74E19" w:rsidRPr="008625DC">
              <w:noBreakHyphen/>
            </w:r>
            <w:r w:rsidRPr="008625DC">
              <w:t>competitive and anti</w:t>
            </w:r>
            <w:r w:rsidR="00C74E19" w:rsidRPr="008625DC">
              <w:noBreakHyphen/>
            </w:r>
            <w:r w:rsidRPr="008625DC">
              <w:t>competitive.</w:t>
            </w:r>
          </w:p>
        </w:tc>
      </w:tr>
      <w:tr w:rsidR="002447B1" w:rsidRPr="008625DC" w14:paraId="7B4FD4B9" w14:textId="77777777" w:rsidTr="00C042B7">
        <w:tc>
          <w:tcPr>
            <w:tcW w:w="817" w:type="dxa"/>
          </w:tcPr>
          <w:p w14:paraId="2E5DE449" w14:textId="3C95B9E0" w:rsidR="002447B1" w:rsidRPr="008625DC" w:rsidRDefault="002447B1" w:rsidP="00127F3A">
            <w:pPr>
              <w:spacing w:before="40" w:after="120" w:line="240" w:lineRule="auto"/>
              <w:jc w:val="center"/>
              <w:rPr>
                <w:sz w:val="20"/>
              </w:rPr>
            </w:pPr>
            <w:r w:rsidRPr="008625DC">
              <w:rPr>
                <w:sz w:val="20"/>
              </w:rPr>
              <w:lastRenderedPageBreak/>
              <w:t>2004</w:t>
            </w:r>
          </w:p>
        </w:tc>
        <w:tc>
          <w:tcPr>
            <w:tcW w:w="3402" w:type="dxa"/>
          </w:tcPr>
          <w:p w14:paraId="451E9F46" w14:textId="57089307" w:rsidR="002447B1" w:rsidRPr="008625DC" w:rsidRDefault="002447B1" w:rsidP="00857DAA">
            <w:pPr>
              <w:pStyle w:val="TableTextLeft"/>
              <w:jc w:val="left"/>
            </w:pPr>
            <w:r w:rsidRPr="008625DC">
              <w:t xml:space="preserve">Senate Economics References Committee Inquiry into the Effectiveness of the </w:t>
            </w:r>
            <w:r w:rsidRPr="008625DC">
              <w:rPr>
                <w:i/>
              </w:rPr>
              <w:t>Trade Practices Act 1974</w:t>
            </w:r>
            <w:r w:rsidRPr="008625DC">
              <w:t xml:space="preserve"> in protecting Small Business</w:t>
            </w:r>
          </w:p>
        </w:tc>
        <w:tc>
          <w:tcPr>
            <w:tcW w:w="1276" w:type="dxa"/>
          </w:tcPr>
          <w:p w14:paraId="42D11F4A" w14:textId="70A1BE33" w:rsidR="002447B1" w:rsidRPr="008625DC" w:rsidRDefault="002447B1" w:rsidP="00C042B7">
            <w:pPr>
              <w:spacing w:before="0" w:after="120" w:line="240" w:lineRule="auto"/>
              <w:jc w:val="center"/>
              <w:rPr>
                <w:sz w:val="20"/>
              </w:rPr>
            </w:pPr>
            <w:r w:rsidRPr="008625DC">
              <w:rPr>
                <w:sz w:val="20"/>
              </w:rPr>
              <w:t>No</w:t>
            </w:r>
          </w:p>
        </w:tc>
        <w:tc>
          <w:tcPr>
            <w:tcW w:w="3685" w:type="dxa"/>
          </w:tcPr>
          <w:p w14:paraId="6BAA3212" w14:textId="7E3CCA78" w:rsidR="002447B1" w:rsidRPr="008625DC" w:rsidRDefault="002447B1" w:rsidP="00857DAA">
            <w:pPr>
              <w:pStyle w:val="TableTextLeft"/>
              <w:jc w:val="left"/>
            </w:pPr>
            <w:r w:rsidRPr="008625DC">
              <w:t>While sympathetic to some of the arguments for an effects test, the difficulties with introducing it meant that the Committee did not recommend the inclusion of an effects test.</w:t>
            </w:r>
          </w:p>
        </w:tc>
      </w:tr>
    </w:tbl>
    <w:p w14:paraId="5215ED7F" w14:textId="6E6E9DEF" w:rsidR="00D96804" w:rsidRPr="008625DC" w:rsidRDefault="00D96804" w:rsidP="00127F3A">
      <w:pPr>
        <w:spacing w:before="240"/>
      </w:pPr>
      <w:r w:rsidRPr="008625DC">
        <w:t>The Panel considers that the long</w:t>
      </w:r>
      <w:r w:rsidR="00C74E19" w:rsidRPr="008625DC">
        <w:noBreakHyphen/>
      </w:r>
      <w:r w:rsidRPr="008625DC">
        <w:t xml:space="preserve">running debate concerning </w:t>
      </w:r>
      <w:r w:rsidR="00C74E19" w:rsidRPr="008625DC">
        <w:t>‘</w:t>
      </w:r>
      <w:r w:rsidRPr="008625DC">
        <w:t>purpose</w:t>
      </w:r>
      <w:r w:rsidR="00C74E19" w:rsidRPr="008625DC">
        <w:t>’</w:t>
      </w:r>
      <w:r w:rsidRPr="008625DC">
        <w:t xml:space="preserve"> and </w:t>
      </w:r>
      <w:r w:rsidR="00C74E19" w:rsidRPr="008625DC">
        <w:t>‘</w:t>
      </w:r>
      <w:r w:rsidRPr="008625DC">
        <w:t>effect</w:t>
      </w:r>
      <w:r w:rsidR="00C74E19" w:rsidRPr="008625DC">
        <w:t>’</w:t>
      </w:r>
      <w:r w:rsidRPr="008625DC">
        <w:t xml:space="preserve"> in the context of section</w:t>
      </w:r>
      <w:r w:rsidR="004F49B5" w:rsidRPr="008625DC">
        <w:t> </w:t>
      </w:r>
      <w:r w:rsidRPr="008625DC">
        <w:t>46 has been somewhat unproductive. In one sense the concerns raised by both sides of the debate are correct. Internationally, competition laws have been framed so as to examine the effects on competition of commercial conduct, as well as the purpose of the conduct.</w:t>
      </w:r>
      <w:r w:rsidR="00FD54DA" w:rsidRPr="008625DC">
        <w:t xml:space="preserve"> </w:t>
      </w:r>
      <w:r w:rsidRPr="008625DC">
        <w:t>In Australia section</w:t>
      </w:r>
      <w:r w:rsidR="004F49B5" w:rsidRPr="008625DC">
        <w:t> </w:t>
      </w:r>
      <w:r w:rsidRPr="008625DC">
        <w:t>45 (anti</w:t>
      </w:r>
      <w:r w:rsidR="00C74E19" w:rsidRPr="008625DC">
        <w:noBreakHyphen/>
      </w:r>
      <w:r w:rsidRPr="008625DC">
        <w:t>competitive arrangements) and section</w:t>
      </w:r>
      <w:r w:rsidR="004F49B5" w:rsidRPr="008625DC">
        <w:t> </w:t>
      </w:r>
      <w:r w:rsidRPr="008625DC">
        <w:t>47 (exclusive dealing) apply if the purpose</w:t>
      </w:r>
      <w:r w:rsidR="002D17D6" w:rsidRPr="008625DC">
        <w:t>, effect</w:t>
      </w:r>
      <w:r w:rsidRPr="008625DC">
        <w:t xml:space="preserve"> or likely effect of the conduct is to substantially lessen competition; section</w:t>
      </w:r>
      <w:r w:rsidR="004F49B5" w:rsidRPr="008625DC">
        <w:t> </w:t>
      </w:r>
      <w:r w:rsidRPr="008625DC">
        <w:t xml:space="preserve">50 (mergers) applies if the </w:t>
      </w:r>
      <w:r w:rsidR="00CE0B5A" w:rsidRPr="008625DC">
        <w:t xml:space="preserve">effect or </w:t>
      </w:r>
      <w:r w:rsidRPr="008625DC">
        <w:t>likely effect of the conduct is to substantially lessen competition. Equally, competition laws have been framed (</w:t>
      </w:r>
      <w:r w:rsidR="00CE0B5A" w:rsidRPr="008625DC">
        <w:t>and</w:t>
      </w:r>
      <w:r w:rsidRPr="008625DC">
        <w:t xml:space="preserve"> interpreted) in a manner that is designed to minimise the risk that the law might chill competitive behaviour.</w:t>
      </w:r>
    </w:p>
    <w:p w14:paraId="2E450923" w14:textId="786815D5" w:rsidR="00D96804" w:rsidRPr="008625DC" w:rsidRDefault="00D96804" w:rsidP="00D96804">
      <w:r w:rsidRPr="008625DC">
        <w:t>The challenge is to frame a law that captures anti</w:t>
      </w:r>
      <w:r w:rsidR="00C74E19" w:rsidRPr="008625DC">
        <w:noBreakHyphen/>
      </w:r>
      <w:r w:rsidRPr="008625DC">
        <w:t>competitive unilateral behaviour but does not constrain vigorous competitive conduct. Such a law must be written in clear language and state a legal test that can be reliably applied by the courts to distinguish between competitive and anti</w:t>
      </w:r>
      <w:r w:rsidR="00C74E19" w:rsidRPr="008625DC">
        <w:noBreakHyphen/>
      </w:r>
      <w:r w:rsidRPr="008625DC">
        <w:t>competitive conduct.</w:t>
      </w:r>
    </w:p>
    <w:p w14:paraId="297C620D" w14:textId="4C9B478E" w:rsidR="00D96804" w:rsidRPr="008625DC" w:rsidRDefault="00D96804" w:rsidP="00FB084C">
      <w:pPr>
        <w:pStyle w:val="Heading3"/>
      </w:pPr>
      <w:r w:rsidRPr="008625DC">
        <w:t>Difficulties with the current language of section</w:t>
      </w:r>
      <w:r w:rsidR="004F49B5" w:rsidRPr="008625DC">
        <w:t> </w:t>
      </w:r>
      <w:r w:rsidRPr="008625DC">
        <w:t>46</w:t>
      </w:r>
    </w:p>
    <w:p w14:paraId="23CA5A80" w14:textId="6BE311F9" w:rsidR="00D96804" w:rsidRPr="008625DC" w:rsidRDefault="00D96804" w:rsidP="00FF25F3">
      <w:r w:rsidRPr="008625DC">
        <w:t>Section</w:t>
      </w:r>
      <w:r w:rsidR="004F49B5" w:rsidRPr="008625DC">
        <w:t> </w:t>
      </w:r>
      <w:r w:rsidRPr="008625DC">
        <w:t>46 only applies to firms that have a substantial degree of power in a market. The threshold test of substantial market power enjoys broad support and the Panel did not receive any submissions making a case for change.</w:t>
      </w:r>
    </w:p>
    <w:p w14:paraId="24FEA8CF" w14:textId="351AF526" w:rsidR="00D96804" w:rsidRPr="008625DC" w:rsidRDefault="00D96804" w:rsidP="00127F3A">
      <w:pPr>
        <w:spacing w:after="120"/>
      </w:pPr>
      <w:r w:rsidRPr="008625DC">
        <w:t>Section</w:t>
      </w:r>
      <w:r w:rsidR="004F49B5" w:rsidRPr="008625DC">
        <w:t> </w:t>
      </w:r>
      <w:r w:rsidRPr="008625DC">
        <w:t>46 defines conduct as a misuse of market power if it satisfies two legal tests:</w:t>
      </w:r>
    </w:p>
    <w:p w14:paraId="589ECB8A" w14:textId="3CEE0C27" w:rsidR="00D96804" w:rsidRPr="008625DC" w:rsidRDefault="00D96804" w:rsidP="00FF25F3">
      <w:pPr>
        <w:pStyle w:val="Bullet"/>
      </w:pPr>
      <w:r w:rsidRPr="008625DC">
        <w:t>first, the conduct must have involved taking advantage of the firm</w:t>
      </w:r>
      <w:r w:rsidR="00C74E19" w:rsidRPr="008625DC">
        <w:t>’</w:t>
      </w:r>
      <w:r w:rsidRPr="008625DC">
        <w:t>s market power; and</w:t>
      </w:r>
    </w:p>
    <w:p w14:paraId="5EF34BC4" w14:textId="77777777" w:rsidR="00D96804" w:rsidRPr="008625DC" w:rsidRDefault="00D96804" w:rsidP="00127F3A">
      <w:pPr>
        <w:pStyle w:val="Bullet"/>
        <w:spacing w:after="240"/>
      </w:pPr>
      <w:r w:rsidRPr="008625DC">
        <w:t>secondly, the conduct must have been undertaken for the purpose of eliminating or substantially damaging a competitor, preventing the entry of a person into a market, or deterring or preventing a person from engaging in competitive conduct.</w:t>
      </w:r>
    </w:p>
    <w:p w14:paraId="36AE87DA" w14:textId="7F5F66D1" w:rsidR="00D96804" w:rsidRPr="008625DC" w:rsidRDefault="00D96804" w:rsidP="00FF25F3">
      <w:r w:rsidRPr="008625DC">
        <w:t xml:space="preserve">Both the courts and the legislature have wrestled with the meaning of the expression </w:t>
      </w:r>
      <w:r w:rsidR="00C74E19" w:rsidRPr="008625DC">
        <w:t>‘</w:t>
      </w:r>
      <w:r w:rsidRPr="008625DC">
        <w:t>take advantage</w:t>
      </w:r>
      <w:r w:rsidR="00C74E19" w:rsidRPr="008625DC">
        <w:t>’</w:t>
      </w:r>
      <w:r w:rsidRPr="008625DC">
        <w:t xml:space="preserve"> over many years. Its meaning is subtle and difficult to apply in practice. The ordinary meaning of the words </w:t>
      </w:r>
      <w:r w:rsidR="00C74E19" w:rsidRPr="008625DC">
        <w:t>‘</w:t>
      </w:r>
      <w:r w:rsidRPr="008625DC">
        <w:t>take advantage</w:t>
      </w:r>
      <w:r w:rsidR="00C74E19" w:rsidRPr="008625DC">
        <w:t>’</w:t>
      </w:r>
      <w:r w:rsidRPr="008625DC">
        <w:t xml:space="preserve"> is to use to one</w:t>
      </w:r>
      <w:r w:rsidR="00C74E19" w:rsidRPr="008625DC">
        <w:t>’</w:t>
      </w:r>
      <w:r w:rsidRPr="008625DC">
        <w:t>s advantage. But when the words are coupled with market power, it is necessary to understand how a firm might use market power to its advantage and what constitutes a use of market power.</w:t>
      </w:r>
    </w:p>
    <w:p w14:paraId="609E9461" w14:textId="368F0F43" w:rsidR="00D96804" w:rsidRPr="008625DC" w:rsidRDefault="00D96804" w:rsidP="00FF25F3">
      <w:r w:rsidRPr="008625DC">
        <w:t xml:space="preserve">The difficulty with the expression lies in the fact that market power is not a physical asset (such as an airport) or a commercial instrument (such as a lease), the use of which can be observed. Market power is an economic concept, describing the state or condition of a market. A firm possesses market power when it has a degree of freedom from competitive constraint. Recognising that, the High Court concluded in </w:t>
      </w:r>
      <w:r w:rsidRPr="008625DC">
        <w:rPr>
          <w:i/>
        </w:rPr>
        <w:t>Queensland Wire v BHP</w:t>
      </w:r>
      <w:r w:rsidR="009F7016" w:rsidRPr="008625DC">
        <w:rPr>
          <w:rStyle w:val="FootnoteReference"/>
        </w:rPr>
        <w:footnoteReference w:id="273"/>
      </w:r>
      <w:r w:rsidRPr="008625DC">
        <w:t xml:space="preserve"> that taking advantage of market power means engaging in conduct that would not be undertaken in a competitive market (because the firm would be constrained by competition).</w:t>
      </w:r>
    </w:p>
    <w:p w14:paraId="3EAF3371" w14:textId="058ED2EE" w:rsidR="00D96804" w:rsidRPr="008625DC" w:rsidRDefault="00D96804" w:rsidP="00127F3A">
      <w:pPr>
        <w:spacing w:after="120"/>
      </w:pPr>
      <w:r w:rsidRPr="008625DC">
        <w:lastRenderedPageBreak/>
        <w:t xml:space="preserve">In the years since the decision in </w:t>
      </w:r>
      <w:r w:rsidRPr="008625DC">
        <w:rPr>
          <w:i/>
        </w:rPr>
        <w:t>Queensland Wire</w:t>
      </w:r>
      <w:r w:rsidRPr="008625DC">
        <w:t xml:space="preserve"> the difficulties in </w:t>
      </w:r>
      <w:r w:rsidR="00101DD2" w:rsidRPr="008625DC">
        <w:t xml:space="preserve">interpreting and </w:t>
      </w:r>
      <w:r w:rsidRPr="008625DC">
        <w:t xml:space="preserve">applying the </w:t>
      </w:r>
      <w:r w:rsidR="00C74E19" w:rsidRPr="008625DC">
        <w:t>‘</w:t>
      </w:r>
      <w:r w:rsidRPr="008625DC">
        <w:t>tak</w:t>
      </w:r>
      <w:r w:rsidR="00E56183" w:rsidRPr="008625DC">
        <w:t>e</w:t>
      </w:r>
      <w:r w:rsidRPr="008625DC">
        <w:t xml:space="preserve"> advantage</w:t>
      </w:r>
      <w:r w:rsidR="00C74E19" w:rsidRPr="008625DC">
        <w:t>’</w:t>
      </w:r>
      <w:r w:rsidRPr="008625DC">
        <w:t xml:space="preserve"> test and determining whether specific business conduct does or does not involve taking advantage of market power have become apparent. The following cases illustrate some of the difficulties</w:t>
      </w:r>
      <w:r w:rsidR="00CE0B5A" w:rsidRPr="008625DC">
        <w:t>:</w:t>
      </w:r>
    </w:p>
    <w:p w14:paraId="62554699" w14:textId="76F9BF8B" w:rsidR="00D96804" w:rsidRPr="008625DC" w:rsidRDefault="00D96804" w:rsidP="00FF25F3">
      <w:pPr>
        <w:pStyle w:val="Bullet"/>
      </w:pPr>
      <w:r w:rsidRPr="008625DC">
        <w:t xml:space="preserve">In </w:t>
      </w:r>
      <w:r w:rsidRPr="008625DC">
        <w:rPr>
          <w:i/>
        </w:rPr>
        <w:t>Melway</w:t>
      </w:r>
      <w:r w:rsidRPr="008625DC">
        <w:t>,</w:t>
      </w:r>
      <w:r w:rsidR="009F7016" w:rsidRPr="008625DC">
        <w:rPr>
          <w:rStyle w:val="FootnoteReference"/>
        </w:rPr>
        <w:footnoteReference w:id="274"/>
      </w:r>
      <w:r w:rsidRPr="008625DC">
        <w:t xml:space="preserve"> trial and appellate courts differed on whether refusing to supply Melway street directories to a particular retailer involved taking advantage of market power</w:t>
      </w:r>
      <w:r w:rsidR="00C74E19" w:rsidRPr="008625DC">
        <w:t xml:space="preserve"> — </w:t>
      </w:r>
      <w:r w:rsidRPr="008625DC">
        <w:t xml:space="preserve">the High Court ultimately concluding that it did not. </w:t>
      </w:r>
    </w:p>
    <w:p w14:paraId="2BCC5073" w14:textId="4A4B87C4" w:rsidR="00D96804" w:rsidRPr="008625DC" w:rsidRDefault="00D96804" w:rsidP="00FF25F3">
      <w:pPr>
        <w:pStyle w:val="Bullet"/>
      </w:pPr>
      <w:r w:rsidRPr="008625DC">
        <w:t xml:space="preserve">In </w:t>
      </w:r>
      <w:r w:rsidRPr="008625DC">
        <w:rPr>
          <w:i/>
        </w:rPr>
        <w:t>Boral</w:t>
      </w:r>
      <w:r w:rsidRPr="008625DC">
        <w:t>,</w:t>
      </w:r>
      <w:r w:rsidR="009F7016" w:rsidRPr="008625DC">
        <w:rPr>
          <w:rStyle w:val="FootnoteReference"/>
        </w:rPr>
        <w:footnoteReference w:id="275"/>
      </w:r>
      <w:r w:rsidR="009F7016" w:rsidRPr="008625DC">
        <w:t xml:space="preserve"> trial and appellate courts differed on the circumstances that are required to show that selling products at low prices involved taking advantage of market power (and constituted predatory pricing).</w:t>
      </w:r>
      <w:r w:rsidRPr="008625DC">
        <w:t xml:space="preserve"> Following </w:t>
      </w:r>
      <w:r w:rsidRPr="008625DC">
        <w:rPr>
          <w:i/>
        </w:rPr>
        <w:t>Boral</w:t>
      </w:r>
      <w:r w:rsidRPr="008625DC">
        <w:t xml:space="preserve">, </w:t>
      </w:r>
      <w:r w:rsidR="00101DD2" w:rsidRPr="008625DC">
        <w:t>Parliament</w:t>
      </w:r>
      <w:r w:rsidRPr="008625DC">
        <w:t xml:space="preserve"> amended section</w:t>
      </w:r>
      <w:r w:rsidR="004F49B5" w:rsidRPr="008625DC">
        <w:t> </w:t>
      </w:r>
      <w:r w:rsidRPr="008625DC">
        <w:t>46 in an attempt to capture predatory pricing conduct.</w:t>
      </w:r>
      <w:r w:rsidR="00101DD2" w:rsidRPr="008625DC">
        <w:rPr>
          <w:rStyle w:val="FootnoteReference"/>
        </w:rPr>
        <w:footnoteReference w:id="276"/>
      </w:r>
      <w:r w:rsidRPr="008625DC">
        <w:t xml:space="preserve"> However, the amendments themselves are cast in language that is difficult to interpret and apply in practice (while the amendments seek to prohibit pricing below cost, the expression </w:t>
      </w:r>
      <w:r w:rsidR="00C74E19" w:rsidRPr="008625DC">
        <w:t>‘</w:t>
      </w:r>
      <w:r w:rsidRPr="008625DC">
        <w:t>cost</w:t>
      </w:r>
      <w:r w:rsidR="00C74E19" w:rsidRPr="008625DC">
        <w:t>’</w:t>
      </w:r>
      <w:r w:rsidRPr="008625DC">
        <w:t xml:space="preserve"> is not defined and there are circumstances in which pricing below </w:t>
      </w:r>
      <w:r w:rsidR="00101DD2" w:rsidRPr="008625DC">
        <w:t xml:space="preserve">certain measures of </w:t>
      </w:r>
      <w:r w:rsidRPr="008625DC">
        <w:t>cost might be an ordinary business strategy in a competitive market).</w:t>
      </w:r>
    </w:p>
    <w:p w14:paraId="09E72D05" w14:textId="1B5C77EE" w:rsidR="00101DD2" w:rsidRPr="008625DC" w:rsidRDefault="00101DD2" w:rsidP="00101DD2">
      <w:pPr>
        <w:pStyle w:val="Bullet"/>
      </w:pPr>
      <w:r w:rsidRPr="008625DC">
        <w:t xml:space="preserve">In </w:t>
      </w:r>
      <w:r w:rsidRPr="008625DC">
        <w:rPr>
          <w:i/>
        </w:rPr>
        <w:t>Rural Press</w:t>
      </w:r>
      <w:r w:rsidRPr="008625DC">
        <w:t>,</w:t>
      </w:r>
      <w:r w:rsidRPr="008625DC">
        <w:rPr>
          <w:rStyle w:val="FootnoteReference"/>
        </w:rPr>
        <w:footnoteReference w:id="277"/>
      </w:r>
      <w:r w:rsidRPr="008625DC">
        <w:t xml:space="preserve"> trial and appellate courts differed on whether a threat by one regional newspaper publisher to begin distributing its newspaper in a neighbouring region, in order to deter the neighbour from distributing its newspaper in the first publisher</w:t>
      </w:r>
      <w:r w:rsidR="00C74E19" w:rsidRPr="008625DC">
        <w:t>’</w:t>
      </w:r>
      <w:r w:rsidRPr="008625DC">
        <w:t>s region, involved taking advantage of market power</w:t>
      </w:r>
      <w:r w:rsidR="00C74E19" w:rsidRPr="008625DC">
        <w:t xml:space="preserve"> — </w:t>
      </w:r>
      <w:r w:rsidRPr="008625DC">
        <w:t xml:space="preserve">the High Court ultimately concluding that it did not. Following </w:t>
      </w:r>
      <w:r w:rsidRPr="008625DC">
        <w:rPr>
          <w:i/>
        </w:rPr>
        <w:t>Rural Press</w:t>
      </w:r>
      <w:r w:rsidRPr="008625DC">
        <w:t xml:space="preserve">, Parliament amended section 46 in an attempt to explain the meaning of </w:t>
      </w:r>
      <w:r w:rsidR="00C74E19" w:rsidRPr="008625DC">
        <w:t>‘</w:t>
      </w:r>
      <w:r w:rsidRPr="008625DC">
        <w:t>take advantage</w:t>
      </w:r>
      <w:r w:rsidR="00C74E19" w:rsidRPr="008625DC">
        <w:t>’</w:t>
      </w:r>
      <w:r w:rsidRPr="008625DC">
        <w:t>.</w:t>
      </w:r>
      <w:r w:rsidRPr="008625DC">
        <w:rPr>
          <w:rStyle w:val="FootnoteReference"/>
        </w:rPr>
        <w:footnoteReference w:id="278"/>
      </w:r>
      <w:r w:rsidRPr="008625DC">
        <w:t xml:space="preserve"> It is doubtful that the amendments assisted.</w:t>
      </w:r>
    </w:p>
    <w:p w14:paraId="583711FC" w14:textId="5CC872D9" w:rsidR="00D96804" w:rsidRPr="008625DC" w:rsidRDefault="00D96804" w:rsidP="00127F3A">
      <w:pPr>
        <w:pStyle w:val="Bullet"/>
        <w:spacing w:after="240"/>
      </w:pPr>
      <w:r w:rsidRPr="008625DC">
        <w:t xml:space="preserve">Most recently, in </w:t>
      </w:r>
      <w:r w:rsidRPr="008625DC">
        <w:rPr>
          <w:i/>
        </w:rPr>
        <w:t>Cement Australia</w:t>
      </w:r>
      <w:r w:rsidRPr="008625DC">
        <w:t>,</w:t>
      </w:r>
      <w:r w:rsidR="009F7016" w:rsidRPr="008625DC">
        <w:rPr>
          <w:rStyle w:val="FootnoteReference"/>
        </w:rPr>
        <w:footnoteReference w:id="279"/>
      </w:r>
      <w:r w:rsidRPr="008625DC">
        <w:t xml:space="preserve"> the meaning of the expression </w:t>
      </w:r>
      <w:r w:rsidR="00C74E19" w:rsidRPr="008625DC">
        <w:t>‘</w:t>
      </w:r>
      <w:r w:rsidRPr="008625DC">
        <w:t>take advantage</w:t>
      </w:r>
      <w:r w:rsidR="00C74E19" w:rsidRPr="008625DC">
        <w:t>’</w:t>
      </w:r>
      <w:r w:rsidRPr="008625DC">
        <w:t xml:space="preserve"> was again a central matter of dispute</w:t>
      </w:r>
      <w:r w:rsidR="00101DD2" w:rsidRPr="008625DC">
        <w:t xml:space="preserve"> in determining whether conduct, involving the acquisition of flyash (a by</w:t>
      </w:r>
      <w:r w:rsidR="00C74E19" w:rsidRPr="008625DC">
        <w:noBreakHyphen/>
      </w:r>
      <w:r w:rsidR="00101DD2" w:rsidRPr="008625DC">
        <w:t>product of coal fired electricity generation which can be used as a cementitious material in concrete), involved a misuse of market power. The Federal Court reached the conclusion that the conduct did not involve a misuse of market power in contravention of section 46, but did have the likely effect of substantially lessening competition in contravention of section 45.</w:t>
      </w:r>
    </w:p>
    <w:p w14:paraId="21A3D8F8" w14:textId="41E7518A" w:rsidR="002D5B77" w:rsidRPr="008625DC" w:rsidRDefault="00101DD2" w:rsidP="00FF25F3">
      <w:r w:rsidRPr="008625DC">
        <w:t xml:space="preserve">The important point is not whether the outcomes of those cases, on the facts before the court, were correct or incorrect from a competition policy perspective. The issue is whether the </w:t>
      </w:r>
      <w:r w:rsidR="00C74E19" w:rsidRPr="008625DC">
        <w:t>‘</w:t>
      </w:r>
      <w:r w:rsidRPr="008625DC">
        <w:t>take advantage</w:t>
      </w:r>
      <w:r w:rsidR="00C74E19" w:rsidRPr="008625DC">
        <w:t>’</w:t>
      </w:r>
      <w:r w:rsidRPr="008625DC">
        <w:t xml:space="preserve"> limb of section 46 is sufficiently clear and predictable in interpretation and application to distinguish between anti</w:t>
      </w:r>
      <w:r w:rsidR="00C74E19" w:rsidRPr="008625DC">
        <w:noBreakHyphen/>
      </w:r>
      <w:r w:rsidRPr="008625DC">
        <w:t>competitive and pro</w:t>
      </w:r>
      <w:r w:rsidR="00C74E19" w:rsidRPr="008625DC">
        <w:noBreakHyphen/>
      </w:r>
      <w:r w:rsidRPr="008625DC">
        <w:t>competitive conduct.</w:t>
      </w:r>
    </w:p>
    <w:p w14:paraId="53B9D1F4" w14:textId="25FB915E" w:rsidR="00D96804" w:rsidRPr="008625DC" w:rsidRDefault="00D96804" w:rsidP="00FF25F3">
      <w:r w:rsidRPr="008625DC">
        <w:t xml:space="preserve">Given these difficulties </w:t>
      </w:r>
      <w:r w:rsidR="00101DD2" w:rsidRPr="008625DC">
        <w:t xml:space="preserve">of interpretation that have been revealed in the decided cases, </w:t>
      </w:r>
      <w:r w:rsidRPr="008625DC">
        <w:t xml:space="preserve">and the attempts by </w:t>
      </w:r>
      <w:r w:rsidR="00101DD2" w:rsidRPr="008625DC">
        <w:t>Parliament</w:t>
      </w:r>
      <w:r w:rsidRPr="008625DC">
        <w:t xml:space="preserve"> to address the problem, a serious question arises whether </w:t>
      </w:r>
      <w:r w:rsidR="00C74E19" w:rsidRPr="008625DC">
        <w:t>‘</w:t>
      </w:r>
      <w:r w:rsidRPr="008625DC">
        <w:t>take advantage</w:t>
      </w:r>
      <w:r w:rsidR="00C74E19" w:rsidRPr="008625DC">
        <w:t>’</w:t>
      </w:r>
      <w:r w:rsidRPr="008625DC">
        <w:t xml:space="preserve"> is a useful expression by which to distinguish competitive </w:t>
      </w:r>
      <w:r w:rsidR="004E5E01" w:rsidRPr="008625DC">
        <w:t>from</w:t>
      </w:r>
      <w:r w:rsidRPr="008625DC">
        <w:t xml:space="preserve"> anti</w:t>
      </w:r>
      <w:r w:rsidR="00C74E19" w:rsidRPr="008625DC">
        <w:noBreakHyphen/>
      </w:r>
      <w:r w:rsidRPr="008625DC">
        <w:t>competitive unilateral conduct.</w:t>
      </w:r>
    </w:p>
    <w:p w14:paraId="1AB85C94" w14:textId="5463F938" w:rsidR="00D96804" w:rsidRPr="008625DC" w:rsidRDefault="00D96804" w:rsidP="00FF25F3">
      <w:r w:rsidRPr="008625DC">
        <w:t>The second legal test in section</w:t>
      </w:r>
      <w:r w:rsidR="004F49B5" w:rsidRPr="008625DC">
        <w:t> </w:t>
      </w:r>
      <w:r w:rsidRPr="008625DC">
        <w:t xml:space="preserve">46 is the </w:t>
      </w:r>
      <w:r w:rsidR="00C74E19" w:rsidRPr="008625DC">
        <w:t>‘</w:t>
      </w:r>
      <w:r w:rsidRPr="008625DC">
        <w:t>purpose</w:t>
      </w:r>
      <w:r w:rsidR="00C74E19" w:rsidRPr="008625DC">
        <w:t>’</w:t>
      </w:r>
      <w:r w:rsidRPr="008625DC">
        <w:t xml:space="preserve"> test. As noted earlier, the purpose test has been the primary focus of debate concerning section</w:t>
      </w:r>
      <w:r w:rsidR="004F49B5" w:rsidRPr="008625DC">
        <w:t> </w:t>
      </w:r>
      <w:r w:rsidRPr="008625DC">
        <w:t xml:space="preserve">46. Compared to the </w:t>
      </w:r>
      <w:r w:rsidR="00C74E19" w:rsidRPr="008625DC">
        <w:t>‘</w:t>
      </w:r>
      <w:r w:rsidRPr="008625DC">
        <w:t xml:space="preserve">take advantage of market </w:t>
      </w:r>
      <w:r w:rsidRPr="008625DC">
        <w:lastRenderedPageBreak/>
        <w:t>power</w:t>
      </w:r>
      <w:r w:rsidR="00C74E19" w:rsidRPr="008625DC">
        <w:t>’</w:t>
      </w:r>
      <w:r w:rsidRPr="008625DC">
        <w:t xml:space="preserve"> test, the meaning of the </w:t>
      </w:r>
      <w:r w:rsidR="00C74E19" w:rsidRPr="008625DC">
        <w:t>‘</w:t>
      </w:r>
      <w:r w:rsidRPr="008625DC">
        <w:t>purpose</w:t>
      </w:r>
      <w:r w:rsidR="00C74E19" w:rsidRPr="008625DC">
        <w:t>’</w:t>
      </w:r>
      <w:r w:rsidRPr="008625DC">
        <w:t xml:space="preserve"> test in section</w:t>
      </w:r>
      <w:r w:rsidR="004F49B5" w:rsidRPr="008625DC">
        <w:t> </w:t>
      </w:r>
      <w:r w:rsidRPr="008625DC">
        <w:t>46 is at least clear and capable of reliable application by the courts.</w:t>
      </w:r>
    </w:p>
    <w:p w14:paraId="2DC45290" w14:textId="5200EC42" w:rsidR="00D96804" w:rsidRPr="008625DC" w:rsidRDefault="00D96804" w:rsidP="00FF25F3">
      <w:r w:rsidRPr="008625DC">
        <w:t xml:space="preserve">The debate whether a </w:t>
      </w:r>
      <w:r w:rsidR="00101DD2" w:rsidRPr="008625DC">
        <w:t xml:space="preserve">subjective </w:t>
      </w:r>
      <w:r w:rsidRPr="008625DC">
        <w:t xml:space="preserve">purpose </w:t>
      </w:r>
      <w:r w:rsidR="00101DD2" w:rsidRPr="008625DC">
        <w:t xml:space="preserve">test </w:t>
      </w:r>
      <w:r w:rsidRPr="008625DC">
        <w:t xml:space="preserve">or an </w:t>
      </w:r>
      <w:r w:rsidR="00101DD2" w:rsidRPr="008625DC">
        <w:t>objective</w:t>
      </w:r>
      <w:r w:rsidRPr="008625DC">
        <w:t xml:space="preserve"> effects test should be included in section</w:t>
      </w:r>
      <w:r w:rsidR="004F49B5" w:rsidRPr="008625DC">
        <w:t> </w:t>
      </w:r>
      <w:r w:rsidRPr="008625DC">
        <w:t>46 tends to obscure a more significant issue. Presently, the purpose test in section</w:t>
      </w:r>
      <w:r w:rsidR="004F49B5" w:rsidRPr="008625DC">
        <w:t> </w:t>
      </w:r>
      <w:r w:rsidRPr="008625DC">
        <w:t>46 focuses upon harm to individual competitors</w:t>
      </w:r>
      <w:r w:rsidR="00C74E19" w:rsidRPr="008625DC">
        <w:t xml:space="preserve"> — </w:t>
      </w:r>
      <w:r w:rsidRPr="008625DC">
        <w:t xml:space="preserve">conduct will be prohibited if it has the purpose of eliminating or substantially damaging a </w:t>
      </w:r>
      <w:r w:rsidRPr="00A438AF">
        <w:rPr>
          <w:b/>
        </w:rPr>
        <w:t>competitor</w:t>
      </w:r>
      <w:r w:rsidRPr="008625DC">
        <w:t xml:space="preserve">, preventing the entry of a </w:t>
      </w:r>
      <w:r w:rsidRPr="00A438AF">
        <w:rPr>
          <w:b/>
        </w:rPr>
        <w:t>person</w:t>
      </w:r>
      <w:r w:rsidRPr="008625DC">
        <w:t xml:space="preserve"> into a market, or deterring or preventing a </w:t>
      </w:r>
      <w:r w:rsidRPr="00A438AF">
        <w:rPr>
          <w:b/>
        </w:rPr>
        <w:t>person</w:t>
      </w:r>
      <w:r w:rsidRPr="008625DC">
        <w:t xml:space="preserve"> from engaging in competitive conduct. Ordinarily, competition law is not concerned with harm to individual competitors. Indeed, harm to competitors is an expected outcome of vigorous competition. Competition law is concerned with harm to competition itself</w:t>
      </w:r>
      <w:r w:rsidR="00C74E19" w:rsidRPr="008625DC">
        <w:t xml:space="preserve"> — </w:t>
      </w:r>
      <w:r w:rsidR="00956EFF" w:rsidRPr="008625DC">
        <w:t>that is</w:t>
      </w:r>
      <w:r w:rsidRPr="008625DC">
        <w:t>, the competitive process.</w:t>
      </w:r>
    </w:p>
    <w:p w14:paraId="5FA02C03" w14:textId="22D27B17" w:rsidR="00D96804" w:rsidRPr="008625DC" w:rsidRDefault="00D96804" w:rsidP="00FF25F3">
      <w:r w:rsidRPr="008625DC">
        <w:t>Given the existing focus of the purpose test in section</w:t>
      </w:r>
      <w:r w:rsidR="004F49B5" w:rsidRPr="008625DC">
        <w:t> </w:t>
      </w:r>
      <w:r w:rsidRPr="008625DC">
        <w:t xml:space="preserve">46, it is understandable that there is resistance to changing the word </w:t>
      </w:r>
      <w:r w:rsidR="00C74E19" w:rsidRPr="008625DC">
        <w:t>‘</w:t>
      </w:r>
      <w:r w:rsidRPr="008625DC">
        <w:t>purpose</w:t>
      </w:r>
      <w:r w:rsidR="00C74E19" w:rsidRPr="008625DC">
        <w:t>’</w:t>
      </w:r>
      <w:r w:rsidRPr="008625DC">
        <w:t xml:space="preserve"> to </w:t>
      </w:r>
      <w:r w:rsidR="00C74E19" w:rsidRPr="008625DC">
        <w:t>‘</w:t>
      </w:r>
      <w:r w:rsidRPr="008625DC">
        <w:t>effect</w:t>
      </w:r>
      <w:r w:rsidR="00C74E19" w:rsidRPr="008625DC">
        <w:t>’</w:t>
      </w:r>
      <w:r w:rsidRPr="008625DC">
        <w:t xml:space="preserve">. It would not be sound policy to prohibit unilateral conduct that had the effect of damaging </w:t>
      </w:r>
      <w:r w:rsidR="00101DD2" w:rsidRPr="008625DC">
        <w:t xml:space="preserve">individual </w:t>
      </w:r>
      <w:r w:rsidRPr="008625DC">
        <w:t>competitors. However, an important question arises whether section</w:t>
      </w:r>
      <w:r w:rsidR="004F49B5" w:rsidRPr="008625DC">
        <w:t> </w:t>
      </w:r>
      <w:r w:rsidRPr="008625DC">
        <w:t>46 ought to be directed at conduct that has the purpose of harming individual competitors (under the existing purpose test) or whether it ought to be directed at conduct that has the purpose or effect of harming competition (consistent with the other main prohibitions in sections</w:t>
      </w:r>
      <w:r w:rsidR="004F49B5" w:rsidRPr="008625DC">
        <w:t> </w:t>
      </w:r>
      <w:r w:rsidRPr="008625DC">
        <w:t>45, 47 and</w:t>
      </w:r>
      <w:r w:rsidR="004F49B5" w:rsidRPr="008625DC">
        <w:t> </w:t>
      </w:r>
      <w:r w:rsidRPr="008625DC">
        <w:t>50 of the CCA).</w:t>
      </w:r>
    </w:p>
    <w:p w14:paraId="1EC556CB" w14:textId="77777777" w:rsidR="00D96804" w:rsidRPr="008625DC" w:rsidRDefault="00D96804" w:rsidP="00FB084C">
      <w:pPr>
        <w:pStyle w:val="Heading3"/>
      </w:pPr>
      <w:r w:rsidRPr="008625DC">
        <w:t>A proposal for reform</w:t>
      </w:r>
    </w:p>
    <w:p w14:paraId="139F6C36" w14:textId="14AC8551" w:rsidR="00D96804" w:rsidRPr="008625DC" w:rsidRDefault="00D96804" w:rsidP="00FF25F3">
      <w:r w:rsidRPr="008625DC">
        <w:t>The Panel considers that the difficulties experienced in the application of section</w:t>
      </w:r>
      <w:r w:rsidR="004F49B5" w:rsidRPr="008625DC">
        <w:t> </w:t>
      </w:r>
      <w:r w:rsidRPr="008625DC">
        <w:t>46 to business conduct establish a case for reform. The Panel considers that section</w:t>
      </w:r>
      <w:r w:rsidR="004F49B5" w:rsidRPr="008625DC">
        <w:t> </w:t>
      </w:r>
      <w:r w:rsidRPr="008625DC">
        <w:t>46 can be reframed in a manner that will clarify its intended meaning and scope and thereby improve its effectiveness in targeting anti</w:t>
      </w:r>
      <w:r w:rsidR="00C74E19" w:rsidRPr="008625DC">
        <w:noBreakHyphen/>
      </w:r>
      <w:r w:rsidRPr="008625DC">
        <w:t>competitive unilateral conduct.</w:t>
      </w:r>
    </w:p>
    <w:p w14:paraId="66070B83" w14:textId="7B059367" w:rsidR="00D96804" w:rsidRPr="008625DC" w:rsidRDefault="00D96804" w:rsidP="00FF25F3">
      <w:r w:rsidRPr="008625DC">
        <w:t>The Panel proposes that the primary prohibition in section</w:t>
      </w:r>
      <w:r w:rsidR="004F49B5" w:rsidRPr="008625DC">
        <w:t> </w:t>
      </w:r>
      <w:r w:rsidRPr="008625DC">
        <w:t>46 be re</w:t>
      </w:r>
      <w:r w:rsidR="00C74E19" w:rsidRPr="008625DC">
        <w:noBreakHyphen/>
      </w:r>
      <w:r w:rsidRPr="008625DC">
        <w:t>framed to prohibit a corporation that has a substantial degree of power in a market from engaging in conduct if the proposed conduct has the purpose, or would have or be likely to have the effect, of substantially lessening competition in that or any other market.</w:t>
      </w:r>
    </w:p>
    <w:p w14:paraId="37518DC3" w14:textId="0C7AC4E5" w:rsidR="00D96804" w:rsidRPr="008625DC" w:rsidRDefault="00D96804" w:rsidP="00FF25F3">
      <w:r w:rsidRPr="008625DC">
        <w:t xml:space="preserve">The primary prohibition would make two significant amendments. First, it would remove the </w:t>
      </w:r>
      <w:r w:rsidR="00C74E19" w:rsidRPr="008625DC">
        <w:t>‘</w:t>
      </w:r>
      <w:r w:rsidRPr="008625DC">
        <w:t>take advantage</w:t>
      </w:r>
      <w:r w:rsidR="00C74E19" w:rsidRPr="008625DC">
        <w:t>’</w:t>
      </w:r>
      <w:r w:rsidRPr="008625DC">
        <w:t xml:space="preserve"> element from the prohibition. Second, it would alter the </w:t>
      </w:r>
      <w:r w:rsidR="00C74E19" w:rsidRPr="008625DC">
        <w:t>‘</w:t>
      </w:r>
      <w:r w:rsidRPr="008625DC">
        <w:t>purpose</w:t>
      </w:r>
      <w:r w:rsidR="00C74E19" w:rsidRPr="008625DC">
        <w:t>’</w:t>
      </w:r>
      <w:r w:rsidRPr="008625DC">
        <w:t xml:space="preserve"> test to the standard test in Australia</w:t>
      </w:r>
      <w:r w:rsidR="00C74E19" w:rsidRPr="008625DC">
        <w:t>’</w:t>
      </w:r>
      <w:r w:rsidRPr="008625DC">
        <w:t>s competition law: purpose</w:t>
      </w:r>
      <w:r w:rsidR="002D17D6" w:rsidRPr="008625DC">
        <w:t>, effect</w:t>
      </w:r>
      <w:r w:rsidRPr="008625DC">
        <w:t xml:space="preserve"> or likely effect of substantially lessening competition. The test of </w:t>
      </w:r>
      <w:r w:rsidR="00C74E19" w:rsidRPr="008625DC">
        <w:t>‘</w:t>
      </w:r>
      <w:r w:rsidRPr="008625DC">
        <w:t>substantially lessening competition</w:t>
      </w:r>
      <w:r w:rsidR="00C74E19" w:rsidRPr="008625DC">
        <w:t>’</w:t>
      </w:r>
      <w:r w:rsidRPr="008625DC">
        <w:t xml:space="preserve"> would enable the courts to assess whether the conduct is harmful to the competitive process. The application of that test will ordinarily make the </w:t>
      </w:r>
      <w:r w:rsidR="00C74E19" w:rsidRPr="008625DC">
        <w:t>‘</w:t>
      </w:r>
      <w:r w:rsidRPr="008625DC">
        <w:t>take advantage</w:t>
      </w:r>
      <w:r w:rsidR="00C74E19" w:rsidRPr="008625DC">
        <w:t>’</w:t>
      </w:r>
      <w:r w:rsidRPr="008625DC">
        <w:t xml:space="preserve"> test redundant.</w:t>
      </w:r>
    </w:p>
    <w:p w14:paraId="4EB83E44" w14:textId="6420BA82" w:rsidR="00D96804" w:rsidRPr="008625DC" w:rsidRDefault="00D96804" w:rsidP="00127F3A">
      <w:pPr>
        <w:spacing w:after="120"/>
      </w:pPr>
      <w:r w:rsidRPr="008625DC">
        <w:t>However, in recommending reform, the Panel wishes to minimise the risk of inadvertently capturing pro</w:t>
      </w:r>
      <w:r w:rsidR="00C74E19" w:rsidRPr="008625DC">
        <w:noBreakHyphen/>
      </w:r>
      <w:r w:rsidRPr="008625DC">
        <w:t>competitive conduct, thereby damaging the interests of consumers. To remove any concerns about over</w:t>
      </w:r>
      <w:r w:rsidR="00C74E19" w:rsidRPr="008625DC">
        <w:noBreakHyphen/>
      </w:r>
      <w:r w:rsidRPr="008625DC">
        <w:t>capture, the Panel proposes that a defence be introduced so that the primary prohibition would not apply if the conduct in question:</w:t>
      </w:r>
    </w:p>
    <w:p w14:paraId="0D399B09" w14:textId="18AD1A37" w:rsidR="00D96804" w:rsidRPr="008625DC" w:rsidRDefault="00D96804" w:rsidP="00FF25F3">
      <w:pPr>
        <w:pStyle w:val="Bullet"/>
      </w:pPr>
      <w:r w:rsidRPr="008625DC">
        <w:t>would be a rational business decision by a corporation that did not have a substantial degree of power in the market; and</w:t>
      </w:r>
    </w:p>
    <w:p w14:paraId="75FD640F" w14:textId="5510680E" w:rsidR="00D96804" w:rsidRPr="008625DC" w:rsidRDefault="00D96804" w:rsidP="00127F3A">
      <w:pPr>
        <w:pStyle w:val="Bullet"/>
        <w:spacing w:after="240"/>
      </w:pPr>
      <w:r w:rsidRPr="008625DC">
        <w:t>would be likely to have the effect of advancing the long</w:t>
      </w:r>
      <w:r w:rsidR="00C74E19" w:rsidRPr="008625DC">
        <w:noBreakHyphen/>
      </w:r>
      <w:r w:rsidRPr="008625DC">
        <w:t>term interests of consumers.</w:t>
      </w:r>
    </w:p>
    <w:p w14:paraId="14F491B5" w14:textId="67FB7831" w:rsidR="00D96804" w:rsidRPr="008625DC" w:rsidRDefault="00D96804" w:rsidP="00FF25F3">
      <w:r w:rsidRPr="008625DC">
        <w:t xml:space="preserve">The onus of proving that the </w:t>
      </w:r>
      <w:r w:rsidR="00BE008E" w:rsidRPr="008625DC">
        <w:t xml:space="preserve">defence </w:t>
      </w:r>
      <w:r w:rsidRPr="008625DC">
        <w:t>applied should fall on the corporation engaging in the conduct.</w:t>
      </w:r>
    </w:p>
    <w:p w14:paraId="058682C8" w14:textId="272DFC85" w:rsidR="00D96804" w:rsidRPr="008625DC" w:rsidRDefault="00D96804" w:rsidP="00FF25F3">
      <w:r w:rsidRPr="008625DC">
        <w:t>The Panel seeks submissions on the scope of this defence, including whether it would be too broad and whether there are other ways to ensure that anti</w:t>
      </w:r>
      <w:r w:rsidR="00C74E19" w:rsidRPr="008625DC">
        <w:noBreakHyphen/>
      </w:r>
      <w:r w:rsidRPr="008625DC">
        <w:t>competitive conduct is caught by the provision but not exempted by way of a defence.</w:t>
      </w:r>
    </w:p>
    <w:p w14:paraId="1453E4B6" w14:textId="76BBE8E6" w:rsidR="00D96804" w:rsidRPr="008625DC" w:rsidRDefault="00D96804" w:rsidP="00FF25F3">
      <w:r w:rsidRPr="008625DC">
        <w:lastRenderedPageBreak/>
        <w:t>The proposed reform would allow section</w:t>
      </w:r>
      <w:r w:rsidR="004F49B5" w:rsidRPr="008625DC">
        <w:t> </w:t>
      </w:r>
      <w:r w:rsidRPr="008625DC">
        <w:t xml:space="preserve">46 to be simplified. Amendments introduced since 2007 would be unnecessary and could be repealed. These include specific provisions prohibiting predatory pricing, and amendments </w:t>
      </w:r>
      <w:r w:rsidR="002D1621" w:rsidRPr="008625DC">
        <w:t>that attempt to explain</w:t>
      </w:r>
      <w:r w:rsidRPr="008625DC">
        <w:t xml:space="preserve"> the meaning of </w:t>
      </w:r>
      <w:r w:rsidR="00C74E19" w:rsidRPr="008625DC">
        <w:t>‘</w:t>
      </w:r>
      <w:r w:rsidRPr="008625DC">
        <w:t>take advantage</w:t>
      </w:r>
      <w:r w:rsidR="00C74E19" w:rsidRPr="008625DC">
        <w:t>’</w:t>
      </w:r>
      <w:r w:rsidRPr="008625DC">
        <w:t>.</w:t>
      </w:r>
    </w:p>
    <w:p w14:paraId="04F4FE54" w14:textId="47599D67" w:rsidR="008E7129" w:rsidRPr="008625DC" w:rsidRDefault="00D40B92" w:rsidP="00FB084C">
      <w:pPr>
        <w:pStyle w:val="Heading3"/>
      </w:pPr>
      <w:r w:rsidRPr="008625DC">
        <w:t>D</w:t>
      </w:r>
      <w:r w:rsidR="00BA1398" w:rsidRPr="008625DC">
        <w:t>ivestiture remedy</w:t>
      </w:r>
      <w:r w:rsidR="00623A4E" w:rsidRPr="008625DC">
        <w:t xml:space="preserve"> to address market power concerns</w:t>
      </w:r>
    </w:p>
    <w:p w14:paraId="1D393396" w14:textId="171E8D60" w:rsidR="00623A4E" w:rsidRPr="008625DC" w:rsidRDefault="00623A4E" w:rsidP="00623A4E">
      <w:r w:rsidRPr="008625DC">
        <w:t>The</w:t>
      </w:r>
      <w:r w:rsidR="00754332" w:rsidRPr="008625DC">
        <w:t xml:space="preserve">re </w:t>
      </w:r>
      <w:r w:rsidR="00D96804" w:rsidRPr="008625DC">
        <w:t>is</w:t>
      </w:r>
      <w:r w:rsidR="00754332" w:rsidRPr="008625DC">
        <w:t xml:space="preserve"> a broad range of</w:t>
      </w:r>
      <w:r w:rsidRPr="008625DC">
        <w:t xml:space="preserve"> remedies </w:t>
      </w:r>
      <w:r w:rsidR="00754332" w:rsidRPr="008625DC">
        <w:t xml:space="preserve">a </w:t>
      </w:r>
      <w:r w:rsidR="00D96804" w:rsidRPr="008625DC">
        <w:t>court</w:t>
      </w:r>
      <w:r w:rsidR="00754332" w:rsidRPr="008625DC">
        <w:t xml:space="preserve"> may order following a finding that a firm has engaged in misuse of market power in contravention of </w:t>
      </w:r>
      <w:r w:rsidRPr="008625DC">
        <w:t>section</w:t>
      </w:r>
      <w:r w:rsidR="00C042B7" w:rsidRPr="008625DC">
        <w:t> </w:t>
      </w:r>
      <w:r w:rsidRPr="008625DC">
        <w:t>46</w:t>
      </w:r>
      <w:r w:rsidR="00754332" w:rsidRPr="008625DC">
        <w:t xml:space="preserve">. The remedies include declarations, injunctions, </w:t>
      </w:r>
      <w:r w:rsidRPr="008625DC">
        <w:t>damages</w:t>
      </w:r>
      <w:r w:rsidR="00D96804" w:rsidRPr="008625DC">
        <w:t xml:space="preserve"> and </w:t>
      </w:r>
      <w:r w:rsidRPr="008625DC">
        <w:t xml:space="preserve">civil </w:t>
      </w:r>
      <w:r w:rsidR="006155AF" w:rsidRPr="008625DC">
        <w:t>penalties</w:t>
      </w:r>
      <w:r w:rsidR="00D96804" w:rsidRPr="008625DC">
        <w:t>.</w:t>
      </w:r>
      <w:r w:rsidR="00BE008E" w:rsidRPr="008625DC">
        <w:rPr>
          <w:rStyle w:val="FootnoteReference"/>
        </w:rPr>
        <w:footnoteReference w:id="280"/>
      </w:r>
      <w:r w:rsidRPr="008625DC">
        <w:t xml:space="preserve"> </w:t>
      </w:r>
      <w:r w:rsidR="00754332" w:rsidRPr="008625DC">
        <w:t xml:space="preserve">There is no remedy available to the </w:t>
      </w:r>
      <w:r w:rsidRPr="008625DC">
        <w:t xml:space="preserve">ACCC </w:t>
      </w:r>
      <w:r w:rsidR="00754332" w:rsidRPr="008625DC">
        <w:t xml:space="preserve">or a private party to seek a divestiture order from the court to </w:t>
      </w:r>
      <w:r w:rsidRPr="008625DC">
        <w:t xml:space="preserve">break up </w:t>
      </w:r>
      <w:r w:rsidR="00754332" w:rsidRPr="008625DC">
        <w:t xml:space="preserve">the </w:t>
      </w:r>
      <w:r w:rsidRPr="008625DC">
        <w:t xml:space="preserve">firm which has </w:t>
      </w:r>
      <w:r w:rsidR="00754332" w:rsidRPr="008625DC">
        <w:t xml:space="preserve">been found to have </w:t>
      </w:r>
      <w:r w:rsidRPr="008625DC">
        <w:t>misused its market power</w:t>
      </w:r>
      <w:r w:rsidR="00754332" w:rsidRPr="008625DC">
        <w:t>.</w:t>
      </w:r>
    </w:p>
    <w:p w14:paraId="485E40BC" w14:textId="1398DA77" w:rsidR="00175A6C" w:rsidRPr="008625DC" w:rsidRDefault="005A734F" w:rsidP="00175A6C">
      <w:r w:rsidRPr="008625DC">
        <w:t>The Hilmer</w:t>
      </w:r>
      <w:r w:rsidR="00BE008E" w:rsidRPr="008625DC">
        <w:rPr>
          <w:rStyle w:val="FootnoteReference"/>
        </w:rPr>
        <w:footnoteReference w:id="281"/>
      </w:r>
      <w:r w:rsidRPr="008625DC">
        <w:t xml:space="preserve"> and Dawson</w:t>
      </w:r>
      <w:r w:rsidR="00BE008E" w:rsidRPr="008625DC">
        <w:rPr>
          <w:rStyle w:val="FootnoteReference"/>
        </w:rPr>
        <w:footnoteReference w:id="282"/>
      </w:r>
      <w:r w:rsidRPr="008625DC">
        <w:t xml:space="preserve"> </w:t>
      </w:r>
      <w:r w:rsidR="00175A6C" w:rsidRPr="008625DC">
        <w:t xml:space="preserve">reviews considered proposals for a specific divestiture remedy (to be used in circumstances other than mergers) to address competition concerns about businesses with significant market power. </w:t>
      </w:r>
      <w:r w:rsidR="00D96804" w:rsidRPr="008625DC">
        <w:t>Those</w:t>
      </w:r>
      <w:r w:rsidR="000D55DC" w:rsidRPr="008625DC">
        <w:t xml:space="preserve"> reviews </w:t>
      </w:r>
      <w:r w:rsidR="00BE0E41" w:rsidRPr="008625DC">
        <w:t>did</w:t>
      </w:r>
      <w:r w:rsidR="000D55DC" w:rsidRPr="008625DC">
        <w:t xml:space="preserve"> not </w:t>
      </w:r>
      <w:r w:rsidR="00BE0E41" w:rsidRPr="008625DC">
        <w:t>recommend</w:t>
      </w:r>
      <w:r w:rsidR="000D55DC" w:rsidRPr="008625DC">
        <w:t xml:space="preserve"> its adoption </w:t>
      </w:r>
      <w:r w:rsidR="00774CEC" w:rsidRPr="008625DC">
        <w:t>because of</w:t>
      </w:r>
      <w:r w:rsidR="000D55DC" w:rsidRPr="008625DC">
        <w:t xml:space="preserve"> the potentially broad nature of such a remedy and difficulties targeting such a remedy at the conduct of concern.</w:t>
      </w:r>
    </w:p>
    <w:p w14:paraId="3A2B0CD8" w14:textId="0BC72BBE" w:rsidR="00175A6C" w:rsidRPr="008625DC" w:rsidRDefault="00175A6C" w:rsidP="00175A6C">
      <w:r w:rsidRPr="008625DC">
        <w:t xml:space="preserve">While </w:t>
      </w:r>
      <w:r w:rsidR="0045497F" w:rsidRPr="008625DC">
        <w:t xml:space="preserve">reducing the size of a firm </w:t>
      </w:r>
      <w:r w:rsidR="000E3480" w:rsidRPr="008625DC">
        <w:t xml:space="preserve">may </w:t>
      </w:r>
      <w:r w:rsidR="0045497F" w:rsidRPr="008625DC">
        <w:t xml:space="preserve">limit its ability to misuse its market power, divestiture is likely to have broader impacts on the </w:t>
      </w:r>
      <w:r w:rsidR="000E3480" w:rsidRPr="008625DC">
        <w:t xml:space="preserve">general </w:t>
      </w:r>
      <w:r w:rsidR="0045497F" w:rsidRPr="008625DC">
        <w:t>efficiency of the firm</w:t>
      </w:r>
      <w:r w:rsidR="000E3480" w:rsidRPr="008625DC">
        <w:t xml:space="preserve">. Such changes </w:t>
      </w:r>
      <w:r w:rsidR="00BE0E41" w:rsidRPr="008625DC">
        <w:t>could also</w:t>
      </w:r>
      <w:r w:rsidR="000E3480" w:rsidRPr="008625DC">
        <w:t xml:space="preserve"> have negative flow</w:t>
      </w:r>
      <w:r w:rsidR="00C74E19" w:rsidRPr="008625DC">
        <w:noBreakHyphen/>
      </w:r>
      <w:r w:rsidR="000E3480" w:rsidRPr="008625DC">
        <w:t>on effects to consumer welfare</w:t>
      </w:r>
      <w:r w:rsidR="0045497F" w:rsidRPr="008625DC">
        <w:t>.</w:t>
      </w:r>
      <w:r w:rsidR="000E3480" w:rsidRPr="008625DC">
        <w:t xml:space="preserve"> It is also possible that divested parts of a business </w:t>
      </w:r>
      <w:r w:rsidR="00D96804" w:rsidRPr="008625DC">
        <w:t>might</w:t>
      </w:r>
      <w:r w:rsidR="000E3480" w:rsidRPr="008625DC">
        <w:t xml:space="preserve"> be unviable.</w:t>
      </w:r>
      <w:r w:rsidR="000E3480" w:rsidRPr="008625DC">
        <w:rPr>
          <w:rStyle w:val="FootnoteReference"/>
        </w:rPr>
        <w:footnoteReference w:id="283"/>
      </w:r>
    </w:p>
    <w:p w14:paraId="798E0341" w14:textId="77777777" w:rsidR="00D96804" w:rsidRPr="008625DC" w:rsidRDefault="00D96804" w:rsidP="00FF25F3">
      <w:bookmarkStart w:id="28187" w:name="_Toc394930779"/>
      <w:bookmarkStart w:id="28188" w:name="_Toc394933690"/>
      <w:bookmarkStart w:id="28189" w:name="_Toc394938137"/>
      <w:bookmarkStart w:id="28190" w:name="_Toc394938433"/>
      <w:bookmarkStart w:id="28191" w:name="_Toc394938639"/>
      <w:bookmarkStart w:id="28192" w:name="_Toc394937713"/>
      <w:bookmarkStart w:id="28193" w:name="_Toc394937921"/>
      <w:bookmarkStart w:id="28194" w:name="_Toc394941049"/>
      <w:bookmarkStart w:id="28195" w:name="_Toc394941344"/>
      <w:bookmarkStart w:id="28196" w:name="_Toc394941550"/>
      <w:bookmarkStart w:id="28197" w:name="_Toc394941665"/>
      <w:bookmarkStart w:id="28198" w:name="_Toc394941960"/>
      <w:bookmarkStart w:id="28199" w:name="_Toc394942166"/>
      <w:bookmarkStart w:id="28200" w:name="_Toc394939886"/>
      <w:bookmarkStart w:id="28201" w:name="_Toc394940182"/>
      <w:bookmarkStart w:id="28202" w:name="_Toc394940388"/>
      <w:bookmarkStart w:id="28203" w:name="_Toc394939497"/>
      <w:bookmarkStart w:id="28204" w:name="_Toc394939779"/>
      <w:bookmarkStart w:id="28205" w:name="_Toc394940601"/>
      <w:bookmarkStart w:id="28206" w:name="_Toc394993676"/>
      <w:bookmarkStart w:id="28207" w:name="_Toc394995558"/>
      <w:bookmarkStart w:id="28208" w:name="_Toc394995872"/>
      <w:bookmarkStart w:id="28209" w:name="_Toc394996081"/>
      <w:bookmarkStart w:id="28210" w:name="_Toc394997807"/>
      <w:bookmarkStart w:id="28211" w:name="_Toc394998115"/>
      <w:bookmarkStart w:id="28212" w:name="_Toc394998322"/>
      <w:bookmarkStart w:id="28213" w:name="_Toc394998629"/>
      <w:bookmarkStart w:id="28214" w:name="_Toc395001817"/>
      <w:bookmarkStart w:id="28215" w:name="_Toc395002128"/>
      <w:bookmarkStart w:id="28216" w:name="_Toc395001334"/>
      <w:bookmarkStart w:id="28217" w:name="_Toc395001608"/>
      <w:bookmarkStart w:id="28218" w:name="_Toc395002897"/>
      <w:bookmarkStart w:id="28219" w:name="_Toc395003482"/>
      <w:bookmarkStart w:id="28220" w:name="_Toc395005069"/>
      <w:bookmarkStart w:id="28221" w:name="_Toc395005195"/>
      <w:bookmarkStart w:id="28222" w:name="_Toc395005411"/>
      <w:bookmarkStart w:id="28223" w:name="_Toc395005723"/>
      <w:bookmarkStart w:id="28224" w:name="_Toc395008988"/>
      <w:bookmarkStart w:id="28225" w:name="_Toc395009717"/>
      <w:bookmarkStart w:id="28226" w:name="_Toc395011774"/>
      <w:bookmarkStart w:id="28227" w:name="_Toc395010174"/>
      <w:bookmarkStart w:id="28228" w:name="_Toc395010458"/>
      <w:bookmarkStart w:id="28229" w:name="_Toc395010016"/>
      <w:bookmarkStart w:id="28230" w:name="_Toc395011542"/>
      <w:bookmarkStart w:id="28231" w:name="_Toc395012360"/>
      <w:bookmarkStart w:id="28232" w:name="_Toc395012641"/>
      <w:bookmarkStart w:id="28233" w:name="_Toc395012950"/>
      <w:bookmarkStart w:id="28234" w:name="_Toc395010765"/>
      <w:bookmarkStart w:id="28235" w:name="_Toc395012238"/>
      <w:bookmarkStart w:id="28236" w:name="_Toc395013104"/>
      <w:bookmarkStart w:id="28237" w:name="_Toc395012106"/>
      <w:bookmarkStart w:id="28238" w:name="_Toc395014445"/>
      <w:bookmarkStart w:id="28239" w:name="_Toc395014639"/>
      <w:bookmarkStart w:id="28240" w:name="_Toc395013230"/>
      <w:bookmarkStart w:id="28241" w:name="_Toc395084794"/>
      <w:bookmarkStart w:id="28242" w:name="_Toc395085095"/>
      <w:bookmarkStart w:id="28243" w:name="_Toc395090269"/>
      <w:bookmarkStart w:id="28244" w:name="_Toc395090561"/>
      <w:bookmarkStart w:id="28245" w:name="_Toc395090748"/>
      <w:bookmarkStart w:id="28246" w:name="_Toc395092636"/>
      <w:bookmarkStart w:id="28247" w:name="_Toc395092848"/>
      <w:bookmarkStart w:id="28248" w:name="_Toc395093143"/>
      <w:bookmarkStart w:id="28249" w:name="_Toc395093330"/>
      <w:bookmarkStart w:id="28250" w:name="_Toc395097759"/>
      <w:bookmarkStart w:id="28251" w:name="_Toc395098055"/>
      <w:bookmarkStart w:id="28252" w:name="_Toc395098240"/>
      <w:bookmarkStart w:id="28253" w:name="_Toc395105425"/>
      <w:bookmarkStart w:id="28254" w:name="_Toc395106239"/>
      <w:bookmarkStart w:id="28255" w:name="_Toc395107028"/>
      <w:bookmarkStart w:id="28256" w:name="_Toc395109900"/>
      <w:bookmarkStart w:id="28257" w:name="_Toc395109501"/>
      <w:bookmarkStart w:id="28258" w:name="_Toc395109686"/>
      <w:bookmarkStart w:id="28259" w:name="_Toc395109829"/>
      <w:bookmarkStart w:id="28260" w:name="_Toc395111903"/>
      <w:bookmarkStart w:id="28261" w:name="_Toc395112206"/>
      <w:bookmarkStart w:id="28262" w:name="_Toc395112391"/>
      <w:bookmarkStart w:id="28263" w:name="_Toc395106823"/>
      <w:bookmarkStart w:id="28264" w:name="_Toc395107348"/>
      <w:bookmarkStart w:id="28265" w:name="_Toc395107536"/>
      <w:bookmarkStart w:id="28266" w:name="_Toc395110012"/>
      <w:bookmarkStart w:id="28267" w:name="_Toc395108583"/>
      <w:bookmarkStart w:id="28268" w:name="_Toc395108909"/>
      <w:bookmarkStart w:id="28269" w:name="_Toc395113823"/>
      <w:bookmarkStart w:id="28270" w:name="_Toc395114149"/>
      <w:bookmarkStart w:id="28271" w:name="_Toc395114343"/>
      <w:bookmarkStart w:id="28272" w:name="_Toc395116559"/>
      <w:bookmarkStart w:id="28273" w:name="_Toc395116886"/>
      <w:bookmarkStart w:id="28274" w:name="_Toc395117081"/>
      <w:bookmarkStart w:id="28275" w:name="_Toc395112496"/>
      <w:bookmarkStart w:id="28276" w:name="_Toc395112823"/>
      <w:bookmarkStart w:id="28277" w:name="_Toc395113199"/>
      <w:bookmarkStart w:id="28278" w:name="_Toc395115035"/>
      <w:bookmarkStart w:id="28279" w:name="_Toc395115363"/>
      <w:bookmarkStart w:id="28280" w:name="_Toc395115558"/>
      <w:bookmarkStart w:id="28281" w:name="_Toc395118190"/>
      <w:bookmarkStart w:id="28282" w:name="_Toc395118515"/>
      <w:bookmarkStart w:id="28283" w:name="_Toc395118708"/>
      <w:bookmarkStart w:id="28284" w:name="_Toc395178400"/>
      <w:bookmarkStart w:id="28285" w:name="_Toc395178732"/>
      <w:bookmarkStart w:id="28286" w:name="_Toc395624705"/>
      <w:bookmarkStart w:id="28287" w:name="_Toc395624889"/>
      <w:bookmarkStart w:id="28288" w:name="_Toc395789743"/>
      <w:bookmarkStart w:id="28289" w:name="_Toc395790056"/>
      <w:bookmarkStart w:id="28290" w:name="_Toc395800814"/>
      <w:bookmarkStart w:id="28291" w:name="_Toc395802872"/>
      <w:bookmarkStart w:id="28292" w:name="_Toc395867639"/>
      <w:bookmarkStart w:id="28293" w:name="_Toc395868552"/>
      <w:bookmarkStart w:id="28294" w:name="_Toc395868771"/>
      <w:bookmarkStart w:id="28295" w:name="_Toc395878933"/>
      <w:bookmarkStart w:id="28296" w:name="_Toc395879150"/>
      <w:bookmarkStart w:id="28297" w:name="_Toc395882057"/>
      <w:bookmarkStart w:id="28298" w:name="_Toc395882274"/>
      <w:bookmarkStart w:id="28299" w:name="_Toc395882388"/>
      <w:bookmarkStart w:id="28300" w:name="_Toc395882605"/>
      <w:bookmarkStart w:id="28301" w:name="_Toc395880552"/>
      <w:bookmarkStart w:id="28302" w:name="_Toc395880883"/>
      <w:bookmarkStart w:id="28303" w:name="_Toc395881441"/>
      <w:bookmarkStart w:id="28304" w:name="_Toc395881658"/>
      <w:bookmarkStart w:id="28305" w:name="_Toc395881374"/>
      <w:bookmarkStart w:id="28306" w:name="_Toc395883826"/>
      <w:bookmarkStart w:id="28307" w:name="_Toc395884043"/>
      <w:bookmarkStart w:id="28308" w:name="_Toc395880781"/>
      <w:bookmarkStart w:id="28309" w:name="_Toc395884488"/>
      <w:bookmarkStart w:id="28310" w:name="_Toc395884705"/>
      <w:bookmarkStart w:id="28311" w:name="_Toc395883197"/>
      <w:bookmarkStart w:id="28312" w:name="_Toc395883414"/>
      <w:bookmarkStart w:id="28313" w:name="_Toc395883527"/>
      <w:bookmarkStart w:id="28314" w:name="_Toc395883744"/>
      <w:bookmarkStart w:id="28315" w:name="_Toc395884829"/>
      <w:r w:rsidRPr="008625DC">
        <w:t>The Panel considers that the existing range of remedies is sufficient to deter a firm from misusing its market power and to protect and compensate companies that have been harmed by such unlawful conduct.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E01699" w:rsidRPr="008625DC" w14:paraId="705E9DA3" w14:textId="77777777" w:rsidTr="0052543A">
        <w:tc>
          <w:tcPr>
            <w:tcW w:w="5000" w:type="pct"/>
            <w:shd w:val="clear" w:color="auto" w:fill="FFFFFF" w:themeFill="background1"/>
          </w:tcPr>
          <w:p w14:paraId="033DBE2E" w14:textId="536AA5CB" w:rsidR="00E01699" w:rsidRPr="008625DC" w:rsidRDefault="00E01699" w:rsidP="0052543A">
            <w:pPr>
              <w:pStyle w:val="Keyfindingheading"/>
            </w:pPr>
            <w:r w:rsidRPr="008625DC">
              <w:lastRenderedPageBreak/>
              <w:t>The Panel</w:t>
            </w:r>
            <w:r w:rsidR="00C74E19" w:rsidRPr="008625DC">
              <w:t>’</w:t>
            </w:r>
            <w:r w:rsidRPr="008625DC">
              <w:t>s view</w:t>
            </w:r>
          </w:p>
          <w:p w14:paraId="11988F97" w14:textId="77D61B7A" w:rsidR="00FF25F3" w:rsidRPr="008625DC" w:rsidRDefault="00FF25F3" w:rsidP="00127F3A">
            <w:pPr>
              <w:pStyle w:val="Keyfindingtext"/>
            </w:pPr>
            <w:r w:rsidRPr="008625DC">
              <w:t>The Panel considers that the primary prohibition in section</w:t>
            </w:r>
            <w:r w:rsidR="004F49B5" w:rsidRPr="008625DC">
              <w:t> </w:t>
            </w:r>
            <w:r w:rsidRPr="008625DC">
              <w:t>46 should be re</w:t>
            </w:r>
            <w:r w:rsidR="00C74E19" w:rsidRPr="008625DC">
              <w:noBreakHyphen/>
            </w:r>
            <w:r w:rsidRPr="008625DC">
              <w:t>framed to prohibit a corporation that has a substantial degree of power in a market from engaging in conduct if the proposed conduct has the purpose, or would have or be likely to have the effect, of substantially lessening competition in that or any other market.</w:t>
            </w:r>
          </w:p>
          <w:p w14:paraId="24C961A2" w14:textId="77777777" w:rsidR="00FF25F3" w:rsidRPr="008625DC" w:rsidRDefault="00FF25F3" w:rsidP="00127F3A">
            <w:pPr>
              <w:pStyle w:val="Keyfindingtext"/>
              <w:rPr>
                <w:b/>
              </w:rPr>
            </w:pPr>
            <w:r w:rsidRPr="008625DC">
              <w:t>The Panel also proposes that a defence be introduced so that the primary prohibition would not apply if the conduct in question:</w:t>
            </w:r>
          </w:p>
          <w:p w14:paraId="5CB34C28" w14:textId="10943BCB" w:rsidR="00FF25F3" w:rsidRPr="008625DC" w:rsidRDefault="00E01699" w:rsidP="00127F3A">
            <w:pPr>
              <w:pStyle w:val="RecommendationText"/>
              <w:numPr>
                <w:ilvl w:val="0"/>
                <w:numId w:val="19"/>
              </w:numPr>
              <w:ind w:left="459"/>
            </w:pPr>
            <w:r w:rsidRPr="008625DC">
              <w:t>would be a rational business decision by a corporation that did not have a substantial degree of power in the market</w:t>
            </w:r>
            <w:r w:rsidR="00FF25F3" w:rsidRPr="008625DC">
              <w:t>; and</w:t>
            </w:r>
          </w:p>
          <w:p w14:paraId="030DEABA" w14:textId="646CAD23" w:rsidR="00E01699" w:rsidRPr="008625DC" w:rsidRDefault="00FF25F3" w:rsidP="00127F3A">
            <w:pPr>
              <w:pStyle w:val="RecommendationText"/>
              <w:numPr>
                <w:ilvl w:val="0"/>
                <w:numId w:val="19"/>
              </w:numPr>
              <w:spacing w:after="180"/>
              <w:ind w:left="459"/>
            </w:pPr>
            <w:r w:rsidRPr="008625DC">
              <w:t xml:space="preserve">the effect </w:t>
            </w:r>
            <w:r w:rsidR="00757E5D" w:rsidRPr="008625DC">
              <w:t xml:space="preserve">or likely effect </w:t>
            </w:r>
            <w:r w:rsidRPr="008625DC">
              <w:t xml:space="preserve">of </w:t>
            </w:r>
            <w:r w:rsidR="00757E5D" w:rsidRPr="008625DC">
              <w:t>the conduct is to benefit</w:t>
            </w:r>
            <w:r w:rsidRPr="008625DC">
              <w:t xml:space="preserve"> the long</w:t>
            </w:r>
            <w:r w:rsidR="00C74E19" w:rsidRPr="008625DC">
              <w:noBreakHyphen/>
            </w:r>
            <w:r w:rsidRPr="008625DC">
              <w:t>term interests of consumers.</w:t>
            </w:r>
          </w:p>
          <w:p w14:paraId="72B591BF" w14:textId="7245BE1B" w:rsidR="00E01699" w:rsidRPr="008625DC" w:rsidRDefault="00E01699" w:rsidP="00127F3A">
            <w:pPr>
              <w:pStyle w:val="Keyfindingtext"/>
            </w:pPr>
            <w:r w:rsidRPr="008625DC">
              <w:t xml:space="preserve">The onus of proving that the </w:t>
            </w:r>
            <w:r w:rsidR="00DE0132" w:rsidRPr="008625DC">
              <w:t xml:space="preserve">defence </w:t>
            </w:r>
            <w:r w:rsidRPr="008625DC">
              <w:t>applies should fall on the corporation engaging in the conduct.</w:t>
            </w:r>
          </w:p>
          <w:p w14:paraId="4802089C" w14:textId="4B14C671" w:rsidR="00FF25F3" w:rsidRPr="008625DC" w:rsidRDefault="00D0072F" w:rsidP="00127F3A">
            <w:pPr>
              <w:pStyle w:val="Keyfindingtext"/>
              <w:rPr>
                <w:b/>
              </w:rPr>
            </w:pPr>
            <w:r w:rsidRPr="008625DC">
              <w:rPr>
                <w:b/>
              </w:rPr>
              <w:t>The Panel seeks further submissions on the scope of this defence</w:t>
            </w:r>
            <w:r w:rsidR="00474704" w:rsidRPr="008625DC">
              <w:rPr>
                <w:b/>
              </w:rPr>
              <w:t>,</w:t>
            </w:r>
            <w:r w:rsidRPr="008625DC">
              <w:rPr>
                <w:b/>
              </w:rPr>
              <w:t xml:space="preserve"> whether it would be too broad</w:t>
            </w:r>
            <w:r w:rsidR="00474704" w:rsidRPr="008625DC">
              <w:rPr>
                <w:b/>
              </w:rPr>
              <w:t xml:space="preserve">, and whether there are other ways to ensure </w:t>
            </w:r>
            <w:r w:rsidR="00A34ED8" w:rsidRPr="008625DC">
              <w:rPr>
                <w:b/>
              </w:rPr>
              <w:t>anti</w:t>
            </w:r>
            <w:r w:rsidR="00C74E19" w:rsidRPr="008625DC">
              <w:rPr>
                <w:b/>
              </w:rPr>
              <w:noBreakHyphen/>
            </w:r>
            <w:r w:rsidR="00A34ED8" w:rsidRPr="008625DC">
              <w:rPr>
                <w:b/>
              </w:rPr>
              <w:t>competitive</w:t>
            </w:r>
            <w:r w:rsidR="00474704" w:rsidRPr="008625DC">
              <w:rPr>
                <w:b/>
              </w:rPr>
              <w:t xml:space="preserve"> conduct is caught by the provision</w:t>
            </w:r>
            <w:r w:rsidR="00137C96" w:rsidRPr="008625DC">
              <w:rPr>
                <w:b/>
              </w:rPr>
              <w:t xml:space="preserve"> but not exempted by way of a defence</w:t>
            </w:r>
            <w:r w:rsidRPr="008625DC">
              <w:rPr>
                <w:b/>
              </w:rPr>
              <w:t>.</w:t>
            </w:r>
          </w:p>
          <w:p w14:paraId="3AA53E95" w14:textId="6546D68A" w:rsidR="00E01699" w:rsidRPr="008625DC" w:rsidRDefault="00FF25F3" w:rsidP="006F3307">
            <w:pPr>
              <w:pStyle w:val="Keyfindingtext"/>
              <w:rPr>
                <w:b/>
              </w:rPr>
            </w:pPr>
            <w:r w:rsidRPr="008625DC">
              <w:t xml:space="preserve">Such a reframing would allow the provision to be simplified. Amendments introduced since 2007 would be unnecessary and could be repealed. These include specific provisions prohibiting predatory pricing, and amendments </w:t>
            </w:r>
            <w:r w:rsidR="00757E5D" w:rsidRPr="008625DC">
              <w:t>that attempt to explain</w:t>
            </w:r>
            <w:r w:rsidRPr="008625DC">
              <w:t xml:space="preserve"> the meaning of </w:t>
            </w:r>
            <w:r w:rsidR="00C74E19" w:rsidRPr="008625DC">
              <w:t>‘</w:t>
            </w:r>
            <w:r w:rsidRPr="008625DC">
              <w:t>take advantage</w:t>
            </w:r>
            <w:r w:rsidR="00C74E19" w:rsidRPr="008625DC">
              <w:t>’</w:t>
            </w:r>
            <w:r w:rsidRPr="008625DC">
              <w:t>.</w:t>
            </w:r>
          </w:p>
        </w:tc>
      </w:tr>
    </w:tbl>
    <w:p w14:paraId="5A38456C" w14:textId="4AEC50BD" w:rsidR="008E7129" w:rsidRPr="008625DC" w:rsidRDefault="008E7129" w:rsidP="000B5916">
      <w:pPr>
        <w:pStyle w:val="Heading2"/>
        <w:ind w:left="851" w:hanging="851"/>
        <w:rPr>
          <w:lang w:val="en-AU"/>
        </w:rPr>
      </w:pPr>
      <w:bookmarkStart w:id="28316" w:name="_Toc396123854"/>
      <w:bookmarkStart w:id="28317" w:name="_Toc396130757"/>
      <w:bookmarkStart w:id="28318" w:name="_Toc396136335"/>
      <w:bookmarkStart w:id="28319" w:name="_Toc396138789"/>
      <w:bookmarkStart w:id="28320" w:name="_Toc396144050"/>
      <w:bookmarkStart w:id="28321" w:name="_Toc396145559"/>
      <w:bookmarkStart w:id="28322" w:name="_Toc396145703"/>
      <w:bookmarkStart w:id="28323" w:name="_Toc396145985"/>
      <w:bookmarkStart w:id="28324" w:name="_Toc396147525"/>
      <w:bookmarkStart w:id="28325" w:name="_Toc396147811"/>
      <w:bookmarkStart w:id="28326" w:name="_Toc396149067"/>
      <w:bookmarkStart w:id="28327" w:name="_Toc396148781"/>
      <w:bookmarkStart w:id="28328" w:name="_Toc396149562"/>
      <w:bookmarkStart w:id="28329" w:name="_Toc396149207"/>
      <w:bookmarkStart w:id="28330" w:name="_Toc396149493"/>
      <w:bookmarkStart w:id="28331" w:name="_Toc396149170"/>
      <w:bookmarkStart w:id="28332" w:name="_Toc396149915"/>
      <w:bookmarkStart w:id="28333" w:name="_Toc396149665"/>
      <w:bookmarkStart w:id="28334" w:name="_Toc396150506"/>
      <w:bookmarkStart w:id="28335" w:name="_Toc396151395"/>
      <w:bookmarkStart w:id="28336" w:name="_Toc396151689"/>
      <w:bookmarkStart w:id="28337" w:name="_Toc396201616"/>
      <w:bookmarkStart w:id="28338" w:name="_Toc396202406"/>
      <w:bookmarkStart w:id="28339" w:name="_Toc396202701"/>
      <w:bookmarkStart w:id="28340" w:name="_Toc396203318"/>
      <w:bookmarkStart w:id="28341" w:name="_Toc396206614"/>
      <w:bookmarkStart w:id="28342" w:name="_Toc396206908"/>
      <w:bookmarkStart w:id="28343" w:name="_Toc396209442"/>
      <w:bookmarkStart w:id="28344" w:name="_Toc396209736"/>
      <w:bookmarkStart w:id="28345" w:name="_Toc396211866"/>
      <w:bookmarkStart w:id="28346" w:name="_Toc396212160"/>
      <w:bookmarkStart w:id="28347" w:name="_Toc396213210"/>
      <w:bookmarkStart w:id="28348" w:name="_Toc396213502"/>
      <w:bookmarkStart w:id="28349" w:name="_Toc396214488"/>
      <w:bookmarkStart w:id="28350" w:name="_Toc396214778"/>
      <w:bookmarkStart w:id="28351" w:name="_Toc396220338"/>
      <w:bookmarkStart w:id="28352" w:name="_Toc396226600"/>
      <w:bookmarkStart w:id="28353" w:name="_Toc396226889"/>
      <w:bookmarkStart w:id="28354" w:name="_Toc396228800"/>
      <w:bookmarkStart w:id="28355" w:name="_Toc396229095"/>
      <w:bookmarkStart w:id="28356" w:name="_Toc396230442"/>
      <w:bookmarkStart w:id="28357" w:name="_Toc396230737"/>
      <w:bookmarkStart w:id="28358" w:name="_Toc396231879"/>
      <w:bookmarkStart w:id="28359" w:name="_Toc396233222"/>
      <w:bookmarkStart w:id="28360" w:name="_Toc396233519"/>
      <w:bookmarkStart w:id="28361" w:name="_Toc396234042"/>
      <w:bookmarkStart w:id="28362" w:name="_Toc396234339"/>
      <w:bookmarkStart w:id="28363" w:name="_Toc396234452"/>
      <w:bookmarkStart w:id="28364" w:name="_Toc396236186"/>
      <w:bookmarkStart w:id="28365" w:name="_Toc396235964"/>
      <w:bookmarkStart w:id="28366" w:name="_Toc396236574"/>
      <w:bookmarkStart w:id="28367" w:name="_Toc396237093"/>
      <w:bookmarkStart w:id="28368" w:name="_Toc396397436"/>
      <w:bookmarkStart w:id="28369" w:name="_Toc396304617"/>
      <w:bookmarkStart w:id="28370" w:name="_Toc396586152"/>
      <w:bookmarkStart w:id="28371" w:name="_Toc396815173"/>
      <w:bookmarkStart w:id="28372" w:name="_Toc396821122"/>
      <w:bookmarkStart w:id="28373" w:name="_Toc396821730"/>
      <w:bookmarkStart w:id="28374" w:name="_Toc396827580"/>
      <w:bookmarkStart w:id="28375" w:name="_Toc396828551"/>
      <w:bookmarkStart w:id="28376" w:name="_Toc396828661"/>
      <w:bookmarkStart w:id="28377" w:name="_Toc396838050"/>
      <w:bookmarkStart w:id="28378" w:name="_Toc396838448"/>
      <w:bookmarkStart w:id="28379" w:name="_Toc396904771"/>
      <w:bookmarkStart w:id="28380" w:name="_Toc396907605"/>
      <w:bookmarkStart w:id="28381" w:name="_Toc396912524"/>
      <w:bookmarkStart w:id="28382" w:name="_Toc396914504"/>
      <w:bookmarkStart w:id="28383" w:name="_Toc396915388"/>
      <w:bookmarkStart w:id="28384" w:name="_Toc396915782"/>
      <w:bookmarkStart w:id="28385" w:name="_Toc396921093"/>
      <w:bookmarkStart w:id="28386" w:name="_Toc396924433"/>
      <w:bookmarkStart w:id="28387" w:name="_Toc396925127"/>
      <w:bookmarkStart w:id="28388" w:name="_Toc396992247"/>
      <w:bookmarkStart w:id="28389" w:name="_Toc396992826"/>
      <w:bookmarkStart w:id="28390" w:name="_Toc396994490"/>
      <w:bookmarkStart w:id="28391" w:name="_Toc397002260"/>
      <w:bookmarkStart w:id="28392" w:name="_Toc397003179"/>
      <w:bookmarkStart w:id="28393" w:name="_Toc397008737"/>
      <w:bookmarkStart w:id="28394" w:name="_Toc397008955"/>
      <w:bookmarkStart w:id="28395" w:name="_Toc397011627"/>
      <w:bookmarkStart w:id="28396" w:name="_Toc397012689"/>
      <w:bookmarkStart w:id="28397" w:name="_Toc397015031"/>
      <w:bookmarkStart w:id="28398" w:name="_Toc397015518"/>
      <w:bookmarkStart w:id="28399" w:name="_Toc397070589"/>
      <w:bookmarkStart w:id="28400" w:name="_Toc397413342"/>
      <w:bookmarkStart w:id="28401" w:name="_Toc397413489"/>
      <w:bookmarkStart w:id="28402" w:name="_Toc397428059"/>
      <w:bookmarkStart w:id="28403" w:name="_Toc397439449"/>
      <w:bookmarkStart w:id="28404" w:name="_Toc397439619"/>
      <w:bookmarkStart w:id="28405" w:name="_Toc397439875"/>
      <w:bookmarkStart w:id="28406" w:name="_Toc397440177"/>
      <w:bookmarkStart w:id="28407" w:name="_Toc397441806"/>
      <w:bookmarkStart w:id="28408" w:name="_Toc397517508"/>
      <w:bookmarkStart w:id="28409" w:name="_Toc397522773"/>
      <w:bookmarkStart w:id="28410" w:name="_Toc397526191"/>
      <w:bookmarkStart w:id="28411" w:name="_Toc397528506"/>
      <w:bookmarkStart w:id="28412" w:name="_Toc397528981"/>
      <w:bookmarkStart w:id="28413" w:name="_Toc397601981"/>
      <w:bookmarkStart w:id="28414" w:name="_Toc397602716"/>
      <w:bookmarkStart w:id="28415" w:name="_Toc397605849"/>
      <w:bookmarkStart w:id="28416" w:name="_Toc397614546"/>
      <w:bookmarkStart w:id="28417" w:name="_Toc397614989"/>
      <w:bookmarkStart w:id="28418" w:name="_Toc397616432"/>
      <w:bookmarkStart w:id="28419" w:name="_Toc397616826"/>
      <w:bookmarkStart w:id="28420" w:name="_Toc397688124"/>
      <w:bookmarkStart w:id="28421" w:name="_Toc397689340"/>
      <w:bookmarkStart w:id="28422" w:name="_Toc397694620"/>
      <w:bookmarkStart w:id="28423" w:name="_Toc397696461"/>
      <w:bookmarkStart w:id="28424" w:name="_Toc397697195"/>
      <w:bookmarkStart w:id="28425" w:name="_Toc397698482"/>
      <w:bookmarkStart w:id="28426" w:name="_Toc397699848"/>
      <w:bookmarkStart w:id="28427" w:name="_Toc397700302"/>
      <w:bookmarkStart w:id="28428" w:name="_Toc397936694"/>
      <w:bookmarkStart w:id="28429" w:name="_Toc397936814"/>
      <w:bookmarkStart w:id="28430" w:name="_Toc397945970"/>
      <w:bookmarkStart w:id="28431" w:name="_Toc397946996"/>
      <w:bookmarkStart w:id="28432" w:name="_Toc397948115"/>
      <w:bookmarkStart w:id="28433" w:name="_Toc397958521"/>
      <w:bookmarkStart w:id="28434" w:name="_Toc397958763"/>
      <w:bookmarkStart w:id="28435" w:name="_Toc397959178"/>
      <w:bookmarkStart w:id="28436" w:name="_Toc397962245"/>
      <w:bookmarkStart w:id="28437" w:name="_Toc397963031"/>
      <w:bookmarkStart w:id="28438" w:name="_Toc397963397"/>
      <w:bookmarkStart w:id="28439" w:name="_Toc397965474"/>
      <w:bookmarkStart w:id="28440" w:name="_Toc398197412"/>
      <w:bookmarkStart w:id="28441" w:name="_Toc398199915"/>
      <w:bookmarkStart w:id="28442" w:name="_Toc398201629"/>
      <w:bookmarkStart w:id="28443" w:name="_Toc398207234"/>
      <w:bookmarkStart w:id="28444" w:name="_Toc398209938"/>
      <w:bookmarkStart w:id="28445" w:name="_Toc398210507"/>
      <w:bookmarkStart w:id="28446" w:name="_Toc398211021"/>
      <w:bookmarkStart w:id="28447" w:name="_Toc398219832"/>
      <w:bookmarkStart w:id="28448" w:name="_Toc398220207"/>
      <w:bookmarkStart w:id="28449" w:name="_Toc398220594"/>
      <w:bookmarkStart w:id="28450" w:name="_Toc398221672"/>
      <w:bookmarkStart w:id="28451" w:name="_Toc398222358"/>
      <w:bookmarkStart w:id="28452" w:name="_Toc398222670"/>
      <w:bookmarkStart w:id="28453" w:name="_Toc398223087"/>
      <w:bookmarkStart w:id="28454" w:name="_Toc398223466"/>
      <w:bookmarkStart w:id="28455" w:name="_Toc398223593"/>
      <w:bookmarkStart w:id="28456" w:name="_Toc398224401"/>
      <w:bookmarkStart w:id="28457" w:name="_Toc398225738"/>
      <w:bookmarkStart w:id="28458" w:name="_Toc398225863"/>
      <w:bookmarkStart w:id="28459" w:name="_Toc398281350"/>
      <w:bookmarkStart w:id="28460" w:name="_Toc398282209"/>
      <w:bookmarkStart w:id="28461" w:name="_Toc398284879"/>
      <w:bookmarkStart w:id="28462" w:name="_Toc398287348"/>
      <w:bookmarkStart w:id="28463" w:name="_Toc398289231"/>
      <w:bookmarkStart w:id="28464" w:name="_Toc398297228"/>
      <w:bookmarkStart w:id="28465" w:name="_Toc398298702"/>
      <w:bookmarkStart w:id="28466" w:name="_Toc398300403"/>
      <w:bookmarkStart w:id="28467" w:name="_Toc398301300"/>
      <w:bookmarkStart w:id="28468" w:name="_Toc398302485"/>
      <w:bookmarkStart w:id="28469" w:name="_Toc398302648"/>
      <w:bookmarkStart w:id="28470" w:name="_Toc398549162"/>
      <w:bookmarkStart w:id="28471" w:name="_Toc398549412"/>
      <w:bookmarkStart w:id="28472" w:name="_Toc398555831"/>
      <w:bookmarkStart w:id="28473" w:name="_Toc398559035"/>
      <w:bookmarkStart w:id="28474" w:name="_Toc398563521"/>
      <w:bookmarkStart w:id="28475" w:name="_Toc398563654"/>
      <w:bookmarkStart w:id="28476" w:name="_Toc398564053"/>
      <w:bookmarkStart w:id="28477" w:name="_Toc398827391"/>
      <w:bookmarkStart w:id="28478" w:name="_Toc398827585"/>
      <w:bookmarkStart w:id="28479" w:name="s162"/>
      <w:r w:rsidRPr="008625DC">
        <w:rPr>
          <w:lang w:val="en-AU"/>
        </w:rPr>
        <w:t>Price discrimination</w:t>
      </w:r>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bookmarkEnd w:id="28372"/>
      <w:bookmarkEnd w:id="28373"/>
      <w:bookmarkEnd w:id="28374"/>
      <w:bookmarkEnd w:id="28375"/>
      <w:bookmarkEnd w:id="28376"/>
      <w:bookmarkEnd w:id="28377"/>
      <w:bookmarkEnd w:id="28378"/>
      <w:bookmarkEnd w:id="28379"/>
      <w:bookmarkEnd w:id="28380"/>
      <w:bookmarkEnd w:id="28381"/>
      <w:bookmarkEnd w:id="28382"/>
      <w:bookmarkEnd w:id="28383"/>
      <w:bookmarkEnd w:id="28384"/>
      <w:bookmarkEnd w:id="28385"/>
      <w:bookmarkEnd w:id="28386"/>
      <w:bookmarkEnd w:id="28387"/>
      <w:bookmarkEnd w:id="28388"/>
      <w:bookmarkEnd w:id="28389"/>
      <w:bookmarkEnd w:id="28390"/>
      <w:bookmarkEnd w:id="28391"/>
      <w:bookmarkEnd w:id="28392"/>
      <w:bookmarkEnd w:id="28393"/>
      <w:bookmarkEnd w:id="28394"/>
      <w:bookmarkEnd w:id="28395"/>
      <w:bookmarkEnd w:id="28396"/>
      <w:bookmarkEnd w:id="28397"/>
      <w:bookmarkEnd w:id="28398"/>
      <w:bookmarkEnd w:id="28399"/>
      <w:bookmarkEnd w:id="28400"/>
      <w:bookmarkEnd w:id="28401"/>
      <w:bookmarkEnd w:id="28402"/>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p>
    <w:bookmarkEnd w:id="28479"/>
    <w:p w14:paraId="63A8D892" w14:textId="13997EA5" w:rsidR="00E245AE" w:rsidRPr="008625DC" w:rsidRDefault="00E245AE" w:rsidP="00FF25F3">
      <w:r w:rsidRPr="008625DC">
        <w:t xml:space="preserve">Price discrimination is the practice of charging different prices for the same or similar goods or services, where </w:t>
      </w:r>
      <w:r w:rsidR="009F3E8F" w:rsidRPr="008625DC">
        <w:t xml:space="preserve">the </w:t>
      </w:r>
      <w:r w:rsidRPr="008625DC">
        <w:t xml:space="preserve">price difference </w:t>
      </w:r>
      <w:r w:rsidR="00012393" w:rsidRPr="008625DC">
        <w:t>does not reflect</w:t>
      </w:r>
      <w:r w:rsidRPr="008625DC">
        <w:t xml:space="preserve"> differences in the cost of supply. </w:t>
      </w:r>
      <w:r w:rsidR="00741541" w:rsidRPr="008625DC">
        <w:t xml:space="preserve">Examples of price discrimination include student, seniors and family discounts, </w:t>
      </w:r>
      <w:r w:rsidR="00C74E19" w:rsidRPr="008625DC">
        <w:t>‘</w:t>
      </w:r>
      <w:r w:rsidR="00741541" w:rsidRPr="008625DC">
        <w:t>early bird specials</w:t>
      </w:r>
      <w:r w:rsidR="00C74E19" w:rsidRPr="008625DC">
        <w:t>’</w:t>
      </w:r>
      <w:r w:rsidR="00741541" w:rsidRPr="008625DC">
        <w:t>, and may include discounts for</w:t>
      </w:r>
      <w:r w:rsidR="009A29D7" w:rsidRPr="008625DC">
        <w:t xml:space="preserve"> bulk purchases and group buying</w:t>
      </w:r>
      <w:r w:rsidR="00741541" w:rsidRPr="008625DC">
        <w:t>.</w:t>
      </w:r>
      <w:r w:rsidR="00787DCF" w:rsidRPr="008625DC">
        <w:t xml:space="preserve"> </w:t>
      </w:r>
    </w:p>
    <w:p w14:paraId="2E79D1CA" w14:textId="77777777" w:rsidR="004E5E01" w:rsidRPr="008625DC" w:rsidRDefault="00CA3282" w:rsidP="00FF25F3">
      <w:r w:rsidRPr="008625DC">
        <w:t>The effects of price discrimination</w:t>
      </w:r>
      <w:r w:rsidR="004C4C53" w:rsidRPr="008625DC">
        <w:t xml:space="preserve"> will depend on the particular circumstances of the market</w:t>
      </w:r>
      <w:r w:rsidR="004B5C5D" w:rsidRPr="008625DC">
        <w:t>.</w:t>
      </w:r>
      <w:r w:rsidR="00B4117E" w:rsidRPr="008625DC">
        <w:t xml:space="preserve"> </w:t>
      </w:r>
      <w:r w:rsidR="008867FE" w:rsidRPr="008625DC">
        <w:t xml:space="preserve">Pricing according to </w:t>
      </w:r>
      <w:r w:rsidR="000F4D4E" w:rsidRPr="008625DC">
        <w:t>consumer</w:t>
      </w:r>
      <w:r w:rsidR="008867FE" w:rsidRPr="008625DC">
        <w:t xml:space="preserve"> </w:t>
      </w:r>
      <w:r w:rsidRPr="008625DC">
        <w:t>willingness to pay</w:t>
      </w:r>
      <w:r w:rsidR="008867FE" w:rsidRPr="008625DC">
        <w:t xml:space="preserve"> can result in more consumers being able to obtain the good or service than if a common price </w:t>
      </w:r>
      <w:r w:rsidR="000F4D4E" w:rsidRPr="008625DC">
        <w:t>w</w:t>
      </w:r>
      <w:r w:rsidR="004E5E01" w:rsidRPr="008625DC">
        <w:t>ere</w:t>
      </w:r>
      <w:r w:rsidR="008867FE" w:rsidRPr="008625DC">
        <w:t xml:space="preserve"> charged.</w:t>
      </w:r>
      <w:r w:rsidR="004C4C53" w:rsidRPr="008625DC">
        <w:t xml:space="preserve"> In these circumstances</w:t>
      </w:r>
      <w:r w:rsidR="00012393" w:rsidRPr="008625DC">
        <w:t xml:space="preserve"> price discrimination can make goods or services more accessible and can enhance consumer choice.</w:t>
      </w:r>
    </w:p>
    <w:p w14:paraId="2C8C463A" w14:textId="0AA5A017" w:rsidR="00CA3282" w:rsidRPr="008625DC" w:rsidRDefault="004C4C53" w:rsidP="00FF25F3">
      <w:r w:rsidRPr="008625DC">
        <w:t xml:space="preserve">Nonetheless, awareness of price discrimination can </w:t>
      </w:r>
      <w:r w:rsidR="004E5E01" w:rsidRPr="008625DC">
        <w:t>irritate</w:t>
      </w:r>
      <w:r w:rsidRPr="008625DC">
        <w:t xml:space="preserve"> consumers who </w:t>
      </w:r>
      <w:r w:rsidR="004E5E01" w:rsidRPr="008625DC">
        <w:t>find themselves unable to</w:t>
      </w:r>
      <w:r w:rsidRPr="008625DC">
        <w:t xml:space="preserve"> purchase goods at the same price that </w:t>
      </w:r>
      <w:r w:rsidR="008867FE" w:rsidRPr="008625DC">
        <w:t>others can</w:t>
      </w:r>
      <w:r w:rsidRPr="008625DC">
        <w:t>.</w:t>
      </w:r>
    </w:p>
    <w:tbl>
      <w:tblPr>
        <w:tblW w:w="9072" w:type="dxa"/>
        <w:tblInd w:w="108" w:type="dxa"/>
        <w:shd w:val="clear" w:color="auto" w:fill="E6E6E6"/>
        <w:tblLook w:val="01E0" w:firstRow="1" w:lastRow="1" w:firstColumn="1" w:lastColumn="1" w:noHBand="0" w:noVBand="0"/>
      </w:tblPr>
      <w:tblGrid>
        <w:gridCol w:w="9072"/>
      </w:tblGrid>
      <w:tr w:rsidR="00CA3282" w:rsidRPr="008625DC" w14:paraId="78417788" w14:textId="77777777" w:rsidTr="006956F2">
        <w:tc>
          <w:tcPr>
            <w:tcW w:w="5000" w:type="pct"/>
            <w:shd w:val="clear" w:color="auto" w:fill="E6E6E6"/>
          </w:tcPr>
          <w:p w14:paraId="2769975D" w14:textId="55E09AD3" w:rsidR="00CA3282" w:rsidRPr="008625DC" w:rsidRDefault="003E52A5" w:rsidP="006956F2">
            <w:pPr>
              <w:pStyle w:val="BoxHeading"/>
            </w:pPr>
            <w:r w:rsidRPr="008625DC">
              <w:lastRenderedPageBreak/>
              <w:t>Box</w:t>
            </w:r>
            <w:r w:rsidR="00767E94" w:rsidRPr="008625DC">
              <w:t xml:space="preserve"> </w:t>
            </w:r>
            <w:r w:rsidR="004B694F" w:rsidRPr="008625DC">
              <w:t>16.3</w:t>
            </w:r>
            <w:r w:rsidR="00945DF2" w:rsidRPr="008625DC">
              <w:t xml:space="preserve">: </w:t>
            </w:r>
            <w:r w:rsidR="00CA3282" w:rsidRPr="008625DC">
              <w:t>The former prohibition on price discrimination</w:t>
            </w:r>
          </w:p>
          <w:p w14:paraId="7390E6E3" w14:textId="6769F541" w:rsidR="00CB1418" w:rsidRPr="008625DC" w:rsidRDefault="00CA3282" w:rsidP="00127F3A">
            <w:pPr>
              <w:pStyle w:val="BoxText"/>
            </w:pPr>
            <w:r w:rsidRPr="008625DC">
              <w:t xml:space="preserve">Prior to 1995 there was a specific provision in the </w:t>
            </w:r>
            <w:r w:rsidR="00661A11" w:rsidRPr="008625DC">
              <w:t xml:space="preserve">then TPA </w:t>
            </w:r>
            <w:r w:rsidRPr="008625DC">
              <w:t xml:space="preserve">against </w:t>
            </w:r>
            <w:r w:rsidR="00DE0132" w:rsidRPr="008625DC">
              <w:t xml:space="preserve">certain types of </w:t>
            </w:r>
            <w:r w:rsidRPr="008625DC">
              <w:t xml:space="preserve">price discrimination. The Hilmer Review found that </w:t>
            </w:r>
            <w:r w:rsidR="004E5E01" w:rsidRPr="008625DC">
              <w:t>this</w:t>
            </w:r>
            <w:r w:rsidRPr="008625DC">
              <w:t xml:space="preserve"> provision was</w:t>
            </w:r>
            <w:r w:rsidR="00CB1418" w:rsidRPr="008625DC">
              <w:t xml:space="preserve"> contrary to the objective of economic efficiency and had not assisted small business. Further, instances where price discrimination may have an anti</w:t>
            </w:r>
            <w:r w:rsidR="00C74E19" w:rsidRPr="008625DC">
              <w:noBreakHyphen/>
            </w:r>
            <w:r w:rsidR="00CB1418" w:rsidRPr="008625DC">
              <w:t xml:space="preserve">competitive effect could be adequately dealt with by other parts of the law. The Hilmer Review recommendations were adopted and in 1995 </w:t>
            </w:r>
            <w:r w:rsidR="009609A0" w:rsidRPr="008625DC">
              <w:t xml:space="preserve">the former </w:t>
            </w:r>
            <w:r w:rsidR="00C042B7" w:rsidRPr="008625DC">
              <w:t>section </w:t>
            </w:r>
            <w:r w:rsidR="00CB1418" w:rsidRPr="008625DC">
              <w:t>49 was repealed.</w:t>
            </w:r>
          </w:p>
          <w:p w14:paraId="18E08455" w14:textId="345E16FE" w:rsidR="00CA3282" w:rsidRPr="008625DC" w:rsidRDefault="00CB1418" w:rsidP="00127F3A">
            <w:pPr>
              <w:pStyle w:val="BoxText"/>
            </w:pPr>
            <w:r w:rsidRPr="008625DC">
              <w:t>The Hilmer recommendations followed on from recommendations of the Swanson (1976) and Blunt (1979) Committees, which had also recommended that the prohibition on price discrimination be repealed.</w:t>
            </w:r>
            <w:r w:rsidRPr="008625DC">
              <w:rPr>
                <w:rStyle w:val="FootnoteReference"/>
              </w:rPr>
              <w:footnoteReference w:id="284"/>
            </w:r>
            <w:r w:rsidRPr="008625DC">
              <w:t xml:space="preserve"> The issue was reconsidered in the Dawson Review in 2003. The Dawson Review found that empirical evidence did not indicate the need for further regulation of price discrimination.</w:t>
            </w:r>
            <w:r w:rsidRPr="008625DC">
              <w:rPr>
                <w:rStyle w:val="FootnoteReference"/>
              </w:rPr>
              <w:footnoteReference w:id="285"/>
            </w:r>
          </w:p>
        </w:tc>
      </w:tr>
    </w:tbl>
    <w:p w14:paraId="6F2473C2" w14:textId="041A2874" w:rsidR="00FF25F3" w:rsidRPr="008625DC" w:rsidRDefault="00FF25F3" w:rsidP="00127F3A">
      <w:pPr>
        <w:spacing w:before="240" w:after="120"/>
      </w:pPr>
      <w:r w:rsidRPr="008625DC">
        <w:t>The Panel has received some submissions calling for reinstatement of a specific anti</w:t>
      </w:r>
      <w:r w:rsidR="00C74E19" w:rsidRPr="008625DC">
        <w:noBreakHyphen/>
      </w:r>
      <w:r w:rsidRPr="008625DC">
        <w:t xml:space="preserve">competitive price discrimination provision, particularly in relation to </w:t>
      </w:r>
      <w:r w:rsidR="00661A11" w:rsidRPr="008625DC">
        <w:t xml:space="preserve">the supply of goods to </w:t>
      </w:r>
      <w:r w:rsidRPr="008625DC">
        <w:t>supermarket</w:t>
      </w:r>
      <w:r w:rsidR="00661A11" w:rsidRPr="008625DC">
        <w:t>s</w:t>
      </w:r>
      <w:r w:rsidRPr="008625DC">
        <w:t>. For example, AURL FoodWorks state</w:t>
      </w:r>
      <w:r w:rsidR="004E3403" w:rsidRPr="008625DC">
        <w:t>s</w:t>
      </w:r>
      <w:r w:rsidRPr="008625DC">
        <w:t xml:space="preserve"> that:</w:t>
      </w:r>
    </w:p>
    <w:p w14:paraId="6479D16F" w14:textId="7F1274BA" w:rsidR="00FF25F3" w:rsidRPr="008625DC" w:rsidRDefault="00FF25F3" w:rsidP="00FF25F3">
      <w:pPr>
        <w:pStyle w:val="Quotes"/>
      </w:pPr>
      <w:r w:rsidRPr="008625DC">
        <w:t>The practice of suppliers selling to some customers at one price and to other comparable customers at a higher price is an on</w:t>
      </w:r>
      <w:r w:rsidR="00C74E19" w:rsidRPr="008625DC">
        <w:noBreakHyphen/>
      </w:r>
      <w:r w:rsidRPr="008625DC">
        <w:t xml:space="preserve">going concern </w:t>
      </w:r>
      <w:r w:rsidRPr="008625DC">
        <w:rPr>
          <w:rFonts w:cs="Arial"/>
        </w:rPr>
        <w:t>…Independent wholesalers are not able to obtain goods or services at prices comparable to those charged by suppliers to the major chain supermarkets. This is despite having central distribution warehouses of comparable size and capable of like performance to the major chains</w:t>
      </w:r>
      <w:r w:rsidR="003F32EF" w:rsidRPr="008625DC">
        <w:rPr>
          <w:rFonts w:cs="Arial"/>
        </w:rPr>
        <w:t>.</w:t>
      </w:r>
      <w:r w:rsidRPr="008625DC">
        <w:rPr>
          <w:rFonts w:cs="Arial"/>
        </w:rPr>
        <w:t xml:space="preserve"> (p</w:t>
      </w:r>
      <w:r w:rsidR="004F49B5" w:rsidRPr="008625DC">
        <w:rPr>
          <w:rFonts w:cs="Arial"/>
        </w:rPr>
        <w:t>ages</w:t>
      </w:r>
      <w:r w:rsidRPr="008625DC">
        <w:rPr>
          <w:rFonts w:cs="Arial"/>
        </w:rPr>
        <w:t xml:space="preserve"> 7</w:t>
      </w:r>
      <w:r w:rsidR="00127F3A" w:rsidRPr="008625DC">
        <w:rPr>
          <w:rFonts w:cs="Arial"/>
        </w:rPr>
        <w:noBreakHyphen/>
      </w:r>
      <w:r w:rsidRPr="008625DC">
        <w:rPr>
          <w:rFonts w:cs="Arial"/>
        </w:rPr>
        <w:t>8)</w:t>
      </w:r>
    </w:p>
    <w:p w14:paraId="3064882F" w14:textId="155F5BE3" w:rsidR="00FF25F3" w:rsidRPr="008625DC" w:rsidRDefault="00FF25F3" w:rsidP="00FF25F3">
      <w:r w:rsidRPr="008625DC">
        <w:t xml:space="preserve">Supporters of </w:t>
      </w:r>
      <w:r w:rsidR="00661A11" w:rsidRPr="008625DC">
        <w:t>a price discrimination provision</w:t>
      </w:r>
      <w:r w:rsidRPr="008625DC">
        <w:t xml:space="preserve"> often argue that it would improve the ability of small businesses to compete, and allow them to be more responsive to consumer needs because it would remove the capacity of larger firms to price their product below the level charged by local, smaller retailers.</w:t>
      </w:r>
      <w:r w:rsidRPr="008625DC">
        <w:rPr>
          <w:rStyle w:val="FootnoteReference"/>
        </w:rPr>
        <w:footnoteReference w:id="286"/>
      </w:r>
      <w:r w:rsidRPr="008625DC">
        <w:t xml:space="preserve"> However, restricting pricing flexibility can be harmful to competition and thereby harm consumers.</w:t>
      </w:r>
    </w:p>
    <w:p w14:paraId="1BC94C64" w14:textId="296DC575" w:rsidR="00FF25F3" w:rsidRPr="008625DC" w:rsidRDefault="00FF25F3" w:rsidP="00FF25F3">
      <w:r w:rsidRPr="008625DC">
        <w:t>Price discrimination should only be unlawful where it substantially lessens competition. The Panel agrees with the conclusions of previous reviews that anti</w:t>
      </w:r>
      <w:r w:rsidR="00C74E19" w:rsidRPr="008625DC">
        <w:noBreakHyphen/>
      </w:r>
      <w:r w:rsidRPr="008625DC">
        <w:t>competitive price discrimination is best addressed under section</w:t>
      </w:r>
      <w:r w:rsidR="004F49B5" w:rsidRPr="008625DC">
        <w:t> </w:t>
      </w:r>
      <w:r w:rsidRPr="008625DC">
        <w:t>46. The Panel</w:t>
      </w:r>
      <w:r w:rsidR="00C74E19" w:rsidRPr="008625DC">
        <w:t>’</w:t>
      </w:r>
      <w:r w:rsidRPr="008625DC">
        <w:t>s proposal for the reform of section</w:t>
      </w:r>
      <w:r w:rsidR="004F49B5" w:rsidRPr="008625DC">
        <w:t> </w:t>
      </w:r>
      <w:r w:rsidRPr="008625DC">
        <w:t>46 should also assist the identification and prohibition of such conduct.</w:t>
      </w:r>
    </w:p>
    <w:p w14:paraId="1A71F582" w14:textId="4B300728" w:rsidR="00CA3282" w:rsidRPr="008625DC" w:rsidRDefault="00CA3282" w:rsidP="00FB084C">
      <w:pPr>
        <w:pStyle w:val="Heading3"/>
      </w:pPr>
      <w:r w:rsidRPr="008625DC">
        <w:t>International price discrimination</w:t>
      </w:r>
    </w:p>
    <w:p w14:paraId="7598A631" w14:textId="08611161" w:rsidR="009A29D7" w:rsidRPr="008625DC" w:rsidRDefault="00FF25F3" w:rsidP="00127F3A">
      <w:pPr>
        <w:spacing w:after="120"/>
      </w:pPr>
      <w:r w:rsidRPr="008625DC">
        <w:t>International price discrimination occurs when a supplier charges</w:t>
      </w:r>
      <w:r w:rsidR="009A29D7" w:rsidRPr="008625DC">
        <w:t xml:space="preserve"> different prices </w:t>
      </w:r>
      <w:r w:rsidRPr="008625DC">
        <w:t xml:space="preserve">for goods or services </w:t>
      </w:r>
      <w:r w:rsidR="009A29D7" w:rsidRPr="008625DC">
        <w:t xml:space="preserve">according to </w:t>
      </w:r>
      <w:r w:rsidRPr="008625DC">
        <w:t xml:space="preserve">the </w:t>
      </w:r>
      <w:r w:rsidR="009A29D7" w:rsidRPr="008625DC">
        <w:t xml:space="preserve">country </w:t>
      </w:r>
      <w:r w:rsidRPr="008625DC">
        <w:t>in which the products are sold. It</w:t>
      </w:r>
      <w:r w:rsidR="009A29D7" w:rsidRPr="008625DC">
        <w:t xml:space="preserve"> is a common </w:t>
      </w:r>
      <w:r w:rsidRPr="008625DC">
        <w:t xml:space="preserve">practice for products that enjoy </w:t>
      </w:r>
      <w:r w:rsidR="009A29D7" w:rsidRPr="008625DC">
        <w:t xml:space="preserve">intellectual property </w:t>
      </w:r>
      <w:r w:rsidR="00987D4C" w:rsidRPr="008625DC">
        <w:t>(IP)</w:t>
      </w:r>
      <w:r w:rsidR="009A29D7" w:rsidRPr="008625DC">
        <w:t xml:space="preserve"> </w:t>
      </w:r>
      <w:r w:rsidRPr="008625DC">
        <w:t>protection</w:t>
      </w:r>
      <w:r w:rsidR="009A29D7" w:rsidRPr="008625DC">
        <w:t xml:space="preserve"> such as books, digital music and video</w:t>
      </w:r>
      <w:r w:rsidR="004E3403" w:rsidRPr="008625DC">
        <w:t>s,</w:t>
      </w:r>
      <w:r w:rsidR="009A29D7" w:rsidRPr="008625DC">
        <w:t xml:space="preserve"> and software. </w:t>
      </w:r>
      <w:r w:rsidRPr="008625DC">
        <w:lastRenderedPageBreak/>
        <w:t>Both</w:t>
      </w:r>
      <w:r w:rsidR="009A29D7" w:rsidRPr="008625DC">
        <w:t xml:space="preserve"> </w:t>
      </w:r>
      <w:r w:rsidR="007B521C" w:rsidRPr="008625DC">
        <w:t>IP</w:t>
      </w:r>
      <w:r w:rsidR="009A29D7" w:rsidRPr="008625DC">
        <w:t xml:space="preserve"> laws and technology provide the means to segment markets</w:t>
      </w:r>
      <w:r w:rsidRPr="008625DC">
        <w:t xml:space="preserve"> by country.</w:t>
      </w:r>
      <w:r w:rsidR="009A29D7" w:rsidRPr="008625DC">
        <w:t xml:space="preserve"> </w:t>
      </w:r>
      <w:r w:rsidR="0059163F" w:rsidRPr="008625DC">
        <w:t>The ACCC notes that:</w:t>
      </w:r>
    </w:p>
    <w:p w14:paraId="2C069BCD" w14:textId="4173C22D" w:rsidR="0059163F" w:rsidRPr="008625DC" w:rsidRDefault="0059163F" w:rsidP="0071164B">
      <w:pPr>
        <w:pStyle w:val="Quotes"/>
        <w:spacing w:before="0"/>
      </w:pPr>
      <w:r w:rsidRPr="008625DC">
        <w:t>While such practices are not new, the rise of the digital economy has increased consumers</w:t>
      </w:r>
      <w:r w:rsidR="00C74E19" w:rsidRPr="008625DC">
        <w:t>’</w:t>
      </w:r>
      <w:r w:rsidRPr="008625DC">
        <w:t xml:space="preserve"> access to global marketplaces and awareness of different (higher) prices that may be charged in their home country</w:t>
      </w:r>
      <w:r w:rsidR="003F32EF" w:rsidRPr="008625DC">
        <w:t>.</w:t>
      </w:r>
      <w:r w:rsidRPr="008625DC">
        <w:t xml:space="preserve"> (</w:t>
      </w:r>
      <w:r w:rsidR="009849EC" w:rsidRPr="008625DC">
        <w:t xml:space="preserve">ACCC Submission 1, </w:t>
      </w:r>
      <w:r w:rsidR="00FF25F3" w:rsidRPr="008625DC">
        <w:t>p</w:t>
      </w:r>
      <w:r w:rsidR="004F49B5" w:rsidRPr="008625DC">
        <w:t>age </w:t>
      </w:r>
      <w:r w:rsidRPr="008625DC">
        <w:t>117)</w:t>
      </w:r>
    </w:p>
    <w:p w14:paraId="29A748EA" w14:textId="47DEEB40" w:rsidR="00FF25F3" w:rsidRPr="008625DC" w:rsidRDefault="00FF25F3" w:rsidP="00FF25F3">
      <w:r w:rsidRPr="008625DC">
        <w:t>The Panel heard concerns about international price discrimination. CHOICE, for example, point</w:t>
      </w:r>
      <w:r w:rsidR="004E3403" w:rsidRPr="008625DC">
        <w:t>s</w:t>
      </w:r>
      <w:r w:rsidRPr="008625DC">
        <w:t xml:space="preserve"> to evidence of price differences for music and movies from Apple</w:t>
      </w:r>
      <w:r w:rsidR="00C74E19" w:rsidRPr="008625DC">
        <w:t>’</w:t>
      </w:r>
      <w:r w:rsidRPr="008625DC">
        <w:t>s Australian and US iTunes stores. According to CHOICE, Australians can also pay up to 60 per cent more for clothing and up to 200 per cent more for cosmetics (p</w:t>
      </w:r>
      <w:r w:rsidR="004F49B5" w:rsidRPr="008625DC">
        <w:t>ages</w:t>
      </w:r>
      <w:r w:rsidRPr="008625DC">
        <w:t xml:space="preserve"> 13</w:t>
      </w:r>
      <w:r w:rsidR="00C74E19" w:rsidRPr="008625DC">
        <w:t xml:space="preserve"> — </w:t>
      </w:r>
      <w:r w:rsidRPr="008625DC">
        <w:t>15).</w:t>
      </w:r>
    </w:p>
    <w:p w14:paraId="11A4EF2F" w14:textId="167A0AED" w:rsidR="00FF25F3" w:rsidRPr="008625DC" w:rsidRDefault="00FF25F3" w:rsidP="00127F3A">
      <w:pPr>
        <w:spacing w:after="120"/>
      </w:pPr>
      <w:r w:rsidRPr="008625DC">
        <w:t>The Issues Paper noted that the Canadian Government recently announced plans to introduce legislation to address country</w:t>
      </w:r>
      <w:r w:rsidR="00C74E19" w:rsidRPr="008625DC">
        <w:noBreakHyphen/>
      </w:r>
      <w:r w:rsidRPr="008625DC">
        <w:t>specific price discrimination against Canadian consumers.</w:t>
      </w:r>
      <w:r w:rsidRPr="008625DC">
        <w:rPr>
          <w:rStyle w:val="FootnoteReference"/>
        </w:rPr>
        <w:footnoteReference w:id="287"/>
      </w:r>
      <w:r w:rsidRPr="008625DC">
        <w:t xml:space="preserve"> The </w:t>
      </w:r>
      <w:r w:rsidR="00575A09" w:rsidRPr="008625DC">
        <w:t>Panel</w:t>
      </w:r>
      <w:r w:rsidRPr="008625DC">
        <w:t xml:space="preserve"> received submissions calling for a similar policy in Australia. Consumers SA state</w:t>
      </w:r>
      <w:r w:rsidR="004E3403" w:rsidRPr="008625DC">
        <w:t>s</w:t>
      </w:r>
      <w:r w:rsidRPr="008625DC">
        <w:t xml:space="preserve"> that it:</w:t>
      </w:r>
    </w:p>
    <w:p w14:paraId="7F789E0F" w14:textId="01F79906" w:rsidR="00FF25F3" w:rsidRPr="008625DC" w:rsidRDefault="00127F3A" w:rsidP="002F6343">
      <w:pPr>
        <w:pStyle w:val="Quotes"/>
        <w:spacing w:before="0"/>
      </w:pPr>
      <w:r w:rsidRPr="008625DC">
        <w:t>[</w:t>
      </w:r>
      <w:r w:rsidR="00A438AF">
        <w:t>E</w:t>
      </w:r>
      <w:r w:rsidRPr="008625DC">
        <w:t>]</w:t>
      </w:r>
      <w:r w:rsidR="00FF25F3" w:rsidRPr="008625DC">
        <w:t>ncourages the review to explore the possibility of legislation to inhibit international price discrimination</w:t>
      </w:r>
      <w:r w:rsidR="003F32EF" w:rsidRPr="008625DC">
        <w:t>.</w:t>
      </w:r>
      <w:r w:rsidR="00FF25F3" w:rsidRPr="008625DC">
        <w:t xml:space="preserve"> (p</w:t>
      </w:r>
      <w:r w:rsidR="004F49B5" w:rsidRPr="008625DC">
        <w:t>age </w:t>
      </w:r>
      <w:r w:rsidR="00FF25F3" w:rsidRPr="008625DC">
        <w:t>3)</w:t>
      </w:r>
    </w:p>
    <w:p w14:paraId="050C66AB" w14:textId="1CDCFE83" w:rsidR="00164CC3" w:rsidRPr="008625DC" w:rsidRDefault="00FF25F3" w:rsidP="00127F3A">
      <w:pPr>
        <w:spacing w:after="120"/>
      </w:pPr>
      <w:r w:rsidRPr="008625DC">
        <w:t>There are</w:t>
      </w:r>
      <w:r w:rsidR="00B4117E" w:rsidRPr="008625DC">
        <w:t xml:space="preserve"> significant i</w:t>
      </w:r>
      <w:r w:rsidR="00164CC3" w:rsidRPr="008625DC">
        <w:t xml:space="preserve">mplementation difficulties associated with any attempt to prohibit international price discrimination. The </w:t>
      </w:r>
      <w:r w:rsidR="00371C49" w:rsidRPr="008625DC">
        <w:t xml:space="preserve">American Bar </w:t>
      </w:r>
      <w:r w:rsidR="00164CC3" w:rsidRPr="008625DC">
        <w:t>Association note</w:t>
      </w:r>
      <w:r w:rsidR="004E3403" w:rsidRPr="008625DC">
        <w:t>s</w:t>
      </w:r>
      <w:r w:rsidR="00164CC3" w:rsidRPr="008625DC">
        <w:t>:</w:t>
      </w:r>
    </w:p>
    <w:p w14:paraId="0BF8555C" w14:textId="10ED14E3" w:rsidR="00371C49" w:rsidRPr="008625DC" w:rsidRDefault="00371C49" w:rsidP="0071164B">
      <w:pPr>
        <w:pStyle w:val="Quotes"/>
        <w:spacing w:before="0"/>
      </w:pPr>
      <w:r w:rsidRPr="008625DC">
        <w:t xml:space="preserve">Regulation of international price differences is a risky endeavor. Even if regulation is limited to </w:t>
      </w:r>
      <w:r w:rsidR="006E62E5" w:rsidRPr="008625DC">
        <w:t>…</w:t>
      </w:r>
      <w:r w:rsidRPr="008625DC">
        <w:t xml:space="preserve"> </w:t>
      </w:r>
      <w:r w:rsidR="00127F3A" w:rsidRPr="008625DC">
        <w:t>‘</w:t>
      </w:r>
      <w:r w:rsidR="00FF25F3" w:rsidRPr="008625DC">
        <w:t>unjustified</w:t>
      </w:r>
      <w:r w:rsidR="00127F3A" w:rsidRPr="008625DC">
        <w:t>’</w:t>
      </w:r>
      <w:r w:rsidRPr="008625DC">
        <w:t xml:space="preserve"> price discrimination, identifying such cases is extremely difficult given the complexity of the factors influencing pricing decisions in a given country … It could also create incentives for foreign suppliers to abandon or choose not to enter the Australian market, resulting in less choice for consumers</w:t>
      </w:r>
      <w:r w:rsidR="006E62E5" w:rsidRPr="008625DC">
        <w:t>…</w:t>
      </w:r>
      <w:r w:rsidRPr="008625DC">
        <w:t xml:space="preserve"> Likewise, Australian companies might opt out of overseas markets, or be constrained in their ability to compete in certain countries</w:t>
      </w:r>
      <w:r w:rsidR="003F32EF" w:rsidRPr="008625DC">
        <w:t>.</w:t>
      </w:r>
      <w:r w:rsidR="00FF25F3" w:rsidRPr="008625DC">
        <w:t xml:space="preserve"> (p</w:t>
      </w:r>
      <w:r w:rsidR="004F49B5" w:rsidRPr="008625DC">
        <w:t>age </w:t>
      </w:r>
      <w:r w:rsidR="00D40C18" w:rsidRPr="008625DC">
        <w:t>3</w:t>
      </w:r>
      <w:r w:rsidRPr="008625DC">
        <w:t>)</w:t>
      </w:r>
    </w:p>
    <w:p w14:paraId="0B1F39A0" w14:textId="77777777" w:rsidR="005F25D3" w:rsidRPr="008625DC" w:rsidRDefault="005F25D3" w:rsidP="00127F3A">
      <w:pPr>
        <w:spacing w:after="120"/>
      </w:pPr>
      <w:r w:rsidRPr="008625DC">
        <w:t xml:space="preserve">While technology, including geoblocking, can contribute to instances of international price discrimination, </w:t>
      </w:r>
      <w:r w:rsidR="00FF25F3" w:rsidRPr="008625DC">
        <w:t>the growth of distribution channels, both physical and technological,</w:t>
      </w:r>
      <w:r w:rsidRPr="008625DC">
        <w:t xml:space="preserve"> can help consumers and businesses overcome price discrimination. For example:</w:t>
      </w:r>
    </w:p>
    <w:p w14:paraId="0F0BA736" w14:textId="596669AD" w:rsidR="00F70385" w:rsidRPr="008625DC" w:rsidRDefault="00F70385" w:rsidP="00FF25F3">
      <w:pPr>
        <w:pStyle w:val="Bullet"/>
      </w:pPr>
      <w:r w:rsidRPr="008625DC">
        <w:t>in markets for physical goods, mail</w:t>
      </w:r>
      <w:r w:rsidR="00C74E19" w:rsidRPr="008625DC">
        <w:noBreakHyphen/>
      </w:r>
      <w:r w:rsidRPr="008625DC">
        <w:t>forwarding companies allow Australian consumers to buy goods in overseas jurisdictions and then have them forwarded to Australia</w:t>
      </w:r>
      <w:r w:rsidR="00987D4C" w:rsidRPr="008625DC">
        <w:t>;</w:t>
      </w:r>
    </w:p>
    <w:p w14:paraId="63B6361E" w14:textId="5A5E672B" w:rsidR="00FF25F3" w:rsidRPr="008625DC" w:rsidRDefault="00FF25F3" w:rsidP="00FF25F3">
      <w:pPr>
        <w:pStyle w:val="Bullet"/>
      </w:pPr>
      <w:r w:rsidRPr="008625DC">
        <w:t>in markets for digital content, virtual private networks can help consumers access digital content in overseas jurisdictions at the prices offered in those jurisdictions; and</w:t>
      </w:r>
    </w:p>
    <w:p w14:paraId="0C9E4BBA" w14:textId="77777777" w:rsidR="003E66FD" w:rsidRPr="008625DC" w:rsidRDefault="00782BD3" w:rsidP="00127F3A">
      <w:pPr>
        <w:pStyle w:val="Bullet"/>
        <w:spacing w:after="240"/>
      </w:pPr>
      <w:r w:rsidRPr="008625DC">
        <w:t>p</w:t>
      </w:r>
      <w:r w:rsidR="00371C49" w:rsidRPr="008625DC">
        <w:t xml:space="preserve">roduct review websites </w:t>
      </w:r>
      <w:r w:rsidR="003E66FD" w:rsidRPr="008625DC">
        <w:t xml:space="preserve">and </w:t>
      </w:r>
      <w:r w:rsidR="00371C49" w:rsidRPr="008625DC">
        <w:t xml:space="preserve">price monitoring and comparison sites </w:t>
      </w:r>
      <w:r w:rsidR="003E66FD" w:rsidRPr="008625DC">
        <w:t xml:space="preserve">can help consumers find the product or service that best meets their needs and at the best price. </w:t>
      </w:r>
    </w:p>
    <w:p w14:paraId="3106D00E" w14:textId="3EE84A04" w:rsidR="00782BD3" w:rsidRPr="008625DC" w:rsidRDefault="00782BD3" w:rsidP="00127F3A">
      <w:pPr>
        <w:spacing w:after="120"/>
      </w:pPr>
      <w:r w:rsidRPr="008625DC">
        <w:t xml:space="preserve">In its evidence to the </w:t>
      </w:r>
      <w:r w:rsidR="007B521C" w:rsidRPr="008625DC">
        <w:t>House of Representatives Standing Committee I</w:t>
      </w:r>
      <w:r w:rsidRPr="008625DC">
        <w:t xml:space="preserve">nquiry into IT pricing, the </w:t>
      </w:r>
      <w:r w:rsidR="0059163F" w:rsidRPr="008625DC">
        <w:t>ACCC</w:t>
      </w:r>
      <w:r w:rsidR="0059163F" w:rsidRPr="008625DC">
        <w:rPr>
          <w:szCs w:val="22"/>
        </w:rPr>
        <w:t xml:space="preserve"> </w:t>
      </w:r>
      <w:r w:rsidRPr="008625DC">
        <w:t>noted that mechanisms to circumvent international price discrimination can help</w:t>
      </w:r>
      <w:r w:rsidR="0059163F" w:rsidRPr="008625DC">
        <w:t xml:space="preserve"> to </w:t>
      </w:r>
      <w:r w:rsidRPr="008625DC">
        <w:t>put competitive pressure on prices:</w:t>
      </w:r>
    </w:p>
    <w:p w14:paraId="6060EE7E" w14:textId="1E096EAE" w:rsidR="00FF25F3" w:rsidRPr="008625DC" w:rsidRDefault="00FF25F3" w:rsidP="002F6343">
      <w:pPr>
        <w:pStyle w:val="Quotes"/>
        <w:spacing w:before="0"/>
      </w:pPr>
      <w:r w:rsidRPr="008625DC">
        <w:t>If the methods start to become a big enough way in which consumers are circumventing the limitations</w:t>
      </w:r>
      <w:r w:rsidR="00127F3A" w:rsidRPr="008625DC">
        <w:t xml:space="preserve"> </w:t>
      </w:r>
      <w:r w:rsidRPr="008625DC">
        <w:t>…</w:t>
      </w:r>
      <w:r w:rsidR="00127F3A" w:rsidRPr="008625DC">
        <w:t xml:space="preserve"> </w:t>
      </w:r>
      <w:r w:rsidRPr="008625DC">
        <w:t>those methods can start to have … an impact in the market</w:t>
      </w:r>
      <w:r w:rsidR="00127F3A" w:rsidRPr="008625DC">
        <w:t xml:space="preserve"> </w:t>
      </w:r>
      <w:r w:rsidRPr="008625DC">
        <w:t xml:space="preserve">… An illustration of that is the response of some of the television networks to bring forward </w:t>
      </w:r>
      <w:r w:rsidRPr="008625DC">
        <w:lastRenderedPageBreak/>
        <w:t>their broadcast of some of the popular overseas programming that would otherwise be made available through some of the illegal downloading sites.</w:t>
      </w:r>
      <w:r w:rsidRPr="008625DC">
        <w:rPr>
          <w:rStyle w:val="FootnoteReference"/>
        </w:rPr>
        <w:footnoteReference w:id="288"/>
      </w:r>
    </w:p>
    <w:p w14:paraId="4D9FA7D7" w14:textId="5F7CFA5D" w:rsidR="0059163F" w:rsidRPr="008625DC" w:rsidRDefault="00363CCB" w:rsidP="002F6343">
      <w:r w:rsidRPr="008625DC">
        <w:t>T</w:t>
      </w:r>
      <w:r w:rsidR="000A73E0" w:rsidRPr="008625DC">
        <w:t xml:space="preserve">he Panel </w:t>
      </w:r>
      <w:r w:rsidR="009C707C" w:rsidRPr="008625DC">
        <w:t>favours encouraging the use of market</w:t>
      </w:r>
      <w:r w:rsidR="00C74E19" w:rsidRPr="008625DC">
        <w:noBreakHyphen/>
      </w:r>
      <w:r w:rsidR="009C707C" w:rsidRPr="008625DC">
        <w:t xml:space="preserve">based mechanisms to address international price discrimination, rather than </w:t>
      </w:r>
      <w:r w:rsidR="00987D4C" w:rsidRPr="008625DC">
        <w:t>attempting to introduce a legislative solution.</w:t>
      </w:r>
    </w:p>
    <w:p w14:paraId="7C88E559" w14:textId="345938EA" w:rsidR="001D6156" w:rsidRPr="008625DC" w:rsidRDefault="004E3403" w:rsidP="002F6343">
      <w:r w:rsidRPr="008625DC">
        <w:t>T</w:t>
      </w:r>
      <w:r w:rsidR="001D6156" w:rsidRPr="008625DC">
        <w:t>he Panel notes the recommendations of the July</w:t>
      </w:r>
      <w:r w:rsidR="004F49B5" w:rsidRPr="008625DC">
        <w:t> </w:t>
      </w:r>
      <w:r w:rsidR="001D6156" w:rsidRPr="008625DC">
        <w:t>2013 report of the House of Representatives Standing Committee on Infrastructure and Communications into IT pricing in Australia</w:t>
      </w:r>
      <w:r w:rsidR="00AE5535" w:rsidRPr="008625DC">
        <w:t>.</w:t>
      </w:r>
      <w:r w:rsidR="001D6156" w:rsidRPr="008625DC">
        <w:rPr>
          <w:rStyle w:val="FootnoteReference"/>
        </w:rPr>
        <w:footnoteReference w:id="289"/>
      </w:r>
      <w:r w:rsidR="001D6156" w:rsidRPr="008625DC">
        <w:t xml:space="preserve"> That Committee recommended the removal of restrictions on parallel imports, consistent with </w:t>
      </w:r>
      <w:hyperlink w:anchor="DR8" w:history="1">
        <w:r w:rsidR="00821CCF" w:rsidRPr="008625DC">
          <w:rPr>
            <w:rStyle w:val="Hyperlink"/>
          </w:rPr>
          <w:t>Draft Recommendation</w:t>
        </w:r>
        <w:r w:rsidR="001D6156" w:rsidRPr="008625DC">
          <w:rPr>
            <w:rStyle w:val="Hyperlink"/>
          </w:rPr>
          <w:t xml:space="preserve"> </w:t>
        </w:r>
        <w:r w:rsidR="00821CCF" w:rsidRPr="008625DC">
          <w:rPr>
            <w:rStyle w:val="Hyperlink"/>
          </w:rPr>
          <w:t>9</w:t>
        </w:r>
      </w:hyperlink>
      <w:r w:rsidR="001D6156" w:rsidRPr="008625DC">
        <w:rPr>
          <w:color w:val="auto"/>
        </w:rPr>
        <w:t xml:space="preserve"> </w:t>
      </w:r>
      <w:r w:rsidR="001D6156" w:rsidRPr="008625DC">
        <w:t xml:space="preserve">of this Draft Report. In addition, the Committee made a number of recommendations (as set out in Box </w:t>
      </w:r>
      <w:r w:rsidR="00F96079" w:rsidRPr="008625DC">
        <w:t>16.4</w:t>
      </w:r>
      <w:r w:rsidR="001D6156" w:rsidRPr="008625DC">
        <w:t>) that the Panel endorses in principle as a means of encouraging a market</w:t>
      </w:r>
      <w:r w:rsidR="00C74E19" w:rsidRPr="008625DC">
        <w:noBreakHyphen/>
      </w:r>
      <w:r w:rsidR="001D6156" w:rsidRPr="008625DC">
        <w:t>based, consumer driven solution to concerns about international price discrimination</w:t>
      </w:r>
      <w:r w:rsidR="007B521C" w:rsidRPr="008625DC">
        <w:t xml:space="preserve">, as well as a number of recommendations that could form part of the overarching review of intellectual property proposed at </w:t>
      </w:r>
      <w:hyperlink w:anchor="DR7" w:history="1">
        <w:r w:rsidR="007B521C" w:rsidRPr="008625DC">
          <w:rPr>
            <w:rStyle w:val="Hyperlink"/>
          </w:rPr>
          <w:t>Draft Recommendation 7</w:t>
        </w:r>
      </w:hyperlink>
      <w:r w:rsidR="001D6156" w:rsidRPr="008625DC">
        <w:t>.</w:t>
      </w:r>
    </w:p>
    <w:tbl>
      <w:tblPr>
        <w:tblW w:w="9072" w:type="dxa"/>
        <w:tblInd w:w="108" w:type="dxa"/>
        <w:shd w:val="clear" w:color="auto" w:fill="E6E6E6"/>
        <w:tblLook w:val="01E0" w:firstRow="1" w:lastRow="1" w:firstColumn="1" w:lastColumn="1" w:noHBand="0" w:noVBand="0"/>
      </w:tblPr>
      <w:tblGrid>
        <w:gridCol w:w="9072"/>
      </w:tblGrid>
      <w:tr w:rsidR="00AD1EE2" w:rsidRPr="008625DC" w14:paraId="64029C93" w14:textId="77777777">
        <w:tc>
          <w:tcPr>
            <w:tcW w:w="5000" w:type="pct"/>
            <w:shd w:val="clear" w:color="auto" w:fill="E6E6E6"/>
          </w:tcPr>
          <w:p w14:paraId="7E9686F6" w14:textId="4EFD31B2" w:rsidR="00AD1EE2" w:rsidRPr="008625DC" w:rsidRDefault="00F96079" w:rsidP="001D6156">
            <w:pPr>
              <w:pStyle w:val="BoxHeading"/>
            </w:pPr>
            <w:r w:rsidRPr="008625DC">
              <w:lastRenderedPageBreak/>
              <w:t xml:space="preserve">Box 16.4: </w:t>
            </w:r>
            <w:r w:rsidR="00AD1EE2" w:rsidRPr="008625DC">
              <w:t xml:space="preserve">Relevant recommendations of </w:t>
            </w:r>
            <w:r w:rsidR="001D6156" w:rsidRPr="008625DC">
              <w:t>House of Representatives Standing Committee Report on IT pricing in Australia</w:t>
            </w:r>
            <w:r w:rsidR="003174E5" w:rsidRPr="008625DC">
              <w:rPr>
                <w:rStyle w:val="FootnoteReference"/>
              </w:rPr>
              <w:footnoteReference w:id="290"/>
            </w:r>
          </w:p>
          <w:p w14:paraId="1E028A69" w14:textId="2C24C515" w:rsidR="001D6156" w:rsidRPr="008625DC" w:rsidRDefault="001D6156" w:rsidP="002538F5">
            <w:pPr>
              <w:pStyle w:val="Boxheading2"/>
            </w:pPr>
            <w:r w:rsidRPr="008625DC">
              <w:t xml:space="preserve">Recommendations that the Panel supports in </w:t>
            </w:r>
            <w:r w:rsidR="004E3403" w:rsidRPr="008625DC">
              <w:t>p</w:t>
            </w:r>
            <w:r w:rsidRPr="008625DC">
              <w:t>rinciple</w:t>
            </w:r>
            <w:r w:rsidR="004E3403" w:rsidRPr="008625DC">
              <w:t xml:space="preserve"> include</w:t>
            </w:r>
            <w:r w:rsidR="00764D27" w:rsidRPr="008625DC">
              <w:t>:</w:t>
            </w:r>
          </w:p>
          <w:p w14:paraId="0C3B6FF4" w14:textId="2BFF87F6" w:rsidR="00AD1EE2" w:rsidRPr="008625DC" w:rsidRDefault="001D6156" w:rsidP="002538F5">
            <w:pPr>
              <w:pStyle w:val="BoxText"/>
              <w:rPr>
                <w:i/>
              </w:rPr>
            </w:pPr>
            <w:r w:rsidRPr="008625DC">
              <w:rPr>
                <w:i/>
              </w:rPr>
              <w:t xml:space="preserve">House of Representatives Committee </w:t>
            </w:r>
            <w:r w:rsidR="00AD1EE2" w:rsidRPr="008625DC">
              <w:rPr>
                <w:i/>
              </w:rPr>
              <w:t xml:space="preserve">Recommendation 5 </w:t>
            </w:r>
          </w:p>
          <w:p w14:paraId="5F4292EB" w14:textId="2E129E58" w:rsidR="00AD1EE2" w:rsidRPr="008625DC" w:rsidRDefault="001D6156" w:rsidP="00127F3A">
            <w:pPr>
              <w:pStyle w:val="BoxText"/>
              <w:spacing w:after="180"/>
            </w:pPr>
            <w:r w:rsidRPr="008625DC">
              <w:t>T</w:t>
            </w:r>
            <w:r w:rsidR="00AD1EE2" w:rsidRPr="008625DC">
              <w:t>he Australian Government amend the Copyright Act</w:t>
            </w:r>
            <w:r w:rsidR="00C74E19" w:rsidRPr="008625DC">
              <w:t>’</w:t>
            </w:r>
            <w:r w:rsidR="00AD1EE2" w:rsidRPr="008625DC">
              <w:t>s section 10(1) anti</w:t>
            </w:r>
            <w:r w:rsidR="00C74E19" w:rsidRPr="008625DC">
              <w:noBreakHyphen/>
            </w:r>
            <w:r w:rsidR="00AD1EE2" w:rsidRPr="008625DC">
              <w:t>circumvention provisions to clarify and secure consumers</w:t>
            </w:r>
            <w:r w:rsidR="00C74E19" w:rsidRPr="008625DC">
              <w:t>’</w:t>
            </w:r>
            <w:r w:rsidR="00AD1EE2" w:rsidRPr="008625DC">
              <w:t xml:space="preserve"> rights to circumvent technological protection measures that control geographic market segmentation. </w:t>
            </w:r>
          </w:p>
          <w:p w14:paraId="180B32D1" w14:textId="40B8FF9C" w:rsidR="00AD1EE2" w:rsidRPr="008625DC" w:rsidRDefault="001D6156" w:rsidP="00AD1EE2">
            <w:pPr>
              <w:autoSpaceDE w:val="0"/>
              <w:autoSpaceDN w:val="0"/>
              <w:adjustRightInd w:val="0"/>
              <w:spacing w:before="80" w:after="80"/>
              <w:rPr>
                <w:i/>
              </w:rPr>
            </w:pPr>
            <w:r w:rsidRPr="008625DC">
              <w:rPr>
                <w:i/>
              </w:rPr>
              <w:t xml:space="preserve">House of Representatives Committee </w:t>
            </w:r>
            <w:r w:rsidR="00AD1EE2" w:rsidRPr="008625DC">
              <w:rPr>
                <w:i/>
              </w:rPr>
              <w:t xml:space="preserve">Recommendation 6 </w:t>
            </w:r>
          </w:p>
          <w:p w14:paraId="00A92F8E" w14:textId="27B06DEA" w:rsidR="00AD1EE2" w:rsidRPr="008625DC" w:rsidRDefault="001D6156" w:rsidP="00127F3A">
            <w:pPr>
              <w:pStyle w:val="BoxText"/>
            </w:pPr>
            <w:r w:rsidRPr="008625DC">
              <w:t>T</w:t>
            </w:r>
            <w:r w:rsidR="00AD1EE2" w:rsidRPr="008625DC">
              <w:t xml:space="preserve">he Australian Government investigate options to educate Australian consumers and businesses as to: </w:t>
            </w:r>
          </w:p>
          <w:p w14:paraId="759213D4" w14:textId="511B1EA0" w:rsidR="00AD1EE2" w:rsidRPr="008625DC" w:rsidRDefault="00AD1EE2" w:rsidP="00127F3A">
            <w:pPr>
              <w:pStyle w:val="BoxBullet"/>
              <w:rPr>
                <w:lang w:val="en-AU"/>
              </w:rPr>
            </w:pPr>
            <w:r w:rsidRPr="008625DC">
              <w:rPr>
                <w:lang w:val="en-AU"/>
              </w:rPr>
              <w:t xml:space="preserve">the extent to which they may circumvent geoblocking mechanisms in order to access cheaper legitimate goods; </w:t>
            </w:r>
          </w:p>
          <w:p w14:paraId="000FA388" w14:textId="1412C8A3" w:rsidR="00AD1EE2" w:rsidRPr="008625DC" w:rsidRDefault="00AD1EE2" w:rsidP="00127F3A">
            <w:pPr>
              <w:pStyle w:val="BoxBullet"/>
              <w:rPr>
                <w:lang w:val="en-AU"/>
              </w:rPr>
            </w:pPr>
            <w:r w:rsidRPr="008625DC">
              <w:rPr>
                <w:lang w:val="en-AU"/>
              </w:rPr>
              <w:t xml:space="preserve">the tools and techniques which they may use to do so; and </w:t>
            </w:r>
          </w:p>
          <w:p w14:paraId="73014C7B" w14:textId="3301003C" w:rsidR="00AD1EE2" w:rsidRPr="008625DC" w:rsidRDefault="00AD1EE2" w:rsidP="00127F3A">
            <w:pPr>
              <w:pStyle w:val="BoxBullet"/>
              <w:spacing w:after="180"/>
              <w:rPr>
                <w:lang w:val="en-AU"/>
              </w:rPr>
            </w:pPr>
            <w:r w:rsidRPr="008625DC">
              <w:rPr>
                <w:lang w:val="en-AU"/>
              </w:rPr>
              <w:t xml:space="preserve">the way in which their rights under the Australian Consumer Law may be affected should they choose to do so. </w:t>
            </w:r>
          </w:p>
          <w:p w14:paraId="67DE260B" w14:textId="77777777" w:rsidR="003174E5" w:rsidRPr="008625DC" w:rsidRDefault="003174E5" w:rsidP="00127F3A">
            <w:pPr>
              <w:pStyle w:val="Boxheading2"/>
              <w:spacing w:after="80"/>
              <w:rPr>
                <w:b w:val="0"/>
                <w:i/>
              </w:rPr>
            </w:pPr>
            <w:r w:rsidRPr="008625DC">
              <w:rPr>
                <w:b w:val="0"/>
                <w:i/>
              </w:rPr>
              <w:t xml:space="preserve">House of Representatives Committee Recommendation 8 </w:t>
            </w:r>
          </w:p>
          <w:p w14:paraId="506673AC" w14:textId="77777777" w:rsidR="003174E5" w:rsidRPr="008625DC" w:rsidRDefault="003174E5" w:rsidP="00127F3A">
            <w:pPr>
              <w:pStyle w:val="BoxText"/>
              <w:spacing w:before="0"/>
            </w:pPr>
            <w:r w:rsidRPr="008625DC">
              <w:t xml:space="preserve">The Committee recommends the repeal of section 51(3) of the </w:t>
            </w:r>
            <w:r w:rsidRPr="008625DC">
              <w:rPr>
                <w:i/>
              </w:rPr>
              <w:t>Competition and Consumer Act 2010</w:t>
            </w:r>
            <w:r w:rsidRPr="008625DC">
              <w:t xml:space="preserve">. </w:t>
            </w:r>
          </w:p>
          <w:p w14:paraId="04AEC93C" w14:textId="2C7465EB" w:rsidR="001D6156" w:rsidRPr="008625DC" w:rsidRDefault="001D6156" w:rsidP="00127F3A">
            <w:pPr>
              <w:pStyle w:val="Boxheading2"/>
              <w:rPr>
                <w:b w:val="0"/>
              </w:rPr>
            </w:pPr>
            <w:r w:rsidRPr="008625DC">
              <w:t xml:space="preserve">Recommendations that the </w:t>
            </w:r>
            <w:r w:rsidRPr="008625DC">
              <w:rPr>
                <w:b w:val="0"/>
              </w:rPr>
              <w:t>Panel considers should form part of a review of IP laws:</w:t>
            </w:r>
          </w:p>
          <w:p w14:paraId="13DFEDBE" w14:textId="1432E349" w:rsidR="00AD1EE2" w:rsidRPr="008625DC" w:rsidRDefault="001D6156" w:rsidP="00127F3A">
            <w:pPr>
              <w:pStyle w:val="Boxheading2"/>
              <w:spacing w:after="80"/>
              <w:rPr>
                <w:b w:val="0"/>
                <w:i/>
              </w:rPr>
            </w:pPr>
            <w:r w:rsidRPr="008625DC">
              <w:rPr>
                <w:b w:val="0"/>
                <w:i/>
              </w:rPr>
              <w:t xml:space="preserve">House of Representatives Committee </w:t>
            </w:r>
            <w:r w:rsidR="00AD1EE2" w:rsidRPr="008625DC">
              <w:rPr>
                <w:b w:val="0"/>
                <w:i/>
              </w:rPr>
              <w:t xml:space="preserve">Recommendation 7 </w:t>
            </w:r>
          </w:p>
          <w:p w14:paraId="10B05816" w14:textId="5A40D3BC" w:rsidR="00AD1EE2" w:rsidRPr="008625DC" w:rsidRDefault="00AD1EE2" w:rsidP="00127F3A">
            <w:pPr>
              <w:pStyle w:val="BoxText"/>
              <w:spacing w:before="0"/>
            </w:pPr>
            <w:r w:rsidRPr="008625DC">
              <w:t xml:space="preserve">The Committee recommends that the Australian Government, in conjunction with relevant agencies, consider the creation of a </w:t>
            </w:r>
            <w:r w:rsidR="00C74E19" w:rsidRPr="008625DC">
              <w:t>‘</w:t>
            </w:r>
            <w:r w:rsidRPr="008625DC">
              <w:t>right of resale</w:t>
            </w:r>
            <w:r w:rsidR="00C74E19" w:rsidRPr="008625DC">
              <w:t>’</w:t>
            </w:r>
            <w:r w:rsidRPr="008625DC">
              <w:t xml:space="preserve"> in relation to digitally distributed content, and clarification of </w:t>
            </w:r>
            <w:r w:rsidR="00C74E19" w:rsidRPr="008625DC">
              <w:t>‘</w:t>
            </w:r>
            <w:r w:rsidRPr="008625DC">
              <w:t>fair use</w:t>
            </w:r>
            <w:r w:rsidR="00C74E19" w:rsidRPr="008625DC">
              <w:t>’</w:t>
            </w:r>
            <w:r w:rsidRPr="008625DC">
              <w:t xml:space="preserve"> rights for consumers, businesses, and educational institutions, including restrictions on vendors</w:t>
            </w:r>
            <w:r w:rsidR="00C74E19" w:rsidRPr="008625DC">
              <w:t>’</w:t>
            </w:r>
            <w:r w:rsidRPr="008625DC">
              <w:t xml:space="preserve"> ability to </w:t>
            </w:r>
            <w:r w:rsidR="00C74E19" w:rsidRPr="008625DC">
              <w:t>‘</w:t>
            </w:r>
            <w:r w:rsidRPr="008625DC">
              <w:t>lock</w:t>
            </w:r>
            <w:r w:rsidR="00C74E19" w:rsidRPr="008625DC">
              <w:t>’</w:t>
            </w:r>
            <w:r w:rsidRPr="008625DC">
              <w:t xml:space="preserve"> digital content into a particular ecosystem. </w:t>
            </w:r>
          </w:p>
          <w:p w14:paraId="2CC0753D" w14:textId="1461EF79" w:rsidR="003174E5" w:rsidRPr="008625DC" w:rsidRDefault="003174E5" w:rsidP="00127F3A">
            <w:pPr>
              <w:pStyle w:val="Boxheading2"/>
              <w:spacing w:after="80"/>
              <w:rPr>
                <w:b w:val="0"/>
                <w:i/>
              </w:rPr>
            </w:pPr>
            <w:r w:rsidRPr="008625DC">
              <w:rPr>
                <w:b w:val="0"/>
                <w:i/>
              </w:rPr>
              <w:t xml:space="preserve">House of Representatives Committee Recommendation 9 </w:t>
            </w:r>
          </w:p>
          <w:p w14:paraId="08042FB6" w14:textId="77777777" w:rsidR="00AD1EE2" w:rsidRPr="008625DC" w:rsidRDefault="00AD1EE2" w:rsidP="00127F3A">
            <w:pPr>
              <w:pStyle w:val="BoxText"/>
              <w:spacing w:before="0"/>
            </w:pPr>
            <w:r w:rsidRPr="008625DC">
              <w:t xml:space="preserve">The Committee recommends that the Australian Government consider enacting a ban on geoblocking as an option of last resort, should persistent market failure exist in spite of the changes to the Competition and Consumer Act and the Copyright Act recommended in this report. </w:t>
            </w:r>
          </w:p>
          <w:p w14:paraId="23A71D4E" w14:textId="3E390950" w:rsidR="00AD1EE2" w:rsidRPr="008625DC" w:rsidRDefault="001D6156" w:rsidP="00127F3A">
            <w:pPr>
              <w:pStyle w:val="Boxheading2"/>
              <w:spacing w:after="80"/>
              <w:rPr>
                <w:b w:val="0"/>
                <w:i/>
              </w:rPr>
            </w:pPr>
            <w:r w:rsidRPr="008625DC">
              <w:rPr>
                <w:b w:val="0"/>
                <w:i/>
              </w:rPr>
              <w:t xml:space="preserve">House of Representatives Committee </w:t>
            </w:r>
            <w:r w:rsidR="00AD1EE2" w:rsidRPr="008625DC">
              <w:rPr>
                <w:b w:val="0"/>
                <w:i/>
              </w:rPr>
              <w:t xml:space="preserve">Recommendation 10 </w:t>
            </w:r>
          </w:p>
          <w:p w14:paraId="6FC497DB" w14:textId="4E7E1CEF" w:rsidR="00AD1EE2" w:rsidRPr="008625DC" w:rsidRDefault="00AD1EE2" w:rsidP="00127F3A">
            <w:pPr>
              <w:pStyle w:val="BoxText"/>
              <w:spacing w:before="0"/>
            </w:pPr>
            <w:r w:rsidRPr="008625DC">
              <w:t>That the Australian Government investigate the feasibility of amending the Competition and Consumer Act so that contracts or terms of service which seek to enforce geoblocking are considered void.</w:t>
            </w:r>
            <w:r w:rsidRPr="008625DC">
              <w:rPr>
                <w:rFonts w:ascii="Book Antiqua" w:hAnsi="Book Antiqua" w:cs="Book Antiqua"/>
                <w:sz w:val="23"/>
                <w:szCs w:val="23"/>
              </w:rPr>
              <w:t xml:space="preserve"> </w:t>
            </w:r>
          </w:p>
        </w:tc>
      </w:tr>
    </w:tbl>
    <w:p w14:paraId="30293824" w14:textId="77777777" w:rsidR="00AD1EE2" w:rsidRPr="008625DC" w:rsidRDefault="00AD1EE2" w:rsidP="003E66FD">
      <w:pPr>
        <w:pStyle w:val="Bullet"/>
        <w:widowControl w:val="0"/>
        <w:numPr>
          <w:ilvl w:val="0"/>
          <w:numId w:val="0"/>
        </w:numPr>
        <w:spacing w:before="0"/>
      </w:pP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6E62E5" w:rsidRPr="008625DC" w14:paraId="1EF870A1" w14:textId="77777777" w:rsidTr="006E62E5">
        <w:tc>
          <w:tcPr>
            <w:tcW w:w="5000" w:type="pct"/>
            <w:shd w:val="clear" w:color="auto" w:fill="FFFFFF" w:themeFill="background1"/>
          </w:tcPr>
          <w:p w14:paraId="0769EFC2" w14:textId="3179D79C" w:rsidR="006E62E5" w:rsidRPr="008625DC" w:rsidRDefault="006E62E5" w:rsidP="006E62E5">
            <w:pPr>
              <w:pStyle w:val="Keyfindingheading"/>
            </w:pPr>
            <w:bookmarkStart w:id="28480" w:name="_Toc394918293"/>
            <w:bookmarkStart w:id="28481" w:name="_Toc394918807"/>
            <w:bookmarkStart w:id="28482" w:name="_Toc394930780"/>
            <w:bookmarkStart w:id="28483" w:name="_Toc394933691"/>
            <w:bookmarkStart w:id="28484" w:name="_Toc394938138"/>
            <w:bookmarkStart w:id="28485" w:name="_Toc394938435"/>
            <w:bookmarkStart w:id="28486" w:name="_Toc394938640"/>
            <w:bookmarkStart w:id="28487" w:name="_Toc394937715"/>
            <w:bookmarkStart w:id="28488" w:name="_Toc394937922"/>
            <w:bookmarkStart w:id="28489" w:name="_Toc394941050"/>
            <w:bookmarkStart w:id="28490" w:name="_Toc394941346"/>
            <w:bookmarkStart w:id="28491" w:name="_Toc394941551"/>
            <w:bookmarkStart w:id="28492" w:name="_Toc394941666"/>
            <w:bookmarkStart w:id="28493" w:name="_Toc394941962"/>
            <w:bookmarkStart w:id="28494" w:name="_Toc394942167"/>
            <w:bookmarkStart w:id="28495" w:name="_Toc394939887"/>
            <w:bookmarkStart w:id="28496" w:name="_Toc394940184"/>
            <w:bookmarkStart w:id="28497" w:name="_Toc394940389"/>
            <w:bookmarkStart w:id="28498" w:name="_Toc394939498"/>
            <w:bookmarkStart w:id="28499" w:name="_Toc394939781"/>
            <w:bookmarkStart w:id="28500" w:name="_Toc394940602"/>
            <w:bookmarkStart w:id="28501" w:name="_Toc394993678"/>
            <w:bookmarkStart w:id="28502" w:name="_Toc394995560"/>
            <w:bookmarkStart w:id="28503" w:name="_Toc394995874"/>
            <w:bookmarkStart w:id="28504" w:name="_Toc394996082"/>
            <w:bookmarkStart w:id="28505" w:name="_Toc394997808"/>
            <w:bookmarkStart w:id="28506" w:name="_Toc394998119"/>
            <w:bookmarkStart w:id="28507" w:name="_Toc394998323"/>
            <w:bookmarkStart w:id="28508" w:name="_Toc394998633"/>
            <w:bookmarkStart w:id="28509" w:name="_Toc395001818"/>
            <w:bookmarkStart w:id="28510" w:name="_Toc395002132"/>
            <w:bookmarkStart w:id="28511" w:name="_Toc395001338"/>
            <w:bookmarkStart w:id="28512" w:name="_Toc395001612"/>
            <w:bookmarkStart w:id="28513" w:name="_Toc395002901"/>
            <w:bookmarkStart w:id="28514" w:name="_Toc395003486"/>
            <w:bookmarkStart w:id="28515" w:name="_Toc395005070"/>
            <w:bookmarkStart w:id="28516" w:name="_Toc395005196"/>
            <w:bookmarkStart w:id="28517" w:name="_Toc395005412"/>
            <w:bookmarkStart w:id="28518" w:name="_Toc395005727"/>
            <w:bookmarkStart w:id="28519" w:name="_Toc395008989"/>
            <w:bookmarkStart w:id="28520" w:name="_Toc395009721"/>
            <w:bookmarkStart w:id="28521" w:name="_Toc395011775"/>
            <w:bookmarkStart w:id="28522" w:name="_Toc395010175"/>
            <w:bookmarkStart w:id="28523" w:name="_Toc395010462"/>
            <w:bookmarkStart w:id="28524" w:name="_Toc395010017"/>
            <w:bookmarkStart w:id="28525" w:name="_Toc395011543"/>
            <w:bookmarkStart w:id="28526" w:name="_Toc395012361"/>
            <w:bookmarkStart w:id="28527" w:name="_Toc395012645"/>
            <w:bookmarkStart w:id="28528" w:name="_Toc395012951"/>
            <w:bookmarkStart w:id="28529" w:name="_Toc395010766"/>
            <w:bookmarkStart w:id="28530" w:name="_Toc395012239"/>
            <w:bookmarkStart w:id="28531" w:name="_Toc395013108"/>
            <w:bookmarkStart w:id="28532" w:name="_Toc395012110"/>
            <w:bookmarkStart w:id="28533" w:name="_Toc395014449"/>
            <w:bookmarkStart w:id="28534" w:name="_Toc395014640"/>
            <w:bookmarkStart w:id="28535" w:name="_Toc395013231"/>
            <w:bookmarkStart w:id="28536" w:name="_Toc395084798"/>
            <w:bookmarkStart w:id="28537" w:name="_Toc395085099"/>
            <w:bookmarkStart w:id="28538" w:name="_Toc395090270"/>
            <w:bookmarkStart w:id="28539" w:name="_Toc395090565"/>
            <w:bookmarkStart w:id="28540" w:name="_Toc395090749"/>
            <w:bookmarkStart w:id="28541" w:name="_Toc395092637"/>
            <w:bookmarkStart w:id="28542" w:name="_Toc395092849"/>
            <w:bookmarkStart w:id="28543" w:name="_Toc395093147"/>
            <w:bookmarkStart w:id="28544" w:name="_Toc395093331"/>
            <w:bookmarkStart w:id="28545" w:name="_Toc395097760"/>
            <w:bookmarkStart w:id="28546" w:name="_Toc395098059"/>
            <w:bookmarkStart w:id="28547" w:name="_Toc395098241"/>
            <w:bookmarkStart w:id="28548" w:name="_Toc395105426"/>
            <w:bookmarkStart w:id="28549" w:name="_Toc395106243"/>
            <w:bookmarkStart w:id="28550" w:name="_Toc395107029"/>
            <w:bookmarkStart w:id="28551" w:name="_Toc395109901"/>
            <w:bookmarkStart w:id="28552" w:name="_Toc395109505"/>
            <w:bookmarkStart w:id="28553" w:name="_Toc395109687"/>
            <w:bookmarkStart w:id="28554" w:name="_Toc395109833"/>
            <w:bookmarkStart w:id="28555" w:name="_Toc395111904"/>
            <w:bookmarkStart w:id="28556" w:name="_Toc395112210"/>
            <w:bookmarkStart w:id="28557" w:name="_Toc395112392"/>
            <w:bookmarkStart w:id="28558" w:name="_Toc395106824"/>
            <w:bookmarkStart w:id="28559" w:name="_Toc395107352"/>
            <w:bookmarkStart w:id="28560" w:name="_Toc395107537"/>
            <w:bookmarkStart w:id="28561" w:name="_Toc395110018"/>
            <w:bookmarkStart w:id="28562" w:name="_Toc395108584"/>
            <w:bookmarkStart w:id="28563" w:name="_Toc395108913"/>
            <w:bookmarkStart w:id="28564" w:name="_Toc395113824"/>
            <w:bookmarkStart w:id="28565" w:name="_Toc395114153"/>
            <w:bookmarkStart w:id="28566" w:name="_Toc395114344"/>
            <w:bookmarkStart w:id="28567" w:name="_Toc395116560"/>
            <w:bookmarkStart w:id="28568" w:name="_Toc395116890"/>
            <w:bookmarkStart w:id="28569" w:name="_Toc395117082"/>
            <w:bookmarkStart w:id="28570" w:name="_Toc395112497"/>
            <w:bookmarkStart w:id="28571" w:name="_Toc395112827"/>
            <w:bookmarkStart w:id="28572" w:name="_Toc395113200"/>
            <w:bookmarkStart w:id="28573" w:name="_Toc395115036"/>
            <w:bookmarkStart w:id="28574" w:name="_Toc395115367"/>
            <w:bookmarkStart w:id="28575" w:name="_Toc395115559"/>
            <w:bookmarkStart w:id="28576" w:name="_Toc395118191"/>
            <w:bookmarkStart w:id="28577" w:name="_Toc395118519"/>
            <w:bookmarkStart w:id="28578" w:name="_Toc395118709"/>
            <w:bookmarkStart w:id="28579" w:name="_Toc395178401"/>
            <w:bookmarkStart w:id="28580" w:name="_Toc395178733"/>
            <w:bookmarkStart w:id="28581" w:name="_Toc395624709"/>
            <w:bookmarkStart w:id="28582" w:name="_Toc395624890"/>
            <w:bookmarkStart w:id="28583" w:name="_Toc395789744"/>
            <w:bookmarkStart w:id="28584" w:name="_Toc395790060"/>
            <w:bookmarkStart w:id="28585" w:name="_Toc395800818"/>
            <w:bookmarkStart w:id="28586" w:name="_Toc395802873"/>
            <w:bookmarkStart w:id="28587" w:name="_Toc395867640"/>
            <w:bookmarkStart w:id="28588" w:name="_Toc395868553"/>
            <w:bookmarkStart w:id="28589" w:name="_Toc395868772"/>
            <w:bookmarkStart w:id="28590" w:name="_Toc395878934"/>
            <w:bookmarkStart w:id="28591" w:name="_Toc395879151"/>
            <w:bookmarkStart w:id="28592" w:name="_Toc392162228"/>
            <w:bookmarkStart w:id="28593" w:name="_Toc392163902"/>
            <w:bookmarkStart w:id="28594" w:name="_Toc392168937"/>
            <w:bookmarkStart w:id="28595" w:name="_Toc392169869"/>
            <w:bookmarkStart w:id="28596" w:name="_Toc392170563"/>
            <w:bookmarkStart w:id="28597" w:name="_Toc392170737"/>
            <w:bookmarkStart w:id="28598" w:name="_Toc392171152"/>
            <w:bookmarkStart w:id="28599" w:name="_Toc392172741"/>
            <w:bookmarkStart w:id="28600" w:name="_Toc392173104"/>
            <w:bookmarkStart w:id="28601" w:name="_Toc392173280"/>
            <w:bookmarkStart w:id="28602" w:name="_Toc392238271"/>
            <w:bookmarkStart w:id="28603" w:name="_Toc392247573"/>
            <w:bookmarkStart w:id="28604" w:name="_Toc392247848"/>
            <w:bookmarkStart w:id="28605" w:name="_Toc392248520"/>
            <w:bookmarkStart w:id="28606" w:name="_Toc392251053"/>
            <w:bookmarkStart w:id="28607" w:name="_Toc392253677"/>
            <w:bookmarkStart w:id="28608" w:name="_Toc392253854"/>
            <w:bookmarkStart w:id="28609" w:name="_Toc392255445"/>
            <w:bookmarkStart w:id="28610" w:name="_Toc392256240"/>
            <w:bookmarkStart w:id="28611" w:name="_Toc392257435"/>
            <w:bookmarkStart w:id="28612" w:name="_Toc392498452"/>
            <w:bookmarkStart w:id="28613" w:name="_Toc392500446"/>
            <w:bookmarkStart w:id="28614" w:name="_Toc392513260"/>
            <w:bookmarkStart w:id="28615" w:name="_Toc392514173"/>
            <w:bookmarkStart w:id="28616" w:name="_Toc392515360"/>
            <w:bookmarkStart w:id="28617" w:name="_Toc392516459"/>
            <w:bookmarkStart w:id="28618" w:name="_Toc392517288"/>
            <w:bookmarkStart w:id="28619" w:name="_Toc392517207"/>
            <w:bookmarkStart w:id="28620" w:name="_Toc392517555"/>
            <w:bookmarkStart w:id="28621" w:name="_Toc392517709"/>
            <w:bookmarkStart w:id="28622" w:name="_Toc392517789"/>
            <w:bookmarkStart w:id="28623" w:name="_Toc392684989"/>
            <w:bookmarkStart w:id="28624" w:name="_Toc392685079"/>
            <w:bookmarkStart w:id="28625" w:name="_Toc392687242"/>
            <w:bookmarkStart w:id="28626" w:name="_Toc392688410"/>
            <w:bookmarkStart w:id="28627" w:name="_Toc392689410"/>
            <w:bookmarkStart w:id="28628" w:name="_Toc392690194"/>
            <w:bookmarkStart w:id="28629" w:name="_Toc392843417"/>
            <w:bookmarkStart w:id="28630" w:name="_Toc392853051"/>
            <w:bookmarkStart w:id="28631" w:name="_Toc392859808"/>
            <w:bookmarkStart w:id="28632" w:name="_Toc392860696"/>
            <w:bookmarkStart w:id="28633" w:name="_Toc392861466"/>
            <w:bookmarkStart w:id="28634" w:name="_Toc393203423"/>
            <w:bookmarkStart w:id="28635" w:name="_Toc393207203"/>
            <w:bookmarkStart w:id="28636" w:name="_Toc393207294"/>
            <w:bookmarkStart w:id="28637" w:name="_Toc393208067"/>
            <w:bookmarkStart w:id="28638" w:name="_Toc393208165"/>
            <w:bookmarkStart w:id="28639" w:name="_Toc393208254"/>
            <w:bookmarkStart w:id="28640" w:name="_Toc393208343"/>
            <w:bookmarkStart w:id="28641" w:name="_Toc393209667"/>
            <w:bookmarkStart w:id="28642" w:name="_Toc393276030"/>
            <w:bookmarkStart w:id="28643" w:name="_Toc393278932"/>
            <w:bookmarkStart w:id="28644" w:name="_Toc393289817"/>
            <w:bookmarkStart w:id="28645" w:name="_Toc393289912"/>
            <w:bookmarkStart w:id="28646" w:name="_Toc393292297"/>
            <w:bookmarkStart w:id="28647" w:name="_Toc393293919"/>
            <w:bookmarkStart w:id="28648" w:name="_Toc393294938"/>
            <w:bookmarkStart w:id="28649" w:name="_Toc393295243"/>
            <w:bookmarkStart w:id="28650" w:name="_Toc393296234"/>
            <w:bookmarkStart w:id="28651" w:name="_Toc393363172"/>
            <w:bookmarkStart w:id="28652" w:name="_Toc393372229"/>
            <w:bookmarkStart w:id="28653" w:name="_Toc393373323"/>
            <w:bookmarkStart w:id="28654" w:name="_Toc393374431"/>
            <w:bookmarkStart w:id="28655" w:name="_Toc393379201"/>
            <w:bookmarkStart w:id="28656" w:name="_Toc393379813"/>
            <w:bookmarkStart w:id="28657" w:name="_Toc393379909"/>
            <w:bookmarkStart w:id="28658" w:name="_Toc393879131"/>
            <w:bookmarkStart w:id="28659" w:name="_Toc393879362"/>
            <w:bookmarkStart w:id="28660" w:name="_Toc393903320"/>
            <w:bookmarkStart w:id="28661" w:name="_Toc393903590"/>
            <w:bookmarkStart w:id="28662" w:name="_Toc393902530"/>
            <w:bookmarkStart w:id="28663" w:name="_Toc393905236"/>
            <w:bookmarkStart w:id="28664" w:name="_Toc393905508"/>
            <w:bookmarkStart w:id="28665" w:name="_Toc393904093"/>
            <w:bookmarkStart w:id="28666" w:name="_Toc393904364"/>
            <w:bookmarkStart w:id="28667" w:name="_Toc393903981"/>
            <w:bookmarkStart w:id="28668" w:name="_Toc393903684"/>
            <w:bookmarkStart w:id="28669" w:name="_Toc393905818"/>
            <w:bookmarkStart w:id="28670" w:name="_Toc393905926"/>
            <w:bookmarkStart w:id="28671" w:name="_Toc393906199"/>
            <w:bookmarkStart w:id="28672" w:name="_Toc393907903"/>
            <w:bookmarkStart w:id="28673" w:name="_Toc393908177"/>
            <w:bookmarkStart w:id="28674" w:name="_Toc393906343"/>
            <w:bookmarkStart w:id="28675" w:name="_Toc393906618"/>
            <w:bookmarkStart w:id="28676" w:name="_Toc393967481"/>
            <w:bookmarkStart w:id="28677" w:name="_Toc393968145"/>
            <w:bookmarkStart w:id="28678" w:name="_Toc393973991"/>
            <w:bookmarkStart w:id="28679" w:name="_Toc393974276"/>
            <w:bookmarkStart w:id="28680" w:name="_Toc393977925"/>
            <w:bookmarkStart w:id="28681" w:name="_Toc393985018"/>
            <w:bookmarkStart w:id="28682" w:name="_Toc393985309"/>
            <w:bookmarkStart w:id="28683" w:name="_Toc393985521"/>
            <w:bookmarkStart w:id="28684" w:name="_Toc393985813"/>
            <w:bookmarkStart w:id="28685" w:name="_Toc393985923"/>
            <w:bookmarkStart w:id="28686" w:name="_Toc393986215"/>
            <w:bookmarkStart w:id="28687" w:name="_Toc393986326"/>
            <w:bookmarkStart w:id="28688" w:name="_Toc393987933"/>
            <w:bookmarkStart w:id="28689" w:name="_Toc393988225"/>
            <w:bookmarkStart w:id="28690" w:name="_Toc393988627"/>
            <w:bookmarkStart w:id="28691" w:name="_Toc393986619"/>
            <w:bookmarkStart w:id="28692" w:name="_Toc393989346"/>
            <w:bookmarkStart w:id="28693" w:name="_Toc393989639"/>
            <w:bookmarkStart w:id="28694" w:name="_Toc393987837"/>
            <w:bookmarkStart w:id="28695" w:name="_Toc393988734"/>
            <w:bookmarkStart w:id="28696" w:name="_Toc393989027"/>
            <w:bookmarkStart w:id="28697" w:name="_Toc393990738"/>
            <w:bookmarkStart w:id="28698" w:name="_Toc393991031"/>
            <w:bookmarkStart w:id="28699" w:name="_Toc393991130"/>
            <w:bookmarkStart w:id="28700" w:name="_Toc393991720"/>
            <w:bookmarkStart w:id="28701" w:name="_Toc393992015"/>
            <w:bookmarkStart w:id="28702" w:name="_Toc394047385"/>
            <w:bookmarkStart w:id="28703" w:name="_Toc394047679"/>
            <w:bookmarkStart w:id="28704" w:name="_Toc394047790"/>
            <w:bookmarkStart w:id="28705" w:name="_Toc394047350"/>
            <w:bookmarkStart w:id="28706" w:name="_Toc394048346"/>
            <w:bookmarkStart w:id="28707" w:name="_Toc394049661"/>
            <w:bookmarkStart w:id="28708" w:name="_Toc394049958"/>
            <w:bookmarkStart w:id="28709" w:name="_Toc394051061"/>
            <w:bookmarkStart w:id="28710" w:name="_Toc394051358"/>
            <w:bookmarkStart w:id="28711" w:name="_Toc394062050"/>
            <w:bookmarkStart w:id="28712" w:name="_Toc394062505"/>
            <w:bookmarkStart w:id="28713" w:name="_Toc394068925"/>
            <w:bookmarkStart w:id="28714" w:name="_Toc394069220"/>
            <w:bookmarkStart w:id="28715" w:name="_Toc394070747"/>
            <w:bookmarkStart w:id="28716" w:name="_Toc394071138"/>
            <w:bookmarkStart w:id="28717" w:name="_Toc394312249"/>
            <w:bookmarkStart w:id="28718" w:name="_Toc394330406"/>
            <w:bookmarkStart w:id="28719" w:name="_Toc394330519"/>
            <w:bookmarkStart w:id="28720" w:name="_Toc394331337"/>
            <w:bookmarkStart w:id="28721" w:name="_Toc394330139"/>
            <w:bookmarkStart w:id="28722" w:name="_Toc394333113"/>
            <w:bookmarkStart w:id="28723" w:name="_Toc394333413"/>
            <w:bookmarkStart w:id="28724" w:name="_Toc394332691"/>
            <w:bookmarkStart w:id="28725" w:name="_Toc394333526"/>
            <w:bookmarkStart w:id="28726" w:name="_Toc394333826"/>
            <w:bookmarkStart w:id="28727" w:name="_Toc394333939"/>
            <w:bookmarkStart w:id="28728" w:name="_Toc394334239"/>
            <w:bookmarkStart w:id="28729" w:name="_Toc394334765"/>
            <w:bookmarkStart w:id="28730" w:name="_Toc394335065"/>
            <w:bookmarkStart w:id="28731" w:name="_Toc394414951"/>
            <w:bookmarkStart w:id="28732" w:name="_Toc394415269"/>
            <w:bookmarkStart w:id="28733" w:name="_Toc394412256"/>
            <w:bookmarkStart w:id="28734" w:name="_Toc394412578"/>
            <w:bookmarkStart w:id="28735" w:name="_Toc394420532"/>
            <w:bookmarkStart w:id="28736" w:name="_Toc394420871"/>
            <w:bookmarkStart w:id="28737" w:name="_Toc394421006"/>
            <w:bookmarkStart w:id="28738" w:name="_Toc394423376"/>
            <w:bookmarkStart w:id="28739" w:name="_Toc394423712"/>
            <w:bookmarkStart w:id="28740" w:name="_Toc394420310"/>
            <w:bookmarkStart w:id="28741" w:name="_Toc394422419"/>
            <w:bookmarkStart w:id="28742" w:name="_Toc394422756"/>
            <w:bookmarkStart w:id="28743" w:name="_Toc394422890"/>
            <w:bookmarkStart w:id="28744" w:name="_Toc394423227"/>
            <w:bookmarkStart w:id="28745" w:name="_Toc394424040"/>
            <w:bookmarkStart w:id="28746" w:name="_Toc394424375"/>
            <w:bookmarkStart w:id="28747" w:name="_Toc394491875"/>
            <w:bookmarkStart w:id="28748" w:name="_Toc394492206"/>
            <w:bookmarkStart w:id="28749" w:name="_Toc394495020"/>
            <w:bookmarkStart w:id="28750" w:name="_Toc394495350"/>
            <w:bookmarkStart w:id="28751" w:name="_Toc394497832"/>
            <w:bookmarkStart w:id="28752" w:name="_Toc394498165"/>
            <w:bookmarkStart w:id="28753" w:name="_Toc394500624"/>
            <w:bookmarkStart w:id="28754" w:name="_Toc394500955"/>
            <w:bookmarkStart w:id="28755" w:name="_Toc394502028"/>
            <w:bookmarkStart w:id="28756" w:name="_Toc394502352"/>
            <w:bookmarkStart w:id="28757" w:name="_Toc394502930"/>
            <w:bookmarkStart w:id="28758" w:name="_Toc394503711"/>
            <w:bookmarkStart w:id="28759" w:name="_Toc394502474"/>
            <w:bookmarkStart w:id="28760" w:name="_Toc394502800"/>
            <w:bookmarkStart w:id="28761" w:name="_Toc394505681"/>
            <w:bookmarkStart w:id="28762" w:name="_Toc394506128"/>
            <w:bookmarkStart w:id="28763" w:name="_Toc394506020"/>
            <w:bookmarkStart w:id="28764" w:name="_Toc394506466"/>
            <w:bookmarkStart w:id="28765" w:name="_Toc394506694"/>
            <w:bookmarkStart w:id="28766" w:name="_Toc394507020"/>
            <w:bookmarkStart w:id="28767" w:name="_Toc394560767"/>
            <w:bookmarkStart w:id="28768" w:name="_Toc394561095"/>
            <w:bookmarkStart w:id="28769" w:name="_Toc394561231"/>
            <w:bookmarkStart w:id="28770" w:name="_Toc394561928"/>
            <w:bookmarkStart w:id="28771" w:name="_Toc394582987"/>
            <w:bookmarkStart w:id="28772" w:name="_Toc394585658"/>
            <w:bookmarkStart w:id="28773" w:name="_Toc394586124"/>
            <w:bookmarkStart w:id="28774" w:name="_Toc394588056"/>
            <w:bookmarkStart w:id="28775" w:name="_Toc394588891"/>
            <w:bookmarkStart w:id="28776" w:name="_Toc394589016"/>
            <w:bookmarkStart w:id="28777" w:name="_Toc394590432"/>
            <w:bookmarkStart w:id="28778" w:name="_Toc394590625"/>
            <w:bookmarkStart w:id="28779" w:name="_Toc394654526"/>
            <w:bookmarkStart w:id="28780" w:name="_Toc394654684"/>
            <w:bookmarkStart w:id="28781" w:name="_Toc394656226"/>
            <w:bookmarkStart w:id="28782" w:name="_Toc394656383"/>
            <w:bookmarkStart w:id="28783" w:name="_Toc394659363"/>
            <w:bookmarkStart w:id="28784" w:name="_Toc394659521"/>
            <w:bookmarkStart w:id="28785" w:name="_Toc394663375"/>
            <w:bookmarkStart w:id="28786" w:name="_Toc394663531"/>
            <w:bookmarkStart w:id="28787" w:name="_Toc394667169"/>
            <w:bookmarkStart w:id="28788" w:name="_Toc394667325"/>
            <w:bookmarkStart w:id="28789" w:name="_Toc394671648"/>
            <w:bookmarkStart w:id="28790" w:name="_Toc394671808"/>
            <w:bookmarkStart w:id="28791" w:name="_Toc394674650"/>
            <w:bookmarkStart w:id="28792" w:name="_Toc394674813"/>
            <w:bookmarkStart w:id="28793" w:name="_Toc394674927"/>
            <w:bookmarkStart w:id="28794" w:name="_Toc394675093"/>
            <w:bookmarkStart w:id="28795" w:name="_Toc394676038"/>
            <w:bookmarkStart w:id="28796" w:name="_Toc394676200"/>
            <w:bookmarkStart w:id="28797" w:name="_Toc394675726"/>
            <w:bookmarkStart w:id="28798" w:name="_Toc394675889"/>
            <w:bookmarkStart w:id="28799" w:name="_Toc393978899"/>
            <w:r w:rsidRPr="008625DC">
              <w:lastRenderedPageBreak/>
              <w:t>The Panel</w:t>
            </w:r>
            <w:r w:rsidR="00C74E19" w:rsidRPr="008625DC">
              <w:t>’</w:t>
            </w:r>
            <w:r w:rsidRPr="008625DC">
              <w:t>s view</w:t>
            </w:r>
          </w:p>
          <w:p w14:paraId="061F8A45" w14:textId="24F7019E" w:rsidR="006E62E5" w:rsidRPr="008625DC" w:rsidRDefault="006E62E5" w:rsidP="006E62E5">
            <w:pPr>
              <w:pStyle w:val="Keyfindingtext"/>
            </w:pPr>
            <w:bookmarkStart w:id="28800" w:name="_Toc394998116"/>
            <w:bookmarkStart w:id="28801" w:name="_Toc394998630"/>
            <w:bookmarkStart w:id="28802" w:name="_Toc395002129"/>
            <w:bookmarkStart w:id="28803" w:name="_Toc395001335"/>
            <w:bookmarkStart w:id="28804" w:name="_Toc395001609"/>
            <w:bookmarkStart w:id="28805" w:name="_Toc395002898"/>
            <w:bookmarkStart w:id="28806" w:name="_Toc395003483"/>
            <w:bookmarkStart w:id="28807" w:name="_Toc395005724"/>
            <w:bookmarkStart w:id="28808" w:name="_Toc395009718"/>
            <w:bookmarkStart w:id="28809" w:name="_Toc395010459"/>
            <w:bookmarkStart w:id="28810" w:name="_Toc395012642"/>
            <w:bookmarkStart w:id="28811" w:name="_Toc395013105"/>
            <w:bookmarkStart w:id="28812" w:name="_Toc395012107"/>
            <w:bookmarkStart w:id="28813" w:name="_Toc395014446"/>
            <w:bookmarkStart w:id="28814" w:name="_Toc395084795"/>
            <w:bookmarkStart w:id="28815" w:name="_Toc395085096"/>
            <w:bookmarkStart w:id="28816" w:name="_Toc395090562"/>
            <w:bookmarkStart w:id="28817" w:name="_Toc395093144"/>
            <w:bookmarkStart w:id="28818" w:name="_Toc395098056"/>
            <w:bookmarkStart w:id="28819" w:name="_Toc395106240"/>
            <w:bookmarkStart w:id="28820" w:name="_Toc395109502"/>
            <w:bookmarkStart w:id="28821" w:name="_Toc395109830"/>
            <w:bookmarkStart w:id="28822" w:name="_Toc395112207"/>
            <w:bookmarkStart w:id="28823" w:name="_Toc395107349"/>
            <w:bookmarkStart w:id="28824" w:name="_Toc395108910"/>
            <w:bookmarkStart w:id="28825" w:name="_Toc395114150"/>
            <w:bookmarkStart w:id="28826" w:name="_Toc395116887"/>
            <w:bookmarkStart w:id="28827" w:name="_Toc395112824"/>
            <w:bookmarkStart w:id="28828" w:name="_Toc395115364"/>
            <w:bookmarkStart w:id="28829" w:name="_Toc395118516"/>
            <w:bookmarkStart w:id="28830" w:name="_Toc395624706"/>
            <w:bookmarkStart w:id="28831" w:name="_Toc395790057"/>
            <w:bookmarkStart w:id="28832" w:name="_Toc395800815"/>
            <w:bookmarkStart w:id="28833" w:name="_Toc393903319"/>
            <w:bookmarkStart w:id="28834" w:name="_Toc393902529"/>
            <w:bookmarkStart w:id="28835" w:name="_Toc393905235"/>
            <w:bookmarkStart w:id="28836" w:name="_Toc393904092"/>
            <w:bookmarkStart w:id="28837" w:name="_Toc393903683"/>
            <w:bookmarkStart w:id="28838" w:name="_Toc393905925"/>
            <w:bookmarkStart w:id="28839" w:name="_Toc393907902"/>
            <w:bookmarkStart w:id="28840" w:name="_Toc393906342"/>
            <w:bookmarkStart w:id="28841" w:name="_Toc393985017"/>
            <w:bookmarkStart w:id="28842" w:name="_Toc393985520"/>
            <w:bookmarkStart w:id="28843" w:name="_Toc393985922"/>
            <w:bookmarkStart w:id="28844" w:name="_Toc393986325"/>
            <w:bookmarkStart w:id="28845" w:name="_Toc393987932"/>
            <w:bookmarkStart w:id="28846" w:name="_Toc393989345"/>
            <w:bookmarkStart w:id="28847" w:name="_Toc393987836"/>
            <w:bookmarkStart w:id="28848" w:name="_Toc393988733"/>
            <w:bookmarkStart w:id="28849" w:name="_Toc393990737"/>
            <w:bookmarkStart w:id="28850" w:name="_Toc393991719"/>
            <w:bookmarkStart w:id="28851" w:name="_Toc394047384"/>
            <w:bookmarkStart w:id="28852" w:name="_Toc394047349"/>
            <w:bookmarkStart w:id="28853" w:name="_Toc394049660"/>
            <w:bookmarkStart w:id="28854" w:name="_Toc394051060"/>
            <w:bookmarkStart w:id="28855" w:name="_Toc394062049"/>
            <w:bookmarkStart w:id="28856" w:name="_Toc394068924"/>
            <w:bookmarkStart w:id="28857" w:name="_Toc394070746"/>
            <w:bookmarkStart w:id="28858" w:name="_Toc394312248"/>
            <w:bookmarkStart w:id="28859" w:name="_Toc394330518"/>
            <w:bookmarkStart w:id="28860" w:name="_Toc394330138"/>
            <w:bookmarkStart w:id="28861" w:name="_Toc394333112"/>
            <w:bookmarkStart w:id="28862" w:name="_Toc394332690"/>
            <w:bookmarkStart w:id="28863" w:name="_Toc394333525"/>
            <w:bookmarkStart w:id="28864" w:name="_Toc394333938"/>
            <w:bookmarkStart w:id="28865" w:name="_Toc394334764"/>
            <w:bookmarkStart w:id="28866" w:name="_Toc394414950"/>
            <w:bookmarkStart w:id="28867" w:name="_Toc394412255"/>
            <w:bookmarkStart w:id="28868" w:name="_Toc394420531"/>
            <w:bookmarkStart w:id="28869" w:name="_Toc394421005"/>
            <w:bookmarkStart w:id="28870" w:name="_Toc394423375"/>
            <w:bookmarkStart w:id="28871" w:name="_Toc394420309"/>
            <w:bookmarkStart w:id="28872" w:name="_Toc394422418"/>
            <w:bookmarkStart w:id="28873" w:name="_Toc394422889"/>
            <w:bookmarkStart w:id="28874" w:name="_Toc394424039"/>
            <w:bookmarkStart w:id="28875" w:name="_Toc394491874"/>
            <w:bookmarkStart w:id="28876" w:name="_Toc394495019"/>
            <w:bookmarkStart w:id="28877" w:name="_Toc394497831"/>
            <w:bookmarkStart w:id="28878" w:name="_Toc394500623"/>
            <w:bookmarkStart w:id="28879" w:name="_Toc394502027"/>
            <w:bookmarkStart w:id="28880" w:name="_Toc394502929"/>
            <w:bookmarkStart w:id="28881" w:name="_Toc394502473"/>
            <w:bookmarkStart w:id="28882" w:name="_Toc394505680"/>
            <w:bookmarkStart w:id="28883" w:name="_Toc394506019"/>
            <w:bookmarkStart w:id="28884" w:name="_Toc394506693"/>
            <w:bookmarkStart w:id="28885" w:name="_Toc394560766"/>
            <w:bookmarkStart w:id="28886" w:name="_Toc394561230"/>
            <w:bookmarkStart w:id="28887" w:name="_Toc394938434"/>
            <w:bookmarkStart w:id="28888" w:name="_Toc394937714"/>
            <w:bookmarkStart w:id="28889" w:name="_Toc394941345"/>
            <w:bookmarkStart w:id="28890" w:name="_Toc394941961"/>
            <w:bookmarkStart w:id="28891" w:name="_Toc394940183"/>
            <w:bookmarkStart w:id="28892" w:name="_Toc394939780"/>
            <w:bookmarkStart w:id="28893" w:name="_Toc394993677"/>
            <w:bookmarkStart w:id="28894" w:name="_Toc394995559"/>
            <w:bookmarkStart w:id="28895" w:name="_Toc394995873"/>
            <w:bookmarkStart w:id="28896" w:name="_Toc393978898"/>
            <w:r w:rsidRPr="008625DC">
              <w:t>Price discrimination can be of benefit to consumers. As a result, reintroducing specific provisions prohibiting anti</w:t>
            </w:r>
            <w:r w:rsidR="00C74E19" w:rsidRPr="008625DC">
              <w:noBreakHyphen/>
            </w:r>
            <w:r w:rsidRPr="008625DC">
              <w:t>competitive price discrimination could ultimately reduce consumer choice by discouraging flexible and innovative pricing.</w:t>
            </w:r>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p>
          <w:p w14:paraId="19FD80AB" w14:textId="03EF4B63" w:rsidR="00FF25F3" w:rsidRPr="008625DC" w:rsidRDefault="00FF25F3" w:rsidP="00FF25F3">
            <w:pPr>
              <w:pStyle w:val="Keyfindingtext"/>
            </w:pPr>
            <w:bookmarkStart w:id="28897" w:name="_Toc394998117"/>
            <w:bookmarkStart w:id="28898" w:name="_Toc394998631"/>
            <w:bookmarkStart w:id="28899" w:name="_Toc395002130"/>
            <w:bookmarkStart w:id="28900" w:name="_Toc395001336"/>
            <w:bookmarkStart w:id="28901" w:name="_Toc395001610"/>
            <w:bookmarkStart w:id="28902" w:name="_Toc395002899"/>
            <w:bookmarkStart w:id="28903" w:name="_Toc395003484"/>
            <w:bookmarkStart w:id="28904" w:name="_Toc395005725"/>
            <w:bookmarkStart w:id="28905" w:name="_Toc395009719"/>
            <w:bookmarkStart w:id="28906" w:name="_Toc395010460"/>
            <w:bookmarkStart w:id="28907" w:name="_Toc395012643"/>
            <w:bookmarkStart w:id="28908" w:name="_Toc395013106"/>
            <w:bookmarkStart w:id="28909" w:name="_Toc395012108"/>
            <w:bookmarkStart w:id="28910" w:name="_Toc395014447"/>
            <w:bookmarkStart w:id="28911" w:name="_Toc395084796"/>
            <w:bookmarkStart w:id="28912" w:name="_Toc395085097"/>
            <w:bookmarkStart w:id="28913" w:name="_Toc395090563"/>
            <w:bookmarkStart w:id="28914" w:name="_Toc395093145"/>
            <w:bookmarkStart w:id="28915" w:name="_Toc395098057"/>
            <w:bookmarkStart w:id="28916" w:name="_Toc395106241"/>
            <w:bookmarkStart w:id="28917" w:name="_Toc395109503"/>
            <w:bookmarkStart w:id="28918" w:name="_Toc395109831"/>
            <w:bookmarkStart w:id="28919" w:name="_Toc395112208"/>
            <w:bookmarkStart w:id="28920" w:name="_Toc395107350"/>
            <w:bookmarkStart w:id="28921" w:name="_Toc395108911"/>
            <w:bookmarkStart w:id="28922" w:name="_Toc395114151"/>
            <w:bookmarkStart w:id="28923" w:name="_Toc395116888"/>
            <w:bookmarkStart w:id="28924" w:name="_Toc395112825"/>
            <w:bookmarkStart w:id="28925" w:name="_Toc395115365"/>
            <w:bookmarkStart w:id="28926" w:name="_Toc395118517"/>
            <w:bookmarkStart w:id="28927" w:name="_Toc395624707"/>
            <w:bookmarkStart w:id="28928" w:name="_Toc395790058"/>
            <w:bookmarkStart w:id="28929" w:name="_Toc395800816"/>
            <w:bookmarkStart w:id="28930" w:name="_Toc394998118"/>
            <w:bookmarkStart w:id="28931" w:name="_Toc394998632"/>
            <w:bookmarkStart w:id="28932" w:name="_Toc395002131"/>
            <w:bookmarkStart w:id="28933" w:name="_Toc395001337"/>
            <w:bookmarkStart w:id="28934" w:name="_Toc395001611"/>
            <w:bookmarkStart w:id="28935" w:name="_Toc395002900"/>
            <w:bookmarkStart w:id="28936" w:name="_Toc395003485"/>
            <w:bookmarkStart w:id="28937" w:name="_Toc395005726"/>
            <w:bookmarkStart w:id="28938" w:name="_Toc395009720"/>
            <w:bookmarkStart w:id="28939" w:name="_Toc395010461"/>
            <w:bookmarkStart w:id="28940" w:name="_Toc395012644"/>
            <w:bookmarkStart w:id="28941" w:name="_Toc395013107"/>
            <w:bookmarkStart w:id="28942" w:name="_Toc395012109"/>
            <w:bookmarkStart w:id="28943" w:name="_Toc395014448"/>
            <w:bookmarkStart w:id="28944" w:name="_Toc395084797"/>
            <w:bookmarkStart w:id="28945" w:name="_Toc395085098"/>
            <w:bookmarkStart w:id="28946" w:name="_Toc395090564"/>
            <w:bookmarkStart w:id="28947" w:name="_Toc395093146"/>
            <w:bookmarkStart w:id="28948" w:name="_Toc395098058"/>
            <w:bookmarkStart w:id="28949" w:name="_Toc395106242"/>
            <w:bookmarkStart w:id="28950" w:name="_Toc395109504"/>
            <w:bookmarkStart w:id="28951" w:name="_Toc395109832"/>
            <w:bookmarkStart w:id="28952" w:name="_Toc395112209"/>
            <w:bookmarkStart w:id="28953" w:name="_Toc395107351"/>
            <w:bookmarkStart w:id="28954" w:name="_Toc395108912"/>
            <w:bookmarkStart w:id="28955" w:name="_Toc395114152"/>
            <w:bookmarkStart w:id="28956" w:name="_Toc395116889"/>
            <w:bookmarkStart w:id="28957" w:name="_Toc395112826"/>
            <w:bookmarkStart w:id="28958" w:name="_Toc395115366"/>
            <w:bookmarkStart w:id="28959" w:name="_Toc395118518"/>
            <w:bookmarkStart w:id="28960" w:name="_Toc395624708"/>
            <w:bookmarkStart w:id="28961" w:name="_Toc395790059"/>
            <w:bookmarkStart w:id="28962" w:name="_Toc395800817"/>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r w:rsidRPr="008625DC">
              <w:t>Anti</w:t>
            </w:r>
            <w:r w:rsidR="00C74E19" w:rsidRPr="008625DC">
              <w:noBreakHyphen/>
            </w:r>
            <w:r w:rsidRPr="008625DC">
              <w:t>competitive price discrimination can be adequately dealt with by the existing provisions of the law, particularly section 46</w:t>
            </w:r>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r w:rsidR="004E3403" w:rsidRPr="008625DC">
              <w:t xml:space="preserve"> (and especially if amended as proposed in this Draft Report).</w:t>
            </w:r>
          </w:p>
          <w:p w14:paraId="6CB2B5E1" w14:textId="1BF0463A" w:rsidR="006E62E5" w:rsidRPr="008625DC" w:rsidRDefault="006E62E5" w:rsidP="006E62E5">
            <w:pPr>
              <w:pStyle w:val="Keyfindingtext"/>
            </w:pPr>
            <w:r w:rsidRPr="008625DC">
              <w:t>Attempting to legislate against international price discrimination could result in significant implementation and enforcement difficulties and risks negative unintended consequences.</w:t>
            </w:r>
            <w:bookmarkEnd w:id="28896"/>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r w:rsidR="00F33F36" w:rsidRPr="008625DC">
              <w:t xml:space="preserve"> Instead</w:t>
            </w:r>
            <w:r w:rsidR="00FF25F3" w:rsidRPr="008625DC">
              <w:t>,</w:t>
            </w:r>
            <w:r w:rsidR="00F33F36" w:rsidRPr="008625DC">
              <w:t xml:space="preserve"> the Panel supports moves to address </w:t>
            </w:r>
            <w:r w:rsidR="00661A11" w:rsidRPr="008625DC">
              <w:t xml:space="preserve">international </w:t>
            </w:r>
            <w:r w:rsidR="00F33F36" w:rsidRPr="008625DC">
              <w:t>price discrimination through market solutions that empower consumers. These include the removal of restrictions on parallel imports and ensuring that consumers are able to take legal steps to circumvent attempts to prevent their access</w:t>
            </w:r>
            <w:r w:rsidR="004E3403" w:rsidRPr="008625DC">
              <w:t>ing</w:t>
            </w:r>
            <w:r w:rsidR="00F33F36" w:rsidRPr="008625DC">
              <w:t xml:space="preserve"> cheaper legitimate goods.</w:t>
            </w:r>
          </w:p>
        </w:tc>
      </w:tr>
    </w:tbl>
    <w:p w14:paraId="1C866D28" w14:textId="66E234B4" w:rsidR="001674C8" w:rsidRPr="008625DC" w:rsidRDefault="001674C8" w:rsidP="000B5916">
      <w:pPr>
        <w:pStyle w:val="Heading2"/>
        <w:ind w:left="851" w:hanging="851"/>
        <w:rPr>
          <w:lang w:val="en-AU"/>
        </w:rPr>
      </w:pPr>
      <w:bookmarkStart w:id="28963" w:name="_Toc395882058"/>
      <w:bookmarkStart w:id="28964" w:name="_Toc395882275"/>
      <w:bookmarkStart w:id="28965" w:name="_Toc395882389"/>
      <w:bookmarkStart w:id="28966" w:name="_Toc395882606"/>
      <w:bookmarkStart w:id="28967" w:name="_Toc395880553"/>
      <w:bookmarkStart w:id="28968" w:name="_Toc395880884"/>
      <w:bookmarkStart w:id="28969" w:name="_Toc395881442"/>
      <w:bookmarkStart w:id="28970" w:name="_Toc395881659"/>
      <w:bookmarkStart w:id="28971" w:name="_Toc395881375"/>
      <w:bookmarkStart w:id="28972" w:name="_Toc395883827"/>
      <w:bookmarkStart w:id="28973" w:name="_Toc395884044"/>
      <w:bookmarkStart w:id="28974" w:name="_Toc395880782"/>
      <w:bookmarkStart w:id="28975" w:name="_Toc395884489"/>
      <w:bookmarkStart w:id="28976" w:name="_Toc395884706"/>
      <w:bookmarkStart w:id="28977" w:name="_Toc395883198"/>
      <w:bookmarkStart w:id="28978" w:name="_Toc395883415"/>
      <w:bookmarkStart w:id="28979" w:name="_Toc395883528"/>
      <w:bookmarkStart w:id="28980" w:name="_Toc395883745"/>
      <w:bookmarkStart w:id="28981" w:name="_Toc395884830"/>
      <w:bookmarkStart w:id="28982" w:name="_Toc396123855"/>
      <w:bookmarkStart w:id="28983" w:name="_Toc396130758"/>
      <w:bookmarkStart w:id="28984" w:name="_Toc396136336"/>
      <w:bookmarkStart w:id="28985" w:name="_Toc396138790"/>
      <w:bookmarkStart w:id="28986" w:name="_Toc396144051"/>
      <w:bookmarkStart w:id="28987" w:name="_Toc396145560"/>
      <w:bookmarkStart w:id="28988" w:name="_Toc396145704"/>
      <w:bookmarkStart w:id="28989" w:name="_Toc396145986"/>
      <w:bookmarkStart w:id="28990" w:name="_Toc396147526"/>
      <w:bookmarkStart w:id="28991" w:name="_Toc396147812"/>
      <w:bookmarkStart w:id="28992" w:name="_Toc396149068"/>
      <w:bookmarkStart w:id="28993" w:name="_Toc396148782"/>
      <w:bookmarkStart w:id="28994" w:name="_Toc396149563"/>
      <w:bookmarkStart w:id="28995" w:name="_Toc396149208"/>
      <w:bookmarkStart w:id="28996" w:name="_Toc396149494"/>
      <w:bookmarkStart w:id="28997" w:name="_Toc396149171"/>
      <w:bookmarkStart w:id="28998" w:name="_Toc396149916"/>
      <w:bookmarkStart w:id="28999" w:name="_Toc396149666"/>
      <w:bookmarkStart w:id="29000" w:name="_Toc396150507"/>
      <w:bookmarkStart w:id="29001" w:name="_Toc396151396"/>
      <w:bookmarkStart w:id="29002" w:name="_Toc396151690"/>
      <w:bookmarkStart w:id="29003" w:name="_Toc396201617"/>
      <w:bookmarkStart w:id="29004" w:name="_Toc396202407"/>
      <w:bookmarkStart w:id="29005" w:name="_Toc396202702"/>
      <w:bookmarkStart w:id="29006" w:name="_Toc396203319"/>
      <w:bookmarkStart w:id="29007" w:name="_Toc396206615"/>
      <w:bookmarkStart w:id="29008" w:name="_Toc396206909"/>
      <w:bookmarkStart w:id="29009" w:name="_Toc396209443"/>
      <w:bookmarkStart w:id="29010" w:name="_Toc396209737"/>
      <w:bookmarkStart w:id="29011" w:name="_Toc396211867"/>
      <w:bookmarkStart w:id="29012" w:name="_Toc396212161"/>
      <w:bookmarkStart w:id="29013" w:name="_Toc396213211"/>
      <w:bookmarkStart w:id="29014" w:name="_Toc396213503"/>
      <w:bookmarkStart w:id="29015" w:name="_Toc396214489"/>
      <w:bookmarkStart w:id="29016" w:name="_Toc396214779"/>
      <w:bookmarkStart w:id="29017" w:name="_Toc396220339"/>
      <w:bookmarkStart w:id="29018" w:name="_Toc396226601"/>
      <w:bookmarkStart w:id="29019" w:name="_Toc396226890"/>
      <w:bookmarkStart w:id="29020" w:name="_Toc396228801"/>
      <w:bookmarkStart w:id="29021" w:name="_Toc396229096"/>
      <w:bookmarkStart w:id="29022" w:name="_Toc396230443"/>
      <w:bookmarkStart w:id="29023" w:name="_Toc396230738"/>
      <w:bookmarkStart w:id="29024" w:name="_Toc396231880"/>
      <w:bookmarkStart w:id="29025" w:name="_Toc396233223"/>
      <w:bookmarkStart w:id="29026" w:name="_Toc396233520"/>
      <w:bookmarkStart w:id="29027" w:name="_Toc396234043"/>
      <w:bookmarkStart w:id="29028" w:name="_Toc396234340"/>
      <w:bookmarkStart w:id="29029" w:name="_Toc396234453"/>
      <w:bookmarkStart w:id="29030" w:name="_Toc396236187"/>
      <w:bookmarkStart w:id="29031" w:name="_Toc396235965"/>
      <w:bookmarkStart w:id="29032" w:name="_Toc396236575"/>
      <w:bookmarkStart w:id="29033" w:name="_Toc396237094"/>
      <w:bookmarkStart w:id="29034" w:name="_Toc396397437"/>
      <w:bookmarkStart w:id="29035" w:name="_Toc396304618"/>
      <w:bookmarkStart w:id="29036" w:name="_Toc396586153"/>
      <w:bookmarkStart w:id="29037" w:name="_Toc396815174"/>
      <w:bookmarkStart w:id="29038" w:name="_Toc396821123"/>
      <w:bookmarkStart w:id="29039" w:name="_Toc396821731"/>
      <w:bookmarkStart w:id="29040" w:name="_Toc396827581"/>
      <w:bookmarkStart w:id="29041" w:name="_Toc396828552"/>
      <w:bookmarkStart w:id="29042" w:name="_Toc396828662"/>
      <w:bookmarkStart w:id="29043" w:name="_Toc396838051"/>
      <w:bookmarkStart w:id="29044" w:name="_Toc396838449"/>
      <w:bookmarkStart w:id="29045" w:name="_Toc396904772"/>
      <w:bookmarkStart w:id="29046" w:name="_Toc396907606"/>
      <w:bookmarkStart w:id="29047" w:name="_Toc396912525"/>
      <w:bookmarkStart w:id="29048" w:name="_Toc396914505"/>
      <w:bookmarkStart w:id="29049" w:name="_Toc396915389"/>
      <w:bookmarkStart w:id="29050" w:name="_Toc396915783"/>
      <w:bookmarkStart w:id="29051" w:name="_Toc396921094"/>
      <w:bookmarkStart w:id="29052" w:name="_Toc396924434"/>
      <w:bookmarkStart w:id="29053" w:name="_Toc396925128"/>
      <w:bookmarkStart w:id="29054" w:name="_Toc396992248"/>
      <w:bookmarkStart w:id="29055" w:name="_Toc396992827"/>
      <w:bookmarkStart w:id="29056" w:name="_Toc396994491"/>
      <w:bookmarkStart w:id="29057" w:name="_Toc397002261"/>
      <w:bookmarkStart w:id="29058" w:name="_Toc397003180"/>
      <w:bookmarkStart w:id="29059" w:name="_Toc397008738"/>
      <w:bookmarkStart w:id="29060" w:name="_Toc397008956"/>
      <w:bookmarkStart w:id="29061" w:name="_Toc397011628"/>
      <w:bookmarkStart w:id="29062" w:name="_Toc397012690"/>
      <w:bookmarkStart w:id="29063" w:name="_Toc397015032"/>
      <w:bookmarkStart w:id="29064" w:name="_Toc397015519"/>
      <w:bookmarkStart w:id="29065" w:name="_Toc397070590"/>
      <w:bookmarkStart w:id="29066" w:name="_Toc397413343"/>
      <w:bookmarkStart w:id="29067" w:name="_Toc397413490"/>
      <w:bookmarkStart w:id="29068" w:name="_Toc397428060"/>
      <w:bookmarkStart w:id="29069" w:name="_Toc397439450"/>
      <w:bookmarkStart w:id="29070" w:name="_Toc397439620"/>
      <w:bookmarkStart w:id="29071" w:name="_Toc397439876"/>
      <w:bookmarkStart w:id="29072" w:name="_Toc397440178"/>
      <w:bookmarkStart w:id="29073" w:name="_Toc397441807"/>
      <w:bookmarkStart w:id="29074" w:name="_Toc397517509"/>
      <w:bookmarkStart w:id="29075" w:name="_Toc397522774"/>
      <w:bookmarkStart w:id="29076" w:name="_Toc397526192"/>
      <w:bookmarkStart w:id="29077" w:name="_Toc397528507"/>
      <w:bookmarkStart w:id="29078" w:name="_Toc397528982"/>
      <w:bookmarkStart w:id="29079" w:name="_Toc397601982"/>
      <w:bookmarkStart w:id="29080" w:name="_Toc397602717"/>
      <w:bookmarkStart w:id="29081" w:name="_Toc397605850"/>
      <w:bookmarkStart w:id="29082" w:name="_Toc397614547"/>
      <w:bookmarkStart w:id="29083" w:name="_Toc397614990"/>
      <w:bookmarkStart w:id="29084" w:name="_Toc397616433"/>
      <w:bookmarkStart w:id="29085" w:name="_Toc397616827"/>
      <w:bookmarkStart w:id="29086" w:name="_Toc397688125"/>
      <w:bookmarkStart w:id="29087" w:name="_Toc397689341"/>
      <w:bookmarkStart w:id="29088" w:name="_Toc397694621"/>
      <w:bookmarkStart w:id="29089" w:name="_Toc397696462"/>
      <w:bookmarkStart w:id="29090" w:name="_Toc397697196"/>
      <w:bookmarkStart w:id="29091" w:name="_Toc397698483"/>
      <w:bookmarkStart w:id="29092" w:name="_Toc397699849"/>
      <w:bookmarkStart w:id="29093" w:name="_Toc397700303"/>
      <w:bookmarkStart w:id="29094" w:name="_Toc397936695"/>
      <w:bookmarkStart w:id="29095" w:name="_Toc397936815"/>
      <w:bookmarkStart w:id="29096" w:name="_Toc397945971"/>
      <w:bookmarkStart w:id="29097" w:name="_Toc397946997"/>
      <w:bookmarkStart w:id="29098" w:name="_Toc397948116"/>
      <w:bookmarkStart w:id="29099" w:name="_Toc397958522"/>
      <w:bookmarkStart w:id="29100" w:name="_Toc397958764"/>
      <w:bookmarkStart w:id="29101" w:name="_Toc397959179"/>
      <w:bookmarkStart w:id="29102" w:name="_Toc397962246"/>
      <w:bookmarkStart w:id="29103" w:name="_Toc397963032"/>
      <w:bookmarkStart w:id="29104" w:name="_Toc397963398"/>
      <w:bookmarkStart w:id="29105" w:name="_Toc397965475"/>
      <w:bookmarkStart w:id="29106" w:name="_Toc398197413"/>
      <w:bookmarkStart w:id="29107" w:name="_Toc398199916"/>
      <w:bookmarkStart w:id="29108" w:name="_Toc398201630"/>
      <w:bookmarkStart w:id="29109" w:name="_Toc398207235"/>
      <w:bookmarkStart w:id="29110" w:name="_Toc398209939"/>
      <w:bookmarkStart w:id="29111" w:name="_Toc398210508"/>
      <w:bookmarkStart w:id="29112" w:name="_Toc398211022"/>
      <w:bookmarkStart w:id="29113" w:name="_Toc398219833"/>
      <w:bookmarkStart w:id="29114" w:name="_Toc398220208"/>
      <w:bookmarkStart w:id="29115" w:name="_Toc398220595"/>
      <w:bookmarkStart w:id="29116" w:name="_Toc398221673"/>
      <w:bookmarkStart w:id="29117" w:name="_Toc398222359"/>
      <w:bookmarkStart w:id="29118" w:name="_Toc398222671"/>
      <w:bookmarkStart w:id="29119" w:name="_Toc398223088"/>
      <w:bookmarkStart w:id="29120" w:name="_Toc398223467"/>
      <w:bookmarkStart w:id="29121" w:name="_Toc398223594"/>
      <w:bookmarkStart w:id="29122" w:name="_Toc398224402"/>
      <w:bookmarkStart w:id="29123" w:name="_Toc398225739"/>
      <w:bookmarkStart w:id="29124" w:name="_Toc398225864"/>
      <w:bookmarkStart w:id="29125" w:name="_Toc398281351"/>
      <w:bookmarkStart w:id="29126" w:name="_Toc398282210"/>
      <w:bookmarkStart w:id="29127" w:name="_Toc398284880"/>
      <w:bookmarkStart w:id="29128" w:name="_Toc398287349"/>
      <w:bookmarkStart w:id="29129" w:name="_Toc398289232"/>
      <w:bookmarkStart w:id="29130" w:name="_Toc398297229"/>
      <w:bookmarkStart w:id="29131" w:name="_Toc398298703"/>
      <w:bookmarkStart w:id="29132" w:name="_Toc398300404"/>
      <w:bookmarkStart w:id="29133" w:name="_Toc398301301"/>
      <w:bookmarkStart w:id="29134" w:name="_Toc398302486"/>
      <w:bookmarkStart w:id="29135" w:name="_Toc398302649"/>
      <w:bookmarkStart w:id="29136" w:name="_Toc398549163"/>
      <w:bookmarkStart w:id="29137" w:name="_Toc398549413"/>
      <w:bookmarkStart w:id="29138" w:name="_Toc398555832"/>
      <w:bookmarkStart w:id="29139" w:name="_Toc398559036"/>
      <w:bookmarkStart w:id="29140" w:name="_Toc398563522"/>
      <w:bookmarkStart w:id="29141" w:name="_Toc398563655"/>
      <w:bookmarkStart w:id="29142" w:name="_Toc398564054"/>
      <w:bookmarkStart w:id="29143" w:name="_Toc398827392"/>
      <w:bookmarkStart w:id="29144" w:name="_Toc398827586"/>
      <w:bookmarkStart w:id="29145" w:name="s163"/>
      <w:r w:rsidRPr="008625DC">
        <w:rPr>
          <w:lang w:val="en-AU"/>
        </w:rPr>
        <w:t xml:space="preserve">Unfair and </w:t>
      </w:r>
      <w:r w:rsidR="00FE060F" w:rsidRPr="008625DC">
        <w:rPr>
          <w:lang w:val="en-AU"/>
        </w:rPr>
        <w:t>u</w:t>
      </w:r>
      <w:r w:rsidRPr="008625DC">
        <w:rPr>
          <w:lang w:val="en-AU"/>
        </w:rPr>
        <w:t>nconscionable conduct in business transactions</w:t>
      </w:r>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r w:rsidR="00516282" w:rsidRPr="008625DC">
        <w:rPr>
          <w:lang w:val="en-AU"/>
        </w:rPr>
        <w:t xml:space="preserve"> </w:t>
      </w:r>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p>
    <w:bookmarkEnd w:id="29145"/>
    <w:p w14:paraId="7F37FB71" w14:textId="2EB5E27E" w:rsidR="00B37A34" w:rsidRPr="008625DC" w:rsidRDefault="003968E9" w:rsidP="003841D8">
      <w:r w:rsidRPr="008625DC">
        <w:t xml:space="preserve">The Terms of Reference ask the Review to examine the </w:t>
      </w:r>
      <w:r w:rsidR="00FC4375" w:rsidRPr="008625DC">
        <w:t xml:space="preserve">Australian Consumer Law </w:t>
      </w:r>
      <w:r w:rsidR="00801565" w:rsidRPr="008625DC">
        <w:t xml:space="preserve">(ACL) </w:t>
      </w:r>
      <w:r w:rsidR="00FC4375" w:rsidRPr="008625DC">
        <w:t>provisions</w:t>
      </w:r>
      <w:r w:rsidRPr="008625DC">
        <w:t xml:space="preserve"> that deal with unfair and unconscionable conduct, but only insofar as they relate to small business. </w:t>
      </w:r>
    </w:p>
    <w:p w14:paraId="7BB99573" w14:textId="09DE9DB9" w:rsidR="00FF25F3" w:rsidRPr="008625DC" w:rsidRDefault="00FF25F3" w:rsidP="002F6343">
      <w:r w:rsidRPr="008625DC">
        <w:t>As noted earlier</w:t>
      </w:r>
      <w:r w:rsidR="002B0EBD" w:rsidRPr="008625DC">
        <w:t xml:space="preserve"> in this section</w:t>
      </w:r>
      <w:r w:rsidRPr="008625DC">
        <w:t>, a firm that enjoys a strong bargaining position because of its size and importance in a market has the potential to abuse that strength in dealings with suppliers and business customers. Such conduct may not contravene section 46</w:t>
      </w:r>
      <w:r w:rsidR="00C74E19" w:rsidRPr="008625DC">
        <w:t xml:space="preserve"> — </w:t>
      </w:r>
      <w:r w:rsidRPr="008625DC">
        <w:t>it may not materially harm competition. It may, though, so offend accepted standards of business behaviour that it is unconscionable</w:t>
      </w:r>
      <w:r w:rsidRPr="008625DC">
        <w:rPr>
          <w:szCs w:val="22"/>
        </w:rPr>
        <w:t xml:space="preserve">. </w:t>
      </w:r>
    </w:p>
    <w:p w14:paraId="536A1A96" w14:textId="302F95A0" w:rsidR="00E607A5" w:rsidRPr="008625DC" w:rsidRDefault="00FF25F3" w:rsidP="00A438AF">
      <w:r w:rsidRPr="008625DC">
        <w:t>Statutory protection against unconscionable conduct, which recognises the disparity in bargaining power between buyers and sellers,</w:t>
      </w:r>
      <w:r w:rsidRPr="008625DC">
        <w:rPr>
          <w:rStyle w:val="FootnoteReference"/>
          <w:szCs w:val="22"/>
        </w:rPr>
        <w:footnoteReference w:id="291"/>
      </w:r>
      <w:r w:rsidRPr="008625DC">
        <w:t xml:space="preserve"> was first introduced into the law in 1986 as a consumer protection measure.</w:t>
      </w:r>
      <w:r w:rsidRPr="008625DC">
        <w:rPr>
          <w:rStyle w:val="FootnoteReference"/>
          <w:szCs w:val="22"/>
        </w:rPr>
        <w:footnoteReference w:id="292"/>
      </w:r>
      <w:r w:rsidRPr="008625DC">
        <w:t xml:space="preserve"> Since then, the effectiveness of the unconscionable conduct provisions in the CCA has been reviewed a number of times, leading to an expansion of their scope to cover certain business transactions,</w:t>
      </w:r>
      <w:r w:rsidRPr="008625DC">
        <w:rPr>
          <w:rStyle w:val="FootnoteReference"/>
          <w:szCs w:val="22"/>
        </w:rPr>
        <w:footnoteReference w:id="293"/>
      </w:r>
      <w:r w:rsidRPr="008625DC">
        <w:t xml:space="preserve"> the unification of consumer and business unconscionable conduct provisions,</w:t>
      </w:r>
      <w:r w:rsidRPr="008625DC">
        <w:rPr>
          <w:rStyle w:val="FootnoteReference"/>
          <w:szCs w:val="22"/>
        </w:rPr>
        <w:footnoteReference w:id="294"/>
      </w:r>
      <w:r w:rsidRPr="008625DC">
        <w:t xml:space="preserve"> and the introduction of interpretive guidance for the provisions.</w:t>
      </w:r>
      <w:r w:rsidRPr="008625DC">
        <w:rPr>
          <w:rStyle w:val="FootnoteReference"/>
          <w:szCs w:val="22"/>
        </w:rPr>
        <w:footnoteReference w:id="295"/>
      </w:r>
      <w:r w:rsidRPr="008625DC">
        <w:t xml:space="preserve"> The introduction of the business unconscionable conduct provision was intended to </w:t>
      </w:r>
      <w:r w:rsidR="00C74E19" w:rsidRPr="008625DC">
        <w:t>‘</w:t>
      </w:r>
      <w:r w:rsidRPr="008625DC">
        <w:t>improve business conduct in the</w:t>
      </w:r>
    </w:p>
    <w:p w14:paraId="03F0B08F" w14:textId="77777777" w:rsidR="00A438AF" w:rsidRDefault="00A438AF">
      <w:pPr>
        <w:spacing w:before="0" w:after="0"/>
      </w:pPr>
      <w:r>
        <w:br w:type="page"/>
      </w:r>
    </w:p>
    <w:p w14:paraId="19A75DE2" w14:textId="42DBC3BB" w:rsidR="00FF25F3" w:rsidRPr="008625DC" w:rsidRDefault="00FF25F3" w:rsidP="002F6343">
      <w:r w:rsidRPr="008625DC">
        <w:lastRenderedPageBreak/>
        <w:t>Australian economy and provide a more efficient and equitable basis upon which the forces of competition can operate</w:t>
      </w:r>
      <w:r w:rsidR="00C74E19" w:rsidRPr="008625DC">
        <w:t>’</w:t>
      </w:r>
      <w:r w:rsidRPr="008625DC">
        <w:t>.</w:t>
      </w:r>
      <w:r w:rsidRPr="008625DC">
        <w:rPr>
          <w:rStyle w:val="FootnoteReference"/>
          <w:szCs w:val="22"/>
        </w:rPr>
        <w:footnoteReference w:id="296"/>
      </w:r>
    </w:p>
    <w:p w14:paraId="44C95961" w14:textId="424D965C" w:rsidR="00FF25F3" w:rsidRPr="008625DC" w:rsidRDefault="00FF25F3" w:rsidP="002F6343">
      <w:r w:rsidRPr="008625DC">
        <w:t>As discussed in Part</w:t>
      </w:r>
      <w:r w:rsidR="004F49B5" w:rsidRPr="008625DC">
        <w:t> </w:t>
      </w:r>
      <w:r w:rsidRPr="008625DC">
        <w:t xml:space="preserve">1, the competition laws are not directed at protecting competitors but </w:t>
      </w:r>
      <w:r w:rsidR="004E3403" w:rsidRPr="008625DC">
        <w:t>rather</w:t>
      </w:r>
      <w:r w:rsidRPr="008625DC">
        <w:t xml:space="preserve"> competition. This requires the competition law to balance preventing anti</w:t>
      </w:r>
      <w:r w:rsidR="00C74E19" w:rsidRPr="008625DC">
        <w:noBreakHyphen/>
      </w:r>
      <w:r w:rsidRPr="008625DC">
        <w:t>competitive behaviour that undermines competition with not inhibiting behaviour that is part of normal vigorous competition.</w:t>
      </w:r>
    </w:p>
    <w:p w14:paraId="7B76B381" w14:textId="40F2295F" w:rsidR="00FF25F3" w:rsidRPr="008625DC" w:rsidRDefault="00FF25F3" w:rsidP="002F6343">
      <w:r w:rsidRPr="008625DC">
        <w:t xml:space="preserve">A separate but parallel principle is that the business and wider community expect business to be conducted according to a minimum standard of fair dealing. There are sound economic and social reasons for enshrining minimum standards within the law. Because it is difficult to prescribe such minimum standards, the law prohibits unconscionable conduct, leaving it to the courts to determine in a given case whether the conduct fails to conform to the dictates of good conscience. </w:t>
      </w:r>
      <w:r w:rsidRPr="008625DC">
        <w:rPr>
          <w:color w:val="auto"/>
        </w:rPr>
        <w:t>Unconscionable conduct is assessed by reference to the particular circumstances in which the conduct occurs and often (but not always) includes a pattern of behaviour which taken together constitutes unconscionability.</w:t>
      </w:r>
    </w:p>
    <w:p w14:paraId="13D150D4" w14:textId="586DF0B3" w:rsidR="00FF25F3" w:rsidRPr="008625DC" w:rsidRDefault="00FF25F3" w:rsidP="002F6343">
      <w:r w:rsidRPr="008625DC">
        <w:t xml:space="preserve">In a number of submissions, particularly from agricultural producers, concerns </w:t>
      </w:r>
      <w:r w:rsidR="004E3403" w:rsidRPr="008625DC">
        <w:t>are</w:t>
      </w:r>
      <w:r w:rsidRPr="008625DC">
        <w:t xml:space="preserve"> raised that the unconscionable conduct provisions </w:t>
      </w:r>
      <w:r w:rsidR="004E3403" w:rsidRPr="008625DC">
        <w:t>are</w:t>
      </w:r>
      <w:r w:rsidRPr="008625DC">
        <w:t xml:space="preserve"> deficient because of the lack of specific definition or the difficulty in proving that the conduct meets the standard of judicially defined unconscionable conduct.</w:t>
      </w:r>
      <w:r w:rsidR="0026439E" w:rsidRPr="008625DC">
        <w:rPr>
          <w:rStyle w:val="FootnoteReference"/>
        </w:rPr>
        <w:footnoteReference w:id="297"/>
      </w:r>
    </w:p>
    <w:p w14:paraId="56DBE5CC" w14:textId="1995FFE7" w:rsidR="002A0035" w:rsidRPr="008625DC" w:rsidRDefault="00FF25F3" w:rsidP="00FB66D9">
      <w:r w:rsidRPr="008625DC">
        <w:t>The Panel considers that the</w:t>
      </w:r>
      <w:r w:rsidR="002A0035" w:rsidRPr="008625DC">
        <w:t xml:space="preserve"> current unconscionable conduct provisions appear to be working as intended to meet the policy goals, but active and ongoing review of these provisions should occur as matters progress before the courts. In </w:t>
      </w:r>
      <w:r w:rsidRPr="008625DC">
        <w:t>that</w:t>
      </w:r>
      <w:r w:rsidR="002A0035" w:rsidRPr="008625DC">
        <w:t xml:space="preserve"> context the Panel notes the present litigation concerning the ACCC</w:t>
      </w:r>
      <w:r w:rsidR="00C74E19" w:rsidRPr="008625DC">
        <w:t>’</w:t>
      </w:r>
      <w:r w:rsidR="002A0035" w:rsidRPr="008625DC">
        <w:t xml:space="preserve">s allegations of unconscionable conduct </w:t>
      </w:r>
      <w:r w:rsidR="008933D6" w:rsidRPr="008625DC">
        <w:t>in the supermarket sector against</w:t>
      </w:r>
      <w:r w:rsidR="003F32EF" w:rsidRPr="008625DC">
        <w:t xml:space="preserve"> suppliers</w:t>
      </w:r>
      <w:r w:rsidR="002A0035" w:rsidRPr="008625DC">
        <w:t>.</w:t>
      </w:r>
    </w:p>
    <w:p w14:paraId="50991A79" w14:textId="399E9E55" w:rsidR="006542B6" w:rsidRPr="008625DC" w:rsidRDefault="002A0035" w:rsidP="006542B6">
      <w:r w:rsidRPr="008625DC">
        <w:t>I</w:t>
      </w:r>
      <w:r w:rsidR="006542B6" w:rsidRPr="008625DC">
        <w:t>ssues in relation to whether small business in particular can access justice in a time</w:t>
      </w:r>
      <w:r w:rsidR="00C74E19" w:rsidRPr="008625DC">
        <w:noBreakHyphen/>
      </w:r>
      <w:r w:rsidR="006542B6" w:rsidRPr="008625DC">
        <w:t>efficient and low</w:t>
      </w:r>
      <w:r w:rsidR="00C74E19" w:rsidRPr="008625DC">
        <w:noBreakHyphen/>
      </w:r>
      <w:r w:rsidR="006542B6" w:rsidRPr="008625DC">
        <w:t>cost way</w:t>
      </w:r>
      <w:r w:rsidRPr="008625DC">
        <w:t xml:space="preserve"> are addressed </w:t>
      </w:r>
      <w:r w:rsidR="004E3403" w:rsidRPr="008625DC">
        <w:t>in</w:t>
      </w:r>
      <w:r w:rsidR="004F730B" w:rsidRPr="008625DC">
        <w:t xml:space="preserve"> </w:t>
      </w:r>
      <w:hyperlink w:anchor="Ch20" w:history="1">
        <w:r w:rsidR="004F730B" w:rsidRPr="008625DC">
          <w:rPr>
            <w:rStyle w:val="Hyperlink"/>
          </w:rPr>
          <w:t>Chapter</w:t>
        </w:r>
        <w:r w:rsidR="004F49B5" w:rsidRPr="008625DC">
          <w:rPr>
            <w:rStyle w:val="Hyperlink"/>
          </w:rPr>
          <w:t> </w:t>
        </w:r>
        <w:r w:rsidR="004E3403" w:rsidRPr="008625DC">
          <w:rPr>
            <w:rStyle w:val="Hyperlink"/>
          </w:rPr>
          <w:t>20</w:t>
        </w:r>
      </w:hyperlink>
      <w:r w:rsidR="004F730B" w:rsidRPr="008625DC">
        <w: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31020A" w:rsidRPr="008625DC" w14:paraId="589FD25C" w14:textId="77777777" w:rsidTr="0052543A">
        <w:tc>
          <w:tcPr>
            <w:tcW w:w="5000" w:type="pct"/>
            <w:shd w:val="clear" w:color="auto" w:fill="FFFFFF" w:themeFill="background1"/>
          </w:tcPr>
          <w:p w14:paraId="78545829" w14:textId="0794658A" w:rsidR="0031020A" w:rsidRPr="008625DC" w:rsidRDefault="00E079D3" w:rsidP="0052543A">
            <w:pPr>
              <w:pStyle w:val="Keyfindingheading"/>
            </w:pPr>
            <w:r w:rsidRPr="008625DC">
              <w:lastRenderedPageBreak/>
              <w:t xml:space="preserve">The </w:t>
            </w:r>
            <w:r w:rsidR="0031020A" w:rsidRPr="008625DC">
              <w:t>Panel</w:t>
            </w:r>
            <w:r w:rsidR="00C74E19" w:rsidRPr="008625DC">
              <w:t>’</w:t>
            </w:r>
            <w:r w:rsidRPr="008625DC">
              <w:t>s</w:t>
            </w:r>
            <w:r w:rsidR="0031020A" w:rsidRPr="008625DC">
              <w:t xml:space="preserve"> </w:t>
            </w:r>
            <w:r w:rsidRPr="008625DC">
              <w:t>v</w:t>
            </w:r>
            <w:r w:rsidR="0031020A" w:rsidRPr="008625DC">
              <w:t>iew</w:t>
            </w:r>
          </w:p>
          <w:p w14:paraId="719214EA" w14:textId="59407FA1" w:rsidR="00FF25F3" w:rsidRPr="008625DC" w:rsidRDefault="00FF25F3" w:rsidP="00FF25F3">
            <w:pPr>
              <w:pStyle w:val="Keyfindingtext"/>
            </w:pPr>
            <w:bookmarkStart w:id="29146" w:name="_Toc393903321"/>
            <w:bookmarkStart w:id="29147" w:name="_Toc393902531"/>
            <w:bookmarkStart w:id="29148" w:name="_Toc393905237"/>
            <w:bookmarkStart w:id="29149" w:name="_Toc393904094"/>
            <w:bookmarkStart w:id="29150" w:name="_Toc393903685"/>
            <w:bookmarkStart w:id="29151" w:name="_Toc393905927"/>
            <w:bookmarkStart w:id="29152" w:name="_Toc393907904"/>
            <w:bookmarkStart w:id="29153" w:name="_Toc393906344"/>
            <w:bookmarkStart w:id="29154" w:name="_Toc393967482"/>
            <w:bookmarkStart w:id="29155" w:name="_Toc393973992"/>
            <w:bookmarkStart w:id="29156" w:name="_Toc393985019"/>
            <w:bookmarkStart w:id="29157" w:name="_Toc393985522"/>
            <w:bookmarkStart w:id="29158" w:name="_Toc393985924"/>
            <w:bookmarkStart w:id="29159" w:name="_Toc393986327"/>
            <w:bookmarkStart w:id="29160" w:name="_Toc393987934"/>
            <w:bookmarkStart w:id="29161" w:name="_Toc393989347"/>
            <w:bookmarkStart w:id="29162" w:name="_Toc393987838"/>
            <w:bookmarkStart w:id="29163" w:name="_Toc393988735"/>
            <w:bookmarkStart w:id="29164" w:name="_Toc393990739"/>
            <w:bookmarkStart w:id="29165" w:name="_Toc393991721"/>
            <w:bookmarkStart w:id="29166" w:name="_Toc394047386"/>
            <w:bookmarkStart w:id="29167" w:name="_Toc394047351"/>
            <w:bookmarkStart w:id="29168" w:name="_Toc394049662"/>
            <w:bookmarkStart w:id="29169" w:name="_Toc394051062"/>
            <w:bookmarkStart w:id="29170" w:name="_Toc394062051"/>
            <w:bookmarkStart w:id="29171" w:name="_Toc394068926"/>
            <w:bookmarkStart w:id="29172" w:name="_Toc394070748"/>
            <w:bookmarkStart w:id="29173" w:name="_Toc394312250"/>
            <w:bookmarkStart w:id="29174" w:name="_Toc394330520"/>
            <w:bookmarkStart w:id="29175" w:name="_Toc394330140"/>
            <w:bookmarkStart w:id="29176" w:name="_Toc394333114"/>
            <w:bookmarkStart w:id="29177" w:name="_Toc394332692"/>
            <w:bookmarkStart w:id="29178" w:name="_Toc394333527"/>
            <w:bookmarkStart w:id="29179" w:name="_Toc394333940"/>
            <w:bookmarkStart w:id="29180" w:name="_Toc394334766"/>
            <w:bookmarkStart w:id="29181" w:name="_Toc394414952"/>
            <w:bookmarkStart w:id="29182" w:name="_Toc394412257"/>
            <w:bookmarkStart w:id="29183" w:name="_Toc394420533"/>
            <w:bookmarkStart w:id="29184" w:name="_Toc394421007"/>
            <w:bookmarkStart w:id="29185" w:name="_Toc394423377"/>
            <w:bookmarkStart w:id="29186" w:name="_Toc394420311"/>
            <w:bookmarkStart w:id="29187" w:name="_Toc394422420"/>
            <w:bookmarkStart w:id="29188" w:name="_Toc394422891"/>
            <w:bookmarkStart w:id="29189" w:name="_Toc394424041"/>
            <w:bookmarkStart w:id="29190" w:name="_Toc393978900"/>
            <w:bookmarkStart w:id="29191" w:name="_Toc394491876"/>
            <w:bookmarkStart w:id="29192" w:name="_Toc394495021"/>
            <w:bookmarkStart w:id="29193" w:name="_Toc394497833"/>
            <w:bookmarkStart w:id="29194" w:name="_Toc394500625"/>
            <w:bookmarkStart w:id="29195" w:name="_Toc394502029"/>
            <w:bookmarkStart w:id="29196" w:name="_Toc394502931"/>
            <w:bookmarkStart w:id="29197" w:name="_Toc394502475"/>
            <w:bookmarkStart w:id="29198" w:name="_Toc394505682"/>
            <w:bookmarkStart w:id="29199" w:name="_Toc394506021"/>
            <w:bookmarkStart w:id="29200" w:name="_Toc394506695"/>
            <w:bookmarkStart w:id="29201" w:name="_Toc394560768"/>
            <w:bookmarkStart w:id="29202" w:name="_Toc394561232"/>
            <w:bookmarkStart w:id="29203" w:name="_Toc394938436"/>
            <w:bookmarkStart w:id="29204" w:name="_Toc394937716"/>
            <w:bookmarkStart w:id="29205" w:name="_Toc394941347"/>
            <w:bookmarkStart w:id="29206" w:name="_Toc394941963"/>
            <w:bookmarkStart w:id="29207" w:name="_Toc394940185"/>
            <w:bookmarkStart w:id="29208" w:name="_Toc394939782"/>
            <w:bookmarkStart w:id="29209" w:name="_Toc394993679"/>
            <w:bookmarkStart w:id="29210" w:name="_Toc394995561"/>
            <w:bookmarkStart w:id="29211" w:name="_Toc394995875"/>
            <w:bookmarkStart w:id="29212" w:name="_Toc394998120"/>
            <w:bookmarkStart w:id="29213" w:name="_Toc394998634"/>
            <w:bookmarkStart w:id="29214" w:name="_Toc395002133"/>
            <w:bookmarkStart w:id="29215" w:name="_Toc395001339"/>
            <w:bookmarkStart w:id="29216" w:name="_Toc395001613"/>
            <w:bookmarkStart w:id="29217" w:name="_Toc395002902"/>
            <w:bookmarkStart w:id="29218" w:name="_Toc395003487"/>
            <w:bookmarkStart w:id="29219" w:name="_Toc395005728"/>
            <w:bookmarkStart w:id="29220" w:name="_Toc395009722"/>
            <w:bookmarkStart w:id="29221" w:name="_Toc395010463"/>
            <w:bookmarkStart w:id="29222" w:name="_Toc395012646"/>
            <w:bookmarkStart w:id="29223" w:name="_Toc395013109"/>
            <w:bookmarkStart w:id="29224" w:name="_Toc395012111"/>
            <w:bookmarkStart w:id="29225" w:name="_Toc395014450"/>
            <w:bookmarkStart w:id="29226" w:name="_Toc395084799"/>
            <w:bookmarkStart w:id="29227" w:name="_Toc395085100"/>
            <w:bookmarkStart w:id="29228" w:name="_Toc395090566"/>
            <w:bookmarkStart w:id="29229" w:name="_Toc395093148"/>
            <w:bookmarkStart w:id="29230" w:name="_Toc395098060"/>
            <w:bookmarkStart w:id="29231" w:name="_Toc395106244"/>
            <w:bookmarkStart w:id="29232" w:name="_Toc395109506"/>
            <w:bookmarkStart w:id="29233" w:name="_Toc395109834"/>
            <w:bookmarkStart w:id="29234" w:name="_Toc395112211"/>
            <w:bookmarkStart w:id="29235" w:name="_Toc395107353"/>
            <w:bookmarkStart w:id="29236" w:name="_Toc395108914"/>
            <w:bookmarkStart w:id="29237" w:name="_Toc395114154"/>
            <w:bookmarkStart w:id="29238" w:name="_Toc395116891"/>
            <w:bookmarkStart w:id="29239" w:name="_Toc395112828"/>
            <w:bookmarkStart w:id="29240" w:name="_Toc395115368"/>
            <w:bookmarkStart w:id="29241" w:name="_Toc395118520"/>
            <w:bookmarkStart w:id="29242" w:name="_Toc395624710"/>
            <w:bookmarkStart w:id="29243" w:name="_Toc395790061"/>
            <w:bookmarkStart w:id="29244" w:name="_Toc395800819"/>
            <w:bookmarkStart w:id="29245" w:name="_Toc395012647"/>
            <w:bookmarkStart w:id="29246" w:name="_Toc394491878"/>
            <w:bookmarkStart w:id="29247" w:name="_Toc394495023"/>
            <w:bookmarkStart w:id="29248" w:name="_Toc394497835"/>
            <w:bookmarkStart w:id="29249" w:name="_Toc394500627"/>
            <w:bookmarkStart w:id="29250" w:name="_Toc394502031"/>
            <w:bookmarkStart w:id="29251" w:name="_Toc394502933"/>
            <w:bookmarkStart w:id="29252" w:name="_Toc394502477"/>
            <w:bookmarkStart w:id="29253" w:name="_Toc394505684"/>
            <w:bookmarkStart w:id="29254" w:name="_Toc394506023"/>
            <w:bookmarkStart w:id="29255" w:name="_Toc394506697"/>
            <w:bookmarkStart w:id="29256" w:name="_Toc394560770"/>
            <w:bookmarkStart w:id="29257" w:name="_Toc394561234"/>
            <w:bookmarkStart w:id="29258" w:name="_Toc394938438"/>
            <w:bookmarkStart w:id="29259" w:name="_Toc394937718"/>
            <w:bookmarkStart w:id="29260" w:name="_Toc394941349"/>
            <w:bookmarkStart w:id="29261" w:name="_Toc394941965"/>
            <w:bookmarkStart w:id="29262" w:name="_Toc394940187"/>
            <w:bookmarkStart w:id="29263" w:name="_Toc394939784"/>
            <w:bookmarkStart w:id="29264" w:name="_Toc394993681"/>
            <w:bookmarkStart w:id="29265" w:name="_Toc394995563"/>
            <w:bookmarkStart w:id="29266" w:name="_Toc394995877"/>
            <w:bookmarkStart w:id="29267" w:name="_Toc394998122"/>
            <w:bookmarkStart w:id="29268" w:name="_Toc394998636"/>
            <w:bookmarkStart w:id="29269" w:name="_Toc395002135"/>
            <w:bookmarkStart w:id="29270" w:name="_Toc395001342"/>
            <w:bookmarkStart w:id="29271" w:name="_Toc395001615"/>
            <w:bookmarkStart w:id="29272" w:name="_Toc395002904"/>
            <w:bookmarkStart w:id="29273" w:name="_Toc395003489"/>
            <w:bookmarkStart w:id="29274" w:name="_Toc395005730"/>
            <w:bookmarkStart w:id="29275" w:name="_Toc395009724"/>
            <w:bookmarkStart w:id="29276" w:name="_Toc395010465"/>
            <w:bookmarkStart w:id="29277" w:name="_Toc395012648"/>
            <w:bookmarkStart w:id="29278" w:name="_Toc395013110"/>
            <w:bookmarkStart w:id="29279" w:name="_Toc395012112"/>
            <w:bookmarkStart w:id="29280" w:name="_Toc395014451"/>
            <w:bookmarkStart w:id="29281" w:name="_Toc395098061"/>
            <w:bookmarkStart w:id="29282" w:name="_Toc395106245"/>
            <w:bookmarkStart w:id="29283" w:name="_Toc395109507"/>
            <w:bookmarkStart w:id="29284" w:name="_Toc395109835"/>
            <w:bookmarkStart w:id="29285" w:name="_Toc395112212"/>
            <w:bookmarkStart w:id="29286" w:name="_Toc395107354"/>
            <w:bookmarkStart w:id="29287" w:name="_Toc395108915"/>
            <w:bookmarkStart w:id="29288" w:name="_Toc395114155"/>
            <w:bookmarkStart w:id="29289" w:name="_Toc395116892"/>
            <w:bookmarkStart w:id="29290" w:name="_Toc395112829"/>
            <w:bookmarkStart w:id="29291" w:name="_Toc395115369"/>
            <w:bookmarkStart w:id="29292" w:name="_Toc395118521"/>
            <w:bookmarkStart w:id="29293" w:name="_Toc395624711"/>
            <w:bookmarkStart w:id="29294" w:name="_Toc395790062"/>
            <w:bookmarkStart w:id="29295" w:name="_Toc395800820"/>
            <w:bookmarkStart w:id="29296" w:name="_Toc395084800"/>
            <w:bookmarkStart w:id="29297" w:name="_Toc395085101"/>
            <w:bookmarkStart w:id="29298" w:name="_Toc395090567"/>
            <w:bookmarkStart w:id="29299" w:name="_Toc395093149"/>
            <w:r w:rsidRPr="008625DC">
              <w:t xml:space="preserve">The Panel has heard concerns </w:t>
            </w:r>
            <w:r w:rsidR="00760A66" w:rsidRPr="008625DC">
              <w:t>expressed by</w:t>
            </w:r>
            <w:r w:rsidRPr="008625DC">
              <w:t xml:space="preserve"> small business</w:t>
            </w:r>
            <w:r w:rsidR="00760A66" w:rsidRPr="008625DC">
              <w:t>es</w:t>
            </w:r>
            <w:r w:rsidRPr="008625DC">
              <w:t xml:space="preserve"> and suppliers in respect of behaviours of larger business</w:t>
            </w:r>
            <w:r w:rsidR="00760A66" w:rsidRPr="008625DC">
              <w:t>es</w:t>
            </w:r>
            <w:r w:rsidRPr="008625DC">
              <w:t xml:space="preserve"> in their supply chains.</w:t>
            </w:r>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r w:rsidRPr="008625DC">
              <w:t xml:space="preserve"> The business unconscionable conduct provisions were introduced specifically </w:t>
            </w:r>
            <w:r w:rsidR="00760A66" w:rsidRPr="008625DC">
              <w:t xml:space="preserve">to </w:t>
            </w:r>
            <w:r w:rsidRPr="008625DC">
              <w:t>address these concerns.</w:t>
            </w:r>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p>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p w14:paraId="2E883015" w14:textId="77777777" w:rsidR="00F14B41" w:rsidRPr="008625DC" w:rsidRDefault="00F14B41" w:rsidP="00E607A5">
            <w:pPr>
              <w:pStyle w:val="Keyfindingtext"/>
            </w:pPr>
            <w:r w:rsidRPr="008625DC">
              <w:t xml:space="preserve">The Panel finds there is not a strong case that the current unconscionable conduct provisions are not working as intended to meet their policy goals. </w:t>
            </w:r>
          </w:p>
          <w:p w14:paraId="39A96880" w14:textId="16CF8000" w:rsidR="00F14B41" w:rsidRPr="008625DC" w:rsidRDefault="00F14B41" w:rsidP="00E607A5">
            <w:pPr>
              <w:pStyle w:val="Keyfindingtext"/>
            </w:pPr>
            <w:r w:rsidRPr="008625DC">
              <w:t>Enforcing business</w:t>
            </w:r>
            <w:r w:rsidR="00C74E19" w:rsidRPr="008625DC">
              <w:noBreakHyphen/>
            </w:r>
            <w:r w:rsidRPr="008625DC">
              <w:t>to</w:t>
            </w:r>
            <w:r w:rsidR="00C74E19" w:rsidRPr="008625DC">
              <w:noBreakHyphen/>
            </w:r>
            <w:r w:rsidRPr="008625DC">
              <w:t>business unconscionable conduct provisions is an important function of the ACCC and the Panel notes the Commission</w:t>
            </w:r>
            <w:r w:rsidR="00C74E19" w:rsidRPr="008625DC">
              <w:t>’</w:t>
            </w:r>
            <w:r w:rsidRPr="008625DC">
              <w:t xml:space="preserve">s current actions in the supermarket sector alleging unconscionable conduct </w:t>
            </w:r>
            <w:r w:rsidR="000A2DBF" w:rsidRPr="008625DC">
              <w:t>in dealings with</w:t>
            </w:r>
            <w:r w:rsidRPr="008625DC">
              <w:t xml:space="preserve"> suppliers.</w:t>
            </w:r>
          </w:p>
          <w:p w14:paraId="2F833BF4" w14:textId="7024A979" w:rsidR="0031020A" w:rsidRPr="008625DC" w:rsidRDefault="00F14B41" w:rsidP="00E607A5">
            <w:pPr>
              <w:pStyle w:val="Keyfindingtext"/>
            </w:pPr>
            <w:r w:rsidRPr="008625DC">
              <w:t>Active and ongoing review of these provisions should occur as matters progress through the courts to ensure the provisions meet their policy goals. If deficiencies become evident, they should be promptly remedied.</w:t>
            </w:r>
            <w:r w:rsidRPr="008625DC" w:rsidDel="00F14B41">
              <w:t xml:space="preserve"> </w:t>
            </w:r>
          </w:p>
        </w:tc>
      </w:tr>
    </w:tbl>
    <w:p w14:paraId="1857B269" w14:textId="68DE5616" w:rsidR="0054403D" w:rsidRPr="008625DC" w:rsidRDefault="0054403D" w:rsidP="00BD2EA4">
      <w:pPr>
        <w:pStyle w:val="Heading2"/>
        <w:ind w:left="851" w:hanging="851"/>
        <w:rPr>
          <w:lang w:val="en-AU"/>
        </w:rPr>
      </w:pPr>
      <w:bookmarkStart w:id="29300" w:name="_Toc394330407"/>
      <w:bookmarkStart w:id="29301" w:name="_Toc394330523"/>
      <w:bookmarkStart w:id="29302" w:name="_Toc394331338"/>
      <w:bookmarkStart w:id="29303" w:name="_Toc394330143"/>
      <w:bookmarkStart w:id="29304" w:name="_Toc394333117"/>
      <w:bookmarkStart w:id="29305" w:name="_Toc394333414"/>
      <w:bookmarkStart w:id="29306" w:name="_Toc394332695"/>
      <w:bookmarkStart w:id="29307" w:name="_Toc394333530"/>
      <w:bookmarkStart w:id="29308" w:name="_Toc394333827"/>
      <w:bookmarkStart w:id="29309" w:name="_Toc394333943"/>
      <w:bookmarkStart w:id="29310" w:name="_Toc394334240"/>
      <w:bookmarkStart w:id="29311" w:name="_Toc394334769"/>
      <w:bookmarkStart w:id="29312" w:name="_Toc394335066"/>
      <w:bookmarkStart w:id="29313" w:name="_Toc394414955"/>
      <w:bookmarkStart w:id="29314" w:name="_Toc394415270"/>
      <w:bookmarkStart w:id="29315" w:name="_Toc394412260"/>
      <w:bookmarkStart w:id="29316" w:name="_Toc394412579"/>
      <w:bookmarkStart w:id="29317" w:name="_Toc394420536"/>
      <w:bookmarkStart w:id="29318" w:name="_Toc394420872"/>
      <w:bookmarkStart w:id="29319" w:name="_Toc394421010"/>
      <w:bookmarkStart w:id="29320" w:name="_Toc394423380"/>
      <w:bookmarkStart w:id="29321" w:name="_Toc394423713"/>
      <w:bookmarkStart w:id="29322" w:name="_Toc394420314"/>
      <w:bookmarkStart w:id="29323" w:name="_Toc394422423"/>
      <w:bookmarkStart w:id="29324" w:name="_Toc394422757"/>
      <w:bookmarkStart w:id="29325" w:name="_Toc394422894"/>
      <w:bookmarkStart w:id="29326" w:name="_Toc394423228"/>
      <w:bookmarkStart w:id="29327" w:name="_Toc394424044"/>
      <w:bookmarkStart w:id="29328" w:name="_Toc394424376"/>
      <w:bookmarkStart w:id="29329" w:name="_Toc394491879"/>
      <w:bookmarkStart w:id="29330" w:name="_Toc394492207"/>
      <w:bookmarkStart w:id="29331" w:name="_Toc394495024"/>
      <w:bookmarkStart w:id="29332" w:name="_Toc394495351"/>
      <w:bookmarkStart w:id="29333" w:name="_Toc394497836"/>
      <w:bookmarkStart w:id="29334" w:name="_Toc394498166"/>
      <w:bookmarkStart w:id="29335" w:name="_Toc394500628"/>
      <w:bookmarkStart w:id="29336" w:name="_Toc394500956"/>
      <w:bookmarkStart w:id="29337" w:name="_Toc394502032"/>
      <w:bookmarkStart w:id="29338" w:name="_Toc394502353"/>
      <w:bookmarkStart w:id="29339" w:name="_Toc394502934"/>
      <w:bookmarkStart w:id="29340" w:name="_Toc394503712"/>
      <w:bookmarkStart w:id="29341" w:name="_Toc394502478"/>
      <w:bookmarkStart w:id="29342" w:name="_Toc394502801"/>
      <w:bookmarkStart w:id="29343" w:name="_Toc394505685"/>
      <w:bookmarkStart w:id="29344" w:name="_Toc394506129"/>
      <w:bookmarkStart w:id="29345" w:name="_Toc394506024"/>
      <w:bookmarkStart w:id="29346" w:name="_Toc394506467"/>
      <w:bookmarkStart w:id="29347" w:name="_Toc394506698"/>
      <w:bookmarkStart w:id="29348" w:name="_Toc394507021"/>
      <w:bookmarkStart w:id="29349" w:name="_Toc394560771"/>
      <w:bookmarkStart w:id="29350" w:name="_Toc394561096"/>
      <w:bookmarkStart w:id="29351" w:name="_Toc394561235"/>
      <w:bookmarkStart w:id="29352" w:name="_Toc394561929"/>
      <w:bookmarkStart w:id="29353" w:name="_Toc394582988"/>
      <w:bookmarkStart w:id="29354" w:name="_Toc394585659"/>
      <w:bookmarkStart w:id="29355" w:name="_Toc394586125"/>
      <w:bookmarkStart w:id="29356" w:name="_Toc394588057"/>
      <w:bookmarkStart w:id="29357" w:name="_Toc394588892"/>
      <w:bookmarkStart w:id="29358" w:name="_Toc394589017"/>
      <w:bookmarkStart w:id="29359" w:name="_Toc394590433"/>
      <w:bookmarkStart w:id="29360" w:name="_Toc394590626"/>
      <w:bookmarkStart w:id="29361" w:name="_Toc394654527"/>
      <w:bookmarkStart w:id="29362" w:name="_Toc394654685"/>
      <w:bookmarkStart w:id="29363" w:name="_Toc394656227"/>
      <w:bookmarkStart w:id="29364" w:name="_Toc394656384"/>
      <w:bookmarkStart w:id="29365" w:name="_Toc394659364"/>
      <w:bookmarkStart w:id="29366" w:name="_Toc394659522"/>
      <w:bookmarkStart w:id="29367" w:name="_Toc394663376"/>
      <w:bookmarkStart w:id="29368" w:name="_Toc394663532"/>
      <w:bookmarkStart w:id="29369" w:name="_Toc394667170"/>
      <w:bookmarkStart w:id="29370" w:name="_Toc394667326"/>
      <w:bookmarkStart w:id="29371" w:name="_Toc394671649"/>
      <w:bookmarkStart w:id="29372" w:name="_Toc394671809"/>
      <w:bookmarkStart w:id="29373" w:name="_Toc394674651"/>
      <w:bookmarkStart w:id="29374" w:name="_Toc394674814"/>
      <w:bookmarkStart w:id="29375" w:name="_Toc394674928"/>
      <w:bookmarkStart w:id="29376" w:name="_Toc394675094"/>
      <w:bookmarkStart w:id="29377" w:name="_Toc394676039"/>
      <w:bookmarkStart w:id="29378" w:name="_Toc394676201"/>
      <w:bookmarkStart w:id="29379" w:name="_Toc394675727"/>
      <w:bookmarkStart w:id="29380" w:name="_Toc394675890"/>
      <w:bookmarkStart w:id="29381" w:name="_Toc394918294"/>
      <w:bookmarkStart w:id="29382" w:name="_Toc394918808"/>
      <w:bookmarkStart w:id="29383" w:name="_Toc394930781"/>
      <w:bookmarkStart w:id="29384" w:name="_Toc394933692"/>
      <w:bookmarkStart w:id="29385" w:name="_Toc394938139"/>
      <w:bookmarkStart w:id="29386" w:name="_Toc394938439"/>
      <w:bookmarkStart w:id="29387" w:name="_Toc394938641"/>
      <w:bookmarkStart w:id="29388" w:name="_Toc394937719"/>
      <w:bookmarkStart w:id="29389" w:name="_Toc394937923"/>
      <w:bookmarkStart w:id="29390" w:name="_Toc394941051"/>
      <w:bookmarkStart w:id="29391" w:name="_Toc394941350"/>
      <w:bookmarkStart w:id="29392" w:name="_Toc394941552"/>
      <w:bookmarkStart w:id="29393" w:name="_Toc394941667"/>
      <w:bookmarkStart w:id="29394" w:name="_Toc394941966"/>
      <w:bookmarkStart w:id="29395" w:name="_Toc394942168"/>
      <w:bookmarkStart w:id="29396" w:name="_Toc394939888"/>
      <w:bookmarkStart w:id="29397" w:name="_Toc394940188"/>
      <w:bookmarkStart w:id="29398" w:name="_Toc394940390"/>
      <w:bookmarkStart w:id="29399" w:name="_Toc394939499"/>
      <w:bookmarkStart w:id="29400" w:name="_Toc394939785"/>
      <w:bookmarkStart w:id="29401" w:name="_Toc394940603"/>
      <w:bookmarkStart w:id="29402" w:name="_Toc394993682"/>
      <w:bookmarkStart w:id="29403" w:name="_Toc394995564"/>
      <w:bookmarkStart w:id="29404" w:name="_Toc394995878"/>
      <w:bookmarkStart w:id="29405" w:name="_Toc394996083"/>
      <w:bookmarkStart w:id="29406" w:name="_Toc394997809"/>
      <w:bookmarkStart w:id="29407" w:name="_Toc394998123"/>
      <w:bookmarkStart w:id="29408" w:name="_Toc394998324"/>
      <w:bookmarkStart w:id="29409" w:name="_Toc394998637"/>
      <w:bookmarkStart w:id="29410" w:name="_Toc395001819"/>
      <w:bookmarkStart w:id="29411" w:name="_Toc395002136"/>
      <w:bookmarkStart w:id="29412" w:name="_Toc395002905"/>
      <w:bookmarkStart w:id="29413" w:name="_Toc395003490"/>
      <w:bookmarkStart w:id="29414" w:name="_Toc395005071"/>
      <w:bookmarkStart w:id="29415" w:name="_Toc395005197"/>
      <w:bookmarkStart w:id="29416" w:name="_Toc395005413"/>
      <w:bookmarkStart w:id="29417" w:name="_Toc395005731"/>
      <w:bookmarkStart w:id="29418" w:name="_Toc395008990"/>
      <w:bookmarkStart w:id="29419" w:name="_Toc395009725"/>
      <w:bookmarkStart w:id="29420" w:name="_Toc395011776"/>
      <w:bookmarkStart w:id="29421" w:name="_Toc395010176"/>
      <w:bookmarkStart w:id="29422" w:name="_Toc395010466"/>
      <w:bookmarkStart w:id="29423" w:name="_Toc395010018"/>
      <w:bookmarkStart w:id="29424" w:name="_Toc395011544"/>
      <w:bookmarkStart w:id="29425" w:name="_Toc395012362"/>
      <w:bookmarkStart w:id="29426" w:name="_Toc395012649"/>
      <w:bookmarkStart w:id="29427" w:name="_Toc395012952"/>
      <w:bookmarkStart w:id="29428" w:name="_Toc395010767"/>
      <w:bookmarkStart w:id="29429" w:name="_Toc395012240"/>
      <w:bookmarkStart w:id="29430" w:name="_Toc395013111"/>
      <w:bookmarkStart w:id="29431" w:name="_Toc395012113"/>
      <w:bookmarkStart w:id="29432" w:name="_Toc395014452"/>
      <w:bookmarkStart w:id="29433" w:name="_Toc395014641"/>
      <w:bookmarkStart w:id="29434" w:name="_Toc395013232"/>
      <w:bookmarkStart w:id="29435" w:name="_Toc395084801"/>
      <w:bookmarkStart w:id="29436" w:name="_Toc395085102"/>
      <w:bookmarkStart w:id="29437" w:name="_Toc395090271"/>
      <w:bookmarkStart w:id="29438" w:name="_Toc395090568"/>
      <w:bookmarkStart w:id="29439" w:name="_Toc395090750"/>
      <w:bookmarkStart w:id="29440" w:name="_Toc395092638"/>
      <w:bookmarkStart w:id="29441" w:name="_Toc395092850"/>
      <w:bookmarkStart w:id="29442" w:name="_Toc395093150"/>
      <w:bookmarkStart w:id="29443" w:name="_Toc395093332"/>
      <w:bookmarkStart w:id="29444" w:name="_Toc395097761"/>
      <w:bookmarkStart w:id="29445" w:name="_Toc395098062"/>
      <w:bookmarkStart w:id="29446" w:name="_Toc395098242"/>
      <w:bookmarkStart w:id="29447" w:name="_Toc395105427"/>
      <w:bookmarkStart w:id="29448" w:name="_Toc395106246"/>
      <w:bookmarkStart w:id="29449" w:name="_Toc395107030"/>
      <w:bookmarkStart w:id="29450" w:name="_Toc395109902"/>
      <w:bookmarkStart w:id="29451" w:name="_Toc395109508"/>
      <w:bookmarkStart w:id="29452" w:name="_Toc395109688"/>
      <w:bookmarkStart w:id="29453" w:name="_Toc395109836"/>
      <w:bookmarkStart w:id="29454" w:name="_Toc395111905"/>
      <w:bookmarkStart w:id="29455" w:name="_Toc395112213"/>
      <w:bookmarkStart w:id="29456" w:name="_Toc395112393"/>
      <w:bookmarkStart w:id="29457" w:name="_Toc395106825"/>
      <w:bookmarkStart w:id="29458" w:name="_Toc395107355"/>
      <w:bookmarkStart w:id="29459" w:name="_Toc395107538"/>
      <w:bookmarkStart w:id="29460" w:name="_Toc395110019"/>
      <w:bookmarkStart w:id="29461" w:name="_Toc395108585"/>
      <w:bookmarkStart w:id="29462" w:name="_Toc395108916"/>
      <w:bookmarkStart w:id="29463" w:name="_Toc395113825"/>
      <w:bookmarkStart w:id="29464" w:name="_Toc395114156"/>
      <w:bookmarkStart w:id="29465" w:name="_Toc395114345"/>
      <w:bookmarkStart w:id="29466" w:name="_Toc395116561"/>
      <w:bookmarkStart w:id="29467" w:name="_Toc395116893"/>
      <w:bookmarkStart w:id="29468" w:name="_Toc395117083"/>
      <w:bookmarkStart w:id="29469" w:name="_Toc395112498"/>
      <w:bookmarkStart w:id="29470" w:name="_Toc395112830"/>
      <w:bookmarkStart w:id="29471" w:name="_Toc395113201"/>
      <w:bookmarkStart w:id="29472" w:name="_Toc395115037"/>
      <w:bookmarkStart w:id="29473" w:name="_Toc395115370"/>
      <w:bookmarkStart w:id="29474" w:name="_Toc395115560"/>
      <w:bookmarkStart w:id="29475" w:name="_Toc395118192"/>
      <w:bookmarkStart w:id="29476" w:name="_Toc395118522"/>
      <w:bookmarkStart w:id="29477" w:name="_Toc395118710"/>
      <w:bookmarkStart w:id="29478" w:name="_Toc395178402"/>
      <w:bookmarkStart w:id="29479" w:name="_Toc395178734"/>
      <w:bookmarkStart w:id="29480" w:name="_Toc395624712"/>
      <w:bookmarkStart w:id="29481" w:name="_Toc395624891"/>
      <w:bookmarkStart w:id="29482" w:name="_Toc395789745"/>
      <w:bookmarkStart w:id="29483" w:name="_Toc395790063"/>
      <w:bookmarkStart w:id="29484" w:name="_Toc395800821"/>
      <w:bookmarkStart w:id="29485" w:name="_Toc395802874"/>
      <w:bookmarkStart w:id="29486" w:name="_Toc395867641"/>
      <w:bookmarkStart w:id="29487" w:name="_Toc395868554"/>
      <w:bookmarkStart w:id="29488" w:name="_Toc395868773"/>
      <w:bookmarkStart w:id="29489" w:name="_Toc395878935"/>
      <w:bookmarkStart w:id="29490" w:name="_Toc395879152"/>
      <w:bookmarkStart w:id="29491" w:name="_Toc395882059"/>
      <w:bookmarkStart w:id="29492" w:name="_Toc395882276"/>
      <w:bookmarkStart w:id="29493" w:name="_Toc395882390"/>
      <w:bookmarkStart w:id="29494" w:name="_Toc395882607"/>
      <w:bookmarkStart w:id="29495" w:name="_Toc395880554"/>
      <w:bookmarkStart w:id="29496" w:name="_Toc395880885"/>
      <w:bookmarkStart w:id="29497" w:name="_Toc395881443"/>
      <w:bookmarkStart w:id="29498" w:name="_Toc395881660"/>
      <w:bookmarkStart w:id="29499" w:name="_Toc395881376"/>
      <w:bookmarkStart w:id="29500" w:name="_Toc395883828"/>
      <w:bookmarkStart w:id="29501" w:name="_Toc395884045"/>
      <w:bookmarkStart w:id="29502" w:name="_Toc395880783"/>
      <w:bookmarkStart w:id="29503" w:name="_Toc395884490"/>
      <w:bookmarkStart w:id="29504" w:name="_Toc395884707"/>
      <w:bookmarkStart w:id="29505" w:name="_Toc395883199"/>
      <w:bookmarkStart w:id="29506" w:name="_Toc395883416"/>
      <w:bookmarkStart w:id="29507" w:name="_Toc395883529"/>
      <w:bookmarkStart w:id="29508" w:name="_Toc395883746"/>
      <w:bookmarkStart w:id="29509" w:name="_Toc395884831"/>
      <w:bookmarkStart w:id="29510" w:name="_Toc396123856"/>
      <w:bookmarkStart w:id="29511" w:name="_Toc396130759"/>
      <w:bookmarkStart w:id="29512" w:name="_Toc396136337"/>
      <w:bookmarkStart w:id="29513" w:name="_Toc396138791"/>
      <w:bookmarkStart w:id="29514" w:name="_Toc396144052"/>
      <w:bookmarkStart w:id="29515" w:name="_Toc396145561"/>
      <w:bookmarkStart w:id="29516" w:name="_Toc396145705"/>
      <w:bookmarkStart w:id="29517" w:name="_Toc396145987"/>
      <w:bookmarkStart w:id="29518" w:name="_Toc396147527"/>
      <w:bookmarkStart w:id="29519" w:name="_Toc396147813"/>
      <w:bookmarkStart w:id="29520" w:name="_Toc396149069"/>
      <w:bookmarkStart w:id="29521" w:name="_Toc396148783"/>
      <w:bookmarkStart w:id="29522" w:name="_Toc396149564"/>
      <w:bookmarkStart w:id="29523" w:name="_Toc396149209"/>
      <w:bookmarkStart w:id="29524" w:name="_Toc396149495"/>
      <w:bookmarkStart w:id="29525" w:name="_Toc396149172"/>
      <w:bookmarkStart w:id="29526" w:name="_Toc396149917"/>
      <w:bookmarkStart w:id="29527" w:name="_Toc396149667"/>
      <w:bookmarkStart w:id="29528" w:name="_Toc396150508"/>
      <w:bookmarkStart w:id="29529" w:name="_Toc396151397"/>
      <w:bookmarkStart w:id="29530" w:name="_Toc396151691"/>
      <w:bookmarkStart w:id="29531" w:name="_Toc396201618"/>
      <w:bookmarkStart w:id="29532" w:name="_Toc396202408"/>
      <w:bookmarkStart w:id="29533" w:name="_Toc396202703"/>
      <w:bookmarkStart w:id="29534" w:name="_Toc396203320"/>
      <w:bookmarkStart w:id="29535" w:name="_Toc396206616"/>
      <w:bookmarkStart w:id="29536" w:name="_Toc396206910"/>
      <w:bookmarkStart w:id="29537" w:name="_Toc396209444"/>
      <w:bookmarkStart w:id="29538" w:name="_Toc396209738"/>
      <w:bookmarkStart w:id="29539" w:name="_Toc396211868"/>
      <w:bookmarkStart w:id="29540" w:name="_Toc396212162"/>
      <w:bookmarkStart w:id="29541" w:name="_Toc396213212"/>
      <w:bookmarkStart w:id="29542" w:name="_Toc396213504"/>
      <w:bookmarkStart w:id="29543" w:name="_Toc396214490"/>
      <w:bookmarkStart w:id="29544" w:name="_Toc396214780"/>
      <w:bookmarkStart w:id="29545" w:name="_Toc396220340"/>
      <w:bookmarkStart w:id="29546" w:name="_Toc396226602"/>
      <w:bookmarkStart w:id="29547" w:name="_Toc396226891"/>
      <w:bookmarkStart w:id="29548" w:name="_Toc396228802"/>
      <w:bookmarkStart w:id="29549" w:name="_Toc396229097"/>
      <w:bookmarkStart w:id="29550" w:name="_Toc396230444"/>
      <w:bookmarkStart w:id="29551" w:name="_Toc396230739"/>
      <w:bookmarkStart w:id="29552" w:name="_Toc396231881"/>
      <w:bookmarkStart w:id="29553" w:name="_Toc396233224"/>
      <w:bookmarkStart w:id="29554" w:name="_Toc396233521"/>
      <w:bookmarkStart w:id="29555" w:name="_Toc396234044"/>
      <w:bookmarkStart w:id="29556" w:name="_Toc396234341"/>
      <w:bookmarkStart w:id="29557" w:name="_Toc396234454"/>
      <w:bookmarkStart w:id="29558" w:name="_Toc396236188"/>
      <w:bookmarkStart w:id="29559" w:name="_Toc396235966"/>
      <w:bookmarkStart w:id="29560" w:name="_Toc396236576"/>
      <w:bookmarkStart w:id="29561" w:name="_Toc396237095"/>
      <w:bookmarkStart w:id="29562" w:name="_Toc396397438"/>
      <w:bookmarkStart w:id="29563" w:name="_Toc396304619"/>
      <w:bookmarkStart w:id="29564" w:name="_Toc396586154"/>
      <w:bookmarkStart w:id="29565" w:name="_Toc396815175"/>
      <w:bookmarkStart w:id="29566" w:name="_Toc396821124"/>
      <w:bookmarkStart w:id="29567" w:name="_Toc396821732"/>
      <w:bookmarkStart w:id="29568" w:name="_Toc396827582"/>
      <w:bookmarkStart w:id="29569" w:name="_Toc396828553"/>
      <w:bookmarkStart w:id="29570" w:name="_Toc396828663"/>
      <w:bookmarkStart w:id="29571" w:name="_Toc396838052"/>
      <w:bookmarkStart w:id="29572" w:name="_Toc396838450"/>
      <w:bookmarkStart w:id="29573" w:name="_Toc396904773"/>
      <w:bookmarkStart w:id="29574" w:name="_Toc396907607"/>
      <w:bookmarkStart w:id="29575" w:name="_Toc396912526"/>
      <w:bookmarkStart w:id="29576" w:name="_Toc396914506"/>
      <w:bookmarkStart w:id="29577" w:name="_Toc396915390"/>
      <w:bookmarkStart w:id="29578" w:name="_Toc396915784"/>
      <w:bookmarkStart w:id="29579" w:name="_Toc396921095"/>
      <w:bookmarkStart w:id="29580" w:name="_Toc396924435"/>
      <w:bookmarkStart w:id="29581" w:name="_Toc396925129"/>
      <w:bookmarkStart w:id="29582" w:name="_Toc396992249"/>
      <w:bookmarkStart w:id="29583" w:name="_Toc396992828"/>
      <w:bookmarkStart w:id="29584" w:name="_Toc396994492"/>
      <w:bookmarkStart w:id="29585" w:name="_Toc397002262"/>
      <w:bookmarkStart w:id="29586" w:name="_Toc397003181"/>
      <w:bookmarkStart w:id="29587" w:name="_Toc397008739"/>
      <w:bookmarkStart w:id="29588" w:name="_Toc397008957"/>
      <w:bookmarkStart w:id="29589" w:name="_Toc397011629"/>
      <w:bookmarkStart w:id="29590" w:name="_Toc397012691"/>
      <w:bookmarkStart w:id="29591" w:name="_Toc397015033"/>
      <w:bookmarkStart w:id="29592" w:name="_Toc397015520"/>
      <w:bookmarkStart w:id="29593" w:name="_Toc397070591"/>
      <w:bookmarkStart w:id="29594" w:name="_Toc397413344"/>
      <w:bookmarkStart w:id="29595" w:name="_Toc397413491"/>
      <w:bookmarkStart w:id="29596" w:name="_Toc397428061"/>
      <w:bookmarkStart w:id="29597" w:name="_Toc397439451"/>
      <w:bookmarkStart w:id="29598" w:name="_Toc397439621"/>
      <w:bookmarkStart w:id="29599" w:name="_Toc397439877"/>
      <w:bookmarkStart w:id="29600" w:name="_Toc397440179"/>
      <w:bookmarkStart w:id="29601" w:name="_Toc397441808"/>
      <w:bookmarkStart w:id="29602" w:name="_Toc397517510"/>
      <w:bookmarkStart w:id="29603" w:name="_Toc397522775"/>
      <w:bookmarkStart w:id="29604" w:name="_Toc397526193"/>
      <w:bookmarkStart w:id="29605" w:name="_Toc397528508"/>
      <w:bookmarkStart w:id="29606" w:name="_Toc397528983"/>
      <w:bookmarkStart w:id="29607" w:name="_Toc397601983"/>
      <w:bookmarkStart w:id="29608" w:name="_Toc397602718"/>
      <w:bookmarkStart w:id="29609" w:name="_Toc397605851"/>
      <w:bookmarkStart w:id="29610" w:name="_Toc397614548"/>
      <w:bookmarkStart w:id="29611" w:name="_Toc397614991"/>
      <w:bookmarkStart w:id="29612" w:name="_Toc397616434"/>
      <w:bookmarkStart w:id="29613" w:name="_Toc397616828"/>
      <w:bookmarkStart w:id="29614" w:name="_Toc397688126"/>
      <w:bookmarkStart w:id="29615" w:name="_Toc397689342"/>
      <w:bookmarkStart w:id="29616" w:name="_Toc397694622"/>
      <w:bookmarkStart w:id="29617" w:name="_Toc397696463"/>
      <w:bookmarkStart w:id="29618" w:name="_Toc397697197"/>
      <w:bookmarkStart w:id="29619" w:name="_Toc397698484"/>
      <w:bookmarkStart w:id="29620" w:name="_Toc397699850"/>
      <w:bookmarkStart w:id="29621" w:name="_Toc397700304"/>
      <w:bookmarkStart w:id="29622" w:name="_Toc397936696"/>
      <w:bookmarkStart w:id="29623" w:name="_Toc397936816"/>
      <w:bookmarkStart w:id="29624" w:name="_Toc397945972"/>
      <w:bookmarkStart w:id="29625" w:name="_Toc397946998"/>
      <w:bookmarkStart w:id="29626" w:name="_Toc397948117"/>
      <w:bookmarkStart w:id="29627" w:name="_Toc397958523"/>
      <w:bookmarkStart w:id="29628" w:name="_Toc397958765"/>
      <w:bookmarkStart w:id="29629" w:name="_Toc397959180"/>
      <w:bookmarkStart w:id="29630" w:name="_Toc397962247"/>
      <w:bookmarkStart w:id="29631" w:name="_Toc397963033"/>
      <w:bookmarkStart w:id="29632" w:name="_Toc397963399"/>
      <w:bookmarkStart w:id="29633" w:name="_Toc397965476"/>
      <w:bookmarkStart w:id="29634" w:name="_Toc398197414"/>
      <w:bookmarkStart w:id="29635" w:name="_Toc398199917"/>
      <w:bookmarkStart w:id="29636" w:name="_Toc398201631"/>
      <w:bookmarkStart w:id="29637" w:name="_Toc398207236"/>
      <w:bookmarkStart w:id="29638" w:name="_Toc398209940"/>
      <w:bookmarkStart w:id="29639" w:name="_Toc398210509"/>
      <w:bookmarkStart w:id="29640" w:name="_Toc398211023"/>
      <w:bookmarkStart w:id="29641" w:name="_Toc398219834"/>
      <w:bookmarkStart w:id="29642" w:name="_Toc398220209"/>
      <w:bookmarkStart w:id="29643" w:name="_Toc398220596"/>
      <w:bookmarkStart w:id="29644" w:name="_Toc398221674"/>
      <w:bookmarkStart w:id="29645" w:name="_Toc398222360"/>
      <w:bookmarkStart w:id="29646" w:name="_Toc398222672"/>
      <w:bookmarkStart w:id="29647" w:name="_Toc398223089"/>
      <w:bookmarkStart w:id="29648" w:name="_Toc398223468"/>
      <w:bookmarkStart w:id="29649" w:name="_Toc398223595"/>
      <w:bookmarkStart w:id="29650" w:name="_Toc398224403"/>
      <w:bookmarkStart w:id="29651" w:name="_Toc398225740"/>
      <w:bookmarkStart w:id="29652" w:name="_Toc398225865"/>
      <w:bookmarkStart w:id="29653" w:name="_Toc398281352"/>
      <w:bookmarkStart w:id="29654" w:name="_Toc398282211"/>
      <w:bookmarkStart w:id="29655" w:name="_Toc398284881"/>
      <w:bookmarkStart w:id="29656" w:name="_Toc398287350"/>
      <w:bookmarkStart w:id="29657" w:name="_Toc398289233"/>
      <w:bookmarkStart w:id="29658" w:name="_Toc398297230"/>
      <w:bookmarkStart w:id="29659" w:name="_Toc398298704"/>
      <w:bookmarkStart w:id="29660" w:name="_Toc398300405"/>
      <w:bookmarkStart w:id="29661" w:name="_Toc398301302"/>
      <w:bookmarkStart w:id="29662" w:name="_Toc398302487"/>
      <w:bookmarkStart w:id="29663" w:name="_Toc398302650"/>
      <w:bookmarkStart w:id="29664" w:name="_Toc398549164"/>
      <w:bookmarkStart w:id="29665" w:name="_Toc398549414"/>
      <w:bookmarkStart w:id="29666" w:name="_Toc398555833"/>
      <w:bookmarkStart w:id="29667" w:name="_Toc398559037"/>
      <w:bookmarkStart w:id="29668" w:name="_Toc398563523"/>
      <w:bookmarkStart w:id="29669" w:name="_Toc398563656"/>
      <w:bookmarkStart w:id="29670" w:name="_Toc398564055"/>
      <w:bookmarkStart w:id="29671" w:name="_Toc398827393"/>
      <w:bookmarkStart w:id="29672" w:name="_Toc398827587"/>
      <w:bookmarkStart w:id="29673" w:name="s164"/>
      <w:r w:rsidRPr="008625DC">
        <w:rPr>
          <w:lang w:val="en-AU"/>
        </w:rPr>
        <w:t>Codes of conduct</w:t>
      </w:r>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p>
    <w:bookmarkEnd w:id="29673"/>
    <w:p w14:paraId="185DC9DB" w14:textId="5E1DB39E" w:rsidR="00757E5D" w:rsidRPr="008625DC" w:rsidRDefault="00FF25F3" w:rsidP="00D97005">
      <w:r w:rsidRPr="008625DC">
        <w:t xml:space="preserve">An industry code is </w:t>
      </w:r>
      <w:r w:rsidR="00C74E19" w:rsidRPr="008625DC">
        <w:t>‘</w:t>
      </w:r>
      <w:r w:rsidRPr="008625DC">
        <w:t>a code regulating the conduct of participants in an industry towards other participants in the industry or towards consumers in the industry</w:t>
      </w:r>
      <w:r w:rsidR="00C74E19" w:rsidRPr="008625DC">
        <w:t>’</w:t>
      </w:r>
      <w:r w:rsidRPr="008625DC">
        <w:t>.</w:t>
      </w:r>
      <w:r w:rsidRPr="008625DC">
        <w:rPr>
          <w:rStyle w:val="FootnoteReference"/>
        </w:rPr>
        <w:footnoteReference w:id="298"/>
      </w:r>
      <w:r w:rsidRPr="008625DC">
        <w:t xml:space="preserve"> In the context of the CCA there are three types of codes</w:t>
      </w:r>
      <w:r w:rsidR="00C74E19" w:rsidRPr="008625DC">
        <w:t xml:space="preserve"> — </w:t>
      </w:r>
      <w:r w:rsidRPr="008625DC">
        <w:t>mandatory prescribed codes, voluntary opt</w:t>
      </w:r>
      <w:r w:rsidR="00C74E19" w:rsidRPr="008625DC">
        <w:noBreakHyphen/>
      </w:r>
      <w:r w:rsidRPr="008625DC">
        <w:t>in prescribed codes and voluntary codes.</w:t>
      </w:r>
      <w:r w:rsidR="0054403D" w:rsidRPr="008625DC">
        <w:rPr>
          <w:rStyle w:val="FootnoteReference"/>
        </w:rPr>
        <w:footnoteReference w:id="299"/>
      </w:r>
    </w:p>
    <w:p w14:paraId="600752C4" w14:textId="4176F48B" w:rsidR="0054403D" w:rsidRPr="008625DC" w:rsidRDefault="00A67202" w:rsidP="00D97005">
      <w:r w:rsidRPr="008625DC">
        <w:t>C</w:t>
      </w:r>
      <w:r w:rsidR="0054403D" w:rsidRPr="008625DC">
        <w:t xml:space="preserve">odes are intended to influence or control </w:t>
      </w:r>
      <w:r w:rsidR="00757E5D" w:rsidRPr="008625DC">
        <w:t xml:space="preserve">commercial </w:t>
      </w:r>
      <w:r w:rsidR="0054403D" w:rsidRPr="008625DC">
        <w:t>behaviour</w:t>
      </w:r>
      <w:r w:rsidR="00757E5D" w:rsidRPr="008625DC">
        <w:t xml:space="preserve"> within a particular industry.</w:t>
      </w:r>
      <w:r w:rsidRPr="008625DC">
        <w:t xml:space="preserve"> </w:t>
      </w:r>
      <w:r w:rsidR="00AE5E52" w:rsidRPr="008625DC">
        <w:t>C</w:t>
      </w:r>
      <w:r w:rsidRPr="008625DC">
        <w:t xml:space="preserve">odes </w:t>
      </w:r>
      <w:r w:rsidR="00AE5E52" w:rsidRPr="008625DC">
        <w:t>may</w:t>
      </w:r>
      <w:r w:rsidRPr="008625DC">
        <w:t xml:space="preserve"> </w:t>
      </w:r>
      <w:r w:rsidR="00AE5E52" w:rsidRPr="008625DC">
        <w:t>also</w:t>
      </w:r>
      <w:r w:rsidRPr="008625DC">
        <w:t xml:space="preserve"> contain a dispute resolution framework for those covered by the code.</w:t>
      </w:r>
    </w:p>
    <w:p w14:paraId="6C56910C" w14:textId="161DD214" w:rsidR="00A67202" w:rsidRPr="008625DC" w:rsidRDefault="00A67202" w:rsidP="00A67202">
      <w:bookmarkStart w:id="29674" w:name="_Toc393978903"/>
      <w:r w:rsidRPr="008625DC">
        <w:t xml:space="preserve">Most of the submissions which </w:t>
      </w:r>
      <w:r w:rsidR="00760A66" w:rsidRPr="008625DC">
        <w:t xml:space="preserve">refer to </w:t>
      </w:r>
      <w:r w:rsidRPr="008625DC">
        <w:t>codes of conduct supported their use</w:t>
      </w:r>
      <w:r w:rsidR="00760A66" w:rsidRPr="008625DC">
        <w:t>,</w:t>
      </w:r>
      <w:r w:rsidRPr="008625DC">
        <w:t xml:space="preserve"> although a number of the parties who sought to rely on the protection of </w:t>
      </w:r>
      <w:r w:rsidR="0048761E" w:rsidRPr="008625DC">
        <w:t xml:space="preserve">authorised or voluntary </w:t>
      </w:r>
      <w:r w:rsidRPr="008625DC">
        <w:t>code</w:t>
      </w:r>
      <w:r w:rsidR="0048761E" w:rsidRPr="008625DC">
        <w:t>s</w:t>
      </w:r>
      <w:r w:rsidRPr="008625DC">
        <w:t xml:space="preserve"> </w:t>
      </w:r>
      <w:r w:rsidR="00760A66" w:rsidRPr="008625DC">
        <w:t>express</w:t>
      </w:r>
      <w:r w:rsidR="0048761E" w:rsidRPr="008625DC">
        <w:t>ed</w:t>
      </w:r>
      <w:r w:rsidRPr="008625DC">
        <w:t xml:space="preserve"> concern</w:t>
      </w:r>
      <w:r w:rsidR="0048761E" w:rsidRPr="008625DC">
        <w:t>s</w:t>
      </w:r>
      <w:r w:rsidRPr="008625DC">
        <w:t xml:space="preserve"> with </w:t>
      </w:r>
      <w:r w:rsidR="0048761E" w:rsidRPr="008625DC">
        <w:t>their</w:t>
      </w:r>
      <w:r w:rsidRPr="008625DC">
        <w:t xml:space="preserve"> coverage and</w:t>
      </w:r>
      <w:r w:rsidR="00723878" w:rsidRPr="008625DC">
        <w:t>/or</w:t>
      </w:r>
      <w:r w:rsidRPr="008625DC">
        <w:t xml:space="preserve"> the effectiveness of dispute resolution processes.</w:t>
      </w:r>
      <w:r w:rsidR="0085548E" w:rsidRPr="008625DC">
        <w:rPr>
          <w:rStyle w:val="FootnoteReference"/>
        </w:rPr>
        <w:footnoteReference w:id="300"/>
      </w:r>
    </w:p>
    <w:p w14:paraId="2E973EE3" w14:textId="599E355B" w:rsidR="00C85BD8" w:rsidRPr="008625DC" w:rsidRDefault="00C85BD8" w:rsidP="00C85BD8">
      <w:pPr>
        <w:rPr>
          <w:color w:val="auto"/>
        </w:rPr>
      </w:pPr>
      <w:r w:rsidRPr="008625DC">
        <w:rPr>
          <w:color w:val="auto"/>
        </w:rPr>
        <w:t xml:space="preserve">The Panel notes that </w:t>
      </w:r>
      <w:r w:rsidR="00CE0DF3" w:rsidRPr="008625DC">
        <w:rPr>
          <w:color w:val="auto"/>
        </w:rPr>
        <w:t xml:space="preserve">on 4 September 2014 </w:t>
      </w:r>
      <w:r w:rsidRPr="008625DC">
        <w:rPr>
          <w:color w:val="auto"/>
        </w:rPr>
        <w:t xml:space="preserve">the </w:t>
      </w:r>
      <w:r w:rsidR="00CE0DF3" w:rsidRPr="008625DC">
        <w:rPr>
          <w:color w:val="auto"/>
        </w:rPr>
        <w:t xml:space="preserve">Parliament passed </w:t>
      </w:r>
      <w:r w:rsidRPr="008625DC">
        <w:rPr>
          <w:color w:val="auto"/>
        </w:rPr>
        <w:t xml:space="preserve">the Competition and Consumer Amendment (Industry Code Penalties) </w:t>
      </w:r>
      <w:r w:rsidR="00CE0DF3" w:rsidRPr="008625DC">
        <w:rPr>
          <w:color w:val="auto"/>
        </w:rPr>
        <w:t xml:space="preserve">Act which amended the CCA </w:t>
      </w:r>
      <w:r w:rsidR="00760A66" w:rsidRPr="008625DC">
        <w:rPr>
          <w:color w:val="auto"/>
        </w:rPr>
        <w:t xml:space="preserve">to </w:t>
      </w:r>
      <w:r w:rsidRPr="008625DC">
        <w:rPr>
          <w:color w:val="auto"/>
        </w:rPr>
        <w:t xml:space="preserve">give the ACCC additional powers to </w:t>
      </w:r>
      <w:r w:rsidR="00104E5B" w:rsidRPr="008625DC">
        <w:rPr>
          <w:color w:val="auto"/>
        </w:rPr>
        <w:t>issue infringement notices for alleged breaches of industry codes. It also allows the court</w:t>
      </w:r>
      <w:r w:rsidR="009C406F" w:rsidRPr="008625DC">
        <w:rPr>
          <w:color w:val="auto"/>
        </w:rPr>
        <w:t xml:space="preserve"> to impose penalties </w:t>
      </w:r>
      <w:r w:rsidR="00104E5B" w:rsidRPr="008625DC">
        <w:rPr>
          <w:color w:val="auto"/>
        </w:rPr>
        <w:t>on</w:t>
      </w:r>
      <w:r w:rsidRPr="008625DC">
        <w:rPr>
          <w:color w:val="auto"/>
        </w:rPr>
        <w:t xml:space="preserve"> businesses </w:t>
      </w:r>
      <w:r w:rsidR="00104E5B" w:rsidRPr="008625DC">
        <w:rPr>
          <w:color w:val="auto"/>
        </w:rPr>
        <w:t xml:space="preserve">that </w:t>
      </w:r>
      <w:r w:rsidRPr="008625DC">
        <w:rPr>
          <w:color w:val="auto"/>
        </w:rPr>
        <w:t>breach prescribed industry codes</w:t>
      </w:r>
      <w:r w:rsidR="00104E5B" w:rsidRPr="008625DC">
        <w:rPr>
          <w:color w:val="auto"/>
        </w:rPr>
        <w:t xml:space="preserve"> which incorporate these new penalties</w:t>
      </w:r>
      <w:r w:rsidRPr="008625DC">
        <w:rPr>
          <w:color w:val="auto"/>
        </w:rPr>
        <w:t xml:space="preserve">. The new powers will </w:t>
      </w:r>
      <w:r w:rsidR="00CE0DF3" w:rsidRPr="008625DC">
        <w:rPr>
          <w:color w:val="auto"/>
        </w:rPr>
        <w:t>apply from 1</w:t>
      </w:r>
      <w:r w:rsidR="005F3C6C" w:rsidRPr="008625DC">
        <w:rPr>
          <w:color w:val="auto"/>
        </w:rPr>
        <w:t> </w:t>
      </w:r>
      <w:r w:rsidR="00CE0DF3" w:rsidRPr="008625DC">
        <w:rPr>
          <w:color w:val="auto"/>
        </w:rPr>
        <w:t>January</w:t>
      </w:r>
      <w:r w:rsidR="005F3C6C" w:rsidRPr="008625DC">
        <w:rPr>
          <w:color w:val="auto"/>
        </w:rPr>
        <w:t> </w:t>
      </w:r>
      <w:r w:rsidR="00CE0DF3" w:rsidRPr="008625DC">
        <w:rPr>
          <w:color w:val="auto"/>
        </w:rPr>
        <w:t xml:space="preserve">2015 and </w:t>
      </w:r>
      <w:r w:rsidRPr="008625DC">
        <w:rPr>
          <w:color w:val="auto"/>
        </w:rPr>
        <w:t>only apply to future arrangements.</w:t>
      </w:r>
    </w:p>
    <w:p w14:paraId="7B54632D" w14:textId="221129BF" w:rsidR="00C85BD8" w:rsidRPr="008625DC" w:rsidRDefault="00104E5B" w:rsidP="00C85BD8">
      <w:r w:rsidRPr="008625DC">
        <w:t xml:space="preserve">The first code to incorporate the new civil penalties is the </w:t>
      </w:r>
      <w:r w:rsidR="00CE0DF3" w:rsidRPr="008625DC">
        <w:t>propose</w:t>
      </w:r>
      <w:r w:rsidRPr="008625DC">
        <w:t>d</w:t>
      </w:r>
      <w:r w:rsidR="00CE0DF3" w:rsidRPr="008625DC">
        <w:t xml:space="preserve"> new draft </w:t>
      </w:r>
      <w:r w:rsidR="00C85BD8" w:rsidRPr="008625DC">
        <w:t>Franchising Code</w:t>
      </w:r>
      <w:r w:rsidRPr="008625DC">
        <w:t>.</w:t>
      </w:r>
      <w:r w:rsidR="001A2F37" w:rsidRPr="008625DC">
        <w:rPr>
          <w:rStyle w:val="FootnoteReference"/>
        </w:rPr>
        <w:footnoteReference w:id="301"/>
      </w:r>
      <w:r w:rsidR="00CE0DF3" w:rsidRPr="008625DC">
        <w:t xml:space="preserve"> </w:t>
      </w:r>
      <w:r w:rsidR="001A2F37" w:rsidRPr="008625DC">
        <w:t>If implemented, a</w:t>
      </w:r>
      <w:r w:rsidR="00C85BD8" w:rsidRPr="008625DC">
        <w:t xml:space="preserve"> breach of </w:t>
      </w:r>
      <w:r w:rsidR="00CE0DF3" w:rsidRPr="008625DC">
        <w:t>the Code</w:t>
      </w:r>
      <w:r w:rsidR="00C85BD8" w:rsidRPr="008625DC">
        <w:t xml:space="preserve"> will expose a franchisor or franchisee to an infringement notice </w:t>
      </w:r>
      <w:r w:rsidR="001A2F37" w:rsidRPr="008625DC">
        <w:t xml:space="preserve">penalty </w:t>
      </w:r>
      <w:r w:rsidR="00C85BD8" w:rsidRPr="008625DC">
        <w:t xml:space="preserve">of $8,500 issued by the ACCC or a pecuniary penalty of up to $51,000 imposed by the </w:t>
      </w:r>
      <w:r w:rsidR="001A2F37" w:rsidRPr="008625DC">
        <w:t>c</w:t>
      </w:r>
      <w:r w:rsidR="00C85BD8" w:rsidRPr="008625DC">
        <w:t>ourt.</w:t>
      </w:r>
    </w:p>
    <w:p w14:paraId="510140BE" w14:textId="44B004A6" w:rsidR="004F730B" w:rsidRPr="008625DC" w:rsidRDefault="00CE0DF3" w:rsidP="004F730B">
      <w:r w:rsidRPr="008625DC">
        <w:lastRenderedPageBreak/>
        <w:t>Th</w:t>
      </w:r>
      <w:r w:rsidR="001A2F37" w:rsidRPr="008625DC">
        <w:t>is</w:t>
      </w:r>
      <w:r w:rsidRPr="008625DC">
        <w:t xml:space="preserve"> new industry code </w:t>
      </w:r>
      <w:r w:rsidR="001A2F37" w:rsidRPr="008625DC">
        <w:t xml:space="preserve">remedies and powers </w:t>
      </w:r>
      <w:r w:rsidR="00E8087D" w:rsidRPr="008625DC">
        <w:t>framework</w:t>
      </w:r>
      <w:r w:rsidRPr="008625DC">
        <w:t xml:space="preserve"> is</w:t>
      </w:r>
      <w:r w:rsidR="00FA7D76" w:rsidRPr="008625DC">
        <w:t xml:space="preserve"> </w:t>
      </w:r>
      <w:r w:rsidR="00696410" w:rsidRPr="008625DC">
        <w:t>a significant development.</w:t>
      </w:r>
      <w:r w:rsidR="00FA7D76" w:rsidRPr="008625DC">
        <w:t xml:space="preserve"> </w:t>
      </w:r>
      <w:r w:rsidR="00663801" w:rsidRPr="008625DC">
        <w:t>However, e</w:t>
      </w:r>
      <w:r w:rsidR="00FA7D76" w:rsidRPr="008625DC">
        <w:t xml:space="preserve">xperience with administering such new </w:t>
      </w:r>
      <w:r w:rsidR="00FF25F3" w:rsidRPr="008625DC">
        <w:t>provisions is</w:t>
      </w:r>
      <w:r w:rsidR="00FA7D76" w:rsidRPr="008625DC">
        <w:t xml:space="preserve"> n</w:t>
      </w:r>
      <w:r w:rsidR="00760A66" w:rsidRPr="008625DC">
        <w:t>eeded</w:t>
      </w:r>
      <w:r w:rsidR="00FA7D76" w:rsidRPr="008625DC">
        <w:t xml:space="preserve"> before determining whether </w:t>
      </w:r>
      <w:r w:rsidR="00FF25F3" w:rsidRPr="008625DC">
        <w:t>they</w:t>
      </w:r>
      <w:r w:rsidR="00FA7D76" w:rsidRPr="008625DC">
        <w:t xml:space="preserve"> should be applied more broadly.</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54403D" w:rsidRPr="008625DC" w14:paraId="4B8F2668" w14:textId="77777777" w:rsidTr="00747CC4">
        <w:tc>
          <w:tcPr>
            <w:tcW w:w="5000" w:type="pct"/>
            <w:shd w:val="clear" w:color="auto" w:fill="FFFFFF" w:themeFill="background1"/>
          </w:tcPr>
          <w:p w14:paraId="1C966893" w14:textId="2E53E2CD" w:rsidR="0054403D" w:rsidRPr="008625DC" w:rsidRDefault="0054403D" w:rsidP="00747CC4">
            <w:pPr>
              <w:pStyle w:val="Keyfindingheading"/>
            </w:pPr>
            <w:r w:rsidRPr="008625DC">
              <w:t>The Panel</w:t>
            </w:r>
            <w:r w:rsidR="00C74E19" w:rsidRPr="008625DC">
              <w:t>’</w:t>
            </w:r>
            <w:r w:rsidRPr="008625DC">
              <w:t>s view</w:t>
            </w:r>
          </w:p>
          <w:p w14:paraId="0F83773C" w14:textId="18C1C5D1" w:rsidR="00E120D5" w:rsidRPr="008625DC" w:rsidRDefault="0054403D" w:rsidP="00747CC4">
            <w:pPr>
              <w:pStyle w:val="Keyfindingtext"/>
            </w:pPr>
            <w:bookmarkStart w:id="29675" w:name="_Toc394414956"/>
            <w:bookmarkStart w:id="29676" w:name="_Toc394412261"/>
            <w:bookmarkStart w:id="29677" w:name="_Toc394420537"/>
            <w:bookmarkStart w:id="29678" w:name="_Toc394421011"/>
            <w:bookmarkStart w:id="29679" w:name="_Toc394423381"/>
            <w:bookmarkStart w:id="29680" w:name="_Toc394420315"/>
            <w:bookmarkStart w:id="29681" w:name="_Toc394422424"/>
            <w:bookmarkStart w:id="29682" w:name="_Toc394422895"/>
            <w:bookmarkStart w:id="29683" w:name="_Toc394424045"/>
            <w:bookmarkStart w:id="29684" w:name="_Toc394491880"/>
            <w:bookmarkStart w:id="29685" w:name="_Toc394495025"/>
            <w:bookmarkStart w:id="29686" w:name="_Toc394497837"/>
            <w:bookmarkStart w:id="29687" w:name="_Toc394500629"/>
            <w:bookmarkStart w:id="29688" w:name="_Toc394502033"/>
            <w:bookmarkStart w:id="29689" w:name="_Toc394502935"/>
            <w:bookmarkStart w:id="29690" w:name="_Toc394502479"/>
            <w:bookmarkStart w:id="29691" w:name="_Toc394505686"/>
            <w:bookmarkStart w:id="29692" w:name="_Toc394506025"/>
            <w:bookmarkStart w:id="29693" w:name="_Toc394506699"/>
            <w:bookmarkStart w:id="29694" w:name="_Toc394560772"/>
            <w:bookmarkStart w:id="29695" w:name="_Toc394561236"/>
            <w:bookmarkStart w:id="29696" w:name="_Toc394938440"/>
            <w:bookmarkStart w:id="29697" w:name="_Toc394937720"/>
            <w:bookmarkStart w:id="29698" w:name="_Toc394941351"/>
            <w:bookmarkStart w:id="29699" w:name="_Toc394941967"/>
            <w:bookmarkStart w:id="29700" w:name="_Toc394940189"/>
            <w:bookmarkStart w:id="29701" w:name="_Toc394939786"/>
            <w:bookmarkStart w:id="29702" w:name="_Toc394993683"/>
            <w:bookmarkStart w:id="29703" w:name="_Toc394995565"/>
            <w:bookmarkStart w:id="29704" w:name="_Toc394995879"/>
            <w:bookmarkStart w:id="29705" w:name="_Toc394998124"/>
            <w:bookmarkStart w:id="29706" w:name="_Toc394998638"/>
            <w:bookmarkStart w:id="29707" w:name="_Toc395002137"/>
            <w:bookmarkStart w:id="29708" w:name="_Toc395002906"/>
            <w:bookmarkStart w:id="29709" w:name="_Toc395003491"/>
            <w:bookmarkStart w:id="29710" w:name="_Toc395005732"/>
            <w:bookmarkStart w:id="29711" w:name="_Toc395009726"/>
            <w:bookmarkStart w:id="29712" w:name="_Toc395010467"/>
            <w:bookmarkStart w:id="29713" w:name="_Toc395012650"/>
            <w:bookmarkStart w:id="29714" w:name="_Toc395013112"/>
            <w:bookmarkStart w:id="29715" w:name="_Toc395012114"/>
            <w:bookmarkStart w:id="29716" w:name="_Toc395014453"/>
            <w:bookmarkStart w:id="29717" w:name="_Toc395084802"/>
            <w:bookmarkStart w:id="29718" w:name="_Toc395085103"/>
            <w:bookmarkStart w:id="29719" w:name="_Toc395090569"/>
            <w:bookmarkStart w:id="29720" w:name="_Toc395093151"/>
            <w:bookmarkStart w:id="29721" w:name="_Toc395098063"/>
            <w:bookmarkStart w:id="29722" w:name="_Toc395106247"/>
            <w:bookmarkStart w:id="29723" w:name="_Toc395109509"/>
            <w:bookmarkStart w:id="29724" w:name="_Toc395109837"/>
            <w:bookmarkStart w:id="29725" w:name="_Toc395112214"/>
            <w:bookmarkStart w:id="29726" w:name="_Toc395107356"/>
            <w:bookmarkStart w:id="29727" w:name="_Toc395108917"/>
            <w:bookmarkStart w:id="29728" w:name="_Toc395114157"/>
            <w:bookmarkStart w:id="29729" w:name="_Toc395116894"/>
            <w:bookmarkStart w:id="29730" w:name="_Toc395112831"/>
            <w:bookmarkStart w:id="29731" w:name="_Toc395115371"/>
            <w:bookmarkStart w:id="29732" w:name="_Toc395118523"/>
            <w:bookmarkStart w:id="29733" w:name="_Toc395624713"/>
            <w:bookmarkStart w:id="29734" w:name="_Toc395790064"/>
            <w:bookmarkStart w:id="29735" w:name="_Toc395800822"/>
            <w:bookmarkStart w:id="29736" w:name="_Toc394330524"/>
            <w:bookmarkStart w:id="29737" w:name="_Toc394330144"/>
            <w:bookmarkStart w:id="29738" w:name="_Toc394333118"/>
            <w:bookmarkStart w:id="29739" w:name="_Toc394332696"/>
            <w:bookmarkStart w:id="29740" w:name="_Toc394333531"/>
            <w:bookmarkStart w:id="29741" w:name="_Toc394333944"/>
            <w:bookmarkStart w:id="29742" w:name="_Toc394334770"/>
            <w:bookmarkStart w:id="29743" w:name="_Toc394391223"/>
            <w:r w:rsidRPr="008625DC">
              <w:t xml:space="preserve">Codes </w:t>
            </w:r>
            <w:r w:rsidR="00760A66" w:rsidRPr="008625DC">
              <w:t>of conduct</w:t>
            </w:r>
            <w:r w:rsidRPr="008625DC">
              <w:t xml:space="preserve"> </w:t>
            </w:r>
            <w:r w:rsidR="00E120D5" w:rsidRPr="008625DC">
              <w:t xml:space="preserve">play an important role under the CCA by </w:t>
            </w:r>
            <w:r w:rsidR="005E5BCC" w:rsidRPr="008625DC">
              <w:t xml:space="preserve">providing for a flexible regulatory framework to </w:t>
            </w:r>
            <w:r w:rsidR="00E120D5" w:rsidRPr="008625DC">
              <w:t xml:space="preserve">set </w:t>
            </w:r>
            <w:r w:rsidR="005E5BCC" w:rsidRPr="008625DC">
              <w:t xml:space="preserve">norms of behaviour, </w:t>
            </w:r>
            <w:r w:rsidR="00C00563" w:rsidRPr="008625DC">
              <w:t xml:space="preserve">and are </w:t>
            </w:r>
            <w:r w:rsidR="005E5BCC" w:rsidRPr="008625DC">
              <w:t xml:space="preserve">generally </w:t>
            </w:r>
            <w:r w:rsidR="00C00563" w:rsidRPr="008625DC">
              <w:t xml:space="preserve">applied to </w:t>
            </w:r>
            <w:r w:rsidR="005E5BCC" w:rsidRPr="008625DC">
              <w:t>relationships between businesses</w:t>
            </w:r>
            <w:r w:rsidR="00C00563" w:rsidRPr="008625DC">
              <w:t xml:space="preserve"> within a particular industry</w:t>
            </w:r>
            <w:r w:rsidR="005E5BCC" w:rsidRPr="008625DC">
              <w:t>.</w:t>
            </w:r>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p>
          <w:p w14:paraId="66AFFA72" w14:textId="408D90E1" w:rsidR="0054403D" w:rsidRPr="008625DC" w:rsidRDefault="0061394A" w:rsidP="00747CC4">
            <w:pPr>
              <w:pStyle w:val="Keyfindingtext"/>
            </w:pPr>
            <w:bookmarkStart w:id="29744" w:name="_Toc394330526"/>
            <w:bookmarkStart w:id="29745" w:name="_Toc394330146"/>
            <w:bookmarkStart w:id="29746" w:name="_Toc394333120"/>
            <w:bookmarkStart w:id="29747" w:name="_Toc394332698"/>
            <w:bookmarkStart w:id="29748" w:name="_Toc394333533"/>
            <w:bookmarkStart w:id="29749" w:name="_Toc394333946"/>
            <w:bookmarkStart w:id="29750" w:name="_Toc394334772"/>
            <w:bookmarkStart w:id="29751" w:name="_Toc394414957"/>
            <w:bookmarkStart w:id="29752" w:name="_Toc394412262"/>
            <w:bookmarkStart w:id="29753" w:name="_Toc394420538"/>
            <w:bookmarkStart w:id="29754" w:name="_Toc394421012"/>
            <w:bookmarkStart w:id="29755" w:name="_Toc394423382"/>
            <w:bookmarkStart w:id="29756" w:name="_Toc394420316"/>
            <w:bookmarkStart w:id="29757" w:name="_Toc394422425"/>
            <w:bookmarkStart w:id="29758" w:name="_Toc394422896"/>
            <w:bookmarkStart w:id="29759" w:name="_Toc394424046"/>
            <w:bookmarkStart w:id="29760" w:name="_Toc394491881"/>
            <w:bookmarkStart w:id="29761" w:name="_Toc394495026"/>
            <w:bookmarkStart w:id="29762" w:name="_Toc394497838"/>
            <w:bookmarkStart w:id="29763" w:name="_Toc394500630"/>
            <w:bookmarkStart w:id="29764" w:name="_Toc394502034"/>
            <w:bookmarkStart w:id="29765" w:name="_Toc394502936"/>
            <w:bookmarkStart w:id="29766" w:name="_Toc394502480"/>
            <w:bookmarkStart w:id="29767" w:name="_Toc394505687"/>
            <w:bookmarkStart w:id="29768" w:name="_Toc394506026"/>
            <w:bookmarkStart w:id="29769" w:name="_Toc394506700"/>
            <w:bookmarkStart w:id="29770" w:name="_Toc394560773"/>
            <w:bookmarkStart w:id="29771" w:name="_Toc394561237"/>
            <w:bookmarkStart w:id="29772" w:name="_Toc394938441"/>
            <w:bookmarkStart w:id="29773" w:name="_Toc394937721"/>
            <w:bookmarkStart w:id="29774" w:name="_Toc394941352"/>
            <w:bookmarkStart w:id="29775" w:name="_Toc394941968"/>
            <w:bookmarkStart w:id="29776" w:name="_Toc394940190"/>
            <w:bookmarkStart w:id="29777" w:name="_Toc394939787"/>
            <w:bookmarkStart w:id="29778" w:name="_Toc394993684"/>
            <w:bookmarkStart w:id="29779" w:name="_Toc394995566"/>
            <w:bookmarkStart w:id="29780" w:name="_Toc394995880"/>
            <w:bookmarkStart w:id="29781" w:name="_Toc394998125"/>
            <w:bookmarkStart w:id="29782" w:name="_Toc394998639"/>
            <w:bookmarkStart w:id="29783" w:name="_Toc395002138"/>
            <w:bookmarkStart w:id="29784" w:name="_Toc395001618"/>
            <w:bookmarkStart w:id="29785" w:name="_Toc395002907"/>
            <w:bookmarkStart w:id="29786" w:name="_Toc395003492"/>
            <w:bookmarkStart w:id="29787" w:name="_Toc395005733"/>
            <w:bookmarkStart w:id="29788" w:name="_Toc395009727"/>
            <w:bookmarkStart w:id="29789" w:name="_Toc395010468"/>
            <w:bookmarkStart w:id="29790" w:name="_Toc395012651"/>
            <w:bookmarkStart w:id="29791" w:name="_Toc395013113"/>
            <w:bookmarkStart w:id="29792" w:name="_Toc395012115"/>
            <w:bookmarkStart w:id="29793" w:name="_Toc395014454"/>
            <w:bookmarkStart w:id="29794" w:name="_Toc395084803"/>
            <w:bookmarkStart w:id="29795" w:name="_Toc395085104"/>
            <w:bookmarkStart w:id="29796" w:name="_Toc395090570"/>
            <w:bookmarkStart w:id="29797" w:name="_Toc395093152"/>
            <w:bookmarkStart w:id="29798" w:name="_Toc395098064"/>
            <w:bookmarkStart w:id="29799" w:name="_Toc395106248"/>
            <w:bookmarkStart w:id="29800" w:name="_Toc395109510"/>
            <w:bookmarkStart w:id="29801" w:name="_Toc395109838"/>
            <w:bookmarkStart w:id="29802" w:name="_Toc395112215"/>
            <w:bookmarkStart w:id="29803" w:name="_Toc395107357"/>
            <w:bookmarkStart w:id="29804" w:name="_Toc395108918"/>
            <w:bookmarkStart w:id="29805" w:name="_Toc395114158"/>
            <w:bookmarkStart w:id="29806" w:name="_Toc395116895"/>
            <w:bookmarkStart w:id="29807" w:name="_Toc395112832"/>
            <w:bookmarkStart w:id="29808" w:name="_Toc395115372"/>
            <w:bookmarkStart w:id="29809" w:name="_Toc395118524"/>
            <w:bookmarkStart w:id="29810" w:name="_Toc395624714"/>
            <w:bookmarkStart w:id="29811" w:name="_Toc395790065"/>
            <w:bookmarkStart w:id="29812" w:name="_Toc395800823"/>
            <w:bookmarkEnd w:id="29736"/>
            <w:bookmarkEnd w:id="29737"/>
            <w:bookmarkEnd w:id="29738"/>
            <w:bookmarkEnd w:id="29739"/>
            <w:bookmarkEnd w:id="29740"/>
            <w:bookmarkEnd w:id="29741"/>
            <w:bookmarkEnd w:id="29742"/>
            <w:bookmarkEnd w:id="29743"/>
            <w:r w:rsidRPr="008625DC">
              <w:t xml:space="preserve">The Panel has heard </w:t>
            </w:r>
            <w:r w:rsidR="00760A66" w:rsidRPr="008625DC">
              <w:t>of</w:t>
            </w:r>
            <w:r w:rsidR="007D7112" w:rsidRPr="008625DC">
              <w:t xml:space="preserve"> </w:t>
            </w:r>
            <w:r w:rsidR="00C00563" w:rsidRPr="008625DC">
              <w:t xml:space="preserve">codes </w:t>
            </w:r>
            <w:r w:rsidR="007D7112" w:rsidRPr="008625DC">
              <w:t>that are</w:t>
            </w:r>
            <w:r w:rsidR="005E5BCC" w:rsidRPr="008625DC">
              <w:t xml:space="preserve"> perceived to be lacking </w:t>
            </w:r>
            <w:r w:rsidR="007D7112" w:rsidRPr="008625DC">
              <w:t xml:space="preserve">in </w:t>
            </w:r>
            <w:r w:rsidR="005E5BCC" w:rsidRPr="008625DC">
              <w:t xml:space="preserve">meaningful enforcement sanctions and the capacity for </w:t>
            </w:r>
            <w:r w:rsidR="0054403D" w:rsidRPr="008625DC">
              <w:t>public enforcement.</w:t>
            </w:r>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r w:rsidR="0054403D" w:rsidRPr="008625DC">
              <w:t xml:space="preserve"> </w:t>
            </w:r>
          </w:p>
          <w:p w14:paraId="0827DAF5" w14:textId="71C29BD8" w:rsidR="0054403D" w:rsidRPr="008625DC" w:rsidRDefault="00CE0DF3" w:rsidP="00747CC4">
            <w:pPr>
              <w:pStyle w:val="Keyfindingtext"/>
            </w:pPr>
            <w:bookmarkStart w:id="29813" w:name="_Toc394330527"/>
            <w:bookmarkStart w:id="29814" w:name="_Toc394330147"/>
            <w:bookmarkStart w:id="29815" w:name="_Toc394333121"/>
            <w:bookmarkStart w:id="29816" w:name="_Toc394332699"/>
            <w:bookmarkStart w:id="29817" w:name="_Toc394333534"/>
            <w:bookmarkStart w:id="29818" w:name="_Toc394333947"/>
            <w:bookmarkStart w:id="29819" w:name="_Toc394334773"/>
            <w:bookmarkStart w:id="29820" w:name="_Toc394414958"/>
            <w:bookmarkStart w:id="29821" w:name="_Toc394412263"/>
            <w:bookmarkStart w:id="29822" w:name="_Toc394420539"/>
            <w:bookmarkStart w:id="29823" w:name="_Toc394421013"/>
            <w:bookmarkStart w:id="29824" w:name="_Toc394423383"/>
            <w:bookmarkStart w:id="29825" w:name="_Toc394420317"/>
            <w:bookmarkStart w:id="29826" w:name="_Toc394422426"/>
            <w:bookmarkStart w:id="29827" w:name="_Toc394422897"/>
            <w:bookmarkStart w:id="29828" w:name="_Toc394424047"/>
            <w:bookmarkStart w:id="29829" w:name="_Toc394491882"/>
            <w:bookmarkStart w:id="29830" w:name="_Toc394495027"/>
            <w:bookmarkStart w:id="29831" w:name="_Toc394497839"/>
            <w:bookmarkStart w:id="29832" w:name="_Toc394500631"/>
            <w:bookmarkStart w:id="29833" w:name="_Toc394502035"/>
            <w:bookmarkStart w:id="29834" w:name="_Toc394502937"/>
            <w:bookmarkStart w:id="29835" w:name="_Toc394502481"/>
            <w:bookmarkStart w:id="29836" w:name="_Toc394505688"/>
            <w:bookmarkStart w:id="29837" w:name="_Toc394506027"/>
            <w:bookmarkStart w:id="29838" w:name="_Toc394506701"/>
            <w:bookmarkStart w:id="29839" w:name="_Toc394560774"/>
            <w:bookmarkStart w:id="29840" w:name="_Toc394561238"/>
            <w:bookmarkStart w:id="29841" w:name="_Toc394938442"/>
            <w:bookmarkStart w:id="29842" w:name="_Toc394937722"/>
            <w:bookmarkStart w:id="29843" w:name="_Toc394941353"/>
            <w:bookmarkStart w:id="29844" w:name="_Toc394941969"/>
            <w:bookmarkStart w:id="29845" w:name="_Toc394940191"/>
            <w:bookmarkStart w:id="29846" w:name="_Toc394939788"/>
            <w:bookmarkStart w:id="29847" w:name="_Toc394993685"/>
            <w:bookmarkStart w:id="29848" w:name="_Toc394995567"/>
            <w:bookmarkStart w:id="29849" w:name="_Toc394995881"/>
            <w:bookmarkStart w:id="29850" w:name="_Toc394998126"/>
            <w:bookmarkStart w:id="29851" w:name="_Toc394998640"/>
            <w:bookmarkStart w:id="29852" w:name="_Toc395002139"/>
            <w:bookmarkStart w:id="29853" w:name="_Toc395001346"/>
            <w:bookmarkStart w:id="29854" w:name="_Toc395001619"/>
            <w:bookmarkStart w:id="29855" w:name="_Toc395002908"/>
            <w:bookmarkStart w:id="29856" w:name="_Toc395003493"/>
            <w:bookmarkStart w:id="29857" w:name="_Toc395005734"/>
            <w:bookmarkStart w:id="29858" w:name="_Toc395009728"/>
            <w:bookmarkStart w:id="29859" w:name="_Toc395010469"/>
            <w:bookmarkStart w:id="29860" w:name="_Toc395012652"/>
            <w:bookmarkStart w:id="29861" w:name="_Toc395013114"/>
            <w:bookmarkStart w:id="29862" w:name="_Toc395012116"/>
            <w:bookmarkStart w:id="29863" w:name="_Toc395014455"/>
            <w:bookmarkStart w:id="29864" w:name="_Toc395084804"/>
            <w:bookmarkStart w:id="29865" w:name="_Toc395085105"/>
            <w:bookmarkStart w:id="29866" w:name="_Toc395090571"/>
            <w:bookmarkStart w:id="29867" w:name="_Toc395093153"/>
            <w:bookmarkStart w:id="29868" w:name="_Toc395098065"/>
            <w:bookmarkStart w:id="29869" w:name="_Toc395106249"/>
            <w:bookmarkStart w:id="29870" w:name="_Toc395109511"/>
            <w:bookmarkStart w:id="29871" w:name="_Toc395109839"/>
            <w:bookmarkStart w:id="29872" w:name="_Toc395112216"/>
            <w:bookmarkStart w:id="29873" w:name="_Toc395107358"/>
            <w:bookmarkStart w:id="29874" w:name="_Toc395108919"/>
            <w:bookmarkStart w:id="29875" w:name="_Toc395114159"/>
            <w:bookmarkStart w:id="29876" w:name="_Toc395116896"/>
            <w:bookmarkStart w:id="29877" w:name="_Toc395112833"/>
            <w:bookmarkStart w:id="29878" w:name="_Toc395115373"/>
            <w:bookmarkStart w:id="29879" w:name="_Toc395118525"/>
            <w:bookmarkStart w:id="29880" w:name="_Toc395624715"/>
            <w:bookmarkStart w:id="29881" w:name="_Toc395790066"/>
            <w:bookmarkStart w:id="29882" w:name="_Toc395800824"/>
            <w:r w:rsidRPr="008625DC">
              <w:t xml:space="preserve">The introduction of civil penalties and infringement notices for breaches of codes </w:t>
            </w:r>
            <w:r w:rsidR="00A67202" w:rsidRPr="008625DC">
              <w:t>strengthen</w:t>
            </w:r>
            <w:r w:rsidRPr="008625DC">
              <w:t>s</w:t>
            </w:r>
            <w:r w:rsidR="007D7112" w:rsidRPr="008625DC">
              <w:t xml:space="preserve"> the </w:t>
            </w:r>
            <w:r w:rsidR="00A67202" w:rsidRPr="008625DC">
              <w:t xml:space="preserve">CCA </w:t>
            </w:r>
            <w:r w:rsidR="0054403D" w:rsidRPr="008625DC">
              <w:t xml:space="preserve">enforcement </w:t>
            </w:r>
            <w:r w:rsidR="00A67202" w:rsidRPr="008625DC">
              <w:t>options</w:t>
            </w:r>
            <w:r w:rsidR="0054403D" w:rsidRPr="008625DC">
              <w:t>.</w:t>
            </w:r>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r w:rsidR="0054403D" w:rsidRPr="008625DC">
              <w:t xml:space="preserve"> </w:t>
            </w:r>
          </w:p>
          <w:p w14:paraId="7C079FEC" w14:textId="6AEB0F41" w:rsidR="0054403D" w:rsidRPr="008625DC" w:rsidRDefault="004628D5" w:rsidP="00FA7D76">
            <w:pPr>
              <w:pStyle w:val="Keyfindingtext"/>
            </w:pPr>
            <w:bookmarkStart w:id="29883" w:name="_Toc394330148"/>
            <w:bookmarkStart w:id="29884" w:name="_Toc394333122"/>
            <w:bookmarkStart w:id="29885" w:name="_Toc394332700"/>
            <w:bookmarkStart w:id="29886" w:name="_Toc394333535"/>
            <w:bookmarkStart w:id="29887" w:name="_Toc394333948"/>
            <w:bookmarkStart w:id="29888" w:name="_Toc394334774"/>
            <w:bookmarkStart w:id="29889" w:name="_Toc395624716"/>
            <w:bookmarkStart w:id="29890" w:name="_Toc395790067"/>
            <w:bookmarkStart w:id="29891" w:name="_Toc395800825"/>
            <w:bookmarkStart w:id="29892" w:name="_Toc394414960"/>
            <w:bookmarkStart w:id="29893" w:name="_Toc394412265"/>
            <w:bookmarkStart w:id="29894" w:name="_Toc394420541"/>
            <w:bookmarkStart w:id="29895" w:name="_Toc394421015"/>
            <w:bookmarkStart w:id="29896" w:name="_Toc394423385"/>
            <w:bookmarkStart w:id="29897" w:name="_Toc394420319"/>
            <w:bookmarkStart w:id="29898" w:name="_Toc394422428"/>
            <w:bookmarkStart w:id="29899" w:name="_Toc394422899"/>
            <w:bookmarkStart w:id="29900" w:name="_Toc394424049"/>
            <w:bookmarkStart w:id="29901" w:name="_Toc394491884"/>
            <w:bookmarkStart w:id="29902" w:name="_Toc394495029"/>
            <w:bookmarkStart w:id="29903" w:name="_Toc394497841"/>
            <w:bookmarkStart w:id="29904" w:name="_Toc394500633"/>
            <w:bookmarkStart w:id="29905" w:name="_Toc394502037"/>
            <w:bookmarkStart w:id="29906" w:name="_Toc394502939"/>
            <w:bookmarkStart w:id="29907" w:name="_Toc394502483"/>
            <w:bookmarkStart w:id="29908" w:name="_Toc394505690"/>
            <w:bookmarkStart w:id="29909" w:name="_Toc394506029"/>
            <w:bookmarkStart w:id="29910" w:name="_Toc394506703"/>
            <w:bookmarkStart w:id="29911" w:name="_Toc394560776"/>
            <w:bookmarkStart w:id="29912" w:name="_Toc394561240"/>
            <w:bookmarkStart w:id="29913" w:name="_Toc394938444"/>
            <w:bookmarkStart w:id="29914" w:name="_Toc394937724"/>
            <w:bookmarkStart w:id="29915" w:name="_Toc394941355"/>
            <w:bookmarkStart w:id="29916" w:name="_Toc394941971"/>
            <w:bookmarkStart w:id="29917" w:name="_Toc394940193"/>
            <w:bookmarkStart w:id="29918" w:name="_Toc394939790"/>
            <w:bookmarkStart w:id="29919" w:name="_Toc394993687"/>
            <w:bookmarkStart w:id="29920" w:name="_Toc394995569"/>
            <w:bookmarkStart w:id="29921" w:name="_Toc394995883"/>
            <w:bookmarkStart w:id="29922" w:name="_Toc394998128"/>
            <w:bookmarkStart w:id="29923" w:name="_Toc394998642"/>
            <w:bookmarkStart w:id="29924" w:name="_Toc395002141"/>
            <w:bookmarkStart w:id="29925" w:name="_Toc395002910"/>
            <w:bookmarkStart w:id="29926" w:name="_Toc395003495"/>
            <w:bookmarkStart w:id="29927" w:name="_Toc395005736"/>
            <w:bookmarkStart w:id="29928" w:name="_Toc395009730"/>
            <w:bookmarkStart w:id="29929" w:name="_Toc395010472"/>
            <w:bookmarkStart w:id="29930" w:name="_Toc395012654"/>
            <w:bookmarkStart w:id="29931" w:name="_Toc395013116"/>
            <w:bookmarkStart w:id="29932" w:name="_Toc395012118"/>
            <w:bookmarkStart w:id="29933" w:name="_Toc395014457"/>
            <w:bookmarkStart w:id="29934" w:name="_Toc395084806"/>
            <w:bookmarkStart w:id="29935" w:name="_Toc395085107"/>
            <w:bookmarkStart w:id="29936" w:name="_Toc395090573"/>
            <w:bookmarkStart w:id="29937" w:name="_Toc395093155"/>
            <w:bookmarkStart w:id="29938" w:name="_Toc395098067"/>
            <w:bookmarkStart w:id="29939" w:name="_Toc395106251"/>
            <w:bookmarkStart w:id="29940" w:name="_Toc395109513"/>
            <w:bookmarkStart w:id="29941" w:name="_Toc395109841"/>
            <w:bookmarkStart w:id="29942" w:name="_Toc395112218"/>
            <w:bookmarkStart w:id="29943" w:name="_Toc395107360"/>
            <w:bookmarkStart w:id="29944" w:name="_Toc395108921"/>
            <w:bookmarkStart w:id="29945" w:name="_Toc395114161"/>
            <w:bookmarkStart w:id="29946" w:name="_Toc395116898"/>
            <w:bookmarkStart w:id="29947" w:name="_Toc395112835"/>
            <w:bookmarkStart w:id="29948" w:name="_Toc395115375"/>
            <w:bookmarkStart w:id="29949" w:name="_Toc395118527"/>
            <w:r w:rsidRPr="008625DC">
              <w:t>H</w:t>
            </w:r>
            <w:r w:rsidR="008226AD" w:rsidRPr="008625DC">
              <w:t>aving these options available</w:t>
            </w:r>
            <w:r w:rsidR="00A21847" w:rsidRPr="008625DC">
              <w:t xml:space="preserve"> for CCA codes is </w:t>
            </w:r>
            <w:r w:rsidR="0054403D" w:rsidRPr="008625DC">
              <w:t>a significant development</w:t>
            </w:r>
            <w:r w:rsidR="008226AD" w:rsidRPr="008625DC">
              <w:t>. A</w:t>
            </w:r>
            <w:r w:rsidR="008164CD" w:rsidRPr="008625DC">
              <w:t xml:space="preserve">ny </w:t>
            </w:r>
            <w:r w:rsidR="004C272E" w:rsidRPr="008625DC">
              <w:t xml:space="preserve">new </w:t>
            </w:r>
            <w:r w:rsidR="009C6430" w:rsidRPr="008625DC">
              <w:t xml:space="preserve">CCA </w:t>
            </w:r>
            <w:r w:rsidR="004C272E" w:rsidRPr="008625DC">
              <w:t xml:space="preserve">codes </w:t>
            </w:r>
            <w:r w:rsidR="00FA7D76" w:rsidRPr="008625DC">
              <w:t>c</w:t>
            </w:r>
            <w:r w:rsidR="001E6E67" w:rsidRPr="008625DC">
              <w:t xml:space="preserve">ould consider </w:t>
            </w:r>
            <w:r w:rsidR="008164CD" w:rsidRPr="008625DC">
              <w:t>whether th</w:t>
            </w:r>
            <w:r w:rsidR="00FA7D76" w:rsidRPr="008625DC">
              <w:t>ey</w:t>
            </w:r>
            <w:r w:rsidR="009C6430" w:rsidRPr="008625DC">
              <w:t xml:space="preserve"> </w:t>
            </w:r>
            <w:r w:rsidR="008164CD" w:rsidRPr="008625DC">
              <w:t xml:space="preserve">should apply </w:t>
            </w:r>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r w:rsidR="00FF25F3" w:rsidRPr="008625DC">
              <w:t>penalties for non</w:t>
            </w:r>
            <w:r w:rsidR="00C74E19" w:rsidRPr="008625DC">
              <w:noBreakHyphen/>
            </w:r>
            <w:r w:rsidR="00FF25F3" w:rsidRPr="008625DC">
              <w:t>compliance</w:t>
            </w:r>
            <w:r w:rsidR="008E3472" w:rsidRPr="008625DC">
              <w:t>.</w:t>
            </w:r>
          </w:p>
        </w:tc>
      </w:tr>
    </w:tbl>
    <w:p w14:paraId="2B24915C" w14:textId="1FB5CD67" w:rsidR="00A20284" w:rsidRPr="008625DC" w:rsidRDefault="00A20284" w:rsidP="00A76A5E">
      <w:bookmarkStart w:id="29950" w:name="_Toc392149011"/>
      <w:bookmarkStart w:id="29951" w:name="_Toc392159463"/>
      <w:bookmarkStart w:id="29952" w:name="_Toc392162229"/>
      <w:bookmarkStart w:id="29953" w:name="_Toc392163903"/>
      <w:bookmarkStart w:id="29954" w:name="_Toc392168938"/>
      <w:bookmarkStart w:id="29955" w:name="_Toc392169870"/>
      <w:bookmarkStart w:id="29956" w:name="_Toc392170564"/>
      <w:bookmarkStart w:id="29957" w:name="_Toc392170738"/>
      <w:bookmarkStart w:id="29958" w:name="_Toc392171153"/>
      <w:bookmarkStart w:id="29959" w:name="_Toc392172742"/>
      <w:bookmarkStart w:id="29960" w:name="_Toc392173105"/>
      <w:bookmarkStart w:id="29961" w:name="_Toc392173281"/>
      <w:bookmarkStart w:id="29962" w:name="_Toc392238272"/>
      <w:bookmarkStart w:id="29963" w:name="_Toc392247574"/>
      <w:bookmarkStart w:id="29964" w:name="_Toc392247849"/>
      <w:bookmarkStart w:id="29965" w:name="_Toc392248521"/>
      <w:bookmarkStart w:id="29966" w:name="_Toc392251054"/>
      <w:bookmarkStart w:id="29967" w:name="_Toc392253678"/>
      <w:bookmarkStart w:id="29968" w:name="_Toc392253855"/>
      <w:bookmarkStart w:id="29969" w:name="_Toc392255446"/>
      <w:bookmarkStart w:id="29970" w:name="_Toc392256241"/>
      <w:bookmarkStart w:id="29971" w:name="_Toc392257436"/>
      <w:bookmarkStart w:id="29972" w:name="_Toc392498453"/>
      <w:bookmarkStart w:id="29973" w:name="_Toc392500447"/>
      <w:bookmarkStart w:id="29974" w:name="_Toc392513261"/>
      <w:bookmarkStart w:id="29975" w:name="_Toc392514174"/>
      <w:bookmarkStart w:id="29976" w:name="_Toc392515361"/>
      <w:bookmarkStart w:id="29977" w:name="_Toc392516460"/>
      <w:bookmarkStart w:id="29978" w:name="_Toc392517289"/>
      <w:bookmarkStart w:id="29979" w:name="_Toc392517208"/>
      <w:bookmarkStart w:id="29980" w:name="_Toc392517556"/>
      <w:bookmarkStart w:id="29981" w:name="_Toc392517710"/>
      <w:bookmarkStart w:id="29982" w:name="_Toc392517790"/>
      <w:bookmarkStart w:id="29983" w:name="_Toc392684990"/>
      <w:bookmarkStart w:id="29984" w:name="_Toc392685080"/>
      <w:bookmarkStart w:id="29985" w:name="_Toc392687243"/>
      <w:bookmarkStart w:id="29986" w:name="_Toc392688411"/>
      <w:bookmarkStart w:id="29987" w:name="_Toc392689411"/>
      <w:bookmarkStart w:id="29988" w:name="_Toc392690195"/>
      <w:bookmarkStart w:id="29989" w:name="_Toc392843418"/>
      <w:bookmarkStart w:id="29990" w:name="_Toc392853052"/>
      <w:bookmarkStart w:id="29991" w:name="_Toc392859809"/>
      <w:bookmarkStart w:id="29992" w:name="_Toc392860697"/>
      <w:bookmarkStart w:id="29993" w:name="_Toc392861467"/>
      <w:bookmarkStart w:id="29994" w:name="_Toc393203424"/>
      <w:bookmarkStart w:id="29995" w:name="_Toc393207204"/>
      <w:bookmarkStart w:id="29996" w:name="_Toc393207295"/>
      <w:bookmarkStart w:id="29997" w:name="_Toc393208068"/>
      <w:bookmarkStart w:id="29998" w:name="_Toc393208166"/>
      <w:bookmarkStart w:id="29999" w:name="_Toc393208255"/>
      <w:bookmarkStart w:id="30000" w:name="_Toc393208344"/>
      <w:bookmarkStart w:id="30001" w:name="_Toc393209668"/>
      <w:bookmarkStart w:id="30002" w:name="_Toc393276031"/>
      <w:bookmarkStart w:id="30003" w:name="_Toc393278933"/>
      <w:bookmarkStart w:id="30004" w:name="_Toc393289818"/>
      <w:bookmarkStart w:id="30005" w:name="_Toc393289913"/>
      <w:bookmarkStart w:id="30006" w:name="_Toc393292298"/>
      <w:bookmarkStart w:id="30007" w:name="_Toc393293920"/>
      <w:bookmarkStart w:id="30008" w:name="_Toc393294939"/>
      <w:bookmarkStart w:id="30009" w:name="_Toc393295244"/>
      <w:bookmarkStart w:id="30010" w:name="_Toc393296235"/>
      <w:bookmarkStart w:id="30011" w:name="_Toc393363173"/>
      <w:bookmarkStart w:id="30012" w:name="_Toc393372230"/>
      <w:bookmarkStart w:id="30013" w:name="_Toc393373324"/>
      <w:bookmarkStart w:id="30014" w:name="_Toc393374432"/>
      <w:bookmarkStart w:id="30015" w:name="_Toc393379202"/>
      <w:bookmarkStart w:id="30016" w:name="_Toc393379814"/>
      <w:bookmarkStart w:id="30017" w:name="_Toc393379910"/>
      <w:bookmarkStart w:id="30018" w:name="_Toc393879132"/>
      <w:bookmarkStart w:id="30019" w:name="_Toc393879363"/>
      <w:bookmarkStart w:id="30020" w:name="_Toc393903324"/>
      <w:bookmarkStart w:id="30021" w:name="_Toc393903591"/>
      <w:bookmarkStart w:id="30022" w:name="_Toc393902534"/>
      <w:bookmarkStart w:id="30023" w:name="_Toc393905240"/>
      <w:bookmarkStart w:id="30024" w:name="_Toc393905509"/>
      <w:bookmarkStart w:id="30025" w:name="_Toc393904097"/>
      <w:bookmarkStart w:id="30026" w:name="_Toc393904365"/>
      <w:bookmarkStart w:id="30027" w:name="_Toc393903982"/>
      <w:bookmarkStart w:id="30028" w:name="_Toc393903688"/>
      <w:bookmarkStart w:id="30029" w:name="_Toc393905819"/>
      <w:bookmarkStart w:id="30030" w:name="_Toc393905930"/>
      <w:bookmarkStart w:id="30031" w:name="_Toc393906200"/>
      <w:bookmarkStart w:id="30032" w:name="_Toc393907907"/>
      <w:bookmarkStart w:id="30033" w:name="_Toc393908178"/>
      <w:bookmarkStart w:id="30034" w:name="_Toc393906347"/>
      <w:bookmarkStart w:id="30035" w:name="_Toc393906619"/>
      <w:bookmarkStart w:id="30036" w:name="_Toc393967485"/>
      <w:bookmarkStart w:id="30037" w:name="_Toc393968146"/>
      <w:bookmarkStart w:id="30038" w:name="_Toc393973995"/>
      <w:bookmarkStart w:id="30039" w:name="_Toc393974277"/>
      <w:bookmarkStart w:id="30040" w:name="_Toc393977926"/>
      <w:bookmarkStart w:id="30041" w:name="_Toc393985022"/>
      <w:bookmarkStart w:id="30042" w:name="_Toc393985310"/>
      <w:bookmarkStart w:id="30043" w:name="_Toc393985525"/>
      <w:bookmarkStart w:id="30044" w:name="_Toc393985814"/>
      <w:bookmarkStart w:id="30045" w:name="_Toc393985927"/>
      <w:bookmarkStart w:id="30046" w:name="_Toc393986216"/>
      <w:bookmarkStart w:id="30047" w:name="_Toc393986330"/>
      <w:bookmarkStart w:id="30048" w:name="_Toc393987937"/>
      <w:bookmarkStart w:id="30049" w:name="_Toc393988226"/>
      <w:bookmarkStart w:id="30050" w:name="_Toc393988628"/>
      <w:bookmarkStart w:id="30051" w:name="_Toc393986620"/>
      <w:bookmarkStart w:id="30052" w:name="_Toc393989350"/>
      <w:bookmarkStart w:id="30053" w:name="_Toc393989640"/>
      <w:bookmarkStart w:id="30054" w:name="_Toc393987841"/>
      <w:bookmarkStart w:id="30055" w:name="_Toc393988738"/>
      <w:bookmarkStart w:id="30056" w:name="_Toc393989028"/>
      <w:bookmarkStart w:id="30057" w:name="_Toc393990742"/>
      <w:bookmarkStart w:id="30058" w:name="_Toc393991032"/>
      <w:bookmarkStart w:id="30059" w:name="_Toc393991131"/>
      <w:bookmarkStart w:id="30060" w:name="_Toc393991724"/>
      <w:bookmarkStart w:id="30061" w:name="_Toc393992016"/>
      <w:bookmarkStart w:id="30062" w:name="_Toc394047389"/>
      <w:bookmarkStart w:id="30063" w:name="_Toc394047680"/>
      <w:bookmarkStart w:id="30064" w:name="_Toc394047791"/>
      <w:bookmarkStart w:id="30065" w:name="_Toc394047354"/>
      <w:bookmarkStart w:id="30066" w:name="_Toc394048347"/>
      <w:bookmarkStart w:id="30067" w:name="_Toc394049665"/>
      <w:bookmarkStart w:id="30068" w:name="_Toc394049959"/>
      <w:bookmarkStart w:id="30069" w:name="_Toc394051065"/>
      <w:bookmarkStart w:id="30070" w:name="_Toc394051359"/>
      <w:bookmarkStart w:id="30071" w:name="_Toc394062054"/>
      <w:bookmarkStart w:id="30072" w:name="_Toc394062506"/>
      <w:bookmarkStart w:id="30073" w:name="_Toc394068929"/>
      <w:bookmarkStart w:id="30074" w:name="_Toc394069221"/>
      <w:bookmarkStart w:id="30075" w:name="_Toc394070751"/>
      <w:bookmarkStart w:id="30076" w:name="_Toc394071139"/>
      <w:bookmarkStart w:id="30077" w:name="_Toc394312253"/>
      <w:bookmarkStart w:id="30078" w:name="_Toc394330408"/>
      <w:bookmarkStart w:id="30079" w:name="_Toc394331339"/>
      <w:bookmarkStart w:id="30080" w:name="_Toc394330149"/>
      <w:bookmarkStart w:id="30081" w:name="_Toc394333123"/>
      <w:bookmarkStart w:id="30082" w:name="_Toc394333415"/>
      <w:bookmarkStart w:id="30083" w:name="_Toc394332701"/>
      <w:bookmarkStart w:id="30084" w:name="_Toc394333536"/>
      <w:bookmarkStart w:id="30085" w:name="_Toc394333828"/>
      <w:bookmarkStart w:id="30086" w:name="_Toc394333949"/>
      <w:bookmarkStart w:id="30087" w:name="_Toc394334241"/>
      <w:bookmarkStart w:id="30088" w:name="_Toc394334775"/>
      <w:bookmarkStart w:id="30089" w:name="_Toc394335067"/>
      <w:bookmarkStart w:id="30090" w:name="_Toc394414961"/>
      <w:bookmarkStart w:id="30091" w:name="_Toc394415271"/>
      <w:bookmarkStart w:id="30092" w:name="_Toc394412266"/>
      <w:bookmarkStart w:id="30093" w:name="_Toc394412580"/>
      <w:bookmarkStart w:id="30094" w:name="_Toc394420542"/>
      <w:bookmarkStart w:id="30095" w:name="_Toc394420873"/>
      <w:bookmarkStart w:id="30096" w:name="_Toc394421016"/>
      <w:bookmarkStart w:id="30097" w:name="_Toc394423386"/>
      <w:bookmarkStart w:id="30098" w:name="_Toc394423714"/>
      <w:bookmarkStart w:id="30099" w:name="_Toc394420320"/>
      <w:bookmarkStart w:id="30100" w:name="_Toc394422429"/>
      <w:bookmarkStart w:id="30101" w:name="_Toc394422758"/>
      <w:bookmarkStart w:id="30102" w:name="_Toc394422900"/>
      <w:bookmarkStart w:id="30103" w:name="_Toc394423229"/>
      <w:bookmarkStart w:id="30104" w:name="_Toc394424050"/>
      <w:bookmarkStart w:id="30105" w:name="_Toc394424377"/>
      <w:bookmarkStart w:id="30106" w:name="_Toc394491885"/>
      <w:bookmarkStart w:id="30107" w:name="_Toc394492208"/>
      <w:bookmarkStart w:id="30108" w:name="_Toc394495030"/>
      <w:bookmarkStart w:id="30109" w:name="_Toc394495352"/>
      <w:bookmarkStart w:id="30110" w:name="_Toc394497842"/>
      <w:bookmarkStart w:id="30111" w:name="_Toc394498167"/>
      <w:bookmarkStart w:id="30112" w:name="_Toc394500634"/>
      <w:bookmarkStart w:id="30113" w:name="_Toc394500957"/>
      <w:bookmarkStart w:id="30114" w:name="_Toc394502038"/>
      <w:bookmarkStart w:id="30115" w:name="_Toc394502354"/>
      <w:bookmarkStart w:id="30116" w:name="_Toc394502940"/>
      <w:bookmarkStart w:id="30117" w:name="_Toc394503713"/>
      <w:bookmarkStart w:id="30118" w:name="_Toc394502484"/>
      <w:bookmarkStart w:id="30119" w:name="_Toc394502802"/>
      <w:bookmarkStart w:id="30120" w:name="_Toc394505691"/>
      <w:bookmarkStart w:id="30121" w:name="_Toc394506130"/>
      <w:bookmarkStart w:id="30122" w:name="_Toc394506030"/>
      <w:bookmarkStart w:id="30123" w:name="_Toc394506468"/>
      <w:bookmarkStart w:id="30124" w:name="_Toc394506704"/>
      <w:bookmarkStart w:id="30125" w:name="_Toc394507022"/>
      <w:bookmarkStart w:id="30126" w:name="_Toc394560777"/>
      <w:bookmarkStart w:id="30127" w:name="_Toc394561097"/>
      <w:bookmarkStart w:id="30128" w:name="_Toc394561241"/>
      <w:bookmarkStart w:id="30129" w:name="_Toc394561930"/>
      <w:r w:rsidRPr="008625DC">
        <w:br w:type="page"/>
      </w:r>
    </w:p>
    <w:p w14:paraId="5243068A" w14:textId="7BA3A732" w:rsidR="00277470" w:rsidRPr="008625DC" w:rsidRDefault="00FE060F" w:rsidP="00864E0A">
      <w:pPr>
        <w:pStyle w:val="Heading1"/>
        <w:ind w:left="851" w:hanging="851"/>
      </w:pPr>
      <w:bookmarkStart w:id="30130" w:name="_Toc394582989"/>
      <w:bookmarkStart w:id="30131" w:name="_Toc394585660"/>
      <w:bookmarkStart w:id="30132" w:name="_Toc394586126"/>
      <w:bookmarkStart w:id="30133" w:name="_Toc394588058"/>
      <w:bookmarkStart w:id="30134" w:name="_Toc394588893"/>
      <w:bookmarkStart w:id="30135" w:name="_Toc394589018"/>
      <w:bookmarkStart w:id="30136" w:name="_Toc394590434"/>
      <w:bookmarkStart w:id="30137" w:name="_Toc394590627"/>
      <w:bookmarkStart w:id="30138" w:name="_Toc394654528"/>
      <w:bookmarkStart w:id="30139" w:name="_Toc394654686"/>
      <w:bookmarkStart w:id="30140" w:name="_Toc394656228"/>
      <w:bookmarkStart w:id="30141" w:name="_Toc394656385"/>
      <w:bookmarkStart w:id="30142" w:name="_Toc394659365"/>
      <w:bookmarkStart w:id="30143" w:name="_Toc394659523"/>
      <w:bookmarkStart w:id="30144" w:name="_Toc394663377"/>
      <w:bookmarkStart w:id="30145" w:name="_Toc394663533"/>
      <w:bookmarkStart w:id="30146" w:name="_Toc394667171"/>
      <w:bookmarkStart w:id="30147" w:name="_Toc394667327"/>
      <w:bookmarkStart w:id="30148" w:name="_Toc394671650"/>
      <w:bookmarkStart w:id="30149" w:name="_Toc394671810"/>
      <w:bookmarkStart w:id="30150" w:name="_Toc394674652"/>
      <w:bookmarkStart w:id="30151" w:name="_Toc394674815"/>
      <w:bookmarkStart w:id="30152" w:name="_Toc394674929"/>
      <w:bookmarkStart w:id="30153" w:name="_Toc394675095"/>
      <w:bookmarkStart w:id="30154" w:name="_Toc394676040"/>
      <w:bookmarkStart w:id="30155" w:name="_Toc394676202"/>
      <w:bookmarkStart w:id="30156" w:name="_Toc394675728"/>
      <w:bookmarkStart w:id="30157" w:name="_Toc394675891"/>
      <w:bookmarkStart w:id="30158" w:name="_Toc394918295"/>
      <w:bookmarkStart w:id="30159" w:name="_Toc394918809"/>
      <w:bookmarkStart w:id="30160" w:name="_Toc394930782"/>
      <w:bookmarkStart w:id="30161" w:name="_Toc394933693"/>
      <w:bookmarkStart w:id="30162" w:name="_Toc394938140"/>
      <w:bookmarkStart w:id="30163" w:name="_Toc394938445"/>
      <w:bookmarkStart w:id="30164" w:name="_Toc394938642"/>
      <w:bookmarkStart w:id="30165" w:name="_Toc394937726"/>
      <w:bookmarkStart w:id="30166" w:name="_Toc394937924"/>
      <w:bookmarkStart w:id="30167" w:name="_Toc394941052"/>
      <w:bookmarkStart w:id="30168" w:name="_Toc394941357"/>
      <w:bookmarkStart w:id="30169" w:name="_Toc394941553"/>
      <w:bookmarkStart w:id="30170" w:name="_Toc394941668"/>
      <w:bookmarkStart w:id="30171" w:name="_Toc394941973"/>
      <w:bookmarkStart w:id="30172" w:name="_Toc394942169"/>
      <w:bookmarkStart w:id="30173" w:name="_Toc394939889"/>
      <w:bookmarkStart w:id="30174" w:name="_Toc394940195"/>
      <w:bookmarkStart w:id="30175" w:name="_Toc394940391"/>
      <w:bookmarkStart w:id="30176" w:name="_Toc394939500"/>
      <w:bookmarkStart w:id="30177" w:name="_Toc394939792"/>
      <w:bookmarkStart w:id="30178" w:name="_Toc394940604"/>
      <w:bookmarkStart w:id="30179" w:name="_Toc394993689"/>
      <w:bookmarkStart w:id="30180" w:name="_Toc394995571"/>
      <w:bookmarkStart w:id="30181" w:name="_Toc394995885"/>
      <w:bookmarkStart w:id="30182" w:name="_Toc394996084"/>
      <w:bookmarkStart w:id="30183" w:name="_Toc394997810"/>
      <w:bookmarkStart w:id="30184" w:name="_Toc394998130"/>
      <w:bookmarkStart w:id="30185" w:name="_Toc394998325"/>
      <w:bookmarkStart w:id="30186" w:name="_Toc394998644"/>
      <w:bookmarkStart w:id="30187" w:name="_Toc395001820"/>
      <w:bookmarkStart w:id="30188" w:name="_Toc395002143"/>
      <w:bookmarkStart w:id="30189" w:name="_Toc395001623"/>
      <w:bookmarkStart w:id="30190" w:name="_Toc395002912"/>
      <w:bookmarkStart w:id="30191" w:name="_Toc395003497"/>
      <w:bookmarkStart w:id="30192" w:name="_Toc395005072"/>
      <w:bookmarkStart w:id="30193" w:name="_Toc395005198"/>
      <w:bookmarkStart w:id="30194" w:name="_Toc395005414"/>
      <w:bookmarkStart w:id="30195" w:name="_Toc395005738"/>
      <w:bookmarkStart w:id="30196" w:name="_Toc395008991"/>
      <w:bookmarkStart w:id="30197" w:name="_Toc395009732"/>
      <w:bookmarkStart w:id="30198" w:name="_Toc395010177"/>
      <w:bookmarkStart w:id="30199" w:name="_Toc395010474"/>
      <w:bookmarkStart w:id="30200" w:name="_Toc395010019"/>
      <w:bookmarkStart w:id="30201" w:name="_Toc395011545"/>
      <w:bookmarkStart w:id="30202" w:name="_Toc395012363"/>
      <w:bookmarkStart w:id="30203" w:name="_Toc395012656"/>
      <w:bookmarkStart w:id="30204" w:name="_Toc395012953"/>
      <w:bookmarkStart w:id="30205" w:name="_Toc395010768"/>
      <w:bookmarkStart w:id="30206" w:name="_Toc395012241"/>
      <w:bookmarkStart w:id="30207" w:name="_Toc395013118"/>
      <w:bookmarkStart w:id="30208" w:name="_Toc395012120"/>
      <w:bookmarkStart w:id="30209" w:name="_Toc395014459"/>
      <w:bookmarkStart w:id="30210" w:name="_Toc395014642"/>
      <w:bookmarkStart w:id="30211" w:name="_Toc395013233"/>
      <w:bookmarkStart w:id="30212" w:name="_Toc395084807"/>
      <w:bookmarkStart w:id="30213" w:name="_Toc395085108"/>
      <w:bookmarkStart w:id="30214" w:name="_Toc395090272"/>
      <w:bookmarkStart w:id="30215" w:name="_Toc395090574"/>
      <w:bookmarkStart w:id="30216" w:name="_Toc395090751"/>
      <w:bookmarkStart w:id="30217" w:name="_Toc395092639"/>
      <w:bookmarkStart w:id="30218" w:name="_Toc395092851"/>
      <w:bookmarkStart w:id="30219" w:name="_Toc395093156"/>
      <w:bookmarkStart w:id="30220" w:name="_Toc395093333"/>
      <w:bookmarkStart w:id="30221" w:name="_Toc395097762"/>
      <w:bookmarkStart w:id="30222" w:name="_Toc395098068"/>
      <w:bookmarkStart w:id="30223" w:name="_Toc395098243"/>
      <w:bookmarkStart w:id="30224" w:name="_Toc395105428"/>
      <w:bookmarkStart w:id="30225" w:name="_Toc395106252"/>
      <w:bookmarkStart w:id="30226" w:name="_Toc395107031"/>
      <w:bookmarkStart w:id="30227" w:name="_Toc395109903"/>
      <w:bookmarkStart w:id="30228" w:name="_Toc395109514"/>
      <w:bookmarkStart w:id="30229" w:name="_Toc395109689"/>
      <w:bookmarkStart w:id="30230" w:name="_Toc395111906"/>
      <w:bookmarkStart w:id="30231" w:name="_Toc395112219"/>
      <w:bookmarkStart w:id="30232" w:name="_Toc395112394"/>
      <w:bookmarkStart w:id="30233" w:name="_Toc395106826"/>
      <w:bookmarkStart w:id="30234" w:name="_Toc395107361"/>
      <w:bookmarkStart w:id="30235" w:name="_Toc395107539"/>
      <w:bookmarkStart w:id="30236" w:name="_Toc395110038"/>
      <w:bookmarkStart w:id="30237" w:name="_Toc395108586"/>
      <w:bookmarkStart w:id="30238" w:name="_Toc395108922"/>
      <w:bookmarkStart w:id="30239" w:name="_Toc395113826"/>
      <w:bookmarkStart w:id="30240" w:name="_Toc395114162"/>
      <w:bookmarkStart w:id="30241" w:name="_Toc395114346"/>
      <w:bookmarkStart w:id="30242" w:name="_Toc395116562"/>
      <w:bookmarkStart w:id="30243" w:name="_Toc395116899"/>
      <w:bookmarkStart w:id="30244" w:name="_Toc395117084"/>
      <w:bookmarkStart w:id="30245" w:name="_Toc395112499"/>
      <w:bookmarkStart w:id="30246" w:name="_Toc395112836"/>
      <w:bookmarkStart w:id="30247" w:name="_Toc395113202"/>
      <w:bookmarkStart w:id="30248" w:name="_Toc395115038"/>
      <w:bookmarkStart w:id="30249" w:name="_Toc395115376"/>
      <w:bookmarkStart w:id="30250" w:name="_Toc395115561"/>
      <w:bookmarkStart w:id="30251" w:name="_Toc395118193"/>
      <w:bookmarkStart w:id="30252" w:name="_Toc395118528"/>
      <w:bookmarkStart w:id="30253" w:name="_Toc395118711"/>
      <w:bookmarkStart w:id="30254" w:name="_Toc395178403"/>
      <w:bookmarkStart w:id="30255" w:name="_Toc395178735"/>
      <w:bookmarkStart w:id="30256" w:name="_Toc395624717"/>
      <w:bookmarkStart w:id="30257" w:name="_Toc395624892"/>
      <w:bookmarkStart w:id="30258" w:name="_Toc395789746"/>
      <w:bookmarkStart w:id="30259" w:name="_Toc395790068"/>
      <w:bookmarkStart w:id="30260" w:name="_Toc395800826"/>
      <w:bookmarkStart w:id="30261" w:name="_Toc395802875"/>
      <w:bookmarkStart w:id="30262" w:name="_Toc395867642"/>
      <w:bookmarkStart w:id="30263" w:name="_Toc395868555"/>
      <w:bookmarkStart w:id="30264" w:name="_Toc395868774"/>
      <w:bookmarkStart w:id="30265" w:name="_Toc395878936"/>
      <w:bookmarkStart w:id="30266" w:name="_Toc395879153"/>
      <w:bookmarkStart w:id="30267" w:name="_Toc395882060"/>
      <w:bookmarkStart w:id="30268" w:name="_Toc395882277"/>
      <w:bookmarkStart w:id="30269" w:name="_Toc395882391"/>
      <w:bookmarkStart w:id="30270" w:name="_Toc395882608"/>
      <w:bookmarkStart w:id="30271" w:name="_Toc395880555"/>
      <w:bookmarkStart w:id="30272" w:name="_Toc395880886"/>
      <w:bookmarkStart w:id="30273" w:name="_Toc395881444"/>
      <w:bookmarkStart w:id="30274" w:name="_Toc395881661"/>
      <w:bookmarkStart w:id="30275" w:name="_Toc395881377"/>
      <w:bookmarkStart w:id="30276" w:name="_Toc395883829"/>
      <w:bookmarkStart w:id="30277" w:name="_Toc395884046"/>
      <w:bookmarkStart w:id="30278" w:name="_Toc395880784"/>
      <w:bookmarkStart w:id="30279" w:name="_Toc395884491"/>
      <w:bookmarkStart w:id="30280" w:name="_Toc395884708"/>
      <w:bookmarkStart w:id="30281" w:name="_Toc395883200"/>
      <w:bookmarkStart w:id="30282" w:name="_Toc395883417"/>
      <w:bookmarkStart w:id="30283" w:name="_Toc395883530"/>
      <w:bookmarkStart w:id="30284" w:name="_Toc395883747"/>
      <w:bookmarkStart w:id="30285" w:name="_Toc395884832"/>
      <w:bookmarkStart w:id="30286" w:name="_Toc396123857"/>
      <w:bookmarkStart w:id="30287" w:name="_Toc396130760"/>
      <w:bookmarkStart w:id="30288" w:name="_Toc396136338"/>
      <w:bookmarkStart w:id="30289" w:name="_Toc396138792"/>
      <w:bookmarkStart w:id="30290" w:name="_Toc396144053"/>
      <w:bookmarkStart w:id="30291" w:name="_Toc396145562"/>
      <w:bookmarkStart w:id="30292" w:name="_Toc396145706"/>
      <w:bookmarkStart w:id="30293" w:name="_Toc396145988"/>
      <w:bookmarkStart w:id="30294" w:name="_Toc396147528"/>
      <w:bookmarkStart w:id="30295" w:name="_Toc396147814"/>
      <w:bookmarkStart w:id="30296" w:name="_Toc396149070"/>
      <w:bookmarkStart w:id="30297" w:name="_Toc396148784"/>
      <w:bookmarkStart w:id="30298" w:name="_Toc396149565"/>
      <w:bookmarkStart w:id="30299" w:name="_Toc396149210"/>
      <w:bookmarkStart w:id="30300" w:name="_Toc396149496"/>
      <w:bookmarkStart w:id="30301" w:name="_Toc396149918"/>
      <w:bookmarkStart w:id="30302" w:name="_Toc396149668"/>
      <w:bookmarkStart w:id="30303" w:name="_Toc396150509"/>
      <w:bookmarkStart w:id="30304" w:name="_Toc396151398"/>
      <w:bookmarkStart w:id="30305" w:name="_Toc396151692"/>
      <w:bookmarkStart w:id="30306" w:name="_Toc396201619"/>
      <w:bookmarkStart w:id="30307" w:name="_Toc396202409"/>
      <w:bookmarkStart w:id="30308" w:name="_Toc396202704"/>
      <w:bookmarkStart w:id="30309" w:name="_Toc396203321"/>
      <w:bookmarkStart w:id="30310" w:name="_Toc396206617"/>
      <w:bookmarkStart w:id="30311" w:name="_Toc396206911"/>
      <w:bookmarkStart w:id="30312" w:name="_Toc396209445"/>
      <w:bookmarkStart w:id="30313" w:name="_Toc396209739"/>
      <w:bookmarkStart w:id="30314" w:name="_Toc396211869"/>
      <w:bookmarkStart w:id="30315" w:name="_Toc396212163"/>
      <w:bookmarkStart w:id="30316" w:name="_Toc396213213"/>
      <w:bookmarkStart w:id="30317" w:name="_Toc396213505"/>
      <w:bookmarkStart w:id="30318" w:name="_Toc396214491"/>
      <w:bookmarkStart w:id="30319" w:name="_Toc396214781"/>
      <w:bookmarkStart w:id="30320" w:name="_Toc396220341"/>
      <w:bookmarkStart w:id="30321" w:name="_Toc396226603"/>
      <w:bookmarkStart w:id="30322" w:name="_Toc396226892"/>
      <w:bookmarkStart w:id="30323" w:name="_Toc396228803"/>
      <w:bookmarkStart w:id="30324" w:name="_Toc396229098"/>
      <w:bookmarkStart w:id="30325" w:name="_Toc396230445"/>
      <w:bookmarkStart w:id="30326" w:name="_Toc396230740"/>
      <w:bookmarkStart w:id="30327" w:name="_Toc396231882"/>
      <w:bookmarkStart w:id="30328" w:name="_Toc396233225"/>
      <w:bookmarkStart w:id="30329" w:name="_Toc396233522"/>
      <w:bookmarkStart w:id="30330" w:name="_Toc396234045"/>
      <w:bookmarkStart w:id="30331" w:name="_Toc396234342"/>
      <w:bookmarkStart w:id="30332" w:name="_Toc396234455"/>
      <w:bookmarkStart w:id="30333" w:name="_Toc396236189"/>
      <w:bookmarkStart w:id="30334" w:name="_Toc396235967"/>
      <w:bookmarkStart w:id="30335" w:name="_Toc396236577"/>
      <w:bookmarkStart w:id="30336" w:name="_Toc396237096"/>
      <w:bookmarkStart w:id="30337" w:name="_Toc396397439"/>
      <w:bookmarkStart w:id="30338" w:name="_Toc396304620"/>
      <w:bookmarkStart w:id="30339" w:name="_Toc396586155"/>
      <w:bookmarkStart w:id="30340" w:name="_Toc396815176"/>
      <w:bookmarkStart w:id="30341" w:name="_Toc396821125"/>
      <w:bookmarkStart w:id="30342" w:name="_Toc396821733"/>
      <w:bookmarkStart w:id="30343" w:name="_Toc396827583"/>
      <w:bookmarkStart w:id="30344" w:name="_Toc396828554"/>
      <w:bookmarkStart w:id="30345" w:name="_Toc396828664"/>
      <w:bookmarkStart w:id="30346" w:name="_Toc396838053"/>
      <w:bookmarkStart w:id="30347" w:name="_Toc396838451"/>
      <w:bookmarkStart w:id="30348" w:name="_Toc396904774"/>
      <w:bookmarkStart w:id="30349" w:name="_Toc396907608"/>
      <w:bookmarkStart w:id="30350" w:name="_Toc396912527"/>
      <w:bookmarkStart w:id="30351" w:name="_Toc396914507"/>
      <w:bookmarkStart w:id="30352" w:name="_Toc396915391"/>
      <w:bookmarkStart w:id="30353" w:name="_Toc396915785"/>
      <w:bookmarkStart w:id="30354" w:name="_Toc396921096"/>
      <w:bookmarkStart w:id="30355" w:name="_Toc396924436"/>
      <w:bookmarkStart w:id="30356" w:name="_Toc396925130"/>
      <w:bookmarkStart w:id="30357" w:name="_Toc396992250"/>
      <w:bookmarkStart w:id="30358" w:name="_Toc396992829"/>
      <w:bookmarkStart w:id="30359" w:name="_Toc396994493"/>
      <w:bookmarkStart w:id="30360" w:name="_Toc397002263"/>
      <w:bookmarkStart w:id="30361" w:name="_Toc397003182"/>
      <w:bookmarkStart w:id="30362" w:name="_Toc397008740"/>
      <w:bookmarkStart w:id="30363" w:name="_Toc397008958"/>
      <w:bookmarkStart w:id="30364" w:name="_Toc397011630"/>
      <w:bookmarkStart w:id="30365" w:name="_Toc397012692"/>
      <w:bookmarkStart w:id="30366" w:name="_Toc397015034"/>
      <w:bookmarkStart w:id="30367" w:name="_Toc397015521"/>
      <w:bookmarkStart w:id="30368" w:name="_Toc397015781"/>
      <w:bookmarkStart w:id="30369" w:name="Ch17"/>
      <w:bookmarkStart w:id="30370" w:name="_Toc397439452"/>
      <w:bookmarkStart w:id="30371" w:name="_Toc397439622"/>
      <w:bookmarkStart w:id="30372" w:name="_Toc397439878"/>
      <w:bookmarkStart w:id="30373" w:name="_Toc397440180"/>
      <w:bookmarkStart w:id="30374" w:name="_Toc397441809"/>
      <w:bookmarkStart w:id="30375" w:name="_Toc397517511"/>
      <w:bookmarkStart w:id="30376" w:name="_Toc397522776"/>
      <w:bookmarkStart w:id="30377" w:name="_Toc397526194"/>
      <w:bookmarkStart w:id="30378" w:name="_Toc397528509"/>
      <w:bookmarkStart w:id="30379" w:name="_Toc397528984"/>
      <w:bookmarkStart w:id="30380" w:name="_Toc397601984"/>
      <w:bookmarkStart w:id="30381" w:name="_Toc397602719"/>
      <w:bookmarkStart w:id="30382" w:name="_Toc397605852"/>
      <w:bookmarkStart w:id="30383" w:name="_Toc397614549"/>
      <w:bookmarkStart w:id="30384" w:name="_Toc397614992"/>
      <w:bookmarkStart w:id="30385" w:name="_Toc397616435"/>
      <w:bookmarkStart w:id="30386" w:name="_Toc397616829"/>
      <w:bookmarkStart w:id="30387" w:name="_Toc397688127"/>
      <w:bookmarkStart w:id="30388" w:name="_Toc397689343"/>
      <w:bookmarkStart w:id="30389" w:name="_Toc397694623"/>
      <w:bookmarkStart w:id="30390" w:name="_Toc397696464"/>
      <w:bookmarkStart w:id="30391" w:name="_Toc397697198"/>
      <w:bookmarkStart w:id="30392" w:name="_Toc397698485"/>
      <w:bookmarkStart w:id="30393" w:name="_Toc397699851"/>
      <w:bookmarkStart w:id="30394" w:name="_Toc397700305"/>
      <w:bookmarkStart w:id="30395" w:name="_Toc397936697"/>
      <w:bookmarkStart w:id="30396" w:name="_Toc397936817"/>
      <w:bookmarkStart w:id="30397" w:name="_Toc397945973"/>
      <w:bookmarkStart w:id="30398" w:name="_Toc397946999"/>
      <w:bookmarkStart w:id="30399" w:name="_Toc397948118"/>
      <w:bookmarkStart w:id="30400" w:name="_Toc397958524"/>
      <w:bookmarkStart w:id="30401" w:name="_Toc397958766"/>
      <w:bookmarkStart w:id="30402" w:name="_Toc397959181"/>
      <w:bookmarkStart w:id="30403" w:name="_Toc397962248"/>
      <w:bookmarkStart w:id="30404" w:name="_Toc397963034"/>
      <w:bookmarkStart w:id="30405" w:name="_Toc397963400"/>
      <w:bookmarkStart w:id="30406" w:name="_Toc397965477"/>
      <w:bookmarkStart w:id="30407" w:name="_Toc398197415"/>
      <w:bookmarkStart w:id="30408" w:name="_Toc398199918"/>
      <w:bookmarkStart w:id="30409" w:name="_Toc398201632"/>
      <w:bookmarkStart w:id="30410" w:name="_Toc398207237"/>
      <w:bookmarkStart w:id="30411" w:name="_Toc398209941"/>
      <w:bookmarkStart w:id="30412" w:name="_Toc398210510"/>
      <w:bookmarkStart w:id="30413" w:name="_Toc398211024"/>
      <w:bookmarkStart w:id="30414" w:name="_Toc398219835"/>
      <w:bookmarkStart w:id="30415" w:name="_Toc398220210"/>
      <w:bookmarkStart w:id="30416" w:name="_Toc398220597"/>
      <w:bookmarkStart w:id="30417" w:name="_Toc398221675"/>
      <w:bookmarkStart w:id="30418" w:name="_Toc398222361"/>
      <w:bookmarkStart w:id="30419" w:name="_Toc398222673"/>
      <w:bookmarkStart w:id="30420" w:name="_Toc398223090"/>
      <w:bookmarkStart w:id="30421" w:name="_Toc398223469"/>
      <w:bookmarkStart w:id="30422" w:name="_Toc398223596"/>
      <w:bookmarkStart w:id="30423" w:name="_Toc398224404"/>
      <w:bookmarkStart w:id="30424" w:name="_Toc398225741"/>
      <w:bookmarkStart w:id="30425" w:name="_Toc398225866"/>
      <w:bookmarkStart w:id="30426" w:name="_Toc398281353"/>
      <w:bookmarkStart w:id="30427" w:name="_Toc398282212"/>
      <w:bookmarkStart w:id="30428" w:name="_Toc398284882"/>
      <w:bookmarkStart w:id="30429" w:name="_Toc398287351"/>
      <w:bookmarkStart w:id="30430" w:name="_Toc398289234"/>
      <w:bookmarkStart w:id="30431" w:name="_Toc398297231"/>
      <w:bookmarkStart w:id="30432" w:name="_Toc398298705"/>
      <w:bookmarkStart w:id="30433" w:name="_Toc398300406"/>
      <w:bookmarkStart w:id="30434" w:name="_Toc398301303"/>
      <w:bookmarkStart w:id="30435" w:name="_Toc398302488"/>
      <w:bookmarkStart w:id="30436" w:name="_Toc398302651"/>
      <w:bookmarkStart w:id="30437" w:name="_Toc398549165"/>
      <w:bookmarkStart w:id="30438" w:name="_Toc398549415"/>
      <w:bookmarkStart w:id="30439" w:name="_Toc398555834"/>
      <w:bookmarkStart w:id="30440" w:name="_Toc398559038"/>
      <w:bookmarkStart w:id="30441" w:name="_Toc398563524"/>
      <w:bookmarkStart w:id="30442" w:name="_Toc398563657"/>
      <w:bookmarkStart w:id="30443" w:name="_Toc398564056"/>
      <w:bookmarkStart w:id="30444" w:name="_Toc398827394"/>
      <w:bookmarkStart w:id="30445" w:name="_Toc398827588"/>
      <w:r w:rsidRPr="008625DC">
        <w:lastRenderedPageBreak/>
        <w:t>A</w:t>
      </w:r>
      <w:r w:rsidR="00277470" w:rsidRPr="008625DC">
        <w:t>nti</w:t>
      </w:r>
      <w:r w:rsidR="00C74E19" w:rsidRPr="008625DC">
        <w:noBreakHyphen/>
      </w:r>
      <w:r w:rsidR="00277470" w:rsidRPr="008625DC">
        <w:t>competitive agreements</w:t>
      </w:r>
      <w:bookmarkEnd w:id="29674"/>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bookmarkEnd w:id="30326"/>
      <w:bookmarkEnd w:id="30327"/>
      <w:bookmarkEnd w:id="30328"/>
      <w:bookmarkEnd w:id="30329"/>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r w:rsidR="00FF25F3" w:rsidRPr="008625DC">
        <w:t xml:space="preserve">, arrangements and </w:t>
      </w:r>
      <w:bookmarkEnd w:id="30369"/>
      <w:r w:rsidR="00FF25F3" w:rsidRPr="008625DC">
        <w:t>understandings</w:t>
      </w:r>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bookmarkEnd w:id="30445"/>
    </w:p>
    <w:p w14:paraId="5F2E3851" w14:textId="4951FFB5" w:rsidR="00FF25F3" w:rsidRPr="008625DC" w:rsidRDefault="00FF25F3" w:rsidP="002F6343">
      <w:r w:rsidRPr="008625DC">
        <w:t>The CCA prohibits certain types of</w:t>
      </w:r>
      <w:r w:rsidR="00A76A5E" w:rsidRPr="008625DC">
        <w:t xml:space="preserve"> </w:t>
      </w:r>
      <w:r w:rsidRPr="008625DC">
        <w:t>provisions within</w:t>
      </w:r>
      <w:r w:rsidR="00A76A5E" w:rsidRPr="008625DC">
        <w:t xml:space="preserve"> </w:t>
      </w:r>
      <w:r w:rsidRPr="008625DC">
        <w:t>agreements, arrangements and understandings between competitors. Cartel provisions and exclusionary provisions (where competitors agree not to supply or acquire from particular persons or classes of persons) are prohibited per se. Other provisions are prohibited if they have the purpose</w:t>
      </w:r>
      <w:r w:rsidR="004D608A" w:rsidRPr="008625DC">
        <w:t xml:space="preserve">, </w:t>
      </w:r>
      <w:r w:rsidR="00794A31" w:rsidRPr="008625DC">
        <w:t>or has or is likely to have the</w:t>
      </w:r>
      <w:r w:rsidR="004D608A" w:rsidRPr="008625DC">
        <w:t xml:space="preserve"> effect</w:t>
      </w:r>
      <w:r w:rsidRPr="008625DC">
        <w:t xml:space="preserve"> of substantially lessening competition. These types of arrangements are </w:t>
      </w:r>
      <w:r w:rsidR="005F3C6C" w:rsidRPr="008625DC">
        <w:t>commonly</w:t>
      </w:r>
      <w:r w:rsidRPr="008625DC">
        <w:t xml:space="preserve"> called horizontal arrangements because they occur between firms that are competitors, and therefore trading at the same level of the supply chain.</w:t>
      </w:r>
    </w:p>
    <w:p w14:paraId="57875C8A" w14:textId="4A696A67" w:rsidR="00760A66" w:rsidRPr="008625DC" w:rsidRDefault="00FF25F3" w:rsidP="002F6343">
      <w:r w:rsidRPr="008625DC">
        <w:t xml:space="preserve">The CCA also prohibits certain types of conditions that are imposed as part of the trading arrangements between suppliers and their customers. These types of arrangements are </w:t>
      </w:r>
      <w:r w:rsidR="005F3C6C" w:rsidRPr="008625DC">
        <w:t xml:space="preserve">commonly </w:t>
      </w:r>
      <w:r w:rsidRPr="008625DC">
        <w:t>called vertical arrangements because they occur between firms that are trading at different levels of the supply chain.</w:t>
      </w:r>
    </w:p>
    <w:p w14:paraId="0B335365" w14:textId="145915B4" w:rsidR="00FF25F3" w:rsidRPr="008625DC" w:rsidRDefault="00FF25F3" w:rsidP="002F6343">
      <w:r w:rsidRPr="008625DC">
        <w:t>Resale price maintenance (where a supplier requires a retailer to price its products at no less than a minimum retail price specified by the supplier) is prohibited per se. Third</w:t>
      </w:r>
      <w:r w:rsidR="00C74E19" w:rsidRPr="008625DC">
        <w:noBreakHyphen/>
      </w:r>
      <w:r w:rsidRPr="008625DC">
        <w:t>line forcing (where a supplier requires its customer to acquire another product from another supplier) is also prohibited per</w:t>
      </w:r>
      <w:r w:rsidR="00E607A5" w:rsidRPr="008625DC">
        <w:t> </w:t>
      </w:r>
      <w:r w:rsidRPr="008625DC">
        <w:t>se. Exclusive dealing (where suppliers restrict the freedom of their customers to deal with other suppliers or within particular geographic areas, and likewise for acquirers) and other conditions are prohibited if the condition has the purpose</w:t>
      </w:r>
      <w:r w:rsidR="004D608A" w:rsidRPr="008625DC">
        <w:t xml:space="preserve">, </w:t>
      </w:r>
      <w:r w:rsidR="00794A31" w:rsidRPr="008625DC">
        <w:t>or has or is likely to have the effect of substantially lessening competition</w:t>
      </w:r>
      <w:r w:rsidRPr="008625DC">
        <w:t>.</w:t>
      </w:r>
    </w:p>
    <w:p w14:paraId="07B8CC04" w14:textId="09E2B080" w:rsidR="00277470" w:rsidRPr="008625DC" w:rsidRDefault="00277470" w:rsidP="00BD2EA4">
      <w:pPr>
        <w:pStyle w:val="Heading2"/>
        <w:ind w:left="851" w:hanging="851"/>
        <w:rPr>
          <w:lang w:val="en-AU"/>
        </w:rPr>
      </w:pPr>
      <w:bookmarkStart w:id="30446" w:name="_Toc395877286"/>
      <w:bookmarkStart w:id="30447" w:name="_Toc395877502"/>
      <w:bookmarkStart w:id="30448" w:name="_Toc395877657"/>
      <w:bookmarkStart w:id="30449" w:name="_Toc394918296"/>
      <w:bookmarkStart w:id="30450" w:name="_Toc394918810"/>
      <w:bookmarkStart w:id="30451" w:name="_Toc394930783"/>
      <w:bookmarkStart w:id="30452" w:name="_Toc394933694"/>
      <w:bookmarkStart w:id="30453" w:name="_Toc394330409"/>
      <w:bookmarkStart w:id="30454" w:name="_Toc394331340"/>
      <w:bookmarkStart w:id="30455" w:name="_Toc394330150"/>
      <w:bookmarkStart w:id="30456" w:name="_Toc394333124"/>
      <w:bookmarkStart w:id="30457" w:name="_Toc394333416"/>
      <w:bookmarkStart w:id="30458" w:name="_Toc394332702"/>
      <w:bookmarkStart w:id="30459" w:name="_Toc394333537"/>
      <w:bookmarkStart w:id="30460" w:name="_Toc394333829"/>
      <w:bookmarkStart w:id="30461" w:name="_Toc394333950"/>
      <w:bookmarkStart w:id="30462" w:name="_Toc394334242"/>
      <w:bookmarkStart w:id="30463" w:name="_Toc394334776"/>
      <w:bookmarkStart w:id="30464" w:name="_Toc394335068"/>
      <w:bookmarkStart w:id="30465" w:name="_Toc394414962"/>
      <w:bookmarkStart w:id="30466" w:name="_Toc394415272"/>
      <w:bookmarkStart w:id="30467" w:name="_Toc394412267"/>
      <w:bookmarkStart w:id="30468" w:name="_Toc394412581"/>
      <w:bookmarkStart w:id="30469" w:name="_Toc394420543"/>
      <w:bookmarkStart w:id="30470" w:name="_Toc394420874"/>
      <w:bookmarkStart w:id="30471" w:name="_Toc394421017"/>
      <w:bookmarkStart w:id="30472" w:name="_Toc394423387"/>
      <w:bookmarkStart w:id="30473" w:name="_Toc394423715"/>
      <w:bookmarkStart w:id="30474" w:name="_Toc394420321"/>
      <w:bookmarkStart w:id="30475" w:name="_Toc394422430"/>
      <w:bookmarkStart w:id="30476" w:name="_Toc394422759"/>
      <w:bookmarkStart w:id="30477" w:name="_Toc394422901"/>
      <w:bookmarkStart w:id="30478" w:name="_Toc394423230"/>
      <w:bookmarkStart w:id="30479" w:name="_Toc394424051"/>
      <w:bookmarkStart w:id="30480" w:name="_Toc394424378"/>
      <w:bookmarkStart w:id="30481" w:name="_Toc394491886"/>
      <w:bookmarkStart w:id="30482" w:name="_Toc394492209"/>
      <w:bookmarkStart w:id="30483" w:name="_Toc394495031"/>
      <w:bookmarkStart w:id="30484" w:name="_Toc394495353"/>
      <w:bookmarkStart w:id="30485" w:name="_Toc394497843"/>
      <w:bookmarkStart w:id="30486" w:name="_Toc394498168"/>
      <w:bookmarkStart w:id="30487" w:name="_Toc394500635"/>
      <w:bookmarkStart w:id="30488" w:name="_Toc394500958"/>
      <w:bookmarkStart w:id="30489" w:name="_Toc394502039"/>
      <w:bookmarkStart w:id="30490" w:name="_Toc394502355"/>
      <w:bookmarkStart w:id="30491" w:name="_Toc394502941"/>
      <w:bookmarkStart w:id="30492" w:name="_Toc394503714"/>
      <w:bookmarkStart w:id="30493" w:name="_Toc394502485"/>
      <w:bookmarkStart w:id="30494" w:name="_Toc394502803"/>
      <w:bookmarkStart w:id="30495" w:name="_Toc394505692"/>
      <w:bookmarkStart w:id="30496" w:name="_Toc394506131"/>
      <w:bookmarkStart w:id="30497" w:name="_Toc394506031"/>
      <w:bookmarkStart w:id="30498" w:name="_Toc394506469"/>
      <w:bookmarkStart w:id="30499" w:name="_Toc394506705"/>
      <w:bookmarkStart w:id="30500" w:name="_Toc394507023"/>
      <w:bookmarkStart w:id="30501" w:name="_Toc394560778"/>
      <w:bookmarkStart w:id="30502" w:name="_Toc394561098"/>
      <w:bookmarkStart w:id="30503" w:name="_Toc394561242"/>
      <w:bookmarkStart w:id="30504" w:name="_Toc394561931"/>
      <w:bookmarkStart w:id="30505" w:name="_Toc394582990"/>
      <w:bookmarkStart w:id="30506" w:name="_Toc394585661"/>
      <w:bookmarkStart w:id="30507" w:name="_Toc394586127"/>
      <w:bookmarkStart w:id="30508" w:name="_Toc394588059"/>
      <w:bookmarkStart w:id="30509" w:name="_Toc394588894"/>
      <w:bookmarkStart w:id="30510" w:name="_Toc394589019"/>
      <w:bookmarkStart w:id="30511" w:name="_Toc394590435"/>
      <w:bookmarkStart w:id="30512" w:name="_Toc394590628"/>
      <w:bookmarkStart w:id="30513" w:name="_Toc394654529"/>
      <w:bookmarkStart w:id="30514" w:name="_Toc394654687"/>
      <w:bookmarkStart w:id="30515" w:name="_Toc394656229"/>
      <w:bookmarkStart w:id="30516" w:name="_Toc394656386"/>
      <w:bookmarkStart w:id="30517" w:name="_Toc394659366"/>
      <w:bookmarkStart w:id="30518" w:name="_Toc394659524"/>
      <w:bookmarkStart w:id="30519" w:name="_Toc394663378"/>
      <w:bookmarkStart w:id="30520" w:name="_Toc394663534"/>
      <w:bookmarkStart w:id="30521" w:name="_Toc394667172"/>
      <w:bookmarkStart w:id="30522" w:name="_Toc394667328"/>
      <w:bookmarkStart w:id="30523" w:name="_Toc394671651"/>
      <w:bookmarkStart w:id="30524" w:name="_Toc394671811"/>
      <w:bookmarkStart w:id="30525" w:name="_Toc394674653"/>
      <w:bookmarkStart w:id="30526" w:name="_Toc394674816"/>
      <w:bookmarkStart w:id="30527" w:name="_Toc394674930"/>
      <w:bookmarkStart w:id="30528" w:name="_Toc394675096"/>
      <w:bookmarkStart w:id="30529" w:name="_Toc394676041"/>
      <w:bookmarkStart w:id="30530" w:name="_Toc394676203"/>
      <w:bookmarkStart w:id="30531" w:name="_Toc394675729"/>
      <w:bookmarkStart w:id="30532" w:name="_Toc394675892"/>
      <w:bookmarkStart w:id="30533" w:name="_Toc394938141"/>
      <w:bookmarkStart w:id="30534" w:name="_Toc394938446"/>
      <w:bookmarkStart w:id="30535" w:name="_Toc394938643"/>
      <w:bookmarkStart w:id="30536" w:name="_Toc394937727"/>
      <w:bookmarkStart w:id="30537" w:name="_Toc394937925"/>
      <w:bookmarkStart w:id="30538" w:name="_Toc394941053"/>
      <w:bookmarkStart w:id="30539" w:name="_Toc394941358"/>
      <w:bookmarkStart w:id="30540" w:name="_Toc394941554"/>
      <w:bookmarkStart w:id="30541" w:name="_Toc394941669"/>
      <w:bookmarkStart w:id="30542" w:name="_Toc394941974"/>
      <w:bookmarkStart w:id="30543" w:name="_Toc394942170"/>
      <w:bookmarkStart w:id="30544" w:name="_Toc394939890"/>
      <w:bookmarkStart w:id="30545" w:name="_Toc394940196"/>
      <w:bookmarkStart w:id="30546" w:name="_Toc394940392"/>
      <w:bookmarkStart w:id="30547" w:name="_Toc394939501"/>
      <w:bookmarkStart w:id="30548" w:name="_Toc394939793"/>
      <w:bookmarkStart w:id="30549" w:name="_Toc394940605"/>
      <w:bookmarkStart w:id="30550" w:name="_Toc394993690"/>
      <w:bookmarkStart w:id="30551" w:name="_Toc394995572"/>
      <w:bookmarkStart w:id="30552" w:name="_Toc394995886"/>
      <w:bookmarkStart w:id="30553" w:name="_Toc394996085"/>
      <w:bookmarkStart w:id="30554" w:name="_Toc394997811"/>
      <w:bookmarkStart w:id="30555" w:name="_Toc394998131"/>
      <w:bookmarkStart w:id="30556" w:name="_Toc394998326"/>
      <w:bookmarkStart w:id="30557" w:name="_Toc394998645"/>
      <w:bookmarkStart w:id="30558" w:name="_Toc395001821"/>
      <w:bookmarkStart w:id="30559" w:name="_Toc395002144"/>
      <w:bookmarkStart w:id="30560" w:name="_Toc395001624"/>
      <w:bookmarkStart w:id="30561" w:name="_Toc395002913"/>
      <w:bookmarkStart w:id="30562" w:name="_Toc395003498"/>
      <w:bookmarkStart w:id="30563" w:name="_Toc395005073"/>
      <w:bookmarkStart w:id="30564" w:name="_Toc395005199"/>
      <w:bookmarkStart w:id="30565" w:name="_Toc395005415"/>
      <w:bookmarkStart w:id="30566" w:name="_Toc395005739"/>
      <w:bookmarkStart w:id="30567" w:name="_Toc395008992"/>
      <w:bookmarkStart w:id="30568" w:name="_Toc395009733"/>
      <w:bookmarkStart w:id="30569" w:name="_Toc395010178"/>
      <w:bookmarkStart w:id="30570" w:name="_Toc395010020"/>
      <w:bookmarkStart w:id="30571" w:name="_Toc395011546"/>
      <w:bookmarkStart w:id="30572" w:name="_Toc395012364"/>
      <w:bookmarkStart w:id="30573" w:name="_Toc395012657"/>
      <w:bookmarkStart w:id="30574" w:name="_Toc395012954"/>
      <w:bookmarkStart w:id="30575" w:name="_Toc395010769"/>
      <w:bookmarkStart w:id="30576" w:name="_Toc395012242"/>
      <w:bookmarkStart w:id="30577" w:name="_Toc395013119"/>
      <w:bookmarkStart w:id="30578" w:name="_Toc395012121"/>
      <w:bookmarkStart w:id="30579" w:name="_Toc395014460"/>
      <w:bookmarkStart w:id="30580" w:name="_Toc395014643"/>
      <w:bookmarkStart w:id="30581" w:name="_Toc395013234"/>
      <w:bookmarkStart w:id="30582" w:name="_Toc395084808"/>
      <w:bookmarkStart w:id="30583" w:name="_Toc395085109"/>
      <w:bookmarkStart w:id="30584" w:name="_Toc395090273"/>
      <w:bookmarkStart w:id="30585" w:name="_Toc395090575"/>
      <w:bookmarkStart w:id="30586" w:name="_Toc395090752"/>
      <w:bookmarkStart w:id="30587" w:name="_Toc395092640"/>
      <w:bookmarkStart w:id="30588" w:name="_Toc395092852"/>
      <w:bookmarkStart w:id="30589" w:name="_Toc395093157"/>
      <w:bookmarkStart w:id="30590" w:name="_Toc395093334"/>
      <w:bookmarkStart w:id="30591" w:name="_Toc395097763"/>
      <w:bookmarkStart w:id="30592" w:name="_Toc395098069"/>
      <w:bookmarkStart w:id="30593" w:name="_Toc395098244"/>
      <w:bookmarkStart w:id="30594" w:name="_Toc395105429"/>
      <w:bookmarkStart w:id="30595" w:name="_Toc395106253"/>
      <w:bookmarkStart w:id="30596" w:name="_Toc395107032"/>
      <w:bookmarkStart w:id="30597" w:name="_Toc395109904"/>
      <w:bookmarkStart w:id="30598" w:name="_Toc395109515"/>
      <w:bookmarkStart w:id="30599" w:name="_Toc395109690"/>
      <w:bookmarkStart w:id="30600" w:name="_Toc395109843"/>
      <w:bookmarkStart w:id="30601" w:name="_Toc395111907"/>
      <w:bookmarkStart w:id="30602" w:name="_Toc395112220"/>
      <w:bookmarkStart w:id="30603" w:name="_Toc395112395"/>
      <w:bookmarkStart w:id="30604" w:name="_Toc395106827"/>
      <w:bookmarkStart w:id="30605" w:name="_Toc395107362"/>
      <w:bookmarkStart w:id="30606" w:name="_Toc395107540"/>
      <w:bookmarkStart w:id="30607" w:name="_Toc395108587"/>
      <w:bookmarkStart w:id="30608" w:name="_Toc395108923"/>
      <w:bookmarkStart w:id="30609" w:name="_Toc395113827"/>
      <w:bookmarkStart w:id="30610" w:name="_Toc395114163"/>
      <w:bookmarkStart w:id="30611" w:name="_Toc395114347"/>
      <w:bookmarkStart w:id="30612" w:name="_Toc395116563"/>
      <w:bookmarkStart w:id="30613" w:name="_Toc395116900"/>
      <w:bookmarkStart w:id="30614" w:name="_Toc395117085"/>
      <w:bookmarkStart w:id="30615" w:name="_Toc395112500"/>
      <w:bookmarkStart w:id="30616" w:name="_Toc395112837"/>
      <w:bookmarkStart w:id="30617" w:name="_Toc395113203"/>
      <w:bookmarkStart w:id="30618" w:name="_Toc395115039"/>
      <w:bookmarkStart w:id="30619" w:name="_Toc395115377"/>
      <w:bookmarkStart w:id="30620" w:name="_Toc395115562"/>
      <w:bookmarkStart w:id="30621" w:name="_Toc395118194"/>
      <w:bookmarkStart w:id="30622" w:name="_Toc395118529"/>
      <w:bookmarkStart w:id="30623" w:name="_Toc395118712"/>
      <w:bookmarkStart w:id="30624" w:name="_Toc395178404"/>
      <w:bookmarkStart w:id="30625" w:name="_Toc395178736"/>
      <w:bookmarkStart w:id="30626" w:name="_Toc395624718"/>
      <w:bookmarkStart w:id="30627" w:name="_Toc395624893"/>
      <w:bookmarkStart w:id="30628" w:name="_Toc395789747"/>
      <w:bookmarkStart w:id="30629" w:name="_Toc395790069"/>
      <w:bookmarkStart w:id="30630" w:name="_Toc395800827"/>
      <w:bookmarkStart w:id="30631" w:name="_Toc395802876"/>
      <w:bookmarkStart w:id="30632" w:name="_Toc395867643"/>
      <w:bookmarkStart w:id="30633" w:name="_Toc395868556"/>
      <w:bookmarkStart w:id="30634" w:name="_Toc395868775"/>
      <w:bookmarkStart w:id="30635" w:name="_Toc395878937"/>
      <w:bookmarkStart w:id="30636" w:name="_Toc395879154"/>
      <w:bookmarkStart w:id="30637" w:name="_Toc395882061"/>
      <w:bookmarkStart w:id="30638" w:name="_Toc395882278"/>
      <w:bookmarkStart w:id="30639" w:name="_Toc395882392"/>
      <w:bookmarkStart w:id="30640" w:name="_Toc395882609"/>
      <w:bookmarkStart w:id="30641" w:name="_Toc395880556"/>
      <w:bookmarkStart w:id="30642" w:name="_Toc395880887"/>
      <w:bookmarkStart w:id="30643" w:name="_Toc395881445"/>
      <w:bookmarkStart w:id="30644" w:name="_Toc395881662"/>
      <w:bookmarkStart w:id="30645" w:name="_Toc395881378"/>
      <w:bookmarkStart w:id="30646" w:name="_Toc395883830"/>
      <w:bookmarkStart w:id="30647" w:name="_Toc395884047"/>
      <w:bookmarkStart w:id="30648" w:name="_Toc395880785"/>
      <w:bookmarkStart w:id="30649" w:name="_Toc395884492"/>
      <w:bookmarkStart w:id="30650" w:name="_Toc395884709"/>
      <w:bookmarkStart w:id="30651" w:name="_Toc395883201"/>
      <w:bookmarkStart w:id="30652" w:name="_Toc395883418"/>
      <w:bookmarkStart w:id="30653" w:name="_Toc395883531"/>
      <w:bookmarkStart w:id="30654" w:name="_Toc395883748"/>
      <w:bookmarkStart w:id="30655" w:name="_Toc395884833"/>
      <w:bookmarkStart w:id="30656" w:name="_Toc396123858"/>
      <w:bookmarkStart w:id="30657" w:name="_Toc396130761"/>
      <w:bookmarkStart w:id="30658" w:name="_Toc396136339"/>
      <w:bookmarkStart w:id="30659" w:name="_Toc396138793"/>
      <w:bookmarkStart w:id="30660" w:name="_Toc396144054"/>
      <w:bookmarkStart w:id="30661" w:name="_Toc396145563"/>
      <w:bookmarkStart w:id="30662" w:name="_Toc396145707"/>
      <w:bookmarkStart w:id="30663" w:name="_Toc396145989"/>
      <w:bookmarkStart w:id="30664" w:name="_Toc396147529"/>
      <w:bookmarkStart w:id="30665" w:name="_Toc396147815"/>
      <w:bookmarkStart w:id="30666" w:name="_Toc396149071"/>
      <w:bookmarkStart w:id="30667" w:name="_Toc396148785"/>
      <w:bookmarkStart w:id="30668" w:name="_Toc396149566"/>
      <w:bookmarkStart w:id="30669" w:name="_Toc396149211"/>
      <w:bookmarkStart w:id="30670" w:name="_Toc396149497"/>
      <w:bookmarkStart w:id="30671" w:name="_Toc396149919"/>
      <w:bookmarkStart w:id="30672" w:name="_Toc396149669"/>
      <w:bookmarkStart w:id="30673" w:name="_Toc396150510"/>
      <w:bookmarkStart w:id="30674" w:name="_Toc396151399"/>
      <w:bookmarkStart w:id="30675" w:name="_Toc396151693"/>
      <w:bookmarkStart w:id="30676" w:name="_Toc396201620"/>
      <w:bookmarkStart w:id="30677" w:name="_Toc396202410"/>
      <w:bookmarkStart w:id="30678" w:name="_Toc396202705"/>
      <w:bookmarkStart w:id="30679" w:name="_Toc396203322"/>
      <w:bookmarkStart w:id="30680" w:name="_Toc396206618"/>
      <w:bookmarkStart w:id="30681" w:name="_Toc396206912"/>
      <w:bookmarkStart w:id="30682" w:name="_Toc396209446"/>
      <w:bookmarkStart w:id="30683" w:name="_Toc396209740"/>
      <w:bookmarkStart w:id="30684" w:name="_Toc396211870"/>
      <w:bookmarkStart w:id="30685" w:name="_Toc396212164"/>
      <w:bookmarkStart w:id="30686" w:name="_Toc396213214"/>
      <w:bookmarkStart w:id="30687" w:name="_Toc396213506"/>
      <w:bookmarkStart w:id="30688" w:name="_Toc396214492"/>
      <w:bookmarkStart w:id="30689" w:name="_Toc396214782"/>
      <w:bookmarkStart w:id="30690" w:name="_Toc396220342"/>
      <w:bookmarkStart w:id="30691" w:name="_Toc396226604"/>
      <w:bookmarkStart w:id="30692" w:name="_Toc396226893"/>
      <w:bookmarkStart w:id="30693" w:name="_Toc396228804"/>
      <w:bookmarkStart w:id="30694" w:name="_Toc396229099"/>
      <w:bookmarkStart w:id="30695" w:name="_Toc396230446"/>
      <w:bookmarkStart w:id="30696" w:name="_Toc396231883"/>
      <w:bookmarkStart w:id="30697" w:name="_Toc396233226"/>
      <w:bookmarkStart w:id="30698" w:name="_Toc396233523"/>
      <w:bookmarkStart w:id="30699" w:name="_Toc396234046"/>
      <w:bookmarkStart w:id="30700" w:name="_Toc396234343"/>
      <w:bookmarkStart w:id="30701" w:name="_Toc396234456"/>
      <w:bookmarkStart w:id="30702" w:name="_Toc396236190"/>
      <w:bookmarkStart w:id="30703" w:name="_Toc396235968"/>
      <w:bookmarkStart w:id="30704" w:name="_Toc396236578"/>
      <w:bookmarkStart w:id="30705" w:name="_Toc396237097"/>
      <w:bookmarkStart w:id="30706" w:name="_Toc396397440"/>
      <w:bookmarkStart w:id="30707" w:name="_Toc396304621"/>
      <w:bookmarkStart w:id="30708" w:name="_Toc396586156"/>
      <w:bookmarkStart w:id="30709" w:name="_Toc396815177"/>
      <w:bookmarkStart w:id="30710" w:name="_Toc396821126"/>
      <w:bookmarkStart w:id="30711" w:name="_Toc396821734"/>
      <w:bookmarkStart w:id="30712" w:name="_Toc396827584"/>
      <w:bookmarkStart w:id="30713" w:name="_Toc396828555"/>
      <w:bookmarkStart w:id="30714" w:name="_Toc396828665"/>
      <w:bookmarkStart w:id="30715" w:name="_Toc396838054"/>
      <w:bookmarkStart w:id="30716" w:name="_Toc396838452"/>
      <w:bookmarkStart w:id="30717" w:name="_Toc396904775"/>
      <w:bookmarkStart w:id="30718" w:name="_Toc396907609"/>
      <w:bookmarkStart w:id="30719" w:name="_Toc396912528"/>
      <w:bookmarkStart w:id="30720" w:name="_Toc396914508"/>
      <w:bookmarkStart w:id="30721" w:name="_Toc396915392"/>
      <w:bookmarkStart w:id="30722" w:name="_Toc396915786"/>
      <w:bookmarkStart w:id="30723" w:name="_Toc396921097"/>
      <w:bookmarkStart w:id="30724" w:name="_Toc396924437"/>
      <w:bookmarkStart w:id="30725" w:name="_Toc396925131"/>
      <w:bookmarkStart w:id="30726" w:name="_Toc396992251"/>
      <w:bookmarkStart w:id="30727" w:name="_Toc396992830"/>
      <w:bookmarkStart w:id="30728" w:name="_Toc396994494"/>
      <w:bookmarkStart w:id="30729" w:name="_Toc397002264"/>
      <w:bookmarkStart w:id="30730" w:name="_Toc397003183"/>
      <w:bookmarkStart w:id="30731" w:name="_Toc397008741"/>
      <w:bookmarkStart w:id="30732" w:name="_Toc397008959"/>
      <w:bookmarkStart w:id="30733" w:name="_Toc397011631"/>
      <w:bookmarkStart w:id="30734" w:name="_Toc397012693"/>
      <w:bookmarkStart w:id="30735" w:name="_Toc397015035"/>
      <w:bookmarkStart w:id="30736" w:name="_Toc397015522"/>
      <w:bookmarkStart w:id="30737" w:name="_Toc397070593"/>
      <w:bookmarkStart w:id="30738" w:name="_Toc397413346"/>
      <w:bookmarkStart w:id="30739" w:name="_Toc397413493"/>
      <w:bookmarkStart w:id="30740" w:name="_Toc397428063"/>
      <w:bookmarkStart w:id="30741" w:name="_Toc397439453"/>
      <w:bookmarkStart w:id="30742" w:name="_Toc397439623"/>
      <w:bookmarkStart w:id="30743" w:name="_Toc397439879"/>
      <w:bookmarkStart w:id="30744" w:name="_Toc397440181"/>
      <w:bookmarkStart w:id="30745" w:name="_Toc397441810"/>
      <w:bookmarkStart w:id="30746" w:name="_Toc397517512"/>
      <w:bookmarkStart w:id="30747" w:name="_Toc397522777"/>
      <w:bookmarkStart w:id="30748" w:name="_Toc397526195"/>
      <w:bookmarkStart w:id="30749" w:name="_Toc397528510"/>
      <w:bookmarkStart w:id="30750" w:name="_Toc397528985"/>
      <w:bookmarkStart w:id="30751" w:name="_Toc397601985"/>
      <w:bookmarkStart w:id="30752" w:name="_Toc397602720"/>
      <w:bookmarkStart w:id="30753" w:name="_Toc397605853"/>
      <w:bookmarkStart w:id="30754" w:name="_Toc397614550"/>
      <w:bookmarkStart w:id="30755" w:name="_Toc397614993"/>
      <w:bookmarkStart w:id="30756" w:name="_Toc397616436"/>
      <w:bookmarkStart w:id="30757" w:name="_Toc397616830"/>
      <w:bookmarkStart w:id="30758" w:name="_Toc397688128"/>
      <w:bookmarkStart w:id="30759" w:name="_Toc397689344"/>
      <w:bookmarkStart w:id="30760" w:name="_Toc397694624"/>
      <w:bookmarkStart w:id="30761" w:name="_Toc397696465"/>
      <w:bookmarkStart w:id="30762" w:name="_Toc397697199"/>
      <w:bookmarkStart w:id="30763" w:name="_Toc397698486"/>
      <w:bookmarkStart w:id="30764" w:name="_Toc397699852"/>
      <w:bookmarkStart w:id="30765" w:name="_Toc397700306"/>
      <w:bookmarkStart w:id="30766" w:name="_Toc397936698"/>
      <w:bookmarkStart w:id="30767" w:name="_Toc397936818"/>
      <w:bookmarkStart w:id="30768" w:name="_Toc397945974"/>
      <w:bookmarkStart w:id="30769" w:name="_Toc397947000"/>
      <w:bookmarkStart w:id="30770" w:name="_Toc397948119"/>
      <w:bookmarkStart w:id="30771" w:name="_Toc397958525"/>
      <w:bookmarkStart w:id="30772" w:name="_Toc397958767"/>
      <w:bookmarkStart w:id="30773" w:name="_Toc397959182"/>
      <w:bookmarkStart w:id="30774" w:name="_Toc397962249"/>
      <w:bookmarkStart w:id="30775" w:name="_Toc397963035"/>
      <w:bookmarkStart w:id="30776" w:name="_Toc397963401"/>
      <w:bookmarkStart w:id="30777" w:name="_Toc397965478"/>
      <w:bookmarkStart w:id="30778" w:name="_Toc398197416"/>
      <w:bookmarkStart w:id="30779" w:name="_Toc398199919"/>
      <w:bookmarkStart w:id="30780" w:name="_Toc398201633"/>
      <w:bookmarkStart w:id="30781" w:name="_Toc398207238"/>
      <w:bookmarkStart w:id="30782" w:name="_Toc398209942"/>
      <w:bookmarkStart w:id="30783" w:name="_Toc398210511"/>
      <w:bookmarkStart w:id="30784" w:name="_Toc398211025"/>
      <w:bookmarkStart w:id="30785" w:name="_Toc398219836"/>
      <w:bookmarkStart w:id="30786" w:name="_Toc398220211"/>
      <w:bookmarkStart w:id="30787" w:name="_Toc398220598"/>
      <w:bookmarkStart w:id="30788" w:name="_Toc398221676"/>
      <w:bookmarkStart w:id="30789" w:name="_Toc398222362"/>
      <w:bookmarkStart w:id="30790" w:name="_Toc398222674"/>
      <w:bookmarkStart w:id="30791" w:name="_Toc398223091"/>
      <w:bookmarkStart w:id="30792" w:name="_Toc398223470"/>
      <w:bookmarkStart w:id="30793" w:name="_Toc398223597"/>
      <w:bookmarkStart w:id="30794" w:name="_Toc398224405"/>
      <w:bookmarkStart w:id="30795" w:name="_Toc398225742"/>
      <w:bookmarkStart w:id="30796" w:name="_Toc398225867"/>
      <w:bookmarkStart w:id="30797" w:name="_Toc398281354"/>
      <w:bookmarkStart w:id="30798" w:name="_Toc398282213"/>
      <w:bookmarkStart w:id="30799" w:name="_Toc398284883"/>
      <w:bookmarkStart w:id="30800" w:name="_Toc398287352"/>
      <w:bookmarkStart w:id="30801" w:name="_Toc398289235"/>
      <w:bookmarkStart w:id="30802" w:name="_Toc398297232"/>
      <w:bookmarkStart w:id="30803" w:name="_Toc398298706"/>
      <w:bookmarkStart w:id="30804" w:name="_Toc398300407"/>
      <w:bookmarkStart w:id="30805" w:name="_Toc398301304"/>
      <w:bookmarkStart w:id="30806" w:name="_Toc398302489"/>
      <w:bookmarkStart w:id="30807" w:name="_Toc398302652"/>
      <w:bookmarkStart w:id="30808" w:name="_Toc398549166"/>
      <w:bookmarkStart w:id="30809" w:name="_Toc398549416"/>
      <w:bookmarkStart w:id="30810" w:name="_Toc398555835"/>
      <w:bookmarkStart w:id="30811" w:name="_Toc398559039"/>
      <w:bookmarkStart w:id="30812" w:name="_Toc398563525"/>
      <w:bookmarkStart w:id="30813" w:name="_Toc398563658"/>
      <w:bookmarkStart w:id="30814" w:name="_Toc398564057"/>
      <w:bookmarkStart w:id="30815" w:name="_Toc398827395"/>
      <w:bookmarkStart w:id="30816" w:name="_Toc398827589"/>
      <w:bookmarkStart w:id="30817" w:name="s171"/>
      <w:r w:rsidRPr="008625DC">
        <w:rPr>
          <w:lang w:val="en-AU"/>
        </w:rPr>
        <w:t>C</w:t>
      </w:r>
      <w:bookmarkEnd w:id="30446"/>
      <w:bookmarkEnd w:id="30447"/>
      <w:bookmarkEnd w:id="30448"/>
      <w:r w:rsidRPr="008625DC">
        <w:rPr>
          <w:lang w:val="en-AU"/>
        </w:rPr>
        <w:t>artel</w:t>
      </w:r>
      <w:bookmarkEnd w:id="30449"/>
      <w:bookmarkEnd w:id="30450"/>
      <w:bookmarkEnd w:id="30451"/>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r w:rsidR="003C55C9" w:rsidRPr="008625DC">
        <w:rPr>
          <w:lang w:val="en-AU"/>
        </w:rPr>
        <w:t xml:space="preserve"> conduct</w:t>
      </w:r>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p>
    <w:bookmarkEnd w:id="30817"/>
    <w:p w14:paraId="2CA27CAA" w14:textId="1A9F5AD3" w:rsidR="00FF25F3" w:rsidRPr="008625DC" w:rsidRDefault="00FF25F3" w:rsidP="002F6343">
      <w:r w:rsidRPr="008625DC">
        <w:t>Prior to 2009 price</w:t>
      </w:r>
      <w:r w:rsidR="00C74E19" w:rsidRPr="008625DC">
        <w:noBreakHyphen/>
      </w:r>
      <w:r w:rsidRPr="008625DC">
        <w:t>fixing provisions and exclusionary provisions were prohibited per se and were subject to civil penalty sanctions.</w:t>
      </w:r>
    </w:p>
    <w:p w14:paraId="70954ECF" w14:textId="13724ED9" w:rsidR="00FF25F3" w:rsidRPr="008625DC" w:rsidRDefault="00FF25F3" w:rsidP="002F6343">
      <w:r w:rsidRPr="008625DC">
        <w:t xml:space="preserve">The Dawson </w:t>
      </w:r>
      <w:r w:rsidR="004D608A" w:rsidRPr="008625DC">
        <w:t xml:space="preserve">Review </w:t>
      </w:r>
      <w:r w:rsidRPr="008625DC">
        <w:t>recommended the introduction of criminal sanctions for cartel conduct.</w:t>
      </w:r>
      <w:r w:rsidRPr="008625DC">
        <w:rPr>
          <w:rStyle w:val="FootnoteReference"/>
        </w:rPr>
        <w:footnoteReference w:id="302"/>
      </w:r>
      <w:r w:rsidRPr="008625DC">
        <w:t xml:space="preserve"> That recommendation was implemented in 2009 by the enactment of Division 1 of Part IV of the CCA</w:t>
      </w:r>
      <w:r w:rsidR="004D608A" w:rsidRPr="008625DC">
        <w:t>,</w:t>
      </w:r>
      <w:r w:rsidRPr="008625DC">
        <w:t xml:space="preserve"> which introduced criminal and civil prohibitions of cartel conduct. In line with overseas practice and OECD recommendations</w:t>
      </w:r>
      <w:r w:rsidRPr="008625DC">
        <w:rPr>
          <w:rStyle w:val="FootnoteReference"/>
        </w:rPr>
        <w:footnoteReference w:id="303"/>
      </w:r>
      <w:r w:rsidRPr="008625DC">
        <w:t xml:space="preserve"> the CCA now prohibits arrangements between competitors that fix prices, restricting outputs in production and supply chains, divide markets by allocating customers, suppliers or territories</w:t>
      </w:r>
      <w:r w:rsidR="004D608A" w:rsidRPr="008625DC">
        <w:t>, or</w:t>
      </w:r>
      <w:r w:rsidRPr="008625DC">
        <w:t xml:space="preserve"> rig bids.</w:t>
      </w:r>
    </w:p>
    <w:p w14:paraId="2AFD5F39" w14:textId="2150FFE9" w:rsidR="00FF25F3" w:rsidRPr="008625DC" w:rsidRDefault="00FF25F3" w:rsidP="002F6343">
      <w:r w:rsidRPr="008625DC">
        <w:t>Despite the introduction of the cartel prohibitions, the prohibition of exclusionary provisions remain</w:t>
      </w:r>
      <w:r w:rsidR="00760A66" w:rsidRPr="008625DC">
        <w:t>s</w:t>
      </w:r>
      <w:r w:rsidRPr="008625DC">
        <w:t xml:space="preserve"> in the CCA.</w:t>
      </w:r>
    </w:p>
    <w:p w14:paraId="553AE97E" w14:textId="4609DD63" w:rsidR="00FF25F3" w:rsidRPr="008625DC" w:rsidRDefault="00FF25F3" w:rsidP="002F6343">
      <w:r w:rsidRPr="008625DC">
        <w:t xml:space="preserve">Submissions express broad support for the </w:t>
      </w:r>
      <w:r w:rsidR="005F3C6C" w:rsidRPr="008625DC">
        <w:t>per se prohibition</w:t>
      </w:r>
      <w:r w:rsidRPr="008625DC">
        <w:t xml:space="preserve"> of serious cartel conduct and for the imposition of criminal sanctions for that conduct.</w:t>
      </w:r>
      <w:r w:rsidR="00F148BF" w:rsidRPr="008625DC">
        <w:rPr>
          <w:rStyle w:val="FootnoteReference"/>
        </w:rPr>
        <w:footnoteReference w:id="304"/>
      </w:r>
    </w:p>
    <w:p w14:paraId="501C742B" w14:textId="2737158A" w:rsidR="00FF25F3" w:rsidRPr="008625DC" w:rsidRDefault="00FF25F3" w:rsidP="002F6343">
      <w:r w:rsidRPr="008625DC">
        <w:t xml:space="preserve">However, a range of submissions are critical of the form and scope of the cartel prohibitions. Two principal concerns </w:t>
      </w:r>
      <w:r w:rsidR="00760A66" w:rsidRPr="008625DC">
        <w:t>are</w:t>
      </w:r>
      <w:r w:rsidRPr="008625DC">
        <w:t xml:space="preserve"> raised:</w:t>
      </w:r>
      <w:r w:rsidR="00085B28" w:rsidRPr="008625DC">
        <w:rPr>
          <w:rStyle w:val="FootnoteReference"/>
        </w:rPr>
        <w:footnoteReference w:id="305"/>
      </w:r>
    </w:p>
    <w:p w14:paraId="6EA176F3" w14:textId="59687EBD" w:rsidR="00FF25F3" w:rsidRPr="008625DC" w:rsidRDefault="00FF25F3" w:rsidP="00956EFF">
      <w:pPr>
        <w:pStyle w:val="Bullet"/>
      </w:pPr>
      <w:r w:rsidRPr="008625DC">
        <w:lastRenderedPageBreak/>
        <w:t xml:space="preserve">the provisions are unnecessarily complex, making the law difficult to </w:t>
      </w:r>
      <w:r w:rsidR="002F6343" w:rsidRPr="008625DC">
        <w:t>understand and comply with; and</w:t>
      </w:r>
    </w:p>
    <w:p w14:paraId="435D469B" w14:textId="75A73479" w:rsidR="00FF25F3" w:rsidRPr="008625DC" w:rsidRDefault="00FF25F3" w:rsidP="00956EFF">
      <w:pPr>
        <w:pStyle w:val="Bullet"/>
      </w:pPr>
      <w:r w:rsidRPr="008625DC">
        <w:t>the provisions have been framed too broadly and criminalise commercial conduct that ought not be characterised as cartel conduct, including joint venture activity and vertical arrangements between suppliers and their customers.</w:t>
      </w:r>
    </w:p>
    <w:p w14:paraId="6C6A8B96" w14:textId="77777777" w:rsidR="00FF25F3" w:rsidRPr="008625DC" w:rsidRDefault="00FF25F3" w:rsidP="00FB084C">
      <w:pPr>
        <w:pStyle w:val="Heading3"/>
      </w:pPr>
      <w:r w:rsidRPr="008625DC">
        <w:t>Complex drafting</w:t>
      </w:r>
    </w:p>
    <w:p w14:paraId="4E79ED2E" w14:textId="212FEF0A" w:rsidR="00FF25F3" w:rsidRPr="008625DC" w:rsidRDefault="00FF25F3" w:rsidP="00E607A5">
      <w:pPr>
        <w:spacing w:after="120"/>
      </w:pPr>
      <w:r w:rsidRPr="008625DC">
        <w:t>The Panel agrees that the cartel provisions are complex. One explanation for the complexity of the provisions is that laws that impose criminal sanctions must take account of the requirements of the Commonwealth Criminal Code. The Criminal Code provides that criminal offences consist of physical elements and fault elements. The ACCC note</w:t>
      </w:r>
      <w:r w:rsidR="00760A66" w:rsidRPr="008625DC">
        <w:t>s</w:t>
      </w:r>
      <w:r w:rsidRPr="008625DC">
        <w:t xml:space="preserve"> that:</w:t>
      </w:r>
    </w:p>
    <w:p w14:paraId="368CE8EF" w14:textId="3EB26CDF" w:rsidR="00FF25F3" w:rsidRPr="008625DC" w:rsidRDefault="00FF25F3" w:rsidP="002F6343">
      <w:pPr>
        <w:pStyle w:val="Quotes"/>
      </w:pPr>
      <w:r w:rsidRPr="008625DC">
        <w:t xml:space="preserve">The process of prescribing the cartel offences with the necessary degree of specificity required of a criminal offence has resulted in drafting that is complex and which may not provide adequate certainty. </w:t>
      </w:r>
      <w:r w:rsidR="00B827FB" w:rsidRPr="008625DC">
        <w:t>(</w:t>
      </w:r>
      <w:r w:rsidRPr="008625DC">
        <w:t>ACCC</w:t>
      </w:r>
      <w:r w:rsidR="004F49B5" w:rsidRPr="008625DC">
        <w:t xml:space="preserve"> </w:t>
      </w:r>
      <w:r w:rsidR="000376F5" w:rsidRPr="008625DC">
        <w:t>S</w:t>
      </w:r>
      <w:r w:rsidR="004F49B5" w:rsidRPr="008625DC">
        <w:t>ubmission 1</w:t>
      </w:r>
      <w:r w:rsidRPr="008625DC">
        <w:t>, p</w:t>
      </w:r>
      <w:r w:rsidR="004F49B5" w:rsidRPr="008625DC">
        <w:t>age</w:t>
      </w:r>
      <w:r w:rsidRPr="008625DC">
        <w:t> 93</w:t>
      </w:r>
      <w:r w:rsidR="00B827FB" w:rsidRPr="008625DC">
        <w:t>)</w:t>
      </w:r>
    </w:p>
    <w:p w14:paraId="05407ED2" w14:textId="0215F42C" w:rsidR="00D326E1" w:rsidRPr="008625DC" w:rsidRDefault="00663801" w:rsidP="003F3117">
      <w:r w:rsidRPr="008625DC">
        <w:t>S</w:t>
      </w:r>
      <w:r w:rsidR="00D326E1" w:rsidRPr="008625DC">
        <w:t xml:space="preserve">erious cartel conduct can cause significant damage to the competitive process and </w:t>
      </w:r>
      <w:r w:rsidR="000F1437" w:rsidRPr="008625DC">
        <w:t xml:space="preserve">the Panel </w:t>
      </w:r>
      <w:r w:rsidR="00D326E1" w:rsidRPr="008625DC">
        <w:t xml:space="preserve">therefore supports the use of criminal sanctions to punish </w:t>
      </w:r>
      <w:r w:rsidR="00C85DDE" w:rsidRPr="008625DC">
        <w:t xml:space="preserve">and deter </w:t>
      </w:r>
      <w:r w:rsidR="00D326E1" w:rsidRPr="008625DC">
        <w:t xml:space="preserve">cartel behaviour. </w:t>
      </w:r>
      <w:r w:rsidR="00C85DDE" w:rsidRPr="008625DC">
        <w:t>While drafting criminal conduct provisions must necessarily involve a degree of specificity, the Panel considers that the cartel provision</w:t>
      </w:r>
      <w:r w:rsidR="00DB0436" w:rsidRPr="008625DC">
        <w:t>s</w:t>
      </w:r>
      <w:r w:rsidR="00C85DDE" w:rsidRPr="008625DC">
        <w:t xml:space="preserve"> in their current form are overly complex and do not provide businesses with </w:t>
      </w:r>
      <w:r w:rsidR="00C428BA" w:rsidRPr="008625DC">
        <w:t>s</w:t>
      </w:r>
      <w:r w:rsidR="00F36AE8" w:rsidRPr="008625DC">
        <w:t>ufficient</w:t>
      </w:r>
      <w:r w:rsidR="00C85DDE" w:rsidRPr="008625DC">
        <w:t xml:space="preserve"> clarity and certainty.</w:t>
      </w:r>
    </w:p>
    <w:p w14:paraId="288FDA37" w14:textId="29B1C61D" w:rsidR="00FF25F3" w:rsidRPr="008625DC" w:rsidRDefault="00FF25F3" w:rsidP="002F6343">
      <w:r w:rsidRPr="008625DC">
        <w:t>The New Zealand Parliament is considering amendments to th</w:t>
      </w:r>
      <w:r w:rsidR="000F1437" w:rsidRPr="008625DC">
        <w:t>at country</w:t>
      </w:r>
      <w:r w:rsidR="00C74E19" w:rsidRPr="008625DC">
        <w:t>’</w:t>
      </w:r>
      <w:r w:rsidR="000F1437" w:rsidRPr="008625DC">
        <w:t>s</w:t>
      </w:r>
      <w:r w:rsidRPr="008625DC">
        <w:t xml:space="preserve"> competition law to introduce criminal sanctions for cartel conduct. The proposed amendments are contained in the Commerce (Cartels and Other Matters) Amendments Bill 2014. The proposed cartel provisions are similar in many respects to the Australian cartel law, but are in a shorter and simpler form. The Panel considers that the proposed approach in New Zealand provides a useful illustration of how the law might be simplified in Australia.</w:t>
      </w:r>
    </w:p>
    <w:p w14:paraId="31B34866" w14:textId="1CCDCAFF" w:rsidR="00FF25F3" w:rsidRPr="008625DC" w:rsidRDefault="00FF25F3" w:rsidP="002F6343">
      <w:r w:rsidRPr="008625DC">
        <w:t>The Panel also considers that the prohibition of exclusionary provisions, separately from cartel conduct, is unnecessary and increases the complexity of the law. The definition of exclusionary provisions overlaps substantially with the definition of market sharing, a form of cartel conduct. The</w:t>
      </w:r>
      <w:r w:rsidR="00E607A5" w:rsidRPr="008625DC">
        <w:t> </w:t>
      </w:r>
      <w:r w:rsidRPr="008625DC">
        <w:t xml:space="preserve">Panel recommends that the separate prohibition of exclusionary provisions </w:t>
      </w:r>
      <w:r w:rsidR="000F1437" w:rsidRPr="008625DC">
        <w:t>be</w:t>
      </w:r>
      <w:r w:rsidRPr="008625DC">
        <w:t xml:space="preserve"> removed from the</w:t>
      </w:r>
      <w:r w:rsidR="00E607A5" w:rsidRPr="008625DC">
        <w:t> </w:t>
      </w:r>
      <w:r w:rsidRPr="008625DC">
        <w:t>CCA.</w:t>
      </w:r>
    </w:p>
    <w:p w14:paraId="45ED316B" w14:textId="77777777" w:rsidR="00FF25F3" w:rsidRPr="008625DC" w:rsidRDefault="00FF25F3" w:rsidP="00FB084C">
      <w:pPr>
        <w:pStyle w:val="Heading3"/>
      </w:pPr>
      <w:r w:rsidRPr="008625DC">
        <w:t>Modifying the scope of the cartel prohibitions</w:t>
      </w:r>
    </w:p>
    <w:p w14:paraId="378DB0D6" w14:textId="74BD70E8" w:rsidR="00FF25F3" w:rsidRPr="008625DC" w:rsidRDefault="00FF25F3" w:rsidP="002F6343">
      <w:r w:rsidRPr="008625DC">
        <w:t>As noted earlier, it is important that competition law achieve the correct balance between prohibiting anti</w:t>
      </w:r>
      <w:r w:rsidR="00C74E19" w:rsidRPr="008625DC">
        <w:noBreakHyphen/>
      </w:r>
      <w:r w:rsidRPr="008625DC">
        <w:t xml:space="preserve">competitive conduct and not prohibiting </w:t>
      </w:r>
      <w:r w:rsidR="00DB0436" w:rsidRPr="008625DC">
        <w:t>pro</w:t>
      </w:r>
      <w:r w:rsidR="00C74E19" w:rsidRPr="008625DC">
        <w:noBreakHyphen/>
      </w:r>
      <w:r w:rsidRPr="008625DC">
        <w:t>competitive conduct. This is particularly important in the context of the cartel law, which prohibits conduct per se and imposes criminal sanctions.</w:t>
      </w:r>
    </w:p>
    <w:p w14:paraId="51C5C8D9" w14:textId="02B1958C" w:rsidR="00FF25F3" w:rsidRPr="008625DC" w:rsidRDefault="00FF25F3" w:rsidP="002F6343">
      <w:r w:rsidRPr="008625DC">
        <w:t xml:space="preserve">Concerns </w:t>
      </w:r>
      <w:r w:rsidR="000F1437" w:rsidRPr="008625DC">
        <w:t>are</w:t>
      </w:r>
      <w:r w:rsidRPr="008625DC">
        <w:t xml:space="preserve"> raised in submissions that the existing cartel law captures conduct that ought not to be prohibited, either because the prohibitions are too broad or the current exemptions are too narrow. Four specific problems with the current law have been raised.</w:t>
      </w:r>
    </w:p>
    <w:p w14:paraId="2BB71522" w14:textId="07F52E97" w:rsidR="00FF25F3" w:rsidRPr="008625DC" w:rsidRDefault="00FF25F3" w:rsidP="002F6343">
      <w:pPr>
        <w:pStyle w:val="Heading4"/>
      </w:pPr>
      <w:r w:rsidRPr="008625DC">
        <w:lastRenderedPageBreak/>
        <w:t>Market limitation</w:t>
      </w:r>
    </w:p>
    <w:p w14:paraId="29B28D33" w14:textId="5262E8CB" w:rsidR="00FF25F3" w:rsidRPr="008625DC" w:rsidRDefault="00FF25F3" w:rsidP="002F6343">
      <w:r w:rsidRPr="008625DC">
        <w:t>Australia</w:t>
      </w:r>
      <w:r w:rsidR="00C74E19" w:rsidRPr="008625DC">
        <w:t>’</w:t>
      </w:r>
      <w:r w:rsidRPr="008625DC">
        <w:t>s competition law is generally directed to conduct that harms competition in markets in Australia</w:t>
      </w:r>
      <w:r w:rsidR="00956EFF" w:rsidRPr="008625DC">
        <w:t xml:space="preserve"> (see </w:t>
      </w:r>
      <w:hyperlink w:anchor="Ch14" w:history="1">
        <w:r w:rsidR="00956EFF" w:rsidRPr="008625DC">
          <w:rPr>
            <w:rStyle w:val="Hyperlink"/>
          </w:rPr>
          <w:t xml:space="preserve">Chapter </w:t>
        </w:r>
        <w:r w:rsidR="00311F43" w:rsidRPr="008625DC">
          <w:rPr>
            <w:rStyle w:val="Hyperlink"/>
          </w:rPr>
          <w:t>14</w:t>
        </w:r>
      </w:hyperlink>
      <w:r w:rsidR="00956EFF" w:rsidRPr="008625DC">
        <w:t>)</w:t>
      </w:r>
      <w:r w:rsidRPr="008625DC">
        <w:t>. Th</w:t>
      </w:r>
      <w:r w:rsidR="000F1437" w:rsidRPr="008625DC">
        <w:t>is</w:t>
      </w:r>
      <w:r w:rsidRPr="008625DC">
        <w:t xml:space="preserve"> is because the CCA is concerned with the economic welfare of Australians, not citizens of other countries.</w:t>
      </w:r>
    </w:p>
    <w:p w14:paraId="41DF9AD2" w14:textId="5B228B80" w:rsidR="00FF25F3" w:rsidRPr="008625DC" w:rsidRDefault="00FF25F3" w:rsidP="002F6343">
      <w:r w:rsidRPr="008625DC">
        <w:t xml:space="preserve">However, the cartel conduct prohibition is not expressly limited to arrangements affecting competition in Australian markets. In </w:t>
      </w:r>
      <w:r w:rsidR="004F7853" w:rsidRPr="008625DC">
        <w:rPr>
          <w:i/>
        </w:rPr>
        <w:t>Norcast v Bradken</w:t>
      </w:r>
      <w:r w:rsidR="004F7853" w:rsidRPr="008625DC">
        <w:t>,</w:t>
      </w:r>
      <w:r w:rsidR="004F7853" w:rsidRPr="008625DC">
        <w:rPr>
          <w:rStyle w:val="FootnoteReference"/>
        </w:rPr>
        <w:footnoteReference w:id="306"/>
      </w:r>
      <w:r w:rsidRPr="008625DC">
        <w:t xml:space="preserve"> the first and only case that has considered the cartel prohibitions</w:t>
      </w:r>
      <w:r w:rsidR="004F7853" w:rsidRPr="008625DC">
        <w:t xml:space="preserve"> to date</w:t>
      </w:r>
      <w:r w:rsidRPr="008625DC">
        <w:t>, the cartel prohibitions were found to be applicable to an arrangement concerning a tender for the sale of a Canadian corporation, which had business operations in Canada, Malaysia and Singapore, where the seller was based outside Australia</w:t>
      </w:r>
      <w:r w:rsidR="00DB0436" w:rsidRPr="008625DC">
        <w:t>,</w:t>
      </w:r>
      <w:r w:rsidRPr="008625DC">
        <w:t xml:space="preserve"> and the tender was conducted outside Australia.</w:t>
      </w:r>
    </w:p>
    <w:p w14:paraId="3A433418" w14:textId="77777777" w:rsidR="00FF25F3" w:rsidRPr="008625DC" w:rsidRDefault="00FF25F3" w:rsidP="002F6343">
      <w:r w:rsidRPr="008625DC">
        <w:t xml:space="preserve">The Panel considers that there is no reason why the cartel conduct prohibitions should differ from the other competition law prohibitions. As a comparison, the New Zealand Bill proposes to restrict the cartel conduct prohibition to conduct affecting the supply or acquisition of goods or services in New Zealand. </w:t>
      </w:r>
    </w:p>
    <w:p w14:paraId="3F325356" w14:textId="28FCD02E" w:rsidR="00FF25F3" w:rsidRPr="008625DC" w:rsidRDefault="00FF25F3" w:rsidP="002F6343">
      <w:pPr>
        <w:pStyle w:val="Heading4"/>
      </w:pPr>
      <w:r w:rsidRPr="008625DC">
        <w:t>Competing firms</w:t>
      </w:r>
    </w:p>
    <w:p w14:paraId="08B3E330" w14:textId="27AAB6D7" w:rsidR="00FF25F3" w:rsidRPr="008625DC" w:rsidRDefault="00FF25F3" w:rsidP="002F6343">
      <w:r w:rsidRPr="008625DC">
        <w:t>Cartel conduct involves two or more competitors agreeing with each other not to compete. Cartels harm consumers because they usually increase prices or reduce choice.</w:t>
      </w:r>
    </w:p>
    <w:p w14:paraId="781F4CD9" w14:textId="0B89E73F" w:rsidR="00FF25F3" w:rsidRPr="008625DC" w:rsidRDefault="00FF25F3" w:rsidP="002F6343">
      <w:r w:rsidRPr="008625DC">
        <w:t xml:space="preserve">The cartel prohibition sets a very low threshold for its application. In </w:t>
      </w:r>
      <w:r w:rsidRPr="008625DC">
        <w:rPr>
          <w:i/>
        </w:rPr>
        <w:t>Norcast v Bradken</w:t>
      </w:r>
      <w:r w:rsidRPr="008625DC">
        <w:t xml:space="preserve"> the Federal Court concluded that the prohibition applies to an arrangement between corporations if there is a possibility (other than a remote possibility) that they are or would be in competition with each other.</w:t>
      </w:r>
      <w:r w:rsidR="00DB0436" w:rsidRPr="008625DC">
        <w:rPr>
          <w:rStyle w:val="FootnoteReference"/>
        </w:rPr>
        <w:footnoteReference w:id="307"/>
      </w:r>
    </w:p>
    <w:p w14:paraId="4E6AC93E" w14:textId="77777777" w:rsidR="000F1437" w:rsidRPr="008625DC" w:rsidRDefault="00FF25F3" w:rsidP="002F6343">
      <w:r w:rsidRPr="008625DC">
        <w:t>The Panel considers that th</w:t>
      </w:r>
      <w:r w:rsidR="000F1437" w:rsidRPr="008625DC">
        <w:t>is</w:t>
      </w:r>
      <w:r w:rsidRPr="008625DC">
        <w:t xml:space="preserve"> threshold is too low. It is common for corporations that are not in competition with each other in their immediate markets to undertake joint or collaborative activities that produce consumer benefits. Under the current law those activities would constitute cartel conduct and be subject to criminal sanctions, if there is a possibility that they might compete in the relevant field of activity.</w:t>
      </w:r>
    </w:p>
    <w:p w14:paraId="63D42BAC" w14:textId="2AFEE0D2" w:rsidR="00FF25F3" w:rsidRPr="008625DC" w:rsidRDefault="00FF25F3" w:rsidP="002F6343">
      <w:r w:rsidRPr="008625DC">
        <w:t xml:space="preserve">The Panel considers that the cartel prohibition should only apply to corporations </w:t>
      </w:r>
      <w:r w:rsidR="00956EFF" w:rsidRPr="008625DC">
        <w:t>that</w:t>
      </w:r>
      <w:r w:rsidRPr="008625DC">
        <w:t xml:space="preserve"> are in competition with each other or are likely to be in competition with each other, where likelihood is assessed on the balance of probabilities</w:t>
      </w:r>
      <w:r w:rsidR="005F3C6C" w:rsidRPr="008625DC">
        <w:t xml:space="preserve"> (i.e</w:t>
      </w:r>
      <w:r w:rsidRPr="008625DC">
        <w:t>.</w:t>
      </w:r>
      <w:r w:rsidR="005F3C6C" w:rsidRPr="008625DC">
        <w:t xml:space="preserve"> more likely that not).</w:t>
      </w:r>
    </w:p>
    <w:p w14:paraId="5D9C55A7" w14:textId="6F389913" w:rsidR="00FF25F3" w:rsidRPr="008625DC" w:rsidRDefault="00FF25F3" w:rsidP="00A438AF">
      <w:pPr>
        <w:pStyle w:val="Heading4"/>
        <w:spacing w:after="180"/>
      </w:pPr>
      <w:r w:rsidRPr="008625DC">
        <w:t>Joint ventures</w:t>
      </w:r>
    </w:p>
    <w:p w14:paraId="518EBE49" w14:textId="113ADF4F" w:rsidR="00FF25F3" w:rsidRPr="008625DC" w:rsidRDefault="00FF25F3" w:rsidP="002F6343">
      <w:r w:rsidRPr="008625DC">
        <w:t xml:space="preserve">Joint ventures are a means by which </w:t>
      </w:r>
      <w:r w:rsidR="004F49B5" w:rsidRPr="008625DC">
        <w:t>two</w:t>
      </w:r>
      <w:r w:rsidRPr="008625DC">
        <w:t xml:space="preserve"> or more corporations collaborate to undertake a commercial activity. They can be pro</w:t>
      </w:r>
      <w:r w:rsidR="00C74E19" w:rsidRPr="008625DC">
        <w:noBreakHyphen/>
      </w:r>
      <w:r w:rsidRPr="008625DC">
        <w:t>competitive when they are employed as a means of developing new products or services or producing existing products or services more efficiently. However, they may have anti</w:t>
      </w:r>
      <w:r w:rsidR="00C74E19" w:rsidRPr="008625DC">
        <w:noBreakHyphen/>
      </w:r>
      <w:r w:rsidRPr="008625DC">
        <w:t>competitive effects, particularly where the participants are strong competitors in the field of activity that is proposed to be the subject of the joint venture.</w:t>
      </w:r>
    </w:p>
    <w:p w14:paraId="6C26CF75" w14:textId="77777777" w:rsidR="00FF25F3" w:rsidRPr="008625DC" w:rsidRDefault="00FF25F3" w:rsidP="00B4260E">
      <w:pPr>
        <w:keepNext/>
        <w:keepLines/>
        <w:spacing w:after="120"/>
      </w:pPr>
      <w:r w:rsidRPr="008625DC">
        <w:lastRenderedPageBreak/>
        <w:t>The CCA provides exemptions from the criminal and civil cartel prohibitions for joint ventures, but the exemption is narrowly framed. It only applies where:</w:t>
      </w:r>
    </w:p>
    <w:p w14:paraId="27F1ACA6" w14:textId="77777777" w:rsidR="00FF25F3" w:rsidRPr="008625DC" w:rsidRDefault="00FF25F3" w:rsidP="002F6343">
      <w:pPr>
        <w:pStyle w:val="Bullet"/>
      </w:pPr>
      <w:r w:rsidRPr="008625DC">
        <w:t>the cartel provision is in a contract;</w:t>
      </w:r>
    </w:p>
    <w:p w14:paraId="7D791A6B" w14:textId="77777777" w:rsidR="00FF25F3" w:rsidRPr="008625DC" w:rsidRDefault="00FF25F3" w:rsidP="002F6343">
      <w:pPr>
        <w:pStyle w:val="Bullet"/>
      </w:pPr>
      <w:r w:rsidRPr="008625DC">
        <w:t>it is for the purposes of a joint venture;</w:t>
      </w:r>
    </w:p>
    <w:p w14:paraId="29F76AF7" w14:textId="77777777" w:rsidR="00FF25F3" w:rsidRPr="008625DC" w:rsidRDefault="00FF25F3" w:rsidP="002F6343">
      <w:pPr>
        <w:pStyle w:val="Bullet"/>
      </w:pPr>
      <w:r w:rsidRPr="008625DC">
        <w:t>the joint venture is for the production and/or supply of goods or services;</w:t>
      </w:r>
    </w:p>
    <w:p w14:paraId="13CF5562" w14:textId="60FC5DF2" w:rsidR="00FF25F3" w:rsidRPr="008625DC" w:rsidRDefault="00FF25F3" w:rsidP="002F6343">
      <w:pPr>
        <w:pStyle w:val="Bullet"/>
      </w:pPr>
      <w:r w:rsidRPr="008625DC">
        <w:t xml:space="preserve">in the case of an unincorporated joint venture, it is carried on jointly </w:t>
      </w:r>
      <w:r w:rsidR="00220BB0" w:rsidRPr="008625DC">
        <w:t>by</w:t>
      </w:r>
      <w:r w:rsidRPr="008625DC">
        <w:t xml:space="preserve"> the parties to the contract; and</w:t>
      </w:r>
    </w:p>
    <w:p w14:paraId="140B474D" w14:textId="77777777" w:rsidR="00FF25F3" w:rsidRPr="008625DC" w:rsidRDefault="00FF25F3" w:rsidP="00B4260E">
      <w:pPr>
        <w:pStyle w:val="Bullet"/>
        <w:spacing w:after="240"/>
      </w:pPr>
      <w:r w:rsidRPr="008625DC">
        <w:t>in the case of an incorporated joint venture, the joint venture company has been formed to enable the parties to carry on the joint venture under their joint control or ownership of shares.</w:t>
      </w:r>
    </w:p>
    <w:p w14:paraId="0FBB1F61" w14:textId="5E07838C" w:rsidR="00FF25F3" w:rsidRPr="008625DC" w:rsidRDefault="00FF25F3" w:rsidP="002F6343">
      <w:r w:rsidRPr="008625DC">
        <w:t xml:space="preserve">Submissions raise concerns that the narrow application of the current exemption </w:t>
      </w:r>
      <w:r w:rsidR="00220BB0" w:rsidRPr="008625DC">
        <w:t>is</w:t>
      </w:r>
      <w:r w:rsidRPr="008625DC">
        <w:t xml:space="preserve"> limiting legitimate commercial transactions. Some submissions note inconsistencies with other provisions of the CCA dealing with joint ventures.</w:t>
      </w:r>
      <w:r w:rsidR="000376F5" w:rsidRPr="008625DC">
        <w:rPr>
          <w:rStyle w:val="FootnoteReference"/>
        </w:rPr>
        <w:footnoteReference w:id="308"/>
      </w:r>
    </w:p>
    <w:p w14:paraId="18AF8DE1" w14:textId="77777777" w:rsidR="00FF25F3" w:rsidRPr="008625DC" w:rsidRDefault="00FF25F3" w:rsidP="002F6343">
      <w:r w:rsidRPr="008625DC">
        <w:t>Exempting joint ventures from the cartel conduct prohibition does not remove them from the scope of the CCA. A joint venture that has the effect of substantially lessening competition will be prohibited by section 45 of the CCA. Accordingly, the relevant question is whether joint ventures should be assessed under the cartel prohibition, which imposes per se liability and criminal sanctions, or assessed under the usual test of substantially lessening competition.</w:t>
      </w:r>
    </w:p>
    <w:p w14:paraId="21E2A8B6" w14:textId="77777777" w:rsidR="00FF25F3" w:rsidRPr="008625DC" w:rsidRDefault="00FF25F3" w:rsidP="002F6343">
      <w:r w:rsidRPr="008625DC">
        <w:t>The Panel considers that joint ventures should be assessed against a competition test and that the current joint venture defence to cartel conduct is too narrow. The various limitations in the defence are unnecessary and increase business compliance costs. In particular, the defence need not be confined to provisions within written contracts (joint ventures include less formal documentation, including operating procedures) nor confined to production and supply joint ventures.</w:t>
      </w:r>
    </w:p>
    <w:p w14:paraId="0F6F1BE5" w14:textId="77777777" w:rsidR="00FF25F3" w:rsidRPr="008625DC" w:rsidRDefault="00FF25F3" w:rsidP="002F6343">
      <w:r w:rsidRPr="008625DC">
        <w:t>Again, as a comparison, the New Zealand Bill contains a broader exemption in respect of collaborative activity. While the New Zealand exemption may be too broad, the limitations in the Australian law should be broadened.</w:t>
      </w:r>
    </w:p>
    <w:p w14:paraId="348DE880" w14:textId="0F5C7A21" w:rsidR="00FF25F3" w:rsidRPr="008625DC" w:rsidRDefault="00FF25F3" w:rsidP="002F6343">
      <w:pPr>
        <w:pStyle w:val="Heading4"/>
      </w:pPr>
      <w:r w:rsidRPr="008625DC">
        <w:t>Vertical supply arrangements</w:t>
      </w:r>
    </w:p>
    <w:p w14:paraId="431D34D7" w14:textId="17BD24A7" w:rsidR="00FF25F3" w:rsidRPr="008625DC" w:rsidRDefault="00FF25F3" w:rsidP="002F6343">
      <w:r w:rsidRPr="008625DC">
        <w:t>As discussed below, restrictions imposed in connection with the supply or acquisition of goods or services are common and may be pro</w:t>
      </w:r>
      <w:r w:rsidR="00C74E19" w:rsidRPr="008625DC">
        <w:noBreakHyphen/>
      </w:r>
      <w:r w:rsidRPr="008625DC">
        <w:t>competitive or anti</w:t>
      </w:r>
      <w:r w:rsidR="00C74E19" w:rsidRPr="008625DC">
        <w:noBreakHyphen/>
      </w:r>
      <w:r w:rsidRPr="008625DC">
        <w:t>competitive depending on the circumstances. For example, a franchisor may require its franchisees to confine their trading to a particular geographic region. Provided the products supplied by the franchise compete with a wide range of other products, the geographic restriction may increase competition by encouraging franchisees to invest in their designated business area.</w:t>
      </w:r>
    </w:p>
    <w:p w14:paraId="5280FABD" w14:textId="38013508" w:rsidR="00FF25F3" w:rsidRPr="008625DC" w:rsidRDefault="00FF25F3" w:rsidP="002F6343">
      <w:r w:rsidRPr="008625DC">
        <w:t>For that reason, vertical supply restrictions are usually only prohibited if they have the purpose</w:t>
      </w:r>
      <w:r w:rsidR="002D17D6" w:rsidRPr="008625DC">
        <w:t xml:space="preserve">, </w:t>
      </w:r>
      <w:r w:rsidR="00794A31" w:rsidRPr="008625DC">
        <w:t>or has or is likely to have the effect of substantially lessening competition</w:t>
      </w:r>
      <w:r w:rsidRPr="008625DC">
        <w:t>. Likewise, vertical supply restrictions should be exempted from the cartel prohibitions so that t</w:t>
      </w:r>
      <w:r w:rsidR="00A438AF">
        <w:t>hey are not captured by the per </w:t>
      </w:r>
      <w:r w:rsidRPr="008625DC">
        <w:t>se prohibition.</w:t>
      </w:r>
    </w:p>
    <w:p w14:paraId="39200E4F" w14:textId="6CC7C8B4" w:rsidR="00FF25F3" w:rsidRPr="008625DC" w:rsidRDefault="00FF25F3" w:rsidP="002F6343">
      <w:r w:rsidRPr="008625DC">
        <w:lastRenderedPageBreak/>
        <w:t xml:space="preserve">The CCA currently provides an exemption </w:t>
      </w:r>
      <w:r w:rsidR="005F3C6C" w:rsidRPr="008625DC">
        <w:t xml:space="preserve">from the cartel conduct prohibitions </w:t>
      </w:r>
      <w:r w:rsidRPr="008625DC">
        <w:t>for vertical supply restrictions that constitute exclusive dealing within section</w:t>
      </w:r>
      <w:r w:rsidR="004A182D" w:rsidRPr="008625DC">
        <w:t> </w:t>
      </w:r>
      <w:r w:rsidRPr="008625DC">
        <w:t>47 of the CCA. Submissions raise concerns that the exemption is too narrow. While section</w:t>
      </w:r>
      <w:r w:rsidR="004A182D" w:rsidRPr="008625DC">
        <w:t> </w:t>
      </w:r>
      <w:r w:rsidRPr="008625DC">
        <w:t>47 covers various forms of exclusive dealing, it does not cover all forms of vertical supply restrictions. Accordingly, vertical supply restrictions not covered by section</w:t>
      </w:r>
      <w:r w:rsidR="004A182D" w:rsidRPr="008625DC">
        <w:t> </w:t>
      </w:r>
      <w:r w:rsidRPr="008625DC">
        <w:t xml:space="preserve">47 are also outside the exemption to the cartel </w:t>
      </w:r>
      <w:r w:rsidR="005F3C6C" w:rsidRPr="008625DC">
        <w:t xml:space="preserve">conduct </w:t>
      </w:r>
      <w:r w:rsidRPr="008625DC">
        <w:t>prohibition</w:t>
      </w:r>
      <w:r w:rsidR="005F3C6C" w:rsidRPr="008625DC">
        <w:t>s</w:t>
      </w:r>
      <w:r w:rsidRPr="008625DC">
        <w:t>.</w:t>
      </w:r>
    </w:p>
    <w:p w14:paraId="1DD1CAE3" w14:textId="4021FBE0" w:rsidR="00FF25F3" w:rsidRPr="008625DC" w:rsidRDefault="00FF25F3" w:rsidP="002F6343">
      <w:r w:rsidRPr="008625DC">
        <w:t>The Panel considers that a broader exemption should be included to ensure that vertical supply restrictions are assessed under a competition test rather than a per se prohibition. Again, as a comparison, the New Zealand Bill contains a broader exemption in respect of vertical supply restrictions.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2121B" w:rsidRPr="008625DC" w14:paraId="315B52CD" w14:textId="77777777" w:rsidTr="0052543A">
        <w:tc>
          <w:tcPr>
            <w:tcW w:w="5000" w:type="pct"/>
            <w:shd w:val="clear" w:color="auto" w:fill="FFFFFF" w:themeFill="background1"/>
          </w:tcPr>
          <w:p w14:paraId="27F1340F" w14:textId="0CD5AB10" w:rsidR="0002121B" w:rsidRPr="008625DC" w:rsidRDefault="0002121B" w:rsidP="00FB66D9">
            <w:pPr>
              <w:pStyle w:val="Keyfindingheading"/>
              <w:spacing w:after="80"/>
            </w:pPr>
            <w:r w:rsidRPr="008625DC">
              <w:t>The Panel</w:t>
            </w:r>
            <w:r w:rsidR="00C74E19" w:rsidRPr="008625DC">
              <w:t>’</w:t>
            </w:r>
            <w:r w:rsidRPr="008625DC">
              <w:t>s view</w:t>
            </w:r>
          </w:p>
          <w:p w14:paraId="580AFEBB" w14:textId="35EB026E" w:rsidR="00FF25F3" w:rsidRPr="008625DC" w:rsidRDefault="00FF25F3" w:rsidP="00FF25F3">
            <w:pPr>
              <w:pStyle w:val="Keyfindingtext"/>
            </w:pPr>
            <w:bookmarkStart w:id="30818" w:name="_Toc393973996"/>
            <w:bookmarkStart w:id="30819" w:name="_Toc393985023"/>
            <w:bookmarkStart w:id="30820" w:name="_Toc393985526"/>
            <w:bookmarkStart w:id="30821" w:name="_Toc393985928"/>
            <w:bookmarkStart w:id="30822" w:name="_Toc393986331"/>
            <w:bookmarkStart w:id="30823" w:name="_Toc393987938"/>
            <w:bookmarkStart w:id="30824" w:name="_Toc393989351"/>
            <w:bookmarkStart w:id="30825" w:name="_Toc393987842"/>
            <w:bookmarkStart w:id="30826" w:name="_Toc393988739"/>
            <w:bookmarkStart w:id="30827" w:name="_Toc393990743"/>
            <w:bookmarkStart w:id="30828" w:name="_Toc393991725"/>
            <w:bookmarkStart w:id="30829" w:name="_Toc394047390"/>
            <w:bookmarkStart w:id="30830" w:name="_Toc394047355"/>
            <w:bookmarkStart w:id="30831" w:name="_Toc394049666"/>
            <w:bookmarkStart w:id="30832" w:name="_Toc394051066"/>
            <w:bookmarkStart w:id="30833" w:name="_Toc394062055"/>
            <w:bookmarkStart w:id="30834" w:name="_Toc394068930"/>
            <w:bookmarkStart w:id="30835" w:name="_Toc394070752"/>
            <w:bookmarkStart w:id="30836" w:name="_Toc394312254"/>
            <w:bookmarkStart w:id="30837" w:name="_Toc394330151"/>
            <w:bookmarkStart w:id="30838" w:name="_Toc394333125"/>
            <w:bookmarkStart w:id="30839" w:name="_Toc394332703"/>
            <w:bookmarkStart w:id="30840" w:name="_Toc394333538"/>
            <w:bookmarkStart w:id="30841" w:name="_Toc394333951"/>
            <w:bookmarkStart w:id="30842" w:name="_Toc394334777"/>
            <w:bookmarkStart w:id="30843" w:name="_Toc394411489"/>
            <w:bookmarkStart w:id="30844" w:name="_Toc394414963"/>
            <w:bookmarkStart w:id="30845" w:name="_Toc394412268"/>
            <w:bookmarkStart w:id="30846" w:name="_Toc394420544"/>
            <w:bookmarkStart w:id="30847" w:name="_Toc394421018"/>
            <w:bookmarkStart w:id="30848" w:name="_Toc394423388"/>
            <w:bookmarkStart w:id="30849" w:name="_Toc394420322"/>
            <w:bookmarkStart w:id="30850" w:name="_Toc394422431"/>
            <w:bookmarkStart w:id="30851" w:name="_Toc394422902"/>
            <w:bookmarkStart w:id="30852" w:name="_Toc394424052"/>
            <w:bookmarkStart w:id="30853" w:name="_Toc394491887"/>
            <w:bookmarkStart w:id="30854" w:name="_Toc394495032"/>
            <w:bookmarkStart w:id="30855" w:name="_Toc394497844"/>
            <w:bookmarkStart w:id="30856" w:name="_Toc394500636"/>
            <w:bookmarkStart w:id="30857" w:name="_Toc394502040"/>
            <w:bookmarkStart w:id="30858" w:name="_Toc394502942"/>
            <w:bookmarkStart w:id="30859" w:name="_Toc394502486"/>
            <w:bookmarkStart w:id="30860" w:name="_Toc394505693"/>
            <w:bookmarkStart w:id="30861" w:name="_Toc394506032"/>
            <w:bookmarkStart w:id="30862" w:name="_Toc394506706"/>
            <w:bookmarkStart w:id="30863" w:name="_Toc394560779"/>
            <w:bookmarkStart w:id="30864" w:name="_Toc394561243"/>
            <w:bookmarkStart w:id="30865" w:name="_Toc394938447"/>
            <w:bookmarkStart w:id="30866" w:name="_Toc394937728"/>
            <w:bookmarkStart w:id="30867" w:name="_Toc394941360"/>
            <w:bookmarkStart w:id="30868" w:name="_Toc394941976"/>
            <w:bookmarkStart w:id="30869" w:name="_Toc394940198"/>
            <w:bookmarkStart w:id="30870" w:name="_Toc394939795"/>
            <w:bookmarkStart w:id="30871" w:name="_Toc394993692"/>
            <w:bookmarkStart w:id="30872" w:name="_Toc394995574"/>
            <w:bookmarkStart w:id="30873" w:name="_Toc394995888"/>
            <w:bookmarkStart w:id="30874" w:name="_Toc394998133"/>
            <w:bookmarkStart w:id="30875" w:name="_Toc394998647"/>
            <w:bookmarkStart w:id="30876" w:name="_Toc395002146"/>
            <w:bookmarkStart w:id="30877" w:name="_Toc395001626"/>
            <w:bookmarkStart w:id="30878" w:name="_Toc395002915"/>
            <w:bookmarkStart w:id="30879" w:name="_Toc395003500"/>
            <w:bookmarkStart w:id="30880" w:name="_Toc395005741"/>
            <w:bookmarkStart w:id="30881" w:name="_Toc395009735"/>
            <w:bookmarkStart w:id="30882" w:name="_Toc395010477"/>
            <w:bookmarkStart w:id="30883" w:name="_Toc395012659"/>
            <w:bookmarkStart w:id="30884" w:name="_Toc395013121"/>
            <w:bookmarkStart w:id="30885" w:name="_Toc395012123"/>
            <w:bookmarkStart w:id="30886" w:name="_Toc395014462"/>
            <w:bookmarkStart w:id="30887" w:name="_Toc395084809"/>
            <w:bookmarkStart w:id="30888" w:name="_Toc395085110"/>
            <w:bookmarkStart w:id="30889" w:name="_Toc395090576"/>
            <w:bookmarkStart w:id="30890" w:name="_Toc395093158"/>
            <w:bookmarkStart w:id="30891" w:name="_Toc395098070"/>
            <w:bookmarkStart w:id="30892" w:name="_Toc395106254"/>
            <w:bookmarkStart w:id="30893" w:name="_Toc395109516"/>
            <w:bookmarkStart w:id="30894" w:name="_Toc395109844"/>
            <w:bookmarkStart w:id="30895" w:name="_Toc395112221"/>
            <w:bookmarkStart w:id="30896" w:name="_Toc395107363"/>
            <w:bookmarkStart w:id="30897" w:name="_Toc395108924"/>
            <w:bookmarkStart w:id="30898" w:name="_Toc395114164"/>
            <w:bookmarkStart w:id="30899" w:name="_Toc395116901"/>
            <w:bookmarkStart w:id="30900" w:name="_Toc395112838"/>
            <w:bookmarkStart w:id="30901" w:name="_Toc395115378"/>
            <w:bookmarkStart w:id="30902" w:name="_Toc395118530"/>
            <w:bookmarkStart w:id="30903" w:name="_Toc395624719"/>
            <w:bookmarkStart w:id="30904" w:name="_Toc395790070"/>
            <w:bookmarkStart w:id="30905" w:name="_Toc395800828"/>
            <w:bookmarkStart w:id="30906" w:name="_Toc394941363"/>
            <w:bookmarkStart w:id="30907" w:name="_Toc394941979"/>
            <w:bookmarkStart w:id="30908" w:name="_Toc394940201"/>
            <w:bookmarkStart w:id="30909" w:name="_Toc394939798"/>
            <w:bookmarkStart w:id="30910" w:name="_Toc394993695"/>
            <w:bookmarkStart w:id="30911" w:name="_Toc394995577"/>
            <w:bookmarkStart w:id="30912" w:name="_Toc394995891"/>
            <w:bookmarkStart w:id="30913" w:name="_Toc394998136"/>
            <w:bookmarkStart w:id="30914" w:name="_Toc394998650"/>
            <w:bookmarkStart w:id="30915" w:name="_Toc395002149"/>
            <w:bookmarkStart w:id="30916" w:name="_Toc395001629"/>
            <w:bookmarkStart w:id="30917" w:name="_Toc395002918"/>
            <w:bookmarkStart w:id="30918" w:name="_Toc395003503"/>
            <w:bookmarkStart w:id="30919" w:name="_Toc395005744"/>
            <w:bookmarkStart w:id="30920" w:name="_Toc395009738"/>
            <w:bookmarkStart w:id="30921" w:name="_Toc395010480"/>
            <w:bookmarkStart w:id="30922" w:name="_Toc395012662"/>
            <w:bookmarkStart w:id="30923" w:name="_Toc395013124"/>
            <w:bookmarkStart w:id="30924" w:name="_Toc395012126"/>
            <w:bookmarkStart w:id="30925" w:name="_Toc395014465"/>
            <w:bookmarkStart w:id="30926" w:name="_Toc395084811"/>
            <w:bookmarkStart w:id="30927" w:name="_Toc395085112"/>
            <w:bookmarkStart w:id="30928" w:name="_Toc395090578"/>
            <w:bookmarkStart w:id="30929" w:name="_Toc395093160"/>
            <w:bookmarkStart w:id="30930" w:name="_Toc395098072"/>
            <w:bookmarkStart w:id="30931" w:name="_Toc395106256"/>
            <w:bookmarkStart w:id="30932" w:name="_Toc395109518"/>
            <w:bookmarkStart w:id="30933" w:name="_Toc395109846"/>
            <w:bookmarkStart w:id="30934" w:name="_Toc393973998"/>
            <w:bookmarkStart w:id="30935" w:name="_Toc393985025"/>
            <w:bookmarkStart w:id="30936" w:name="_Toc393985528"/>
            <w:bookmarkStart w:id="30937" w:name="_Toc393985930"/>
            <w:bookmarkStart w:id="30938" w:name="_Toc393986333"/>
            <w:bookmarkStart w:id="30939" w:name="_Toc393987940"/>
            <w:bookmarkStart w:id="30940" w:name="_Toc393989353"/>
            <w:bookmarkStart w:id="30941" w:name="_Toc393987844"/>
            <w:bookmarkStart w:id="30942" w:name="_Toc393988741"/>
            <w:bookmarkStart w:id="30943" w:name="_Toc393990745"/>
            <w:bookmarkStart w:id="30944" w:name="_Toc393991727"/>
            <w:bookmarkStart w:id="30945" w:name="_Toc394047392"/>
            <w:bookmarkStart w:id="30946" w:name="_Toc394049668"/>
            <w:bookmarkStart w:id="30947" w:name="_Toc394051068"/>
            <w:bookmarkStart w:id="30948" w:name="_Toc394062057"/>
            <w:bookmarkStart w:id="30949" w:name="_Toc394068932"/>
            <w:bookmarkStart w:id="30950" w:name="_Toc394070754"/>
            <w:bookmarkStart w:id="30951" w:name="_Toc394312256"/>
            <w:bookmarkStart w:id="30952" w:name="_Toc394330153"/>
            <w:bookmarkStart w:id="30953" w:name="_Toc394333127"/>
            <w:bookmarkStart w:id="30954" w:name="_Toc394332705"/>
            <w:bookmarkStart w:id="30955" w:name="_Toc394333540"/>
            <w:bookmarkStart w:id="30956" w:name="_Toc394333953"/>
            <w:bookmarkStart w:id="30957" w:name="_Toc394334779"/>
            <w:bookmarkStart w:id="30958" w:name="_Toc394414965"/>
            <w:bookmarkStart w:id="30959" w:name="_Toc394412270"/>
            <w:bookmarkStart w:id="30960" w:name="_Toc394420546"/>
            <w:bookmarkStart w:id="30961" w:name="_Toc394421020"/>
            <w:bookmarkStart w:id="30962" w:name="_Toc394423390"/>
            <w:bookmarkStart w:id="30963" w:name="_Toc394420324"/>
            <w:bookmarkStart w:id="30964" w:name="_Toc394422433"/>
            <w:bookmarkStart w:id="30965" w:name="_Toc394422904"/>
            <w:bookmarkStart w:id="30966" w:name="_Toc394424054"/>
            <w:bookmarkStart w:id="30967" w:name="_Toc394491889"/>
            <w:bookmarkStart w:id="30968" w:name="_Toc394495034"/>
            <w:bookmarkStart w:id="30969" w:name="_Toc394497846"/>
            <w:bookmarkStart w:id="30970" w:name="_Toc394500638"/>
            <w:bookmarkStart w:id="30971" w:name="_Toc394502042"/>
            <w:bookmarkStart w:id="30972" w:name="_Toc394502944"/>
            <w:bookmarkStart w:id="30973" w:name="_Toc394502488"/>
            <w:bookmarkStart w:id="30974" w:name="_Toc394505695"/>
            <w:bookmarkStart w:id="30975" w:name="_Toc394506034"/>
            <w:bookmarkStart w:id="30976" w:name="_Toc394506708"/>
            <w:bookmarkStart w:id="30977" w:name="_Toc394560781"/>
            <w:bookmarkStart w:id="30978" w:name="_Toc394561245"/>
            <w:bookmarkStart w:id="30979" w:name="_Toc394938449"/>
            <w:bookmarkStart w:id="30980" w:name="_Toc394937731"/>
            <w:bookmarkStart w:id="30981" w:name="_Toc393978906"/>
            <w:bookmarkStart w:id="30982" w:name="_Toc395112223"/>
            <w:bookmarkStart w:id="30983" w:name="_Toc395107365"/>
            <w:bookmarkStart w:id="30984" w:name="_Toc395108926"/>
            <w:bookmarkStart w:id="30985" w:name="_Toc395114166"/>
            <w:bookmarkStart w:id="30986" w:name="_Toc395116903"/>
            <w:bookmarkStart w:id="30987" w:name="_Toc395112840"/>
            <w:bookmarkStart w:id="30988" w:name="_Toc395115380"/>
            <w:bookmarkStart w:id="30989" w:name="_Toc395118532"/>
            <w:bookmarkStart w:id="30990" w:name="_Toc395624721"/>
            <w:bookmarkStart w:id="30991" w:name="_Toc395790072"/>
            <w:bookmarkStart w:id="30992" w:name="_Toc395800830"/>
            <w:r w:rsidRPr="008625DC">
              <w:t>The Panel supports a specific set of per se prohibitions in the CCA, with criminal sanctions, dealing with serious cartel conduct. However, the current drafting of those provisions has given rise to concerns about their scope, and whether they target harmful anti</w:t>
            </w:r>
            <w:r w:rsidR="00C74E19" w:rsidRPr="008625DC">
              <w:noBreakHyphen/>
            </w:r>
            <w:r w:rsidRPr="008625DC">
              <w:t>competitive conduct.</w:t>
            </w:r>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p>
          <w:p w14:paraId="38DB3E80" w14:textId="77777777" w:rsidR="00FF25F3" w:rsidRPr="008625DC" w:rsidRDefault="00FF25F3" w:rsidP="00FF25F3">
            <w:pPr>
              <w:pStyle w:val="RecommendationText"/>
            </w:pPr>
            <w:r w:rsidRPr="008625DC">
              <w:t>The prohibitions against cartel conduct should be simplified and the following specific changes made:</w:t>
            </w:r>
          </w:p>
          <w:p w14:paraId="4DF983EC" w14:textId="77777777" w:rsidR="00FF25F3" w:rsidRPr="008625DC" w:rsidRDefault="00FF25F3" w:rsidP="00B4260E">
            <w:pPr>
              <w:pStyle w:val="BoxBullet"/>
              <w:rPr>
                <w:lang w:val="en-AU"/>
              </w:rPr>
            </w:pPr>
            <w:r w:rsidRPr="008625DC">
              <w:rPr>
                <w:lang w:val="en-AU"/>
              </w:rPr>
              <w:t>the provisions should apply to cartel conduct affecting goods or services supplied or acquired in Australian markets;</w:t>
            </w:r>
          </w:p>
          <w:p w14:paraId="7846E340" w14:textId="77777777" w:rsidR="00FF25F3" w:rsidRPr="008625DC" w:rsidRDefault="00FF25F3" w:rsidP="00B4260E">
            <w:pPr>
              <w:pStyle w:val="BoxBullet"/>
              <w:rPr>
                <w:lang w:val="en-AU"/>
              </w:rPr>
            </w:pPr>
            <w:r w:rsidRPr="008625DC">
              <w:rPr>
                <w:lang w:val="en-AU"/>
              </w:rPr>
              <w:t>the provisions should be confined to conduct involving firms that are actual or likely competitors, where likely means on the balance of probabilities;</w:t>
            </w:r>
          </w:p>
          <w:p w14:paraId="52890B61" w14:textId="163AF1B2" w:rsidR="00FF25F3" w:rsidRPr="008625DC" w:rsidRDefault="00FF25F3" w:rsidP="00B4260E">
            <w:pPr>
              <w:pStyle w:val="BoxBullet"/>
              <w:rPr>
                <w:lang w:val="en-AU"/>
              </w:rPr>
            </w:pPr>
            <w:r w:rsidRPr="008625DC">
              <w:rPr>
                <w:lang w:val="en-AU"/>
              </w:rPr>
              <w:t>a broader exemption should be included for joint ventures and similar forms of business collaboration (whether relating to the supply or the acquisition of goods or services), recognising that such conduct will be prohibited by section 45 of the CCA if it has the purpose</w:t>
            </w:r>
            <w:r w:rsidR="00340B2A" w:rsidRPr="008625DC">
              <w:rPr>
                <w:lang w:val="en-AU"/>
              </w:rPr>
              <w:t>, or has or is likely to have the effect, of substantially lessening competition</w:t>
            </w:r>
            <w:r w:rsidRPr="008625DC">
              <w:rPr>
                <w:lang w:val="en-AU"/>
              </w:rPr>
              <w:t>;</w:t>
            </w:r>
          </w:p>
          <w:p w14:paraId="6E866F1D" w14:textId="7AD8915A" w:rsidR="00FF25F3" w:rsidRPr="008625DC" w:rsidRDefault="00FF25F3" w:rsidP="00B4260E">
            <w:pPr>
              <w:pStyle w:val="BoxBullet"/>
              <w:rPr>
                <w:lang w:val="en-AU"/>
              </w:rPr>
            </w:pPr>
            <w:r w:rsidRPr="008625DC">
              <w:rPr>
                <w:lang w:val="en-AU"/>
              </w:rPr>
              <w:t>an exemption should be included for trading restrictions that are imposed by one firm on another in connection with the supply or acquisition of goods or services, recognising that such conduct will be prohibited by section</w:t>
            </w:r>
            <w:r w:rsidR="004A182D" w:rsidRPr="008625DC">
              <w:rPr>
                <w:lang w:val="en-AU"/>
              </w:rPr>
              <w:t> </w:t>
            </w:r>
            <w:r w:rsidRPr="008625DC">
              <w:rPr>
                <w:lang w:val="en-AU"/>
              </w:rPr>
              <w:t>45 or</w:t>
            </w:r>
            <w:r w:rsidR="004A182D" w:rsidRPr="008625DC">
              <w:rPr>
                <w:lang w:val="en-AU"/>
              </w:rPr>
              <w:t> </w:t>
            </w:r>
            <w:r w:rsidRPr="008625DC">
              <w:rPr>
                <w:lang w:val="en-AU"/>
              </w:rPr>
              <w:t xml:space="preserve">47 of the CCA (revised in accordance with </w:t>
            </w:r>
            <w:hyperlink w:anchor="DR28" w:history="1">
              <w:r w:rsidR="00A76A5E" w:rsidRPr="008625DC">
                <w:rPr>
                  <w:rStyle w:val="Hyperlink"/>
                  <w:lang w:val="en-AU"/>
                </w:rPr>
                <w:t>Draft</w:t>
              </w:r>
              <w:r w:rsidRPr="008625DC">
                <w:rPr>
                  <w:rStyle w:val="Hyperlink"/>
                  <w:lang w:val="en-AU"/>
                </w:rPr>
                <w:t xml:space="preserve"> </w:t>
              </w:r>
              <w:r w:rsidR="00A76A5E" w:rsidRPr="008625DC">
                <w:rPr>
                  <w:rStyle w:val="Hyperlink"/>
                  <w:lang w:val="en-AU"/>
                </w:rPr>
                <w:t>R</w:t>
              </w:r>
              <w:r w:rsidRPr="008625DC">
                <w:rPr>
                  <w:rStyle w:val="Hyperlink"/>
                  <w:lang w:val="en-AU"/>
                </w:rPr>
                <w:t xml:space="preserve">ecommendation </w:t>
              </w:r>
              <w:r w:rsidR="00463F7F" w:rsidRPr="008625DC">
                <w:rPr>
                  <w:rStyle w:val="Hyperlink"/>
                  <w:lang w:val="en-AU"/>
                </w:rPr>
                <w:t>28</w:t>
              </w:r>
            </w:hyperlink>
            <w:r w:rsidRPr="008625DC">
              <w:rPr>
                <w:lang w:val="en-AU"/>
              </w:rPr>
              <w:t>) if it has the purpose</w:t>
            </w:r>
            <w:r w:rsidR="001623B9" w:rsidRPr="008625DC">
              <w:rPr>
                <w:lang w:val="en-AU"/>
              </w:rPr>
              <w:t>,</w:t>
            </w:r>
            <w:r w:rsidRPr="008625DC">
              <w:rPr>
                <w:lang w:val="en-AU"/>
              </w:rPr>
              <w:t xml:space="preserve"> or </w:t>
            </w:r>
            <w:r w:rsidR="001623B9" w:rsidRPr="008625DC">
              <w:rPr>
                <w:lang w:val="en-AU"/>
              </w:rPr>
              <w:t xml:space="preserve">has or is </w:t>
            </w:r>
            <w:r w:rsidRPr="008625DC">
              <w:rPr>
                <w:lang w:val="en-AU"/>
              </w:rPr>
              <w:t xml:space="preserve">likely </w:t>
            </w:r>
            <w:r w:rsidR="001623B9" w:rsidRPr="008625DC">
              <w:rPr>
                <w:lang w:val="en-AU"/>
              </w:rPr>
              <w:t xml:space="preserve">to have the </w:t>
            </w:r>
            <w:r w:rsidRPr="008625DC">
              <w:rPr>
                <w:lang w:val="en-AU"/>
              </w:rPr>
              <w:t>effect</w:t>
            </w:r>
            <w:r w:rsidR="00BD258E" w:rsidRPr="008625DC">
              <w:rPr>
                <w:lang w:val="en-AU"/>
              </w:rPr>
              <w:t>,</w:t>
            </w:r>
            <w:r w:rsidRPr="008625DC">
              <w:rPr>
                <w:lang w:val="en-AU"/>
              </w:rPr>
              <w:t xml:space="preserve"> of substantially lessening competition.</w:t>
            </w:r>
          </w:p>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p w14:paraId="64ABE41F" w14:textId="5BDB6B18" w:rsidR="0002121B" w:rsidRPr="008625DC" w:rsidRDefault="00FF25F3" w:rsidP="00FB66D9">
            <w:pPr>
              <w:pStyle w:val="Keyfindingtext"/>
              <w:spacing w:before="80"/>
            </w:pPr>
            <w:r w:rsidRPr="008625DC">
              <w:t>The CCA should also be amended to remove the prohibition o</w:t>
            </w:r>
            <w:r w:rsidR="008B7662" w:rsidRPr="008625DC">
              <w:t>n</w:t>
            </w:r>
            <w:r w:rsidRPr="008625DC">
              <w:t xml:space="preserve"> exclusionary provisions.</w:t>
            </w:r>
          </w:p>
        </w:tc>
      </w:tr>
    </w:tbl>
    <w:p w14:paraId="6924CFD0" w14:textId="77777777" w:rsidR="00FF25F3" w:rsidRPr="008625DC" w:rsidRDefault="00FF25F3" w:rsidP="00FB084C">
      <w:pPr>
        <w:pStyle w:val="Heading3"/>
      </w:pPr>
      <w:bookmarkStart w:id="30993" w:name="_Toc394409294"/>
      <w:bookmarkStart w:id="30994" w:name="_Toc394408984"/>
      <w:bookmarkStart w:id="30995" w:name="_Toc394414966"/>
      <w:bookmarkStart w:id="30996" w:name="_Toc394415273"/>
      <w:bookmarkStart w:id="30997" w:name="_Toc394412271"/>
      <w:bookmarkStart w:id="30998" w:name="_Toc394412582"/>
      <w:bookmarkStart w:id="30999" w:name="_Toc394423391"/>
      <w:bookmarkStart w:id="31000" w:name="_Toc394423716"/>
      <w:bookmarkStart w:id="31001" w:name="_Toc394420325"/>
      <w:bookmarkStart w:id="31002" w:name="_Toc394422434"/>
      <w:bookmarkStart w:id="31003" w:name="_Toc394422760"/>
      <w:bookmarkStart w:id="31004" w:name="_Toc394422905"/>
      <w:bookmarkStart w:id="31005" w:name="_Toc394423231"/>
      <w:bookmarkStart w:id="31006" w:name="_Toc394424055"/>
      <w:bookmarkStart w:id="31007" w:name="_Toc394424379"/>
      <w:bookmarkStart w:id="31008" w:name="_Toc394491890"/>
      <w:bookmarkStart w:id="31009" w:name="_Toc394492210"/>
      <w:bookmarkStart w:id="31010" w:name="_Toc394495035"/>
      <w:bookmarkStart w:id="31011" w:name="_Toc394495354"/>
      <w:bookmarkStart w:id="31012" w:name="_Toc394497847"/>
      <w:bookmarkStart w:id="31013" w:name="_Toc394498169"/>
      <w:bookmarkStart w:id="31014" w:name="_Toc394500639"/>
      <w:bookmarkStart w:id="31015" w:name="_Toc394500959"/>
      <w:bookmarkStart w:id="31016" w:name="_Toc394502043"/>
      <w:bookmarkStart w:id="31017" w:name="_Toc394502356"/>
      <w:bookmarkStart w:id="31018" w:name="_Toc394502945"/>
      <w:bookmarkStart w:id="31019" w:name="_Toc394503715"/>
      <w:bookmarkStart w:id="31020" w:name="_Toc394502489"/>
      <w:bookmarkStart w:id="31021" w:name="_Toc394502804"/>
      <w:bookmarkStart w:id="31022" w:name="_Toc394505696"/>
      <w:bookmarkStart w:id="31023" w:name="_Toc394506132"/>
      <w:bookmarkStart w:id="31024" w:name="_Toc394506035"/>
      <w:bookmarkStart w:id="31025" w:name="_Toc394506470"/>
      <w:bookmarkStart w:id="31026" w:name="_Toc394506709"/>
      <w:bookmarkStart w:id="31027" w:name="_Toc394507024"/>
      <w:bookmarkStart w:id="31028" w:name="_Toc394560782"/>
      <w:bookmarkStart w:id="31029" w:name="_Toc394561099"/>
      <w:bookmarkStart w:id="31030" w:name="_Toc394561246"/>
      <w:bookmarkStart w:id="31031" w:name="_Toc394561932"/>
      <w:bookmarkStart w:id="31032" w:name="_Toc394582991"/>
      <w:bookmarkStart w:id="31033" w:name="_Toc394585662"/>
      <w:bookmarkStart w:id="31034" w:name="_Toc394586128"/>
      <w:bookmarkStart w:id="31035" w:name="_Toc394588060"/>
      <w:bookmarkStart w:id="31036" w:name="_Toc394588895"/>
      <w:bookmarkStart w:id="31037" w:name="_Toc394589020"/>
      <w:bookmarkStart w:id="31038" w:name="_Toc394590436"/>
      <w:bookmarkStart w:id="31039" w:name="_Toc394590629"/>
      <w:bookmarkStart w:id="31040" w:name="_Toc394654530"/>
      <w:bookmarkStart w:id="31041" w:name="_Toc394654688"/>
      <w:bookmarkStart w:id="31042" w:name="_Toc394656230"/>
      <w:bookmarkStart w:id="31043" w:name="_Toc394656387"/>
      <w:bookmarkStart w:id="31044" w:name="_Toc394659367"/>
      <w:bookmarkStart w:id="31045" w:name="_Toc394659525"/>
      <w:bookmarkStart w:id="31046" w:name="_Toc394663379"/>
      <w:bookmarkStart w:id="31047" w:name="_Toc394663535"/>
      <w:bookmarkStart w:id="31048" w:name="_Toc394667173"/>
      <w:bookmarkStart w:id="31049" w:name="_Toc394667329"/>
      <w:bookmarkStart w:id="31050" w:name="_Toc394671652"/>
      <w:bookmarkStart w:id="31051" w:name="_Toc394671812"/>
      <w:bookmarkStart w:id="31052" w:name="_Toc394674654"/>
      <w:bookmarkStart w:id="31053" w:name="_Toc394674817"/>
      <w:bookmarkStart w:id="31054" w:name="_Toc394674931"/>
      <w:bookmarkStart w:id="31055" w:name="_Toc394675097"/>
      <w:bookmarkStart w:id="31056" w:name="_Toc394676042"/>
      <w:bookmarkStart w:id="31057" w:name="_Toc394676204"/>
      <w:bookmarkStart w:id="31058" w:name="_Toc394675730"/>
      <w:bookmarkStart w:id="31059" w:name="_Toc394675893"/>
      <w:bookmarkStart w:id="31060" w:name="_Toc394918297"/>
      <w:bookmarkStart w:id="31061" w:name="_Toc394918811"/>
      <w:bookmarkStart w:id="31062" w:name="_Toc394930784"/>
      <w:bookmarkStart w:id="31063" w:name="_Toc394933695"/>
      <w:bookmarkStart w:id="31064" w:name="_Toc394938142"/>
      <w:bookmarkStart w:id="31065" w:name="_Toc394938450"/>
      <w:bookmarkStart w:id="31066" w:name="_Toc394938644"/>
      <w:bookmarkStart w:id="31067" w:name="_Toc394937732"/>
      <w:bookmarkStart w:id="31068" w:name="_Toc394937926"/>
      <w:bookmarkStart w:id="31069" w:name="_Toc394941054"/>
      <w:bookmarkStart w:id="31070" w:name="_Toc394941365"/>
      <w:bookmarkStart w:id="31071" w:name="_Toc394941555"/>
      <w:bookmarkStart w:id="31072" w:name="_Toc394941670"/>
      <w:bookmarkStart w:id="31073" w:name="_Toc394941981"/>
      <w:bookmarkStart w:id="31074" w:name="_Toc394942171"/>
      <w:bookmarkStart w:id="31075" w:name="_Toc394939891"/>
      <w:bookmarkStart w:id="31076" w:name="_Toc394940203"/>
      <w:bookmarkStart w:id="31077" w:name="_Toc394940393"/>
      <w:bookmarkStart w:id="31078" w:name="_Toc394939502"/>
      <w:bookmarkStart w:id="31079" w:name="_Toc394939800"/>
      <w:bookmarkStart w:id="31080" w:name="_Toc394940606"/>
      <w:bookmarkStart w:id="31081" w:name="_Toc394993697"/>
      <w:bookmarkStart w:id="31082" w:name="_Toc394995579"/>
      <w:bookmarkStart w:id="31083" w:name="_Toc394995893"/>
      <w:bookmarkStart w:id="31084" w:name="_Toc394996086"/>
      <w:bookmarkStart w:id="31085" w:name="_Toc394997812"/>
      <w:bookmarkStart w:id="31086" w:name="_Toc394998138"/>
      <w:bookmarkStart w:id="31087" w:name="_Toc394998327"/>
      <w:bookmarkStart w:id="31088" w:name="_Toc394998652"/>
      <w:bookmarkStart w:id="31089" w:name="_Toc395001822"/>
      <w:bookmarkStart w:id="31090" w:name="_Toc395002151"/>
      <w:bookmarkStart w:id="31091" w:name="_Toc395001359"/>
      <w:bookmarkStart w:id="31092" w:name="_Toc395001631"/>
      <w:bookmarkStart w:id="31093" w:name="_Toc395002920"/>
      <w:bookmarkStart w:id="31094" w:name="_Toc395003505"/>
      <w:bookmarkStart w:id="31095" w:name="_Toc395005074"/>
      <w:bookmarkStart w:id="31096" w:name="_Toc395005200"/>
      <w:bookmarkStart w:id="31097" w:name="_Toc395005416"/>
      <w:bookmarkStart w:id="31098" w:name="_Toc395005746"/>
      <w:bookmarkStart w:id="31099" w:name="_Toc395008993"/>
      <w:bookmarkStart w:id="31100" w:name="_Toc395009740"/>
      <w:bookmarkStart w:id="31101" w:name="_Toc395010179"/>
      <w:bookmarkStart w:id="31102" w:name="_Toc395010482"/>
      <w:bookmarkStart w:id="31103" w:name="_Toc395010021"/>
      <w:bookmarkStart w:id="31104" w:name="_Toc395011547"/>
      <w:bookmarkStart w:id="31105" w:name="_Toc395012365"/>
      <w:bookmarkStart w:id="31106" w:name="_Toc395012664"/>
      <w:bookmarkStart w:id="31107" w:name="_Toc395012955"/>
      <w:bookmarkStart w:id="31108" w:name="_Toc395010770"/>
      <w:bookmarkStart w:id="31109" w:name="_Toc395012243"/>
      <w:bookmarkStart w:id="31110" w:name="_Toc395013126"/>
      <w:bookmarkStart w:id="31111" w:name="_Toc395012128"/>
      <w:bookmarkStart w:id="31112" w:name="_Toc395014467"/>
      <w:bookmarkStart w:id="31113" w:name="_Toc395014644"/>
      <w:bookmarkStart w:id="31114" w:name="_Toc395013235"/>
      <w:bookmarkStart w:id="31115" w:name="_Toc395084813"/>
      <w:bookmarkStart w:id="31116" w:name="_Toc395085114"/>
      <w:bookmarkStart w:id="31117" w:name="_Toc395090274"/>
      <w:bookmarkStart w:id="31118" w:name="_Toc395090580"/>
      <w:bookmarkStart w:id="31119" w:name="_Toc395090753"/>
      <w:bookmarkStart w:id="31120" w:name="_Toc395092641"/>
      <w:bookmarkStart w:id="31121" w:name="_Toc395092853"/>
      <w:bookmarkStart w:id="31122" w:name="_Toc395093162"/>
      <w:bookmarkStart w:id="31123" w:name="_Toc395093335"/>
      <w:bookmarkStart w:id="31124" w:name="_Toc395097764"/>
      <w:bookmarkStart w:id="31125" w:name="_Toc395098074"/>
      <w:bookmarkStart w:id="31126" w:name="_Toc395098245"/>
      <w:bookmarkStart w:id="31127" w:name="_Toc395105430"/>
      <w:bookmarkStart w:id="31128" w:name="_Toc395106259"/>
      <w:bookmarkStart w:id="31129" w:name="_Toc395107033"/>
      <w:bookmarkStart w:id="31130" w:name="_Toc395109905"/>
      <w:bookmarkStart w:id="31131" w:name="_Toc395109521"/>
      <w:bookmarkStart w:id="31132" w:name="_Toc395109691"/>
      <w:bookmarkStart w:id="31133" w:name="_Toc395109849"/>
      <w:bookmarkStart w:id="31134" w:name="_Toc395111908"/>
      <w:bookmarkStart w:id="31135" w:name="_Toc395112224"/>
      <w:bookmarkStart w:id="31136" w:name="_Toc395112396"/>
      <w:bookmarkStart w:id="31137" w:name="_Toc395106828"/>
      <w:bookmarkStart w:id="31138" w:name="_Toc395107366"/>
      <w:bookmarkStart w:id="31139" w:name="_Toc395107541"/>
      <w:bookmarkStart w:id="31140" w:name="_Toc395110040"/>
      <w:bookmarkStart w:id="31141" w:name="_Toc395108588"/>
      <w:bookmarkStart w:id="31142" w:name="_Toc395108927"/>
      <w:bookmarkStart w:id="31143" w:name="_Toc395113828"/>
      <w:bookmarkStart w:id="31144" w:name="_Toc395114167"/>
      <w:bookmarkStart w:id="31145" w:name="_Toc395114348"/>
      <w:bookmarkStart w:id="31146" w:name="_Toc395116564"/>
      <w:bookmarkStart w:id="31147" w:name="_Toc395116904"/>
      <w:bookmarkStart w:id="31148" w:name="_Toc395117086"/>
      <w:bookmarkStart w:id="31149" w:name="_Toc395112501"/>
      <w:bookmarkStart w:id="31150" w:name="_Toc395112841"/>
      <w:bookmarkStart w:id="31151" w:name="_Toc395113204"/>
      <w:bookmarkStart w:id="31152" w:name="_Toc395115040"/>
      <w:bookmarkStart w:id="31153" w:name="_Toc395115381"/>
      <w:bookmarkStart w:id="31154" w:name="_Toc395115563"/>
      <w:bookmarkStart w:id="31155" w:name="_Toc395118195"/>
      <w:bookmarkStart w:id="31156" w:name="_Toc395118533"/>
      <w:bookmarkStart w:id="31157" w:name="_Toc395118713"/>
      <w:bookmarkStart w:id="31158" w:name="_Toc395178405"/>
      <w:bookmarkStart w:id="31159" w:name="_Toc395178737"/>
      <w:bookmarkStart w:id="31160" w:name="_Toc395624722"/>
      <w:bookmarkStart w:id="31161" w:name="_Toc395624894"/>
      <w:bookmarkStart w:id="31162" w:name="_Toc395789748"/>
      <w:bookmarkStart w:id="31163" w:name="_Toc395790073"/>
      <w:bookmarkStart w:id="31164" w:name="_Toc395800831"/>
      <w:bookmarkStart w:id="31165" w:name="_Toc395802877"/>
      <w:bookmarkStart w:id="31166" w:name="_Toc395867644"/>
      <w:bookmarkStart w:id="31167" w:name="_Toc395868557"/>
      <w:bookmarkStart w:id="31168" w:name="_Toc395868776"/>
      <w:bookmarkStart w:id="31169" w:name="_Toc395878938"/>
      <w:bookmarkStart w:id="31170" w:name="_Toc395879155"/>
      <w:bookmarkStart w:id="31171" w:name="_Toc395882062"/>
      <w:bookmarkStart w:id="31172" w:name="_Toc395882279"/>
      <w:bookmarkStart w:id="31173" w:name="_Toc395882393"/>
      <w:bookmarkStart w:id="31174" w:name="_Toc395882610"/>
      <w:bookmarkStart w:id="31175" w:name="_Toc395880557"/>
      <w:bookmarkStart w:id="31176" w:name="_Toc395880888"/>
      <w:bookmarkStart w:id="31177" w:name="_Toc395881446"/>
      <w:bookmarkStart w:id="31178" w:name="_Toc395881663"/>
      <w:bookmarkStart w:id="31179" w:name="_Toc395881379"/>
      <w:bookmarkStart w:id="31180" w:name="_Toc395883831"/>
      <w:bookmarkStart w:id="31181" w:name="_Toc395884048"/>
      <w:bookmarkStart w:id="31182" w:name="_Toc395880786"/>
      <w:bookmarkStart w:id="31183" w:name="_Toc395884493"/>
      <w:bookmarkStart w:id="31184" w:name="_Toc395884710"/>
      <w:bookmarkStart w:id="31185" w:name="_Toc395883202"/>
      <w:bookmarkStart w:id="31186" w:name="_Toc395883419"/>
      <w:bookmarkStart w:id="31187" w:name="_Toc395883532"/>
      <w:bookmarkStart w:id="31188" w:name="_Toc395883749"/>
      <w:bookmarkStart w:id="31189" w:name="_Toc395884834"/>
      <w:bookmarkStart w:id="31190" w:name="_Toc396123859"/>
      <w:bookmarkStart w:id="31191" w:name="_Toc396130762"/>
      <w:bookmarkStart w:id="31192" w:name="_Toc396136340"/>
      <w:bookmarkStart w:id="31193" w:name="_Toc396138794"/>
      <w:bookmarkStart w:id="31194" w:name="_Toc396144055"/>
      <w:bookmarkStart w:id="31195" w:name="_Toc396145564"/>
      <w:bookmarkStart w:id="31196" w:name="_Toc396145708"/>
      <w:bookmarkStart w:id="31197" w:name="_Toc396145990"/>
      <w:bookmarkStart w:id="31198" w:name="_Toc396147530"/>
      <w:bookmarkStart w:id="31199" w:name="_Toc396147816"/>
      <w:bookmarkStart w:id="31200" w:name="_Toc396149072"/>
      <w:bookmarkStart w:id="31201" w:name="_Toc396148786"/>
      <w:bookmarkStart w:id="31202" w:name="_Toc396149567"/>
      <w:bookmarkStart w:id="31203" w:name="_Toc396149212"/>
      <w:bookmarkStart w:id="31204" w:name="_Toc396149498"/>
      <w:bookmarkStart w:id="31205" w:name="_Toc396149920"/>
      <w:bookmarkStart w:id="31206" w:name="_Toc396149670"/>
      <w:bookmarkStart w:id="31207" w:name="_Toc396150511"/>
      <w:bookmarkStart w:id="31208" w:name="_Toc396151400"/>
      <w:bookmarkStart w:id="31209" w:name="_Toc396151694"/>
      <w:bookmarkStart w:id="31210" w:name="_Toc396201621"/>
      <w:bookmarkStart w:id="31211" w:name="_Toc396202411"/>
      <w:bookmarkStart w:id="31212" w:name="_Toc396202706"/>
      <w:bookmarkStart w:id="31213" w:name="_Toc396203323"/>
      <w:bookmarkStart w:id="31214" w:name="_Toc396206619"/>
      <w:bookmarkStart w:id="31215" w:name="_Toc396206913"/>
      <w:bookmarkStart w:id="31216" w:name="_Toc396209447"/>
      <w:bookmarkStart w:id="31217" w:name="_Toc396209741"/>
      <w:bookmarkStart w:id="31218" w:name="_Toc396211871"/>
      <w:bookmarkStart w:id="31219" w:name="_Toc396212165"/>
      <w:bookmarkStart w:id="31220" w:name="_Toc396213215"/>
      <w:bookmarkStart w:id="31221" w:name="_Toc396213507"/>
      <w:bookmarkStart w:id="31222" w:name="_Toc396214493"/>
      <w:bookmarkStart w:id="31223" w:name="_Toc396214783"/>
      <w:bookmarkStart w:id="31224" w:name="_Toc396220343"/>
      <w:bookmarkStart w:id="31225" w:name="_Toc396226605"/>
      <w:bookmarkStart w:id="31226" w:name="_Toc396226894"/>
      <w:bookmarkStart w:id="31227" w:name="_Toc396228805"/>
      <w:bookmarkStart w:id="31228" w:name="_Toc396229100"/>
      <w:bookmarkStart w:id="31229" w:name="_Toc396230447"/>
      <w:bookmarkStart w:id="31230" w:name="_Toc396231884"/>
      <w:bookmarkStart w:id="31231" w:name="_Toc396233227"/>
      <w:bookmarkStart w:id="31232" w:name="_Toc396233524"/>
      <w:bookmarkStart w:id="31233" w:name="_Toc396234047"/>
      <w:bookmarkStart w:id="31234" w:name="_Toc396234344"/>
      <w:bookmarkStart w:id="31235" w:name="_Toc396234457"/>
      <w:bookmarkStart w:id="31236" w:name="_Toc396236191"/>
      <w:bookmarkStart w:id="31237" w:name="_Toc396235969"/>
      <w:bookmarkStart w:id="31238" w:name="_Toc396236579"/>
      <w:bookmarkStart w:id="31239" w:name="_Toc396237098"/>
      <w:bookmarkStart w:id="31240" w:name="_Toc396397441"/>
      <w:bookmarkStart w:id="31241" w:name="_Toc396304622"/>
      <w:bookmarkStart w:id="31242" w:name="_Toc396586157"/>
      <w:bookmarkStart w:id="31243" w:name="_Toc396815178"/>
      <w:bookmarkStart w:id="31244" w:name="_Toc396821127"/>
      <w:bookmarkStart w:id="31245" w:name="_Toc396821735"/>
      <w:bookmarkStart w:id="31246" w:name="_Toc396827585"/>
      <w:bookmarkStart w:id="31247" w:name="_Toc396828556"/>
      <w:bookmarkStart w:id="31248" w:name="_Toc396828666"/>
      <w:bookmarkStart w:id="31249" w:name="_Toc396838055"/>
      <w:bookmarkStart w:id="31250" w:name="_Toc396838453"/>
      <w:bookmarkStart w:id="31251" w:name="_Toc396904776"/>
      <w:bookmarkStart w:id="31252" w:name="_Toc396907610"/>
      <w:bookmarkStart w:id="31253" w:name="_Toc396912529"/>
      <w:bookmarkStart w:id="31254" w:name="_Toc396914509"/>
      <w:bookmarkStart w:id="31255" w:name="_Toc396915393"/>
      <w:bookmarkStart w:id="31256" w:name="_Toc396915787"/>
      <w:bookmarkStart w:id="31257" w:name="_Toc396921098"/>
      <w:bookmarkStart w:id="31258" w:name="_Toc396924438"/>
      <w:bookmarkStart w:id="31259" w:name="_Toc396925132"/>
      <w:bookmarkStart w:id="31260" w:name="_Toc396992252"/>
      <w:bookmarkStart w:id="31261" w:name="_Toc396992831"/>
      <w:bookmarkStart w:id="31262" w:name="_Toc396994495"/>
      <w:bookmarkStart w:id="31263" w:name="_Toc397002265"/>
      <w:bookmarkStart w:id="31264" w:name="_Toc397003184"/>
      <w:bookmarkStart w:id="31265" w:name="_Toc397008742"/>
      <w:bookmarkStart w:id="31266" w:name="_Toc397008960"/>
      <w:bookmarkStart w:id="31267" w:name="_Toc397011632"/>
      <w:bookmarkStart w:id="31268" w:name="_Toc397012694"/>
      <w:bookmarkStart w:id="31269" w:name="_Toc397015036"/>
      <w:bookmarkStart w:id="31270" w:name="_Toc397015523"/>
      <w:bookmarkStart w:id="31271" w:name="_Toc397070594"/>
      <w:bookmarkStart w:id="31272" w:name="_Toc397413348"/>
      <w:bookmarkStart w:id="31273" w:name="_Toc397413495"/>
      <w:bookmarkStart w:id="31274" w:name="_Toc397428064"/>
      <w:r w:rsidRPr="008625DC">
        <w:t>Immunity policy</w:t>
      </w:r>
    </w:p>
    <w:p w14:paraId="4445601D" w14:textId="7E6D8A33" w:rsidR="00FF25F3" w:rsidRPr="008625DC" w:rsidRDefault="00FF25F3" w:rsidP="002F6343">
      <w:r w:rsidRPr="008625DC">
        <w:t xml:space="preserve">The cartel conduct legislation was accompanied by administrative arrangements to support a joint Commonwealth Director of Public Prosecutions (CDPP)/ACCC leniency program to be available for criminal cartel offences and the corresponding civil prohibitions. </w:t>
      </w:r>
      <w:r w:rsidR="006642B1" w:rsidRPr="008625DC">
        <w:t>Owing</w:t>
      </w:r>
      <w:r w:rsidRPr="008625DC">
        <w:t xml:space="preserve"> to their secretive nature, detecting the existence, activities and impact of cartels can be difficult. An immunity policy can encourage businesses and individuals to disclose cartel behaviour, and be a powerful disincentive to the formation of cartels.</w:t>
      </w:r>
      <w:r w:rsidRPr="008625DC">
        <w:rPr>
          <w:rStyle w:val="FootnoteReference"/>
        </w:rPr>
        <w:footnoteReference w:id="309"/>
      </w:r>
    </w:p>
    <w:p w14:paraId="3485148C" w14:textId="29EAE5CE" w:rsidR="00FF25F3" w:rsidRPr="008625DC" w:rsidRDefault="00FF25F3" w:rsidP="002F6343">
      <w:r w:rsidRPr="008625DC">
        <w:t>Submissions support the existence of the ACCC</w:t>
      </w:r>
      <w:r w:rsidR="00C74E19" w:rsidRPr="008625DC">
        <w:t>’</w:t>
      </w:r>
      <w:r w:rsidRPr="008625DC">
        <w:t xml:space="preserve">s immunity policy, which applies to cartel conduct and provides protection against civil proceedings instituted by the ACCC. Immunity from criminal </w:t>
      </w:r>
      <w:r w:rsidRPr="008625DC">
        <w:lastRenderedPageBreak/>
        <w:t>prosecution is determined by the CDPP in accordance with the same principles that determine immunity under the ACCC</w:t>
      </w:r>
      <w:r w:rsidR="00C74E19" w:rsidRPr="008625DC">
        <w:t>’</w:t>
      </w:r>
      <w:r w:rsidRPr="008625DC">
        <w:t>s immunity policy.</w:t>
      </w:r>
      <w:r w:rsidRPr="008625DC">
        <w:rPr>
          <w:rStyle w:val="FootnoteReference"/>
        </w:rPr>
        <w:footnoteReference w:id="310"/>
      </w:r>
    </w:p>
    <w:p w14:paraId="70721ACB" w14:textId="224B37E6" w:rsidR="00FF25F3" w:rsidRPr="008625DC" w:rsidRDefault="00FF25F3" w:rsidP="002F6343">
      <w:r w:rsidRPr="008625DC">
        <w:t xml:space="preserve">Where the ACCC is of the view that the applicant satisfies the conditions for immunity under the immunity policy, it will make a recommendation to the CDPP that immunity from prosecution be granted to the applicant. The CDPP will exercise an independent discretion when considering a recommendation by the ACCC. Where the </w:t>
      </w:r>
      <w:r w:rsidR="008B7662" w:rsidRPr="008625DC">
        <w:t>CDPP</w:t>
      </w:r>
      <w:r w:rsidRPr="008625DC">
        <w:t xml:space="preserve"> is satisfied that the applicant meets the ACCC</w:t>
      </w:r>
      <w:r w:rsidR="00C74E19" w:rsidRPr="008625DC">
        <w:t>’</w:t>
      </w:r>
      <w:r w:rsidRPr="008625DC">
        <w:t xml:space="preserve">s conditions for immunity, the </w:t>
      </w:r>
      <w:r w:rsidR="008B7662" w:rsidRPr="008625DC">
        <w:t>CDPP</w:t>
      </w:r>
      <w:r w:rsidRPr="008625DC">
        <w:t xml:space="preserve"> will grant immunity, pursuant to subsection 9(6D) of the </w:t>
      </w:r>
      <w:r w:rsidRPr="008625DC">
        <w:rPr>
          <w:i/>
        </w:rPr>
        <w:t>Director of Public Prosecutions Act 1983</w:t>
      </w:r>
      <w:r w:rsidRPr="008625DC">
        <w:t>.</w:t>
      </w:r>
    </w:p>
    <w:p w14:paraId="647AD913" w14:textId="74437D0E" w:rsidR="00FF25F3" w:rsidRPr="008625DC" w:rsidRDefault="00FF25F3" w:rsidP="002F6343">
      <w:r w:rsidRPr="008625DC">
        <w:t xml:space="preserve">The ACCC publishes guidance on its immunity policy and has stated that it </w:t>
      </w:r>
      <w:r w:rsidR="00C74E19" w:rsidRPr="008625DC">
        <w:t>‘</w:t>
      </w:r>
      <w:r w:rsidRPr="008625DC">
        <w:t>regularly reviews the effectiveness of its immunity policy</w:t>
      </w:r>
      <w:r w:rsidR="00C74E19" w:rsidRPr="008625DC">
        <w:t>’</w:t>
      </w:r>
      <w:r w:rsidR="00431ED1" w:rsidRPr="008625DC">
        <w:t>.</w:t>
      </w:r>
      <w:r w:rsidRPr="008625DC">
        <w:rPr>
          <w:rStyle w:val="FootnoteReference"/>
        </w:rPr>
        <w:footnoteReference w:id="311"/>
      </w:r>
      <w:r w:rsidRPr="008625DC">
        <w:t xml:space="preserve"> An attempt to legislate the immunity policy could limit its success by reducing its flexibility.</w:t>
      </w:r>
    </w:p>
    <w:p w14:paraId="57E6AD5B" w14:textId="40C15364" w:rsidR="00FF25F3" w:rsidRPr="008625DC" w:rsidRDefault="00FF25F3" w:rsidP="002F6343">
      <w:r w:rsidRPr="008625DC">
        <w:t>An important consideration for immunity applicants, and those sufferin</w:t>
      </w:r>
      <w:r w:rsidR="00A438AF">
        <w:t>g loss or damage as a result of </w:t>
      </w:r>
      <w:r w:rsidRPr="008625DC">
        <w:t xml:space="preserve">the activities of cartels, is whether the outcome of an immunity application has an impact on the liability of the immunity applicant to compensate cartel victims. Submissions note the availability of </w:t>
      </w:r>
      <w:r w:rsidR="00C74E19" w:rsidRPr="008625DC">
        <w:t>‘</w:t>
      </w:r>
      <w:r w:rsidRPr="008625DC">
        <w:t>bar orders</w:t>
      </w:r>
      <w:r w:rsidR="00C74E19" w:rsidRPr="008625DC">
        <w:t>’</w:t>
      </w:r>
      <w:r w:rsidRPr="008625DC">
        <w:t xml:space="preserve"> in some jurisdictions to deal with the interface between cartel prosecutions and compensation litigation.</w:t>
      </w:r>
      <w:r w:rsidR="00D12A0E" w:rsidRPr="008625DC">
        <w:rPr>
          <w:rStyle w:val="FootnoteReference"/>
        </w:rPr>
        <w:footnoteReference w:id="312"/>
      </w:r>
    </w:p>
    <w:p w14:paraId="479554C6" w14:textId="27951CBB" w:rsidR="00FF25F3" w:rsidRPr="008625DC" w:rsidRDefault="00FF25F3" w:rsidP="002F6343">
      <w:r w:rsidRPr="008625DC">
        <w:t>There are advantages and disadvantages of bar orders. Bar orders may increase the incentive for cartel participants to disclose cartel conduct, thereby bringing the cartel to an end. On the other hand, bar orders prevent those who have been harmed by cartel conduct from recovering compensation from the immunity applicant (although they may still be able to recover compensation from other cartel participants who have not received immunity</w:t>
      </w:r>
      <w:r w:rsidR="006642B1" w:rsidRPr="008625DC">
        <w:t>)</w:t>
      </w:r>
      <w:r w:rsidRPr="008625DC">
        <w:t>.</w:t>
      </w:r>
    </w:p>
    <w:p w14:paraId="75404365" w14:textId="7300F696" w:rsidR="00FF25F3" w:rsidRPr="008625DC" w:rsidRDefault="00FF25F3" w:rsidP="002F6343">
      <w:r w:rsidRPr="008625DC">
        <w:t>The Panel consider</w:t>
      </w:r>
      <w:r w:rsidR="006642B1" w:rsidRPr="008625DC">
        <w:t>s</w:t>
      </w:r>
      <w:r w:rsidRPr="008625DC">
        <w:t xml:space="preserve"> there is </w:t>
      </w:r>
      <w:r w:rsidR="006642B1" w:rsidRPr="008625DC">
        <w:t>no</w:t>
      </w:r>
      <w:r w:rsidRPr="008625DC">
        <w:t xml:space="preserve"> evidence showing that current arrangements are failing to achieve their objective of bringing about the deterrence and disclosure of cartel conduct. Accordingly, the Panel does not recommend the introduction of bar orders.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FF25F3" w:rsidRPr="008625DC" w14:paraId="7A692F0A" w14:textId="77777777" w:rsidTr="0052543A">
        <w:tc>
          <w:tcPr>
            <w:tcW w:w="5000" w:type="pct"/>
            <w:shd w:val="clear" w:color="auto" w:fill="FFFFFF" w:themeFill="background1"/>
          </w:tcPr>
          <w:p w14:paraId="38C738B3" w14:textId="579429C6" w:rsidR="00FF25F3" w:rsidRPr="008625DC" w:rsidRDefault="00FF25F3" w:rsidP="0052543A">
            <w:pPr>
              <w:pStyle w:val="Keyfindingheading"/>
            </w:pPr>
            <w:r w:rsidRPr="008625DC">
              <w:t>The Panel</w:t>
            </w:r>
            <w:r w:rsidR="00C74E19" w:rsidRPr="008625DC">
              <w:t>’</w:t>
            </w:r>
            <w:r w:rsidRPr="008625DC">
              <w:t>s view</w:t>
            </w:r>
          </w:p>
          <w:p w14:paraId="4E219BF7" w14:textId="1D977CC7" w:rsidR="00FF25F3" w:rsidRPr="008625DC" w:rsidRDefault="00FF25F3" w:rsidP="00431ED1">
            <w:pPr>
              <w:pStyle w:val="Keyfindingtext"/>
            </w:pPr>
            <w:r w:rsidRPr="008625DC">
              <w:t xml:space="preserve">The immunity policy is an important component of the detection and successful prosecution of cartel conduct. The immunity arrangements provide an adequate level of certainty, and fit within the broader regime </w:t>
            </w:r>
            <w:r w:rsidR="00431ED1" w:rsidRPr="008625DC">
              <w:t>of</w:t>
            </w:r>
            <w:r w:rsidRPr="008625DC">
              <w:t xml:space="preserve"> the scheme for immunity for accomplices administered by the Commonwealth Director of Public Prosecutions.</w:t>
            </w:r>
          </w:p>
        </w:tc>
      </w:tr>
    </w:tbl>
    <w:p w14:paraId="1D96EE2A" w14:textId="2430947B" w:rsidR="002E216D" w:rsidRPr="008625DC" w:rsidRDefault="004476B2" w:rsidP="00BD2EA4">
      <w:pPr>
        <w:pStyle w:val="Heading2"/>
        <w:ind w:left="851" w:hanging="851"/>
        <w:rPr>
          <w:lang w:val="en-AU"/>
        </w:rPr>
      </w:pPr>
      <w:bookmarkStart w:id="31275" w:name="_Toc397439454"/>
      <w:bookmarkStart w:id="31276" w:name="_Toc397439624"/>
      <w:bookmarkStart w:id="31277" w:name="_Toc397439880"/>
      <w:bookmarkStart w:id="31278" w:name="_Toc397440182"/>
      <w:bookmarkStart w:id="31279" w:name="_Toc397441811"/>
      <w:bookmarkStart w:id="31280" w:name="_Toc397517513"/>
      <w:bookmarkStart w:id="31281" w:name="_Toc397522778"/>
      <w:bookmarkStart w:id="31282" w:name="_Toc397526196"/>
      <w:bookmarkStart w:id="31283" w:name="_Toc397528396"/>
      <w:bookmarkStart w:id="31284" w:name="_Toc397528511"/>
      <w:bookmarkStart w:id="31285" w:name="_Toc397528986"/>
      <w:bookmarkStart w:id="31286" w:name="_Toc397601986"/>
      <w:bookmarkStart w:id="31287" w:name="_Toc397602721"/>
      <w:bookmarkStart w:id="31288" w:name="_Toc397605854"/>
      <w:bookmarkStart w:id="31289" w:name="_Toc397614551"/>
      <w:bookmarkStart w:id="31290" w:name="_Toc397614994"/>
      <w:bookmarkStart w:id="31291" w:name="_Toc397616437"/>
      <w:bookmarkStart w:id="31292" w:name="_Toc397616831"/>
      <w:bookmarkStart w:id="31293" w:name="_Toc397688129"/>
      <w:bookmarkStart w:id="31294" w:name="_Toc397689345"/>
      <w:bookmarkStart w:id="31295" w:name="_Toc397694625"/>
      <w:bookmarkStart w:id="31296" w:name="_Toc397696466"/>
      <w:bookmarkStart w:id="31297" w:name="_Toc397697200"/>
      <w:bookmarkStart w:id="31298" w:name="_Toc397698487"/>
      <w:bookmarkStart w:id="31299" w:name="_Toc397699853"/>
      <w:bookmarkStart w:id="31300" w:name="_Toc397700307"/>
      <w:bookmarkStart w:id="31301" w:name="_Toc397936699"/>
      <w:bookmarkStart w:id="31302" w:name="_Toc397936819"/>
      <w:bookmarkStart w:id="31303" w:name="_Toc397945975"/>
      <w:bookmarkStart w:id="31304" w:name="_Toc397947001"/>
      <w:bookmarkStart w:id="31305" w:name="_Toc397948120"/>
      <w:bookmarkStart w:id="31306" w:name="_Toc397958526"/>
      <w:bookmarkStart w:id="31307" w:name="_Toc397958768"/>
      <w:bookmarkStart w:id="31308" w:name="_Toc397959183"/>
      <w:bookmarkStart w:id="31309" w:name="_Toc397962250"/>
      <w:bookmarkStart w:id="31310" w:name="_Toc397963036"/>
      <w:bookmarkStart w:id="31311" w:name="_Toc397963402"/>
      <w:bookmarkStart w:id="31312" w:name="_Toc397965479"/>
      <w:bookmarkStart w:id="31313" w:name="_Toc398197417"/>
      <w:bookmarkStart w:id="31314" w:name="_Toc398199920"/>
      <w:bookmarkStart w:id="31315" w:name="_Toc398201634"/>
      <w:bookmarkStart w:id="31316" w:name="_Toc398207239"/>
      <w:bookmarkStart w:id="31317" w:name="_Toc398209943"/>
      <w:bookmarkStart w:id="31318" w:name="_Toc398210512"/>
      <w:bookmarkStart w:id="31319" w:name="_Toc398211026"/>
      <w:bookmarkStart w:id="31320" w:name="_Toc398219837"/>
      <w:bookmarkStart w:id="31321" w:name="_Toc398220212"/>
      <w:bookmarkStart w:id="31322" w:name="_Toc398220599"/>
      <w:bookmarkStart w:id="31323" w:name="_Toc398221677"/>
      <w:bookmarkStart w:id="31324" w:name="_Toc398222363"/>
      <w:bookmarkStart w:id="31325" w:name="_Toc398222675"/>
      <w:bookmarkStart w:id="31326" w:name="_Toc398223092"/>
      <w:bookmarkStart w:id="31327" w:name="_Toc398223471"/>
      <w:bookmarkStart w:id="31328" w:name="_Toc398223598"/>
      <w:bookmarkStart w:id="31329" w:name="_Toc398224406"/>
      <w:bookmarkStart w:id="31330" w:name="_Toc398225743"/>
      <w:bookmarkStart w:id="31331" w:name="_Toc398225868"/>
      <w:bookmarkStart w:id="31332" w:name="_Toc398281355"/>
      <w:bookmarkStart w:id="31333" w:name="_Toc398282214"/>
      <w:bookmarkStart w:id="31334" w:name="_Toc398284884"/>
      <w:bookmarkStart w:id="31335" w:name="_Toc398287353"/>
      <w:bookmarkStart w:id="31336" w:name="_Toc398289236"/>
      <w:bookmarkStart w:id="31337" w:name="_Toc398297233"/>
      <w:bookmarkStart w:id="31338" w:name="_Toc398298707"/>
      <w:bookmarkStart w:id="31339" w:name="_Toc398300408"/>
      <w:bookmarkStart w:id="31340" w:name="_Toc398301305"/>
      <w:bookmarkStart w:id="31341" w:name="_Toc398302490"/>
      <w:bookmarkStart w:id="31342" w:name="_Toc398302653"/>
      <w:bookmarkStart w:id="31343" w:name="_Toc398549167"/>
      <w:bookmarkStart w:id="31344" w:name="_Toc398549417"/>
      <w:bookmarkStart w:id="31345" w:name="_Toc398555836"/>
      <w:bookmarkStart w:id="31346" w:name="_Toc398559040"/>
      <w:bookmarkStart w:id="31347" w:name="_Toc398563526"/>
      <w:bookmarkStart w:id="31348" w:name="_Toc398563659"/>
      <w:bookmarkStart w:id="31349" w:name="_Toc398564058"/>
      <w:bookmarkStart w:id="31350" w:name="_Toc398827396"/>
      <w:bookmarkStart w:id="31351" w:name="_Toc398827590"/>
      <w:bookmarkStart w:id="31352" w:name="s172"/>
      <w:r w:rsidRPr="008625DC">
        <w:rPr>
          <w:lang w:val="en-AU"/>
        </w:rPr>
        <w:t>Anti</w:t>
      </w:r>
      <w:r w:rsidR="00C74E19" w:rsidRPr="008625DC">
        <w:rPr>
          <w:lang w:val="en-AU"/>
        </w:rPr>
        <w:noBreakHyphen/>
      </w:r>
      <w:r w:rsidRPr="008625DC">
        <w:rPr>
          <w:lang w:val="en-AU"/>
        </w:rPr>
        <w:t xml:space="preserve">competitive </w:t>
      </w:r>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r w:rsidR="0025528A" w:rsidRPr="008625DC">
        <w:rPr>
          <w:lang w:val="en-AU"/>
        </w:rPr>
        <w:t>disclosure of information</w:t>
      </w:r>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p>
    <w:bookmarkEnd w:id="31352"/>
    <w:p w14:paraId="23877D90" w14:textId="3486302C" w:rsidR="009041B6" w:rsidRPr="008625DC" w:rsidRDefault="009041B6" w:rsidP="00BE69F6">
      <w:r w:rsidRPr="008625DC">
        <w:t>Since June</w:t>
      </w:r>
      <w:r w:rsidR="004A182D" w:rsidRPr="008625DC">
        <w:t> </w:t>
      </w:r>
      <w:r w:rsidRPr="008625DC">
        <w:t xml:space="preserve">2012 the CCA has prohibited the private disclosure of pricing information to a competitor </w:t>
      </w:r>
      <w:r w:rsidR="00FF25F3" w:rsidRPr="008625DC">
        <w:t>on a per</w:t>
      </w:r>
      <w:r w:rsidR="00B4260E" w:rsidRPr="008625DC">
        <w:t> </w:t>
      </w:r>
      <w:r w:rsidR="00FF25F3" w:rsidRPr="008625DC">
        <w:t xml:space="preserve">se basis </w:t>
      </w:r>
      <w:r w:rsidRPr="008625DC">
        <w:t>and the general disclosure of information where the purpose of the disclosure is to substantially lessen competition in a market (Part</w:t>
      </w:r>
      <w:r w:rsidR="004A182D" w:rsidRPr="008625DC">
        <w:t> </w:t>
      </w:r>
      <w:r w:rsidRPr="008625DC">
        <w:t>IV</w:t>
      </w:r>
      <w:r w:rsidR="0039012D" w:rsidRPr="008625DC">
        <w:t>,</w:t>
      </w:r>
      <w:r w:rsidRPr="008625DC">
        <w:t xml:space="preserve"> Division</w:t>
      </w:r>
      <w:r w:rsidR="004A182D" w:rsidRPr="008625DC">
        <w:t> </w:t>
      </w:r>
      <w:r w:rsidRPr="008625DC">
        <w:t>1A of the CCA).</w:t>
      </w:r>
      <w:r w:rsidR="0039012D" w:rsidRPr="008625DC">
        <w:t xml:space="preserve"> </w:t>
      </w:r>
      <w:r w:rsidR="006B42BD" w:rsidRPr="008625DC">
        <w:t xml:space="preserve">These prohibitions have become known as the </w:t>
      </w:r>
      <w:r w:rsidR="00C74E19" w:rsidRPr="008625DC">
        <w:t>‘</w:t>
      </w:r>
      <w:r w:rsidR="006B42BD" w:rsidRPr="008625DC">
        <w:t>price signalling</w:t>
      </w:r>
      <w:r w:rsidR="00C74E19" w:rsidRPr="008625DC">
        <w:t>’</w:t>
      </w:r>
      <w:r w:rsidR="006B42BD" w:rsidRPr="008625DC">
        <w:t xml:space="preserve"> provisions. </w:t>
      </w:r>
    </w:p>
    <w:p w14:paraId="08271C52" w14:textId="77777777" w:rsidR="001233CE" w:rsidRPr="008625DC" w:rsidRDefault="0039012D" w:rsidP="00BE69F6">
      <w:r w:rsidRPr="008625DC">
        <w:lastRenderedPageBreak/>
        <w:t>At present, by regulation, the provisions only apply to banking services</w:t>
      </w:r>
      <w:r w:rsidR="00584640" w:rsidRPr="008625DC">
        <w:t xml:space="preserve"> and there are</w:t>
      </w:r>
      <w:r w:rsidRPr="008625DC">
        <w:t xml:space="preserve"> a number of exceptions to both provisions.</w:t>
      </w:r>
      <w:r w:rsidRPr="008625DC">
        <w:rPr>
          <w:rStyle w:val="FootnoteReference"/>
        </w:rPr>
        <w:footnoteReference w:id="313"/>
      </w:r>
      <w:r w:rsidRPr="008625DC">
        <w:t xml:space="preserve"> To date</w:t>
      </w:r>
      <w:r w:rsidR="00FF25F3" w:rsidRPr="008625DC">
        <w:t>,</w:t>
      </w:r>
      <w:r w:rsidRPr="008625DC">
        <w:t xml:space="preserve"> there have been no cases brought under </w:t>
      </w:r>
      <w:r w:rsidR="00FF25F3" w:rsidRPr="008625DC">
        <w:t>these</w:t>
      </w:r>
      <w:r w:rsidRPr="008625DC">
        <w:t xml:space="preserve"> provisions.</w:t>
      </w:r>
    </w:p>
    <w:p w14:paraId="718682FF" w14:textId="2A9C2B73" w:rsidR="00FF25F3" w:rsidRPr="008625DC" w:rsidRDefault="00FF25F3" w:rsidP="002F6343">
      <w:r w:rsidRPr="008625DC">
        <w:t xml:space="preserve">The background </w:t>
      </w:r>
      <w:r w:rsidR="00D12A0E" w:rsidRPr="008625DC">
        <w:t>to</w:t>
      </w:r>
      <w:r w:rsidRPr="008625DC">
        <w:t xml:space="preserve"> the provisions stems from the 2007 ACCC </w:t>
      </w:r>
      <w:r w:rsidR="00A8351C" w:rsidRPr="008625DC">
        <w:t>r</w:t>
      </w:r>
      <w:r w:rsidRPr="008625DC">
        <w:t>eport on unleaded petrol prices.</w:t>
      </w:r>
      <w:r w:rsidRPr="008625DC">
        <w:rPr>
          <w:rStyle w:val="FootnoteReference"/>
        </w:rPr>
        <w:footnoteReference w:id="314"/>
      </w:r>
      <w:r w:rsidRPr="008625DC">
        <w:t xml:space="preserve"> That report identified conduct (the exchange of retail petrol prices between competitors) which was considered to be anti</w:t>
      </w:r>
      <w:r w:rsidR="00C74E19" w:rsidRPr="008625DC">
        <w:noBreakHyphen/>
      </w:r>
      <w:r w:rsidRPr="008625DC">
        <w:t xml:space="preserve">competitive, but which did not amount to a </w:t>
      </w:r>
      <w:r w:rsidR="00C74E19" w:rsidRPr="008625DC">
        <w:t>‘</w:t>
      </w:r>
      <w:r w:rsidRPr="008625DC">
        <w:t>price</w:t>
      </w:r>
      <w:r w:rsidR="00C74E19" w:rsidRPr="008625DC">
        <w:noBreakHyphen/>
      </w:r>
      <w:r w:rsidRPr="008625DC">
        <w:t>fixing understanding</w:t>
      </w:r>
      <w:r w:rsidR="00C74E19" w:rsidRPr="008625DC">
        <w:t>’</w:t>
      </w:r>
      <w:r w:rsidRPr="008625DC">
        <w:t xml:space="preserve"> within the current judicial interpretation of section</w:t>
      </w:r>
      <w:r w:rsidR="004A182D" w:rsidRPr="008625DC">
        <w:t> </w:t>
      </w:r>
      <w:r w:rsidRPr="008625DC">
        <w:t xml:space="preserve">45 of the CCA. The ACCC recommended that amendments to the law be made in order to broaden and clarify the meaning of the term </w:t>
      </w:r>
      <w:r w:rsidR="00C74E19" w:rsidRPr="008625DC">
        <w:t>‘</w:t>
      </w:r>
      <w:r w:rsidRPr="008625DC">
        <w:t>understanding</w:t>
      </w:r>
      <w:r w:rsidR="00C74E19" w:rsidRPr="008625DC">
        <w:t>’</w:t>
      </w:r>
      <w:r w:rsidRPr="008625DC">
        <w:t>. In particular, it recommended that the law provide that an understanding may be found to have been arrived at, notwithstanding that it was ascertainable only by inference from surrounding circumstances.</w:t>
      </w:r>
      <w:r w:rsidRPr="008625DC">
        <w:rPr>
          <w:rStyle w:val="FootnoteReference"/>
        </w:rPr>
        <w:footnoteReference w:id="315"/>
      </w:r>
    </w:p>
    <w:p w14:paraId="505C7350" w14:textId="693559C6" w:rsidR="00FF25F3" w:rsidRPr="008625DC" w:rsidRDefault="00FF25F3" w:rsidP="002F6343">
      <w:r w:rsidRPr="008625DC">
        <w:t>In October</w:t>
      </w:r>
      <w:r w:rsidR="004A182D" w:rsidRPr="008625DC">
        <w:t> </w:t>
      </w:r>
      <w:r w:rsidRPr="008625DC">
        <w:t>2010 the then ACCC Chair, Graeme Samuel, expressed concerns about price signalling in the banking sector.</w:t>
      </w:r>
      <w:r w:rsidRPr="008625DC">
        <w:rPr>
          <w:rStyle w:val="FootnoteReference"/>
        </w:rPr>
        <w:footnoteReference w:id="316"/>
      </w:r>
      <w:r w:rsidRPr="008625DC">
        <w:t xml:space="preserve"> Subsequently, in December</w:t>
      </w:r>
      <w:r w:rsidR="004A182D" w:rsidRPr="008625DC">
        <w:t> </w:t>
      </w:r>
      <w:r w:rsidRPr="008625DC">
        <w:t xml:space="preserve">2010, the then </w:t>
      </w:r>
      <w:r w:rsidR="00A8351C" w:rsidRPr="008625DC">
        <w:t>Australian</w:t>
      </w:r>
      <w:r w:rsidRPr="008625DC">
        <w:t xml:space="preserve"> Government, as part of its Competitive and Sustainable Banking package, legislated to prohibit anti</w:t>
      </w:r>
      <w:r w:rsidR="00C74E19" w:rsidRPr="008625DC">
        <w:noBreakHyphen/>
      </w:r>
      <w:r w:rsidRPr="008625DC">
        <w:t>competitive price signalling, initially in the banking sector.</w:t>
      </w:r>
    </w:p>
    <w:p w14:paraId="05C09583" w14:textId="2F6108CA" w:rsidR="00FF25F3" w:rsidRPr="008625DC" w:rsidRDefault="00FF25F3" w:rsidP="002F6343">
      <w:r w:rsidRPr="008625DC">
        <w:t>Price signalling has the potential to harm the competitive process. Competitors may be able to use the disclosure of price information as a means of coordinating their pricing decisions. Depending on the form of price signalling and the market circumstances, the price signalling m</w:t>
      </w:r>
      <w:r w:rsidR="008D1B8F" w:rsidRPr="008625DC">
        <w:t>ay</w:t>
      </w:r>
      <w:r w:rsidRPr="008625DC">
        <w:t xml:space="preserve"> reduce the commercial risks for competing firms to engage in coordinated behaviour and thereby increase the likelihood of anti</w:t>
      </w:r>
      <w:r w:rsidR="00C74E19" w:rsidRPr="008625DC">
        <w:noBreakHyphen/>
      </w:r>
      <w:r w:rsidRPr="008625DC">
        <w:t>competitive pricing outcomes.</w:t>
      </w:r>
    </w:p>
    <w:tbl>
      <w:tblPr>
        <w:tblW w:w="9072" w:type="dxa"/>
        <w:tblInd w:w="108" w:type="dxa"/>
        <w:shd w:val="clear" w:color="auto" w:fill="E6E6E6"/>
        <w:tblLook w:val="01E0" w:firstRow="1" w:lastRow="1" w:firstColumn="1" w:lastColumn="1" w:noHBand="0" w:noVBand="0"/>
      </w:tblPr>
      <w:tblGrid>
        <w:gridCol w:w="9072"/>
      </w:tblGrid>
      <w:tr w:rsidR="0039012D" w:rsidRPr="008625DC" w14:paraId="5BA823F9" w14:textId="77777777">
        <w:tc>
          <w:tcPr>
            <w:tcW w:w="5000" w:type="pct"/>
            <w:shd w:val="clear" w:color="auto" w:fill="E6E6E6"/>
          </w:tcPr>
          <w:p w14:paraId="3B2700B9" w14:textId="2AE4903F" w:rsidR="00661D88" w:rsidRPr="008625DC" w:rsidRDefault="003E52A5" w:rsidP="00FB66D9">
            <w:pPr>
              <w:pStyle w:val="BoxHeading"/>
            </w:pPr>
            <w:r w:rsidRPr="008625DC">
              <w:lastRenderedPageBreak/>
              <w:t>Box</w:t>
            </w:r>
            <w:r w:rsidR="00B071F2" w:rsidRPr="008625DC">
              <w:t xml:space="preserve"> </w:t>
            </w:r>
            <w:r w:rsidR="00F96079" w:rsidRPr="008625DC">
              <w:t>17.1</w:t>
            </w:r>
            <w:r w:rsidR="00B071F2" w:rsidRPr="008625DC">
              <w:t xml:space="preserve">: </w:t>
            </w:r>
            <w:r w:rsidR="00661D88" w:rsidRPr="008625DC">
              <w:t xml:space="preserve">International comparisons </w:t>
            </w:r>
            <w:r w:rsidR="00945DF2" w:rsidRPr="008625DC">
              <w:t>of anti</w:t>
            </w:r>
            <w:r w:rsidR="00C74E19" w:rsidRPr="008625DC">
              <w:noBreakHyphen/>
            </w:r>
            <w:r w:rsidR="00945DF2" w:rsidRPr="008625DC">
              <w:t xml:space="preserve">competitive </w:t>
            </w:r>
            <w:r w:rsidR="00E172A8" w:rsidRPr="008625DC">
              <w:t>disclosure of information</w:t>
            </w:r>
          </w:p>
          <w:p w14:paraId="722DE9F6" w14:textId="11071066" w:rsidR="0039012D" w:rsidRPr="008625DC" w:rsidRDefault="00661D88" w:rsidP="00B4260E">
            <w:pPr>
              <w:pStyle w:val="BoxText"/>
            </w:pPr>
            <w:r w:rsidRPr="008625DC">
              <w:t>Anti</w:t>
            </w:r>
            <w:r w:rsidR="00C74E19" w:rsidRPr="008625DC">
              <w:noBreakHyphen/>
            </w:r>
            <w:r w:rsidRPr="008625DC">
              <w:t xml:space="preserve">competitive price signalling and information exchanges (or </w:t>
            </w:r>
            <w:r w:rsidR="00C74E19" w:rsidRPr="008625DC">
              <w:t>‘</w:t>
            </w:r>
            <w:r w:rsidRPr="008625DC">
              <w:t>concerted practices</w:t>
            </w:r>
            <w:r w:rsidR="00C74E19" w:rsidRPr="008625DC">
              <w:t>’</w:t>
            </w:r>
            <w:r w:rsidRPr="008625DC">
              <w:t xml:space="preserve"> as they are known in some jurisdictions) are subject to different laws in the </w:t>
            </w:r>
            <w:r w:rsidR="00A8351C" w:rsidRPr="008625DC">
              <w:t>US</w:t>
            </w:r>
            <w:r w:rsidRPr="008625DC">
              <w:t xml:space="preserve">, Canada, the </w:t>
            </w:r>
            <w:r w:rsidR="00A8351C" w:rsidRPr="008625DC">
              <w:t>UK,</w:t>
            </w:r>
            <w:r w:rsidRPr="008625DC">
              <w:t xml:space="preserve"> and the </w:t>
            </w:r>
            <w:r w:rsidR="00A8351C" w:rsidRPr="008625DC">
              <w:t>EU</w:t>
            </w:r>
            <w:r w:rsidRPr="008625DC">
              <w:t xml:space="preserve">. </w:t>
            </w:r>
          </w:p>
          <w:p w14:paraId="24DCD64E" w14:textId="01FEC0A2" w:rsidR="00D461CF" w:rsidRPr="008625DC" w:rsidRDefault="00D461CF" w:rsidP="00B4260E">
            <w:pPr>
              <w:pStyle w:val="BoxText"/>
            </w:pPr>
            <w:r w:rsidRPr="008625DC">
              <w:t xml:space="preserve">In the </w:t>
            </w:r>
            <w:r w:rsidR="00A8351C" w:rsidRPr="008625DC">
              <w:rPr>
                <w:b/>
              </w:rPr>
              <w:t>US</w:t>
            </w:r>
            <w:r w:rsidRPr="008625DC">
              <w:t>, the general provisions in section</w:t>
            </w:r>
            <w:r w:rsidR="004A182D" w:rsidRPr="008625DC">
              <w:t> </w:t>
            </w:r>
            <w:r w:rsidRPr="008625DC">
              <w:t>1 of the Sherman Act and section</w:t>
            </w:r>
            <w:r w:rsidR="004A182D" w:rsidRPr="008625DC">
              <w:t> </w:t>
            </w:r>
            <w:r w:rsidRPr="008625DC">
              <w:t xml:space="preserve">5 of the Federal Trade Commission Act have been used to bring actions involving price signalling conduct (e.g. the </w:t>
            </w:r>
            <w:r w:rsidRPr="008625DC">
              <w:rPr>
                <w:i/>
              </w:rPr>
              <w:t>Ethyl</w:t>
            </w:r>
            <w:r w:rsidRPr="008625DC">
              <w:t xml:space="preserve"> case</w:t>
            </w:r>
            <w:r w:rsidR="00FC65F1" w:rsidRPr="008625DC">
              <w:rPr>
                <w:rStyle w:val="FootnoteReference"/>
              </w:rPr>
              <w:footnoteReference w:id="317"/>
            </w:r>
            <w:r w:rsidR="00FC65F1" w:rsidRPr="008625DC">
              <w:t xml:space="preserve"> and</w:t>
            </w:r>
            <w:r w:rsidRPr="008625DC">
              <w:t xml:space="preserve"> the </w:t>
            </w:r>
            <w:r w:rsidRPr="008625DC">
              <w:rPr>
                <w:i/>
              </w:rPr>
              <w:t>Petroleum Products</w:t>
            </w:r>
            <w:r w:rsidRPr="008625DC">
              <w:t xml:space="preserve"> case).</w:t>
            </w:r>
            <w:r w:rsidR="00897DF0" w:rsidRPr="008625DC">
              <w:rPr>
                <w:rStyle w:val="FootnoteReference"/>
              </w:rPr>
              <w:footnoteReference w:id="318"/>
            </w:r>
          </w:p>
          <w:p w14:paraId="68714BF6" w14:textId="4D554E7D" w:rsidR="00D461CF" w:rsidRPr="008625DC" w:rsidRDefault="00D461CF" w:rsidP="00B4260E">
            <w:pPr>
              <w:pStyle w:val="BoxText"/>
            </w:pPr>
            <w:r w:rsidRPr="008625DC">
              <w:t xml:space="preserve">In </w:t>
            </w:r>
            <w:r w:rsidRPr="008625DC">
              <w:rPr>
                <w:b/>
              </w:rPr>
              <w:t>Canada</w:t>
            </w:r>
            <w:r w:rsidRPr="008625DC">
              <w:t xml:space="preserve">, </w:t>
            </w:r>
            <w:r w:rsidR="00584640" w:rsidRPr="008625DC">
              <w:t>t</w:t>
            </w:r>
            <w:r w:rsidRPr="008625DC">
              <w:t xml:space="preserve">he general provisions in </w:t>
            </w:r>
            <w:r w:rsidR="00A8351C" w:rsidRPr="008625DC">
              <w:t>sub</w:t>
            </w:r>
            <w:r w:rsidRPr="008625DC">
              <w:t>section</w:t>
            </w:r>
            <w:r w:rsidR="004A182D" w:rsidRPr="008625DC">
              <w:t> </w:t>
            </w:r>
            <w:r w:rsidRPr="008625DC">
              <w:t xml:space="preserve">45(1) of the Competition Act dealing with cartel conduct and section 90.1 dealing with agreements that prevent or lessen competition substantially in the market are </w:t>
            </w:r>
            <w:r w:rsidR="00FF25F3" w:rsidRPr="008625DC">
              <w:t>relied upon.</w:t>
            </w:r>
            <w:r w:rsidRPr="008625DC">
              <w:t xml:space="preserve"> The Competition Bureau has noted that an agreement may be inferred in circumstances where there is unilateral information exchange together with parallel conduct.</w:t>
            </w:r>
          </w:p>
          <w:p w14:paraId="62AB2B47" w14:textId="6C887E94" w:rsidR="0039012D" w:rsidRPr="008625DC" w:rsidRDefault="00FF25F3" w:rsidP="00B4260E">
            <w:pPr>
              <w:pStyle w:val="BoxText"/>
            </w:pPr>
            <w:r w:rsidRPr="008625DC">
              <w:t xml:space="preserve">In the </w:t>
            </w:r>
            <w:r w:rsidRPr="008625DC">
              <w:rPr>
                <w:b/>
              </w:rPr>
              <w:t>UK</w:t>
            </w:r>
            <w:r w:rsidRPr="008625DC">
              <w:t xml:space="preserve">, the </w:t>
            </w:r>
            <w:r w:rsidR="00D461CF" w:rsidRPr="008625DC">
              <w:t>general Chapter</w:t>
            </w:r>
            <w:r w:rsidR="004A182D" w:rsidRPr="008625DC">
              <w:t> </w:t>
            </w:r>
            <w:r w:rsidR="00D461CF" w:rsidRPr="008625DC">
              <w:t>I prohibition</w:t>
            </w:r>
            <w:r w:rsidR="00A8351C" w:rsidRPr="008625DC">
              <w:t xml:space="preserve"> in the Competition Act</w:t>
            </w:r>
            <w:r w:rsidR="00D461CF" w:rsidRPr="008625DC">
              <w:t xml:space="preserve">, which includes the concept of </w:t>
            </w:r>
            <w:r w:rsidR="00C74E19" w:rsidRPr="008625DC">
              <w:t>‘</w:t>
            </w:r>
            <w:r w:rsidR="00D461CF" w:rsidRPr="008625DC">
              <w:t>concerted practice</w:t>
            </w:r>
            <w:r w:rsidR="00C74E19" w:rsidRPr="008625DC">
              <w:t>’</w:t>
            </w:r>
            <w:r w:rsidRPr="008625DC">
              <w:t>,</w:t>
            </w:r>
            <w:r w:rsidR="00D461CF" w:rsidRPr="008625DC">
              <w:t xml:space="preserve"> can be relied on to capture price signalling conduct. Similarly, the </w:t>
            </w:r>
            <w:r w:rsidR="00D461CF" w:rsidRPr="008625DC">
              <w:rPr>
                <w:b/>
              </w:rPr>
              <w:t>EU</w:t>
            </w:r>
            <w:r w:rsidR="00C74E19" w:rsidRPr="008625DC">
              <w:t>’</w:t>
            </w:r>
            <w:r w:rsidR="00D461CF" w:rsidRPr="008625DC">
              <w:t>s general Article</w:t>
            </w:r>
            <w:r w:rsidR="004A182D" w:rsidRPr="008625DC">
              <w:t> </w:t>
            </w:r>
            <w:r w:rsidR="00D461CF" w:rsidRPr="008625DC">
              <w:t xml:space="preserve">101 prohibition, which includes the concept of </w:t>
            </w:r>
            <w:r w:rsidR="00C74E19" w:rsidRPr="008625DC">
              <w:t>‘</w:t>
            </w:r>
            <w:r w:rsidR="00D461CF" w:rsidRPr="008625DC">
              <w:t>concerted practice</w:t>
            </w:r>
            <w:r w:rsidR="00C74E19" w:rsidRPr="008625DC">
              <w:t>’</w:t>
            </w:r>
            <w:r w:rsidR="00D461CF" w:rsidRPr="008625DC">
              <w:t xml:space="preserve"> can be relied on to capture price signalling conduct.</w:t>
            </w:r>
          </w:p>
        </w:tc>
      </w:tr>
    </w:tbl>
    <w:p w14:paraId="7D47120F" w14:textId="26A55122" w:rsidR="00FF25F3" w:rsidRPr="008625DC" w:rsidRDefault="00FF25F3" w:rsidP="00B4260E">
      <w:pPr>
        <w:spacing w:before="240"/>
      </w:pPr>
      <w:r w:rsidRPr="008625DC">
        <w:t xml:space="preserve">Submissions contain a range of views and </w:t>
      </w:r>
      <w:r w:rsidR="00B019D2" w:rsidRPr="008625DC">
        <w:t>generally</w:t>
      </w:r>
      <w:r w:rsidRPr="008625DC">
        <w:t xml:space="preserve"> reflect those previously expressed in the debates </w:t>
      </w:r>
      <w:r w:rsidR="00B019D2" w:rsidRPr="008625DC">
        <w:t>leading up</w:t>
      </w:r>
      <w:r w:rsidRPr="008625DC">
        <w:t xml:space="preserve"> to the introduction of the legislation. It is fair to say that no one seems happy with the provisions in their current form</w:t>
      </w:r>
      <w:r w:rsidR="00C74E19" w:rsidRPr="008625DC">
        <w:t xml:space="preserve"> — </w:t>
      </w:r>
      <w:r w:rsidRPr="008625DC">
        <w:t>submissions either argue for modification,</w:t>
      </w:r>
      <w:r w:rsidR="00181298" w:rsidRPr="008625DC">
        <w:rPr>
          <w:rStyle w:val="FootnoteReference"/>
        </w:rPr>
        <w:footnoteReference w:id="319"/>
      </w:r>
      <w:r w:rsidRPr="008625DC">
        <w:t xml:space="preserve"> repeal</w:t>
      </w:r>
      <w:r w:rsidRPr="008625DC">
        <w:rPr>
          <w:rStyle w:val="FootnoteReference"/>
        </w:rPr>
        <w:footnoteReference w:id="320"/>
      </w:r>
      <w:r w:rsidRPr="008625DC">
        <w:t xml:space="preserve"> or the extension of the provisions to all sectors of the economy.</w:t>
      </w:r>
      <w:r w:rsidRPr="008625DC">
        <w:rPr>
          <w:rStyle w:val="FootnoteReference"/>
        </w:rPr>
        <w:footnoteReference w:id="321"/>
      </w:r>
    </w:p>
    <w:p w14:paraId="2A8CB9D8" w14:textId="6C08E861" w:rsidR="00FF25F3" w:rsidRPr="008625DC" w:rsidRDefault="00FF25F3" w:rsidP="002F6343">
      <w:r w:rsidRPr="008625DC">
        <w:t>Public disclosure of prices is common business practice by which businesses communicate with a broad customer base and help consumers make informed choices. For this reason the current public disclosure price signalling laws may over</w:t>
      </w:r>
      <w:r w:rsidR="00C74E19" w:rsidRPr="008625DC">
        <w:noBreakHyphen/>
      </w:r>
      <w:r w:rsidRPr="008625DC">
        <w:t>capture pro</w:t>
      </w:r>
      <w:r w:rsidR="00C74E19" w:rsidRPr="008625DC">
        <w:noBreakHyphen/>
      </w:r>
      <w:r w:rsidRPr="008625DC">
        <w:t>competitive or benign conduct.</w:t>
      </w:r>
    </w:p>
    <w:p w14:paraId="6A0BC888" w14:textId="49F3F10B" w:rsidR="005A7DB9" w:rsidRPr="008625DC" w:rsidRDefault="00FF25F3" w:rsidP="002F6343">
      <w:r w:rsidRPr="008625DC">
        <w:t>Private disclosure of price information between competitors will generally have more potential to harm competition</w:t>
      </w:r>
      <w:r w:rsidR="006E3266" w:rsidRPr="008625DC">
        <w:t>.</w:t>
      </w:r>
      <w:r w:rsidRPr="008625DC">
        <w:t xml:space="preserve"> </w:t>
      </w:r>
      <w:r w:rsidR="006E3266" w:rsidRPr="008625DC">
        <w:t>P</w:t>
      </w:r>
      <w:r w:rsidRPr="008625DC">
        <w:t>rivate disclosure enables competitors to communicate their pricing intentions with each other without consumers observing the communication, and thereby reduce the risk of adverse consumer reaction before a new pricing level becomes settled.</w:t>
      </w:r>
    </w:p>
    <w:p w14:paraId="73C258A0" w14:textId="0E8C81BF" w:rsidR="00FF25F3" w:rsidRPr="008625DC" w:rsidRDefault="00FF25F3" w:rsidP="002F6343">
      <w:r w:rsidRPr="008625DC">
        <w:t>However, there are also circumstances in which competitors disclose pricing information in the ordinary course of business. As discussed in the context of cartel conduct, price disclosure may occur in connection with joint ventures and similar collaborative arrangements (for example, a bank lending syndicate or insurance layers offered by numerous insurers)</w:t>
      </w:r>
      <w:r w:rsidR="006E3266" w:rsidRPr="008625DC">
        <w:t>.</w:t>
      </w:r>
      <w:r w:rsidRPr="008625DC">
        <w:t xml:space="preserve"> </w:t>
      </w:r>
      <w:r w:rsidR="006E3266" w:rsidRPr="008625DC">
        <w:t>P</w:t>
      </w:r>
      <w:r w:rsidRPr="008625DC">
        <w:t>rice disclosure may also occur in connection with a supply arrangement, but where the supplier also competes with its business customer in a downstream market.</w:t>
      </w:r>
    </w:p>
    <w:p w14:paraId="35D78A9F" w14:textId="05FD4D5B" w:rsidR="00956EFF" w:rsidRPr="008625DC" w:rsidRDefault="00FF25F3" w:rsidP="002F6343">
      <w:r w:rsidRPr="008625DC">
        <w:t>The difficulties of defining the circumstances in which disclosure of price information is pro</w:t>
      </w:r>
      <w:r w:rsidR="00C74E19" w:rsidRPr="008625DC">
        <w:noBreakHyphen/>
      </w:r>
      <w:r w:rsidRPr="008625DC">
        <w:t>competitive or benign, and the circumstances in which it is likely to be harmful to competition, have resulted in a complex set o</w:t>
      </w:r>
      <w:r w:rsidR="006E3266" w:rsidRPr="008625DC">
        <w:t>f</w:t>
      </w:r>
      <w:r w:rsidRPr="008625DC">
        <w:t xml:space="preserve"> provisions now contained in Division</w:t>
      </w:r>
      <w:r w:rsidR="004A182D" w:rsidRPr="008625DC">
        <w:t> </w:t>
      </w:r>
      <w:r w:rsidRPr="008625DC">
        <w:t>1A of Part</w:t>
      </w:r>
      <w:r w:rsidR="004A182D" w:rsidRPr="008625DC">
        <w:t> </w:t>
      </w:r>
      <w:r w:rsidRPr="008625DC">
        <w:t xml:space="preserve">IV. The provisions </w:t>
      </w:r>
      <w:r w:rsidRPr="008625DC">
        <w:lastRenderedPageBreak/>
        <w:t>have endeavoured to craft suitable exemptions from the prohibitions. However, the difficulty in catering for all circumstances has resulted in a general exemption for disclosure that is in the ordinary course of business.</w:t>
      </w:r>
    </w:p>
    <w:p w14:paraId="069E6930" w14:textId="3B35B1E7" w:rsidR="00BB16EB" w:rsidRPr="008625DC" w:rsidRDefault="00FF25F3" w:rsidP="002F6343">
      <w:r w:rsidRPr="008625DC">
        <w:t>The fact that the provisions were, from their enactment, confined to the banking sector indicates an understandable concern about the application of the provisions to all parts of the economy. The Panel considers that competition laws ought be capable of general application to all parts of the economy.</w:t>
      </w:r>
    </w:p>
    <w:p w14:paraId="79368913" w14:textId="06361036" w:rsidR="00FF25F3" w:rsidRPr="008625DC" w:rsidRDefault="00FF25F3" w:rsidP="002F6343">
      <w:r w:rsidRPr="008625DC">
        <w:t>Unlike most parts of the competition laws, the price signalling provisions do not enjoy wide support. The provisions are complex and create an additional compliance burden for business.</w:t>
      </w:r>
    </w:p>
    <w:p w14:paraId="3C359E2F" w14:textId="5883B2A6" w:rsidR="00FF25F3" w:rsidRPr="008625DC" w:rsidRDefault="00D84152" w:rsidP="002F6343">
      <w:r w:rsidRPr="008625DC">
        <w:t>Other provisions of the competition law are capable of addressing a</w:t>
      </w:r>
      <w:r w:rsidR="00FF25F3" w:rsidRPr="008625DC">
        <w:t>nti</w:t>
      </w:r>
      <w:r w:rsidR="00C74E19" w:rsidRPr="008625DC">
        <w:noBreakHyphen/>
      </w:r>
      <w:r w:rsidR="00FF25F3" w:rsidRPr="008625DC">
        <w:t>competitive price signalling</w:t>
      </w:r>
      <w:r w:rsidRPr="008625DC">
        <w:t>.</w:t>
      </w:r>
      <w:r w:rsidR="00FF25F3" w:rsidRPr="008625DC">
        <w:t xml:space="preserve"> </w:t>
      </w:r>
      <w:r w:rsidRPr="008625DC">
        <w:t xml:space="preserve">For example, if </w:t>
      </w:r>
      <w:r w:rsidR="00FF25F3" w:rsidRPr="008625DC">
        <w:t>the price signalling causes competitors to agree the level of their prices, the conduct will be prohibited as price</w:t>
      </w:r>
      <w:r w:rsidR="00C74E19" w:rsidRPr="008625DC">
        <w:noBreakHyphen/>
      </w:r>
      <w:r w:rsidR="00FF25F3" w:rsidRPr="008625DC">
        <w:t>fixing by the cartel provisions. If</w:t>
      </w:r>
      <w:r w:rsidRPr="008625DC">
        <w:t>, on the other hand,</w:t>
      </w:r>
      <w:r w:rsidR="00FF25F3" w:rsidRPr="008625DC">
        <w:t xml:space="preserve"> the price signalling falls short of price</w:t>
      </w:r>
      <w:r w:rsidR="00C74E19" w:rsidRPr="008625DC">
        <w:noBreakHyphen/>
      </w:r>
      <w:r w:rsidR="00FF25F3" w:rsidRPr="008625DC">
        <w:t>fixing but has the effect of substantially lessening competition (by enabling competitors to co</w:t>
      </w:r>
      <w:r w:rsidR="00C74E19" w:rsidRPr="008625DC">
        <w:noBreakHyphen/>
      </w:r>
      <w:r w:rsidR="00FF25F3" w:rsidRPr="008625DC">
        <w:t>ordinate their pricing decisions), the conduct will generally be prohibited by section</w:t>
      </w:r>
      <w:r w:rsidR="004A182D" w:rsidRPr="008625DC">
        <w:t> </w:t>
      </w:r>
      <w:r w:rsidR="00FF25F3" w:rsidRPr="008625DC">
        <w:t>45.</w:t>
      </w:r>
    </w:p>
    <w:p w14:paraId="70023A47" w14:textId="796F01D1" w:rsidR="00FF25F3" w:rsidRPr="008625DC" w:rsidRDefault="00FF25F3" w:rsidP="002F6343">
      <w:r w:rsidRPr="008625DC">
        <w:t xml:space="preserve">The concern originally raised by the ACCC was that a practice of exchanging price information between competitors may not constitute an </w:t>
      </w:r>
      <w:r w:rsidR="00C74E19" w:rsidRPr="008625DC">
        <w:t>‘</w:t>
      </w:r>
      <w:r w:rsidRPr="008625DC">
        <w:t>understanding</w:t>
      </w:r>
      <w:r w:rsidR="00C74E19" w:rsidRPr="008625DC">
        <w:t>’</w:t>
      </w:r>
      <w:r w:rsidRPr="008625DC">
        <w:t xml:space="preserve"> within the meaning of section</w:t>
      </w:r>
      <w:r w:rsidR="004A182D" w:rsidRPr="008625DC">
        <w:t> </w:t>
      </w:r>
      <w:r w:rsidRPr="008625DC">
        <w:t>45, and thereby not be regulated by section</w:t>
      </w:r>
      <w:r w:rsidR="004A182D" w:rsidRPr="008625DC">
        <w:t> </w:t>
      </w:r>
      <w:r w:rsidRPr="008625DC">
        <w:t>45. Whether that concern is realistic might be debated (as it would be usual to infer that competitors had an understanding to exchange price information if they engaged in that conduct on a regular basis). Nevertheless, that concern can be readily addressed by expanding section</w:t>
      </w:r>
      <w:r w:rsidR="004A182D" w:rsidRPr="008625DC">
        <w:t> </w:t>
      </w:r>
      <w:r w:rsidRPr="008625DC">
        <w:t>45 so that it applies to contracts, arrangements, understandings and concerted practices, where a concerted practice is a regular and deliberate activity</w:t>
      </w:r>
      <w:r w:rsidR="005F3C6C" w:rsidRPr="008625DC">
        <w:t xml:space="preserve"> undertaken by two or more firms. It would include the regular disclosure or exchange of price information between two firms, whether or not it is possible to show that the firms had reached an understanding about the disclosure or exchange.</w:t>
      </w:r>
    </w:p>
    <w:p w14:paraId="2082A164" w14:textId="75B54C62" w:rsidR="00FF25F3" w:rsidRPr="008625DC" w:rsidRDefault="00FF25F3" w:rsidP="002F6343">
      <w:r w:rsidRPr="008625DC">
        <w:t>Ensuring that section</w:t>
      </w:r>
      <w:r w:rsidR="004A182D" w:rsidRPr="008625DC">
        <w:t> </w:t>
      </w:r>
      <w:r w:rsidRPr="008625DC">
        <w:t xml:space="preserve">45 of the CCA can apply to instances of </w:t>
      </w:r>
      <w:r w:rsidR="00C74E19" w:rsidRPr="008625DC">
        <w:t>‘</w:t>
      </w:r>
      <w:r w:rsidRPr="008625DC">
        <w:t>concerted practices</w:t>
      </w:r>
      <w:r w:rsidR="00C74E19" w:rsidRPr="008625DC">
        <w:t>’</w:t>
      </w:r>
      <w:r w:rsidRPr="008625DC">
        <w:t xml:space="preserve"> </w:t>
      </w:r>
      <w:r w:rsidR="00F876E8" w:rsidRPr="008625DC">
        <w:t xml:space="preserve">that </w:t>
      </w:r>
      <w:r w:rsidRPr="008625DC">
        <w:t>substantially lessen competition will meet the policy intent of the price signalling provisions. This would remove the need for a separate division on price signalling within the CCA and is consistent with simplifying the CCA and ensuring that its provisions apply generally throughout the economy.</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A460E0" w:rsidRPr="008625DC" w14:paraId="3149ADB7" w14:textId="77777777" w:rsidTr="00E81395">
        <w:tc>
          <w:tcPr>
            <w:tcW w:w="5000" w:type="pct"/>
            <w:shd w:val="clear" w:color="auto" w:fill="FFFFFF" w:themeFill="background1"/>
          </w:tcPr>
          <w:p w14:paraId="741E2F52" w14:textId="09A30443" w:rsidR="00A460E0" w:rsidRPr="008625DC" w:rsidRDefault="00A460E0" w:rsidP="00E81395">
            <w:pPr>
              <w:pStyle w:val="Keyfindingheading"/>
            </w:pPr>
            <w:r w:rsidRPr="008625DC">
              <w:lastRenderedPageBreak/>
              <w:t>The Panel</w:t>
            </w:r>
            <w:r w:rsidR="00C74E19" w:rsidRPr="008625DC">
              <w:t>’</w:t>
            </w:r>
            <w:r w:rsidRPr="008625DC">
              <w:t>s view</w:t>
            </w:r>
          </w:p>
          <w:p w14:paraId="4352A388" w14:textId="77777777" w:rsidR="00FF25F3" w:rsidRPr="008625DC" w:rsidRDefault="00FF25F3" w:rsidP="00FF25F3">
            <w:pPr>
              <w:pStyle w:val="Keyfindingtext"/>
            </w:pPr>
            <w:bookmarkStart w:id="31353" w:name="_Toc393978907"/>
            <w:bookmarkStart w:id="31354" w:name="_Toc393879133"/>
            <w:bookmarkStart w:id="31355" w:name="_Toc393879364"/>
            <w:bookmarkStart w:id="31356" w:name="_Toc393903325"/>
            <w:bookmarkStart w:id="31357" w:name="_Toc393902535"/>
            <w:bookmarkStart w:id="31358" w:name="_Toc393905241"/>
            <w:bookmarkStart w:id="31359" w:name="_Toc393904098"/>
            <w:bookmarkStart w:id="31360" w:name="_Toc393903689"/>
            <w:bookmarkStart w:id="31361" w:name="_Toc393905931"/>
            <w:bookmarkStart w:id="31362" w:name="_Toc393907908"/>
            <w:bookmarkStart w:id="31363" w:name="_Toc393906348"/>
            <w:bookmarkStart w:id="31364" w:name="_Toc393967486"/>
            <w:bookmarkStart w:id="31365" w:name="_Toc393973999"/>
            <w:bookmarkStart w:id="31366" w:name="_Toc393985026"/>
            <w:bookmarkStart w:id="31367" w:name="_Toc393985529"/>
            <w:bookmarkStart w:id="31368" w:name="_Toc393985931"/>
            <w:bookmarkStart w:id="31369" w:name="_Toc393986334"/>
            <w:bookmarkStart w:id="31370" w:name="_Toc393987941"/>
            <w:bookmarkStart w:id="31371" w:name="_Toc393989354"/>
            <w:bookmarkStart w:id="31372" w:name="_Toc393987845"/>
            <w:bookmarkStart w:id="31373" w:name="_Toc393988742"/>
            <w:bookmarkStart w:id="31374" w:name="_Toc393990746"/>
            <w:bookmarkStart w:id="31375" w:name="_Toc393991728"/>
            <w:bookmarkStart w:id="31376" w:name="_Toc394047393"/>
            <w:bookmarkStart w:id="31377" w:name="_Toc394049669"/>
            <w:bookmarkStart w:id="31378" w:name="_Toc394051069"/>
            <w:bookmarkStart w:id="31379" w:name="_Toc394062058"/>
            <w:bookmarkStart w:id="31380" w:name="_Toc394068933"/>
            <w:bookmarkStart w:id="31381" w:name="_Toc394070755"/>
            <w:bookmarkStart w:id="31382" w:name="_Toc394312257"/>
            <w:bookmarkStart w:id="31383" w:name="_Toc394330155"/>
            <w:bookmarkStart w:id="31384" w:name="_Toc394333129"/>
            <w:bookmarkStart w:id="31385" w:name="_Toc394332707"/>
            <w:bookmarkStart w:id="31386" w:name="_Toc394333542"/>
            <w:bookmarkStart w:id="31387" w:name="_Toc394333955"/>
            <w:bookmarkStart w:id="31388" w:name="_Toc394334781"/>
            <w:bookmarkStart w:id="31389" w:name="_Toc394414967"/>
            <w:bookmarkStart w:id="31390" w:name="_Toc394412272"/>
            <w:bookmarkStart w:id="31391" w:name="_Toc394420548"/>
            <w:bookmarkStart w:id="31392" w:name="_Toc394421022"/>
            <w:bookmarkStart w:id="31393" w:name="_Toc394423392"/>
            <w:bookmarkStart w:id="31394" w:name="_Toc394420326"/>
            <w:bookmarkStart w:id="31395" w:name="_Toc394422435"/>
            <w:bookmarkStart w:id="31396" w:name="_Toc394422906"/>
            <w:bookmarkStart w:id="31397" w:name="_Toc394424056"/>
            <w:bookmarkStart w:id="31398" w:name="_Toc394491891"/>
            <w:bookmarkStart w:id="31399" w:name="_Toc394495036"/>
            <w:bookmarkStart w:id="31400" w:name="_Toc394497848"/>
            <w:bookmarkStart w:id="31401" w:name="_Toc394500640"/>
            <w:bookmarkStart w:id="31402" w:name="_Toc394502044"/>
            <w:bookmarkStart w:id="31403" w:name="_Toc394502946"/>
            <w:bookmarkStart w:id="31404" w:name="_Toc394502490"/>
            <w:bookmarkStart w:id="31405" w:name="_Toc394505697"/>
            <w:bookmarkStart w:id="31406" w:name="_Toc394506036"/>
            <w:bookmarkStart w:id="31407" w:name="_Toc394506710"/>
            <w:bookmarkStart w:id="31408" w:name="_Toc394560783"/>
            <w:bookmarkStart w:id="31409" w:name="_Toc394561247"/>
            <w:bookmarkStart w:id="31410" w:name="_Toc394938451"/>
            <w:bookmarkStart w:id="31411" w:name="_Toc394937733"/>
            <w:bookmarkStart w:id="31412" w:name="_Toc394941366"/>
            <w:bookmarkStart w:id="31413" w:name="_Toc394941982"/>
            <w:bookmarkStart w:id="31414" w:name="_Toc394940204"/>
            <w:bookmarkStart w:id="31415" w:name="_Toc394939801"/>
            <w:bookmarkStart w:id="31416" w:name="_Toc394993698"/>
            <w:bookmarkStart w:id="31417" w:name="_Toc394995580"/>
            <w:bookmarkStart w:id="31418" w:name="_Toc394995894"/>
            <w:bookmarkStart w:id="31419" w:name="_Toc394998139"/>
            <w:bookmarkStart w:id="31420" w:name="_Toc394998653"/>
            <w:bookmarkStart w:id="31421" w:name="_Toc395002152"/>
            <w:bookmarkStart w:id="31422" w:name="_Toc395001360"/>
            <w:bookmarkStart w:id="31423" w:name="_Toc395001632"/>
            <w:bookmarkStart w:id="31424" w:name="_Toc395002921"/>
            <w:bookmarkStart w:id="31425" w:name="_Toc395003506"/>
            <w:bookmarkStart w:id="31426" w:name="_Toc395005747"/>
            <w:bookmarkStart w:id="31427" w:name="_Toc395009741"/>
            <w:bookmarkStart w:id="31428" w:name="_Toc395010483"/>
            <w:bookmarkStart w:id="31429" w:name="_Toc395012665"/>
            <w:bookmarkStart w:id="31430" w:name="_Toc395013127"/>
            <w:bookmarkStart w:id="31431" w:name="_Toc395012129"/>
            <w:bookmarkStart w:id="31432" w:name="_Toc395014468"/>
            <w:bookmarkStart w:id="31433" w:name="_Toc395084814"/>
            <w:bookmarkStart w:id="31434" w:name="_Toc395085115"/>
            <w:bookmarkStart w:id="31435" w:name="_Toc395090581"/>
            <w:bookmarkStart w:id="31436" w:name="_Toc395093163"/>
            <w:bookmarkStart w:id="31437" w:name="_Toc395098075"/>
            <w:bookmarkStart w:id="31438" w:name="_Toc395106260"/>
            <w:bookmarkStart w:id="31439" w:name="_Toc395109522"/>
            <w:bookmarkStart w:id="31440" w:name="_Toc395109850"/>
            <w:bookmarkStart w:id="31441" w:name="_Toc395112225"/>
            <w:bookmarkStart w:id="31442" w:name="_Toc395107367"/>
            <w:bookmarkStart w:id="31443" w:name="_Toc395108928"/>
            <w:bookmarkStart w:id="31444" w:name="_Toc395114168"/>
            <w:bookmarkStart w:id="31445" w:name="_Toc395116905"/>
            <w:bookmarkStart w:id="31446" w:name="_Toc395112842"/>
            <w:bookmarkStart w:id="31447" w:name="_Toc395115382"/>
            <w:bookmarkStart w:id="31448" w:name="_Toc395118534"/>
            <w:bookmarkStart w:id="31449" w:name="_Toc395624723"/>
            <w:bookmarkStart w:id="31450" w:name="_Toc395790074"/>
            <w:bookmarkStart w:id="31451" w:name="_Toc395800832"/>
            <w:r w:rsidRPr="008625DC">
              <w:t>Competition laws should apply generally across the economy, not to particular sectors. There is no policy rationale for price signalling laws to apply only to the banking sector.</w:t>
            </w:r>
          </w:p>
          <w:p w14:paraId="54585FD0" w14:textId="6D5B5B04" w:rsidR="00FF25F3" w:rsidRPr="008625DC" w:rsidRDefault="00FF25F3" w:rsidP="00FF25F3">
            <w:pPr>
              <w:pStyle w:val="Keyfindingtext"/>
            </w:pPr>
            <w:r w:rsidRPr="008625DC">
              <w:t>Public disclosure of pricing information is a common business practice by which suppliers communicate to their customers. It can help consumers to make informed choices and is therefore unlikely to raise significant competition concerns in most instances.</w:t>
            </w:r>
          </w:p>
          <w:p w14:paraId="5D608C5F" w14:textId="1A674347" w:rsidR="00FF25F3" w:rsidRPr="008625DC" w:rsidRDefault="00FF25F3" w:rsidP="00FF25F3">
            <w:pPr>
              <w:pStyle w:val="Keyfindingtext"/>
            </w:pPr>
            <w:r w:rsidRPr="008625DC">
              <w:t>Private disclosure of pricing information has the potential to harm consumer interests as it can facilitate collusion or co</w:t>
            </w:r>
            <w:r w:rsidR="00C74E19" w:rsidRPr="008625DC">
              <w:noBreakHyphen/>
            </w:r>
            <w:r w:rsidRPr="008625DC">
              <w:t>ordination between competitors. However, there are many business circumstances in which such disclosure is necessary and usual.</w:t>
            </w:r>
          </w:p>
          <w:p w14:paraId="7B957F83" w14:textId="4F92259F" w:rsidR="00A460E0" w:rsidRPr="008625DC" w:rsidRDefault="00FF25F3" w:rsidP="00556CA7">
            <w:pPr>
              <w:pStyle w:val="Keyfindingtext"/>
            </w:pPr>
            <w:bookmarkStart w:id="31452" w:name="_Toc395112226"/>
            <w:bookmarkStart w:id="31453" w:name="_Toc395107368"/>
            <w:bookmarkStart w:id="31454" w:name="_Toc395108929"/>
            <w:bookmarkStart w:id="31455" w:name="_Toc395114169"/>
            <w:bookmarkStart w:id="31456" w:name="_Toc395116906"/>
            <w:bookmarkStart w:id="31457" w:name="_Toc395112843"/>
            <w:bookmarkStart w:id="31458" w:name="_Toc395115383"/>
            <w:bookmarkStart w:id="31459" w:name="_Toc395118535"/>
            <w:bookmarkStart w:id="31460" w:name="_Toc395624724"/>
            <w:bookmarkStart w:id="31461" w:name="_Toc395790075"/>
            <w:bookmarkStart w:id="31462" w:name="_Toc395800833"/>
            <w:bookmarkStart w:id="31463" w:name="_Toc394414968"/>
            <w:bookmarkStart w:id="31464" w:name="_Toc394412273"/>
            <w:bookmarkStart w:id="31465" w:name="_Toc394420549"/>
            <w:bookmarkStart w:id="31466" w:name="_Toc394421023"/>
            <w:bookmarkStart w:id="31467" w:name="_Toc394423393"/>
            <w:bookmarkStart w:id="31468" w:name="_Toc394420327"/>
            <w:bookmarkStart w:id="31469" w:name="_Toc394422436"/>
            <w:bookmarkStart w:id="31470" w:name="_Toc394422907"/>
            <w:bookmarkStart w:id="31471" w:name="_Toc394424057"/>
            <w:bookmarkStart w:id="31472" w:name="_Toc394491892"/>
            <w:bookmarkStart w:id="31473" w:name="_Toc394495037"/>
            <w:bookmarkStart w:id="31474" w:name="_Toc394497849"/>
            <w:bookmarkStart w:id="31475" w:name="_Toc394500641"/>
            <w:bookmarkStart w:id="31476" w:name="_Toc394502045"/>
            <w:bookmarkStart w:id="31477" w:name="_Toc394502947"/>
            <w:bookmarkStart w:id="31478" w:name="_Toc394502491"/>
            <w:bookmarkStart w:id="31479" w:name="_Toc394505698"/>
            <w:bookmarkStart w:id="31480" w:name="_Toc394506037"/>
            <w:bookmarkStart w:id="31481" w:name="_Toc394506711"/>
            <w:bookmarkStart w:id="31482" w:name="_Toc394560784"/>
            <w:bookmarkStart w:id="31483" w:name="_Toc394561248"/>
            <w:bookmarkStart w:id="31484" w:name="_Toc394938452"/>
            <w:bookmarkStart w:id="31485" w:name="_Toc394937734"/>
            <w:bookmarkStart w:id="31486" w:name="_Toc394941367"/>
            <w:bookmarkStart w:id="31487" w:name="_Toc394941983"/>
            <w:bookmarkStart w:id="31488" w:name="_Toc394940205"/>
            <w:bookmarkStart w:id="31489" w:name="_Toc394939802"/>
            <w:bookmarkStart w:id="31490" w:name="_Toc394993699"/>
            <w:bookmarkStart w:id="31491" w:name="_Toc394995581"/>
            <w:bookmarkStart w:id="31492" w:name="_Toc394995895"/>
            <w:bookmarkStart w:id="31493" w:name="_Toc394998140"/>
            <w:bookmarkStart w:id="31494" w:name="_Toc394998654"/>
            <w:bookmarkStart w:id="31495" w:name="_Toc395002153"/>
            <w:bookmarkStart w:id="31496" w:name="_Toc395001361"/>
            <w:bookmarkStart w:id="31497" w:name="_Toc395001633"/>
            <w:bookmarkStart w:id="31498" w:name="_Toc395002922"/>
            <w:bookmarkStart w:id="31499" w:name="_Toc395003507"/>
            <w:bookmarkStart w:id="31500" w:name="_Toc395005748"/>
            <w:bookmarkStart w:id="31501" w:name="_Toc395009742"/>
            <w:bookmarkStart w:id="31502" w:name="_Toc395010484"/>
            <w:bookmarkStart w:id="31503" w:name="_Toc395012666"/>
            <w:bookmarkStart w:id="31504" w:name="_Toc395013128"/>
            <w:bookmarkStart w:id="31505" w:name="_Toc395012130"/>
            <w:bookmarkStart w:id="31506" w:name="_Toc395014469"/>
            <w:bookmarkStart w:id="31507" w:name="_Toc395084815"/>
            <w:bookmarkStart w:id="31508" w:name="_Toc395085116"/>
            <w:bookmarkStart w:id="31509" w:name="_Toc395090582"/>
            <w:bookmarkStart w:id="31510" w:name="_Toc395093164"/>
            <w:bookmarkStart w:id="31511" w:name="_Toc395098076"/>
            <w:bookmarkStart w:id="31512" w:name="_Toc395106261"/>
            <w:bookmarkStart w:id="31513" w:name="_Toc395109523"/>
            <w:bookmarkStart w:id="31514" w:name="_Toc395109851"/>
            <w:bookmarkStart w:id="31515" w:name="_Toc393978909"/>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r w:rsidRPr="008625DC">
              <w:t>Section 45 of the CCA should be able to address instances of anti</w:t>
            </w:r>
            <w:r w:rsidR="00C74E19" w:rsidRPr="008625DC">
              <w:noBreakHyphen/>
            </w:r>
            <w:r w:rsidRPr="008625DC">
              <w:t xml:space="preserve">competitive price disclosure. That can be achieved by expanding the section to cover </w:t>
            </w:r>
            <w:r w:rsidR="00C74E19" w:rsidRPr="008625DC">
              <w:t>‘</w:t>
            </w:r>
            <w:r w:rsidRPr="008625DC">
              <w:t>concerted practices</w:t>
            </w:r>
            <w:r w:rsidR="00C74E19" w:rsidRPr="008625DC">
              <w:t>’</w:t>
            </w:r>
            <w:r w:rsidRPr="008625DC">
              <w:t xml:space="preserve"> </w:t>
            </w:r>
            <w:r w:rsidR="005F3C6C" w:rsidRPr="008625DC">
              <w:t xml:space="preserve">(a regular and deliberate activity undertaken by two or more firms) </w:t>
            </w:r>
            <w:r w:rsidRPr="008625DC">
              <w:t>in addition to contracts, arrangements and understandings.</w:t>
            </w:r>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p>
        </w:tc>
      </w:tr>
    </w:tbl>
    <w:p w14:paraId="7D70E668" w14:textId="400F5FE0" w:rsidR="000F0C5F" w:rsidRPr="008625DC" w:rsidRDefault="005C6AAB" w:rsidP="00BD2EA4">
      <w:pPr>
        <w:pStyle w:val="Heading2"/>
        <w:ind w:left="851" w:hanging="851"/>
        <w:rPr>
          <w:lang w:val="en-AU"/>
        </w:rPr>
      </w:pPr>
      <w:bookmarkStart w:id="31516" w:name="_Toc394330411"/>
      <w:bookmarkStart w:id="31517" w:name="_Toc394331342"/>
      <w:bookmarkStart w:id="31518" w:name="_Toc394330160"/>
      <w:bookmarkStart w:id="31519" w:name="_Toc394333134"/>
      <w:bookmarkStart w:id="31520" w:name="_Toc394333418"/>
      <w:bookmarkStart w:id="31521" w:name="_Toc394332712"/>
      <w:bookmarkStart w:id="31522" w:name="_Toc394333547"/>
      <w:bookmarkStart w:id="31523" w:name="_Toc394333831"/>
      <w:bookmarkStart w:id="31524" w:name="_Toc394333960"/>
      <w:bookmarkStart w:id="31525" w:name="_Toc394334244"/>
      <w:bookmarkStart w:id="31526" w:name="_Toc394334786"/>
      <w:bookmarkStart w:id="31527" w:name="_Toc394335070"/>
      <w:bookmarkStart w:id="31528" w:name="_Toc394414969"/>
      <w:bookmarkStart w:id="31529" w:name="_Toc394415274"/>
      <w:bookmarkStart w:id="31530" w:name="_Toc394412274"/>
      <w:bookmarkStart w:id="31531" w:name="_Toc394412583"/>
      <w:bookmarkStart w:id="31532" w:name="_Toc394420550"/>
      <w:bookmarkStart w:id="31533" w:name="_Toc394420876"/>
      <w:bookmarkStart w:id="31534" w:name="_Toc394421024"/>
      <w:bookmarkStart w:id="31535" w:name="_Toc394423394"/>
      <w:bookmarkStart w:id="31536" w:name="_Toc394423717"/>
      <w:bookmarkStart w:id="31537" w:name="_Toc394420328"/>
      <w:bookmarkStart w:id="31538" w:name="_Toc394422437"/>
      <w:bookmarkStart w:id="31539" w:name="_Toc394422761"/>
      <w:bookmarkStart w:id="31540" w:name="_Toc394422908"/>
      <w:bookmarkStart w:id="31541" w:name="_Toc394423232"/>
      <w:bookmarkStart w:id="31542" w:name="_Toc394424058"/>
      <w:bookmarkStart w:id="31543" w:name="_Toc394424380"/>
      <w:bookmarkStart w:id="31544" w:name="_Toc394491893"/>
      <w:bookmarkStart w:id="31545" w:name="_Toc394492211"/>
      <w:bookmarkStart w:id="31546" w:name="_Toc394495038"/>
      <w:bookmarkStart w:id="31547" w:name="_Toc394495355"/>
      <w:bookmarkStart w:id="31548" w:name="_Toc394497850"/>
      <w:bookmarkStart w:id="31549" w:name="_Toc394498170"/>
      <w:bookmarkStart w:id="31550" w:name="_Toc394500642"/>
      <w:bookmarkStart w:id="31551" w:name="_Toc394500960"/>
      <w:bookmarkStart w:id="31552" w:name="_Toc394502046"/>
      <w:bookmarkStart w:id="31553" w:name="_Toc394502357"/>
      <w:bookmarkStart w:id="31554" w:name="_Toc394502948"/>
      <w:bookmarkStart w:id="31555" w:name="_Toc394503716"/>
      <w:bookmarkStart w:id="31556" w:name="_Toc394502492"/>
      <w:bookmarkStart w:id="31557" w:name="_Toc394502805"/>
      <w:bookmarkStart w:id="31558" w:name="_Toc394505699"/>
      <w:bookmarkStart w:id="31559" w:name="_Toc394506133"/>
      <w:bookmarkStart w:id="31560" w:name="_Toc394506038"/>
      <w:bookmarkStart w:id="31561" w:name="_Toc394506471"/>
      <w:bookmarkStart w:id="31562" w:name="_Toc394506712"/>
      <w:bookmarkStart w:id="31563" w:name="_Toc394507025"/>
      <w:bookmarkStart w:id="31564" w:name="_Toc394560785"/>
      <w:bookmarkStart w:id="31565" w:name="_Toc394561100"/>
      <w:bookmarkStart w:id="31566" w:name="_Toc394561249"/>
      <w:bookmarkStart w:id="31567" w:name="_Toc394561933"/>
      <w:bookmarkStart w:id="31568" w:name="_Toc394582992"/>
      <w:bookmarkStart w:id="31569" w:name="_Toc394585663"/>
      <w:bookmarkStart w:id="31570" w:name="_Toc394586129"/>
      <w:bookmarkStart w:id="31571" w:name="_Toc394588061"/>
      <w:bookmarkStart w:id="31572" w:name="_Toc394588896"/>
      <w:bookmarkStart w:id="31573" w:name="_Toc394589021"/>
      <w:bookmarkStart w:id="31574" w:name="_Toc394590437"/>
      <w:bookmarkStart w:id="31575" w:name="_Toc394590630"/>
      <w:bookmarkStart w:id="31576" w:name="_Toc394654531"/>
      <w:bookmarkStart w:id="31577" w:name="_Toc394654689"/>
      <w:bookmarkStart w:id="31578" w:name="_Toc394656231"/>
      <w:bookmarkStart w:id="31579" w:name="_Toc394656388"/>
      <w:bookmarkStart w:id="31580" w:name="_Toc394659368"/>
      <w:bookmarkStart w:id="31581" w:name="_Toc394659526"/>
      <w:bookmarkStart w:id="31582" w:name="_Toc394663380"/>
      <w:bookmarkStart w:id="31583" w:name="_Toc394663536"/>
      <w:bookmarkStart w:id="31584" w:name="_Toc394667174"/>
      <w:bookmarkStart w:id="31585" w:name="_Toc394667330"/>
      <w:bookmarkStart w:id="31586" w:name="_Toc394671653"/>
      <w:bookmarkStart w:id="31587" w:name="_Toc394671813"/>
      <w:bookmarkStart w:id="31588" w:name="_Toc394674655"/>
      <w:bookmarkStart w:id="31589" w:name="_Toc394674818"/>
      <w:bookmarkStart w:id="31590" w:name="_Toc394674932"/>
      <w:bookmarkStart w:id="31591" w:name="_Toc394675098"/>
      <w:bookmarkStart w:id="31592" w:name="_Toc394676043"/>
      <w:bookmarkStart w:id="31593" w:name="_Toc394676205"/>
      <w:bookmarkStart w:id="31594" w:name="_Toc394675731"/>
      <w:bookmarkStart w:id="31595" w:name="_Toc394675894"/>
      <w:bookmarkStart w:id="31596" w:name="_Toc394918298"/>
      <w:bookmarkStart w:id="31597" w:name="_Toc394918812"/>
      <w:bookmarkStart w:id="31598" w:name="_Toc394930785"/>
      <w:bookmarkStart w:id="31599" w:name="_Toc394933696"/>
      <w:bookmarkStart w:id="31600" w:name="_Toc394938143"/>
      <w:bookmarkStart w:id="31601" w:name="_Toc394938453"/>
      <w:bookmarkStart w:id="31602" w:name="_Toc394938645"/>
      <w:bookmarkStart w:id="31603" w:name="_Toc394937735"/>
      <w:bookmarkStart w:id="31604" w:name="_Toc394937927"/>
      <w:bookmarkStart w:id="31605" w:name="_Toc394941055"/>
      <w:bookmarkStart w:id="31606" w:name="_Toc394941368"/>
      <w:bookmarkStart w:id="31607" w:name="_Toc394941556"/>
      <w:bookmarkStart w:id="31608" w:name="_Toc394941671"/>
      <w:bookmarkStart w:id="31609" w:name="_Toc394941984"/>
      <w:bookmarkStart w:id="31610" w:name="_Toc394942172"/>
      <w:bookmarkStart w:id="31611" w:name="_Toc394939892"/>
      <w:bookmarkStart w:id="31612" w:name="_Toc394940206"/>
      <w:bookmarkStart w:id="31613" w:name="_Toc394940394"/>
      <w:bookmarkStart w:id="31614" w:name="_Toc394939503"/>
      <w:bookmarkStart w:id="31615" w:name="_Toc394939803"/>
      <w:bookmarkStart w:id="31616" w:name="_Toc394940607"/>
      <w:bookmarkStart w:id="31617" w:name="_Toc394993700"/>
      <w:bookmarkStart w:id="31618" w:name="_Toc394995582"/>
      <w:bookmarkStart w:id="31619" w:name="_Toc394995896"/>
      <w:bookmarkStart w:id="31620" w:name="_Toc394996087"/>
      <w:bookmarkStart w:id="31621" w:name="_Toc394997813"/>
      <w:bookmarkStart w:id="31622" w:name="_Toc394998141"/>
      <w:bookmarkStart w:id="31623" w:name="_Toc394998328"/>
      <w:bookmarkStart w:id="31624" w:name="_Toc394998655"/>
      <w:bookmarkStart w:id="31625" w:name="_Toc395001823"/>
      <w:bookmarkStart w:id="31626" w:name="_Toc395002154"/>
      <w:bookmarkStart w:id="31627" w:name="_Toc395001362"/>
      <w:bookmarkStart w:id="31628" w:name="_Toc395001634"/>
      <w:bookmarkStart w:id="31629" w:name="_Toc395002923"/>
      <w:bookmarkStart w:id="31630" w:name="_Toc395003508"/>
      <w:bookmarkStart w:id="31631" w:name="_Toc395005075"/>
      <w:bookmarkStart w:id="31632" w:name="_Toc395005201"/>
      <w:bookmarkStart w:id="31633" w:name="_Toc395005417"/>
      <w:bookmarkStart w:id="31634" w:name="_Toc395005749"/>
      <w:bookmarkStart w:id="31635" w:name="_Toc395008994"/>
      <w:bookmarkStart w:id="31636" w:name="_Toc395009743"/>
      <w:bookmarkStart w:id="31637" w:name="_Toc395010180"/>
      <w:bookmarkStart w:id="31638" w:name="_Toc395010485"/>
      <w:bookmarkStart w:id="31639" w:name="_Toc395010022"/>
      <w:bookmarkStart w:id="31640" w:name="_Toc395011548"/>
      <w:bookmarkStart w:id="31641" w:name="_Toc395012366"/>
      <w:bookmarkStart w:id="31642" w:name="_Toc395012667"/>
      <w:bookmarkStart w:id="31643" w:name="_Toc395012956"/>
      <w:bookmarkStart w:id="31644" w:name="_Toc395010771"/>
      <w:bookmarkStart w:id="31645" w:name="_Toc395012244"/>
      <w:bookmarkStart w:id="31646" w:name="_Toc395013129"/>
      <w:bookmarkStart w:id="31647" w:name="_Toc395012131"/>
      <w:bookmarkStart w:id="31648" w:name="_Toc395014470"/>
      <w:bookmarkStart w:id="31649" w:name="_Toc395014645"/>
      <w:bookmarkStart w:id="31650" w:name="_Toc395013236"/>
      <w:bookmarkStart w:id="31651" w:name="_Toc395084816"/>
      <w:bookmarkStart w:id="31652" w:name="_Toc395085117"/>
      <w:bookmarkStart w:id="31653" w:name="_Toc395090275"/>
      <w:bookmarkStart w:id="31654" w:name="_Toc395090583"/>
      <w:bookmarkStart w:id="31655" w:name="_Toc395090754"/>
      <w:bookmarkStart w:id="31656" w:name="_Toc395092854"/>
      <w:bookmarkStart w:id="31657" w:name="_Toc395093165"/>
      <w:bookmarkStart w:id="31658" w:name="_Toc395093336"/>
      <w:bookmarkStart w:id="31659" w:name="_Toc395097765"/>
      <w:bookmarkStart w:id="31660" w:name="_Toc395098077"/>
      <w:bookmarkStart w:id="31661" w:name="_Toc395098246"/>
      <w:bookmarkStart w:id="31662" w:name="_Toc395105431"/>
      <w:bookmarkStart w:id="31663" w:name="_Toc395106262"/>
      <w:bookmarkStart w:id="31664" w:name="_Toc395107034"/>
      <w:bookmarkStart w:id="31665" w:name="_Toc395109906"/>
      <w:bookmarkStart w:id="31666" w:name="_Toc395109524"/>
      <w:bookmarkStart w:id="31667" w:name="_Toc395109692"/>
      <w:bookmarkStart w:id="31668" w:name="_Toc395109852"/>
      <w:bookmarkStart w:id="31669" w:name="_Toc395111909"/>
      <w:bookmarkStart w:id="31670" w:name="_Toc395112229"/>
      <w:bookmarkStart w:id="31671" w:name="_Toc395112397"/>
      <w:bookmarkStart w:id="31672" w:name="_Toc395106829"/>
      <w:bookmarkStart w:id="31673" w:name="_Toc395107371"/>
      <w:bookmarkStart w:id="31674" w:name="_Toc395107542"/>
      <w:bookmarkStart w:id="31675" w:name="_Toc395110041"/>
      <w:bookmarkStart w:id="31676" w:name="_Toc395108589"/>
      <w:bookmarkStart w:id="31677" w:name="_Toc395108932"/>
      <w:bookmarkStart w:id="31678" w:name="_Toc395113829"/>
      <w:bookmarkStart w:id="31679" w:name="_Toc395114172"/>
      <w:bookmarkStart w:id="31680" w:name="_Toc395114349"/>
      <w:bookmarkStart w:id="31681" w:name="_Toc395116565"/>
      <w:bookmarkStart w:id="31682" w:name="_Toc395116909"/>
      <w:bookmarkStart w:id="31683" w:name="_Toc395117087"/>
      <w:bookmarkStart w:id="31684" w:name="_Toc395112502"/>
      <w:bookmarkStart w:id="31685" w:name="_Toc395112846"/>
      <w:bookmarkStart w:id="31686" w:name="_Toc395113205"/>
      <w:bookmarkStart w:id="31687" w:name="_Toc395115041"/>
      <w:bookmarkStart w:id="31688" w:name="_Toc395115386"/>
      <w:bookmarkStart w:id="31689" w:name="_Toc395115564"/>
      <w:bookmarkStart w:id="31690" w:name="_Toc395118196"/>
      <w:bookmarkStart w:id="31691" w:name="_Toc395118538"/>
      <w:bookmarkStart w:id="31692" w:name="_Toc395118714"/>
      <w:bookmarkStart w:id="31693" w:name="_Toc395178406"/>
      <w:bookmarkStart w:id="31694" w:name="_Toc395178738"/>
      <w:bookmarkStart w:id="31695" w:name="_Toc395624727"/>
      <w:bookmarkStart w:id="31696" w:name="_Toc395624895"/>
      <w:bookmarkStart w:id="31697" w:name="_Toc395789749"/>
      <w:bookmarkStart w:id="31698" w:name="_Toc395790078"/>
      <w:bookmarkStart w:id="31699" w:name="_Toc395800836"/>
      <w:bookmarkStart w:id="31700" w:name="_Toc395802878"/>
      <w:bookmarkStart w:id="31701" w:name="_Toc395867645"/>
      <w:bookmarkStart w:id="31702" w:name="_Toc395868558"/>
      <w:bookmarkStart w:id="31703" w:name="_Toc395868777"/>
      <w:bookmarkStart w:id="31704" w:name="_Toc395878939"/>
      <w:bookmarkStart w:id="31705" w:name="_Toc395879156"/>
      <w:bookmarkStart w:id="31706" w:name="_Toc395882063"/>
      <w:bookmarkStart w:id="31707" w:name="_Toc395882280"/>
      <w:bookmarkStart w:id="31708" w:name="_Toc395878628"/>
      <w:bookmarkStart w:id="31709" w:name="_Toc395882394"/>
      <w:bookmarkStart w:id="31710" w:name="_Toc395882611"/>
      <w:bookmarkStart w:id="31711" w:name="_Toc395880558"/>
      <w:bookmarkStart w:id="31712" w:name="_Toc395880889"/>
      <w:bookmarkStart w:id="31713" w:name="_Toc395881447"/>
      <w:bookmarkStart w:id="31714" w:name="_Toc395881664"/>
      <w:bookmarkStart w:id="31715" w:name="_Toc395881380"/>
      <w:bookmarkStart w:id="31716" w:name="_Toc395883832"/>
      <w:bookmarkStart w:id="31717" w:name="_Toc395884049"/>
      <w:bookmarkStart w:id="31718" w:name="_Toc395880787"/>
      <w:bookmarkStart w:id="31719" w:name="_Toc395884494"/>
      <w:bookmarkStart w:id="31720" w:name="_Toc395884711"/>
      <w:bookmarkStart w:id="31721" w:name="_Toc395883203"/>
      <w:bookmarkStart w:id="31722" w:name="_Toc395883420"/>
      <w:bookmarkStart w:id="31723" w:name="_Toc395883533"/>
      <w:bookmarkStart w:id="31724" w:name="_Toc395883750"/>
      <w:bookmarkStart w:id="31725" w:name="_Toc395884835"/>
      <w:bookmarkStart w:id="31726" w:name="_Toc396123860"/>
      <w:bookmarkStart w:id="31727" w:name="_Toc396130763"/>
      <w:bookmarkStart w:id="31728" w:name="_Toc396136341"/>
      <w:bookmarkStart w:id="31729" w:name="_Toc396138795"/>
      <w:bookmarkStart w:id="31730" w:name="_Toc396144056"/>
      <w:bookmarkStart w:id="31731" w:name="_Toc396145565"/>
      <w:bookmarkStart w:id="31732" w:name="_Toc396145709"/>
      <w:bookmarkStart w:id="31733" w:name="_Toc396145991"/>
      <w:bookmarkStart w:id="31734" w:name="_Toc396147531"/>
      <w:bookmarkStart w:id="31735" w:name="_Toc396147817"/>
      <w:bookmarkStart w:id="31736" w:name="_Toc396149073"/>
      <w:bookmarkStart w:id="31737" w:name="_Toc396148787"/>
      <w:bookmarkStart w:id="31738" w:name="_Toc396149568"/>
      <w:bookmarkStart w:id="31739" w:name="_Toc396149213"/>
      <w:bookmarkStart w:id="31740" w:name="_Toc396149499"/>
      <w:bookmarkStart w:id="31741" w:name="_Toc396149921"/>
      <w:bookmarkStart w:id="31742" w:name="_Toc396149671"/>
      <w:bookmarkStart w:id="31743" w:name="_Toc396150512"/>
      <w:bookmarkStart w:id="31744" w:name="_Toc396151401"/>
      <w:bookmarkStart w:id="31745" w:name="_Toc396151695"/>
      <w:bookmarkStart w:id="31746" w:name="_Toc396201622"/>
      <w:bookmarkStart w:id="31747" w:name="_Toc396202412"/>
      <w:bookmarkStart w:id="31748" w:name="_Toc396202707"/>
      <w:bookmarkStart w:id="31749" w:name="_Toc396203324"/>
      <w:bookmarkStart w:id="31750" w:name="_Toc396206620"/>
      <w:bookmarkStart w:id="31751" w:name="_Toc396206914"/>
      <w:bookmarkStart w:id="31752" w:name="_Toc396209448"/>
      <w:bookmarkStart w:id="31753" w:name="_Toc396209742"/>
      <w:bookmarkStart w:id="31754" w:name="_Toc396211872"/>
      <w:bookmarkStart w:id="31755" w:name="_Toc396212166"/>
      <w:bookmarkStart w:id="31756" w:name="_Toc396213216"/>
      <w:bookmarkStart w:id="31757" w:name="_Toc396213508"/>
      <w:bookmarkStart w:id="31758" w:name="_Toc396214494"/>
      <w:bookmarkStart w:id="31759" w:name="_Toc396214784"/>
      <w:bookmarkStart w:id="31760" w:name="_Toc396220344"/>
      <w:bookmarkStart w:id="31761" w:name="_Toc396226606"/>
      <w:bookmarkStart w:id="31762" w:name="_Toc396226895"/>
      <w:bookmarkStart w:id="31763" w:name="_Toc396228806"/>
      <w:bookmarkStart w:id="31764" w:name="_Toc396229101"/>
      <w:bookmarkStart w:id="31765" w:name="_Toc396230448"/>
      <w:bookmarkStart w:id="31766" w:name="_Toc396230743"/>
      <w:bookmarkStart w:id="31767" w:name="_Toc396231885"/>
      <w:bookmarkStart w:id="31768" w:name="_Toc396233228"/>
      <w:bookmarkStart w:id="31769" w:name="_Toc396233525"/>
      <w:bookmarkStart w:id="31770" w:name="_Toc396234048"/>
      <w:bookmarkStart w:id="31771" w:name="_Toc396234345"/>
      <w:bookmarkStart w:id="31772" w:name="_Toc396234458"/>
      <w:bookmarkStart w:id="31773" w:name="_Toc396236192"/>
      <w:bookmarkStart w:id="31774" w:name="_Toc396235970"/>
      <w:bookmarkStart w:id="31775" w:name="_Toc396236580"/>
      <w:bookmarkStart w:id="31776" w:name="_Toc396237099"/>
      <w:bookmarkStart w:id="31777" w:name="_Toc396397442"/>
      <w:bookmarkStart w:id="31778" w:name="_Toc396304623"/>
      <w:bookmarkStart w:id="31779" w:name="_Toc396586158"/>
      <w:bookmarkStart w:id="31780" w:name="_Toc396815179"/>
      <w:bookmarkStart w:id="31781" w:name="_Toc396821128"/>
      <w:bookmarkStart w:id="31782" w:name="_Toc396821736"/>
      <w:bookmarkStart w:id="31783" w:name="_Toc396827586"/>
      <w:bookmarkStart w:id="31784" w:name="_Toc396828557"/>
      <w:bookmarkStart w:id="31785" w:name="_Toc396828667"/>
      <w:bookmarkStart w:id="31786" w:name="_Toc396838056"/>
      <w:bookmarkStart w:id="31787" w:name="_Toc396838454"/>
      <w:bookmarkStart w:id="31788" w:name="_Toc396904777"/>
      <w:bookmarkStart w:id="31789" w:name="_Toc396907611"/>
      <w:bookmarkStart w:id="31790" w:name="_Toc396912530"/>
      <w:bookmarkStart w:id="31791" w:name="_Toc396914510"/>
      <w:bookmarkStart w:id="31792" w:name="_Toc396915394"/>
      <w:bookmarkStart w:id="31793" w:name="_Toc396915788"/>
      <w:bookmarkStart w:id="31794" w:name="_Toc396921099"/>
      <w:bookmarkStart w:id="31795" w:name="_Toc396924439"/>
      <w:bookmarkStart w:id="31796" w:name="_Toc396925133"/>
      <w:bookmarkStart w:id="31797" w:name="_Toc396992253"/>
      <w:bookmarkStart w:id="31798" w:name="_Toc396992832"/>
      <w:bookmarkStart w:id="31799" w:name="_Toc396994496"/>
      <w:bookmarkStart w:id="31800" w:name="_Toc397002266"/>
      <w:bookmarkStart w:id="31801" w:name="_Toc397003185"/>
      <w:bookmarkStart w:id="31802" w:name="_Toc397008743"/>
      <w:bookmarkStart w:id="31803" w:name="_Toc397008961"/>
      <w:bookmarkStart w:id="31804" w:name="_Toc397011633"/>
      <w:bookmarkStart w:id="31805" w:name="_Toc397012695"/>
      <w:bookmarkStart w:id="31806" w:name="_Toc397015037"/>
      <w:bookmarkStart w:id="31807" w:name="_Toc397015524"/>
      <w:bookmarkStart w:id="31808" w:name="_Toc397070595"/>
      <w:bookmarkStart w:id="31809" w:name="_Toc397413349"/>
      <w:bookmarkStart w:id="31810" w:name="_Toc397413496"/>
      <w:bookmarkStart w:id="31811" w:name="_Toc397428065"/>
      <w:bookmarkStart w:id="31812" w:name="_Toc397601987"/>
      <w:bookmarkStart w:id="31813" w:name="_Toc397602722"/>
      <w:bookmarkStart w:id="31814" w:name="_Toc397439455"/>
      <w:bookmarkStart w:id="31815" w:name="_Toc397439625"/>
      <w:bookmarkStart w:id="31816" w:name="_Toc397439881"/>
      <w:bookmarkStart w:id="31817" w:name="_Toc397440183"/>
      <w:bookmarkStart w:id="31818" w:name="_Toc397441812"/>
      <w:bookmarkStart w:id="31819" w:name="_Toc397517514"/>
      <w:bookmarkStart w:id="31820" w:name="_Toc397522779"/>
      <w:bookmarkStart w:id="31821" w:name="_Toc397526197"/>
      <w:bookmarkStart w:id="31822" w:name="_Toc397528397"/>
      <w:bookmarkStart w:id="31823" w:name="_Toc397528512"/>
      <w:bookmarkStart w:id="31824" w:name="_Toc397528987"/>
      <w:bookmarkStart w:id="31825" w:name="_Toc397605855"/>
      <w:bookmarkStart w:id="31826" w:name="_Toc397614552"/>
      <w:bookmarkStart w:id="31827" w:name="_Toc397614995"/>
      <w:bookmarkStart w:id="31828" w:name="_Toc397616438"/>
      <w:bookmarkStart w:id="31829" w:name="_Toc397616832"/>
      <w:bookmarkStart w:id="31830" w:name="_Toc397688130"/>
      <w:bookmarkStart w:id="31831" w:name="_Toc397689346"/>
      <w:bookmarkStart w:id="31832" w:name="_Toc397694626"/>
      <w:bookmarkStart w:id="31833" w:name="_Toc397696467"/>
      <w:bookmarkStart w:id="31834" w:name="_Toc397697201"/>
      <w:bookmarkStart w:id="31835" w:name="_Toc397698488"/>
      <w:bookmarkStart w:id="31836" w:name="_Toc397699854"/>
      <w:bookmarkStart w:id="31837" w:name="_Toc397700308"/>
      <w:bookmarkStart w:id="31838" w:name="_Toc397936700"/>
      <w:bookmarkStart w:id="31839" w:name="_Toc397936820"/>
      <w:bookmarkStart w:id="31840" w:name="_Toc397945976"/>
      <w:bookmarkStart w:id="31841" w:name="_Toc397947002"/>
      <w:bookmarkStart w:id="31842" w:name="_Toc397948121"/>
      <w:bookmarkStart w:id="31843" w:name="_Toc397958527"/>
      <w:bookmarkStart w:id="31844" w:name="_Toc397958769"/>
      <w:bookmarkStart w:id="31845" w:name="_Toc397959184"/>
      <w:bookmarkStart w:id="31846" w:name="_Toc397962251"/>
      <w:bookmarkStart w:id="31847" w:name="_Toc397963037"/>
      <w:bookmarkStart w:id="31848" w:name="_Toc397963403"/>
      <w:bookmarkStart w:id="31849" w:name="_Toc397965480"/>
      <w:bookmarkStart w:id="31850" w:name="_Toc398197418"/>
      <w:bookmarkStart w:id="31851" w:name="_Toc398200043"/>
      <w:bookmarkStart w:id="31852" w:name="_Toc398201635"/>
      <w:bookmarkStart w:id="31853" w:name="_Toc398207240"/>
      <w:bookmarkStart w:id="31854" w:name="_Toc398209944"/>
      <w:bookmarkStart w:id="31855" w:name="_Toc398210513"/>
      <w:bookmarkStart w:id="31856" w:name="_Toc398211027"/>
      <w:bookmarkStart w:id="31857" w:name="_Toc398219838"/>
      <w:bookmarkStart w:id="31858" w:name="_Toc398220213"/>
      <w:bookmarkStart w:id="31859" w:name="_Toc398220600"/>
      <w:bookmarkStart w:id="31860" w:name="_Toc398221678"/>
      <w:bookmarkStart w:id="31861" w:name="_Toc398222364"/>
      <w:bookmarkStart w:id="31862" w:name="_Toc398222676"/>
      <w:bookmarkStart w:id="31863" w:name="_Toc398223093"/>
      <w:bookmarkStart w:id="31864" w:name="_Toc398223472"/>
      <w:bookmarkStart w:id="31865" w:name="_Toc398223599"/>
      <w:bookmarkStart w:id="31866" w:name="_Toc398224407"/>
      <w:bookmarkStart w:id="31867" w:name="_Toc398225744"/>
      <w:bookmarkStart w:id="31868" w:name="_Toc398225869"/>
      <w:bookmarkStart w:id="31869" w:name="_Toc398281356"/>
      <w:bookmarkStart w:id="31870" w:name="_Toc398282215"/>
      <w:bookmarkStart w:id="31871" w:name="_Toc398284885"/>
      <w:bookmarkStart w:id="31872" w:name="_Toc398287354"/>
      <w:bookmarkStart w:id="31873" w:name="_Toc398289237"/>
      <w:bookmarkStart w:id="31874" w:name="_Toc398297234"/>
      <w:bookmarkStart w:id="31875" w:name="_Toc398298708"/>
      <w:bookmarkStart w:id="31876" w:name="_Toc398300409"/>
      <w:bookmarkStart w:id="31877" w:name="_Toc398301306"/>
      <w:bookmarkStart w:id="31878" w:name="_Toc398302491"/>
      <w:bookmarkStart w:id="31879" w:name="_Toc398302654"/>
      <w:bookmarkStart w:id="31880" w:name="_Toc398549168"/>
      <w:bookmarkStart w:id="31881" w:name="_Toc398549418"/>
      <w:bookmarkStart w:id="31882" w:name="_Toc398555837"/>
      <w:bookmarkStart w:id="31883" w:name="_Toc398559041"/>
      <w:bookmarkStart w:id="31884" w:name="_Toc398563527"/>
      <w:bookmarkStart w:id="31885" w:name="_Toc398563660"/>
      <w:bookmarkStart w:id="31886" w:name="_Toc398564059"/>
      <w:bookmarkStart w:id="31887" w:name="_Toc398827397"/>
      <w:bookmarkStart w:id="31888" w:name="_Toc398827591"/>
      <w:bookmarkStart w:id="31889" w:name="s173"/>
      <w:r w:rsidRPr="008625DC">
        <w:rPr>
          <w:lang w:val="en-AU"/>
        </w:rPr>
        <w:t>Vertical restrictions (other than resale price maintenance</w:t>
      </w:r>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r w:rsidRPr="008625DC">
        <w:rPr>
          <w:lang w:val="en-AU"/>
        </w:rPr>
        <w:t>)</w:t>
      </w:r>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bookmarkEnd w:id="31829"/>
      <w:bookmarkEnd w:id="31830"/>
      <w:bookmarkEnd w:id="31831"/>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p>
    <w:bookmarkEnd w:id="31889"/>
    <w:p w14:paraId="7214A906" w14:textId="3F16E0F8" w:rsidR="00115308" w:rsidRPr="008625DC" w:rsidRDefault="00115308" w:rsidP="00B4260E">
      <w:pPr>
        <w:spacing w:after="120"/>
      </w:pPr>
      <w:r w:rsidRPr="008625DC">
        <w:t>As products are supplied down through a supply chain, it is not uncommon for suppliers (whether manufacturers, importers or wholesalers) and acquirers (whether wholesale distributors or retailers) to impose and agree trading restrictions. For example:</w:t>
      </w:r>
    </w:p>
    <w:p w14:paraId="1DA53249" w14:textId="005CCE40" w:rsidR="00115308" w:rsidRPr="008625DC" w:rsidRDefault="00115308" w:rsidP="00115308">
      <w:pPr>
        <w:pStyle w:val="Bullet"/>
      </w:pPr>
      <w:r w:rsidRPr="008625DC">
        <w:t>a manufacturer of sporting equipment may supply its products to a retailer on condition that the retailer does not purchase similar products from a competing manufacturer (often referred to as full</w:t>
      </w:r>
      <w:r w:rsidR="00C74E19" w:rsidRPr="008625DC">
        <w:noBreakHyphen/>
      </w:r>
      <w:r w:rsidRPr="008625DC">
        <w:t>line forcing);</w:t>
      </w:r>
    </w:p>
    <w:p w14:paraId="6586CB98" w14:textId="3CF98091" w:rsidR="00115308" w:rsidRPr="008625DC" w:rsidRDefault="00115308" w:rsidP="00115308">
      <w:pPr>
        <w:pStyle w:val="Bullet"/>
      </w:pPr>
      <w:r w:rsidRPr="008625DC">
        <w:t>a food franchisor may supply a franchise to a company on condition that the franchise is only operated within a specified geographic region;</w:t>
      </w:r>
    </w:p>
    <w:p w14:paraId="7F3D8572" w14:textId="760FFE53" w:rsidR="00115308" w:rsidRPr="008625DC" w:rsidRDefault="00115308" w:rsidP="00115308">
      <w:pPr>
        <w:pStyle w:val="Bullet"/>
      </w:pPr>
      <w:r w:rsidRPr="008625DC">
        <w:t>a retail chain may acquire whitegoods from an importer on condition that the importer does not supply its products to a competing retail chain (often referred to as exclusive dealing);</w:t>
      </w:r>
    </w:p>
    <w:p w14:paraId="76355096" w14:textId="428A1637" w:rsidR="00115308" w:rsidRPr="008625DC" w:rsidRDefault="00115308" w:rsidP="00115308">
      <w:pPr>
        <w:pStyle w:val="Bullet"/>
      </w:pPr>
      <w:r w:rsidRPr="008625DC">
        <w:t>a retailer may sell a particular mobile telephony plan on condition that the customer also acquires a particular mobile phone (often referred to as second</w:t>
      </w:r>
      <w:r w:rsidR="00C74E19" w:rsidRPr="008625DC">
        <w:noBreakHyphen/>
      </w:r>
      <w:r w:rsidRPr="008625DC">
        <w:t>line forcing or bundling);</w:t>
      </w:r>
    </w:p>
    <w:p w14:paraId="7661732A" w14:textId="57151EDE" w:rsidR="00115308" w:rsidRPr="008625DC" w:rsidRDefault="00115308" w:rsidP="00B4260E">
      <w:pPr>
        <w:pStyle w:val="Bullet"/>
        <w:spacing w:after="240"/>
      </w:pPr>
      <w:r w:rsidRPr="008625DC">
        <w:t>a franchisor may supply a franchise on condition that the franchisee purchases products for sale from third</w:t>
      </w:r>
      <w:r w:rsidR="00C74E19" w:rsidRPr="008625DC">
        <w:noBreakHyphen/>
      </w:r>
      <w:r w:rsidRPr="008625DC">
        <w:t>party suppliers approved by the franchisor (</w:t>
      </w:r>
      <w:r w:rsidR="005F3C6C" w:rsidRPr="008625DC">
        <w:t xml:space="preserve">such practices are </w:t>
      </w:r>
      <w:r w:rsidRPr="008625DC">
        <w:t>often referred to as third</w:t>
      </w:r>
      <w:r w:rsidR="00C74E19" w:rsidRPr="008625DC">
        <w:noBreakHyphen/>
      </w:r>
      <w:r w:rsidRPr="008625DC">
        <w:t>line forcing).</w:t>
      </w:r>
    </w:p>
    <w:p w14:paraId="138C0906" w14:textId="190720CF" w:rsidR="00115308" w:rsidRPr="008625DC" w:rsidRDefault="00115308" w:rsidP="00115308">
      <w:r w:rsidRPr="008625DC">
        <w:t xml:space="preserve">Usually, vertical trading restrictions are unlikely to cause any significant competitive harm. In most markets there are many manufacturers and importers of competing goods, and many competing wholesalers and retailers. A vertical restriction agreed between one manufacturer and one retailer would be </w:t>
      </w:r>
      <w:r w:rsidR="005A7DB9" w:rsidRPr="008625DC">
        <w:t>un</w:t>
      </w:r>
      <w:r w:rsidRPr="008625DC">
        <w:t xml:space="preserve">likely to cause any significant harm to competition. Vertical restrictions can also be commercially advantageous to the parties to the agreement and consumers. The restrictions are a means by which independent traders can align their commercial interests and objectives to the benefit of each and can </w:t>
      </w:r>
      <w:r w:rsidR="005A7DB9" w:rsidRPr="008625DC">
        <w:t xml:space="preserve">as a result </w:t>
      </w:r>
      <w:r w:rsidRPr="008625DC">
        <w:t>offer a better quality product to consumers.</w:t>
      </w:r>
    </w:p>
    <w:p w14:paraId="7E42DAE8" w14:textId="7F0DA220" w:rsidR="00115308" w:rsidRPr="008625DC" w:rsidRDefault="00115308" w:rsidP="00115308">
      <w:r w:rsidRPr="008625DC">
        <w:t xml:space="preserve">In some circumstances, though, vertical trading restrictions can be damaging to competition. This is likely to occur when a significant proportion of the market for a particular product becomes subject to such restrictions. The effect of vertical restrictions can be to restrict or exclude other traders from reasonable access to the market, reducing consumer choice. For example, this might occur if a particular manufacturer enjoys a position of market dominance for its product and supplies the </w:t>
      </w:r>
      <w:r w:rsidRPr="008625DC">
        <w:lastRenderedPageBreak/>
        <w:t>product to retailers on condition that they do not acquire any competing product</w:t>
      </w:r>
      <w:r w:rsidR="00FC65F1" w:rsidRPr="008625DC">
        <w:t>s</w:t>
      </w:r>
      <w:r w:rsidRPr="008625DC">
        <w:t>. It may then become difficult for a competing manufacturer to gain access to the retail market.</w:t>
      </w:r>
    </w:p>
    <w:p w14:paraId="65D4EB2B" w14:textId="4F7183BD" w:rsidR="00115308" w:rsidRPr="008625DC" w:rsidRDefault="00115308" w:rsidP="00115308">
      <w:r w:rsidRPr="008625DC">
        <w:t>For these reasons vertical restrictions are usually only prohibited under the CCA if they have the purpose</w:t>
      </w:r>
      <w:r w:rsidR="00340B2A" w:rsidRPr="008625DC">
        <w:t>,</w:t>
      </w:r>
      <w:r w:rsidRPr="008625DC">
        <w:t xml:space="preserve"> or </w:t>
      </w:r>
      <w:r w:rsidR="00340B2A" w:rsidRPr="008625DC">
        <w:t xml:space="preserve">has or is </w:t>
      </w:r>
      <w:r w:rsidRPr="008625DC">
        <w:t xml:space="preserve">likely </w:t>
      </w:r>
      <w:r w:rsidR="00340B2A" w:rsidRPr="008625DC">
        <w:t xml:space="preserve">to have the </w:t>
      </w:r>
      <w:r w:rsidRPr="008625DC">
        <w:t>effect</w:t>
      </w:r>
      <w:r w:rsidR="00340B2A" w:rsidRPr="008625DC">
        <w:t>,</w:t>
      </w:r>
      <w:r w:rsidRPr="008625DC">
        <w:t xml:space="preserve"> of substantially lessening competition</w:t>
      </w:r>
      <w:r w:rsidR="00340B2A" w:rsidRPr="008625DC">
        <w:t xml:space="preserve"> </w:t>
      </w:r>
      <w:r w:rsidRPr="008625DC">
        <w:t>of substantially lessening competition. The one exception is third</w:t>
      </w:r>
      <w:r w:rsidR="00C74E19" w:rsidRPr="008625DC">
        <w:noBreakHyphen/>
      </w:r>
      <w:r w:rsidRPr="008625DC">
        <w:t>line forcing. Under the CCA, third</w:t>
      </w:r>
      <w:r w:rsidR="00C74E19" w:rsidRPr="008625DC">
        <w:noBreakHyphen/>
      </w:r>
      <w:r w:rsidRPr="008625DC">
        <w:t>line forcing is prohibited per se</w:t>
      </w:r>
      <w:r w:rsidR="00C74E19" w:rsidRPr="008625DC">
        <w:t xml:space="preserve"> — </w:t>
      </w:r>
      <w:r w:rsidRPr="008625DC">
        <w:t>that is, regardless of the purpose or effect of the conduct.</w:t>
      </w:r>
    </w:p>
    <w:p w14:paraId="344EB83F" w14:textId="1A2D425C" w:rsidR="00115308" w:rsidRPr="008625DC" w:rsidRDefault="00115308" w:rsidP="00B4260E">
      <w:pPr>
        <w:spacing w:after="120"/>
      </w:pPr>
      <w:r w:rsidRPr="008625DC">
        <w:t>Submissions raise two main issues in relation to section 47:</w:t>
      </w:r>
    </w:p>
    <w:p w14:paraId="4AFF2ABE" w14:textId="7EE72904" w:rsidR="00115308" w:rsidRPr="008625DC" w:rsidRDefault="00115308" w:rsidP="00115308">
      <w:pPr>
        <w:pStyle w:val="Bullet"/>
      </w:pPr>
      <w:r w:rsidRPr="008625DC">
        <w:t>whether third</w:t>
      </w:r>
      <w:r w:rsidR="00C74E19" w:rsidRPr="008625DC">
        <w:noBreakHyphen/>
      </w:r>
      <w:r w:rsidRPr="008625DC">
        <w:t>line forcing should be prohibited per se; and</w:t>
      </w:r>
    </w:p>
    <w:p w14:paraId="7D1FC714" w14:textId="432DC51E" w:rsidR="00115308" w:rsidRPr="008625DC" w:rsidRDefault="00115308" w:rsidP="00B4260E">
      <w:pPr>
        <w:pStyle w:val="Bullet"/>
        <w:spacing w:after="240"/>
        <w:rPr>
          <w:b/>
          <w:bCs/>
        </w:rPr>
      </w:pPr>
      <w:r w:rsidRPr="008625DC">
        <w:t>whether the complexity in the language of section 47 can be reduced.</w:t>
      </w:r>
    </w:p>
    <w:p w14:paraId="7E955567" w14:textId="567CD131" w:rsidR="00B7294B" w:rsidRPr="008625DC" w:rsidRDefault="00A85470" w:rsidP="00FB084C">
      <w:pPr>
        <w:pStyle w:val="Heading3"/>
      </w:pPr>
      <w:r w:rsidRPr="008625DC">
        <w:t>Third</w:t>
      </w:r>
      <w:r w:rsidR="00C74E19" w:rsidRPr="008625DC">
        <w:noBreakHyphen/>
      </w:r>
      <w:r w:rsidRPr="008625DC">
        <w:t>line forcing</w:t>
      </w:r>
    </w:p>
    <w:p w14:paraId="32F45259" w14:textId="70D44B4E" w:rsidR="00780340" w:rsidRPr="008625DC" w:rsidRDefault="00780340" w:rsidP="00076D18">
      <w:r w:rsidRPr="008625DC">
        <w:t>Broadly, third</w:t>
      </w:r>
      <w:r w:rsidR="00C74E19" w:rsidRPr="008625DC">
        <w:noBreakHyphen/>
      </w:r>
      <w:r w:rsidRPr="008625DC">
        <w:t xml:space="preserve">line forcing involves the supply of goods or services on condition that the purchaser acquires goods or services from another person, or a refusal to supply because the purchaser will not agree to that condition. </w:t>
      </w:r>
    </w:p>
    <w:p w14:paraId="6207F406" w14:textId="2DE404D0" w:rsidR="00780340" w:rsidRPr="008625DC" w:rsidRDefault="00780340" w:rsidP="00780340">
      <w:pPr>
        <w:spacing w:before="0" w:line="280" w:lineRule="exact"/>
      </w:pPr>
      <w:r w:rsidRPr="008625DC">
        <w:t>Third</w:t>
      </w:r>
      <w:r w:rsidR="00C74E19" w:rsidRPr="008625DC">
        <w:noBreakHyphen/>
      </w:r>
      <w:r w:rsidRPr="008625DC">
        <w:t>line forcing is similar in character to second</w:t>
      </w:r>
      <w:r w:rsidR="00C74E19" w:rsidRPr="008625DC">
        <w:noBreakHyphen/>
      </w:r>
      <w:r w:rsidRPr="008625DC">
        <w:t>line forcing. Second</w:t>
      </w:r>
      <w:r w:rsidR="00C74E19" w:rsidRPr="008625DC">
        <w:noBreakHyphen/>
      </w:r>
      <w:r w:rsidRPr="008625DC">
        <w:t xml:space="preserve">line forcing occurs where a corporation supplies a product on condition that the purchaser acquires another product from that corporation (or a related company); </w:t>
      </w:r>
      <w:r w:rsidR="00FC65F1" w:rsidRPr="008625DC">
        <w:t>i.e.</w:t>
      </w:r>
      <w:r w:rsidRPr="008625DC">
        <w:t xml:space="preserve"> the corporation bundles products together as a package. </w:t>
      </w:r>
    </w:p>
    <w:p w14:paraId="66298642" w14:textId="562B7CB2" w:rsidR="00780340" w:rsidRPr="008625DC" w:rsidRDefault="00780340" w:rsidP="00780340">
      <w:r w:rsidRPr="008625DC">
        <w:t>Under the CCA, third</w:t>
      </w:r>
      <w:r w:rsidR="00C74E19" w:rsidRPr="008625DC">
        <w:noBreakHyphen/>
      </w:r>
      <w:r w:rsidRPr="008625DC">
        <w:t>line forcing is prohibited per se whereas second</w:t>
      </w:r>
      <w:r w:rsidR="00C74E19" w:rsidRPr="008625DC">
        <w:noBreakHyphen/>
      </w:r>
      <w:r w:rsidRPr="008625DC">
        <w:t>line forcing is only prohibited if it has the purpose</w:t>
      </w:r>
      <w:r w:rsidR="00340B2A" w:rsidRPr="008625DC">
        <w:t>, or has or is likely to have the effect, of substantially lessening competition</w:t>
      </w:r>
      <w:r w:rsidRPr="008625DC">
        <w:t>.</w:t>
      </w:r>
    </w:p>
    <w:p w14:paraId="62108A62" w14:textId="76037540" w:rsidR="00780340" w:rsidRPr="008625DC" w:rsidRDefault="00780340" w:rsidP="00780340">
      <w:r w:rsidRPr="008625DC">
        <w:t>Australia is the only comparable country that prohibits third</w:t>
      </w:r>
      <w:r w:rsidR="00C74E19" w:rsidRPr="008625DC">
        <w:noBreakHyphen/>
      </w:r>
      <w:r w:rsidRPr="008625DC">
        <w:t xml:space="preserve">line forcing per se. The </w:t>
      </w:r>
      <w:r w:rsidR="00FC65F1" w:rsidRPr="008625DC">
        <w:t>US</w:t>
      </w:r>
      <w:r w:rsidRPr="008625DC">
        <w:t>, Canada, the EU and New Zealand all leave the conduct to be dealt with by their general prohibitions against anti</w:t>
      </w:r>
      <w:r w:rsidR="00C74E19" w:rsidRPr="008625DC">
        <w:noBreakHyphen/>
      </w:r>
      <w:r w:rsidRPr="008625DC">
        <w:t>competitive agreements or unilateral conduct</w:t>
      </w:r>
      <w:r w:rsidR="00B4260E" w:rsidRPr="008625DC">
        <w:t xml:space="preserve"> </w:t>
      </w:r>
      <w:r w:rsidRPr="008625DC">
        <w:t>—</w:t>
      </w:r>
      <w:r w:rsidR="00B4260E" w:rsidRPr="008625DC">
        <w:t xml:space="preserve"> </w:t>
      </w:r>
      <w:r w:rsidRPr="008625DC">
        <w:t>which are all assessed under a competition</w:t>
      </w:r>
      <w:r w:rsidR="00C74E19" w:rsidRPr="008625DC">
        <w:noBreakHyphen/>
      </w:r>
      <w:r w:rsidRPr="008625DC">
        <w:t xml:space="preserve">based test. </w:t>
      </w:r>
    </w:p>
    <w:p w14:paraId="2F99CDD6" w14:textId="4BE035DB" w:rsidR="00780340" w:rsidRPr="008625DC" w:rsidRDefault="00780340" w:rsidP="00780340">
      <w:r w:rsidRPr="008625DC">
        <w:t>There has been significant debate for many years about whether the per se nature of Australia</w:t>
      </w:r>
      <w:r w:rsidR="00C74E19" w:rsidRPr="008625DC">
        <w:t>’</w:t>
      </w:r>
      <w:r w:rsidRPr="008625DC">
        <w:t xml:space="preserve">s prohibitions is appropriate. </w:t>
      </w:r>
      <w:r w:rsidR="003E7D06" w:rsidRPr="008625DC">
        <w:t>Both</w:t>
      </w:r>
      <w:r w:rsidRPr="008625DC">
        <w:t xml:space="preserve"> the Hilmer and Dawson </w:t>
      </w:r>
      <w:r w:rsidR="00F4579C" w:rsidRPr="008625DC">
        <w:t>R</w:t>
      </w:r>
      <w:r w:rsidRPr="008625DC">
        <w:t>eviews recommended introducing a competition test to third</w:t>
      </w:r>
      <w:r w:rsidR="00C74E19" w:rsidRPr="008625DC">
        <w:noBreakHyphen/>
      </w:r>
      <w:r w:rsidRPr="008625DC">
        <w:t xml:space="preserve">line forcing. The Hilmer </w:t>
      </w:r>
      <w:r w:rsidR="00E61ADC" w:rsidRPr="008625DC">
        <w:t>R</w:t>
      </w:r>
      <w:r w:rsidRPr="008625DC">
        <w:t xml:space="preserve">eview noted that </w:t>
      </w:r>
      <w:r w:rsidR="00C74E19" w:rsidRPr="008625DC">
        <w:t>‘</w:t>
      </w:r>
      <w:r w:rsidRPr="008625DC">
        <w:t>[t]here is a broad spectrum of tying arrangements, with many having a positive implication for economic welfare</w:t>
      </w:r>
      <w:r w:rsidR="00C74E19" w:rsidRPr="008625DC">
        <w:t>’</w:t>
      </w:r>
      <w:r w:rsidRPr="008625DC">
        <w:t xml:space="preserve"> and concluded that third</w:t>
      </w:r>
      <w:r w:rsidR="00C74E19" w:rsidRPr="008625DC">
        <w:noBreakHyphen/>
      </w:r>
      <w:r w:rsidRPr="008625DC">
        <w:t>line forcing should only be prohibited when it substantially lessens competition.</w:t>
      </w:r>
      <w:r w:rsidRPr="008625DC">
        <w:rPr>
          <w:rStyle w:val="FootnoteReference"/>
        </w:rPr>
        <w:footnoteReference w:id="322"/>
      </w:r>
      <w:r w:rsidRPr="008625DC">
        <w:t xml:space="preserve"> </w:t>
      </w:r>
    </w:p>
    <w:p w14:paraId="3A7A445D" w14:textId="15E0C8B4" w:rsidR="00780340" w:rsidRPr="008625DC" w:rsidRDefault="00780340" w:rsidP="00780340">
      <w:pPr>
        <w:spacing w:before="0" w:line="280" w:lineRule="exact"/>
      </w:pPr>
      <w:r w:rsidRPr="008625DC">
        <w:t>Submissions to the Review supported the view that third</w:t>
      </w:r>
      <w:r w:rsidR="00C74E19" w:rsidRPr="008625DC">
        <w:noBreakHyphen/>
      </w:r>
      <w:r w:rsidRPr="008625DC">
        <w:t>line fo</w:t>
      </w:r>
      <w:r w:rsidR="00A438AF">
        <w:t>rcing should no longer be a per </w:t>
      </w:r>
      <w:r w:rsidRPr="008625DC">
        <w:t>se prohibition.</w:t>
      </w:r>
      <w:r w:rsidRPr="008625DC">
        <w:rPr>
          <w:rStyle w:val="FootnoteReference"/>
        </w:rPr>
        <w:footnoteReference w:id="323"/>
      </w:r>
      <w:r w:rsidRPr="008625DC">
        <w:t xml:space="preserve"> </w:t>
      </w:r>
    </w:p>
    <w:p w14:paraId="7F9D7168" w14:textId="46762FBC" w:rsidR="00780340" w:rsidRPr="008625DC" w:rsidRDefault="00780340" w:rsidP="00780340">
      <w:r w:rsidRPr="008625DC">
        <w:t>Third</w:t>
      </w:r>
      <w:r w:rsidR="00C74E19" w:rsidRPr="008625DC">
        <w:noBreakHyphen/>
      </w:r>
      <w:r w:rsidRPr="008625DC">
        <w:t>line forcing conduct can be exempted from the CCA by filing a notification with the ACCC. The</w:t>
      </w:r>
      <w:r w:rsidR="00A438AF">
        <w:t> </w:t>
      </w:r>
      <w:r w:rsidRPr="008625DC">
        <w:t>ACCC is empowered to remove the exemption if it considers that the anti</w:t>
      </w:r>
      <w:r w:rsidR="00C74E19" w:rsidRPr="008625DC">
        <w:noBreakHyphen/>
      </w:r>
      <w:r w:rsidRPr="008625DC">
        <w:t>competitive detriment outweighs any public benefit from the conduct. In practice, the vast majority of third</w:t>
      </w:r>
      <w:r w:rsidR="00C74E19" w:rsidRPr="008625DC">
        <w:noBreakHyphen/>
      </w:r>
      <w:r w:rsidRPr="008625DC">
        <w:t>line forcing conduct notified to the ACCC is permitted by the ACCC, which strongly supports the view that the conduct is not overwhelmingly anti</w:t>
      </w:r>
      <w:r w:rsidR="00C74E19" w:rsidRPr="008625DC">
        <w:noBreakHyphen/>
      </w:r>
      <w:r w:rsidRPr="008625DC">
        <w:t>competitive. The ACCC state</w:t>
      </w:r>
      <w:r w:rsidR="00CA576B" w:rsidRPr="008625DC">
        <w:t>s</w:t>
      </w:r>
      <w:r w:rsidRPr="008625DC">
        <w:t xml:space="preserve"> that, in 2012</w:t>
      </w:r>
      <w:r w:rsidR="00C74E19" w:rsidRPr="008625DC">
        <w:noBreakHyphen/>
      </w:r>
      <w:r w:rsidRPr="008625DC">
        <w:t xml:space="preserve">13, it received over </w:t>
      </w:r>
      <w:r w:rsidRPr="008625DC">
        <w:lastRenderedPageBreak/>
        <w:t>750 third</w:t>
      </w:r>
      <w:r w:rsidR="00C74E19" w:rsidRPr="008625DC">
        <w:noBreakHyphen/>
      </w:r>
      <w:r w:rsidRPr="008625DC">
        <w:t>line forcing notifications and that, in the vast majority of cases, no further action was taken</w:t>
      </w:r>
      <w:r w:rsidR="00B4260E" w:rsidRPr="008625DC">
        <w:t>.</w:t>
      </w:r>
      <w:r w:rsidRPr="008625DC">
        <w:t xml:space="preserve"> (</w:t>
      </w:r>
      <w:r w:rsidR="00D04174" w:rsidRPr="008625DC">
        <w:t>ACCC Submission</w:t>
      </w:r>
      <w:r w:rsidR="00066B98" w:rsidRPr="008625DC">
        <w:t xml:space="preserve"> </w:t>
      </w:r>
      <w:r w:rsidR="0019510A" w:rsidRPr="008625DC">
        <w:t xml:space="preserve">1, </w:t>
      </w:r>
      <w:r w:rsidRPr="008625DC">
        <w:t>p</w:t>
      </w:r>
      <w:r w:rsidR="0019510A" w:rsidRPr="008625DC">
        <w:t>age</w:t>
      </w:r>
      <w:r w:rsidRPr="008625DC">
        <w:t xml:space="preserve"> 87</w:t>
      </w:r>
      <w:r w:rsidR="00B4260E" w:rsidRPr="008625DC">
        <w:t>)</w:t>
      </w:r>
      <w:r w:rsidRPr="008625DC">
        <w:t xml:space="preserve"> </w:t>
      </w:r>
    </w:p>
    <w:p w14:paraId="5614A9E0" w14:textId="7904F4E0" w:rsidR="00780340" w:rsidRPr="008625DC" w:rsidRDefault="00780340" w:rsidP="00780340">
      <w:r w:rsidRPr="008625DC">
        <w:t>The Panel considers that third</w:t>
      </w:r>
      <w:r w:rsidR="00C74E19" w:rsidRPr="008625DC">
        <w:noBreakHyphen/>
      </w:r>
      <w:r w:rsidRPr="008625DC">
        <w:t>line forcing can be beneficial for traders and consumers and that firms should be free to package products in a manner they believe consumers will want, provided the conduct does not substantially lessen competition. From an economic standpoint, there does not appear to be a justification for treating third</w:t>
      </w:r>
      <w:r w:rsidR="00C74E19" w:rsidRPr="008625DC">
        <w:noBreakHyphen/>
      </w:r>
      <w:r w:rsidRPr="008625DC">
        <w:t>line forcing in a different manner to other vertical restrictions; nor to sustain a view that such conduct will be overwhelmingly anti</w:t>
      </w:r>
      <w:r w:rsidR="00C74E19" w:rsidRPr="008625DC">
        <w:noBreakHyphen/>
      </w:r>
      <w:r w:rsidRPr="008625DC">
        <w:t>competitive in the current Australian marketplace. Although exemption can be gained through the notification process, the process imposes an unnecessary regulatory cost on business.</w:t>
      </w:r>
    </w:p>
    <w:p w14:paraId="71C5E365" w14:textId="1DA6BFFF" w:rsidR="00780340" w:rsidRPr="008625DC" w:rsidRDefault="00780340" w:rsidP="00780340">
      <w:r w:rsidRPr="008625DC">
        <w:t>Accordingly, the Panel considers that third</w:t>
      </w:r>
      <w:r w:rsidR="00C74E19" w:rsidRPr="008625DC">
        <w:noBreakHyphen/>
      </w:r>
      <w:r w:rsidRPr="008625DC">
        <w:t>line forcing conduct should be prohibited only where it has the purpose</w:t>
      </w:r>
      <w:r w:rsidR="00C43B1C" w:rsidRPr="008625DC">
        <w:t>, or has or is likely to have the effect, of substantially lessening competition</w:t>
      </w:r>
      <w:r w:rsidRPr="008625DC">
        <w:t>.</w:t>
      </w:r>
    </w:p>
    <w:p w14:paraId="41CDC3C6" w14:textId="793CF79E" w:rsidR="004F0AAC" w:rsidRPr="008625DC" w:rsidRDefault="00780340" w:rsidP="00FB084C">
      <w:pPr>
        <w:pStyle w:val="Heading3"/>
      </w:pPr>
      <w:r w:rsidRPr="008625DC">
        <w:t>Complexity of the provisions</w:t>
      </w:r>
    </w:p>
    <w:p w14:paraId="1E73CB21" w14:textId="53FABBB1" w:rsidR="00780340" w:rsidRPr="008625DC" w:rsidRDefault="00897DF0" w:rsidP="00B11C30">
      <w:r w:rsidRPr="008625DC">
        <w:t>S</w:t>
      </w:r>
      <w:r w:rsidR="00780340" w:rsidRPr="008625DC">
        <w:t>ubmissions have criticised the complexity of section 47.</w:t>
      </w:r>
      <w:r w:rsidRPr="008625DC">
        <w:rPr>
          <w:rStyle w:val="FootnoteReference"/>
        </w:rPr>
        <w:footnoteReference w:id="324"/>
      </w:r>
      <w:r w:rsidR="00780340" w:rsidRPr="008625DC">
        <w:t xml:space="preserve"> </w:t>
      </w:r>
      <w:r w:rsidR="00B4260E" w:rsidRPr="008625DC">
        <w:t xml:space="preserve"> </w:t>
      </w:r>
      <w:r w:rsidR="00780340" w:rsidRPr="008625DC">
        <w:t xml:space="preserve">Section 47 attempts to describe many of the common forms of vertical trading restrictions. </w:t>
      </w:r>
      <w:r w:rsidR="00F876E8" w:rsidRPr="008625DC">
        <w:t>Given that</w:t>
      </w:r>
      <w:r w:rsidR="00780340" w:rsidRPr="008625DC">
        <w:t xml:space="preserve"> restrictions can take many forms, section 47 takes a detailed form.</w:t>
      </w:r>
    </w:p>
    <w:p w14:paraId="5B447339" w14:textId="3B45C140" w:rsidR="00780340" w:rsidRPr="008625DC" w:rsidRDefault="00780340" w:rsidP="00B11C30">
      <w:r w:rsidRPr="008625DC">
        <w:t>The Panel considers that the present form of section 47 suffers from two deficiencies. First, because it attempts to describe a considerable number of categories of vertical restriction, it is difficult for a business person to read and understand. The complexity might be tolerated if it constituted a comprehensive code of prohibited trading conduct. But it does</w:t>
      </w:r>
      <w:r w:rsidR="00CA576B" w:rsidRPr="008625DC">
        <w:t xml:space="preserve"> </w:t>
      </w:r>
      <w:r w:rsidRPr="008625DC">
        <w:t>n</w:t>
      </w:r>
      <w:r w:rsidR="00CA576B" w:rsidRPr="008625DC">
        <w:t>o</w:t>
      </w:r>
      <w:r w:rsidRPr="008625DC">
        <w:t>t</w:t>
      </w:r>
      <w:r w:rsidR="00CA576B" w:rsidRPr="008625DC">
        <w:t>:</w:t>
      </w:r>
      <w:r w:rsidRPr="008625DC">
        <w:t xml:space="preserve"> </w:t>
      </w:r>
      <w:r w:rsidR="00CA576B" w:rsidRPr="008625DC">
        <w:t>t</w:t>
      </w:r>
      <w:r w:rsidRPr="008625DC">
        <w:t xml:space="preserve">he types of vertical restrictions described in section 47 are not exhaustive. Vertical restrictions not addressed by section 47 are covered by section 45, which is expressed in more general terms. </w:t>
      </w:r>
      <w:r w:rsidR="00F876E8" w:rsidRPr="008625DC">
        <w:t>Therefore t</w:t>
      </w:r>
      <w:r w:rsidRPr="008625DC">
        <w:t xml:space="preserve">he second deficiency is that, despite being complex, section 47 does not address every form of vertical restriction and is not a code that can be used by business people. </w:t>
      </w:r>
    </w:p>
    <w:p w14:paraId="63DF2DD4" w14:textId="5EB84565" w:rsidR="00CA576B" w:rsidRPr="008625DC" w:rsidRDefault="00780340" w:rsidP="00B11C30">
      <w:r w:rsidRPr="008625DC">
        <w:t>Some submissions suggest that section 47 could be deleted from the CCA, leaving vertical restrictions to be addressed by section 45. That is a reasonable proposal save for one matter. Section</w:t>
      </w:r>
      <w:r w:rsidR="00F876E8" w:rsidRPr="008625DC">
        <w:t> </w:t>
      </w:r>
      <w:r w:rsidRPr="008625DC">
        <w:t>47 prohibits both the imposition of a trading restriction in connection with the supply or acquisition of goods and services, as well as a refusal to supply goods and services because the acquirer or supplier w</w:t>
      </w:r>
      <w:r w:rsidR="00CA576B" w:rsidRPr="008625DC">
        <w:t>ill</w:t>
      </w:r>
      <w:r w:rsidRPr="008625DC">
        <w:t xml:space="preserve"> not agree to the trading restriction.</w:t>
      </w:r>
    </w:p>
    <w:p w14:paraId="6C05416C" w14:textId="52BAE630" w:rsidR="00780340" w:rsidRPr="008625DC" w:rsidRDefault="00780340" w:rsidP="00B11C30">
      <w:r w:rsidRPr="008625DC">
        <w:t>In contrast, section 45 does not address refusal to supply conduct</w:t>
      </w:r>
      <w:r w:rsidR="00CA576B" w:rsidRPr="008625DC">
        <w:t xml:space="preserve"> but</w:t>
      </w:r>
      <w:r w:rsidRPr="008625DC">
        <w:t xml:space="preserve"> only addresses the imposition of a trading restriction within a supply agreement. It is possible to leave refusals to supply to be addressed by section 46 (misuse of market power). On balance, though, the Panel believes that it would be preferable to retain section 47 to address both the imposition of vertical restrictions and the refusal to supply because a vertical restriction is not agreed. </w:t>
      </w:r>
    </w:p>
    <w:p w14:paraId="20ABC5C5" w14:textId="18808C96" w:rsidR="00780340" w:rsidRPr="008625DC" w:rsidRDefault="00780340" w:rsidP="00B11C30">
      <w:pPr>
        <w:pStyle w:val="RecommendationText"/>
      </w:pPr>
      <w:r w:rsidRPr="008625DC">
        <w:t>The Panel considers that the complexity in the form of section 47 could be greatly reduced. The provision could be redrafted so that it prohibits the following two categories of vertical conduct</w:t>
      </w:r>
      <w:r w:rsidR="005F3C6C" w:rsidRPr="008625DC">
        <w:t xml:space="preserve"> concerning the supply of goods and services</w:t>
      </w:r>
      <w:r w:rsidRPr="008625DC">
        <w:t>:</w:t>
      </w:r>
    </w:p>
    <w:p w14:paraId="3E0CD43A" w14:textId="0F04B9BE" w:rsidR="005F3C6C" w:rsidRPr="008625DC" w:rsidRDefault="005F3C6C" w:rsidP="005F3C6C">
      <w:pPr>
        <w:pStyle w:val="Bullet"/>
      </w:pPr>
      <w:r w:rsidRPr="008625DC">
        <w:t>supplying goods or services to a person, or doing so at a particular price or with a particular discount, allowance, rebate or credit, subject to a condition imposed on the person that has the purpose, or has or is likely to have the effect, of substantially lessening competition;</w:t>
      </w:r>
      <w:r w:rsidR="00715D15" w:rsidRPr="008625DC">
        <w:t xml:space="preserve"> and</w:t>
      </w:r>
    </w:p>
    <w:p w14:paraId="0D369CC6" w14:textId="7DD396C0" w:rsidR="005F3C6C" w:rsidRPr="008625DC" w:rsidRDefault="005F3C6C" w:rsidP="005F3C6C">
      <w:pPr>
        <w:pStyle w:val="Bullet"/>
      </w:pPr>
      <w:r w:rsidRPr="008625DC">
        <w:lastRenderedPageBreak/>
        <w:t>refusing to supply goods or services to a person, or at a particular price or with a particular discount, allowance, rebate or credit, for the reason that the person has not agreed to a condition imposed on the person that has the purpose, or has or is likely to have the effect, of substantially lessening competition</w:t>
      </w:r>
      <w:r w:rsidR="00715D15" w:rsidRPr="008625DC">
        <w:t>;</w:t>
      </w:r>
    </w:p>
    <w:p w14:paraId="03291A65" w14:textId="77777777" w:rsidR="005F3C6C" w:rsidRPr="008625DC" w:rsidRDefault="005F3C6C" w:rsidP="005F3C6C">
      <w:pPr>
        <w:tabs>
          <w:tab w:val="left" w:pos="0"/>
        </w:tabs>
        <w:spacing w:after="120"/>
      </w:pPr>
      <w:r w:rsidRPr="008625DC">
        <w:t>and the following two reciprocal categories of vertical conduct concerning the acquisition of goods and services:</w:t>
      </w:r>
    </w:p>
    <w:p w14:paraId="5AE64C96" w14:textId="1F9DB9A1" w:rsidR="005F3C6C" w:rsidRPr="008625DC" w:rsidRDefault="005F3C6C" w:rsidP="005F3C6C">
      <w:pPr>
        <w:pStyle w:val="Bullet"/>
      </w:pPr>
      <w:r w:rsidRPr="008625DC">
        <w:t xml:space="preserve">acquiring goods or services from a person, or doing so at a particular price or with a particular discount, allowance, rebate or credit, subject to a condition imposed on the person that has the purpose, or has or is likely to have the effect, of substantially lessening competition; </w:t>
      </w:r>
      <w:r w:rsidR="00715D15" w:rsidRPr="008625DC">
        <w:t>and</w:t>
      </w:r>
    </w:p>
    <w:p w14:paraId="501503AA" w14:textId="77777777" w:rsidR="005F3C6C" w:rsidRPr="008625DC" w:rsidRDefault="005F3C6C" w:rsidP="00B4260E">
      <w:pPr>
        <w:pStyle w:val="Bullet"/>
        <w:spacing w:after="240"/>
      </w:pPr>
      <w:r w:rsidRPr="008625DC">
        <w:t>refusing to acquire goods or services from a person, or at a particular price or with a particular discount, allowance, rebate or credit, for the reason that the person has not agreed to a condition imposed on the person that has the purpose, or has or is likely to have the effect, of substantially lessening competition.</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2A7BD0" w:rsidRPr="008625DC" w14:paraId="01E537D8" w14:textId="77777777" w:rsidTr="0052543A">
        <w:tc>
          <w:tcPr>
            <w:tcW w:w="5000" w:type="pct"/>
            <w:shd w:val="clear" w:color="auto" w:fill="FFFFFF" w:themeFill="background1"/>
          </w:tcPr>
          <w:p w14:paraId="7945DA82" w14:textId="68148D27" w:rsidR="002A7BD0" w:rsidRPr="008625DC" w:rsidRDefault="002A7BD0" w:rsidP="002A7BD0">
            <w:pPr>
              <w:pStyle w:val="Keyfindingheading"/>
            </w:pPr>
            <w:r w:rsidRPr="008625DC">
              <w:t>The Panel</w:t>
            </w:r>
            <w:r w:rsidR="00C74E19" w:rsidRPr="008625DC">
              <w:t>’</w:t>
            </w:r>
            <w:r w:rsidRPr="008625DC">
              <w:t>s view</w:t>
            </w:r>
          </w:p>
          <w:p w14:paraId="3229812D" w14:textId="737C9231" w:rsidR="00780340" w:rsidRPr="008625DC" w:rsidRDefault="00780340" w:rsidP="00780340">
            <w:pPr>
              <w:pStyle w:val="Keyfindingtext"/>
            </w:pPr>
            <w:bookmarkStart w:id="31890" w:name="_Toc394312263"/>
            <w:bookmarkStart w:id="31891" w:name="_Toc394330161"/>
            <w:bookmarkStart w:id="31892" w:name="_Toc394333135"/>
            <w:bookmarkStart w:id="31893" w:name="_Toc394332713"/>
            <w:bookmarkStart w:id="31894" w:name="_Toc394333548"/>
            <w:bookmarkStart w:id="31895" w:name="_Toc394333961"/>
            <w:bookmarkStart w:id="31896" w:name="_Toc394334787"/>
            <w:bookmarkStart w:id="31897" w:name="_Toc394414970"/>
            <w:bookmarkStart w:id="31898" w:name="_Toc394412275"/>
            <w:bookmarkStart w:id="31899" w:name="_Toc394420551"/>
            <w:bookmarkStart w:id="31900" w:name="_Toc394421025"/>
            <w:bookmarkStart w:id="31901" w:name="_Toc394423395"/>
            <w:bookmarkStart w:id="31902" w:name="_Toc394420329"/>
            <w:bookmarkStart w:id="31903" w:name="_Toc394422438"/>
            <w:bookmarkStart w:id="31904" w:name="_Toc394422909"/>
            <w:bookmarkStart w:id="31905" w:name="_Toc394424059"/>
            <w:bookmarkStart w:id="31906" w:name="_Toc394491894"/>
            <w:bookmarkStart w:id="31907" w:name="_Toc394495039"/>
            <w:bookmarkStart w:id="31908" w:name="_Toc394497851"/>
            <w:bookmarkStart w:id="31909" w:name="_Toc394500643"/>
            <w:bookmarkStart w:id="31910" w:name="_Toc394502047"/>
            <w:bookmarkStart w:id="31911" w:name="_Toc394502949"/>
            <w:bookmarkStart w:id="31912" w:name="_Toc394502493"/>
            <w:bookmarkStart w:id="31913" w:name="_Toc394505700"/>
            <w:bookmarkStart w:id="31914" w:name="_Toc394506039"/>
            <w:bookmarkStart w:id="31915" w:name="_Toc394506713"/>
            <w:bookmarkStart w:id="31916" w:name="_Toc394560786"/>
            <w:bookmarkStart w:id="31917" w:name="_Toc394561250"/>
            <w:bookmarkStart w:id="31918" w:name="_Toc394938454"/>
            <w:bookmarkStart w:id="31919" w:name="_Toc394937736"/>
            <w:bookmarkStart w:id="31920" w:name="_Toc394941369"/>
            <w:bookmarkStart w:id="31921" w:name="_Toc394941985"/>
            <w:bookmarkStart w:id="31922" w:name="_Toc394940207"/>
            <w:bookmarkStart w:id="31923" w:name="_Toc394939804"/>
            <w:bookmarkStart w:id="31924" w:name="_Toc394993701"/>
            <w:bookmarkStart w:id="31925" w:name="_Toc394995583"/>
            <w:bookmarkStart w:id="31926" w:name="_Toc394995897"/>
            <w:bookmarkStart w:id="31927" w:name="_Toc394998142"/>
            <w:bookmarkStart w:id="31928" w:name="_Toc394998656"/>
            <w:bookmarkStart w:id="31929" w:name="_Toc395002155"/>
            <w:bookmarkStart w:id="31930" w:name="_Toc395001363"/>
            <w:bookmarkStart w:id="31931" w:name="_Toc395001635"/>
            <w:bookmarkStart w:id="31932" w:name="_Toc395002924"/>
            <w:bookmarkStart w:id="31933" w:name="_Toc395003509"/>
            <w:bookmarkStart w:id="31934" w:name="_Toc395005750"/>
            <w:bookmarkStart w:id="31935" w:name="_Toc395009744"/>
            <w:bookmarkStart w:id="31936" w:name="_Toc395010486"/>
            <w:bookmarkStart w:id="31937" w:name="_Toc395012668"/>
            <w:bookmarkStart w:id="31938" w:name="_Toc395013130"/>
            <w:bookmarkStart w:id="31939" w:name="_Toc395012132"/>
            <w:bookmarkStart w:id="31940" w:name="_Toc395014471"/>
            <w:bookmarkStart w:id="31941" w:name="_Toc395084817"/>
            <w:bookmarkStart w:id="31942" w:name="_Toc395085118"/>
            <w:bookmarkStart w:id="31943" w:name="_Toc395090584"/>
            <w:bookmarkStart w:id="31944" w:name="_Toc395093166"/>
            <w:bookmarkStart w:id="31945" w:name="_Toc395098078"/>
            <w:bookmarkStart w:id="31946" w:name="_Toc395106263"/>
            <w:bookmarkStart w:id="31947" w:name="_Toc395109525"/>
            <w:bookmarkStart w:id="31948" w:name="_Toc395109853"/>
            <w:bookmarkStart w:id="31949" w:name="_Toc395112230"/>
            <w:bookmarkStart w:id="31950" w:name="_Toc395107372"/>
            <w:bookmarkStart w:id="31951" w:name="_Toc395108933"/>
            <w:bookmarkStart w:id="31952" w:name="_Toc395114173"/>
            <w:bookmarkStart w:id="31953" w:name="_Toc395116910"/>
            <w:bookmarkStart w:id="31954" w:name="_Toc395112847"/>
            <w:bookmarkStart w:id="31955" w:name="_Toc395115387"/>
            <w:bookmarkStart w:id="31956" w:name="_Toc395118539"/>
            <w:bookmarkStart w:id="31957" w:name="_Toc395624728"/>
            <w:bookmarkStart w:id="31958" w:name="_Toc395790079"/>
            <w:bookmarkStart w:id="31959" w:name="_Toc395800837"/>
            <w:bookmarkStart w:id="31960" w:name="_Toc393903331"/>
            <w:bookmarkStart w:id="31961" w:name="_Toc393902541"/>
            <w:bookmarkStart w:id="31962" w:name="_Toc393905247"/>
            <w:bookmarkStart w:id="31963" w:name="_Toc393904104"/>
            <w:bookmarkStart w:id="31964" w:name="_Toc393903720"/>
            <w:bookmarkStart w:id="31965" w:name="_Toc393903695"/>
            <w:bookmarkStart w:id="31966" w:name="_Toc393905937"/>
            <w:bookmarkStart w:id="31967" w:name="_Toc393907914"/>
            <w:bookmarkStart w:id="31968" w:name="_Toc393906354"/>
            <w:bookmarkStart w:id="31969" w:name="_Toc393967492"/>
            <w:bookmarkStart w:id="31970" w:name="_Toc393974005"/>
            <w:bookmarkStart w:id="31971" w:name="_Toc393977650"/>
            <w:bookmarkStart w:id="31972" w:name="_Toc393985032"/>
            <w:bookmarkStart w:id="31973" w:name="_Toc393985535"/>
            <w:bookmarkStart w:id="31974" w:name="_Toc393985937"/>
            <w:bookmarkStart w:id="31975" w:name="_Toc393986340"/>
            <w:bookmarkStart w:id="31976" w:name="_Toc393987947"/>
            <w:bookmarkStart w:id="31977" w:name="_Toc393989360"/>
            <w:bookmarkStart w:id="31978" w:name="_Toc393987851"/>
            <w:bookmarkStart w:id="31979" w:name="_Toc393988748"/>
            <w:bookmarkStart w:id="31980" w:name="_Toc393990752"/>
            <w:bookmarkStart w:id="31981" w:name="_Toc393991734"/>
            <w:bookmarkStart w:id="31982" w:name="_Toc394047399"/>
            <w:bookmarkStart w:id="31983" w:name="_Toc394049675"/>
            <w:bookmarkStart w:id="31984" w:name="_Toc394051075"/>
            <w:bookmarkStart w:id="31985" w:name="_Toc394062064"/>
            <w:bookmarkStart w:id="31986" w:name="_Toc394068939"/>
            <w:bookmarkStart w:id="31987" w:name="_Toc394070761"/>
            <w:bookmarkStart w:id="31988" w:name="_Toc393978913"/>
            <w:r w:rsidRPr="008625DC">
              <w:t>The Panel has not heard an economic or practical reason to retain the per se prohibition on third</w:t>
            </w:r>
            <w:r w:rsidR="00C74E19" w:rsidRPr="008625DC">
              <w:noBreakHyphen/>
            </w:r>
            <w:r w:rsidRPr="008625DC">
              <w:t xml:space="preserve">line forcing. Retaining the per se prohibition imposes unnecessary costs on business because business must either refrain from preferred trading arrangements or file a notification with the ACCC. </w:t>
            </w:r>
          </w:p>
          <w:p w14:paraId="7D4D5DBB" w14:textId="04EF2205" w:rsidR="00780340" w:rsidRPr="008625DC" w:rsidRDefault="00780340" w:rsidP="00780340">
            <w:pPr>
              <w:pStyle w:val="Keyfindingtext"/>
            </w:pPr>
            <w:r w:rsidRPr="008625DC">
              <w:t>The provisions on third</w:t>
            </w:r>
            <w:r w:rsidR="00C74E19" w:rsidRPr="008625DC">
              <w:noBreakHyphen/>
            </w:r>
            <w:r w:rsidRPr="008625DC">
              <w:t>line forcing (subsections 47(6) &amp; (7)</w:t>
            </w:r>
            <w:r w:rsidR="00E32295" w:rsidRPr="008625DC">
              <w:t xml:space="preserve"> of the CCA</w:t>
            </w:r>
            <w:r w:rsidRPr="008625DC">
              <w:t xml:space="preserve">) should be brought into line with the rest of section 47 and only prohibited where </w:t>
            </w:r>
            <w:r w:rsidR="00E32295" w:rsidRPr="008625DC">
              <w:t>conduct</w:t>
            </w:r>
            <w:r w:rsidR="005437D2" w:rsidRPr="008625DC">
              <w:t xml:space="preserve"> has the purpose, or has or is likely to have the effect, of substantially lessening competition</w:t>
            </w:r>
            <w:r w:rsidRPr="008625DC">
              <w:t>.</w:t>
            </w:r>
          </w:p>
          <w:bookmarkEnd w:id="31890"/>
          <w:bookmarkEnd w:id="31891"/>
          <w:bookmarkEnd w:id="31892"/>
          <w:bookmarkEnd w:id="31893"/>
          <w:bookmarkEnd w:id="31894"/>
          <w:bookmarkEnd w:id="31895"/>
          <w:bookmarkEnd w:id="31896"/>
          <w:bookmarkEnd w:id="31897"/>
          <w:bookmarkEnd w:id="31898"/>
          <w:bookmarkEnd w:id="31899"/>
          <w:bookmarkEnd w:id="31900"/>
          <w:bookmarkEnd w:id="31901"/>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p w14:paraId="0C891487" w14:textId="446953DD" w:rsidR="008F0E35" w:rsidRPr="008625DC" w:rsidRDefault="00780340" w:rsidP="008F0E35">
            <w:pPr>
              <w:pStyle w:val="Keyfindingtext"/>
            </w:pPr>
            <w:r w:rsidRPr="008625DC">
              <w:t>The prohibition on exclusive dealing is unnecessarily complex in its drafting. Section 47 could be significantly simplified.</w:t>
            </w:r>
          </w:p>
        </w:tc>
      </w:tr>
    </w:tbl>
    <w:p w14:paraId="493E7233" w14:textId="2CC3BCB2" w:rsidR="00B7294B" w:rsidRPr="008625DC" w:rsidRDefault="00B7294B" w:rsidP="00BD2EA4">
      <w:pPr>
        <w:pStyle w:val="Heading2"/>
        <w:ind w:left="851" w:hanging="851"/>
        <w:rPr>
          <w:lang w:val="en-AU"/>
        </w:rPr>
      </w:pPr>
      <w:bookmarkStart w:id="31989" w:name="_Toc393903332"/>
      <w:bookmarkStart w:id="31990" w:name="_Toc393903593"/>
      <w:bookmarkStart w:id="31991" w:name="_Toc393902542"/>
      <w:bookmarkStart w:id="31992" w:name="_Toc393905248"/>
      <w:bookmarkStart w:id="31993" w:name="_Toc393905511"/>
      <w:bookmarkStart w:id="31994" w:name="_Toc393904105"/>
      <w:bookmarkStart w:id="31995" w:name="_Toc393904367"/>
      <w:bookmarkStart w:id="31996" w:name="_Toc393903721"/>
      <w:bookmarkStart w:id="31997" w:name="_Toc393903984"/>
      <w:bookmarkStart w:id="31998" w:name="_Toc393903696"/>
      <w:bookmarkStart w:id="31999" w:name="_Toc393905821"/>
      <w:bookmarkStart w:id="32000" w:name="_Toc393905938"/>
      <w:bookmarkStart w:id="32001" w:name="_Toc393906202"/>
      <w:bookmarkStart w:id="32002" w:name="_Toc393907915"/>
      <w:bookmarkStart w:id="32003" w:name="_Toc393908180"/>
      <w:bookmarkStart w:id="32004" w:name="_Toc393906355"/>
      <w:bookmarkStart w:id="32005" w:name="_Toc393906621"/>
      <w:bookmarkStart w:id="32006" w:name="_Toc393967493"/>
      <w:bookmarkStart w:id="32007" w:name="_Toc393968148"/>
      <w:bookmarkStart w:id="32008" w:name="_Toc393974006"/>
      <w:bookmarkStart w:id="32009" w:name="_Toc393974279"/>
      <w:bookmarkStart w:id="32010" w:name="_Toc393977651"/>
      <w:bookmarkStart w:id="32011" w:name="_Toc393977928"/>
      <w:bookmarkStart w:id="32012" w:name="_Toc393985033"/>
      <w:bookmarkStart w:id="32013" w:name="_Toc393985312"/>
      <w:bookmarkStart w:id="32014" w:name="_Toc393985536"/>
      <w:bookmarkStart w:id="32015" w:name="_Toc393985816"/>
      <w:bookmarkStart w:id="32016" w:name="_Toc393985938"/>
      <w:bookmarkStart w:id="32017" w:name="_Toc393986218"/>
      <w:bookmarkStart w:id="32018" w:name="_Toc393986341"/>
      <w:bookmarkStart w:id="32019" w:name="_Toc393987948"/>
      <w:bookmarkStart w:id="32020" w:name="_Toc393988228"/>
      <w:bookmarkStart w:id="32021" w:name="_Toc393988630"/>
      <w:bookmarkStart w:id="32022" w:name="_Toc393986622"/>
      <w:bookmarkStart w:id="32023" w:name="_Toc393989361"/>
      <w:bookmarkStart w:id="32024" w:name="_Toc393989642"/>
      <w:bookmarkStart w:id="32025" w:name="_Toc393987852"/>
      <w:bookmarkStart w:id="32026" w:name="_Toc393988749"/>
      <w:bookmarkStart w:id="32027" w:name="_Toc393989030"/>
      <w:bookmarkStart w:id="32028" w:name="_Toc393990753"/>
      <w:bookmarkStart w:id="32029" w:name="_Toc393991034"/>
      <w:bookmarkStart w:id="32030" w:name="_Toc393991133"/>
      <w:bookmarkStart w:id="32031" w:name="_Toc393991735"/>
      <w:bookmarkStart w:id="32032" w:name="_Toc393992018"/>
      <w:bookmarkStart w:id="32033" w:name="_Toc394047403"/>
      <w:bookmarkStart w:id="32034" w:name="_Toc394047682"/>
      <w:bookmarkStart w:id="32035" w:name="_Toc394047793"/>
      <w:bookmarkStart w:id="32036" w:name="_Toc394048349"/>
      <w:bookmarkStart w:id="32037" w:name="_Toc394049679"/>
      <w:bookmarkStart w:id="32038" w:name="_Toc394049961"/>
      <w:bookmarkStart w:id="32039" w:name="_Toc394051079"/>
      <w:bookmarkStart w:id="32040" w:name="_Toc394051361"/>
      <w:bookmarkStart w:id="32041" w:name="_Toc394062068"/>
      <w:bookmarkStart w:id="32042" w:name="_Toc394062508"/>
      <w:bookmarkStart w:id="32043" w:name="_Toc394068943"/>
      <w:bookmarkStart w:id="32044" w:name="_Toc394069223"/>
      <w:bookmarkStart w:id="32045" w:name="_Toc394070765"/>
      <w:bookmarkStart w:id="32046" w:name="_Toc394071141"/>
      <w:bookmarkStart w:id="32047" w:name="_Toc394312265"/>
      <w:bookmarkStart w:id="32048" w:name="_Toc394330412"/>
      <w:bookmarkStart w:id="32049" w:name="_Toc394331343"/>
      <w:bookmarkStart w:id="32050" w:name="_Toc394330163"/>
      <w:bookmarkStart w:id="32051" w:name="_Toc394333137"/>
      <w:bookmarkStart w:id="32052" w:name="_Toc394333419"/>
      <w:bookmarkStart w:id="32053" w:name="_Toc394332715"/>
      <w:bookmarkStart w:id="32054" w:name="_Toc394333550"/>
      <w:bookmarkStart w:id="32055" w:name="_Toc394333832"/>
      <w:bookmarkStart w:id="32056" w:name="_Toc394333963"/>
      <w:bookmarkStart w:id="32057" w:name="_Toc394334245"/>
      <w:bookmarkStart w:id="32058" w:name="_Toc394334789"/>
      <w:bookmarkStart w:id="32059" w:name="_Toc394335071"/>
      <w:bookmarkStart w:id="32060" w:name="_Toc394414972"/>
      <w:bookmarkStart w:id="32061" w:name="_Toc394415275"/>
      <w:bookmarkStart w:id="32062" w:name="_Toc394412277"/>
      <w:bookmarkStart w:id="32063" w:name="_Toc394412584"/>
      <w:bookmarkStart w:id="32064" w:name="_Toc394420553"/>
      <w:bookmarkStart w:id="32065" w:name="_Toc394420877"/>
      <w:bookmarkStart w:id="32066" w:name="_Toc394421027"/>
      <w:bookmarkStart w:id="32067" w:name="_Toc394423397"/>
      <w:bookmarkStart w:id="32068" w:name="_Toc394423718"/>
      <w:bookmarkStart w:id="32069" w:name="_Toc394420331"/>
      <w:bookmarkStart w:id="32070" w:name="_Toc394422440"/>
      <w:bookmarkStart w:id="32071" w:name="_Toc394422762"/>
      <w:bookmarkStart w:id="32072" w:name="_Toc394422911"/>
      <w:bookmarkStart w:id="32073" w:name="_Toc394423233"/>
      <w:bookmarkStart w:id="32074" w:name="_Toc394424061"/>
      <w:bookmarkStart w:id="32075" w:name="_Toc394424381"/>
      <w:bookmarkStart w:id="32076" w:name="_Toc394491896"/>
      <w:bookmarkStart w:id="32077" w:name="_Toc394492212"/>
      <w:bookmarkStart w:id="32078" w:name="_Toc394495041"/>
      <w:bookmarkStart w:id="32079" w:name="_Toc394495356"/>
      <w:bookmarkStart w:id="32080" w:name="_Toc394497853"/>
      <w:bookmarkStart w:id="32081" w:name="_Toc394498171"/>
      <w:bookmarkStart w:id="32082" w:name="_Toc394500645"/>
      <w:bookmarkStart w:id="32083" w:name="_Toc394500961"/>
      <w:bookmarkStart w:id="32084" w:name="_Toc394502049"/>
      <w:bookmarkStart w:id="32085" w:name="_Toc394502358"/>
      <w:bookmarkStart w:id="32086" w:name="_Toc394502951"/>
      <w:bookmarkStart w:id="32087" w:name="_Toc394503717"/>
      <w:bookmarkStart w:id="32088" w:name="_Toc394502495"/>
      <w:bookmarkStart w:id="32089" w:name="_Toc394502806"/>
      <w:bookmarkStart w:id="32090" w:name="_Toc394505702"/>
      <w:bookmarkStart w:id="32091" w:name="_Toc394506134"/>
      <w:bookmarkStart w:id="32092" w:name="_Toc394506041"/>
      <w:bookmarkStart w:id="32093" w:name="_Toc394506472"/>
      <w:bookmarkStart w:id="32094" w:name="_Toc394506715"/>
      <w:bookmarkStart w:id="32095" w:name="_Toc394507026"/>
      <w:bookmarkStart w:id="32096" w:name="_Toc394560788"/>
      <w:bookmarkStart w:id="32097" w:name="_Toc394561101"/>
      <w:bookmarkStart w:id="32098" w:name="_Toc394561252"/>
      <w:bookmarkStart w:id="32099" w:name="_Toc394561934"/>
      <w:bookmarkStart w:id="32100" w:name="_Toc394582993"/>
      <w:bookmarkStart w:id="32101" w:name="_Toc394585664"/>
      <w:bookmarkStart w:id="32102" w:name="_Toc394586130"/>
      <w:bookmarkStart w:id="32103" w:name="_Toc394588062"/>
      <w:bookmarkStart w:id="32104" w:name="_Toc394588897"/>
      <w:bookmarkStart w:id="32105" w:name="_Toc394589022"/>
      <w:bookmarkStart w:id="32106" w:name="_Toc394590438"/>
      <w:bookmarkStart w:id="32107" w:name="_Toc394590631"/>
      <w:bookmarkStart w:id="32108" w:name="_Toc394654532"/>
      <w:bookmarkStart w:id="32109" w:name="_Toc394654690"/>
      <w:bookmarkStart w:id="32110" w:name="_Toc394656232"/>
      <w:bookmarkStart w:id="32111" w:name="_Toc394656389"/>
      <w:bookmarkStart w:id="32112" w:name="_Toc394659369"/>
      <w:bookmarkStart w:id="32113" w:name="_Toc394659527"/>
      <w:bookmarkStart w:id="32114" w:name="_Toc394663381"/>
      <w:bookmarkStart w:id="32115" w:name="_Toc394663537"/>
      <w:bookmarkStart w:id="32116" w:name="_Toc394667175"/>
      <w:bookmarkStart w:id="32117" w:name="_Toc394667331"/>
      <w:bookmarkStart w:id="32118" w:name="_Toc394671654"/>
      <w:bookmarkStart w:id="32119" w:name="_Toc394671814"/>
      <w:bookmarkStart w:id="32120" w:name="_Toc394674656"/>
      <w:bookmarkStart w:id="32121" w:name="_Toc394674819"/>
      <w:bookmarkStart w:id="32122" w:name="_Toc394674933"/>
      <w:bookmarkStart w:id="32123" w:name="_Toc394675099"/>
      <w:bookmarkStart w:id="32124" w:name="_Toc394676044"/>
      <w:bookmarkStart w:id="32125" w:name="_Toc394676206"/>
      <w:bookmarkStart w:id="32126" w:name="_Toc394675732"/>
      <w:bookmarkStart w:id="32127" w:name="_Toc394675895"/>
      <w:bookmarkStart w:id="32128" w:name="_Toc394918299"/>
      <w:bookmarkStart w:id="32129" w:name="_Toc394918813"/>
      <w:bookmarkStart w:id="32130" w:name="_Toc394930786"/>
      <w:bookmarkStart w:id="32131" w:name="_Toc394933697"/>
      <w:bookmarkStart w:id="32132" w:name="_Toc394938144"/>
      <w:bookmarkStart w:id="32133" w:name="_Toc394938456"/>
      <w:bookmarkStart w:id="32134" w:name="_Toc394938646"/>
      <w:bookmarkStart w:id="32135" w:name="_Toc394937738"/>
      <w:bookmarkStart w:id="32136" w:name="_Toc394937928"/>
      <w:bookmarkStart w:id="32137" w:name="_Toc394941056"/>
      <w:bookmarkStart w:id="32138" w:name="_Toc394941371"/>
      <w:bookmarkStart w:id="32139" w:name="_Toc394941557"/>
      <w:bookmarkStart w:id="32140" w:name="_Toc394941672"/>
      <w:bookmarkStart w:id="32141" w:name="_Toc394941987"/>
      <w:bookmarkStart w:id="32142" w:name="_Toc394942173"/>
      <w:bookmarkStart w:id="32143" w:name="_Toc394939893"/>
      <w:bookmarkStart w:id="32144" w:name="_Toc394940209"/>
      <w:bookmarkStart w:id="32145" w:name="_Toc394940395"/>
      <w:bookmarkStart w:id="32146" w:name="_Toc394939504"/>
      <w:bookmarkStart w:id="32147" w:name="_Toc394939806"/>
      <w:bookmarkStart w:id="32148" w:name="_Toc394940608"/>
      <w:bookmarkStart w:id="32149" w:name="_Toc394993703"/>
      <w:bookmarkStart w:id="32150" w:name="_Toc394995585"/>
      <w:bookmarkStart w:id="32151" w:name="_Toc394995899"/>
      <w:bookmarkStart w:id="32152" w:name="_Toc394996088"/>
      <w:bookmarkStart w:id="32153" w:name="_Toc394997814"/>
      <w:bookmarkStart w:id="32154" w:name="_Toc394998144"/>
      <w:bookmarkStart w:id="32155" w:name="_Toc394998329"/>
      <w:bookmarkStart w:id="32156" w:name="_Toc394998658"/>
      <w:bookmarkStart w:id="32157" w:name="_Toc395001824"/>
      <w:bookmarkStart w:id="32158" w:name="_Toc395002157"/>
      <w:bookmarkStart w:id="32159" w:name="_Toc395001365"/>
      <w:bookmarkStart w:id="32160" w:name="_Toc395001637"/>
      <w:bookmarkStart w:id="32161" w:name="_Toc393978914"/>
      <w:bookmarkStart w:id="32162" w:name="_Toc395002926"/>
      <w:bookmarkStart w:id="32163" w:name="_Toc395003511"/>
      <w:bookmarkStart w:id="32164" w:name="_Toc395005076"/>
      <w:bookmarkStart w:id="32165" w:name="_Toc395005202"/>
      <w:bookmarkStart w:id="32166" w:name="_Toc395005418"/>
      <w:bookmarkStart w:id="32167" w:name="_Toc395005752"/>
      <w:bookmarkStart w:id="32168" w:name="_Toc395008995"/>
      <w:bookmarkStart w:id="32169" w:name="_Toc395009746"/>
      <w:bookmarkStart w:id="32170" w:name="_Toc395010181"/>
      <w:bookmarkStart w:id="32171" w:name="_Toc395010488"/>
      <w:bookmarkStart w:id="32172" w:name="_Toc395010023"/>
      <w:bookmarkStart w:id="32173" w:name="_Toc395011549"/>
      <w:bookmarkStart w:id="32174" w:name="_Toc395012367"/>
      <w:bookmarkStart w:id="32175" w:name="_Toc395012670"/>
      <w:bookmarkStart w:id="32176" w:name="_Toc395012957"/>
      <w:bookmarkStart w:id="32177" w:name="_Toc395010772"/>
      <w:bookmarkStart w:id="32178" w:name="_Toc395011664"/>
      <w:bookmarkStart w:id="32179" w:name="_Toc395012245"/>
      <w:bookmarkStart w:id="32180" w:name="_Toc395013132"/>
      <w:bookmarkStart w:id="32181" w:name="_Toc395012134"/>
      <w:bookmarkStart w:id="32182" w:name="_Toc395014473"/>
      <w:bookmarkStart w:id="32183" w:name="_Toc395014646"/>
      <w:bookmarkStart w:id="32184" w:name="_Toc395013237"/>
      <w:bookmarkStart w:id="32185" w:name="_Toc395084819"/>
      <w:bookmarkStart w:id="32186" w:name="_Toc395085120"/>
      <w:bookmarkStart w:id="32187" w:name="_Toc395090276"/>
      <w:bookmarkStart w:id="32188" w:name="_Toc395090586"/>
      <w:bookmarkStart w:id="32189" w:name="_Toc395090755"/>
      <w:bookmarkStart w:id="32190" w:name="_Toc395092643"/>
      <w:bookmarkStart w:id="32191" w:name="_Toc395092855"/>
      <w:bookmarkStart w:id="32192" w:name="_Toc395093168"/>
      <w:bookmarkStart w:id="32193" w:name="_Toc395093337"/>
      <w:bookmarkStart w:id="32194" w:name="_Toc395097766"/>
      <w:bookmarkStart w:id="32195" w:name="_Toc395098080"/>
      <w:bookmarkStart w:id="32196" w:name="_Toc395098247"/>
      <w:bookmarkStart w:id="32197" w:name="_Toc395105432"/>
      <w:bookmarkStart w:id="32198" w:name="_Toc395106265"/>
      <w:bookmarkStart w:id="32199" w:name="_Toc395107035"/>
      <w:bookmarkStart w:id="32200" w:name="_Toc395109907"/>
      <w:bookmarkStart w:id="32201" w:name="_Toc395109527"/>
      <w:bookmarkStart w:id="32202" w:name="_Toc395109693"/>
      <w:bookmarkStart w:id="32203" w:name="_Toc395111910"/>
      <w:bookmarkStart w:id="32204" w:name="_Toc395112232"/>
      <w:bookmarkStart w:id="32205" w:name="_Toc395112398"/>
      <w:bookmarkStart w:id="32206" w:name="_Toc395106830"/>
      <w:bookmarkStart w:id="32207" w:name="_Toc395107374"/>
      <w:bookmarkStart w:id="32208" w:name="_Toc395107543"/>
      <w:bookmarkStart w:id="32209" w:name="_Toc395110082"/>
      <w:bookmarkStart w:id="32210" w:name="_Toc395108590"/>
      <w:bookmarkStart w:id="32211" w:name="_Toc395108935"/>
      <w:bookmarkStart w:id="32212" w:name="_Toc395113830"/>
      <w:bookmarkStart w:id="32213" w:name="_Toc395114175"/>
      <w:bookmarkStart w:id="32214" w:name="_Toc395114350"/>
      <w:bookmarkStart w:id="32215" w:name="_Toc395116566"/>
      <w:bookmarkStart w:id="32216" w:name="_Toc395116912"/>
      <w:bookmarkStart w:id="32217" w:name="_Toc395117088"/>
      <w:bookmarkStart w:id="32218" w:name="_Toc395112503"/>
      <w:bookmarkStart w:id="32219" w:name="_Toc395112849"/>
      <w:bookmarkStart w:id="32220" w:name="_Toc395113206"/>
      <w:bookmarkStart w:id="32221" w:name="_Toc395115042"/>
      <w:bookmarkStart w:id="32222" w:name="_Toc395115389"/>
      <w:bookmarkStart w:id="32223" w:name="_Toc395115565"/>
      <w:bookmarkStart w:id="32224" w:name="_Toc395118197"/>
      <w:bookmarkStart w:id="32225" w:name="_Toc395118541"/>
      <w:bookmarkStart w:id="32226" w:name="_Toc395118715"/>
      <w:bookmarkStart w:id="32227" w:name="_Toc395178407"/>
      <w:bookmarkStart w:id="32228" w:name="_Toc395178739"/>
      <w:bookmarkStart w:id="32229" w:name="_Toc395624730"/>
      <w:bookmarkStart w:id="32230" w:name="_Toc395624896"/>
      <w:bookmarkStart w:id="32231" w:name="_Toc395789750"/>
      <w:bookmarkStart w:id="32232" w:name="_Toc395790081"/>
      <w:bookmarkStart w:id="32233" w:name="_Toc395800839"/>
      <w:bookmarkStart w:id="32234" w:name="_Toc395802879"/>
      <w:bookmarkStart w:id="32235" w:name="_Toc395867646"/>
      <w:bookmarkStart w:id="32236" w:name="_Toc395868559"/>
      <w:bookmarkStart w:id="32237" w:name="_Toc395868778"/>
      <w:bookmarkStart w:id="32238" w:name="_Toc395878940"/>
      <w:bookmarkStart w:id="32239" w:name="_Toc395879157"/>
      <w:bookmarkStart w:id="32240" w:name="_Toc395882064"/>
      <w:bookmarkStart w:id="32241" w:name="_Toc395882281"/>
      <w:bookmarkStart w:id="32242" w:name="_Toc395882395"/>
      <w:bookmarkStart w:id="32243" w:name="_Toc395882612"/>
      <w:bookmarkStart w:id="32244" w:name="_Toc395880559"/>
      <w:bookmarkStart w:id="32245" w:name="_Toc395880890"/>
      <w:bookmarkStart w:id="32246" w:name="_Toc395881448"/>
      <w:bookmarkStart w:id="32247" w:name="_Toc395881665"/>
      <w:bookmarkStart w:id="32248" w:name="_Toc395881381"/>
      <w:bookmarkStart w:id="32249" w:name="_Toc395883833"/>
      <w:bookmarkStart w:id="32250" w:name="_Toc395884050"/>
      <w:bookmarkStart w:id="32251" w:name="_Toc395880788"/>
      <w:bookmarkStart w:id="32252" w:name="_Toc395884495"/>
      <w:bookmarkStart w:id="32253" w:name="_Toc395884712"/>
      <w:bookmarkStart w:id="32254" w:name="_Toc395883204"/>
      <w:bookmarkStart w:id="32255" w:name="_Toc395883421"/>
      <w:bookmarkStart w:id="32256" w:name="_Toc395883534"/>
      <w:bookmarkStart w:id="32257" w:name="_Toc395883751"/>
      <w:bookmarkStart w:id="32258" w:name="_Toc395884836"/>
      <w:bookmarkStart w:id="32259" w:name="_Toc396123861"/>
      <w:bookmarkStart w:id="32260" w:name="_Toc396130764"/>
      <w:bookmarkStart w:id="32261" w:name="_Toc396136342"/>
      <w:bookmarkStart w:id="32262" w:name="_Toc396138796"/>
      <w:bookmarkStart w:id="32263" w:name="_Toc396144057"/>
      <w:bookmarkStart w:id="32264" w:name="_Toc396145566"/>
      <w:bookmarkStart w:id="32265" w:name="_Toc396145710"/>
      <w:bookmarkStart w:id="32266" w:name="_Toc396145992"/>
      <w:bookmarkStart w:id="32267" w:name="_Toc396147532"/>
      <w:bookmarkStart w:id="32268" w:name="_Toc396147818"/>
      <w:bookmarkStart w:id="32269" w:name="_Toc396149074"/>
      <w:bookmarkStart w:id="32270" w:name="_Toc396148788"/>
      <w:bookmarkStart w:id="32271" w:name="_Toc396149569"/>
      <w:bookmarkStart w:id="32272" w:name="_Toc396149214"/>
      <w:bookmarkStart w:id="32273" w:name="_Toc396149500"/>
      <w:bookmarkStart w:id="32274" w:name="_Toc396149922"/>
      <w:bookmarkStart w:id="32275" w:name="_Toc396149672"/>
      <w:bookmarkStart w:id="32276" w:name="_Toc396150513"/>
      <w:bookmarkStart w:id="32277" w:name="_Toc396151402"/>
      <w:bookmarkStart w:id="32278" w:name="_Toc396151696"/>
      <w:bookmarkStart w:id="32279" w:name="_Toc396201623"/>
      <w:bookmarkStart w:id="32280" w:name="_Toc396202413"/>
      <w:bookmarkStart w:id="32281" w:name="_Toc396202708"/>
      <w:bookmarkStart w:id="32282" w:name="_Toc396203325"/>
      <w:bookmarkStart w:id="32283" w:name="_Toc396206621"/>
      <w:bookmarkStart w:id="32284" w:name="_Toc396206915"/>
      <w:bookmarkStart w:id="32285" w:name="_Toc396209449"/>
      <w:bookmarkStart w:id="32286" w:name="_Toc396209743"/>
      <w:bookmarkStart w:id="32287" w:name="_Toc396211873"/>
      <w:bookmarkStart w:id="32288" w:name="_Toc396212167"/>
      <w:bookmarkStart w:id="32289" w:name="_Toc396213217"/>
      <w:bookmarkStart w:id="32290" w:name="_Toc396213509"/>
      <w:bookmarkStart w:id="32291" w:name="_Toc396214495"/>
      <w:bookmarkStart w:id="32292" w:name="_Toc396214785"/>
      <w:bookmarkStart w:id="32293" w:name="_Toc396220345"/>
      <w:bookmarkStart w:id="32294" w:name="_Toc396226607"/>
      <w:bookmarkStart w:id="32295" w:name="_Toc396226896"/>
      <w:bookmarkStart w:id="32296" w:name="_Toc396228807"/>
      <w:bookmarkStart w:id="32297" w:name="_Toc396229102"/>
      <w:bookmarkStart w:id="32298" w:name="_Toc396230449"/>
      <w:bookmarkStart w:id="32299" w:name="_Toc396230744"/>
      <w:bookmarkStart w:id="32300" w:name="_Toc396231886"/>
      <w:bookmarkStart w:id="32301" w:name="_Toc396233229"/>
      <w:bookmarkStart w:id="32302" w:name="_Toc396233526"/>
      <w:bookmarkStart w:id="32303" w:name="_Toc396234049"/>
      <w:bookmarkStart w:id="32304" w:name="_Toc396234346"/>
      <w:bookmarkStart w:id="32305" w:name="_Toc396234459"/>
      <w:bookmarkStart w:id="32306" w:name="_Toc396236193"/>
      <w:bookmarkStart w:id="32307" w:name="_Toc396235971"/>
      <w:bookmarkStart w:id="32308" w:name="_Toc396236581"/>
      <w:bookmarkStart w:id="32309" w:name="_Toc396237100"/>
      <w:bookmarkStart w:id="32310" w:name="_Toc396397443"/>
      <w:bookmarkStart w:id="32311" w:name="_Toc396304624"/>
      <w:bookmarkStart w:id="32312" w:name="_Toc396586159"/>
      <w:bookmarkStart w:id="32313" w:name="_Toc396815180"/>
      <w:bookmarkStart w:id="32314" w:name="_Toc396821129"/>
      <w:bookmarkStart w:id="32315" w:name="_Toc396821737"/>
      <w:bookmarkStart w:id="32316" w:name="_Toc396827587"/>
      <w:bookmarkStart w:id="32317" w:name="_Toc396828558"/>
      <w:bookmarkStart w:id="32318" w:name="_Toc396828668"/>
      <w:bookmarkStart w:id="32319" w:name="_Toc396838057"/>
      <w:bookmarkStart w:id="32320" w:name="_Toc396838455"/>
      <w:bookmarkStart w:id="32321" w:name="_Toc396904778"/>
      <w:bookmarkStart w:id="32322" w:name="_Toc396907612"/>
      <w:bookmarkStart w:id="32323" w:name="_Toc396912531"/>
      <w:bookmarkStart w:id="32324" w:name="_Toc396914511"/>
      <w:bookmarkStart w:id="32325" w:name="_Toc396915395"/>
      <w:bookmarkStart w:id="32326" w:name="_Toc396915789"/>
      <w:bookmarkStart w:id="32327" w:name="_Toc396921100"/>
      <w:bookmarkStart w:id="32328" w:name="_Toc396924440"/>
      <w:bookmarkStart w:id="32329" w:name="_Toc396925134"/>
      <w:bookmarkStart w:id="32330" w:name="_Toc396992254"/>
      <w:bookmarkStart w:id="32331" w:name="_Toc396992833"/>
      <w:bookmarkStart w:id="32332" w:name="_Toc396994497"/>
      <w:bookmarkStart w:id="32333" w:name="_Toc397002267"/>
      <w:bookmarkStart w:id="32334" w:name="_Toc397003186"/>
      <w:bookmarkStart w:id="32335" w:name="_Toc397008744"/>
      <w:bookmarkStart w:id="32336" w:name="_Toc397008962"/>
      <w:bookmarkStart w:id="32337" w:name="_Toc397011634"/>
      <w:bookmarkStart w:id="32338" w:name="_Toc397012696"/>
      <w:bookmarkStart w:id="32339" w:name="_Toc397015038"/>
      <w:bookmarkStart w:id="32340" w:name="_Toc397015525"/>
      <w:bookmarkStart w:id="32341" w:name="_Toc397070596"/>
      <w:bookmarkStart w:id="32342" w:name="_Toc397413350"/>
      <w:bookmarkStart w:id="32343" w:name="_Toc397413497"/>
      <w:bookmarkStart w:id="32344" w:name="_Toc397428066"/>
      <w:bookmarkStart w:id="32345" w:name="_Toc397439456"/>
      <w:bookmarkStart w:id="32346" w:name="_Toc397439626"/>
      <w:bookmarkStart w:id="32347" w:name="_Toc397439882"/>
      <w:bookmarkStart w:id="32348" w:name="_Toc397440184"/>
      <w:bookmarkStart w:id="32349" w:name="_Toc397441813"/>
      <w:bookmarkStart w:id="32350" w:name="_Toc397517515"/>
      <w:bookmarkStart w:id="32351" w:name="_Toc397522780"/>
      <w:bookmarkStart w:id="32352" w:name="_Toc397526198"/>
      <w:bookmarkStart w:id="32353" w:name="_Toc397528398"/>
      <w:bookmarkStart w:id="32354" w:name="_Toc397528513"/>
      <w:bookmarkStart w:id="32355" w:name="_Toc397528988"/>
      <w:bookmarkStart w:id="32356" w:name="_Toc397601988"/>
      <w:bookmarkStart w:id="32357" w:name="_Toc397602723"/>
      <w:bookmarkStart w:id="32358" w:name="_Toc397605856"/>
      <w:bookmarkStart w:id="32359" w:name="_Toc397614553"/>
      <w:bookmarkStart w:id="32360" w:name="_Toc397614996"/>
      <w:bookmarkStart w:id="32361" w:name="_Toc397616439"/>
      <w:bookmarkStart w:id="32362" w:name="_Toc397616833"/>
      <w:bookmarkStart w:id="32363" w:name="_Toc397688131"/>
      <w:bookmarkStart w:id="32364" w:name="_Toc397689347"/>
      <w:bookmarkStart w:id="32365" w:name="_Toc397694627"/>
      <w:bookmarkStart w:id="32366" w:name="_Toc397696468"/>
      <w:bookmarkStart w:id="32367" w:name="_Toc397697202"/>
      <w:bookmarkStart w:id="32368" w:name="_Toc397698489"/>
      <w:bookmarkStart w:id="32369" w:name="_Toc397699855"/>
      <w:bookmarkStart w:id="32370" w:name="_Toc397700309"/>
      <w:bookmarkStart w:id="32371" w:name="_Toc397936701"/>
      <w:bookmarkStart w:id="32372" w:name="_Toc397936821"/>
      <w:bookmarkStart w:id="32373" w:name="_Toc397945977"/>
      <w:bookmarkStart w:id="32374" w:name="_Toc397947003"/>
      <w:bookmarkStart w:id="32375" w:name="_Toc397948122"/>
      <w:bookmarkStart w:id="32376" w:name="_Toc397958528"/>
      <w:bookmarkStart w:id="32377" w:name="_Toc397958770"/>
      <w:bookmarkStart w:id="32378" w:name="_Toc397959185"/>
      <w:bookmarkStart w:id="32379" w:name="_Toc397962252"/>
      <w:bookmarkStart w:id="32380" w:name="_Toc397963038"/>
      <w:bookmarkStart w:id="32381" w:name="_Toc397963404"/>
      <w:bookmarkStart w:id="32382" w:name="_Toc397965481"/>
      <w:bookmarkStart w:id="32383" w:name="_Toc398197419"/>
      <w:bookmarkStart w:id="32384" w:name="_Toc398200044"/>
      <w:bookmarkStart w:id="32385" w:name="_Toc398201636"/>
      <w:bookmarkStart w:id="32386" w:name="_Toc398207241"/>
      <w:bookmarkStart w:id="32387" w:name="_Toc398209945"/>
      <w:bookmarkStart w:id="32388" w:name="_Toc398210514"/>
      <w:bookmarkStart w:id="32389" w:name="_Toc398211028"/>
      <w:bookmarkStart w:id="32390" w:name="_Toc398219839"/>
      <w:bookmarkStart w:id="32391" w:name="_Toc398220214"/>
      <w:bookmarkStart w:id="32392" w:name="_Toc398220601"/>
      <w:bookmarkStart w:id="32393" w:name="_Toc398221679"/>
      <w:bookmarkStart w:id="32394" w:name="_Toc398222365"/>
      <w:bookmarkStart w:id="32395" w:name="_Toc398222677"/>
      <w:bookmarkStart w:id="32396" w:name="_Toc398223094"/>
      <w:bookmarkStart w:id="32397" w:name="_Toc398223473"/>
      <w:bookmarkStart w:id="32398" w:name="_Toc398223600"/>
      <w:bookmarkStart w:id="32399" w:name="_Toc398224408"/>
      <w:bookmarkStart w:id="32400" w:name="_Toc398225745"/>
      <w:bookmarkStart w:id="32401" w:name="_Toc398225870"/>
      <w:bookmarkStart w:id="32402" w:name="_Toc398281357"/>
      <w:bookmarkStart w:id="32403" w:name="_Toc398282216"/>
      <w:bookmarkStart w:id="32404" w:name="_Toc398284886"/>
      <w:bookmarkStart w:id="32405" w:name="_Toc398287355"/>
      <w:bookmarkStart w:id="32406" w:name="_Toc398289238"/>
      <w:bookmarkStart w:id="32407" w:name="_Toc398297235"/>
      <w:bookmarkStart w:id="32408" w:name="_Toc398298709"/>
      <w:bookmarkStart w:id="32409" w:name="_Toc398300410"/>
      <w:bookmarkStart w:id="32410" w:name="_Toc398301307"/>
      <w:bookmarkStart w:id="32411" w:name="_Toc398302492"/>
      <w:bookmarkStart w:id="32412" w:name="_Toc398302655"/>
      <w:bookmarkStart w:id="32413" w:name="_Toc398549169"/>
      <w:bookmarkStart w:id="32414" w:name="_Toc398549419"/>
      <w:bookmarkStart w:id="32415" w:name="_Toc398555838"/>
      <w:bookmarkStart w:id="32416" w:name="_Toc398559042"/>
      <w:bookmarkStart w:id="32417" w:name="_Toc398563528"/>
      <w:bookmarkStart w:id="32418" w:name="_Toc398563661"/>
      <w:bookmarkStart w:id="32419" w:name="_Toc398564060"/>
      <w:bookmarkStart w:id="32420" w:name="_Toc398827398"/>
      <w:bookmarkStart w:id="32421" w:name="_Toc398827592"/>
      <w:bookmarkStart w:id="32422" w:name="s174"/>
      <w:r w:rsidRPr="008625DC">
        <w:rPr>
          <w:lang w:val="en-AU"/>
        </w:rPr>
        <w:t>Resale price maintenance</w:t>
      </w:r>
      <w:bookmarkEnd w:id="31989"/>
      <w:bookmarkEnd w:id="31990"/>
      <w:bookmarkEnd w:id="31991"/>
      <w:bookmarkEnd w:id="31992"/>
      <w:bookmarkEnd w:id="31993"/>
      <w:bookmarkEnd w:id="31994"/>
      <w:bookmarkEnd w:id="31995"/>
      <w:bookmarkEnd w:id="31996"/>
      <w:bookmarkEnd w:id="31997"/>
      <w:bookmarkEnd w:id="31998"/>
      <w:bookmarkEnd w:id="31999"/>
      <w:bookmarkEnd w:id="32000"/>
      <w:bookmarkEnd w:id="32001"/>
      <w:bookmarkEnd w:id="32002"/>
      <w:bookmarkEnd w:id="32003"/>
      <w:bookmarkEnd w:id="32004"/>
      <w:bookmarkEnd w:id="32005"/>
      <w:bookmarkEnd w:id="32006"/>
      <w:bookmarkEnd w:id="32007"/>
      <w:bookmarkEnd w:id="32008"/>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bookmarkEnd w:id="32276"/>
      <w:bookmarkEnd w:id="32277"/>
      <w:bookmarkEnd w:id="32278"/>
      <w:bookmarkEnd w:id="32279"/>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bookmarkEnd w:id="32336"/>
      <w:bookmarkEnd w:id="32337"/>
      <w:bookmarkEnd w:id="32338"/>
      <w:bookmarkEnd w:id="32339"/>
      <w:bookmarkEnd w:id="32340"/>
      <w:bookmarkEnd w:id="32341"/>
      <w:bookmarkEnd w:id="32342"/>
      <w:bookmarkEnd w:id="32343"/>
      <w:bookmarkEnd w:id="32344"/>
      <w:bookmarkEnd w:id="32345"/>
      <w:bookmarkEnd w:id="32346"/>
      <w:bookmarkEnd w:id="32347"/>
      <w:bookmarkEnd w:id="32348"/>
      <w:bookmarkEnd w:id="32349"/>
      <w:bookmarkEnd w:id="32350"/>
      <w:bookmarkEnd w:id="32351"/>
      <w:bookmarkEnd w:id="32352"/>
      <w:bookmarkEnd w:id="32353"/>
      <w:bookmarkEnd w:id="32354"/>
      <w:bookmarkEnd w:id="32355"/>
      <w:bookmarkEnd w:id="32356"/>
      <w:bookmarkEnd w:id="32357"/>
      <w:bookmarkEnd w:id="32358"/>
      <w:bookmarkEnd w:id="32359"/>
      <w:bookmarkEnd w:id="32360"/>
      <w:bookmarkEnd w:id="32361"/>
      <w:bookmarkEnd w:id="32362"/>
      <w:bookmarkEnd w:id="32363"/>
      <w:bookmarkEnd w:id="32364"/>
      <w:bookmarkEnd w:id="32365"/>
      <w:bookmarkEnd w:id="32366"/>
      <w:bookmarkEnd w:id="32367"/>
      <w:bookmarkEnd w:id="32368"/>
      <w:bookmarkEnd w:id="32369"/>
      <w:bookmarkEnd w:id="32370"/>
      <w:bookmarkEnd w:id="32371"/>
      <w:bookmarkEnd w:id="32372"/>
      <w:bookmarkEnd w:id="32373"/>
      <w:bookmarkEnd w:id="32374"/>
      <w:bookmarkEnd w:id="32375"/>
      <w:bookmarkEnd w:id="32376"/>
      <w:bookmarkEnd w:id="32377"/>
      <w:bookmarkEnd w:id="32378"/>
      <w:bookmarkEnd w:id="32379"/>
      <w:bookmarkEnd w:id="32380"/>
      <w:bookmarkEnd w:id="32381"/>
      <w:bookmarkEnd w:id="32382"/>
      <w:bookmarkEnd w:id="32383"/>
      <w:bookmarkEnd w:id="32384"/>
      <w:bookmarkEnd w:id="32385"/>
      <w:bookmarkEnd w:id="32386"/>
      <w:bookmarkEnd w:id="32387"/>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bookmarkEnd w:id="32417"/>
      <w:bookmarkEnd w:id="32418"/>
      <w:bookmarkEnd w:id="32419"/>
      <w:bookmarkEnd w:id="32420"/>
      <w:bookmarkEnd w:id="32421"/>
    </w:p>
    <w:bookmarkEnd w:id="32422"/>
    <w:p w14:paraId="133CA9E0" w14:textId="454FE267" w:rsidR="00B21D56" w:rsidRPr="008625DC" w:rsidRDefault="00B21D56" w:rsidP="00B21D56">
      <w:pPr>
        <w:spacing w:before="0"/>
      </w:pPr>
      <w:r w:rsidRPr="008625DC">
        <w:t>Resale price maintenance (RPM) is a form of vertical restraint concerning resale prices. RPM involves a supplier (for example, a manufacturer or importer) supplying a product to a person (for example, a retailer) on condition that the product will not be advertised for sale or sold below a price specified by the supplier. Section 48 of the CCA prohibits RPM and makes it a per se offence; however, RPM may be authorised if a manufacturer can demonstrate that the imposition of RPM results in a public benefit.</w:t>
      </w:r>
    </w:p>
    <w:p w14:paraId="194DA86E" w14:textId="066AB694" w:rsidR="00B21D56" w:rsidRPr="008625DC" w:rsidRDefault="00B21D56" w:rsidP="00B4260E">
      <w:pPr>
        <w:keepNext/>
        <w:spacing w:before="0" w:after="120"/>
      </w:pPr>
      <w:r w:rsidRPr="008625DC">
        <w:t xml:space="preserve">The </w:t>
      </w:r>
      <w:r w:rsidR="00AB3247" w:rsidRPr="008625DC">
        <w:t xml:space="preserve">Dawson </w:t>
      </w:r>
      <w:r w:rsidRPr="008625DC">
        <w:t xml:space="preserve">Review </w:t>
      </w:r>
      <w:r w:rsidR="00AB3247" w:rsidRPr="008625DC">
        <w:t>stated that:</w:t>
      </w:r>
      <w:r w:rsidRPr="008625DC">
        <w:t xml:space="preserve"> </w:t>
      </w:r>
    </w:p>
    <w:p w14:paraId="53434453" w14:textId="02CEC762" w:rsidR="00B21D56" w:rsidRPr="008625DC" w:rsidRDefault="00B21D56" w:rsidP="00B21D56">
      <w:pPr>
        <w:pStyle w:val="Quotes"/>
        <w:spacing w:before="0"/>
      </w:pPr>
      <w:r w:rsidRPr="008625DC">
        <w:t>The rationale behind a per se prohibition is that the conduct prohibited is so likely to be detrimental to economic welfare, and so unlikely to be beneficial, that it should be proscribed without further inquiry about its impact on competition.</w:t>
      </w:r>
      <w:r w:rsidR="00AB3247" w:rsidRPr="008625DC">
        <w:rPr>
          <w:rStyle w:val="FootnoteReference"/>
        </w:rPr>
        <w:footnoteReference w:id="325"/>
      </w:r>
    </w:p>
    <w:p w14:paraId="56A0FF1D" w14:textId="36FFB265" w:rsidR="00B21D56" w:rsidRPr="008625DC" w:rsidRDefault="00B21D56" w:rsidP="00B21D56">
      <w:pPr>
        <w:spacing w:before="0"/>
      </w:pPr>
      <w:r w:rsidRPr="008625DC">
        <w:t xml:space="preserve">The Business Law Section </w:t>
      </w:r>
      <w:r w:rsidR="00E32295" w:rsidRPr="008625DC">
        <w:t xml:space="preserve">of the Law Council of Australia </w:t>
      </w:r>
      <w:r w:rsidR="00FB0361" w:rsidRPr="008625DC">
        <w:t>notes this position</w:t>
      </w:r>
      <w:r w:rsidR="00897DF0" w:rsidRPr="008625DC">
        <w:rPr>
          <w:rStyle w:val="FootnoteReference"/>
        </w:rPr>
        <w:footnoteReference w:id="326"/>
      </w:r>
      <w:r w:rsidR="00FB0361" w:rsidRPr="008625DC">
        <w:t xml:space="preserve"> and </w:t>
      </w:r>
      <w:r w:rsidRPr="008625DC">
        <w:t>argue</w:t>
      </w:r>
      <w:r w:rsidR="00FB0361" w:rsidRPr="008625DC">
        <w:t>s</w:t>
      </w:r>
      <w:r w:rsidRPr="008625DC">
        <w:t xml:space="preserve"> that RPM should not merit a strict prohibition, as in markets where there is sufficient inter</w:t>
      </w:r>
      <w:r w:rsidR="00C74E19" w:rsidRPr="008625DC">
        <w:noBreakHyphen/>
      </w:r>
      <w:r w:rsidRPr="008625DC">
        <w:t>brand competition RPM will have a limited effect on competition and</w:t>
      </w:r>
      <w:r w:rsidR="00E32295" w:rsidRPr="008625DC">
        <w:t>,</w:t>
      </w:r>
      <w:r w:rsidRPr="008625DC">
        <w:t xml:space="preserve"> in some instances</w:t>
      </w:r>
      <w:r w:rsidR="00E32295" w:rsidRPr="008625DC">
        <w:t>,</w:t>
      </w:r>
      <w:r w:rsidRPr="008625DC">
        <w:t xml:space="preserve"> RPM may even be beneficial. </w:t>
      </w:r>
    </w:p>
    <w:p w14:paraId="7967E901" w14:textId="77777777" w:rsidR="00B21D56" w:rsidRPr="008625DC" w:rsidRDefault="00B21D56" w:rsidP="00FB084C">
      <w:pPr>
        <w:pStyle w:val="Heading3"/>
      </w:pPr>
      <w:r w:rsidRPr="008625DC">
        <w:lastRenderedPageBreak/>
        <w:t>Is a per se prohibition appropriate?</w:t>
      </w:r>
    </w:p>
    <w:p w14:paraId="2262B3AA" w14:textId="6D7391BB" w:rsidR="00B21D56" w:rsidRPr="008625DC" w:rsidRDefault="00B21D56" w:rsidP="00B21D56">
      <w:pPr>
        <w:spacing w:before="0"/>
      </w:pPr>
      <w:r w:rsidRPr="008625DC">
        <w:t xml:space="preserve">The appropriateness of a per se prohibition of RPM has been debated for many years, both in Australia and overseas. In 2007 </w:t>
      </w:r>
      <w:r w:rsidR="00BB16EB" w:rsidRPr="008625DC">
        <w:t xml:space="preserve">the </w:t>
      </w:r>
      <w:r w:rsidRPr="008625DC">
        <w:t>U</w:t>
      </w:r>
      <w:r w:rsidR="00E32295" w:rsidRPr="008625DC">
        <w:t>S</w:t>
      </w:r>
      <w:r w:rsidRPr="008625DC">
        <w:t xml:space="preserve"> Supreme Court ruled that the practice of RPM should no longer be subject to a per se prohibition under US Federal law, and would instead be tested under a rule of reason (competition) analysis (</w:t>
      </w:r>
      <w:r w:rsidRPr="008625DC">
        <w:rPr>
          <w:i/>
        </w:rPr>
        <w:t>Leegin Creative Leather Products Inc v PSKS Inc,</w:t>
      </w:r>
      <w:r w:rsidRPr="008625DC">
        <w:t>).</w:t>
      </w:r>
      <w:r w:rsidRPr="008625DC">
        <w:rPr>
          <w:rStyle w:val="FootnoteReference"/>
        </w:rPr>
        <w:footnoteReference w:id="327"/>
      </w:r>
      <w:r w:rsidRPr="008625DC">
        <w:t xml:space="preserve"> </w:t>
      </w:r>
      <w:r w:rsidR="00B4260E" w:rsidRPr="008625DC">
        <w:t xml:space="preserve"> </w:t>
      </w:r>
      <w:r w:rsidRPr="008625DC">
        <w:t>RPM in Canada is also subject to a competition test, with conduct prohibited only when it has or is likely to have an adverse effect on competition in a market.</w:t>
      </w:r>
      <w:r w:rsidR="00897DF0" w:rsidRPr="008625DC">
        <w:rPr>
          <w:rStyle w:val="FootnoteReference"/>
        </w:rPr>
        <w:footnoteReference w:id="328"/>
      </w:r>
      <w:r w:rsidRPr="008625DC">
        <w:t xml:space="preserve"> Other jurisdictions such as the UK, the European Union and New Zealand maintain a per se prohibition, though generally with some provision to authorise conduct.</w:t>
      </w:r>
      <w:r w:rsidR="00D303E2" w:rsidRPr="008625DC">
        <w:rPr>
          <w:rStyle w:val="FootnoteReference"/>
        </w:rPr>
        <w:footnoteReference w:id="329"/>
      </w:r>
    </w:p>
    <w:p w14:paraId="3F93549A" w14:textId="165F655C" w:rsidR="00B21D56" w:rsidRPr="008625DC" w:rsidRDefault="00B21D56" w:rsidP="00B21D56">
      <w:pPr>
        <w:spacing w:before="0"/>
      </w:pPr>
      <w:r w:rsidRPr="008625DC">
        <w:t>Like many forms of vertical trading restrictions, in many circumstances RPM may have little effect on competition in a market. This will be the case if the product is subject to strong rivalry from competing products. In those circumstances a manufacturer or importer would be unable to specify a minimum price that is above the level determined by competition. Further, in a competitive market RPM may be beneficial to competition and consumers. The usual purpose of imposing a minimum retail price within distribution arrangements is to create a financial incentive (through the retail margin) for a retailer to invest in retailing services (whether in the form of store fit</w:t>
      </w:r>
      <w:r w:rsidR="00C74E19" w:rsidRPr="008625DC">
        <w:noBreakHyphen/>
      </w:r>
      <w:r w:rsidRPr="008625DC">
        <w:t xml:space="preserve">out or retailing staff). Otherwise, retailers that invest in their stores and staff training may be vulnerable to undercutting by </w:t>
      </w:r>
      <w:r w:rsidR="00C74E19" w:rsidRPr="008625DC">
        <w:t>‘</w:t>
      </w:r>
      <w:r w:rsidRPr="008625DC">
        <w:t>discounter</w:t>
      </w:r>
      <w:r w:rsidR="00C74E19" w:rsidRPr="008625DC">
        <w:t>’</w:t>
      </w:r>
      <w:r w:rsidRPr="008625DC">
        <w:t xml:space="preserve"> retailers that do not make that investment. </w:t>
      </w:r>
    </w:p>
    <w:p w14:paraId="12217B9A" w14:textId="523D72C9" w:rsidR="00B21D56" w:rsidRPr="008625DC" w:rsidRDefault="00B21D56" w:rsidP="00B4260E">
      <w:pPr>
        <w:spacing w:after="0"/>
      </w:pPr>
      <w:r w:rsidRPr="008625DC">
        <w:t>Nevertheless, concerns remain about the likely anti</w:t>
      </w:r>
      <w:r w:rsidR="00C74E19" w:rsidRPr="008625DC">
        <w:noBreakHyphen/>
      </w:r>
      <w:r w:rsidRPr="008625DC">
        <w:t>competitive effects of RPM. The primary rationale for a per se prohibition on RPM (as opposed to a competition</w:t>
      </w:r>
      <w:r w:rsidR="00C74E19" w:rsidRPr="008625DC">
        <w:noBreakHyphen/>
      </w:r>
      <w:r w:rsidRPr="008625DC">
        <w:t>based test) is that RPM may facilitate manufacturer or retailer collusion. The ACCC notes that RPM can cause significant harm to the competitive process, including by:</w:t>
      </w:r>
    </w:p>
    <w:p w14:paraId="298F8CC0" w14:textId="3F120A4D" w:rsidR="00B21D56" w:rsidRPr="008625DC" w:rsidRDefault="00B21D56" w:rsidP="00B4260E">
      <w:pPr>
        <w:pStyle w:val="Bullet"/>
        <w:tabs>
          <w:tab w:val="clear" w:pos="566"/>
          <w:tab w:val="num" w:pos="993"/>
        </w:tabs>
        <w:spacing w:after="0"/>
        <w:ind w:left="993" w:hanging="426"/>
        <w:rPr>
          <w:color w:val="595959" w:themeColor="text1" w:themeTint="A6"/>
        </w:rPr>
      </w:pPr>
      <w:r w:rsidRPr="008625DC">
        <w:rPr>
          <w:color w:val="595959" w:themeColor="text1" w:themeTint="A6"/>
        </w:rPr>
        <w:t>facilitating collusion between suppliers: RPM conduct may be used by suppliers to reduce or eliminate price competition between its customers</w:t>
      </w:r>
      <w:r w:rsidR="00A438AF">
        <w:rPr>
          <w:color w:val="595959" w:themeColor="text1" w:themeTint="A6"/>
        </w:rPr>
        <w:t xml:space="preserve"> </w:t>
      </w:r>
      <w:r w:rsidRPr="008625DC">
        <w:rPr>
          <w:color w:val="595959" w:themeColor="text1" w:themeTint="A6"/>
        </w:rPr>
        <w:t xml:space="preserve">… </w:t>
      </w:r>
    </w:p>
    <w:p w14:paraId="0317785F" w14:textId="03FE0924" w:rsidR="00B21D56" w:rsidRPr="008625DC" w:rsidRDefault="00B21D56" w:rsidP="00B4260E">
      <w:pPr>
        <w:pStyle w:val="Bullet"/>
        <w:tabs>
          <w:tab w:val="clear" w:pos="566"/>
          <w:tab w:val="num" w:pos="993"/>
        </w:tabs>
        <w:spacing w:after="0"/>
        <w:ind w:left="993" w:hanging="426"/>
        <w:rPr>
          <w:color w:val="595959" w:themeColor="text1" w:themeTint="A6"/>
        </w:rPr>
      </w:pPr>
      <w:r w:rsidRPr="008625DC">
        <w:rPr>
          <w:color w:val="595959" w:themeColor="text1" w:themeTint="A6"/>
        </w:rPr>
        <w:t>facilitating collusion between retailers: a bottom up RPM occurs when one or more retailers compel a supplier to adopt RPM conduct to reduce or eliminate price competition at the retail level</w:t>
      </w:r>
      <w:r w:rsidR="00A438AF">
        <w:rPr>
          <w:color w:val="595959" w:themeColor="text1" w:themeTint="A6"/>
        </w:rPr>
        <w:t xml:space="preserve"> </w:t>
      </w:r>
      <w:r w:rsidRPr="008625DC">
        <w:rPr>
          <w:color w:val="595959" w:themeColor="text1" w:themeTint="A6"/>
        </w:rPr>
        <w:t xml:space="preserve">… </w:t>
      </w:r>
    </w:p>
    <w:p w14:paraId="36718717" w14:textId="77777777" w:rsidR="00B21D56" w:rsidRPr="008625DC" w:rsidRDefault="00B21D56" w:rsidP="00B4260E">
      <w:pPr>
        <w:pStyle w:val="Bullet"/>
        <w:tabs>
          <w:tab w:val="clear" w:pos="566"/>
          <w:tab w:val="num" w:pos="993"/>
        </w:tabs>
        <w:spacing w:after="0"/>
        <w:ind w:left="993" w:hanging="426"/>
        <w:rPr>
          <w:color w:val="595959" w:themeColor="text1" w:themeTint="A6"/>
        </w:rPr>
      </w:pPr>
      <w:r w:rsidRPr="008625DC">
        <w:rPr>
          <w:color w:val="595959" w:themeColor="text1" w:themeTint="A6"/>
        </w:rPr>
        <w:t xml:space="preserve">supplier exclusion: an incumbent supplier may use RPM conduct to guarantee margins for retailers to make them unwilling to carry the products of a rival or new entrant; </w:t>
      </w:r>
    </w:p>
    <w:p w14:paraId="3C584823" w14:textId="1EF99072" w:rsidR="00B21D56" w:rsidRPr="008625DC" w:rsidRDefault="00B21D56" w:rsidP="00B4260E">
      <w:pPr>
        <w:pStyle w:val="Bullet"/>
        <w:tabs>
          <w:tab w:val="clear" w:pos="566"/>
          <w:tab w:val="num" w:pos="993"/>
        </w:tabs>
        <w:ind w:left="993" w:hanging="426"/>
      </w:pPr>
      <w:r w:rsidRPr="008625DC">
        <w:rPr>
          <w:color w:val="595959" w:themeColor="text1" w:themeTint="A6"/>
        </w:rPr>
        <w:t>retailer exclusion: RPM conduct can be used as a means to eliminate retail competition from discount or more efficient retailers</w:t>
      </w:r>
      <w:r w:rsidR="00AB3247" w:rsidRPr="008625DC">
        <w:rPr>
          <w:color w:val="595959" w:themeColor="text1" w:themeTint="A6"/>
        </w:rPr>
        <w:t>.</w:t>
      </w:r>
      <w:r w:rsidRPr="008625DC">
        <w:rPr>
          <w:color w:val="595959" w:themeColor="text1" w:themeTint="A6"/>
        </w:rPr>
        <w:t xml:space="preserve"> (</w:t>
      </w:r>
      <w:r w:rsidR="00AB3247" w:rsidRPr="008625DC">
        <w:rPr>
          <w:color w:val="595959" w:themeColor="text1" w:themeTint="A6"/>
        </w:rPr>
        <w:t xml:space="preserve">submission 1, </w:t>
      </w:r>
      <w:r w:rsidRPr="008625DC">
        <w:rPr>
          <w:color w:val="595959" w:themeColor="text1" w:themeTint="A6"/>
        </w:rPr>
        <w:t>p</w:t>
      </w:r>
      <w:r w:rsidR="006B19F8" w:rsidRPr="008625DC">
        <w:rPr>
          <w:color w:val="595959" w:themeColor="text1" w:themeTint="A6"/>
        </w:rPr>
        <w:t>age</w:t>
      </w:r>
      <w:r w:rsidRPr="008625DC">
        <w:rPr>
          <w:color w:val="595959" w:themeColor="text1" w:themeTint="A6"/>
        </w:rPr>
        <w:t xml:space="preserve"> 116)</w:t>
      </w:r>
    </w:p>
    <w:p w14:paraId="2CC39D70" w14:textId="13EE7C61" w:rsidR="00E71121" w:rsidRPr="008625DC" w:rsidRDefault="00E71121" w:rsidP="00FB084C">
      <w:pPr>
        <w:pStyle w:val="Heading3"/>
      </w:pPr>
      <w:r w:rsidRPr="008625DC">
        <w:t xml:space="preserve">RPM and </w:t>
      </w:r>
      <w:r w:rsidR="00CC1098" w:rsidRPr="008625DC">
        <w:t>digital retailing</w:t>
      </w:r>
    </w:p>
    <w:p w14:paraId="66084167" w14:textId="7C83F301" w:rsidR="00B21D56" w:rsidRPr="008625DC" w:rsidRDefault="00B21D56" w:rsidP="00CB719A">
      <w:pPr>
        <w:spacing w:before="0" w:after="120"/>
      </w:pPr>
      <w:r w:rsidRPr="008625DC">
        <w:t xml:space="preserve">Historically, RPM has been considered in the context of </w:t>
      </w:r>
      <w:r w:rsidR="00C74E19" w:rsidRPr="008625DC">
        <w:t>‘</w:t>
      </w:r>
      <w:r w:rsidRPr="008625DC">
        <w:t>bricks and mortar</w:t>
      </w:r>
      <w:r w:rsidR="00C74E19" w:rsidRPr="008625DC">
        <w:t>’</w:t>
      </w:r>
      <w:r w:rsidRPr="008625DC">
        <w:t xml:space="preserve"> retailers. RPM is now emerging as an issue for new models of digital</w:t>
      </w:r>
      <w:r w:rsidR="00C74E19" w:rsidRPr="008625DC">
        <w:noBreakHyphen/>
      </w:r>
      <w:r w:rsidRPr="008625DC">
        <w:t>based retailing. eBay state</w:t>
      </w:r>
      <w:r w:rsidR="00C22215" w:rsidRPr="008625DC">
        <w:t>s</w:t>
      </w:r>
      <w:r w:rsidRPr="008625DC">
        <w:t xml:space="preserve">, based on annual surveys of its sellers, that around a quarter of sellers </w:t>
      </w:r>
      <w:r w:rsidR="00C22215" w:rsidRPr="008625DC">
        <w:t>are</w:t>
      </w:r>
      <w:r w:rsidRPr="008625DC">
        <w:t xml:space="preserve"> instructed by their suppliers to sell at recommended retail prices. As eBay note</w:t>
      </w:r>
      <w:r w:rsidR="006D2F46" w:rsidRPr="008625DC">
        <w:t>s</w:t>
      </w:r>
      <w:r w:rsidRPr="008625DC">
        <w:t>:</w:t>
      </w:r>
    </w:p>
    <w:p w14:paraId="1308CE6F" w14:textId="3FB1C55F" w:rsidR="00FD788D" w:rsidRPr="008625DC" w:rsidRDefault="00FD788D" w:rsidP="0071164B">
      <w:pPr>
        <w:pStyle w:val="Quotes"/>
        <w:spacing w:before="0"/>
      </w:pPr>
      <w:r w:rsidRPr="008625DC">
        <w:t xml:space="preserve">This clearly restricts the ability for eBay sellers to price their products at what they consider to be an appropriate price point and puts them at risk of adverse treatment by suppliers should they </w:t>
      </w:r>
      <w:r w:rsidR="00B34DCA" w:rsidRPr="008625DC">
        <w:t>not</w:t>
      </w:r>
      <w:r w:rsidRPr="008625DC">
        <w:t xml:space="preserve"> comply with pricing instructions</w:t>
      </w:r>
      <w:r w:rsidR="00CB719A" w:rsidRPr="008625DC">
        <w:t xml:space="preserve"> </w:t>
      </w:r>
      <w:r w:rsidR="00B21D56" w:rsidRPr="008625DC">
        <w:t>…</w:t>
      </w:r>
      <w:r w:rsidR="00CB719A" w:rsidRPr="008625DC">
        <w:t xml:space="preserve"> </w:t>
      </w:r>
      <w:r w:rsidRPr="008625DC">
        <w:t xml:space="preserve">eBay remains concerned </w:t>
      </w:r>
      <w:r w:rsidRPr="008625DC">
        <w:lastRenderedPageBreak/>
        <w:t>however about the widespread abuse of the prohibition on resale price maintenance in the context of ecommerce and the ability of small businesses in particular to maximise the opportunities available on market platforms such as eBay</w:t>
      </w:r>
      <w:r w:rsidR="00E543AD" w:rsidRPr="008625DC">
        <w:t>.</w:t>
      </w:r>
      <w:r w:rsidR="00BC4FC9" w:rsidRPr="008625DC">
        <w:t xml:space="preserve"> (</w:t>
      </w:r>
      <w:r w:rsidR="00AA380B" w:rsidRPr="008625DC">
        <w:t xml:space="preserve">page </w:t>
      </w:r>
      <w:r w:rsidR="00BC4FC9" w:rsidRPr="008625DC">
        <w:t>3)</w:t>
      </w:r>
    </w:p>
    <w:p w14:paraId="152B29CC" w14:textId="3FE3657E" w:rsidR="00E71121" w:rsidRPr="008625DC" w:rsidRDefault="00B34DCA" w:rsidP="0071164B">
      <w:pPr>
        <w:spacing w:before="0"/>
      </w:pPr>
      <w:r w:rsidRPr="008625DC">
        <w:t xml:space="preserve">RPM in digital markets </w:t>
      </w:r>
      <w:r w:rsidR="00BC4FC9" w:rsidRPr="008625DC">
        <w:t xml:space="preserve">also </w:t>
      </w:r>
      <w:r w:rsidR="00CC1098" w:rsidRPr="008625DC">
        <w:t xml:space="preserve">recently </w:t>
      </w:r>
      <w:r w:rsidR="00E71121" w:rsidRPr="008625DC">
        <w:t>received significant international legal attention when Apple was found to have breached EU and US competition law</w:t>
      </w:r>
      <w:r w:rsidR="00E32295" w:rsidRPr="008625DC">
        <w:t>s</w:t>
      </w:r>
      <w:r w:rsidR="00E71121" w:rsidRPr="008625DC">
        <w:t xml:space="preserve"> by fixing the prices of </w:t>
      </w:r>
      <w:r w:rsidR="00E93488" w:rsidRPr="008625DC">
        <w:t>e</w:t>
      </w:r>
      <w:r w:rsidR="00C74E19" w:rsidRPr="008625DC">
        <w:noBreakHyphen/>
      </w:r>
      <w:r w:rsidR="00E93488" w:rsidRPr="008625DC">
        <w:t>books</w:t>
      </w:r>
      <w:r w:rsidR="00E71121" w:rsidRPr="008625DC">
        <w:t xml:space="preserve"> in collaboration with five publishers. Law firm Norton Rose Fulbright </w:t>
      </w:r>
      <w:r w:rsidR="00B21D56" w:rsidRPr="008625DC">
        <w:t>state</w:t>
      </w:r>
      <w:r w:rsidR="006D2F46" w:rsidRPr="008625DC">
        <w:t>s</w:t>
      </w:r>
      <w:r w:rsidR="00E71121" w:rsidRPr="008625DC">
        <w:t xml:space="preserve"> that</w:t>
      </w:r>
      <w:r w:rsidR="00B21D56" w:rsidRPr="008625DC">
        <w:t>,</w:t>
      </w:r>
      <w:r w:rsidR="00E71121" w:rsidRPr="008625DC">
        <w:t xml:space="preserve"> prior to the conduct, the publishers switched their distribution arrangements from an independent distributor arrangement to an agency agreement, possibly </w:t>
      </w:r>
      <w:r w:rsidRPr="008625DC">
        <w:t>to avoid breaching the relevant RPM provisions.</w:t>
      </w:r>
      <w:r w:rsidR="00CC1098" w:rsidRPr="008625DC">
        <w:rPr>
          <w:rStyle w:val="FootnoteReference"/>
        </w:rPr>
        <w:footnoteReference w:id="330"/>
      </w:r>
    </w:p>
    <w:p w14:paraId="2BC12462" w14:textId="77777777" w:rsidR="00B21D56" w:rsidRPr="008625DC" w:rsidRDefault="00B21D56" w:rsidP="00FB084C">
      <w:pPr>
        <w:pStyle w:val="Heading3"/>
      </w:pPr>
      <w:r w:rsidRPr="008625DC">
        <w:t>Avoiding RPM or gaining exemption</w:t>
      </w:r>
    </w:p>
    <w:p w14:paraId="2B9D895D" w14:textId="3B0A5458" w:rsidR="00B21D56" w:rsidRPr="008625DC" w:rsidRDefault="00B21D56" w:rsidP="00B21D56">
      <w:pPr>
        <w:spacing w:before="0"/>
      </w:pPr>
      <w:r w:rsidRPr="008625DC">
        <w:t xml:space="preserve">The prohibition against RPM does not apply when a manufacturer conducts business as a vertically integrated manufacturer/retailer. Under that business structure, the manufacturer is also the retailer and is free to set its own retail price (there is no resale by an independent retailer). A manufacturer may also choose to sell its products through an agency network. Under a genuine agency arrangement, the manufacturer sells its products directly to consumers and is therefore permitted to specify the retail price. </w:t>
      </w:r>
    </w:p>
    <w:p w14:paraId="55AB6C62" w14:textId="150B2F24" w:rsidR="00B21D56" w:rsidRPr="008625DC" w:rsidRDefault="00B21D56" w:rsidP="00B21D56">
      <w:pPr>
        <w:spacing w:before="0"/>
      </w:pPr>
      <w:r w:rsidRPr="008625DC">
        <w:t>A general tenet of competition law is that companies within a corporate group are treated as single economic entity and are not considered to be competitors. For that reason the prohibitions in sections 45 and 47 do not apply to trading arrangements entered into between related companies.</w:t>
      </w:r>
      <w:r w:rsidRPr="008625DC">
        <w:rPr>
          <w:rStyle w:val="FootnoteReference"/>
        </w:rPr>
        <w:footnoteReference w:id="331"/>
      </w:r>
      <w:r w:rsidRPr="008625DC">
        <w:t xml:space="preserve"> A similar principle ought to apply to RPM. Currently, there is no exemption for RPM between a manufacturer and a retailer that is a subsidiary of the manufacturer. </w:t>
      </w:r>
    </w:p>
    <w:p w14:paraId="2C69BCE6" w14:textId="34DA6F1B" w:rsidR="00B21D56" w:rsidRPr="008625DC" w:rsidRDefault="00B21D56" w:rsidP="00B21D56">
      <w:pPr>
        <w:spacing w:before="0"/>
      </w:pPr>
      <w:r w:rsidRPr="008625DC">
        <w:t xml:space="preserve">RPM can be authorised by the ACCC where it is found to result in a net public benefit. While authorisation exists, the Business Law </w:t>
      </w:r>
      <w:r w:rsidR="00E32295" w:rsidRPr="008625DC">
        <w:t>S</w:t>
      </w:r>
      <w:r w:rsidRPr="008625DC">
        <w:t xml:space="preserve">ection of the Law Council </w:t>
      </w:r>
      <w:r w:rsidR="00E32295" w:rsidRPr="008625DC">
        <w:t xml:space="preserve">of Australia </w:t>
      </w:r>
      <w:r w:rsidRPr="008625DC">
        <w:t xml:space="preserve">notes that the use of authorisation for RPM, which has been available since 1995, is </w:t>
      </w:r>
      <w:r w:rsidR="00C74E19" w:rsidRPr="008625DC">
        <w:t>‘</w:t>
      </w:r>
      <w:r w:rsidRPr="008625DC">
        <w:t>almost unheard of</w:t>
      </w:r>
      <w:r w:rsidR="00C74E19" w:rsidRPr="008625DC">
        <w:t>’</w:t>
      </w:r>
      <w:r w:rsidR="00CB719A" w:rsidRPr="008625DC">
        <w:t>.</w:t>
      </w:r>
      <w:r w:rsidRPr="008625DC">
        <w:t xml:space="preserve"> (p</w:t>
      </w:r>
      <w:r w:rsidR="00DA2D13" w:rsidRPr="008625DC">
        <w:t>age</w:t>
      </w:r>
      <w:r w:rsidRPr="008625DC">
        <w:t xml:space="preserve"> 62)</w:t>
      </w:r>
    </w:p>
    <w:p w14:paraId="6F80A077" w14:textId="0124432C" w:rsidR="00B21D56" w:rsidRPr="008625DC" w:rsidRDefault="00B21D56" w:rsidP="00CB719A">
      <w:pPr>
        <w:pStyle w:val="Quotes"/>
        <w:spacing w:before="0" w:after="120"/>
        <w:ind w:left="0"/>
        <w:rPr>
          <w:color w:val="000000"/>
        </w:rPr>
      </w:pPr>
      <w:r w:rsidRPr="008625DC">
        <w:rPr>
          <w:color w:val="000000"/>
        </w:rPr>
        <w:t xml:space="preserve">The absence of RPM authorisation applications contrasts with the number of authorisation applications lodged with the ACCC for other CCA provisions. This may be evidence that manufacturers do not believe that they can demonstrate sufficient public benefit in order to be granted authorisation. The Business Law </w:t>
      </w:r>
      <w:r w:rsidR="00E32295" w:rsidRPr="008625DC">
        <w:rPr>
          <w:color w:val="000000"/>
        </w:rPr>
        <w:t>S</w:t>
      </w:r>
      <w:r w:rsidRPr="008625DC">
        <w:rPr>
          <w:color w:val="000000"/>
        </w:rPr>
        <w:t xml:space="preserve">ection of the Law Council </w:t>
      </w:r>
      <w:r w:rsidR="00E32295" w:rsidRPr="008625DC">
        <w:rPr>
          <w:color w:val="000000"/>
        </w:rPr>
        <w:t xml:space="preserve">of Australia </w:t>
      </w:r>
      <w:r w:rsidRPr="008625DC">
        <w:rPr>
          <w:color w:val="000000"/>
        </w:rPr>
        <w:t>posits an alternative explanation, stating:</w:t>
      </w:r>
    </w:p>
    <w:p w14:paraId="3498D810" w14:textId="23480847" w:rsidR="00B21D56" w:rsidRPr="008625DC" w:rsidRDefault="00B21D56" w:rsidP="00B21D56">
      <w:pPr>
        <w:pStyle w:val="Quotes"/>
        <w:spacing w:before="0"/>
      </w:pPr>
      <w:r w:rsidRPr="008625DC">
        <w:t xml:space="preserve">There are few circumstances where a manufacturer that wished, for example, to specify minimum retail prices in launching a new product, would be prepared to place its launch on hold while the ACCC conducted a public inquiry into whether it would enhance </w:t>
      </w:r>
      <w:r w:rsidR="00E75FCE" w:rsidRPr="008625DC">
        <w:t xml:space="preserve">economic </w:t>
      </w:r>
      <w:r w:rsidRPr="008625DC">
        <w:t>efficiency</w:t>
      </w:r>
      <w:r w:rsidR="00E75FCE" w:rsidRPr="008625DC">
        <w:t>.</w:t>
      </w:r>
      <w:r w:rsidRPr="008625DC">
        <w:t xml:space="preserve"> (p</w:t>
      </w:r>
      <w:r w:rsidR="00DA2D13" w:rsidRPr="008625DC">
        <w:t xml:space="preserve">age </w:t>
      </w:r>
      <w:r w:rsidRPr="008625DC">
        <w:t>62)</w:t>
      </w:r>
    </w:p>
    <w:p w14:paraId="66A5A7C4" w14:textId="36B35B86" w:rsidR="00B21D56" w:rsidRPr="008625DC" w:rsidRDefault="00B21D56" w:rsidP="00B21D56">
      <w:pPr>
        <w:pStyle w:val="Quotes"/>
        <w:spacing w:before="0"/>
        <w:ind w:left="0"/>
        <w:rPr>
          <w:color w:val="auto"/>
        </w:rPr>
      </w:pPr>
      <w:r w:rsidRPr="008625DC">
        <w:rPr>
          <w:color w:val="auto"/>
        </w:rPr>
        <w:t xml:space="preserve">It is possible that the cost </w:t>
      </w:r>
      <w:r w:rsidR="00851F44" w:rsidRPr="008625DC">
        <w:rPr>
          <w:color w:val="auto"/>
        </w:rPr>
        <w:t xml:space="preserve">and delay </w:t>
      </w:r>
      <w:r w:rsidRPr="008625DC">
        <w:rPr>
          <w:color w:val="auto"/>
        </w:rPr>
        <w:t>of the authorisation process is a real deterrent to business</w:t>
      </w:r>
      <w:r w:rsidR="00E32295" w:rsidRPr="008625DC">
        <w:rPr>
          <w:color w:val="auto"/>
        </w:rPr>
        <w:t>es</w:t>
      </w:r>
      <w:r w:rsidRPr="008625DC">
        <w:rPr>
          <w:color w:val="auto"/>
        </w:rPr>
        <w:t xml:space="preserve"> seeking exemption for a retailing strategy involving RPM.</w:t>
      </w:r>
    </w:p>
    <w:p w14:paraId="5B8F8466" w14:textId="10F03B91" w:rsidR="00851F44" w:rsidRPr="008625DC" w:rsidRDefault="00851F44" w:rsidP="00851F44">
      <w:r w:rsidRPr="008625DC">
        <w:t xml:space="preserve">The alternative exemption process under the CCA, notification, is not available for RPM. Notification provides exemption for the notified conduct 14 days after the notification is given to the ACCC. It is therefore a less expensive and quicker means of obtaining exemption. The ACCC may withdraw the </w:t>
      </w:r>
      <w:r w:rsidRPr="008625DC">
        <w:lastRenderedPageBreak/>
        <w:t>exemption if it forms the view that the anti</w:t>
      </w:r>
      <w:r w:rsidR="00C74E19" w:rsidRPr="008625DC">
        <w:noBreakHyphen/>
      </w:r>
      <w:r w:rsidRPr="008625DC">
        <w:t>competitive harm of the notified conduct outweighs any public benefits.</w:t>
      </w:r>
    </w:p>
    <w:p w14:paraId="2BD71B04" w14:textId="3E4167EC" w:rsidR="00851F44" w:rsidRPr="008625DC" w:rsidRDefault="00851F44" w:rsidP="00851F44">
      <w:r w:rsidRPr="008625DC">
        <w:t>Notification has not been available for RPM because of the traditional view that RPM is anti</w:t>
      </w:r>
      <w:r w:rsidR="00C74E19" w:rsidRPr="008625DC">
        <w:noBreakHyphen/>
      </w:r>
      <w:r w:rsidRPr="008625DC">
        <w:t xml:space="preserve">competitive in the majority of circumstances. As discussed above, that view has been challenged in recent years. In contrast, notification is available for other forms of vertical restraint, including third line forcing. </w:t>
      </w:r>
    </w:p>
    <w:p w14:paraId="012D0206" w14:textId="763439BF" w:rsidR="00851F44" w:rsidRPr="008625DC" w:rsidRDefault="00851F44" w:rsidP="00851F44">
      <w:pPr>
        <w:pStyle w:val="Quotes"/>
        <w:spacing w:before="0"/>
        <w:ind w:left="0"/>
        <w:rPr>
          <w:color w:val="auto"/>
        </w:rPr>
      </w:pPr>
      <w:r w:rsidRPr="008625DC">
        <w:rPr>
          <w:color w:val="auto"/>
        </w:rPr>
        <w:t>The Panel considers that business should be permitted to seek exemption from the RPM prohibition more easily. This could be achieved through allowing RPM to be assessed through the notification process, which is quicker and less expensive for business than authorisation. This change would also have the advantage of allowing the ACCC to assess RPM trading strategies more frequently, and thereby provide better evidence as to the competitive effects of RPM in Australia.</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957670" w:rsidRPr="008625DC" w14:paraId="449098D6" w14:textId="77777777" w:rsidTr="0052543A">
        <w:tc>
          <w:tcPr>
            <w:tcW w:w="5000" w:type="pct"/>
            <w:shd w:val="clear" w:color="auto" w:fill="FFFFFF" w:themeFill="background1"/>
          </w:tcPr>
          <w:p w14:paraId="1E55A2E0" w14:textId="00FD304F" w:rsidR="00957670" w:rsidRPr="008625DC" w:rsidRDefault="00AF1129" w:rsidP="001431F3">
            <w:pPr>
              <w:pStyle w:val="Keyfindingheading"/>
            </w:pPr>
            <w:r w:rsidRPr="008625DC">
              <w:t>The Panel</w:t>
            </w:r>
            <w:r w:rsidR="00C74E19" w:rsidRPr="008625DC">
              <w:t>’</w:t>
            </w:r>
            <w:r w:rsidRPr="008625DC">
              <w:t>s view</w:t>
            </w:r>
          </w:p>
          <w:p w14:paraId="379E30B3" w14:textId="2455D42F" w:rsidR="00B21D56" w:rsidRPr="008625DC" w:rsidRDefault="00B21D56" w:rsidP="00CB719A">
            <w:pPr>
              <w:pStyle w:val="Keyfindingtext"/>
            </w:pPr>
            <w:r w:rsidRPr="008625DC">
              <w:t>There is not a sufficient case for changing the prohibition of RPM from a per se prohibition to a competition</w:t>
            </w:r>
            <w:r w:rsidR="00C74E19" w:rsidRPr="008625DC">
              <w:noBreakHyphen/>
            </w:r>
            <w:r w:rsidRPr="008625DC">
              <w:t xml:space="preserve">based test. </w:t>
            </w:r>
          </w:p>
          <w:p w14:paraId="77AA09E5" w14:textId="460BD200" w:rsidR="00851F44" w:rsidRPr="008625DC" w:rsidRDefault="00851F44" w:rsidP="00CB719A">
            <w:pPr>
              <w:pStyle w:val="Keyfindingtext"/>
            </w:pPr>
            <w:r w:rsidRPr="008625DC">
              <w:t>Nevertheless, the notification process should be extended to RPM, to provide a quicker and less expensive exemption process for business.</w:t>
            </w:r>
          </w:p>
          <w:p w14:paraId="56563734" w14:textId="221F12AD" w:rsidR="00957670" w:rsidRPr="008625DC" w:rsidRDefault="00B21D56" w:rsidP="00CB719A">
            <w:pPr>
              <w:pStyle w:val="Keyfindingtext"/>
            </w:pPr>
            <w:r w:rsidRPr="008625DC">
              <w:t>The prohibition should also be amended to include an exemption for RPM conduct between related bodies corporate, as is the case under sections 45 and 47.</w:t>
            </w:r>
          </w:p>
        </w:tc>
      </w:tr>
    </w:tbl>
    <w:p w14:paraId="6FEEBF77" w14:textId="6742C8E2" w:rsidR="00B617F1" w:rsidRPr="008625DC" w:rsidRDefault="003F3117" w:rsidP="00BD2EA4">
      <w:pPr>
        <w:pStyle w:val="Heading2"/>
        <w:ind w:left="851" w:hanging="851"/>
        <w:rPr>
          <w:lang w:val="en-AU"/>
        </w:rPr>
      </w:pPr>
      <w:bookmarkStart w:id="32423" w:name="_Toc395867647"/>
      <w:bookmarkStart w:id="32424" w:name="_Toc395868560"/>
      <w:bookmarkStart w:id="32425" w:name="_Toc395868779"/>
      <w:bookmarkStart w:id="32426" w:name="_Toc395878941"/>
      <w:bookmarkStart w:id="32427" w:name="_Toc395879158"/>
      <w:bookmarkStart w:id="32428" w:name="_Toc395882065"/>
      <w:bookmarkStart w:id="32429" w:name="_Toc395882282"/>
      <w:bookmarkStart w:id="32430" w:name="_Toc395882396"/>
      <w:bookmarkStart w:id="32431" w:name="_Toc395882613"/>
      <w:bookmarkStart w:id="32432" w:name="_Toc395880560"/>
      <w:bookmarkStart w:id="32433" w:name="_Toc395880891"/>
      <w:bookmarkStart w:id="32434" w:name="_Toc395881449"/>
      <w:bookmarkStart w:id="32435" w:name="_Toc395881382"/>
      <w:bookmarkStart w:id="32436" w:name="_Toc395883834"/>
      <w:bookmarkStart w:id="32437" w:name="_Toc395884051"/>
      <w:bookmarkStart w:id="32438" w:name="_Toc395880789"/>
      <w:bookmarkStart w:id="32439" w:name="_Toc395884496"/>
      <w:bookmarkStart w:id="32440" w:name="_Toc395884713"/>
      <w:bookmarkStart w:id="32441" w:name="_Toc395883205"/>
      <w:bookmarkStart w:id="32442" w:name="_Toc395883422"/>
      <w:bookmarkStart w:id="32443" w:name="_Toc395883535"/>
      <w:bookmarkStart w:id="32444" w:name="_Toc395883752"/>
      <w:bookmarkStart w:id="32445" w:name="_Toc395884837"/>
      <w:bookmarkStart w:id="32446" w:name="_Toc396123862"/>
      <w:bookmarkStart w:id="32447" w:name="_Toc396130765"/>
      <w:bookmarkStart w:id="32448" w:name="_Toc396136343"/>
      <w:bookmarkStart w:id="32449" w:name="_Toc396138797"/>
      <w:bookmarkStart w:id="32450" w:name="_Toc396144058"/>
      <w:bookmarkStart w:id="32451" w:name="_Toc396145567"/>
      <w:bookmarkStart w:id="32452" w:name="_Toc396145711"/>
      <w:bookmarkStart w:id="32453" w:name="_Toc396145993"/>
      <w:bookmarkStart w:id="32454" w:name="_Toc396147533"/>
      <w:bookmarkStart w:id="32455" w:name="_Toc396147819"/>
      <w:bookmarkStart w:id="32456" w:name="_Toc396149075"/>
      <w:bookmarkStart w:id="32457" w:name="_Toc396148789"/>
      <w:bookmarkStart w:id="32458" w:name="_Toc396149570"/>
      <w:bookmarkStart w:id="32459" w:name="_Toc396149215"/>
      <w:bookmarkStart w:id="32460" w:name="_Toc396149501"/>
      <w:bookmarkStart w:id="32461" w:name="_Toc396149923"/>
      <w:bookmarkStart w:id="32462" w:name="_Toc396149673"/>
      <w:bookmarkStart w:id="32463" w:name="_Toc396150514"/>
      <w:bookmarkStart w:id="32464" w:name="_Toc396151403"/>
      <w:bookmarkStart w:id="32465" w:name="_Toc396151697"/>
      <w:bookmarkStart w:id="32466" w:name="_Toc396201624"/>
      <w:bookmarkStart w:id="32467" w:name="_Toc396202414"/>
      <w:bookmarkStart w:id="32468" w:name="_Toc396202709"/>
      <w:bookmarkStart w:id="32469" w:name="_Toc396203326"/>
      <w:bookmarkStart w:id="32470" w:name="_Toc396206622"/>
      <w:bookmarkStart w:id="32471" w:name="_Toc396206916"/>
      <w:bookmarkStart w:id="32472" w:name="_Toc396209450"/>
      <w:bookmarkStart w:id="32473" w:name="_Toc396209744"/>
      <w:bookmarkStart w:id="32474" w:name="_Toc396211874"/>
      <w:bookmarkStart w:id="32475" w:name="_Toc396212168"/>
      <w:bookmarkStart w:id="32476" w:name="_Toc396213218"/>
      <w:bookmarkStart w:id="32477" w:name="_Toc396213510"/>
      <w:bookmarkStart w:id="32478" w:name="_Toc396214496"/>
      <w:bookmarkStart w:id="32479" w:name="_Toc396214786"/>
      <w:bookmarkStart w:id="32480" w:name="_Toc396220346"/>
      <w:bookmarkStart w:id="32481" w:name="_Toc396226608"/>
      <w:bookmarkStart w:id="32482" w:name="_Toc396226897"/>
      <w:bookmarkStart w:id="32483" w:name="_Toc396228808"/>
      <w:bookmarkStart w:id="32484" w:name="_Toc396229103"/>
      <w:bookmarkStart w:id="32485" w:name="_Toc396230450"/>
      <w:bookmarkStart w:id="32486" w:name="_Toc396230745"/>
      <w:bookmarkStart w:id="32487" w:name="_Toc396231887"/>
      <w:bookmarkStart w:id="32488" w:name="_Toc396233230"/>
      <w:bookmarkStart w:id="32489" w:name="_Toc396233527"/>
      <w:bookmarkStart w:id="32490" w:name="_Toc396234050"/>
      <w:bookmarkStart w:id="32491" w:name="_Toc396234347"/>
      <w:bookmarkStart w:id="32492" w:name="_Toc396234460"/>
      <w:bookmarkStart w:id="32493" w:name="_Toc396236194"/>
      <w:bookmarkStart w:id="32494" w:name="_Toc396235972"/>
      <w:bookmarkStart w:id="32495" w:name="_Toc396236582"/>
      <w:bookmarkStart w:id="32496" w:name="_Toc396237101"/>
      <w:bookmarkStart w:id="32497" w:name="_Toc396397444"/>
      <w:bookmarkStart w:id="32498" w:name="_Toc396304625"/>
      <w:bookmarkStart w:id="32499" w:name="_Toc396586160"/>
      <w:bookmarkStart w:id="32500" w:name="_Toc396815181"/>
      <w:bookmarkStart w:id="32501" w:name="_Toc396821130"/>
      <w:bookmarkStart w:id="32502" w:name="_Toc396821738"/>
      <w:bookmarkStart w:id="32503" w:name="_Toc396827588"/>
      <w:bookmarkStart w:id="32504" w:name="_Toc396828559"/>
      <w:bookmarkStart w:id="32505" w:name="_Toc396828669"/>
      <w:bookmarkStart w:id="32506" w:name="_Toc396838058"/>
      <w:bookmarkStart w:id="32507" w:name="_Toc396838456"/>
      <w:bookmarkStart w:id="32508" w:name="_Toc396904779"/>
      <w:bookmarkStart w:id="32509" w:name="_Toc396907613"/>
      <w:bookmarkStart w:id="32510" w:name="_Toc396912532"/>
      <w:bookmarkStart w:id="32511" w:name="_Toc396914512"/>
      <w:bookmarkStart w:id="32512" w:name="_Toc396915396"/>
      <w:bookmarkStart w:id="32513" w:name="_Toc396915790"/>
      <w:bookmarkStart w:id="32514" w:name="_Toc396921101"/>
      <w:bookmarkStart w:id="32515" w:name="_Toc396924441"/>
      <w:bookmarkStart w:id="32516" w:name="_Toc396925135"/>
      <w:bookmarkStart w:id="32517" w:name="_Toc396992255"/>
      <w:bookmarkStart w:id="32518" w:name="_Toc396992834"/>
      <w:bookmarkStart w:id="32519" w:name="_Toc396994498"/>
      <w:bookmarkStart w:id="32520" w:name="_Toc397002268"/>
      <w:bookmarkStart w:id="32521" w:name="_Toc397003187"/>
      <w:bookmarkStart w:id="32522" w:name="_Toc397008745"/>
      <w:bookmarkStart w:id="32523" w:name="_Toc397008963"/>
      <w:bookmarkStart w:id="32524" w:name="_Toc397011635"/>
      <w:bookmarkStart w:id="32525" w:name="_Toc397012697"/>
      <w:bookmarkStart w:id="32526" w:name="_Toc397015039"/>
      <w:bookmarkStart w:id="32527" w:name="_Toc397015526"/>
      <w:bookmarkStart w:id="32528" w:name="_Toc397070597"/>
      <w:bookmarkStart w:id="32529" w:name="_Toc397413351"/>
      <w:bookmarkStart w:id="32530" w:name="_Toc397413498"/>
      <w:bookmarkStart w:id="32531" w:name="_Toc397428067"/>
      <w:bookmarkStart w:id="32532" w:name="_Toc397439457"/>
      <w:bookmarkStart w:id="32533" w:name="_Toc397439627"/>
      <w:bookmarkStart w:id="32534" w:name="_Toc397439883"/>
      <w:bookmarkStart w:id="32535" w:name="_Toc397440185"/>
      <w:bookmarkStart w:id="32536" w:name="_Toc397441814"/>
      <w:bookmarkStart w:id="32537" w:name="_Toc397517516"/>
      <w:bookmarkStart w:id="32538" w:name="_Toc397522781"/>
      <w:bookmarkStart w:id="32539" w:name="_Toc397526199"/>
      <w:bookmarkStart w:id="32540" w:name="_Toc397528399"/>
      <w:bookmarkStart w:id="32541" w:name="_Toc397528514"/>
      <w:bookmarkStart w:id="32542" w:name="_Toc397528989"/>
      <w:bookmarkStart w:id="32543" w:name="_Toc397601989"/>
      <w:bookmarkStart w:id="32544" w:name="_Toc397602724"/>
      <w:bookmarkStart w:id="32545" w:name="_Toc397605857"/>
      <w:bookmarkStart w:id="32546" w:name="_Toc397614554"/>
      <w:bookmarkStart w:id="32547" w:name="_Toc397614997"/>
      <w:bookmarkStart w:id="32548" w:name="_Toc397616440"/>
      <w:bookmarkStart w:id="32549" w:name="_Toc397616834"/>
      <w:bookmarkStart w:id="32550" w:name="_Toc397688132"/>
      <w:bookmarkStart w:id="32551" w:name="_Toc397689348"/>
      <w:bookmarkStart w:id="32552" w:name="_Toc397694628"/>
      <w:bookmarkStart w:id="32553" w:name="_Toc397696469"/>
      <w:bookmarkStart w:id="32554" w:name="_Toc397697203"/>
      <w:bookmarkStart w:id="32555" w:name="_Toc397698490"/>
      <w:bookmarkStart w:id="32556" w:name="_Toc397699856"/>
      <w:bookmarkStart w:id="32557" w:name="_Toc397700310"/>
      <w:bookmarkStart w:id="32558" w:name="_Toc397936702"/>
      <w:bookmarkStart w:id="32559" w:name="_Toc397936822"/>
      <w:bookmarkStart w:id="32560" w:name="_Toc397945978"/>
      <w:bookmarkStart w:id="32561" w:name="_Toc397947004"/>
      <w:bookmarkStart w:id="32562" w:name="_Toc397948123"/>
      <w:bookmarkStart w:id="32563" w:name="_Toc397958529"/>
      <w:bookmarkStart w:id="32564" w:name="_Toc397958771"/>
      <w:bookmarkStart w:id="32565" w:name="_Toc397959186"/>
      <w:bookmarkStart w:id="32566" w:name="_Toc397962253"/>
      <w:bookmarkStart w:id="32567" w:name="_Toc397963039"/>
      <w:bookmarkStart w:id="32568" w:name="_Toc397963405"/>
      <w:bookmarkStart w:id="32569" w:name="_Toc397965482"/>
      <w:bookmarkStart w:id="32570" w:name="_Toc398197420"/>
      <w:bookmarkStart w:id="32571" w:name="_Toc398200045"/>
      <w:bookmarkStart w:id="32572" w:name="_Toc398201637"/>
      <w:bookmarkStart w:id="32573" w:name="_Toc398207242"/>
      <w:bookmarkStart w:id="32574" w:name="_Toc398209946"/>
      <w:bookmarkStart w:id="32575" w:name="_Toc398210515"/>
      <w:bookmarkStart w:id="32576" w:name="_Toc398211029"/>
      <w:bookmarkStart w:id="32577" w:name="_Toc398219840"/>
      <w:bookmarkStart w:id="32578" w:name="_Toc398220215"/>
      <w:bookmarkStart w:id="32579" w:name="_Toc398220602"/>
      <w:bookmarkStart w:id="32580" w:name="_Toc398221680"/>
      <w:bookmarkStart w:id="32581" w:name="_Toc398222366"/>
      <w:bookmarkStart w:id="32582" w:name="_Toc398222678"/>
      <w:bookmarkStart w:id="32583" w:name="_Toc398223095"/>
      <w:bookmarkStart w:id="32584" w:name="_Toc398223474"/>
      <w:bookmarkStart w:id="32585" w:name="_Toc398223601"/>
      <w:bookmarkStart w:id="32586" w:name="_Toc398224409"/>
      <w:bookmarkStart w:id="32587" w:name="_Toc398225746"/>
      <w:bookmarkStart w:id="32588" w:name="_Toc398225871"/>
      <w:bookmarkStart w:id="32589" w:name="_Toc398281358"/>
      <w:bookmarkStart w:id="32590" w:name="_Toc398282217"/>
      <w:bookmarkStart w:id="32591" w:name="_Toc398284887"/>
      <w:bookmarkStart w:id="32592" w:name="_Toc398287356"/>
      <w:bookmarkStart w:id="32593" w:name="_Toc398289239"/>
      <w:bookmarkStart w:id="32594" w:name="_Toc398297236"/>
      <w:bookmarkStart w:id="32595" w:name="_Toc398298710"/>
      <w:bookmarkStart w:id="32596" w:name="_Toc398300411"/>
      <w:bookmarkStart w:id="32597" w:name="_Toc398301308"/>
      <w:bookmarkStart w:id="32598" w:name="_Toc398302493"/>
      <w:bookmarkStart w:id="32599" w:name="_Toc398302656"/>
      <w:bookmarkStart w:id="32600" w:name="_Toc398549170"/>
      <w:bookmarkStart w:id="32601" w:name="_Toc398549420"/>
      <w:bookmarkStart w:id="32602" w:name="_Toc398555839"/>
      <w:bookmarkStart w:id="32603" w:name="_Toc398559043"/>
      <w:bookmarkStart w:id="32604" w:name="_Toc398563529"/>
      <w:bookmarkStart w:id="32605" w:name="_Toc398563662"/>
      <w:bookmarkStart w:id="32606" w:name="_Toc398564061"/>
      <w:bookmarkStart w:id="32607" w:name="_Toc398827399"/>
      <w:bookmarkStart w:id="32608" w:name="_Toc398827593"/>
      <w:bookmarkStart w:id="32609" w:name="s175"/>
      <w:bookmarkStart w:id="32610" w:name="_Toc394560792"/>
      <w:bookmarkStart w:id="32611" w:name="_Toc394561102"/>
      <w:bookmarkStart w:id="32612" w:name="_Toc394561256"/>
      <w:bookmarkStart w:id="32613" w:name="_Toc394561935"/>
      <w:bookmarkStart w:id="32614" w:name="_Toc393985038"/>
      <w:bookmarkStart w:id="32615" w:name="_Toc393985313"/>
      <w:bookmarkStart w:id="32616" w:name="_Toc393985541"/>
      <w:bookmarkStart w:id="32617" w:name="_Toc393985817"/>
      <w:bookmarkStart w:id="32618" w:name="_Toc393985943"/>
      <w:bookmarkStart w:id="32619" w:name="_Toc393986219"/>
      <w:bookmarkStart w:id="32620" w:name="_Toc393986346"/>
      <w:bookmarkStart w:id="32621" w:name="_Toc393987953"/>
      <w:bookmarkStart w:id="32622" w:name="_Toc393988229"/>
      <w:bookmarkStart w:id="32623" w:name="_Toc393988631"/>
      <w:bookmarkStart w:id="32624" w:name="_Toc393986623"/>
      <w:bookmarkStart w:id="32625" w:name="_Toc393989366"/>
      <w:bookmarkStart w:id="32626" w:name="_Toc393989643"/>
      <w:bookmarkStart w:id="32627" w:name="_Toc393987857"/>
      <w:bookmarkStart w:id="32628" w:name="_Toc393988754"/>
      <w:bookmarkStart w:id="32629" w:name="_Toc393989031"/>
      <w:bookmarkStart w:id="32630" w:name="_Toc393990758"/>
      <w:bookmarkStart w:id="32631" w:name="_Toc393991035"/>
      <w:bookmarkStart w:id="32632" w:name="_Toc393991134"/>
      <w:bookmarkStart w:id="32633" w:name="_Toc393991740"/>
      <w:bookmarkStart w:id="32634" w:name="_Toc393992019"/>
      <w:bookmarkStart w:id="32635" w:name="_Toc394047408"/>
      <w:bookmarkStart w:id="32636" w:name="_Toc394047683"/>
      <w:bookmarkStart w:id="32637" w:name="_Toc394047794"/>
      <w:bookmarkStart w:id="32638" w:name="_Toc394048350"/>
      <w:bookmarkStart w:id="32639" w:name="_Toc394049684"/>
      <w:bookmarkStart w:id="32640" w:name="_Toc394049962"/>
      <w:bookmarkStart w:id="32641" w:name="_Toc394051084"/>
      <w:bookmarkStart w:id="32642" w:name="_Toc394051362"/>
      <w:bookmarkStart w:id="32643" w:name="_Toc394062073"/>
      <w:bookmarkStart w:id="32644" w:name="_Toc394062509"/>
      <w:bookmarkStart w:id="32645" w:name="_Toc394068948"/>
      <w:bookmarkStart w:id="32646" w:name="_Toc394069224"/>
      <w:bookmarkStart w:id="32647" w:name="_Toc394070770"/>
      <w:bookmarkStart w:id="32648" w:name="_Toc394071142"/>
      <w:bookmarkStart w:id="32649" w:name="_Toc394312270"/>
      <w:bookmarkStart w:id="32650" w:name="_Toc394330413"/>
      <w:bookmarkStart w:id="32651" w:name="_Toc394331344"/>
      <w:bookmarkStart w:id="32652" w:name="_Toc394330168"/>
      <w:bookmarkStart w:id="32653" w:name="_Toc394333142"/>
      <w:bookmarkStart w:id="32654" w:name="_Toc394333420"/>
      <w:bookmarkStart w:id="32655" w:name="_Toc394332720"/>
      <w:bookmarkStart w:id="32656" w:name="_Toc394333555"/>
      <w:bookmarkStart w:id="32657" w:name="_Toc394333833"/>
      <w:bookmarkStart w:id="32658" w:name="_Toc394333968"/>
      <w:bookmarkStart w:id="32659" w:name="_Toc394334246"/>
      <w:bookmarkStart w:id="32660" w:name="_Toc394334794"/>
      <w:bookmarkStart w:id="32661" w:name="_Toc394335072"/>
      <w:bookmarkStart w:id="32662" w:name="_Toc394414977"/>
      <w:bookmarkStart w:id="32663" w:name="_Toc394415276"/>
      <w:bookmarkStart w:id="32664" w:name="_Toc394412282"/>
      <w:bookmarkStart w:id="32665" w:name="_Toc394412585"/>
      <w:bookmarkStart w:id="32666" w:name="_Toc394420557"/>
      <w:bookmarkStart w:id="32667" w:name="_Toc394420878"/>
      <w:bookmarkStart w:id="32668" w:name="_Toc394421031"/>
      <w:bookmarkStart w:id="32669" w:name="_Toc394423401"/>
      <w:bookmarkStart w:id="32670" w:name="_Toc394420335"/>
      <w:bookmarkStart w:id="32671" w:name="_Toc394422444"/>
      <w:bookmarkStart w:id="32672" w:name="_Toc394422763"/>
      <w:bookmarkStart w:id="32673" w:name="_Toc394422915"/>
      <w:bookmarkStart w:id="32674" w:name="_Toc394423234"/>
      <w:bookmarkStart w:id="32675" w:name="_Toc394424065"/>
      <w:bookmarkStart w:id="32676" w:name="_Toc394424382"/>
      <w:bookmarkStart w:id="32677" w:name="_Toc394491900"/>
      <w:bookmarkStart w:id="32678" w:name="_Toc394492213"/>
      <w:bookmarkStart w:id="32679" w:name="_Toc394495045"/>
      <w:bookmarkStart w:id="32680" w:name="_Toc394495357"/>
      <w:bookmarkStart w:id="32681" w:name="_Toc394497857"/>
      <w:bookmarkStart w:id="32682" w:name="_Toc394498172"/>
      <w:bookmarkStart w:id="32683" w:name="_Toc394500649"/>
      <w:bookmarkStart w:id="32684" w:name="_Toc394500962"/>
      <w:bookmarkStart w:id="32685" w:name="_Toc394502053"/>
      <w:bookmarkStart w:id="32686" w:name="_Toc394502359"/>
      <w:bookmarkStart w:id="32687" w:name="_Toc394502955"/>
      <w:bookmarkStart w:id="32688" w:name="_Toc394503718"/>
      <w:bookmarkStart w:id="32689" w:name="_Toc394502499"/>
      <w:bookmarkStart w:id="32690" w:name="_Toc394502807"/>
      <w:bookmarkStart w:id="32691" w:name="_Toc394505706"/>
      <w:bookmarkStart w:id="32692" w:name="_Toc394506135"/>
      <w:bookmarkStart w:id="32693" w:name="_Toc394506045"/>
      <w:bookmarkStart w:id="32694" w:name="_Toc394506473"/>
      <w:bookmarkStart w:id="32695" w:name="_Toc394506719"/>
      <w:bookmarkStart w:id="32696" w:name="_Toc394507027"/>
      <w:r w:rsidRPr="008625DC">
        <w:rPr>
          <w:lang w:val="en-AU"/>
        </w:rPr>
        <w:t>L</w:t>
      </w:r>
      <w:r w:rsidR="00B617F1" w:rsidRPr="008625DC">
        <w:rPr>
          <w:lang w:val="en-AU"/>
        </w:rPr>
        <w:t>iner shipping exemption under Part X of the CCA</w:t>
      </w:r>
      <w:bookmarkEnd w:id="32423"/>
      <w:bookmarkEnd w:id="32424"/>
      <w:bookmarkEnd w:id="32425"/>
      <w:bookmarkEnd w:id="32426"/>
      <w:bookmarkEnd w:id="32427"/>
      <w:bookmarkEnd w:id="32428"/>
      <w:bookmarkEnd w:id="32429"/>
      <w:bookmarkEnd w:id="32430"/>
      <w:bookmarkEnd w:id="32431"/>
      <w:bookmarkEnd w:id="32432"/>
      <w:bookmarkEnd w:id="32433"/>
      <w:bookmarkEnd w:id="32434"/>
      <w:bookmarkEnd w:id="32435"/>
      <w:bookmarkEnd w:id="32436"/>
      <w:bookmarkEnd w:id="32437"/>
      <w:bookmarkEnd w:id="32438"/>
      <w:bookmarkEnd w:id="32439"/>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bookmarkEnd w:id="32494"/>
      <w:bookmarkEnd w:id="32495"/>
      <w:bookmarkEnd w:id="32496"/>
      <w:bookmarkEnd w:id="32497"/>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bookmarkEnd w:id="32587"/>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bookmarkEnd w:id="32603"/>
      <w:bookmarkEnd w:id="32604"/>
      <w:bookmarkEnd w:id="32605"/>
      <w:bookmarkEnd w:id="32606"/>
      <w:bookmarkEnd w:id="32607"/>
      <w:bookmarkEnd w:id="32608"/>
    </w:p>
    <w:bookmarkEnd w:id="32609"/>
    <w:p w14:paraId="5F67E839" w14:textId="73380C8F" w:rsidR="00B21D56" w:rsidRPr="008625DC" w:rsidRDefault="00B21D56" w:rsidP="00B21D56">
      <w:r w:rsidRPr="008625DC">
        <w:t>The Terms of Reference (3.3.5) ask the Review to consider whether existing exemptions from competition law and/or historic sector</w:t>
      </w:r>
      <w:r w:rsidR="00C74E19" w:rsidRPr="008625DC">
        <w:noBreakHyphen/>
      </w:r>
      <w:r w:rsidRPr="008625DC">
        <w:t xml:space="preserve">specific arrangements are still warranted. </w:t>
      </w:r>
    </w:p>
    <w:p w14:paraId="3044A91A" w14:textId="77777777" w:rsidR="00B21D56" w:rsidRPr="008625DC" w:rsidRDefault="00B21D56" w:rsidP="00B21D56">
      <w:r w:rsidRPr="008625DC">
        <w:t xml:space="preserve">International liner shipping has historically enjoyed a degree of exemption from competition laws both in Australia and overseas. This allows shipping companies to form conferences (effectively a form of cartel) to service particular trade routes. </w:t>
      </w:r>
    </w:p>
    <w:p w14:paraId="55180E7B" w14:textId="78EB6DEA" w:rsidR="00B21D56" w:rsidRPr="008625DC" w:rsidRDefault="00B21D56" w:rsidP="00B21D56">
      <w:r w:rsidRPr="008625DC">
        <w:t xml:space="preserve">Part X of the CCA allows liner shipping operators to enter into agreements among themselves in relation to the freight rates to be charged, and the quantity and kinds of cargo to be carried, on particular trade routes and register those agreements with the Registrar of Shipping Lines (an office created under Part X). Registration confers </w:t>
      </w:r>
      <w:r w:rsidR="0047101B" w:rsidRPr="008625DC">
        <w:t>an</w:t>
      </w:r>
      <w:r w:rsidRPr="008625DC">
        <w:t xml:space="preserve"> exemption from the cartel conduct prohibitions and sections 45 and 47. </w:t>
      </w:r>
    </w:p>
    <w:p w14:paraId="16F05BD4" w14:textId="083D3612" w:rsidR="00B21D56" w:rsidRPr="008625DC" w:rsidRDefault="00B21D56" w:rsidP="00B21D56">
      <w:r w:rsidRPr="008625DC">
        <w:t xml:space="preserve">The Registrar must register the agreement if it is satisfied of various matters. The most significant condition for registration is that the Registrar </w:t>
      </w:r>
      <w:r w:rsidR="00C22215" w:rsidRPr="008625DC">
        <w:t>be</w:t>
      </w:r>
      <w:r w:rsidRPr="008625DC">
        <w:t xml:space="preserve"> satisfied that any provision of the agreement that would otherwise contravene the cartel conduct prohibitions</w:t>
      </w:r>
      <w:r w:rsidR="0047101B" w:rsidRPr="008625DC">
        <w:t>,</w:t>
      </w:r>
      <w:r w:rsidRPr="008625DC">
        <w:t xml:space="preserve"> or sections 45 or 47</w:t>
      </w:r>
      <w:r w:rsidR="0047101B" w:rsidRPr="008625DC">
        <w:t>,</w:t>
      </w:r>
      <w:r w:rsidRPr="008625DC">
        <w:t xml:space="preserve"> is necessary for the effective operation of the agreement and of overall benefit to Austr</w:t>
      </w:r>
      <w:r w:rsidR="004159AE" w:rsidRPr="008625DC">
        <w:t>alian exporters (in the case of </w:t>
      </w:r>
      <w:r w:rsidRPr="008625DC">
        <w:t xml:space="preserve">an outward conference agreement) or Australian importers (in the case of an inward conference agreement). </w:t>
      </w:r>
    </w:p>
    <w:p w14:paraId="1DFF9102" w14:textId="1FD0CFD7" w:rsidR="00B21D56" w:rsidRPr="008625DC" w:rsidRDefault="00B21D56" w:rsidP="00B21D56">
      <w:r w:rsidRPr="008625DC">
        <w:t xml:space="preserve">Subject to receiving a report from the ACCC, the Minister is empowered under Part X to direct the Registrar to cancel the registration of a conference agreement, in whole or in part. The Minister may exercise the power if </w:t>
      </w:r>
      <w:r w:rsidR="00C22215" w:rsidRPr="008625DC">
        <w:t>he or she</w:t>
      </w:r>
      <w:r w:rsidRPr="008625DC">
        <w:t xml:space="preserve"> is satisfied of certain matters, including that provisions of the agreement are not of overall benefit to Australian exporters or Australian importers. </w:t>
      </w:r>
    </w:p>
    <w:p w14:paraId="706ACE05" w14:textId="77777777" w:rsidR="00B21D56" w:rsidRPr="008625DC" w:rsidRDefault="00B21D56" w:rsidP="00B21D56">
      <w:r w:rsidRPr="008625DC">
        <w:lastRenderedPageBreak/>
        <w:t xml:space="preserve">Part X also imposes obligations on liner shipping operators to negotiate (but not necessarily reach agreement) with peak shipper bodies around minimum service levels and to provide sufficient notification for changes to freight rates and surcharges. </w:t>
      </w:r>
    </w:p>
    <w:p w14:paraId="4C6E7CEB" w14:textId="67E05881" w:rsidR="00B21D56" w:rsidRPr="008625DC" w:rsidRDefault="00B21D56" w:rsidP="00B11C30">
      <w:r w:rsidRPr="008625DC">
        <w:t>Much of the liner shipping to and from Australia is organised along conference lines, though this is becoming less common.</w:t>
      </w:r>
      <w:r w:rsidRPr="008625DC">
        <w:rPr>
          <w:rStyle w:val="FootnoteReference"/>
        </w:rPr>
        <w:footnoteReference w:id="332"/>
      </w:r>
      <w:r w:rsidRPr="008625DC">
        <w:t xml:space="preserve"> Conference agreements allow for coordinated scheduling, pooling of revenues, fixing of prices</w:t>
      </w:r>
      <w:r w:rsidR="00CF7A7A" w:rsidRPr="008625DC">
        <w:t>,</w:t>
      </w:r>
      <w:r w:rsidRPr="008625DC">
        <w:t xml:space="preserve"> and agreements about capacity.</w:t>
      </w:r>
    </w:p>
    <w:p w14:paraId="45BB1AD0" w14:textId="3D88B4CB" w:rsidR="00B21D56" w:rsidRPr="008625DC" w:rsidRDefault="00B21D56" w:rsidP="00B11C30">
      <w:r w:rsidRPr="008625DC">
        <w:t xml:space="preserve">The historical argument for exempting liner shipping from competition law is that, without collaborative conduct between operators, the market would not deliver an efficient supply of liner cargo shipping services to Australia. The industry is characterised by lumpy investment, high fixed costs and low marginal costs. The premise underlying Part X is that, without cooperation among shipping companies, there would be excessive volatility in prices and service levels </w:t>
      </w:r>
      <w:r w:rsidR="00C22215" w:rsidRPr="008625DC">
        <w:t>owing</w:t>
      </w:r>
      <w:r w:rsidRPr="008625DC">
        <w:t xml:space="preserve"> to cycles of entry and exit creating periods of excess and under capacity. </w:t>
      </w:r>
    </w:p>
    <w:p w14:paraId="3600766E" w14:textId="0F09FFEA" w:rsidR="00B21D56" w:rsidRPr="008625DC" w:rsidRDefault="00B21D56" w:rsidP="004159AE">
      <w:pPr>
        <w:spacing w:after="120"/>
      </w:pPr>
      <w:r w:rsidRPr="008625DC">
        <w:t>As Shipping Australia Limited state</w:t>
      </w:r>
      <w:r w:rsidR="00C22215" w:rsidRPr="008625DC">
        <w:t>s</w:t>
      </w:r>
      <w:r w:rsidRPr="008625DC">
        <w:t>:</w:t>
      </w:r>
    </w:p>
    <w:p w14:paraId="60119B35" w14:textId="77777777" w:rsidR="00E77F31" w:rsidRPr="008625DC" w:rsidRDefault="00B21D56" w:rsidP="00B21D56">
      <w:pPr>
        <w:pStyle w:val="Quotes"/>
      </w:pPr>
      <w:r w:rsidRPr="008625DC">
        <w:t>The fundamental issue is that international liner shipping has a set of characteristics that require a specialised regulatory regime that, in turn, provides some limited exemption for price setting. (p</w:t>
      </w:r>
      <w:r w:rsidR="00DA2D13" w:rsidRPr="008625DC">
        <w:t>age</w:t>
      </w:r>
      <w:r w:rsidRPr="008625DC">
        <w:t xml:space="preserve"> 10)</w:t>
      </w:r>
      <w:r w:rsidR="00E77F31" w:rsidRPr="008625DC">
        <w:t xml:space="preserve"> </w:t>
      </w:r>
    </w:p>
    <w:p w14:paraId="4ACC1DC5" w14:textId="0E121292" w:rsidR="00B21D56" w:rsidRPr="008625DC" w:rsidRDefault="00E77F31" w:rsidP="00E77F31">
      <w:r w:rsidRPr="008625DC">
        <w:t>Peak shipper bodies have also tended to support exemptions for liner shipping in order to guarantee service levels.</w:t>
      </w:r>
    </w:p>
    <w:tbl>
      <w:tblPr>
        <w:tblW w:w="9072" w:type="dxa"/>
        <w:tblInd w:w="108" w:type="dxa"/>
        <w:shd w:val="clear" w:color="auto" w:fill="E6E6E6"/>
        <w:tblLook w:val="01E0" w:firstRow="1" w:lastRow="1" w:firstColumn="1" w:lastColumn="1" w:noHBand="0" w:noVBand="0"/>
      </w:tblPr>
      <w:tblGrid>
        <w:gridCol w:w="9072"/>
      </w:tblGrid>
      <w:tr w:rsidR="00B617F1" w:rsidRPr="008625DC" w14:paraId="032C0325" w14:textId="77777777" w:rsidTr="00233776">
        <w:tc>
          <w:tcPr>
            <w:tcW w:w="5000" w:type="pct"/>
            <w:shd w:val="clear" w:color="auto" w:fill="E6E6E6"/>
          </w:tcPr>
          <w:p w14:paraId="51841FDE" w14:textId="1495FE79" w:rsidR="00B617F1" w:rsidRPr="008625DC" w:rsidRDefault="00B617F1" w:rsidP="00233776">
            <w:pPr>
              <w:pStyle w:val="BoxHeading"/>
            </w:pPr>
            <w:r w:rsidRPr="008625DC">
              <w:lastRenderedPageBreak/>
              <w:t xml:space="preserve">Box </w:t>
            </w:r>
            <w:r w:rsidR="00F96079" w:rsidRPr="008625DC">
              <w:t>17.2</w:t>
            </w:r>
            <w:r w:rsidRPr="008625DC">
              <w:t xml:space="preserve">: </w:t>
            </w:r>
            <w:r w:rsidR="00CF7A7A" w:rsidRPr="008625DC">
              <w:t>Reviews</w:t>
            </w:r>
            <w:r w:rsidRPr="008625DC">
              <w:t xml:space="preserve"> of Part X</w:t>
            </w:r>
          </w:p>
          <w:p w14:paraId="63E6D1CD" w14:textId="445699C1" w:rsidR="00B21D56" w:rsidRPr="008625DC" w:rsidRDefault="00B21D56" w:rsidP="004159AE">
            <w:pPr>
              <w:pStyle w:val="BoxText"/>
            </w:pPr>
            <w:r w:rsidRPr="008625DC">
              <w:t>The most recent major review of Part X was conducted by the PC in 2005.</w:t>
            </w:r>
            <w:r w:rsidRPr="008625DC">
              <w:rPr>
                <w:rStyle w:val="FootnoteReference"/>
              </w:rPr>
              <w:t xml:space="preserve"> </w:t>
            </w:r>
            <w:r w:rsidRPr="008625DC">
              <w:t>It recommended that Part X be repealed and replaced with ACCC authorisation for liner shipping agreements.</w:t>
            </w:r>
            <w:r w:rsidRPr="008625DC">
              <w:rPr>
                <w:rStyle w:val="FootnoteReference"/>
              </w:rPr>
              <w:footnoteReference w:id="333"/>
            </w:r>
            <w:r w:rsidRPr="008625DC">
              <w:t xml:space="preserve"> The 2005 study contrasts with the PC</w:t>
            </w:r>
            <w:r w:rsidR="00C74E19" w:rsidRPr="008625DC">
              <w:t>’</w:t>
            </w:r>
            <w:r w:rsidRPr="008625DC">
              <w:t>s previous review in 1999, which concluded that, on balance, the regime served Australia</w:t>
            </w:r>
            <w:r w:rsidR="00C74E19" w:rsidRPr="008625DC">
              <w:t>’</w:t>
            </w:r>
            <w:r w:rsidRPr="008625DC">
              <w:t>s national interest at that time.</w:t>
            </w:r>
            <w:r w:rsidRPr="008625DC">
              <w:rPr>
                <w:rStyle w:val="FootnoteReference"/>
              </w:rPr>
              <w:footnoteReference w:id="334"/>
            </w:r>
            <w:r w:rsidRPr="008625DC">
              <w:t xml:space="preserve"> The recommendation to repeal </w:t>
            </w:r>
            <w:r w:rsidR="004159AE" w:rsidRPr="008625DC">
              <w:t>Part </w:t>
            </w:r>
            <w:r w:rsidR="00CF7A7A" w:rsidRPr="008625DC">
              <w:t>X</w:t>
            </w:r>
            <w:r w:rsidRPr="008625DC">
              <w:t xml:space="preserve"> was repeated in the </w:t>
            </w:r>
            <w:r w:rsidR="00CF7A7A" w:rsidRPr="008625DC">
              <w:t>2012</w:t>
            </w:r>
            <w:r w:rsidRPr="008625DC">
              <w:t xml:space="preserve"> joint Australian</w:t>
            </w:r>
            <w:r w:rsidR="00C74E19" w:rsidRPr="008625DC">
              <w:noBreakHyphen/>
            </w:r>
            <w:r w:rsidRPr="008625DC">
              <w:t xml:space="preserve">New Zealand PC study </w:t>
            </w:r>
            <w:r w:rsidRPr="008625DC">
              <w:rPr>
                <w:i/>
              </w:rPr>
              <w:t>Strengthening Trans</w:t>
            </w:r>
            <w:r w:rsidR="00C74E19" w:rsidRPr="008625DC">
              <w:rPr>
                <w:i/>
              </w:rPr>
              <w:noBreakHyphen/>
            </w:r>
            <w:r w:rsidRPr="008625DC">
              <w:rPr>
                <w:i/>
              </w:rPr>
              <w:t>Tasman Economic Relations</w:t>
            </w:r>
            <w:r w:rsidRPr="008625DC">
              <w:t>.</w:t>
            </w:r>
            <w:r w:rsidRPr="008625DC">
              <w:rPr>
                <w:rStyle w:val="FootnoteReference"/>
              </w:rPr>
              <w:footnoteReference w:id="335"/>
            </w:r>
            <w:r w:rsidRPr="008625DC">
              <w:t xml:space="preserve"> </w:t>
            </w:r>
          </w:p>
          <w:p w14:paraId="290B7E90" w14:textId="595F03E1" w:rsidR="00B21D56" w:rsidRPr="008625DC" w:rsidRDefault="00B21D56" w:rsidP="004159AE">
            <w:pPr>
              <w:pStyle w:val="BoxText"/>
            </w:pPr>
            <w:r w:rsidRPr="008625DC">
              <w:t xml:space="preserve">In response to the 2005 Review, the then </w:t>
            </w:r>
            <w:r w:rsidR="00CF7A7A" w:rsidRPr="008625DC">
              <w:t xml:space="preserve">Australian </w:t>
            </w:r>
            <w:r w:rsidRPr="008625DC">
              <w:t>Government did not fully accept the Commission</w:t>
            </w:r>
            <w:r w:rsidR="00C74E19" w:rsidRPr="008625DC">
              <w:t>’</w:t>
            </w:r>
            <w:r w:rsidRPr="008625DC">
              <w:t>s recommendations, but instead announced in mid</w:t>
            </w:r>
            <w:r w:rsidR="00C74E19" w:rsidRPr="008625DC">
              <w:noBreakHyphen/>
            </w:r>
            <w:r w:rsidRPr="008625DC">
              <w:t>2006 its intention to introduce reforms to Part</w:t>
            </w:r>
            <w:r w:rsidR="00F96079" w:rsidRPr="008625DC">
              <w:t> </w:t>
            </w:r>
            <w:r w:rsidRPr="008625DC">
              <w:t>X.</w:t>
            </w:r>
            <w:r w:rsidRPr="008625DC">
              <w:rPr>
                <w:rStyle w:val="FootnoteReference"/>
              </w:rPr>
              <w:footnoteReference w:id="336"/>
            </w:r>
            <w:r w:rsidRPr="008625DC">
              <w:t xml:space="preserve"> Amongst other things, the reforms were intended to clarify Part X</w:t>
            </w:r>
            <w:r w:rsidR="00C74E19" w:rsidRPr="008625DC">
              <w:t>’</w:t>
            </w:r>
            <w:r w:rsidRPr="008625DC">
              <w:t>s objectives and remove discussion agreements from scope.</w:t>
            </w:r>
          </w:p>
          <w:p w14:paraId="120C7688" w14:textId="7366BBCC" w:rsidR="00B617F1" w:rsidRPr="008625DC" w:rsidRDefault="00B21D56" w:rsidP="004159AE">
            <w:pPr>
              <w:pStyle w:val="BoxText"/>
            </w:pPr>
            <w:r w:rsidRPr="008625DC">
              <w:t xml:space="preserve">These reforms were not implemented. </w:t>
            </w:r>
            <w:r w:rsidR="00B617F1" w:rsidRPr="008625DC">
              <w:t>Had these reforms been implemented, Part X</w:t>
            </w:r>
            <w:r w:rsidR="00C74E19" w:rsidRPr="008625DC">
              <w:t>’</w:t>
            </w:r>
            <w:r w:rsidR="00B617F1" w:rsidRPr="008625DC">
              <w:t>s operation would have been more closely aligned with the more pro</w:t>
            </w:r>
            <w:r w:rsidR="00C74E19" w:rsidRPr="008625DC">
              <w:noBreakHyphen/>
            </w:r>
            <w:r w:rsidR="00B617F1" w:rsidRPr="008625DC">
              <w:t>competitive regulatory regimes operating out of Europe and the United States.</w:t>
            </w:r>
          </w:p>
        </w:tc>
      </w:tr>
    </w:tbl>
    <w:p w14:paraId="04F5196A" w14:textId="1EEAA57E" w:rsidR="00B21D56" w:rsidRPr="008625DC" w:rsidRDefault="00B21D56" w:rsidP="004159AE">
      <w:pPr>
        <w:spacing w:before="240"/>
      </w:pPr>
      <w:r w:rsidRPr="008625DC">
        <w:t xml:space="preserve">While the test for registration of a conference agreement under Part X involves an assessment of the </w:t>
      </w:r>
      <w:r w:rsidR="00C74E19" w:rsidRPr="008625DC">
        <w:t>‘</w:t>
      </w:r>
      <w:r w:rsidRPr="008625DC">
        <w:t>overall benefit</w:t>
      </w:r>
      <w:r w:rsidR="00C74E19" w:rsidRPr="008625DC">
        <w:t>’</w:t>
      </w:r>
      <w:r w:rsidRPr="008625DC">
        <w:t xml:space="preserve"> to Australia of the agreement, it does not expressly require an assessment of the competitive effects of the agreement. Also, the test is not assessed by the primary competition regulator, the ACCC, but by the Registrar of Liner Shipping. </w:t>
      </w:r>
    </w:p>
    <w:p w14:paraId="49DC9D7F" w14:textId="461B4FFF" w:rsidR="00B21D56" w:rsidRPr="008625DC" w:rsidRDefault="00B21D56" w:rsidP="00B21D56">
      <w:r w:rsidRPr="008625DC">
        <w:t>No other industry enjoys legislative exemption from Australia</w:t>
      </w:r>
      <w:r w:rsidR="00C74E19" w:rsidRPr="008625DC">
        <w:t>’</w:t>
      </w:r>
      <w:r w:rsidRPr="008625DC">
        <w:t>s competition laws. This is despite the fact that other industries have similar economic characteristics to the liner shipping industry, particularly the international airline industry. If participants in those industries wish to make agreements that would otherwise contravene the competition laws, they are required to seek authorisation from the ACCC. The authorisation process is designed to test, in a public and transparent manner, whether agreements between competitors are in the public interest, weighing the potential anti</w:t>
      </w:r>
      <w:r w:rsidR="00C74E19" w:rsidRPr="008625DC">
        <w:noBreakHyphen/>
      </w:r>
      <w:r w:rsidRPr="008625DC">
        <w:t xml:space="preserve">competitive detriment against any public benefits that the agreements may generate. An authorisation is usually granted for a specified period of time (typically </w:t>
      </w:r>
      <w:r w:rsidR="00CF7A7A" w:rsidRPr="008625DC">
        <w:t>five</w:t>
      </w:r>
      <w:r w:rsidRPr="008625DC">
        <w:t xml:space="preserve"> to 10 years) to enable the net effects of an agreement to be re</w:t>
      </w:r>
      <w:r w:rsidR="00C74E19" w:rsidRPr="008625DC">
        <w:noBreakHyphen/>
      </w:r>
      <w:r w:rsidRPr="008625DC">
        <w:t>assessed at regular intervals.</w:t>
      </w:r>
    </w:p>
    <w:tbl>
      <w:tblPr>
        <w:tblW w:w="9072" w:type="dxa"/>
        <w:tblInd w:w="108" w:type="dxa"/>
        <w:shd w:val="clear" w:color="auto" w:fill="E6E6E6"/>
        <w:tblLook w:val="01E0" w:firstRow="1" w:lastRow="1" w:firstColumn="1" w:lastColumn="1" w:noHBand="0" w:noVBand="0"/>
      </w:tblPr>
      <w:tblGrid>
        <w:gridCol w:w="9072"/>
      </w:tblGrid>
      <w:tr w:rsidR="00B617F1" w:rsidRPr="008625DC" w14:paraId="7E471C8E" w14:textId="77777777" w:rsidTr="00233776">
        <w:tc>
          <w:tcPr>
            <w:tcW w:w="5000" w:type="pct"/>
            <w:shd w:val="clear" w:color="auto" w:fill="E6E6E6"/>
          </w:tcPr>
          <w:p w14:paraId="4E03E1A2" w14:textId="0C9A42D9" w:rsidR="00B617F1" w:rsidRPr="008625DC" w:rsidRDefault="00B617F1" w:rsidP="00233776">
            <w:pPr>
              <w:pStyle w:val="BoxHeading"/>
            </w:pPr>
            <w:r w:rsidRPr="008625DC">
              <w:lastRenderedPageBreak/>
              <w:t xml:space="preserve">Box </w:t>
            </w:r>
            <w:r w:rsidR="00F96079" w:rsidRPr="008625DC">
              <w:t>17</w:t>
            </w:r>
            <w:r w:rsidRPr="008625DC">
              <w:t>.</w:t>
            </w:r>
            <w:r w:rsidR="00F96079" w:rsidRPr="008625DC">
              <w:t>3</w:t>
            </w:r>
            <w:r w:rsidRPr="008625DC">
              <w:t>: Approaches to liner shipping regulation in other jurisdictions</w:t>
            </w:r>
          </w:p>
          <w:p w14:paraId="05F3D634" w14:textId="02501CE6" w:rsidR="00B617F1" w:rsidRPr="008625DC" w:rsidRDefault="00B617F1" w:rsidP="00090A21">
            <w:pPr>
              <w:pStyle w:val="BoxText"/>
            </w:pPr>
            <w:r w:rsidRPr="008625DC">
              <w:t xml:space="preserve">The </w:t>
            </w:r>
            <w:r w:rsidR="001E749A" w:rsidRPr="008625DC">
              <w:t>Panel</w:t>
            </w:r>
            <w:r w:rsidRPr="008625DC">
              <w:t xml:space="preserve"> notes that over the last two decades other jurisdictions have moved to more competitive regimes and this has not led to excessive instability or </w:t>
            </w:r>
            <w:r w:rsidR="00C74E19" w:rsidRPr="008625DC">
              <w:t>‘</w:t>
            </w:r>
            <w:r w:rsidRPr="008625DC">
              <w:t>destructive competition</w:t>
            </w:r>
            <w:r w:rsidR="00C74E19" w:rsidRPr="008625DC">
              <w:t>’</w:t>
            </w:r>
            <w:r w:rsidRPr="008625DC">
              <w:t>.</w:t>
            </w:r>
          </w:p>
          <w:p w14:paraId="766D2DE7" w14:textId="07968B67" w:rsidR="00B617F1" w:rsidRPr="008625DC" w:rsidRDefault="00B617F1" w:rsidP="00090A21">
            <w:pPr>
              <w:pStyle w:val="Boxheading2"/>
            </w:pPr>
            <w:r w:rsidRPr="008625DC">
              <w:t xml:space="preserve">The </w:t>
            </w:r>
            <w:r w:rsidR="00CF7A7A" w:rsidRPr="008625DC">
              <w:t>EU</w:t>
            </w:r>
            <w:r w:rsidRPr="008625DC">
              <w:t xml:space="preserve"> approach</w:t>
            </w:r>
          </w:p>
          <w:p w14:paraId="5586ECC7" w14:textId="51344D06" w:rsidR="00B617F1" w:rsidRPr="008625DC" w:rsidRDefault="00B617F1" w:rsidP="00090A21">
            <w:pPr>
              <w:pStyle w:val="BoxText"/>
            </w:pPr>
            <w:r w:rsidRPr="008625DC">
              <w:t xml:space="preserve">Prior to 2006 the EU provided a </w:t>
            </w:r>
            <w:r w:rsidR="00E02054" w:rsidRPr="008625DC">
              <w:t xml:space="preserve">form of </w:t>
            </w:r>
            <w:r w:rsidRPr="008625DC">
              <w:t xml:space="preserve">block exemption for conference agreements modelled on the </w:t>
            </w:r>
            <w:r w:rsidR="00C74E19" w:rsidRPr="008625DC">
              <w:t>‘</w:t>
            </w:r>
            <w:r w:rsidRPr="008625DC">
              <w:t>revised Trans</w:t>
            </w:r>
            <w:r w:rsidR="00C74E19" w:rsidRPr="008625DC">
              <w:noBreakHyphen/>
            </w:r>
            <w:r w:rsidRPr="008625DC">
              <w:t>Atlantic Conference Agreement</w:t>
            </w:r>
            <w:r w:rsidR="00C74E19" w:rsidRPr="008625DC">
              <w:t>’</w:t>
            </w:r>
            <w:r w:rsidRPr="008625DC">
              <w:t xml:space="preserve"> decision.</w:t>
            </w:r>
            <w:r w:rsidR="00787DCF" w:rsidRPr="008625DC">
              <w:t xml:space="preserve"> </w:t>
            </w:r>
            <w:r w:rsidRPr="008625DC">
              <w:t>Conferences could not discriminate between ports or transport users and needed to apply a uniform or common rate for all goods carried</w:t>
            </w:r>
            <w:r w:rsidR="00E02054" w:rsidRPr="008625DC">
              <w:t>.</w:t>
            </w:r>
            <w:r w:rsidRPr="008625DC">
              <w:t xml:space="preserve"> The block exemption only applied to agreements that did not allow </w:t>
            </w:r>
            <w:r w:rsidR="00642FFF" w:rsidRPr="008625DC">
              <w:t>individual service c</w:t>
            </w:r>
            <w:r w:rsidR="00E02054" w:rsidRPr="008625DC">
              <w:t>ontracts</w:t>
            </w:r>
            <w:r w:rsidR="00642FFF" w:rsidRPr="008625DC">
              <w:t xml:space="preserve"> (ISCs)</w:t>
            </w:r>
            <w:r w:rsidR="00E02054" w:rsidRPr="008625DC">
              <w:t>.</w:t>
            </w:r>
            <w:r w:rsidRPr="008625DC">
              <w:t xml:space="preserve"> Agreements which did not qualify generally required individual authorisation.</w:t>
            </w:r>
          </w:p>
          <w:p w14:paraId="343683DB" w14:textId="77777777" w:rsidR="00B617F1" w:rsidRPr="008625DC" w:rsidRDefault="00B617F1" w:rsidP="00090A21">
            <w:pPr>
              <w:pStyle w:val="BoxText"/>
            </w:pPr>
            <w:r w:rsidRPr="008625DC">
              <w:t>The European Commission also required that conferences not include:</w:t>
            </w:r>
          </w:p>
          <w:p w14:paraId="2A6D422D" w14:textId="2FEB4ABD" w:rsidR="00B617F1" w:rsidRPr="008625DC" w:rsidRDefault="00B617F1" w:rsidP="00467524">
            <w:pPr>
              <w:pStyle w:val="BoxBullet"/>
              <w:rPr>
                <w:lang w:val="en-AU"/>
              </w:rPr>
            </w:pPr>
            <w:r w:rsidRPr="008625DC">
              <w:rPr>
                <w:lang w:val="en-AU"/>
              </w:rPr>
              <w:t xml:space="preserve">a prohibition on </w:t>
            </w:r>
            <w:r w:rsidR="00642FFF" w:rsidRPr="008625DC">
              <w:rPr>
                <w:lang w:val="en-AU"/>
              </w:rPr>
              <w:t>ISCs</w:t>
            </w:r>
            <w:r w:rsidRPr="008625DC">
              <w:rPr>
                <w:lang w:val="en-AU"/>
              </w:rPr>
              <w:t>;</w:t>
            </w:r>
          </w:p>
          <w:p w14:paraId="3C90751D" w14:textId="331D08E1" w:rsidR="00B617F1" w:rsidRPr="008625DC" w:rsidRDefault="00B617F1" w:rsidP="00467524">
            <w:pPr>
              <w:pStyle w:val="BoxBullet"/>
              <w:rPr>
                <w:lang w:val="en-AU"/>
              </w:rPr>
            </w:pPr>
            <w:r w:rsidRPr="008625DC">
              <w:rPr>
                <w:lang w:val="en-AU"/>
              </w:rPr>
              <w:t>restrictions, either binding or non</w:t>
            </w:r>
            <w:r w:rsidR="00C74E19" w:rsidRPr="008625DC">
              <w:rPr>
                <w:lang w:val="en-AU"/>
              </w:rPr>
              <w:noBreakHyphen/>
            </w:r>
            <w:r w:rsidRPr="008625DC">
              <w:rPr>
                <w:lang w:val="en-AU"/>
              </w:rPr>
              <w:softHyphen/>
              <w:t>binding, on the contents of such contracts;</w:t>
            </w:r>
          </w:p>
          <w:p w14:paraId="0CE9BF4B" w14:textId="77777777" w:rsidR="00B617F1" w:rsidRPr="008625DC" w:rsidRDefault="00B617F1" w:rsidP="00467524">
            <w:pPr>
              <w:pStyle w:val="BoxBullet"/>
              <w:rPr>
                <w:lang w:val="en-AU"/>
              </w:rPr>
            </w:pPr>
            <w:r w:rsidRPr="008625DC">
              <w:rPr>
                <w:lang w:val="en-AU"/>
              </w:rPr>
              <w:t>a prohibition of independent action on joint service contracts; and</w:t>
            </w:r>
          </w:p>
          <w:p w14:paraId="7E5C46FB" w14:textId="596D58C9" w:rsidR="00B617F1" w:rsidRPr="008625DC" w:rsidRDefault="00B617F1" w:rsidP="004159AE">
            <w:pPr>
              <w:pStyle w:val="BoxBullet"/>
              <w:spacing w:after="180"/>
              <w:rPr>
                <w:lang w:val="en-AU"/>
              </w:rPr>
            </w:pPr>
            <w:r w:rsidRPr="008625DC">
              <w:rPr>
                <w:lang w:val="en-AU"/>
              </w:rPr>
              <w:t xml:space="preserve">that the terms of </w:t>
            </w:r>
            <w:r w:rsidR="00642FFF" w:rsidRPr="008625DC">
              <w:rPr>
                <w:lang w:val="en-AU"/>
              </w:rPr>
              <w:t>ISCs</w:t>
            </w:r>
            <w:r w:rsidRPr="008625DC">
              <w:rPr>
                <w:lang w:val="en-AU"/>
              </w:rPr>
              <w:t xml:space="preserve"> were to remain confidential, except where the shipper consented to such disclosure.</w:t>
            </w:r>
          </w:p>
          <w:p w14:paraId="351C07DE" w14:textId="23AA647F" w:rsidR="00B617F1" w:rsidRPr="008625DC" w:rsidRDefault="00B617F1" w:rsidP="00090A21">
            <w:pPr>
              <w:pStyle w:val="BoxText"/>
            </w:pPr>
            <w:r w:rsidRPr="008625DC">
              <w:t>In 2006 the EU removed the block exemption for liner shipping. The industry is now subject to the general provisions of EU law and conference agreements must seek authorisation.</w:t>
            </w:r>
          </w:p>
          <w:p w14:paraId="0F668CB8" w14:textId="77777777" w:rsidR="00B617F1" w:rsidRPr="008625DC" w:rsidRDefault="00B617F1" w:rsidP="00090A21">
            <w:pPr>
              <w:pStyle w:val="Boxheading2"/>
            </w:pPr>
            <w:r w:rsidRPr="008625DC">
              <w:t>The US approach</w:t>
            </w:r>
          </w:p>
          <w:p w14:paraId="6C3123BE" w14:textId="6D60D345" w:rsidR="00B617F1" w:rsidRPr="008625DC" w:rsidRDefault="00B617F1" w:rsidP="00090A21">
            <w:pPr>
              <w:pStyle w:val="BoxText"/>
            </w:pPr>
            <w:r w:rsidRPr="008625DC">
              <w:t xml:space="preserve">The </w:t>
            </w:r>
            <w:r w:rsidR="00CF7A7A" w:rsidRPr="008625DC">
              <w:t>US</w:t>
            </w:r>
            <w:r w:rsidRPr="008625DC">
              <w:t xml:space="preserve"> provides exemptions to anti</w:t>
            </w:r>
            <w:r w:rsidR="00C74E19" w:rsidRPr="008625DC">
              <w:noBreakHyphen/>
            </w:r>
            <w:r w:rsidRPr="008625DC">
              <w:t xml:space="preserve">trust laws for liner shipping under the </w:t>
            </w:r>
            <w:r w:rsidRPr="008625DC">
              <w:rPr>
                <w:i/>
              </w:rPr>
              <w:t>Shipping Act of 1984</w:t>
            </w:r>
            <w:r w:rsidRPr="008625DC">
              <w:t xml:space="preserve">. This was significantly modified by the </w:t>
            </w:r>
            <w:r w:rsidRPr="008625DC">
              <w:rPr>
                <w:i/>
              </w:rPr>
              <w:t>Ocean Shipping Reform Act of 1998</w:t>
            </w:r>
            <w:r w:rsidRPr="008625DC">
              <w:t>.</w:t>
            </w:r>
          </w:p>
          <w:p w14:paraId="34351301" w14:textId="28EF2AAB" w:rsidR="00B617F1" w:rsidRPr="008625DC" w:rsidRDefault="00B617F1" w:rsidP="00090A21">
            <w:pPr>
              <w:pStyle w:val="BoxText"/>
            </w:pPr>
            <w:r w:rsidRPr="008625DC">
              <w:t xml:space="preserve">The US exemptions apply to agreements between carriers </w:t>
            </w:r>
            <w:r w:rsidR="00CF7A7A" w:rsidRPr="008625DC">
              <w:t>that</w:t>
            </w:r>
            <w:r w:rsidRPr="008625DC">
              <w:t xml:space="preserve"> discuss, fix or regulate freight rates, cargo space accommodation and other service conditions</w:t>
            </w:r>
            <w:r w:rsidR="00CF7A7A" w:rsidRPr="008625DC">
              <w:t>,</w:t>
            </w:r>
            <w:r w:rsidRPr="008625DC">
              <w:t xml:space="preserve"> pool revenues, earnings or losses</w:t>
            </w:r>
            <w:r w:rsidR="00CF7A7A" w:rsidRPr="008625DC">
              <w:t>, or</w:t>
            </w:r>
            <w:r w:rsidRPr="008625DC">
              <w:t xml:space="preserve"> restrict or regulate other aspects of service, such as cargoes to be carried and sailing schedules. Agreements must be filed with the Federal Maritime Commission (FMC).</w:t>
            </w:r>
          </w:p>
          <w:p w14:paraId="7326E540" w14:textId="77777777" w:rsidR="00B617F1" w:rsidRPr="008625DC" w:rsidRDefault="00B617F1" w:rsidP="00090A21">
            <w:pPr>
              <w:pStyle w:val="BoxText"/>
            </w:pPr>
            <w:r w:rsidRPr="008625DC">
              <w:t xml:space="preserve">Importantly carrier agreements cannot: </w:t>
            </w:r>
          </w:p>
          <w:p w14:paraId="3635CAED" w14:textId="77777777" w:rsidR="00B617F1" w:rsidRPr="008625DC" w:rsidRDefault="00B617F1" w:rsidP="00467524">
            <w:pPr>
              <w:pStyle w:val="BoxBullet"/>
              <w:rPr>
                <w:lang w:val="en-AU"/>
              </w:rPr>
            </w:pPr>
            <w:r w:rsidRPr="008625DC">
              <w:rPr>
                <w:lang w:val="en-AU"/>
              </w:rPr>
              <w:t>prohibit member carriers from engaging in negotiations for ISCs with shippers;</w:t>
            </w:r>
          </w:p>
          <w:p w14:paraId="48B6B78B" w14:textId="77777777" w:rsidR="00B617F1" w:rsidRPr="008625DC" w:rsidRDefault="00B617F1" w:rsidP="004159AE">
            <w:pPr>
              <w:pStyle w:val="BoxBullet"/>
              <w:spacing w:after="180"/>
              <w:rPr>
                <w:lang w:val="en-AU"/>
              </w:rPr>
            </w:pPr>
            <w:r w:rsidRPr="008625DC">
              <w:rPr>
                <w:lang w:val="en-AU"/>
              </w:rPr>
              <w:t>require members to disclose negotiations or make public terms and conditions of ISCs or adopt rules or requirements affecting the right of member carriers to enter into ISCs.</w:t>
            </w:r>
          </w:p>
          <w:p w14:paraId="24AC3A59" w14:textId="336AED43" w:rsidR="00B617F1" w:rsidRPr="008625DC" w:rsidRDefault="00B617F1" w:rsidP="00233776">
            <w:pPr>
              <w:pStyle w:val="BoxText"/>
            </w:pPr>
            <w:r w:rsidRPr="008625DC">
              <w:t>The effect of the requirements that carrier agreements cannot prohibit or limit confidential ISCs is that US shipping regulation still creates competition between shipping carriers</w:t>
            </w:r>
            <w:r w:rsidR="00CF7A7A" w:rsidRPr="008625DC">
              <w:t>,</w:t>
            </w:r>
            <w:r w:rsidRPr="008625DC">
              <w:t xml:space="preserve"> as agreements on pricing are effectively non</w:t>
            </w:r>
            <w:r w:rsidR="00C74E19" w:rsidRPr="008625DC">
              <w:noBreakHyphen/>
            </w:r>
            <w:r w:rsidRPr="008625DC">
              <w:t xml:space="preserve">binding and terms of ISCs that deviate from the conference tariff are not </w:t>
            </w:r>
            <w:r w:rsidR="00642FFF" w:rsidRPr="008625DC">
              <w:t>observable</w:t>
            </w:r>
            <w:r w:rsidRPr="008625DC">
              <w:t>.</w:t>
            </w:r>
          </w:p>
        </w:tc>
      </w:tr>
    </w:tbl>
    <w:p w14:paraId="14B52FD2" w14:textId="4CCBD719" w:rsidR="00CF7A7A" w:rsidRPr="008625DC" w:rsidRDefault="00B21D56" w:rsidP="004159AE">
      <w:pPr>
        <w:spacing w:before="240"/>
      </w:pPr>
      <w:r w:rsidRPr="008625DC">
        <w:t xml:space="preserve">The 2005 PC report in respect of liner shipping and Part X concluded that the evidence did not support </w:t>
      </w:r>
      <w:r w:rsidR="00C22215" w:rsidRPr="008625DC">
        <w:t>continued special treatment of</w:t>
      </w:r>
      <w:r w:rsidRPr="008625DC">
        <w:t xml:space="preserve"> the liner shipping industry under Australia</w:t>
      </w:r>
      <w:r w:rsidR="00C74E19" w:rsidRPr="008625DC">
        <w:t>’</w:t>
      </w:r>
      <w:r w:rsidRPr="008625DC">
        <w:t xml:space="preserve">s competition law. The Panel has not received any information to cast doubt on that conclusion. </w:t>
      </w:r>
    </w:p>
    <w:p w14:paraId="6D1E3A74" w14:textId="05F85446" w:rsidR="00B21D56" w:rsidRPr="008625DC" w:rsidRDefault="00B21D56" w:rsidP="00B21D56">
      <w:r w:rsidRPr="008625DC">
        <w:t xml:space="preserve">If Part X were repealed, the authorisation procedure under the CCA would enable conference agreements to be assessed by the ACCC on a net public benefit basis. That would cause a greater focus on the competitive effects of conference agreements. Additionally, as discussed below, the Panel considers that it would be beneficial for the ACCC to be given power to issue block exemptions: these would exempt categories of conduct defined by the ACCC. If that power were to be introduced, </w:t>
      </w:r>
      <w:r w:rsidRPr="008625DC">
        <w:lastRenderedPageBreak/>
        <w:t>the ACCC would be able to develop a block exemption for liner shipping, in consultation with the liner shipping operators and shippers.</w:t>
      </w:r>
    </w:p>
    <w:p w14:paraId="3BB55E77" w14:textId="62ECAB07" w:rsidR="00B21D56" w:rsidRPr="008625DC" w:rsidRDefault="00662D87" w:rsidP="00B21D56">
      <w:r>
        <w:rPr>
          <w:noProof/>
        </w:rPr>
        <mc:AlternateContent>
          <mc:Choice Requires="wps">
            <w:drawing>
              <wp:anchor distT="0" distB="0" distL="114300" distR="114300" simplePos="0" relativeHeight="251659266" behindDoc="0" locked="0" layoutInCell="1" allowOverlap="1" wp14:anchorId="2C6A20CF" wp14:editId="5C421D16">
                <wp:simplePos x="0" y="0"/>
                <wp:positionH relativeFrom="column">
                  <wp:posOffset>-35560</wp:posOffset>
                </wp:positionH>
                <wp:positionV relativeFrom="paragraph">
                  <wp:posOffset>-978271</wp:posOffset>
                </wp:positionV>
                <wp:extent cx="3795622" cy="293298"/>
                <wp:effectExtent l="0" t="0" r="0" b="0"/>
                <wp:wrapNone/>
                <wp:docPr id="4" name="Text Box 4"/>
                <wp:cNvGraphicFramePr/>
                <a:graphic xmlns:a="http://schemas.openxmlformats.org/drawingml/2006/main">
                  <a:graphicData uri="http://schemas.microsoft.com/office/word/2010/wordprocessingShape">
                    <wps:wsp>
                      <wps:cNvSpPr txBox="1"/>
                      <wps:spPr>
                        <a:xfrm>
                          <a:off x="0" y="0"/>
                          <a:ext cx="3795622"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490CD" w14:textId="5C139D6A" w:rsidR="00977786" w:rsidRDefault="00977786" w:rsidP="00662D87">
                            <w:pPr>
                              <w:pStyle w:val="Header"/>
                            </w:pPr>
                            <w:r>
                              <w:t>Anti-competitive agreements, arrangements and understandings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2.8pt;margin-top:-77.05pt;width:298.85pt;height:23.1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" fillcolor="white [3201]" stroked="f" strokeweight=".5pt">
                <v:textbox inset="1mm,1mm,1mm,1mm">
                  <w:txbxContent>
                    <w:p w14:paraId="475490CD" w14:textId="5C139D6A" w:rsidR="00977786" w:rsidRDefault="00977786" w:rsidP="00662D87">
                      <w:pPr>
                        <w:pStyle w:val="Header"/>
                      </w:pPr>
                      <w:r>
                        <w:t>Anti-competitive agreements, arrangements and understandings</w:t>
                      </w:r>
                    </w:p>
                  </w:txbxContent>
                </v:textbox>
              </v:shape>
            </w:pict>
          </mc:Fallback>
        </mc:AlternateContent>
      </w:r>
      <w:r w:rsidR="00B21D56" w:rsidRPr="008625DC">
        <w:t xml:space="preserve">The Australian Peak Shippers Association </w:t>
      </w:r>
      <w:r w:rsidR="00C74E19" w:rsidRPr="008625DC">
        <w:t>‘</w:t>
      </w:r>
      <w:r w:rsidR="00B21D56" w:rsidRPr="008625DC">
        <w:t>strongly recommends that all sections of Part X which support the negotiating position of Australian exporters/shippers should be maintained</w:t>
      </w:r>
      <w:r w:rsidR="00C74E19" w:rsidRPr="008625DC">
        <w:t>’</w:t>
      </w:r>
      <w:r w:rsidR="00B21D56" w:rsidRPr="008625DC">
        <w:t xml:space="preserve"> (p</w:t>
      </w:r>
      <w:r w:rsidR="006B19F8" w:rsidRPr="008625DC">
        <w:t>age</w:t>
      </w:r>
      <w:r w:rsidR="00B21D56" w:rsidRPr="008625DC">
        <w:t xml:space="preserve"> 6)</w:t>
      </w:r>
      <w:r w:rsidR="00CF7A7A" w:rsidRPr="008625DC">
        <w:t>.</w:t>
      </w:r>
      <w:r w:rsidR="00B21D56" w:rsidRPr="008625DC">
        <w:t xml:space="preserve"> If Part X were repealed, shippers would also be able to formulate collective negotiation arrangements under the existing mechanisms in the CCA.</w:t>
      </w:r>
    </w:p>
    <w:p w14:paraId="3355FD9D" w14:textId="126B38F8" w:rsidR="00625DDF" w:rsidRPr="008625DC" w:rsidRDefault="00625DDF" w:rsidP="00B21D56">
      <w:r w:rsidRPr="008625DC">
        <w:t>If Part X were repealed, existing liner shipping agreements would face the full provisions of the CCA and may be in breach of them. Therefore</w:t>
      </w:r>
      <w:r w:rsidR="00CF7A7A" w:rsidRPr="008625DC">
        <w:t>,</w:t>
      </w:r>
      <w:r w:rsidRPr="008625DC">
        <w:t xml:space="preserve"> a transition </w:t>
      </w:r>
      <w:r w:rsidR="00CF7A7A" w:rsidRPr="008625DC">
        <w:t>would</w:t>
      </w:r>
      <w:r w:rsidRPr="008625DC">
        <w:t xml:space="preserve"> be required. The Panel considers a period of two years should be sufficient for the creation of a block exemption, identification of shipping agreements that qualify and for other agreements either </w:t>
      </w:r>
      <w:r w:rsidR="00C22215" w:rsidRPr="008625DC">
        <w:t xml:space="preserve">to </w:t>
      </w:r>
      <w:r w:rsidRPr="008625DC">
        <w:t>be authorised or modified to ensure compliance with the CCA.</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B617F1" w:rsidRPr="008625DC" w14:paraId="1A14CD82" w14:textId="77777777" w:rsidTr="00233776">
        <w:tc>
          <w:tcPr>
            <w:tcW w:w="5000" w:type="pct"/>
            <w:shd w:val="clear" w:color="auto" w:fill="FFFFFF" w:themeFill="background1"/>
          </w:tcPr>
          <w:p w14:paraId="14625850" w14:textId="7BF847A9" w:rsidR="00B617F1" w:rsidRPr="008625DC" w:rsidRDefault="00B617F1" w:rsidP="00233776">
            <w:pPr>
              <w:pStyle w:val="Keyfindingheading"/>
            </w:pPr>
            <w:r w:rsidRPr="008625DC">
              <w:t>The Panel</w:t>
            </w:r>
            <w:r w:rsidR="00C74E19" w:rsidRPr="008625DC">
              <w:t>’</w:t>
            </w:r>
            <w:r w:rsidRPr="008625DC">
              <w:t xml:space="preserve">s </w:t>
            </w:r>
            <w:r w:rsidR="009E00F8" w:rsidRPr="008625DC">
              <w:t>v</w:t>
            </w:r>
            <w:r w:rsidRPr="008625DC">
              <w:t>iew</w:t>
            </w:r>
          </w:p>
          <w:p w14:paraId="15792EC4" w14:textId="3BE8BDB3" w:rsidR="00B21D56" w:rsidRPr="008625DC" w:rsidRDefault="00B21D56" w:rsidP="00B21D56">
            <w:pPr>
              <w:pStyle w:val="Keyfindingtext"/>
            </w:pPr>
            <w:r w:rsidRPr="008625DC">
              <w:t xml:space="preserve">Part X should be repealed and the liner shipping industry should be subject to the normal operation of the CCA. </w:t>
            </w:r>
          </w:p>
          <w:p w14:paraId="2BD25BFD" w14:textId="7A7A4745" w:rsidR="00C22215" w:rsidRPr="008625DC" w:rsidRDefault="00B21D56" w:rsidP="00B21D56">
            <w:pPr>
              <w:pStyle w:val="Keyfindingtext"/>
            </w:pPr>
            <w:r w:rsidRPr="008625DC">
              <w:t>The ACCC should be given power to grant block exemptions (see below). In consultation with the shipping industry, the ACCC should develop a block exemption for conference agreements that contain a minimum standard of pro</w:t>
            </w:r>
            <w:r w:rsidR="00C74E19" w:rsidRPr="008625DC">
              <w:noBreakHyphen/>
            </w:r>
            <w:r w:rsidRPr="008625DC">
              <w:t>competitive features.</w:t>
            </w:r>
          </w:p>
          <w:p w14:paraId="6503C142" w14:textId="50450121" w:rsidR="00B21D56" w:rsidRPr="008625DC" w:rsidRDefault="00B21D56" w:rsidP="00B21D56">
            <w:pPr>
              <w:pStyle w:val="Keyfindingtext"/>
            </w:pPr>
            <w:r w:rsidRPr="008625DC">
              <w:t xml:space="preserve">For example, conference agreements which coordinate scheduling and the exchange of capacity, while allowing confidential </w:t>
            </w:r>
            <w:r w:rsidR="00CF7A7A" w:rsidRPr="008625DC">
              <w:t>individual service contracts (</w:t>
            </w:r>
            <w:r w:rsidRPr="008625DC">
              <w:t>ISCs</w:t>
            </w:r>
            <w:r w:rsidR="00CF7A7A" w:rsidRPr="008625DC">
              <w:t>)</w:t>
            </w:r>
            <w:r w:rsidRPr="008625DC">
              <w:t xml:space="preserve"> and not involving a common conference tariff and pooling of revenues and losses could be eligible for a block exemption. Other forms of agreement that do not meet a minimum standard of pro</w:t>
            </w:r>
            <w:r w:rsidR="00C74E19" w:rsidRPr="008625DC">
              <w:noBreakHyphen/>
            </w:r>
            <w:r w:rsidRPr="008625DC">
              <w:t xml:space="preserve">competitive features should be subject to individual authorisation. </w:t>
            </w:r>
          </w:p>
          <w:p w14:paraId="5C19F9AF" w14:textId="5D0F9DE6" w:rsidR="00B21D56" w:rsidRPr="008625DC" w:rsidRDefault="00B21D56" w:rsidP="00B21D56">
            <w:pPr>
              <w:pStyle w:val="Keyfindingtext"/>
            </w:pPr>
            <w:r w:rsidRPr="008625DC">
              <w:t xml:space="preserve">If a block exemption power is not introduced, it would be preferable to require conference agreements to </w:t>
            </w:r>
            <w:r w:rsidR="00482CA9" w:rsidRPr="008625DC">
              <w:t>seek</w:t>
            </w:r>
            <w:r w:rsidRPr="008625DC">
              <w:t xml:space="preserve"> authoris</w:t>
            </w:r>
            <w:r w:rsidR="00482CA9" w:rsidRPr="008625DC">
              <w:t>ation</w:t>
            </w:r>
            <w:r w:rsidRPr="008625DC">
              <w:t xml:space="preserve"> by the ACCC on the basis of the normal net public benefit test.</w:t>
            </w:r>
          </w:p>
          <w:p w14:paraId="07D1E397" w14:textId="6B8CA050" w:rsidR="00B617F1" w:rsidRPr="008625DC" w:rsidRDefault="00B21D56" w:rsidP="00233776">
            <w:pPr>
              <w:pStyle w:val="Keyfindingtext"/>
            </w:pPr>
            <w:r w:rsidRPr="008625DC">
              <w:t xml:space="preserve">The </w:t>
            </w:r>
            <w:r w:rsidR="00B617F1" w:rsidRPr="008625DC">
              <w:t xml:space="preserve">repeal of Part X would </w:t>
            </w:r>
            <w:r w:rsidRPr="008625DC">
              <w:t xml:space="preserve">require transitional arrangements for </w:t>
            </w:r>
            <w:r w:rsidR="00B617F1" w:rsidRPr="008625DC">
              <w:t>existing agreements</w:t>
            </w:r>
            <w:r w:rsidRPr="008625DC">
              <w:t>.</w:t>
            </w:r>
            <w:r w:rsidR="00B617F1" w:rsidRPr="008625DC">
              <w:t xml:space="preserve"> The transition should be sufficiently long to allow for authorisations to be sought and to identify agreements that qualify for block exemption.</w:t>
            </w:r>
            <w:r w:rsidR="00CE0AD6" w:rsidRPr="008625DC">
              <w:t xml:space="preserve"> The Panel considers a two year transition should be sufficient.</w:t>
            </w:r>
          </w:p>
        </w:tc>
      </w:tr>
    </w:tbl>
    <w:p w14:paraId="2B1CA9CD" w14:textId="77777777" w:rsidR="00B617F1" w:rsidRPr="008625DC" w:rsidRDefault="00B617F1" w:rsidP="00B617F1">
      <w:pPr>
        <w:spacing w:before="0" w:after="0"/>
      </w:pPr>
    </w:p>
    <w:p w14:paraId="133CB8D2" w14:textId="0D6D03B2" w:rsidR="00A20284" w:rsidRPr="008625DC" w:rsidRDefault="00A20284" w:rsidP="00392423">
      <w:pPr>
        <w:pStyle w:val="Heading1"/>
        <w:numPr>
          <w:ilvl w:val="0"/>
          <w:numId w:val="0"/>
        </w:numPr>
        <w:ind w:left="567"/>
      </w:pPr>
      <w:r w:rsidRPr="008625DC">
        <w:br w:type="page"/>
      </w:r>
    </w:p>
    <w:p w14:paraId="42B268DB" w14:textId="4D062F4C" w:rsidR="00876F6C" w:rsidRPr="008625DC" w:rsidRDefault="00DA2D13" w:rsidP="00864E0A">
      <w:pPr>
        <w:pStyle w:val="Heading1"/>
        <w:ind w:left="851" w:hanging="851"/>
      </w:pPr>
      <w:bookmarkStart w:id="32697" w:name="_Toc394582994"/>
      <w:bookmarkStart w:id="32698" w:name="_Toc394585665"/>
      <w:bookmarkStart w:id="32699" w:name="_Toc394586131"/>
      <w:bookmarkStart w:id="32700" w:name="_Toc394588063"/>
      <w:bookmarkStart w:id="32701" w:name="_Toc394588898"/>
      <w:bookmarkStart w:id="32702" w:name="_Toc394589023"/>
      <w:bookmarkStart w:id="32703" w:name="_Toc394590439"/>
      <w:bookmarkStart w:id="32704" w:name="_Toc394590632"/>
      <w:bookmarkStart w:id="32705" w:name="_Toc394656233"/>
      <w:bookmarkStart w:id="32706" w:name="_Toc394656390"/>
      <w:bookmarkStart w:id="32707" w:name="_Toc394659370"/>
      <w:bookmarkStart w:id="32708" w:name="_Toc394659528"/>
      <w:bookmarkStart w:id="32709" w:name="_Toc394663382"/>
      <w:bookmarkStart w:id="32710" w:name="_Toc394663538"/>
      <w:bookmarkStart w:id="32711" w:name="_Toc394667176"/>
      <w:bookmarkStart w:id="32712" w:name="_Toc394667332"/>
      <w:bookmarkStart w:id="32713" w:name="_Toc394671655"/>
      <w:bookmarkStart w:id="32714" w:name="_Toc394671815"/>
      <w:bookmarkStart w:id="32715" w:name="_Toc394674657"/>
      <w:bookmarkStart w:id="32716" w:name="_Toc394674820"/>
      <w:bookmarkStart w:id="32717" w:name="_Toc394674934"/>
      <w:bookmarkStart w:id="32718" w:name="_Toc394675100"/>
      <w:bookmarkStart w:id="32719" w:name="_Toc394676045"/>
      <w:bookmarkStart w:id="32720" w:name="_Toc394676207"/>
      <w:bookmarkStart w:id="32721" w:name="_Toc394675733"/>
      <w:bookmarkStart w:id="32722" w:name="_Toc394675896"/>
      <w:bookmarkStart w:id="32723" w:name="_Toc394918300"/>
      <w:bookmarkStart w:id="32724" w:name="_Toc394918814"/>
      <w:bookmarkStart w:id="32725" w:name="_Toc394930787"/>
      <w:bookmarkStart w:id="32726" w:name="_Toc394933698"/>
      <w:bookmarkStart w:id="32727" w:name="_Toc394938145"/>
      <w:bookmarkStart w:id="32728" w:name="_Toc394938460"/>
      <w:bookmarkStart w:id="32729" w:name="_Toc394938647"/>
      <w:bookmarkStart w:id="32730" w:name="_Toc394937742"/>
      <w:bookmarkStart w:id="32731" w:name="_Toc394937929"/>
      <w:bookmarkStart w:id="32732" w:name="_Toc394941057"/>
      <w:bookmarkStart w:id="32733" w:name="_Toc394941375"/>
      <w:bookmarkStart w:id="32734" w:name="_Toc394941558"/>
      <w:bookmarkStart w:id="32735" w:name="_Toc394941673"/>
      <w:bookmarkStart w:id="32736" w:name="_Toc394941991"/>
      <w:bookmarkStart w:id="32737" w:name="_Toc394942174"/>
      <w:bookmarkStart w:id="32738" w:name="_Toc394939894"/>
      <w:bookmarkStart w:id="32739" w:name="_Toc394940213"/>
      <w:bookmarkStart w:id="32740" w:name="_Toc394940396"/>
      <w:bookmarkStart w:id="32741" w:name="_Toc394939505"/>
      <w:bookmarkStart w:id="32742" w:name="_Toc394939810"/>
      <w:bookmarkStart w:id="32743" w:name="_Toc394940609"/>
      <w:bookmarkStart w:id="32744" w:name="_Toc394993707"/>
      <w:bookmarkStart w:id="32745" w:name="_Toc394995589"/>
      <w:bookmarkStart w:id="32746" w:name="_Toc394995903"/>
      <w:bookmarkStart w:id="32747" w:name="_Toc394996089"/>
      <w:bookmarkStart w:id="32748" w:name="_Toc394997815"/>
      <w:bookmarkStart w:id="32749" w:name="_Toc394998148"/>
      <w:bookmarkStart w:id="32750" w:name="_Toc394998330"/>
      <w:bookmarkStart w:id="32751" w:name="_Toc394998662"/>
      <w:bookmarkStart w:id="32752" w:name="_Toc395001825"/>
      <w:bookmarkStart w:id="32753" w:name="_Toc395002161"/>
      <w:bookmarkStart w:id="32754" w:name="_Toc395001641"/>
      <w:bookmarkStart w:id="32755" w:name="_Toc395002930"/>
      <w:bookmarkStart w:id="32756" w:name="_Toc395003515"/>
      <w:bookmarkStart w:id="32757" w:name="_Toc395005077"/>
      <w:bookmarkStart w:id="32758" w:name="_Toc395005203"/>
      <w:bookmarkStart w:id="32759" w:name="_Toc395005419"/>
      <w:bookmarkStart w:id="32760" w:name="_Toc395005756"/>
      <w:bookmarkStart w:id="32761" w:name="_Toc395008996"/>
      <w:bookmarkStart w:id="32762" w:name="_Toc395009750"/>
      <w:bookmarkStart w:id="32763" w:name="_Toc395010182"/>
      <w:bookmarkStart w:id="32764" w:name="_Toc395010492"/>
      <w:bookmarkStart w:id="32765" w:name="_Toc395010024"/>
      <w:bookmarkStart w:id="32766" w:name="_Toc395011550"/>
      <w:bookmarkStart w:id="32767" w:name="_Toc395012368"/>
      <w:bookmarkStart w:id="32768" w:name="_Toc395012674"/>
      <w:bookmarkStart w:id="32769" w:name="_Toc395012958"/>
      <w:bookmarkStart w:id="32770" w:name="_Toc395010773"/>
      <w:bookmarkStart w:id="32771" w:name="_Toc395011668"/>
      <w:bookmarkStart w:id="32772" w:name="_Toc395012246"/>
      <w:bookmarkStart w:id="32773" w:name="_Toc395013136"/>
      <w:bookmarkStart w:id="32774" w:name="_Toc395012138"/>
      <w:bookmarkStart w:id="32775" w:name="_Toc395014477"/>
      <w:bookmarkStart w:id="32776" w:name="_Toc395014647"/>
      <w:bookmarkStart w:id="32777" w:name="_Toc395013238"/>
      <w:bookmarkStart w:id="32778" w:name="_Toc395084823"/>
      <w:bookmarkStart w:id="32779" w:name="_Toc395085124"/>
      <w:bookmarkStart w:id="32780" w:name="_Toc395090277"/>
      <w:bookmarkStart w:id="32781" w:name="_Toc395090590"/>
      <w:bookmarkStart w:id="32782" w:name="_Toc395090756"/>
      <w:bookmarkStart w:id="32783" w:name="_Toc395092644"/>
      <w:bookmarkStart w:id="32784" w:name="_Toc395092856"/>
      <w:bookmarkStart w:id="32785" w:name="_Toc395093172"/>
      <w:bookmarkStart w:id="32786" w:name="_Toc395093338"/>
      <w:bookmarkStart w:id="32787" w:name="_Toc395097767"/>
      <w:bookmarkStart w:id="32788" w:name="_Toc395098084"/>
      <w:bookmarkStart w:id="32789" w:name="_Toc395098248"/>
      <w:bookmarkStart w:id="32790" w:name="_Toc395105433"/>
      <w:bookmarkStart w:id="32791" w:name="_Toc395106269"/>
      <w:bookmarkStart w:id="32792" w:name="_Toc395107036"/>
      <w:bookmarkStart w:id="32793" w:name="_Toc395109908"/>
      <w:bookmarkStart w:id="32794" w:name="_Toc395109531"/>
      <w:bookmarkStart w:id="32795" w:name="_Toc395109694"/>
      <w:bookmarkStart w:id="32796" w:name="_Toc395111911"/>
      <w:bookmarkStart w:id="32797" w:name="_Toc395112236"/>
      <w:bookmarkStart w:id="32798" w:name="_Toc395112399"/>
      <w:bookmarkStart w:id="32799" w:name="_Toc395106831"/>
      <w:bookmarkStart w:id="32800" w:name="_Toc395107378"/>
      <w:bookmarkStart w:id="32801" w:name="_Toc395107544"/>
      <w:bookmarkStart w:id="32802" w:name="_Toc395110083"/>
      <w:bookmarkStart w:id="32803" w:name="_Toc395108591"/>
      <w:bookmarkStart w:id="32804" w:name="_Toc395108939"/>
      <w:bookmarkStart w:id="32805" w:name="_Toc395113831"/>
      <w:bookmarkStart w:id="32806" w:name="_Toc395114179"/>
      <w:bookmarkStart w:id="32807" w:name="_Toc395114351"/>
      <w:bookmarkStart w:id="32808" w:name="_Toc395116567"/>
      <w:bookmarkStart w:id="32809" w:name="_Toc395116916"/>
      <w:bookmarkStart w:id="32810" w:name="_Toc395117089"/>
      <w:bookmarkStart w:id="32811" w:name="_Toc395112504"/>
      <w:bookmarkStart w:id="32812" w:name="_Toc395112853"/>
      <w:bookmarkStart w:id="32813" w:name="_Toc395113207"/>
      <w:bookmarkStart w:id="32814" w:name="_Toc395115043"/>
      <w:bookmarkStart w:id="32815" w:name="_Toc395115393"/>
      <w:bookmarkStart w:id="32816" w:name="_Toc395115566"/>
      <w:bookmarkStart w:id="32817" w:name="_Toc395118198"/>
      <w:bookmarkStart w:id="32818" w:name="_Toc395118545"/>
      <w:bookmarkStart w:id="32819" w:name="_Toc395118716"/>
      <w:bookmarkStart w:id="32820" w:name="_Toc395178408"/>
      <w:bookmarkStart w:id="32821" w:name="_Toc395178740"/>
      <w:bookmarkStart w:id="32822" w:name="_Toc395624734"/>
      <w:bookmarkStart w:id="32823" w:name="_Toc395624897"/>
      <w:bookmarkStart w:id="32824" w:name="_Toc395789751"/>
      <w:bookmarkStart w:id="32825" w:name="_Toc395790085"/>
      <w:bookmarkStart w:id="32826" w:name="_Toc395800843"/>
      <w:bookmarkStart w:id="32827" w:name="_Toc395802880"/>
      <w:bookmarkStart w:id="32828" w:name="_Toc395867648"/>
      <w:bookmarkStart w:id="32829" w:name="_Toc395868561"/>
      <w:bookmarkStart w:id="32830" w:name="_Toc395868780"/>
      <w:bookmarkStart w:id="32831" w:name="_Toc395878942"/>
      <w:bookmarkStart w:id="32832" w:name="_Toc395879159"/>
      <w:bookmarkStart w:id="32833" w:name="_Toc395882066"/>
      <w:bookmarkStart w:id="32834" w:name="_Toc395882283"/>
      <w:bookmarkStart w:id="32835" w:name="_Toc395882397"/>
      <w:bookmarkStart w:id="32836" w:name="_Toc395882614"/>
      <w:bookmarkStart w:id="32837" w:name="_Toc395880561"/>
      <w:bookmarkStart w:id="32838" w:name="_Toc395880892"/>
      <w:bookmarkStart w:id="32839" w:name="_Toc395881450"/>
      <w:bookmarkStart w:id="32840" w:name="_Toc395881383"/>
      <w:bookmarkStart w:id="32841" w:name="_Toc395883835"/>
      <w:bookmarkStart w:id="32842" w:name="_Toc395884052"/>
      <w:bookmarkStart w:id="32843" w:name="_Toc395880790"/>
      <w:bookmarkStart w:id="32844" w:name="_Toc395884497"/>
      <w:bookmarkStart w:id="32845" w:name="_Toc395884714"/>
      <w:bookmarkStart w:id="32846" w:name="_Toc395883206"/>
      <w:bookmarkStart w:id="32847" w:name="_Toc395883423"/>
      <w:bookmarkStart w:id="32848" w:name="_Toc395883536"/>
      <w:bookmarkStart w:id="32849" w:name="_Toc395883753"/>
      <w:bookmarkStart w:id="32850" w:name="_Toc395884838"/>
      <w:bookmarkStart w:id="32851" w:name="_Toc396123863"/>
      <w:bookmarkStart w:id="32852" w:name="_Toc396130766"/>
      <w:bookmarkStart w:id="32853" w:name="_Toc396136344"/>
      <w:bookmarkStart w:id="32854" w:name="_Toc396138798"/>
      <w:bookmarkStart w:id="32855" w:name="_Toc396144059"/>
      <w:bookmarkStart w:id="32856" w:name="_Toc396145568"/>
      <w:bookmarkStart w:id="32857" w:name="_Toc396145712"/>
      <w:bookmarkStart w:id="32858" w:name="_Toc396145994"/>
      <w:bookmarkStart w:id="32859" w:name="_Toc396147534"/>
      <w:bookmarkStart w:id="32860" w:name="_Toc396147820"/>
      <w:bookmarkStart w:id="32861" w:name="_Toc396149076"/>
      <w:bookmarkStart w:id="32862" w:name="_Toc396148790"/>
      <w:bookmarkStart w:id="32863" w:name="_Toc396149571"/>
      <w:bookmarkStart w:id="32864" w:name="_Toc396149216"/>
      <w:bookmarkStart w:id="32865" w:name="_Toc396149502"/>
      <w:bookmarkStart w:id="32866" w:name="_Toc396149924"/>
      <w:bookmarkStart w:id="32867" w:name="_Toc396149674"/>
      <w:bookmarkStart w:id="32868" w:name="_Toc396150515"/>
      <w:bookmarkStart w:id="32869" w:name="_Toc396151404"/>
      <w:bookmarkStart w:id="32870" w:name="_Toc396151698"/>
      <w:bookmarkStart w:id="32871" w:name="_Toc396201625"/>
      <w:bookmarkStart w:id="32872" w:name="_Toc396202415"/>
      <w:bookmarkStart w:id="32873" w:name="_Toc396202710"/>
      <w:bookmarkStart w:id="32874" w:name="_Toc396203327"/>
      <w:bookmarkStart w:id="32875" w:name="_Toc396206623"/>
      <w:bookmarkStart w:id="32876" w:name="_Toc396206917"/>
      <w:bookmarkStart w:id="32877" w:name="_Toc396209451"/>
      <w:bookmarkStart w:id="32878" w:name="_Toc396209745"/>
      <w:bookmarkStart w:id="32879" w:name="_Toc396211875"/>
      <w:bookmarkStart w:id="32880" w:name="_Toc396212169"/>
      <w:bookmarkStart w:id="32881" w:name="_Toc396213219"/>
      <w:bookmarkStart w:id="32882" w:name="_Toc396213511"/>
      <w:bookmarkStart w:id="32883" w:name="_Toc396214497"/>
      <w:bookmarkStart w:id="32884" w:name="_Toc396214787"/>
      <w:bookmarkStart w:id="32885" w:name="_Toc396220347"/>
      <w:bookmarkStart w:id="32886" w:name="_Toc396226609"/>
      <w:bookmarkStart w:id="32887" w:name="_Toc396226898"/>
      <w:bookmarkStart w:id="32888" w:name="_Toc396228809"/>
      <w:bookmarkStart w:id="32889" w:name="_Toc396229104"/>
      <w:bookmarkStart w:id="32890" w:name="_Toc396230451"/>
      <w:bookmarkStart w:id="32891" w:name="_Toc396230746"/>
      <w:bookmarkStart w:id="32892" w:name="_Toc396231888"/>
      <w:bookmarkStart w:id="32893" w:name="_Toc396233231"/>
      <w:bookmarkStart w:id="32894" w:name="_Toc396233528"/>
      <w:bookmarkStart w:id="32895" w:name="_Toc396234051"/>
      <w:bookmarkStart w:id="32896" w:name="_Toc396234348"/>
      <w:bookmarkStart w:id="32897" w:name="_Toc396234461"/>
      <w:bookmarkStart w:id="32898" w:name="_Toc396236195"/>
      <w:bookmarkStart w:id="32899" w:name="_Toc396235973"/>
      <w:bookmarkStart w:id="32900" w:name="_Toc396236583"/>
      <w:bookmarkStart w:id="32901" w:name="_Toc396237102"/>
      <w:bookmarkStart w:id="32902" w:name="_Toc396397445"/>
      <w:bookmarkStart w:id="32903" w:name="_Toc396304626"/>
      <w:bookmarkStart w:id="32904" w:name="_Toc396586161"/>
      <w:bookmarkStart w:id="32905" w:name="_Toc396815182"/>
      <w:bookmarkStart w:id="32906" w:name="_Toc396821131"/>
      <w:bookmarkStart w:id="32907" w:name="_Toc396821739"/>
      <w:bookmarkStart w:id="32908" w:name="_Toc396827589"/>
      <w:bookmarkStart w:id="32909" w:name="_Toc396828560"/>
      <w:bookmarkStart w:id="32910" w:name="_Toc396828670"/>
      <w:bookmarkStart w:id="32911" w:name="_Toc396838059"/>
      <w:bookmarkStart w:id="32912" w:name="_Toc396838457"/>
      <w:bookmarkStart w:id="32913" w:name="_Toc396904780"/>
      <w:bookmarkStart w:id="32914" w:name="_Toc396907614"/>
      <w:bookmarkStart w:id="32915" w:name="_Toc396912533"/>
      <w:bookmarkStart w:id="32916" w:name="_Toc396914513"/>
      <w:bookmarkStart w:id="32917" w:name="_Toc396915397"/>
      <w:bookmarkStart w:id="32918" w:name="_Toc396915791"/>
      <w:bookmarkStart w:id="32919" w:name="_Toc396921102"/>
      <w:bookmarkStart w:id="32920" w:name="_Toc396924442"/>
      <w:bookmarkStart w:id="32921" w:name="_Toc396925136"/>
      <w:bookmarkStart w:id="32922" w:name="_Toc396992256"/>
      <w:bookmarkStart w:id="32923" w:name="_Toc396992835"/>
      <w:bookmarkStart w:id="32924" w:name="_Toc396994499"/>
      <w:bookmarkStart w:id="32925" w:name="_Toc397002269"/>
      <w:bookmarkStart w:id="32926" w:name="_Toc397003188"/>
      <w:bookmarkStart w:id="32927" w:name="_Toc397008746"/>
      <w:bookmarkStart w:id="32928" w:name="_Toc397008964"/>
      <w:bookmarkStart w:id="32929" w:name="_Toc397011636"/>
      <w:bookmarkStart w:id="32930" w:name="_Toc397012698"/>
      <w:bookmarkStart w:id="32931" w:name="_Toc397015040"/>
      <w:bookmarkStart w:id="32932" w:name="_Toc397015527"/>
      <w:bookmarkStart w:id="32933" w:name="_Toc397070598"/>
      <w:bookmarkStart w:id="32934" w:name="_Toc397413352"/>
      <w:bookmarkStart w:id="32935" w:name="_Toc397413499"/>
      <w:bookmarkStart w:id="32936" w:name="_Toc397428068"/>
      <w:bookmarkStart w:id="32937" w:name="_Toc397439458"/>
      <w:bookmarkStart w:id="32938" w:name="_Toc397439628"/>
      <w:bookmarkStart w:id="32939" w:name="_Toc397439884"/>
      <w:bookmarkStart w:id="32940" w:name="_Toc397440186"/>
      <w:bookmarkStart w:id="32941" w:name="_Toc397441815"/>
      <w:bookmarkStart w:id="32942" w:name="_Toc397517517"/>
      <w:bookmarkStart w:id="32943" w:name="_Toc397522782"/>
      <w:bookmarkStart w:id="32944" w:name="_Toc397526200"/>
      <w:bookmarkStart w:id="32945" w:name="_Toc397528400"/>
      <w:bookmarkStart w:id="32946" w:name="_Toc397528515"/>
      <w:bookmarkStart w:id="32947" w:name="_Toc397528990"/>
      <w:bookmarkStart w:id="32948" w:name="_Toc397601990"/>
      <w:bookmarkStart w:id="32949" w:name="_Toc397602725"/>
      <w:bookmarkStart w:id="32950" w:name="_Toc397605858"/>
      <w:bookmarkStart w:id="32951" w:name="_Toc397614555"/>
      <w:bookmarkStart w:id="32952" w:name="_Toc397614998"/>
      <w:bookmarkStart w:id="32953" w:name="_Toc397616441"/>
      <w:bookmarkStart w:id="32954" w:name="_Toc397616835"/>
      <w:bookmarkStart w:id="32955" w:name="_Toc397688133"/>
      <w:bookmarkStart w:id="32956" w:name="_Toc397689349"/>
      <w:bookmarkStart w:id="32957" w:name="_Toc397694629"/>
      <w:bookmarkStart w:id="32958" w:name="_Toc397696470"/>
      <w:bookmarkStart w:id="32959" w:name="_Toc397697204"/>
      <w:bookmarkStart w:id="32960" w:name="_Toc397698491"/>
      <w:bookmarkStart w:id="32961" w:name="_Toc397699857"/>
      <w:bookmarkStart w:id="32962" w:name="_Toc397700311"/>
      <w:bookmarkStart w:id="32963" w:name="_Toc397936703"/>
      <w:bookmarkStart w:id="32964" w:name="_Toc397936823"/>
      <w:bookmarkStart w:id="32965" w:name="_Toc397945979"/>
      <w:bookmarkStart w:id="32966" w:name="_Toc397947005"/>
      <w:bookmarkStart w:id="32967" w:name="_Toc397948124"/>
      <w:bookmarkStart w:id="32968" w:name="_Toc397958530"/>
      <w:bookmarkStart w:id="32969" w:name="_Toc397958772"/>
      <w:bookmarkStart w:id="32970" w:name="_Toc397959187"/>
      <w:bookmarkStart w:id="32971" w:name="_Toc397962254"/>
      <w:bookmarkStart w:id="32972" w:name="_Toc397963040"/>
      <w:bookmarkStart w:id="32973" w:name="_Toc397963406"/>
      <w:bookmarkStart w:id="32974" w:name="_Toc397965483"/>
      <w:bookmarkStart w:id="32975" w:name="_Toc398197421"/>
      <w:bookmarkStart w:id="32976" w:name="_Toc398200046"/>
      <w:bookmarkStart w:id="32977" w:name="_Toc398201638"/>
      <w:bookmarkStart w:id="32978" w:name="_Toc398207243"/>
      <w:bookmarkStart w:id="32979" w:name="_Toc398209947"/>
      <w:bookmarkStart w:id="32980" w:name="_Toc398210516"/>
      <w:bookmarkStart w:id="32981" w:name="_Toc398211030"/>
      <w:bookmarkStart w:id="32982" w:name="_Toc398219841"/>
      <w:bookmarkStart w:id="32983" w:name="_Toc398220216"/>
      <w:bookmarkStart w:id="32984" w:name="_Toc398220603"/>
      <w:bookmarkStart w:id="32985" w:name="_Toc398221681"/>
      <w:bookmarkStart w:id="32986" w:name="_Toc398222367"/>
      <w:bookmarkStart w:id="32987" w:name="_Toc398222679"/>
      <w:bookmarkStart w:id="32988" w:name="_Toc398223096"/>
      <w:bookmarkStart w:id="32989" w:name="_Toc398223475"/>
      <w:bookmarkStart w:id="32990" w:name="_Toc398223602"/>
      <w:bookmarkStart w:id="32991" w:name="_Toc398224410"/>
      <w:bookmarkStart w:id="32992" w:name="_Toc398225747"/>
      <w:bookmarkStart w:id="32993" w:name="_Toc398225872"/>
      <w:bookmarkStart w:id="32994" w:name="_Toc398281359"/>
      <w:bookmarkStart w:id="32995" w:name="_Toc398282218"/>
      <w:bookmarkStart w:id="32996" w:name="_Toc398284888"/>
      <w:bookmarkStart w:id="32997" w:name="_Toc398287357"/>
      <w:bookmarkStart w:id="32998" w:name="_Toc398289240"/>
      <w:bookmarkStart w:id="32999" w:name="_Toc398297237"/>
      <w:bookmarkStart w:id="33000" w:name="_Toc398298711"/>
      <w:bookmarkStart w:id="33001" w:name="_Toc398300412"/>
      <w:bookmarkStart w:id="33002" w:name="_Toc398301309"/>
      <w:bookmarkStart w:id="33003" w:name="_Toc398302494"/>
      <w:bookmarkStart w:id="33004" w:name="_Toc398302657"/>
      <w:bookmarkStart w:id="33005" w:name="_Toc398549171"/>
      <w:bookmarkStart w:id="33006" w:name="_Toc398549421"/>
      <w:bookmarkStart w:id="33007" w:name="_Toc398555840"/>
      <w:bookmarkStart w:id="33008" w:name="_Toc398559044"/>
      <w:bookmarkStart w:id="33009" w:name="_Toc398563530"/>
      <w:bookmarkStart w:id="33010" w:name="_Toc398563663"/>
      <w:bookmarkStart w:id="33011" w:name="_Toc398564062"/>
      <w:bookmarkStart w:id="33012" w:name="_Toc398827400"/>
      <w:bookmarkStart w:id="33013" w:name="_Toc398827594"/>
      <w:bookmarkStart w:id="33014" w:name="Ch18"/>
      <w:bookmarkEnd w:id="32610"/>
      <w:bookmarkEnd w:id="32611"/>
      <w:bookmarkEnd w:id="32612"/>
      <w:bookmarkEnd w:id="32613"/>
      <w:r w:rsidRPr="008625DC">
        <w:lastRenderedPageBreak/>
        <w:t>E</w:t>
      </w:r>
      <w:r w:rsidR="00876F6C" w:rsidRPr="008625DC">
        <w:t>mployment</w:t>
      </w:r>
      <w:r w:rsidR="00C74E19" w:rsidRPr="008625DC">
        <w:noBreakHyphen/>
      </w:r>
      <w:r w:rsidR="00063FF2" w:rsidRPr="008625DC">
        <w:t>r</w:t>
      </w:r>
      <w:r w:rsidR="00876F6C" w:rsidRPr="008625DC">
        <w:t xml:space="preserve">elated </w:t>
      </w:r>
      <w:r w:rsidR="00063FF2" w:rsidRPr="008625DC">
        <w:t>m</w:t>
      </w:r>
      <w:r w:rsidR="00876F6C" w:rsidRPr="008625DC">
        <w:t>atters</w:t>
      </w:r>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p>
    <w:p w14:paraId="5C54165B" w14:textId="4B888E2D" w:rsidR="00AA53F1" w:rsidRPr="008625DC" w:rsidRDefault="00B11C30" w:rsidP="00BD2EA4">
      <w:pPr>
        <w:pStyle w:val="Heading2"/>
        <w:ind w:left="851" w:hanging="851"/>
        <w:rPr>
          <w:lang w:val="en-AU"/>
        </w:rPr>
      </w:pPr>
      <w:bookmarkStart w:id="33015" w:name="_Toc397601991"/>
      <w:bookmarkStart w:id="33016" w:name="_Toc397602726"/>
      <w:bookmarkStart w:id="33017" w:name="_Toc397605859"/>
      <w:bookmarkStart w:id="33018" w:name="_Toc397614556"/>
      <w:bookmarkStart w:id="33019" w:name="_Toc397614999"/>
      <w:bookmarkStart w:id="33020" w:name="_Toc397616442"/>
      <w:bookmarkStart w:id="33021" w:name="_Toc397616836"/>
      <w:bookmarkStart w:id="33022" w:name="_Toc397688134"/>
      <w:bookmarkStart w:id="33023" w:name="_Toc397689350"/>
      <w:bookmarkStart w:id="33024" w:name="_Toc397694630"/>
      <w:bookmarkStart w:id="33025" w:name="_Toc397696471"/>
      <w:bookmarkStart w:id="33026" w:name="_Toc397697205"/>
      <w:bookmarkStart w:id="33027" w:name="_Toc397698492"/>
      <w:bookmarkStart w:id="33028" w:name="_Toc397699858"/>
      <w:bookmarkStart w:id="33029" w:name="_Toc397700312"/>
      <w:bookmarkStart w:id="33030" w:name="_Toc397936704"/>
      <w:bookmarkStart w:id="33031" w:name="_Toc397936824"/>
      <w:bookmarkStart w:id="33032" w:name="_Toc397945980"/>
      <w:bookmarkStart w:id="33033" w:name="_Toc397947006"/>
      <w:bookmarkStart w:id="33034" w:name="_Toc397948125"/>
      <w:bookmarkStart w:id="33035" w:name="_Toc397958531"/>
      <w:bookmarkStart w:id="33036" w:name="_Toc397958773"/>
      <w:bookmarkStart w:id="33037" w:name="_Toc397959188"/>
      <w:bookmarkStart w:id="33038" w:name="_Toc397962255"/>
      <w:bookmarkStart w:id="33039" w:name="_Toc397963041"/>
      <w:bookmarkStart w:id="33040" w:name="_Toc397963407"/>
      <w:bookmarkStart w:id="33041" w:name="_Toc397965484"/>
      <w:bookmarkStart w:id="33042" w:name="_Toc398197422"/>
      <w:bookmarkStart w:id="33043" w:name="_Toc398200047"/>
      <w:bookmarkStart w:id="33044" w:name="_Toc398201639"/>
      <w:bookmarkStart w:id="33045" w:name="_Toc398207244"/>
      <w:bookmarkStart w:id="33046" w:name="_Toc398209948"/>
      <w:bookmarkStart w:id="33047" w:name="_Toc398210517"/>
      <w:bookmarkStart w:id="33048" w:name="_Toc398211031"/>
      <w:bookmarkStart w:id="33049" w:name="_Toc398219842"/>
      <w:bookmarkStart w:id="33050" w:name="_Toc398220217"/>
      <w:bookmarkStart w:id="33051" w:name="_Toc398220604"/>
      <w:bookmarkStart w:id="33052" w:name="_Toc398221682"/>
      <w:bookmarkStart w:id="33053" w:name="_Toc398222368"/>
      <w:bookmarkStart w:id="33054" w:name="_Toc398222680"/>
      <w:bookmarkStart w:id="33055" w:name="_Toc398223097"/>
      <w:bookmarkStart w:id="33056" w:name="_Toc398223476"/>
      <w:bookmarkStart w:id="33057" w:name="_Toc398223603"/>
      <w:bookmarkStart w:id="33058" w:name="_Toc398224411"/>
      <w:bookmarkStart w:id="33059" w:name="_Toc398225748"/>
      <w:bookmarkStart w:id="33060" w:name="_Toc398225873"/>
      <w:bookmarkStart w:id="33061" w:name="_Toc398281360"/>
      <w:bookmarkStart w:id="33062" w:name="_Toc398282219"/>
      <w:bookmarkStart w:id="33063" w:name="_Toc398284889"/>
      <w:bookmarkStart w:id="33064" w:name="_Toc398287358"/>
      <w:bookmarkStart w:id="33065" w:name="_Toc398289241"/>
      <w:bookmarkStart w:id="33066" w:name="_Toc398297238"/>
      <w:bookmarkStart w:id="33067" w:name="_Toc398298712"/>
      <w:bookmarkStart w:id="33068" w:name="_Toc398300413"/>
      <w:bookmarkStart w:id="33069" w:name="_Toc398301310"/>
      <w:bookmarkStart w:id="33070" w:name="_Toc398302495"/>
      <w:bookmarkStart w:id="33071" w:name="_Toc398302658"/>
      <w:bookmarkStart w:id="33072" w:name="_Toc398549172"/>
      <w:bookmarkStart w:id="33073" w:name="_Toc398549422"/>
      <w:bookmarkStart w:id="33074" w:name="_Toc398555841"/>
      <w:bookmarkStart w:id="33075" w:name="_Toc398559045"/>
      <w:bookmarkStart w:id="33076" w:name="_Toc398563531"/>
      <w:bookmarkStart w:id="33077" w:name="_Toc398563664"/>
      <w:bookmarkStart w:id="33078" w:name="_Toc398564063"/>
      <w:bookmarkStart w:id="33079" w:name="_Toc398827401"/>
      <w:bookmarkStart w:id="33080" w:name="_Toc398827595"/>
      <w:bookmarkStart w:id="33081" w:name="_Toc394654534"/>
      <w:bookmarkStart w:id="33082" w:name="_Toc394654692"/>
      <w:bookmarkEnd w:id="32614"/>
      <w:bookmarkEnd w:id="32615"/>
      <w:bookmarkEnd w:id="32616"/>
      <w:bookmarkEnd w:id="32617"/>
      <w:bookmarkEnd w:id="32618"/>
      <w:bookmarkEnd w:id="32619"/>
      <w:bookmarkEnd w:id="32620"/>
      <w:bookmarkEnd w:id="32621"/>
      <w:bookmarkEnd w:id="32622"/>
      <w:bookmarkEnd w:id="32623"/>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3014"/>
      <w:r w:rsidRPr="008625DC">
        <w:rPr>
          <w:lang w:val="en-AU"/>
        </w:rPr>
        <w:t>Introduction</w:t>
      </w:r>
      <w:bookmarkEnd w:id="33015"/>
      <w:bookmarkEnd w:id="3301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p>
    <w:bookmarkEnd w:id="33081"/>
    <w:bookmarkEnd w:id="33082"/>
    <w:p w14:paraId="2A1ACE5A" w14:textId="1ABC28BF" w:rsidR="00B11C30" w:rsidRPr="008625DC" w:rsidRDefault="00B11C30" w:rsidP="004159AE">
      <w:pPr>
        <w:spacing w:after="120"/>
      </w:pPr>
      <w:r w:rsidRPr="008625DC">
        <w:t>The negotiation of employment terms and conditions has always been excluded from most of the competition law provisions of the CCA. This is achieved through section 51(2)(a) which provides:</w:t>
      </w:r>
    </w:p>
    <w:p w14:paraId="616B2F28" w14:textId="712F368C" w:rsidR="00B11C30" w:rsidRPr="008625DC" w:rsidRDefault="00B11C30" w:rsidP="00B11C30">
      <w:pPr>
        <w:pStyle w:val="Quotes"/>
      </w:pPr>
      <w:r w:rsidRPr="008625DC">
        <w:t>In determining whether a contravention of a provision o</w:t>
      </w:r>
      <w:r w:rsidR="004159AE" w:rsidRPr="008625DC">
        <w:t>f [Part IV], other than section </w:t>
      </w:r>
      <w:r w:rsidRPr="008625DC">
        <w:t>45D, 45DA, 45DB, 45E, 45EA or 48, has been committed, regard shall not be had …</w:t>
      </w:r>
      <w:r w:rsidR="004159AE" w:rsidRPr="008625DC">
        <w:t> </w:t>
      </w:r>
      <w:r w:rsidRPr="008625DC">
        <w:t xml:space="preserve">to any act done in relation to, or to the making of a contract or arrangement or the entering into of an understanding, or to any provision of a contract, arrangement or understanding, </w:t>
      </w:r>
      <w:r w:rsidRPr="008625DC">
        <w:rPr>
          <w:b/>
        </w:rPr>
        <w:t>to the extent that the contract, arrangement or understanding, or the provision, relates to the remuneration, conditions of employment, hours of work or working conditions of employees</w:t>
      </w:r>
      <w:r w:rsidRPr="008625DC">
        <w:t>.</w:t>
      </w:r>
      <w:r w:rsidR="004159AE" w:rsidRPr="008625DC">
        <w:t xml:space="preserve"> </w:t>
      </w:r>
      <w:r w:rsidR="00F7756B" w:rsidRPr="008625DC">
        <w:rPr>
          <w:color w:val="auto"/>
        </w:rPr>
        <w:t>(emphasis added)</w:t>
      </w:r>
    </w:p>
    <w:p w14:paraId="67FCF0EA" w14:textId="2B76B2FD" w:rsidR="00B11C30" w:rsidRPr="008625DC" w:rsidRDefault="00B11C30" w:rsidP="00B11C30">
      <w:r w:rsidRPr="008625DC">
        <w:t xml:space="preserve">The reason for that exclusion is that the negotiation and determination of employment terms and conditions is governed by a separate regulatory regime, currently contained in the </w:t>
      </w:r>
      <w:r w:rsidRPr="008625DC">
        <w:rPr>
          <w:i/>
        </w:rPr>
        <w:t>Fair Work Act</w:t>
      </w:r>
      <w:r w:rsidR="004159AE" w:rsidRPr="008625DC">
        <w:t> </w:t>
      </w:r>
      <w:r w:rsidRPr="008625DC">
        <w:rPr>
          <w:i/>
        </w:rPr>
        <w:t>2009</w:t>
      </w:r>
      <w:r w:rsidRPr="008625DC">
        <w:t>.</w:t>
      </w:r>
      <w:r w:rsidR="005D63BA" w:rsidRPr="008625DC">
        <w:t xml:space="preserve"> The policy rationale is that labour markets are not in all respects comparable to other product or service markets. As a general principle, the Panel concurs with that view.</w:t>
      </w:r>
    </w:p>
    <w:p w14:paraId="6DB3239C" w14:textId="28B606E0" w:rsidR="00B11C30" w:rsidRPr="008625DC" w:rsidRDefault="00B11C30" w:rsidP="004159AE">
      <w:pPr>
        <w:spacing w:after="120"/>
      </w:pPr>
      <w:r w:rsidRPr="008625DC">
        <w:t>However, there are two categories of employment</w:t>
      </w:r>
      <w:r w:rsidR="00C74E19" w:rsidRPr="008625DC">
        <w:noBreakHyphen/>
      </w:r>
      <w:r w:rsidRPr="008625DC">
        <w:t>related conduct that are not within that general exclusion:</w:t>
      </w:r>
    </w:p>
    <w:p w14:paraId="0C6A1960" w14:textId="29AF7650" w:rsidR="00B11C30" w:rsidRPr="008625DC" w:rsidRDefault="00B11C30" w:rsidP="004159AE">
      <w:pPr>
        <w:pStyle w:val="Bullet"/>
      </w:pPr>
      <w:r w:rsidRPr="008625DC">
        <w:t>secondary boycotts, which are prohibited by sections 45D, 45DA and 45DB; and</w:t>
      </w:r>
    </w:p>
    <w:p w14:paraId="5D5C3B89" w14:textId="77777777" w:rsidR="00B11C30" w:rsidRPr="008625DC" w:rsidRDefault="00B11C30" w:rsidP="004159AE">
      <w:pPr>
        <w:pStyle w:val="Bullet"/>
        <w:spacing w:after="240"/>
      </w:pPr>
      <w:r w:rsidRPr="008625DC">
        <w:t>trading restrictions in industrial agreements, which are prohibited by sections 45E and 45EA.</w:t>
      </w:r>
    </w:p>
    <w:p w14:paraId="3664D16F" w14:textId="77777777" w:rsidR="00B11C30" w:rsidRPr="008625DC" w:rsidRDefault="00B11C30" w:rsidP="00B11C30">
      <w:r w:rsidRPr="008625DC">
        <w:t xml:space="preserve">The Panel received submissions addressing each of those practices. </w:t>
      </w:r>
    </w:p>
    <w:p w14:paraId="3ABE96FF" w14:textId="7C361FFC" w:rsidR="00B11C30" w:rsidRPr="008625DC" w:rsidRDefault="00B11C30" w:rsidP="00BD2EA4">
      <w:pPr>
        <w:pStyle w:val="Heading2"/>
        <w:ind w:left="851" w:hanging="851"/>
        <w:rPr>
          <w:lang w:val="en-AU"/>
        </w:rPr>
      </w:pPr>
      <w:bookmarkStart w:id="33083" w:name="_Toc397601992"/>
      <w:bookmarkStart w:id="33084" w:name="_Toc397602727"/>
      <w:bookmarkStart w:id="33085" w:name="_Toc397605860"/>
      <w:bookmarkStart w:id="33086" w:name="_Toc397614557"/>
      <w:bookmarkStart w:id="33087" w:name="_Toc397615000"/>
      <w:bookmarkStart w:id="33088" w:name="_Toc397616443"/>
      <w:bookmarkStart w:id="33089" w:name="_Toc397616837"/>
      <w:bookmarkStart w:id="33090" w:name="_Toc397688135"/>
      <w:bookmarkStart w:id="33091" w:name="_Toc397689351"/>
      <w:bookmarkStart w:id="33092" w:name="_Toc397694631"/>
      <w:bookmarkStart w:id="33093" w:name="_Toc397696472"/>
      <w:bookmarkStart w:id="33094" w:name="_Toc397697206"/>
      <w:bookmarkStart w:id="33095" w:name="_Toc397698493"/>
      <w:bookmarkStart w:id="33096" w:name="_Toc397699859"/>
      <w:bookmarkStart w:id="33097" w:name="_Toc397700313"/>
      <w:bookmarkStart w:id="33098" w:name="_Toc397936705"/>
      <w:bookmarkStart w:id="33099" w:name="_Toc397936825"/>
      <w:bookmarkStart w:id="33100" w:name="_Toc397945981"/>
      <w:bookmarkStart w:id="33101" w:name="_Toc397947007"/>
      <w:bookmarkStart w:id="33102" w:name="_Toc397948126"/>
      <w:bookmarkStart w:id="33103" w:name="_Toc397958532"/>
      <w:bookmarkStart w:id="33104" w:name="_Toc397958774"/>
      <w:bookmarkStart w:id="33105" w:name="_Toc397959189"/>
      <w:bookmarkStart w:id="33106" w:name="_Toc397962256"/>
      <w:bookmarkStart w:id="33107" w:name="_Toc397963042"/>
      <w:bookmarkStart w:id="33108" w:name="_Toc397963408"/>
      <w:bookmarkStart w:id="33109" w:name="_Toc397965485"/>
      <w:bookmarkStart w:id="33110" w:name="_Toc398197423"/>
      <w:bookmarkStart w:id="33111" w:name="_Toc398200048"/>
      <w:bookmarkStart w:id="33112" w:name="_Toc398201640"/>
      <w:bookmarkStart w:id="33113" w:name="_Toc398207245"/>
      <w:bookmarkStart w:id="33114" w:name="_Toc398209949"/>
      <w:bookmarkStart w:id="33115" w:name="_Toc398210518"/>
      <w:bookmarkStart w:id="33116" w:name="_Toc398211032"/>
      <w:bookmarkStart w:id="33117" w:name="_Toc398219843"/>
      <w:bookmarkStart w:id="33118" w:name="_Toc398220218"/>
      <w:bookmarkStart w:id="33119" w:name="_Toc398220605"/>
      <w:bookmarkStart w:id="33120" w:name="_Toc398221683"/>
      <w:bookmarkStart w:id="33121" w:name="_Toc398222369"/>
      <w:bookmarkStart w:id="33122" w:name="_Toc398222681"/>
      <w:bookmarkStart w:id="33123" w:name="_Toc398223098"/>
      <w:bookmarkStart w:id="33124" w:name="_Toc398223477"/>
      <w:bookmarkStart w:id="33125" w:name="_Toc398223604"/>
      <w:bookmarkStart w:id="33126" w:name="_Toc398224412"/>
      <w:bookmarkStart w:id="33127" w:name="_Toc398225749"/>
      <w:bookmarkStart w:id="33128" w:name="_Toc398225874"/>
      <w:bookmarkStart w:id="33129" w:name="_Toc398281361"/>
      <w:bookmarkStart w:id="33130" w:name="_Toc398282220"/>
      <w:bookmarkStart w:id="33131" w:name="_Toc398284890"/>
      <w:bookmarkStart w:id="33132" w:name="_Toc398287359"/>
      <w:bookmarkStart w:id="33133" w:name="_Toc398289242"/>
      <w:bookmarkStart w:id="33134" w:name="_Toc398297239"/>
      <w:bookmarkStart w:id="33135" w:name="_Toc398298713"/>
      <w:bookmarkStart w:id="33136" w:name="_Toc398300414"/>
      <w:bookmarkStart w:id="33137" w:name="_Toc398301311"/>
      <w:bookmarkStart w:id="33138" w:name="_Toc398302496"/>
      <w:bookmarkStart w:id="33139" w:name="_Toc398302659"/>
      <w:bookmarkStart w:id="33140" w:name="_Toc398549173"/>
      <w:bookmarkStart w:id="33141" w:name="_Toc398549423"/>
      <w:bookmarkStart w:id="33142" w:name="_Toc398555842"/>
      <w:bookmarkStart w:id="33143" w:name="_Toc398559046"/>
      <w:bookmarkStart w:id="33144" w:name="_Toc398563532"/>
      <w:bookmarkStart w:id="33145" w:name="_Toc398563665"/>
      <w:bookmarkStart w:id="33146" w:name="_Toc398564064"/>
      <w:bookmarkStart w:id="33147" w:name="_Toc398827402"/>
      <w:bookmarkStart w:id="33148" w:name="_Toc398827596"/>
      <w:bookmarkStart w:id="33149" w:name="s182"/>
      <w:r w:rsidRPr="008625DC">
        <w:rPr>
          <w:lang w:val="en-AU"/>
        </w:rPr>
        <w:t>Secondary boycotts</w:t>
      </w:r>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p>
    <w:bookmarkEnd w:id="33149"/>
    <w:p w14:paraId="3CB38017" w14:textId="3E510997" w:rsidR="00B11C30" w:rsidRPr="008625DC" w:rsidRDefault="00B11C30" w:rsidP="004159AE">
      <w:pPr>
        <w:spacing w:after="120"/>
      </w:pPr>
      <w:r w:rsidRPr="008625DC">
        <w:t>The CCA prohibits certain types of secondary boycott conduct. Generally, a secondary boycott involves two or more persons, in concert with each other, engaging in conduct:</w:t>
      </w:r>
    </w:p>
    <w:p w14:paraId="4D45C8D2" w14:textId="74CD25E4" w:rsidR="00B11C30" w:rsidRPr="008625DC" w:rsidRDefault="00565029" w:rsidP="00B11C30">
      <w:pPr>
        <w:pStyle w:val="Bullet"/>
      </w:pPr>
      <w:r w:rsidRPr="008625DC">
        <w:t xml:space="preserve">that </w:t>
      </w:r>
      <w:r w:rsidR="00B11C30" w:rsidRPr="008625DC">
        <w:t xml:space="preserve">hinders or prevents a third person supplying goods or services to, or acquiring goods or services from, a fourth person (who is not an employer of the persons acting in concert), where the conduct is engaged in for the purpose, </w:t>
      </w:r>
      <w:r w:rsidR="002D17D6" w:rsidRPr="008625DC">
        <w:t xml:space="preserve">and would have or be likely to have the effect, of </w:t>
      </w:r>
      <w:r w:rsidR="00B11C30" w:rsidRPr="008625DC">
        <w:t>causing substantial loss or damage to the business of the fourth person (</w:t>
      </w:r>
      <w:r w:rsidR="00EE0C16" w:rsidRPr="008625DC">
        <w:t>section </w:t>
      </w:r>
      <w:r w:rsidR="00B11C30" w:rsidRPr="008625DC">
        <w:t>45D);</w:t>
      </w:r>
    </w:p>
    <w:p w14:paraId="093611A9" w14:textId="2BC30074" w:rsidR="00B11C30" w:rsidRPr="008625DC" w:rsidRDefault="00565029" w:rsidP="00B11C30">
      <w:pPr>
        <w:pStyle w:val="Bullet"/>
      </w:pPr>
      <w:r w:rsidRPr="008625DC">
        <w:t xml:space="preserve">that </w:t>
      </w:r>
      <w:r w:rsidR="00B11C30" w:rsidRPr="008625DC">
        <w:t xml:space="preserve">hinders or prevents a third person supplying goods or services to, or acquiring goods and services from, a fourth person (who is not an employer of the persons acting in concert), where the conduct is engaged in for the purpose, </w:t>
      </w:r>
      <w:r w:rsidR="002D17D6" w:rsidRPr="008625DC">
        <w:t xml:space="preserve">and </w:t>
      </w:r>
      <w:r w:rsidR="00B11C30" w:rsidRPr="008625DC">
        <w:t>would</w:t>
      </w:r>
      <w:r w:rsidR="00B11C30" w:rsidRPr="008625DC" w:rsidDel="002D17D6">
        <w:t xml:space="preserve"> </w:t>
      </w:r>
      <w:r w:rsidR="002D17D6" w:rsidRPr="008625DC">
        <w:t>or be</w:t>
      </w:r>
      <w:r w:rsidR="00B11C30" w:rsidRPr="008625DC">
        <w:t xml:space="preserve"> likely </w:t>
      </w:r>
      <w:r w:rsidR="002D17D6" w:rsidRPr="008625DC">
        <w:t xml:space="preserve">to have the </w:t>
      </w:r>
      <w:r w:rsidR="00B11C30" w:rsidRPr="008625DC">
        <w:t xml:space="preserve">effect, of </w:t>
      </w:r>
      <w:r w:rsidR="002D17D6" w:rsidRPr="008625DC">
        <w:t xml:space="preserve">causing a </w:t>
      </w:r>
      <w:r w:rsidR="00B11C30" w:rsidRPr="008625DC">
        <w:t xml:space="preserve">substantially </w:t>
      </w:r>
      <w:r w:rsidR="008177F5" w:rsidRPr="008625DC">
        <w:t xml:space="preserve">of </w:t>
      </w:r>
      <w:r w:rsidR="00B11C30" w:rsidRPr="008625DC">
        <w:t>lessening competition in any market in which the fourth person trades (</w:t>
      </w:r>
      <w:r w:rsidR="00EE0C16" w:rsidRPr="008625DC">
        <w:t>section </w:t>
      </w:r>
      <w:r w:rsidR="00B11C30" w:rsidRPr="008625DC">
        <w:t>45DA); or</w:t>
      </w:r>
    </w:p>
    <w:p w14:paraId="7A502D0C" w14:textId="151CFE31" w:rsidR="00B11C30" w:rsidRPr="008625DC" w:rsidRDefault="00565029" w:rsidP="004159AE">
      <w:pPr>
        <w:pStyle w:val="Bullet"/>
        <w:spacing w:after="240"/>
      </w:pPr>
      <w:r w:rsidRPr="008625DC">
        <w:t xml:space="preserve">for the purpose, and having or likely to have the effect, of preventing or </w:t>
      </w:r>
      <w:r w:rsidR="00B11C30" w:rsidRPr="008625DC">
        <w:t>substantially hinder</w:t>
      </w:r>
      <w:r w:rsidRPr="008625DC">
        <w:t>ing</w:t>
      </w:r>
      <w:r w:rsidR="00B11C30" w:rsidRPr="008625DC">
        <w:t xml:space="preserve"> a third person (who is not an employer of </w:t>
      </w:r>
      <w:r w:rsidRPr="008625DC">
        <w:t>the first person</w:t>
      </w:r>
      <w:r w:rsidR="00B11C30" w:rsidRPr="008625DC">
        <w:t xml:space="preserve">) from engaging in trade or commerce </w:t>
      </w:r>
      <w:r w:rsidRPr="008625DC">
        <w:t>involving the movement of goods between Australia and places outside</w:t>
      </w:r>
      <w:r w:rsidR="00B11C30" w:rsidRPr="008625DC">
        <w:t xml:space="preserve"> Australia (</w:t>
      </w:r>
      <w:r w:rsidR="00EE0C16" w:rsidRPr="008625DC">
        <w:t>section </w:t>
      </w:r>
      <w:r w:rsidR="00B11C30" w:rsidRPr="008625DC">
        <w:t>45DB).</w:t>
      </w:r>
    </w:p>
    <w:p w14:paraId="70DD2F73" w14:textId="12C7CD81" w:rsidR="00B11C30" w:rsidRPr="008625DC" w:rsidRDefault="00B11C30" w:rsidP="00B11C30">
      <w:r w:rsidRPr="008625DC">
        <w:t>The secondary boycott prohibitions are generally applicable to employees who are members of the same organisation of employees. Under section</w:t>
      </w:r>
      <w:r w:rsidR="00EE0C16" w:rsidRPr="008625DC">
        <w:t> </w:t>
      </w:r>
      <w:r w:rsidRPr="008625DC">
        <w:t>45DC, an employee organisation may become liable for the secondary boycott activity of its members.</w:t>
      </w:r>
    </w:p>
    <w:p w14:paraId="6512575E" w14:textId="77777777" w:rsidR="005D63BA" w:rsidRPr="008625DC" w:rsidRDefault="00B11C30" w:rsidP="00B11C30">
      <w:r w:rsidRPr="008625DC">
        <w:lastRenderedPageBreak/>
        <w:t xml:space="preserve">Secondary boycotts are harmful to trading freedom and therefore harmful to competition. </w:t>
      </w:r>
      <w:r w:rsidR="005D63BA" w:rsidRPr="008625DC">
        <w:t xml:space="preserve">Secondary boycott prohibitions, with effective enforcement capability, have been shown to have a significant deterrent effect on behaviour that would otherwise compromise the capacity of consumers to access goods and services in a competitive market. </w:t>
      </w:r>
    </w:p>
    <w:p w14:paraId="707245FC" w14:textId="2E7DE4A4" w:rsidR="00B11C30" w:rsidRPr="008625DC" w:rsidRDefault="00B11C30" w:rsidP="004159AE">
      <w:pPr>
        <w:spacing w:after="120"/>
      </w:pPr>
      <w:r w:rsidRPr="008625DC">
        <w:t>The Swanson Committee observed:</w:t>
      </w:r>
    </w:p>
    <w:p w14:paraId="6AF3D472" w14:textId="77777777" w:rsidR="00B11C30" w:rsidRPr="008625DC" w:rsidRDefault="00B11C30" w:rsidP="00B11C30">
      <w:pPr>
        <w:pStyle w:val="Quotes"/>
      </w:pPr>
      <w:r w:rsidRPr="008625DC">
        <w:t>[N]o section of the community should be entitled to be the judge in its own cause on matters directly aimed at interfering with the competitive process between firms. We make no exceptions to that position. If an organisation or group of persons for its own reasons deliberatively interferes with the competitive process, then the community is entitled to have those reasons scrutinised by a body independent of the persons engaged in the dispute.</w:t>
      </w:r>
      <w:r w:rsidRPr="008625DC">
        <w:rPr>
          <w:rStyle w:val="FootnoteReference"/>
        </w:rPr>
        <w:footnoteReference w:id="337"/>
      </w:r>
    </w:p>
    <w:p w14:paraId="4219BD74" w14:textId="71FD5655" w:rsidR="005D63BA" w:rsidRPr="008625DC" w:rsidRDefault="005D63BA" w:rsidP="00B11C30">
      <w:r w:rsidRPr="008625DC">
        <w:t xml:space="preserve">The Panel considers this policy rationale, including its application to organisations of employees, </w:t>
      </w:r>
      <w:r w:rsidR="00D0797A" w:rsidRPr="008625DC">
        <w:t xml:space="preserve">to be </w:t>
      </w:r>
      <w:r w:rsidRPr="008625DC">
        <w:t>as relevant today as it was when first formulated. The existence of such prohibitions and their enforcement by parties</w:t>
      </w:r>
      <w:r w:rsidR="00BC2C1C" w:rsidRPr="008625DC">
        <w:t xml:space="preserve"> harmed</w:t>
      </w:r>
      <w:r w:rsidRPr="008625DC" w:rsidDel="00D0797A">
        <w:t xml:space="preserve"> by the </w:t>
      </w:r>
      <w:r w:rsidR="00BC2C1C" w:rsidRPr="008625DC">
        <w:t>conduct</w:t>
      </w:r>
      <w:r w:rsidRPr="008625DC" w:rsidDel="00D0797A">
        <w:t xml:space="preserve"> </w:t>
      </w:r>
      <w:r w:rsidRPr="008625DC">
        <w:t>serves the public interest.</w:t>
      </w:r>
    </w:p>
    <w:p w14:paraId="272A1C04" w14:textId="5004445A" w:rsidR="00B11C30" w:rsidRPr="008625DC" w:rsidRDefault="00B11C30" w:rsidP="00B11C30">
      <w:r w:rsidRPr="008625DC">
        <w:t xml:space="preserve">The secondary boycott provisions have been the subject of numerous amendments since their inception in 1977, particularly in relation to </w:t>
      </w:r>
      <w:r w:rsidR="00D0797A" w:rsidRPr="008625DC">
        <w:t xml:space="preserve">the </w:t>
      </w:r>
      <w:r w:rsidR="00565029" w:rsidRPr="008625DC">
        <w:t>types of</w:t>
      </w:r>
      <w:r w:rsidR="00D0797A" w:rsidRPr="008625DC">
        <w:t xml:space="preserve"> </w:t>
      </w:r>
      <w:r w:rsidRPr="008625DC">
        <w:t xml:space="preserve">conduct </w:t>
      </w:r>
      <w:r w:rsidR="00D0797A" w:rsidRPr="008625DC">
        <w:t xml:space="preserve">which </w:t>
      </w:r>
      <w:r w:rsidRPr="008625DC">
        <w:t>should or should not be excluded from the operation of the laws.</w:t>
      </w:r>
    </w:p>
    <w:p w14:paraId="15819002" w14:textId="6C58D8E4" w:rsidR="00B11C30" w:rsidRPr="008625DC" w:rsidRDefault="00B11C30" w:rsidP="004159AE">
      <w:pPr>
        <w:spacing w:after="120"/>
      </w:pPr>
      <w:r w:rsidRPr="008625DC">
        <w:t>There are presently two general exclusions (o</w:t>
      </w:r>
      <w:r w:rsidR="008177F5" w:rsidRPr="008625DC">
        <w:t>r defences) to the prohibitions.</w:t>
      </w:r>
    </w:p>
    <w:p w14:paraId="267E6C4D" w14:textId="274070F8" w:rsidR="00B11C30" w:rsidRPr="008625DC" w:rsidRDefault="00B11C30" w:rsidP="00B11C30">
      <w:pPr>
        <w:pStyle w:val="Bullet"/>
      </w:pPr>
      <w:r w:rsidRPr="008625DC">
        <w:t>The first defence applies if the dominant purpose for which a p</w:t>
      </w:r>
      <w:r w:rsidR="004159AE" w:rsidRPr="008625DC">
        <w:t>erson engages in the conduct is </w:t>
      </w:r>
      <w:r w:rsidRPr="008625DC">
        <w:t>substantially related to the remuneration, conditions of employment, hours of work or working conditions of that person or a fellow employee (</w:t>
      </w:r>
      <w:r w:rsidR="00EE0C16" w:rsidRPr="008625DC">
        <w:t>subsection </w:t>
      </w:r>
      <w:r w:rsidRPr="008625DC">
        <w:t>45DD(1)).</w:t>
      </w:r>
    </w:p>
    <w:p w14:paraId="5B0D9C10" w14:textId="109FF82B" w:rsidR="00B11C30" w:rsidRPr="008625DC" w:rsidRDefault="00B11C30" w:rsidP="004159AE">
      <w:pPr>
        <w:pStyle w:val="Bullet"/>
        <w:spacing w:after="240"/>
      </w:pPr>
      <w:r w:rsidRPr="008625DC">
        <w:t>The second defence applies if the dominant purpose for which a person engages in the conduct is substantially related to environmental protection or consumer protection and engaging in the conduct is not industrial action (</w:t>
      </w:r>
      <w:r w:rsidR="00EE0C16" w:rsidRPr="008625DC">
        <w:t>subsection </w:t>
      </w:r>
      <w:r w:rsidRPr="008625DC">
        <w:t>45DD(3)).</w:t>
      </w:r>
    </w:p>
    <w:p w14:paraId="342906B4" w14:textId="77777777" w:rsidR="00B11C30" w:rsidRPr="008625DC" w:rsidRDefault="00B11C30" w:rsidP="00B11C30">
      <w:r w:rsidRPr="008625DC">
        <w:t>The Panel received submissions in relation to each of those defences.</w:t>
      </w:r>
    </w:p>
    <w:p w14:paraId="24F2E8A8" w14:textId="0FC71A15" w:rsidR="00B11C30" w:rsidRPr="008625DC" w:rsidRDefault="00B11C30" w:rsidP="00FB084C">
      <w:pPr>
        <w:pStyle w:val="Heading3"/>
      </w:pPr>
      <w:r w:rsidRPr="008625DC">
        <w:t>Employment exception</w:t>
      </w:r>
      <w:r w:rsidR="00D0797A" w:rsidRPr="008625DC">
        <w:t>s</w:t>
      </w:r>
    </w:p>
    <w:p w14:paraId="15D43087" w14:textId="02F882FB" w:rsidR="00B11C30" w:rsidRPr="008625DC" w:rsidRDefault="00B11C30" w:rsidP="00B11C30">
      <w:r w:rsidRPr="008625DC">
        <w:t>A number of submissions argue for or against the retention of the secondary boycott prohibition and the scope of the employment exception. The Australian Chamber of Commerce and Industry (ACCI) support</w:t>
      </w:r>
      <w:r w:rsidR="00836D17" w:rsidRPr="008625DC">
        <w:t>s</w:t>
      </w:r>
      <w:r w:rsidRPr="008625DC">
        <w:t xml:space="preserve"> retention of the secondary boycott provisions</w:t>
      </w:r>
      <w:r w:rsidR="005D63BA" w:rsidRPr="008625DC">
        <w:t xml:space="preserve"> and the employment exception</w:t>
      </w:r>
      <w:r w:rsidR="00D0797A" w:rsidRPr="008625DC">
        <w:t>s</w:t>
      </w:r>
      <w:r w:rsidRPr="008625DC">
        <w:rPr>
          <w:rFonts w:cs="TT15Ct00"/>
          <w:color w:val="auto"/>
        </w:rPr>
        <w:t>.</w:t>
      </w:r>
      <w:r w:rsidRPr="008625DC">
        <w:rPr>
          <w:rStyle w:val="FootnoteReference"/>
          <w:rFonts w:cs="TT15Ct00"/>
          <w:color w:val="auto"/>
          <w:szCs w:val="22"/>
        </w:rPr>
        <w:footnoteReference w:id="338"/>
      </w:r>
      <w:r w:rsidRPr="008625DC">
        <w:rPr>
          <w:rFonts w:cs="TT15Ct00"/>
          <w:color w:val="auto"/>
        </w:rPr>
        <w:t xml:space="preserve"> </w:t>
      </w:r>
      <w:r w:rsidRPr="008625DC">
        <w:rPr>
          <w:color w:val="auto"/>
        </w:rPr>
        <w:t>The ACTU s</w:t>
      </w:r>
      <w:r w:rsidR="00836D17" w:rsidRPr="008625DC">
        <w:rPr>
          <w:color w:val="auto"/>
        </w:rPr>
        <w:t>eeks</w:t>
      </w:r>
      <w:r w:rsidRPr="008625DC">
        <w:rPr>
          <w:color w:val="auto"/>
        </w:rPr>
        <w:t xml:space="preserve"> a widening of the employment exception</w:t>
      </w:r>
      <w:r w:rsidR="00F3695C" w:rsidRPr="008625DC">
        <w:rPr>
          <w:rFonts w:cs="TT15Ct00"/>
          <w:color w:val="auto"/>
        </w:rPr>
        <w:t xml:space="preserve"> applicable to secondary boycotts</w:t>
      </w:r>
      <w:r w:rsidRPr="008625DC">
        <w:rPr>
          <w:color w:val="auto"/>
        </w:rPr>
        <w:t>, arguing that it d</w:t>
      </w:r>
      <w:r w:rsidR="00836D17" w:rsidRPr="008625DC">
        <w:rPr>
          <w:color w:val="auto"/>
        </w:rPr>
        <w:t>oes</w:t>
      </w:r>
      <w:r w:rsidRPr="008625DC">
        <w:rPr>
          <w:color w:val="auto"/>
        </w:rPr>
        <w:t xml:space="preserve"> not reflect Australia</w:t>
      </w:r>
      <w:r w:rsidR="00C74E19" w:rsidRPr="008625DC">
        <w:rPr>
          <w:color w:val="auto"/>
        </w:rPr>
        <w:t>’</w:t>
      </w:r>
      <w:r w:rsidRPr="008625DC">
        <w:rPr>
          <w:color w:val="auto"/>
        </w:rPr>
        <w:t>s international obligations</w:t>
      </w:r>
      <w:r w:rsidR="00F3695C" w:rsidRPr="008625DC">
        <w:rPr>
          <w:rFonts w:cs="TT15Ct00"/>
          <w:color w:val="auto"/>
        </w:rPr>
        <w:t xml:space="preserve"> (page 3)</w:t>
      </w:r>
      <w:r w:rsidRPr="008625DC">
        <w:rPr>
          <w:rFonts w:cs="TT15Ct00"/>
          <w:color w:val="auto"/>
        </w:rPr>
        <w:t>.</w:t>
      </w:r>
    </w:p>
    <w:p w14:paraId="08566710" w14:textId="6D61B460" w:rsidR="00B11C30" w:rsidRPr="008625DC" w:rsidRDefault="00B11C30" w:rsidP="00B11C30">
      <w:pPr>
        <w:rPr>
          <w:rFonts w:eastAsiaTheme="majorEastAsia"/>
        </w:rPr>
      </w:pPr>
      <w:r w:rsidRPr="008625DC">
        <w:rPr>
          <w:rFonts w:eastAsiaTheme="majorEastAsia"/>
        </w:rPr>
        <w:t xml:space="preserve">The Panel does not consider that a case has been made to warrant any change to the secondary boycott provisions </w:t>
      </w:r>
      <w:r w:rsidR="00836D17" w:rsidRPr="008625DC">
        <w:rPr>
          <w:rFonts w:eastAsiaTheme="majorEastAsia"/>
        </w:rPr>
        <w:t xml:space="preserve">of the CCA </w:t>
      </w:r>
      <w:r w:rsidRPr="008625DC">
        <w:rPr>
          <w:rFonts w:eastAsiaTheme="majorEastAsia"/>
        </w:rPr>
        <w:t xml:space="preserve">or </w:t>
      </w:r>
      <w:r w:rsidR="00F3695C" w:rsidRPr="008625DC">
        <w:rPr>
          <w:rFonts w:eastAsiaTheme="majorEastAsia"/>
        </w:rPr>
        <w:t>its</w:t>
      </w:r>
      <w:r w:rsidRPr="008625DC">
        <w:rPr>
          <w:rFonts w:eastAsiaTheme="majorEastAsia"/>
        </w:rPr>
        <w:t xml:space="preserve"> employment </w:t>
      </w:r>
      <w:r w:rsidR="00F3695C" w:rsidRPr="008625DC">
        <w:rPr>
          <w:rFonts w:eastAsiaTheme="majorEastAsia"/>
        </w:rPr>
        <w:t>exception</w:t>
      </w:r>
      <w:r w:rsidRPr="008625DC">
        <w:rPr>
          <w:rFonts w:eastAsiaTheme="majorEastAsia"/>
        </w:rPr>
        <w:t xml:space="preserve">. Conduct undertaken by employees or an organisation of employees that falls outside the current employment </w:t>
      </w:r>
      <w:r w:rsidR="00F3695C" w:rsidRPr="008625DC">
        <w:rPr>
          <w:rFonts w:eastAsiaTheme="majorEastAsia"/>
        </w:rPr>
        <w:t>exception</w:t>
      </w:r>
      <w:r w:rsidRPr="008625DC">
        <w:rPr>
          <w:rFonts w:eastAsiaTheme="majorEastAsia"/>
        </w:rPr>
        <w:t xml:space="preserve"> is likely to cause material harm to competition and has no apparent justification.</w:t>
      </w:r>
    </w:p>
    <w:p w14:paraId="75BC973E" w14:textId="3E9090A4" w:rsidR="00B11C30" w:rsidRPr="008625DC" w:rsidRDefault="00B11C30" w:rsidP="004159AE">
      <w:pPr>
        <w:spacing w:after="120"/>
      </w:pPr>
      <w:r w:rsidRPr="008625DC">
        <w:rPr>
          <w:rFonts w:eastAsiaTheme="majorEastAsia"/>
        </w:rPr>
        <w:t>A number of submissions also raise concern</w:t>
      </w:r>
      <w:r w:rsidR="00836D17" w:rsidRPr="008625DC">
        <w:rPr>
          <w:rFonts w:eastAsiaTheme="majorEastAsia"/>
        </w:rPr>
        <w:t>s</w:t>
      </w:r>
      <w:r w:rsidRPr="008625DC">
        <w:rPr>
          <w:rFonts w:eastAsiaTheme="majorEastAsia"/>
        </w:rPr>
        <w:t xml:space="preserve"> </w:t>
      </w:r>
      <w:r w:rsidRPr="008625DC">
        <w:t xml:space="preserve">around whether or not the ACCC </w:t>
      </w:r>
      <w:r w:rsidR="00836D17" w:rsidRPr="008625DC">
        <w:t>i</w:t>
      </w:r>
      <w:r w:rsidRPr="008625DC">
        <w:t>s taking sufficient steps to enforce the provisions. ACCI</w:t>
      </w:r>
      <w:r w:rsidR="00C74E19" w:rsidRPr="008625DC">
        <w:t>’</w:t>
      </w:r>
      <w:r w:rsidRPr="008625DC">
        <w:t>s submission (p</w:t>
      </w:r>
      <w:r w:rsidR="00F3695C" w:rsidRPr="008625DC">
        <w:t>age</w:t>
      </w:r>
      <w:r w:rsidR="00457973" w:rsidRPr="008625DC">
        <w:t> </w:t>
      </w:r>
      <w:r w:rsidRPr="008625DC">
        <w:t>43) note</w:t>
      </w:r>
      <w:r w:rsidR="00836D17" w:rsidRPr="008625DC">
        <w:t>s</w:t>
      </w:r>
      <w:r w:rsidRPr="008625DC">
        <w:t xml:space="preserve"> the importance of public </w:t>
      </w:r>
      <w:r w:rsidRPr="008625DC">
        <w:lastRenderedPageBreak/>
        <w:t>enforcement of the provisions, particularly for small business. Some submissions argue that information about enforcement decisions by the ACCC in relation to secondary boycotts lack</w:t>
      </w:r>
      <w:r w:rsidR="00836D17" w:rsidRPr="008625DC">
        <w:t>s</w:t>
      </w:r>
      <w:r w:rsidRPr="008625DC">
        <w:t xml:space="preserve"> transparency. Other submissions note that the Cole Royal Commission had recommended that:</w:t>
      </w:r>
    </w:p>
    <w:p w14:paraId="5F031BD5" w14:textId="311DCD0A" w:rsidR="00B11C30" w:rsidRPr="008625DC" w:rsidRDefault="00B11C30" w:rsidP="00B11C30">
      <w:pPr>
        <w:pStyle w:val="Quotes"/>
      </w:pPr>
      <w:r w:rsidRPr="008625DC">
        <w:t xml:space="preserve">The Building and Construction Industry Improvement Act contain secondary boycott provisions mirroring ss45D–45E of the </w:t>
      </w:r>
      <w:r w:rsidRPr="008625DC">
        <w:rPr>
          <w:i/>
        </w:rPr>
        <w:t>Trade Practices Act 1974</w:t>
      </w:r>
      <w:r w:rsidRPr="008625DC">
        <w:t xml:space="preserve"> (Cth), but limited in operation to the building and construction industry.</w:t>
      </w:r>
      <w:r w:rsidRPr="008625DC">
        <w:rPr>
          <w:rStyle w:val="FootnoteReference"/>
        </w:rPr>
        <w:footnoteReference w:id="339"/>
      </w:r>
    </w:p>
    <w:p w14:paraId="154FB364" w14:textId="71EF8914" w:rsidR="00B11C30" w:rsidRPr="008625DC" w:rsidRDefault="00B11C30" w:rsidP="00B11C30">
      <w:r w:rsidRPr="008625DC">
        <w:t xml:space="preserve">It </w:t>
      </w:r>
      <w:r w:rsidR="00836D17" w:rsidRPr="008625DC">
        <w:t>i</w:t>
      </w:r>
      <w:r w:rsidRPr="008625DC">
        <w:t>s argued in submissions that the specific circumstances and degree of concerns in the construction industry warrant shared jurisdiction of these matters between the ACCC and any Australian Building and Construction Commission (ABCC)</w:t>
      </w:r>
      <w:r w:rsidR="00C74E19" w:rsidRPr="008625DC">
        <w:noBreakHyphen/>
      </w:r>
      <w:r w:rsidRPr="008625DC">
        <w:t>type body, should one be re</w:t>
      </w:r>
      <w:r w:rsidR="00C74E19" w:rsidRPr="008625DC">
        <w:noBreakHyphen/>
      </w:r>
      <w:r w:rsidRPr="008625DC">
        <w:t>established.</w:t>
      </w:r>
    </w:p>
    <w:p w14:paraId="1DD9EB0F" w14:textId="369B881A" w:rsidR="003D0D2C" w:rsidRPr="008625DC" w:rsidRDefault="00B11C30" w:rsidP="004159AE">
      <w:pPr>
        <w:spacing w:after="120"/>
      </w:pPr>
      <w:r w:rsidRPr="008625DC">
        <w:t>In response to th</w:t>
      </w:r>
      <w:r w:rsidR="00836D17" w:rsidRPr="008625DC">
        <w:t>e</w:t>
      </w:r>
      <w:r w:rsidRPr="008625DC">
        <w:t>se concerns,</w:t>
      </w:r>
      <w:r w:rsidR="00800A26" w:rsidRPr="008625DC">
        <w:t xml:space="preserve"> the ACCC </w:t>
      </w:r>
      <w:r w:rsidRPr="008625DC">
        <w:t>state</w:t>
      </w:r>
      <w:r w:rsidR="00836D17" w:rsidRPr="008625DC">
        <w:t>s</w:t>
      </w:r>
      <w:r w:rsidR="003D0D2C" w:rsidRPr="008625DC">
        <w:t xml:space="preserve"> that </w:t>
      </w:r>
      <w:r w:rsidR="00836D17" w:rsidRPr="008625DC">
        <w:t>it</w:t>
      </w:r>
      <w:r w:rsidR="003D0D2C" w:rsidRPr="008625DC">
        <w:t xml:space="preserve"> carefully consider</w:t>
      </w:r>
      <w:r w:rsidR="00836D17" w:rsidRPr="008625DC">
        <w:t>s</w:t>
      </w:r>
      <w:r w:rsidR="003D0D2C" w:rsidRPr="008625DC">
        <w:t xml:space="preserve"> each and every complaint </w:t>
      </w:r>
      <w:r w:rsidRPr="008625DC">
        <w:t xml:space="preserve">about secondary boycott conduct </w:t>
      </w:r>
      <w:r w:rsidR="003D0D2C" w:rsidRPr="008625DC">
        <w:t>and that between 1</w:t>
      </w:r>
      <w:r w:rsidR="0082352D" w:rsidRPr="008625DC">
        <w:t> </w:t>
      </w:r>
      <w:r w:rsidR="003D0D2C" w:rsidRPr="008625DC">
        <w:t>July</w:t>
      </w:r>
      <w:r w:rsidR="0082352D" w:rsidRPr="008625DC">
        <w:t> </w:t>
      </w:r>
      <w:r w:rsidR="003D0D2C" w:rsidRPr="008625DC">
        <w:t>2012 and 30</w:t>
      </w:r>
      <w:r w:rsidR="0082352D" w:rsidRPr="008625DC">
        <w:t> </w:t>
      </w:r>
      <w:r w:rsidR="003D0D2C" w:rsidRPr="008625DC">
        <w:t>June</w:t>
      </w:r>
      <w:r w:rsidR="0082352D" w:rsidRPr="008625DC">
        <w:t> </w:t>
      </w:r>
      <w:r w:rsidR="003D0D2C" w:rsidRPr="008625DC">
        <w:t>2014 the</w:t>
      </w:r>
      <w:r w:rsidR="00836D17" w:rsidRPr="008625DC">
        <w:t xml:space="preserve"> Commission </w:t>
      </w:r>
      <w:r w:rsidR="003D0D2C" w:rsidRPr="008625DC">
        <w:t>w</w:t>
      </w:r>
      <w:r w:rsidR="00836D17" w:rsidRPr="008625DC">
        <w:t>as</w:t>
      </w:r>
      <w:r w:rsidR="003D0D2C" w:rsidRPr="008625DC">
        <w:t xml:space="preserve"> </w:t>
      </w:r>
      <w:r w:rsidR="002429C5" w:rsidRPr="008625DC">
        <w:t xml:space="preserve">contacted </w:t>
      </w:r>
      <w:r w:rsidR="00836D17" w:rsidRPr="008625DC">
        <w:t xml:space="preserve">only </w:t>
      </w:r>
      <w:r w:rsidR="002429C5" w:rsidRPr="008625DC">
        <w:t>nine</w:t>
      </w:r>
      <w:r w:rsidR="003D0D2C" w:rsidRPr="008625DC">
        <w:t xml:space="preserve"> times about secondary boycott concerns (</w:t>
      </w:r>
      <w:r w:rsidR="00E543AD" w:rsidRPr="008625DC">
        <w:t>ACCC</w:t>
      </w:r>
      <w:r w:rsidRPr="008625DC">
        <w:t xml:space="preserve"> </w:t>
      </w:r>
      <w:r w:rsidR="00D04174" w:rsidRPr="008625DC">
        <w:t>S</w:t>
      </w:r>
      <w:r w:rsidRPr="008625DC">
        <w:t>ubmission</w:t>
      </w:r>
      <w:r w:rsidR="00E543AD" w:rsidRPr="008625DC">
        <w:t xml:space="preserve"> </w:t>
      </w:r>
      <w:r w:rsidR="00457973" w:rsidRPr="008625DC">
        <w:t>3</w:t>
      </w:r>
      <w:r w:rsidRPr="008625DC">
        <w:t>, p</w:t>
      </w:r>
      <w:r w:rsidR="007026FF" w:rsidRPr="008625DC">
        <w:t xml:space="preserve">age </w:t>
      </w:r>
      <w:r w:rsidRPr="008625DC">
        <w:t>6).</w:t>
      </w:r>
      <w:r w:rsidR="003D0D2C" w:rsidRPr="008625DC">
        <w:t xml:space="preserve"> Four of these cases related to employee organisations and all were investigated. The </w:t>
      </w:r>
      <w:r w:rsidR="00836D17" w:rsidRPr="008625DC">
        <w:t>ACCC</w:t>
      </w:r>
      <w:r w:rsidR="003D0D2C" w:rsidRPr="008625DC">
        <w:t xml:space="preserve"> also note</w:t>
      </w:r>
      <w:r w:rsidR="00836D17" w:rsidRPr="008625DC">
        <w:t>s</w:t>
      </w:r>
      <w:r w:rsidR="003D0D2C" w:rsidRPr="008625DC">
        <w:t xml:space="preserve"> that a number of features </w:t>
      </w:r>
      <w:r w:rsidR="002429C5" w:rsidRPr="008625DC">
        <w:t>make enforcement challenging:</w:t>
      </w:r>
    </w:p>
    <w:p w14:paraId="510393C4" w14:textId="79EA4B9C" w:rsidR="002429C5" w:rsidRPr="008625DC" w:rsidRDefault="002429C5" w:rsidP="002429C5">
      <w:pPr>
        <w:pStyle w:val="Bullet"/>
      </w:pPr>
      <w:r w:rsidRPr="008625DC">
        <w:t>difficulties in obtaining documentary evidence;</w:t>
      </w:r>
    </w:p>
    <w:p w14:paraId="6B49A24D" w14:textId="7B83220A" w:rsidR="002429C5" w:rsidRPr="008625DC" w:rsidRDefault="002429C5" w:rsidP="002429C5">
      <w:pPr>
        <w:pStyle w:val="Bullet"/>
      </w:pPr>
      <w:r w:rsidRPr="008625DC">
        <w:t>lack of cooperation of witnesses; and</w:t>
      </w:r>
    </w:p>
    <w:p w14:paraId="197B0DC4" w14:textId="3869BD9D" w:rsidR="002429C5" w:rsidRPr="008625DC" w:rsidRDefault="002429C5" w:rsidP="004159AE">
      <w:pPr>
        <w:pStyle w:val="Bullet"/>
        <w:spacing w:after="240"/>
      </w:pPr>
      <w:r w:rsidRPr="008625DC">
        <w:t xml:space="preserve">potential overlaps between the ACCC and Fair Work </w:t>
      </w:r>
      <w:r w:rsidR="00553211" w:rsidRPr="008625DC">
        <w:t>Commission</w:t>
      </w:r>
      <w:r w:rsidRPr="008625DC">
        <w:t xml:space="preserve"> and Fair Work Building and Construction.</w:t>
      </w:r>
    </w:p>
    <w:p w14:paraId="308FD516" w14:textId="5F88F43C" w:rsidR="00836D17" w:rsidRPr="008625DC" w:rsidRDefault="00A81CA6" w:rsidP="00A81CA6">
      <w:r w:rsidRPr="008625DC">
        <w:t>The Panel</w:t>
      </w:r>
      <w:r w:rsidR="00C74E19" w:rsidRPr="008625DC">
        <w:t>’</w:t>
      </w:r>
      <w:r w:rsidRPr="008625DC">
        <w:t xml:space="preserve">s expectation is that the </w:t>
      </w:r>
      <w:r w:rsidR="00BC2C1C" w:rsidRPr="008625DC">
        <w:t>ACCC will</w:t>
      </w:r>
      <w:r w:rsidRPr="008625DC">
        <w:t xml:space="preserve"> have sufficient capability both in culture and resources to enforce prohibitions on unlawful secondary boycotts in a timely way</w:t>
      </w:r>
      <w:r w:rsidR="00BC2C1C" w:rsidRPr="008625DC">
        <w:t xml:space="preserve">. As with all competition laws, the secondary boycott laws will only act as </w:t>
      </w:r>
      <w:r w:rsidRPr="008625DC">
        <w:t xml:space="preserve">a deterrent </w:t>
      </w:r>
      <w:r w:rsidR="00BC2C1C" w:rsidRPr="008625DC">
        <w:t>to unlawful behaviour if</w:t>
      </w:r>
      <w:r w:rsidRPr="008625DC">
        <w:t xml:space="preserve"> the </w:t>
      </w:r>
      <w:r w:rsidR="00BC2C1C" w:rsidRPr="008625DC">
        <w:t>laws are enforced.</w:t>
      </w:r>
    </w:p>
    <w:p w14:paraId="3C83EA4A" w14:textId="166CEB69" w:rsidR="00A81CA6" w:rsidRPr="008625DC" w:rsidRDefault="00A81CA6" w:rsidP="00A81CA6">
      <w:r w:rsidRPr="008625DC">
        <w:t>However, the Panel consider</w:t>
      </w:r>
      <w:r w:rsidR="00836D17" w:rsidRPr="008625DC">
        <w:t>s</w:t>
      </w:r>
      <w:r w:rsidRPr="008625DC">
        <w:t xml:space="preserve"> it </w:t>
      </w:r>
      <w:r w:rsidR="00836D17" w:rsidRPr="008625DC">
        <w:t>is</w:t>
      </w:r>
      <w:r w:rsidRPr="008625DC">
        <w:t xml:space="preserve"> appropriate for the ACCC to establish protocols for enforcement and investigation where legislation confers a comparable enforcement jurisdiction on a specialist regulator to enforce such laws, such as has occurred in the building and construction industry.</w:t>
      </w:r>
    </w:p>
    <w:p w14:paraId="251E05EE" w14:textId="29F197FC" w:rsidR="00B11C30" w:rsidRPr="008625DC" w:rsidRDefault="00B11C30" w:rsidP="00B11C30">
      <w:r w:rsidRPr="008625DC">
        <w:t>The ACCC should not be required to report publicly on investigations where it has decided that no contravention has occurred. Persons who are the subject of any investigation by the ACCC are entitled to a reasonable degree of privacy concerning allegations that are investigated and the outcomes of the investigation, unless proceedings are instituted. However, it is useful for the ACCC to report generally about the number of complaints it receives about different parts of the CCA, including secondary boycotts, and the manner in which the complaints are resolved.</w:t>
      </w:r>
    </w:p>
    <w:p w14:paraId="17F3A61D" w14:textId="77777777" w:rsidR="004159AE" w:rsidRPr="008625DC" w:rsidRDefault="004159AE">
      <w:pPr>
        <w:spacing w:before="0" w:after="0"/>
        <w:rPr>
          <w:rFonts w:ascii="Calibri" w:eastAsiaTheme="majorEastAsia" w:hAnsi="Calibri" w:cs="Arial"/>
          <w:b/>
          <w:bCs/>
          <w:color w:val="009976"/>
          <w:sz w:val="28"/>
          <w:szCs w:val="26"/>
        </w:rPr>
      </w:pPr>
      <w:r w:rsidRPr="008625DC">
        <w:rPr>
          <w:rFonts w:eastAsiaTheme="majorEastAsia"/>
        </w:rPr>
        <w:br w:type="page"/>
      </w:r>
    </w:p>
    <w:p w14:paraId="0BD641F9" w14:textId="46A3E0CB" w:rsidR="00B11C30" w:rsidRPr="008625DC" w:rsidRDefault="00B11C30" w:rsidP="00FB084C">
      <w:pPr>
        <w:pStyle w:val="Heading3"/>
      </w:pPr>
      <w:r w:rsidRPr="008625DC">
        <w:rPr>
          <w:rFonts w:eastAsiaTheme="majorEastAsia"/>
        </w:rPr>
        <w:lastRenderedPageBreak/>
        <w:t>Environmental and consumer protection exception</w:t>
      </w:r>
    </w:p>
    <w:p w14:paraId="35AD9E03" w14:textId="5056EB80" w:rsidR="00B11C30" w:rsidRPr="008625DC" w:rsidRDefault="00B11C30" w:rsidP="00B11C30">
      <w:r w:rsidRPr="008625DC">
        <w:t>A number of submissions argue for or against the retention of the environmental and consumer exception</w:t>
      </w:r>
      <w:r w:rsidRPr="008625DC">
        <w:rPr>
          <w:rFonts w:eastAsiaTheme="majorEastAsia"/>
        </w:rPr>
        <w:t>. Consumer and environmental</w:t>
      </w:r>
      <w:r w:rsidR="00C74E19" w:rsidRPr="008625DC">
        <w:rPr>
          <w:rFonts w:eastAsiaTheme="majorEastAsia"/>
        </w:rPr>
        <w:noBreakHyphen/>
      </w:r>
      <w:r w:rsidRPr="008625DC">
        <w:rPr>
          <w:rFonts w:eastAsiaTheme="majorEastAsia"/>
        </w:rPr>
        <w:t xml:space="preserve">based organisations argue for retention </w:t>
      </w:r>
      <w:r w:rsidR="00EC3A20" w:rsidRPr="008625DC">
        <w:rPr>
          <w:rFonts w:eastAsiaTheme="majorEastAsia"/>
        </w:rPr>
        <w:t xml:space="preserve">(or expansion) </w:t>
      </w:r>
      <w:r w:rsidRPr="008625DC">
        <w:rPr>
          <w:rFonts w:eastAsiaTheme="majorEastAsia"/>
        </w:rPr>
        <w:t>of the exception, while industry groups argue for its removal.</w:t>
      </w:r>
      <w:r w:rsidR="00D12A0E" w:rsidRPr="008625DC">
        <w:rPr>
          <w:rStyle w:val="FootnoteReference"/>
          <w:rFonts w:eastAsiaTheme="majorEastAsia"/>
        </w:rPr>
        <w:footnoteReference w:id="340"/>
      </w:r>
      <w:r w:rsidRPr="008625DC">
        <w:rPr>
          <w:rFonts w:eastAsiaTheme="majorEastAsia"/>
        </w:rPr>
        <w:t xml:space="preserve"> </w:t>
      </w:r>
      <w:r w:rsidRPr="008625DC">
        <w:t>The Tasmanian Government also propose</w:t>
      </w:r>
      <w:r w:rsidR="00836D17" w:rsidRPr="008625DC">
        <w:t>s</w:t>
      </w:r>
      <w:r w:rsidRPr="008625DC">
        <w:t xml:space="preserve"> the repeal of the environmental exception.</w:t>
      </w:r>
      <w:r w:rsidRPr="008625DC">
        <w:rPr>
          <w:rStyle w:val="FootnoteReference"/>
        </w:rPr>
        <w:footnoteReference w:id="341"/>
      </w:r>
    </w:p>
    <w:p w14:paraId="6093A78A" w14:textId="273D5227" w:rsidR="00B11C30" w:rsidRPr="008625DC" w:rsidRDefault="00B11C30" w:rsidP="00B11C30">
      <w:r w:rsidRPr="008625DC">
        <w:t>During consultations undertaken by the Panel, it appeared that the primary concern expressed on behalf of industry representatives is that environmental groups may damage a supplier in a market through a public campaign targeting the supplier that may be based on false or misleading information.</w:t>
      </w:r>
    </w:p>
    <w:p w14:paraId="1B8F39CB" w14:textId="2CFCC6FA" w:rsidR="00B11C30" w:rsidRPr="008625DC" w:rsidRDefault="00B11C30" w:rsidP="00B11C30">
      <w:r w:rsidRPr="008625DC">
        <w:t xml:space="preserve">Insofar as a trading business is damaged by a public advocacy campaign, it may be questioned whether the secondary boycott provisions are, or are intended to be, applicable. A public advocacy campaign is unlikely to involve persons acting in concert and is unlikely to constitute hindering or preventing the supply or acquisition of goods or services </w:t>
      </w:r>
      <w:r w:rsidR="00836D17" w:rsidRPr="008625DC">
        <w:t>—</w:t>
      </w:r>
      <w:r w:rsidRPr="008625DC">
        <w:t xml:space="preserve"> customers of the business will be free to make up their own minds about the merits of the campaign.</w:t>
      </w:r>
    </w:p>
    <w:p w14:paraId="60A8E05C" w14:textId="092F1D9B" w:rsidR="00B11C30" w:rsidRPr="008625DC" w:rsidRDefault="00B11C30" w:rsidP="00B11C30">
      <w:pPr>
        <w:rPr>
          <w:rFonts w:cs="Arial"/>
          <w:szCs w:val="22"/>
        </w:rPr>
      </w:pPr>
      <w:r w:rsidRPr="008625DC">
        <w:t xml:space="preserve">A question might arise whether a public advocacy campaign undertaken by an environmental or consumer organisation against a trading business, advocating that customers do not purchase products from the business, should be subject to the laws prohibiting false, misleading and deceptive conduct. Presently, those laws only apply </w:t>
      </w:r>
      <w:r w:rsidR="00836D17" w:rsidRPr="008625DC">
        <w:t>insofar</w:t>
      </w:r>
      <w:r w:rsidRPr="008625DC">
        <w:t xml:space="preserve"> as a person is engaged in trade or commerce.</w:t>
      </w:r>
    </w:p>
    <w:p w14:paraId="49B40B6E" w14:textId="467739C7" w:rsidR="00B11C30" w:rsidRPr="008625DC" w:rsidRDefault="00B11C30" w:rsidP="00B11C30">
      <w:r w:rsidRPr="008625DC">
        <w:rPr>
          <w:rFonts w:cs="Arial"/>
          <w:szCs w:val="22"/>
        </w:rPr>
        <w:t xml:space="preserve">Expanding the laws concerning false, misleading or deceptive conduct to organisations involved in </w:t>
      </w:r>
      <w:r w:rsidRPr="008625DC">
        <w:t>public advocacy campaigns directed at trading businesses</w:t>
      </w:r>
      <w:r w:rsidRPr="008625DC">
        <w:rPr>
          <w:rFonts w:cs="Arial"/>
          <w:szCs w:val="22"/>
        </w:rPr>
        <w:t xml:space="preserve"> </w:t>
      </w:r>
      <w:r w:rsidRPr="008625DC">
        <w:t>raises complex issues. Many public advocacy campaigns directed at trading businesses concern health issues (e</w:t>
      </w:r>
      <w:r w:rsidR="00D0797A" w:rsidRPr="008625DC">
        <w:t>.</w:t>
      </w:r>
      <w:r w:rsidRPr="008625DC">
        <w:t>g</w:t>
      </w:r>
      <w:r w:rsidR="00D0797A" w:rsidRPr="008625DC">
        <w:t>.</w:t>
      </w:r>
      <w:r w:rsidRPr="008625DC">
        <w:t xml:space="preserve"> tobacco, alcohol and fast food) or social issues (e</w:t>
      </w:r>
      <w:r w:rsidR="00D0797A" w:rsidRPr="008625DC">
        <w:t>.</w:t>
      </w:r>
      <w:r w:rsidRPr="008625DC">
        <w:t>g</w:t>
      </w:r>
      <w:r w:rsidR="00D0797A" w:rsidRPr="008625DC">
        <w:t>.</w:t>
      </w:r>
      <w:r w:rsidRPr="008625DC">
        <w:t xml:space="preserve"> gambling). Consideration of the expansion of those laws in that context is beyond the </w:t>
      </w:r>
      <w:r w:rsidR="0059370B" w:rsidRPr="008625DC">
        <w:t>T</w:t>
      </w:r>
      <w:r w:rsidRPr="008625DC">
        <w:t xml:space="preserve">erms of </w:t>
      </w:r>
      <w:r w:rsidR="0059370B" w:rsidRPr="008625DC">
        <w:t>R</w:t>
      </w:r>
      <w:r w:rsidRPr="008625DC">
        <w:t>eference of th</w:t>
      </w:r>
      <w:r w:rsidR="00163252" w:rsidRPr="008625DC">
        <w:t>is</w:t>
      </w:r>
      <w:r w:rsidRPr="008625DC">
        <w:t xml:space="preserve"> </w:t>
      </w:r>
      <w:r w:rsidR="00736394" w:rsidRPr="008625DC">
        <w:t>Review</w:t>
      </w:r>
      <w:r w:rsidRPr="008625DC">
        <w:t xml:space="preserve">. </w:t>
      </w:r>
    </w:p>
    <w:p w14:paraId="1B2744EB" w14:textId="7D438380" w:rsidR="00B11C30" w:rsidRPr="008625DC" w:rsidRDefault="00B11C30" w:rsidP="00FB084C">
      <w:pPr>
        <w:pStyle w:val="Heading3"/>
      </w:pPr>
      <w:r w:rsidRPr="008625DC">
        <w:t xml:space="preserve">Conferring </w:t>
      </w:r>
      <w:r w:rsidR="002F554E" w:rsidRPr="008625DC">
        <w:t xml:space="preserve">jurisdiction </w:t>
      </w:r>
      <w:r w:rsidRPr="008625DC">
        <w:t xml:space="preserve">on </w:t>
      </w:r>
      <w:r w:rsidR="002F554E" w:rsidRPr="008625DC">
        <w:t>state courts</w:t>
      </w:r>
    </w:p>
    <w:p w14:paraId="4C8BA990" w14:textId="4CC119BB" w:rsidR="00B11C30" w:rsidRPr="008625DC" w:rsidRDefault="00B11C30" w:rsidP="00B11C30">
      <w:r w:rsidRPr="008625DC">
        <w:t>Currently, the Federal Court has exclusive jurisdiction with respect to contraventions of sections 45D, 45DA, 45DB</w:t>
      </w:r>
      <w:r w:rsidR="002F3D8A" w:rsidRPr="008625DC">
        <w:t xml:space="preserve">, </w:t>
      </w:r>
      <w:r w:rsidRPr="008625DC">
        <w:t>45E</w:t>
      </w:r>
      <w:r w:rsidR="002F3D8A" w:rsidRPr="008625DC">
        <w:t xml:space="preserve">, and 45EA </w:t>
      </w:r>
      <w:r w:rsidRPr="008625DC">
        <w:t>(</w:t>
      </w:r>
      <w:r w:rsidR="007026FF" w:rsidRPr="008625DC">
        <w:t>sub</w:t>
      </w:r>
      <w:r w:rsidRPr="008625DC">
        <w:t xml:space="preserve">section 4(4) of the </w:t>
      </w:r>
      <w:r w:rsidRPr="008625DC">
        <w:rPr>
          <w:i/>
        </w:rPr>
        <w:t>Jurisdiction of Courts (Cross</w:t>
      </w:r>
      <w:r w:rsidR="00C74E19" w:rsidRPr="008625DC">
        <w:rPr>
          <w:i/>
        </w:rPr>
        <w:noBreakHyphen/>
      </w:r>
      <w:r w:rsidRPr="008625DC">
        <w:rPr>
          <w:i/>
        </w:rPr>
        <w:t>Vesting) Act 1987</w:t>
      </w:r>
      <w:r w:rsidRPr="008625DC">
        <w:t xml:space="preserve"> (Cth)).</w:t>
      </w:r>
    </w:p>
    <w:p w14:paraId="24F4CA03" w14:textId="544F79B8" w:rsidR="00B11C30" w:rsidRPr="008625DC" w:rsidRDefault="00B11C30" w:rsidP="00B11C30">
      <w:r w:rsidRPr="008625DC">
        <w:t xml:space="preserve">A contravention of </w:t>
      </w:r>
      <w:r w:rsidR="005F5767" w:rsidRPr="008625DC">
        <w:t>these provisions</w:t>
      </w:r>
      <w:r w:rsidRPr="008625DC">
        <w:t xml:space="preserve"> may arise in connection with other common law disputes between employers and employee organisations. Common law disputes can be, and often are, determined within State courts. It is not apparent that there is a particular reason for the Federal Court to have exclusive jurisdiction over disputes arising under </w:t>
      </w:r>
      <w:r w:rsidR="005F5767" w:rsidRPr="008625DC">
        <w:t>these provisions</w:t>
      </w:r>
      <w:r w:rsidRPr="008625DC">
        <w:t xml:space="preserve">, particularly when </w:t>
      </w:r>
      <w:r w:rsidR="002F554E" w:rsidRPr="008625DC">
        <w:t xml:space="preserve">state </w:t>
      </w:r>
      <w:r w:rsidRPr="008625DC">
        <w:t xml:space="preserve">and </w:t>
      </w:r>
      <w:r w:rsidR="002F554E" w:rsidRPr="008625DC">
        <w:t xml:space="preserve">territory </w:t>
      </w:r>
      <w:r w:rsidRPr="008625DC">
        <w:t xml:space="preserve">courts have jurisdiction in respect of common law actions that often raise similar issues.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EC6B38" w:rsidRPr="008625DC" w14:paraId="4728ECF0" w14:textId="77777777" w:rsidTr="006542B6">
        <w:tc>
          <w:tcPr>
            <w:tcW w:w="5000" w:type="pct"/>
            <w:shd w:val="clear" w:color="auto" w:fill="FFFFFF" w:themeFill="background1"/>
          </w:tcPr>
          <w:p w14:paraId="5DF6C153" w14:textId="5261EC9F" w:rsidR="00EC6B38" w:rsidRPr="008625DC" w:rsidRDefault="00EC6B38" w:rsidP="006542B6">
            <w:pPr>
              <w:pStyle w:val="Keyfindingheading"/>
            </w:pPr>
            <w:r w:rsidRPr="008625DC">
              <w:lastRenderedPageBreak/>
              <w:t>The Panel</w:t>
            </w:r>
            <w:r w:rsidR="00C74E19" w:rsidRPr="008625DC">
              <w:t>’</w:t>
            </w:r>
            <w:r w:rsidRPr="008625DC">
              <w:t>s view</w:t>
            </w:r>
          </w:p>
          <w:p w14:paraId="2522EFDD" w14:textId="4F775D7E" w:rsidR="00B11C30" w:rsidRPr="008625DC" w:rsidRDefault="009E18F3" w:rsidP="00B11C30">
            <w:pPr>
              <w:pStyle w:val="Keyfindingtext"/>
            </w:pPr>
            <w:r w:rsidRPr="008625DC">
              <w:t>P</w:t>
            </w:r>
            <w:r w:rsidR="00A81CA6" w:rsidRPr="008625DC">
              <w:t xml:space="preserve">rohibitions on secondary boycotts serve the public interest. </w:t>
            </w:r>
            <w:r w:rsidR="00B11C30" w:rsidRPr="008625DC">
              <w:t>A sufficient case has not been made for changes to the secondary boycott provisions of the CCA.</w:t>
            </w:r>
          </w:p>
          <w:p w14:paraId="4858AFB3" w14:textId="04D400CD" w:rsidR="00B11C30" w:rsidRPr="008625DC" w:rsidRDefault="00B11C30" w:rsidP="00B11C30">
            <w:pPr>
              <w:pStyle w:val="Keyfindingtext"/>
            </w:pPr>
            <w:r w:rsidRPr="008625DC">
              <w:t>There is a strong perception by organisations representing business</w:t>
            </w:r>
            <w:r w:rsidR="008177F5" w:rsidRPr="008625DC">
              <w:t>es</w:t>
            </w:r>
            <w:r w:rsidRPr="008625DC">
              <w:t xml:space="preserve"> in building, construction and mining that there is not enough public enforcement of the secondary boycott provisions of the CCA. </w:t>
            </w:r>
            <w:r w:rsidR="00A81CA6" w:rsidRPr="008625DC">
              <w:t xml:space="preserve">Timely and effective enforcement serves as a deterrent to boycott activity, and needs to exist both in regulatory culture and capability. </w:t>
            </w:r>
            <w:r w:rsidR="009E18F3" w:rsidRPr="008625DC">
              <w:t xml:space="preserve">Where legislation confers a comparable enforcement jurisdiction on a specialist regulator in respect of secondary boycott laws, such as has occurred in the building and construction industry, it would </w:t>
            </w:r>
            <w:r w:rsidR="008177F5" w:rsidRPr="008625DC">
              <w:t xml:space="preserve">be </w:t>
            </w:r>
            <w:r w:rsidR="009E18F3" w:rsidRPr="008625DC">
              <w:t xml:space="preserve">appropriate for the ACCC to establish protocols for enforcement and investigation. There would also </w:t>
            </w:r>
            <w:r w:rsidRPr="008625DC">
              <w:t xml:space="preserve">be value in the ACCC including in its annual report the number of complaints made to it </w:t>
            </w:r>
            <w:r w:rsidR="009E18F3" w:rsidRPr="008625DC">
              <w:t xml:space="preserve">in respect of secondary boycott matters </w:t>
            </w:r>
            <w:r w:rsidRPr="008625DC">
              <w:t xml:space="preserve">and the number </w:t>
            </w:r>
            <w:r w:rsidR="009E18F3" w:rsidRPr="008625DC">
              <w:t xml:space="preserve">of such matters </w:t>
            </w:r>
            <w:r w:rsidRPr="008625DC">
              <w:t>investigated and resolved each financial year.</w:t>
            </w:r>
          </w:p>
          <w:p w14:paraId="204661F6" w14:textId="27A1FBA2" w:rsidR="00EC6B38" w:rsidRPr="008625DC" w:rsidRDefault="00B11C30" w:rsidP="003F3117">
            <w:pPr>
              <w:pStyle w:val="Keyfindingtext"/>
            </w:pPr>
            <w:r w:rsidRPr="008625DC">
              <w:t xml:space="preserve">Consideration ought </w:t>
            </w:r>
            <w:r w:rsidR="00163252" w:rsidRPr="008625DC">
              <w:t xml:space="preserve">to </w:t>
            </w:r>
            <w:r w:rsidRPr="008625DC">
              <w:t xml:space="preserve">be given to conferring jurisdiction on </w:t>
            </w:r>
            <w:r w:rsidR="002F554E" w:rsidRPr="008625DC">
              <w:t xml:space="preserve">state </w:t>
            </w:r>
            <w:r w:rsidRPr="008625DC">
              <w:t xml:space="preserve">and </w:t>
            </w:r>
            <w:r w:rsidR="002F554E" w:rsidRPr="008625DC">
              <w:t xml:space="preserve">territory </w:t>
            </w:r>
            <w:r w:rsidRPr="008625DC">
              <w:t>courts, in addition to the Federal Court, in respect of disputes arising under sections 45D</w:t>
            </w:r>
            <w:r w:rsidR="005F5767" w:rsidRPr="008625DC">
              <w:t>, 45DA, 45DB, 45E, and 45EA</w:t>
            </w:r>
            <w:r w:rsidRPr="008625DC">
              <w:t>.</w:t>
            </w:r>
          </w:p>
        </w:tc>
      </w:tr>
    </w:tbl>
    <w:p w14:paraId="4750335F" w14:textId="1C760BCA" w:rsidR="00B11C30" w:rsidRPr="008625DC" w:rsidRDefault="00B11C30" w:rsidP="00BD2EA4">
      <w:pPr>
        <w:pStyle w:val="Heading2"/>
        <w:ind w:left="851" w:hanging="851"/>
        <w:rPr>
          <w:lang w:val="en-AU"/>
        </w:rPr>
      </w:pPr>
      <w:bookmarkStart w:id="33150" w:name="_Toc397601993"/>
      <w:bookmarkStart w:id="33151" w:name="_Toc397602728"/>
      <w:bookmarkStart w:id="33152" w:name="_Toc397605861"/>
      <w:bookmarkStart w:id="33153" w:name="_Toc397614558"/>
      <w:bookmarkStart w:id="33154" w:name="_Toc397615001"/>
      <w:bookmarkStart w:id="33155" w:name="_Toc397616444"/>
      <w:bookmarkStart w:id="33156" w:name="_Toc397616838"/>
      <w:bookmarkStart w:id="33157" w:name="_Toc397688136"/>
      <w:bookmarkStart w:id="33158" w:name="_Toc397689352"/>
      <w:bookmarkStart w:id="33159" w:name="_Toc397694632"/>
      <w:bookmarkStart w:id="33160" w:name="_Toc397696473"/>
      <w:bookmarkStart w:id="33161" w:name="_Toc397697207"/>
      <w:bookmarkStart w:id="33162" w:name="_Toc397698494"/>
      <w:bookmarkStart w:id="33163" w:name="_Toc397699860"/>
      <w:bookmarkStart w:id="33164" w:name="_Toc397700314"/>
      <w:bookmarkStart w:id="33165" w:name="_Toc397936706"/>
      <w:bookmarkStart w:id="33166" w:name="_Toc397936826"/>
      <w:bookmarkStart w:id="33167" w:name="_Toc397945982"/>
      <w:bookmarkStart w:id="33168" w:name="_Toc397947008"/>
      <w:bookmarkStart w:id="33169" w:name="_Toc397948127"/>
      <w:bookmarkStart w:id="33170" w:name="_Toc397958533"/>
      <w:bookmarkStart w:id="33171" w:name="_Toc397958775"/>
      <w:bookmarkStart w:id="33172" w:name="_Toc397959190"/>
      <w:bookmarkStart w:id="33173" w:name="_Toc397962257"/>
      <w:bookmarkStart w:id="33174" w:name="_Toc397963043"/>
      <w:bookmarkStart w:id="33175" w:name="_Toc397963409"/>
      <w:bookmarkStart w:id="33176" w:name="_Toc397965486"/>
      <w:bookmarkStart w:id="33177" w:name="_Toc398197424"/>
      <w:bookmarkStart w:id="33178" w:name="_Toc398200049"/>
      <w:bookmarkStart w:id="33179" w:name="_Toc398200315"/>
      <w:bookmarkStart w:id="33180" w:name="_Toc398201641"/>
      <w:bookmarkStart w:id="33181" w:name="_Toc398207246"/>
      <w:bookmarkStart w:id="33182" w:name="_Toc398209950"/>
      <w:bookmarkStart w:id="33183" w:name="_Toc398210519"/>
      <w:bookmarkStart w:id="33184" w:name="_Toc398211033"/>
      <w:bookmarkStart w:id="33185" w:name="_Toc398219844"/>
      <w:bookmarkStart w:id="33186" w:name="_Toc398220219"/>
      <w:bookmarkStart w:id="33187" w:name="_Toc398220606"/>
      <w:bookmarkStart w:id="33188" w:name="_Toc398221684"/>
      <w:bookmarkStart w:id="33189" w:name="_Toc398222370"/>
      <w:bookmarkStart w:id="33190" w:name="_Toc398222682"/>
      <w:bookmarkStart w:id="33191" w:name="_Toc398223099"/>
      <w:bookmarkStart w:id="33192" w:name="_Toc398223478"/>
      <w:bookmarkStart w:id="33193" w:name="_Toc398223605"/>
      <w:bookmarkStart w:id="33194" w:name="_Toc398224413"/>
      <w:bookmarkStart w:id="33195" w:name="_Toc398225750"/>
      <w:bookmarkStart w:id="33196" w:name="_Toc398225875"/>
      <w:bookmarkStart w:id="33197" w:name="_Toc398281362"/>
      <w:bookmarkStart w:id="33198" w:name="_Toc398282221"/>
      <w:bookmarkStart w:id="33199" w:name="_Toc398284891"/>
      <w:bookmarkStart w:id="33200" w:name="_Toc398287360"/>
      <w:bookmarkStart w:id="33201" w:name="_Toc398289243"/>
      <w:bookmarkStart w:id="33202" w:name="_Toc398297240"/>
      <w:bookmarkStart w:id="33203" w:name="_Toc398298714"/>
      <w:bookmarkStart w:id="33204" w:name="_Toc398300415"/>
      <w:bookmarkStart w:id="33205" w:name="_Toc398301312"/>
      <w:bookmarkStart w:id="33206" w:name="_Toc398302497"/>
      <w:bookmarkStart w:id="33207" w:name="_Toc398302660"/>
      <w:bookmarkStart w:id="33208" w:name="_Toc398549174"/>
      <w:bookmarkStart w:id="33209" w:name="_Toc398549424"/>
      <w:bookmarkStart w:id="33210" w:name="_Toc398555843"/>
      <w:bookmarkStart w:id="33211" w:name="_Toc398559047"/>
      <w:bookmarkStart w:id="33212" w:name="_Toc398563533"/>
      <w:bookmarkStart w:id="33213" w:name="_Toc398563666"/>
      <w:bookmarkStart w:id="33214" w:name="_Toc398564065"/>
      <w:bookmarkStart w:id="33215" w:name="_Toc398827403"/>
      <w:bookmarkStart w:id="33216" w:name="_Toc398827597"/>
      <w:bookmarkStart w:id="33217" w:name="s183"/>
      <w:r w:rsidRPr="008625DC">
        <w:rPr>
          <w:lang w:val="en-AU"/>
        </w:rPr>
        <w:t xml:space="preserve">Trading </w:t>
      </w:r>
      <w:r w:rsidR="00DA2D13" w:rsidRPr="008625DC">
        <w:rPr>
          <w:lang w:val="en-AU"/>
        </w:rPr>
        <w:t>r</w:t>
      </w:r>
      <w:r w:rsidRPr="008625DC">
        <w:rPr>
          <w:lang w:val="en-AU"/>
        </w:rPr>
        <w:t xml:space="preserve">estrictions in </w:t>
      </w:r>
      <w:r w:rsidR="00DA2D13" w:rsidRPr="008625DC">
        <w:rPr>
          <w:lang w:val="en-AU"/>
        </w:rPr>
        <w:t>i</w:t>
      </w:r>
      <w:r w:rsidRPr="008625DC">
        <w:rPr>
          <w:lang w:val="en-AU"/>
        </w:rPr>
        <w:t xml:space="preserve">ndustrial </w:t>
      </w:r>
      <w:r w:rsidR="00DA2D13" w:rsidRPr="008625DC">
        <w:rPr>
          <w:lang w:val="en-AU"/>
        </w:rPr>
        <w:t>a</w:t>
      </w:r>
      <w:r w:rsidRPr="008625DC">
        <w:rPr>
          <w:lang w:val="en-AU"/>
        </w:rPr>
        <w:t>greements</w:t>
      </w:r>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p>
    <w:bookmarkEnd w:id="33217"/>
    <w:p w14:paraId="6ACFB134" w14:textId="77777777" w:rsidR="00B11C30" w:rsidRPr="008625DC" w:rsidRDefault="00B11C30" w:rsidP="004159AE">
      <w:pPr>
        <w:spacing w:after="120"/>
      </w:pPr>
      <w:r w:rsidRPr="008625DC">
        <w:t>Section 45E of the CCA prohibits a person from making a contract, arrangement or understanding with an organisation of employees that contains a provision that has the purpose of:</w:t>
      </w:r>
    </w:p>
    <w:p w14:paraId="3CCE1519" w14:textId="77777777" w:rsidR="00B11C30" w:rsidRPr="008625DC" w:rsidRDefault="00B11C30" w:rsidP="00B11C30">
      <w:pPr>
        <w:pStyle w:val="Bullet"/>
      </w:pPr>
      <w:r w:rsidRPr="008625DC">
        <w:t>preventing or hindering the person from supplying or continuing to supply goods or services to a second person that the first person has been accustomed, or is under an obligation, to supply, or doing so subject to conditions; or</w:t>
      </w:r>
    </w:p>
    <w:p w14:paraId="490C27A3" w14:textId="77777777" w:rsidR="00B11C30" w:rsidRPr="008625DC" w:rsidRDefault="00B11C30" w:rsidP="004159AE">
      <w:pPr>
        <w:pStyle w:val="Bullet"/>
        <w:spacing w:after="240"/>
      </w:pPr>
      <w:r w:rsidRPr="008625DC">
        <w:t>preventing or hindering the person from acquiring or continuing to acquire goods or services from a second person that the first person has been accustomed, or is under an obligation, to acquire, or doing so subject to conditions.</w:t>
      </w:r>
    </w:p>
    <w:p w14:paraId="725983F5" w14:textId="77777777" w:rsidR="00B11C30" w:rsidRPr="008625DC" w:rsidRDefault="00B11C30" w:rsidP="00B11C30">
      <w:r w:rsidRPr="008625DC">
        <w:t>Section 45EA prohibits a person from giving effect to such a provision.</w:t>
      </w:r>
    </w:p>
    <w:p w14:paraId="6F2855D9" w14:textId="3F71DE79" w:rsidR="00B11C30" w:rsidRPr="008625DC" w:rsidRDefault="00B11C30" w:rsidP="00B11C30">
      <w:r w:rsidRPr="008625DC">
        <w:t>Employer groups</w:t>
      </w:r>
      <w:r w:rsidRPr="008625DC">
        <w:rPr>
          <w:rStyle w:val="FootnoteReference"/>
        </w:rPr>
        <w:footnoteReference w:id="342"/>
      </w:r>
      <w:r w:rsidRPr="008625DC">
        <w:t xml:space="preserve"> in the building, construction and resources industries raise concerns about industrial agreements that restrict employers in relation to the acquisition of services from contractors and labour hire businesses. They argue that restrictions on the use of contractors are particularly acute in their industry because of the fact that the work tends to be project</w:t>
      </w:r>
      <w:r w:rsidR="00C74E19" w:rsidRPr="008625DC">
        <w:noBreakHyphen/>
      </w:r>
      <w:r w:rsidRPr="008625DC">
        <w:t>based and the requirement for labour is not constant but dependent on the stage of a construction project.</w:t>
      </w:r>
      <w:r w:rsidR="00A81CA6" w:rsidRPr="008625DC">
        <w:t xml:space="preserve"> Reference </w:t>
      </w:r>
      <w:r w:rsidR="00163252" w:rsidRPr="008625DC">
        <w:t>is</w:t>
      </w:r>
      <w:r w:rsidR="00A81CA6" w:rsidRPr="008625DC">
        <w:t xml:space="preserve"> also made to terms of industrial agreements which regulate the supply of certain goods or non</w:t>
      </w:r>
      <w:r w:rsidR="00C74E19" w:rsidRPr="008625DC">
        <w:noBreakHyphen/>
      </w:r>
      <w:r w:rsidR="00A81CA6" w:rsidRPr="008625DC">
        <w:t>labour services, such as superannuation or insurance products.</w:t>
      </w:r>
    </w:p>
    <w:p w14:paraId="2B8C83E2" w14:textId="44168776" w:rsidR="00A81CA6" w:rsidRPr="008625DC" w:rsidRDefault="00B11C30" w:rsidP="00B11C30">
      <w:r w:rsidRPr="008625DC">
        <w:t>The concern expressed by employer groups arises from a possible conflict between the intended operation of section</w:t>
      </w:r>
      <w:r w:rsidR="00182DE1" w:rsidRPr="008625DC">
        <w:t>s</w:t>
      </w:r>
      <w:r w:rsidRPr="008625DC">
        <w:t xml:space="preserve"> 45E and </w:t>
      </w:r>
      <w:r w:rsidR="00182DE1" w:rsidRPr="008625DC">
        <w:t xml:space="preserve">45EA </w:t>
      </w:r>
      <w:r w:rsidRPr="008625DC">
        <w:t xml:space="preserve">and the regulation of awards and enterprise agreements under the Fair Work Act. </w:t>
      </w:r>
      <w:r w:rsidR="00A81CA6" w:rsidRPr="008625DC">
        <w:t xml:space="preserve">In this regard, the Panel notes that amendments to the Fair Work Act have expanded the scope of conduct it regulates beyond the remuneration and conditions of employment of employees, and that this has occurred since </w:t>
      </w:r>
      <w:r w:rsidR="009E18F3" w:rsidRPr="008625DC">
        <w:t>section</w:t>
      </w:r>
      <w:r w:rsidR="00182DE1" w:rsidRPr="008625DC">
        <w:t>s</w:t>
      </w:r>
      <w:r w:rsidR="009E18F3" w:rsidRPr="008625DC">
        <w:t xml:space="preserve"> 45E </w:t>
      </w:r>
      <w:r w:rsidR="00182DE1" w:rsidRPr="008625DC">
        <w:t>and 45EA were</w:t>
      </w:r>
      <w:r w:rsidR="009E18F3" w:rsidRPr="008625DC">
        <w:t xml:space="preserve"> enacted</w:t>
      </w:r>
      <w:r w:rsidR="00A81CA6" w:rsidRPr="008625DC">
        <w:t>.</w:t>
      </w:r>
    </w:p>
    <w:p w14:paraId="79724BCE" w14:textId="6007E80E" w:rsidR="00B11C30" w:rsidRPr="008625DC" w:rsidRDefault="00B11C30" w:rsidP="00047202">
      <w:pPr>
        <w:spacing w:after="120"/>
      </w:pPr>
      <w:r w:rsidRPr="008625DC">
        <w:t xml:space="preserve">This issue was brought into focus by the 2012 decision of the Full Court of the Federal Court, </w:t>
      </w:r>
      <w:r w:rsidRPr="008625DC">
        <w:rPr>
          <w:i/>
        </w:rPr>
        <w:t>Australian Industry Group v Fair Work Australia</w:t>
      </w:r>
      <w:r w:rsidRPr="008625DC">
        <w:t xml:space="preserve">. The case considered the question whether it was lawful for Fair Work </w:t>
      </w:r>
      <w:r w:rsidR="00553211" w:rsidRPr="008625DC">
        <w:t>Commission</w:t>
      </w:r>
      <w:r w:rsidRPr="008625DC">
        <w:t xml:space="preserve"> to approve an enterprise agreement under the Fair Work Act which </w:t>
      </w:r>
      <w:r w:rsidRPr="008625DC">
        <w:lastRenderedPageBreak/>
        <w:t xml:space="preserve">contained a provision requiring the employer to only engage or deal with those contractors who applied wages and conditions no less favourable than those provided for in the agreement. The Full Court concluded that it was lawful for </w:t>
      </w:r>
      <w:r w:rsidR="008177F5" w:rsidRPr="008625DC">
        <w:t xml:space="preserve">the </w:t>
      </w:r>
      <w:r w:rsidRPr="008625DC">
        <w:t xml:space="preserve">Fair Work </w:t>
      </w:r>
      <w:r w:rsidR="00553211" w:rsidRPr="008625DC">
        <w:t>Commission</w:t>
      </w:r>
      <w:r w:rsidRPr="008625DC">
        <w:t xml:space="preserve"> to approve the agreement. Relevantly, the Full Court concluded that the enterprise agreement did not involve any contravention of section</w:t>
      </w:r>
      <w:r w:rsidR="00DA2D13" w:rsidRPr="008625DC">
        <w:t> </w:t>
      </w:r>
      <w:r w:rsidRPr="008625DC">
        <w:t>45E because:</w:t>
      </w:r>
    </w:p>
    <w:p w14:paraId="30D32648" w14:textId="708AAAE4" w:rsidR="00B11C30" w:rsidRPr="008625DC" w:rsidRDefault="00B11C30" w:rsidP="00B11C30">
      <w:pPr>
        <w:pStyle w:val="Bullet"/>
      </w:pPr>
      <w:r w:rsidRPr="008625DC">
        <w:t>it was not an agreement with an organisation of employees in the sense required by section</w:t>
      </w:r>
      <w:r w:rsidR="00DA2D13" w:rsidRPr="008625DC">
        <w:t> </w:t>
      </w:r>
      <w:r w:rsidRPr="008625DC">
        <w:t>45E; and</w:t>
      </w:r>
    </w:p>
    <w:p w14:paraId="2F706928" w14:textId="77777777" w:rsidR="00B11C30" w:rsidRPr="008625DC" w:rsidRDefault="00B11C30" w:rsidP="00047202">
      <w:pPr>
        <w:pStyle w:val="Bullet"/>
        <w:spacing w:after="240"/>
      </w:pPr>
      <w:r w:rsidRPr="008625DC">
        <w:t>as the agreement had statutory force, it was not a contract, arrangement or understanding within the meaning of section 45E.</w:t>
      </w:r>
    </w:p>
    <w:p w14:paraId="067EE493" w14:textId="6C30EE98" w:rsidR="00B11C30" w:rsidRPr="008625DC" w:rsidRDefault="00B11C30" w:rsidP="00B11C30">
      <w:r w:rsidRPr="008625DC">
        <w:t>It appears that there may be a conflict between the purposes of the CCA, as reflected in section</w:t>
      </w:r>
      <w:r w:rsidR="0073286A" w:rsidRPr="008625DC">
        <w:t>s</w:t>
      </w:r>
      <w:r w:rsidR="00047202" w:rsidRPr="008625DC">
        <w:t> </w:t>
      </w:r>
      <w:r w:rsidRPr="008625DC">
        <w:t>45E</w:t>
      </w:r>
      <w:r w:rsidR="0073286A" w:rsidRPr="008625DC">
        <w:t xml:space="preserve"> and EA</w:t>
      </w:r>
      <w:r w:rsidRPr="008625DC">
        <w:t xml:space="preserve">, and industrial conduct that is permitted under the Fair Work Act. The apparent </w:t>
      </w:r>
      <w:r w:rsidR="00E676B1" w:rsidRPr="008625DC">
        <w:t>combined</w:t>
      </w:r>
      <w:r w:rsidRPr="008625DC">
        <w:t xml:space="preserve"> purpose of section</w:t>
      </w:r>
      <w:r w:rsidR="00E676B1" w:rsidRPr="008625DC">
        <w:t>s </w:t>
      </w:r>
      <w:r w:rsidRPr="008625DC">
        <w:t>51(2</w:t>
      </w:r>
      <w:r w:rsidR="0073286A" w:rsidRPr="008625DC">
        <w:t>),</w:t>
      </w:r>
      <w:r w:rsidRPr="008625DC">
        <w:t xml:space="preserve"> 45E </w:t>
      </w:r>
      <w:r w:rsidR="0073286A" w:rsidRPr="008625DC">
        <w:t>and 45EA</w:t>
      </w:r>
      <w:r w:rsidR="008177F5" w:rsidRPr="008625DC">
        <w:t xml:space="preserve"> </w:t>
      </w:r>
      <w:r w:rsidRPr="008625DC">
        <w:t xml:space="preserve">of the CCA is to exempt from the CCA contracts governing the conditions of employment of employees, </w:t>
      </w:r>
      <w:r w:rsidR="00E676B1" w:rsidRPr="008625DC">
        <w:t>while prohibiting</w:t>
      </w:r>
      <w:r w:rsidRPr="008625DC">
        <w:t xml:space="preserve"> contracts between employers and employee organisations that otherwise hinder the trading freedom of the employer (in respect of the supply and acquisition of goods and services, which would include contractors). However, it appears to be lawful under the Fair Work Act to make awards and register enterprise agreements that place restrictions on the freedom of employers to engage contractors</w:t>
      </w:r>
      <w:r w:rsidR="00A81CA6" w:rsidRPr="008625DC">
        <w:t xml:space="preserve"> or source certain goods or non</w:t>
      </w:r>
      <w:r w:rsidR="00C74E19" w:rsidRPr="008625DC">
        <w:noBreakHyphen/>
      </w:r>
      <w:r w:rsidR="00A81CA6" w:rsidRPr="008625DC">
        <w:t>labour services.</w:t>
      </w:r>
    </w:p>
    <w:p w14:paraId="7BBAB2D2" w14:textId="20F887A4" w:rsidR="00163252" w:rsidRPr="008625DC" w:rsidRDefault="00A81CA6" w:rsidP="00B11C30">
      <w:r w:rsidRPr="008625DC">
        <w:t>While the evidence suggests that these issues are more significant in some industries than others, it</w:t>
      </w:r>
      <w:r w:rsidR="00B11C30" w:rsidRPr="008625DC">
        <w:t xml:space="preserve"> is desirable that the apparent conflict between the objective of section</w:t>
      </w:r>
      <w:r w:rsidR="0073286A" w:rsidRPr="008625DC">
        <w:t>s</w:t>
      </w:r>
      <w:r w:rsidR="00B11C30" w:rsidRPr="008625DC">
        <w:t xml:space="preserve"> 45E and </w:t>
      </w:r>
      <w:r w:rsidR="0073286A" w:rsidRPr="008625DC">
        <w:t>45EA</w:t>
      </w:r>
      <w:r w:rsidR="00B11C30" w:rsidRPr="008625DC">
        <w:t xml:space="preserve"> and the operation of the Fair Work Act </w:t>
      </w:r>
      <w:r w:rsidR="00163252" w:rsidRPr="008625DC">
        <w:t>be</w:t>
      </w:r>
      <w:r w:rsidR="00B11C30" w:rsidRPr="008625DC">
        <w:t xml:space="preserve"> resolved. The Panel favours competition over restrictions and believes that business</w:t>
      </w:r>
      <w:r w:rsidR="00163252" w:rsidRPr="008625DC">
        <w:t>es</w:t>
      </w:r>
      <w:r w:rsidR="00B11C30" w:rsidRPr="008625DC">
        <w:t xml:space="preserve"> should generally be free to supply and acquire goods and services, including contract labour if they choose.</w:t>
      </w:r>
    </w:p>
    <w:p w14:paraId="4D1381FD" w14:textId="67211A9B" w:rsidR="00B11C30" w:rsidRPr="008625DC" w:rsidRDefault="00A81CA6" w:rsidP="00047202">
      <w:pPr>
        <w:spacing w:after="120"/>
      </w:pPr>
      <w:r w:rsidRPr="008625DC">
        <w:t>The Panel is concerned that some anti</w:t>
      </w:r>
      <w:r w:rsidR="00C74E19" w:rsidRPr="008625DC">
        <w:noBreakHyphen/>
      </w:r>
      <w:r w:rsidRPr="008625DC">
        <w:t>competitive conduct of a non</w:t>
      </w:r>
      <w:r w:rsidR="00C74E19" w:rsidRPr="008625DC">
        <w:noBreakHyphen/>
      </w:r>
      <w:r w:rsidRPr="008625DC">
        <w:t xml:space="preserve">employment character may fall beyond the reach of the CCA by virtue of these developments. </w:t>
      </w:r>
      <w:r w:rsidR="00B11C30" w:rsidRPr="008625DC">
        <w:t xml:space="preserve">Nevertheless, the Panel recognises that these issues involve an intersection between competition and industrial policies, and might need to be addressed as part of the </w:t>
      </w:r>
      <w:r w:rsidRPr="008625DC">
        <w:t xml:space="preserve">foreshadowed </w:t>
      </w:r>
      <w:r w:rsidR="00B11C30" w:rsidRPr="008625DC">
        <w:t>review of the Fair Work Act. Possible solutions to the apparent conflict include, but are not limited to:</w:t>
      </w:r>
    </w:p>
    <w:p w14:paraId="006EB5A9" w14:textId="258BDE97" w:rsidR="00B11C30" w:rsidRPr="008625DC" w:rsidRDefault="00B11C30" w:rsidP="00B11C30">
      <w:pPr>
        <w:pStyle w:val="Bullet"/>
      </w:pPr>
      <w:r w:rsidRPr="008625DC">
        <w:t>a</w:t>
      </w:r>
      <w:r w:rsidR="009E18F3" w:rsidRPr="008625DC">
        <w:t xml:space="preserve"> </w:t>
      </w:r>
      <w:r w:rsidRPr="008625DC">
        <w:t>procedural right for the ACCC to be notified by the Fair Work Commission of proceedings for approval of workplace agreements which contain potential restrictions of the kind referred to in section</w:t>
      </w:r>
      <w:r w:rsidR="006341D7" w:rsidRPr="008625DC">
        <w:t>s</w:t>
      </w:r>
      <w:r w:rsidRPr="008625DC">
        <w:t xml:space="preserve"> 45E</w:t>
      </w:r>
      <w:r w:rsidR="006341D7" w:rsidRPr="008625DC">
        <w:t xml:space="preserve"> and 45EA</w:t>
      </w:r>
      <w:r w:rsidRPr="008625DC">
        <w:t>;</w:t>
      </w:r>
    </w:p>
    <w:p w14:paraId="323BB357" w14:textId="16E4F9FE" w:rsidR="00B11C30" w:rsidRPr="008625DC" w:rsidRDefault="00B11C30" w:rsidP="00B11C30">
      <w:pPr>
        <w:pStyle w:val="Bullet"/>
      </w:pPr>
      <w:r w:rsidRPr="008625DC">
        <w:t xml:space="preserve">an amendment to </w:t>
      </w:r>
      <w:r w:rsidR="006341D7" w:rsidRPr="008625DC">
        <w:t xml:space="preserve">sections 45E and 45EA </w:t>
      </w:r>
      <w:r w:rsidRPr="008625DC">
        <w:t xml:space="preserve">so that </w:t>
      </w:r>
      <w:r w:rsidR="006341D7" w:rsidRPr="008625DC">
        <w:t>they</w:t>
      </w:r>
      <w:r w:rsidRPr="008625DC">
        <w:t xml:space="preserve"> expressly includes awards and enterprise agreements (as proposed by employer representatives);</w:t>
      </w:r>
    </w:p>
    <w:p w14:paraId="375BEB1F" w14:textId="14604268" w:rsidR="00B11C30" w:rsidRPr="008625DC" w:rsidRDefault="00B11C30" w:rsidP="00047202">
      <w:pPr>
        <w:pStyle w:val="Bullet"/>
        <w:spacing w:after="240"/>
      </w:pPr>
      <w:r w:rsidRPr="008625DC">
        <w:t>an amendment to section</w:t>
      </w:r>
      <w:r w:rsidR="006341D7" w:rsidRPr="008625DC">
        <w:t>s</w:t>
      </w:r>
      <w:r w:rsidRPr="008625DC">
        <w:t xml:space="preserve"> 45E</w:t>
      </w:r>
      <w:r w:rsidR="006341D7" w:rsidRPr="008625DC">
        <w:t>, 45EA</w:t>
      </w:r>
      <w:r w:rsidRPr="008625DC">
        <w:t xml:space="preserve"> and possibly </w:t>
      </w:r>
      <w:r w:rsidR="00DA2D13" w:rsidRPr="008625DC">
        <w:t>paragraph </w:t>
      </w:r>
      <w:r w:rsidRPr="008625DC">
        <w:t xml:space="preserve">51(2)(a) to exempt workplace agreements approved under the Fair Work Act (as proposed by </w:t>
      </w:r>
      <w:r w:rsidR="00A81CA6" w:rsidRPr="008625DC">
        <w:t>trade unions</w:t>
      </w:r>
      <w:r w:rsidRPr="008625DC">
        <w:t>).</w:t>
      </w:r>
    </w:p>
    <w:p w14:paraId="5C57D36C" w14:textId="77777777" w:rsidR="00B11C30" w:rsidRPr="008625DC" w:rsidRDefault="00B11C30" w:rsidP="00B11C30">
      <w:r w:rsidRPr="008625DC">
        <w:t>The Panel invites further submissions on these alternatives and the issue generally.</w:t>
      </w:r>
    </w:p>
    <w:p w14:paraId="2DA9EA21" w14:textId="5F7FBC48" w:rsidR="00A81CA6" w:rsidRPr="008625DC" w:rsidRDefault="00A81CA6" w:rsidP="00B11C30">
      <w:r w:rsidRPr="008625DC">
        <w:t>In the interim the Panel see</w:t>
      </w:r>
      <w:r w:rsidR="009E18F3" w:rsidRPr="008625DC">
        <w:t>s</w:t>
      </w:r>
      <w:r w:rsidRPr="008625DC">
        <w:t xml:space="preserve"> merit in an appropriate case or cases being put before the courts and a ruling made on the enforceability or legal status of provisions in industrial agreements made under the Fair Work Act which extend beyond the scope of the CCA exclusion of employment matters. This should not, however, be a substitute for policy remediation, if this is required.</w:t>
      </w:r>
    </w:p>
    <w:p w14:paraId="3056BF96" w14:textId="009A3A80" w:rsidR="00B11C30" w:rsidRPr="008625DC" w:rsidRDefault="00B11C30" w:rsidP="00B11C30">
      <w:r w:rsidRPr="008625DC">
        <w:t>Finally, the Panel observes that section</w:t>
      </w:r>
      <w:r w:rsidR="006341D7" w:rsidRPr="008625DC">
        <w:t>s</w:t>
      </w:r>
      <w:r w:rsidRPr="008625DC">
        <w:t xml:space="preserve"> 45E</w:t>
      </w:r>
      <w:r w:rsidR="006341D7" w:rsidRPr="008625DC">
        <w:t xml:space="preserve"> and 45EA</w:t>
      </w:r>
      <w:r w:rsidRPr="008625DC">
        <w:t xml:space="preserve"> </w:t>
      </w:r>
      <w:r w:rsidR="006341D7" w:rsidRPr="008625DC">
        <w:t>are</w:t>
      </w:r>
      <w:r w:rsidRPr="008625DC">
        <w:t xml:space="preserve"> presently framed in narrow terms. The prohibition only applies to restrictions affecting persons with whom the employer </w:t>
      </w:r>
      <w:r w:rsidR="00C74E19" w:rsidRPr="008625DC">
        <w:t>‘</w:t>
      </w:r>
      <w:r w:rsidRPr="008625DC">
        <w:t>has been accustomed, or is under an obligation</w:t>
      </w:r>
      <w:r w:rsidR="00C74E19" w:rsidRPr="008625DC">
        <w:t>’</w:t>
      </w:r>
      <w:r w:rsidRPr="008625DC">
        <w:t xml:space="preserve"> to deal. As framed, the prohibition would not apply to a </w:t>
      </w:r>
      <w:r w:rsidRPr="008625DC">
        <w:lastRenderedPageBreak/>
        <w:t>restriction in relation to any contractor with whom the employer had not previously dealt. The policy rationale for limiting the scope of section</w:t>
      </w:r>
      <w:r w:rsidR="006341D7" w:rsidRPr="008625DC">
        <w:t>s</w:t>
      </w:r>
      <w:r w:rsidRPr="008625DC">
        <w:t xml:space="preserve"> 45E</w:t>
      </w:r>
      <w:r w:rsidR="006341D7" w:rsidRPr="008625DC">
        <w:t xml:space="preserve"> and 45EA</w:t>
      </w:r>
      <w:r w:rsidRPr="008625DC">
        <w:t xml:space="preserve"> in those terms is not apparent.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876F6C" w:rsidRPr="008625DC" w14:paraId="043A9F68" w14:textId="77777777" w:rsidTr="00943EA4">
        <w:tc>
          <w:tcPr>
            <w:tcW w:w="5000" w:type="pct"/>
            <w:shd w:val="clear" w:color="auto" w:fill="FFFFFF" w:themeFill="background1"/>
          </w:tcPr>
          <w:p w14:paraId="37944BB2" w14:textId="4A508F70" w:rsidR="00876F6C" w:rsidRPr="008625DC" w:rsidRDefault="00876F6C" w:rsidP="00943EA4">
            <w:pPr>
              <w:pStyle w:val="Keyfindingheading"/>
            </w:pPr>
            <w:r w:rsidRPr="008625DC">
              <w:t>The Panel</w:t>
            </w:r>
            <w:r w:rsidR="00C74E19" w:rsidRPr="008625DC">
              <w:t>’</w:t>
            </w:r>
            <w:r w:rsidRPr="008625DC">
              <w:t>s view</w:t>
            </w:r>
          </w:p>
          <w:p w14:paraId="5FBA7893" w14:textId="2DA7F796" w:rsidR="00B11C30" w:rsidRPr="008625DC" w:rsidRDefault="00B11C30" w:rsidP="00B11C30">
            <w:pPr>
              <w:pStyle w:val="Keyfindingtext"/>
            </w:pPr>
            <w:bookmarkStart w:id="33218" w:name="_Toc394561263"/>
            <w:bookmarkStart w:id="33219" w:name="_Toc394938468"/>
            <w:bookmarkStart w:id="33220" w:name="_Toc394937750"/>
            <w:bookmarkStart w:id="33221" w:name="_Toc394941383"/>
            <w:bookmarkStart w:id="33222" w:name="_Toc394941999"/>
            <w:bookmarkStart w:id="33223" w:name="_Toc394940221"/>
            <w:bookmarkStart w:id="33224" w:name="_Toc394939818"/>
            <w:bookmarkStart w:id="33225" w:name="_Toc394993715"/>
            <w:bookmarkStart w:id="33226" w:name="_Toc394995597"/>
            <w:bookmarkStart w:id="33227" w:name="_Toc394995911"/>
            <w:bookmarkStart w:id="33228" w:name="_Toc394998156"/>
            <w:bookmarkStart w:id="33229" w:name="_Toc394998670"/>
            <w:bookmarkStart w:id="33230" w:name="_Toc395002169"/>
            <w:bookmarkStart w:id="33231" w:name="_Toc395001377"/>
            <w:bookmarkStart w:id="33232" w:name="_Toc395001649"/>
            <w:bookmarkStart w:id="33233" w:name="_Toc395002938"/>
            <w:bookmarkStart w:id="33234" w:name="_Toc395003523"/>
            <w:bookmarkStart w:id="33235" w:name="_Toc395005764"/>
            <w:bookmarkStart w:id="33236" w:name="_Toc395009758"/>
            <w:bookmarkStart w:id="33237" w:name="_Toc395010500"/>
            <w:bookmarkStart w:id="33238" w:name="_Toc395012682"/>
            <w:bookmarkStart w:id="33239" w:name="_Toc395011676"/>
            <w:bookmarkStart w:id="33240" w:name="_Toc395013144"/>
            <w:bookmarkStart w:id="33241" w:name="_Toc395012146"/>
            <w:bookmarkStart w:id="33242" w:name="_Toc395014485"/>
            <w:bookmarkStart w:id="33243" w:name="_Toc395084830"/>
            <w:bookmarkStart w:id="33244" w:name="_Toc395085131"/>
            <w:bookmarkStart w:id="33245" w:name="_Toc395090597"/>
            <w:bookmarkStart w:id="33246" w:name="_Toc395093179"/>
            <w:bookmarkStart w:id="33247" w:name="_Toc395098089"/>
            <w:bookmarkStart w:id="33248" w:name="_Toc395106878"/>
            <w:bookmarkStart w:id="33249" w:name="_Toc395109536"/>
            <w:bookmarkStart w:id="33250" w:name="_Toc395112241"/>
            <w:bookmarkStart w:id="33251" w:name="_Toc395107383"/>
            <w:bookmarkStart w:id="33252" w:name="_Toc395108944"/>
            <w:bookmarkStart w:id="33253" w:name="_Toc395114184"/>
            <w:bookmarkStart w:id="33254" w:name="_Toc395116921"/>
            <w:bookmarkStart w:id="33255" w:name="_Toc395112858"/>
            <w:bookmarkStart w:id="33256" w:name="_Toc395115398"/>
            <w:bookmarkStart w:id="33257" w:name="_Toc395118550"/>
            <w:bookmarkStart w:id="33258" w:name="_Toc395624741"/>
            <w:bookmarkStart w:id="33259" w:name="_Toc395790092"/>
            <w:bookmarkStart w:id="33260" w:name="_Toc395800850"/>
            <w:bookmarkStart w:id="33261" w:name="_Toc394560800"/>
            <w:r w:rsidRPr="008625DC">
              <w:t>There is an apparent conflict between the object of section</w:t>
            </w:r>
            <w:r w:rsidR="00290889" w:rsidRPr="008625DC">
              <w:t>s</w:t>
            </w:r>
            <w:r w:rsidRPr="008625DC">
              <w:t xml:space="preserve"> 45E </w:t>
            </w:r>
            <w:r w:rsidR="00290889" w:rsidRPr="008625DC">
              <w:t xml:space="preserve">and 45EA </w:t>
            </w:r>
            <w:r w:rsidRPr="008625DC">
              <w:t xml:space="preserve">and industrial conduct that is permitted under the Fair Work Act. It is desirable that the apparent conflict </w:t>
            </w:r>
            <w:r w:rsidR="00DA2D13" w:rsidRPr="008625DC">
              <w:t>be</w:t>
            </w:r>
            <w:r w:rsidRPr="008625DC">
              <w:t xml:space="preserve"> resolved. The Panel favours competition over restrictions and believes that business</w:t>
            </w:r>
            <w:r w:rsidR="00163252" w:rsidRPr="008625DC">
              <w:t>es</w:t>
            </w:r>
            <w:r w:rsidRPr="008625DC">
              <w:t xml:space="preserve"> should generally be free to supply and acquire goods and services, including contract labour, if they choose.</w:t>
            </w:r>
          </w:p>
          <w:p w14:paraId="0FB085D5" w14:textId="77777777" w:rsidR="00B11C30" w:rsidRPr="008625DC" w:rsidRDefault="00B11C30" w:rsidP="00B11C30">
            <w:pPr>
              <w:spacing w:after="120"/>
            </w:pPr>
            <w:r w:rsidRPr="008625DC">
              <w:t>The Panel invites further submissions on this issue and possible solutions to the apparent conflict including:</w:t>
            </w:r>
          </w:p>
          <w:p w14:paraId="020AFB79" w14:textId="1585E84A" w:rsidR="00B11C30" w:rsidRPr="008625DC" w:rsidRDefault="00B11C30" w:rsidP="00B11C30">
            <w:pPr>
              <w:pStyle w:val="Bullet"/>
            </w:pPr>
            <w:r w:rsidRPr="008625DC">
              <w:t>a procedural right for the ACCC to be notified by the Fair Work Commission of proceedings for approval of workplace agreements which contain potential restrictions of the kind referred to in section</w:t>
            </w:r>
            <w:r w:rsidR="006341D7" w:rsidRPr="008625DC">
              <w:t>s</w:t>
            </w:r>
            <w:r w:rsidRPr="008625DC">
              <w:t xml:space="preserve"> 45E</w:t>
            </w:r>
            <w:r w:rsidR="006341D7" w:rsidRPr="008625DC">
              <w:t xml:space="preserve"> and 45EA</w:t>
            </w:r>
            <w:r w:rsidR="00563DCB" w:rsidRPr="008625DC">
              <w:t>, and to intervene and make submissions</w:t>
            </w:r>
            <w:r w:rsidRPr="008625DC">
              <w:t>;</w:t>
            </w:r>
          </w:p>
          <w:p w14:paraId="7A5E022F" w14:textId="1C319565" w:rsidR="00B11C30" w:rsidRPr="008625DC" w:rsidRDefault="00B11C30" w:rsidP="00B11C30">
            <w:pPr>
              <w:pStyle w:val="Bullet"/>
            </w:pPr>
            <w:r w:rsidRPr="008625DC">
              <w:t>amendment</w:t>
            </w:r>
            <w:r w:rsidR="008177F5" w:rsidRPr="008625DC">
              <w:t>s</w:t>
            </w:r>
            <w:r w:rsidRPr="008625DC">
              <w:t xml:space="preserve"> to section</w:t>
            </w:r>
            <w:r w:rsidR="006341D7" w:rsidRPr="008625DC">
              <w:t>s</w:t>
            </w:r>
            <w:r w:rsidRPr="008625DC">
              <w:t xml:space="preserve"> 45E</w:t>
            </w:r>
            <w:r w:rsidR="006341D7" w:rsidRPr="008625DC">
              <w:t xml:space="preserve"> and 45EA</w:t>
            </w:r>
            <w:r w:rsidRPr="008625DC">
              <w:t xml:space="preserve"> so that </w:t>
            </w:r>
            <w:r w:rsidR="006341D7" w:rsidRPr="008625DC">
              <w:t xml:space="preserve">they </w:t>
            </w:r>
            <w:r w:rsidRPr="008625DC">
              <w:t>expressly include awards and enterprise agreements;</w:t>
            </w:r>
            <w:r w:rsidR="008177F5" w:rsidRPr="008625DC">
              <w:t xml:space="preserve"> and</w:t>
            </w:r>
          </w:p>
          <w:p w14:paraId="0386ABE2" w14:textId="42218D2B" w:rsidR="00B11C30" w:rsidRPr="008625DC" w:rsidRDefault="00B11C30" w:rsidP="00047202">
            <w:pPr>
              <w:pStyle w:val="Bullet"/>
              <w:spacing w:after="240"/>
            </w:pPr>
            <w:r w:rsidRPr="008625DC">
              <w:t>amendment</w:t>
            </w:r>
            <w:r w:rsidR="008177F5" w:rsidRPr="008625DC">
              <w:t>s</w:t>
            </w:r>
            <w:r w:rsidRPr="008625DC">
              <w:t xml:space="preserve"> to section</w:t>
            </w:r>
            <w:r w:rsidR="006341D7" w:rsidRPr="008625DC">
              <w:t>s</w:t>
            </w:r>
            <w:r w:rsidRPr="008625DC">
              <w:t xml:space="preserve"> 45E</w:t>
            </w:r>
            <w:r w:rsidR="006341D7" w:rsidRPr="008625DC">
              <w:t>, 45EA</w:t>
            </w:r>
            <w:r w:rsidR="00C86A9E" w:rsidRPr="008625DC">
              <w:t xml:space="preserve"> </w:t>
            </w:r>
            <w:r w:rsidRPr="008625DC">
              <w:t xml:space="preserve">and possibly </w:t>
            </w:r>
            <w:r w:rsidR="00457973" w:rsidRPr="008625DC">
              <w:t>paragraph </w:t>
            </w:r>
            <w:r w:rsidRPr="008625DC">
              <w:t>51(2)(a) to exempt workplace agreements approved under the Fair Work Act.</w:t>
            </w:r>
          </w:p>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bookmarkEnd w:id="33260"/>
          <w:p w14:paraId="40BBEB31" w14:textId="13E0CC96" w:rsidR="00876F6C" w:rsidRPr="008625DC" w:rsidRDefault="00B11C30" w:rsidP="00EE1DA5">
            <w:pPr>
              <w:pStyle w:val="Keyfindingtext"/>
            </w:pPr>
            <w:r w:rsidRPr="008625DC">
              <w:t>The present limitation in section</w:t>
            </w:r>
            <w:r w:rsidR="00C86A9E" w:rsidRPr="008625DC">
              <w:t>s</w:t>
            </w:r>
            <w:r w:rsidRPr="008625DC">
              <w:t xml:space="preserve"> 45E</w:t>
            </w:r>
            <w:r w:rsidR="00C86A9E" w:rsidRPr="008625DC">
              <w:t xml:space="preserve"> and 45EA</w:t>
            </w:r>
            <w:r w:rsidRPr="008625DC">
              <w:t xml:space="preserve">, such that the prohibition only applies to restrictions affecting persons with whom an employer </w:t>
            </w:r>
            <w:r w:rsidR="00C74E19" w:rsidRPr="008625DC">
              <w:t>‘</w:t>
            </w:r>
            <w:r w:rsidRPr="008625DC">
              <w:t>has been accustomed, or is under an obligation</w:t>
            </w:r>
            <w:r w:rsidR="00C74E19" w:rsidRPr="008625DC">
              <w:t>’</w:t>
            </w:r>
            <w:r w:rsidRPr="008625DC">
              <w:t xml:space="preserve"> to deal with, should be removed.</w:t>
            </w:r>
            <w:bookmarkEnd w:id="33261"/>
          </w:p>
        </w:tc>
      </w:tr>
    </w:tbl>
    <w:p w14:paraId="5D55A98F" w14:textId="08161CB9" w:rsidR="00063FF2" w:rsidRPr="008625DC" w:rsidRDefault="00063FF2" w:rsidP="001059F9">
      <w:bookmarkStart w:id="33262" w:name="_Toc393985048"/>
      <w:bookmarkStart w:id="33263" w:name="_Toc393985314"/>
      <w:bookmarkStart w:id="33264" w:name="_Toc393985551"/>
      <w:bookmarkStart w:id="33265" w:name="_Toc393985818"/>
      <w:bookmarkStart w:id="33266" w:name="_Toc393985953"/>
      <w:bookmarkStart w:id="33267" w:name="_Toc393986220"/>
      <w:bookmarkStart w:id="33268" w:name="_Toc393986356"/>
      <w:bookmarkStart w:id="33269" w:name="_Toc393987963"/>
      <w:bookmarkStart w:id="33270" w:name="_Toc393988230"/>
      <w:bookmarkStart w:id="33271" w:name="_Toc393988632"/>
      <w:bookmarkStart w:id="33272" w:name="_Toc393986624"/>
      <w:bookmarkStart w:id="33273" w:name="_Toc393989376"/>
      <w:bookmarkStart w:id="33274" w:name="_Toc393989644"/>
      <w:bookmarkStart w:id="33275" w:name="_Toc393987867"/>
      <w:bookmarkStart w:id="33276" w:name="_Toc393988764"/>
      <w:bookmarkStart w:id="33277" w:name="_Toc393989032"/>
      <w:bookmarkStart w:id="33278" w:name="_Toc393990768"/>
      <w:bookmarkStart w:id="33279" w:name="_Toc393991036"/>
      <w:bookmarkStart w:id="33280" w:name="_Toc393991135"/>
      <w:bookmarkStart w:id="33281" w:name="_Toc393991750"/>
      <w:bookmarkStart w:id="33282" w:name="_Toc393992020"/>
      <w:bookmarkStart w:id="33283" w:name="_Toc394047418"/>
      <w:bookmarkStart w:id="33284" w:name="_Toc394047684"/>
      <w:bookmarkStart w:id="33285" w:name="_Toc394047795"/>
      <w:bookmarkStart w:id="33286" w:name="_Toc394048351"/>
      <w:bookmarkStart w:id="33287" w:name="_Toc394049694"/>
      <w:bookmarkStart w:id="33288" w:name="_Toc394049963"/>
      <w:bookmarkStart w:id="33289" w:name="_Toc394051094"/>
      <w:bookmarkStart w:id="33290" w:name="_Toc394051363"/>
      <w:bookmarkStart w:id="33291" w:name="_Toc394062083"/>
      <w:bookmarkStart w:id="33292" w:name="_Toc394062510"/>
      <w:bookmarkStart w:id="33293" w:name="_Toc394068958"/>
      <w:bookmarkStart w:id="33294" w:name="_Toc394069225"/>
      <w:bookmarkStart w:id="33295" w:name="_Toc394070780"/>
      <w:bookmarkStart w:id="33296" w:name="_Toc394071143"/>
      <w:bookmarkStart w:id="33297" w:name="_Toc394312280"/>
      <w:bookmarkStart w:id="33298" w:name="_Toc394330414"/>
      <w:bookmarkStart w:id="33299" w:name="_Toc394331345"/>
      <w:bookmarkStart w:id="33300" w:name="_Toc394330178"/>
      <w:bookmarkStart w:id="33301" w:name="_Toc394333152"/>
      <w:bookmarkStart w:id="33302" w:name="_Toc394333421"/>
      <w:bookmarkStart w:id="33303" w:name="_Toc394332730"/>
      <w:bookmarkStart w:id="33304" w:name="_Toc394333565"/>
      <w:bookmarkStart w:id="33305" w:name="_Toc394333834"/>
      <w:bookmarkStart w:id="33306" w:name="_Toc394333978"/>
      <w:bookmarkStart w:id="33307" w:name="_Toc394334247"/>
      <w:bookmarkStart w:id="33308" w:name="_Toc394334804"/>
      <w:bookmarkStart w:id="33309" w:name="_Toc394335073"/>
      <w:bookmarkStart w:id="33310" w:name="_Toc394414987"/>
      <w:bookmarkStart w:id="33311" w:name="_Toc394415277"/>
      <w:bookmarkStart w:id="33312" w:name="_Toc394412292"/>
      <w:bookmarkStart w:id="33313" w:name="_Toc394412586"/>
      <w:bookmarkStart w:id="33314" w:name="_Toc394420567"/>
      <w:bookmarkStart w:id="33315" w:name="_Toc394420879"/>
      <w:bookmarkStart w:id="33316" w:name="_Toc394421041"/>
      <w:bookmarkStart w:id="33317" w:name="_Toc394423411"/>
      <w:bookmarkStart w:id="33318" w:name="_Toc394423720"/>
      <w:bookmarkStart w:id="33319" w:name="_Toc394420345"/>
      <w:bookmarkStart w:id="33320" w:name="_Toc394422455"/>
      <w:bookmarkStart w:id="33321" w:name="_Toc394422764"/>
      <w:bookmarkStart w:id="33322" w:name="_Toc394422926"/>
      <w:bookmarkStart w:id="33323" w:name="_Toc394423235"/>
      <w:bookmarkStart w:id="33324" w:name="_Toc394424076"/>
      <w:bookmarkStart w:id="33325" w:name="_Toc394424383"/>
      <w:bookmarkStart w:id="33326" w:name="_Toc394491911"/>
      <w:bookmarkStart w:id="33327" w:name="_Toc394492214"/>
      <w:bookmarkStart w:id="33328" w:name="_Toc394495056"/>
      <w:bookmarkStart w:id="33329" w:name="_Toc394495358"/>
      <w:bookmarkStart w:id="33330" w:name="_Toc394497868"/>
      <w:bookmarkStart w:id="33331" w:name="_Toc394498173"/>
      <w:bookmarkStart w:id="33332" w:name="_Toc394500660"/>
      <w:bookmarkStart w:id="33333" w:name="_Toc394500963"/>
      <w:bookmarkStart w:id="33334" w:name="_Toc394502064"/>
      <w:bookmarkStart w:id="33335" w:name="_Toc394502360"/>
      <w:bookmarkStart w:id="33336" w:name="_Toc394502966"/>
      <w:bookmarkStart w:id="33337" w:name="_Toc394503719"/>
      <w:bookmarkStart w:id="33338" w:name="_Toc394502510"/>
      <w:bookmarkStart w:id="33339" w:name="_Toc394502808"/>
      <w:bookmarkStart w:id="33340" w:name="_Toc394505718"/>
      <w:bookmarkStart w:id="33341" w:name="_Toc394506137"/>
      <w:bookmarkStart w:id="33342" w:name="_Toc394506057"/>
      <w:bookmarkStart w:id="33343" w:name="_Toc394506475"/>
      <w:bookmarkStart w:id="33344" w:name="_Toc394506731"/>
      <w:bookmarkStart w:id="33345" w:name="_Toc394507029"/>
      <w:bookmarkStart w:id="33346" w:name="_Toc394560808"/>
      <w:bookmarkStart w:id="33347" w:name="_Toc394561106"/>
      <w:bookmarkStart w:id="33348" w:name="_Toc394561269"/>
      <w:bookmarkStart w:id="33349" w:name="_Toc394561940"/>
      <w:bookmarkStart w:id="33350" w:name="_Toc394582999"/>
      <w:bookmarkStart w:id="33351" w:name="_Toc394585670"/>
      <w:bookmarkStart w:id="33352" w:name="_Toc394586136"/>
      <w:bookmarkStart w:id="33353" w:name="_Toc394588068"/>
      <w:bookmarkStart w:id="33354" w:name="_Toc394588903"/>
      <w:bookmarkStart w:id="33355" w:name="_Toc394589028"/>
      <w:bookmarkStart w:id="33356" w:name="_Toc394590444"/>
      <w:bookmarkStart w:id="33357" w:name="_Toc394590637"/>
      <w:r w:rsidRPr="008625DC">
        <w:br w:type="page"/>
      </w:r>
    </w:p>
    <w:p w14:paraId="118E73CD" w14:textId="6548C1CD" w:rsidR="00530878" w:rsidRPr="008625DC" w:rsidRDefault="00E83CE3" w:rsidP="00864E0A">
      <w:pPr>
        <w:pStyle w:val="Heading1"/>
        <w:ind w:left="851" w:hanging="851"/>
      </w:pPr>
      <w:bookmarkStart w:id="33358" w:name="_Toc397601994"/>
      <w:bookmarkStart w:id="33359" w:name="_Toc397602729"/>
      <w:bookmarkStart w:id="33360" w:name="_Toc397605862"/>
      <w:bookmarkStart w:id="33361" w:name="_Toc397614559"/>
      <w:bookmarkStart w:id="33362" w:name="_Toc397615002"/>
      <w:bookmarkStart w:id="33363" w:name="_Toc397616445"/>
      <w:bookmarkStart w:id="33364" w:name="_Toc397616839"/>
      <w:bookmarkStart w:id="33365" w:name="_Toc397688137"/>
      <w:bookmarkStart w:id="33366" w:name="_Toc397689353"/>
      <w:bookmarkStart w:id="33367" w:name="_Toc397694633"/>
      <w:bookmarkStart w:id="33368" w:name="_Toc397696474"/>
      <w:bookmarkStart w:id="33369" w:name="_Toc397697208"/>
      <w:bookmarkStart w:id="33370" w:name="_Toc397698495"/>
      <w:bookmarkStart w:id="33371" w:name="_Toc397699861"/>
      <w:bookmarkStart w:id="33372" w:name="_Toc397700315"/>
      <w:bookmarkStart w:id="33373" w:name="_Toc397936707"/>
      <w:bookmarkStart w:id="33374" w:name="_Toc397936827"/>
      <w:bookmarkStart w:id="33375" w:name="_Toc397945983"/>
      <w:bookmarkStart w:id="33376" w:name="_Toc397947009"/>
      <w:bookmarkStart w:id="33377" w:name="_Toc397948128"/>
      <w:bookmarkStart w:id="33378" w:name="_Toc397958534"/>
      <w:bookmarkStart w:id="33379" w:name="_Toc397958776"/>
      <w:bookmarkStart w:id="33380" w:name="_Toc397959191"/>
      <w:bookmarkStart w:id="33381" w:name="_Toc397962258"/>
      <w:bookmarkStart w:id="33382" w:name="_Toc397963044"/>
      <w:bookmarkStart w:id="33383" w:name="_Toc397963410"/>
      <w:bookmarkStart w:id="33384" w:name="_Toc397965487"/>
      <w:bookmarkStart w:id="33385" w:name="_Toc398197425"/>
      <w:bookmarkStart w:id="33386" w:name="_Toc398200050"/>
      <w:bookmarkStart w:id="33387" w:name="_Toc398200316"/>
      <w:bookmarkStart w:id="33388" w:name="_Toc398201642"/>
      <w:bookmarkStart w:id="33389" w:name="_Toc398207247"/>
      <w:bookmarkStart w:id="33390" w:name="_Toc398209951"/>
      <w:bookmarkStart w:id="33391" w:name="_Toc398210520"/>
      <w:bookmarkStart w:id="33392" w:name="_Toc398211034"/>
      <w:bookmarkStart w:id="33393" w:name="_Toc398219845"/>
      <w:bookmarkStart w:id="33394" w:name="_Toc398220220"/>
      <w:bookmarkStart w:id="33395" w:name="_Toc398220607"/>
      <w:bookmarkStart w:id="33396" w:name="_Toc398221685"/>
      <w:bookmarkStart w:id="33397" w:name="_Toc398222371"/>
      <w:bookmarkStart w:id="33398" w:name="_Toc398222683"/>
      <w:bookmarkStart w:id="33399" w:name="_Toc398223100"/>
      <w:bookmarkStart w:id="33400" w:name="_Toc398223479"/>
      <w:bookmarkStart w:id="33401" w:name="_Toc398223606"/>
      <w:bookmarkStart w:id="33402" w:name="_Toc398224414"/>
      <w:bookmarkStart w:id="33403" w:name="_Toc398225751"/>
      <w:bookmarkStart w:id="33404" w:name="_Toc398225876"/>
      <w:bookmarkStart w:id="33405" w:name="_Toc398281363"/>
      <w:bookmarkStart w:id="33406" w:name="_Toc398282222"/>
      <w:bookmarkStart w:id="33407" w:name="_Toc398284892"/>
      <w:bookmarkStart w:id="33408" w:name="_Toc398287361"/>
      <w:bookmarkStart w:id="33409" w:name="_Toc398289244"/>
      <w:bookmarkStart w:id="33410" w:name="_Toc398297241"/>
      <w:bookmarkStart w:id="33411" w:name="_Toc398298715"/>
      <w:bookmarkStart w:id="33412" w:name="_Toc398300416"/>
      <w:bookmarkStart w:id="33413" w:name="_Toc398301313"/>
      <w:bookmarkStart w:id="33414" w:name="_Toc398302498"/>
      <w:bookmarkStart w:id="33415" w:name="_Toc398302661"/>
      <w:bookmarkStart w:id="33416" w:name="_Toc398549175"/>
      <w:bookmarkStart w:id="33417" w:name="_Toc398549425"/>
      <w:bookmarkStart w:id="33418" w:name="_Toc398555844"/>
      <w:bookmarkStart w:id="33419" w:name="_Toc398559048"/>
      <w:bookmarkStart w:id="33420" w:name="_Toc398563534"/>
      <w:bookmarkStart w:id="33421" w:name="_Toc398563667"/>
      <w:bookmarkStart w:id="33422" w:name="_Toc398564066"/>
      <w:bookmarkStart w:id="33423" w:name="_Toc398827404"/>
      <w:bookmarkStart w:id="33424" w:name="_Toc398827598"/>
      <w:bookmarkStart w:id="33425" w:name="Ch19"/>
      <w:bookmarkStart w:id="33426" w:name="_Toc392149016"/>
      <w:bookmarkStart w:id="33427" w:name="_Toc392159467"/>
      <w:bookmarkStart w:id="33428" w:name="_Toc392162232"/>
      <w:bookmarkStart w:id="33429" w:name="_Toc392163907"/>
      <w:bookmarkStart w:id="33430" w:name="_Toc392168942"/>
      <w:bookmarkStart w:id="33431" w:name="_Toc392169874"/>
      <w:bookmarkStart w:id="33432" w:name="_Toc392170568"/>
      <w:bookmarkStart w:id="33433" w:name="_Toc392170742"/>
      <w:bookmarkStart w:id="33434" w:name="_Toc392171157"/>
      <w:bookmarkStart w:id="33435" w:name="_Toc392172746"/>
      <w:bookmarkStart w:id="33436" w:name="_Toc392173109"/>
      <w:bookmarkStart w:id="33437" w:name="_Toc392173285"/>
      <w:bookmarkStart w:id="33438" w:name="_Toc392238275"/>
      <w:bookmarkStart w:id="33439" w:name="_Toc392247577"/>
      <w:bookmarkStart w:id="33440" w:name="_Toc392247852"/>
      <w:bookmarkStart w:id="33441" w:name="_Toc392248524"/>
      <w:bookmarkStart w:id="33442" w:name="_Toc392251057"/>
      <w:bookmarkStart w:id="33443" w:name="_Toc392253681"/>
      <w:bookmarkStart w:id="33444" w:name="_Toc392253858"/>
      <w:bookmarkStart w:id="33445" w:name="_Toc392255449"/>
      <w:bookmarkStart w:id="33446" w:name="_Toc392256244"/>
      <w:bookmarkStart w:id="33447" w:name="_Toc392257439"/>
      <w:bookmarkStart w:id="33448" w:name="_Toc392498456"/>
      <w:bookmarkStart w:id="33449" w:name="_Toc392500450"/>
      <w:bookmarkStart w:id="33450" w:name="_Toc392513264"/>
      <w:bookmarkStart w:id="33451" w:name="_Toc392514177"/>
      <w:bookmarkStart w:id="33452" w:name="_Toc392515364"/>
      <w:bookmarkStart w:id="33453" w:name="_Toc392516463"/>
      <w:bookmarkStart w:id="33454" w:name="_Toc392517292"/>
      <w:bookmarkStart w:id="33455" w:name="_Toc392517211"/>
      <w:bookmarkStart w:id="33456" w:name="_Toc392517559"/>
      <w:bookmarkStart w:id="33457" w:name="_Toc392517713"/>
      <w:bookmarkStart w:id="33458" w:name="_Toc392517793"/>
      <w:bookmarkStart w:id="33459" w:name="_Toc392684993"/>
      <w:bookmarkStart w:id="33460" w:name="_Toc392685083"/>
      <w:bookmarkStart w:id="33461" w:name="_Toc392687246"/>
      <w:bookmarkStart w:id="33462" w:name="_Toc392688414"/>
      <w:bookmarkStart w:id="33463" w:name="_Toc392689414"/>
      <w:bookmarkStart w:id="33464" w:name="_Toc392690198"/>
      <w:bookmarkStart w:id="33465" w:name="_Toc392843421"/>
      <w:bookmarkStart w:id="33466" w:name="_Toc392853055"/>
      <w:bookmarkStart w:id="33467" w:name="_Toc392859812"/>
      <w:bookmarkStart w:id="33468" w:name="_Toc392860700"/>
      <w:bookmarkStart w:id="33469" w:name="_Toc392861470"/>
      <w:bookmarkStart w:id="33470" w:name="_Toc393203427"/>
      <w:bookmarkStart w:id="33471" w:name="_Toc393207207"/>
      <w:bookmarkStart w:id="33472" w:name="_Toc393207298"/>
      <w:bookmarkStart w:id="33473" w:name="_Toc393208071"/>
      <w:bookmarkStart w:id="33474" w:name="_Toc393208169"/>
      <w:bookmarkStart w:id="33475" w:name="_Toc393208258"/>
      <w:bookmarkStart w:id="33476" w:name="_Toc393208347"/>
      <w:bookmarkStart w:id="33477" w:name="_Toc393209671"/>
      <w:bookmarkStart w:id="33478" w:name="_Toc393276034"/>
      <w:bookmarkStart w:id="33479" w:name="_Toc393278936"/>
      <w:bookmarkStart w:id="33480" w:name="_Toc393289821"/>
      <w:bookmarkStart w:id="33481" w:name="_Toc393289916"/>
      <w:bookmarkStart w:id="33482" w:name="_Toc393292301"/>
      <w:bookmarkStart w:id="33483" w:name="_Toc393293923"/>
      <w:bookmarkStart w:id="33484" w:name="_Toc393294942"/>
      <w:bookmarkStart w:id="33485" w:name="_Toc393295247"/>
      <w:bookmarkStart w:id="33486" w:name="_Toc393296238"/>
      <w:bookmarkStart w:id="33487" w:name="_Toc393363176"/>
      <w:bookmarkStart w:id="33488" w:name="_Toc393372233"/>
      <w:bookmarkStart w:id="33489" w:name="_Toc393373327"/>
      <w:bookmarkStart w:id="33490" w:name="_Toc393374435"/>
      <w:bookmarkStart w:id="33491" w:name="_Toc393379205"/>
      <w:bookmarkStart w:id="33492" w:name="_Toc393379817"/>
      <w:bookmarkStart w:id="33493" w:name="_Toc393379913"/>
      <w:bookmarkStart w:id="33494" w:name="_Toc393879165"/>
      <w:bookmarkStart w:id="33495" w:name="_Toc393879396"/>
      <w:bookmarkStart w:id="33496" w:name="_Toc393903360"/>
      <w:bookmarkStart w:id="33497" w:name="_Toc393903595"/>
      <w:bookmarkStart w:id="33498" w:name="_Toc393902570"/>
      <w:bookmarkStart w:id="33499" w:name="_Toc393902807"/>
      <w:bookmarkStart w:id="33500" w:name="_Toc393905276"/>
      <w:bookmarkStart w:id="33501" w:name="_Toc393905513"/>
      <w:bookmarkStart w:id="33502" w:name="_Toc393904133"/>
      <w:bookmarkStart w:id="33503" w:name="_Toc393904369"/>
      <w:bookmarkStart w:id="33504" w:name="_Toc393903749"/>
      <w:bookmarkStart w:id="33505" w:name="_Toc393903986"/>
      <w:bookmarkStart w:id="33506" w:name="_Toc393905823"/>
      <w:bookmarkStart w:id="33507" w:name="_Toc393905966"/>
      <w:bookmarkStart w:id="33508" w:name="_Toc393906204"/>
      <w:bookmarkStart w:id="33509" w:name="_Toc393907943"/>
      <w:bookmarkStart w:id="33510" w:name="_Toc393908182"/>
      <w:bookmarkStart w:id="33511" w:name="_Toc393906384"/>
      <w:bookmarkStart w:id="33512" w:name="_Toc393906623"/>
      <w:bookmarkStart w:id="33513" w:name="_Toc393967522"/>
      <w:bookmarkStart w:id="33514" w:name="_Toc393968150"/>
      <w:bookmarkStart w:id="33515" w:name="_Toc393974036"/>
      <w:bookmarkStart w:id="33516" w:name="_Toc393974281"/>
      <w:bookmarkStart w:id="33517" w:name="_Toc393977681"/>
      <w:bookmarkStart w:id="33518" w:name="_Toc393977930"/>
      <w:bookmarkStart w:id="33519" w:name="_Toc393985064"/>
      <w:bookmarkStart w:id="33520" w:name="_Toc393985315"/>
      <w:bookmarkStart w:id="33521" w:name="_Toc393985567"/>
      <w:bookmarkStart w:id="33522" w:name="_Toc393985819"/>
      <w:bookmarkStart w:id="33523" w:name="_Toc393985969"/>
      <w:bookmarkStart w:id="33524" w:name="_Toc393986221"/>
      <w:bookmarkStart w:id="33525" w:name="_Toc393986372"/>
      <w:bookmarkStart w:id="33526" w:name="_Toc393987979"/>
      <w:bookmarkStart w:id="33527" w:name="_Toc393988231"/>
      <w:bookmarkStart w:id="33528" w:name="_Toc393988633"/>
      <w:bookmarkStart w:id="33529" w:name="_Toc393986625"/>
      <w:bookmarkStart w:id="33530" w:name="_Toc393989392"/>
      <w:bookmarkStart w:id="33531" w:name="_Toc393989645"/>
      <w:bookmarkStart w:id="33532" w:name="_Toc393987883"/>
      <w:bookmarkStart w:id="33533" w:name="_Toc393988780"/>
      <w:bookmarkStart w:id="33534" w:name="_Toc393989033"/>
      <w:bookmarkStart w:id="33535" w:name="_Toc393990784"/>
      <w:bookmarkStart w:id="33536" w:name="_Toc393991037"/>
      <w:bookmarkStart w:id="33537" w:name="_Toc393991136"/>
      <w:bookmarkStart w:id="33538" w:name="_Toc393991766"/>
      <w:bookmarkStart w:id="33539" w:name="_Toc393992021"/>
      <w:bookmarkStart w:id="33540" w:name="_Toc394047432"/>
      <w:bookmarkStart w:id="33541" w:name="_Toc394047685"/>
      <w:bookmarkStart w:id="33542" w:name="_Toc394047796"/>
      <w:bookmarkStart w:id="33543" w:name="_Toc394048352"/>
      <w:bookmarkStart w:id="33544" w:name="_Toc394049708"/>
      <w:bookmarkStart w:id="33545" w:name="_Toc394049964"/>
      <w:bookmarkStart w:id="33546" w:name="_Toc394051108"/>
      <w:bookmarkStart w:id="33547" w:name="_Toc394051364"/>
      <w:bookmarkStart w:id="33548" w:name="_Toc394062097"/>
      <w:bookmarkStart w:id="33549" w:name="_Toc394062511"/>
      <w:bookmarkStart w:id="33550" w:name="_Toc394068972"/>
      <w:bookmarkStart w:id="33551" w:name="_Toc394069226"/>
      <w:bookmarkStart w:id="33552" w:name="_Toc394070794"/>
      <w:bookmarkStart w:id="33553" w:name="_Toc394071144"/>
      <w:bookmarkStart w:id="33554" w:name="_Toc394312294"/>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bookmarkEnd w:id="33356"/>
      <w:bookmarkEnd w:id="33357"/>
      <w:r w:rsidRPr="008625DC">
        <w:lastRenderedPageBreak/>
        <w:t>Exemption processes</w:t>
      </w:r>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p>
    <w:p w14:paraId="44C5E91A" w14:textId="289B8643" w:rsidR="00E83CE3" w:rsidRPr="008625DC" w:rsidRDefault="00E83CE3" w:rsidP="00D1593D">
      <w:bookmarkStart w:id="33555" w:name="_Toc397515402"/>
      <w:bookmarkStart w:id="33556" w:name="_Toc397523271"/>
      <w:bookmarkEnd w:id="33425"/>
      <w:r w:rsidRPr="008625DC">
        <w:t>Competition is desirable not for its own sake</w:t>
      </w:r>
      <w:r w:rsidR="006148D5" w:rsidRPr="008625DC">
        <w:t>,</w:t>
      </w:r>
      <w:r w:rsidRPr="008625DC">
        <w:t xml:space="preserve"> but because in most circumstances it improves the welfare of Australians by increasing choice, diversity and efficiency in the supply of goods and services. In other words, competition is a means to an end. In some circumstances arrangements that lessen competition may nonetheless produce benefits to the public that outweigh the detriment that results from the lessening of competition.</w:t>
      </w:r>
    </w:p>
    <w:p w14:paraId="778C67E1" w14:textId="2DFDEEB0" w:rsidR="00E83CE3" w:rsidRPr="008625DC" w:rsidRDefault="00E83CE3" w:rsidP="00D1593D">
      <w:r w:rsidRPr="008625DC">
        <w:t>The CCA has various procedures by which businesses can apply to the ACCC for an exemption from the competition law for particular commercial arrangements on the basis that the arrangements generate a net public benefit. The CCA presently contains three separate processes that have different features.</w:t>
      </w:r>
    </w:p>
    <w:p w14:paraId="607A0FFB" w14:textId="76367B97" w:rsidR="00E83CE3" w:rsidRPr="008625DC" w:rsidRDefault="00E83CE3" w:rsidP="00D1593D">
      <w:r w:rsidRPr="008625DC">
        <w:t>The authorisation process is applicable to most types of business conduct. The ACCC may grant authorisation if it is satisfied that the conduct generates a net public benefit. Exemption from the competition laws does not commence until the ACCC has made a determination in respect of the application, which often takes many months. Presently, merger applications for authorisation are treated differently to other applications. Merger applications must be made to the Tribunal and are subject to a time limit for determination. As discussed earlier in the context of mergers, the Panel</w:t>
      </w:r>
      <w:r w:rsidR="00C74E19" w:rsidRPr="008625DC">
        <w:t>’</w:t>
      </w:r>
      <w:r w:rsidRPr="008625DC">
        <w:t xml:space="preserve">s view is that merger authorisations </w:t>
      </w:r>
      <w:r w:rsidR="00851F44" w:rsidRPr="008625DC">
        <w:t xml:space="preserve">applications </w:t>
      </w:r>
      <w:r w:rsidRPr="008625DC">
        <w:t>should also be made to the ACCC in the first instance, with the Tribunal exercising a power of review</w:t>
      </w:r>
      <w:r w:rsidR="00741496" w:rsidRPr="008625DC">
        <w:t xml:space="preserve"> (see </w:t>
      </w:r>
      <w:hyperlink w:anchor="Ch15" w:history="1">
        <w:r w:rsidR="00741496" w:rsidRPr="008625DC">
          <w:rPr>
            <w:rStyle w:val="Hyperlink"/>
          </w:rPr>
          <w:t>Chapter 15</w:t>
        </w:r>
      </w:hyperlink>
      <w:r w:rsidR="00741496" w:rsidRPr="008625DC">
        <w:t>)</w:t>
      </w:r>
      <w:r w:rsidRPr="008625DC">
        <w:t>.</w:t>
      </w:r>
    </w:p>
    <w:p w14:paraId="45C409F1" w14:textId="5CB3FC00" w:rsidR="00E83CE3" w:rsidRPr="008625DC" w:rsidRDefault="00E83CE3" w:rsidP="00D1593D">
      <w:r w:rsidRPr="008625DC">
        <w:t>A notification may be given to the ACCC in respect of exclusive dealing co</w:t>
      </w:r>
      <w:r w:rsidR="00D1593D" w:rsidRPr="008625DC">
        <w:t>nduct (prohibited under section </w:t>
      </w:r>
      <w:r w:rsidRPr="008625DC">
        <w:t>47), collective bargaining conduct (prohibited under the cartel provisions</w:t>
      </w:r>
      <w:r w:rsidR="0001739A" w:rsidRPr="008625DC">
        <w:t xml:space="preserve"> and section 45</w:t>
      </w:r>
      <w:r w:rsidRPr="008625DC">
        <w:t>) and price signalling</w:t>
      </w:r>
      <w:r w:rsidR="0001739A" w:rsidRPr="008625DC">
        <w:t xml:space="preserve"> (prohibited under Division 1A)</w:t>
      </w:r>
      <w:r w:rsidRPr="008625DC">
        <w:t xml:space="preserve">. The advantage of the notification process in comparison to the authorisation process is that a notification provides </w:t>
      </w:r>
      <w:r w:rsidR="0001739A" w:rsidRPr="008625DC">
        <w:t xml:space="preserve">the relevant </w:t>
      </w:r>
      <w:r w:rsidRPr="008625DC">
        <w:t xml:space="preserve">exemption from </w:t>
      </w:r>
      <w:r w:rsidR="0001739A" w:rsidRPr="008625DC">
        <w:t xml:space="preserve">the </w:t>
      </w:r>
      <w:r w:rsidRPr="008625DC">
        <w:t>law 14 days after filing the notification. The ACCC may withdraw the exemption if it subsequently forms the view that the notified conduct does not give rise to a net public benefit. As discussed earlier in the context of RPM, the Panel considers that the notification procedure should be extended to RPM conduct</w:t>
      </w:r>
      <w:r w:rsidR="007C6371" w:rsidRPr="008625DC">
        <w:t xml:space="preserve"> (see </w:t>
      </w:r>
      <w:hyperlink w:anchor="s174" w:history="1">
        <w:r w:rsidR="00C538EE" w:rsidRPr="008625DC">
          <w:rPr>
            <w:rStyle w:val="Hyperlink"/>
          </w:rPr>
          <w:t>Section</w:t>
        </w:r>
        <w:r w:rsidR="007C6371" w:rsidRPr="008625DC">
          <w:rPr>
            <w:rStyle w:val="Hyperlink"/>
          </w:rPr>
          <w:t xml:space="preserve"> 17.4</w:t>
        </w:r>
      </w:hyperlink>
      <w:r w:rsidR="007C6371" w:rsidRPr="008625DC">
        <w:t>)</w:t>
      </w:r>
      <w:r w:rsidR="0001739A" w:rsidRPr="008625DC">
        <w:t>.</w:t>
      </w:r>
      <w:r w:rsidR="00D04E9C" w:rsidRPr="008625DC">
        <w:t xml:space="preserve"> </w:t>
      </w:r>
    </w:p>
    <w:p w14:paraId="0CBE42C3" w14:textId="793C5E98" w:rsidR="00E83CE3" w:rsidRPr="008625DC" w:rsidRDefault="00E83CE3" w:rsidP="00D1593D">
      <w:r w:rsidRPr="008625DC">
        <w:t xml:space="preserve">As discussed earlier in the context of mergers, there is also a procedure to apply for a </w:t>
      </w:r>
      <w:r w:rsidR="0001739A" w:rsidRPr="008625DC">
        <w:t xml:space="preserve">formal </w:t>
      </w:r>
      <w:r w:rsidRPr="008625DC">
        <w:t>clearance of a merger transaction. Like authorisations, the clearance procedure only provides exemption from the merger law after the ACCC has made a determination on the application. The ACCC may grant clearance if it is satisfied that the merger is not likely to substantially lessen competition</w:t>
      </w:r>
      <w:r w:rsidR="007C6371" w:rsidRPr="008625DC">
        <w:t xml:space="preserve"> (see </w:t>
      </w:r>
      <w:hyperlink w:anchor="Ch15" w:history="1">
        <w:r w:rsidR="007C6371" w:rsidRPr="008625DC">
          <w:rPr>
            <w:rStyle w:val="Hyperlink"/>
          </w:rPr>
          <w:t>Chapter 15</w:t>
        </w:r>
      </w:hyperlink>
      <w:r w:rsidR="007C6371" w:rsidRPr="008625DC">
        <w:t>)</w:t>
      </w:r>
      <w:r w:rsidR="00136013" w:rsidRPr="008625DC">
        <w:t>.</w:t>
      </w:r>
      <w:r w:rsidR="00D04E9C" w:rsidRPr="008625DC">
        <w:t xml:space="preserve"> </w:t>
      </w:r>
    </w:p>
    <w:p w14:paraId="7A13EF01" w14:textId="39271C93" w:rsidR="00E83CE3" w:rsidRPr="008625DC" w:rsidRDefault="00E83CE3" w:rsidP="00047202">
      <w:pPr>
        <w:spacing w:after="120"/>
      </w:pPr>
      <w:r w:rsidRPr="008625DC">
        <w:t xml:space="preserve">A number of submissions comment on these exemption processes. In addition to issues concerning the merger exemption processes (discussed </w:t>
      </w:r>
      <w:r w:rsidR="007C6371" w:rsidRPr="008625DC">
        <w:t xml:space="preserve">at </w:t>
      </w:r>
      <w:hyperlink w:anchor="s151" w:history="1">
        <w:r w:rsidR="00C538EE" w:rsidRPr="008625DC">
          <w:rPr>
            <w:rStyle w:val="Hyperlink"/>
          </w:rPr>
          <w:t>Section</w:t>
        </w:r>
        <w:r w:rsidR="007C6371" w:rsidRPr="008625DC">
          <w:rPr>
            <w:rStyle w:val="Hyperlink"/>
          </w:rPr>
          <w:t xml:space="preserve"> 15.1</w:t>
        </w:r>
      </w:hyperlink>
      <w:r w:rsidRPr="008625DC">
        <w:t>), submissions raised three matters for consideration:</w:t>
      </w:r>
    </w:p>
    <w:p w14:paraId="69C4F418" w14:textId="77777777" w:rsidR="00E83CE3" w:rsidRPr="008625DC" w:rsidRDefault="00E83CE3" w:rsidP="00D1593D">
      <w:pPr>
        <w:pStyle w:val="Bullet"/>
        <w:ind w:left="567" w:hanging="567"/>
      </w:pPr>
      <w:r w:rsidRPr="008625DC">
        <w:t>whether the authorisation and notification processes could be simplified;</w:t>
      </w:r>
    </w:p>
    <w:p w14:paraId="43D52ACA" w14:textId="77777777" w:rsidR="00E83CE3" w:rsidRPr="008625DC" w:rsidRDefault="00E83CE3" w:rsidP="00D1593D">
      <w:pPr>
        <w:pStyle w:val="Bullet"/>
        <w:ind w:left="567" w:hanging="567"/>
      </w:pPr>
      <w:r w:rsidRPr="008625DC">
        <w:t>whether the notification process for collective bargaining is fulfilling its potential; and</w:t>
      </w:r>
    </w:p>
    <w:p w14:paraId="63D75AB4" w14:textId="77777777" w:rsidR="00E83CE3" w:rsidRPr="008625DC" w:rsidRDefault="00E83CE3" w:rsidP="00047202">
      <w:pPr>
        <w:pStyle w:val="Bullet"/>
        <w:spacing w:after="240"/>
        <w:ind w:left="567" w:hanging="567"/>
      </w:pPr>
      <w:r w:rsidRPr="008625DC">
        <w:t>whether the ACCC should be granted a general power to issue block exemptions.</w:t>
      </w:r>
    </w:p>
    <w:p w14:paraId="2C3E1C87" w14:textId="77777777" w:rsidR="00047202" w:rsidRPr="008625DC" w:rsidRDefault="00047202" w:rsidP="00047202"/>
    <w:p w14:paraId="57BF84A1" w14:textId="77777777" w:rsidR="00E83CE3" w:rsidRPr="008625DC" w:rsidRDefault="00E83CE3" w:rsidP="00BD2EA4">
      <w:pPr>
        <w:pStyle w:val="Heading2"/>
        <w:ind w:left="851" w:hanging="851"/>
        <w:rPr>
          <w:lang w:val="en-AU"/>
        </w:rPr>
      </w:pPr>
      <w:bookmarkStart w:id="33557" w:name="_Toc397601995"/>
      <w:bookmarkStart w:id="33558" w:name="_Toc397602730"/>
      <w:bookmarkStart w:id="33559" w:name="_Toc397605863"/>
      <w:bookmarkStart w:id="33560" w:name="_Toc397614560"/>
      <w:bookmarkStart w:id="33561" w:name="_Toc397615003"/>
      <w:bookmarkStart w:id="33562" w:name="_Toc397616446"/>
      <w:bookmarkStart w:id="33563" w:name="_Toc397616840"/>
      <w:bookmarkStart w:id="33564" w:name="_Toc397688138"/>
      <w:bookmarkStart w:id="33565" w:name="_Toc397689354"/>
      <w:bookmarkStart w:id="33566" w:name="_Toc397694634"/>
      <w:bookmarkStart w:id="33567" w:name="_Toc397696475"/>
      <w:bookmarkStart w:id="33568" w:name="_Toc397697209"/>
      <w:bookmarkStart w:id="33569" w:name="_Toc397698496"/>
      <w:bookmarkStart w:id="33570" w:name="_Toc397699862"/>
      <w:bookmarkStart w:id="33571" w:name="_Toc397700316"/>
      <w:bookmarkStart w:id="33572" w:name="_Toc397936708"/>
      <w:bookmarkStart w:id="33573" w:name="_Toc397936828"/>
      <w:bookmarkStart w:id="33574" w:name="_Toc397945984"/>
      <w:bookmarkStart w:id="33575" w:name="_Toc397947010"/>
      <w:bookmarkStart w:id="33576" w:name="_Toc397948129"/>
      <w:bookmarkStart w:id="33577" w:name="_Toc397958535"/>
      <w:bookmarkStart w:id="33578" w:name="_Toc397958777"/>
      <w:bookmarkStart w:id="33579" w:name="_Toc397959192"/>
      <w:bookmarkStart w:id="33580" w:name="_Toc397962259"/>
      <w:bookmarkStart w:id="33581" w:name="_Toc397963045"/>
      <w:bookmarkStart w:id="33582" w:name="_Toc397963411"/>
      <w:bookmarkStart w:id="33583" w:name="_Toc397965488"/>
      <w:bookmarkStart w:id="33584" w:name="_Toc398197426"/>
      <w:bookmarkStart w:id="33585" w:name="_Toc398200051"/>
      <w:bookmarkStart w:id="33586" w:name="_Toc398200317"/>
      <w:bookmarkStart w:id="33587" w:name="_Toc398201643"/>
      <w:bookmarkStart w:id="33588" w:name="_Toc398207248"/>
      <w:bookmarkStart w:id="33589" w:name="_Toc398209952"/>
      <w:bookmarkStart w:id="33590" w:name="_Toc398210521"/>
      <w:bookmarkStart w:id="33591" w:name="_Toc398211035"/>
      <w:bookmarkStart w:id="33592" w:name="_Toc398219846"/>
      <w:bookmarkStart w:id="33593" w:name="_Toc398220221"/>
      <w:bookmarkStart w:id="33594" w:name="_Toc398220608"/>
      <w:bookmarkStart w:id="33595" w:name="_Toc398221686"/>
      <w:bookmarkStart w:id="33596" w:name="_Toc398222372"/>
      <w:bookmarkStart w:id="33597" w:name="_Toc398222684"/>
      <w:bookmarkStart w:id="33598" w:name="_Toc398223101"/>
      <w:bookmarkStart w:id="33599" w:name="_Toc398223480"/>
      <w:bookmarkStart w:id="33600" w:name="_Toc398223607"/>
      <w:bookmarkStart w:id="33601" w:name="_Toc398224415"/>
      <w:bookmarkStart w:id="33602" w:name="_Toc398225752"/>
      <w:bookmarkStart w:id="33603" w:name="_Toc398225877"/>
      <w:bookmarkStart w:id="33604" w:name="_Toc398281364"/>
      <w:bookmarkStart w:id="33605" w:name="_Toc398282223"/>
      <w:bookmarkStart w:id="33606" w:name="_Toc398284893"/>
      <w:bookmarkStart w:id="33607" w:name="_Toc398287362"/>
      <w:bookmarkStart w:id="33608" w:name="_Toc398289245"/>
      <w:bookmarkStart w:id="33609" w:name="_Toc398297242"/>
      <w:bookmarkStart w:id="33610" w:name="_Toc398298716"/>
      <w:bookmarkStart w:id="33611" w:name="_Toc398300417"/>
      <w:bookmarkStart w:id="33612" w:name="_Toc398301314"/>
      <w:bookmarkStart w:id="33613" w:name="_Toc398302499"/>
      <w:bookmarkStart w:id="33614" w:name="_Toc398302662"/>
      <w:bookmarkStart w:id="33615" w:name="_Toc398549176"/>
      <w:bookmarkStart w:id="33616" w:name="_Toc398549426"/>
      <w:bookmarkStart w:id="33617" w:name="_Toc398555845"/>
      <w:bookmarkStart w:id="33618" w:name="_Toc398559049"/>
      <w:bookmarkStart w:id="33619" w:name="_Toc398563535"/>
      <w:bookmarkStart w:id="33620" w:name="_Toc398563668"/>
      <w:bookmarkStart w:id="33621" w:name="_Toc398564067"/>
      <w:bookmarkStart w:id="33622" w:name="_Toc398827405"/>
      <w:bookmarkStart w:id="33623" w:name="_Toc398827599"/>
      <w:bookmarkStart w:id="33624" w:name="s191"/>
      <w:r w:rsidRPr="008625DC">
        <w:rPr>
          <w:lang w:val="en-AU"/>
        </w:rPr>
        <w:lastRenderedPageBreak/>
        <w:t>Simplification of the authorisation and notification</w:t>
      </w:r>
      <w:bookmarkEnd w:id="33555"/>
      <w:bookmarkEnd w:id="33556"/>
      <w:r w:rsidRPr="008625DC">
        <w:rPr>
          <w:lang w:val="en-AU"/>
        </w:rPr>
        <w:t xml:space="preserve"> procedures</w:t>
      </w:r>
      <w:bookmarkEnd w:id="33557"/>
      <w:bookmarkEnd w:id="33558"/>
      <w:bookmarkEnd w:id="33559"/>
      <w:bookmarkEnd w:id="33560"/>
      <w:bookmarkEnd w:id="33561"/>
      <w:bookmarkEnd w:id="33562"/>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bookmarkEnd w:id="33623"/>
    </w:p>
    <w:bookmarkEnd w:id="33624"/>
    <w:p w14:paraId="694FFB23" w14:textId="191AD54E" w:rsidR="00E83CE3" w:rsidRPr="008625DC" w:rsidRDefault="00E83CE3" w:rsidP="00D1593D">
      <w:r w:rsidRPr="008625DC">
        <w:t>Like much of the CCA, the authorisation and notification procedures have unnecessary complexity which imposes costs on business. Wherever possible, it is desirable to remove unnecessary complexity.</w:t>
      </w:r>
    </w:p>
    <w:p w14:paraId="3C626813" w14:textId="40594D29" w:rsidR="00E83CE3" w:rsidRPr="008625DC" w:rsidRDefault="00E83CE3" w:rsidP="00D1593D">
      <w:r w:rsidRPr="008625DC">
        <w:t xml:space="preserve">One aspect of the unnecessary complexity is that the authorisation procedure is </w:t>
      </w:r>
      <w:r w:rsidR="004E3403" w:rsidRPr="008625DC">
        <w:t>focused</w:t>
      </w:r>
      <w:r w:rsidRPr="008625DC">
        <w:t xml:space="preserve"> upon the specific provisions of the CCA that might be contravened by the proposed business conduct. As a consequence, separate application forms may be required to be prepared and filed in respect of a single commercial arrangement depending upon the number of provisions of the CCA that apply to the arrangement.</w:t>
      </w:r>
    </w:p>
    <w:p w14:paraId="263F6C22" w14:textId="33194CC8" w:rsidR="00E83CE3" w:rsidRPr="008625DC" w:rsidRDefault="00E83CE3" w:rsidP="00D1593D">
      <w:r w:rsidRPr="008625DC">
        <w:t>Another aspect of the unnecessary complexity is that the authorisation and notification procedures do not empower the ACCC to grant exemption if the ACCC is satisfied that the proposed business conduct is unlikely to substantially lessen competition. In order to grant the exemption, the ACCC is required to assess the net public benefit of the proposed conduct. In respect of mergers, the formal clearance process enables the ACCC to exempt a merger if it is satisfied that the merger is unlikely to substantially lessen competition. However, no such procedure exists for other business transactions. As a consequence, if a business wishes to obtain assurance that the ACCC will not regard a proposed transaction as contravening the competition law, it can only seek an informal clearance from the ACCC (</w:t>
      </w:r>
      <w:r w:rsidR="007C6371" w:rsidRPr="008625DC">
        <w:t>that is,</w:t>
      </w:r>
      <w:r w:rsidRPr="008625DC">
        <w:t xml:space="preserve"> an indication from the ACCC that it would not challenge the proposed arrangement).</w:t>
      </w:r>
    </w:p>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p w14:paraId="6A2415E9" w14:textId="5BE535C6" w:rsidR="00E83CE3" w:rsidRPr="008625DC" w:rsidRDefault="00E83CE3" w:rsidP="00D1593D">
      <w:r w:rsidRPr="008625DC">
        <w:t>Significant steps can be taken to simplify the authorisation and notification procedures. First</w:t>
      </w:r>
      <w:r w:rsidR="00295ED6" w:rsidRPr="008625DC">
        <w:t>ly</w:t>
      </w:r>
      <w:r w:rsidRPr="008625DC">
        <w:t>, in respect of authorisation, it should be permissible to apply for authorisation of a business arrangement through a single application and without regard to the specific provisions of the CCA</w:t>
      </w:r>
      <w:r w:rsidR="00047202" w:rsidRPr="008625DC">
        <w:t> </w:t>
      </w:r>
      <w:r w:rsidRPr="008625DC">
        <w:t>that might be contravened by the proposed conduct. Secondly, for both authorisation and notification, the ACCC should be empowered to grant the exemption (including for per</w:t>
      </w:r>
      <w:r w:rsidR="00047202" w:rsidRPr="008625DC">
        <w:t> </w:t>
      </w:r>
      <w:r w:rsidRPr="008625DC">
        <w:t>se prohibitions) if it is satisfied that either the proposed conduct is unlikely to substantially lessen competition or that the proposed conduct is likely to result in a net public benefit. Each of those changes would assist in focu</w:t>
      </w:r>
      <w:r w:rsidR="00CF51C3" w:rsidRPr="008625DC">
        <w:t>s</w:t>
      </w:r>
      <w:r w:rsidRPr="008625DC">
        <w:t>ing the exemption process on the issues of substance and away from technicalities.</w:t>
      </w:r>
    </w:p>
    <w:p w14:paraId="05698961" w14:textId="77777777" w:rsidR="00BD5B40" w:rsidRPr="008625DC" w:rsidRDefault="002C02DB" w:rsidP="00BD2EA4">
      <w:pPr>
        <w:pStyle w:val="Heading2"/>
        <w:ind w:left="851" w:hanging="851"/>
        <w:rPr>
          <w:lang w:val="en-AU"/>
        </w:rPr>
      </w:pPr>
      <w:bookmarkStart w:id="33625" w:name="_Toc397515403"/>
      <w:bookmarkStart w:id="33626" w:name="_Toc397523272"/>
      <w:bookmarkStart w:id="33627" w:name="_Toc397601996"/>
      <w:bookmarkStart w:id="33628" w:name="_Toc397602731"/>
      <w:bookmarkStart w:id="33629" w:name="_Toc397605864"/>
      <w:bookmarkStart w:id="33630" w:name="_Toc397614561"/>
      <w:bookmarkStart w:id="33631" w:name="_Toc397615004"/>
      <w:bookmarkStart w:id="33632" w:name="_Toc397616447"/>
      <w:bookmarkStart w:id="33633" w:name="_Toc397616841"/>
      <w:bookmarkStart w:id="33634" w:name="_Toc397688139"/>
      <w:bookmarkStart w:id="33635" w:name="_Toc397689355"/>
      <w:bookmarkStart w:id="33636" w:name="_Toc397694635"/>
      <w:bookmarkStart w:id="33637" w:name="_Toc397696476"/>
      <w:bookmarkStart w:id="33638" w:name="_Toc397697210"/>
      <w:bookmarkStart w:id="33639" w:name="_Toc397698497"/>
      <w:bookmarkStart w:id="33640" w:name="_Toc397699863"/>
      <w:bookmarkStart w:id="33641" w:name="_Toc397700317"/>
      <w:bookmarkStart w:id="33642" w:name="_Toc397936709"/>
      <w:bookmarkStart w:id="33643" w:name="_Toc397936829"/>
      <w:bookmarkStart w:id="33644" w:name="_Toc397945985"/>
      <w:bookmarkStart w:id="33645" w:name="_Toc397947011"/>
      <w:bookmarkStart w:id="33646" w:name="_Toc397948130"/>
      <w:bookmarkStart w:id="33647" w:name="_Toc397958536"/>
      <w:bookmarkStart w:id="33648" w:name="_Toc397958778"/>
      <w:bookmarkStart w:id="33649" w:name="_Toc397959193"/>
      <w:bookmarkStart w:id="33650" w:name="_Toc397962260"/>
      <w:bookmarkStart w:id="33651" w:name="_Toc397963046"/>
      <w:bookmarkStart w:id="33652" w:name="_Toc397963412"/>
      <w:bookmarkStart w:id="33653" w:name="_Toc397965489"/>
      <w:bookmarkStart w:id="33654" w:name="_Toc398197427"/>
      <w:bookmarkStart w:id="33655" w:name="_Toc398200052"/>
      <w:bookmarkStart w:id="33656" w:name="_Toc398200318"/>
      <w:bookmarkStart w:id="33657" w:name="_Toc398201644"/>
      <w:bookmarkStart w:id="33658" w:name="_Toc398207249"/>
      <w:bookmarkStart w:id="33659" w:name="_Toc398209953"/>
      <w:bookmarkStart w:id="33660" w:name="_Toc398210522"/>
      <w:bookmarkStart w:id="33661" w:name="_Toc398211036"/>
      <w:bookmarkStart w:id="33662" w:name="_Toc398219847"/>
      <w:bookmarkStart w:id="33663" w:name="_Toc398220222"/>
      <w:bookmarkStart w:id="33664" w:name="_Toc398220609"/>
      <w:bookmarkStart w:id="33665" w:name="_Toc398221687"/>
      <w:bookmarkStart w:id="33666" w:name="_Toc398222373"/>
      <w:bookmarkStart w:id="33667" w:name="_Toc398222685"/>
      <w:bookmarkStart w:id="33668" w:name="_Toc398223102"/>
      <w:bookmarkStart w:id="33669" w:name="_Toc398223481"/>
      <w:bookmarkStart w:id="33670" w:name="_Toc398223608"/>
      <w:bookmarkStart w:id="33671" w:name="_Toc398224416"/>
      <w:bookmarkStart w:id="33672" w:name="_Toc398225753"/>
      <w:bookmarkStart w:id="33673" w:name="_Toc398225878"/>
      <w:bookmarkStart w:id="33674" w:name="_Toc398281365"/>
      <w:bookmarkStart w:id="33675" w:name="_Toc398282224"/>
      <w:bookmarkStart w:id="33676" w:name="_Toc398284894"/>
      <w:bookmarkStart w:id="33677" w:name="_Toc398287363"/>
      <w:bookmarkStart w:id="33678" w:name="_Toc398289246"/>
      <w:bookmarkStart w:id="33679" w:name="_Toc398297243"/>
      <w:bookmarkStart w:id="33680" w:name="_Toc398298717"/>
      <w:bookmarkStart w:id="33681" w:name="_Toc398300418"/>
      <w:bookmarkStart w:id="33682" w:name="_Toc398301315"/>
      <w:bookmarkStart w:id="33683" w:name="_Toc398302500"/>
      <w:bookmarkStart w:id="33684" w:name="_Toc398302663"/>
      <w:bookmarkStart w:id="33685" w:name="_Toc398549177"/>
      <w:bookmarkStart w:id="33686" w:name="_Toc398549427"/>
      <w:bookmarkStart w:id="33687" w:name="_Toc398555846"/>
      <w:bookmarkStart w:id="33688" w:name="_Toc398559050"/>
      <w:bookmarkStart w:id="33689" w:name="_Toc398563536"/>
      <w:bookmarkStart w:id="33690" w:name="_Toc398563669"/>
      <w:bookmarkStart w:id="33691" w:name="_Toc398564068"/>
      <w:bookmarkStart w:id="33692" w:name="_Toc398827406"/>
      <w:bookmarkStart w:id="33693" w:name="_Toc398827600"/>
      <w:bookmarkStart w:id="33694" w:name="s192"/>
      <w:r w:rsidRPr="008625DC">
        <w:rPr>
          <w:lang w:val="en-AU"/>
        </w:rPr>
        <w:t xml:space="preserve">Collective </w:t>
      </w:r>
      <w:r w:rsidR="00ED60A3" w:rsidRPr="008625DC">
        <w:rPr>
          <w:lang w:val="en-AU"/>
        </w:rPr>
        <w:t>b</w:t>
      </w:r>
      <w:r w:rsidRPr="008625DC">
        <w:rPr>
          <w:lang w:val="en-AU"/>
        </w:rPr>
        <w:t>argaining</w:t>
      </w:r>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bookmarkEnd w:id="33644"/>
      <w:bookmarkEnd w:id="33645"/>
      <w:bookmarkEnd w:id="33646"/>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r w:rsidR="00607BEE" w:rsidRPr="008625DC">
        <w:rPr>
          <w:lang w:val="en-AU"/>
        </w:rPr>
        <w:t xml:space="preserve"> </w:t>
      </w:r>
    </w:p>
    <w:bookmarkEnd w:id="33694"/>
    <w:p w14:paraId="3CC7F9C6" w14:textId="77777777" w:rsidR="00E83CE3" w:rsidRPr="008625DC" w:rsidRDefault="00E83CE3" w:rsidP="00D1593D">
      <w:r w:rsidRPr="008625DC">
        <w:t>Businesses, and particularly small businesses, are able to seek an exemption for collective bargaining in certain circumstances by filing a notification with the ACCC.</w:t>
      </w:r>
    </w:p>
    <w:p w14:paraId="5EC5E8DC" w14:textId="77777777" w:rsidR="00E83CE3" w:rsidRPr="008625DC" w:rsidRDefault="00E83CE3" w:rsidP="00D1593D">
      <w:r w:rsidRPr="008625DC">
        <w:t>Collective bargaining is an arrangement by which two or more competing businesses come together to negotiate with a supplier or a business customer over terms, conditions and prices. In the absence of an exemption, collective bargaining will usually contravene the cartel prohibitions because the underlying arrangement will usually lead to the competing businesses agreeing to pay or receive the same price for goods or services or agreeing not to deal with a particular supplier or business customer.</w:t>
      </w:r>
    </w:p>
    <w:p w14:paraId="69832825" w14:textId="4DB9FB1A" w:rsidR="00E83CE3" w:rsidRPr="008625DC" w:rsidRDefault="00E83CE3" w:rsidP="00D1593D">
      <w:r w:rsidRPr="008625DC">
        <w:t>Ordinarily, collective bargaining undertaken by competing businesses would be harmful to competition. However, small businesses dealing with large businesses often face an imbalance in bargaining power. That imbalance can result in commercial outcomes that are inefficient or unfair. Permitting small business to bargain collectively in certain circumstances can redress the imbalance in power and result in more efficient market outcomes. It was for th</w:t>
      </w:r>
      <w:r w:rsidR="00163252" w:rsidRPr="008625DC">
        <w:t>is</w:t>
      </w:r>
      <w:r w:rsidRPr="008625DC">
        <w:t xml:space="preserve"> reason that the notification process was introduced. As noted above, the ACCC can withdraw the exemption provided by the notification if it forms the view that the conduct is resulting in a net public detriment.</w:t>
      </w:r>
    </w:p>
    <w:p w14:paraId="67A806AE" w14:textId="77777777" w:rsidR="00E83CE3" w:rsidRPr="008625DC" w:rsidRDefault="00E83CE3" w:rsidP="00D1593D">
      <w:r w:rsidRPr="008625DC">
        <w:lastRenderedPageBreak/>
        <w:t>There is broad support for the collective bargaining notification process. However, the provisions are not being used frequently. In consultations with small business, the Panel discovered a low level of awareness of how the provisions could be of benefit to small businesses.</w:t>
      </w:r>
    </w:p>
    <w:p w14:paraId="341528FD" w14:textId="5D75FBCF" w:rsidR="00E83CE3" w:rsidRPr="008625DC" w:rsidRDefault="00E83CE3" w:rsidP="00047202">
      <w:pPr>
        <w:spacing w:after="120"/>
      </w:pPr>
      <w:r w:rsidRPr="008625DC">
        <w:t xml:space="preserve">A number of submissions propose changes to the law concerning collective bargaining to increase its availability </w:t>
      </w:r>
      <w:r w:rsidR="00733F62" w:rsidRPr="008625DC">
        <w:t xml:space="preserve">and effectiveness for </w:t>
      </w:r>
      <w:r w:rsidRPr="008625DC">
        <w:t>small business. Those suggestions include:</w:t>
      </w:r>
    </w:p>
    <w:p w14:paraId="2AD23B57" w14:textId="55042644" w:rsidR="00E83CE3" w:rsidRPr="008625DC" w:rsidRDefault="00E83CE3" w:rsidP="00047202">
      <w:pPr>
        <w:pStyle w:val="Bullet"/>
      </w:pPr>
      <w:r w:rsidRPr="008625DC">
        <w:t>increased timeliness and/or decreased costs of the notification process (Australian Newsagents Federation</w:t>
      </w:r>
      <w:r w:rsidR="00295ED6" w:rsidRPr="008625DC">
        <w:t>,</w:t>
      </w:r>
      <w:r w:rsidRPr="008625DC">
        <w:t xml:space="preserve"> page 11);</w:t>
      </w:r>
    </w:p>
    <w:p w14:paraId="7110448D" w14:textId="72BA2D21" w:rsidR="00270B47" w:rsidRPr="008625DC" w:rsidRDefault="00090A21" w:rsidP="00047202">
      <w:pPr>
        <w:pStyle w:val="Bullet"/>
      </w:pPr>
      <w:r w:rsidRPr="008625DC">
        <w:t>i</w:t>
      </w:r>
      <w:r w:rsidR="004C712C" w:rsidRPr="008625DC">
        <w:t>ncreased flexibility</w:t>
      </w:r>
      <w:r w:rsidR="00A636BE" w:rsidRPr="008625DC">
        <w:t xml:space="preserve"> and simplification, for example</w:t>
      </w:r>
      <w:r w:rsidR="00270B47" w:rsidRPr="008625DC">
        <w:t>:</w:t>
      </w:r>
    </w:p>
    <w:p w14:paraId="24E23092" w14:textId="77777777" w:rsidR="00E83CE3" w:rsidRPr="008625DC" w:rsidRDefault="00E83CE3" w:rsidP="00047202">
      <w:pPr>
        <w:pStyle w:val="Dash"/>
        <w:numPr>
          <w:ilvl w:val="1"/>
          <w:numId w:val="28"/>
        </w:numPr>
        <w:spacing w:after="120"/>
      </w:pPr>
      <w:r w:rsidRPr="008625DC">
        <w:t>an increased role for peak bodies in filing applications which would enable changes to the participants to the arrangements over time; and</w:t>
      </w:r>
    </w:p>
    <w:p w14:paraId="146E19F3" w14:textId="73B4DC77" w:rsidR="00E83CE3" w:rsidRPr="008625DC" w:rsidRDefault="00E83CE3" w:rsidP="00047202">
      <w:pPr>
        <w:pStyle w:val="Dash"/>
        <w:numPr>
          <w:ilvl w:val="1"/>
          <w:numId w:val="28"/>
        </w:numPr>
        <w:spacing w:after="120"/>
      </w:pPr>
      <w:r w:rsidRPr="008625DC">
        <w:t>broadening the scope of parties covered by an arrangement;</w:t>
      </w:r>
      <w:r w:rsidR="006148D5" w:rsidRPr="008625DC">
        <w:rPr>
          <w:rStyle w:val="FootnoteReference"/>
        </w:rPr>
        <w:footnoteReference w:id="343"/>
      </w:r>
      <w:r w:rsidRPr="008625DC">
        <w:t xml:space="preserve"> and</w:t>
      </w:r>
    </w:p>
    <w:p w14:paraId="5EE628A3" w14:textId="5ECE237D" w:rsidR="00E83CE3" w:rsidRPr="008625DC" w:rsidRDefault="00E83CE3" w:rsidP="00047202">
      <w:pPr>
        <w:pStyle w:val="Bullet"/>
        <w:spacing w:after="240"/>
        <w:ind w:left="567" w:hanging="567"/>
      </w:pPr>
      <w:r w:rsidRPr="008625DC">
        <w:t xml:space="preserve">changes to </w:t>
      </w:r>
      <w:r w:rsidR="00482CA9" w:rsidRPr="008625DC">
        <w:t>facilitate authorisation of boycott conduct</w:t>
      </w:r>
      <w:r w:rsidRPr="008625DC">
        <w:t>.</w:t>
      </w:r>
      <w:r w:rsidR="00F44959" w:rsidRPr="008625DC">
        <w:rPr>
          <w:rStyle w:val="FootnoteReference"/>
        </w:rPr>
        <w:footnoteReference w:id="344"/>
      </w:r>
    </w:p>
    <w:p w14:paraId="3EB1D93F" w14:textId="6BEC4288" w:rsidR="00E83CE3" w:rsidRPr="008625DC" w:rsidRDefault="00843163" w:rsidP="00D1593D">
      <w:r w:rsidRPr="008625DC">
        <w:t>T</w:t>
      </w:r>
      <w:r w:rsidR="00E83CE3" w:rsidRPr="008625DC">
        <w:t>he ACCC also makes recommendations for reforms to the collective bargaining provisions aimed at allowing increased use of collective bargaining</w:t>
      </w:r>
      <w:r w:rsidR="00F44959" w:rsidRPr="008625DC">
        <w:t xml:space="preserve"> by small business</w:t>
      </w:r>
      <w:r w:rsidR="00E83CE3" w:rsidRPr="008625DC">
        <w:t xml:space="preserve"> </w:t>
      </w:r>
      <w:r w:rsidR="00E543AD" w:rsidRPr="008625DC">
        <w:t>(</w:t>
      </w:r>
      <w:r w:rsidRPr="008625DC">
        <w:t>ACCC S</w:t>
      </w:r>
      <w:r w:rsidR="00042FD2" w:rsidRPr="008625DC">
        <w:t>ubmission</w:t>
      </w:r>
      <w:r w:rsidR="00047202" w:rsidRPr="008625DC">
        <w:t xml:space="preserve"> 1, pages </w:t>
      </w:r>
      <w:r w:rsidR="00E543AD" w:rsidRPr="008625DC">
        <w:t>108</w:t>
      </w:r>
      <w:r w:rsidR="00047202" w:rsidRPr="008625DC">
        <w:noBreakHyphen/>
      </w:r>
      <w:r w:rsidR="00E543AD" w:rsidRPr="008625DC">
        <w:t>111).</w:t>
      </w:r>
    </w:p>
    <w:p w14:paraId="47E80C2B" w14:textId="41FA3F1E" w:rsidR="00E83CE3" w:rsidRPr="008625DC" w:rsidRDefault="00E83CE3" w:rsidP="00D1593D">
      <w:r w:rsidRPr="008625DC">
        <w:t>The collective bargaining notification process has the potential to address a number of the concerns raised by small business</w:t>
      </w:r>
      <w:r w:rsidR="00163252" w:rsidRPr="008625DC">
        <w:t>es that</w:t>
      </w:r>
      <w:r w:rsidRPr="008625DC">
        <w:t xml:space="preserve"> supply goods and services to larger businesses. There appears to be a need to enhance small business awareness of the notification process. There is also potential for introducing greater flexibility into the notification process. One change would be to enable the group of businesses covered by a notification to be altered without the need for a fresh notification to be filed (although there ought to be a process by which the businesses covered by the notification from time to time are recorded on the</w:t>
      </w:r>
      <w:r w:rsidR="00D1593D" w:rsidRPr="008625DC">
        <w:t xml:space="preserve"> ACCC</w:t>
      </w:r>
      <w:r w:rsidR="00C74E19" w:rsidRPr="008625DC">
        <w:t>’</w:t>
      </w:r>
      <w:r w:rsidR="00D1593D" w:rsidRPr="008625DC">
        <w:t>s notification register).</w:t>
      </w:r>
    </w:p>
    <w:p w14:paraId="7D920D03" w14:textId="7DC95A00" w:rsidR="00FF1BBD" w:rsidRPr="008625DC" w:rsidRDefault="00FF1BBD" w:rsidP="00BD2EA4">
      <w:pPr>
        <w:pStyle w:val="Heading2"/>
        <w:ind w:left="851" w:hanging="851"/>
        <w:rPr>
          <w:lang w:val="en-AU"/>
        </w:rPr>
      </w:pPr>
      <w:bookmarkStart w:id="33695" w:name="_Toc397515404"/>
      <w:bookmarkStart w:id="33696" w:name="_Toc397523273"/>
      <w:bookmarkStart w:id="33697" w:name="_Toc397601997"/>
      <w:bookmarkStart w:id="33698" w:name="_Toc397602732"/>
      <w:bookmarkStart w:id="33699" w:name="_Toc397605865"/>
      <w:bookmarkStart w:id="33700" w:name="_Toc397614562"/>
      <w:bookmarkStart w:id="33701" w:name="_Toc397615005"/>
      <w:bookmarkStart w:id="33702" w:name="_Toc397616448"/>
      <w:bookmarkStart w:id="33703" w:name="_Toc397616842"/>
      <w:bookmarkStart w:id="33704" w:name="_Toc397688140"/>
      <w:bookmarkStart w:id="33705" w:name="_Toc397689356"/>
      <w:bookmarkStart w:id="33706" w:name="_Toc397694636"/>
      <w:bookmarkStart w:id="33707" w:name="_Toc397696477"/>
      <w:bookmarkStart w:id="33708" w:name="_Toc397697211"/>
      <w:bookmarkStart w:id="33709" w:name="_Toc397698498"/>
      <w:bookmarkStart w:id="33710" w:name="_Toc397699864"/>
      <w:bookmarkStart w:id="33711" w:name="_Toc397700318"/>
      <w:bookmarkStart w:id="33712" w:name="_Toc397936710"/>
      <w:bookmarkStart w:id="33713" w:name="_Toc397936830"/>
      <w:bookmarkStart w:id="33714" w:name="_Toc397945986"/>
      <w:bookmarkStart w:id="33715" w:name="_Toc397947012"/>
      <w:bookmarkStart w:id="33716" w:name="_Toc397948131"/>
      <w:bookmarkStart w:id="33717" w:name="_Toc397958537"/>
      <w:bookmarkStart w:id="33718" w:name="_Toc397958779"/>
      <w:bookmarkStart w:id="33719" w:name="_Toc397959194"/>
      <w:bookmarkStart w:id="33720" w:name="_Toc397962261"/>
      <w:bookmarkStart w:id="33721" w:name="_Toc397963047"/>
      <w:bookmarkStart w:id="33722" w:name="_Toc397963413"/>
      <w:bookmarkStart w:id="33723" w:name="_Toc397965490"/>
      <w:bookmarkStart w:id="33724" w:name="_Toc398197428"/>
      <w:bookmarkStart w:id="33725" w:name="_Toc398200053"/>
      <w:bookmarkStart w:id="33726" w:name="_Toc398200319"/>
      <w:bookmarkStart w:id="33727" w:name="_Toc398201645"/>
      <w:bookmarkStart w:id="33728" w:name="_Toc398207250"/>
      <w:bookmarkStart w:id="33729" w:name="_Toc398209954"/>
      <w:bookmarkStart w:id="33730" w:name="_Toc398210523"/>
      <w:bookmarkStart w:id="33731" w:name="_Toc398211037"/>
      <w:bookmarkStart w:id="33732" w:name="_Toc398219848"/>
      <w:bookmarkStart w:id="33733" w:name="_Toc398220223"/>
      <w:bookmarkStart w:id="33734" w:name="_Toc398220610"/>
      <w:bookmarkStart w:id="33735" w:name="_Toc398221688"/>
      <w:bookmarkStart w:id="33736" w:name="_Toc398222374"/>
      <w:bookmarkStart w:id="33737" w:name="_Toc398222686"/>
      <w:bookmarkStart w:id="33738" w:name="_Toc398223103"/>
      <w:bookmarkStart w:id="33739" w:name="_Toc398223482"/>
      <w:bookmarkStart w:id="33740" w:name="_Toc398223609"/>
      <w:bookmarkStart w:id="33741" w:name="_Toc398224417"/>
      <w:bookmarkStart w:id="33742" w:name="_Toc398225754"/>
      <w:bookmarkStart w:id="33743" w:name="_Toc398225879"/>
      <w:bookmarkStart w:id="33744" w:name="_Toc398281366"/>
      <w:bookmarkStart w:id="33745" w:name="_Toc398282225"/>
      <w:bookmarkStart w:id="33746" w:name="_Toc398284895"/>
      <w:bookmarkStart w:id="33747" w:name="_Toc398287364"/>
      <w:bookmarkStart w:id="33748" w:name="_Toc398289247"/>
      <w:bookmarkStart w:id="33749" w:name="_Toc398297244"/>
      <w:bookmarkStart w:id="33750" w:name="_Toc398298718"/>
      <w:bookmarkStart w:id="33751" w:name="_Toc398300419"/>
      <w:bookmarkStart w:id="33752" w:name="_Toc398301316"/>
      <w:bookmarkStart w:id="33753" w:name="_Toc398302501"/>
      <w:bookmarkStart w:id="33754" w:name="_Toc398302664"/>
      <w:bookmarkStart w:id="33755" w:name="_Toc398549178"/>
      <w:bookmarkStart w:id="33756" w:name="_Toc398549428"/>
      <w:bookmarkStart w:id="33757" w:name="_Toc398555847"/>
      <w:bookmarkStart w:id="33758" w:name="_Toc398559051"/>
      <w:bookmarkStart w:id="33759" w:name="_Toc398563537"/>
      <w:bookmarkStart w:id="33760" w:name="_Toc398563670"/>
      <w:bookmarkStart w:id="33761" w:name="_Toc398564069"/>
      <w:bookmarkStart w:id="33762" w:name="_Toc398827407"/>
      <w:bookmarkStart w:id="33763" w:name="_Toc398827601"/>
      <w:bookmarkStart w:id="33764" w:name="s193"/>
      <w:r w:rsidRPr="008625DC">
        <w:rPr>
          <w:lang w:val="en-AU"/>
        </w:rPr>
        <w:t>Block exemptions</w:t>
      </w:r>
      <w:bookmarkEnd w:id="33695"/>
      <w:bookmarkEnd w:id="33696"/>
      <w:bookmarkEnd w:id="33697"/>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p>
    <w:bookmarkEnd w:id="33764"/>
    <w:p w14:paraId="0049049A" w14:textId="21483B66" w:rsidR="00E83CE3" w:rsidRPr="008625DC" w:rsidRDefault="00E83CE3" w:rsidP="00BD2EA4">
      <w:r w:rsidRPr="008625DC">
        <w:t xml:space="preserve">Competition law regimes in some other countries provide a mechanism by which defined categories of conduct are granted a </w:t>
      </w:r>
      <w:r w:rsidR="00C74E19" w:rsidRPr="008625DC">
        <w:t>‘</w:t>
      </w:r>
      <w:r w:rsidRPr="008625DC">
        <w:t>safe harbour</w:t>
      </w:r>
      <w:r w:rsidR="00C74E19" w:rsidRPr="008625DC">
        <w:t>’</w:t>
      </w:r>
      <w:r w:rsidRPr="008625DC">
        <w:t xml:space="preserve"> exemption from competition law. The block exemption removes the need for individual applications for exemption to be made. The exemption is granted if the competition regulator considers that certain conditions are satisfied: either that the category of conduct is unlikely to damage competition</w:t>
      </w:r>
      <w:r w:rsidR="00533764" w:rsidRPr="008625DC">
        <w:t>;</w:t>
      </w:r>
      <w:r w:rsidRPr="008625DC">
        <w:t xml:space="preserve"> or that the conduct is likely to generate economic benefits.</w:t>
      </w:r>
    </w:p>
    <w:tbl>
      <w:tblPr>
        <w:tblW w:w="9072" w:type="dxa"/>
        <w:tblInd w:w="108" w:type="dxa"/>
        <w:shd w:val="clear" w:color="auto" w:fill="E6E6E6"/>
        <w:tblLook w:val="01E0" w:firstRow="1" w:lastRow="1" w:firstColumn="1" w:lastColumn="1" w:noHBand="0" w:noVBand="0"/>
      </w:tblPr>
      <w:tblGrid>
        <w:gridCol w:w="9072"/>
      </w:tblGrid>
      <w:tr w:rsidR="00047202" w:rsidRPr="008625DC" w14:paraId="17D8BFDD" w14:textId="77777777">
        <w:tc>
          <w:tcPr>
            <w:tcW w:w="5000" w:type="pct"/>
            <w:shd w:val="clear" w:color="auto" w:fill="E6E6E6"/>
          </w:tcPr>
          <w:p w14:paraId="3672747C" w14:textId="09FD6A1C" w:rsidR="00047202" w:rsidRPr="008625DC" w:rsidRDefault="00047202" w:rsidP="00047202">
            <w:pPr>
              <w:pStyle w:val="BoxHeading"/>
            </w:pPr>
            <w:r w:rsidRPr="008625DC">
              <w:lastRenderedPageBreak/>
              <w:t>Box 19.1: International examples of block exemptions</w:t>
            </w:r>
          </w:p>
          <w:p w14:paraId="5FEB9C8D" w14:textId="77777777" w:rsidR="00047202" w:rsidRPr="008625DC" w:rsidRDefault="00047202" w:rsidP="00047202">
            <w:pPr>
              <w:pStyle w:val="Boxheading2"/>
            </w:pPr>
            <w:r w:rsidRPr="008625DC">
              <w:t>UK</w:t>
            </w:r>
          </w:p>
          <w:p w14:paraId="6CE1AF74" w14:textId="77777777" w:rsidR="00047202" w:rsidRPr="008625DC" w:rsidRDefault="00047202" w:rsidP="00047202">
            <w:pPr>
              <w:pStyle w:val="BoxText"/>
            </w:pPr>
            <w:r w:rsidRPr="008625DC">
              <w:t>The Secretary of State may make a block exemption order exempting agreements from the prohibition against certain horizontal conduct.</w:t>
            </w:r>
            <w:r w:rsidRPr="008625DC">
              <w:rPr>
                <w:rStyle w:val="FootnoteReference"/>
              </w:rPr>
              <w:footnoteReference w:id="345"/>
            </w:r>
            <w:r w:rsidRPr="008625DC">
              <w:t xml:space="preserve"> These agreements must contribute to improving production or distribution, or promoting technical or economic progress while allowing consumers a fair share of the resulting benefit. The agreements must not impose on the undertakings concerned restrictions which are not indispensable to the attainment of those objectives; or afford the undertakings concerned the possibility of eliminating competition.</w:t>
            </w:r>
          </w:p>
          <w:p w14:paraId="2914D400" w14:textId="77777777" w:rsidR="00047202" w:rsidRPr="008625DC" w:rsidRDefault="00047202" w:rsidP="00047202">
            <w:pPr>
              <w:pStyle w:val="Boxheading2"/>
            </w:pPr>
            <w:r w:rsidRPr="008625DC">
              <w:t>EU</w:t>
            </w:r>
          </w:p>
          <w:p w14:paraId="1F15DC31" w14:textId="77777777" w:rsidR="00047202" w:rsidRPr="008625DC" w:rsidRDefault="00047202" w:rsidP="00047202">
            <w:pPr>
              <w:pStyle w:val="BoxText"/>
            </w:pPr>
            <w:r w:rsidRPr="008625DC">
              <w:t>The European Commission may grant exemptions for certain agreements and practices if those agreements and practices are assessed as having significant countervailing benefits. This may be done on an agreement</w:t>
            </w:r>
            <w:r w:rsidRPr="008625DC">
              <w:noBreakHyphen/>
              <w:t>by</w:t>
            </w:r>
            <w:r w:rsidRPr="008625DC">
              <w:noBreakHyphen/>
              <w:t>agreement basis or through the application of block exemptions for categories of conduct.</w:t>
            </w:r>
          </w:p>
          <w:p w14:paraId="24AD15A0" w14:textId="77777777" w:rsidR="00047202" w:rsidRPr="008625DC" w:rsidRDefault="00047202" w:rsidP="00047202">
            <w:pPr>
              <w:pStyle w:val="Boxheading2"/>
            </w:pPr>
            <w:r w:rsidRPr="008625DC">
              <w:t>Singapore</w:t>
            </w:r>
          </w:p>
          <w:p w14:paraId="17C5BC62" w14:textId="1F235C17" w:rsidR="00047202" w:rsidRPr="008625DC" w:rsidRDefault="00047202" w:rsidP="00047202">
            <w:pPr>
              <w:pStyle w:val="BoxText"/>
            </w:pPr>
            <w:r w:rsidRPr="008625DC">
              <w:t xml:space="preserve">Under section 36 of the </w:t>
            </w:r>
            <w:r w:rsidRPr="008625DC">
              <w:rPr>
                <w:i/>
              </w:rPr>
              <w:t>Competition Act 2004</w:t>
            </w:r>
            <w:r w:rsidRPr="008625DC">
              <w:t xml:space="preserve"> (Singapore) the Competition Commission of Singapore may recommend to the Minister that a particular category of agreement be exempted from the prohibition on anti</w:t>
            </w:r>
            <w:r w:rsidRPr="008625DC">
              <w:noBreakHyphen/>
              <w:t>competitive agreements.</w:t>
            </w:r>
          </w:p>
        </w:tc>
      </w:tr>
    </w:tbl>
    <w:p w14:paraId="714546F7" w14:textId="77777777" w:rsidR="00047202" w:rsidRPr="008625DC" w:rsidRDefault="00047202">
      <w:pPr>
        <w:pStyle w:val="SingleParagraph"/>
      </w:pPr>
    </w:p>
    <w:p w14:paraId="608E5C1A" w14:textId="31CA72DD" w:rsidR="00E83CE3" w:rsidRPr="008625DC" w:rsidRDefault="00E83CE3" w:rsidP="00E83CE3">
      <w:r w:rsidRPr="008625DC">
        <w:t>The CCA does not empower the ACCC to grant block exemptions. By way of c</w:t>
      </w:r>
      <w:r w:rsidR="00D1593D" w:rsidRPr="008625DC">
        <w:t xml:space="preserve">omparison, the </w:t>
      </w:r>
      <w:r w:rsidR="00D1593D" w:rsidRPr="008625DC">
        <w:rPr>
          <w:i/>
        </w:rPr>
        <w:t>Corporations Act 2001</w:t>
      </w:r>
      <w:r w:rsidR="00D1593D" w:rsidRPr="008625DC">
        <w:t xml:space="preserve"> </w:t>
      </w:r>
      <w:r w:rsidRPr="008625DC">
        <w:t>empowers the Australian Securities and Investment</w:t>
      </w:r>
      <w:r w:rsidR="0059219C" w:rsidRPr="008625DC">
        <w:t>s</w:t>
      </w:r>
      <w:r w:rsidRPr="008625DC">
        <w:t xml:space="preserve"> Commission to grant block exemptions (or class exemptions) in respect of many parts of the </w:t>
      </w:r>
      <w:r w:rsidRPr="008625DC">
        <w:rPr>
          <w:i/>
        </w:rPr>
        <w:t>Corporations Act</w:t>
      </w:r>
      <w:r w:rsidR="00F44959" w:rsidRPr="008625DC">
        <w:rPr>
          <w:i/>
        </w:rPr>
        <w:t xml:space="preserve"> 2001</w:t>
      </w:r>
      <w:r w:rsidRPr="008625DC">
        <w:t>.</w:t>
      </w:r>
    </w:p>
    <w:p w14:paraId="50704462" w14:textId="688495B8" w:rsidR="00E83CE3" w:rsidRPr="008625DC" w:rsidRDefault="00E83CE3" w:rsidP="00E83CE3">
      <w:r w:rsidRPr="008625DC">
        <w:t xml:space="preserve">A block exemption power under the CCA may be an efficient way to deal with certain types of business conduct </w:t>
      </w:r>
      <w:r w:rsidR="0059219C" w:rsidRPr="008625DC">
        <w:t>that</w:t>
      </w:r>
      <w:r w:rsidRPr="008625DC">
        <w:t xml:space="preserve"> are unlikely to raise competition concerns, either because of the parties engaged in the conduct or the nature of the conduct itself. This would provide an efficient means to provide certainty for businesses in respect of conduct that is unlikely to raise significant competition problems. It may also play a role in educating and informing business about the types of conduct that do not raise competition concerns and those that do.</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F0C5F" w:rsidRPr="008625DC" w14:paraId="5A215F00" w14:textId="77777777" w:rsidTr="0052543A">
        <w:tc>
          <w:tcPr>
            <w:tcW w:w="5000" w:type="pct"/>
            <w:shd w:val="clear" w:color="auto" w:fill="FFFFFF" w:themeFill="background1"/>
          </w:tcPr>
          <w:p w14:paraId="6083DB33" w14:textId="03843475" w:rsidR="000F0C5F" w:rsidRPr="008625DC" w:rsidRDefault="00AF1129" w:rsidP="0052543A">
            <w:pPr>
              <w:pStyle w:val="Keyfindingheading"/>
            </w:pPr>
            <w:r w:rsidRPr="008625DC">
              <w:lastRenderedPageBreak/>
              <w:t>The Panel</w:t>
            </w:r>
            <w:r w:rsidR="00C74E19" w:rsidRPr="008625DC">
              <w:t>’</w:t>
            </w:r>
            <w:r w:rsidRPr="008625DC">
              <w:t>s view</w:t>
            </w:r>
          </w:p>
          <w:p w14:paraId="6CBE87E8" w14:textId="7E4DAF23" w:rsidR="006D2C76" w:rsidRPr="008625DC" w:rsidRDefault="00AA079D" w:rsidP="009C7041">
            <w:pPr>
              <w:pStyle w:val="Keyfindingtext"/>
            </w:pPr>
            <w:bookmarkStart w:id="33765" w:name="_Toc393879170"/>
            <w:bookmarkStart w:id="33766" w:name="_Toc393879401"/>
            <w:bookmarkStart w:id="33767" w:name="_Toc393903365"/>
            <w:bookmarkStart w:id="33768" w:name="_Toc393902575"/>
            <w:bookmarkStart w:id="33769" w:name="_Toc393905281"/>
            <w:bookmarkStart w:id="33770" w:name="_Toc393904138"/>
            <w:bookmarkStart w:id="33771" w:name="_Toc393903754"/>
            <w:bookmarkStart w:id="33772" w:name="_Toc393905592"/>
            <w:bookmarkStart w:id="33773" w:name="_Toc393905971"/>
            <w:bookmarkStart w:id="33774" w:name="_Toc393907948"/>
            <w:bookmarkStart w:id="33775" w:name="_Toc393906389"/>
            <w:bookmarkStart w:id="33776" w:name="_Toc393967527"/>
            <w:bookmarkStart w:id="33777" w:name="_Toc393974041"/>
            <w:bookmarkStart w:id="33778" w:name="_Toc393977686"/>
            <w:bookmarkStart w:id="33779" w:name="_Toc393985069"/>
            <w:bookmarkStart w:id="33780" w:name="_Toc393985572"/>
            <w:bookmarkStart w:id="33781" w:name="_Toc393985974"/>
            <w:bookmarkStart w:id="33782" w:name="_Toc393986377"/>
            <w:bookmarkStart w:id="33783" w:name="_Toc393987984"/>
            <w:bookmarkStart w:id="33784" w:name="_Toc393989397"/>
            <w:bookmarkStart w:id="33785" w:name="_Toc393987888"/>
            <w:bookmarkStart w:id="33786" w:name="_Toc393988785"/>
            <w:bookmarkStart w:id="33787" w:name="_Toc393990789"/>
            <w:bookmarkStart w:id="33788" w:name="_Toc393991771"/>
            <w:bookmarkStart w:id="33789" w:name="_Toc394047433"/>
            <w:bookmarkStart w:id="33790" w:name="_Toc394049709"/>
            <w:bookmarkStart w:id="33791" w:name="_Toc394051109"/>
            <w:bookmarkStart w:id="33792" w:name="_Toc394062098"/>
            <w:bookmarkStart w:id="33793" w:name="_Toc394068973"/>
            <w:bookmarkStart w:id="33794" w:name="_Toc394070795"/>
            <w:bookmarkStart w:id="33795" w:name="_Toc394312295"/>
            <w:bookmarkStart w:id="33796" w:name="_Toc394330207"/>
            <w:bookmarkStart w:id="33797" w:name="_Toc394333181"/>
            <w:bookmarkStart w:id="33798" w:name="_Toc394332759"/>
            <w:bookmarkStart w:id="33799" w:name="_Toc394333594"/>
            <w:bookmarkStart w:id="33800" w:name="_Toc394334007"/>
            <w:bookmarkStart w:id="33801" w:name="_Toc394334833"/>
            <w:bookmarkStart w:id="33802" w:name="_Toc394415015"/>
            <w:bookmarkStart w:id="33803" w:name="_Toc394412320"/>
            <w:bookmarkStart w:id="33804" w:name="_Toc394420610"/>
            <w:bookmarkStart w:id="33805" w:name="_Toc394421084"/>
            <w:bookmarkStart w:id="33806" w:name="_Toc394423454"/>
            <w:bookmarkStart w:id="33807" w:name="_Toc394420388"/>
            <w:bookmarkStart w:id="33808" w:name="_Toc394422498"/>
            <w:bookmarkStart w:id="33809" w:name="_Toc394422969"/>
            <w:bookmarkStart w:id="33810" w:name="_Toc394424119"/>
            <w:bookmarkStart w:id="33811" w:name="_Toc394491954"/>
            <w:bookmarkStart w:id="33812" w:name="_Toc394495099"/>
            <w:bookmarkStart w:id="33813" w:name="_Toc394497911"/>
            <w:bookmarkStart w:id="33814" w:name="_Toc394500703"/>
            <w:bookmarkStart w:id="33815" w:name="_Toc394502107"/>
            <w:bookmarkStart w:id="33816" w:name="_Toc394503009"/>
            <w:bookmarkStart w:id="33817" w:name="_Toc394502553"/>
            <w:bookmarkStart w:id="33818" w:name="_Toc394505761"/>
            <w:bookmarkStart w:id="33819" w:name="_Toc394506100"/>
            <w:bookmarkStart w:id="33820" w:name="_Toc394506774"/>
            <w:bookmarkStart w:id="33821" w:name="_Toc394560851"/>
            <w:bookmarkStart w:id="33822" w:name="_Toc394561312"/>
            <w:bookmarkStart w:id="33823" w:name="_Toc394938476"/>
            <w:bookmarkStart w:id="33824" w:name="_Toc394937758"/>
            <w:bookmarkStart w:id="33825" w:name="_Toc394941391"/>
            <w:bookmarkStart w:id="33826" w:name="_Toc394942007"/>
            <w:bookmarkStart w:id="33827" w:name="_Toc394940229"/>
            <w:bookmarkStart w:id="33828" w:name="_Toc394939826"/>
            <w:bookmarkStart w:id="33829" w:name="_Toc394993723"/>
            <w:bookmarkStart w:id="33830" w:name="_Toc394995605"/>
            <w:bookmarkStart w:id="33831" w:name="_Toc394995919"/>
            <w:bookmarkStart w:id="33832" w:name="_Toc394998164"/>
            <w:bookmarkStart w:id="33833" w:name="_Toc394998678"/>
            <w:bookmarkStart w:id="33834" w:name="_Toc395002177"/>
            <w:bookmarkStart w:id="33835" w:name="_Toc395001385"/>
            <w:bookmarkStart w:id="33836" w:name="_Toc393978950"/>
            <w:bookmarkStart w:id="33837" w:name="_Toc395002946"/>
            <w:bookmarkStart w:id="33838" w:name="_Toc395003531"/>
            <w:bookmarkStart w:id="33839" w:name="_Toc395005772"/>
            <w:bookmarkStart w:id="33840" w:name="_Toc395009766"/>
            <w:bookmarkStart w:id="33841" w:name="_Toc395012690"/>
            <w:bookmarkStart w:id="33842" w:name="_Toc395011684"/>
            <w:bookmarkStart w:id="33843" w:name="_Toc395013152"/>
            <w:bookmarkStart w:id="33844" w:name="_Toc395012154"/>
            <w:bookmarkStart w:id="33845" w:name="_Toc395014493"/>
            <w:bookmarkStart w:id="33846" w:name="_Toc395084836"/>
            <w:bookmarkStart w:id="33847" w:name="_Toc395085137"/>
            <w:bookmarkStart w:id="33848" w:name="_Toc395090603"/>
            <w:bookmarkStart w:id="33849" w:name="_Toc395093185"/>
            <w:bookmarkStart w:id="33850" w:name="_Toc395098095"/>
            <w:bookmarkStart w:id="33851" w:name="_Toc395106884"/>
            <w:bookmarkStart w:id="33852" w:name="_Toc395109542"/>
            <w:bookmarkStart w:id="33853" w:name="_Toc395107389"/>
            <w:bookmarkStart w:id="33854" w:name="_Toc395108950"/>
            <w:bookmarkStart w:id="33855" w:name="_Toc395114190"/>
            <w:bookmarkStart w:id="33856" w:name="_Toc395116927"/>
            <w:bookmarkStart w:id="33857" w:name="_Toc395112864"/>
            <w:bookmarkStart w:id="33858" w:name="_Toc395115404"/>
            <w:bookmarkStart w:id="33859" w:name="_Toc395118556"/>
            <w:bookmarkStart w:id="33860" w:name="_Toc395624747"/>
            <w:bookmarkStart w:id="33861" w:name="_Toc395790098"/>
            <w:bookmarkStart w:id="33862" w:name="_Toc395800856"/>
            <w:r w:rsidRPr="008625DC">
              <w:t>There is broad support for the regime of exemptions</w:t>
            </w:r>
            <w:r w:rsidR="002222A2" w:rsidRPr="008625DC">
              <w:t xml:space="preserve"> under</w:t>
            </w:r>
            <w:r w:rsidRPr="008625DC">
              <w:t xml:space="preserve"> the </w:t>
            </w:r>
            <w:r w:rsidR="002222A2" w:rsidRPr="008625DC">
              <w:t>CCA</w:t>
            </w:r>
            <w:r w:rsidRPr="008625DC">
              <w:t>.</w:t>
            </w:r>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r w:rsidRPr="008625DC">
              <w:t xml:space="preserve"> </w:t>
            </w:r>
          </w:p>
          <w:p w14:paraId="4C74BC01" w14:textId="77777777" w:rsidR="00E83CE3" w:rsidRPr="008625DC" w:rsidRDefault="00E83CE3" w:rsidP="00E83CE3">
            <w:pPr>
              <w:pStyle w:val="Keyfindingtext"/>
            </w:pPr>
            <w:bookmarkStart w:id="33863" w:name="_Toc394415016"/>
            <w:bookmarkStart w:id="33864" w:name="_Toc394412321"/>
            <w:bookmarkStart w:id="33865" w:name="_Toc394420611"/>
            <w:bookmarkStart w:id="33866" w:name="_Toc394421085"/>
            <w:bookmarkStart w:id="33867" w:name="_Toc394423455"/>
            <w:bookmarkStart w:id="33868" w:name="_Toc394420389"/>
            <w:bookmarkStart w:id="33869" w:name="_Toc394422499"/>
            <w:bookmarkStart w:id="33870" w:name="_Toc394422970"/>
            <w:bookmarkStart w:id="33871" w:name="_Toc394424120"/>
            <w:bookmarkStart w:id="33872" w:name="_Toc394491955"/>
            <w:bookmarkStart w:id="33873" w:name="_Toc394495100"/>
            <w:bookmarkStart w:id="33874" w:name="_Toc394497912"/>
            <w:bookmarkStart w:id="33875" w:name="_Toc394500704"/>
            <w:bookmarkStart w:id="33876" w:name="_Toc394502108"/>
            <w:bookmarkStart w:id="33877" w:name="_Toc394503010"/>
            <w:bookmarkStart w:id="33878" w:name="_Toc394502554"/>
            <w:bookmarkStart w:id="33879" w:name="_Toc394505762"/>
            <w:bookmarkStart w:id="33880" w:name="_Toc394506101"/>
            <w:bookmarkStart w:id="33881" w:name="_Toc394506775"/>
            <w:bookmarkStart w:id="33882" w:name="_Toc394560852"/>
            <w:bookmarkStart w:id="33883" w:name="_Toc394561313"/>
            <w:bookmarkStart w:id="33884" w:name="_Toc394938477"/>
            <w:bookmarkStart w:id="33885" w:name="_Toc394937759"/>
            <w:bookmarkStart w:id="33886" w:name="_Toc394415017"/>
            <w:bookmarkStart w:id="33887" w:name="_Toc394412322"/>
            <w:bookmarkStart w:id="33888" w:name="_Toc394420612"/>
            <w:bookmarkStart w:id="33889" w:name="_Toc394421086"/>
            <w:bookmarkStart w:id="33890" w:name="_Toc394423456"/>
            <w:bookmarkStart w:id="33891" w:name="_Toc394420390"/>
            <w:bookmarkStart w:id="33892" w:name="_Toc394422500"/>
            <w:bookmarkStart w:id="33893" w:name="_Toc394422971"/>
            <w:bookmarkStart w:id="33894" w:name="_Toc394424121"/>
            <w:bookmarkStart w:id="33895" w:name="_Toc394491956"/>
            <w:bookmarkStart w:id="33896" w:name="_Toc394495101"/>
            <w:bookmarkStart w:id="33897" w:name="_Toc394497913"/>
            <w:bookmarkStart w:id="33898" w:name="_Toc394500705"/>
            <w:bookmarkStart w:id="33899" w:name="_Toc394502109"/>
            <w:bookmarkStart w:id="33900" w:name="_Toc394503011"/>
            <w:bookmarkStart w:id="33901" w:name="_Toc394502555"/>
            <w:bookmarkStart w:id="33902" w:name="_Toc394505763"/>
            <w:bookmarkStart w:id="33903" w:name="_Toc394506102"/>
            <w:bookmarkStart w:id="33904" w:name="_Toc394506776"/>
            <w:bookmarkStart w:id="33905" w:name="_Toc394560853"/>
            <w:bookmarkStart w:id="33906" w:name="_Toc394561314"/>
            <w:bookmarkStart w:id="33907" w:name="_Toc394938478"/>
            <w:bookmarkStart w:id="33908" w:name="_Toc394937760"/>
            <w:bookmarkStart w:id="33909" w:name="_Toc394941392"/>
            <w:bookmarkStart w:id="33910" w:name="_Toc394942008"/>
            <w:bookmarkStart w:id="33911" w:name="_Toc394940230"/>
            <w:bookmarkStart w:id="33912" w:name="_Toc394939827"/>
            <w:bookmarkStart w:id="33913" w:name="_Toc394993724"/>
            <w:bookmarkStart w:id="33914" w:name="_Toc394995606"/>
            <w:bookmarkStart w:id="33915" w:name="_Toc394995920"/>
            <w:bookmarkStart w:id="33916" w:name="_Toc394998165"/>
            <w:bookmarkStart w:id="33917" w:name="_Toc394998679"/>
            <w:bookmarkStart w:id="33918" w:name="_Toc395002178"/>
            <w:bookmarkStart w:id="33919" w:name="_Toc395001386"/>
            <w:bookmarkStart w:id="33920" w:name="_Toc395002947"/>
            <w:bookmarkStart w:id="33921" w:name="_Toc395003532"/>
            <w:bookmarkStart w:id="33922" w:name="_Toc395005773"/>
            <w:bookmarkStart w:id="33923" w:name="_Toc395009767"/>
            <w:bookmarkStart w:id="33924" w:name="_Toc395012691"/>
            <w:bookmarkStart w:id="33925" w:name="_Toc395011685"/>
            <w:bookmarkStart w:id="33926" w:name="_Toc395013153"/>
            <w:bookmarkStart w:id="33927" w:name="_Toc395012155"/>
            <w:bookmarkStart w:id="33928" w:name="_Toc395014494"/>
            <w:bookmarkStart w:id="33929" w:name="_Toc395084837"/>
            <w:bookmarkStart w:id="33930" w:name="_Toc395085138"/>
            <w:bookmarkStart w:id="33931" w:name="_Toc395090604"/>
            <w:bookmarkStart w:id="33932" w:name="_Toc395093186"/>
            <w:bookmarkStart w:id="33933" w:name="_Toc395098096"/>
            <w:bookmarkStart w:id="33934" w:name="_Toc395106885"/>
            <w:bookmarkStart w:id="33935" w:name="_Toc395109543"/>
            <w:bookmarkStart w:id="33936" w:name="_Toc395112248"/>
            <w:bookmarkStart w:id="33937" w:name="_Toc395107390"/>
            <w:bookmarkStart w:id="33938" w:name="_Toc395108951"/>
            <w:bookmarkStart w:id="33939" w:name="_Toc395114191"/>
            <w:bookmarkStart w:id="33940" w:name="_Toc395116928"/>
            <w:bookmarkStart w:id="33941" w:name="_Toc395112865"/>
            <w:bookmarkStart w:id="33942" w:name="_Toc395115405"/>
            <w:bookmarkStart w:id="33943" w:name="_Toc395118557"/>
            <w:bookmarkStart w:id="33944" w:name="_Toc395624748"/>
            <w:bookmarkStart w:id="33945" w:name="_Toc395790099"/>
            <w:bookmarkStart w:id="33946" w:name="_Toc395800857"/>
            <w:bookmarkStart w:id="33947" w:name="_Toc393978952"/>
            <w:r w:rsidRPr="008625DC">
              <w:t>The authorisation and notification procedures can be simplified by:</w:t>
            </w:r>
          </w:p>
          <w:p w14:paraId="355D605C" w14:textId="77777777" w:rsidR="00E83CE3" w:rsidRPr="008625DC" w:rsidRDefault="00E83CE3" w:rsidP="00047202">
            <w:pPr>
              <w:pStyle w:val="BoxBullet"/>
              <w:rPr>
                <w:lang w:val="en-AU"/>
              </w:rPr>
            </w:pPr>
            <w:r w:rsidRPr="008625DC">
              <w:rPr>
                <w:lang w:val="en-AU"/>
              </w:rPr>
              <w:t>ensuring that only a single authorisation application is required for a single business transaction or arrangement; and</w:t>
            </w:r>
          </w:p>
          <w:p w14:paraId="5A4675C6" w14:textId="77777777" w:rsidR="00E83CE3" w:rsidRPr="008625DC" w:rsidRDefault="00E83CE3" w:rsidP="00047202">
            <w:pPr>
              <w:pStyle w:val="BoxBullet"/>
              <w:spacing w:after="180"/>
              <w:rPr>
                <w:lang w:val="en-AU"/>
              </w:rPr>
            </w:pPr>
            <w:r w:rsidRPr="008625DC">
              <w:rPr>
                <w:lang w:val="en-AU"/>
              </w:rPr>
              <w:t>empowering the ACCC to grant an exemption (including for per se prohibitions) if it is satisfied that either the proposed conduct is unlikely to substantially lessen competition or that the proposed conduct is likely to result in a net public benefit.</w:t>
            </w:r>
          </w:p>
          <w:bookmarkEnd w:id="33863"/>
          <w:bookmarkEnd w:id="33864"/>
          <w:bookmarkEnd w:id="33865"/>
          <w:bookmarkEnd w:id="33866"/>
          <w:bookmarkEnd w:id="33867"/>
          <w:bookmarkEnd w:id="33868"/>
          <w:bookmarkEnd w:id="33869"/>
          <w:bookmarkEnd w:id="33870"/>
          <w:bookmarkEnd w:id="33871"/>
          <w:bookmarkEnd w:id="33872"/>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p w14:paraId="5C210A4A" w14:textId="7A66A553" w:rsidR="00E83CE3" w:rsidRPr="008625DC" w:rsidRDefault="00E83CE3" w:rsidP="00E83CE3">
            <w:pPr>
              <w:pStyle w:val="Keyfindingtext"/>
            </w:pPr>
            <w:r w:rsidRPr="008625DC">
              <w:t xml:space="preserve">The collective bargaining notification process is of potential benefit to, and could be more widely used by, small business. The regime could be simplified in respect of the businesses covered by a notification. </w:t>
            </w:r>
            <w:r w:rsidR="00733F62" w:rsidRPr="008625DC">
              <w:t xml:space="preserve">The regime could also better facilitate </w:t>
            </w:r>
            <w:r w:rsidR="00F44959" w:rsidRPr="008625DC">
              <w:t xml:space="preserve">any </w:t>
            </w:r>
            <w:r w:rsidR="00733F62" w:rsidRPr="008625DC">
              <w:t>efficiency</w:t>
            </w:r>
            <w:r w:rsidR="00C74E19" w:rsidRPr="008625DC">
              <w:noBreakHyphen/>
            </w:r>
            <w:r w:rsidR="00733F62" w:rsidRPr="008625DC">
              <w:t>enhancing collective boycott activity.</w:t>
            </w:r>
          </w:p>
          <w:p w14:paraId="04340145" w14:textId="44F66F2B" w:rsidR="000F0C5F" w:rsidRPr="008625DC" w:rsidRDefault="005754C3" w:rsidP="009C7041">
            <w:pPr>
              <w:pStyle w:val="Keyfindingtext"/>
            </w:pPr>
            <w:bookmarkStart w:id="33948" w:name="_Toc393879175"/>
            <w:bookmarkStart w:id="33949" w:name="_Toc393879406"/>
            <w:bookmarkStart w:id="33950" w:name="_Toc393903370"/>
            <w:bookmarkStart w:id="33951" w:name="_Toc393902580"/>
            <w:bookmarkStart w:id="33952" w:name="_Toc393905286"/>
            <w:bookmarkStart w:id="33953" w:name="_Toc393904143"/>
            <w:bookmarkStart w:id="33954" w:name="_Toc393903759"/>
            <w:bookmarkStart w:id="33955" w:name="_Toc393905597"/>
            <w:bookmarkStart w:id="33956" w:name="_Toc393905976"/>
            <w:bookmarkStart w:id="33957" w:name="_Toc393907953"/>
            <w:bookmarkStart w:id="33958" w:name="_Toc393906394"/>
            <w:bookmarkStart w:id="33959" w:name="_Toc393967532"/>
            <w:bookmarkStart w:id="33960" w:name="_Toc393974046"/>
            <w:bookmarkStart w:id="33961" w:name="_Toc393977691"/>
            <w:bookmarkStart w:id="33962" w:name="_Toc393985074"/>
            <w:bookmarkStart w:id="33963" w:name="_Toc393985577"/>
            <w:bookmarkStart w:id="33964" w:name="_Toc393985979"/>
            <w:bookmarkStart w:id="33965" w:name="_Toc393986382"/>
            <w:bookmarkStart w:id="33966" w:name="_Toc393987989"/>
            <w:bookmarkStart w:id="33967" w:name="_Toc393989402"/>
            <w:bookmarkStart w:id="33968" w:name="_Toc393987893"/>
            <w:bookmarkStart w:id="33969" w:name="_Toc393988790"/>
            <w:bookmarkStart w:id="33970" w:name="_Toc393990794"/>
            <w:bookmarkStart w:id="33971" w:name="_Toc393991776"/>
            <w:bookmarkStart w:id="33972" w:name="_Toc394047438"/>
            <w:bookmarkStart w:id="33973" w:name="_Toc394049714"/>
            <w:bookmarkStart w:id="33974" w:name="_Toc394051114"/>
            <w:bookmarkStart w:id="33975" w:name="_Toc394062103"/>
            <w:bookmarkStart w:id="33976" w:name="_Toc394068978"/>
            <w:bookmarkStart w:id="33977" w:name="_Toc394070800"/>
            <w:bookmarkStart w:id="33978" w:name="_Toc394312300"/>
            <w:bookmarkStart w:id="33979" w:name="_Toc394330592"/>
            <w:bookmarkStart w:id="33980" w:name="_Toc394330212"/>
            <w:bookmarkStart w:id="33981" w:name="_Toc394333186"/>
            <w:bookmarkStart w:id="33982" w:name="_Toc394332764"/>
            <w:bookmarkStart w:id="33983" w:name="_Toc394333599"/>
            <w:bookmarkStart w:id="33984" w:name="_Toc394334012"/>
            <w:bookmarkStart w:id="33985" w:name="_Toc394334838"/>
            <w:bookmarkStart w:id="33986" w:name="_Toc394415021"/>
            <w:bookmarkStart w:id="33987" w:name="_Toc394412326"/>
            <w:bookmarkStart w:id="33988" w:name="_Toc394420616"/>
            <w:bookmarkStart w:id="33989" w:name="_Toc394421090"/>
            <w:bookmarkStart w:id="33990" w:name="_Toc394423460"/>
            <w:bookmarkStart w:id="33991" w:name="_Toc394420394"/>
            <w:bookmarkStart w:id="33992" w:name="_Toc394422504"/>
            <w:bookmarkStart w:id="33993" w:name="_Toc394422975"/>
            <w:bookmarkStart w:id="33994" w:name="_Toc394424125"/>
            <w:bookmarkStart w:id="33995" w:name="_Toc394491960"/>
            <w:bookmarkStart w:id="33996" w:name="_Toc394495105"/>
            <w:bookmarkStart w:id="33997" w:name="_Toc394497917"/>
            <w:bookmarkStart w:id="33998" w:name="_Toc394500709"/>
            <w:bookmarkStart w:id="33999" w:name="_Toc394502113"/>
            <w:bookmarkStart w:id="34000" w:name="_Toc394503015"/>
            <w:bookmarkStart w:id="34001" w:name="_Toc394502559"/>
            <w:bookmarkStart w:id="34002" w:name="_Toc394505767"/>
            <w:bookmarkStart w:id="34003" w:name="_Toc394506106"/>
            <w:bookmarkStart w:id="34004" w:name="_Toc394506780"/>
            <w:bookmarkStart w:id="34005" w:name="_Toc394560857"/>
            <w:bookmarkStart w:id="34006" w:name="_Toc394561318"/>
            <w:bookmarkStart w:id="34007" w:name="_Toc394938482"/>
            <w:bookmarkStart w:id="34008" w:name="_Toc394937764"/>
            <w:bookmarkStart w:id="34009" w:name="_Toc394941393"/>
            <w:bookmarkStart w:id="34010" w:name="_Toc394942009"/>
            <w:bookmarkStart w:id="34011" w:name="_Toc394940231"/>
            <w:bookmarkStart w:id="34012" w:name="_Toc394939828"/>
            <w:bookmarkStart w:id="34013" w:name="_Toc394993725"/>
            <w:bookmarkStart w:id="34014" w:name="_Toc394995607"/>
            <w:bookmarkStart w:id="34015" w:name="_Toc394995921"/>
            <w:bookmarkStart w:id="34016" w:name="_Toc394998166"/>
            <w:bookmarkStart w:id="34017" w:name="_Toc394998680"/>
            <w:bookmarkStart w:id="34018" w:name="_Toc395002179"/>
            <w:bookmarkStart w:id="34019" w:name="_Toc395001387"/>
            <w:bookmarkStart w:id="34020" w:name="_Toc393978955"/>
            <w:bookmarkStart w:id="34021" w:name="_Toc395002948"/>
            <w:bookmarkStart w:id="34022" w:name="_Toc395003533"/>
            <w:bookmarkStart w:id="34023" w:name="_Toc395005774"/>
            <w:bookmarkStart w:id="34024" w:name="_Toc395009768"/>
            <w:bookmarkStart w:id="34025" w:name="_Toc395012692"/>
            <w:bookmarkStart w:id="34026" w:name="_Toc395011686"/>
            <w:bookmarkStart w:id="34027" w:name="_Toc395013154"/>
            <w:bookmarkStart w:id="34028" w:name="_Toc395012156"/>
            <w:bookmarkStart w:id="34029" w:name="_Toc395014495"/>
            <w:bookmarkStart w:id="34030" w:name="_Toc395084838"/>
            <w:bookmarkStart w:id="34031" w:name="_Toc395085139"/>
            <w:bookmarkStart w:id="34032" w:name="_Toc395090605"/>
            <w:bookmarkStart w:id="34033" w:name="_Toc395093187"/>
            <w:bookmarkStart w:id="34034" w:name="_Toc395098097"/>
            <w:bookmarkStart w:id="34035" w:name="_Toc395105283"/>
            <w:bookmarkStart w:id="34036" w:name="_Toc395106886"/>
            <w:bookmarkStart w:id="34037" w:name="_Toc395109544"/>
            <w:bookmarkStart w:id="34038" w:name="_Toc395112249"/>
            <w:bookmarkStart w:id="34039" w:name="_Toc395107391"/>
            <w:bookmarkStart w:id="34040" w:name="_Toc395108952"/>
            <w:bookmarkStart w:id="34041" w:name="_Toc395114192"/>
            <w:bookmarkStart w:id="34042" w:name="_Toc395116929"/>
            <w:bookmarkStart w:id="34043" w:name="_Toc395112866"/>
            <w:bookmarkStart w:id="34044" w:name="_Toc395115406"/>
            <w:bookmarkStart w:id="34045" w:name="_Toc395118558"/>
            <w:bookmarkStart w:id="34046" w:name="_Toc395624750"/>
            <w:bookmarkStart w:id="34047" w:name="_Toc395790101"/>
            <w:bookmarkStart w:id="34048" w:name="_Toc395800859"/>
            <w:bookmarkEnd w:id="33947"/>
            <w:r w:rsidRPr="008625DC">
              <w:t>E</w:t>
            </w:r>
            <w:r w:rsidR="00E26F67" w:rsidRPr="008625DC">
              <w:t>xemption powers based on the block exemption framework in the UK and EU</w:t>
            </w:r>
            <w:r w:rsidR="008724E0" w:rsidRPr="008625DC">
              <w:t xml:space="preserve"> </w:t>
            </w:r>
            <w:r w:rsidRPr="008625DC">
              <w:t xml:space="preserve">should be introduced to </w:t>
            </w:r>
            <w:r w:rsidR="00533764" w:rsidRPr="008625DC">
              <w:t xml:space="preserve">the CCA to </w:t>
            </w:r>
            <w:r w:rsidRPr="008625DC">
              <w:t>supplement</w:t>
            </w:r>
            <w:r w:rsidR="008724E0" w:rsidRPr="008625DC">
              <w:t xml:space="preserve"> the authorisation and notification frameworks</w:t>
            </w:r>
            <w:r w:rsidR="00E26F67" w:rsidRPr="008625DC">
              <w:t xml:space="preserve">. Such a power would be helpful in establishing </w:t>
            </w:r>
            <w:r w:rsidR="00C74E19" w:rsidRPr="008625DC">
              <w:t>‘</w:t>
            </w:r>
            <w:r w:rsidR="00E26F67" w:rsidRPr="008625DC">
              <w:t>safe harbours</w:t>
            </w:r>
            <w:r w:rsidR="00C74E19" w:rsidRPr="008625DC">
              <w:t>’</w:t>
            </w:r>
            <w:r w:rsidR="00E26F67" w:rsidRPr="008625DC">
              <w:t xml:space="preserve"> for business,</w:t>
            </w:r>
            <w:r w:rsidR="003B614F" w:rsidRPr="008625DC">
              <w:t xml:space="preserve"> </w:t>
            </w:r>
            <w:r w:rsidR="00E26F67" w:rsidRPr="008625DC">
              <w:t>reducing compliance costs</w:t>
            </w:r>
            <w:r w:rsidR="00C346C3" w:rsidRPr="008625DC">
              <w:t xml:space="preserve"> and providing further certainty about the application of the CCA</w:t>
            </w:r>
            <w:r w:rsidR="00E26F67" w:rsidRPr="008625DC">
              <w:t>.</w:t>
            </w:r>
            <w:bookmarkEnd w:id="33948"/>
            <w:bookmarkEnd w:id="33949"/>
            <w:bookmarkEnd w:id="33950"/>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p>
        </w:tc>
      </w:tr>
    </w:tbl>
    <w:p w14:paraId="4D465FE9" w14:textId="77777777" w:rsidR="000F0C5F" w:rsidRPr="008625DC" w:rsidRDefault="000F0C5F" w:rsidP="006C5F3B">
      <w:pPr>
        <w:pStyle w:val="SingleParagraph"/>
      </w:pPr>
    </w:p>
    <w:p w14:paraId="1942DD27" w14:textId="77777777" w:rsidR="00272E0E" w:rsidRPr="008625DC" w:rsidRDefault="00272E0E">
      <w:pPr>
        <w:spacing w:before="0" w:after="0"/>
      </w:pPr>
      <w:r w:rsidRPr="008625DC">
        <w:br w:type="page"/>
      </w:r>
    </w:p>
    <w:p w14:paraId="479B6317" w14:textId="47303E3A" w:rsidR="001674C8" w:rsidRPr="008625DC" w:rsidRDefault="00272E0E" w:rsidP="00864E0A">
      <w:pPr>
        <w:pStyle w:val="Heading1"/>
        <w:ind w:left="851" w:hanging="851"/>
      </w:pPr>
      <w:bookmarkStart w:id="34049" w:name="_Toc394330420"/>
      <w:bookmarkStart w:id="34050" w:name="_Toc394330594"/>
      <w:bookmarkStart w:id="34051" w:name="_Toc394331351"/>
      <w:bookmarkStart w:id="34052" w:name="_Toc394330214"/>
      <w:bookmarkStart w:id="34053" w:name="_Toc394333188"/>
      <w:bookmarkStart w:id="34054" w:name="_Toc394333427"/>
      <w:bookmarkStart w:id="34055" w:name="_Toc394332766"/>
      <w:bookmarkStart w:id="34056" w:name="_Toc394333601"/>
      <w:bookmarkStart w:id="34057" w:name="_Toc394333840"/>
      <w:bookmarkStart w:id="34058" w:name="_Toc394334014"/>
      <w:bookmarkStart w:id="34059" w:name="_Toc394334253"/>
      <w:bookmarkStart w:id="34060" w:name="_Toc394334840"/>
      <w:bookmarkStart w:id="34061" w:name="_Toc394335079"/>
      <w:bookmarkStart w:id="34062" w:name="_Toc394415023"/>
      <w:bookmarkStart w:id="34063" w:name="_Toc394415283"/>
      <w:bookmarkStart w:id="34064" w:name="_Toc394412328"/>
      <w:bookmarkStart w:id="34065" w:name="_Toc394412592"/>
      <w:bookmarkStart w:id="34066" w:name="_Toc394420618"/>
      <w:bookmarkStart w:id="34067" w:name="_Toc394420885"/>
      <w:bookmarkStart w:id="34068" w:name="_Toc394421092"/>
      <w:bookmarkStart w:id="34069" w:name="_Toc394423462"/>
      <w:bookmarkStart w:id="34070" w:name="_Toc394423726"/>
      <w:bookmarkStart w:id="34071" w:name="_Toc394420396"/>
      <w:bookmarkStart w:id="34072" w:name="_Toc394422506"/>
      <w:bookmarkStart w:id="34073" w:name="_Toc394422770"/>
      <w:bookmarkStart w:id="34074" w:name="_Toc394422977"/>
      <w:bookmarkStart w:id="34075" w:name="_Toc394423241"/>
      <w:bookmarkStart w:id="34076" w:name="_Toc394424127"/>
      <w:bookmarkStart w:id="34077" w:name="_Toc394424389"/>
      <w:bookmarkStart w:id="34078" w:name="_Toc394491962"/>
      <w:bookmarkStart w:id="34079" w:name="_Toc394492220"/>
      <w:bookmarkStart w:id="34080" w:name="_Toc394495107"/>
      <w:bookmarkStart w:id="34081" w:name="_Toc394495364"/>
      <w:bookmarkStart w:id="34082" w:name="_Toc394497919"/>
      <w:bookmarkStart w:id="34083" w:name="_Toc394498179"/>
      <w:bookmarkStart w:id="34084" w:name="_Toc394500711"/>
      <w:bookmarkStart w:id="34085" w:name="_Toc394500969"/>
      <w:bookmarkStart w:id="34086" w:name="_Toc394502115"/>
      <w:bookmarkStart w:id="34087" w:name="_Toc394502366"/>
      <w:bookmarkStart w:id="34088" w:name="_Toc394503017"/>
      <w:bookmarkStart w:id="34089" w:name="_Toc394503725"/>
      <w:bookmarkStart w:id="34090" w:name="_Toc394502561"/>
      <w:bookmarkStart w:id="34091" w:name="_Toc394502814"/>
      <w:bookmarkStart w:id="34092" w:name="_Toc394505769"/>
      <w:bookmarkStart w:id="34093" w:name="_Toc394506143"/>
      <w:bookmarkStart w:id="34094" w:name="_Toc394506108"/>
      <w:bookmarkStart w:id="34095" w:name="_Toc394506481"/>
      <w:bookmarkStart w:id="34096" w:name="_Toc394506782"/>
      <w:bookmarkStart w:id="34097" w:name="_Toc394507035"/>
      <w:bookmarkStart w:id="34098" w:name="_Toc394560859"/>
      <w:bookmarkStart w:id="34099" w:name="_Toc394561112"/>
      <w:bookmarkStart w:id="34100" w:name="_Toc394561320"/>
      <w:bookmarkStart w:id="34101" w:name="_Toc394561946"/>
      <w:bookmarkStart w:id="34102" w:name="_Toc394583005"/>
      <w:bookmarkStart w:id="34103" w:name="_Toc394585676"/>
      <w:bookmarkStart w:id="34104" w:name="_Toc394586142"/>
      <w:bookmarkStart w:id="34105" w:name="_Toc394588074"/>
      <w:bookmarkStart w:id="34106" w:name="_Toc394588909"/>
      <w:bookmarkStart w:id="34107" w:name="_Toc394589034"/>
      <w:bookmarkStart w:id="34108" w:name="_Toc394590450"/>
      <w:bookmarkStart w:id="34109" w:name="_Toc394590643"/>
      <w:bookmarkStart w:id="34110" w:name="_Toc394654544"/>
      <w:bookmarkStart w:id="34111" w:name="_Toc394654702"/>
      <w:bookmarkStart w:id="34112" w:name="_Toc394656242"/>
      <w:bookmarkStart w:id="34113" w:name="_Toc394656399"/>
      <w:bookmarkStart w:id="34114" w:name="_Toc394659379"/>
      <w:bookmarkStart w:id="34115" w:name="_Toc394659537"/>
      <w:bookmarkStart w:id="34116" w:name="_Toc394663391"/>
      <w:bookmarkStart w:id="34117" w:name="_Toc394663547"/>
      <w:bookmarkStart w:id="34118" w:name="_Toc394667185"/>
      <w:bookmarkStart w:id="34119" w:name="_Toc394667341"/>
      <w:bookmarkStart w:id="34120" w:name="_Toc394671664"/>
      <w:bookmarkStart w:id="34121" w:name="_Toc394671824"/>
      <w:bookmarkStart w:id="34122" w:name="_Toc394674666"/>
      <w:bookmarkStart w:id="34123" w:name="_Toc394674829"/>
      <w:bookmarkStart w:id="34124" w:name="_Toc394674943"/>
      <w:bookmarkStart w:id="34125" w:name="_Toc394675109"/>
      <w:bookmarkStart w:id="34126" w:name="_Toc394676054"/>
      <w:bookmarkStart w:id="34127" w:name="_Toc394676216"/>
      <w:bookmarkStart w:id="34128" w:name="_Toc394675742"/>
      <w:bookmarkStart w:id="34129" w:name="_Toc394675905"/>
      <w:bookmarkStart w:id="34130" w:name="_Toc394918308"/>
      <w:bookmarkStart w:id="34131" w:name="_Toc394918822"/>
      <w:bookmarkStart w:id="34132" w:name="_Toc394930795"/>
      <w:bookmarkStart w:id="34133" w:name="_Toc394933706"/>
      <w:bookmarkStart w:id="34134" w:name="_Toc394938153"/>
      <w:bookmarkStart w:id="34135" w:name="_Toc394938484"/>
      <w:bookmarkStart w:id="34136" w:name="_Toc394938655"/>
      <w:bookmarkStart w:id="34137" w:name="_Toc394937766"/>
      <w:bookmarkStart w:id="34138" w:name="_Toc394937937"/>
      <w:bookmarkStart w:id="34139" w:name="_Toc394941065"/>
      <w:bookmarkStart w:id="34140" w:name="_Toc394941395"/>
      <w:bookmarkStart w:id="34141" w:name="_Toc394941566"/>
      <w:bookmarkStart w:id="34142" w:name="_Toc394941681"/>
      <w:bookmarkStart w:id="34143" w:name="_Toc394942011"/>
      <w:bookmarkStart w:id="34144" w:name="_Toc394942182"/>
      <w:bookmarkStart w:id="34145" w:name="_Toc394939902"/>
      <w:bookmarkStart w:id="34146" w:name="_Toc394940233"/>
      <w:bookmarkStart w:id="34147" w:name="_Toc394940404"/>
      <w:bookmarkStart w:id="34148" w:name="_Toc394939513"/>
      <w:bookmarkStart w:id="34149" w:name="_Toc394939830"/>
      <w:bookmarkStart w:id="34150" w:name="_Toc394940617"/>
      <w:bookmarkStart w:id="34151" w:name="_Toc394993727"/>
      <w:bookmarkStart w:id="34152" w:name="_Toc394995609"/>
      <w:bookmarkStart w:id="34153" w:name="_Toc394995923"/>
      <w:bookmarkStart w:id="34154" w:name="_Toc394996097"/>
      <w:bookmarkStart w:id="34155" w:name="_Toc394997823"/>
      <w:bookmarkStart w:id="34156" w:name="_Toc394998168"/>
      <w:bookmarkStart w:id="34157" w:name="_Toc394998338"/>
      <w:bookmarkStart w:id="34158" w:name="_Toc394998682"/>
      <w:bookmarkStart w:id="34159" w:name="_Toc395001833"/>
      <w:bookmarkStart w:id="34160" w:name="_Toc395002181"/>
      <w:bookmarkStart w:id="34161" w:name="_Toc395001389"/>
      <w:bookmarkStart w:id="34162" w:name="_Toc395002950"/>
      <w:bookmarkStart w:id="34163" w:name="_Toc395003188"/>
      <w:bookmarkStart w:id="34164" w:name="_Toc395003535"/>
      <w:bookmarkStart w:id="34165" w:name="_Toc395005085"/>
      <w:bookmarkStart w:id="34166" w:name="_Toc395005211"/>
      <w:bookmarkStart w:id="34167" w:name="_Toc395005427"/>
      <w:bookmarkStart w:id="34168" w:name="_Toc395005776"/>
      <w:bookmarkStart w:id="34169" w:name="_Toc395009004"/>
      <w:bookmarkStart w:id="34170" w:name="_Toc395009770"/>
      <w:bookmarkStart w:id="34171" w:name="_Toc395010190"/>
      <w:bookmarkStart w:id="34172" w:name="_Toc395010032"/>
      <w:bookmarkStart w:id="34173" w:name="_Toc395011558"/>
      <w:bookmarkStart w:id="34174" w:name="_Toc395012376"/>
      <w:bookmarkStart w:id="34175" w:name="_Toc395012694"/>
      <w:bookmarkStart w:id="34176" w:name="_Toc395012966"/>
      <w:bookmarkStart w:id="34177" w:name="_Toc395010781"/>
      <w:bookmarkStart w:id="34178" w:name="_Toc395011688"/>
      <w:bookmarkStart w:id="34179" w:name="_Toc395012254"/>
      <w:bookmarkStart w:id="34180" w:name="_Toc395013156"/>
      <w:bookmarkStart w:id="34181" w:name="_Toc395012158"/>
      <w:bookmarkStart w:id="34182" w:name="_Toc395014497"/>
      <w:bookmarkStart w:id="34183" w:name="_Toc395014655"/>
      <w:bookmarkStart w:id="34184" w:name="_Toc395013246"/>
      <w:bookmarkStart w:id="34185" w:name="_Toc395084840"/>
      <w:bookmarkStart w:id="34186" w:name="_Toc395085141"/>
      <w:bookmarkStart w:id="34187" w:name="_Toc395090285"/>
      <w:bookmarkStart w:id="34188" w:name="_Toc395090607"/>
      <w:bookmarkStart w:id="34189" w:name="_Toc395090764"/>
      <w:bookmarkStart w:id="34190" w:name="_Toc395092652"/>
      <w:bookmarkStart w:id="34191" w:name="_Toc395092864"/>
      <w:bookmarkStart w:id="34192" w:name="_Toc395093189"/>
      <w:bookmarkStart w:id="34193" w:name="_Toc395093346"/>
      <w:bookmarkStart w:id="34194" w:name="_Toc395097775"/>
      <w:bookmarkStart w:id="34195" w:name="_Toc395098099"/>
      <w:bookmarkStart w:id="34196" w:name="_Toc395098256"/>
      <w:bookmarkStart w:id="34197" w:name="_Toc395105284"/>
      <w:bookmarkStart w:id="34198" w:name="_Toc395106887"/>
      <w:bookmarkStart w:id="34199" w:name="_Toc395107043"/>
      <w:bookmarkStart w:id="34200" w:name="_Toc395109915"/>
      <w:bookmarkStart w:id="34201" w:name="_Toc395109545"/>
      <w:bookmarkStart w:id="34202" w:name="_Toc395109701"/>
      <w:bookmarkStart w:id="34203" w:name="_Toc395111918"/>
      <w:bookmarkStart w:id="34204" w:name="_Toc395112250"/>
      <w:bookmarkStart w:id="34205" w:name="_Toc395112406"/>
      <w:bookmarkStart w:id="34206" w:name="_Toc395106838"/>
      <w:bookmarkStart w:id="34207" w:name="_Toc395107392"/>
      <w:bookmarkStart w:id="34208" w:name="_Toc395107551"/>
      <w:bookmarkStart w:id="34209" w:name="_Toc395110090"/>
      <w:bookmarkStart w:id="34210" w:name="_Toc395108598"/>
      <w:bookmarkStart w:id="34211" w:name="_Toc395108953"/>
      <w:bookmarkStart w:id="34212" w:name="_Toc395113838"/>
      <w:bookmarkStart w:id="34213" w:name="_Toc395114193"/>
      <w:bookmarkStart w:id="34214" w:name="_Toc395114358"/>
      <w:bookmarkStart w:id="34215" w:name="_Toc395116574"/>
      <w:bookmarkStart w:id="34216" w:name="_Toc395116930"/>
      <w:bookmarkStart w:id="34217" w:name="_Toc395117096"/>
      <w:bookmarkStart w:id="34218" w:name="_Toc395112511"/>
      <w:bookmarkStart w:id="34219" w:name="_Toc395112867"/>
      <w:bookmarkStart w:id="34220" w:name="_Toc395113214"/>
      <w:bookmarkStart w:id="34221" w:name="_Toc395115050"/>
      <w:bookmarkStart w:id="34222" w:name="_Toc395115407"/>
      <w:bookmarkStart w:id="34223" w:name="_Toc395115573"/>
      <w:bookmarkStart w:id="34224" w:name="_Toc395118205"/>
      <w:bookmarkStart w:id="34225" w:name="_Toc395118559"/>
      <w:bookmarkStart w:id="34226" w:name="_Toc395118723"/>
      <w:bookmarkStart w:id="34227" w:name="_Toc395178415"/>
      <w:bookmarkStart w:id="34228" w:name="_Toc395178747"/>
      <w:bookmarkStart w:id="34229" w:name="_Toc395624751"/>
      <w:bookmarkStart w:id="34230" w:name="_Toc395624904"/>
      <w:bookmarkStart w:id="34231" w:name="_Toc395789758"/>
      <w:bookmarkStart w:id="34232" w:name="_Toc395790102"/>
      <w:bookmarkStart w:id="34233" w:name="_Toc395800860"/>
      <w:bookmarkStart w:id="34234" w:name="_Toc395802887"/>
      <w:bookmarkStart w:id="34235" w:name="_Toc395867655"/>
      <w:bookmarkStart w:id="34236" w:name="_Toc395868568"/>
      <w:bookmarkStart w:id="34237" w:name="_Toc395868787"/>
      <w:bookmarkStart w:id="34238" w:name="_Toc395878949"/>
      <w:bookmarkStart w:id="34239" w:name="_Toc395879166"/>
      <w:bookmarkStart w:id="34240" w:name="_Toc395882073"/>
      <w:bookmarkStart w:id="34241" w:name="_Toc395882290"/>
      <w:bookmarkStart w:id="34242" w:name="_Toc395882404"/>
      <w:bookmarkStart w:id="34243" w:name="_Toc395882621"/>
      <w:bookmarkStart w:id="34244" w:name="_Toc395880568"/>
      <w:bookmarkStart w:id="34245" w:name="_Toc395880899"/>
      <w:bookmarkStart w:id="34246" w:name="_Toc395881457"/>
      <w:bookmarkStart w:id="34247" w:name="_Toc395881390"/>
      <w:bookmarkStart w:id="34248" w:name="_Toc395883842"/>
      <w:bookmarkStart w:id="34249" w:name="_Toc395884059"/>
      <w:bookmarkStart w:id="34250" w:name="_Toc395880797"/>
      <w:bookmarkStart w:id="34251" w:name="_Toc395884504"/>
      <w:bookmarkStart w:id="34252" w:name="_Toc395884721"/>
      <w:bookmarkStart w:id="34253" w:name="_Toc395883213"/>
      <w:bookmarkStart w:id="34254" w:name="_Toc395883430"/>
      <w:bookmarkStart w:id="34255" w:name="_Toc395883543"/>
      <w:bookmarkStart w:id="34256" w:name="_Toc395883760"/>
      <w:bookmarkStart w:id="34257" w:name="_Toc395884845"/>
      <w:bookmarkStart w:id="34258" w:name="_Toc396123870"/>
      <w:bookmarkStart w:id="34259" w:name="_Toc396130773"/>
      <w:bookmarkStart w:id="34260" w:name="_Toc396136351"/>
      <w:bookmarkStart w:id="34261" w:name="_Toc396138805"/>
      <w:bookmarkStart w:id="34262" w:name="_Toc396144066"/>
      <w:bookmarkStart w:id="34263" w:name="_Toc396145575"/>
      <w:bookmarkStart w:id="34264" w:name="_Toc396145719"/>
      <w:bookmarkStart w:id="34265" w:name="_Toc396146001"/>
      <w:bookmarkStart w:id="34266" w:name="_Toc396147541"/>
      <w:bookmarkStart w:id="34267" w:name="_Toc396147827"/>
      <w:bookmarkStart w:id="34268" w:name="_Toc396149083"/>
      <w:bookmarkStart w:id="34269" w:name="_Toc396148797"/>
      <w:bookmarkStart w:id="34270" w:name="_Toc396149578"/>
      <w:bookmarkStart w:id="34271" w:name="_Toc396149223"/>
      <w:bookmarkStart w:id="34272" w:name="_Toc396149509"/>
      <w:bookmarkStart w:id="34273" w:name="_Toc396149931"/>
      <w:bookmarkStart w:id="34274" w:name="_Toc396149681"/>
      <w:bookmarkStart w:id="34275" w:name="_Toc396150522"/>
      <w:bookmarkStart w:id="34276" w:name="_Toc396151411"/>
      <w:bookmarkStart w:id="34277" w:name="_Toc396151705"/>
      <w:bookmarkStart w:id="34278" w:name="_Toc396201632"/>
      <w:bookmarkStart w:id="34279" w:name="_Toc396202422"/>
      <w:bookmarkStart w:id="34280" w:name="_Toc396202717"/>
      <w:bookmarkStart w:id="34281" w:name="_Toc396203334"/>
      <w:bookmarkStart w:id="34282" w:name="_Toc396206630"/>
      <w:bookmarkStart w:id="34283" w:name="_Toc396206924"/>
      <w:bookmarkStart w:id="34284" w:name="_Toc396209458"/>
      <w:bookmarkStart w:id="34285" w:name="_Toc396209752"/>
      <w:bookmarkStart w:id="34286" w:name="_Toc396211882"/>
      <w:bookmarkStart w:id="34287" w:name="_Toc396212176"/>
      <w:bookmarkStart w:id="34288" w:name="_Toc396213226"/>
      <w:bookmarkStart w:id="34289" w:name="_Toc396213518"/>
      <w:bookmarkStart w:id="34290" w:name="_Toc396214504"/>
      <w:bookmarkStart w:id="34291" w:name="_Toc396214794"/>
      <w:bookmarkStart w:id="34292" w:name="_Toc396220354"/>
      <w:bookmarkStart w:id="34293" w:name="_Toc396226616"/>
      <w:bookmarkStart w:id="34294" w:name="_Toc396226905"/>
      <w:bookmarkStart w:id="34295" w:name="_Toc396228816"/>
      <w:bookmarkStart w:id="34296" w:name="_Toc396229111"/>
      <w:bookmarkStart w:id="34297" w:name="_Toc396230458"/>
      <w:bookmarkStart w:id="34298" w:name="_Toc396230753"/>
      <w:bookmarkStart w:id="34299" w:name="_Toc396231895"/>
      <w:bookmarkStart w:id="34300" w:name="_Toc396233238"/>
      <w:bookmarkStart w:id="34301" w:name="_Toc396233535"/>
      <w:bookmarkStart w:id="34302" w:name="_Toc396234058"/>
      <w:bookmarkStart w:id="34303" w:name="_Toc396234355"/>
      <w:bookmarkStart w:id="34304" w:name="_Toc396234468"/>
      <w:bookmarkStart w:id="34305" w:name="_Toc396236202"/>
      <w:bookmarkStart w:id="34306" w:name="_Toc396235980"/>
      <w:bookmarkStart w:id="34307" w:name="_Toc396236590"/>
      <w:bookmarkStart w:id="34308" w:name="_Toc396237109"/>
      <w:bookmarkStart w:id="34309" w:name="_Toc396397452"/>
      <w:bookmarkStart w:id="34310" w:name="_Toc396304633"/>
      <w:bookmarkStart w:id="34311" w:name="_Toc396586168"/>
      <w:bookmarkStart w:id="34312" w:name="_Toc396815189"/>
      <w:bookmarkStart w:id="34313" w:name="_Toc396821138"/>
      <w:bookmarkStart w:id="34314" w:name="_Toc396821746"/>
      <w:bookmarkStart w:id="34315" w:name="_Toc396827596"/>
      <w:bookmarkStart w:id="34316" w:name="_Toc396828567"/>
      <w:bookmarkStart w:id="34317" w:name="_Toc396828677"/>
      <w:bookmarkStart w:id="34318" w:name="_Toc396838066"/>
      <w:bookmarkStart w:id="34319" w:name="_Toc396838464"/>
      <w:bookmarkStart w:id="34320" w:name="_Toc396904787"/>
      <w:bookmarkStart w:id="34321" w:name="_Toc396907621"/>
      <w:bookmarkStart w:id="34322" w:name="_Toc396912540"/>
      <w:bookmarkStart w:id="34323" w:name="_Toc396914520"/>
      <w:bookmarkStart w:id="34324" w:name="_Toc396915404"/>
      <w:bookmarkStart w:id="34325" w:name="_Toc396915798"/>
      <w:bookmarkStart w:id="34326" w:name="_Toc396921109"/>
      <w:bookmarkStart w:id="34327" w:name="_Toc396924449"/>
      <w:bookmarkStart w:id="34328" w:name="_Toc396925143"/>
      <w:bookmarkStart w:id="34329" w:name="_Toc396992263"/>
      <w:bookmarkStart w:id="34330" w:name="_Toc396992842"/>
      <w:bookmarkStart w:id="34331" w:name="_Toc396994506"/>
      <w:bookmarkStart w:id="34332" w:name="_Toc397002276"/>
      <w:bookmarkStart w:id="34333" w:name="_Toc397003195"/>
      <w:bookmarkStart w:id="34334" w:name="_Toc397008753"/>
      <w:bookmarkStart w:id="34335" w:name="_Toc397008971"/>
      <w:bookmarkStart w:id="34336" w:name="_Toc397011643"/>
      <w:bookmarkStart w:id="34337" w:name="_Toc397012705"/>
      <w:bookmarkStart w:id="34338" w:name="_Toc397015047"/>
      <w:bookmarkStart w:id="34339" w:name="_Toc397015534"/>
      <w:bookmarkStart w:id="34340" w:name="_Toc397070605"/>
      <w:bookmarkStart w:id="34341" w:name="_Toc397413359"/>
      <w:bookmarkStart w:id="34342" w:name="_Toc397413506"/>
      <w:bookmarkStart w:id="34343" w:name="_Toc397428075"/>
      <w:bookmarkStart w:id="34344" w:name="_Toc397439465"/>
      <w:bookmarkStart w:id="34345" w:name="_Toc397439635"/>
      <w:bookmarkStart w:id="34346" w:name="_Toc397439891"/>
      <w:bookmarkStart w:id="34347" w:name="_Toc397440193"/>
      <w:bookmarkStart w:id="34348" w:name="_Toc397441822"/>
      <w:bookmarkStart w:id="34349" w:name="_Toc397517524"/>
      <w:bookmarkStart w:id="34350" w:name="_Toc397522789"/>
      <w:bookmarkStart w:id="34351" w:name="_Toc397526207"/>
      <w:bookmarkStart w:id="34352" w:name="_Toc397528407"/>
      <w:bookmarkStart w:id="34353" w:name="_Toc397528522"/>
      <w:bookmarkStart w:id="34354" w:name="_Toc397528997"/>
      <w:bookmarkStart w:id="34355" w:name="_Toc397601998"/>
      <w:bookmarkStart w:id="34356" w:name="_Toc397602733"/>
      <w:bookmarkStart w:id="34357" w:name="_Toc397605866"/>
      <w:bookmarkStart w:id="34358" w:name="_Toc397614563"/>
      <w:bookmarkStart w:id="34359" w:name="_Toc397615006"/>
      <w:bookmarkStart w:id="34360" w:name="_Toc397616449"/>
      <w:bookmarkStart w:id="34361" w:name="_Toc397616843"/>
      <w:bookmarkStart w:id="34362" w:name="_Toc397688141"/>
      <w:bookmarkStart w:id="34363" w:name="_Toc397689357"/>
      <w:bookmarkStart w:id="34364" w:name="_Toc397694637"/>
      <w:bookmarkStart w:id="34365" w:name="_Toc397696478"/>
      <w:bookmarkStart w:id="34366" w:name="_Toc397697212"/>
      <w:bookmarkStart w:id="34367" w:name="_Toc397698499"/>
      <w:bookmarkStart w:id="34368" w:name="_Toc397699865"/>
      <w:bookmarkStart w:id="34369" w:name="_Toc397700319"/>
      <w:bookmarkStart w:id="34370" w:name="_Toc397936711"/>
      <w:bookmarkStart w:id="34371" w:name="_Toc397936831"/>
      <w:bookmarkStart w:id="34372" w:name="_Toc397945987"/>
      <w:bookmarkStart w:id="34373" w:name="_Toc397947013"/>
      <w:bookmarkStart w:id="34374" w:name="_Toc397948132"/>
      <w:bookmarkStart w:id="34375" w:name="_Toc397958538"/>
      <w:bookmarkStart w:id="34376" w:name="_Toc397958780"/>
      <w:bookmarkStart w:id="34377" w:name="_Toc397959195"/>
      <w:bookmarkStart w:id="34378" w:name="_Toc397962262"/>
      <w:bookmarkStart w:id="34379" w:name="_Toc397963048"/>
      <w:bookmarkStart w:id="34380" w:name="_Toc397963414"/>
      <w:bookmarkStart w:id="34381" w:name="_Toc397965491"/>
      <w:bookmarkStart w:id="34382" w:name="_Toc398197429"/>
      <w:bookmarkStart w:id="34383" w:name="_Toc398200054"/>
      <w:bookmarkStart w:id="34384" w:name="_Toc398200320"/>
      <w:bookmarkStart w:id="34385" w:name="_Toc398201646"/>
      <w:bookmarkStart w:id="34386" w:name="_Toc398207251"/>
      <w:bookmarkStart w:id="34387" w:name="_Toc398209955"/>
      <w:bookmarkStart w:id="34388" w:name="_Toc398210524"/>
      <w:bookmarkStart w:id="34389" w:name="_Toc398211038"/>
      <w:bookmarkStart w:id="34390" w:name="_Toc398219849"/>
      <w:bookmarkStart w:id="34391" w:name="_Toc398220224"/>
      <w:bookmarkStart w:id="34392" w:name="_Toc398220611"/>
      <w:bookmarkStart w:id="34393" w:name="_Toc398221689"/>
      <w:bookmarkStart w:id="34394" w:name="_Toc398222375"/>
      <w:bookmarkStart w:id="34395" w:name="_Toc398222687"/>
      <w:bookmarkStart w:id="34396" w:name="_Toc398223104"/>
      <w:bookmarkStart w:id="34397" w:name="_Toc398223483"/>
      <w:bookmarkStart w:id="34398" w:name="_Toc398223610"/>
      <w:bookmarkStart w:id="34399" w:name="_Toc398224418"/>
      <w:bookmarkStart w:id="34400" w:name="_Toc398225755"/>
      <w:bookmarkStart w:id="34401" w:name="_Toc398225880"/>
      <w:bookmarkStart w:id="34402" w:name="_Toc398281367"/>
      <w:bookmarkStart w:id="34403" w:name="_Toc398282226"/>
      <w:bookmarkStart w:id="34404" w:name="_Toc398284896"/>
      <w:bookmarkStart w:id="34405" w:name="_Toc398287365"/>
      <w:bookmarkStart w:id="34406" w:name="_Toc398289248"/>
      <w:bookmarkStart w:id="34407" w:name="_Toc398297245"/>
      <w:bookmarkStart w:id="34408" w:name="_Toc398298719"/>
      <w:bookmarkStart w:id="34409" w:name="_Toc398300420"/>
      <w:bookmarkStart w:id="34410" w:name="_Toc398301317"/>
      <w:bookmarkStart w:id="34411" w:name="_Toc398302502"/>
      <w:bookmarkStart w:id="34412" w:name="_Toc398302665"/>
      <w:bookmarkStart w:id="34413" w:name="_Toc398549179"/>
      <w:bookmarkStart w:id="34414" w:name="_Toc398549429"/>
      <w:bookmarkStart w:id="34415" w:name="_Toc398555848"/>
      <w:bookmarkStart w:id="34416" w:name="_Toc398559052"/>
      <w:bookmarkStart w:id="34417" w:name="_Toc398563538"/>
      <w:bookmarkStart w:id="34418" w:name="_Toc398563671"/>
      <w:bookmarkStart w:id="34419" w:name="_Toc398564070"/>
      <w:bookmarkStart w:id="34420" w:name="_Toc398827408"/>
      <w:bookmarkStart w:id="34421" w:name="_Toc398827602"/>
      <w:bookmarkStart w:id="34422" w:name="Ch20"/>
      <w:r w:rsidRPr="008625DC">
        <w:lastRenderedPageBreak/>
        <w:t>Enforcement and remedies</w:t>
      </w:r>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p>
    <w:p w14:paraId="393605FC" w14:textId="45E60EDB" w:rsidR="00E83D9E" w:rsidRPr="008625DC" w:rsidRDefault="00E83D9E" w:rsidP="003F4E5C">
      <w:bookmarkStart w:id="34423" w:name="_Toc397694638"/>
      <w:bookmarkStart w:id="34424" w:name="_Toc397696479"/>
      <w:bookmarkStart w:id="34425" w:name="_Toc397697213"/>
      <w:bookmarkStart w:id="34426" w:name="_Toc397698500"/>
      <w:bookmarkStart w:id="34427" w:name="_Toc397699866"/>
      <w:bookmarkStart w:id="34428" w:name="_Toc397688142"/>
      <w:bookmarkStart w:id="34429" w:name="_Toc397689358"/>
      <w:bookmarkEnd w:id="34422"/>
      <w:r w:rsidRPr="008625DC">
        <w:t>T</w:t>
      </w:r>
      <w:bookmarkEnd w:id="34423"/>
      <w:bookmarkEnd w:id="34424"/>
      <w:bookmarkEnd w:id="34425"/>
      <w:bookmarkEnd w:id="34426"/>
      <w:bookmarkEnd w:id="34427"/>
      <w:r w:rsidRPr="008625DC">
        <w:t xml:space="preserve">he CCA confers both public and private enforcement rights </w:t>
      </w:r>
      <w:r w:rsidR="00216624" w:rsidRPr="008625DC">
        <w:t xml:space="preserve">to take action under </w:t>
      </w:r>
      <w:r w:rsidRPr="008625DC">
        <w:t>the competition laws.</w:t>
      </w:r>
    </w:p>
    <w:p w14:paraId="689063AB" w14:textId="2B1ED516" w:rsidR="00E83D9E" w:rsidRPr="008625DC" w:rsidRDefault="00E83D9E" w:rsidP="003F4E5C">
      <w:r w:rsidRPr="008625DC">
        <w:t xml:space="preserve">Public enforcement is undertaken by the ACCC. The ACCC is empowered to investigate possible contraventions of the competition law and to institute proceedings in the Federal Court seeking fines, penalties and other remedies depending on the contravention. The ACCC is </w:t>
      </w:r>
      <w:r w:rsidR="006F4C95" w:rsidRPr="008625DC">
        <w:t>also</w:t>
      </w:r>
      <w:r w:rsidRPr="008625DC">
        <w:t xml:space="preserve"> empowered under section 155 of the CCA to compel individuals to appear before it to answer questions about a potential contravention, and to compel corporations and individuals to provide information and to produce documents to it.</w:t>
      </w:r>
    </w:p>
    <w:p w14:paraId="064C9022" w14:textId="0D41BF3A" w:rsidR="00E83D9E" w:rsidRPr="008625DC" w:rsidRDefault="00E83D9E" w:rsidP="003F4E5C">
      <w:r w:rsidRPr="008625DC">
        <w:t>Individuals may also bring proceedings in the Federal Court to seek redress for contraventions of the competition laws.</w:t>
      </w:r>
    </w:p>
    <w:p w14:paraId="4242293D" w14:textId="77777777" w:rsidR="00E83D9E" w:rsidRPr="008625DC" w:rsidRDefault="00E83D9E" w:rsidP="003F4E5C">
      <w:r w:rsidRPr="008625DC">
        <w:t>Submissions received by the Panel raise a number of concerns about the scope of public and private enforcement rights under the CCA and about the use by the ACCC of its powers under section 155 of the CCA.</w:t>
      </w:r>
    </w:p>
    <w:p w14:paraId="42F0474F" w14:textId="2E3C6C1F" w:rsidR="00272E0E" w:rsidRPr="008625DC" w:rsidRDefault="00E83D9E" w:rsidP="00BD2EA4">
      <w:pPr>
        <w:pStyle w:val="Heading2"/>
        <w:ind w:left="851" w:hanging="851"/>
        <w:rPr>
          <w:lang w:val="en-AU"/>
        </w:rPr>
      </w:pPr>
      <w:bookmarkStart w:id="34430" w:name="_Toc397700320"/>
      <w:bookmarkStart w:id="34431" w:name="_Toc397936712"/>
      <w:bookmarkStart w:id="34432" w:name="_Toc397936832"/>
      <w:bookmarkStart w:id="34433" w:name="_Toc397945988"/>
      <w:bookmarkStart w:id="34434" w:name="_Toc397947014"/>
      <w:bookmarkStart w:id="34435" w:name="_Toc397948133"/>
      <w:bookmarkStart w:id="34436" w:name="_Toc397958539"/>
      <w:bookmarkStart w:id="34437" w:name="_Toc397958781"/>
      <w:bookmarkStart w:id="34438" w:name="_Toc397959196"/>
      <w:bookmarkStart w:id="34439" w:name="_Toc397962263"/>
      <w:bookmarkStart w:id="34440" w:name="_Toc397963049"/>
      <w:bookmarkStart w:id="34441" w:name="_Toc397963415"/>
      <w:bookmarkStart w:id="34442" w:name="_Toc397965492"/>
      <w:bookmarkStart w:id="34443" w:name="_Toc398197430"/>
      <w:bookmarkStart w:id="34444" w:name="_Toc398200055"/>
      <w:bookmarkStart w:id="34445" w:name="_Toc398200321"/>
      <w:bookmarkStart w:id="34446" w:name="_Toc398201647"/>
      <w:bookmarkStart w:id="34447" w:name="_Toc398207252"/>
      <w:bookmarkStart w:id="34448" w:name="_Toc398209956"/>
      <w:bookmarkStart w:id="34449" w:name="_Toc398210525"/>
      <w:bookmarkStart w:id="34450" w:name="_Toc398211039"/>
      <w:bookmarkStart w:id="34451" w:name="_Toc398219850"/>
      <w:bookmarkStart w:id="34452" w:name="_Toc398220225"/>
      <w:bookmarkStart w:id="34453" w:name="_Toc398220612"/>
      <w:bookmarkStart w:id="34454" w:name="_Toc398221690"/>
      <w:bookmarkStart w:id="34455" w:name="_Toc398222376"/>
      <w:bookmarkStart w:id="34456" w:name="_Toc398222688"/>
      <w:bookmarkStart w:id="34457" w:name="_Toc398223105"/>
      <w:bookmarkStart w:id="34458" w:name="_Toc398223484"/>
      <w:bookmarkStart w:id="34459" w:name="_Toc398223611"/>
      <w:bookmarkStart w:id="34460" w:name="_Toc398224419"/>
      <w:bookmarkStart w:id="34461" w:name="_Toc398225756"/>
      <w:bookmarkStart w:id="34462" w:name="_Toc398225881"/>
      <w:bookmarkStart w:id="34463" w:name="_Toc398281368"/>
      <w:bookmarkStart w:id="34464" w:name="_Toc398282227"/>
      <w:bookmarkStart w:id="34465" w:name="_Toc398284897"/>
      <w:bookmarkStart w:id="34466" w:name="_Toc398287366"/>
      <w:bookmarkStart w:id="34467" w:name="_Toc398289249"/>
      <w:bookmarkStart w:id="34468" w:name="_Toc398297246"/>
      <w:bookmarkStart w:id="34469" w:name="_Toc398298720"/>
      <w:bookmarkStart w:id="34470" w:name="_Toc398301318"/>
      <w:bookmarkStart w:id="34471" w:name="_Toc398302503"/>
      <w:bookmarkStart w:id="34472" w:name="_Toc398302666"/>
      <w:bookmarkStart w:id="34473" w:name="_Toc398549180"/>
      <w:bookmarkStart w:id="34474" w:name="_Toc398549430"/>
      <w:bookmarkStart w:id="34475" w:name="_Toc398555849"/>
      <w:bookmarkStart w:id="34476" w:name="_Toc398559053"/>
      <w:bookmarkStart w:id="34477" w:name="_Toc398563539"/>
      <w:bookmarkStart w:id="34478" w:name="_Toc398563672"/>
      <w:bookmarkStart w:id="34479" w:name="_Toc398564071"/>
      <w:bookmarkStart w:id="34480" w:name="_Toc398827409"/>
      <w:bookmarkStart w:id="34481" w:name="_Toc398827603"/>
      <w:bookmarkStart w:id="34482" w:name="s201"/>
      <w:bookmarkEnd w:id="34428"/>
      <w:bookmarkEnd w:id="34429"/>
      <w:r w:rsidRPr="008625DC">
        <w:rPr>
          <w:lang w:val="en-AU"/>
        </w:rPr>
        <w:t>Public enforcement</w:t>
      </w:r>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p>
    <w:bookmarkEnd w:id="34482"/>
    <w:p w14:paraId="6471F8BD" w14:textId="77777777" w:rsidR="003F4E5C" w:rsidRPr="008625DC" w:rsidRDefault="003F4E5C" w:rsidP="00047202">
      <w:pPr>
        <w:spacing w:after="120"/>
      </w:pPr>
      <w:r w:rsidRPr="008625DC">
        <w:t>In proceedings commenced by the ACCC, the Federal Court may impose various sanctions or grant various categories of relief in respect of a contravention of the competition laws, including:</w:t>
      </w:r>
    </w:p>
    <w:p w14:paraId="03604B66" w14:textId="25E5C5A9" w:rsidR="003F4E5C" w:rsidRPr="008625DC" w:rsidRDefault="003F4E5C" w:rsidP="003F4E5C">
      <w:pPr>
        <w:pStyle w:val="Bullet"/>
      </w:pPr>
      <w:r w:rsidRPr="008625DC">
        <w:t xml:space="preserve">in the case of cartel conduct, a term of imprisonment for up to 10 years on an individual who has knowingly participated in the contravention </w:t>
      </w:r>
      <w:r w:rsidR="006739CF" w:rsidRPr="008625DC">
        <w:t xml:space="preserve">(or a fine of up to </w:t>
      </w:r>
      <w:r w:rsidR="00864B11" w:rsidRPr="008625DC">
        <w:t>2</w:t>
      </w:r>
      <w:r w:rsidR="00047202" w:rsidRPr="008625DC">
        <w:t>,</w:t>
      </w:r>
      <w:r w:rsidR="00864B11" w:rsidRPr="008625DC">
        <w:t xml:space="preserve">000 penalty units, currently </w:t>
      </w:r>
      <w:r w:rsidR="006739CF" w:rsidRPr="008625DC">
        <w:t>$340,000, or both)</w:t>
      </w:r>
      <w:r w:rsidRPr="008625DC">
        <w:t xml:space="preserve"> and, in respect of a contravening corporation, a fine in an amount not exceeding the greater of $10</w:t>
      </w:r>
      <w:r w:rsidR="006739CF" w:rsidRPr="008625DC">
        <w:t> </w:t>
      </w:r>
      <w:r w:rsidRPr="008625DC">
        <w:t>million</w:t>
      </w:r>
      <w:r w:rsidR="006739CF" w:rsidRPr="008625DC">
        <w:t>, three</w:t>
      </w:r>
      <w:r w:rsidRPr="008625DC">
        <w:t xml:space="preserve"> times the gain from the contravention or, where gain cannot be readily ascertained, 10 per cent of the corporation</w:t>
      </w:r>
      <w:r w:rsidR="00C74E19" w:rsidRPr="008625DC">
        <w:t>’</w:t>
      </w:r>
      <w:r w:rsidRPr="008625DC">
        <w:t>s annual turnover;</w:t>
      </w:r>
    </w:p>
    <w:p w14:paraId="20392847" w14:textId="5F19442C" w:rsidR="003F4E5C" w:rsidRPr="008625DC" w:rsidRDefault="003F4E5C" w:rsidP="003F4E5C">
      <w:pPr>
        <w:pStyle w:val="Bullet"/>
      </w:pPr>
      <w:r w:rsidRPr="008625DC">
        <w:t xml:space="preserve">in the case of a contravention by a corporation of all other competition laws </w:t>
      </w:r>
      <w:r w:rsidR="006739CF" w:rsidRPr="008625DC">
        <w:t>(</w:t>
      </w:r>
      <w:r w:rsidRPr="008625DC">
        <w:t>except sections</w:t>
      </w:r>
      <w:r w:rsidR="00047202" w:rsidRPr="008625DC">
        <w:t> </w:t>
      </w:r>
      <w:r w:rsidRPr="008625DC">
        <w:t>45D</w:t>
      </w:r>
      <w:r w:rsidR="006739CF" w:rsidRPr="008625DC">
        <w:t xml:space="preserve">, 45DB, </w:t>
      </w:r>
      <w:r w:rsidRPr="008625DC">
        <w:t>45E</w:t>
      </w:r>
      <w:r w:rsidR="006739CF" w:rsidRPr="008625DC">
        <w:t>, or 45EA)</w:t>
      </w:r>
      <w:r w:rsidRPr="008625DC">
        <w:t>, a civil penalty in an amount not exceeding the greater of $10</w:t>
      </w:r>
      <w:r w:rsidR="006739CF" w:rsidRPr="008625DC">
        <w:t> </w:t>
      </w:r>
      <w:r w:rsidRPr="008625DC">
        <w:t>million</w:t>
      </w:r>
      <w:r w:rsidR="006739CF" w:rsidRPr="008625DC">
        <w:t>,</w:t>
      </w:r>
      <w:r w:rsidRPr="008625DC">
        <w:t xml:space="preserve"> </w:t>
      </w:r>
      <w:r w:rsidR="006739CF" w:rsidRPr="008625DC">
        <w:t>three</w:t>
      </w:r>
      <w:r w:rsidRPr="008625DC">
        <w:t xml:space="preserve"> times the gain from the contravention or, where gain cannot be readily ascertained, 10</w:t>
      </w:r>
      <w:r w:rsidR="00047202" w:rsidRPr="008625DC">
        <w:t> </w:t>
      </w:r>
      <w:r w:rsidRPr="008625DC">
        <w:t>per</w:t>
      </w:r>
      <w:r w:rsidR="00047202" w:rsidRPr="008625DC">
        <w:t> </w:t>
      </w:r>
      <w:r w:rsidRPr="008625DC">
        <w:t>cent of the corporation</w:t>
      </w:r>
      <w:r w:rsidR="00C74E19" w:rsidRPr="008625DC">
        <w:t>’</w:t>
      </w:r>
      <w:r w:rsidRPr="008625DC">
        <w:t>s annual turnover;</w:t>
      </w:r>
    </w:p>
    <w:p w14:paraId="4BCAE350" w14:textId="5BCFE0C4" w:rsidR="003F4E5C" w:rsidRPr="008625DC" w:rsidRDefault="003F4E5C" w:rsidP="003F4E5C">
      <w:pPr>
        <w:pStyle w:val="Bullet"/>
      </w:pPr>
      <w:r w:rsidRPr="008625DC">
        <w:t>in the case of a contravention by a corporation of sections 45D</w:t>
      </w:r>
      <w:r w:rsidR="006739CF" w:rsidRPr="008625DC">
        <w:t xml:space="preserve">, 45DB, </w:t>
      </w:r>
      <w:r w:rsidRPr="008625DC">
        <w:t xml:space="preserve">45E, </w:t>
      </w:r>
      <w:r w:rsidR="006739CF" w:rsidRPr="008625DC">
        <w:t>or 45EA</w:t>
      </w:r>
      <w:r w:rsidRPr="008625DC">
        <w:t>, a civil penalty not exceeding $750,000;</w:t>
      </w:r>
    </w:p>
    <w:p w14:paraId="417F64C1" w14:textId="77777777" w:rsidR="003F4E5C" w:rsidRPr="008625DC" w:rsidRDefault="003F4E5C" w:rsidP="003F4E5C">
      <w:pPr>
        <w:pStyle w:val="Bullet"/>
      </w:pPr>
      <w:r w:rsidRPr="008625DC">
        <w:t>an injunction to prevent the continuation of the contravening conduct;</w:t>
      </w:r>
    </w:p>
    <w:p w14:paraId="4F492125" w14:textId="388BA45B" w:rsidR="003F4E5C" w:rsidRPr="008625DC" w:rsidRDefault="003F4E5C" w:rsidP="003F4E5C">
      <w:pPr>
        <w:pStyle w:val="Bullet"/>
      </w:pPr>
      <w:r w:rsidRPr="008625DC">
        <w:t>a range of probationary and community service</w:t>
      </w:r>
      <w:r w:rsidR="00C74E19" w:rsidRPr="008625DC">
        <w:noBreakHyphen/>
      </w:r>
      <w:r w:rsidRPr="008625DC">
        <w:t>type orders;</w:t>
      </w:r>
    </w:p>
    <w:p w14:paraId="18BBA9F0" w14:textId="77777777" w:rsidR="006739CF" w:rsidRPr="008625DC" w:rsidRDefault="003F4E5C" w:rsidP="003F4E5C">
      <w:pPr>
        <w:pStyle w:val="Bullet"/>
      </w:pPr>
      <w:r w:rsidRPr="008625DC">
        <w:t xml:space="preserve">orders publicising the contravention; </w:t>
      </w:r>
    </w:p>
    <w:p w14:paraId="43896AE6" w14:textId="3BE0CE6B" w:rsidR="003F4E5C" w:rsidRPr="008625DC" w:rsidRDefault="006739CF" w:rsidP="003F4E5C">
      <w:pPr>
        <w:pStyle w:val="Bullet"/>
      </w:pPr>
      <w:r w:rsidRPr="008625DC">
        <w:t xml:space="preserve">orders for compensation on behalf of other identified persons; </w:t>
      </w:r>
      <w:r w:rsidR="003F4E5C" w:rsidRPr="008625DC">
        <w:t>and</w:t>
      </w:r>
    </w:p>
    <w:p w14:paraId="09D6C6F6" w14:textId="79F9A012" w:rsidR="003F4E5C" w:rsidRPr="008625DC" w:rsidRDefault="003F4E5C" w:rsidP="00047202">
      <w:pPr>
        <w:pStyle w:val="Bullet"/>
        <w:spacing w:after="240"/>
      </w:pPr>
      <w:r w:rsidRPr="008625DC">
        <w:t xml:space="preserve">in the case of </w:t>
      </w:r>
      <w:r w:rsidR="00216624" w:rsidRPr="008625DC">
        <w:t xml:space="preserve">a </w:t>
      </w:r>
      <w:r w:rsidRPr="008625DC">
        <w:t>merger that has been completed, an order that the acquiring corporation divests the business that was acquired.</w:t>
      </w:r>
    </w:p>
    <w:p w14:paraId="0F9B70D6" w14:textId="1390BE70" w:rsidR="003F4E5C" w:rsidRPr="008625DC" w:rsidRDefault="003F4E5C" w:rsidP="003F4E5C">
      <w:r w:rsidRPr="008625DC">
        <w:t>Only a few submissions address the adequacy of the sanctions and remedies that may be imposed for contraventions of the competition law. In general, there appears to be general approval of the severity of the sanctions.</w:t>
      </w:r>
    </w:p>
    <w:p w14:paraId="59446E53" w14:textId="50DB20EC" w:rsidR="003F4E5C" w:rsidRPr="008625DC" w:rsidRDefault="003F4E5C" w:rsidP="003F4E5C">
      <w:r w:rsidRPr="008625DC">
        <w:t>The ACCC state</w:t>
      </w:r>
      <w:r w:rsidR="00B349DF" w:rsidRPr="008625DC">
        <w:t>s</w:t>
      </w:r>
      <w:r w:rsidRPr="008625DC">
        <w:t xml:space="preserve"> that the current sanction for a corporation failing to comply with a section</w:t>
      </w:r>
      <w:r w:rsidR="00047202" w:rsidRPr="008625DC">
        <w:t> </w:t>
      </w:r>
      <w:r w:rsidRPr="008625DC">
        <w:t xml:space="preserve">155 notice </w:t>
      </w:r>
      <w:r w:rsidR="00B349DF" w:rsidRPr="008625DC">
        <w:t>i</w:t>
      </w:r>
      <w:r w:rsidRPr="008625DC">
        <w:t xml:space="preserve">s too low. The present sanction is 20 penalty units </w:t>
      </w:r>
      <w:r w:rsidR="00864B11" w:rsidRPr="008625DC">
        <w:t xml:space="preserve">for an individual (or 12 months </w:t>
      </w:r>
      <w:r w:rsidR="00864B11" w:rsidRPr="008625DC">
        <w:lastRenderedPageBreak/>
        <w:t xml:space="preserve">imprisonment, or both), </w:t>
      </w:r>
      <w:r w:rsidRPr="008625DC">
        <w:t xml:space="preserve">which, </w:t>
      </w:r>
      <w:r w:rsidR="00864B11" w:rsidRPr="008625DC">
        <w:t xml:space="preserve">when applied to </w:t>
      </w:r>
      <w:r w:rsidRPr="008625DC">
        <w:t>a corporation, is a fine of $17,000.</w:t>
      </w:r>
      <w:r w:rsidRPr="008625DC">
        <w:rPr>
          <w:rStyle w:val="FootnoteReference"/>
        </w:rPr>
        <w:footnoteReference w:id="346"/>
      </w:r>
      <w:r w:rsidRPr="008625DC">
        <w:t xml:space="preserve"> In contrast, a</w:t>
      </w:r>
      <w:r w:rsidR="00AA4806">
        <w:t> </w:t>
      </w:r>
      <w:r w:rsidR="00864B11" w:rsidRPr="008625DC">
        <w:t xml:space="preserve">person </w:t>
      </w:r>
      <w:r w:rsidRPr="008625DC">
        <w:t>failing to comply with a notice issued by the Australian Securities and Investments Commission faces a sanction of 100 penalty units</w:t>
      </w:r>
      <w:r w:rsidR="00864B11" w:rsidRPr="008625DC">
        <w:t xml:space="preserve"> or two years imprisonment, or both</w:t>
      </w:r>
      <w:r w:rsidRPr="008625DC">
        <w:t>,</w:t>
      </w:r>
      <w:r w:rsidRPr="008625DC">
        <w:rPr>
          <w:rStyle w:val="FootnoteReference"/>
        </w:rPr>
        <w:footnoteReference w:id="347"/>
      </w:r>
      <w:r w:rsidRPr="008625DC">
        <w:t xml:space="preserve"> which translates to a fine of $85,000</w:t>
      </w:r>
      <w:r w:rsidR="00864B11" w:rsidRPr="008625DC">
        <w:t xml:space="preserve"> for a corporation</w:t>
      </w:r>
      <w:r w:rsidRPr="008625DC">
        <w:t>. Given the import</w:t>
      </w:r>
      <w:r w:rsidR="00047202" w:rsidRPr="008625DC">
        <w:t>ance of compliance with section </w:t>
      </w:r>
      <w:r w:rsidRPr="008625DC">
        <w:t xml:space="preserve">155 notices to the administration of competition laws, the Panel agrees that the current sanction for a corporation failing to comply is inadequate. </w:t>
      </w:r>
    </w:p>
    <w:p w14:paraId="314942EA" w14:textId="0F9739CB" w:rsidR="003F4E5C" w:rsidRPr="008625DC" w:rsidRDefault="003F4E5C" w:rsidP="003F4E5C">
      <w:r w:rsidRPr="008625DC">
        <w:t>The Panel received some comments, particularly from AMMA (page 7), in relation to the adequacy of the pecuniary penalties for contravention of the secondary boycott provisions. The Panel has not heard sufficient argument on this issue to determine whether the current level of penalty is sufficient to achieve the objective of deterrence. The Panel invites further comment on this question.</w:t>
      </w:r>
    </w:p>
    <w:p w14:paraId="6298DFE6" w14:textId="56795363" w:rsidR="003F4E5C" w:rsidRPr="008625DC" w:rsidRDefault="003F4E5C" w:rsidP="003F4E5C">
      <w:r w:rsidRPr="008625DC">
        <w:t>A few submissions propose that a divestiture remedy should be available for contraventions of section 46 (in addition to mergers). Th</w:t>
      </w:r>
      <w:r w:rsidR="00B349DF" w:rsidRPr="008625DC">
        <w:t>is</w:t>
      </w:r>
      <w:r w:rsidRPr="008625DC">
        <w:t xml:space="preserve"> issue </w:t>
      </w:r>
      <w:r w:rsidR="00B349DF" w:rsidRPr="008625DC">
        <w:t>is</w:t>
      </w:r>
      <w:r w:rsidRPr="008625DC">
        <w:t xml:space="preserve"> discussed </w:t>
      </w:r>
      <w:r w:rsidR="00B349DF" w:rsidRPr="008625DC">
        <w:t>above</w:t>
      </w:r>
      <w:r w:rsidRPr="008625DC">
        <w:t xml:space="preserve"> in the context of section 46. The Panel does not support </w:t>
      </w:r>
      <w:r w:rsidR="00B349DF" w:rsidRPr="008625DC">
        <w:t>such a</w:t>
      </w:r>
      <w:r w:rsidRPr="008625DC">
        <w:t xml:space="preserve"> proposal. </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D07573" w:rsidRPr="008625DC" w14:paraId="227E36E9" w14:textId="77777777" w:rsidTr="0052543A">
        <w:tc>
          <w:tcPr>
            <w:tcW w:w="5000" w:type="pct"/>
            <w:shd w:val="clear" w:color="auto" w:fill="FFFFFF" w:themeFill="background1"/>
          </w:tcPr>
          <w:p w14:paraId="58442D8E" w14:textId="446D00ED" w:rsidR="00D07573" w:rsidRPr="008625DC" w:rsidRDefault="00216624" w:rsidP="0052543A">
            <w:pPr>
              <w:pStyle w:val="Keyfindingheading"/>
            </w:pPr>
            <w:r w:rsidRPr="008625DC">
              <w:t xml:space="preserve">The </w:t>
            </w:r>
            <w:r w:rsidR="00D07573" w:rsidRPr="008625DC">
              <w:t>Panel</w:t>
            </w:r>
            <w:r w:rsidR="00C74E19" w:rsidRPr="008625DC">
              <w:t>’</w:t>
            </w:r>
            <w:r w:rsidR="00D07573" w:rsidRPr="008625DC">
              <w:t>s view</w:t>
            </w:r>
          </w:p>
          <w:p w14:paraId="01A819CF" w14:textId="77777777" w:rsidR="003F4E5C" w:rsidRPr="008625DC" w:rsidRDefault="003F4E5C" w:rsidP="003F4E5C">
            <w:pPr>
              <w:pStyle w:val="Keyfindingtext"/>
            </w:pPr>
            <w:bookmarkStart w:id="34483" w:name="_Toc395012697"/>
            <w:bookmarkStart w:id="34484" w:name="_Toc395011691"/>
            <w:bookmarkStart w:id="34485" w:name="_Toc395013159"/>
            <w:bookmarkStart w:id="34486" w:name="_Toc395012161"/>
            <w:bookmarkStart w:id="34487" w:name="_Toc395014500"/>
            <w:bookmarkStart w:id="34488" w:name="_Toc395084843"/>
            <w:bookmarkStart w:id="34489" w:name="_Toc395085144"/>
            <w:bookmarkStart w:id="34490" w:name="_Toc395090610"/>
            <w:bookmarkStart w:id="34491" w:name="_Toc395093192"/>
            <w:bookmarkStart w:id="34492" w:name="_Toc395098102"/>
            <w:r w:rsidRPr="008625DC">
              <w:t>The current sanction for a corporation failing to comply with section 155 of the CCA is inadequate.</w:t>
            </w:r>
          </w:p>
          <w:p w14:paraId="3D37D8A0" w14:textId="3998F9EB" w:rsidR="00D07573" w:rsidRPr="008625DC" w:rsidRDefault="00482CA9" w:rsidP="00D84152">
            <w:pPr>
              <w:pStyle w:val="Keyfindingtext"/>
              <w:rPr>
                <w:b/>
              </w:rPr>
            </w:pPr>
            <w:bookmarkStart w:id="34493" w:name="_Toc395105287"/>
            <w:bookmarkStart w:id="34494" w:name="_Toc395106890"/>
            <w:bookmarkStart w:id="34495" w:name="_Toc395109548"/>
            <w:bookmarkStart w:id="34496" w:name="_Toc395112253"/>
            <w:bookmarkStart w:id="34497" w:name="_Toc395107395"/>
            <w:bookmarkStart w:id="34498" w:name="_Toc395108956"/>
            <w:bookmarkStart w:id="34499" w:name="_Toc395114196"/>
            <w:bookmarkStart w:id="34500" w:name="_Toc395116933"/>
            <w:bookmarkStart w:id="34501" w:name="_Toc395112870"/>
            <w:bookmarkStart w:id="34502" w:name="_Toc395115410"/>
            <w:bookmarkStart w:id="34503" w:name="_Toc395118562"/>
            <w:bookmarkStart w:id="34504" w:name="_Toc395624754"/>
            <w:bookmarkStart w:id="34505" w:name="_Toc395790105"/>
            <w:bookmarkStart w:id="34506" w:name="_Toc395800863"/>
            <w:r w:rsidRPr="008625DC">
              <w:rPr>
                <w:b/>
              </w:rPr>
              <w:t>Further comment is invited on whether the current sanctions for contravention of sections 45D</w:t>
            </w:r>
            <w:r w:rsidR="00D84152" w:rsidRPr="008625DC">
              <w:rPr>
                <w:b/>
              </w:rPr>
              <w:t>, 45DB, 45E, and 45EA</w:t>
            </w:r>
            <w:r w:rsidRPr="008625DC">
              <w:rPr>
                <w:b/>
              </w:rPr>
              <w:t xml:space="preserve"> are adequate.</w:t>
            </w:r>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bookmarkEnd w:id="34498"/>
            <w:bookmarkEnd w:id="34499"/>
            <w:bookmarkEnd w:id="34500"/>
            <w:bookmarkEnd w:id="34501"/>
            <w:bookmarkEnd w:id="34502"/>
            <w:bookmarkEnd w:id="34503"/>
            <w:bookmarkEnd w:id="34504"/>
            <w:bookmarkEnd w:id="34505"/>
            <w:bookmarkEnd w:id="34506"/>
          </w:p>
        </w:tc>
      </w:tr>
    </w:tbl>
    <w:p w14:paraId="73C6E740" w14:textId="44D8E3E6" w:rsidR="001674C8" w:rsidRPr="008625DC" w:rsidRDefault="003F4E5C" w:rsidP="00BD2EA4">
      <w:pPr>
        <w:pStyle w:val="Heading2"/>
        <w:ind w:left="851" w:hanging="851"/>
        <w:rPr>
          <w:lang w:val="en-AU"/>
        </w:rPr>
      </w:pPr>
      <w:bookmarkStart w:id="34507" w:name="_Toc397936713"/>
      <w:bookmarkStart w:id="34508" w:name="_Toc397936833"/>
      <w:bookmarkStart w:id="34509" w:name="_Toc397945989"/>
      <w:bookmarkStart w:id="34510" w:name="_Toc397947015"/>
      <w:bookmarkStart w:id="34511" w:name="_Toc397948134"/>
      <w:bookmarkStart w:id="34512" w:name="_Toc397958540"/>
      <w:bookmarkStart w:id="34513" w:name="_Toc397958782"/>
      <w:bookmarkStart w:id="34514" w:name="_Toc397959197"/>
      <w:bookmarkStart w:id="34515" w:name="_Toc397962264"/>
      <w:bookmarkStart w:id="34516" w:name="_Toc397963050"/>
      <w:bookmarkStart w:id="34517" w:name="_Toc397963416"/>
      <w:bookmarkStart w:id="34518" w:name="_Toc397965493"/>
      <w:bookmarkStart w:id="34519" w:name="_Toc398197431"/>
      <w:bookmarkStart w:id="34520" w:name="_Toc398200056"/>
      <w:bookmarkStart w:id="34521" w:name="_Toc398200322"/>
      <w:bookmarkStart w:id="34522" w:name="_Toc398201648"/>
      <w:bookmarkStart w:id="34523" w:name="_Toc398207253"/>
      <w:bookmarkStart w:id="34524" w:name="_Toc398209957"/>
      <w:bookmarkStart w:id="34525" w:name="_Toc398210526"/>
      <w:bookmarkStart w:id="34526" w:name="_Toc398211040"/>
      <w:bookmarkStart w:id="34527" w:name="_Toc398219851"/>
      <w:bookmarkStart w:id="34528" w:name="_Toc398220226"/>
      <w:bookmarkStart w:id="34529" w:name="_Toc398220613"/>
      <w:bookmarkStart w:id="34530" w:name="_Toc398221691"/>
      <w:bookmarkStart w:id="34531" w:name="_Toc398222377"/>
      <w:bookmarkStart w:id="34532" w:name="_Toc398222689"/>
      <w:bookmarkStart w:id="34533" w:name="_Toc398223106"/>
      <w:bookmarkStart w:id="34534" w:name="_Toc398223485"/>
      <w:bookmarkStart w:id="34535" w:name="_Toc398223612"/>
      <w:bookmarkStart w:id="34536" w:name="_Toc398224420"/>
      <w:bookmarkStart w:id="34537" w:name="_Toc398225757"/>
      <w:bookmarkStart w:id="34538" w:name="_Toc398225882"/>
      <w:bookmarkStart w:id="34539" w:name="_Toc398281369"/>
      <w:bookmarkStart w:id="34540" w:name="_Toc398282228"/>
      <w:bookmarkStart w:id="34541" w:name="_Toc398284898"/>
      <w:bookmarkStart w:id="34542" w:name="_Toc398287367"/>
      <w:bookmarkStart w:id="34543" w:name="_Toc398289250"/>
      <w:bookmarkStart w:id="34544" w:name="_Toc398297247"/>
      <w:bookmarkStart w:id="34545" w:name="_Toc398298721"/>
      <w:bookmarkStart w:id="34546" w:name="_Toc398301319"/>
      <w:bookmarkStart w:id="34547" w:name="_Toc398302504"/>
      <w:bookmarkStart w:id="34548" w:name="_Toc398302667"/>
      <w:bookmarkStart w:id="34549" w:name="_Toc398549181"/>
      <w:bookmarkStart w:id="34550" w:name="_Toc398549431"/>
      <w:bookmarkStart w:id="34551" w:name="_Toc398555850"/>
      <w:bookmarkStart w:id="34552" w:name="_Toc398559054"/>
      <w:bookmarkStart w:id="34553" w:name="_Toc398563540"/>
      <w:bookmarkStart w:id="34554" w:name="_Toc398563673"/>
      <w:bookmarkStart w:id="34555" w:name="_Toc398564072"/>
      <w:bookmarkStart w:id="34556" w:name="_Toc398827410"/>
      <w:bookmarkStart w:id="34557" w:name="_Toc398827604"/>
      <w:bookmarkStart w:id="34558" w:name="s202"/>
      <w:r w:rsidRPr="008625DC">
        <w:rPr>
          <w:lang w:val="en-AU"/>
        </w:rPr>
        <w:t>Private enforcement</w:t>
      </w:r>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p>
    <w:bookmarkEnd w:id="34558"/>
    <w:p w14:paraId="7D4C59F7" w14:textId="26BCC08A" w:rsidR="003F4E5C" w:rsidRPr="008625DC" w:rsidRDefault="003F4E5C" w:rsidP="003F4E5C">
      <w:r w:rsidRPr="008625DC">
        <w:t>Consumers or businesses harmed by a contravention of the competition law can seek relief from the Federal Court, most commonly damages (compensation) or injunctions to prevent and restrain the contravening conduct.</w:t>
      </w:r>
    </w:p>
    <w:p w14:paraId="75245017" w14:textId="3BEB395B" w:rsidR="003F4E5C" w:rsidRPr="008625DC" w:rsidRDefault="003F4E5C" w:rsidP="00047202">
      <w:pPr>
        <w:spacing w:after="120"/>
      </w:pPr>
      <w:r w:rsidRPr="008625DC">
        <w:t>The Panel received a number of submissions commenting on the difficulties confronting many consumers and small businesses that wish to bring private actions in the Federal Court in respect of competition law. Beaton</w:t>
      </w:r>
      <w:r w:rsidR="00C74E19" w:rsidRPr="008625DC">
        <w:noBreakHyphen/>
      </w:r>
      <w:r w:rsidRPr="008625DC">
        <w:t xml:space="preserve">Wells and Fisse argue that </w:t>
      </w:r>
      <w:r w:rsidR="00B349DF" w:rsidRPr="008625DC">
        <w:t>private parties face</w:t>
      </w:r>
      <w:r w:rsidRPr="008625DC">
        <w:t xml:space="preserve"> a range of difficulties in pursuing private action, including:</w:t>
      </w:r>
    </w:p>
    <w:p w14:paraId="0D2169D6" w14:textId="77777777" w:rsidR="003F4E5C" w:rsidRPr="008625DC" w:rsidRDefault="003F4E5C" w:rsidP="003F4E5C">
      <w:pPr>
        <w:pStyle w:val="Bullet"/>
        <w:tabs>
          <w:tab w:val="clear" w:pos="566"/>
          <w:tab w:val="num" w:pos="993"/>
        </w:tabs>
        <w:ind w:left="993" w:hanging="426"/>
        <w:rPr>
          <w:color w:val="595959" w:themeColor="text1" w:themeTint="A6"/>
        </w:rPr>
      </w:pPr>
      <w:r w:rsidRPr="008625DC">
        <w:rPr>
          <w:color w:val="595959" w:themeColor="text1" w:themeTint="A6"/>
        </w:rPr>
        <w:t xml:space="preserve">uncertainty as to when the limitations period commences; </w:t>
      </w:r>
    </w:p>
    <w:p w14:paraId="55E5E45F" w14:textId="77777777" w:rsidR="003F4E5C" w:rsidRPr="008625DC" w:rsidRDefault="003F4E5C" w:rsidP="003F4E5C">
      <w:pPr>
        <w:pStyle w:val="Bullet"/>
        <w:tabs>
          <w:tab w:val="clear" w:pos="566"/>
          <w:tab w:val="num" w:pos="993"/>
        </w:tabs>
        <w:ind w:left="993" w:hanging="426"/>
        <w:rPr>
          <w:color w:val="595959" w:themeColor="text1" w:themeTint="A6"/>
        </w:rPr>
      </w:pPr>
      <w:r w:rsidRPr="008625DC">
        <w:rPr>
          <w:color w:val="595959" w:themeColor="text1" w:themeTint="A6"/>
        </w:rPr>
        <w:t xml:space="preserve">difficulties in obtaining access to information generally and information from the ACCC; </w:t>
      </w:r>
    </w:p>
    <w:p w14:paraId="6F77021A" w14:textId="77777777" w:rsidR="003F4E5C" w:rsidRPr="008625DC" w:rsidRDefault="003F4E5C" w:rsidP="003F4E5C">
      <w:pPr>
        <w:pStyle w:val="Bullet"/>
        <w:tabs>
          <w:tab w:val="clear" w:pos="566"/>
          <w:tab w:val="num" w:pos="993"/>
        </w:tabs>
        <w:ind w:left="993" w:hanging="426"/>
        <w:rPr>
          <w:color w:val="595959" w:themeColor="text1" w:themeTint="A6"/>
        </w:rPr>
      </w:pPr>
      <w:r w:rsidRPr="008625DC">
        <w:rPr>
          <w:color w:val="595959" w:themeColor="text1" w:themeTint="A6"/>
        </w:rPr>
        <w:t xml:space="preserve">the apparent inability to rely on admissions made in ACCC proceedings, owing to the uncertain scope of s 83 of the CCA; </w:t>
      </w:r>
    </w:p>
    <w:p w14:paraId="4398875F" w14:textId="77777777" w:rsidR="003F4E5C" w:rsidRPr="008625DC" w:rsidRDefault="003F4E5C" w:rsidP="003F4E5C">
      <w:pPr>
        <w:pStyle w:val="Bullet"/>
        <w:tabs>
          <w:tab w:val="clear" w:pos="566"/>
          <w:tab w:val="num" w:pos="993"/>
        </w:tabs>
        <w:ind w:left="993" w:hanging="426"/>
        <w:rPr>
          <w:color w:val="595959" w:themeColor="text1" w:themeTint="A6"/>
        </w:rPr>
      </w:pPr>
      <w:r w:rsidRPr="008625DC">
        <w:rPr>
          <w:color w:val="595959" w:themeColor="text1" w:themeTint="A6"/>
        </w:rPr>
        <w:t>challenges in proving and quantifying loss; and</w:t>
      </w:r>
    </w:p>
    <w:p w14:paraId="4D8E1EF4" w14:textId="15879A57" w:rsidR="003F4E5C" w:rsidRPr="008625DC" w:rsidRDefault="003F4E5C" w:rsidP="003F4E5C">
      <w:pPr>
        <w:pStyle w:val="Bullet"/>
        <w:tabs>
          <w:tab w:val="clear" w:pos="566"/>
          <w:tab w:val="num" w:pos="993"/>
        </w:tabs>
        <w:spacing w:after="240"/>
        <w:ind w:left="993" w:hanging="426"/>
      </w:pPr>
      <w:r w:rsidRPr="008625DC">
        <w:rPr>
          <w:color w:val="595959" w:themeColor="text1" w:themeTint="A6"/>
        </w:rPr>
        <w:t xml:space="preserve">requirements imposed by s 5 of the CCA to seek ministerial consent in relation to proceedings involving extraterritorial conduct. (pages </w:t>
      </w:r>
      <w:r w:rsidR="004B76D4" w:rsidRPr="008625DC">
        <w:rPr>
          <w:color w:val="595959" w:themeColor="text1" w:themeTint="A6"/>
        </w:rPr>
        <w:t>29-30</w:t>
      </w:r>
      <w:r w:rsidRPr="008625DC">
        <w:rPr>
          <w:color w:val="595959" w:themeColor="text1" w:themeTint="A6"/>
        </w:rPr>
        <w:t>)</w:t>
      </w:r>
    </w:p>
    <w:p w14:paraId="60464F81" w14:textId="5B9E7A6F" w:rsidR="003F4E5C" w:rsidRPr="008625DC" w:rsidRDefault="003F4E5C" w:rsidP="003F4E5C">
      <w:r w:rsidRPr="008625DC">
        <w:t xml:space="preserve">It is also clear to the Panel from submissions and consultations with small business that there are significant barriers to the ability of small business to take private action to enforce the competition </w:t>
      </w:r>
      <w:r w:rsidRPr="008625DC">
        <w:lastRenderedPageBreak/>
        <w:t>laws. For many small businesses a private action would be beyond their means. In some cases a small business might not wish to bring a proceeding for fear of damaging a necessary trading relationship.</w:t>
      </w:r>
    </w:p>
    <w:p w14:paraId="0464F20A" w14:textId="77777777" w:rsidR="003F4E5C" w:rsidRPr="008625DC" w:rsidRDefault="003F4E5C" w:rsidP="003F4E5C">
      <w:r w:rsidRPr="008625DC">
        <w:t>These issues are considered below.</w:t>
      </w:r>
    </w:p>
    <w:p w14:paraId="709533C0" w14:textId="1EF86ED9" w:rsidR="00912ED5" w:rsidRPr="008625DC" w:rsidRDefault="003F4E5C" w:rsidP="00FB084C">
      <w:pPr>
        <w:pStyle w:val="Heading3"/>
      </w:pPr>
      <w:bookmarkStart w:id="34559" w:name="_Toc392149021"/>
      <w:bookmarkStart w:id="34560" w:name="_Toc392159471"/>
      <w:bookmarkStart w:id="34561" w:name="_Toc392162236"/>
      <w:bookmarkStart w:id="34562" w:name="_Toc392163912"/>
      <w:bookmarkStart w:id="34563" w:name="_Toc392168947"/>
      <w:bookmarkStart w:id="34564" w:name="_Toc392169879"/>
      <w:bookmarkStart w:id="34565" w:name="_Toc392170573"/>
      <w:bookmarkStart w:id="34566" w:name="_Toc392170747"/>
      <w:bookmarkStart w:id="34567" w:name="_Toc392171162"/>
      <w:bookmarkStart w:id="34568" w:name="_Toc392172751"/>
      <w:bookmarkStart w:id="34569" w:name="_Toc392173114"/>
      <w:bookmarkStart w:id="34570" w:name="_Toc392173290"/>
      <w:bookmarkStart w:id="34571" w:name="_Toc392238279"/>
      <w:bookmarkStart w:id="34572" w:name="_Toc392247581"/>
      <w:bookmarkStart w:id="34573" w:name="_Toc392247856"/>
      <w:bookmarkStart w:id="34574" w:name="_Toc392248528"/>
      <w:bookmarkStart w:id="34575" w:name="_Toc392251061"/>
      <w:bookmarkStart w:id="34576" w:name="_Toc392253685"/>
      <w:bookmarkStart w:id="34577" w:name="_Toc392253862"/>
      <w:bookmarkStart w:id="34578" w:name="_Toc392255453"/>
      <w:bookmarkStart w:id="34579" w:name="_Toc392256248"/>
      <w:bookmarkStart w:id="34580" w:name="_Toc392257443"/>
      <w:bookmarkStart w:id="34581" w:name="_Toc392498460"/>
      <w:bookmarkStart w:id="34582" w:name="_Toc392500454"/>
      <w:bookmarkStart w:id="34583" w:name="_Toc392513268"/>
      <w:bookmarkStart w:id="34584" w:name="_Toc392514181"/>
      <w:bookmarkStart w:id="34585" w:name="_Toc392515368"/>
      <w:bookmarkStart w:id="34586" w:name="_Toc392516467"/>
      <w:bookmarkStart w:id="34587" w:name="_Toc392517296"/>
      <w:bookmarkStart w:id="34588" w:name="_Toc392517215"/>
      <w:bookmarkStart w:id="34589" w:name="_Toc392517563"/>
      <w:bookmarkStart w:id="34590" w:name="_Toc392517717"/>
      <w:bookmarkStart w:id="34591" w:name="_Toc392517797"/>
      <w:bookmarkStart w:id="34592" w:name="_Toc392684997"/>
      <w:bookmarkStart w:id="34593" w:name="_Toc392685087"/>
      <w:bookmarkStart w:id="34594" w:name="_Toc392687250"/>
      <w:bookmarkStart w:id="34595" w:name="_Toc392688418"/>
      <w:bookmarkStart w:id="34596" w:name="_Toc392689418"/>
      <w:bookmarkStart w:id="34597" w:name="_Toc392690202"/>
      <w:bookmarkStart w:id="34598" w:name="_Toc392843425"/>
      <w:bookmarkStart w:id="34599" w:name="_Toc392853059"/>
      <w:bookmarkStart w:id="34600" w:name="_Toc392859816"/>
      <w:bookmarkStart w:id="34601" w:name="_Toc392860704"/>
      <w:bookmarkStart w:id="34602" w:name="_Toc392861474"/>
      <w:bookmarkStart w:id="34603" w:name="_Toc393203431"/>
      <w:bookmarkStart w:id="34604" w:name="_Toc393207211"/>
      <w:bookmarkStart w:id="34605" w:name="_Toc393207302"/>
      <w:bookmarkStart w:id="34606" w:name="_Toc393208075"/>
      <w:bookmarkStart w:id="34607" w:name="_Toc393208173"/>
      <w:bookmarkStart w:id="34608" w:name="_Toc393208262"/>
      <w:bookmarkStart w:id="34609" w:name="_Toc393208351"/>
      <w:bookmarkStart w:id="34610" w:name="_Toc393209675"/>
      <w:bookmarkStart w:id="34611" w:name="_Toc393276038"/>
      <w:bookmarkStart w:id="34612" w:name="_Toc393278940"/>
      <w:bookmarkStart w:id="34613" w:name="_Toc393289825"/>
      <w:bookmarkStart w:id="34614" w:name="_Toc393289920"/>
      <w:bookmarkStart w:id="34615" w:name="_Toc393292305"/>
      <w:bookmarkStart w:id="34616" w:name="_Toc393293927"/>
      <w:bookmarkStart w:id="34617" w:name="_Toc393294946"/>
      <w:bookmarkStart w:id="34618" w:name="_Toc393295251"/>
      <w:bookmarkStart w:id="34619" w:name="_Toc393296242"/>
      <w:bookmarkStart w:id="34620" w:name="_Toc393363180"/>
      <w:bookmarkStart w:id="34621" w:name="_Toc393372237"/>
      <w:bookmarkStart w:id="34622" w:name="_Toc393373331"/>
      <w:bookmarkStart w:id="34623" w:name="_Toc393374439"/>
      <w:bookmarkStart w:id="34624" w:name="_Toc393379209"/>
      <w:bookmarkStart w:id="34625" w:name="_Toc393379821"/>
      <w:bookmarkStart w:id="34626" w:name="_Toc393379917"/>
      <w:bookmarkStart w:id="34627" w:name="_Toc393879182"/>
      <w:bookmarkStart w:id="34628" w:name="_Toc393879413"/>
      <w:r w:rsidRPr="008625DC">
        <w:t>Section 83 of the CCA</w:t>
      </w:r>
    </w:p>
    <w:p w14:paraId="065FF706" w14:textId="42D621CE" w:rsidR="003F4E5C" w:rsidRPr="008625DC" w:rsidRDefault="003F4E5C" w:rsidP="003F4E5C">
      <w:r w:rsidRPr="008625DC">
        <w:t xml:space="preserve">The CCA does provide one mechanism intended to reduce the costs associated with private enforcement proceedings. Section 83 of the CCA is intended to facilitate private actions by enabling findings of fact made against a corporation in one proceeding (typically a proceeding brought by the ACCC) to be used as prima facie evidence against the corporation in another proceeding (typically a proceeding brought by a private litigant). </w:t>
      </w:r>
    </w:p>
    <w:p w14:paraId="2A944286" w14:textId="30895182" w:rsidR="003F4E5C" w:rsidRPr="008625DC" w:rsidRDefault="003F4E5C" w:rsidP="003F4E5C">
      <w:r w:rsidRPr="008625DC">
        <w:t>However, a significant potential deficiency has emerged in respect of the scope of section 83. Many ACCC proceedings are resolved by the corporate defendant making admissions of fact that establish the contravention, but it is uncertain whether section 83 applies to such admissions. A number of decisions of the Federal Court suggest that section 83 is confined to findings of fact made by the court after a contested hearing.</w:t>
      </w:r>
      <w:r w:rsidRPr="008625DC">
        <w:rPr>
          <w:rStyle w:val="FootnoteReference"/>
        </w:rPr>
        <w:footnoteReference w:id="348"/>
      </w:r>
    </w:p>
    <w:p w14:paraId="14C8E201" w14:textId="03AF6A29" w:rsidR="003F4E5C" w:rsidRPr="008625DC" w:rsidRDefault="003F4E5C" w:rsidP="003F4E5C">
      <w:r w:rsidRPr="008625DC">
        <w:t>The effectiveness of section 83 as a means of reducing the costs of private actions would be enhanced if the section were amended to apply to admissions of fact made by a corporation in another proceeding, in addition to findings of fact.</w:t>
      </w:r>
    </w:p>
    <w:p w14:paraId="224DE98C" w14:textId="589FB301" w:rsidR="00950210" w:rsidRPr="008625DC" w:rsidRDefault="00851F44" w:rsidP="00FB084C">
      <w:pPr>
        <w:pStyle w:val="Heading3"/>
      </w:pPr>
      <w:r w:rsidRPr="008625DC">
        <w:t>C</w:t>
      </w:r>
      <w:r w:rsidR="003F4E5C" w:rsidRPr="008625DC">
        <w:t>ost of litigation and access to justice</w:t>
      </w:r>
    </w:p>
    <w:p w14:paraId="1A6ACCDF" w14:textId="0F7DB413" w:rsidR="003F4E5C" w:rsidRPr="008625DC" w:rsidRDefault="003F4E5C" w:rsidP="003F4E5C">
      <w:r w:rsidRPr="008625DC">
        <w:t xml:space="preserve">Smaller businesses frequently seek assistance from the ACCC in respect of competition law concerns. The ACCC plays a very important role in seeking to enforce the law on behalf of businesses that are unable to do so themselves. Nevertheless, the ACCC is </w:t>
      </w:r>
      <w:r w:rsidR="00B349DF" w:rsidRPr="008625DC">
        <w:t>un</w:t>
      </w:r>
      <w:r w:rsidRPr="008625DC">
        <w:t xml:space="preserve">able to take proceedings in respect of all complaints brought to it. Understandably, it seeks to prioritise the cases that it will pursue within its budgetary constraints. This can lead to some dissatisfaction among small businesses when the ACCC does not pursue their complaints. In part, this is due to the absence of an effective alternative option they can pursue themselves. </w:t>
      </w:r>
    </w:p>
    <w:p w14:paraId="0E423D57" w14:textId="5EAE5881" w:rsidR="003F4E5C" w:rsidRPr="008625DC" w:rsidRDefault="003F4E5C" w:rsidP="003F4E5C">
      <w:r w:rsidRPr="008625DC">
        <w:t>In general, the dispute resolution processes currently available to smaller businesses for competition law</w:t>
      </w:r>
      <w:r w:rsidR="00C74E19" w:rsidRPr="008625DC">
        <w:noBreakHyphen/>
      </w:r>
      <w:r w:rsidRPr="008625DC">
        <w:t>related disputes do not meet their expectations. The Panel has sympathy with their frustrations and considers that development of alternative dispute resolution processes could go some way to addressing small business concerns with the competition landscape they operate in daily.</w:t>
      </w:r>
    </w:p>
    <w:p w14:paraId="1E37DA2C" w14:textId="028FBB7B" w:rsidR="003F4E5C" w:rsidRPr="008625DC" w:rsidRDefault="003F4E5C" w:rsidP="00D7380F">
      <w:pPr>
        <w:spacing w:after="120"/>
      </w:pPr>
      <w:r w:rsidRPr="008625DC">
        <w:t xml:space="preserve">A number of possible alternative dispute resolution options </w:t>
      </w:r>
      <w:r w:rsidR="00B349DF" w:rsidRPr="008625DC">
        <w:t>are</w:t>
      </w:r>
      <w:r w:rsidRPr="008625DC">
        <w:t xml:space="preserve"> put forward by small business. The Office of the Small Business Commissioner states:</w:t>
      </w:r>
    </w:p>
    <w:p w14:paraId="5FB979DD" w14:textId="77777777" w:rsidR="003F4E5C" w:rsidRPr="008625DC" w:rsidRDefault="003F4E5C" w:rsidP="003F4E5C">
      <w:pPr>
        <w:pStyle w:val="Quotes"/>
      </w:pPr>
      <w:r w:rsidRPr="008625DC">
        <w:t xml:space="preserve">Access to justice is another key component of a competitive marketplace. A small business focuses on plying its trade or profession. Disputes will arise from time to time, but small businesses will often not have the skills and resources on hand to deal with these incidents that arise in the course of business but are not a part of the </w:t>
      </w:r>
      <w:r w:rsidRPr="008625DC">
        <w:rPr>
          <w:i/>
        </w:rPr>
        <w:t>ordinary</w:t>
      </w:r>
      <w:r w:rsidRPr="008625DC">
        <w:t xml:space="preserve"> course of that business. These types of business disruption are not easily catered for by small business and, depending on the particular dispute, can impact small business disproportionately, particularly where there is unequal bargaining power. (page 4)</w:t>
      </w:r>
    </w:p>
    <w:p w14:paraId="6984EFBF" w14:textId="67AD906C" w:rsidR="003F4E5C" w:rsidRPr="008625DC" w:rsidRDefault="003F4E5C" w:rsidP="003F4E5C">
      <w:r w:rsidRPr="008625DC">
        <w:lastRenderedPageBreak/>
        <w:t xml:space="preserve">The Australian Chamber of Commerce and Industry considers that </w:t>
      </w:r>
      <w:r w:rsidR="00C74E19" w:rsidRPr="008625DC">
        <w:t>‘</w:t>
      </w:r>
      <w:r w:rsidRPr="008625DC">
        <w:t>alternative dispute resolution services that provide quality information quickly, informally and at low cost is essential to improving both competition and productivity for small and medium businesses</w:t>
      </w:r>
      <w:r w:rsidR="00C74E19" w:rsidRPr="008625DC">
        <w:t>’</w:t>
      </w:r>
      <w:r w:rsidR="007505C8" w:rsidRPr="008625DC">
        <w:t xml:space="preserve"> (submission, page 13)</w:t>
      </w:r>
      <w:r w:rsidRPr="008625DC">
        <w:t xml:space="preserve">. </w:t>
      </w:r>
    </w:p>
    <w:p w14:paraId="2BEE51C6" w14:textId="45DB932A" w:rsidR="003F4E5C" w:rsidRPr="008625DC" w:rsidRDefault="003F4E5C" w:rsidP="003F4E5C">
      <w:r w:rsidRPr="008625DC">
        <w:t xml:space="preserve">The Australian Small Business Commissioner is </w:t>
      </w:r>
      <w:r w:rsidR="00F30E21" w:rsidRPr="008625DC">
        <w:t xml:space="preserve">an Australian </w:t>
      </w:r>
      <w:r w:rsidRPr="008625DC">
        <w:t>Government initiative designed to act as an advocate for small businesses. However, the Australian Small Business Commissioner does not directly provide mediation or arbitration services.</w:t>
      </w:r>
    </w:p>
    <w:p w14:paraId="70C3D52B" w14:textId="1788E0D5" w:rsidR="003F4E5C" w:rsidRPr="008625DC" w:rsidRDefault="003F4E5C" w:rsidP="003F4E5C">
      <w:r w:rsidRPr="008625DC">
        <w:t xml:space="preserve">The Panel notes that some States and Territories have introduced their own small business commissioners, which can provide dispute resolution services. </w:t>
      </w:r>
    </w:p>
    <w:p w14:paraId="23D5D453" w14:textId="4583EE36" w:rsidR="003F4E5C" w:rsidRPr="008625DC" w:rsidRDefault="003F4E5C" w:rsidP="003F4E5C">
      <w:r w:rsidRPr="008625DC">
        <w:t>Both the South Australian Small Business Commissioner and the NSW Small Business Commissioner have some capacity to consider complaints falling within the remit of the CCA</w:t>
      </w:r>
      <w:r w:rsidR="00215FC5" w:rsidRPr="008625DC">
        <w:t>. T</w:t>
      </w:r>
      <w:r w:rsidRPr="008625DC">
        <w:t xml:space="preserve">he South Australian Small Business Commissioner is able to assist with businesses that are treated unfairly in their commercial dealings with other businesses in the marketplace and </w:t>
      </w:r>
      <w:r w:rsidR="00B349DF" w:rsidRPr="008625DC">
        <w:t xml:space="preserve">in </w:t>
      </w:r>
      <w:r w:rsidRPr="008625DC">
        <w:t>franchising disputes</w:t>
      </w:r>
      <w:r w:rsidR="00410D41" w:rsidRPr="008625DC">
        <w:t>.</w:t>
      </w:r>
      <w:r w:rsidR="00410D41" w:rsidRPr="008625DC">
        <w:rPr>
          <w:rStyle w:val="FootnoteReference"/>
        </w:rPr>
        <w:footnoteReference w:id="349"/>
      </w:r>
      <w:r w:rsidR="00410D41" w:rsidRPr="008625DC">
        <w:t xml:space="preserve"> T</w:t>
      </w:r>
      <w:r w:rsidRPr="008625DC">
        <w:t xml:space="preserve">he NSW Small Business Commissioner lists a range of disputes that can be considered through its mediation service including </w:t>
      </w:r>
      <w:r w:rsidR="00216624" w:rsidRPr="008625DC">
        <w:t xml:space="preserve">those involving </w:t>
      </w:r>
      <w:r w:rsidRPr="008625DC">
        <w:t>suppliers, wholesalers and purchasers, service providers, franchises and unfair contracts</w:t>
      </w:r>
      <w:r w:rsidR="00410D41" w:rsidRPr="008625DC">
        <w:t>.</w:t>
      </w:r>
      <w:r w:rsidR="007505C8" w:rsidRPr="008625DC">
        <w:rPr>
          <w:rStyle w:val="FootnoteReference"/>
        </w:rPr>
        <w:footnoteReference w:id="350"/>
      </w:r>
      <w:r w:rsidR="00410D41" w:rsidRPr="008625DC">
        <w:t xml:space="preserve"> </w:t>
      </w:r>
      <w:r w:rsidRPr="008625DC">
        <w:t xml:space="preserve">The Western Australian Small Business Development Corporation states </w:t>
      </w:r>
      <w:r w:rsidR="007505C8" w:rsidRPr="008625DC">
        <w:t xml:space="preserve">(page 6) </w:t>
      </w:r>
      <w:r w:rsidRPr="008625DC">
        <w:t>that it provides Western Australian small businesses with access to speedy, low</w:t>
      </w:r>
      <w:r w:rsidR="00C74E19" w:rsidRPr="008625DC">
        <w:noBreakHyphen/>
      </w:r>
      <w:r w:rsidRPr="008625DC">
        <w:t>cost, non</w:t>
      </w:r>
      <w:r w:rsidR="00C74E19" w:rsidRPr="008625DC">
        <w:noBreakHyphen/>
      </w:r>
      <w:r w:rsidRPr="008625DC">
        <w:t xml:space="preserve">litigious process to resolve disputes with other businesses. </w:t>
      </w:r>
    </w:p>
    <w:p w14:paraId="5D3F37D0" w14:textId="726FF654" w:rsidR="003F4E5C" w:rsidRPr="008625DC" w:rsidRDefault="003F4E5C" w:rsidP="003F4E5C">
      <w:r w:rsidRPr="008625DC">
        <w:t>These services are in addition to any court or tribunal</w:t>
      </w:r>
      <w:r w:rsidR="00C74E19" w:rsidRPr="008625DC">
        <w:noBreakHyphen/>
      </w:r>
      <w:r w:rsidRPr="008625DC">
        <w:t xml:space="preserve">based dispute resolution services, which are often available for consumer law matters. </w:t>
      </w:r>
    </w:p>
    <w:p w14:paraId="5D4D0139" w14:textId="77777777" w:rsidR="003F4E5C" w:rsidRPr="008625DC" w:rsidRDefault="003F4E5C" w:rsidP="003F4E5C">
      <w:r w:rsidRPr="008625DC">
        <w:t>In addition, dispute resolution processes are available under industry codes and through industry ombudsmen, for example, the Telecommunications Industry Ombudsman.</w:t>
      </w:r>
    </w:p>
    <w:p w14:paraId="6E34DFAA" w14:textId="3288EC14" w:rsidR="003F4E5C" w:rsidRPr="008625DC" w:rsidRDefault="003F4E5C" w:rsidP="002A5BD6">
      <w:r w:rsidRPr="008625DC">
        <w:t xml:space="preserve">While </w:t>
      </w:r>
      <w:r w:rsidR="00A86A1F" w:rsidRPr="008625DC">
        <w:t>some</w:t>
      </w:r>
      <w:r w:rsidRPr="008625DC">
        <w:t xml:space="preserve"> submissions argue </w:t>
      </w:r>
      <w:r w:rsidR="00C74E19" w:rsidRPr="008625DC">
        <w:t>‘</w:t>
      </w:r>
      <w:r w:rsidRPr="008625DC">
        <w:t>no costs</w:t>
      </w:r>
      <w:r w:rsidR="00C74E19" w:rsidRPr="008625DC">
        <w:t>’</w:t>
      </w:r>
      <w:r w:rsidRPr="008625DC">
        <w:t xml:space="preserve"> orders for small businesses would </w:t>
      </w:r>
      <w:r w:rsidR="00A86A1F" w:rsidRPr="008625DC">
        <w:t>be of assistance</w:t>
      </w:r>
      <w:r w:rsidR="00523682" w:rsidRPr="008625DC">
        <w:t>,</w:t>
      </w:r>
      <w:r w:rsidR="00A86A1F" w:rsidRPr="008625DC">
        <w:rPr>
          <w:rStyle w:val="FootnoteReference"/>
        </w:rPr>
        <w:footnoteReference w:id="351"/>
      </w:r>
      <w:r w:rsidRPr="008625DC">
        <w:t xml:space="preserve"> such changes could have unintended consequences </w:t>
      </w:r>
      <w:r w:rsidR="00216624" w:rsidRPr="008625DC">
        <w:t>—</w:t>
      </w:r>
      <w:r w:rsidR="00B349DF" w:rsidRPr="008625DC">
        <w:t xml:space="preserve"> </w:t>
      </w:r>
      <w:r w:rsidRPr="008625DC">
        <w:t>for example, encouraging frivolous or vexatious actions.</w:t>
      </w:r>
    </w:p>
    <w:p w14:paraId="7D75758A" w14:textId="0FDABC23" w:rsidR="003F4E5C" w:rsidRPr="008625DC" w:rsidRDefault="003F4E5C" w:rsidP="002A5BD6">
      <w:r w:rsidRPr="008625DC">
        <w:t xml:space="preserve">The Panel notes that the </w:t>
      </w:r>
      <w:r w:rsidR="00216624" w:rsidRPr="008625DC">
        <w:t>PC</w:t>
      </w:r>
      <w:r w:rsidR="00C74E19" w:rsidRPr="008625DC">
        <w:t>’</w:t>
      </w:r>
      <w:r w:rsidR="00216624" w:rsidRPr="008625DC">
        <w:t>s</w:t>
      </w:r>
      <w:r w:rsidRPr="008625DC">
        <w:t xml:space="preserve"> Access to Justice Arrangements </w:t>
      </w:r>
      <w:r w:rsidR="009A0672" w:rsidRPr="008625DC">
        <w:t xml:space="preserve">inquiry </w:t>
      </w:r>
      <w:r w:rsidRPr="008625DC">
        <w:t>is ongoing,</w:t>
      </w:r>
      <w:r w:rsidR="007505C8" w:rsidRPr="008625DC">
        <w:t xml:space="preserve"> and</w:t>
      </w:r>
      <w:r w:rsidRPr="008625DC">
        <w:t xml:space="preserve"> the proposal for a Small Business and Family Enterprise Ombudsman is in the process of being implemented, along with the proposal to extend unfair contract terms </w:t>
      </w:r>
      <w:r w:rsidR="009A0672" w:rsidRPr="008625DC">
        <w:t>laws</w:t>
      </w:r>
      <w:r w:rsidRPr="008625DC">
        <w:t xml:space="preserve"> to small business contracts.</w:t>
      </w:r>
    </w:p>
    <w:p w14:paraId="1E2B27D8" w14:textId="725CDB54" w:rsidR="003F4E5C" w:rsidRPr="008625DC" w:rsidRDefault="003F4E5C" w:rsidP="002A5BD6">
      <w:r w:rsidRPr="008625DC">
        <w:t>Against that background, the Panel has not made specific recommendations around the nature of any new dispute resolution framework. It considers, however, that the ACCC should focus upon its response to small business complaint</w:t>
      </w:r>
      <w:r w:rsidR="00F96079" w:rsidRPr="008625DC">
        <w:t xml:space="preserve">s concerning competition laws. </w:t>
      </w:r>
      <w:r w:rsidRPr="008625DC">
        <w:t>If the ACCC determines that it is unable to pursue a particular complaint on behalf of a small business, it is important that the ACCC communicate clearly and promptly its reasons for not acting and direct the business to available dispute resolution procedures.</w:t>
      </w:r>
    </w:p>
    <w:p w14:paraId="78A454EB" w14:textId="4A413F68" w:rsidR="003F4E5C" w:rsidRPr="008625DC" w:rsidRDefault="003F4E5C" w:rsidP="002A5BD6">
      <w:r w:rsidRPr="008625DC">
        <w:t xml:space="preserve">The Panel </w:t>
      </w:r>
      <w:r w:rsidR="00FE4735" w:rsidRPr="008625DC">
        <w:t>seeks</w:t>
      </w:r>
      <w:r w:rsidRPr="008625DC">
        <w:t xml:space="preserve"> views on whether there should be a specific low</w:t>
      </w:r>
      <w:r w:rsidR="00C74E19" w:rsidRPr="008625DC">
        <w:noBreakHyphen/>
      </w:r>
      <w:r w:rsidRPr="008625DC">
        <w:t>cost dispute resolution scheme dealing with matters covered by the competition laws.</w:t>
      </w:r>
    </w:p>
    <w:p w14:paraId="5E010085" w14:textId="01A30269" w:rsidR="00F149D1" w:rsidRPr="008625DC" w:rsidRDefault="003F4E5C" w:rsidP="00FB084C">
      <w:pPr>
        <w:pStyle w:val="Heading3"/>
      </w:pPr>
      <w:r w:rsidRPr="008625DC">
        <w:lastRenderedPageBreak/>
        <w:t>Private actions involving oversea</w:t>
      </w:r>
      <w:r w:rsidR="00215FC5" w:rsidRPr="008625DC">
        <w:t>s</w:t>
      </w:r>
      <w:r w:rsidRPr="008625DC">
        <w:t xml:space="preserve"> conduct</w:t>
      </w:r>
    </w:p>
    <w:p w14:paraId="3B1347E9" w14:textId="5002D8F8" w:rsidR="003F4E5C" w:rsidRPr="008625DC" w:rsidRDefault="003F4E5C" w:rsidP="002A5BD6">
      <w:r w:rsidRPr="008625DC">
        <w:t>Conduct that contravenes Australia</w:t>
      </w:r>
      <w:r w:rsidR="00C74E19" w:rsidRPr="008625DC">
        <w:t>’</w:t>
      </w:r>
      <w:r w:rsidRPr="008625DC">
        <w:t>s competition law may take place overseas. From time to time multinational corporations have entered into cartel arrangements that apply to many parts of the world, including Australia. Recent examples that have been the subject of ACCC proceedings include international cartels concerning vitamins, international air freight and the supply of marine hoses</w:t>
      </w:r>
      <w:r w:rsidR="00C74E19" w:rsidRPr="008625DC">
        <w:t xml:space="preserve">. </w:t>
      </w:r>
    </w:p>
    <w:p w14:paraId="6DBA7DA6" w14:textId="77777777" w:rsidR="003F4E5C" w:rsidRPr="008625DC" w:rsidRDefault="003F4E5C" w:rsidP="002A5BD6">
      <w:r w:rsidRPr="008625DC">
        <w:t xml:space="preserve">Currently, there are two regulatory impediments to seeking compensation under Australian competition law in respect of contravening conduct that occurs overseas. </w:t>
      </w:r>
    </w:p>
    <w:p w14:paraId="26733880" w14:textId="72FEBFB3" w:rsidR="003F4E5C" w:rsidRPr="008625DC" w:rsidRDefault="003F4E5C" w:rsidP="002A5BD6">
      <w:r w:rsidRPr="008625DC">
        <w:t>First, the overseas conduct will only be subject to Australian law if it is engaged in by a corporation incorporated in, or carrying on business within, Australia (</w:t>
      </w:r>
      <w:r w:rsidR="009A0672" w:rsidRPr="008625DC">
        <w:t>sub</w:t>
      </w:r>
      <w:r w:rsidRPr="008625DC">
        <w:t xml:space="preserve">section 5(1)). The effect of that provision is that, in respect of contravening conduct that occurs overseas, a foreign corporation will only be subject to Australian competition law if it otherwise carries on business in Australia. </w:t>
      </w:r>
    </w:p>
    <w:p w14:paraId="2D4B4F42" w14:textId="6F230324" w:rsidR="003F4E5C" w:rsidRPr="008625DC" w:rsidRDefault="003F4E5C" w:rsidP="002A5BD6">
      <w:r w:rsidRPr="008625DC">
        <w:t>The Panel considers that the application of the law to a foreign corporation should not depend on whether the corporation otherwise carries on business in Australia.</w:t>
      </w:r>
      <w:r w:rsidRPr="008625DC">
        <w:rPr>
          <w:rStyle w:val="FootnoteReference"/>
        </w:rPr>
        <w:footnoteReference w:id="352"/>
      </w:r>
      <w:r w:rsidRPr="008625DC">
        <w:t xml:space="preserve"> Australian competition law is generally limited in its scope (and should be so limited) to conduct that harms competition in an Australian market. If a foreign corporation engages in conduct that harms competition in an Australian market, it should be subject to Australian law</w:t>
      </w:r>
      <w:r w:rsidR="00C74E19" w:rsidRPr="008625DC">
        <w:t xml:space="preserve">. </w:t>
      </w:r>
    </w:p>
    <w:p w14:paraId="3D2C58C4" w14:textId="17D5D1A6" w:rsidR="003F4E5C" w:rsidRPr="008625DC" w:rsidRDefault="003F4E5C" w:rsidP="002A5BD6">
      <w:r w:rsidRPr="008625DC">
        <w:t xml:space="preserve">Secondly, if a person wishes to seek damages or other compensatory orders in relation to contravening conduct that occurred overseas, </w:t>
      </w:r>
      <w:r w:rsidR="00FE4735" w:rsidRPr="008625DC">
        <w:t>he or she</w:t>
      </w:r>
      <w:r w:rsidRPr="008625DC">
        <w:t xml:space="preserve"> must obtain the consent of the Minister (subsections 5(3) and (4)). The Minister is required to grant consent unless the conduct was required or specifically authorised by a foreign law and the Minister is of the view that it is not in the public interest to grant consent (subsection 5(5)).</w:t>
      </w:r>
      <w:r w:rsidRPr="008625DC">
        <w:rPr>
          <w:rStyle w:val="FootnoteReference"/>
        </w:rPr>
        <w:footnoteReference w:id="353"/>
      </w:r>
    </w:p>
    <w:p w14:paraId="69561D1C" w14:textId="7E363DD6" w:rsidR="003F4E5C" w:rsidRPr="008625DC" w:rsidRDefault="003F4E5C" w:rsidP="002A5BD6">
      <w:r w:rsidRPr="008625DC">
        <w:t>This requirement was put in place in 1986, at a time when there was concern over the extra</w:t>
      </w:r>
      <w:r w:rsidR="00C74E19" w:rsidRPr="008625DC">
        <w:noBreakHyphen/>
      </w:r>
      <w:r w:rsidRPr="008625DC">
        <w:t>territorial reach of some competition laws. The concern originated out of litigation commenced in the US by Westinghouse in respect of an overseas uranium cartel. Australian uranium producers became defendants to the US litigation.</w:t>
      </w:r>
      <w:r w:rsidRPr="008625DC">
        <w:rPr>
          <w:rStyle w:val="FootnoteReference"/>
        </w:rPr>
        <w:footnoteReference w:id="354"/>
      </w:r>
      <w:r w:rsidRPr="008625DC">
        <w:t xml:space="preserve"> This resulted in the Australian Government enacting legislation to prevent the enforcement of the US judgment in Australia.</w:t>
      </w:r>
      <w:r w:rsidRPr="008625DC">
        <w:rPr>
          <w:rStyle w:val="FootnoteReference"/>
        </w:rPr>
        <w:footnoteReference w:id="355"/>
      </w:r>
      <w:r w:rsidRPr="008625DC">
        <w:t xml:space="preserve"> Also, at that time, many other jurisdictions, particularly developing countries, did not have competition laws. As a result, there was potential for diplomatic issues to arise if proceedings were brought in Australia for contravention of Australia</w:t>
      </w:r>
      <w:r w:rsidR="00C74E19" w:rsidRPr="008625DC">
        <w:t>’</w:t>
      </w:r>
      <w:r w:rsidRPr="008625DC">
        <w:t xml:space="preserve">s competition law in respect of overseas conduct that was authorised or permitted by the laws of the jurisdiction in which the conduct occurred. </w:t>
      </w:r>
    </w:p>
    <w:p w14:paraId="27A7A712" w14:textId="4BE660E8" w:rsidR="003F4E5C" w:rsidRPr="008625DC" w:rsidRDefault="003F4E5C" w:rsidP="002A5BD6">
      <w:r w:rsidRPr="008625DC">
        <w:t>Since that time many countries have enacted competition laws. Further, a greater uniformity has emerged concerning the extra</w:t>
      </w:r>
      <w:r w:rsidR="00C74E19" w:rsidRPr="008625DC">
        <w:noBreakHyphen/>
      </w:r>
      <w:r w:rsidRPr="008625DC">
        <w:t xml:space="preserve">territorial reach of competition laws in comparable jurisdictions. In </w:t>
      </w:r>
      <w:r w:rsidRPr="008625DC">
        <w:lastRenderedPageBreak/>
        <w:t>general, competition laws of comparable countries apply to overseas conduct if the conduct has a direct effect on domestic markets or trade.</w:t>
      </w:r>
      <w:r w:rsidRPr="008625DC">
        <w:rPr>
          <w:rStyle w:val="FootnoteReference"/>
        </w:rPr>
        <w:footnoteReference w:id="356"/>
      </w:r>
    </w:p>
    <w:p w14:paraId="65C12698" w14:textId="38CE12DA" w:rsidR="003F4E5C" w:rsidRPr="008625DC" w:rsidRDefault="003F4E5C" w:rsidP="002A5BD6">
      <w:r w:rsidRPr="008625DC">
        <w:t xml:space="preserve">In comparable overseas jurisdictions such as the </w:t>
      </w:r>
      <w:r w:rsidR="00215FC5" w:rsidRPr="008625DC">
        <w:t>US</w:t>
      </w:r>
      <w:r w:rsidRPr="008625DC">
        <w:t xml:space="preserve">, Canada, UK, EU, </w:t>
      </w:r>
      <w:r w:rsidR="00DD2FE1" w:rsidRPr="008625DC">
        <w:t xml:space="preserve">and </w:t>
      </w:r>
      <w:r w:rsidRPr="008625DC">
        <w:t>New Zealand, there is no requirement to seek governmental consent in order to take proceedings in respect of contravening conduct that occurs overseas.</w:t>
      </w:r>
    </w:p>
    <w:p w14:paraId="3DF272E1" w14:textId="4FC0FE2A" w:rsidR="003F4E5C" w:rsidRPr="008625DC" w:rsidRDefault="003F4E5C" w:rsidP="002A5BD6">
      <w:r w:rsidRPr="008625DC">
        <w:t>The requirement for ministerial consent imposes a material hurdle for private plaintiffs seeking redress for breaches of competition law, and can give rise to substantial additional costs in the litigation. The ministerial consideration of the issue also takes time. Further, a defendant to a proceeding can seek judicial review of the Minister</w:t>
      </w:r>
      <w:r w:rsidR="00C74E19" w:rsidRPr="008625DC">
        <w:t>’</w:t>
      </w:r>
      <w:r w:rsidRPr="008625DC">
        <w:t>s decision which may cause delay in the principal proceeding.</w:t>
      </w:r>
      <w:r w:rsidRPr="008625DC">
        <w:rPr>
          <w:rStyle w:val="FootnoteReference"/>
        </w:rPr>
        <w:footnoteReference w:id="357"/>
      </w:r>
    </w:p>
    <w:p w14:paraId="192DFD87" w14:textId="10BAE24B" w:rsidR="003F4E5C" w:rsidRPr="008625DC" w:rsidRDefault="003F4E5C" w:rsidP="002A5BD6">
      <w:r w:rsidRPr="008625DC">
        <w:t xml:space="preserve">The ministerial consent requirements apply to the ACL as well as the competition laws. While the Panel is not reviewing the ACL generally, the Terms of Reference do ask the </w:t>
      </w:r>
      <w:r w:rsidR="00736394" w:rsidRPr="008625DC">
        <w:t>Review</w:t>
      </w:r>
      <w:r w:rsidRPr="008625DC">
        <w:t xml:space="preserve"> to consider it to the extent it extends to protections for small business. This requirement could be relevant to small business</w:t>
      </w:r>
      <w:r w:rsidR="00215FC5" w:rsidRPr="008625DC">
        <w:t xml:space="preserve">es privately </w:t>
      </w:r>
      <w:r w:rsidRPr="008625DC">
        <w:t>enforc</w:t>
      </w:r>
      <w:r w:rsidR="00215FC5" w:rsidRPr="008625DC">
        <w:t>ing</w:t>
      </w:r>
      <w:r w:rsidRPr="008625DC">
        <w:t xml:space="preserve"> the laws concerning unconscionable conduct. </w:t>
      </w:r>
    </w:p>
    <w:p w14:paraId="007BADFF" w14:textId="48C4FE1A" w:rsidR="003F4E5C" w:rsidRPr="008625DC" w:rsidRDefault="003F4E5C" w:rsidP="00FB084C">
      <w:pPr>
        <w:pStyle w:val="Heading3"/>
      </w:pPr>
      <w:r w:rsidRPr="008625DC">
        <w:t>Proving loss and damage</w:t>
      </w:r>
    </w:p>
    <w:p w14:paraId="6DC4F4D5" w14:textId="26C7E0CA" w:rsidR="00FE4735" w:rsidRPr="008625DC" w:rsidRDefault="003F4E5C" w:rsidP="002A5BD6">
      <w:r w:rsidRPr="008625DC">
        <w:t>A matter raised in some submissions is the inclusion of a power to seek orders, in the nature of cy</w:t>
      </w:r>
      <w:r w:rsidR="00C74E19" w:rsidRPr="008625DC">
        <w:noBreakHyphen/>
      </w:r>
      <w:r w:rsidRPr="008625DC">
        <w:t>pres orders, for breach of the competition law. A cy</w:t>
      </w:r>
      <w:r w:rsidR="00C74E19" w:rsidRPr="008625DC">
        <w:noBreakHyphen/>
      </w:r>
      <w:r w:rsidRPr="008625DC">
        <w:t>pres order is used in the administration of estates or trusts where the original bequest or trust object fails for some reason. A cy</w:t>
      </w:r>
      <w:r w:rsidR="00C74E19" w:rsidRPr="008625DC">
        <w:noBreakHyphen/>
      </w:r>
      <w:r w:rsidRPr="008625DC">
        <w:t>pres scheme may be ordered by the court to direct the application of funds toward a similar objective as the original gift or trust.</w:t>
      </w:r>
    </w:p>
    <w:p w14:paraId="7597F1AC" w14:textId="37F177AE" w:rsidR="003F4E5C" w:rsidRPr="008625DC" w:rsidRDefault="003F4E5C" w:rsidP="002A5BD6">
      <w:r w:rsidRPr="008625DC">
        <w:t xml:space="preserve">In the context of competition law, it has been proposed that orders of that kind might be used when it can be shown that contravening conduct has caused quantifiable detriment, but it is not possible to identify the persons damaged by the conduct. The suggestion is that the court would order that an amount of compensation or damages be paid into a trust fund to be spent in a manner directed by the court. </w:t>
      </w:r>
    </w:p>
    <w:p w14:paraId="611F3ABC" w14:textId="77777777" w:rsidR="003F4E5C" w:rsidRPr="008625DC" w:rsidRDefault="003F4E5C" w:rsidP="00D7380F">
      <w:pPr>
        <w:spacing w:after="120"/>
      </w:pPr>
      <w:r w:rsidRPr="008625DC">
        <w:t>This proposal was previously considered (and rejected) by the Dawson Review. The Panel agrees with the conclusion of the Dawson Review:</w:t>
      </w:r>
    </w:p>
    <w:p w14:paraId="061D23AE" w14:textId="16805E4A" w:rsidR="003F4E5C" w:rsidRPr="008625DC" w:rsidRDefault="003F4E5C" w:rsidP="003F4E5C">
      <w:pPr>
        <w:pStyle w:val="Quotes"/>
      </w:pPr>
      <w:r w:rsidRPr="008625DC">
        <w:t>Such orders would involve the payment of compensation or damages into a trust fund to be directed toward purposes that are identified by the Court. For example, money from the trust might be used for the promotion of consumer or other affected interests. Acceptance of such a proposal would be to invite the Court, which is concerned with the administration of the Act, to become inappropriately involved in matters of policy in an area where the Act offers no guidance.</w:t>
      </w:r>
      <w:r w:rsidRPr="008625DC">
        <w:rPr>
          <w:rStyle w:val="FootnoteReference"/>
        </w:rPr>
        <w:footnoteReference w:id="358"/>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403242" w:rsidRPr="008625DC" w14:paraId="09576252" w14:textId="77777777" w:rsidTr="0052543A">
        <w:tc>
          <w:tcPr>
            <w:tcW w:w="5000" w:type="pct"/>
            <w:shd w:val="clear" w:color="auto" w:fill="FFFFFF" w:themeFill="background1"/>
          </w:tcPr>
          <w:p w14:paraId="1C93AC23" w14:textId="63C46FF0" w:rsidR="00403242" w:rsidRPr="008625DC" w:rsidRDefault="00403242" w:rsidP="0052543A">
            <w:pPr>
              <w:pStyle w:val="Keyfindingheading"/>
            </w:pPr>
            <w:r w:rsidRPr="008625DC">
              <w:lastRenderedPageBreak/>
              <w:t>The Panel</w:t>
            </w:r>
            <w:r w:rsidR="00C74E19" w:rsidRPr="008625DC">
              <w:t>’</w:t>
            </w:r>
            <w:r w:rsidRPr="008625DC">
              <w:t>s view</w:t>
            </w:r>
          </w:p>
          <w:p w14:paraId="58E92FF2" w14:textId="4979085A" w:rsidR="003F4E5C" w:rsidRPr="008625DC" w:rsidRDefault="003F4E5C" w:rsidP="003F4E5C">
            <w:pPr>
              <w:pStyle w:val="Keyfindingtext"/>
            </w:pPr>
            <w:bookmarkStart w:id="34629" w:name="_Toc394330599"/>
            <w:bookmarkStart w:id="34630" w:name="_Toc394330219"/>
            <w:bookmarkStart w:id="34631" w:name="_Toc394333193"/>
            <w:bookmarkStart w:id="34632" w:name="_Toc394332771"/>
            <w:bookmarkStart w:id="34633" w:name="_Toc394333606"/>
            <w:bookmarkStart w:id="34634" w:name="_Toc394334019"/>
            <w:bookmarkStart w:id="34635" w:name="_Toc394334845"/>
            <w:bookmarkStart w:id="34636" w:name="_Toc394415028"/>
            <w:bookmarkStart w:id="34637" w:name="_Toc394412333"/>
            <w:bookmarkStart w:id="34638" w:name="_Toc394420623"/>
            <w:bookmarkStart w:id="34639" w:name="_Toc394421097"/>
            <w:bookmarkStart w:id="34640" w:name="_Toc394423467"/>
            <w:bookmarkStart w:id="34641" w:name="_Toc394420401"/>
            <w:bookmarkStart w:id="34642" w:name="_Toc394422511"/>
            <w:bookmarkStart w:id="34643" w:name="_Toc394422982"/>
            <w:bookmarkStart w:id="34644" w:name="_Toc394424132"/>
            <w:bookmarkStart w:id="34645" w:name="_Toc394491967"/>
            <w:bookmarkStart w:id="34646" w:name="_Toc394495112"/>
            <w:bookmarkStart w:id="34647" w:name="_Toc394497924"/>
            <w:bookmarkStart w:id="34648" w:name="_Toc394500716"/>
            <w:bookmarkStart w:id="34649" w:name="_Toc394502120"/>
            <w:bookmarkStart w:id="34650" w:name="_Toc394503022"/>
            <w:bookmarkStart w:id="34651" w:name="_Toc394502566"/>
            <w:bookmarkStart w:id="34652" w:name="_Toc394505774"/>
            <w:bookmarkStart w:id="34653" w:name="_Toc394506113"/>
            <w:bookmarkStart w:id="34654" w:name="_Toc394506787"/>
            <w:bookmarkStart w:id="34655" w:name="_Toc394560864"/>
            <w:bookmarkStart w:id="34656" w:name="_Toc394561325"/>
            <w:bookmarkStart w:id="34657" w:name="_Toc394938489"/>
            <w:bookmarkStart w:id="34658" w:name="_Toc394937771"/>
            <w:bookmarkStart w:id="34659" w:name="_Toc394941400"/>
            <w:bookmarkStart w:id="34660" w:name="_Toc394942016"/>
            <w:bookmarkStart w:id="34661" w:name="_Toc394940238"/>
            <w:bookmarkStart w:id="34662" w:name="_Toc394939835"/>
            <w:bookmarkStart w:id="34663" w:name="_Toc394993732"/>
            <w:bookmarkStart w:id="34664" w:name="_Toc394995614"/>
            <w:bookmarkStart w:id="34665" w:name="_Toc394995928"/>
            <w:bookmarkStart w:id="34666" w:name="_Toc394998173"/>
            <w:bookmarkStart w:id="34667" w:name="_Toc394998687"/>
            <w:bookmarkStart w:id="34668" w:name="_Toc395002186"/>
            <w:bookmarkStart w:id="34669" w:name="_Toc395001394"/>
            <w:bookmarkStart w:id="34670" w:name="_Toc395002955"/>
            <w:bookmarkStart w:id="34671" w:name="_Toc395003540"/>
            <w:bookmarkStart w:id="34672" w:name="_Toc395005781"/>
            <w:bookmarkStart w:id="34673" w:name="_Toc395009775"/>
            <w:bookmarkStart w:id="34674" w:name="_Toc395012699"/>
            <w:bookmarkStart w:id="34675" w:name="_Toc395011693"/>
            <w:bookmarkStart w:id="34676" w:name="_Toc395013161"/>
            <w:bookmarkStart w:id="34677" w:name="_Toc395012163"/>
            <w:bookmarkStart w:id="34678" w:name="_Toc395014502"/>
            <w:bookmarkStart w:id="34679" w:name="_Toc395084845"/>
            <w:bookmarkStart w:id="34680" w:name="_Toc395085146"/>
            <w:bookmarkStart w:id="34681" w:name="_Toc395090612"/>
            <w:bookmarkStart w:id="34682" w:name="_Toc395093195"/>
            <w:bookmarkStart w:id="34683" w:name="_Toc395098105"/>
            <w:bookmarkStart w:id="34684" w:name="_Toc395105290"/>
            <w:bookmarkStart w:id="34685" w:name="_Toc395106893"/>
            <w:bookmarkStart w:id="34686" w:name="_Toc395109550"/>
            <w:bookmarkStart w:id="34687" w:name="_Toc395112255"/>
            <w:bookmarkStart w:id="34688" w:name="_Toc395107397"/>
            <w:bookmarkStart w:id="34689" w:name="_Toc395108958"/>
            <w:bookmarkStart w:id="34690" w:name="_Toc395114198"/>
            <w:bookmarkStart w:id="34691" w:name="_Toc395116935"/>
            <w:bookmarkStart w:id="34692" w:name="_Toc395113053"/>
            <w:bookmarkStart w:id="34693" w:name="_Toc395115412"/>
            <w:bookmarkStart w:id="34694" w:name="_Toc395118564"/>
            <w:bookmarkStart w:id="34695" w:name="_Toc395624756"/>
            <w:bookmarkStart w:id="34696" w:name="_Toc395790107"/>
            <w:bookmarkStart w:id="34697" w:name="_Toc395800865"/>
            <w:r w:rsidRPr="008625DC">
              <w:t>Private enforcement of competition laws is an important right. However, there are many regulatory and practical impediments to the exercise of th</w:t>
            </w:r>
            <w:r w:rsidR="00FE4735" w:rsidRPr="008625DC">
              <w:t>is</w:t>
            </w:r>
            <w:r w:rsidRPr="008625DC">
              <w:t xml:space="preserve"> right. It is important to find ways to reduce those impediments.</w:t>
            </w:r>
          </w:p>
          <w:p w14:paraId="04E13733" w14:textId="5FDFADB7" w:rsidR="003F4E5C" w:rsidRPr="008625DC" w:rsidRDefault="003F4E5C" w:rsidP="003F4E5C">
            <w:pPr>
              <w:pStyle w:val="Keyfindingtext"/>
            </w:pPr>
            <w:r w:rsidRPr="008625DC">
              <w:t>The effectiveness of section 83 as a means of reducing the costs of private actions would be enhanced if the section were amended to apply to admissions of fact made by a corporation in another proceeding, in addition to findings of fact.</w:t>
            </w:r>
          </w:p>
          <w:p w14:paraId="4F0F62AA" w14:textId="1FBF4050" w:rsidR="003F4E5C" w:rsidRPr="008625DC" w:rsidRDefault="003F4E5C" w:rsidP="003F4E5C">
            <w:pPr>
              <w:pStyle w:val="Keyfindingtext"/>
            </w:pPr>
            <w:r w:rsidRPr="008625DC">
              <w:t>There are significant practical difficulties in small business</w:t>
            </w:r>
            <w:r w:rsidR="00215FC5" w:rsidRPr="008625DC">
              <w:t>es</w:t>
            </w:r>
            <w:r w:rsidRPr="008625DC">
              <w:t xml:space="preserve"> exercising rights of private enforcement. Understandably, the ACCC is not able to take proceedings in respect of all complaints that are brought to it. It is important, though, that the ACCC place some priority upon its response to small business complaints concerning competition laws. If the ACCC determines that it is unable to pursue a particular complaint on behalf of a small business, it is important that the ACCC communicate clearly and promptly its reasons for not acting and direct the business to available dispute resolution procedures.</w:t>
            </w:r>
          </w:p>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p w14:paraId="1C48E402" w14:textId="66F5E9B3" w:rsidR="003F4E5C" w:rsidRPr="008625DC" w:rsidRDefault="003F4E5C" w:rsidP="003F4E5C">
            <w:pPr>
              <w:pStyle w:val="Keyfindingtext"/>
            </w:pPr>
            <w:r w:rsidRPr="008625DC">
              <w:t xml:space="preserve">Small business would be assisted by an effective dispute resolution system in respect of competition law issues. Such a system would support the operation and effectiveness of competitive markets, which in turn foster a diversity of businesses that provide consumer choice. While some small business dispute resolution services exist at the state, territory and </w:t>
            </w:r>
            <w:r w:rsidR="00215FC5" w:rsidRPr="008625DC">
              <w:t>C</w:t>
            </w:r>
            <w:r w:rsidRPr="008625DC">
              <w:t>ommonwealth levels, it is clear small business</w:t>
            </w:r>
            <w:r w:rsidR="00215FC5" w:rsidRPr="008625DC">
              <w:t>es</w:t>
            </w:r>
            <w:r w:rsidRPr="008625DC">
              <w:t xml:space="preserve"> feel that laws are difficult to enforce.</w:t>
            </w:r>
          </w:p>
          <w:p w14:paraId="335FE8CF" w14:textId="01FC32A7" w:rsidR="00CF62E5" w:rsidRPr="008625DC" w:rsidRDefault="00CF62E5" w:rsidP="007403D7">
            <w:pPr>
              <w:pStyle w:val="Keyfindingtext"/>
              <w:rPr>
                <w:b/>
              </w:rPr>
            </w:pPr>
            <w:r w:rsidRPr="008625DC">
              <w:rPr>
                <w:b/>
              </w:rPr>
              <w:t xml:space="preserve">The Panel invites views on whether there should be a specific </w:t>
            </w:r>
            <w:r w:rsidR="00215FC5" w:rsidRPr="008625DC">
              <w:rPr>
                <w:b/>
              </w:rPr>
              <w:t xml:space="preserve">small business </w:t>
            </w:r>
            <w:r w:rsidRPr="008625DC">
              <w:rPr>
                <w:b/>
              </w:rPr>
              <w:t>dispute resolution scheme for CCA</w:t>
            </w:r>
            <w:r w:rsidR="00C74E19" w:rsidRPr="008625DC">
              <w:rPr>
                <w:b/>
              </w:rPr>
              <w:noBreakHyphen/>
            </w:r>
            <w:r w:rsidR="00DF32B3" w:rsidRPr="008625DC">
              <w:rPr>
                <w:b/>
              </w:rPr>
              <w:t>related matters</w:t>
            </w:r>
            <w:r w:rsidRPr="008625DC">
              <w:rPr>
                <w:b/>
              </w:rPr>
              <w:t>.</w:t>
            </w:r>
          </w:p>
          <w:p w14:paraId="692D4906" w14:textId="01731D01" w:rsidR="00935686" w:rsidRPr="008625DC" w:rsidRDefault="003F4E5C" w:rsidP="00935686">
            <w:pPr>
              <w:pStyle w:val="Keyfindingtext"/>
            </w:pPr>
            <w:bookmarkStart w:id="34698" w:name="_Toc395093201"/>
            <w:bookmarkStart w:id="34699" w:name="_Toc395098111"/>
            <w:bookmarkStart w:id="34700" w:name="_Toc395105296"/>
            <w:bookmarkStart w:id="34701" w:name="_Toc395106899"/>
            <w:bookmarkStart w:id="34702" w:name="_Toc395109556"/>
            <w:bookmarkStart w:id="34703" w:name="_Toc395112261"/>
            <w:bookmarkStart w:id="34704" w:name="_Toc395107403"/>
            <w:bookmarkStart w:id="34705" w:name="_Toc395108964"/>
            <w:bookmarkStart w:id="34706" w:name="_Toc395116941"/>
            <w:bookmarkStart w:id="34707" w:name="_Toc395113059"/>
            <w:bookmarkStart w:id="34708" w:name="_Toc395115418"/>
            <w:bookmarkStart w:id="34709" w:name="_Toc395118570"/>
            <w:bookmarkStart w:id="34710" w:name="_Toc395624762"/>
            <w:bookmarkStart w:id="34711" w:name="_Toc395790113"/>
            <w:bookmarkStart w:id="34712" w:name="_Toc395800871"/>
            <w:r w:rsidRPr="008625DC">
              <w:t xml:space="preserve">In respect of contravening conduct that occurs overseas, a foreign corporation should be subject to Australian competition law regardless of whether it carries on business in Australia. </w:t>
            </w:r>
            <w:r w:rsidR="00F149D1" w:rsidRPr="008625DC">
              <w:t xml:space="preserve">Given that competition laws and policies are now commonplace around the world, </w:t>
            </w:r>
            <w:r w:rsidRPr="008625DC">
              <w:t>there is</w:t>
            </w:r>
            <w:r w:rsidR="00F149D1" w:rsidRPr="008625DC">
              <w:t xml:space="preserve"> no reason why private parties should have to seek ministerial consent before launching a proceeding that involves </w:t>
            </w:r>
            <w:r w:rsidRPr="008625DC">
              <w:t>overseas conduct</w:t>
            </w:r>
            <w:r w:rsidR="00F149D1" w:rsidRPr="008625DC">
              <w:t>.</w:t>
            </w:r>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p>
        </w:tc>
      </w:tr>
    </w:tbl>
    <w:p w14:paraId="26A45AA1" w14:textId="692B9920" w:rsidR="003F4E5C" w:rsidRPr="008625DC" w:rsidRDefault="003F4E5C" w:rsidP="00BD2EA4">
      <w:pPr>
        <w:pStyle w:val="Heading2"/>
        <w:ind w:left="851" w:hanging="851"/>
        <w:rPr>
          <w:lang w:val="en-AU"/>
        </w:rPr>
      </w:pPr>
      <w:bookmarkStart w:id="34713" w:name="_Toc397936714"/>
      <w:bookmarkStart w:id="34714" w:name="_Toc397936834"/>
      <w:bookmarkStart w:id="34715" w:name="_Toc397945990"/>
      <w:bookmarkStart w:id="34716" w:name="_Toc397947016"/>
      <w:bookmarkStart w:id="34717" w:name="_Toc397948135"/>
      <w:bookmarkStart w:id="34718" w:name="_Toc397958541"/>
      <w:bookmarkStart w:id="34719" w:name="_Toc397958783"/>
      <w:bookmarkStart w:id="34720" w:name="_Toc397959198"/>
      <w:bookmarkStart w:id="34721" w:name="_Toc397962265"/>
      <w:bookmarkStart w:id="34722" w:name="_Toc397963051"/>
      <w:bookmarkStart w:id="34723" w:name="_Toc397963417"/>
      <w:bookmarkStart w:id="34724" w:name="_Toc397965494"/>
      <w:bookmarkStart w:id="34725" w:name="_Toc398197432"/>
      <w:bookmarkStart w:id="34726" w:name="_Toc398200057"/>
      <w:bookmarkStart w:id="34727" w:name="_Toc398200323"/>
      <w:bookmarkStart w:id="34728" w:name="_Toc398201649"/>
      <w:bookmarkStart w:id="34729" w:name="_Toc398207254"/>
      <w:bookmarkStart w:id="34730" w:name="_Toc398209958"/>
      <w:bookmarkStart w:id="34731" w:name="_Toc398210527"/>
      <w:bookmarkStart w:id="34732" w:name="_Toc398211041"/>
      <w:bookmarkStart w:id="34733" w:name="_Toc398219852"/>
      <w:bookmarkStart w:id="34734" w:name="_Toc398220227"/>
      <w:bookmarkStart w:id="34735" w:name="_Toc398220614"/>
      <w:bookmarkStart w:id="34736" w:name="_Toc398221692"/>
      <w:bookmarkStart w:id="34737" w:name="_Toc398222378"/>
      <w:bookmarkStart w:id="34738" w:name="_Toc398222690"/>
      <w:bookmarkStart w:id="34739" w:name="_Toc398223107"/>
      <w:bookmarkStart w:id="34740" w:name="_Toc398223486"/>
      <w:bookmarkStart w:id="34741" w:name="_Toc398223613"/>
      <w:bookmarkStart w:id="34742" w:name="_Toc398224421"/>
      <w:bookmarkStart w:id="34743" w:name="_Toc398225758"/>
      <w:bookmarkStart w:id="34744" w:name="_Toc398225883"/>
      <w:bookmarkStart w:id="34745" w:name="_Toc398281370"/>
      <w:bookmarkStart w:id="34746" w:name="_Toc398282229"/>
      <w:bookmarkStart w:id="34747" w:name="_Toc398284899"/>
      <w:bookmarkStart w:id="34748" w:name="_Toc398287368"/>
      <w:bookmarkStart w:id="34749" w:name="_Toc398289251"/>
      <w:bookmarkStart w:id="34750" w:name="_Toc398297248"/>
      <w:bookmarkStart w:id="34751" w:name="_Toc398298722"/>
      <w:bookmarkStart w:id="34752" w:name="_Toc398301320"/>
      <w:bookmarkStart w:id="34753" w:name="_Toc398302505"/>
      <w:bookmarkStart w:id="34754" w:name="_Toc398302668"/>
      <w:bookmarkStart w:id="34755" w:name="_Toc398549182"/>
      <w:bookmarkStart w:id="34756" w:name="_Toc398549432"/>
      <w:bookmarkStart w:id="34757" w:name="_Toc398555851"/>
      <w:bookmarkStart w:id="34758" w:name="_Toc398559055"/>
      <w:bookmarkStart w:id="34759" w:name="_Toc398563541"/>
      <w:bookmarkStart w:id="34760" w:name="_Toc398563674"/>
      <w:bookmarkStart w:id="34761" w:name="_Toc398564073"/>
      <w:bookmarkStart w:id="34762" w:name="_Toc398827411"/>
      <w:bookmarkStart w:id="34763" w:name="_Toc398827605"/>
      <w:bookmarkStart w:id="34764" w:name="s203"/>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r w:rsidRPr="008625DC">
        <w:rPr>
          <w:lang w:val="en-AU"/>
        </w:rPr>
        <w:t>ACCC</w:t>
      </w:r>
      <w:r w:rsidR="00C74E19" w:rsidRPr="008625DC">
        <w:rPr>
          <w:lang w:val="en-AU"/>
        </w:rPr>
        <w:t>’</w:t>
      </w:r>
      <w:r w:rsidRPr="008625DC">
        <w:rPr>
          <w:lang w:val="en-AU"/>
        </w:rPr>
        <w:t>s investigative powers</w:t>
      </w:r>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p>
    <w:bookmarkEnd w:id="34764"/>
    <w:p w14:paraId="17391A71" w14:textId="7A104613" w:rsidR="003F4E5C" w:rsidRPr="008625DC" w:rsidRDefault="003F4E5C" w:rsidP="002A5BD6">
      <w:r w:rsidRPr="008625DC">
        <w:t>The ACCC</w:t>
      </w:r>
      <w:r w:rsidR="00C74E19" w:rsidRPr="008625DC">
        <w:t>’</w:t>
      </w:r>
      <w:r w:rsidRPr="008625DC">
        <w:t xml:space="preserve">s primary investigative power is contained in section 155 of the CCA. Section 155 gives the ACCC power to compel individuals to appear before it to answer questions about a potential contravention, and to compel corporations and individuals to provide information and to produce documents to it, if the ACCC has reason to believe that the person or corporation is capable of giving evidence, furnishing information or producing documents relating to a possible contravention of the CCA. It is not necessary for the ACCC to have reasonable grounds to believe that a contravention has occurred before exercising those powers. </w:t>
      </w:r>
    </w:p>
    <w:p w14:paraId="04B819ED" w14:textId="2FE79C58" w:rsidR="003F4E5C" w:rsidRPr="008625DC" w:rsidRDefault="003F4E5C" w:rsidP="002A5BD6">
      <w:r w:rsidRPr="008625DC">
        <w:t>The section 155 powers have been a longstanding feature of Australia</w:t>
      </w:r>
      <w:r w:rsidR="00C74E19" w:rsidRPr="008625DC">
        <w:t>’</w:t>
      </w:r>
      <w:r w:rsidRPr="008625DC">
        <w:t>s competition law framework. Contraventions of competition laws, particularly cartel</w:t>
      </w:r>
      <w:r w:rsidR="00C74E19" w:rsidRPr="008625DC">
        <w:noBreakHyphen/>
      </w:r>
      <w:r w:rsidRPr="008625DC">
        <w:t>type conduct, are often clandestine. It is thought necessary to give the competition regulator strong coercive powers to uncover such contraventions.</w:t>
      </w:r>
    </w:p>
    <w:p w14:paraId="25C74768" w14:textId="05C6BE42" w:rsidR="003F4E5C" w:rsidRPr="008625DC" w:rsidRDefault="00215FC5" w:rsidP="002A5BD6">
      <w:r w:rsidRPr="008625DC">
        <w:t>T</w:t>
      </w:r>
      <w:r w:rsidR="003F4E5C" w:rsidRPr="008625DC">
        <w:t>he ACCC outline</w:t>
      </w:r>
      <w:r w:rsidR="00FE4735" w:rsidRPr="008625DC">
        <w:t>s ways</w:t>
      </w:r>
      <w:r w:rsidR="003F4E5C" w:rsidRPr="008625DC">
        <w:t xml:space="preserve"> to strengthen its investigative powers under section 155</w:t>
      </w:r>
      <w:r w:rsidRPr="008625DC">
        <w:t xml:space="preserve"> (</w:t>
      </w:r>
      <w:r w:rsidR="00D04174" w:rsidRPr="008625DC">
        <w:t>ACCC Submission</w:t>
      </w:r>
      <w:r w:rsidR="00D7380F" w:rsidRPr="008625DC">
        <w:t> </w:t>
      </w:r>
      <w:r w:rsidRPr="008625DC">
        <w:t>1, pages 97</w:t>
      </w:r>
      <w:r w:rsidR="00C74E19" w:rsidRPr="008625DC">
        <w:noBreakHyphen/>
      </w:r>
      <w:r w:rsidRPr="008625DC">
        <w:t>101)</w:t>
      </w:r>
      <w:r w:rsidR="003F4E5C" w:rsidRPr="008625DC">
        <w:t xml:space="preserve">. The ACCC proposes that the section 155 powers be able to be used in </w:t>
      </w:r>
      <w:r w:rsidR="00FE4735" w:rsidRPr="008625DC">
        <w:t>a wider range of</w:t>
      </w:r>
      <w:r w:rsidR="003F4E5C" w:rsidRPr="008625DC">
        <w:t xml:space="preserve"> circumstances</w:t>
      </w:r>
      <w:r w:rsidR="00FE4735" w:rsidRPr="008625DC">
        <w:t xml:space="preserve"> </w:t>
      </w:r>
      <w:r w:rsidRPr="008625DC">
        <w:t>—</w:t>
      </w:r>
      <w:r w:rsidR="003F4E5C" w:rsidRPr="008625DC">
        <w:t xml:space="preserve"> for example, after seeking injunctive relief, during multi</w:t>
      </w:r>
      <w:r w:rsidR="00C74E19" w:rsidRPr="008625DC">
        <w:noBreakHyphen/>
      </w:r>
      <w:r w:rsidR="003F4E5C" w:rsidRPr="008625DC">
        <w:t>party litigation and in relation to subject matters such as designated telecommunication matters not currently open to section 155 notices.</w:t>
      </w:r>
    </w:p>
    <w:p w14:paraId="690B1DFF" w14:textId="37AB9758" w:rsidR="003F4E5C" w:rsidRPr="008625DC" w:rsidRDefault="003F4E5C" w:rsidP="003F4E5C">
      <w:r w:rsidRPr="008625DC">
        <w:lastRenderedPageBreak/>
        <w:t>Conversely, a range of submissions criticise the ACCC</w:t>
      </w:r>
      <w:r w:rsidR="00C74E19" w:rsidRPr="008625DC">
        <w:t>’</w:t>
      </w:r>
      <w:r w:rsidRPr="008625DC">
        <w:t>s use of its current section 155 powers, citing the scope of the notices and the costs of compliance.</w:t>
      </w:r>
      <w:r w:rsidR="00B51D02" w:rsidRPr="008625DC">
        <w:rPr>
          <w:rStyle w:val="FootnoteReference"/>
        </w:rPr>
        <w:footnoteReference w:id="359"/>
      </w:r>
      <w:r w:rsidRPr="008625DC">
        <w:t xml:space="preserve"> Comment </w:t>
      </w:r>
      <w:r w:rsidR="00FE4735" w:rsidRPr="008625DC">
        <w:t>is</w:t>
      </w:r>
      <w:r w:rsidRPr="008625DC">
        <w:t xml:space="preserve"> also made on the use of section</w:t>
      </w:r>
      <w:r w:rsidR="00D7380F" w:rsidRPr="008625DC">
        <w:t> </w:t>
      </w:r>
      <w:r w:rsidRPr="008625DC">
        <w:t>155 powers in the context of applications for merger clearance.</w:t>
      </w:r>
      <w:r w:rsidR="00B51D02" w:rsidRPr="008625DC">
        <w:rPr>
          <w:rStyle w:val="FootnoteReference"/>
        </w:rPr>
        <w:footnoteReference w:id="360"/>
      </w:r>
    </w:p>
    <w:p w14:paraId="101A7D39" w14:textId="7BBBE3FC" w:rsidR="00FE4735" w:rsidRPr="008625DC" w:rsidRDefault="003F4E5C" w:rsidP="003F4E5C">
      <w:r w:rsidRPr="008625DC">
        <w:t>There is a need to achieve an appropriate balance with respect to coercive powers. The Panel considers that the ability to compel business to provide evidence, information and documents relating to a potential contravention of the competition law is crucial to the ACCC</w:t>
      </w:r>
      <w:r w:rsidR="00C74E19" w:rsidRPr="008625DC">
        <w:t>’</w:t>
      </w:r>
      <w:r w:rsidRPr="008625DC">
        <w:t>s administration of the CCA.</w:t>
      </w:r>
    </w:p>
    <w:p w14:paraId="6A8AA8D5" w14:textId="07404C99" w:rsidR="003F4E5C" w:rsidRPr="008625DC" w:rsidRDefault="003F4E5C" w:rsidP="003F4E5C">
      <w:r w:rsidRPr="008625DC">
        <w:t>However, the Panel does not support the ACCC</w:t>
      </w:r>
      <w:r w:rsidR="00C74E19" w:rsidRPr="008625DC">
        <w:t>’</w:t>
      </w:r>
      <w:r w:rsidRPr="008625DC">
        <w:t>s proposal that the powers be available for use after the ACCC has commenced proceedings in respect of an alleged contravention. The use of the powers at that time is likely to cause conflict with the court</w:t>
      </w:r>
      <w:r w:rsidR="00C74E19" w:rsidRPr="008625DC">
        <w:t>’</w:t>
      </w:r>
      <w:r w:rsidRPr="008625DC">
        <w:t>s overall supervision of the proceedings. The court</w:t>
      </w:r>
      <w:r w:rsidR="00C74E19" w:rsidRPr="008625DC">
        <w:t>’</w:t>
      </w:r>
      <w:r w:rsidRPr="008625DC">
        <w:t xml:space="preserve">s discovery and subpoena powers can be exercised to require production of additional documents. </w:t>
      </w:r>
    </w:p>
    <w:p w14:paraId="647BF47A" w14:textId="36BA88D8" w:rsidR="003F4E5C" w:rsidRPr="008625DC" w:rsidRDefault="003F4E5C" w:rsidP="003F4E5C">
      <w:r w:rsidRPr="008625DC">
        <w:t xml:space="preserve">The Panel understands the concerns expressed by business </w:t>
      </w:r>
      <w:r w:rsidR="00FE4735" w:rsidRPr="008625DC">
        <w:t>over</w:t>
      </w:r>
      <w:r w:rsidR="00215FC5" w:rsidRPr="008625DC">
        <w:t xml:space="preserve"> </w:t>
      </w:r>
      <w:r w:rsidRPr="008625DC">
        <w:t>the cost of compliance with section</w:t>
      </w:r>
      <w:r w:rsidR="00D7380F" w:rsidRPr="008625DC">
        <w:t> </w:t>
      </w:r>
      <w:r w:rsidRPr="008625DC">
        <w:t xml:space="preserve">155 notices that require the production of documents. In the digital age businesses retain many more documents, such as emails, than was the case 20 years ago. As a consequence compliance with a section 155 notice may require electronic searches of tens of thousands of documents, which can occasion very large expense. </w:t>
      </w:r>
    </w:p>
    <w:p w14:paraId="025EEB41" w14:textId="7F223532" w:rsidR="003F4E5C" w:rsidRPr="008625DC" w:rsidRDefault="003F4E5C" w:rsidP="003F4E5C">
      <w:r w:rsidRPr="008625DC">
        <w:t xml:space="preserve">The cost of documentary searches has been recognised by the courts and, over the last 10 years, rights of discovery have been modified. For example, the Federal Court </w:t>
      </w:r>
      <w:r w:rsidR="00DD2FE1" w:rsidRPr="008625DC">
        <w:t>Rules 2011 (20.14)</w:t>
      </w:r>
      <w:r w:rsidRPr="008625DC">
        <w:t xml:space="preserve"> now require a party to undertake a reasonable search for documents. In determining what is a reasonable search, the party may take into account factors such as the number of documents involved and the ease and cost of retrieving the document. </w:t>
      </w:r>
    </w:p>
    <w:p w14:paraId="0E73C48E" w14:textId="1E1C7E85" w:rsidR="003F4E5C" w:rsidRPr="008625DC" w:rsidRDefault="003F4E5C" w:rsidP="003F4E5C">
      <w:r w:rsidRPr="008625DC">
        <w:t>The ACCC</w:t>
      </w:r>
      <w:r w:rsidR="00C74E19" w:rsidRPr="008625DC">
        <w:t>’</w:t>
      </w:r>
      <w:r w:rsidRPr="008625DC">
        <w:t>s published guideline on section 155</w:t>
      </w:r>
      <w:r w:rsidRPr="008625DC">
        <w:rPr>
          <w:rStyle w:val="FootnoteReference"/>
        </w:rPr>
        <w:footnoteReference w:id="361"/>
      </w:r>
      <w:r w:rsidRPr="008625DC">
        <w:t xml:space="preserve"> acknowledges the burden that section 155 notices may impose on a recipient and accepts that the ACCC should take the burden into account. The Panel considers that this is an important responsibility for the ACCC, which should be exercised on each occasion that a notice is issued. The ACCC should accept a responsibility to frame a section 155 notice in the narrowest form possible, consistent with the scope of the matter being investigated. </w:t>
      </w:r>
    </w:p>
    <w:p w14:paraId="0A4827F3" w14:textId="77777777" w:rsidR="003F4E5C" w:rsidRPr="008625DC" w:rsidRDefault="003F4E5C" w:rsidP="001A6E95">
      <w:pPr>
        <w:spacing w:after="120"/>
      </w:pPr>
      <w:r w:rsidRPr="008625DC">
        <w:t>There may also be scope to recognise, in the CCA or in a guideline, a principle equivalent to that recognised in the Federal Court Rules: that in a digital age, the obligation to search for documents should be subject to a requirement of reasonableness, having regard to factors such as the number of documents involved and the ease and cost of retrieving the document.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3F4E5C" w:rsidRPr="008625DC" w14:paraId="068EB911" w14:textId="77777777" w:rsidTr="0052543A">
        <w:tc>
          <w:tcPr>
            <w:tcW w:w="5000" w:type="pct"/>
            <w:shd w:val="clear" w:color="auto" w:fill="FFFFFF" w:themeFill="background1"/>
          </w:tcPr>
          <w:p w14:paraId="37817D1F" w14:textId="63B29871" w:rsidR="003F4E5C" w:rsidRPr="008625DC" w:rsidRDefault="003F4E5C" w:rsidP="0052543A">
            <w:pPr>
              <w:pStyle w:val="Keyfindingheading"/>
            </w:pPr>
            <w:r w:rsidRPr="008625DC">
              <w:lastRenderedPageBreak/>
              <w:t>The Panel</w:t>
            </w:r>
            <w:r w:rsidR="004B76D4" w:rsidRPr="008625DC">
              <w:t>’</w:t>
            </w:r>
            <w:r w:rsidRPr="008625DC">
              <w:t xml:space="preserve">s </w:t>
            </w:r>
            <w:r w:rsidR="00215FC5" w:rsidRPr="008625DC">
              <w:t>v</w:t>
            </w:r>
            <w:r w:rsidRPr="008625DC">
              <w:t>iew</w:t>
            </w:r>
          </w:p>
          <w:p w14:paraId="5C41D248" w14:textId="40439D13" w:rsidR="003F4E5C" w:rsidRPr="008625DC" w:rsidRDefault="003F4E5C" w:rsidP="003F4E5C">
            <w:pPr>
              <w:pStyle w:val="Keyfindingtext"/>
            </w:pPr>
            <w:r w:rsidRPr="008625DC">
              <w:t>Compulsory evidence gathering powers are important to the ACCC</w:t>
            </w:r>
            <w:r w:rsidR="00C74E19" w:rsidRPr="008625DC">
              <w:t>’</w:t>
            </w:r>
            <w:r w:rsidRPr="008625DC">
              <w:t>s ability to enforce the CCA, but can impose a regulatory burden on recipients of compulsory notices.</w:t>
            </w:r>
          </w:p>
          <w:p w14:paraId="79066CF4" w14:textId="15E7EF06" w:rsidR="003F4E5C" w:rsidRPr="008625DC" w:rsidRDefault="003F4E5C" w:rsidP="001A6E95">
            <w:pPr>
              <w:pStyle w:val="Keyfindingtext"/>
            </w:pPr>
            <w:r w:rsidRPr="008625DC">
              <w:t>The ACCC should accept a responsibility to frame section 155 notices in the narrowest form possible, consistent with the scope of the matter being investigated. In complying with a section</w:t>
            </w:r>
            <w:r w:rsidR="001A6E95" w:rsidRPr="008625DC">
              <w:t> </w:t>
            </w:r>
            <w:r w:rsidRPr="008625DC">
              <w:t>155 notice, the recipient should be required to undertake a reasonable search. That requirement could be introduced into the CCA or recognised in a guideline issued by the ACCC.</w:t>
            </w:r>
          </w:p>
        </w:tc>
      </w:tr>
    </w:tbl>
    <w:p w14:paraId="782666DB" w14:textId="0A359FD1" w:rsidR="00882FB3" w:rsidRPr="008625DC" w:rsidRDefault="00882FB3" w:rsidP="001A6E95">
      <w:r w:rsidRPr="008625DC">
        <w:br w:type="page"/>
      </w:r>
    </w:p>
    <w:p w14:paraId="35149DCA" w14:textId="77777777" w:rsidR="00CF5493" w:rsidRPr="008625DC" w:rsidRDefault="00CF5493" w:rsidP="00864E0A">
      <w:pPr>
        <w:pStyle w:val="Heading1"/>
        <w:ind w:left="851" w:hanging="851"/>
      </w:pPr>
      <w:bookmarkStart w:id="34765" w:name="_Toc394654492"/>
      <w:bookmarkStart w:id="34766" w:name="_Toc394654650"/>
      <w:bookmarkStart w:id="34767" w:name="_Toc394656192"/>
      <w:bookmarkStart w:id="34768" w:name="_Toc394656349"/>
      <w:bookmarkStart w:id="34769" w:name="_Toc394659329"/>
      <w:bookmarkStart w:id="34770" w:name="_Toc394659487"/>
      <w:bookmarkStart w:id="34771" w:name="_Toc394663342"/>
      <w:bookmarkStart w:id="34772" w:name="_Toc394663498"/>
      <w:bookmarkStart w:id="34773" w:name="_Toc394415154"/>
      <w:bookmarkStart w:id="34774" w:name="_Toc394415326"/>
      <w:bookmarkStart w:id="34775" w:name="_Toc394412459"/>
      <w:bookmarkStart w:id="34776" w:name="_Toc394412635"/>
      <w:bookmarkStart w:id="34777" w:name="_Toc394420750"/>
      <w:bookmarkStart w:id="34778" w:name="_Toc394420928"/>
      <w:bookmarkStart w:id="34779" w:name="_Toc394421224"/>
      <w:bookmarkStart w:id="34780" w:name="_Toc394423593"/>
      <w:bookmarkStart w:id="34781" w:name="_Toc394423769"/>
      <w:bookmarkStart w:id="34782" w:name="_Toc394422637"/>
      <w:bookmarkStart w:id="34783" w:name="_Toc394422813"/>
      <w:bookmarkStart w:id="34784" w:name="_Toc394423108"/>
      <w:bookmarkStart w:id="34785" w:name="_Toc394423284"/>
      <w:bookmarkStart w:id="34786" w:name="_Toc394424258"/>
      <w:bookmarkStart w:id="34787" w:name="_Toc394424432"/>
      <w:bookmarkStart w:id="34788" w:name="_Toc394492091"/>
      <w:bookmarkStart w:id="34789" w:name="_Toc394492265"/>
      <w:bookmarkStart w:id="34790" w:name="_Toc394495236"/>
      <w:bookmarkStart w:id="34791" w:name="_Toc394495409"/>
      <w:bookmarkStart w:id="34792" w:name="_Toc394498051"/>
      <w:bookmarkStart w:id="34793" w:name="_Toc394498224"/>
      <w:bookmarkStart w:id="34794" w:name="_Toc394500841"/>
      <w:bookmarkStart w:id="34795" w:name="_Toc394501014"/>
      <w:bookmarkStart w:id="34796" w:name="_Toc394502238"/>
      <w:bookmarkStart w:id="34797" w:name="_Toc394502404"/>
      <w:bookmarkStart w:id="34798" w:name="_Toc394503138"/>
      <w:bookmarkStart w:id="34799" w:name="_Toc394503762"/>
      <w:bookmarkStart w:id="34800" w:name="_Toc394502682"/>
      <w:bookmarkStart w:id="34801" w:name="_Toc394502851"/>
      <w:bookmarkStart w:id="34802" w:name="_Toc394505889"/>
      <w:bookmarkStart w:id="34803" w:name="_Toc394506180"/>
      <w:bookmarkStart w:id="34804" w:name="_Toc394506348"/>
      <w:bookmarkStart w:id="34805" w:name="_Toc394506518"/>
      <w:bookmarkStart w:id="34806" w:name="_Toc394506902"/>
      <w:bookmarkStart w:id="34807" w:name="_Toc394507072"/>
      <w:bookmarkStart w:id="34808" w:name="_Toc394560975"/>
      <w:bookmarkStart w:id="34809" w:name="_Toc394561149"/>
      <w:bookmarkStart w:id="34810" w:name="_Toc394561436"/>
      <w:bookmarkStart w:id="34811" w:name="_Toc394561982"/>
      <w:bookmarkStart w:id="34812" w:name="_Toc394582950"/>
      <w:bookmarkStart w:id="34813" w:name="_Toc394585621"/>
      <w:bookmarkStart w:id="34814" w:name="_Toc394586087"/>
      <w:bookmarkStart w:id="34815" w:name="_Toc394588019"/>
      <w:bookmarkStart w:id="34816" w:name="_Toc394588854"/>
      <w:bookmarkStart w:id="34817" w:name="_Toc394588979"/>
      <w:bookmarkStart w:id="34818" w:name="_Toc394590395"/>
      <w:bookmarkStart w:id="34819" w:name="_Toc394590588"/>
      <w:bookmarkStart w:id="34820" w:name="_Toc394667136"/>
      <w:bookmarkStart w:id="34821" w:name="_Toc394667292"/>
      <w:bookmarkStart w:id="34822" w:name="_Toc394671615"/>
      <w:bookmarkStart w:id="34823" w:name="_Toc394671775"/>
      <w:bookmarkStart w:id="34824" w:name="_Toc394674617"/>
      <w:bookmarkStart w:id="34825" w:name="_Toc394674780"/>
      <w:bookmarkStart w:id="34826" w:name="_Toc394674894"/>
      <w:bookmarkStart w:id="34827" w:name="_Toc394675060"/>
      <w:bookmarkStart w:id="34828" w:name="_Toc394676005"/>
      <w:bookmarkStart w:id="34829" w:name="_Toc394676167"/>
      <w:bookmarkStart w:id="34830" w:name="_Toc394675693"/>
      <w:bookmarkStart w:id="34831" w:name="_Toc394675856"/>
      <w:bookmarkStart w:id="34832" w:name="_Toc394918256"/>
      <w:bookmarkStart w:id="34833" w:name="_Toc394918770"/>
      <w:bookmarkStart w:id="34834" w:name="_Toc394930742"/>
      <w:bookmarkStart w:id="34835" w:name="_Toc394933655"/>
      <w:bookmarkStart w:id="34836" w:name="_Toc394938101"/>
      <w:bookmarkStart w:id="34837" w:name="_Toc394938307"/>
      <w:bookmarkStart w:id="34838" w:name="_Toc394938603"/>
      <w:bookmarkStart w:id="34839" w:name="_Toc394937587"/>
      <w:bookmarkStart w:id="34840" w:name="_Toc394937885"/>
      <w:bookmarkStart w:id="34841" w:name="_Toc394941013"/>
      <w:bookmarkStart w:id="34842" w:name="_Toc394941218"/>
      <w:bookmarkStart w:id="34843" w:name="_Toc394941514"/>
      <w:bookmarkStart w:id="34844" w:name="_Toc394941629"/>
      <w:bookmarkStart w:id="34845" w:name="_Toc394941834"/>
      <w:bookmarkStart w:id="34846" w:name="_Toc394942130"/>
      <w:bookmarkStart w:id="34847" w:name="_Toc394939850"/>
      <w:bookmarkStart w:id="34848" w:name="_Toc394940056"/>
      <w:bookmarkStart w:id="34849" w:name="_Toc394940352"/>
      <w:bookmarkStart w:id="34850" w:name="_Toc394939462"/>
      <w:bookmarkStart w:id="34851" w:name="_Toc394939666"/>
      <w:bookmarkStart w:id="34852" w:name="_Toc394940566"/>
      <w:bookmarkStart w:id="34853" w:name="_Toc394993563"/>
      <w:bookmarkStart w:id="34854" w:name="_Toc394995444"/>
      <w:bookmarkStart w:id="34855" w:name="_Toc394995758"/>
      <w:bookmarkStart w:id="34856" w:name="_Toc394996048"/>
      <w:bookmarkStart w:id="34857" w:name="_Toc394997774"/>
      <w:bookmarkStart w:id="34858" w:name="_Toc394998003"/>
      <w:bookmarkStart w:id="34859" w:name="_Toc394998289"/>
      <w:bookmarkStart w:id="34860" w:name="_Toc394998517"/>
      <w:bookmarkStart w:id="34861" w:name="_Toc395001784"/>
      <w:bookmarkStart w:id="34862" w:name="_Toc395002016"/>
      <w:bookmarkStart w:id="34863" w:name="_Toc395003370"/>
      <w:bookmarkStart w:id="34864" w:name="_Toc395005162"/>
      <w:bookmarkStart w:id="34865" w:name="_Toc395005378"/>
      <w:bookmarkStart w:id="34866" w:name="_Toc395005611"/>
      <w:bookmarkStart w:id="34867" w:name="_Toc395008955"/>
      <w:bookmarkStart w:id="34868" w:name="_Toc395009605"/>
      <w:bookmarkStart w:id="34869" w:name="_Toc395011741"/>
      <w:bookmarkStart w:id="34870" w:name="_Toc395010141"/>
      <w:bookmarkStart w:id="34871" w:name="_Toc395010343"/>
      <w:bookmarkStart w:id="34872" w:name="_Toc395009983"/>
      <w:bookmarkStart w:id="34873" w:name="_Toc395011509"/>
      <w:bookmarkStart w:id="34874" w:name="_Toc395012327"/>
      <w:bookmarkStart w:id="34875" w:name="_Toc395012528"/>
      <w:bookmarkStart w:id="34876" w:name="_Toc395012917"/>
      <w:bookmarkStart w:id="34877" w:name="_Toc395010732"/>
      <w:bookmarkStart w:id="34878" w:name="_Toc395010933"/>
      <w:bookmarkStart w:id="34879" w:name="_Toc395012205"/>
      <w:bookmarkStart w:id="34880" w:name="_Toc395012877"/>
      <w:bookmarkStart w:id="34881" w:name="_Toc395011993"/>
      <w:bookmarkStart w:id="34882" w:name="_Toc395014606"/>
      <w:bookmarkStart w:id="34883" w:name="_Toc395013197"/>
      <w:bookmarkStart w:id="34884" w:name="_Toc395084684"/>
      <w:bookmarkStart w:id="34885" w:name="_Toc395084985"/>
      <w:bookmarkStart w:id="34886" w:name="_Toc395090234"/>
      <w:bookmarkStart w:id="34887" w:name="_Toc395090448"/>
      <w:bookmarkStart w:id="34888" w:name="_Toc395090713"/>
      <w:bookmarkStart w:id="34889" w:name="_Toc395092602"/>
      <w:bookmarkStart w:id="34890" w:name="_Toc395092814"/>
      <w:bookmarkStart w:id="34891" w:name="_Toc395093032"/>
      <w:bookmarkStart w:id="34892" w:name="_Toc395093296"/>
      <w:bookmarkStart w:id="34893" w:name="_Toc395097725"/>
      <w:bookmarkStart w:id="34894" w:name="_Toc395097944"/>
      <w:bookmarkStart w:id="34895" w:name="_Toc395098206"/>
      <w:bookmarkStart w:id="34896" w:name="_Toc395105391"/>
      <w:bookmarkStart w:id="34897" w:name="_Toc395106129"/>
      <w:bookmarkStart w:id="34898" w:name="_Toc395106994"/>
      <w:bookmarkStart w:id="34899" w:name="_Toc395109866"/>
      <w:bookmarkStart w:id="34900" w:name="_Toc395109652"/>
      <w:bookmarkStart w:id="34901" w:name="_Toc395111869"/>
      <w:bookmarkStart w:id="34902" w:name="_Toc395112099"/>
      <w:bookmarkStart w:id="34903" w:name="_Toc395112357"/>
      <w:bookmarkStart w:id="34904" w:name="_Toc395106789"/>
      <w:bookmarkStart w:id="34905" w:name="_Toc395107239"/>
      <w:bookmarkStart w:id="34906" w:name="_Toc395109457"/>
      <w:bookmarkStart w:id="34907" w:name="_Toc395108549"/>
      <w:bookmarkStart w:id="34908" w:name="_Toc395108802"/>
      <w:bookmarkStart w:id="34909" w:name="_Toc395113789"/>
      <w:bookmarkStart w:id="34910" w:name="_Toc395114042"/>
      <w:bookmarkStart w:id="34911" w:name="_Toc395114309"/>
      <w:bookmarkStart w:id="34912" w:name="_Toc395116525"/>
      <w:bookmarkStart w:id="34913" w:name="_Toc395116779"/>
      <w:bookmarkStart w:id="34914" w:name="_Toc395117047"/>
      <w:bookmarkStart w:id="34915" w:name="_Toc395112462"/>
      <w:bookmarkStart w:id="34916" w:name="_Toc395112716"/>
      <w:bookmarkStart w:id="34917" w:name="_Toc395113165"/>
      <w:bookmarkStart w:id="34918" w:name="_Toc395115001"/>
      <w:bookmarkStart w:id="34919" w:name="_Toc395115256"/>
      <w:bookmarkStart w:id="34920" w:name="_Toc395115524"/>
      <w:bookmarkStart w:id="34921" w:name="_Toc395118156"/>
      <w:bookmarkStart w:id="34922" w:name="_Toc395118408"/>
      <w:bookmarkStart w:id="34923" w:name="_Toc395118674"/>
      <w:bookmarkStart w:id="34924" w:name="_Toc395178366"/>
      <w:bookmarkStart w:id="34925" w:name="_Toc395178698"/>
      <w:bookmarkStart w:id="34926" w:name="_Toc395624602"/>
      <w:bookmarkStart w:id="34927" w:name="_Toc395624855"/>
      <w:bookmarkStart w:id="34928" w:name="_Toc395789709"/>
      <w:bookmarkStart w:id="34929" w:name="_Toc395789954"/>
      <w:bookmarkStart w:id="34930" w:name="_Toc395800711"/>
      <w:bookmarkStart w:id="34931" w:name="_Toc395802894"/>
      <w:bookmarkStart w:id="34932" w:name="_Toc395867661"/>
      <w:bookmarkStart w:id="34933" w:name="_Toc395868574"/>
      <w:bookmarkStart w:id="34934" w:name="_Toc395868793"/>
      <w:bookmarkStart w:id="34935" w:name="_Toc395878955"/>
      <w:bookmarkStart w:id="34936" w:name="_Toc395879172"/>
      <w:bookmarkStart w:id="34937" w:name="_Toc395882079"/>
      <w:bookmarkStart w:id="34938" w:name="_Toc395882296"/>
      <w:bookmarkStart w:id="34939" w:name="_Toc395882410"/>
      <w:bookmarkStart w:id="34940" w:name="_Toc395882627"/>
      <w:bookmarkStart w:id="34941" w:name="_Toc395880574"/>
      <w:bookmarkStart w:id="34942" w:name="_Toc395880905"/>
      <w:bookmarkStart w:id="34943" w:name="_Toc395881463"/>
      <w:bookmarkStart w:id="34944" w:name="_Toc395881396"/>
      <w:bookmarkStart w:id="34945" w:name="_Toc395883848"/>
      <w:bookmarkStart w:id="34946" w:name="_Toc395884065"/>
      <w:bookmarkStart w:id="34947" w:name="_Toc395880803"/>
      <w:bookmarkStart w:id="34948" w:name="_Toc395884510"/>
      <w:bookmarkStart w:id="34949" w:name="_Toc395884727"/>
      <w:bookmarkStart w:id="34950" w:name="_Toc395883219"/>
      <w:bookmarkStart w:id="34951" w:name="_Toc395883436"/>
      <w:bookmarkStart w:id="34952" w:name="_Toc395883549"/>
      <w:bookmarkStart w:id="34953" w:name="_Toc395883766"/>
      <w:bookmarkStart w:id="34954" w:name="_Toc395884851"/>
      <w:bookmarkStart w:id="34955" w:name="_Toc396123876"/>
      <w:bookmarkStart w:id="34956" w:name="_Toc396130779"/>
      <w:bookmarkStart w:id="34957" w:name="_Toc396136357"/>
      <w:bookmarkStart w:id="34958" w:name="_Toc396138811"/>
      <w:bookmarkStart w:id="34959" w:name="_Toc396144072"/>
      <w:bookmarkStart w:id="34960" w:name="_Toc396145581"/>
      <w:bookmarkStart w:id="34961" w:name="_Toc396145725"/>
      <w:bookmarkStart w:id="34962" w:name="_Toc396146007"/>
      <w:bookmarkStart w:id="34963" w:name="_Toc396147547"/>
      <w:bookmarkStart w:id="34964" w:name="_Toc396147833"/>
      <w:bookmarkStart w:id="34965" w:name="_Toc396149089"/>
      <w:bookmarkStart w:id="34966" w:name="_Toc396148803"/>
      <w:bookmarkStart w:id="34967" w:name="_Toc396149584"/>
      <w:bookmarkStart w:id="34968" w:name="_Toc396149229"/>
      <w:bookmarkStart w:id="34969" w:name="_Toc396149515"/>
      <w:bookmarkStart w:id="34970" w:name="_Toc396149937"/>
      <w:bookmarkStart w:id="34971" w:name="_Toc396149687"/>
      <w:bookmarkStart w:id="34972" w:name="_Toc396150528"/>
      <w:bookmarkStart w:id="34973" w:name="_Toc396151417"/>
      <w:bookmarkStart w:id="34974" w:name="_Toc396151711"/>
      <w:bookmarkStart w:id="34975" w:name="_Toc396201638"/>
      <w:bookmarkStart w:id="34976" w:name="_Toc396202428"/>
      <w:bookmarkStart w:id="34977" w:name="_Toc396202723"/>
      <w:bookmarkStart w:id="34978" w:name="_Toc396203340"/>
      <w:bookmarkStart w:id="34979" w:name="_Toc396206636"/>
      <w:bookmarkStart w:id="34980" w:name="_Toc396206930"/>
      <w:bookmarkStart w:id="34981" w:name="_Toc396209464"/>
      <w:bookmarkStart w:id="34982" w:name="_Toc396209758"/>
      <w:bookmarkStart w:id="34983" w:name="_Toc396211888"/>
      <w:bookmarkStart w:id="34984" w:name="_Toc396212182"/>
      <w:bookmarkStart w:id="34985" w:name="_Toc396213232"/>
      <w:bookmarkStart w:id="34986" w:name="_Toc396213524"/>
      <w:bookmarkStart w:id="34987" w:name="_Toc396214510"/>
      <w:bookmarkStart w:id="34988" w:name="_Toc396214800"/>
      <w:bookmarkStart w:id="34989" w:name="_Toc396220360"/>
      <w:bookmarkStart w:id="34990" w:name="_Toc396226622"/>
      <w:bookmarkStart w:id="34991" w:name="_Toc396226911"/>
      <w:bookmarkStart w:id="34992" w:name="_Toc396228822"/>
      <w:bookmarkStart w:id="34993" w:name="_Toc396229117"/>
      <w:bookmarkStart w:id="34994" w:name="_Toc396230759"/>
      <w:bookmarkStart w:id="34995" w:name="_Toc396231901"/>
      <w:bookmarkStart w:id="34996" w:name="_Toc396233244"/>
      <w:bookmarkStart w:id="34997" w:name="_Toc396233541"/>
      <w:bookmarkStart w:id="34998" w:name="_Toc396234064"/>
      <w:bookmarkStart w:id="34999" w:name="_Toc396234361"/>
      <w:bookmarkStart w:id="35000" w:name="_Toc396234474"/>
      <w:bookmarkStart w:id="35001" w:name="_Toc396236208"/>
      <w:bookmarkStart w:id="35002" w:name="_Toc396235986"/>
      <w:bookmarkStart w:id="35003" w:name="_Toc396236596"/>
      <w:bookmarkStart w:id="35004" w:name="_Toc396237115"/>
      <w:bookmarkStart w:id="35005" w:name="_Toc396397458"/>
      <w:bookmarkStart w:id="35006" w:name="_Toc396304639"/>
      <w:bookmarkStart w:id="35007" w:name="_Toc396586174"/>
      <w:bookmarkStart w:id="35008" w:name="_Toc396815195"/>
      <w:bookmarkStart w:id="35009" w:name="_Toc396821144"/>
      <w:bookmarkStart w:id="35010" w:name="_Toc396821752"/>
      <w:bookmarkStart w:id="35011" w:name="_Toc396827602"/>
      <w:bookmarkStart w:id="35012" w:name="_Toc396828573"/>
      <w:bookmarkStart w:id="35013" w:name="_Toc396828683"/>
      <w:bookmarkStart w:id="35014" w:name="_Toc396838072"/>
      <w:bookmarkStart w:id="35015" w:name="_Toc396838470"/>
      <w:bookmarkStart w:id="35016" w:name="_Toc396904793"/>
      <w:bookmarkStart w:id="35017" w:name="_Toc396907627"/>
      <w:bookmarkStart w:id="35018" w:name="_Toc396912546"/>
      <w:bookmarkStart w:id="35019" w:name="_Toc396914526"/>
      <w:bookmarkStart w:id="35020" w:name="_Toc396915410"/>
      <w:bookmarkStart w:id="35021" w:name="_Toc396915804"/>
      <w:bookmarkStart w:id="35022" w:name="_Toc396921115"/>
      <w:bookmarkStart w:id="35023" w:name="_Toc396924455"/>
      <w:bookmarkStart w:id="35024" w:name="_Toc396925149"/>
      <w:bookmarkStart w:id="35025" w:name="_Toc396992269"/>
      <w:bookmarkStart w:id="35026" w:name="_Toc396992848"/>
      <w:bookmarkStart w:id="35027" w:name="_Toc396994512"/>
      <w:bookmarkStart w:id="35028" w:name="_Toc397002282"/>
      <w:bookmarkStart w:id="35029" w:name="_Toc397003201"/>
      <w:bookmarkStart w:id="35030" w:name="_Toc397008759"/>
      <w:bookmarkStart w:id="35031" w:name="_Toc397008977"/>
      <w:bookmarkStart w:id="35032" w:name="_Toc397011649"/>
      <w:bookmarkStart w:id="35033" w:name="_Toc397012711"/>
      <w:bookmarkStart w:id="35034" w:name="_Toc397015053"/>
      <w:bookmarkStart w:id="35035" w:name="_Toc397015540"/>
      <w:bookmarkStart w:id="35036" w:name="_Toc397070611"/>
      <w:bookmarkStart w:id="35037" w:name="_Toc397413365"/>
      <w:bookmarkStart w:id="35038" w:name="_Toc397413512"/>
      <w:bookmarkStart w:id="35039" w:name="_Toc397428081"/>
      <w:bookmarkStart w:id="35040" w:name="_Toc397439471"/>
      <w:bookmarkStart w:id="35041" w:name="_Toc397439641"/>
      <w:bookmarkStart w:id="35042" w:name="_Toc397439897"/>
      <w:bookmarkStart w:id="35043" w:name="_Toc397440199"/>
      <w:bookmarkStart w:id="35044" w:name="_Toc397441828"/>
      <w:bookmarkStart w:id="35045" w:name="_Toc397517530"/>
      <w:bookmarkStart w:id="35046" w:name="_Toc397522795"/>
      <w:bookmarkStart w:id="35047" w:name="_Toc397526213"/>
      <w:bookmarkStart w:id="35048" w:name="_Toc397528413"/>
      <w:bookmarkStart w:id="35049" w:name="_Toc397528528"/>
      <w:bookmarkStart w:id="35050" w:name="_Toc397529003"/>
      <w:bookmarkStart w:id="35051" w:name="_Toc397602001"/>
      <w:bookmarkStart w:id="35052" w:name="_Toc397602736"/>
      <w:bookmarkStart w:id="35053" w:name="_Toc397605869"/>
      <w:bookmarkStart w:id="35054" w:name="_Toc397614566"/>
      <w:bookmarkStart w:id="35055" w:name="_Toc397615009"/>
      <w:bookmarkStart w:id="35056" w:name="_Toc397616452"/>
      <w:bookmarkStart w:id="35057" w:name="_Toc397616846"/>
      <w:bookmarkStart w:id="35058" w:name="_Toc397688144"/>
      <w:bookmarkStart w:id="35059" w:name="_Toc397689360"/>
      <w:bookmarkStart w:id="35060" w:name="_Toc397694640"/>
      <w:bookmarkStart w:id="35061" w:name="_Toc397696481"/>
      <w:bookmarkStart w:id="35062" w:name="_Toc397697215"/>
      <w:bookmarkStart w:id="35063" w:name="_Toc397698502"/>
      <w:bookmarkStart w:id="35064" w:name="_Toc397699868"/>
      <w:bookmarkStart w:id="35065" w:name="_Toc397700322"/>
      <w:bookmarkStart w:id="35066" w:name="_Toc397936715"/>
      <w:bookmarkStart w:id="35067" w:name="_Toc397936835"/>
      <w:bookmarkStart w:id="35068" w:name="_Toc397945991"/>
      <w:bookmarkStart w:id="35069" w:name="_Toc397947017"/>
      <w:bookmarkStart w:id="35070" w:name="_Toc397948136"/>
      <w:bookmarkStart w:id="35071" w:name="_Toc397958542"/>
      <w:bookmarkStart w:id="35072" w:name="_Toc397958784"/>
      <w:bookmarkStart w:id="35073" w:name="_Toc397959199"/>
      <w:bookmarkStart w:id="35074" w:name="_Toc397962266"/>
      <w:bookmarkStart w:id="35075" w:name="_Toc397963052"/>
      <w:bookmarkStart w:id="35076" w:name="_Toc397963418"/>
      <w:bookmarkStart w:id="35077" w:name="_Toc397965495"/>
      <w:bookmarkStart w:id="35078" w:name="_Toc398197433"/>
      <w:bookmarkStart w:id="35079" w:name="_Toc398200058"/>
      <w:bookmarkStart w:id="35080" w:name="_Toc398200324"/>
      <w:bookmarkStart w:id="35081" w:name="_Toc398201650"/>
      <w:bookmarkStart w:id="35082" w:name="_Toc398207255"/>
      <w:bookmarkStart w:id="35083" w:name="_Toc398209959"/>
      <w:bookmarkStart w:id="35084" w:name="_Toc398210528"/>
      <w:bookmarkStart w:id="35085" w:name="_Toc398211042"/>
      <w:bookmarkStart w:id="35086" w:name="_Toc398219853"/>
      <w:bookmarkStart w:id="35087" w:name="_Toc398220228"/>
      <w:bookmarkStart w:id="35088" w:name="_Toc398220615"/>
      <w:bookmarkStart w:id="35089" w:name="_Toc398221693"/>
      <w:bookmarkStart w:id="35090" w:name="_Toc398222379"/>
      <w:bookmarkStart w:id="35091" w:name="_Toc398222691"/>
      <w:bookmarkStart w:id="35092" w:name="_Toc398223108"/>
      <w:bookmarkStart w:id="35093" w:name="_Toc398223487"/>
      <w:bookmarkStart w:id="35094" w:name="_Toc398223614"/>
      <w:bookmarkStart w:id="35095" w:name="_Toc398224422"/>
      <w:bookmarkStart w:id="35096" w:name="_Toc398225759"/>
      <w:bookmarkStart w:id="35097" w:name="_Toc398225884"/>
      <w:bookmarkStart w:id="35098" w:name="_Toc398281371"/>
      <w:bookmarkStart w:id="35099" w:name="_Toc398282230"/>
      <w:bookmarkStart w:id="35100" w:name="_Toc398284900"/>
      <w:bookmarkStart w:id="35101" w:name="_Toc398287369"/>
      <w:bookmarkStart w:id="35102" w:name="_Toc398289252"/>
      <w:bookmarkStart w:id="35103" w:name="_Toc398297249"/>
      <w:bookmarkStart w:id="35104" w:name="_Toc398298723"/>
      <w:bookmarkStart w:id="35105" w:name="_Toc398301321"/>
      <w:bookmarkStart w:id="35106" w:name="_Toc398302506"/>
      <w:bookmarkStart w:id="35107" w:name="_Toc398302669"/>
      <w:bookmarkStart w:id="35108" w:name="_Toc398549183"/>
      <w:bookmarkStart w:id="35109" w:name="_Toc398549433"/>
      <w:bookmarkStart w:id="35110" w:name="_Toc398555852"/>
      <w:bookmarkStart w:id="35111" w:name="_Toc398559056"/>
      <w:bookmarkStart w:id="35112" w:name="_Toc398563542"/>
      <w:bookmarkStart w:id="35113" w:name="_Toc398563675"/>
      <w:bookmarkStart w:id="35114" w:name="_Toc398564074"/>
      <w:bookmarkStart w:id="35115" w:name="_Toc398827412"/>
      <w:bookmarkStart w:id="35116" w:name="_Toc398827606"/>
      <w:bookmarkStart w:id="35117" w:name="Ch21"/>
      <w:r w:rsidRPr="008625DC">
        <w:lastRenderedPageBreak/>
        <w:t>National Access Regime</w:t>
      </w:r>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bookmarkEnd w:id="34849"/>
      <w:bookmarkEnd w:id="34850"/>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bookmarkEnd w:id="34874"/>
      <w:bookmarkEnd w:id="34875"/>
      <w:bookmarkEnd w:id="34876"/>
      <w:bookmarkEnd w:id="34877"/>
      <w:bookmarkEnd w:id="34878"/>
      <w:bookmarkEnd w:id="34879"/>
      <w:bookmarkEnd w:id="34880"/>
      <w:bookmarkEnd w:id="34881"/>
      <w:bookmarkEnd w:id="34882"/>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p>
    <w:bookmarkEnd w:id="35117"/>
    <w:p w14:paraId="6A0A5C2B" w14:textId="1930F5AF" w:rsidR="00862A34" w:rsidRPr="008625DC" w:rsidRDefault="00862A34" w:rsidP="00862A34">
      <w:r w:rsidRPr="008625DC">
        <w:t>Competition in some markets depends on access to infrastructure facilities that occupy strategic positions in an industry (so</w:t>
      </w:r>
      <w:r w:rsidR="00C74E19" w:rsidRPr="008625DC">
        <w:noBreakHyphen/>
      </w:r>
      <w:r w:rsidRPr="008625DC">
        <w:t xml:space="preserve">called </w:t>
      </w:r>
      <w:r w:rsidR="00C74E19" w:rsidRPr="008625DC">
        <w:t>‘</w:t>
      </w:r>
      <w:r w:rsidRPr="008625DC">
        <w:t>essential</w:t>
      </w:r>
      <w:r w:rsidR="00C74E19" w:rsidRPr="008625DC">
        <w:t>’</w:t>
      </w:r>
      <w:r w:rsidRPr="008625DC">
        <w:t xml:space="preserve"> or </w:t>
      </w:r>
      <w:r w:rsidR="00C74E19" w:rsidRPr="008625DC">
        <w:t>‘</w:t>
      </w:r>
      <w:r w:rsidRPr="008625DC">
        <w:t>bottleneck</w:t>
      </w:r>
      <w:r w:rsidR="00C74E19" w:rsidRPr="008625DC">
        <w:t>’</w:t>
      </w:r>
      <w:r w:rsidRPr="008625DC">
        <w:t xml:space="preserve"> facilities). </w:t>
      </w:r>
    </w:p>
    <w:p w14:paraId="2A7ED12A" w14:textId="641790FF" w:rsidR="00862A34" w:rsidRPr="008625DC" w:rsidRDefault="00862A34" w:rsidP="00862A34">
      <w:r w:rsidRPr="008625DC">
        <w:t xml:space="preserve">The National Access Regime </w:t>
      </w:r>
      <w:r w:rsidR="0074774A" w:rsidRPr="008625DC">
        <w:t xml:space="preserve">(the Regime) </w:t>
      </w:r>
      <w:r w:rsidRPr="008625DC">
        <w:t xml:space="preserve">in Part IIIA of the CCA provides a legal framework by which third parties can seek and obtain access to such facilities in order to compete, or compete more effectively, in upstream and downstream markets. </w:t>
      </w:r>
    </w:p>
    <w:p w14:paraId="5E2AEF2E" w14:textId="77777777" w:rsidR="00862A34" w:rsidRPr="008625DC" w:rsidRDefault="00862A34" w:rsidP="001A6E95">
      <w:pPr>
        <w:spacing w:after="120"/>
      </w:pPr>
      <w:r w:rsidRPr="008625DC">
        <w:t>The two objectives of the Regime, as stated in the objects clause of Part IIIA, are:</w:t>
      </w:r>
    </w:p>
    <w:p w14:paraId="2906DEDB" w14:textId="0CFDB0D7" w:rsidR="00EC66E2" w:rsidRPr="008625DC" w:rsidRDefault="00AA4806" w:rsidP="001A6E95">
      <w:pPr>
        <w:pStyle w:val="Quotes"/>
        <w:spacing w:after="120"/>
      </w:pPr>
      <w:r>
        <w:t>T</w:t>
      </w:r>
      <w:r w:rsidR="00EC66E2" w:rsidRPr="008625DC">
        <w:t>o promote the economically efficient operation of, use of, and investment in the infrastructure by which services are provided, thereby promoting effective competition in upstream and downstream markets; and</w:t>
      </w:r>
    </w:p>
    <w:p w14:paraId="07A04BB5" w14:textId="7BDCB3F1" w:rsidR="00EC66E2" w:rsidRPr="008625DC" w:rsidRDefault="001A6E95" w:rsidP="00EC66E2">
      <w:pPr>
        <w:pStyle w:val="Quotes"/>
      </w:pPr>
      <w:r w:rsidRPr="008625DC">
        <w:t>T</w:t>
      </w:r>
      <w:r w:rsidR="00EC66E2" w:rsidRPr="008625DC">
        <w:t xml:space="preserve">o provide </w:t>
      </w:r>
      <w:r w:rsidR="00CF5493" w:rsidRPr="008625DC">
        <w:t xml:space="preserve">a </w:t>
      </w:r>
      <w:r w:rsidR="00EC66E2" w:rsidRPr="008625DC">
        <w:t>framework and guiding principles to encourage a consistent approach to access regulation in each industry.</w:t>
      </w:r>
      <w:r w:rsidR="00EC66E2" w:rsidRPr="008625DC">
        <w:rPr>
          <w:rStyle w:val="FootnoteReference"/>
        </w:rPr>
        <w:footnoteReference w:id="362"/>
      </w:r>
    </w:p>
    <w:p w14:paraId="68D91F99" w14:textId="56E6175A" w:rsidR="00862A34" w:rsidRPr="008625DC" w:rsidRDefault="00862A34" w:rsidP="00862A34">
      <w:r w:rsidRPr="008625DC">
        <w:t xml:space="preserve">Generally, to gain access to </w:t>
      </w:r>
      <w:r w:rsidR="00FA17C7" w:rsidRPr="008625DC">
        <w:t>bottleneck</w:t>
      </w:r>
      <w:r w:rsidRPr="008625DC">
        <w:t xml:space="preserve"> infrastructure under the Regime, two steps must be taken.</w:t>
      </w:r>
      <w:r w:rsidR="008003B6" w:rsidRPr="008625DC">
        <w:rPr>
          <w:rStyle w:val="FootnoteReference"/>
        </w:rPr>
        <w:footnoteReference w:id="363"/>
      </w:r>
    </w:p>
    <w:p w14:paraId="6C9E1A27" w14:textId="69B11F92" w:rsidR="00862A34" w:rsidRPr="008625DC" w:rsidRDefault="00862A34" w:rsidP="00862A34">
      <w:r w:rsidRPr="008625DC">
        <w:t xml:space="preserve">First, an application must be made to the </w:t>
      </w:r>
      <w:r w:rsidR="0074774A" w:rsidRPr="008625DC">
        <w:t>National Competition Council (</w:t>
      </w:r>
      <w:r w:rsidRPr="008625DC">
        <w:t>NCC</w:t>
      </w:r>
      <w:r w:rsidR="0074774A" w:rsidRPr="008625DC">
        <w:t>)</w:t>
      </w:r>
      <w:r w:rsidRPr="008625DC">
        <w:t xml:space="preserve"> to recommend declaration of the infrastructure service, and the relevant Minister must then accept the recommendation and declare the service. To recommend declaration of an infrastructure service and declare the service, the NCC and the Minister respectively must be satisfied of specified criteria concerning the service (see Box </w:t>
      </w:r>
      <w:r w:rsidR="00F96079" w:rsidRPr="008625DC">
        <w:t>21.1</w:t>
      </w:r>
      <w:r w:rsidRPr="008625DC">
        <w:t>). Declaration activates the arbitration processes under the Regime.</w:t>
      </w:r>
    </w:p>
    <w:p w14:paraId="085E47C0" w14:textId="541AB907" w:rsidR="00862A34" w:rsidRPr="008625DC" w:rsidRDefault="00862A34" w:rsidP="00862A34">
      <w:r w:rsidRPr="008625DC">
        <w:t xml:space="preserve">Second, the person seeking access must request access from the infrastructure owner. If negotiations fail, terms and conditions of access can be arbitrated </w:t>
      </w:r>
      <w:r w:rsidR="0074774A" w:rsidRPr="008625DC">
        <w:t>by</w:t>
      </w:r>
      <w:r w:rsidRPr="008625DC">
        <w:t xml:space="preserve"> the ACCC. </w:t>
      </w:r>
    </w:p>
    <w:p w14:paraId="6736CA7E" w14:textId="0471DF38" w:rsidR="00CA1A0F" w:rsidRPr="008625DC" w:rsidRDefault="00CA1A0F" w:rsidP="00CA1A0F">
      <w:r w:rsidRPr="008625DC">
        <w:t xml:space="preserve">The Panel has recommended combining the roles of the NCC and the ACCC under the Regime in the proposed access and pricing regulator. See </w:t>
      </w:r>
      <w:hyperlink w:anchor="Ch24" w:history="1">
        <w:r w:rsidRPr="008625DC">
          <w:rPr>
            <w:rStyle w:val="Hyperlink"/>
          </w:rPr>
          <w:t>Chapter 2</w:t>
        </w:r>
        <w:r w:rsidR="00FA17C7" w:rsidRPr="008625DC">
          <w:rPr>
            <w:rStyle w:val="Hyperlink"/>
          </w:rPr>
          <w:t>4</w:t>
        </w:r>
      </w:hyperlink>
      <w:r w:rsidRPr="008625DC">
        <w:t xml:space="preserve"> for further discussion of these issues.</w:t>
      </w:r>
    </w:p>
    <w:tbl>
      <w:tblPr>
        <w:tblW w:w="9072" w:type="dxa"/>
        <w:tblInd w:w="108" w:type="dxa"/>
        <w:shd w:val="clear" w:color="auto" w:fill="E6E6E6"/>
        <w:tblLook w:val="01E0" w:firstRow="1" w:lastRow="1" w:firstColumn="1" w:lastColumn="1" w:noHBand="0" w:noVBand="0"/>
      </w:tblPr>
      <w:tblGrid>
        <w:gridCol w:w="9072"/>
      </w:tblGrid>
      <w:tr w:rsidR="00CF5493" w:rsidRPr="008625DC" w14:paraId="36163F52" w14:textId="77777777" w:rsidTr="00451102">
        <w:tc>
          <w:tcPr>
            <w:tcW w:w="5000" w:type="pct"/>
            <w:shd w:val="clear" w:color="auto" w:fill="E6E6E6"/>
          </w:tcPr>
          <w:p w14:paraId="190E5FFB" w14:textId="6ED5EEDD" w:rsidR="00CF5493" w:rsidRPr="008625DC" w:rsidRDefault="00CF5493" w:rsidP="00451102">
            <w:pPr>
              <w:pStyle w:val="BoxHeading"/>
            </w:pPr>
            <w:r w:rsidRPr="008625DC">
              <w:lastRenderedPageBreak/>
              <w:t xml:space="preserve">Box </w:t>
            </w:r>
            <w:r w:rsidR="00F96079" w:rsidRPr="008625DC">
              <w:t>21</w:t>
            </w:r>
            <w:r w:rsidRPr="008625DC">
              <w:t>.</w:t>
            </w:r>
            <w:r w:rsidR="004C18D8" w:rsidRPr="008625DC">
              <w:t>1</w:t>
            </w:r>
            <w:r w:rsidRPr="008625DC">
              <w:t xml:space="preserve">: Declaration </w:t>
            </w:r>
            <w:r w:rsidR="0074774A" w:rsidRPr="008625DC">
              <w:t>c</w:t>
            </w:r>
            <w:r w:rsidRPr="008625DC">
              <w:t>riteria in the CCA (s</w:t>
            </w:r>
            <w:r w:rsidR="00862A34" w:rsidRPr="008625DC">
              <w:t>ections </w:t>
            </w:r>
            <w:r w:rsidRPr="008625DC">
              <w:t>44G</w:t>
            </w:r>
            <w:r w:rsidR="00862A34" w:rsidRPr="008625DC">
              <w:t xml:space="preserve"> and 44H</w:t>
            </w:r>
            <w:r w:rsidRPr="008625DC">
              <w:t xml:space="preserve">) </w:t>
            </w:r>
          </w:p>
          <w:p w14:paraId="5784DF1F" w14:textId="7F3B1DCE" w:rsidR="00CF5493" w:rsidRPr="008625DC" w:rsidRDefault="00CF5493" w:rsidP="001D0F57">
            <w:pPr>
              <w:pStyle w:val="BoxText"/>
            </w:pPr>
            <w:r w:rsidRPr="008625DC">
              <w:t xml:space="preserve">The </w:t>
            </w:r>
            <w:r w:rsidR="00862A34" w:rsidRPr="008625DC">
              <w:t>NCC</w:t>
            </w:r>
            <w:r w:rsidRPr="008625DC">
              <w:t xml:space="preserve"> cannot recommend that a service be declared</w:t>
            </w:r>
            <w:r w:rsidR="00862A34" w:rsidRPr="008625DC">
              <w:t>, and the Minister cannot declare a service,</w:t>
            </w:r>
            <w:r w:rsidRPr="008625DC">
              <w:t xml:space="preserve"> unless </w:t>
            </w:r>
            <w:r w:rsidR="00862A34" w:rsidRPr="008625DC">
              <w:t>they are</w:t>
            </w:r>
            <w:r w:rsidRPr="008625DC">
              <w:t xml:space="preserve"> satisfied of all of the following matters:</w:t>
            </w:r>
          </w:p>
          <w:p w14:paraId="1F709848" w14:textId="0CEBA7DC" w:rsidR="00CF5493" w:rsidRPr="008625DC" w:rsidRDefault="00CF5493" w:rsidP="007E083E">
            <w:pPr>
              <w:pStyle w:val="ListParagraph"/>
              <w:numPr>
                <w:ilvl w:val="4"/>
                <w:numId w:val="56"/>
              </w:numPr>
              <w:ind w:left="885"/>
            </w:pPr>
            <w:r w:rsidRPr="008625DC">
              <w:t>that access (or increased access) to the service would promote a material increase in competition in at least one market (whether or not in Australia), other than the market for the service;</w:t>
            </w:r>
          </w:p>
          <w:p w14:paraId="3D8ECAD6" w14:textId="47934C48" w:rsidR="00CF5493" w:rsidRPr="008625DC" w:rsidRDefault="00CF5493" w:rsidP="007E083E">
            <w:pPr>
              <w:pStyle w:val="ListParagraph"/>
              <w:numPr>
                <w:ilvl w:val="4"/>
                <w:numId w:val="56"/>
              </w:numPr>
              <w:ind w:left="885"/>
            </w:pPr>
            <w:r w:rsidRPr="008625DC">
              <w:t>that it would be uneconomical for anyone to develop another facility to provide the service;</w:t>
            </w:r>
          </w:p>
          <w:p w14:paraId="2A0854ED" w14:textId="78E24A2F" w:rsidR="00CF5493" w:rsidRPr="008625DC" w:rsidRDefault="00CF5493" w:rsidP="007E083E">
            <w:pPr>
              <w:pStyle w:val="ListParagraph"/>
              <w:numPr>
                <w:ilvl w:val="4"/>
                <w:numId w:val="56"/>
              </w:numPr>
              <w:ind w:left="885"/>
            </w:pPr>
            <w:r w:rsidRPr="008625DC">
              <w:t>that the facility is of national significance, having regard to:</w:t>
            </w:r>
          </w:p>
          <w:p w14:paraId="1CAED221" w14:textId="36012876" w:rsidR="00CF5493" w:rsidRPr="008625DC" w:rsidRDefault="00CF5493" w:rsidP="0058721A">
            <w:pPr>
              <w:pStyle w:val="ListParagraph"/>
              <w:numPr>
                <w:ilvl w:val="5"/>
                <w:numId w:val="58"/>
              </w:numPr>
              <w:ind w:left="1452"/>
            </w:pPr>
            <w:r w:rsidRPr="008625DC">
              <w:t>the size of the facility; or</w:t>
            </w:r>
          </w:p>
          <w:p w14:paraId="79C00125" w14:textId="6579FE59" w:rsidR="00CF5493" w:rsidRPr="008625DC" w:rsidRDefault="00CF5493" w:rsidP="0058721A">
            <w:pPr>
              <w:pStyle w:val="ListParagraph"/>
              <w:numPr>
                <w:ilvl w:val="5"/>
                <w:numId w:val="58"/>
              </w:numPr>
              <w:ind w:left="1452"/>
            </w:pPr>
            <w:r w:rsidRPr="008625DC">
              <w:t>the importance of the facility to constitutional trade or commerce; or</w:t>
            </w:r>
          </w:p>
          <w:p w14:paraId="55F8DB61" w14:textId="141F811D" w:rsidR="00CF5493" w:rsidRPr="008625DC" w:rsidRDefault="00CF5493" w:rsidP="0058721A">
            <w:pPr>
              <w:pStyle w:val="ListParagraph"/>
              <w:numPr>
                <w:ilvl w:val="5"/>
                <w:numId w:val="58"/>
              </w:numPr>
              <w:ind w:left="1452"/>
            </w:pPr>
            <w:r w:rsidRPr="008625DC">
              <w:t>the importance of the facility to the national economy;</w:t>
            </w:r>
          </w:p>
          <w:p w14:paraId="47050A81" w14:textId="5C0DCA76" w:rsidR="00CF5493" w:rsidRPr="008625DC" w:rsidRDefault="00CF5493" w:rsidP="007E083E">
            <w:pPr>
              <w:pStyle w:val="ListParagraph"/>
              <w:tabs>
                <w:tab w:val="left" w:pos="885"/>
              </w:tabs>
              <w:ind w:left="885" w:hanging="284"/>
            </w:pPr>
            <w:r w:rsidRPr="008625DC">
              <w:t>e)</w:t>
            </w:r>
            <w:r w:rsidR="007E083E" w:rsidRPr="008625DC">
              <w:t xml:space="preserve"> </w:t>
            </w:r>
            <w:r w:rsidR="0058721A" w:rsidRPr="008625DC">
              <w:tab/>
            </w:r>
            <w:r w:rsidR="001A6E95" w:rsidRPr="008625DC">
              <w:t>that access to the service:</w:t>
            </w:r>
            <w:r w:rsidR="008E0DB7" w:rsidRPr="008625DC">
              <w:rPr>
                <w:rStyle w:val="FootnoteReference"/>
              </w:rPr>
              <w:footnoteReference w:id="364"/>
            </w:r>
            <w:r w:rsidRPr="008625DC">
              <w:t xml:space="preserve"> </w:t>
            </w:r>
          </w:p>
          <w:p w14:paraId="2770D0C7" w14:textId="5CC7AB29" w:rsidR="00CF5493" w:rsidRPr="008625DC" w:rsidRDefault="00CF5493" w:rsidP="0058721A">
            <w:pPr>
              <w:pStyle w:val="ListParagraph"/>
              <w:numPr>
                <w:ilvl w:val="5"/>
                <w:numId w:val="60"/>
              </w:numPr>
              <w:ind w:left="1452"/>
            </w:pPr>
            <w:r w:rsidRPr="008625DC">
              <w:t>is not already the subject of a regime in relation to which a decision under section 44N that the regime is an effective access regime is in force (including as a result of an extension under section 44NB); or</w:t>
            </w:r>
          </w:p>
          <w:p w14:paraId="2E063AEF" w14:textId="72FE18A3" w:rsidR="00CF5493" w:rsidRPr="008625DC" w:rsidRDefault="00CF5493" w:rsidP="0058721A">
            <w:pPr>
              <w:pStyle w:val="ListParagraph"/>
              <w:numPr>
                <w:ilvl w:val="5"/>
                <w:numId w:val="60"/>
              </w:numPr>
              <w:ind w:left="1452"/>
            </w:pPr>
            <w:r w:rsidRPr="008625DC">
              <w:t xml:space="preserve">is the subject of a regime in relation to which a decision under section 44N that the regime is an effective access regime is in force (including as a result of an extension under section 44NB), but the </w:t>
            </w:r>
            <w:r w:rsidR="0074774A" w:rsidRPr="008625DC">
              <w:t>NCC</w:t>
            </w:r>
            <w:r w:rsidRPr="008625DC">
              <w:t xml:space="preserve"> believes that, since the Commonwealth Minister</w:t>
            </w:r>
            <w:r w:rsidR="00C74E19" w:rsidRPr="008625DC">
              <w:t>’</w:t>
            </w:r>
            <w:r w:rsidRPr="008625DC">
              <w:t>s decision was published, there have been substantial modifications of the access regime or of the relevant principles set out in the Competition Principles Agreement;</w:t>
            </w:r>
          </w:p>
          <w:p w14:paraId="400FB818" w14:textId="48F0E1A8" w:rsidR="00CF5493" w:rsidRPr="008625DC" w:rsidRDefault="00CF5493" w:rsidP="0058721A">
            <w:pPr>
              <w:pStyle w:val="ListParagraph"/>
              <w:tabs>
                <w:tab w:val="left" w:pos="885"/>
              </w:tabs>
              <w:spacing w:after="120"/>
              <w:ind w:left="885" w:hanging="284"/>
            </w:pPr>
            <w:r w:rsidRPr="008625DC">
              <w:t xml:space="preserve">f) </w:t>
            </w:r>
            <w:r w:rsidR="0058721A" w:rsidRPr="008625DC">
              <w:tab/>
            </w:r>
            <w:r w:rsidRPr="008625DC">
              <w:t>that access (or increased access) to the service would not be contrary to the public interest.</w:t>
            </w:r>
          </w:p>
        </w:tc>
      </w:tr>
    </w:tbl>
    <w:p w14:paraId="67B5367E" w14:textId="45B6D1A1" w:rsidR="00862A34" w:rsidRPr="008625DC" w:rsidRDefault="00862A34" w:rsidP="0058721A">
      <w:pPr>
        <w:spacing w:before="240" w:after="120"/>
      </w:pPr>
      <w:r w:rsidRPr="008625DC">
        <w:t>There are four regulatory processes by which an infrastructure service may be exempted from declaration under Part IIIA</w:t>
      </w:r>
      <w:r w:rsidR="00896B1A" w:rsidRPr="008625DC">
        <w:t>.</w:t>
      </w:r>
      <w:r w:rsidRPr="008625DC">
        <w:t xml:space="preserve"> </w:t>
      </w:r>
    </w:p>
    <w:p w14:paraId="2DF86800" w14:textId="77777777" w:rsidR="00862A34" w:rsidRPr="008625DC" w:rsidRDefault="00862A34" w:rsidP="00862A34">
      <w:pPr>
        <w:pStyle w:val="Bullet"/>
      </w:pPr>
      <w:r w:rsidRPr="008625DC">
        <w:t>Prior to the construction of a new facility, the operator of the proposed facility may apply to the NCC for a recommendation to the relevant Minister that the facility be ineligible for declaration. The facility will become ineligible if the Minister makes that decision. The Minister may only make that decision if the Minister is satisfied that one of the declaration criteria will not be fulfilled.</w:t>
      </w:r>
    </w:p>
    <w:p w14:paraId="2DBA94E1" w14:textId="3AC04048" w:rsidR="00862A34" w:rsidRPr="008625DC" w:rsidRDefault="00862A34" w:rsidP="00862A34">
      <w:pPr>
        <w:pStyle w:val="Bullet"/>
      </w:pPr>
      <w:r w:rsidRPr="008625DC">
        <w:t>A State or Territory may</w:t>
      </w:r>
      <w:r w:rsidR="00071FC1" w:rsidRPr="008625DC">
        <w:rPr>
          <w:rStyle w:val="FootnoteReference"/>
        </w:rPr>
        <w:footnoteReference w:id="365"/>
      </w:r>
      <w:r w:rsidRPr="008625DC">
        <w:t xml:space="preserve"> apply to the NCC for a recommendation to the relevant Commonwealth Minister that an access regime for a particular infrastructure service in that State or Territory is </w:t>
      </w:r>
      <w:r w:rsidR="00C74E19" w:rsidRPr="008625DC">
        <w:t>‘</w:t>
      </w:r>
      <w:r w:rsidRPr="008625DC">
        <w:t>effective</w:t>
      </w:r>
      <w:r w:rsidR="00C74E19" w:rsidRPr="008625DC">
        <w:t>’</w:t>
      </w:r>
      <w:r w:rsidRPr="008625DC">
        <w:t>. The infrastructure service will be exempted from declaration if the Commonwealth Minister makes that decision. The criteria to be applied for that decision are set out in the Competition Principles Agreement.</w:t>
      </w:r>
      <w:r w:rsidR="00466E66" w:rsidRPr="008625DC">
        <w:rPr>
          <w:rStyle w:val="FootnoteReference"/>
        </w:rPr>
        <w:footnoteReference w:id="366"/>
      </w:r>
    </w:p>
    <w:p w14:paraId="69EE3D26" w14:textId="77777777" w:rsidR="00862A34" w:rsidRPr="008625DC" w:rsidRDefault="00862A34" w:rsidP="00862A34">
      <w:pPr>
        <w:pStyle w:val="Bullet"/>
      </w:pPr>
      <w:r w:rsidRPr="008625DC">
        <w:t>The Commonwealth or a State or Territory may apply to the ACCC for approval of a competitive tender process for the construction and operation of an infrastructure facility that is to be publicly owned. The facility will be exempted from declaration if the ACCC makes that decision. The ACCC may only approve the tender process if it is satisfied that reasonable terms and conditions of access to the facility will be the result of the tender process.</w:t>
      </w:r>
    </w:p>
    <w:p w14:paraId="73ACCA98" w14:textId="77777777" w:rsidR="00862A34" w:rsidRPr="008625DC" w:rsidRDefault="00862A34" w:rsidP="0058721A">
      <w:pPr>
        <w:pStyle w:val="Bullet"/>
        <w:spacing w:after="240"/>
      </w:pPr>
      <w:r w:rsidRPr="008625DC">
        <w:lastRenderedPageBreak/>
        <w:t>Operators of monopoly infrastructure may offer an undertaking to the ACCC setting out the terms and conditions on which the operator will offer services using the infrastructure. The ACCC is empowered to accept or reject the undertaking. If the undertaking is accepted, the service cannot be declared.</w:t>
      </w:r>
    </w:p>
    <w:p w14:paraId="46E529B8" w14:textId="5AAE389D" w:rsidR="00862A34" w:rsidRPr="008625DC" w:rsidRDefault="00862A34" w:rsidP="00862A34">
      <w:r w:rsidRPr="008625DC">
        <w:t>The National Access Regime was recently reviewed by the Productivity Commission</w:t>
      </w:r>
      <w:r w:rsidR="0074774A" w:rsidRPr="008625DC">
        <w:t xml:space="preserve"> (PC)</w:t>
      </w:r>
      <w:r w:rsidRPr="008625DC">
        <w:t>.</w:t>
      </w:r>
      <w:r w:rsidRPr="008625DC">
        <w:rPr>
          <w:rStyle w:val="FootnoteReference"/>
        </w:rPr>
        <w:footnoteReference w:id="367"/>
      </w:r>
      <w:r w:rsidRPr="008625DC">
        <w:t xml:space="preserve"> The PC recommended the retention of the Regime, but also recommended that the declaration criteria be revised. The </w:t>
      </w:r>
      <w:r w:rsidR="00046B31" w:rsidRPr="008625DC">
        <w:t>Review</w:t>
      </w:r>
      <w:r w:rsidR="00C74E19" w:rsidRPr="008625DC">
        <w:t>’</w:t>
      </w:r>
      <w:r w:rsidR="00046B31" w:rsidRPr="008625DC">
        <w:t>s</w:t>
      </w:r>
      <w:r w:rsidRPr="008625DC">
        <w:t xml:space="preserve"> Terms of Reference require the Panel to consider </w:t>
      </w:r>
      <w:r w:rsidR="0008785D" w:rsidRPr="008625DC">
        <w:t xml:space="preserve">whether the </w:t>
      </w:r>
      <w:r w:rsidR="000364FC" w:rsidRPr="008625DC">
        <w:t>Reg</w:t>
      </w:r>
      <w:r w:rsidR="0008785D" w:rsidRPr="008625DC">
        <w:t xml:space="preserve">ime is adequate (taking into account </w:t>
      </w:r>
      <w:r w:rsidRPr="008625DC">
        <w:t>the PC</w:t>
      </w:r>
      <w:r w:rsidR="00C74E19" w:rsidRPr="008625DC">
        <w:t>’</w:t>
      </w:r>
      <w:r w:rsidRPr="008625DC">
        <w:t xml:space="preserve">s </w:t>
      </w:r>
      <w:r w:rsidR="0043466E" w:rsidRPr="008625DC">
        <w:t>inquiry)</w:t>
      </w:r>
      <w:r w:rsidRPr="008625DC">
        <w:t>.</w:t>
      </w:r>
    </w:p>
    <w:p w14:paraId="607E6576" w14:textId="3CD1DC93" w:rsidR="00862A34" w:rsidRPr="008625DC" w:rsidRDefault="00862A34" w:rsidP="0058721A">
      <w:pPr>
        <w:spacing w:after="120"/>
      </w:pPr>
      <w:r w:rsidRPr="008625DC">
        <w:t xml:space="preserve">A number of submissions comment on the Regime. The primary issues raised </w:t>
      </w:r>
      <w:r w:rsidR="007F3432" w:rsidRPr="008625DC">
        <w:t>include</w:t>
      </w:r>
      <w:r w:rsidRPr="008625DC">
        <w:t>:</w:t>
      </w:r>
    </w:p>
    <w:p w14:paraId="6C07561A" w14:textId="77777777" w:rsidR="00862A34" w:rsidRPr="008625DC" w:rsidRDefault="00862A34" w:rsidP="00862A34">
      <w:pPr>
        <w:pStyle w:val="Bullet"/>
      </w:pPr>
      <w:r w:rsidRPr="008625DC">
        <w:t>whether it is in the public interest to retain the Regime;</w:t>
      </w:r>
    </w:p>
    <w:p w14:paraId="707F1569" w14:textId="77544038" w:rsidR="00862A34" w:rsidRPr="008625DC" w:rsidRDefault="00862A34" w:rsidP="00862A34">
      <w:pPr>
        <w:pStyle w:val="Bullet"/>
      </w:pPr>
      <w:r w:rsidRPr="008625DC">
        <w:t>whether the PC</w:t>
      </w:r>
      <w:r w:rsidR="00C74E19" w:rsidRPr="008625DC">
        <w:t>’</w:t>
      </w:r>
      <w:r w:rsidRPr="008625DC">
        <w:t>s recommendations concerning the declaration criteria should be implemented; and</w:t>
      </w:r>
    </w:p>
    <w:p w14:paraId="5665419F" w14:textId="0491B6FF" w:rsidR="00862A34" w:rsidRPr="008625DC" w:rsidRDefault="00862A34" w:rsidP="00862A34">
      <w:pPr>
        <w:pStyle w:val="Bullet"/>
      </w:pPr>
      <w:r w:rsidRPr="008625DC">
        <w:t>whether there should be broader rights of review of access declarations and arbitrations before the Tribunal.</w:t>
      </w:r>
    </w:p>
    <w:p w14:paraId="01FA6115" w14:textId="2D21EAA5" w:rsidR="00862A34" w:rsidRPr="008625DC" w:rsidRDefault="009E18F3" w:rsidP="00BD2EA4">
      <w:pPr>
        <w:pStyle w:val="Heading2"/>
        <w:ind w:left="851" w:hanging="851"/>
        <w:rPr>
          <w:lang w:val="en-AU"/>
        </w:rPr>
      </w:pPr>
      <w:bookmarkStart w:id="35118" w:name="_Toc397958785"/>
      <w:bookmarkStart w:id="35119" w:name="_Toc397962267"/>
      <w:bookmarkStart w:id="35120" w:name="_Toc397936716"/>
      <w:bookmarkStart w:id="35121" w:name="_Toc397936836"/>
      <w:bookmarkStart w:id="35122" w:name="_Toc397945992"/>
      <w:bookmarkStart w:id="35123" w:name="_Toc397947018"/>
      <w:bookmarkStart w:id="35124" w:name="_Toc397948137"/>
      <w:bookmarkStart w:id="35125" w:name="_Toc397958543"/>
      <w:bookmarkStart w:id="35126" w:name="_Toc397959200"/>
      <w:bookmarkStart w:id="35127" w:name="_Toc397963053"/>
      <w:bookmarkStart w:id="35128" w:name="_Toc397963419"/>
      <w:bookmarkStart w:id="35129" w:name="_Toc397965496"/>
      <w:bookmarkStart w:id="35130" w:name="_Toc398197434"/>
      <w:bookmarkStart w:id="35131" w:name="_Toc398200059"/>
      <w:bookmarkStart w:id="35132" w:name="_Toc398200325"/>
      <w:bookmarkStart w:id="35133" w:name="_Toc398201651"/>
      <w:bookmarkStart w:id="35134" w:name="_Toc398207256"/>
      <w:bookmarkStart w:id="35135" w:name="_Toc398209960"/>
      <w:bookmarkStart w:id="35136" w:name="_Toc398210529"/>
      <w:bookmarkStart w:id="35137" w:name="_Toc398211043"/>
      <w:bookmarkStart w:id="35138" w:name="_Toc398219854"/>
      <w:bookmarkStart w:id="35139" w:name="_Toc398220229"/>
      <w:bookmarkStart w:id="35140" w:name="_Toc398220616"/>
      <w:bookmarkStart w:id="35141" w:name="_Toc398221694"/>
      <w:bookmarkStart w:id="35142" w:name="_Toc398222380"/>
      <w:bookmarkStart w:id="35143" w:name="_Toc398222692"/>
      <w:bookmarkStart w:id="35144" w:name="_Toc398223109"/>
      <w:bookmarkStart w:id="35145" w:name="_Toc398223488"/>
      <w:bookmarkStart w:id="35146" w:name="_Toc398223615"/>
      <w:bookmarkStart w:id="35147" w:name="_Toc398224423"/>
      <w:bookmarkStart w:id="35148" w:name="_Toc398225760"/>
      <w:bookmarkStart w:id="35149" w:name="_Toc398225885"/>
      <w:bookmarkStart w:id="35150" w:name="_Toc398281372"/>
      <w:bookmarkStart w:id="35151" w:name="_Toc398282231"/>
      <w:bookmarkStart w:id="35152" w:name="_Toc398284901"/>
      <w:bookmarkStart w:id="35153" w:name="_Toc398287370"/>
      <w:bookmarkStart w:id="35154" w:name="_Toc398289253"/>
      <w:bookmarkStart w:id="35155" w:name="_Toc398297250"/>
      <w:bookmarkStart w:id="35156" w:name="_Toc398298724"/>
      <w:bookmarkStart w:id="35157" w:name="_Toc398301322"/>
      <w:bookmarkStart w:id="35158" w:name="_Toc398302507"/>
      <w:bookmarkStart w:id="35159" w:name="_Toc398302670"/>
      <w:bookmarkStart w:id="35160" w:name="_Toc398549184"/>
      <w:bookmarkStart w:id="35161" w:name="_Toc398549434"/>
      <w:bookmarkStart w:id="35162" w:name="_Toc398555853"/>
      <w:bookmarkStart w:id="35163" w:name="_Toc398559057"/>
      <w:bookmarkStart w:id="35164" w:name="_Toc398563543"/>
      <w:bookmarkStart w:id="35165" w:name="_Toc398563676"/>
      <w:bookmarkStart w:id="35166" w:name="_Toc398564075"/>
      <w:bookmarkStart w:id="35167" w:name="_Toc398827413"/>
      <w:bookmarkStart w:id="35168" w:name="_Toc398827607"/>
      <w:bookmarkStart w:id="35169" w:name="s211"/>
      <w:r w:rsidRPr="008625DC">
        <w:rPr>
          <w:lang w:val="en-AU"/>
        </w:rPr>
        <w:t>Costs and benefits of the</w:t>
      </w:r>
      <w:r w:rsidR="00356190" w:rsidRPr="008625DC">
        <w:rPr>
          <w:lang w:val="en-AU"/>
        </w:rPr>
        <w:t xml:space="preserve"> </w:t>
      </w:r>
      <w:r w:rsidR="00851F44" w:rsidRPr="008625DC">
        <w:rPr>
          <w:lang w:val="en-AU"/>
        </w:rPr>
        <w:t xml:space="preserve">National Access </w:t>
      </w:r>
      <w:r w:rsidR="00862A34" w:rsidRPr="008625DC">
        <w:rPr>
          <w:lang w:val="en-AU"/>
        </w:rPr>
        <w:t>Regime</w:t>
      </w:r>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p>
    <w:bookmarkEnd w:id="35169"/>
    <w:p w14:paraId="7D6B1534" w14:textId="571BC07F" w:rsidR="00862A34" w:rsidRPr="008625DC" w:rsidRDefault="00862A34" w:rsidP="00862A34">
      <w:r w:rsidRPr="008625DC">
        <w:t>Australia is unique among comparable countries in having a general access regime that may potentially apply to any privately owned infrastructure facility that exists within a supply chain.</w:t>
      </w:r>
      <w:r w:rsidR="00924CB1" w:rsidRPr="008625DC">
        <w:rPr>
          <w:rStyle w:val="FootnoteReference"/>
        </w:rPr>
        <w:footnoteReference w:id="368"/>
      </w:r>
    </w:p>
    <w:p w14:paraId="10195D0A" w14:textId="2A86ACB6" w:rsidR="00862A34" w:rsidRPr="008625DC" w:rsidRDefault="00862A34" w:rsidP="00862A34">
      <w:r w:rsidRPr="008625DC">
        <w:t>The Regime facilitates intrusive economic regulation of infrastructure assets. It overrides private property rights, mandating that the operator of an infrastructure facility make that facility available for use by a third</w:t>
      </w:r>
      <w:r w:rsidR="00C74E19" w:rsidRPr="008625DC">
        <w:noBreakHyphen/>
      </w:r>
      <w:r w:rsidRPr="008625DC">
        <w:t>party on terms and conditions (including price) determined by a regulatory body (the ACCC). By that process, the economic return that the operator of the facility is able to earn on its investment in the facility will be subject to regulation.</w:t>
      </w:r>
    </w:p>
    <w:p w14:paraId="3812F750" w14:textId="2F068005" w:rsidR="00862A34" w:rsidRPr="008625DC" w:rsidRDefault="00862A34" w:rsidP="0058721A">
      <w:pPr>
        <w:spacing w:after="120"/>
      </w:pPr>
      <w:r w:rsidRPr="008625DC">
        <w:t>Economic regulation of privately owned assets is likely to impose costs on the economy. In recommending the introduction of the Regime, the Hilmer Review was conscious of the economic costs that might be imposed:</w:t>
      </w:r>
    </w:p>
    <w:p w14:paraId="40415261" w14:textId="2B97187A" w:rsidR="00CF5493" w:rsidRPr="008625DC" w:rsidRDefault="00CF5493" w:rsidP="00CF5493">
      <w:pPr>
        <w:pStyle w:val="Quotes"/>
      </w:pPr>
      <w:r w:rsidRPr="008625DC">
        <w:t>The Committee is conscious of the need to carefully limit the circumstances in which one business is required by law to make its facilities available to another. Failure to provide appropriate protection to the owners of such facilities has the potential to undermine incentives for investment. Nevertheless, there are some industries where there is a strong public interest in ensuring that effective competition can take place</w:t>
      </w:r>
      <w:r w:rsidR="0058721A" w:rsidRPr="008625DC">
        <w:t xml:space="preserve"> </w:t>
      </w:r>
      <w:r w:rsidR="00896B1A" w:rsidRPr="008625DC">
        <w:t>..</w:t>
      </w:r>
      <w:r w:rsidRPr="008625DC">
        <w:t>.</w:t>
      </w:r>
      <w:r w:rsidRPr="008625DC">
        <w:rPr>
          <w:rStyle w:val="FootnoteReference"/>
        </w:rPr>
        <w:footnoteReference w:id="369"/>
      </w:r>
    </w:p>
    <w:p w14:paraId="7426B1DA" w14:textId="77777777" w:rsidR="00862A34" w:rsidRPr="008625DC" w:rsidRDefault="00862A34" w:rsidP="0058721A">
      <w:pPr>
        <w:spacing w:after="120"/>
        <w:rPr>
          <w:rFonts w:eastAsia="SimSun"/>
          <w:lang w:eastAsia="en-US"/>
        </w:rPr>
      </w:pPr>
      <w:r w:rsidRPr="008625DC">
        <w:rPr>
          <w:rFonts w:eastAsia="SimSun"/>
          <w:lang w:eastAsia="en-US"/>
        </w:rPr>
        <w:t>The PC also noted the costs that are created by economic regulation:</w:t>
      </w:r>
    </w:p>
    <w:p w14:paraId="0B81FB2C" w14:textId="0ECABDB3" w:rsidR="00862A34" w:rsidRPr="008625DC" w:rsidRDefault="00862A34" w:rsidP="00862A34">
      <w:pPr>
        <w:pStyle w:val="Quotes"/>
      </w:pPr>
      <w:r w:rsidRPr="008625DC">
        <w:t>Access regulation also imposes costs, in particular where it adversely affects incentives for investment in markets for infrastructure services. There are costs associated with errors in setting access prices. For example, when prices are set too low, this can lead to delayed investment in infrastructure, or the non</w:t>
      </w:r>
      <w:r w:rsidR="00C74E19" w:rsidRPr="008625DC">
        <w:noBreakHyphen/>
      </w:r>
      <w:r w:rsidRPr="008625DC">
        <w:t xml:space="preserve">provision of some infrastructure services. </w:t>
      </w:r>
      <w:r w:rsidRPr="008625DC">
        <w:lastRenderedPageBreak/>
        <w:t>Regulated third party access can also impose costs on infrastructure service providers from coordinating multiple users of their facilities.</w:t>
      </w:r>
      <w:r w:rsidRPr="008625DC">
        <w:rPr>
          <w:rStyle w:val="FootnoteReference"/>
        </w:rPr>
        <w:footnoteReference w:id="370"/>
      </w:r>
    </w:p>
    <w:p w14:paraId="148D8DF2" w14:textId="77777777" w:rsidR="00862A34" w:rsidRPr="008625DC" w:rsidRDefault="00862A34" w:rsidP="00862A34">
      <w:r w:rsidRPr="008625DC">
        <w:t>Given the economic costs that are likely to be caused by this form of regulation, it is important to examine carefully the benefits of the Regime and to ask whether those benefits can be achieved by a less intrusive form of regulation.</w:t>
      </w:r>
    </w:p>
    <w:p w14:paraId="158B30EB" w14:textId="16932DA9" w:rsidR="00862A34" w:rsidRPr="008625DC" w:rsidRDefault="007A7284" w:rsidP="00FB084C">
      <w:pPr>
        <w:pStyle w:val="Heading3"/>
      </w:pPr>
      <w:r w:rsidRPr="008625DC">
        <w:t>O</w:t>
      </w:r>
      <w:r w:rsidR="00862A34" w:rsidRPr="008625DC">
        <w:t>riginal objective of the regime</w:t>
      </w:r>
    </w:p>
    <w:p w14:paraId="17E05D19" w14:textId="77777777" w:rsidR="00862A34" w:rsidRPr="008625DC" w:rsidRDefault="00862A34" w:rsidP="00862A34">
      <w:r w:rsidRPr="008625DC">
        <w:t>The Regime was introduced in 1995 on the recommendation of the Hilmer Review.</w:t>
      </w:r>
    </w:p>
    <w:p w14:paraId="53F3D6E5" w14:textId="33C6AA2C" w:rsidR="007F3432" w:rsidRPr="008625DC" w:rsidRDefault="00862A34" w:rsidP="00862A34">
      <w:r w:rsidRPr="008625DC">
        <w:t xml:space="preserve">One of the major recommendations of the Hilmer Review was the introduction of competition into various industries that, at that time, remained largely in public ownership. Those industries included electricity, gas, rail, airports, ports and telecommunications. A feature of each of those industries was that they consisted of potentially contestable commercial activities which required the use of </w:t>
      </w:r>
      <w:r w:rsidR="00C74E19" w:rsidRPr="008625DC">
        <w:t>‘</w:t>
      </w:r>
      <w:r w:rsidRPr="008625DC">
        <w:t>bottleneck</w:t>
      </w:r>
      <w:r w:rsidR="00C74E19" w:rsidRPr="008625DC">
        <w:t>’</w:t>
      </w:r>
      <w:r w:rsidRPr="008625DC">
        <w:t xml:space="preserve"> infrastructure facilities.</w:t>
      </w:r>
    </w:p>
    <w:p w14:paraId="156044A1" w14:textId="00D146DF" w:rsidR="00862A34" w:rsidRPr="008625DC" w:rsidRDefault="00862A34" w:rsidP="00862A34">
      <w:r w:rsidRPr="008625DC">
        <w:t xml:space="preserve">The Hilmer </w:t>
      </w:r>
      <w:r w:rsidR="007F3432" w:rsidRPr="008625DC">
        <w:t>R</w:t>
      </w:r>
      <w:r w:rsidRPr="008625DC">
        <w:t>eview recommended the introduction of competition into those industries by separating them into their contestable and natural monopoly elements. As the contestable elements required access to the natural monopoly elements, the Hilmer Review recommended the introduction of a single national access regime to regulate that access.</w:t>
      </w:r>
    </w:p>
    <w:p w14:paraId="29357EF9" w14:textId="2FF56C54" w:rsidR="00862A34" w:rsidRPr="008625DC" w:rsidRDefault="00862A34" w:rsidP="00862A34">
      <w:r w:rsidRPr="008625DC">
        <w:t xml:space="preserve">Part IIIA </w:t>
      </w:r>
      <w:r w:rsidR="000952F3" w:rsidRPr="008625DC">
        <w:t>of the CCA</w:t>
      </w:r>
      <w:r w:rsidRPr="008625DC">
        <w:t xml:space="preserve"> was originally enacted to provide a common framework for access to infrastructure within each of those industries. However, it soon became clear that each industry had distinct </w:t>
      </w:r>
      <w:r w:rsidR="00851F44" w:rsidRPr="008625DC">
        <w:t xml:space="preserve">physical, technical and </w:t>
      </w:r>
      <w:r w:rsidRPr="008625DC">
        <w:t>economic characteristics and that it was preferable to address access issues on an industry</w:t>
      </w:r>
      <w:r w:rsidR="00C74E19" w:rsidRPr="008625DC">
        <w:noBreakHyphen/>
      </w:r>
      <w:r w:rsidRPr="008625DC">
        <w:t>by</w:t>
      </w:r>
      <w:r w:rsidR="00C74E19" w:rsidRPr="008625DC">
        <w:noBreakHyphen/>
      </w:r>
      <w:r w:rsidRPr="008625DC">
        <w:t>industry basis. Distinct access regimes have subsequently emerged (see Box</w:t>
      </w:r>
      <w:r w:rsidR="00715D15" w:rsidRPr="008625DC">
        <w:t> </w:t>
      </w:r>
      <w:r w:rsidR="00F96079" w:rsidRPr="008625DC">
        <w:t>21</w:t>
      </w:r>
      <w:r w:rsidR="00D360BF" w:rsidRPr="008625DC">
        <w:t>.</w:t>
      </w:r>
      <w:r w:rsidR="00F96079" w:rsidRPr="008625DC">
        <w:t>2</w:t>
      </w:r>
      <w:r w:rsidRPr="008625DC">
        <w:t xml:space="preserve">). </w:t>
      </w:r>
    </w:p>
    <w:tbl>
      <w:tblPr>
        <w:tblW w:w="9072" w:type="dxa"/>
        <w:tblInd w:w="108" w:type="dxa"/>
        <w:shd w:val="clear" w:color="auto" w:fill="E6E6E6"/>
        <w:tblLook w:val="01E0" w:firstRow="1" w:lastRow="1" w:firstColumn="1" w:lastColumn="1" w:noHBand="0" w:noVBand="0"/>
      </w:tblPr>
      <w:tblGrid>
        <w:gridCol w:w="9072"/>
      </w:tblGrid>
      <w:tr w:rsidR="00862A34" w:rsidRPr="008625DC" w14:paraId="639894DE" w14:textId="77777777">
        <w:tc>
          <w:tcPr>
            <w:tcW w:w="5000" w:type="pct"/>
            <w:shd w:val="clear" w:color="auto" w:fill="E6E6E6"/>
          </w:tcPr>
          <w:p w14:paraId="664247AB" w14:textId="0654C751" w:rsidR="00862A34" w:rsidRPr="008625DC" w:rsidRDefault="00862A34" w:rsidP="0058721A">
            <w:pPr>
              <w:pStyle w:val="BoxHeading"/>
              <w:spacing w:before="120"/>
            </w:pPr>
            <w:r w:rsidRPr="008625DC">
              <w:lastRenderedPageBreak/>
              <w:t xml:space="preserve">Box </w:t>
            </w:r>
            <w:r w:rsidR="00F96079" w:rsidRPr="008625DC">
              <w:t>21.2</w:t>
            </w:r>
            <w:r w:rsidRPr="008625DC">
              <w:t>: Existing access regimes</w:t>
            </w:r>
          </w:p>
          <w:p w14:paraId="15C2A0E0" w14:textId="2568FC1D" w:rsidR="00862A34" w:rsidRPr="008625DC" w:rsidRDefault="00862A34" w:rsidP="00862A34">
            <w:pPr>
              <w:pStyle w:val="BoxText"/>
            </w:pPr>
            <w:r w:rsidRPr="008625DC">
              <w:t>In the electricity industry, generators and retailers require access to the transmission and distribution wires. Access is governed by an industry</w:t>
            </w:r>
            <w:r w:rsidR="00C74E19" w:rsidRPr="008625DC">
              <w:noBreakHyphen/>
            </w:r>
            <w:r w:rsidRPr="008625DC">
              <w:t>specific regime established by the National Electricity Law.</w:t>
            </w:r>
          </w:p>
          <w:p w14:paraId="66A27363" w14:textId="600A1F88" w:rsidR="00862A34" w:rsidRPr="008625DC" w:rsidRDefault="00862A34" w:rsidP="00862A34">
            <w:pPr>
              <w:pStyle w:val="BoxText"/>
            </w:pPr>
            <w:r w:rsidRPr="008625DC">
              <w:t>In the gas industry, producers and retailers require access to transmission and distribution pipelines. Access is governed by an industry</w:t>
            </w:r>
            <w:r w:rsidR="00C74E19" w:rsidRPr="008625DC">
              <w:noBreakHyphen/>
            </w:r>
            <w:r w:rsidRPr="008625DC">
              <w:t>specific regime established by the National Gas Law.</w:t>
            </w:r>
          </w:p>
          <w:p w14:paraId="01318349" w14:textId="7BE3F0FC" w:rsidR="00862A34" w:rsidRPr="008625DC" w:rsidRDefault="00862A34" w:rsidP="00862A34">
            <w:pPr>
              <w:pStyle w:val="BoxText"/>
            </w:pPr>
            <w:r w:rsidRPr="008625DC">
              <w:t xml:space="preserve">In the telecommunications industry, providers of residential fixed line telephony and data services require access to fixed line infrastructure (historically copper wire, but which is in the process of being replaced by the </w:t>
            </w:r>
            <w:r w:rsidR="008F43EC" w:rsidRPr="008625DC">
              <w:t>optical fibre and wireless services</w:t>
            </w:r>
            <w:r w:rsidRPr="008625DC">
              <w:t>). Access to fixed line infrastructure is governed by an industry specific access regime</w:t>
            </w:r>
            <w:r w:rsidR="008F43EC" w:rsidRPr="008625DC">
              <w:t>,</w:t>
            </w:r>
            <w:r w:rsidRPr="008625DC">
              <w:t xml:space="preserve"> established under Part XIC of the CCA.</w:t>
            </w:r>
          </w:p>
          <w:p w14:paraId="63862903" w14:textId="4CAFCF15" w:rsidR="00862A34" w:rsidRPr="008625DC" w:rsidRDefault="00862A34" w:rsidP="00862A34">
            <w:pPr>
              <w:pStyle w:val="BoxText"/>
            </w:pPr>
            <w:r w:rsidRPr="008625DC">
              <w:t>The interstate rail track network is the subject of an access undertaking given by the operator of the rail track, A</w:t>
            </w:r>
            <w:r w:rsidR="00FA17C7" w:rsidRPr="008625DC">
              <w:t xml:space="preserve">ustralian </w:t>
            </w:r>
            <w:r w:rsidRPr="008625DC">
              <w:t>R</w:t>
            </w:r>
            <w:r w:rsidR="00FA17C7" w:rsidRPr="008625DC">
              <w:t xml:space="preserve">ail </w:t>
            </w:r>
            <w:r w:rsidRPr="008625DC">
              <w:t>T</w:t>
            </w:r>
            <w:r w:rsidR="00FA17C7" w:rsidRPr="008625DC">
              <w:t xml:space="preserve">rack </w:t>
            </w:r>
            <w:r w:rsidRPr="008625DC">
              <w:t>C</w:t>
            </w:r>
            <w:r w:rsidR="00FA17C7" w:rsidRPr="008625DC">
              <w:t>orporation</w:t>
            </w:r>
            <w:r w:rsidRPr="008625DC">
              <w:t>, to the ACCC under Part IIIA. Intrastate rail track networks are subject to access regimes established in the State or Territory in which the railway is located.</w:t>
            </w:r>
          </w:p>
          <w:p w14:paraId="2CE03959" w14:textId="4F015A31" w:rsidR="00862A34" w:rsidRPr="008625DC" w:rsidRDefault="00862A34" w:rsidP="00862A34">
            <w:pPr>
              <w:pStyle w:val="BoxText"/>
            </w:pPr>
            <w:r w:rsidRPr="008625DC">
              <w:t>Ports throughout Australia are subject to various regulatory frameworks established in the State or Territory in which the port is located.</w:t>
            </w:r>
          </w:p>
          <w:p w14:paraId="17C45FB6" w14:textId="13280C3E" w:rsidR="00862A34" w:rsidRPr="008625DC" w:rsidRDefault="00862A34" w:rsidP="00862A34">
            <w:pPr>
              <w:pStyle w:val="BoxText"/>
            </w:pPr>
            <w:r w:rsidRPr="008625DC">
              <w:t>Airport facilities are not regulated by an industry specific access regime and are potentially subject to declaration under Part IIIA. Currently, no airport services are the subject of declaration.</w:t>
            </w:r>
          </w:p>
        </w:tc>
      </w:tr>
    </w:tbl>
    <w:p w14:paraId="45C0F706" w14:textId="3F2B7D61" w:rsidR="00862A34" w:rsidRPr="008625DC" w:rsidRDefault="00862A34" w:rsidP="00FB084C">
      <w:pPr>
        <w:pStyle w:val="Heading3"/>
      </w:pPr>
      <w:r w:rsidRPr="008625DC">
        <w:t>What is the role of Part IIIA today?</w:t>
      </w:r>
    </w:p>
    <w:p w14:paraId="16D1873C" w14:textId="2E46F5A2" w:rsidR="00862A34" w:rsidRPr="008625DC" w:rsidRDefault="00862A34" w:rsidP="0058721A">
      <w:pPr>
        <w:spacing w:after="120"/>
      </w:pPr>
      <w:r w:rsidRPr="008625DC">
        <w:t>Currently, only two services are declared under Part IIIA:</w:t>
      </w:r>
    </w:p>
    <w:p w14:paraId="7F3DCB68" w14:textId="77777777" w:rsidR="00862A34" w:rsidRPr="008625DC" w:rsidRDefault="00862A34" w:rsidP="00D360BF">
      <w:pPr>
        <w:pStyle w:val="Bullet"/>
      </w:pPr>
      <w:r w:rsidRPr="008625DC">
        <w:t>the Tasmanian railway network was declared in 2007; and</w:t>
      </w:r>
    </w:p>
    <w:p w14:paraId="00B140FB" w14:textId="77777777" w:rsidR="00862A34" w:rsidRPr="008625DC" w:rsidRDefault="00862A34" w:rsidP="0058721A">
      <w:pPr>
        <w:pStyle w:val="Bullet"/>
        <w:spacing w:after="240"/>
      </w:pPr>
      <w:r w:rsidRPr="008625DC">
        <w:t>the Goldsworthy iron ore railway in the Pilbara owned by BHP Billiton was declared in 2008.</w:t>
      </w:r>
    </w:p>
    <w:p w14:paraId="2B169BC0" w14:textId="6E6A9EDE" w:rsidR="00862A34" w:rsidRPr="008625DC" w:rsidRDefault="00862A34" w:rsidP="00D360BF">
      <w:r w:rsidRPr="008625DC">
        <w:t>No</w:t>
      </w:r>
      <w:r w:rsidR="00FA17C7" w:rsidRPr="008625DC">
        <w:t xml:space="preserve"> </w:t>
      </w:r>
      <w:r w:rsidRPr="008625DC">
        <w:t>one has sought access to the Goldsworthy railway since it was declared.</w:t>
      </w:r>
      <w:r w:rsidR="00E32110" w:rsidRPr="008625DC">
        <w:rPr>
          <w:rStyle w:val="FootnoteReference"/>
        </w:rPr>
        <w:footnoteReference w:id="371"/>
      </w:r>
    </w:p>
    <w:p w14:paraId="1D61E1EE" w14:textId="6AD6597B" w:rsidR="00862A34" w:rsidRPr="008625DC" w:rsidRDefault="00862A34" w:rsidP="00862A34">
      <w:r w:rsidRPr="008625DC">
        <w:t xml:space="preserve">Access to the </w:t>
      </w:r>
      <w:r w:rsidR="00F06812" w:rsidRPr="008625DC">
        <w:t xml:space="preserve">Australian Rail Track Corporation </w:t>
      </w:r>
      <w:r w:rsidRPr="008625DC">
        <w:t>interstate</w:t>
      </w:r>
      <w:r w:rsidR="00E4124C" w:rsidRPr="008625DC">
        <w:rPr>
          <w:rStyle w:val="FootnoteReference"/>
        </w:rPr>
        <w:footnoteReference w:id="372"/>
      </w:r>
      <w:r w:rsidR="00E4124C" w:rsidRPr="008625DC">
        <w:t xml:space="preserve"> and Hunter Valley</w:t>
      </w:r>
      <w:r w:rsidR="00381D69" w:rsidRPr="008625DC">
        <w:rPr>
          <w:rStyle w:val="FootnoteReference"/>
        </w:rPr>
        <w:footnoteReference w:id="373"/>
      </w:r>
      <w:r w:rsidRPr="008625DC">
        <w:t xml:space="preserve"> rail network</w:t>
      </w:r>
      <w:r w:rsidR="00E4124C" w:rsidRPr="008625DC">
        <w:t>s</w:t>
      </w:r>
      <w:r w:rsidRPr="008625DC">
        <w:t>,</w:t>
      </w:r>
      <w:r w:rsidR="00E4124C" w:rsidRPr="008625DC" w:rsidDel="00E4124C">
        <w:t xml:space="preserve"> </w:t>
      </w:r>
      <w:r w:rsidR="008C389D" w:rsidRPr="008625DC">
        <w:t>as well as the</w:t>
      </w:r>
      <w:r w:rsidR="00E4124C" w:rsidRPr="008625DC">
        <w:t xml:space="preserve"> </w:t>
      </w:r>
      <w:r w:rsidR="008C389D" w:rsidRPr="008625DC">
        <w:t>Co</w:t>
      </w:r>
      <w:r w:rsidR="00C74E19" w:rsidRPr="008625DC">
        <w:noBreakHyphen/>
      </w:r>
      <w:r w:rsidR="008C389D" w:rsidRPr="008625DC">
        <w:t>operative Bulk Holdings</w:t>
      </w:r>
      <w:r w:rsidR="00E4124C" w:rsidRPr="008625DC">
        <w:t xml:space="preserve"> bulk wheat port terminals</w:t>
      </w:r>
      <w:r w:rsidR="008C389D" w:rsidRPr="008625DC">
        <w:t xml:space="preserve"> in Western Australia</w:t>
      </w:r>
      <w:r w:rsidR="00381D69" w:rsidRPr="008625DC">
        <w:rPr>
          <w:rStyle w:val="FootnoteReference"/>
        </w:rPr>
        <w:footnoteReference w:id="374"/>
      </w:r>
      <w:r w:rsidRPr="008625DC">
        <w:t xml:space="preserve"> </w:t>
      </w:r>
      <w:r w:rsidR="00E4124C" w:rsidRPr="008625DC">
        <w:t xml:space="preserve">are </w:t>
      </w:r>
      <w:r w:rsidRPr="008625DC">
        <w:t>governed by access undertaking</w:t>
      </w:r>
      <w:r w:rsidR="00E4124C" w:rsidRPr="008625DC">
        <w:t>s</w:t>
      </w:r>
      <w:r w:rsidRPr="008625DC">
        <w:t xml:space="preserve"> accepted by the ACCC under Part IIIA.</w:t>
      </w:r>
    </w:p>
    <w:p w14:paraId="4F2529E2" w14:textId="56918FC1" w:rsidR="00862A34" w:rsidRPr="008625DC" w:rsidRDefault="00862A34" w:rsidP="0058721A">
      <w:pPr>
        <w:spacing w:after="120"/>
      </w:pPr>
      <w:r w:rsidRPr="008625DC">
        <w:t xml:space="preserve">Since Part IIIA was enacted in 1995, </w:t>
      </w:r>
      <w:r w:rsidR="007F3432" w:rsidRPr="008625DC">
        <w:t>four</w:t>
      </w:r>
      <w:r w:rsidRPr="008625DC">
        <w:t xml:space="preserve"> other services have been declared:</w:t>
      </w:r>
    </w:p>
    <w:p w14:paraId="5FC4B10F" w14:textId="77777777" w:rsidR="00862A34" w:rsidRPr="008625DC" w:rsidRDefault="00862A34" w:rsidP="00862A34">
      <w:pPr>
        <w:pStyle w:val="Bullet"/>
      </w:pPr>
      <w:r w:rsidRPr="008625DC">
        <w:t>airport services at Melbourne Airport were declared in 1997 and the declaration expired in 1998;</w:t>
      </w:r>
    </w:p>
    <w:p w14:paraId="17C9688A" w14:textId="77777777" w:rsidR="00862A34" w:rsidRPr="008625DC" w:rsidRDefault="00862A34" w:rsidP="00862A34">
      <w:pPr>
        <w:pStyle w:val="Bullet"/>
      </w:pPr>
      <w:r w:rsidRPr="008625DC">
        <w:t>airport services at Sydney International Airport were declared in 2000 and the declaration expired in 2005;</w:t>
      </w:r>
    </w:p>
    <w:p w14:paraId="24BC32AD" w14:textId="2548CE4C" w:rsidR="00862A34" w:rsidRPr="008625DC" w:rsidRDefault="00862A34" w:rsidP="00862A34">
      <w:pPr>
        <w:pStyle w:val="Bullet"/>
      </w:pPr>
      <w:r w:rsidRPr="008625DC">
        <w:t>airport services at Sydney Airport were declared in 2005 and the declaration expired in 2010;</w:t>
      </w:r>
      <w:r w:rsidR="008F43EC" w:rsidRPr="008625DC">
        <w:t xml:space="preserve"> and</w:t>
      </w:r>
    </w:p>
    <w:p w14:paraId="62F0E7B2" w14:textId="0C747DAF" w:rsidR="00862A34" w:rsidRPr="008625DC" w:rsidRDefault="00862A34" w:rsidP="0058721A">
      <w:pPr>
        <w:pStyle w:val="Bullet"/>
        <w:spacing w:after="240"/>
      </w:pPr>
      <w:r w:rsidRPr="008625DC">
        <w:lastRenderedPageBreak/>
        <w:t>sewage transmission services on Sydney Water</w:t>
      </w:r>
      <w:r w:rsidR="00C74E19" w:rsidRPr="008625DC">
        <w:t>’</w:t>
      </w:r>
      <w:r w:rsidRPr="008625DC">
        <w:t xml:space="preserve">s sewage reticulation network were declared in 2005 but the access seeker did not pursue access. The declaration was revoked in October 2009 following the enactment of a separate NSW access regime under the </w:t>
      </w:r>
      <w:r w:rsidRPr="008625DC">
        <w:rPr>
          <w:i/>
        </w:rPr>
        <w:t>Water Industry Competition Act</w:t>
      </w:r>
      <w:r w:rsidRPr="008625DC">
        <w:t xml:space="preserve"> </w:t>
      </w:r>
      <w:r w:rsidRPr="008625DC">
        <w:rPr>
          <w:i/>
        </w:rPr>
        <w:t>2006</w:t>
      </w:r>
      <w:r w:rsidRPr="008625DC">
        <w:t xml:space="preserve"> (NSW).</w:t>
      </w:r>
    </w:p>
    <w:p w14:paraId="4EF57121" w14:textId="3B4EA52A" w:rsidR="00862A34" w:rsidRPr="008625DC" w:rsidRDefault="00862A34" w:rsidP="00862A34">
      <w:r w:rsidRPr="008625DC">
        <w:t xml:space="preserve">Thus, very few infrastructure assets are currently regulated under Part IIIA. For the most part, the bottleneck infrastructure assets that were </w:t>
      </w:r>
      <w:r w:rsidR="002F78E3" w:rsidRPr="008625DC">
        <w:t>cited</w:t>
      </w:r>
      <w:r w:rsidRPr="008625DC">
        <w:t xml:space="preserve"> by the Hilmer Review as requiring access regulation have been regulated by industry</w:t>
      </w:r>
      <w:r w:rsidR="00C74E19" w:rsidRPr="008625DC">
        <w:noBreakHyphen/>
      </w:r>
      <w:r w:rsidRPr="008625DC">
        <w:t>specific access regimes. Those regimes are either established under a co</w:t>
      </w:r>
      <w:r w:rsidR="00C74E19" w:rsidRPr="008625DC">
        <w:noBreakHyphen/>
      </w:r>
      <w:r w:rsidRPr="008625DC">
        <w:t>operative legislative scheme of the States and Territories (e</w:t>
      </w:r>
      <w:r w:rsidR="007F3432" w:rsidRPr="008625DC">
        <w:t>.</w:t>
      </w:r>
      <w:r w:rsidRPr="008625DC">
        <w:t>g</w:t>
      </w:r>
      <w:r w:rsidR="007F3432" w:rsidRPr="008625DC">
        <w:t>.</w:t>
      </w:r>
      <w:r w:rsidRPr="008625DC">
        <w:t xml:space="preserve"> the National Electricity Law and the </w:t>
      </w:r>
      <w:r w:rsidR="008F43EC" w:rsidRPr="008625DC">
        <w:t xml:space="preserve">National </w:t>
      </w:r>
      <w:r w:rsidRPr="008625DC">
        <w:t>Gas Law) or schemes established by individual States and Territories (e</w:t>
      </w:r>
      <w:r w:rsidR="007F3432" w:rsidRPr="008625DC">
        <w:t>.</w:t>
      </w:r>
      <w:r w:rsidRPr="008625DC">
        <w:t>g</w:t>
      </w:r>
      <w:r w:rsidR="007F3432" w:rsidRPr="008625DC">
        <w:t>.</w:t>
      </w:r>
      <w:r w:rsidRPr="008625DC">
        <w:t xml:space="preserve"> port regulation).</w:t>
      </w:r>
    </w:p>
    <w:p w14:paraId="3901D42F" w14:textId="6A7AEC14" w:rsidR="00862A34" w:rsidRPr="008625DC" w:rsidRDefault="00862A34" w:rsidP="00FB084C">
      <w:pPr>
        <w:pStyle w:val="Heading3"/>
      </w:pPr>
      <w:r w:rsidRPr="008625DC">
        <w:t>What is the anticipated role of Part IIIA into the future?</w:t>
      </w:r>
    </w:p>
    <w:p w14:paraId="1635D6B5" w14:textId="03E590D4" w:rsidR="00862A34" w:rsidRPr="008625DC" w:rsidRDefault="00862A34" w:rsidP="00862A34">
      <w:r w:rsidRPr="008625DC">
        <w:t>At the time of the Hilmer Review, the infrastructure facilities that were the object of the proposed Regime were identified: electricity wires, gas pipelines, telecommunication lines, freight rail networks, airports and ports. The Hilmer Review concluded that economic gains would be achieved by regulating third</w:t>
      </w:r>
      <w:r w:rsidR="00C74E19" w:rsidRPr="008625DC">
        <w:noBreakHyphen/>
      </w:r>
      <w:r w:rsidRPr="008625DC">
        <w:t xml:space="preserve">party access to those facilities. To the extent that it was required, access regimes for those facilities have been developed. </w:t>
      </w:r>
    </w:p>
    <w:p w14:paraId="2A7AAA1C" w14:textId="5070A390" w:rsidR="00862A34" w:rsidRPr="008625DC" w:rsidRDefault="00862A34" w:rsidP="00862A34">
      <w:r w:rsidRPr="008625DC">
        <w:t xml:space="preserve">The question that arises today is: what is the anticipated role of Part IIIA into the future? More directly, what are the infrastructure facilities for which access regulation will be required under Part IIIA in the future? Unless it is possible to identify those facilities or categories of facilities, it is difficult to reach a conclusion that the regulatory burden and costs imposed by Part IIIA on Australian businesses </w:t>
      </w:r>
      <w:r w:rsidR="007F3432" w:rsidRPr="008625DC">
        <w:t>are</w:t>
      </w:r>
      <w:r w:rsidRPr="008625DC">
        <w:t xml:space="preserve"> ou</w:t>
      </w:r>
      <w:r w:rsidR="007A7284" w:rsidRPr="008625DC">
        <w:t>tweighed by economic benefits.</w:t>
      </w:r>
    </w:p>
    <w:p w14:paraId="56A678A6" w14:textId="2D9D7524" w:rsidR="007F3432" w:rsidRPr="008625DC" w:rsidRDefault="00862A34" w:rsidP="00862A34">
      <w:r w:rsidRPr="008625DC">
        <w:t xml:space="preserve">Part IIIA can continue to play a role in potential access regulation of certain of the infrastructure </w:t>
      </w:r>
      <w:r w:rsidR="007F3432" w:rsidRPr="008625DC">
        <w:t xml:space="preserve">assets </w:t>
      </w:r>
      <w:r w:rsidR="002F78E3" w:rsidRPr="008625DC">
        <w:t>cited</w:t>
      </w:r>
      <w:r w:rsidRPr="008625DC">
        <w:t xml:space="preserve"> by the Hilmer </w:t>
      </w:r>
      <w:r w:rsidR="00E61ADC" w:rsidRPr="008625DC">
        <w:t>Review</w:t>
      </w:r>
      <w:r w:rsidRPr="008625DC">
        <w:t xml:space="preserve">. The interstate and intrastate freight rail networks are either governed by the </w:t>
      </w:r>
      <w:r w:rsidR="008F43EC" w:rsidRPr="008625DC">
        <w:t>Regime</w:t>
      </w:r>
      <w:r w:rsidRPr="008625DC">
        <w:t xml:space="preserve"> or could be transferred from stat</w:t>
      </w:r>
      <w:r w:rsidR="00F06812" w:rsidRPr="008625DC">
        <w:t xml:space="preserve">e access regimes to Part IIIA. </w:t>
      </w:r>
      <w:r w:rsidRPr="008625DC">
        <w:t>There is also some potential for airports and ports to become the subject of access regulation under Part IIIA in the future.</w:t>
      </w:r>
    </w:p>
    <w:p w14:paraId="3EDCAB2B" w14:textId="495335B7" w:rsidR="00862A34" w:rsidRPr="008625DC" w:rsidRDefault="00862A34" w:rsidP="00862A34">
      <w:r w:rsidRPr="008625DC">
        <w:t>However, the regulatory issue that arises in respect of airports and ports is generally monopoly pricing rather than access. Although airports and ports are bottleneck facilities, the operators of those facilities are not vertically integrated into upstream and downstream markets. Hence, they have limited incentive to reduce competition in dependent markets, but they have power to impose monopoly charges on user</w:t>
      </w:r>
      <w:r w:rsidR="007F3432" w:rsidRPr="008625DC">
        <w:t>s</w:t>
      </w:r>
      <w:r w:rsidRPr="008625DC">
        <w:t xml:space="preserve"> of their facilities. Issues of monopoly pricing can be addressed through regulatory frameworks other than Part IIIA</w:t>
      </w:r>
      <w:r w:rsidR="00C74E19" w:rsidRPr="008625DC">
        <w:t xml:space="preserve">. </w:t>
      </w:r>
    </w:p>
    <w:p w14:paraId="0806EF44" w14:textId="7889C13C" w:rsidR="00D84152" w:rsidRPr="008625DC" w:rsidRDefault="00D84152" w:rsidP="00D84152">
      <w:r w:rsidRPr="008625DC">
        <w:t xml:space="preserve">Submissions to the Panel in respect of Part IIIA </w:t>
      </w:r>
      <w:r w:rsidRPr="008625DC" w:rsidDel="003875F5">
        <w:t>generally</w:t>
      </w:r>
      <w:r w:rsidRPr="008625DC">
        <w:t xml:space="preserve"> comment on its potential </w:t>
      </w:r>
      <w:r w:rsidR="005B2560" w:rsidRPr="008625DC">
        <w:t xml:space="preserve">future </w:t>
      </w:r>
      <w:r w:rsidRPr="008625DC">
        <w:t xml:space="preserve">application </w:t>
      </w:r>
      <w:r w:rsidR="003C610A" w:rsidRPr="008625DC">
        <w:t xml:space="preserve">to </w:t>
      </w:r>
      <w:r w:rsidRPr="008625DC">
        <w:t xml:space="preserve">the mining industry. </w:t>
      </w:r>
    </w:p>
    <w:p w14:paraId="2AA12D13" w14:textId="4DF9BBD8" w:rsidR="00862A34" w:rsidRPr="008625DC" w:rsidRDefault="00773FC3" w:rsidP="0058721A">
      <w:pPr>
        <w:spacing w:after="120"/>
      </w:pPr>
      <w:r w:rsidRPr="008625DC">
        <w:t xml:space="preserve">Different points of view were raised. </w:t>
      </w:r>
      <w:r w:rsidR="00862A34" w:rsidRPr="008625DC">
        <w:t>Anglo</w:t>
      </w:r>
      <w:r w:rsidR="00896B1A" w:rsidRPr="008625DC">
        <w:t xml:space="preserve"> </w:t>
      </w:r>
      <w:r w:rsidR="00862A34" w:rsidRPr="008625DC">
        <w:t>American Metallurgical Coal argues that the Regime is an important policy to enable the mining sector to deal with new developments in the market:</w:t>
      </w:r>
    </w:p>
    <w:p w14:paraId="044AEB60" w14:textId="3284C637" w:rsidR="00862A34" w:rsidRPr="008625DC" w:rsidRDefault="00862A34" w:rsidP="007A7284">
      <w:pPr>
        <w:pStyle w:val="Quotes"/>
      </w:pPr>
      <w:r w:rsidRPr="008625DC">
        <w:t>Without government regulation, access to critical export infrastructure could be restricted or prevented and drastically affect the ability of Australian miners to remain competitive in the dynamic global industry.</w:t>
      </w:r>
      <w:r w:rsidR="002B085A" w:rsidRPr="008625DC">
        <w:t xml:space="preserve"> (page</w:t>
      </w:r>
      <w:r w:rsidR="00896B1A" w:rsidRPr="008625DC">
        <w:t xml:space="preserve"> </w:t>
      </w:r>
      <w:r w:rsidR="002B085A" w:rsidRPr="008625DC">
        <w:t>2)</w:t>
      </w:r>
    </w:p>
    <w:p w14:paraId="49348190" w14:textId="77777777" w:rsidR="00862A34" w:rsidRPr="008625DC" w:rsidRDefault="00862A34" w:rsidP="0058721A">
      <w:pPr>
        <w:spacing w:after="120"/>
      </w:pPr>
      <w:r w:rsidRPr="008625DC">
        <w:t>BHP Billiton expresses a contrary view. It argues:</w:t>
      </w:r>
    </w:p>
    <w:p w14:paraId="7E5B5A49" w14:textId="77777777" w:rsidR="00862A34" w:rsidRPr="008625DC" w:rsidRDefault="00862A34" w:rsidP="007A7284">
      <w:pPr>
        <w:pStyle w:val="Quotes"/>
      </w:pPr>
      <w:r w:rsidRPr="008625DC">
        <w:t>Mandating access to nationally significant single user infrastructure can impose substantial operational costs, particularly when the infrastructure is already intensively used. Those costs include:</w:t>
      </w:r>
    </w:p>
    <w:p w14:paraId="11A38EB8" w14:textId="70AB97A5" w:rsidR="00862A34" w:rsidRPr="008625DC" w:rsidRDefault="00862A34" w:rsidP="007A7284">
      <w:pPr>
        <w:pStyle w:val="Bullet"/>
        <w:tabs>
          <w:tab w:val="clear" w:pos="566"/>
          <w:tab w:val="num" w:pos="1132"/>
        </w:tabs>
        <w:ind w:left="1132"/>
        <w:rPr>
          <w:color w:val="595959" w:themeColor="text1" w:themeTint="A6"/>
        </w:rPr>
      </w:pPr>
      <w:r w:rsidRPr="008625DC">
        <w:rPr>
          <w:color w:val="595959" w:themeColor="text1" w:themeTint="A6"/>
        </w:rPr>
        <w:lastRenderedPageBreak/>
        <w:t>significant capacity losses and other operational inefficiencies caused by moving from single user to multi</w:t>
      </w:r>
      <w:r w:rsidR="00C74E19" w:rsidRPr="008625DC">
        <w:rPr>
          <w:color w:val="595959" w:themeColor="text1" w:themeTint="A6"/>
        </w:rPr>
        <w:noBreakHyphen/>
      </w:r>
      <w:r w:rsidRPr="008625DC">
        <w:rPr>
          <w:color w:val="595959" w:themeColor="text1" w:themeTint="A6"/>
        </w:rPr>
        <w:t>user operations; and</w:t>
      </w:r>
    </w:p>
    <w:p w14:paraId="4AA6E769" w14:textId="1DB152C7" w:rsidR="00862A34" w:rsidRPr="008625DC" w:rsidRDefault="00862A34" w:rsidP="0058721A">
      <w:pPr>
        <w:pStyle w:val="Bullet"/>
        <w:tabs>
          <w:tab w:val="clear" w:pos="566"/>
          <w:tab w:val="num" w:pos="1132"/>
        </w:tabs>
        <w:spacing w:after="240"/>
        <w:ind w:left="1132"/>
        <w:rPr>
          <w:color w:val="595959" w:themeColor="text1" w:themeTint="A6"/>
        </w:rPr>
      </w:pPr>
      <w:r w:rsidRPr="008625DC">
        <w:rPr>
          <w:color w:val="595959" w:themeColor="text1" w:themeTint="A6"/>
        </w:rPr>
        <w:t>delays to expansions, technological innovation and operational improvements.</w:t>
      </w:r>
      <w:r w:rsidR="002B085A" w:rsidRPr="008625DC">
        <w:rPr>
          <w:color w:val="595959" w:themeColor="text1" w:themeTint="A6"/>
        </w:rPr>
        <w:t xml:space="preserve"> (page 26)</w:t>
      </w:r>
    </w:p>
    <w:p w14:paraId="00087453" w14:textId="30141BFA" w:rsidR="00862A34" w:rsidRPr="008625DC" w:rsidRDefault="00862A34" w:rsidP="007A7284">
      <w:r w:rsidRPr="008625DC">
        <w:t>The Panel considers this a very important debate. The mineral resources produced by Australia</w:t>
      </w:r>
      <w:r w:rsidR="00C74E19" w:rsidRPr="008625DC">
        <w:t>’</w:t>
      </w:r>
      <w:r w:rsidRPr="008625DC">
        <w:t xml:space="preserve">s mining industry are largely traded in global markets. The global competitiveness of Australian resources depends on the efficiency of the mining sector. </w:t>
      </w:r>
      <w:r w:rsidR="00773FC3" w:rsidRPr="008625DC">
        <w:t>A</w:t>
      </w:r>
      <w:r w:rsidRPr="008625DC">
        <w:t xml:space="preserve"> question to be considered is whether the National Access Regime is likely to increase or decrease efficiency within that sector.</w:t>
      </w:r>
    </w:p>
    <w:p w14:paraId="282DDF04" w14:textId="77777777" w:rsidR="00773FC3" w:rsidRPr="008625DC" w:rsidRDefault="00773FC3" w:rsidP="00773FC3">
      <w:pPr>
        <w:pStyle w:val="Keyfindingtext"/>
      </w:pPr>
      <w:r w:rsidRPr="008625DC">
        <w:t>The Panel invites further comment on:</w:t>
      </w:r>
    </w:p>
    <w:p w14:paraId="02D15660" w14:textId="77777777" w:rsidR="00773FC3" w:rsidRPr="008625DC" w:rsidRDefault="00773FC3" w:rsidP="00773FC3">
      <w:pPr>
        <w:pStyle w:val="Bullet"/>
      </w:pPr>
      <w:r w:rsidRPr="008625DC">
        <w:t>the categories of infrastructure to which Part IIIA might be applied in the future, particularly in the mining sector, and the costs and benefits that would arise from access regulation of that infrastructure; or</w:t>
      </w:r>
    </w:p>
    <w:p w14:paraId="041EFFC7" w14:textId="1F0951D3" w:rsidR="00773FC3" w:rsidRPr="008625DC" w:rsidRDefault="00773FC3" w:rsidP="0058721A">
      <w:pPr>
        <w:pStyle w:val="Bullet"/>
        <w:spacing w:after="240"/>
      </w:pPr>
      <w:r w:rsidRPr="008625DC">
        <w:t>whether Part IIIA should be confined in its scope to the categories of bottleneck infrastructure cited by the Hilmer Review.</w:t>
      </w:r>
    </w:p>
    <w:p w14:paraId="5F634B13" w14:textId="03305C92" w:rsidR="00862A34" w:rsidRPr="008625DC" w:rsidRDefault="007A7284" w:rsidP="00FB084C">
      <w:pPr>
        <w:pStyle w:val="Heading3"/>
      </w:pPr>
      <w:r w:rsidRPr="008625DC">
        <w:t>C</w:t>
      </w:r>
      <w:r w:rsidR="00862A34" w:rsidRPr="008625DC">
        <w:t>onclusions of the Productivity Commission</w:t>
      </w:r>
    </w:p>
    <w:p w14:paraId="7F43F735" w14:textId="0376C61D" w:rsidR="00862A34" w:rsidRPr="008625DC" w:rsidRDefault="00862A34" w:rsidP="007A7284">
      <w:r w:rsidRPr="008625DC">
        <w:t>In its recent inquiry the PC considered whether Part IIIA should be retained. It undertook a qualitative cost</w:t>
      </w:r>
      <w:r w:rsidR="00C74E19" w:rsidRPr="008625DC">
        <w:noBreakHyphen/>
      </w:r>
      <w:r w:rsidRPr="008625DC">
        <w:t>benefit analysis. While the PC acknowledged that an economy</w:t>
      </w:r>
      <w:r w:rsidR="00C74E19" w:rsidRPr="008625DC">
        <w:noBreakHyphen/>
      </w:r>
      <w:r w:rsidRPr="008625DC">
        <w:t>wide quantitative cost–benefit analysis would be preferable, it considered that quantifying the economic effect of the National Access Regime was not practica</w:t>
      </w:r>
      <w:r w:rsidR="002B085A" w:rsidRPr="008625DC">
        <w:t>l</w:t>
      </w:r>
      <w:r w:rsidR="00896B1A" w:rsidRPr="008625DC">
        <w:t>.</w:t>
      </w:r>
      <w:r w:rsidR="002B085A" w:rsidRPr="008625DC">
        <w:rPr>
          <w:rStyle w:val="FootnoteReference"/>
        </w:rPr>
        <w:footnoteReference w:id="375"/>
      </w:r>
    </w:p>
    <w:p w14:paraId="6D6FBBE4" w14:textId="77777777" w:rsidR="00862A34" w:rsidRPr="008625DC" w:rsidRDefault="00862A34" w:rsidP="0058721A">
      <w:pPr>
        <w:spacing w:after="120"/>
      </w:pPr>
      <w:r w:rsidRPr="008625DC">
        <w:t>The PC considered that the Regime results in a range of potential benefits. These are:</w:t>
      </w:r>
    </w:p>
    <w:p w14:paraId="7287FB9B" w14:textId="77777777" w:rsidR="00862A34" w:rsidRPr="008625DC" w:rsidRDefault="00862A34" w:rsidP="007A7284">
      <w:pPr>
        <w:pStyle w:val="Bullet"/>
      </w:pPr>
      <w:r w:rsidRPr="008625DC">
        <w:t>improvements to economic efficiency where the Regime reduces monopoly pricing, increases competition in dependent markets, or results in more efficient investment;</w:t>
      </w:r>
    </w:p>
    <w:p w14:paraId="65CC6B28" w14:textId="347FC693" w:rsidR="00862A34" w:rsidRPr="008625DC" w:rsidRDefault="00862A34" w:rsidP="007A7284">
      <w:pPr>
        <w:pStyle w:val="Bullet"/>
      </w:pPr>
      <w:r w:rsidRPr="008625DC">
        <w:t xml:space="preserve">benefits from greater consistency in access regulation across the economy; </w:t>
      </w:r>
      <w:r w:rsidR="00C346E9" w:rsidRPr="008625DC">
        <w:t>and</w:t>
      </w:r>
    </w:p>
    <w:p w14:paraId="6E37D57D" w14:textId="402B8A81" w:rsidR="00862A34" w:rsidRPr="008625DC" w:rsidRDefault="00862A34" w:rsidP="0058721A">
      <w:pPr>
        <w:pStyle w:val="Bullet"/>
        <w:spacing w:after="240"/>
      </w:pPr>
      <w:r w:rsidRPr="008625DC">
        <w:t>administrative and compliance cost savings and more effective and efficient infrastructure regulation if the Regime supplants other less effective policy responses, or if its role as an overarching access regime improves other access regimes</w:t>
      </w:r>
      <w:r w:rsidR="00E1578E" w:rsidRPr="008625DC">
        <w:t>.</w:t>
      </w:r>
      <w:r w:rsidR="00E1578E" w:rsidRPr="008625DC">
        <w:rPr>
          <w:rStyle w:val="FootnoteReference"/>
        </w:rPr>
        <w:footnoteReference w:id="376"/>
      </w:r>
    </w:p>
    <w:p w14:paraId="6F061531" w14:textId="77777777" w:rsidR="00862A34" w:rsidRPr="008625DC" w:rsidRDefault="00862A34" w:rsidP="0058721A">
      <w:pPr>
        <w:spacing w:after="120"/>
      </w:pPr>
      <w:r w:rsidRPr="008625DC">
        <w:t>However, the PC also recognised that the Regime imposes costs:</w:t>
      </w:r>
    </w:p>
    <w:p w14:paraId="5767F182" w14:textId="77777777" w:rsidR="00862A34" w:rsidRPr="008625DC" w:rsidRDefault="00862A34" w:rsidP="007A7284">
      <w:pPr>
        <w:pStyle w:val="Bullet"/>
      </w:pPr>
      <w:r w:rsidRPr="008625DC">
        <w:t>access regulation may result in economic distortions including adverse effects on investment in markets for infrastructure services;</w:t>
      </w:r>
    </w:p>
    <w:p w14:paraId="49A8FA0B" w14:textId="77777777" w:rsidR="00862A34" w:rsidRPr="008625DC" w:rsidRDefault="00862A34" w:rsidP="007A7284">
      <w:pPr>
        <w:pStyle w:val="Bullet"/>
      </w:pPr>
      <w:r w:rsidRPr="008625DC">
        <w:t>administrative and compliance costs can be substantial; and</w:t>
      </w:r>
    </w:p>
    <w:p w14:paraId="728D4E76" w14:textId="616D58F1" w:rsidR="00862A34" w:rsidRPr="008625DC" w:rsidRDefault="00862A34" w:rsidP="0058721A">
      <w:pPr>
        <w:pStyle w:val="Bullet"/>
        <w:spacing w:after="240"/>
      </w:pPr>
      <w:r w:rsidRPr="008625DC">
        <w:t xml:space="preserve">where access regulation is applied, there might be production costs incurred by the infrastructure service provider from coordinating multiple users of its facility. </w:t>
      </w:r>
      <w:r w:rsidR="00E1578E" w:rsidRPr="008625DC">
        <w:rPr>
          <w:rStyle w:val="FootnoteReference"/>
        </w:rPr>
        <w:footnoteReference w:id="377"/>
      </w:r>
    </w:p>
    <w:p w14:paraId="3207F63C" w14:textId="77777777" w:rsidR="00862A34" w:rsidRPr="008625DC" w:rsidRDefault="00862A34" w:rsidP="0058721A">
      <w:pPr>
        <w:spacing w:after="120"/>
      </w:pPr>
      <w:r w:rsidRPr="008625DC">
        <w:t>The PC concluded that:</w:t>
      </w:r>
    </w:p>
    <w:p w14:paraId="767E2EE4" w14:textId="1BFF9ED6" w:rsidR="00862A34" w:rsidRPr="008625DC" w:rsidRDefault="00862A34" w:rsidP="007A7284">
      <w:pPr>
        <w:pStyle w:val="Quotes"/>
      </w:pPr>
      <w:r w:rsidRPr="008625DC">
        <w:t xml:space="preserve">Based on a qualitative assessment of the available data, the Commission has determined that the Regime is likely to generate net benefits to the community. The Commission considers that the Regime should be retained, and its scope confined to ensure its use is limited to the exceptional cases where the benefits arising from increased competition in </w:t>
      </w:r>
      <w:r w:rsidRPr="008625DC">
        <w:lastRenderedPageBreak/>
        <w:t>dependent markets are likely to outweigh the costs of regulated third party access. Renewed emphasis should be given to ensuring that the Regime better targets the economic problem to reduce the risk of imposing unnecessary costs on the community and deterring investment in markets for infrastructure services for little gain.</w:t>
      </w:r>
      <w:r w:rsidR="00317716" w:rsidRPr="008625DC">
        <w:rPr>
          <w:rStyle w:val="FootnoteReference"/>
        </w:rPr>
        <w:footnoteReference w:id="378"/>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CF5493" w:rsidRPr="008625DC" w14:paraId="1C2DF573" w14:textId="77777777" w:rsidTr="00451102">
        <w:tc>
          <w:tcPr>
            <w:tcW w:w="5000" w:type="pct"/>
            <w:shd w:val="clear" w:color="auto" w:fill="FFFFFF" w:themeFill="background1"/>
          </w:tcPr>
          <w:p w14:paraId="778F74E9" w14:textId="3E8C28AC" w:rsidR="00CF5493" w:rsidRPr="008625DC" w:rsidRDefault="009E00F8" w:rsidP="00451102">
            <w:pPr>
              <w:pStyle w:val="Keyfindingheading"/>
            </w:pPr>
            <w:r w:rsidRPr="008625DC">
              <w:t>The Panel</w:t>
            </w:r>
            <w:r w:rsidR="00C74E19" w:rsidRPr="008625DC">
              <w:t>’</w:t>
            </w:r>
            <w:r w:rsidRPr="008625DC">
              <w:t>s v</w:t>
            </w:r>
            <w:r w:rsidR="00CF5493" w:rsidRPr="008625DC">
              <w:t>iew</w:t>
            </w:r>
          </w:p>
          <w:p w14:paraId="76ACFF0D" w14:textId="376A1A28" w:rsidR="007A7284" w:rsidRPr="008625DC" w:rsidRDefault="007A7284" w:rsidP="007A7284">
            <w:pPr>
              <w:pStyle w:val="Keyfindingtext"/>
            </w:pPr>
            <w:r w:rsidRPr="008625DC">
              <w:t xml:space="preserve">The National Access Regime </w:t>
            </w:r>
            <w:r w:rsidR="000952F3" w:rsidRPr="008625DC">
              <w:t xml:space="preserve">in Part IIIA of the CCA </w:t>
            </w:r>
            <w:r w:rsidRPr="008625DC">
              <w:t>was originally established to enable third</w:t>
            </w:r>
            <w:r w:rsidR="00C74E19" w:rsidRPr="008625DC">
              <w:noBreakHyphen/>
            </w:r>
            <w:r w:rsidRPr="008625DC">
              <w:t>party access to identified bottleneck infrastructure where it was apparent that economic efficiency would be enhanced by promoting competition in markets that were dependent upon access to that infrastructure.</w:t>
            </w:r>
          </w:p>
          <w:p w14:paraId="65C188E3" w14:textId="0364A58B" w:rsidR="007A7284" w:rsidRPr="008625DC" w:rsidRDefault="007A7284" w:rsidP="007A7284">
            <w:pPr>
              <w:pStyle w:val="Keyfindingtext"/>
            </w:pPr>
            <w:r w:rsidRPr="008625DC">
              <w:t xml:space="preserve">The bottleneck infrastructure </w:t>
            </w:r>
            <w:r w:rsidR="002F78E3" w:rsidRPr="008625DC">
              <w:t>cited</w:t>
            </w:r>
            <w:r w:rsidRPr="008625DC">
              <w:t xml:space="preserve"> by the Hilmer Review is now subject to a range of access regimes. Those regimes appear to be achieving the original policy goals identified by the Hilmer Review. Today, Part IIIA has only a limited role in the regulation of that bottleneck infrastructure.</w:t>
            </w:r>
          </w:p>
          <w:p w14:paraId="4CAD4D59" w14:textId="6BBE07DD" w:rsidR="007A7284" w:rsidRPr="008625DC" w:rsidRDefault="007A7284" w:rsidP="007A7284">
            <w:pPr>
              <w:pStyle w:val="Keyfindingtext"/>
            </w:pPr>
            <w:r w:rsidRPr="008625DC">
              <w:t xml:space="preserve">The question that arises today is: what are the infrastructure facilities for which access regulation will be required under Part IIIA in the future? Unless it is possible to identify those facilities or categories of facilities, it is difficult to reach a conclusion that the regulatory burden and costs imposed by Part IIIA on Australian businesses </w:t>
            </w:r>
            <w:r w:rsidR="007F3432" w:rsidRPr="008625DC">
              <w:t>are</w:t>
            </w:r>
            <w:r w:rsidRPr="008625DC">
              <w:t xml:space="preserve"> outweighed by economic benefits, or that the benefits can only be achieved through the Part IIIA framework.</w:t>
            </w:r>
          </w:p>
          <w:p w14:paraId="2F7D23DA" w14:textId="779B71AD" w:rsidR="007A7284" w:rsidRPr="008625DC" w:rsidRDefault="007A7284" w:rsidP="007A7284">
            <w:pPr>
              <w:pStyle w:val="Keyfindingtext"/>
            </w:pPr>
            <w:r w:rsidRPr="008625DC">
              <w:t>The recent PC inquiry concluded that the Regime is likely to generate net benefits to the community, but that its scope should be confined to ensure its use is limited to the exceptional cases where the benefits arising from increased competition in dependent markets are likely to outweigh the costs of regulated third</w:t>
            </w:r>
            <w:r w:rsidR="00C74E19" w:rsidRPr="008625DC">
              <w:noBreakHyphen/>
            </w:r>
            <w:r w:rsidRPr="008625DC">
              <w:t>party access.</w:t>
            </w:r>
          </w:p>
          <w:p w14:paraId="6ED537D6" w14:textId="77777777" w:rsidR="007A7284" w:rsidRPr="008625DC" w:rsidRDefault="007A7284" w:rsidP="007A7284">
            <w:pPr>
              <w:pStyle w:val="Keyfindingtext"/>
            </w:pPr>
            <w:r w:rsidRPr="008625DC">
              <w:t xml:space="preserve">The Panel agrees that the scope of the Regime should be confined because of the potential costs of regulation. </w:t>
            </w:r>
          </w:p>
          <w:p w14:paraId="04CBFE30" w14:textId="77777777" w:rsidR="007A7284" w:rsidRPr="008625DC" w:rsidRDefault="007A7284" w:rsidP="0058721A">
            <w:pPr>
              <w:pStyle w:val="Keyfindingtext"/>
              <w:spacing w:after="60"/>
              <w:rPr>
                <w:b/>
              </w:rPr>
            </w:pPr>
            <w:r w:rsidRPr="008625DC">
              <w:rPr>
                <w:b/>
              </w:rPr>
              <w:t>The Panel invites further comment on:</w:t>
            </w:r>
          </w:p>
          <w:p w14:paraId="20E32B11" w14:textId="44E7382D" w:rsidR="007A7284" w:rsidRPr="008625DC" w:rsidRDefault="007A7284" w:rsidP="0058721A">
            <w:pPr>
              <w:pStyle w:val="Bullet"/>
              <w:spacing w:before="60" w:after="60"/>
              <w:rPr>
                <w:b/>
              </w:rPr>
            </w:pPr>
            <w:r w:rsidRPr="008625DC">
              <w:rPr>
                <w:b/>
              </w:rPr>
              <w:t xml:space="preserve">the categories of infrastructure to which Part IIIA might be applied in the future, particularly in the mining sector, and the costs and benefits that would arise from access regulation of that infrastructure; </w:t>
            </w:r>
            <w:r w:rsidR="000952F3" w:rsidRPr="008625DC">
              <w:rPr>
                <w:b/>
              </w:rPr>
              <w:t>or</w:t>
            </w:r>
          </w:p>
          <w:p w14:paraId="6046EE39" w14:textId="0C82E410" w:rsidR="00CF5493" w:rsidRPr="008625DC" w:rsidRDefault="007A7284" w:rsidP="0058721A">
            <w:pPr>
              <w:pStyle w:val="Bullet"/>
              <w:spacing w:before="60"/>
            </w:pPr>
            <w:r w:rsidRPr="008625DC">
              <w:rPr>
                <w:b/>
              </w:rPr>
              <w:t xml:space="preserve">whether Part IIIA should be confined in its scope to the categories of bottleneck infrastructure </w:t>
            </w:r>
            <w:r w:rsidR="00773FC3" w:rsidRPr="008625DC">
              <w:rPr>
                <w:b/>
              </w:rPr>
              <w:t>cited</w:t>
            </w:r>
            <w:r w:rsidRPr="008625DC">
              <w:rPr>
                <w:b/>
              </w:rPr>
              <w:t xml:space="preserve"> by the Hilmer Review.</w:t>
            </w:r>
          </w:p>
        </w:tc>
      </w:tr>
    </w:tbl>
    <w:p w14:paraId="0A82C0B2" w14:textId="3D7C13E8" w:rsidR="007A7284" w:rsidRPr="008625DC" w:rsidRDefault="00882BA3" w:rsidP="00BD2EA4">
      <w:pPr>
        <w:pStyle w:val="Heading2"/>
        <w:ind w:left="851" w:hanging="851"/>
        <w:rPr>
          <w:lang w:val="en-AU"/>
        </w:rPr>
      </w:pPr>
      <w:bookmarkStart w:id="35170" w:name="_Toc397958786"/>
      <w:bookmarkStart w:id="35171" w:name="_Toc397962268"/>
      <w:bookmarkStart w:id="35172" w:name="_Toc397936717"/>
      <w:bookmarkStart w:id="35173" w:name="_Toc397936837"/>
      <w:bookmarkStart w:id="35174" w:name="_Toc397945993"/>
      <w:bookmarkStart w:id="35175" w:name="_Toc397947019"/>
      <w:bookmarkStart w:id="35176" w:name="_Toc397948138"/>
      <w:bookmarkStart w:id="35177" w:name="_Toc397958544"/>
      <w:bookmarkStart w:id="35178" w:name="_Toc397959201"/>
      <w:bookmarkStart w:id="35179" w:name="_Toc397963054"/>
      <w:bookmarkStart w:id="35180" w:name="_Toc397963420"/>
      <w:bookmarkStart w:id="35181" w:name="_Toc397965497"/>
      <w:bookmarkStart w:id="35182" w:name="_Toc398197435"/>
      <w:bookmarkStart w:id="35183" w:name="_Toc398200060"/>
      <w:bookmarkStart w:id="35184" w:name="_Toc398200326"/>
      <w:bookmarkStart w:id="35185" w:name="_Toc398201652"/>
      <w:bookmarkStart w:id="35186" w:name="_Toc398207257"/>
      <w:bookmarkStart w:id="35187" w:name="_Toc398209961"/>
      <w:bookmarkStart w:id="35188" w:name="_Toc398210530"/>
      <w:bookmarkStart w:id="35189" w:name="_Toc398211044"/>
      <w:bookmarkStart w:id="35190" w:name="_Toc398219855"/>
      <w:bookmarkStart w:id="35191" w:name="_Toc398220230"/>
      <w:bookmarkStart w:id="35192" w:name="_Toc398220617"/>
      <w:bookmarkStart w:id="35193" w:name="_Toc398221695"/>
      <w:bookmarkStart w:id="35194" w:name="_Toc398222381"/>
      <w:bookmarkStart w:id="35195" w:name="_Toc398222693"/>
      <w:bookmarkStart w:id="35196" w:name="_Toc398223110"/>
      <w:bookmarkStart w:id="35197" w:name="_Toc398223489"/>
      <w:bookmarkStart w:id="35198" w:name="_Toc398223616"/>
      <w:bookmarkStart w:id="35199" w:name="_Toc398224424"/>
      <w:bookmarkStart w:id="35200" w:name="_Toc398225761"/>
      <w:bookmarkStart w:id="35201" w:name="_Toc398225886"/>
      <w:bookmarkStart w:id="35202" w:name="_Toc398281373"/>
      <w:bookmarkStart w:id="35203" w:name="_Toc398282232"/>
      <w:bookmarkStart w:id="35204" w:name="_Toc398284902"/>
      <w:bookmarkStart w:id="35205" w:name="_Toc398287371"/>
      <w:bookmarkStart w:id="35206" w:name="_Toc398289254"/>
      <w:bookmarkStart w:id="35207" w:name="_Toc398297251"/>
      <w:bookmarkStart w:id="35208" w:name="_Toc398298725"/>
      <w:bookmarkStart w:id="35209" w:name="_Toc398301323"/>
      <w:bookmarkStart w:id="35210" w:name="_Toc398302508"/>
      <w:bookmarkStart w:id="35211" w:name="_Toc398302671"/>
      <w:bookmarkStart w:id="35212" w:name="_Toc398549185"/>
      <w:bookmarkStart w:id="35213" w:name="_Toc398549435"/>
      <w:bookmarkStart w:id="35214" w:name="_Toc398555854"/>
      <w:bookmarkStart w:id="35215" w:name="_Toc398559058"/>
      <w:bookmarkStart w:id="35216" w:name="_Toc398563544"/>
      <w:bookmarkStart w:id="35217" w:name="_Toc398563677"/>
      <w:bookmarkStart w:id="35218" w:name="_Toc398564076"/>
      <w:bookmarkStart w:id="35219" w:name="_Toc398827414"/>
      <w:bookmarkStart w:id="35220" w:name="_Toc398827608"/>
      <w:bookmarkStart w:id="35221" w:name="s212"/>
      <w:r w:rsidRPr="008625DC">
        <w:rPr>
          <w:lang w:val="en-AU"/>
        </w:rPr>
        <w:t>T</w:t>
      </w:r>
      <w:r w:rsidR="007A7284" w:rsidRPr="008625DC">
        <w:rPr>
          <w:lang w:val="en-AU"/>
        </w:rPr>
        <w:t>he declaration criteria</w:t>
      </w:r>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p>
    <w:bookmarkEnd w:id="35221"/>
    <w:p w14:paraId="55271353" w14:textId="77777777" w:rsidR="007A7284" w:rsidRPr="008625DC" w:rsidRDefault="007A7284" w:rsidP="0058721A">
      <w:pPr>
        <w:spacing w:after="120"/>
      </w:pPr>
      <w:r w:rsidRPr="008625DC">
        <w:t>The PC recommended the following changes to the declaration criteria in Part IIIA:</w:t>
      </w:r>
    </w:p>
    <w:p w14:paraId="571D4CDD" w14:textId="77777777" w:rsidR="007A7284" w:rsidRPr="008625DC" w:rsidRDefault="007A7284" w:rsidP="0058721A">
      <w:pPr>
        <w:pStyle w:val="Bullet"/>
      </w:pPr>
      <w:r w:rsidRPr="008625DC">
        <w:t>that criterion (a) will be satisfied if access to an infrastructure service on reasonable terms and conditions through declaration (rather than access per se) would promote a material increase in competition in a dependent market;</w:t>
      </w:r>
    </w:p>
    <w:p w14:paraId="1A1AA1D7" w14:textId="77777777" w:rsidR="007A7284" w:rsidRPr="008625DC" w:rsidRDefault="007A7284" w:rsidP="0058721A">
      <w:pPr>
        <w:pStyle w:val="Bullet"/>
      </w:pPr>
      <w:r w:rsidRPr="008625DC">
        <w:t>that criterion (b) will be satisfied where total foreseeable market demand for the infrastructure service over the declaration period could be met at least cost by the facility;</w:t>
      </w:r>
    </w:p>
    <w:p w14:paraId="0ABF69A2" w14:textId="77777777" w:rsidR="007A7284" w:rsidRPr="008625DC" w:rsidRDefault="007A7284" w:rsidP="0058721A">
      <w:pPr>
        <w:pStyle w:val="Bullet"/>
      </w:pPr>
      <w:r w:rsidRPr="008625DC">
        <w:t>as an alternative recommendation, that criterion (b) will be satisfied where it would be uneconomical for anyone (other than the service provider) to develop another facility to provide the service; and</w:t>
      </w:r>
    </w:p>
    <w:p w14:paraId="6C442BFD" w14:textId="258BD85C" w:rsidR="007A7284" w:rsidRPr="008625DC" w:rsidRDefault="007A7284" w:rsidP="0058721A">
      <w:pPr>
        <w:pStyle w:val="Bullet"/>
        <w:spacing w:after="240"/>
      </w:pPr>
      <w:r w:rsidRPr="008625DC">
        <w:lastRenderedPageBreak/>
        <w:t>that criterion (f) will be satisfied if access on reasonable terms and conditions through declaration would promote the public interest.</w:t>
      </w:r>
      <w:r w:rsidR="00E1578E" w:rsidRPr="008625DC">
        <w:rPr>
          <w:rStyle w:val="FootnoteReference"/>
        </w:rPr>
        <w:footnoteReference w:id="379"/>
      </w:r>
    </w:p>
    <w:p w14:paraId="0E587556" w14:textId="15DA8D03" w:rsidR="007A7284" w:rsidRPr="008625DC" w:rsidRDefault="007A7284" w:rsidP="007A7284">
      <w:r w:rsidRPr="008625DC">
        <w:t xml:space="preserve">No submissions </w:t>
      </w:r>
      <w:r w:rsidR="009A4A15" w:rsidRPr="008625DC">
        <w:t xml:space="preserve">oppose </w:t>
      </w:r>
      <w:r w:rsidRPr="008625DC">
        <w:t>the proposed change to criterion (a) and the change does not appear to be controversial.</w:t>
      </w:r>
    </w:p>
    <w:p w14:paraId="729A116C" w14:textId="6D1246AB" w:rsidR="007A7284" w:rsidRPr="008625DC" w:rsidRDefault="007A7284" w:rsidP="007A7284">
      <w:r w:rsidRPr="008625DC">
        <w:t>A number of submissions address the proposed changes to criteria (b) and (f).</w:t>
      </w:r>
    </w:p>
    <w:p w14:paraId="1B9B4A62" w14:textId="77777777" w:rsidR="007A7284" w:rsidRPr="008625DC" w:rsidRDefault="007A7284" w:rsidP="00FB084C">
      <w:pPr>
        <w:pStyle w:val="Heading3"/>
      </w:pPr>
      <w:r w:rsidRPr="008625DC">
        <w:t>Criterion (b)</w:t>
      </w:r>
    </w:p>
    <w:p w14:paraId="2F814587" w14:textId="05A61EF0" w:rsidR="007A7284" w:rsidRPr="008625DC" w:rsidRDefault="007A7284" w:rsidP="007A7284">
      <w:r w:rsidRPr="008625DC">
        <w:t xml:space="preserve">As outlined in Box </w:t>
      </w:r>
      <w:r w:rsidR="00E94A5A" w:rsidRPr="008625DC">
        <w:t>21.1</w:t>
      </w:r>
      <w:r w:rsidRPr="008625DC">
        <w:t xml:space="preserve">, declaration criterion (b) is </w:t>
      </w:r>
      <w:r w:rsidR="00C74E19" w:rsidRPr="008625DC">
        <w:t>‘</w:t>
      </w:r>
      <w:r w:rsidRPr="008625DC">
        <w:t>that it would be uneconomical for anyone to develop another facility to provide the service</w:t>
      </w:r>
      <w:r w:rsidR="00C74E19" w:rsidRPr="008625DC">
        <w:t xml:space="preserve">’. </w:t>
      </w:r>
    </w:p>
    <w:p w14:paraId="0D55212A" w14:textId="2F58F6C4" w:rsidR="007A7284" w:rsidRPr="008625DC" w:rsidRDefault="007A7284" w:rsidP="007A7284">
      <w:r w:rsidRPr="008625DC">
        <w:t>Until the High Court decision in the Pilbara rail access case</w:t>
      </w:r>
      <w:r w:rsidR="00896B1A" w:rsidRPr="008625DC">
        <w:t>,</w:t>
      </w:r>
      <w:r w:rsidRPr="008625DC">
        <w:rPr>
          <w:rStyle w:val="FootnoteReference"/>
        </w:rPr>
        <w:footnoteReference w:id="380"/>
      </w:r>
      <w:r w:rsidRPr="008625DC">
        <w:t xml:space="preserve"> the NCC and the Tribunal had interpreted criterion (b) as a </w:t>
      </w:r>
      <w:r w:rsidR="00C74E19" w:rsidRPr="008625DC">
        <w:t>‘</w:t>
      </w:r>
      <w:r w:rsidRPr="008625DC">
        <w:t>natural monopoly</w:t>
      </w:r>
      <w:r w:rsidR="00C74E19" w:rsidRPr="008625DC">
        <w:t>’</w:t>
      </w:r>
      <w:r w:rsidRPr="008625DC">
        <w:t xml:space="preserve"> test. Under that test, it would be uneconomical to develop another facility if the facility in question could provide society</w:t>
      </w:r>
      <w:r w:rsidR="00C74E19" w:rsidRPr="008625DC">
        <w:t>’</w:t>
      </w:r>
      <w:r w:rsidRPr="008625DC">
        <w:t>s reasonably foreseeable demand for the service at a lower total cost than if it were to be met by two or more facilities.</w:t>
      </w:r>
    </w:p>
    <w:p w14:paraId="15E608EC" w14:textId="3E48F4AB" w:rsidR="007A7284" w:rsidRPr="008625DC" w:rsidRDefault="007A7284" w:rsidP="0058721A">
      <w:pPr>
        <w:spacing w:after="120"/>
      </w:pPr>
      <w:r w:rsidRPr="008625DC">
        <w:t xml:space="preserve">In the Pilbara rail access case, the High Court rejected that interpretation of criterion (b) in favour of a </w:t>
      </w:r>
      <w:r w:rsidR="00C74E19" w:rsidRPr="008625DC">
        <w:t>‘</w:t>
      </w:r>
      <w:r w:rsidRPr="008625DC">
        <w:t>private profitability</w:t>
      </w:r>
      <w:r w:rsidR="00C74E19" w:rsidRPr="008625DC">
        <w:t>’</w:t>
      </w:r>
      <w:r w:rsidRPr="008625DC">
        <w:t xml:space="preserve"> test: </w:t>
      </w:r>
    </w:p>
    <w:p w14:paraId="34F11635" w14:textId="7A0D4FE1" w:rsidR="007A7284" w:rsidRPr="008625DC" w:rsidRDefault="0058721A" w:rsidP="007A7284">
      <w:pPr>
        <w:pStyle w:val="Quotes"/>
      </w:pPr>
      <w:r w:rsidRPr="008625DC">
        <w:t>[</w:t>
      </w:r>
      <w:r w:rsidR="007A7284" w:rsidRPr="008625DC">
        <w:t>r</w:t>
      </w:r>
      <w:r w:rsidRPr="008625DC">
        <w:t>]</w:t>
      </w:r>
      <w:r w:rsidR="007A7284" w:rsidRPr="008625DC">
        <w:t>equiring the decision</w:t>
      </w:r>
      <w:r w:rsidR="00896B1A" w:rsidRPr="008625DC">
        <w:t xml:space="preserve"> </w:t>
      </w:r>
      <w:r w:rsidR="007A7284" w:rsidRPr="008625DC">
        <w:t>maker to be satisfied that there is not anyone for whom it would be profitable to develop another facility.</w:t>
      </w:r>
      <w:r w:rsidR="007A7284" w:rsidRPr="008625DC">
        <w:rPr>
          <w:rStyle w:val="FootnoteReference"/>
        </w:rPr>
        <w:footnoteReference w:id="381"/>
      </w:r>
    </w:p>
    <w:p w14:paraId="1FEDCC3E" w14:textId="77777777" w:rsidR="007A7284" w:rsidRPr="008625DC" w:rsidRDefault="007A7284" w:rsidP="0058721A">
      <w:pPr>
        <w:spacing w:after="120"/>
      </w:pPr>
      <w:r w:rsidRPr="008625DC">
        <w:t>The High Court explained the economic intuition underlying that test:</w:t>
      </w:r>
    </w:p>
    <w:p w14:paraId="00C129F7" w14:textId="77777777" w:rsidR="007A7284" w:rsidRPr="008625DC" w:rsidRDefault="007A7284" w:rsidP="007A7284">
      <w:pPr>
        <w:pStyle w:val="Quotes"/>
      </w:pPr>
      <w:r w:rsidRPr="008625DC">
        <w:t xml:space="preserve">If criterion (b) is read as a privately profitable test, there may be cases where there would be a duplication of a natural monopoly. But duplication would occur only if it were profitable for another to develop an alternative facility to provide the service (despite the fact that total market output could be supplied at lowest cost by one facility). It </w:t>
      </w:r>
      <w:r w:rsidRPr="008625DC">
        <w:rPr>
          <w:i/>
        </w:rPr>
        <w:t>would</w:t>
      </w:r>
      <w:r w:rsidRPr="008625DC">
        <w:t xml:space="preserve"> be profitable for another to develop an alternative facility if the new facility is more efficient than the existing facility, for example, because of some form of cost or technological advantage. And if the new facility is </w:t>
      </w:r>
      <w:r w:rsidRPr="008625DC">
        <w:rPr>
          <w:i/>
        </w:rPr>
        <w:t>not</w:t>
      </w:r>
      <w:r w:rsidRPr="008625DC">
        <w:t xml:space="preserve"> more efficient than the existing facility, it is to be doubted that development of the new facility in competition with a natural monopoly would be profitable.</w:t>
      </w:r>
      <w:r w:rsidRPr="008625DC">
        <w:rPr>
          <w:rStyle w:val="FootnoteReference"/>
        </w:rPr>
        <w:footnoteReference w:id="382"/>
      </w:r>
    </w:p>
    <w:p w14:paraId="0D738821" w14:textId="5B2AFC1A" w:rsidR="007A7284" w:rsidRPr="008625DC" w:rsidRDefault="007A7284" w:rsidP="007A7284">
      <w:r w:rsidRPr="008625DC">
        <w:t xml:space="preserve">In its recent inquiry the PC concluded that neither the </w:t>
      </w:r>
      <w:r w:rsidR="00C74E19" w:rsidRPr="008625DC">
        <w:t>‘</w:t>
      </w:r>
      <w:r w:rsidRPr="008625DC">
        <w:t>private profitability</w:t>
      </w:r>
      <w:r w:rsidR="00C74E19" w:rsidRPr="008625DC">
        <w:t>’</w:t>
      </w:r>
      <w:r w:rsidR="0058721A" w:rsidRPr="008625DC">
        <w:t xml:space="preserve"> test approved by the High </w:t>
      </w:r>
      <w:r w:rsidRPr="008625DC">
        <w:t xml:space="preserve">Court nor the </w:t>
      </w:r>
      <w:r w:rsidR="00C74E19" w:rsidRPr="008625DC">
        <w:t>‘</w:t>
      </w:r>
      <w:r w:rsidRPr="008625DC">
        <w:t>natural monopoly</w:t>
      </w:r>
      <w:r w:rsidR="00C74E19" w:rsidRPr="008625DC">
        <w:t>’</w:t>
      </w:r>
      <w:r w:rsidRPr="008625DC">
        <w:t xml:space="preserve"> test previously applied by the NCC was apt. The PC was concerned that the private profitability test might be difficult to assess in practice and give rise to disputes (as argued by the ACCC and the NCC</w:t>
      </w:r>
      <w:r w:rsidR="005056A7" w:rsidRPr="008625DC">
        <w:t xml:space="preserve"> in their submissions to the PC inquiry)</w:t>
      </w:r>
      <w:r w:rsidRPr="008625DC">
        <w:t xml:space="preserve">. On the other hand, the natural monopoly test as traditionally applied was narrowly </w:t>
      </w:r>
      <w:r w:rsidR="004E3403" w:rsidRPr="008625DC">
        <w:t>focused</w:t>
      </w:r>
      <w:r w:rsidRPr="008625DC">
        <w:t xml:space="preserve"> on demand for the service supplied by the relevant infrastructure, rather than total market demand.</w:t>
      </w:r>
    </w:p>
    <w:p w14:paraId="243A1197" w14:textId="77777777" w:rsidR="007A7284" w:rsidRPr="008625DC" w:rsidRDefault="007A7284" w:rsidP="0058721A">
      <w:pPr>
        <w:spacing w:after="120"/>
      </w:pPr>
      <w:r w:rsidRPr="008625DC">
        <w:t>The PC concluded that a new test was preferable:</w:t>
      </w:r>
    </w:p>
    <w:p w14:paraId="62C1844A" w14:textId="3C82B5B0" w:rsidR="007A7284" w:rsidRPr="008625DC" w:rsidRDefault="007A7284" w:rsidP="0058721A">
      <w:pPr>
        <w:pStyle w:val="Quotes"/>
        <w:spacing w:after="120"/>
      </w:pPr>
      <w:r w:rsidRPr="008625DC">
        <w:t>The Commission</w:t>
      </w:r>
      <w:r w:rsidR="00C74E19" w:rsidRPr="008625DC">
        <w:t>’</w:t>
      </w:r>
      <w:r w:rsidRPr="008625DC">
        <w:t xml:space="preserve">s preferred approach to criterion (b) accounts for both the total demand in the market in which the infrastructure service is supplied, and the production costs </w:t>
      </w:r>
      <w:r w:rsidRPr="008625DC">
        <w:lastRenderedPageBreak/>
        <w:t xml:space="preserve">incurred by infrastructure service providers from coordinating multiple users of infrastructure. </w:t>
      </w:r>
    </w:p>
    <w:p w14:paraId="34FCF672" w14:textId="3C08FA91" w:rsidR="007A7284" w:rsidRPr="008625DC" w:rsidRDefault="007A7284" w:rsidP="007A7284">
      <w:pPr>
        <w:pStyle w:val="Quotes"/>
      </w:pPr>
      <w:r w:rsidRPr="008625DC">
        <w:t>Criterion (b) should be satisfied where total foreseeable market demand for the infrastructure service over the declaration period could be met at least cost by the facility.</w:t>
      </w:r>
      <w:r w:rsidR="00E1578E" w:rsidRPr="008625DC">
        <w:rPr>
          <w:rStyle w:val="FootnoteReference"/>
        </w:rPr>
        <w:footnoteReference w:id="383"/>
      </w:r>
    </w:p>
    <w:p w14:paraId="67873054" w14:textId="1240904A" w:rsidR="007A7284" w:rsidRPr="008625DC" w:rsidRDefault="007A7284" w:rsidP="0058721A">
      <w:pPr>
        <w:spacing w:after="120"/>
      </w:pPr>
      <w:r w:rsidRPr="008625DC">
        <w:t>The PC also concluded that, if the test w</w:t>
      </w:r>
      <w:r w:rsidR="007F3432" w:rsidRPr="008625DC">
        <w:t>ere</w:t>
      </w:r>
      <w:r w:rsidRPr="008625DC">
        <w:t xml:space="preserve"> to remain as a </w:t>
      </w:r>
      <w:r w:rsidR="00C74E19" w:rsidRPr="008625DC">
        <w:t>‘</w:t>
      </w:r>
      <w:r w:rsidRPr="008625DC">
        <w:t>private profitability</w:t>
      </w:r>
      <w:r w:rsidR="00C74E19" w:rsidRPr="008625DC">
        <w:t>’</w:t>
      </w:r>
      <w:r w:rsidRPr="008625DC">
        <w:t xml:space="preserve"> test, criterion (b) should be amended to exclude any consideration of whether the operator of the infrastructure service was able to duplicate the facility:</w:t>
      </w:r>
    </w:p>
    <w:p w14:paraId="4855FA34" w14:textId="676A1C4F" w:rsidR="007A7284" w:rsidRPr="008625DC" w:rsidRDefault="007A7284" w:rsidP="007A7284">
      <w:pPr>
        <w:pStyle w:val="Quotes"/>
      </w:pPr>
      <w:r w:rsidRPr="008625DC">
        <w:t xml:space="preserve">If criterion (b) continues to be applied as a private profitability test, the Commission considers that the term </w:t>
      </w:r>
      <w:r w:rsidR="00C74E19" w:rsidRPr="008625DC">
        <w:t>‘</w:t>
      </w:r>
      <w:r w:rsidRPr="008625DC">
        <w:t>anyone</w:t>
      </w:r>
      <w:r w:rsidR="00C74E19" w:rsidRPr="008625DC">
        <w:t>’</w:t>
      </w:r>
      <w:r w:rsidRPr="008625DC">
        <w:t xml:space="preserve"> should not include the incumbent infrastructure service provider. This is because an incumbent service provider would avoid access regulation if it successfully argued that it could profitably duplicate its own facilities (although it would not be required to do so). All else equal, having the incumbent duplicate, or say it will duplicate, its facility would do little to nothing to promote competition.</w:t>
      </w:r>
      <w:r w:rsidR="00896B1A" w:rsidRPr="008625DC">
        <w:rPr>
          <w:rStyle w:val="FootnoteReference"/>
        </w:rPr>
        <w:footnoteReference w:id="384"/>
      </w:r>
    </w:p>
    <w:p w14:paraId="256C881D" w14:textId="340E7121" w:rsidR="007A7284" w:rsidRPr="008625DC" w:rsidRDefault="007A7284" w:rsidP="007A7284">
      <w:r w:rsidRPr="008625DC">
        <w:t>The NCC</w:t>
      </w:r>
      <w:r w:rsidR="00FE347D" w:rsidRPr="008625DC">
        <w:t xml:space="preserve"> (page10)</w:t>
      </w:r>
      <w:r w:rsidRPr="008625DC">
        <w:t>, Fortescue</w:t>
      </w:r>
      <w:r w:rsidR="00FE347D" w:rsidRPr="008625DC">
        <w:t xml:space="preserve"> (page 1)</w:t>
      </w:r>
      <w:r w:rsidRPr="008625DC">
        <w:t>, Anglo</w:t>
      </w:r>
      <w:r w:rsidR="00896B1A" w:rsidRPr="008625DC">
        <w:t xml:space="preserve"> </w:t>
      </w:r>
      <w:r w:rsidRPr="008625DC">
        <w:t xml:space="preserve">American </w:t>
      </w:r>
      <w:r w:rsidR="00FE347D" w:rsidRPr="008625DC">
        <w:t xml:space="preserve">(page 5) </w:t>
      </w:r>
      <w:r w:rsidRPr="008625DC">
        <w:t xml:space="preserve">and Glencore Coal </w:t>
      </w:r>
      <w:r w:rsidR="00FE347D" w:rsidRPr="008625DC">
        <w:t xml:space="preserve">(page 8) </w:t>
      </w:r>
      <w:r w:rsidRPr="008625DC">
        <w:t>support the PC</w:t>
      </w:r>
      <w:r w:rsidR="00C74E19" w:rsidRPr="008625DC">
        <w:t>’</w:t>
      </w:r>
      <w:r w:rsidRPr="008625DC">
        <w:t xml:space="preserve">s proposed change to criterion (b). </w:t>
      </w:r>
    </w:p>
    <w:p w14:paraId="4FAE979A" w14:textId="0D628A27" w:rsidR="007A7284" w:rsidRPr="008625DC" w:rsidRDefault="007A7284" w:rsidP="0058721A">
      <w:pPr>
        <w:spacing w:after="120"/>
      </w:pPr>
      <w:r w:rsidRPr="008625DC">
        <w:t xml:space="preserve">BHP Billiton </w:t>
      </w:r>
      <w:r w:rsidR="004E279E" w:rsidRPr="008625DC">
        <w:t xml:space="preserve">(page 34) </w:t>
      </w:r>
      <w:r w:rsidRPr="008625DC">
        <w:t xml:space="preserve">and Rio Tinto Iron Ore </w:t>
      </w:r>
      <w:r w:rsidR="004E279E" w:rsidRPr="008625DC">
        <w:t xml:space="preserve">(page 2) </w:t>
      </w:r>
      <w:r w:rsidRPr="008625DC">
        <w:t>do not support the PC</w:t>
      </w:r>
      <w:r w:rsidR="00C74E19" w:rsidRPr="008625DC">
        <w:t>’</w:t>
      </w:r>
      <w:r w:rsidRPr="008625DC">
        <w:t xml:space="preserve">s proposal and support instead the </w:t>
      </w:r>
      <w:r w:rsidR="00C74E19" w:rsidRPr="008625DC">
        <w:t>‘</w:t>
      </w:r>
      <w:r w:rsidRPr="008625DC">
        <w:t>private profitability</w:t>
      </w:r>
      <w:r w:rsidR="00C74E19" w:rsidRPr="008625DC">
        <w:t>’</w:t>
      </w:r>
      <w:r w:rsidRPr="008625DC">
        <w:t xml:space="preserve"> test. BHP Billiton s</w:t>
      </w:r>
      <w:r w:rsidR="007F3432" w:rsidRPr="008625DC">
        <w:t>tates</w:t>
      </w:r>
      <w:r w:rsidRPr="008625DC">
        <w:t>:</w:t>
      </w:r>
    </w:p>
    <w:p w14:paraId="77FACB54" w14:textId="76CE0C86" w:rsidR="007A7284" w:rsidRPr="008625DC" w:rsidRDefault="007A7284" w:rsidP="007A7284">
      <w:pPr>
        <w:pStyle w:val="Quotes"/>
      </w:pPr>
      <w:r w:rsidRPr="008625DC">
        <w:t>[The PC</w:t>
      </w:r>
      <w:r w:rsidR="00C74E19" w:rsidRPr="008625DC">
        <w:t>’</w:t>
      </w:r>
      <w:r w:rsidRPr="008625DC">
        <w:t>s] recommendations, if implemented, would introduce further uncertainty regarding the application of Part IIIA declaration regime</w:t>
      </w:r>
      <w:r w:rsidR="00743557">
        <w:t xml:space="preserve"> </w:t>
      </w:r>
      <w:r w:rsidRPr="008625DC">
        <w:t xml:space="preserve">… the prevailing </w:t>
      </w:r>
      <w:r w:rsidR="00C74E19" w:rsidRPr="008625DC">
        <w:t>‘</w:t>
      </w:r>
      <w:r w:rsidRPr="008625DC">
        <w:t>private profitability</w:t>
      </w:r>
      <w:r w:rsidR="00C74E19" w:rsidRPr="008625DC">
        <w:t>’</w:t>
      </w:r>
      <w:r w:rsidRPr="008625DC">
        <w:t xml:space="preserve"> interpretation of criterion (b) is strongly preferable … both as a matter of principle and practice. (pages 33</w:t>
      </w:r>
      <w:r w:rsidR="00C74E19" w:rsidRPr="008625DC">
        <w:noBreakHyphen/>
      </w:r>
      <w:r w:rsidRPr="008625DC">
        <w:t>34)</w:t>
      </w:r>
    </w:p>
    <w:p w14:paraId="6B57544B" w14:textId="489BA7A5" w:rsidR="007A7284" w:rsidRPr="008625DC" w:rsidRDefault="007A7284" w:rsidP="0058721A">
      <w:pPr>
        <w:spacing w:after="120"/>
      </w:pPr>
      <w:r w:rsidRPr="008625DC">
        <w:t xml:space="preserve">In weighing up the </w:t>
      </w:r>
      <w:r w:rsidR="00C74E19" w:rsidRPr="008625DC">
        <w:t>‘</w:t>
      </w:r>
      <w:r w:rsidRPr="008625DC">
        <w:t>private profitability</w:t>
      </w:r>
      <w:r w:rsidR="00C74E19" w:rsidRPr="008625DC">
        <w:t>’</w:t>
      </w:r>
      <w:r w:rsidRPr="008625DC">
        <w:t xml:space="preserve"> test against the PC</w:t>
      </w:r>
      <w:r w:rsidR="00C74E19" w:rsidRPr="008625DC">
        <w:t>’</w:t>
      </w:r>
      <w:r w:rsidRPr="008625DC">
        <w:t>s recommendation, Professor Hilmer remarked last year that:</w:t>
      </w:r>
    </w:p>
    <w:p w14:paraId="1049A7FA" w14:textId="49970D07" w:rsidR="007A7284" w:rsidRPr="008625DC" w:rsidRDefault="007A7284" w:rsidP="007A7284">
      <w:pPr>
        <w:pStyle w:val="Quotes"/>
      </w:pPr>
      <w:r w:rsidRPr="008625DC">
        <w:t>The PC approach may do better on public benefit, while the High Court approach may do better on certainty and speed of resolution. Either could work</w:t>
      </w:r>
      <w:r w:rsidR="00896B1A" w:rsidRPr="008625DC">
        <w:t>,</w:t>
      </w:r>
      <w:r w:rsidRPr="008625DC">
        <w:t xml:space="preserve"> with the proviso that there be a further review after say 5 years …</w:t>
      </w:r>
      <w:r w:rsidRPr="008625DC">
        <w:rPr>
          <w:rStyle w:val="FootnoteReference"/>
        </w:rPr>
        <w:footnoteReference w:id="385"/>
      </w:r>
    </w:p>
    <w:p w14:paraId="37B8F859" w14:textId="022CF332" w:rsidR="00F41F8E" w:rsidRPr="008625DC" w:rsidRDefault="007A7284" w:rsidP="007A7284">
      <w:r w:rsidRPr="008625DC">
        <w:t>The Panel agrees with Professor Hilmer</w:t>
      </w:r>
      <w:r w:rsidR="00C74E19" w:rsidRPr="008625DC">
        <w:t>’</w:t>
      </w:r>
      <w:r w:rsidRPr="008625DC">
        <w:t xml:space="preserve">s view. </w:t>
      </w:r>
      <w:r w:rsidR="00773FC3" w:rsidRPr="008625DC">
        <w:t xml:space="preserve">On balance, it considers that the existing </w:t>
      </w:r>
      <w:r w:rsidR="00C74E19" w:rsidRPr="008625DC">
        <w:t>‘</w:t>
      </w:r>
      <w:r w:rsidRPr="008625DC">
        <w:t>private profitability</w:t>
      </w:r>
      <w:r w:rsidR="00C74E19" w:rsidRPr="008625DC">
        <w:t>’</w:t>
      </w:r>
      <w:r w:rsidRPr="008625DC">
        <w:t xml:space="preserve"> test is </w:t>
      </w:r>
      <w:r w:rsidR="00773FC3" w:rsidRPr="008625DC">
        <w:t xml:space="preserve">preferable because it is </w:t>
      </w:r>
      <w:r w:rsidRPr="008625DC">
        <w:t>likely to be easier to assess in practice in comparison to the reformulated natural monopoly test</w:t>
      </w:r>
      <w:r w:rsidR="00F41F8E" w:rsidRPr="008625DC">
        <w:t>,</w:t>
      </w:r>
      <w:r w:rsidRPr="008625DC">
        <w:t xml:space="preserve"> which would require predictions of total market demand over the proposed period of declaration and an assessment of production costs rising from third</w:t>
      </w:r>
      <w:r w:rsidR="00C74E19" w:rsidRPr="008625DC">
        <w:noBreakHyphen/>
      </w:r>
      <w:r w:rsidRPr="008625DC">
        <w:t>party access to the facility.</w:t>
      </w:r>
    </w:p>
    <w:p w14:paraId="74BDD67E" w14:textId="5B89A9D2" w:rsidR="007A7284" w:rsidRPr="008625DC" w:rsidRDefault="007A7284" w:rsidP="007A7284">
      <w:r w:rsidRPr="008625DC">
        <w:t xml:space="preserve">The Panel considers it preferable to make the alternative revision suggested by the PC (to exclude the service provider from the assessment of feasible duplication by anyone), and otherwise not to amend criterion (b). The practical operation of the criterion should then be reassessed after a suitable interval of </w:t>
      </w:r>
      <w:r w:rsidR="005F164D" w:rsidRPr="008625DC">
        <w:t>five</w:t>
      </w:r>
      <w:r w:rsidRPr="008625DC">
        <w:t xml:space="preserve"> to 10 years.</w:t>
      </w:r>
    </w:p>
    <w:p w14:paraId="31DA9437" w14:textId="77777777" w:rsidR="007A7284" w:rsidRPr="008625DC" w:rsidRDefault="007A7284" w:rsidP="00FB084C">
      <w:pPr>
        <w:pStyle w:val="Heading3"/>
      </w:pPr>
      <w:bookmarkStart w:id="35222" w:name="_Toc397413367"/>
      <w:bookmarkStart w:id="35223" w:name="_Toc397413514"/>
      <w:r w:rsidRPr="008625DC">
        <w:lastRenderedPageBreak/>
        <w:t>Criterion (f)</w:t>
      </w:r>
      <w:bookmarkEnd w:id="35222"/>
      <w:bookmarkEnd w:id="35223"/>
    </w:p>
    <w:p w14:paraId="2974BFCC" w14:textId="77777777" w:rsidR="007A7284" w:rsidRPr="008625DC" w:rsidRDefault="007A7284" w:rsidP="0058721A">
      <w:pPr>
        <w:spacing w:after="120"/>
      </w:pPr>
      <w:r w:rsidRPr="008625DC">
        <w:t>The PC recommended criterion (f) be amended to strengthen the public interest test. It observed:</w:t>
      </w:r>
    </w:p>
    <w:p w14:paraId="7EEEC953" w14:textId="59825F46" w:rsidR="007A7284" w:rsidRPr="008625DC" w:rsidRDefault="007A7284" w:rsidP="0058721A">
      <w:pPr>
        <w:pStyle w:val="Quotes"/>
        <w:spacing w:after="120"/>
      </w:pPr>
      <w:r w:rsidRPr="008625DC">
        <w:t>Given the costs associated with access regulation, it is appropriate that a service can only be declared where the decision</w:t>
      </w:r>
      <w:r w:rsidR="00896B1A" w:rsidRPr="008625DC">
        <w:t xml:space="preserve"> </w:t>
      </w:r>
      <w:r w:rsidRPr="008625DC">
        <w:t xml:space="preserve">maker is satisfied that declaration is likely to generate overall gains to the community. To support this, criterion (f) would be better drafted as an affirmative test that requires the public interest to be </w:t>
      </w:r>
      <w:r w:rsidRPr="008625DC">
        <w:rPr>
          <w:i/>
        </w:rPr>
        <w:t>promoted</w:t>
      </w:r>
      <w:r w:rsidRPr="008625DC">
        <w:t xml:space="preserve"> (as opposed to access being </w:t>
      </w:r>
      <w:r w:rsidR="00C74E19" w:rsidRPr="008625DC">
        <w:t>‘</w:t>
      </w:r>
      <w:r w:rsidRPr="008625DC">
        <w:t>not contrary to</w:t>
      </w:r>
      <w:r w:rsidR="00C74E19" w:rsidRPr="008625DC">
        <w:t>’</w:t>
      </w:r>
      <w:r w:rsidRPr="008625DC">
        <w:t xml:space="preserve"> the public interest). This approach is consistent with the focus of the National Competition Policy reforms and the guiding principle that competition will promote community welfare by increasing national income through encouraging improvements in efficiency.</w:t>
      </w:r>
    </w:p>
    <w:p w14:paraId="29AE7BA6" w14:textId="77777777" w:rsidR="007A7284" w:rsidRPr="008625DC" w:rsidRDefault="007A7284" w:rsidP="0058721A">
      <w:pPr>
        <w:pStyle w:val="Quotes"/>
        <w:spacing w:after="120"/>
      </w:pPr>
      <w:r w:rsidRPr="008625DC">
        <w:t>…</w:t>
      </w:r>
    </w:p>
    <w:p w14:paraId="25CA6AF2" w14:textId="164B133A" w:rsidR="007A7284" w:rsidRPr="008625DC" w:rsidRDefault="007A7284" w:rsidP="007A7284">
      <w:pPr>
        <w:pStyle w:val="Quotes"/>
        <w:rPr>
          <w:rFonts w:ascii="Times" w:eastAsia="SimSun" w:hAnsi="Times" w:cs="Times"/>
          <w:color w:val="auto"/>
          <w:sz w:val="24"/>
          <w:szCs w:val="24"/>
          <w:lang w:eastAsia="en-US"/>
        </w:rPr>
      </w:pPr>
      <w:r w:rsidRPr="008625DC">
        <w:t>Assessments under criterion (f) should specifically include any effects on investment (positive and negative) in markets for infrastructure services and dependent markets, and the administrative and compliance costs that would arise due to declaration. This change would also require criterion (f) to be framed as a test that assesses factors that affect the public interest with and without declaration — comparable to the access–declaration distinction associated with criterion (a) discussed above.</w:t>
      </w:r>
      <w:r w:rsidR="004E279E" w:rsidRPr="008625DC">
        <w:rPr>
          <w:rStyle w:val="FootnoteReference"/>
        </w:rPr>
        <w:footnoteReference w:id="386"/>
      </w:r>
    </w:p>
    <w:p w14:paraId="61757F02" w14:textId="370EB41F" w:rsidR="007A7284" w:rsidRPr="008625DC" w:rsidRDefault="007A7284" w:rsidP="0058721A">
      <w:pPr>
        <w:spacing w:after="120"/>
      </w:pPr>
      <w:r w:rsidRPr="008625DC">
        <w:t>Rio Tinto Iron Ore</w:t>
      </w:r>
      <w:r w:rsidR="00893790" w:rsidRPr="008625DC">
        <w:t xml:space="preserve"> (page 9)</w:t>
      </w:r>
      <w:r w:rsidRPr="008625DC">
        <w:t xml:space="preserve">, the Law Council of Australia </w:t>
      </w:r>
      <w:r w:rsidR="00893790" w:rsidRPr="008625DC">
        <w:t xml:space="preserve">(page 47) </w:t>
      </w:r>
      <w:r w:rsidRPr="008625DC">
        <w:t xml:space="preserve">and the BCA </w:t>
      </w:r>
      <w:r w:rsidR="00563E5B" w:rsidRPr="008625DC">
        <w:t>(</w:t>
      </w:r>
      <w:r w:rsidR="00985C8E" w:rsidRPr="008625DC">
        <w:t>BCA Main Report,</w:t>
      </w:r>
      <w:r w:rsidR="00563E5B" w:rsidRPr="008625DC">
        <w:t xml:space="preserve"> page 78) </w:t>
      </w:r>
      <w:r w:rsidRPr="008625DC">
        <w:t>support the PC</w:t>
      </w:r>
      <w:r w:rsidR="00C74E19" w:rsidRPr="008625DC">
        <w:t>’</w:t>
      </w:r>
      <w:r w:rsidRPr="008625DC">
        <w:t>s proposed changes to criterion (f). Rio Tinto Iron Ore say</w:t>
      </w:r>
      <w:r w:rsidR="004E279E" w:rsidRPr="008625DC">
        <w:t>s</w:t>
      </w:r>
      <w:r w:rsidRPr="008625DC">
        <w:t>:</w:t>
      </w:r>
    </w:p>
    <w:p w14:paraId="7396594C" w14:textId="30366502" w:rsidR="007A7284" w:rsidRPr="008625DC" w:rsidRDefault="007A7284" w:rsidP="007A7284">
      <w:pPr>
        <w:pStyle w:val="Quotes"/>
      </w:pPr>
      <w:r w:rsidRPr="008625DC">
        <w:t>[Rio Tinto Iron Ore] agrees with the Productivity Commission</w:t>
      </w:r>
      <w:r w:rsidR="00C74E19" w:rsidRPr="008625DC">
        <w:t>’</w:t>
      </w:r>
      <w:r w:rsidRPr="008625DC">
        <w:t>s finding that the current test, which is satisfied if access is not contrary to the public interest, sets too low a hurdle … Introducing an affirmative public interest test as the Commission recommends will assist to ensure that access regulation is applied only where it is likely to generate net benefits to the community. (page 9)</w:t>
      </w:r>
    </w:p>
    <w:p w14:paraId="69ECB630" w14:textId="07F799C0" w:rsidR="007A7284" w:rsidRPr="008625DC" w:rsidRDefault="007A7284" w:rsidP="0058721A">
      <w:pPr>
        <w:spacing w:after="120"/>
      </w:pPr>
      <w:r w:rsidRPr="008625DC">
        <w:t xml:space="preserve">The NCC </w:t>
      </w:r>
      <w:r w:rsidR="000364FC" w:rsidRPr="008625DC">
        <w:t>(pages 10</w:t>
      </w:r>
      <w:r w:rsidR="00C74E19" w:rsidRPr="008625DC">
        <w:noBreakHyphen/>
      </w:r>
      <w:r w:rsidR="000364FC" w:rsidRPr="008625DC">
        <w:t xml:space="preserve">11) </w:t>
      </w:r>
      <w:r w:rsidRPr="008625DC">
        <w:t xml:space="preserve">and AngloAmerican </w:t>
      </w:r>
      <w:r w:rsidR="000364FC" w:rsidRPr="008625DC">
        <w:t>(pages 5</w:t>
      </w:r>
      <w:r w:rsidR="00C74E19" w:rsidRPr="008625DC">
        <w:noBreakHyphen/>
      </w:r>
      <w:r w:rsidR="000364FC" w:rsidRPr="008625DC">
        <w:t xml:space="preserve">6) </w:t>
      </w:r>
      <w:r w:rsidRPr="008625DC">
        <w:t>do not support the PC</w:t>
      </w:r>
      <w:r w:rsidR="00C74E19" w:rsidRPr="008625DC">
        <w:t>’</w:t>
      </w:r>
      <w:r w:rsidRPr="008625DC">
        <w:t>s proposal. The NCC argue</w:t>
      </w:r>
      <w:r w:rsidR="00F41F8E" w:rsidRPr="008625DC">
        <w:t>s</w:t>
      </w:r>
      <w:r w:rsidRPr="008625DC">
        <w:t xml:space="preserve"> that:</w:t>
      </w:r>
    </w:p>
    <w:p w14:paraId="391639C3" w14:textId="77777777" w:rsidR="007A7284" w:rsidRPr="008625DC" w:rsidRDefault="007A7284" w:rsidP="007A7284">
      <w:pPr>
        <w:pStyle w:val="Quotes"/>
      </w:pPr>
      <w:bookmarkStart w:id="35224" w:name="_Toc394484133"/>
      <w:bookmarkStart w:id="35225" w:name="_Toc394333315"/>
      <w:bookmarkStart w:id="35226" w:name="_Toc394333728"/>
      <w:bookmarkStart w:id="35227" w:name="_Toc394334141"/>
      <w:bookmarkStart w:id="35228" w:name="_Toc394334967"/>
      <w:bookmarkStart w:id="35229" w:name="_Toc394415158"/>
      <w:bookmarkStart w:id="35230" w:name="_Toc394412463"/>
      <w:bookmarkStart w:id="35231" w:name="_Toc394420754"/>
      <w:bookmarkStart w:id="35232" w:name="_Toc394423597"/>
      <w:bookmarkStart w:id="35233" w:name="_Toc394422641"/>
      <w:bookmarkStart w:id="35234" w:name="_Toc394423112"/>
      <w:bookmarkStart w:id="35235" w:name="_Toc394424262"/>
      <w:r w:rsidRPr="008625DC">
        <w:t>There is a genuine risk that raising the hurdle higher will render declaration impossible and as a result nullify any effective threat from declaration as a means of encouraging private settlements of access disputes. (page 11)</w:t>
      </w:r>
    </w:p>
    <w:bookmarkEnd w:id="35224"/>
    <w:bookmarkEnd w:id="35225"/>
    <w:bookmarkEnd w:id="35226"/>
    <w:bookmarkEnd w:id="35227"/>
    <w:bookmarkEnd w:id="35228"/>
    <w:bookmarkEnd w:id="35229"/>
    <w:bookmarkEnd w:id="35230"/>
    <w:bookmarkEnd w:id="35231"/>
    <w:bookmarkEnd w:id="35232"/>
    <w:bookmarkEnd w:id="35233"/>
    <w:bookmarkEnd w:id="35234"/>
    <w:bookmarkEnd w:id="35235"/>
    <w:p w14:paraId="43564682" w14:textId="77777777" w:rsidR="00F41F8E" w:rsidRPr="008625DC" w:rsidRDefault="007A7284" w:rsidP="007A7284">
      <w:r w:rsidRPr="008625DC">
        <w:t>A foundational principle of competition policy is that regulatory intervention into markets should only occur where the public interest is promoted. While criterion (a) and (b) are important considerations in assessing whether an infrastructure facility should be declared, they do not exhaust the considerations that may bear upon the public interest in a given case.</w:t>
      </w:r>
    </w:p>
    <w:p w14:paraId="24B2BE04" w14:textId="23D52E1E" w:rsidR="007A7284" w:rsidRPr="008625DC" w:rsidRDefault="007A7284" w:rsidP="007A7284">
      <w:r w:rsidRPr="008625DC">
        <w:t>In particular, as observed by the PC</w:t>
      </w:r>
      <w:r w:rsidR="00896B1A" w:rsidRPr="008625DC">
        <w:t>,</w:t>
      </w:r>
      <w:r w:rsidR="00773FC3" w:rsidRPr="008625DC">
        <w:rPr>
          <w:rStyle w:val="FootnoteReference"/>
        </w:rPr>
        <w:footnoteReference w:id="387"/>
      </w:r>
      <w:r w:rsidRPr="008625DC">
        <w:t xml:space="preserve"> third</w:t>
      </w:r>
      <w:r w:rsidR="00C74E19" w:rsidRPr="008625DC">
        <w:noBreakHyphen/>
      </w:r>
      <w:r w:rsidRPr="008625DC">
        <w:t xml:space="preserve">party access may cause inefficiencies in dependent markets (access may negatively </w:t>
      </w:r>
      <w:r w:rsidR="00736394" w:rsidRPr="008625DC">
        <w:t>affect</w:t>
      </w:r>
      <w:r w:rsidRPr="008625DC">
        <w:t xml:space="preserve"> the ability of the infrastructure owner to </w:t>
      </w:r>
      <w:r w:rsidR="005F164D" w:rsidRPr="008625DC">
        <w:t>co</w:t>
      </w:r>
      <w:r w:rsidRPr="008625DC">
        <w:t>ordinate its supply chain in the most efficient manner and may lead to the need to undertake additional capital investment in dependent markets, e</w:t>
      </w:r>
      <w:r w:rsidR="00F41F8E" w:rsidRPr="008625DC">
        <w:t>.</w:t>
      </w:r>
      <w:r w:rsidRPr="008625DC">
        <w:t>g</w:t>
      </w:r>
      <w:r w:rsidR="00F41F8E" w:rsidRPr="008625DC">
        <w:t>.</w:t>
      </w:r>
      <w:r w:rsidRPr="008625DC">
        <w:t xml:space="preserve"> larger stockpiles or other facilities). All factors that bear upon the overall public interest should be taken into account in the declaration decision.</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7A7284" w:rsidRPr="008625DC" w14:paraId="521A1329" w14:textId="77777777" w:rsidTr="0052543A">
        <w:tc>
          <w:tcPr>
            <w:tcW w:w="5000" w:type="pct"/>
            <w:shd w:val="clear" w:color="auto" w:fill="FFFFFF" w:themeFill="background1"/>
          </w:tcPr>
          <w:p w14:paraId="45CD78C5" w14:textId="3BC82485" w:rsidR="007A7284" w:rsidRPr="008625DC" w:rsidRDefault="007A7284" w:rsidP="0052543A">
            <w:pPr>
              <w:pStyle w:val="Keyfindingheading"/>
            </w:pPr>
            <w:r w:rsidRPr="008625DC">
              <w:lastRenderedPageBreak/>
              <w:t>The Panel</w:t>
            </w:r>
            <w:r w:rsidR="00C74E19" w:rsidRPr="008625DC">
              <w:t>’</w:t>
            </w:r>
            <w:r w:rsidRPr="008625DC">
              <w:t>s View</w:t>
            </w:r>
          </w:p>
          <w:p w14:paraId="39218B4C" w14:textId="3224ABE7" w:rsidR="007A7284" w:rsidRPr="008625DC" w:rsidRDefault="007A7284" w:rsidP="0058721A">
            <w:pPr>
              <w:pStyle w:val="Keyfindingtext"/>
            </w:pPr>
            <w:r w:rsidRPr="008625DC">
              <w:t>The declaration criteria in Part IIIA should be targeted to ensure that third</w:t>
            </w:r>
            <w:r w:rsidR="00C74E19" w:rsidRPr="008625DC">
              <w:noBreakHyphen/>
            </w:r>
            <w:r w:rsidRPr="008625DC">
              <w:t>party access is only mandated where it is in the public interest. To that end:</w:t>
            </w:r>
          </w:p>
          <w:p w14:paraId="56E9C7C3" w14:textId="07031F3B" w:rsidR="007A7284" w:rsidRPr="008625DC" w:rsidRDefault="007A7284" w:rsidP="007A7284">
            <w:pPr>
              <w:pStyle w:val="Bullet"/>
            </w:pPr>
            <w:r w:rsidRPr="008625DC">
              <w:t>criterion (a) should require that access on reasonable terms and conditions through declaration promote a material increase in competition in a dependent market;</w:t>
            </w:r>
          </w:p>
          <w:p w14:paraId="61A165EB" w14:textId="16FA3C9E" w:rsidR="007A7284" w:rsidRPr="008625DC" w:rsidRDefault="007A7284" w:rsidP="007A7284">
            <w:pPr>
              <w:pStyle w:val="Bullet"/>
            </w:pPr>
            <w:r w:rsidRPr="008625DC">
              <w:t>criterion (b) should require that it be uneconomical for anyone (other than the service provider) to develop another facility to provide the service; and</w:t>
            </w:r>
          </w:p>
          <w:p w14:paraId="07CFDFA9" w14:textId="6D1F1FE0" w:rsidR="007A7284" w:rsidRPr="008625DC" w:rsidRDefault="007A7284" w:rsidP="007A7284">
            <w:pPr>
              <w:pStyle w:val="Bullet"/>
            </w:pPr>
            <w:r w:rsidRPr="008625DC">
              <w:t>criterion (f) should require that access on reasonable terms and conditions through declaration promote the public interest.</w:t>
            </w:r>
          </w:p>
          <w:p w14:paraId="4D690CBA" w14:textId="5E16D866" w:rsidR="007A7284" w:rsidRPr="008625DC" w:rsidRDefault="007A7284" w:rsidP="0058721A">
            <w:pPr>
              <w:pStyle w:val="Keyfindingtext"/>
            </w:pPr>
            <w:r w:rsidRPr="008625DC">
              <w:t>The Competition Principles Agreement should be updated to reflect the revised declaration criteria.</w:t>
            </w:r>
          </w:p>
        </w:tc>
      </w:tr>
    </w:tbl>
    <w:p w14:paraId="60B559BE" w14:textId="0CB949CF" w:rsidR="007A7284" w:rsidRPr="008625DC" w:rsidRDefault="00882BA3" w:rsidP="00BD2EA4">
      <w:pPr>
        <w:pStyle w:val="Heading2"/>
        <w:ind w:left="851" w:hanging="851"/>
        <w:rPr>
          <w:lang w:val="en-AU"/>
        </w:rPr>
      </w:pPr>
      <w:bookmarkStart w:id="35236" w:name="s213"/>
      <w:bookmarkStart w:id="35237" w:name="_Toc397958787"/>
      <w:bookmarkStart w:id="35238" w:name="_Toc397962269"/>
      <w:bookmarkStart w:id="35239" w:name="_Toc397936718"/>
      <w:bookmarkStart w:id="35240" w:name="_Toc397936838"/>
      <w:bookmarkStart w:id="35241" w:name="_Toc397945994"/>
      <w:bookmarkStart w:id="35242" w:name="_Toc397947020"/>
      <w:bookmarkStart w:id="35243" w:name="_Toc397948139"/>
      <w:bookmarkStart w:id="35244" w:name="_Toc397958545"/>
      <w:bookmarkStart w:id="35245" w:name="_Toc397959202"/>
      <w:bookmarkStart w:id="35246" w:name="_Toc397963055"/>
      <w:bookmarkStart w:id="35247" w:name="_Toc397963421"/>
      <w:bookmarkStart w:id="35248" w:name="_Toc397965498"/>
      <w:bookmarkStart w:id="35249" w:name="_Toc398209962"/>
      <w:bookmarkStart w:id="35250" w:name="_Toc398210531"/>
      <w:bookmarkStart w:id="35251" w:name="_Toc398211045"/>
      <w:bookmarkStart w:id="35252" w:name="_Toc398219856"/>
      <w:bookmarkStart w:id="35253" w:name="_Toc398220231"/>
      <w:bookmarkStart w:id="35254" w:name="_Toc398220618"/>
      <w:bookmarkStart w:id="35255" w:name="_Toc398221696"/>
      <w:bookmarkStart w:id="35256" w:name="_Toc398222382"/>
      <w:bookmarkStart w:id="35257" w:name="_Toc398222694"/>
      <w:bookmarkStart w:id="35258" w:name="_Toc398223111"/>
      <w:bookmarkStart w:id="35259" w:name="_Toc398223490"/>
      <w:bookmarkStart w:id="35260" w:name="_Toc398223617"/>
      <w:bookmarkStart w:id="35261" w:name="_Toc398224425"/>
      <w:bookmarkStart w:id="35262" w:name="_Toc398225762"/>
      <w:bookmarkStart w:id="35263" w:name="_Toc398225887"/>
      <w:bookmarkStart w:id="35264" w:name="_Toc398281374"/>
      <w:bookmarkStart w:id="35265" w:name="_Toc398282233"/>
      <w:bookmarkStart w:id="35266" w:name="_Toc398284903"/>
      <w:bookmarkStart w:id="35267" w:name="_Toc398287372"/>
      <w:bookmarkStart w:id="35268" w:name="_Toc398289255"/>
      <w:bookmarkStart w:id="35269" w:name="_Toc398297252"/>
      <w:bookmarkStart w:id="35270" w:name="_Toc398298726"/>
      <w:bookmarkStart w:id="35271" w:name="_Toc398301324"/>
      <w:bookmarkStart w:id="35272" w:name="_Toc398302509"/>
      <w:bookmarkStart w:id="35273" w:name="_Toc398302672"/>
      <w:bookmarkStart w:id="35274" w:name="_Toc398549186"/>
      <w:bookmarkStart w:id="35275" w:name="_Toc398549436"/>
      <w:bookmarkStart w:id="35276" w:name="_Toc398555855"/>
      <w:bookmarkStart w:id="35277" w:name="_Toc398559059"/>
      <w:bookmarkStart w:id="35278" w:name="_Toc398563545"/>
      <w:bookmarkStart w:id="35279" w:name="_Toc398563678"/>
      <w:bookmarkStart w:id="35280" w:name="_Toc398564077"/>
      <w:bookmarkStart w:id="35281" w:name="_Toc398827415"/>
      <w:bookmarkStart w:id="35282" w:name="_Toc398827609"/>
      <w:bookmarkStart w:id="35283" w:name="_Toc398197436"/>
      <w:bookmarkStart w:id="35284" w:name="_Toc398200061"/>
      <w:bookmarkStart w:id="35285" w:name="_Toc398200327"/>
      <w:bookmarkStart w:id="35286" w:name="_Toc398201653"/>
      <w:bookmarkStart w:id="35287" w:name="_Toc398207258"/>
      <w:bookmarkStart w:id="35288" w:name="_Toc397413369"/>
      <w:bookmarkStart w:id="35289" w:name="_Toc397413516"/>
      <w:r w:rsidRPr="008625DC">
        <w:rPr>
          <w:lang w:val="en-AU"/>
        </w:rPr>
        <w:t>R</w:t>
      </w:r>
      <w:r w:rsidR="007A7284" w:rsidRPr="008625DC">
        <w:rPr>
          <w:lang w:val="en-AU"/>
        </w:rPr>
        <w:t xml:space="preserve">eview of access decisions by the Australian Competition </w:t>
      </w:r>
      <w:bookmarkEnd w:id="35236"/>
      <w:r w:rsidR="007A7284" w:rsidRPr="008625DC">
        <w:rPr>
          <w:lang w:val="en-AU"/>
        </w:rPr>
        <w:t>Tribunal</w:t>
      </w:r>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r w:rsidR="00DA6AA9" w:rsidRPr="008625DC">
        <w:rPr>
          <w:lang w:val="en-AU"/>
        </w:rPr>
        <w:t xml:space="preserve"> </w:t>
      </w:r>
      <w:bookmarkEnd w:id="35283"/>
      <w:bookmarkEnd w:id="35284"/>
      <w:bookmarkEnd w:id="35285"/>
      <w:bookmarkEnd w:id="35286"/>
      <w:bookmarkEnd w:id="35287"/>
    </w:p>
    <w:bookmarkEnd w:id="35288"/>
    <w:bookmarkEnd w:id="35289"/>
    <w:p w14:paraId="2840B9FF" w14:textId="77777777" w:rsidR="007A7284" w:rsidRPr="008625DC" w:rsidRDefault="007A7284" w:rsidP="007A7284">
      <w:r w:rsidRPr="008625DC">
        <w:t>The NCC must make a decision whether or not to recommend declaration of an infrastructure service within 180 days of receiving the application. The Minister must make a decision whether or not to declare the service within 60 days of receiving the recommendation from the NCC.</w:t>
      </w:r>
    </w:p>
    <w:p w14:paraId="562C3BA9" w14:textId="6274F255" w:rsidR="007A7284" w:rsidRPr="008625DC" w:rsidRDefault="007A7284" w:rsidP="007A7284">
      <w:r w:rsidRPr="008625DC">
        <w:t>The decision of the Minister to declare or not to declare a service is subject to review by the</w:t>
      </w:r>
      <w:r w:rsidR="005F164D" w:rsidRPr="008625DC">
        <w:t xml:space="preserve"> Tribunal</w:t>
      </w:r>
      <w:r w:rsidR="00575A09" w:rsidRPr="008625DC">
        <w:t>.</w:t>
      </w:r>
      <w:r w:rsidRPr="008625DC">
        <w:t xml:space="preserve"> Arbitration decisions by the ACCC in respect of a declared service are also subject to review by the Tribunal.</w:t>
      </w:r>
    </w:p>
    <w:p w14:paraId="79F99BEE" w14:textId="01DD7CB4" w:rsidR="007A7284" w:rsidRPr="008625DC" w:rsidRDefault="007A7284" w:rsidP="007A7284">
      <w:r w:rsidRPr="008625DC">
        <w:t xml:space="preserve">Since Australia </w:t>
      </w:r>
      <w:r w:rsidR="00773FC3" w:rsidRPr="008625DC">
        <w:t xml:space="preserve">enacted the Trade Practices Act in 1974, </w:t>
      </w:r>
      <w:r w:rsidRPr="008625DC">
        <w:t xml:space="preserve">the </w:t>
      </w:r>
      <w:r w:rsidR="00457FFD" w:rsidRPr="008625DC">
        <w:t xml:space="preserve">Australian </w:t>
      </w:r>
      <w:r w:rsidRPr="008625DC">
        <w:t xml:space="preserve">Competition Tribunal </w:t>
      </w:r>
      <w:r w:rsidR="00773FC3" w:rsidRPr="008625DC">
        <w:t xml:space="preserve">(formerly the Trade Practices Tribunal) </w:t>
      </w:r>
      <w:r w:rsidRPr="008625DC">
        <w:t>has fulfilled an important role in both the development and the administration of the law. While the Tribunal is given a number of functions under the CCA, its primary function is a</w:t>
      </w:r>
      <w:r w:rsidR="00F41F8E" w:rsidRPr="008625DC">
        <w:t xml:space="preserve">s </w:t>
      </w:r>
      <w:r w:rsidRPr="008625DC">
        <w:t>a body of review. It is empowered to undertake merits review</w:t>
      </w:r>
      <w:r w:rsidR="00F41F8E" w:rsidRPr="008625DC">
        <w:t>s</w:t>
      </w:r>
      <w:r w:rsidRPr="008625DC">
        <w:t xml:space="preserve"> of various decisions of the ACCC, including authorisations and access arbitrations. Its particular strength lies in its composition. For the purposes of hearing and determining a matter that comes before it, the Tribunal is constituted by a presidential member (who is a Federal Court judge) and </w:t>
      </w:r>
      <w:r w:rsidR="00F41F8E" w:rsidRPr="008625DC">
        <w:t>two</w:t>
      </w:r>
      <w:r w:rsidRPr="008625DC">
        <w:t xml:space="preserve"> other members who have qualifications in industry, commerce, economics, law or public administration.</w:t>
      </w:r>
    </w:p>
    <w:p w14:paraId="77DFFBFC" w14:textId="181DBAA6" w:rsidR="007A7284" w:rsidRPr="008625DC" w:rsidRDefault="007A7284" w:rsidP="007A7284">
      <w:r w:rsidRPr="008625DC">
        <w:t xml:space="preserve">In the </w:t>
      </w:r>
      <w:r w:rsidR="00F41F8E" w:rsidRPr="008625DC">
        <w:t>p</w:t>
      </w:r>
      <w:r w:rsidRPr="008625DC">
        <w:t>ast few years the role of the Tribunal in reviewing declaration decisions of the Minister and arbitration decisions of the ACCC has been narrowed. By amendments to the CCA made in 2010, the Tribunal</w:t>
      </w:r>
      <w:r w:rsidR="00C74E19" w:rsidRPr="008625DC">
        <w:t>’</w:t>
      </w:r>
      <w:r w:rsidRPr="008625DC">
        <w:t>s review is largely confined to examining the information taken into account by the NCC (in making a recommendation) or the ACCC (in making an arbitration decision), as the case may be, subject to the ability to request additional information the Tribunal considers reasonable and appropriate.</w:t>
      </w:r>
      <w:r w:rsidRPr="008625DC">
        <w:rPr>
          <w:rStyle w:val="FootnoteReference"/>
        </w:rPr>
        <w:footnoteReference w:id="388"/>
      </w:r>
      <w:r w:rsidRPr="008625DC">
        <w:rPr>
          <w:rStyle w:val="FootnoteReference"/>
        </w:rPr>
        <w:t xml:space="preserve"> </w:t>
      </w:r>
      <w:r w:rsidRPr="008625DC">
        <w:t xml:space="preserve">Additionally, in the Pilbara rail access case, the High Court ruled that a </w:t>
      </w:r>
      <w:r w:rsidR="00C74E19" w:rsidRPr="008625DC">
        <w:t>‘</w:t>
      </w:r>
      <w:r w:rsidRPr="008625DC">
        <w:t>reconsideration</w:t>
      </w:r>
      <w:r w:rsidR="00C74E19" w:rsidRPr="008625DC">
        <w:t>’</w:t>
      </w:r>
      <w:r w:rsidRPr="008625DC">
        <w:t xml:space="preserve"> of the Minister</w:t>
      </w:r>
      <w:r w:rsidR="00C74E19" w:rsidRPr="008625DC">
        <w:t>’</w:t>
      </w:r>
      <w:r w:rsidRPr="008625DC">
        <w:t>s decision to declare or not declare a service was different to the Tribunal</w:t>
      </w:r>
      <w:r w:rsidR="00C74E19" w:rsidRPr="008625DC">
        <w:t>’</w:t>
      </w:r>
      <w:r w:rsidRPr="008625DC">
        <w:t>s usual functions in a re</w:t>
      </w:r>
      <w:r w:rsidR="00C74E19" w:rsidRPr="008625DC">
        <w:noBreakHyphen/>
      </w:r>
      <w:r w:rsidRPr="008625DC">
        <w:t xml:space="preserve">hearing and involved </w:t>
      </w:r>
      <w:r w:rsidR="00C74E19" w:rsidRPr="008625DC">
        <w:t>‘</w:t>
      </w:r>
      <w:r w:rsidRPr="008625DC">
        <w:t>reviewing what the original decision</w:t>
      </w:r>
      <w:r w:rsidR="00896B1A" w:rsidRPr="008625DC">
        <w:t xml:space="preserve"> </w:t>
      </w:r>
      <w:r w:rsidRPr="008625DC">
        <w:t>maker decided and doing that by reference to the material that was placed before the original decision</w:t>
      </w:r>
      <w:r w:rsidR="00896B1A" w:rsidRPr="008625DC">
        <w:t xml:space="preserve"> </w:t>
      </w:r>
      <w:r w:rsidRPr="008625DC">
        <w:t>maker</w:t>
      </w:r>
      <w:r w:rsidR="00C74E19" w:rsidRPr="008625DC">
        <w:t>’</w:t>
      </w:r>
      <w:r w:rsidRPr="008625DC">
        <w:t>.</w:t>
      </w:r>
      <w:r w:rsidRPr="008625DC">
        <w:rPr>
          <w:rStyle w:val="FootnoteReference"/>
        </w:rPr>
        <w:footnoteReference w:id="389"/>
      </w:r>
      <w:r w:rsidRPr="008625DC">
        <w:t xml:space="preserve"> </w:t>
      </w:r>
    </w:p>
    <w:p w14:paraId="66D2DC6B" w14:textId="715678E9" w:rsidR="007A7284" w:rsidRPr="008625DC" w:rsidRDefault="007A7284" w:rsidP="0058721A">
      <w:pPr>
        <w:spacing w:after="120"/>
      </w:pPr>
      <w:r w:rsidRPr="008625DC">
        <w:lastRenderedPageBreak/>
        <w:t>Rio Tinto Iron Ore submit</w:t>
      </w:r>
      <w:r w:rsidR="00F41F8E" w:rsidRPr="008625DC">
        <w:t>s</w:t>
      </w:r>
      <w:r w:rsidRPr="008625DC">
        <w:t xml:space="preserve"> that:</w:t>
      </w:r>
    </w:p>
    <w:p w14:paraId="425EE809" w14:textId="6B7A5EDC" w:rsidR="007A7284" w:rsidRPr="008625DC" w:rsidRDefault="007A7284" w:rsidP="007A7284">
      <w:pPr>
        <w:pStyle w:val="Quotes"/>
        <w:rPr>
          <w:lang w:eastAsia="en-US"/>
        </w:rPr>
      </w:pPr>
      <w:r w:rsidRPr="008625DC">
        <w:rPr>
          <w:lang w:eastAsia="en-US"/>
        </w:rPr>
        <w:t>The great strength of the Tribunal process prior to the amendments was that primary evidence … was tested through cross</w:t>
      </w:r>
      <w:r w:rsidR="00C74E19" w:rsidRPr="008625DC">
        <w:rPr>
          <w:lang w:eastAsia="en-US"/>
        </w:rPr>
        <w:noBreakHyphen/>
      </w:r>
      <w:r w:rsidRPr="008625DC">
        <w:rPr>
          <w:lang w:eastAsia="en-US"/>
        </w:rPr>
        <w:t xml:space="preserve">examination … This allowed a much more rigorous examination than is possible before the NCC or Minister and is therefore much more likely to arrive at the </w:t>
      </w:r>
      <w:r w:rsidRPr="008625DC">
        <w:t>correct</w:t>
      </w:r>
      <w:r w:rsidRPr="008625DC">
        <w:rPr>
          <w:lang w:eastAsia="en-US"/>
        </w:rPr>
        <w:t xml:space="preserve"> result. (page 10)</w:t>
      </w:r>
    </w:p>
    <w:p w14:paraId="4DF88214" w14:textId="65932144" w:rsidR="007A7284" w:rsidRPr="008625DC" w:rsidRDefault="007A7284" w:rsidP="007A7284">
      <w:r w:rsidRPr="008625DC">
        <w:t>The amendments that were made to the CCA in 2010 were intended to speed up declaration and arbitration decisions, including review by the Tribunal. At that time, the determination of the Pilbara rail access applications had taken many years. It is desirable that access decisions be made in a timely manner.</w:t>
      </w:r>
    </w:p>
    <w:p w14:paraId="51A306D1" w14:textId="0C995858" w:rsidR="007A7284" w:rsidRPr="008625DC" w:rsidRDefault="007A7284" w:rsidP="007A7284">
      <w:r w:rsidRPr="008625DC">
        <w:t xml:space="preserve">Equally, though, decisions to declare a service under Part IIIA or determine terms and conditions of access are very significant regulatory decisions. The Hilmer Review expected that such decisions would be infrequent. As noted above, that is also the view of the PC which restated that the scope of Part IIIA should be </w:t>
      </w:r>
      <w:r w:rsidR="00C74E19" w:rsidRPr="008625DC">
        <w:t>‘</w:t>
      </w:r>
      <w:r w:rsidRPr="008625DC">
        <w:t>confined to ensure its use is limited to the exceptional cases where the benefits arising from increased competition in dependent markets are likely to outweigh the costs of regulated third</w:t>
      </w:r>
      <w:r w:rsidR="00C74E19" w:rsidRPr="008625DC">
        <w:noBreakHyphen/>
      </w:r>
      <w:r w:rsidRPr="008625DC">
        <w:t>party access</w:t>
      </w:r>
      <w:r w:rsidR="00C74E19" w:rsidRPr="008625DC">
        <w:t>’.</w:t>
      </w:r>
      <w:r w:rsidR="00896B1A" w:rsidRPr="008625DC">
        <w:rPr>
          <w:rStyle w:val="FootnoteReference"/>
        </w:rPr>
        <w:footnoteReference w:id="390"/>
      </w:r>
      <w:r w:rsidR="00C74E19" w:rsidRPr="008625DC">
        <w:t xml:space="preserve"> </w:t>
      </w:r>
    </w:p>
    <w:p w14:paraId="764959B0" w14:textId="39CA091F" w:rsidR="007A7284" w:rsidRPr="008625DC" w:rsidRDefault="007A7284" w:rsidP="007A7284">
      <w:r w:rsidRPr="008625DC">
        <w:t>In circumstances where access declarations and arbitrations are expect</w:t>
      </w:r>
      <w:r w:rsidR="00A622D4" w:rsidRPr="008625DC">
        <w:t>ed to be rare, and the costs of </w:t>
      </w:r>
      <w:r w:rsidRPr="008625DC">
        <w:t>getting the decision wrong are likely to be high, there is much to be said for facilitating a thorough examination of the costs and benefits of the decision while avoiding unnecessary delays in decision</w:t>
      </w:r>
      <w:r w:rsidR="00C74E19" w:rsidRPr="008625DC">
        <w:noBreakHyphen/>
      </w:r>
      <w:r w:rsidRPr="008625DC">
        <w:t>making. An appropriate balance can be achieved between empowering the Tribunal to undertake merits review</w:t>
      </w:r>
      <w:r w:rsidR="00F41F8E" w:rsidRPr="008625DC">
        <w:t>s</w:t>
      </w:r>
      <w:r w:rsidRPr="008625DC">
        <w:t xml:space="preserve"> of access decisions, including hearing directly from employees of the business concerned and relevant experts where that would assist, while maintaining suitable statutory time limits for the review process.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7A7284" w:rsidRPr="008625DC" w14:paraId="5B6D865F" w14:textId="77777777" w:rsidTr="0052543A">
        <w:tc>
          <w:tcPr>
            <w:tcW w:w="5000" w:type="pct"/>
            <w:shd w:val="clear" w:color="auto" w:fill="FFFFFF" w:themeFill="background1"/>
          </w:tcPr>
          <w:p w14:paraId="68826223" w14:textId="405E7BD7" w:rsidR="007A7284" w:rsidRPr="008625DC" w:rsidRDefault="007A7284" w:rsidP="0052543A">
            <w:pPr>
              <w:pStyle w:val="Keyfindingheading"/>
            </w:pPr>
            <w:r w:rsidRPr="008625DC">
              <w:t>The Panel</w:t>
            </w:r>
            <w:r w:rsidR="00C74E19" w:rsidRPr="008625DC">
              <w:t>’</w:t>
            </w:r>
            <w:r w:rsidRPr="008625DC">
              <w:t xml:space="preserve">s </w:t>
            </w:r>
            <w:r w:rsidR="005F164D" w:rsidRPr="008625DC">
              <w:t>v</w:t>
            </w:r>
            <w:r w:rsidRPr="008625DC">
              <w:t>iew</w:t>
            </w:r>
          </w:p>
          <w:p w14:paraId="059F4E90" w14:textId="3C5B86D8" w:rsidR="007A7284" w:rsidRPr="008625DC" w:rsidRDefault="007A7284" w:rsidP="00A622D4">
            <w:pPr>
              <w:pStyle w:val="Keyfindingtext"/>
            </w:pPr>
            <w:r w:rsidRPr="008625DC">
              <w:t xml:space="preserve">The </w:t>
            </w:r>
            <w:r w:rsidR="005F164D" w:rsidRPr="008625DC">
              <w:t>Australian Competition</w:t>
            </w:r>
            <w:r w:rsidRPr="008625DC">
              <w:t xml:space="preserve"> Tribunal fulfils an important role in both the development and the administration of Australia</w:t>
            </w:r>
            <w:r w:rsidR="00C74E19" w:rsidRPr="008625DC">
              <w:t>’</w:t>
            </w:r>
            <w:r w:rsidRPr="008625DC">
              <w:t>s competition law.</w:t>
            </w:r>
          </w:p>
          <w:p w14:paraId="4B958F2D" w14:textId="77777777" w:rsidR="007A7284" w:rsidRPr="008625DC" w:rsidRDefault="007A7284" w:rsidP="00A622D4">
            <w:pPr>
              <w:pStyle w:val="Keyfindingtext"/>
            </w:pPr>
            <w:r w:rsidRPr="008625DC">
              <w:t>Decisions to declare a service under Part IIIA, or determine terms and conditions of access, are very significant economic decisions where the costs of getting the decision wrong are likely to be high.</w:t>
            </w:r>
          </w:p>
          <w:p w14:paraId="106DB2B5" w14:textId="7F9FD78E" w:rsidR="007A7284" w:rsidRPr="008625DC" w:rsidRDefault="007A7284" w:rsidP="00A622D4">
            <w:pPr>
              <w:pStyle w:val="Keyfindingtext"/>
            </w:pPr>
            <w:r w:rsidRPr="008625DC">
              <w:t>The Panel favours empowering the Tribunal to undertake merits review of access decisions, including hearing directly from employees of the business concerned and relevant experts where that would assist, while maintaining suitable statutory time limits for ess.</w:t>
            </w:r>
          </w:p>
        </w:tc>
      </w:tr>
    </w:tbl>
    <w:p w14:paraId="259BB352" w14:textId="77777777" w:rsidR="00A8424A" w:rsidRPr="008625DC" w:rsidRDefault="00D3639A" w:rsidP="00882FB3">
      <w:pPr>
        <w:spacing w:before="0" w:after="0"/>
        <w:sectPr w:rsidR="00A8424A" w:rsidRPr="008625DC" w:rsidSect="00AA577F">
          <w:headerReference w:type="default" r:id="rId54"/>
          <w:pgSz w:w="11906" w:h="16838" w:code="9"/>
          <w:pgMar w:top="1418" w:right="1418" w:bottom="1418" w:left="1418" w:header="709" w:footer="709" w:gutter="0"/>
          <w:cols w:space="708"/>
          <w:docGrid w:linePitch="360"/>
        </w:sectPr>
      </w:pPr>
      <w:r w:rsidRPr="008625DC">
        <w:br w:type="page"/>
      </w:r>
    </w:p>
    <w:p w14:paraId="51998ED6" w14:textId="3F5C1EEE" w:rsidR="008D1638" w:rsidRPr="008625DC" w:rsidRDefault="00331A08" w:rsidP="00F94F35">
      <w:pPr>
        <w:pStyle w:val="PartHeading"/>
        <w:rPr>
          <w:smallCaps w:val="0"/>
        </w:rPr>
      </w:pPr>
      <w:bookmarkStart w:id="35290" w:name="Pt5"/>
      <w:bookmarkStart w:id="35291" w:name="_Toc393985249"/>
      <w:bookmarkStart w:id="35292" w:name="_Toc393985372"/>
      <w:bookmarkStart w:id="35293" w:name="_Toc393985752"/>
      <w:bookmarkStart w:id="35294" w:name="_Toc393985876"/>
      <w:bookmarkStart w:id="35295" w:name="_Toc393986154"/>
      <w:bookmarkStart w:id="35296" w:name="_Toc393986278"/>
      <w:bookmarkStart w:id="35297" w:name="_Toc393986557"/>
      <w:bookmarkStart w:id="35298" w:name="_Toc393988164"/>
      <w:bookmarkStart w:id="35299" w:name="_Toc393988288"/>
      <w:bookmarkStart w:id="35300" w:name="_Toc393988566"/>
      <w:bookmarkStart w:id="35301" w:name="_Toc393988690"/>
      <w:bookmarkStart w:id="35302" w:name="_Toc393986682"/>
      <w:bookmarkStart w:id="35303" w:name="_Toc393989577"/>
      <w:bookmarkStart w:id="35304" w:name="_Toc393989701"/>
      <w:bookmarkStart w:id="35305" w:name="_Toc393988966"/>
      <w:bookmarkStart w:id="35306" w:name="_Toc393989089"/>
      <w:bookmarkStart w:id="35307" w:name="_Toc393990970"/>
      <w:bookmarkStart w:id="35308" w:name="_Toc393991093"/>
      <w:bookmarkStart w:id="35309" w:name="_Toc393991192"/>
      <w:bookmarkStart w:id="35310" w:name="_Toc393991954"/>
      <w:bookmarkStart w:id="35311" w:name="_Toc393992077"/>
      <w:bookmarkStart w:id="35312" w:name="_Toc394047618"/>
      <w:bookmarkStart w:id="35313" w:name="_Toc394047741"/>
      <w:bookmarkStart w:id="35314" w:name="_Toc394047852"/>
      <w:bookmarkStart w:id="35315" w:name="_Toc394048285"/>
      <w:bookmarkStart w:id="35316" w:name="_Toc394048408"/>
      <w:bookmarkStart w:id="35317" w:name="_Toc394049894"/>
      <w:bookmarkStart w:id="35318" w:name="_Toc394050020"/>
      <w:bookmarkStart w:id="35319" w:name="_Toc394051294"/>
      <w:bookmarkStart w:id="35320" w:name="_Toc394051420"/>
      <w:bookmarkStart w:id="35321" w:name="_Toc394062283"/>
      <w:bookmarkStart w:id="35322" w:name="_Toc394062567"/>
      <w:bookmarkStart w:id="35323" w:name="_Toc394069158"/>
      <w:bookmarkStart w:id="35324" w:name="_Toc394069282"/>
      <w:bookmarkStart w:id="35325" w:name="_Toc394071076"/>
      <w:bookmarkStart w:id="35326" w:name="_Toc394071200"/>
      <w:bookmarkStart w:id="35327" w:name="_Toc394312785"/>
      <w:bookmarkStart w:id="35328" w:name="_Toc394330473"/>
      <w:bookmarkStart w:id="35329" w:name="_Toc394330761"/>
      <w:bookmarkStart w:id="35330" w:name="_Toc394331276"/>
      <w:bookmarkStart w:id="35331" w:name="_Toc394331404"/>
      <w:bookmarkStart w:id="35332" w:name="_Toc394330381"/>
      <w:bookmarkStart w:id="35333" w:name="_Toc394333352"/>
      <w:bookmarkStart w:id="35334" w:name="_Toc394333479"/>
      <w:bookmarkStart w:id="35335" w:name="_Toc394333765"/>
      <w:bookmarkStart w:id="35336" w:name="_Toc394333892"/>
      <w:bookmarkStart w:id="35337" w:name="_Toc394334178"/>
      <w:bookmarkStart w:id="35338" w:name="_Toc394334305"/>
      <w:bookmarkStart w:id="35339" w:name="_Toc394335004"/>
      <w:bookmarkStart w:id="35340" w:name="_Toc394335131"/>
      <w:bookmarkStart w:id="35341" w:name="_Toc394415191"/>
      <w:bookmarkStart w:id="35342" w:name="_Toc394415339"/>
      <w:bookmarkStart w:id="35343" w:name="_Toc394412496"/>
      <w:bookmarkStart w:id="35344" w:name="_Toc394412648"/>
      <w:bookmarkStart w:id="35345" w:name="_Toc394420789"/>
      <w:bookmarkStart w:id="35346" w:name="_Toc394420941"/>
      <w:bookmarkStart w:id="35347" w:name="_Toc394423632"/>
      <w:bookmarkStart w:id="35348" w:name="_Toc394423782"/>
      <w:bookmarkStart w:id="35349" w:name="_Toc394422676"/>
      <w:bookmarkStart w:id="35350" w:name="_Toc394422826"/>
      <w:bookmarkStart w:id="35351" w:name="_Toc394423147"/>
      <w:bookmarkStart w:id="35352" w:name="_Toc394423297"/>
      <w:bookmarkStart w:id="35353" w:name="_Toc394424297"/>
      <w:bookmarkStart w:id="35354" w:name="_Toc394424445"/>
      <w:bookmarkStart w:id="35355" w:name="_Toc394492130"/>
      <w:bookmarkStart w:id="35356" w:name="_Toc394492278"/>
      <w:bookmarkStart w:id="35357" w:name="_Toc394495274"/>
      <w:bookmarkStart w:id="35358" w:name="_Toc394495422"/>
      <w:bookmarkStart w:id="35359" w:name="_Toc394498089"/>
      <w:bookmarkStart w:id="35360" w:name="_Toc394498237"/>
      <w:bookmarkStart w:id="35361" w:name="_Toc394500879"/>
      <w:bookmarkStart w:id="35362" w:name="_Toc394501027"/>
      <w:bookmarkStart w:id="35363" w:name="_Toc394502276"/>
      <w:bookmarkStart w:id="35364" w:name="_Toc394502417"/>
      <w:bookmarkStart w:id="35365" w:name="_Toc394503176"/>
      <w:bookmarkStart w:id="35366" w:name="_Toc394503775"/>
      <w:bookmarkStart w:id="35367" w:name="_Toc394502720"/>
      <w:bookmarkStart w:id="35368" w:name="_Toc394502864"/>
      <w:bookmarkStart w:id="35369" w:name="_Toc394505927"/>
      <w:bookmarkStart w:id="35370" w:name="_Toc394506193"/>
      <w:bookmarkStart w:id="35371" w:name="_Toc394506386"/>
      <w:bookmarkStart w:id="35372" w:name="_Toc394506531"/>
      <w:bookmarkStart w:id="35373" w:name="_Toc394506940"/>
      <w:bookmarkStart w:id="35374" w:name="_Toc394507085"/>
      <w:bookmarkStart w:id="35375" w:name="_Toc394561013"/>
      <w:bookmarkStart w:id="35376" w:name="_Toc394561162"/>
      <w:bookmarkStart w:id="35377" w:name="_Toc394561474"/>
      <w:bookmarkStart w:id="35378" w:name="_Toc394561995"/>
      <w:bookmarkStart w:id="35379" w:name="_Toc394583011"/>
      <w:bookmarkStart w:id="35380" w:name="_Toc394585682"/>
      <w:bookmarkStart w:id="35381" w:name="_Toc394586148"/>
      <w:bookmarkStart w:id="35382" w:name="_Toc394588080"/>
      <w:bookmarkStart w:id="35383" w:name="_Toc394590456"/>
      <w:bookmarkStart w:id="35384" w:name="_Toc394590649"/>
      <w:bookmarkStart w:id="35385" w:name="_Toc394654550"/>
      <w:bookmarkStart w:id="35386" w:name="_Toc394654708"/>
      <w:bookmarkStart w:id="35387" w:name="_Toc394656248"/>
      <w:bookmarkStart w:id="35388" w:name="_Toc394656405"/>
      <w:bookmarkStart w:id="35389" w:name="_Toc394659385"/>
      <w:bookmarkStart w:id="35390" w:name="_Toc394659543"/>
      <w:bookmarkStart w:id="35391" w:name="_Toc394663397"/>
      <w:bookmarkStart w:id="35392" w:name="_Toc394663553"/>
      <w:bookmarkStart w:id="35393" w:name="_Toc394667191"/>
      <w:bookmarkStart w:id="35394" w:name="_Toc394667347"/>
      <w:bookmarkStart w:id="35395" w:name="_Toc394671670"/>
      <w:bookmarkStart w:id="35396" w:name="_Toc394671830"/>
      <w:bookmarkStart w:id="35397" w:name="_Toc394674672"/>
      <w:bookmarkStart w:id="35398" w:name="_Toc394674835"/>
      <w:bookmarkStart w:id="35399" w:name="_Toc394674949"/>
      <w:bookmarkStart w:id="35400" w:name="_Toc394675115"/>
      <w:bookmarkStart w:id="35401" w:name="_Toc394676060"/>
      <w:bookmarkStart w:id="35402" w:name="_Toc394676222"/>
      <w:bookmarkStart w:id="35403" w:name="_Toc394675748"/>
      <w:bookmarkStart w:id="35404" w:name="_Toc394675911"/>
      <w:bookmarkStart w:id="35405" w:name="_Toc394918314"/>
      <w:bookmarkStart w:id="35406" w:name="_Toc394918828"/>
      <w:bookmarkStart w:id="35407" w:name="_Toc394930801"/>
      <w:bookmarkStart w:id="35408" w:name="_Toc394933712"/>
      <w:bookmarkStart w:id="35409" w:name="_Toc394938159"/>
      <w:bookmarkStart w:id="35410" w:name="_Toc394938661"/>
      <w:bookmarkStart w:id="35411" w:name="_Toc394937943"/>
      <w:bookmarkStart w:id="35412" w:name="_Toc394941071"/>
      <w:bookmarkStart w:id="35413" w:name="_Toc394941572"/>
      <w:bookmarkStart w:id="35414" w:name="_Toc394941687"/>
      <w:bookmarkStart w:id="35415" w:name="_Toc394942188"/>
      <w:bookmarkStart w:id="35416" w:name="_Toc394939908"/>
      <w:bookmarkStart w:id="35417" w:name="_Toc394940410"/>
      <w:bookmarkStart w:id="35418" w:name="_Toc394939519"/>
      <w:bookmarkStart w:id="35419" w:name="_Toc394940623"/>
      <w:bookmarkStart w:id="35420" w:name="_Toc394995646"/>
      <w:bookmarkStart w:id="35421" w:name="_Toc394995960"/>
      <w:bookmarkStart w:id="35422" w:name="_Toc394996103"/>
      <w:bookmarkStart w:id="35423" w:name="_Toc394997829"/>
      <w:bookmarkStart w:id="35424" w:name="_Toc394998205"/>
      <w:bookmarkStart w:id="35425" w:name="_Toc394998344"/>
      <w:bookmarkStart w:id="35426" w:name="_Toc394998719"/>
      <w:bookmarkStart w:id="35427" w:name="_Toc395001839"/>
      <w:bookmarkStart w:id="35428" w:name="_Toc395002218"/>
      <w:bookmarkStart w:id="35429" w:name="_Toc395001698"/>
      <w:bookmarkStart w:id="35430" w:name="_Toc395002987"/>
      <w:bookmarkStart w:id="35431" w:name="_Toc395003194"/>
      <w:bookmarkStart w:id="35432" w:name="_Toc395003572"/>
      <w:bookmarkStart w:id="35433" w:name="_Toc395005091"/>
      <w:bookmarkStart w:id="35434" w:name="_Toc395005217"/>
      <w:bookmarkStart w:id="35435" w:name="_Toc395005433"/>
      <w:bookmarkStart w:id="35436" w:name="_Toc395005813"/>
      <w:bookmarkStart w:id="35437" w:name="_Toc395009010"/>
      <w:bookmarkStart w:id="35438" w:name="_Toc395009799"/>
      <w:bookmarkStart w:id="35439" w:name="_Toc395010196"/>
      <w:bookmarkStart w:id="35440" w:name="_Toc395010038"/>
      <w:bookmarkStart w:id="35441" w:name="_Toc395011429"/>
      <w:bookmarkStart w:id="35442" w:name="_Toc395011564"/>
      <w:bookmarkStart w:id="35443" w:name="_Toc395012382"/>
      <w:bookmarkStart w:id="35444" w:name="_Toc395012723"/>
      <w:bookmarkStart w:id="35445" w:name="_Toc395012972"/>
      <w:bookmarkStart w:id="35446" w:name="_Toc395010787"/>
      <w:bookmarkStart w:id="35447" w:name="_Toc395011717"/>
      <w:bookmarkStart w:id="35448" w:name="_Toc395012260"/>
      <w:bookmarkStart w:id="35449" w:name="_Toc395012187"/>
      <w:bookmarkStart w:id="35450" w:name="_Toc395014526"/>
      <w:bookmarkStart w:id="35451" w:name="_Toc395014661"/>
      <w:bookmarkStart w:id="35452" w:name="_Toc395013252"/>
      <w:bookmarkStart w:id="35453" w:name="_Toc395084869"/>
      <w:bookmarkStart w:id="35454" w:name="_Toc395085170"/>
      <w:bookmarkStart w:id="35455" w:name="_Toc395090291"/>
      <w:bookmarkStart w:id="35456" w:name="_Toc395090636"/>
      <w:bookmarkStart w:id="35457" w:name="_Toc395090770"/>
      <w:bookmarkStart w:id="35458" w:name="_Toc395092659"/>
      <w:bookmarkStart w:id="35459" w:name="_Toc395092871"/>
      <w:bookmarkStart w:id="35460" w:name="_Toc395093220"/>
      <w:bookmarkStart w:id="35461" w:name="_Toc395093353"/>
      <w:bookmarkStart w:id="35462" w:name="_Toc395097782"/>
      <w:bookmarkStart w:id="35463" w:name="_Toc395098130"/>
      <w:bookmarkStart w:id="35464" w:name="_Toc395098263"/>
      <w:bookmarkStart w:id="35465" w:name="_Toc395105315"/>
      <w:bookmarkStart w:id="35466" w:name="_Toc395105447"/>
      <w:bookmarkStart w:id="35467" w:name="_Toc395106918"/>
      <w:bookmarkStart w:id="35468" w:name="_Toc395107050"/>
      <w:bookmarkStart w:id="35469" w:name="_Toc395109921"/>
      <w:bookmarkStart w:id="35470" w:name="_Toc395109575"/>
      <w:bookmarkStart w:id="35471" w:name="_Toc395109707"/>
      <w:bookmarkStart w:id="35472" w:name="_Toc395111924"/>
      <w:bookmarkStart w:id="35473" w:name="_Toc395112280"/>
      <w:bookmarkStart w:id="35474" w:name="_Toc395112412"/>
      <w:bookmarkStart w:id="35475" w:name="_Toc395106844"/>
      <w:bookmarkStart w:id="35476" w:name="_Toc395107422"/>
      <w:bookmarkStart w:id="35477" w:name="_Toc395107557"/>
      <w:bookmarkStart w:id="35478" w:name="_Toc395110096"/>
      <w:bookmarkStart w:id="35479" w:name="_Toc395108604"/>
      <w:bookmarkStart w:id="35480" w:name="_Toc395108983"/>
      <w:bookmarkStart w:id="35481" w:name="_Toc395113844"/>
      <w:bookmarkStart w:id="35482" w:name="_Toc395114223"/>
      <w:bookmarkStart w:id="35483" w:name="_Toc395114364"/>
      <w:bookmarkStart w:id="35484" w:name="_Toc395116580"/>
      <w:bookmarkStart w:id="35485" w:name="_Toc395116960"/>
      <w:bookmarkStart w:id="35486" w:name="_Toc395117102"/>
      <w:bookmarkStart w:id="35487" w:name="_Toc395112517"/>
      <w:bookmarkStart w:id="35488" w:name="_Toc395113078"/>
      <w:bookmarkStart w:id="35489" w:name="_Toc395113220"/>
      <w:bookmarkStart w:id="35490" w:name="_Toc395115056"/>
      <w:bookmarkStart w:id="35491" w:name="_Toc395115437"/>
      <w:bookmarkStart w:id="35492" w:name="_Toc395115579"/>
      <w:bookmarkStart w:id="35493" w:name="_Toc395118211"/>
      <w:bookmarkStart w:id="35494" w:name="_Toc395118589"/>
      <w:bookmarkStart w:id="35495" w:name="_Toc395118729"/>
      <w:bookmarkStart w:id="35496" w:name="_Toc395178421"/>
      <w:bookmarkStart w:id="35497" w:name="_Toc395178753"/>
      <w:bookmarkStart w:id="35498" w:name="_Toc395624781"/>
      <w:bookmarkStart w:id="35499" w:name="_Toc395624910"/>
      <w:bookmarkStart w:id="35500" w:name="_Toc395789764"/>
      <w:bookmarkStart w:id="35501" w:name="_Toc395790132"/>
      <w:bookmarkStart w:id="35502" w:name="_Toc395800890"/>
      <w:bookmarkStart w:id="35503" w:name="_Toc393979136"/>
      <w:bookmarkStart w:id="35504" w:name="_Toc395802896"/>
      <w:bookmarkStart w:id="35505" w:name="_Toc395867663"/>
      <w:bookmarkStart w:id="35506" w:name="_Toc395868576"/>
      <w:bookmarkStart w:id="35507" w:name="_Toc395868795"/>
      <w:bookmarkStart w:id="35508" w:name="_Toc395878957"/>
      <w:bookmarkStart w:id="35509" w:name="_Toc395879174"/>
      <w:bookmarkStart w:id="35510" w:name="_Toc395882081"/>
      <w:bookmarkStart w:id="35511" w:name="_Toc395882298"/>
      <w:bookmarkStart w:id="35512" w:name="_Toc395882412"/>
      <w:bookmarkStart w:id="35513" w:name="_Toc395882629"/>
      <w:bookmarkStart w:id="35514" w:name="_Toc395880576"/>
      <w:bookmarkStart w:id="35515" w:name="_Toc395880907"/>
      <w:bookmarkStart w:id="35516" w:name="_Toc395881465"/>
      <w:bookmarkStart w:id="35517" w:name="_Toc395881398"/>
      <w:bookmarkStart w:id="35518" w:name="_Toc395883850"/>
      <w:bookmarkStart w:id="35519" w:name="_Toc395884067"/>
      <w:bookmarkStart w:id="35520" w:name="_Toc395880805"/>
      <w:bookmarkStart w:id="35521" w:name="_Toc395884512"/>
      <w:bookmarkStart w:id="35522" w:name="_Toc395884729"/>
      <w:bookmarkStart w:id="35523" w:name="_Toc395883221"/>
      <w:bookmarkStart w:id="35524" w:name="_Toc395883438"/>
      <w:bookmarkStart w:id="35525" w:name="_Toc395883551"/>
      <w:bookmarkStart w:id="35526" w:name="_Toc395883768"/>
      <w:bookmarkStart w:id="35527" w:name="_Toc395884853"/>
      <w:bookmarkStart w:id="35528" w:name="_Toc396123878"/>
      <w:bookmarkStart w:id="35529" w:name="_Toc396130780"/>
      <w:bookmarkStart w:id="35530" w:name="_Toc396136358"/>
      <w:bookmarkStart w:id="35531" w:name="_Toc396138812"/>
      <w:bookmarkStart w:id="35532" w:name="_Toc396144073"/>
      <w:bookmarkStart w:id="35533" w:name="_Toc396145582"/>
      <w:bookmarkStart w:id="35534" w:name="_Toc396145726"/>
      <w:bookmarkStart w:id="35535" w:name="_Toc396146008"/>
      <w:bookmarkStart w:id="35536" w:name="_Toc396147548"/>
      <w:bookmarkStart w:id="35537" w:name="_Toc396147834"/>
      <w:bookmarkStart w:id="35538" w:name="_Toc396149090"/>
      <w:bookmarkStart w:id="35539" w:name="_Toc396148804"/>
      <w:bookmarkStart w:id="35540" w:name="_Toc396149585"/>
      <w:bookmarkStart w:id="35541" w:name="_Toc396149230"/>
      <w:bookmarkStart w:id="35542" w:name="_Toc396149516"/>
      <w:bookmarkStart w:id="35543" w:name="_Toc396149938"/>
      <w:bookmarkStart w:id="35544" w:name="_Toc396149688"/>
      <w:bookmarkStart w:id="35545" w:name="_Toc396150529"/>
      <w:bookmarkStart w:id="35546" w:name="_Toc396151418"/>
      <w:bookmarkStart w:id="35547" w:name="_Toc396151712"/>
      <w:bookmarkStart w:id="35548" w:name="_Toc396201639"/>
      <w:bookmarkStart w:id="35549" w:name="_Toc396202429"/>
      <w:bookmarkStart w:id="35550" w:name="_Toc396202724"/>
      <w:bookmarkStart w:id="35551" w:name="_Toc396203341"/>
      <w:bookmarkStart w:id="35552" w:name="_Toc396206637"/>
      <w:bookmarkStart w:id="35553" w:name="_Toc396206931"/>
      <w:bookmarkStart w:id="35554" w:name="_Toc396209465"/>
      <w:bookmarkStart w:id="35555" w:name="_Toc396209759"/>
      <w:bookmarkStart w:id="35556" w:name="_Toc396211889"/>
      <w:bookmarkStart w:id="35557" w:name="_Toc396212183"/>
      <w:bookmarkStart w:id="35558" w:name="_Toc396213233"/>
      <w:bookmarkStart w:id="35559" w:name="_Toc396213525"/>
      <w:bookmarkStart w:id="35560" w:name="_Toc396214511"/>
      <w:bookmarkStart w:id="35561" w:name="_Toc396214801"/>
      <w:bookmarkStart w:id="35562" w:name="_Toc396220361"/>
      <w:bookmarkStart w:id="35563" w:name="_Toc396226623"/>
      <w:bookmarkStart w:id="35564" w:name="_Toc396226912"/>
      <w:bookmarkStart w:id="35565" w:name="_Toc396228823"/>
      <w:bookmarkStart w:id="35566" w:name="_Toc396229118"/>
      <w:bookmarkStart w:id="35567" w:name="_Toc396230760"/>
      <w:bookmarkStart w:id="35568" w:name="_Toc396231902"/>
      <w:bookmarkStart w:id="35569" w:name="_Toc396233245"/>
      <w:bookmarkStart w:id="35570" w:name="_Toc396233542"/>
      <w:bookmarkStart w:id="35571" w:name="_Toc396234065"/>
      <w:bookmarkStart w:id="35572" w:name="_Toc396234362"/>
      <w:bookmarkStart w:id="35573" w:name="_Toc396234475"/>
      <w:bookmarkStart w:id="35574" w:name="_Toc396236209"/>
      <w:bookmarkStart w:id="35575" w:name="_Toc396235987"/>
      <w:bookmarkStart w:id="35576" w:name="_Toc396236597"/>
      <w:bookmarkStart w:id="35577" w:name="_Toc396237116"/>
      <w:bookmarkStart w:id="35578" w:name="_Toc396397459"/>
      <w:bookmarkStart w:id="35579" w:name="_Toc396304640"/>
      <w:bookmarkStart w:id="35580" w:name="_Toc396586175"/>
      <w:bookmarkStart w:id="35581" w:name="_Toc396815196"/>
      <w:bookmarkStart w:id="35582" w:name="_Toc396821145"/>
      <w:bookmarkStart w:id="35583" w:name="_Toc396821753"/>
      <w:bookmarkStart w:id="35584" w:name="_Toc396827603"/>
      <w:bookmarkStart w:id="35585" w:name="_Toc396828574"/>
      <w:bookmarkStart w:id="35586" w:name="_Toc396828684"/>
      <w:bookmarkStart w:id="35587" w:name="_Toc396838073"/>
      <w:bookmarkStart w:id="35588" w:name="_Toc396838471"/>
      <w:bookmarkStart w:id="35589" w:name="_Toc396904794"/>
      <w:bookmarkStart w:id="35590" w:name="_Toc396907628"/>
      <w:bookmarkStart w:id="35591" w:name="_Toc396912547"/>
      <w:bookmarkStart w:id="35592" w:name="_Toc396914527"/>
      <w:bookmarkStart w:id="35593" w:name="_Toc396915411"/>
      <w:bookmarkStart w:id="35594" w:name="_Toc396915805"/>
      <w:bookmarkStart w:id="35595" w:name="_Toc396921116"/>
      <w:bookmarkStart w:id="35596" w:name="_Toc396924456"/>
      <w:bookmarkStart w:id="35597" w:name="_Toc396925150"/>
      <w:bookmarkStart w:id="35598" w:name="_Toc396992270"/>
      <w:bookmarkStart w:id="35599" w:name="_Toc396992849"/>
      <w:bookmarkStart w:id="35600" w:name="_Toc396994513"/>
      <w:bookmarkStart w:id="35601" w:name="_Toc397002283"/>
      <w:bookmarkStart w:id="35602" w:name="_Toc397003202"/>
      <w:bookmarkStart w:id="35603" w:name="_Toc397008760"/>
      <w:bookmarkStart w:id="35604" w:name="_Toc397008978"/>
      <w:bookmarkStart w:id="35605" w:name="_Toc397011650"/>
      <w:bookmarkStart w:id="35606" w:name="_Toc397012712"/>
      <w:bookmarkStart w:id="35607" w:name="_Toc397015054"/>
      <w:bookmarkStart w:id="35608" w:name="_Toc397015541"/>
      <w:bookmarkStart w:id="35609" w:name="_Toc397070612"/>
      <w:bookmarkStart w:id="35610" w:name="_Toc397413370"/>
      <w:bookmarkStart w:id="35611" w:name="_Toc397413517"/>
      <w:bookmarkStart w:id="35612" w:name="_Toc397428082"/>
      <w:bookmarkStart w:id="35613" w:name="_Toc397439472"/>
      <w:bookmarkStart w:id="35614" w:name="_Toc397439642"/>
      <w:bookmarkStart w:id="35615" w:name="_Toc397439898"/>
      <w:bookmarkStart w:id="35616" w:name="_Toc397440200"/>
      <w:bookmarkStart w:id="35617" w:name="_Toc397441829"/>
      <w:bookmarkStart w:id="35618" w:name="_Toc397517531"/>
      <w:bookmarkStart w:id="35619" w:name="_Toc397522796"/>
      <w:bookmarkStart w:id="35620" w:name="_Toc397526214"/>
      <w:bookmarkStart w:id="35621" w:name="_Toc397528414"/>
      <w:bookmarkStart w:id="35622" w:name="_Toc397528529"/>
      <w:bookmarkStart w:id="35623" w:name="_Toc397529004"/>
      <w:bookmarkStart w:id="35624" w:name="_Toc397602002"/>
      <w:bookmarkStart w:id="35625" w:name="_Toc397602737"/>
      <w:bookmarkStart w:id="35626" w:name="_Toc397605870"/>
      <w:bookmarkStart w:id="35627" w:name="_Toc397614567"/>
      <w:bookmarkStart w:id="35628" w:name="_Toc397615010"/>
      <w:bookmarkStart w:id="35629" w:name="_Toc397616453"/>
      <w:bookmarkStart w:id="35630" w:name="_Toc397616847"/>
      <w:bookmarkStart w:id="35631" w:name="_Toc397688145"/>
      <w:bookmarkStart w:id="35632" w:name="_Toc397689361"/>
      <w:bookmarkStart w:id="35633" w:name="_Toc397694641"/>
      <w:bookmarkStart w:id="35634" w:name="_Toc397696482"/>
      <w:bookmarkStart w:id="35635" w:name="_Toc397697216"/>
      <w:bookmarkStart w:id="35636" w:name="_Toc397698503"/>
      <w:bookmarkStart w:id="35637" w:name="_Toc397699869"/>
      <w:bookmarkStart w:id="35638" w:name="_Toc397700323"/>
      <w:bookmarkStart w:id="35639" w:name="_Toc397936719"/>
      <w:bookmarkStart w:id="35640" w:name="_Toc397936839"/>
      <w:bookmarkStart w:id="35641" w:name="_Toc397945995"/>
      <w:bookmarkStart w:id="35642" w:name="_Toc397947021"/>
      <w:bookmarkStart w:id="35643" w:name="_Toc397948140"/>
      <w:bookmarkStart w:id="35644" w:name="_Toc397958546"/>
      <w:bookmarkStart w:id="35645" w:name="_Toc397958788"/>
      <w:bookmarkStart w:id="35646" w:name="_Toc397959203"/>
      <w:bookmarkStart w:id="35647" w:name="_Toc397962270"/>
      <w:bookmarkStart w:id="35648" w:name="_Toc397963056"/>
      <w:bookmarkStart w:id="35649" w:name="_Toc397963422"/>
      <w:bookmarkStart w:id="35650" w:name="_Toc397965499"/>
      <w:bookmarkStart w:id="35651" w:name="_Toc398281375"/>
      <w:bookmarkStart w:id="35652" w:name="_Toc398282234"/>
      <w:bookmarkStart w:id="35653" w:name="_Toc397969435"/>
      <w:bookmarkStart w:id="35654" w:name="_Toc398287373"/>
      <w:bookmarkStart w:id="35655" w:name="_Toc398289256"/>
      <w:bookmarkStart w:id="35656" w:name="_Toc398297253"/>
      <w:bookmarkStart w:id="35657" w:name="_Toc398298727"/>
      <w:bookmarkStart w:id="35658" w:name="_Toc398301325"/>
      <w:bookmarkStart w:id="35659" w:name="_Toc398302510"/>
      <w:bookmarkStart w:id="35660" w:name="_Toc398302673"/>
      <w:bookmarkStart w:id="35661" w:name="_Toc398549187"/>
      <w:bookmarkStart w:id="35662" w:name="_Toc398549437"/>
      <w:bookmarkStart w:id="35663" w:name="_Toc398555856"/>
      <w:bookmarkStart w:id="35664" w:name="_Toc398559060"/>
      <w:bookmarkStart w:id="35665" w:name="_Toc398563546"/>
      <w:bookmarkStart w:id="35666" w:name="_Toc398563679"/>
      <w:bookmarkStart w:id="35667" w:name="_Toc398564078"/>
      <w:bookmarkStart w:id="35668" w:name="_Toc398827416"/>
      <w:bookmarkStart w:id="35669" w:name="_Toc398827610"/>
      <w:bookmarkStart w:id="35670" w:name="_Toc392164048"/>
      <w:bookmarkStart w:id="35671" w:name="_Toc392168996"/>
      <w:bookmarkStart w:id="35672" w:name="_Toc392169930"/>
      <w:bookmarkStart w:id="35673" w:name="_Toc392170624"/>
      <w:bookmarkStart w:id="35674" w:name="_Toc392170798"/>
      <w:bookmarkStart w:id="35675" w:name="_Toc392171213"/>
      <w:bookmarkStart w:id="35676" w:name="_Toc392172802"/>
      <w:bookmarkStart w:id="35677" w:name="_Toc392173165"/>
      <w:bookmarkStart w:id="35678" w:name="_Toc392173341"/>
      <w:bookmarkStart w:id="35679" w:name="_Toc392238330"/>
      <w:bookmarkStart w:id="35680" w:name="_Toc392247632"/>
      <w:bookmarkStart w:id="35681" w:name="_Toc392247907"/>
      <w:bookmarkStart w:id="35682" w:name="_Toc392248579"/>
      <w:bookmarkStart w:id="35683" w:name="_Toc392251112"/>
      <w:bookmarkStart w:id="35684" w:name="_Toc392253736"/>
      <w:bookmarkStart w:id="35685" w:name="_Toc392253913"/>
      <w:bookmarkStart w:id="35686" w:name="_Toc392255504"/>
      <w:bookmarkStart w:id="35687" w:name="_Toc392256299"/>
      <w:bookmarkStart w:id="35688" w:name="_Toc392257494"/>
      <w:bookmarkStart w:id="35689" w:name="_Toc392498510"/>
      <w:bookmarkStart w:id="35690" w:name="_Toc392500504"/>
      <w:bookmarkStart w:id="35691" w:name="_Toc392513319"/>
      <w:bookmarkStart w:id="35692" w:name="_Toc392514232"/>
      <w:bookmarkStart w:id="35693" w:name="_Toc392515419"/>
      <w:bookmarkStart w:id="35694" w:name="_Toc392517349"/>
      <w:bookmarkStart w:id="35695" w:name="_Toc392517268"/>
      <w:bookmarkStart w:id="35696" w:name="_Toc392517616"/>
      <w:bookmarkStart w:id="35697" w:name="_Toc392517769"/>
      <w:bookmarkStart w:id="35698" w:name="_Toc392517849"/>
      <w:bookmarkStart w:id="35699" w:name="_Toc392685050"/>
      <w:bookmarkStart w:id="35700" w:name="_Toc392685140"/>
      <w:bookmarkStart w:id="35701" w:name="_Toc392687303"/>
      <w:bookmarkStart w:id="35702" w:name="_Toc392688472"/>
      <w:bookmarkStart w:id="35703" w:name="_Toc392689472"/>
      <w:bookmarkStart w:id="35704" w:name="_Toc392690256"/>
      <w:bookmarkStart w:id="35705" w:name="_Toc391906832"/>
      <w:bookmarkStart w:id="35706" w:name="_Toc391908241"/>
      <w:r w:rsidRPr="008625DC">
        <w:lastRenderedPageBreak/>
        <w:t xml:space="preserve">Part </w:t>
      </w:r>
      <w:r w:rsidR="008A4E71" w:rsidRPr="008625DC">
        <w:rPr>
          <w:smallCaps w:val="0"/>
        </w:rPr>
        <w:t>5</w:t>
      </w:r>
      <w:bookmarkEnd w:id="35290"/>
      <w:r w:rsidR="00380141" w:rsidRPr="008625DC">
        <w:rPr>
          <w:smallCaps w:val="0"/>
        </w:rPr>
        <w:t xml:space="preserve"> — </w:t>
      </w:r>
      <w:r w:rsidR="000A0A87" w:rsidRPr="008625DC">
        <w:rPr>
          <w:smallCaps w:val="0"/>
        </w:rPr>
        <w:t xml:space="preserve">Competition </w:t>
      </w:r>
      <w:r w:rsidRPr="008625DC">
        <w:rPr>
          <w:smallCaps w:val="0"/>
        </w:rPr>
        <w:t>i</w:t>
      </w:r>
      <w:r w:rsidR="004A7E53" w:rsidRPr="008625DC">
        <w:rPr>
          <w:smallCaps w:val="0"/>
        </w:rPr>
        <w:t>nstitution</w:t>
      </w:r>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bookmarkEnd w:id="35378"/>
      <w:bookmarkEnd w:id="35379"/>
      <w:bookmarkEnd w:id="35380"/>
      <w:bookmarkEnd w:id="35381"/>
      <w:bookmarkEnd w:id="35382"/>
      <w:r w:rsidRPr="008625DC">
        <w:rPr>
          <w:smallCaps w:val="0"/>
        </w:rPr>
        <w:t>s</w:t>
      </w:r>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bookmarkEnd w:id="35588"/>
      <w:bookmarkEnd w:id="35589"/>
      <w:bookmarkEnd w:id="35590"/>
      <w:bookmarkEnd w:id="35591"/>
      <w:bookmarkEnd w:id="35592"/>
      <w:bookmarkEnd w:id="35593"/>
      <w:bookmarkEnd w:id="35594"/>
      <w:bookmarkEnd w:id="35595"/>
      <w:bookmarkEnd w:id="35596"/>
      <w:bookmarkEnd w:id="35597"/>
      <w:bookmarkEnd w:id="35598"/>
      <w:bookmarkEnd w:id="35599"/>
      <w:bookmarkEnd w:id="35600"/>
      <w:bookmarkEnd w:id="35601"/>
      <w:bookmarkEnd w:id="35602"/>
      <w:bookmarkEnd w:id="35603"/>
      <w:bookmarkEnd w:id="35604"/>
      <w:bookmarkEnd w:id="35605"/>
      <w:bookmarkEnd w:id="35606"/>
      <w:bookmarkEnd w:id="35607"/>
      <w:bookmarkEnd w:id="35608"/>
      <w:bookmarkEnd w:id="35609"/>
      <w:bookmarkEnd w:id="35610"/>
      <w:bookmarkEnd w:id="35611"/>
      <w:bookmarkEnd w:id="35612"/>
      <w:bookmarkEnd w:id="35613"/>
      <w:bookmarkEnd w:id="35614"/>
      <w:bookmarkEnd w:id="35615"/>
      <w:bookmarkEnd w:id="35616"/>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bookmarkEnd w:id="35630"/>
      <w:bookmarkEnd w:id="35631"/>
      <w:bookmarkEnd w:id="35632"/>
      <w:bookmarkEnd w:id="35633"/>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p>
    <w:p w14:paraId="2A2D97D4" w14:textId="0162BFAA" w:rsidR="00E855A7" w:rsidRPr="008625DC" w:rsidRDefault="008D1638" w:rsidP="00E855A7">
      <w:bookmarkStart w:id="35707" w:name="_Toc394588916"/>
      <w:bookmarkStart w:id="35708" w:name="_Toc394589041"/>
      <w:r w:rsidRPr="008625DC">
        <w:t>T</w:t>
      </w:r>
      <w:bookmarkEnd w:id="35707"/>
      <w:bookmarkEnd w:id="35708"/>
      <w:r w:rsidRPr="008625DC">
        <w:t xml:space="preserve">his </w:t>
      </w:r>
      <w:r w:rsidR="00D521D4" w:rsidRPr="008625DC">
        <w:t>Part</w:t>
      </w:r>
      <w:r w:rsidRPr="008625DC">
        <w:t xml:space="preserve"> </w:t>
      </w:r>
      <w:r w:rsidR="007E51BD" w:rsidRPr="008625DC">
        <w:t xml:space="preserve">asks whether our </w:t>
      </w:r>
      <w:r w:rsidR="00D521D4" w:rsidRPr="008625DC">
        <w:t xml:space="preserve">current </w:t>
      </w:r>
      <w:r w:rsidR="007E72BC" w:rsidRPr="008625DC">
        <w:t xml:space="preserve">competition </w:t>
      </w:r>
      <w:r w:rsidR="007E51BD" w:rsidRPr="008625DC">
        <w:t xml:space="preserve">institutions are </w:t>
      </w:r>
      <w:r w:rsidR="005225E1" w:rsidRPr="008625DC">
        <w:t>fit for purpose to operate in the long</w:t>
      </w:r>
      <w:r w:rsidR="00C74E19" w:rsidRPr="008625DC">
        <w:noBreakHyphen/>
      </w:r>
      <w:r w:rsidR="005225E1" w:rsidRPr="008625DC">
        <w:t>term interests of consumers</w:t>
      </w:r>
      <w:r w:rsidR="007E72BC" w:rsidRPr="008625DC">
        <w:t>.</w:t>
      </w:r>
      <w:r w:rsidR="00D521D4" w:rsidRPr="008625DC">
        <w:t xml:space="preserve"> We also examine the best institutional structure to take forward future reforms to competition policy.</w:t>
      </w:r>
      <w:r w:rsidR="00E855A7" w:rsidRPr="008625DC">
        <w:t xml:space="preserve"> </w:t>
      </w:r>
    </w:p>
    <w:p w14:paraId="51CEB820" w14:textId="77777777" w:rsidR="00E855A7" w:rsidRPr="008625DC" w:rsidRDefault="002A4A18" w:rsidP="00F43A43">
      <w:pPr>
        <w:spacing w:before="0" w:line="280" w:lineRule="exact"/>
        <w:jc w:val="both"/>
      </w:pPr>
      <w:r w:rsidRPr="008625DC">
        <w:t xml:space="preserve">The </w:t>
      </w:r>
      <w:r w:rsidR="002833EA" w:rsidRPr="008625DC">
        <w:t>institutions</w:t>
      </w:r>
      <w:r w:rsidRPr="008625DC">
        <w:t xml:space="preserve"> which </w:t>
      </w:r>
      <w:r w:rsidR="002833EA" w:rsidRPr="008625DC">
        <w:t>oversee</w:t>
      </w:r>
      <w:r w:rsidRPr="008625DC">
        <w:t xml:space="preserve"> the competition framework undertake four broad functions</w:t>
      </w:r>
      <w:r w:rsidR="003B6954" w:rsidRPr="008625DC">
        <w:t>.</w:t>
      </w:r>
    </w:p>
    <w:p w14:paraId="0BE99127" w14:textId="716E02DF" w:rsidR="001C4B01" w:rsidRPr="008625DC" w:rsidRDefault="005A60E9" w:rsidP="00E855A7">
      <w:r w:rsidRPr="005A60E9">
        <w:rPr>
          <w:noProof/>
        </w:rPr>
        <w:drawing>
          <wp:inline distT="0" distB="0" distL="0" distR="0" wp14:anchorId="7D2D3F84" wp14:editId="0E5F19D0">
            <wp:extent cx="5589905" cy="19411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9905" cy="1941195"/>
                    </a:xfrm>
                    <a:prstGeom prst="rect">
                      <a:avLst/>
                    </a:prstGeom>
                    <a:noFill/>
                    <a:ln>
                      <a:noFill/>
                    </a:ln>
                  </pic:spPr>
                </pic:pic>
              </a:graphicData>
            </a:graphic>
          </wp:inline>
        </w:drawing>
      </w:r>
    </w:p>
    <w:p w14:paraId="3C66A516" w14:textId="77777777" w:rsidR="005225E1" w:rsidRPr="008625DC" w:rsidRDefault="005225E1" w:rsidP="00A622D4">
      <w:r w:rsidRPr="008625DC">
        <w:t>At the Commonwealth level, competition policy is implemented through the Australian Competition and Consumer Commission (ACCC), the National Competition Council (NCC</w:t>
      </w:r>
      <w:r w:rsidR="00F43A43" w:rsidRPr="008625DC">
        <w:t>),</w:t>
      </w:r>
      <w:r w:rsidRPr="008625DC">
        <w:t xml:space="preserve"> the Australian Competition Tribunal</w:t>
      </w:r>
      <w:r w:rsidR="009D7B6B" w:rsidRPr="008625DC">
        <w:t xml:space="preserve"> </w:t>
      </w:r>
      <w:r w:rsidR="00F43A43" w:rsidRPr="008625DC">
        <w:t>and</w:t>
      </w:r>
      <w:r w:rsidRPr="008625DC">
        <w:t xml:space="preserve"> the Federal Court of Australia. In addition, </w:t>
      </w:r>
      <w:r w:rsidR="001730B9" w:rsidRPr="008625DC">
        <w:t>s</w:t>
      </w:r>
      <w:r w:rsidRPr="008625DC">
        <w:t xml:space="preserve">tate and </w:t>
      </w:r>
      <w:r w:rsidR="001730B9" w:rsidRPr="008625DC">
        <w:t>t</w:t>
      </w:r>
      <w:r w:rsidRPr="008625DC">
        <w:t xml:space="preserve">erritory regulators such as the NSW Independent Pricing and Regulatory Tribunal </w:t>
      </w:r>
      <w:r w:rsidR="00053170" w:rsidRPr="008625DC">
        <w:t xml:space="preserve">(IPART) </w:t>
      </w:r>
      <w:r w:rsidRPr="008625DC">
        <w:t>implement aspects of competition policy.</w:t>
      </w:r>
    </w:p>
    <w:p w14:paraId="48D80E70" w14:textId="1C5CA446" w:rsidR="005225E1" w:rsidRPr="008625DC" w:rsidRDefault="005225E1" w:rsidP="00A622D4">
      <w:r w:rsidRPr="008625DC">
        <w:t xml:space="preserve">Under </w:t>
      </w:r>
      <w:r w:rsidR="00057C92" w:rsidRPr="008625DC">
        <w:t>National Competition Policy (</w:t>
      </w:r>
      <w:r w:rsidRPr="008625DC">
        <w:t>NCP</w:t>
      </w:r>
      <w:r w:rsidR="00057C92" w:rsidRPr="008625DC">
        <w:t>)</w:t>
      </w:r>
      <w:r w:rsidRPr="008625DC">
        <w:t>, a range of new regulatory institutions</w:t>
      </w:r>
      <w:r w:rsidR="00E87D5D" w:rsidRPr="008625DC">
        <w:t xml:space="preserve"> </w:t>
      </w:r>
      <w:r w:rsidRPr="008625DC">
        <w:t xml:space="preserve">were created. For example, the Australian Energy Regulator (AER) and the Australian Energy Market Commission (AEMC) </w:t>
      </w:r>
      <w:r w:rsidR="00F43A43" w:rsidRPr="008625DC">
        <w:t>perform functions under a legislative framework focused on the long</w:t>
      </w:r>
      <w:r w:rsidR="00C74E19" w:rsidRPr="008625DC">
        <w:noBreakHyphen/>
      </w:r>
      <w:r w:rsidR="00F43A43" w:rsidRPr="008625DC">
        <w:t>term interests of consumers.</w:t>
      </w:r>
    </w:p>
    <w:p w14:paraId="1278181F" w14:textId="11C603A1" w:rsidR="005225E1" w:rsidRPr="008625DC" w:rsidRDefault="005225E1" w:rsidP="00A622D4">
      <w:r w:rsidRPr="008625DC">
        <w:t xml:space="preserve">The Panel has also considered the institutional arrangements that will be needed to implement the reform agenda coming out of this Review. We identify key factors for the success of a future competition institution, including the need for a national approach, with </w:t>
      </w:r>
      <w:r w:rsidR="00C74E19" w:rsidRPr="008625DC">
        <w:t>‘</w:t>
      </w:r>
      <w:r w:rsidRPr="008625DC">
        <w:t>buy in</w:t>
      </w:r>
      <w:r w:rsidR="00C74E19" w:rsidRPr="008625DC">
        <w:t>’</w:t>
      </w:r>
      <w:r w:rsidRPr="008625DC">
        <w:t xml:space="preserve"> from all Australian governments, and the ability of the institution to provide independent </w:t>
      </w:r>
      <w:r w:rsidR="00F35671" w:rsidRPr="008625DC">
        <w:t xml:space="preserve">advice on </w:t>
      </w:r>
      <w:r w:rsidRPr="008625DC">
        <w:t xml:space="preserve">competition policy. </w:t>
      </w:r>
    </w:p>
    <w:p w14:paraId="36DBF7CC" w14:textId="77777777" w:rsidR="00A8424A" w:rsidRPr="008625DC" w:rsidRDefault="001C4B01">
      <w:pPr>
        <w:spacing w:before="0" w:after="0"/>
        <w:sectPr w:rsidR="00A8424A" w:rsidRPr="008625DC" w:rsidSect="00AA577F">
          <w:headerReference w:type="default" r:id="rId56"/>
          <w:pgSz w:w="11906" w:h="16838" w:code="9"/>
          <w:pgMar w:top="1418" w:right="1418" w:bottom="1418" w:left="1418" w:header="709" w:footer="709" w:gutter="0"/>
          <w:cols w:space="708"/>
          <w:docGrid w:linePitch="360"/>
        </w:sectPr>
      </w:pPr>
      <w:r w:rsidRPr="008625DC">
        <w:br w:type="page"/>
      </w:r>
    </w:p>
    <w:p w14:paraId="6FECFB38" w14:textId="77777777" w:rsidR="00153EBE" w:rsidRPr="008625DC" w:rsidRDefault="001C7749" w:rsidP="00D372B2">
      <w:pPr>
        <w:pStyle w:val="Heading1"/>
        <w:ind w:left="851" w:hanging="851"/>
        <w:rPr>
          <w:smallCaps w:val="0"/>
        </w:rPr>
      </w:pPr>
      <w:bookmarkStart w:id="35709" w:name="Ch22"/>
      <w:bookmarkStart w:id="35710" w:name="_Toc394590462"/>
      <w:bookmarkStart w:id="35711" w:name="_Toc394590655"/>
      <w:bookmarkStart w:id="35712" w:name="_Toc394654556"/>
      <w:bookmarkStart w:id="35713" w:name="_Toc394654714"/>
      <w:bookmarkStart w:id="35714" w:name="_Toc394656254"/>
      <w:bookmarkStart w:id="35715" w:name="_Toc394656411"/>
      <w:bookmarkStart w:id="35716" w:name="_Toc394659391"/>
      <w:bookmarkStart w:id="35717" w:name="_Toc394659549"/>
      <w:bookmarkStart w:id="35718" w:name="_Toc394663403"/>
      <w:bookmarkStart w:id="35719" w:name="_Toc394663559"/>
      <w:bookmarkStart w:id="35720" w:name="_Toc394667197"/>
      <w:bookmarkStart w:id="35721" w:name="_Toc394667353"/>
      <w:bookmarkStart w:id="35722" w:name="_Toc394671676"/>
      <w:bookmarkStart w:id="35723" w:name="_Toc394671836"/>
      <w:bookmarkStart w:id="35724" w:name="_Toc394674678"/>
      <w:bookmarkStart w:id="35725" w:name="_Toc394674841"/>
      <w:bookmarkStart w:id="35726" w:name="_Toc394674955"/>
      <w:bookmarkStart w:id="35727" w:name="_Toc394675121"/>
      <w:bookmarkStart w:id="35728" w:name="_Toc394676066"/>
      <w:bookmarkStart w:id="35729" w:name="_Toc394676228"/>
      <w:bookmarkStart w:id="35730" w:name="_Toc394675754"/>
      <w:bookmarkStart w:id="35731" w:name="_Toc394675917"/>
      <w:bookmarkStart w:id="35732" w:name="_Toc394918320"/>
      <w:bookmarkStart w:id="35733" w:name="_Toc394918834"/>
      <w:bookmarkStart w:id="35734" w:name="_Toc394930807"/>
      <w:bookmarkStart w:id="35735" w:name="_Toc394933718"/>
      <w:bookmarkStart w:id="35736" w:name="_Toc394938165"/>
      <w:bookmarkStart w:id="35737" w:name="_Toc394938536"/>
      <w:bookmarkStart w:id="35738" w:name="_Toc394938667"/>
      <w:bookmarkStart w:id="35739" w:name="_Toc394937818"/>
      <w:bookmarkStart w:id="35740" w:name="_Toc394937949"/>
      <w:bookmarkStart w:id="35741" w:name="_Toc394941077"/>
      <w:bookmarkStart w:id="35742" w:name="_Toc394941447"/>
      <w:bookmarkStart w:id="35743" w:name="_Toc394941578"/>
      <w:bookmarkStart w:id="35744" w:name="_Toc394941693"/>
      <w:bookmarkStart w:id="35745" w:name="_Toc394942063"/>
      <w:bookmarkStart w:id="35746" w:name="_Toc394942194"/>
      <w:bookmarkStart w:id="35747" w:name="_Toc394939914"/>
      <w:bookmarkStart w:id="35748" w:name="_Toc394940285"/>
      <w:bookmarkStart w:id="35749" w:name="_Toc394940416"/>
      <w:bookmarkStart w:id="35750" w:name="_Toc394939525"/>
      <w:bookmarkStart w:id="35751" w:name="_Toc394940499"/>
      <w:bookmarkStart w:id="35752" w:name="_Toc394940629"/>
      <w:bookmarkStart w:id="35753" w:name="_Toc394993779"/>
      <w:bookmarkStart w:id="35754" w:name="_Toc394995662"/>
      <w:bookmarkStart w:id="35755" w:name="_Toc394995976"/>
      <w:bookmarkStart w:id="35756" w:name="_Toc394996109"/>
      <w:bookmarkStart w:id="35757" w:name="_Toc394997835"/>
      <w:bookmarkStart w:id="35758" w:name="_Toc394998221"/>
      <w:bookmarkStart w:id="35759" w:name="_Toc394998350"/>
      <w:bookmarkStart w:id="35760" w:name="_Toc394998735"/>
      <w:bookmarkStart w:id="35761" w:name="_Toc395001845"/>
      <w:bookmarkStart w:id="35762" w:name="_Toc395002234"/>
      <w:bookmarkStart w:id="35763" w:name="_Toc395001442"/>
      <w:bookmarkStart w:id="35764" w:name="_Toc395001714"/>
      <w:bookmarkStart w:id="35765" w:name="_Toc395003003"/>
      <w:bookmarkStart w:id="35766" w:name="_Toc395003199"/>
      <w:bookmarkStart w:id="35767" w:name="_Toc395003588"/>
      <w:bookmarkStart w:id="35768" w:name="_Toc395005096"/>
      <w:bookmarkStart w:id="35769" w:name="_Toc395005222"/>
      <w:bookmarkStart w:id="35770" w:name="_Toc395005438"/>
      <w:bookmarkStart w:id="35771" w:name="_Toc395005829"/>
      <w:bookmarkStart w:id="35772" w:name="_Toc395009015"/>
      <w:bookmarkStart w:id="35773" w:name="_Toc395009815"/>
      <w:bookmarkStart w:id="35774" w:name="_Toc395010201"/>
      <w:bookmarkStart w:id="35775" w:name="_Toc395010043"/>
      <w:bookmarkStart w:id="35776" w:name="_Toc395011445"/>
      <w:bookmarkStart w:id="35777" w:name="_Toc395011569"/>
      <w:bookmarkStart w:id="35778" w:name="_Toc395012387"/>
      <w:bookmarkStart w:id="35779" w:name="_Toc395012739"/>
      <w:bookmarkStart w:id="35780" w:name="_Toc395012977"/>
      <w:bookmarkStart w:id="35781" w:name="_Toc395010792"/>
      <w:bookmarkStart w:id="35782" w:name="_Toc395012265"/>
      <w:bookmarkStart w:id="35783" w:name="_Toc395014542"/>
      <w:bookmarkStart w:id="35784" w:name="_Toc395014666"/>
      <w:bookmarkStart w:id="35785" w:name="_Toc395013257"/>
      <w:bookmarkStart w:id="35786" w:name="_Toc395084885"/>
      <w:bookmarkStart w:id="35787" w:name="_Toc395085186"/>
      <w:bookmarkStart w:id="35788" w:name="_Toc395090296"/>
      <w:bookmarkStart w:id="35789" w:name="_Toc395090652"/>
      <w:bookmarkStart w:id="35790" w:name="_Toc395090775"/>
      <w:bookmarkStart w:id="35791" w:name="_Toc395092664"/>
      <w:bookmarkStart w:id="35792" w:name="_Toc395092876"/>
      <w:bookmarkStart w:id="35793" w:name="_Toc395093235"/>
      <w:bookmarkStart w:id="35794" w:name="_Toc395093358"/>
      <w:bookmarkStart w:id="35795" w:name="_Toc395097787"/>
      <w:bookmarkStart w:id="35796" w:name="_Toc395098145"/>
      <w:bookmarkStart w:id="35797" w:name="_Toc395098268"/>
      <w:bookmarkStart w:id="35798" w:name="_Toc395105330"/>
      <w:bookmarkStart w:id="35799" w:name="_Toc395105452"/>
      <w:bookmarkStart w:id="35800" w:name="_Toc395106933"/>
      <w:bookmarkStart w:id="35801" w:name="_Toc395107055"/>
      <w:bookmarkStart w:id="35802" w:name="_Toc395109926"/>
      <w:bookmarkStart w:id="35803" w:name="_Toc395109590"/>
      <w:bookmarkStart w:id="35804" w:name="_Toc395109712"/>
      <w:bookmarkStart w:id="35805" w:name="_Toc395111929"/>
      <w:bookmarkStart w:id="35806" w:name="_Toc395112295"/>
      <w:bookmarkStart w:id="35807" w:name="_Toc395112417"/>
      <w:bookmarkStart w:id="35808" w:name="_Toc395106849"/>
      <w:bookmarkStart w:id="35809" w:name="_Toc395107437"/>
      <w:bookmarkStart w:id="35810" w:name="_Toc395107562"/>
      <w:bookmarkStart w:id="35811" w:name="_Toc395110101"/>
      <w:bookmarkStart w:id="35812" w:name="_Toc395108609"/>
      <w:bookmarkStart w:id="35813" w:name="_Toc395108999"/>
      <w:bookmarkStart w:id="35814" w:name="_Toc395113849"/>
      <w:bookmarkStart w:id="35815" w:name="_Toc395114238"/>
      <w:bookmarkStart w:id="35816" w:name="_Toc395114369"/>
      <w:bookmarkStart w:id="35817" w:name="_Toc395116585"/>
      <w:bookmarkStart w:id="35818" w:name="_Toc395116975"/>
      <w:bookmarkStart w:id="35819" w:name="_Toc395117107"/>
      <w:bookmarkStart w:id="35820" w:name="_Toc395112522"/>
      <w:bookmarkStart w:id="35821" w:name="_Toc395113093"/>
      <w:bookmarkStart w:id="35822" w:name="_Toc395113225"/>
      <w:bookmarkStart w:id="35823" w:name="_Toc395115061"/>
      <w:bookmarkStart w:id="35824" w:name="_Toc395115452"/>
      <w:bookmarkStart w:id="35825" w:name="_Toc395115584"/>
      <w:bookmarkStart w:id="35826" w:name="_Toc395118216"/>
      <w:bookmarkStart w:id="35827" w:name="_Toc395118604"/>
      <w:bookmarkStart w:id="35828" w:name="_Toc395118734"/>
      <w:bookmarkStart w:id="35829" w:name="_Toc395178426"/>
      <w:bookmarkStart w:id="35830" w:name="_Toc395178758"/>
      <w:bookmarkStart w:id="35831" w:name="_Toc395624796"/>
      <w:bookmarkStart w:id="35832" w:name="_Toc395624915"/>
      <w:bookmarkStart w:id="35833" w:name="_Toc395789769"/>
      <w:bookmarkStart w:id="35834" w:name="_Toc395790147"/>
      <w:bookmarkStart w:id="35835" w:name="_Toc395800905"/>
      <w:bookmarkStart w:id="35836" w:name="_Toc395802901"/>
      <w:bookmarkStart w:id="35837" w:name="_Toc395867668"/>
      <w:bookmarkStart w:id="35838" w:name="_Toc395868581"/>
      <w:bookmarkStart w:id="35839" w:name="_Toc395868800"/>
      <w:bookmarkStart w:id="35840" w:name="_Toc395878962"/>
      <w:bookmarkStart w:id="35841" w:name="_Toc395879179"/>
      <w:bookmarkStart w:id="35842" w:name="_Toc395882086"/>
      <w:bookmarkStart w:id="35843" w:name="_Toc395882303"/>
      <w:bookmarkStart w:id="35844" w:name="_Toc395882417"/>
      <w:bookmarkStart w:id="35845" w:name="_Toc395882634"/>
      <w:bookmarkStart w:id="35846" w:name="_Toc395880581"/>
      <w:bookmarkStart w:id="35847" w:name="_Toc395880912"/>
      <w:bookmarkStart w:id="35848" w:name="_Toc395881470"/>
      <w:bookmarkStart w:id="35849" w:name="_Toc395883855"/>
      <w:bookmarkStart w:id="35850" w:name="_Toc395884072"/>
      <w:bookmarkStart w:id="35851" w:name="_Toc395880810"/>
      <w:bookmarkStart w:id="35852" w:name="_Toc395884517"/>
      <w:bookmarkStart w:id="35853" w:name="_Toc395884734"/>
      <w:bookmarkStart w:id="35854" w:name="_Toc395883226"/>
      <w:bookmarkStart w:id="35855" w:name="_Toc395883443"/>
      <w:bookmarkStart w:id="35856" w:name="_Toc395883556"/>
      <w:bookmarkStart w:id="35857" w:name="_Toc395883773"/>
      <w:bookmarkStart w:id="35858" w:name="_Toc395884858"/>
      <w:bookmarkStart w:id="35859" w:name="_Toc396123883"/>
      <w:bookmarkStart w:id="35860" w:name="_Toc396130785"/>
      <w:bookmarkStart w:id="35861" w:name="_Toc396136363"/>
      <w:bookmarkStart w:id="35862" w:name="_Toc396138817"/>
      <w:bookmarkStart w:id="35863" w:name="_Toc396144078"/>
      <w:bookmarkStart w:id="35864" w:name="_Toc396145587"/>
      <w:bookmarkStart w:id="35865" w:name="_Toc396145731"/>
      <w:bookmarkStart w:id="35866" w:name="_Toc396147553"/>
      <w:bookmarkStart w:id="35867" w:name="_Toc396147839"/>
      <w:bookmarkStart w:id="35868" w:name="_Toc396149095"/>
      <w:bookmarkStart w:id="35869" w:name="_Toc396148808"/>
      <w:bookmarkStart w:id="35870" w:name="_Toc396149589"/>
      <w:bookmarkStart w:id="35871" w:name="_Toc396149235"/>
      <w:bookmarkStart w:id="35872" w:name="_Toc396149521"/>
      <w:bookmarkStart w:id="35873" w:name="_Toc396149943"/>
      <w:bookmarkStart w:id="35874" w:name="_Toc396149693"/>
      <w:bookmarkStart w:id="35875" w:name="_Toc396150534"/>
      <w:bookmarkStart w:id="35876" w:name="_Toc396151423"/>
      <w:bookmarkStart w:id="35877" w:name="_Toc396151717"/>
      <w:bookmarkStart w:id="35878" w:name="_Toc396201644"/>
      <w:bookmarkStart w:id="35879" w:name="_Toc396202434"/>
      <w:bookmarkStart w:id="35880" w:name="_Toc396202729"/>
      <w:bookmarkStart w:id="35881" w:name="_Toc396203346"/>
      <w:bookmarkStart w:id="35882" w:name="_Toc396206642"/>
      <w:bookmarkStart w:id="35883" w:name="_Toc396206936"/>
      <w:bookmarkStart w:id="35884" w:name="_Toc396209470"/>
      <w:bookmarkStart w:id="35885" w:name="_Toc396209764"/>
      <w:bookmarkStart w:id="35886" w:name="_Toc396211894"/>
      <w:bookmarkStart w:id="35887" w:name="_Toc396212188"/>
      <w:bookmarkStart w:id="35888" w:name="_Toc396213238"/>
      <w:bookmarkStart w:id="35889" w:name="_Toc396213530"/>
      <w:bookmarkStart w:id="35890" w:name="_Toc396214516"/>
      <w:bookmarkStart w:id="35891" w:name="_Toc396214806"/>
      <w:bookmarkStart w:id="35892" w:name="_Toc396220366"/>
      <w:bookmarkStart w:id="35893" w:name="_Toc396226628"/>
      <w:bookmarkStart w:id="35894" w:name="_Toc396226917"/>
      <w:bookmarkStart w:id="35895" w:name="_Toc396228828"/>
      <w:bookmarkStart w:id="35896" w:name="_Toc396229123"/>
      <w:bookmarkStart w:id="35897" w:name="_Toc396230765"/>
      <w:bookmarkStart w:id="35898" w:name="_Toc396231907"/>
      <w:bookmarkStart w:id="35899" w:name="_Toc396233250"/>
      <w:bookmarkStart w:id="35900" w:name="_Toc396233547"/>
      <w:bookmarkStart w:id="35901" w:name="_Toc396234070"/>
      <w:bookmarkStart w:id="35902" w:name="_Toc396234367"/>
      <w:bookmarkStart w:id="35903" w:name="_Toc396234480"/>
      <w:bookmarkStart w:id="35904" w:name="_Toc396236214"/>
      <w:bookmarkStart w:id="35905" w:name="_Toc396235992"/>
      <w:bookmarkStart w:id="35906" w:name="_Toc396236602"/>
      <w:bookmarkStart w:id="35907" w:name="_Toc396237121"/>
      <w:bookmarkStart w:id="35908" w:name="_Toc396397464"/>
      <w:bookmarkStart w:id="35909" w:name="_Toc396304645"/>
      <w:bookmarkStart w:id="35910" w:name="_Toc396586180"/>
      <w:bookmarkStart w:id="35911" w:name="_Toc396815201"/>
      <w:bookmarkStart w:id="35912" w:name="_Toc396821150"/>
      <w:bookmarkStart w:id="35913" w:name="_Toc396821758"/>
      <w:bookmarkStart w:id="35914" w:name="_Toc396827608"/>
      <w:bookmarkStart w:id="35915" w:name="_Toc396828579"/>
      <w:bookmarkStart w:id="35916" w:name="_Toc396828689"/>
      <w:bookmarkStart w:id="35917" w:name="_Toc396838078"/>
      <w:bookmarkStart w:id="35918" w:name="_Toc396838476"/>
      <w:bookmarkStart w:id="35919" w:name="_Toc396904799"/>
      <w:bookmarkStart w:id="35920" w:name="_Toc396907633"/>
      <w:bookmarkStart w:id="35921" w:name="_Toc396912552"/>
      <w:bookmarkStart w:id="35922" w:name="_Toc396914532"/>
      <w:bookmarkStart w:id="35923" w:name="_Toc396915416"/>
      <w:bookmarkStart w:id="35924" w:name="_Toc396915810"/>
      <w:bookmarkStart w:id="35925" w:name="_Toc396921121"/>
      <w:bookmarkStart w:id="35926" w:name="_Toc396924461"/>
      <w:bookmarkStart w:id="35927" w:name="_Toc396925155"/>
      <w:bookmarkStart w:id="35928" w:name="_Toc396992275"/>
      <w:bookmarkStart w:id="35929" w:name="_Toc396992854"/>
      <w:bookmarkStart w:id="35930" w:name="_Toc396994518"/>
      <w:bookmarkStart w:id="35931" w:name="_Toc397002288"/>
      <w:bookmarkStart w:id="35932" w:name="_Toc397003207"/>
      <w:bookmarkStart w:id="35933" w:name="_Toc397008765"/>
      <w:bookmarkStart w:id="35934" w:name="_Toc397008983"/>
      <w:bookmarkStart w:id="35935" w:name="_Toc397011655"/>
      <w:bookmarkStart w:id="35936" w:name="_Toc397012717"/>
      <w:bookmarkStart w:id="35937" w:name="_Toc397015059"/>
      <w:bookmarkStart w:id="35938" w:name="_Toc397015546"/>
      <w:bookmarkStart w:id="35939" w:name="_Toc397070617"/>
      <w:bookmarkStart w:id="35940" w:name="_Toc397413375"/>
      <w:bookmarkStart w:id="35941" w:name="_Toc397413522"/>
      <w:bookmarkStart w:id="35942" w:name="_Toc397428087"/>
      <w:bookmarkStart w:id="35943" w:name="_Toc397439477"/>
      <w:bookmarkStart w:id="35944" w:name="_Toc397439647"/>
      <w:bookmarkStart w:id="35945" w:name="_Toc397439903"/>
      <w:bookmarkStart w:id="35946" w:name="_Toc397440205"/>
      <w:bookmarkStart w:id="35947" w:name="_Toc397441834"/>
      <w:bookmarkStart w:id="35948" w:name="_Toc397517536"/>
      <w:bookmarkStart w:id="35949" w:name="_Toc397522801"/>
      <w:bookmarkStart w:id="35950" w:name="_Toc397526219"/>
      <w:bookmarkStart w:id="35951" w:name="_Toc397528419"/>
      <w:bookmarkStart w:id="35952" w:name="_Toc397528534"/>
      <w:bookmarkStart w:id="35953" w:name="_Toc397529009"/>
      <w:bookmarkStart w:id="35954" w:name="_Toc397594876"/>
      <w:bookmarkStart w:id="35955" w:name="_Toc397602007"/>
      <w:bookmarkStart w:id="35956" w:name="_Toc397602742"/>
      <w:bookmarkStart w:id="35957" w:name="_Toc397605875"/>
      <w:bookmarkStart w:id="35958" w:name="_Toc397614572"/>
      <w:bookmarkStart w:id="35959" w:name="_Toc397615015"/>
      <w:bookmarkStart w:id="35960" w:name="_Toc397616458"/>
      <w:bookmarkStart w:id="35961" w:name="_Toc397616852"/>
      <w:bookmarkStart w:id="35962" w:name="_Toc397688150"/>
      <w:bookmarkStart w:id="35963" w:name="_Toc397689366"/>
      <w:bookmarkStart w:id="35964" w:name="_Toc397694646"/>
      <w:bookmarkStart w:id="35965" w:name="_Toc397696487"/>
      <w:bookmarkStart w:id="35966" w:name="_Toc397697221"/>
      <w:bookmarkStart w:id="35967" w:name="_Toc397698508"/>
      <w:bookmarkStart w:id="35968" w:name="_Toc397699874"/>
      <w:bookmarkStart w:id="35969" w:name="_Toc397700328"/>
      <w:bookmarkStart w:id="35970" w:name="_Toc397936724"/>
      <w:bookmarkStart w:id="35971" w:name="_Toc397936844"/>
      <w:bookmarkStart w:id="35972" w:name="_Toc397946000"/>
      <w:bookmarkStart w:id="35973" w:name="_Toc397947026"/>
      <w:bookmarkStart w:id="35974" w:name="_Toc397948145"/>
      <w:bookmarkStart w:id="35975" w:name="_Toc397958551"/>
      <w:bookmarkStart w:id="35976" w:name="_Toc397958793"/>
      <w:bookmarkStart w:id="35977" w:name="_Toc397959208"/>
      <w:bookmarkStart w:id="35978" w:name="_Toc397962275"/>
      <w:bookmarkStart w:id="35979" w:name="_Toc397963061"/>
      <w:bookmarkStart w:id="35980" w:name="_Toc397963427"/>
      <w:bookmarkStart w:id="35981" w:name="_Toc397965504"/>
      <w:bookmarkStart w:id="35982" w:name="_Toc398281380"/>
      <w:bookmarkStart w:id="35983" w:name="_Toc398282239"/>
      <w:bookmarkStart w:id="35984" w:name="_Toc398287374"/>
      <w:bookmarkStart w:id="35985" w:name="_Toc398289257"/>
      <w:bookmarkStart w:id="35986" w:name="_Toc398297254"/>
      <w:bookmarkStart w:id="35987" w:name="_Toc398298728"/>
      <w:bookmarkStart w:id="35988" w:name="_Toc398301326"/>
      <w:bookmarkStart w:id="35989" w:name="_Toc398302511"/>
      <w:bookmarkStart w:id="35990" w:name="_Toc398302674"/>
      <w:bookmarkStart w:id="35991" w:name="_Toc398549188"/>
      <w:bookmarkStart w:id="35992" w:name="_Toc398549438"/>
      <w:bookmarkStart w:id="35993" w:name="_Toc398555857"/>
      <w:bookmarkStart w:id="35994" w:name="_Toc398559061"/>
      <w:bookmarkStart w:id="35995" w:name="_Toc398563547"/>
      <w:bookmarkStart w:id="35996" w:name="_Toc398563680"/>
      <w:bookmarkStart w:id="35997" w:name="_Toc398564079"/>
      <w:bookmarkStart w:id="35998" w:name="_Toc398827417"/>
      <w:bookmarkStart w:id="35999" w:name="_Toc398827611"/>
      <w:bookmarkStart w:id="36000" w:name="_Toc393904434"/>
      <w:bookmarkStart w:id="36001" w:name="_Toc393905783"/>
      <w:bookmarkStart w:id="36002" w:name="_Toc393905888"/>
      <w:bookmarkStart w:id="36003" w:name="_Toc393906164"/>
      <w:bookmarkStart w:id="36004" w:name="_Toc393906269"/>
      <w:bookmarkStart w:id="36005" w:name="_Toc393905473"/>
      <w:bookmarkStart w:id="36006" w:name="_Toc393908142"/>
      <w:bookmarkStart w:id="36007" w:name="_Toc393908247"/>
      <w:bookmarkStart w:id="36008" w:name="_Toc393906583"/>
      <w:bookmarkStart w:id="36009" w:name="_Toc393906688"/>
      <w:bookmarkStart w:id="36010" w:name="_Toc393968110"/>
      <w:bookmarkStart w:id="36011" w:name="_Toc393968216"/>
      <w:bookmarkStart w:id="36012" w:name="_Toc393974241"/>
      <w:bookmarkStart w:id="36013" w:name="_Toc393974347"/>
      <w:bookmarkStart w:id="36014" w:name="_Toc393976841"/>
      <w:bookmarkStart w:id="36015" w:name="_Toc393977890"/>
      <w:bookmarkStart w:id="36016" w:name="_Toc393977995"/>
      <w:bookmarkStart w:id="36017" w:name="_Toc393985274"/>
      <w:bookmarkStart w:id="36018" w:name="_Toc393985380"/>
      <w:bookmarkStart w:id="36019" w:name="_Toc393985777"/>
      <w:bookmarkStart w:id="36020" w:name="_Toc393985884"/>
      <w:bookmarkStart w:id="36021" w:name="_Toc393986179"/>
      <w:bookmarkStart w:id="36022" w:name="_Toc393986286"/>
      <w:bookmarkStart w:id="36023" w:name="_Toc393986582"/>
      <w:bookmarkStart w:id="36024" w:name="_Toc393988189"/>
      <w:bookmarkStart w:id="36025" w:name="_Toc393988296"/>
      <w:bookmarkStart w:id="36026" w:name="_Toc393988591"/>
      <w:bookmarkStart w:id="36027" w:name="_Toc393988698"/>
      <w:bookmarkStart w:id="36028" w:name="_Toc393986690"/>
      <w:bookmarkStart w:id="36029" w:name="_Toc393989602"/>
      <w:bookmarkStart w:id="36030" w:name="_Toc393989709"/>
      <w:bookmarkStart w:id="36031" w:name="_Toc393988991"/>
      <w:bookmarkStart w:id="36032" w:name="_Toc393989097"/>
      <w:bookmarkStart w:id="36033" w:name="_Toc393990995"/>
      <w:bookmarkStart w:id="36034" w:name="_Toc393991101"/>
      <w:bookmarkStart w:id="36035" w:name="_Toc393991200"/>
      <w:bookmarkStart w:id="36036" w:name="_Toc393991979"/>
      <w:bookmarkStart w:id="36037" w:name="_Toc393992085"/>
      <w:bookmarkStart w:id="36038" w:name="_Toc394047643"/>
      <w:bookmarkStart w:id="36039" w:name="_Toc394047749"/>
      <w:bookmarkStart w:id="36040" w:name="_Toc394047860"/>
      <w:bookmarkStart w:id="36041" w:name="_Toc394048310"/>
      <w:bookmarkStart w:id="36042" w:name="_Toc394048416"/>
      <w:bookmarkStart w:id="36043" w:name="_Toc394049919"/>
      <w:bookmarkStart w:id="36044" w:name="_Toc394050028"/>
      <w:bookmarkStart w:id="36045" w:name="_Toc394051319"/>
      <w:bookmarkStart w:id="36046" w:name="_Toc394051428"/>
      <w:bookmarkStart w:id="36047" w:name="_Toc394062308"/>
      <w:bookmarkStart w:id="36048" w:name="_Toc394062575"/>
      <w:bookmarkStart w:id="36049" w:name="_Toc394069185"/>
      <w:bookmarkStart w:id="36050" w:name="_Toc394069290"/>
      <w:bookmarkStart w:id="36051" w:name="_Toc394071103"/>
      <w:bookmarkStart w:id="36052" w:name="_Toc394071208"/>
      <w:bookmarkStart w:id="36053" w:name="_Toc394312812"/>
      <w:bookmarkStart w:id="36054" w:name="_Toc394330480"/>
      <w:bookmarkStart w:id="36055" w:name="_Toc394330787"/>
      <w:bookmarkStart w:id="36056" w:name="_Toc394331302"/>
      <w:bookmarkStart w:id="36057" w:name="_Toc394331411"/>
      <w:bookmarkStart w:id="36058" w:name="_Toc394333378"/>
      <w:bookmarkStart w:id="36059" w:name="_Toc394333486"/>
      <w:bookmarkStart w:id="36060" w:name="_Toc394333791"/>
      <w:bookmarkStart w:id="36061" w:name="_Toc394333899"/>
      <w:bookmarkStart w:id="36062" w:name="_Toc394334204"/>
      <w:bookmarkStart w:id="36063" w:name="_Toc394334312"/>
      <w:bookmarkStart w:id="36064" w:name="_Toc394335030"/>
      <w:bookmarkStart w:id="36065" w:name="_Toc394335138"/>
      <w:bookmarkStart w:id="36066" w:name="_Toc394415217"/>
      <w:bookmarkStart w:id="36067" w:name="_Toc394415346"/>
      <w:bookmarkStart w:id="36068" w:name="_Toc394412522"/>
      <w:bookmarkStart w:id="36069" w:name="_Toc394412655"/>
      <w:bookmarkStart w:id="36070" w:name="_Toc394420815"/>
      <w:bookmarkStart w:id="36071" w:name="_Toc394420948"/>
      <w:bookmarkStart w:id="36072" w:name="_Toc394423654"/>
      <w:bookmarkStart w:id="36073" w:name="_Toc394423788"/>
      <w:bookmarkStart w:id="36074" w:name="_Toc394422698"/>
      <w:bookmarkStart w:id="36075" w:name="_Toc394422832"/>
      <w:bookmarkStart w:id="36076" w:name="_Toc394423169"/>
      <w:bookmarkStart w:id="36077" w:name="_Toc394423303"/>
      <w:bookmarkStart w:id="36078" w:name="_Toc394424317"/>
      <w:bookmarkStart w:id="36079" w:name="_Toc394424452"/>
      <w:bookmarkStart w:id="36080" w:name="_Toc394492148"/>
      <w:bookmarkStart w:id="36081" w:name="_Toc394492285"/>
      <w:bookmarkStart w:id="36082" w:name="_Toc394495292"/>
      <w:bookmarkStart w:id="36083" w:name="_Toc394495429"/>
      <w:bookmarkStart w:id="36084" w:name="_Toc394498107"/>
      <w:bookmarkStart w:id="36085" w:name="_Toc394498244"/>
      <w:bookmarkStart w:id="36086" w:name="_Toc394500897"/>
      <w:bookmarkStart w:id="36087" w:name="_Toc394501034"/>
      <w:bookmarkStart w:id="36088" w:name="_Toc394502294"/>
      <w:bookmarkStart w:id="36089" w:name="_Toc394502424"/>
      <w:bookmarkStart w:id="36090" w:name="_Toc394503194"/>
      <w:bookmarkStart w:id="36091" w:name="_Toc394503782"/>
      <w:bookmarkStart w:id="36092" w:name="_Toc394502738"/>
      <w:bookmarkStart w:id="36093" w:name="_Toc394502871"/>
      <w:bookmarkStart w:id="36094" w:name="_Toc394505945"/>
      <w:bookmarkStart w:id="36095" w:name="_Toc394506200"/>
      <w:bookmarkStart w:id="36096" w:name="_Toc394506404"/>
      <w:bookmarkStart w:id="36097" w:name="_Toc394506538"/>
      <w:bookmarkStart w:id="36098" w:name="_Toc394506958"/>
      <w:bookmarkStart w:id="36099" w:name="_Toc394507092"/>
      <w:bookmarkStart w:id="36100" w:name="_Toc394561031"/>
      <w:bookmarkStart w:id="36101" w:name="_Toc394561169"/>
      <w:bookmarkStart w:id="36102" w:name="_Toc394561492"/>
      <w:bookmarkStart w:id="36103" w:name="_Toc394562002"/>
      <w:bookmarkStart w:id="36104" w:name="_Toc394583018"/>
      <w:bookmarkStart w:id="36105" w:name="_Toc394585689"/>
      <w:bookmarkStart w:id="36106" w:name="_Toc394586155"/>
      <w:bookmarkStart w:id="36107" w:name="_Toc394588087"/>
      <w:bookmarkStart w:id="36108" w:name="_Toc394588922"/>
      <w:bookmarkStart w:id="36109" w:name="_Toc394589047"/>
      <w:bookmarkStart w:id="36110" w:name="_Toc393979255"/>
      <w:r w:rsidRPr="008625DC">
        <w:lastRenderedPageBreak/>
        <w:t xml:space="preserve">Institutional structures for </w:t>
      </w:r>
      <w:r w:rsidR="009E783B" w:rsidRPr="008625DC">
        <w:t xml:space="preserve">future </w:t>
      </w:r>
      <w:r w:rsidRPr="008625DC">
        <w:t xml:space="preserve">competition </w:t>
      </w:r>
      <w:bookmarkEnd w:id="35709"/>
      <w:r w:rsidRPr="008625DC">
        <w:t>policy</w:t>
      </w:r>
      <w:bookmarkEnd w:id="35710"/>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p>
    <w:p w14:paraId="6EE7F4DA" w14:textId="013DF6AF" w:rsidR="008D1638" w:rsidRPr="008625DC" w:rsidRDefault="00153EBE" w:rsidP="00D372B2">
      <w:pPr>
        <w:pStyle w:val="Heading2"/>
        <w:ind w:left="851" w:hanging="851"/>
        <w:rPr>
          <w:smallCaps w:val="0"/>
          <w:lang w:val="en-AU"/>
        </w:rPr>
      </w:pPr>
      <w:bookmarkStart w:id="36111" w:name="_Toc398287375"/>
      <w:bookmarkStart w:id="36112" w:name="_Toc398289258"/>
      <w:bookmarkStart w:id="36113" w:name="_Toc398297255"/>
      <w:bookmarkStart w:id="36114" w:name="_Toc398298729"/>
      <w:bookmarkStart w:id="36115" w:name="_Toc398301327"/>
      <w:bookmarkStart w:id="36116" w:name="_Toc398302512"/>
      <w:bookmarkStart w:id="36117" w:name="_Toc398302675"/>
      <w:bookmarkStart w:id="36118" w:name="_Toc398549189"/>
      <w:bookmarkStart w:id="36119" w:name="_Toc398549439"/>
      <w:bookmarkStart w:id="36120" w:name="_Toc398555858"/>
      <w:bookmarkStart w:id="36121" w:name="_Toc398559062"/>
      <w:bookmarkStart w:id="36122" w:name="_Toc398563548"/>
      <w:bookmarkStart w:id="36123" w:name="_Toc398563681"/>
      <w:bookmarkStart w:id="36124" w:name="_Toc398564080"/>
      <w:bookmarkStart w:id="36125" w:name="_Toc398827418"/>
      <w:bookmarkStart w:id="36126" w:name="_Toc398827612"/>
      <w:r w:rsidRPr="008625DC">
        <w:rPr>
          <w:lang w:val="en-AU"/>
        </w:rPr>
        <w:t>Lessons from NCP</w:t>
      </w:r>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r w:rsidR="001C7749" w:rsidRPr="008625DC">
        <w:rPr>
          <w:smallCaps w:val="0"/>
          <w:lang w:val="en-AU"/>
        </w:rPr>
        <w:t xml:space="preserve"> </w:t>
      </w:r>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p>
    <w:p w14:paraId="52730686" w14:textId="1B2FEB77" w:rsidR="001C7749" w:rsidRPr="008625DC" w:rsidRDefault="00857AAA" w:rsidP="00A622D4">
      <w:pPr>
        <w:spacing w:after="120"/>
      </w:pPr>
      <w:r w:rsidRPr="008625DC">
        <w:t>T</w:t>
      </w:r>
      <w:r w:rsidR="001C7749" w:rsidRPr="008625DC">
        <w:t xml:space="preserve">he NCP </w:t>
      </w:r>
      <w:r w:rsidR="00763C59" w:rsidRPr="008625DC">
        <w:t xml:space="preserve">reforms </w:t>
      </w:r>
      <w:r w:rsidR="001C7749" w:rsidRPr="008625DC">
        <w:t xml:space="preserve">adopted by the Commonwealth and state and territory governments in 1995 went beyond amendments to the </w:t>
      </w:r>
      <w:r w:rsidR="001E749A" w:rsidRPr="008625DC">
        <w:rPr>
          <w:i/>
        </w:rPr>
        <w:t>Competition and Consumer Act 2010</w:t>
      </w:r>
      <w:r w:rsidR="001E749A" w:rsidRPr="008625DC">
        <w:t xml:space="preserve"> (</w:t>
      </w:r>
      <w:r w:rsidR="001C7749" w:rsidRPr="008625DC">
        <w:t>CCA</w:t>
      </w:r>
      <w:r w:rsidR="001E749A" w:rsidRPr="008625DC">
        <w:t>)</w:t>
      </w:r>
      <w:r w:rsidR="001C7749" w:rsidRPr="008625DC">
        <w:t xml:space="preserve"> (then the </w:t>
      </w:r>
      <w:r w:rsidR="000376F5" w:rsidRPr="008625DC">
        <w:rPr>
          <w:i/>
        </w:rPr>
        <w:t>Trade Practices Act</w:t>
      </w:r>
      <w:r w:rsidR="00A622D4" w:rsidRPr="008625DC">
        <w:rPr>
          <w:i/>
        </w:rPr>
        <w:t> </w:t>
      </w:r>
      <w:r w:rsidR="000376F5" w:rsidRPr="008625DC">
        <w:rPr>
          <w:i/>
        </w:rPr>
        <w:t>1974</w:t>
      </w:r>
      <w:r w:rsidR="000376F5" w:rsidRPr="008625DC">
        <w:t xml:space="preserve"> (</w:t>
      </w:r>
      <w:r w:rsidR="001C7749" w:rsidRPr="008625DC">
        <w:t>TPA</w:t>
      </w:r>
      <w:r w:rsidR="000376F5" w:rsidRPr="008625DC">
        <w:t>)</w:t>
      </w:r>
      <w:r w:rsidR="00D521D4" w:rsidRPr="008625DC">
        <w:t>)</w:t>
      </w:r>
      <w:r w:rsidRPr="008625DC">
        <w:t xml:space="preserve"> and</w:t>
      </w:r>
      <w:r w:rsidR="001C7749" w:rsidRPr="008625DC">
        <w:t xml:space="preserve"> included:</w:t>
      </w:r>
    </w:p>
    <w:p w14:paraId="21CE2344" w14:textId="4A000565" w:rsidR="001C7749" w:rsidRPr="008625DC" w:rsidRDefault="001C7749" w:rsidP="00162B2B">
      <w:pPr>
        <w:pStyle w:val="Bullet"/>
      </w:pPr>
      <w:r w:rsidRPr="008625DC">
        <w:t xml:space="preserve">reforms to public monopolies and other government businesses, including structural reforms </w:t>
      </w:r>
      <w:r w:rsidR="00857AAA" w:rsidRPr="008625DC">
        <w:t>and</w:t>
      </w:r>
      <w:r w:rsidRPr="008625DC">
        <w:t xml:space="preserve"> competitive neutrality requirements;</w:t>
      </w:r>
    </w:p>
    <w:p w14:paraId="7C2BA058" w14:textId="4F08F4F7" w:rsidR="001C7749" w:rsidRPr="008625DC" w:rsidRDefault="001C7749" w:rsidP="00162B2B">
      <w:pPr>
        <w:pStyle w:val="Bullet"/>
      </w:pPr>
      <w:r w:rsidRPr="008625DC">
        <w:t xml:space="preserve">a national access regime to provide </w:t>
      </w:r>
      <w:r w:rsidR="00870E3C" w:rsidRPr="008625DC">
        <w:t>third</w:t>
      </w:r>
      <w:r w:rsidR="00C74E19" w:rsidRPr="008625DC">
        <w:noBreakHyphen/>
      </w:r>
      <w:r w:rsidR="00870E3C" w:rsidRPr="008625DC">
        <w:t>party</w:t>
      </w:r>
      <w:r w:rsidRPr="008625DC">
        <w:t xml:space="preserve"> access to essential infrastructure; and </w:t>
      </w:r>
    </w:p>
    <w:p w14:paraId="30B35C76" w14:textId="77777777" w:rsidR="001C7749" w:rsidRPr="008625DC" w:rsidRDefault="001C7749" w:rsidP="00A622D4">
      <w:pPr>
        <w:pStyle w:val="Bullet"/>
        <w:spacing w:after="240"/>
      </w:pPr>
      <w:r w:rsidRPr="008625DC">
        <w:t>a legislation review program to assess whether regulatory restrictions on competition are in the public interest.</w:t>
      </w:r>
    </w:p>
    <w:p w14:paraId="6BEEE485" w14:textId="1C448CAB" w:rsidR="001C7749" w:rsidRPr="008625DC" w:rsidRDefault="00857AAA" w:rsidP="00162B2B">
      <w:r w:rsidRPr="008625DC">
        <w:t>This</w:t>
      </w:r>
      <w:r w:rsidR="001C7749" w:rsidRPr="008625DC">
        <w:t xml:space="preserve"> required a</w:t>
      </w:r>
      <w:r w:rsidR="00084A5C" w:rsidRPr="008625DC">
        <w:t>n economy</w:t>
      </w:r>
      <w:r w:rsidR="00C74E19" w:rsidRPr="008625DC">
        <w:noBreakHyphen/>
      </w:r>
      <w:r w:rsidR="00084A5C" w:rsidRPr="008625DC">
        <w:t>wide</w:t>
      </w:r>
      <w:r w:rsidR="001C7749" w:rsidRPr="008625DC">
        <w:t xml:space="preserve"> reform agenda </w:t>
      </w:r>
      <w:r w:rsidRPr="008625DC">
        <w:t>with a</w:t>
      </w:r>
      <w:r w:rsidR="001C7749" w:rsidRPr="008625DC">
        <w:t xml:space="preserve"> national focus</w:t>
      </w:r>
      <w:r w:rsidRPr="008625DC">
        <w:t>. I</w:t>
      </w:r>
      <w:r w:rsidR="001C7749" w:rsidRPr="008625DC">
        <w:t>t</w:t>
      </w:r>
      <w:r w:rsidRPr="008625DC">
        <w:t xml:space="preserve"> also</w:t>
      </w:r>
      <w:r w:rsidR="001C7749" w:rsidRPr="008625DC">
        <w:t xml:space="preserve"> required action from Commonwealth</w:t>
      </w:r>
      <w:r w:rsidRPr="008625DC">
        <w:t xml:space="preserve"> and</w:t>
      </w:r>
      <w:r w:rsidR="001C7749" w:rsidRPr="008625DC">
        <w:t xml:space="preserve"> state and territory governments, at times in concert (for example</w:t>
      </w:r>
      <w:r w:rsidR="00E92618" w:rsidRPr="008625DC">
        <w:t>,</w:t>
      </w:r>
      <w:r w:rsidR="001C7749" w:rsidRPr="008625DC">
        <w:t xml:space="preserve"> the creation of a national energy market) but more frequently </w:t>
      </w:r>
      <w:r w:rsidRPr="008625DC">
        <w:t>required</w:t>
      </w:r>
      <w:r w:rsidR="001C7749" w:rsidRPr="008625DC">
        <w:t xml:space="preserve"> individual governments to make or amend their own laws </w:t>
      </w:r>
      <w:r w:rsidR="00E92618" w:rsidRPr="008625DC">
        <w:t>(</w:t>
      </w:r>
      <w:r w:rsidR="001C7749" w:rsidRPr="008625DC">
        <w:t>for example</w:t>
      </w:r>
      <w:r w:rsidR="00E92618" w:rsidRPr="008625DC">
        <w:t>,</w:t>
      </w:r>
      <w:r w:rsidR="001C7749" w:rsidRPr="008625DC">
        <w:t xml:space="preserve"> the legislation review program and structural reforms to public monopolies</w:t>
      </w:r>
      <w:r w:rsidR="00E92618" w:rsidRPr="008625DC">
        <w:t>)</w:t>
      </w:r>
      <w:r w:rsidR="001C7749" w:rsidRPr="008625DC">
        <w:t xml:space="preserve">. </w:t>
      </w:r>
    </w:p>
    <w:p w14:paraId="475350C8" w14:textId="3E9E6AF3" w:rsidR="00153EBE" w:rsidRPr="008625DC" w:rsidRDefault="00153EBE" w:rsidP="00A622D4">
      <w:pPr>
        <w:spacing w:after="120"/>
      </w:pPr>
      <w:r w:rsidRPr="008625DC">
        <w:t>To reflect this national, economy</w:t>
      </w:r>
      <w:r w:rsidR="00C74E19" w:rsidRPr="008625DC">
        <w:noBreakHyphen/>
      </w:r>
      <w:r w:rsidRPr="008625DC">
        <w:t xml:space="preserve">wide focus, the </w:t>
      </w:r>
      <w:r w:rsidR="001E749A" w:rsidRPr="008625DC">
        <w:t>i</w:t>
      </w:r>
      <w:r w:rsidRPr="008625DC">
        <w:t>ntergovernmental agreements between the Commonwealth and the state and territory governments that underpinned NCP contained a number of governance arrangements including:</w:t>
      </w:r>
    </w:p>
    <w:p w14:paraId="624EE5A4" w14:textId="63B99539" w:rsidR="00153EBE" w:rsidRPr="008625DC" w:rsidRDefault="00153EBE" w:rsidP="00162B2B">
      <w:pPr>
        <w:pStyle w:val="Bullet"/>
      </w:pPr>
      <w:r w:rsidRPr="008625DC">
        <w:t xml:space="preserve">the agreement to a set of competition </w:t>
      </w:r>
      <w:r w:rsidR="008866A4" w:rsidRPr="008625DC">
        <w:t>elements</w:t>
      </w:r>
      <w:r w:rsidRPr="008625DC">
        <w:t>, with each jurisdiction determining its own priorities and undertaking its own legislation review program;</w:t>
      </w:r>
    </w:p>
    <w:p w14:paraId="344931C4" w14:textId="3AD9F4D1" w:rsidR="001C7749" w:rsidRPr="008625DC" w:rsidRDefault="001C7749" w:rsidP="00162B2B">
      <w:pPr>
        <w:pStyle w:val="Bullet"/>
      </w:pPr>
      <w:r w:rsidRPr="008625DC">
        <w:t xml:space="preserve">the establishment of the </w:t>
      </w:r>
      <w:r w:rsidR="00E50827" w:rsidRPr="008625DC">
        <w:t>NCC</w:t>
      </w:r>
      <w:r w:rsidRPr="008625DC">
        <w:t xml:space="preserve"> that prepared public assessments of the performance of </w:t>
      </w:r>
      <w:r w:rsidR="00857AAA" w:rsidRPr="008625DC">
        <w:t>all</w:t>
      </w:r>
      <w:r w:rsidRPr="008625DC">
        <w:t xml:space="preserve"> governments in meeting the</w:t>
      </w:r>
      <w:r w:rsidR="00857AAA" w:rsidRPr="008625DC">
        <w:t>ir NCP</w:t>
      </w:r>
      <w:r w:rsidRPr="008625DC">
        <w:t xml:space="preserve"> commitments and provided advice to the Commonwealth Treasurer on competition payments to the </w:t>
      </w:r>
      <w:r w:rsidR="008866A4" w:rsidRPr="008625DC">
        <w:t>S</w:t>
      </w:r>
      <w:r w:rsidR="00153EBE" w:rsidRPr="008625DC">
        <w:t>tates</w:t>
      </w:r>
      <w:r w:rsidRPr="008625DC">
        <w:t xml:space="preserve"> and </w:t>
      </w:r>
      <w:r w:rsidR="008866A4" w:rsidRPr="008625DC">
        <w:t>T</w:t>
      </w:r>
      <w:r w:rsidR="00153EBE" w:rsidRPr="008625DC">
        <w:t>erritories.</w:t>
      </w:r>
      <w:r w:rsidRPr="008625DC">
        <w:t xml:space="preserve"> The NCC also provides recommendations to Commonwealth and state and territory ministers in relation to </w:t>
      </w:r>
      <w:r w:rsidR="00870E3C" w:rsidRPr="008625DC">
        <w:t>third</w:t>
      </w:r>
      <w:r w:rsidR="00C74E19" w:rsidRPr="008625DC">
        <w:noBreakHyphen/>
      </w:r>
      <w:r w:rsidR="00870E3C" w:rsidRPr="008625DC">
        <w:t>party</w:t>
      </w:r>
      <w:r w:rsidRPr="008625DC">
        <w:t xml:space="preserve"> access to infrastructure</w:t>
      </w:r>
      <w:r w:rsidR="0015438E" w:rsidRPr="008625DC">
        <w:t>; and</w:t>
      </w:r>
    </w:p>
    <w:p w14:paraId="2545A80B" w14:textId="1868FC9D" w:rsidR="0015438E" w:rsidRPr="008625DC" w:rsidRDefault="0015438E" w:rsidP="00A622D4">
      <w:pPr>
        <w:pStyle w:val="Bullet"/>
        <w:spacing w:after="240"/>
      </w:pPr>
      <w:r w:rsidRPr="008625DC">
        <w:t xml:space="preserve">competition payments from the Commonwealth to the States and Territories in recognition that </w:t>
      </w:r>
      <w:r w:rsidR="00E92618" w:rsidRPr="008625DC">
        <w:t xml:space="preserve">the </w:t>
      </w:r>
      <w:r w:rsidRPr="008625DC">
        <w:t xml:space="preserve">Commonwealth would </w:t>
      </w:r>
      <w:r w:rsidR="00857AAA" w:rsidRPr="008625DC">
        <w:t xml:space="preserve">gain more </w:t>
      </w:r>
      <w:r w:rsidRPr="008625DC">
        <w:t xml:space="preserve">revenue </w:t>
      </w:r>
      <w:r w:rsidR="00857AAA" w:rsidRPr="008625DC">
        <w:t xml:space="preserve">than </w:t>
      </w:r>
      <w:r w:rsidR="00E92618" w:rsidRPr="008625DC">
        <w:t>the States and Territories</w:t>
      </w:r>
      <w:r w:rsidRPr="008625DC">
        <w:t xml:space="preserve"> from </w:t>
      </w:r>
      <w:r w:rsidR="00857AAA" w:rsidRPr="008625DC">
        <w:t>the</w:t>
      </w:r>
      <w:r w:rsidRPr="008625DC">
        <w:t xml:space="preserve"> reforms.</w:t>
      </w:r>
      <w:r w:rsidRPr="008625DC">
        <w:rPr>
          <w:vertAlign w:val="superscript"/>
        </w:rPr>
        <w:footnoteReference w:id="391"/>
      </w:r>
    </w:p>
    <w:p w14:paraId="7706F8C7" w14:textId="4BAF4EF5" w:rsidR="001C7749" w:rsidRPr="008625DC" w:rsidRDefault="001C7749" w:rsidP="00A622D4">
      <w:pPr>
        <w:spacing w:after="120"/>
      </w:pPr>
      <w:r w:rsidRPr="008625DC">
        <w:t xml:space="preserve">As the PC noted in its 2005 </w:t>
      </w:r>
      <w:r w:rsidR="0015438E" w:rsidRPr="008625DC">
        <w:t>Review of National Competition Policy Reforms</w:t>
      </w:r>
      <w:r w:rsidRPr="008625DC">
        <w:t>:</w:t>
      </w:r>
    </w:p>
    <w:p w14:paraId="6182DC8F" w14:textId="77777777" w:rsidR="001C7749" w:rsidRPr="008625DC" w:rsidRDefault="001C7749" w:rsidP="00153EBE">
      <w:pPr>
        <w:ind w:left="567" w:right="425"/>
        <w:rPr>
          <w:color w:val="595959" w:themeColor="text1" w:themeTint="A6"/>
        </w:rPr>
      </w:pPr>
      <w:r w:rsidRPr="008625DC">
        <w:rPr>
          <w:color w:val="595959" w:themeColor="text1" w:themeTint="A6"/>
        </w:rPr>
        <w:t>Distinguishing features of NCP were its national focus, extensive agenda, agreed framework of reform principles, commitments to timeframes, with contingent financial payments from the Australian Government to the States and Territories.</w:t>
      </w:r>
      <w:r w:rsidRPr="008625DC">
        <w:rPr>
          <w:color w:val="595959" w:themeColor="text1" w:themeTint="A6"/>
          <w:vertAlign w:val="superscript"/>
        </w:rPr>
        <w:footnoteReference w:id="392"/>
      </w:r>
    </w:p>
    <w:p w14:paraId="48702C42" w14:textId="161BE176" w:rsidR="001C7749" w:rsidRPr="008625DC" w:rsidRDefault="00857AAA" w:rsidP="00162B2B">
      <w:r w:rsidRPr="008625DC">
        <w:lastRenderedPageBreak/>
        <w:t>A</w:t>
      </w:r>
      <w:r w:rsidR="001C7749" w:rsidRPr="008625DC">
        <w:t xml:space="preserve"> number of submissions </w:t>
      </w:r>
      <w:r w:rsidR="008C4E5B" w:rsidRPr="008625DC">
        <w:t>state</w:t>
      </w:r>
      <w:r w:rsidR="001C7749" w:rsidRPr="008625DC">
        <w:t xml:space="preserve"> that an explicit institutional framework will again be necessary to </w:t>
      </w:r>
      <w:r w:rsidR="00E92618" w:rsidRPr="008625DC">
        <w:t>progress</w:t>
      </w:r>
      <w:r w:rsidR="001C7749" w:rsidRPr="008625DC">
        <w:t xml:space="preserve"> </w:t>
      </w:r>
      <w:r w:rsidRPr="008625DC">
        <w:t>the</w:t>
      </w:r>
      <w:r w:rsidR="001C7749" w:rsidRPr="008625DC">
        <w:t xml:space="preserve"> competition</w:t>
      </w:r>
      <w:r w:rsidRPr="008625DC">
        <w:t xml:space="preserve"> policy agenda</w:t>
      </w:r>
      <w:r w:rsidR="00F47248" w:rsidRPr="008625DC">
        <w:t xml:space="preserve"> (for example, BCA</w:t>
      </w:r>
      <w:r w:rsidR="00985C8E" w:rsidRPr="008625DC">
        <w:t xml:space="preserve"> Summary Report</w:t>
      </w:r>
      <w:r w:rsidR="00F47248" w:rsidRPr="008625DC">
        <w:t>, page 26 and NSW Government, page 10)</w:t>
      </w:r>
      <w:r w:rsidR="001C7749" w:rsidRPr="008625DC">
        <w:t>.</w:t>
      </w:r>
      <w:r w:rsidR="00787DCF" w:rsidRPr="008625DC">
        <w:t xml:space="preserve"> </w:t>
      </w:r>
    </w:p>
    <w:p w14:paraId="125EAEF4" w14:textId="5C8F91A3" w:rsidR="001C7749" w:rsidRPr="008625DC" w:rsidRDefault="001C7749" w:rsidP="00162B2B">
      <w:r w:rsidRPr="008625DC">
        <w:t xml:space="preserve">The Panel agrees that establishing institutional arrangements to implement </w:t>
      </w:r>
      <w:r w:rsidR="00857AAA" w:rsidRPr="008625DC">
        <w:t>the</w:t>
      </w:r>
      <w:r w:rsidRPr="008625DC">
        <w:t xml:space="preserve"> reform agenda coming out of this Review will be crucial</w:t>
      </w:r>
      <w:r w:rsidR="00A50D77" w:rsidRPr="008625DC">
        <w:t xml:space="preserve"> to reinvigorating competition policy</w:t>
      </w:r>
      <w:r w:rsidR="00857AAA" w:rsidRPr="008625DC">
        <w:t>.</w:t>
      </w:r>
      <w:r w:rsidRPr="008625DC">
        <w:t xml:space="preserve"> The views put to the Panel are in general agreement that the lessons from NCP demonstrate the importance of an institutional framework to deliver </w:t>
      </w:r>
      <w:r w:rsidR="00084A5C" w:rsidRPr="008625DC">
        <w:t>competition policy</w:t>
      </w:r>
      <w:r w:rsidRPr="008625DC">
        <w:t xml:space="preserve"> reform. </w:t>
      </w:r>
    </w:p>
    <w:p w14:paraId="35F31CE6" w14:textId="3949A6E1" w:rsidR="001C7749" w:rsidRPr="008625DC" w:rsidRDefault="00E5600C" w:rsidP="00D372B2">
      <w:pPr>
        <w:pStyle w:val="Heading2"/>
        <w:ind w:left="851" w:hanging="851"/>
        <w:rPr>
          <w:lang w:val="en-AU"/>
        </w:rPr>
      </w:pPr>
      <w:bookmarkStart w:id="36127" w:name="_Toc398281381"/>
      <w:bookmarkStart w:id="36128" w:name="_Toc398282240"/>
      <w:bookmarkStart w:id="36129" w:name="_Toc398287376"/>
      <w:bookmarkStart w:id="36130" w:name="_Toc398289259"/>
      <w:bookmarkStart w:id="36131" w:name="_Toc398297256"/>
      <w:bookmarkStart w:id="36132" w:name="_Toc398298730"/>
      <w:bookmarkStart w:id="36133" w:name="_Toc398301328"/>
      <w:bookmarkStart w:id="36134" w:name="_Toc398302513"/>
      <w:bookmarkStart w:id="36135" w:name="_Toc398302676"/>
      <w:bookmarkStart w:id="36136" w:name="_Toc398549190"/>
      <w:bookmarkStart w:id="36137" w:name="_Toc398549440"/>
      <w:bookmarkStart w:id="36138" w:name="_Toc398555859"/>
      <w:bookmarkStart w:id="36139" w:name="_Toc398559063"/>
      <w:bookmarkStart w:id="36140" w:name="_Toc398563549"/>
      <w:bookmarkStart w:id="36141" w:name="_Toc398563682"/>
      <w:bookmarkStart w:id="36142" w:name="_Toc398564081"/>
      <w:bookmarkStart w:id="36143" w:name="_Toc398827419"/>
      <w:bookmarkStart w:id="36144" w:name="_Toc398827613"/>
      <w:r w:rsidRPr="008625DC">
        <w:rPr>
          <w:lang w:val="en-AU"/>
        </w:rPr>
        <w:t>A national approach to competition p</w:t>
      </w:r>
      <w:r w:rsidR="00F0345B" w:rsidRPr="008625DC">
        <w:rPr>
          <w:lang w:val="en-AU"/>
        </w:rPr>
        <w:t>olicy</w:t>
      </w:r>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bookmarkEnd w:id="36140"/>
      <w:bookmarkEnd w:id="36141"/>
      <w:bookmarkEnd w:id="36142"/>
      <w:bookmarkEnd w:id="36143"/>
      <w:bookmarkEnd w:id="36144"/>
    </w:p>
    <w:p w14:paraId="477F7800" w14:textId="03800D21" w:rsidR="001048A1" w:rsidRPr="008625DC" w:rsidRDefault="001C7749" w:rsidP="00162B2B">
      <w:pPr>
        <w:pStyle w:val="Heading3"/>
      </w:pPr>
      <w:r w:rsidRPr="008625DC">
        <w:t>A national approach</w:t>
      </w:r>
      <w:r w:rsidR="001048A1" w:rsidRPr="008625DC">
        <w:t xml:space="preserve"> </w:t>
      </w:r>
    </w:p>
    <w:p w14:paraId="48E2E0A8" w14:textId="7DFA03BE" w:rsidR="00153EBE" w:rsidRPr="008625DC" w:rsidRDefault="00153EBE" w:rsidP="00162B2B">
      <w:r w:rsidRPr="008625DC">
        <w:t>Submissions from businesses, consumers and government argue that the national, intergovernmental approach adopted under NCP must be reinvigorated and that this requires an institutional competition policy adviser.</w:t>
      </w:r>
    </w:p>
    <w:p w14:paraId="42D1582F" w14:textId="77777777" w:rsidR="00153EBE" w:rsidRPr="008625DC" w:rsidRDefault="00153EBE" w:rsidP="00162B2B">
      <w:r w:rsidRPr="008625DC">
        <w:t>But the national approach under NCP was importantly accompanied by flexibility provided to each jurisdiction to determine its priorities consistent with the agreed competition policy principles.</w:t>
      </w:r>
    </w:p>
    <w:p w14:paraId="7C11ABC8" w14:textId="2F80EA8B" w:rsidR="001C7749" w:rsidRPr="008625DC" w:rsidRDefault="001C7749" w:rsidP="00162B2B">
      <w:r w:rsidRPr="008625DC">
        <w:t xml:space="preserve">The issues that </w:t>
      </w:r>
      <w:r w:rsidR="00F77958" w:rsidRPr="008625DC">
        <w:t xml:space="preserve">have been highlighted in this Draft Report </w:t>
      </w:r>
      <w:r w:rsidRPr="008625DC">
        <w:t xml:space="preserve">fall </w:t>
      </w:r>
      <w:r w:rsidR="00E92618" w:rsidRPr="008625DC">
        <w:t>under</w:t>
      </w:r>
      <w:r w:rsidRPr="008625DC">
        <w:t xml:space="preserve"> the responsibility of all three levels of government</w:t>
      </w:r>
      <w:r w:rsidR="00380141" w:rsidRPr="008625DC">
        <w:t xml:space="preserve"> — </w:t>
      </w:r>
      <w:r w:rsidRPr="008625DC">
        <w:t>Commonwealth, state and territory and local government. There are also a number of areas that will require a cross</w:t>
      </w:r>
      <w:r w:rsidR="00C74E19" w:rsidRPr="008625DC">
        <w:noBreakHyphen/>
      </w:r>
      <w:r w:rsidRPr="008625DC">
        <w:t>jurisdictional approach.</w:t>
      </w:r>
      <w:r w:rsidR="00787DCF" w:rsidRPr="008625DC">
        <w:t xml:space="preserve"> </w:t>
      </w:r>
    </w:p>
    <w:p w14:paraId="4CF81C6E" w14:textId="4F5F63CE" w:rsidR="001C7749" w:rsidRPr="008625DC" w:rsidRDefault="001C7749" w:rsidP="00162B2B">
      <w:r w:rsidRPr="008625DC">
        <w:t xml:space="preserve">But the </w:t>
      </w:r>
      <w:r w:rsidR="00C74E19" w:rsidRPr="008625DC">
        <w:t>‘</w:t>
      </w:r>
      <w:r w:rsidRPr="008625DC">
        <w:t>starting point</w:t>
      </w:r>
      <w:r w:rsidR="00C74E19" w:rsidRPr="008625DC">
        <w:t>’</w:t>
      </w:r>
      <w:r w:rsidRPr="008625DC">
        <w:t xml:space="preserve"> for reform </w:t>
      </w:r>
      <w:r w:rsidR="00857AAA" w:rsidRPr="008625DC">
        <w:t>varies</w:t>
      </w:r>
      <w:r w:rsidRPr="008625DC">
        <w:t xml:space="preserve"> across jurisdictions.</w:t>
      </w:r>
      <w:r w:rsidR="00787DCF" w:rsidRPr="008625DC">
        <w:t xml:space="preserve"> </w:t>
      </w:r>
      <w:r w:rsidRPr="008625DC">
        <w:t xml:space="preserve">Reflecting the different structural features of the </w:t>
      </w:r>
      <w:r w:rsidR="00E92618" w:rsidRPr="008625DC">
        <w:t>s</w:t>
      </w:r>
      <w:r w:rsidRPr="008625DC">
        <w:t xml:space="preserve">tate </w:t>
      </w:r>
      <w:r w:rsidR="00E92618" w:rsidRPr="008625DC">
        <w:t>and territory</w:t>
      </w:r>
      <w:r w:rsidRPr="008625DC">
        <w:t xml:space="preserve"> economies and different cultural and social priorities</w:t>
      </w:r>
      <w:r w:rsidR="00031F7E" w:rsidRPr="008625DC">
        <w:t>,</w:t>
      </w:r>
      <w:r w:rsidRPr="008625DC">
        <w:t xml:space="preserve"> progress under NCP varied across the jurisdictions.</w:t>
      </w:r>
      <w:r w:rsidR="00787DCF" w:rsidRPr="008625DC">
        <w:t xml:space="preserve"> </w:t>
      </w:r>
      <w:r w:rsidRPr="008625DC">
        <w:t>This is reflected both in the issues that the jurisdictions sought to prioritise and their level of success in achieving outcomes.</w:t>
      </w:r>
      <w:r w:rsidR="00787DCF" w:rsidRPr="008625DC">
        <w:t xml:space="preserve"> </w:t>
      </w:r>
      <w:r w:rsidRPr="008625DC">
        <w:t xml:space="preserve">These differences will also affect the priorities that the jurisdictions seek to pursue going forward. </w:t>
      </w:r>
    </w:p>
    <w:p w14:paraId="65677CB4" w14:textId="2BD45A46" w:rsidR="001C7749" w:rsidRPr="008625DC" w:rsidRDefault="00857AAA" w:rsidP="00162B2B">
      <w:r w:rsidRPr="008625DC">
        <w:t>S</w:t>
      </w:r>
      <w:r w:rsidR="001C7749" w:rsidRPr="008625DC">
        <w:t xml:space="preserve">uccessful </w:t>
      </w:r>
      <w:r w:rsidRPr="008625DC">
        <w:t>competition policy</w:t>
      </w:r>
      <w:r w:rsidR="001C7749" w:rsidRPr="008625DC">
        <w:t xml:space="preserve"> reform will require commitment and effort from all three levels of government. While there may be a leadership role for the Commonwealth in addition to taking action in its own sphere, </w:t>
      </w:r>
      <w:r w:rsidRPr="008625DC">
        <w:t>leadership will also be required from</w:t>
      </w:r>
      <w:r w:rsidR="001C7749" w:rsidRPr="008625DC">
        <w:t xml:space="preserve"> the States and Territories and local government.</w:t>
      </w:r>
    </w:p>
    <w:p w14:paraId="522C6816" w14:textId="198955BB" w:rsidR="00073983" w:rsidRPr="008625DC" w:rsidRDefault="00073983" w:rsidP="00162B2B">
      <w:pPr>
        <w:pStyle w:val="Heading3"/>
      </w:pPr>
      <w:r w:rsidRPr="008625DC">
        <w:t xml:space="preserve">Independent </w:t>
      </w:r>
      <w:r w:rsidR="007D70B0" w:rsidRPr="008625DC">
        <w:t>competition policy a</w:t>
      </w:r>
      <w:r w:rsidR="00C0797F" w:rsidRPr="008625DC">
        <w:t>dvice</w:t>
      </w:r>
    </w:p>
    <w:p w14:paraId="77F2D4FC" w14:textId="77777777" w:rsidR="001C7749" w:rsidRPr="008625DC" w:rsidRDefault="001C7749" w:rsidP="00162B2B">
      <w:r w:rsidRPr="008625DC">
        <w:t xml:space="preserve">The independence of the </w:t>
      </w:r>
      <w:r w:rsidR="00B701AA" w:rsidRPr="008625DC">
        <w:t>NCC</w:t>
      </w:r>
      <w:r w:rsidRPr="008625DC">
        <w:t xml:space="preserve"> was </w:t>
      </w:r>
      <w:r w:rsidR="00857AAA" w:rsidRPr="008625DC">
        <w:t>seen</w:t>
      </w:r>
      <w:r w:rsidRPr="008625DC">
        <w:t xml:space="preserve"> as an important contributor to the success of NCP and </w:t>
      </w:r>
      <w:r w:rsidRPr="008625DC" w:rsidDel="00100F10">
        <w:t xml:space="preserve">identified as </w:t>
      </w:r>
      <w:r w:rsidRPr="008625DC">
        <w:t xml:space="preserve">an equally important component of any institutional arrangements put in place to drive </w:t>
      </w:r>
      <w:r w:rsidR="00857AAA" w:rsidRPr="008625DC">
        <w:t>future competition policy</w:t>
      </w:r>
      <w:r w:rsidRPr="008625DC">
        <w:t>.</w:t>
      </w:r>
      <w:r w:rsidR="00787DCF" w:rsidRPr="008625DC">
        <w:t xml:space="preserve"> </w:t>
      </w:r>
    </w:p>
    <w:p w14:paraId="1E2939B6" w14:textId="67F3D433" w:rsidR="001C7749" w:rsidRPr="008625DC" w:rsidRDefault="001C7749" w:rsidP="00A622D4">
      <w:pPr>
        <w:spacing w:after="120"/>
      </w:pPr>
      <w:r w:rsidRPr="008625DC">
        <w:t xml:space="preserve">There </w:t>
      </w:r>
      <w:r w:rsidR="00E92618" w:rsidRPr="008625DC">
        <w:t>are</w:t>
      </w:r>
      <w:r w:rsidRPr="008625DC">
        <w:t xml:space="preserve"> arguments put </w:t>
      </w:r>
      <w:r w:rsidR="00B70519" w:rsidRPr="008625DC">
        <w:t xml:space="preserve">in submissions </w:t>
      </w:r>
      <w:r w:rsidRPr="008625DC">
        <w:t>for a broad role to be performed by such a body. The NSW Government set</w:t>
      </w:r>
      <w:r w:rsidR="00E92618" w:rsidRPr="008625DC">
        <w:t>s</w:t>
      </w:r>
      <w:r w:rsidRPr="008625DC">
        <w:t xml:space="preserve"> out a number of roles for an independent body:</w:t>
      </w:r>
    </w:p>
    <w:p w14:paraId="2E97B8EF" w14:textId="77777777" w:rsidR="001C7749" w:rsidRPr="008625DC" w:rsidRDefault="001C7749" w:rsidP="00162B2B">
      <w:pPr>
        <w:pStyle w:val="Bullet"/>
      </w:pPr>
      <w:r w:rsidRPr="008625DC">
        <w:t>independent monitoring of progress in implementing reforms;</w:t>
      </w:r>
    </w:p>
    <w:p w14:paraId="0D9E7D0C" w14:textId="77777777" w:rsidR="001C7749" w:rsidRPr="008625DC" w:rsidRDefault="001C7749" w:rsidP="00162B2B">
      <w:pPr>
        <w:pStyle w:val="Bullet"/>
      </w:pPr>
      <w:r w:rsidRPr="008625DC">
        <w:t>periodically identifying areas for competition reform across all levels of government;</w:t>
      </w:r>
    </w:p>
    <w:p w14:paraId="142FEF22" w14:textId="77777777" w:rsidR="001C7749" w:rsidRPr="008625DC" w:rsidRDefault="001C7749" w:rsidP="00162B2B">
      <w:pPr>
        <w:pStyle w:val="Bullet"/>
      </w:pPr>
      <w:r w:rsidRPr="008625DC">
        <w:t>making recommendations to governments on areas of reform; and</w:t>
      </w:r>
    </w:p>
    <w:p w14:paraId="0DF5A08E" w14:textId="040FEF76" w:rsidR="001C7749" w:rsidRPr="008625DC" w:rsidRDefault="001C7749" w:rsidP="00A622D4">
      <w:pPr>
        <w:pStyle w:val="Bullet"/>
        <w:spacing w:after="240"/>
      </w:pPr>
      <w:r w:rsidRPr="008625DC">
        <w:t>playing an advocacy role.</w:t>
      </w:r>
      <w:r w:rsidR="001E749A" w:rsidRPr="008625DC">
        <w:t xml:space="preserve"> (pages 10</w:t>
      </w:r>
      <w:r w:rsidR="001E749A" w:rsidRPr="008625DC">
        <w:noBreakHyphen/>
        <w:t>11)</w:t>
      </w:r>
    </w:p>
    <w:p w14:paraId="15B59F44" w14:textId="209DB917" w:rsidR="001C7749" w:rsidRPr="008625DC" w:rsidRDefault="00857AAA" w:rsidP="00162B2B">
      <w:r w:rsidRPr="008625DC">
        <w:t>All</w:t>
      </w:r>
      <w:r w:rsidR="001C7749" w:rsidRPr="008625DC">
        <w:t xml:space="preserve"> </w:t>
      </w:r>
      <w:r w:rsidR="00B70519" w:rsidRPr="008625DC">
        <w:t>submissions made on this issue</w:t>
      </w:r>
      <w:r w:rsidR="001C7749" w:rsidRPr="008625DC">
        <w:t xml:space="preserve"> </w:t>
      </w:r>
      <w:r w:rsidRPr="008625DC">
        <w:t>stress</w:t>
      </w:r>
      <w:r w:rsidR="001C7749" w:rsidRPr="008625DC">
        <w:t xml:space="preserve"> the need for </w:t>
      </w:r>
      <w:r w:rsidR="00C0797F" w:rsidRPr="008625DC">
        <w:t>independence</w:t>
      </w:r>
      <w:r w:rsidR="00380141" w:rsidRPr="008625DC">
        <w:t xml:space="preserve"> — </w:t>
      </w:r>
      <w:r w:rsidR="001C7749" w:rsidRPr="008625DC">
        <w:t xml:space="preserve">that </w:t>
      </w:r>
      <w:r w:rsidRPr="008625DC">
        <w:t xml:space="preserve">the </w:t>
      </w:r>
      <w:r w:rsidR="001C7749" w:rsidRPr="008625DC">
        <w:t xml:space="preserve">functions </w:t>
      </w:r>
      <w:r w:rsidRPr="008625DC">
        <w:t xml:space="preserve">which </w:t>
      </w:r>
      <w:r w:rsidR="001C7749" w:rsidRPr="008625DC">
        <w:t xml:space="preserve">could also be performed by existing bodies or by a specially created one be separate from the policy and/or regulatory bodies that would be </w:t>
      </w:r>
      <w:r w:rsidR="00DE0539" w:rsidRPr="008625DC">
        <w:t>carrying out or regulating the specific</w:t>
      </w:r>
      <w:r w:rsidR="001C7749" w:rsidRPr="008625DC">
        <w:t xml:space="preserve"> reforms.</w:t>
      </w:r>
    </w:p>
    <w:p w14:paraId="503A9A35" w14:textId="5F7D6FE9" w:rsidR="00AC0987" w:rsidRPr="008625DC" w:rsidRDefault="001C7749" w:rsidP="00A622D4">
      <w:pPr>
        <w:spacing w:after="120"/>
      </w:pPr>
      <w:r w:rsidRPr="008625DC">
        <w:lastRenderedPageBreak/>
        <w:t>The Panel also considers that transparency will be as important as independence</w:t>
      </w:r>
      <w:r w:rsidR="00AC0987" w:rsidRPr="008625DC">
        <w:t xml:space="preserve">. Transparency ensures that </w:t>
      </w:r>
      <w:r w:rsidR="001851B9" w:rsidRPr="008625DC">
        <w:t>decisions</w:t>
      </w:r>
      <w:r w:rsidR="00AC0987" w:rsidRPr="008625DC">
        <w:t xml:space="preserve"> and processes are open to public scrutiny. The PC</w:t>
      </w:r>
      <w:r w:rsidR="001851B9" w:rsidRPr="008625DC">
        <w:t xml:space="preserve"> </w:t>
      </w:r>
      <w:r w:rsidR="008C4E5B" w:rsidRPr="008625DC">
        <w:t>discusses</w:t>
      </w:r>
      <w:r w:rsidR="00AC0987" w:rsidRPr="008625DC">
        <w:t xml:space="preserve"> some of the benefits of a transparent process, including that it can </w:t>
      </w:r>
      <w:r w:rsidR="00E92618" w:rsidRPr="008625DC">
        <w:t>aid</w:t>
      </w:r>
      <w:r w:rsidR="00AC0987" w:rsidRPr="008625DC">
        <w:t xml:space="preserve"> public understand</w:t>
      </w:r>
      <w:r w:rsidR="00E92618" w:rsidRPr="008625DC">
        <w:t>ing</w:t>
      </w:r>
      <w:r w:rsidR="00AC0987" w:rsidRPr="008625DC">
        <w:t xml:space="preserve"> </w:t>
      </w:r>
      <w:r w:rsidR="00E92618" w:rsidRPr="008625DC">
        <w:t xml:space="preserve">of </w:t>
      </w:r>
      <w:r w:rsidR="00AC0987" w:rsidRPr="008625DC">
        <w:t>the benefits of reform:</w:t>
      </w:r>
    </w:p>
    <w:p w14:paraId="5CA4DE25" w14:textId="02B7F84F" w:rsidR="00AC0987" w:rsidRPr="008625DC" w:rsidRDefault="00AC0987" w:rsidP="00162B2B">
      <w:pPr>
        <w:pStyle w:val="Quotes"/>
      </w:pPr>
      <w:r w:rsidRPr="008625DC">
        <w:t>A properly constructed, transparent review process can generate stakeholder engagement and promote public awareness and acceptance of the need for reform, the issues and trade</w:t>
      </w:r>
      <w:r w:rsidR="00C74E19" w:rsidRPr="008625DC">
        <w:noBreakHyphen/>
      </w:r>
      <w:r w:rsidRPr="008625DC">
        <w:t>offs associated with different policy approaches, and the resultant community wide benefits</w:t>
      </w:r>
      <w:r w:rsidR="00192D8D" w:rsidRPr="008625DC">
        <w:t>.</w:t>
      </w:r>
      <w:r w:rsidRPr="008625DC">
        <w:t xml:space="preserve"> (</w:t>
      </w:r>
      <w:r w:rsidR="00AA380B" w:rsidRPr="008625DC">
        <w:t xml:space="preserve">page </w:t>
      </w:r>
      <w:r w:rsidRPr="008625DC">
        <w:t>10)</w:t>
      </w:r>
    </w:p>
    <w:p w14:paraId="697C6DBD" w14:textId="3AE4030B" w:rsidR="001851B9" w:rsidRPr="008625DC" w:rsidRDefault="001851B9" w:rsidP="00162B2B">
      <w:r w:rsidRPr="008625DC">
        <w:t xml:space="preserve">Drawing on its past experience in implementing NCP, the NCC notes that assessment and accountability processes, including </w:t>
      </w:r>
      <w:r w:rsidR="00C61A27" w:rsidRPr="008625DC">
        <w:t>transparency</w:t>
      </w:r>
      <w:r w:rsidRPr="008625DC">
        <w:t>, w</w:t>
      </w:r>
      <w:r w:rsidR="00E92618" w:rsidRPr="008625DC">
        <w:t>ere</w:t>
      </w:r>
      <w:r w:rsidRPr="008625DC">
        <w:t xml:space="preserve"> one of three key </w:t>
      </w:r>
      <w:r w:rsidR="00C61A27" w:rsidRPr="008625DC">
        <w:t>elements</w:t>
      </w:r>
      <w:r w:rsidRPr="008625DC">
        <w:t xml:space="preserve"> behind the success of NCP</w:t>
      </w:r>
      <w:r w:rsidR="00AF68B0" w:rsidRPr="008625DC">
        <w:t xml:space="preserve"> (</w:t>
      </w:r>
      <w:r w:rsidR="00AA380B" w:rsidRPr="008625DC">
        <w:t xml:space="preserve">page </w:t>
      </w:r>
      <w:r w:rsidR="00AF68B0" w:rsidRPr="008625DC">
        <w:t>7).</w:t>
      </w:r>
    </w:p>
    <w:p w14:paraId="2790A00F" w14:textId="11010CAF" w:rsidR="003A66F4" w:rsidRPr="008625DC" w:rsidRDefault="001476DA" w:rsidP="00162B2B">
      <w:r w:rsidRPr="008625DC">
        <w:t>Given the wide</w:t>
      </w:r>
      <w:r w:rsidR="00C74E19" w:rsidRPr="008625DC">
        <w:noBreakHyphen/>
      </w:r>
      <w:r w:rsidRPr="008625DC">
        <w:t xml:space="preserve">ranging </w:t>
      </w:r>
      <w:r w:rsidR="00DE0539" w:rsidRPr="008625DC">
        <w:t>potential</w:t>
      </w:r>
      <w:r w:rsidRPr="008625DC">
        <w:t xml:space="preserve"> impacts of competition policy on both consumers and businesses, </w:t>
      </w:r>
      <w:r w:rsidR="00DE0539" w:rsidRPr="008625DC">
        <w:t>both advocacy and education</w:t>
      </w:r>
      <w:r w:rsidR="008866A4" w:rsidRPr="008625DC">
        <w:t>,</w:t>
      </w:r>
      <w:r w:rsidR="00DE0539" w:rsidRPr="008625DC">
        <w:t xml:space="preserve"> and </w:t>
      </w:r>
      <w:r w:rsidRPr="008625DC">
        <w:t xml:space="preserve">independent and transparent oversight of implementation </w:t>
      </w:r>
      <w:r w:rsidR="00B70519" w:rsidRPr="008625DC">
        <w:t>will be</w:t>
      </w:r>
      <w:r w:rsidRPr="008625DC">
        <w:t xml:space="preserve"> important in helping </w:t>
      </w:r>
      <w:r w:rsidR="002001F7" w:rsidRPr="008625DC">
        <w:t>governments</w:t>
      </w:r>
      <w:r w:rsidRPr="008625DC">
        <w:t xml:space="preserve"> meet targets, encouraging public understanding and engagement, and guarding against </w:t>
      </w:r>
      <w:r w:rsidR="002001F7" w:rsidRPr="008625DC">
        <w:t>bias.</w:t>
      </w:r>
      <w:r w:rsidRPr="008625DC">
        <w:t xml:space="preserve"> </w:t>
      </w:r>
    </w:p>
    <w:p w14:paraId="6A2CE9DF" w14:textId="15B86A77" w:rsidR="00B701AA" w:rsidRPr="008625DC" w:rsidRDefault="00B701AA" w:rsidP="00162B2B">
      <w:r w:rsidRPr="008625DC">
        <w:t>The NCC, as a national body, played a vital role as part of NC</w:t>
      </w:r>
      <w:r w:rsidR="00AA380B" w:rsidRPr="008625DC">
        <w:t>P</w:t>
      </w:r>
      <w:r w:rsidR="00F92E05" w:rsidRPr="008625DC">
        <w:t>.</w:t>
      </w:r>
      <w:r w:rsidR="00AA380B" w:rsidRPr="008625DC">
        <w:t xml:space="preserve"> </w:t>
      </w:r>
      <w:r w:rsidRPr="008625DC">
        <w:t xml:space="preserve">However, as noted in </w:t>
      </w:r>
      <w:hyperlink w:anchor="Ch8" w:history="1">
        <w:r w:rsidR="008D2F63" w:rsidRPr="008625DC">
          <w:rPr>
            <w:rStyle w:val="Hyperlink"/>
          </w:rPr>
          <w:t>Chapter </w:t>
        </w:r>
        <w:r w:rsidR="007660BD" w:rsidRPr="008625DC">
          <w:rPr>
            <w:rStyle w:val="Hyperlink"/>
          </w:rPr>
          <w:t>8</w:t>
        </w:r>
      </w:hyperlink>
      <w:r w:rsidRPr="008625DC">
        <w:t>, the review and reform of legislation which may impede competition has stalled following the conclusion of the NCC</w:t>
      </w:r>
      <w:r w:rsidR="00C74E19" w:rsidRPr="008625DC">
        <w:t>’</w:t>
      </w:r>
      <w:r w:rsidRPr="008625DC">
        <w:t>s role in reviewing legislation. The NCC now retains only a limited role in relation to advising ministers on infrastructure and gas access matters. It has not maintained the capacity to readily step into a broader role again.</w:t>
      </w:r>
    </w:p>
    <w:p w14:paraId="7D232FB4" w14:textId="77777777" w:rsidR="00F0345B" w:rsidRPr="008625DC" w:rsidRDefault="00F0345B" w:rsidP="00153EBE">
      <w:pPr>
        <w:keepNext/>
        <w:spacing w:before="240" w:after="120"/>
        <w:outlineLvl w:val="2"/>
        <w:rPr>
          <w:rFonts w:ascii="Calibri" w:hAnsi="Calibri"/>
          <w:b/>
          <w:color w:val="009976"/>
          <w:sz w:val="28"/>
        </w:rPr>
      </w:pPr>
      <w:bookmarkStart w:id="36145" w:name="s222pay"/>
      <w:r w:rsidRPr="008625DC">
        <w:rPr>
          <w:rFonts w:ascii="Calibri" w:hAnsi="Calibri"/>
          <w:b/>
          <w:color w:val="009976"/>
          <w:sz w:val="28"/>
        </w:rPr>
        <w:t>Competition payments</w:t>
      </w:r>
    </w:p>
    <w:bookmarkEnd w:id="36145"/>
    <w:p w14:paraId="49E9FB6F" w14:textId="77777777" w:rsidR="00F0345B" w:rsidRPr="008625DC" w:rsidRDefault="00F0345B" w:rsidP="00F0345B">
      <w:r w:rsidRPr="008625DC">
        <w:t xml:space="preserve">A significant feature of NCP was competition payments made by the Commonwealth to the </w:t>
      </w:r>
      <w:r w:rsidR="00F4613E" w:rsidRPr="008625DC">
        <w:t>state</w:t>
      </w:r>
      <w:r w:rsidRPr="008625DC">
        <w:t xml:space="preserve"> and </w:t>
      </w:r>
      <w:r w:rsidR="00F4613E" w:rsidRPr="008625DC">
        <w:t>t</w:t>
      </w:r>
      <w:r w:rsidRPr="008625DC">
        <w:t xml:space="preserve">erritory governments </w:t>
      </w:r>
      <w:r w:rsidR="00B701AA" w:rsidRPr="008625DC">
        <w:t>to recognise that the Commonwealth received a disproportionate share of increased revenue from the larger national income resulting from NC</w:t>
      </w:r>
      <w:r w:rsidR="00AA380B" w:rsidRPr="008625DC">
        <w:t>P</w:t>
      </w:r>
      <w:r w:rsidR="00F92E05" w:rsidRPr="008625DC">
        <w:t>.</w:t>
      </w:r>
      <w:r w:rsidR="00AA380B" w:rsidRPr="008625DC">
        <w:t xml:space="preserve"> </w:t>
      </w:r>
      <w:r w:rsidR="00B701AA" w:rsidRPr="008625DC">
        <w:t xml:space="preserve">This was highlighted in an analysis of NCP undertaken by the PC </w:t>
      </w:r>
      <w:r w:rsidR="0094734B" w:rsidRPr="008625DC">
        <w:t xml:space="preserve">(then the </w:t>
      </w:r>
      <w:r w:rsidR="00153EBE" w:rsidRPr="008625DC">
        <w:t>Industries</w:t>
      </w:r>
      <w:r w:rsidR="0094734B" w:rsidRPr="008625DC">
        <w:t xml:space="preserve"> Commission</w:t>
      </w:r>
      <w:r w:rsidR="00E93364" w:rsidRPr="008625DC">
        <w:t xml:space="preserve">) </w:t>
      </w:r>
      <w:r w:rsidR="00B701AA" w:rsidRPr="008625DC">
        <w:t xml:space="preserve">that estimated the potential gains from NCP and how it would be reflected in revenue at the Commonwealth, </w:t>
      </w:r>
      <w:r w:rsidR="00E92618" w:rsidRPr="008625DC">
        <w:t>s</w:t>
      </w:r>
      <w:r w:rsidR="00B701AA" w:rsidRPr="008625DC">
        <w:t xml:space="preserve">tate and </w:t>
      </w:r>
      <w:r w:rsidR="00E92618" w:rsidRPr="008625DC">
        <w:t>t</w:t>
      </w:r>
      <w:r w:rsidR="00B701AA" w:rsidRPr="008625DC">
        <w:t>erritor</w:t>
      </w:r>
      <w:r w:rsidR="00E92618" w:rsidRPr="008625DC">
        <w:t>y levels</w:t>
      </w:r>
      <w:r w:rsidR="00B701AA" w:rsidRPr="008625DC">
        <w:t>.</w:t>
      </w:r>
      <w:r w:rsidR="00B701AA" w:rsidRPr="008625DC">
        <w:rPr>
          <w:vertAlign w:val="superscript"/>
        </w:rPr>
        <w:footnoteReference w:id="393"/>
      </w:r>
      <w:r w:rsidR="00B701AA" w:rsidRPr="008625DC">
        <w:t xml:space="preserve"> </w:t>
      </w:r>
      <w:r w:rsidRPr="008625DC">
        <w:t xml:space="preserve">The payments were made, or withheld, </w:t>
      </w:r>
      <w:r w:rsidR="00DE0539" w:rsidRPr="008625DC">
        <w:t>by</w:t>
      </w:r>
      <w:r w:rsidRPr="008625DC">
        <w:t xml:space="preserve"> the Commonwealth Treasurer following advice from the NCC. </w:t>
      </w:r>
    </w:p>
    <w:p w14:paraId="305FB282" w14:textId="0D74E19A" w:rsidR="00F0345B" w:rsidRPr="008625DC" w:rsidRDefault="00F0345B" w:rsidP="008D2F63">
      <w:pPr>
        <w:spacing w:after="120"/>
      </w:pPr>
      <w:r w:rsidRPr="008625DC">
        <w:t xml:space="preserve">The NSW </w:t>
      </w:r>
      <w:r w:rsidR="004A26A9" w:rsidRPr="008625DC">
        <w:t>Government</w:t>
      </w:r>
      <w:r w:rsidRPr="008625DC">
        <w:t xml:space="preserve"> comment</w:t>
      </w:r>
      <w:r w:rsidR="00E92618" w:rsidRPr="008625DC">
        <w:t>s</w:t>
      </w:r>
      <w:r w:rsidRPr="008625DC">
        <w:t xml:space="preserve"> that</w:t>
      </w:r>
      <w:r w:rsidR="0094734B" w:rsidRPr="008625DC">
        <w:t>:</w:t>
      </w:r>
    </w:p>
    <w:p w14:paraId="624FEF41" w14:textId="553A106F" w:rsidR="00F0345B" w:rsidRPr="008625DC" w:rsidRDefault="004A26A9" w:rsidP="00153EBE">
      <w:pPr>
        <w:ind w:left="567" w:right="425"/>
        <w:rPr>
          <w:color w:val="595959" w:themeColor="text1" w:themeTint="A6"/>
        </w:rPr>
      </w:pPr>
      <w:r w:rsidRPr="008625DC">
        <w:rPr>
          <w:color w:val="595959" w:themeColor="text1" w:themeTint="A6"/>
        </w:rPr>
        <w:t>[vertical fiscal imbalance]</w:t>
      </w:r>
      <w:r w:rsidR="00F0345B" w:rsidRPr="008625DC">
        <w:rPr>
          <w:color w:val="595959" w:themeColor="text1" w:themeTint="A6"/>
        </w:rPr>
        <w:t xml:space="preserve"> means that the Commonwealth would receive the largest revenue benefit from the economic growth arising from competition</w:t>
      </w:r>
      <w:r w:rsidR="00C74E19" w:rsidRPr="008625DC">
        <w:rPr>
          <w:color w:val="595959" w:themeColor="text1" w:themeTint="A6"/>
        </w:rPr>
        <w:noBreakHyphen/>
      </w:r>
      <w:r w:rsidR="00F0345B" w:rsidRPr="008625DC">
        <w:rPr>
          <w:color w:val="595959" w:themeColor="text1" w:themeTint="A6"/>
        </w:rPr>
        <w:t>enhancing reforms (via the increase in tax revenue), though for many types of reform, the expense associated with undertaking reform is largely borne by State governments</w:t>
      </w:r>
      <w:r w:rsidR="00192D8D" w:rsidRPr="008625DC">
        <w:rPr>
          <w:color w:val="595959" w:themeColor="text1" w:themeTint="A6"/>
        </w:rPr>
        <w:t>.</w:t>
      </w:r>
      <w:r w:rsidRPr="008625DC">
        <w:rPr>
          <w:color w:val="595959" w:themeColor="text1" w:themeTint="A6"/>
        </w:rPr>
        <w:t xml:space="preserve"> (</w:t>
      </w:r>
      <w:r w:rsidR="00AA380B" w:rsidRPr="008625DC">
        <w:rPr>
          <w:color w:val="595959" w:themeColor="text1" w:themeTint="A6"/>
        </w:rPr>
        <w:t xml:space="preserve">page </w:t>
      </w:r>
      <w:r w:rsidRPr="008625DC">
        <w:rPr>
          <w:color w:val="595959" w:themeColor="text1" w:themeTint="A6"/>
        </w:rPr>
        <w:t>12)</w:t>
      </w:r>
    </w:p>
    <w:p w14:paraId="2F9A7C23" w14:textId="57E7125E" w:rsidR="00F0345B" w:rsidRPr="008625DC" w:rsidRDefault="00F0345B" w:rsidP="00F0345B">
      <w:r w:rsidRPr="008625DC">
        <w:t>Over the course</w:t>
      </w:r>
      <w:r w:rsidR="00031F7E" w:rsidRPr="008625DC">
        <w:t xml:space="preserve"> of the NCP from </w:t>
      </w:r>
      <w:r w:rsidR="00D36792" w:rsidRPr="008625DC">
        <w:t>1997</w:t>
      </w:r>
      <w:r w:rsidR="00C74E19" w:rsidRPr="008625DC">
        <w:noBreakHyphen/>
      </w:r>
      <w:r w:rsidR="00D36792" w:rsidRPr="008625DC">
        <w:t>98</w:t>
      </w:r>
      <w:r w:rsidR="00031F7E" w:rsidRPr="008625DC">
        <w:t xml:space="preserve"> to 2005</w:t>
      </w:r>
      <w:r w:rsidR="00C74E19" w:rsidRPr="008625DC">
        <w:noBreakHyphen/>
      </w:r>
      <w:r w:rsidRPr="008625DC">
        <w:t>06</w:t>
      </w:r>
      <w:r w:rsidR="00E92618" w:rsidRPr="008625DC">
        <w:t>,</w:t>
      </w:r>
      <w:r w:rsidRPr="008625DC">
        <w:t xml:space="preserve"> a total of $</w:t>
      </w:r>
      <w:r w:rsidR="00046770" w:rsidRPr="008625DC">
        <w:t xml:space="preserve">5.3 billion was </w:t>
      </w:r>
      <w:r w:rsidRPr="008625DC">
        <w:t xml:space="preserve">paid to the </w:t>
      </w:r>
      <w:r w:rsidR="001E749A" w:rsidRPr="008625DC">
        <w:t>S</w:t>
      </w:r>
      <w:r w:rsidRPr="008625DC">
        <w:t xml:space="preserve">tates and </w:t>
      </w:r>
      <w:r w:rsidR="001E749A" w:rsidRPr="008625DC">
        <w:t>T</w:t>
      </w:r>
      <w:r w:rsidRPr="008625DC">
        <w:t>erritories and $</w:t>
      </w:r>
      <w:r w:rsidR="00B1785A" w:rsidRPr="008625DC">
        <w:t xml:space="preserve">200 </w:t>
      </w:r>
      <w:r w:rsidRPr="008625DC">
        <w:t xml:space="preserve">million </w:t>
      </w:r>
      <w:r w:rsidR="00B1785A" w:rsidRPr="008625DC">
        <w:t xml:space="preserve">was </w:t>
      </w:r>
      <w:r w:rsidRPr="008625DC">
        <w:t>withheld.</w:t>
      </w:r>
      <w:r w:rsidR="00787DCF" w:rsidRPr="008625DC">
        <w:t xml:space="preserve"> </w:t>
      </w:r>
    </w:p>
    <w:p w14:paraId="5499174A" w14:textId="0EA0865E" w:rsidR="00F0345B" w:rsidRPr="008625DC" w:rsidRDefault="00F0345B" w:rsidP="00F0345B">
      <w:r w:rsidRPr="008625DC">
        <w:t xml:space="preserve">The Panel met with representatives of the States and Territories </w:t>
      </w:r>
      <w:r w:rsidR="00DE0539" w:rsidRPr="008625DC">
        <w:t>wh</w:t>
      </w:r>
      <w:r w:rsidR="00BB3BB5" w:rsidRPr="008625DC">
        <w:t>ich</w:t>
      </w:r>
      <w:r w:rsidRPr="008625DC">
        <w:t xml:space="preserve"> all argued that competition payments contributed positively to their ability to implement reform. While the quantum of the payments was not large compared to total </w:t>
      </w:r>
      <w:r w:rsidR="00F4613E" w:rsidRPr="008625DC">
        <w:t>s</w:t>
      </w:r>
      <w:r w:rsidRPr="008625DC">
        <w:t xml:space="preserve">tate and </w:t>
      </w:r>
      <w:r w:rsidR="00F4613E" w:rsidRPr="008625DC">
        <w:t>t</w:t>
      </w:r>
      <w:r w:rsidRPr="008625DC">
        <w:t xml:space="preserve">erritory revenues, it was consistently argued that the payments provided an additional argument that could be used to support reform. In </w:t>
      </w:r>
      <w:r w:rsidRPr="008625DC">
        <w:lastRenderedPageBreak/>
        <w:t>particular, it was put to the Panel that the possibility of payments being withheld was important to maintain support in the face of opposition to reform.</w:t>
      </w:r>
    </w:p>
    <w:p w14:paraId="3F372B81" w14:textId="4AA16F37" w:rsidR="00B70519" w:rsidRPr="008625DC" w:rsidRDefault="00F0345B" w:rsidP="008D2F63">
      <w:pPr>
        <w:spacing w:after="120"/>
      </w:pPr>
      <w:r w:rsidRPr="008625DC">
        <w:t>The NCC</w:t>
      </w:r>
      <w:r w:rsidR="00C74E19" w:rsidRPr="008625DC">
        <w:t>’</w:t>
      </w:r>
      <w:r w:rsidRPr="008625DC">
        <w:t>s assessment of competition payments is that</w:t>
      </w:r>
      <w:r w:rsidR="00B70519" w:rsidRPr="008625DC">
        <w:t xml:space="preserve"> they:</w:t>
      </w:r>
    </w:p>
    <w:p w14:paraId="1F51DFB9" w14:textId="570570C3" w:rsidR="00F0345B" w:rsidRPr="008625DC" w:rsidRDefault="00447D7A" w:rsidP="00153EBE">
      <w:pPr>
        <w:ind w:left="567" w:right="425"/>
        <w:rPr>
          <w:color w:val="595959" w:themeColor="text1" w:themeTint="A6"/>
        </w:rPr>
      </w:pPr>
      <w:r w:rsidRPr="008625DC">
        <w:rPr>
          <w:color w:val="595959" w:themeColor="text1" w:themeTint="A6"/>
        </w:rPr>
        <w:t>[</w:t>
      </w:r>
      <w:r w:rsidR="00F0345B" w:rsidRPr="008625DC">
        <w:rPr>
          <w:color w:val="595959" w:themeColor="text1" w:themeTint="A6"/>
        </w:rPr>
        <w:t>i</w:t>
      </w:r>
      <w:r w:rsidRPr="008625DC">
        <w:rPr>
          <w:color w:val="595959" w:themeColor="text1" w:themeTint="A6"/>
        </w:rPr>
        <w:t>]</w:t>
      </w:r>
      <w:r w:rsidR="00F0345B" w:rsidRPr="008625DC">
        <w:rPr>
          <w:color w:val="595959" w:themeColor="text1" w:themeTint="A6"/>
        </w:rPr>
        <w:t>n several cases stiffened governments</w:t>
      </w:r>
      <w:r w:rsidR="00C74E19" w:rsidRPr="008625DC">
        <w:rPr>
          <w:color w:val="595959" w:themeColor="text1" w:themeTint="A6"/>
        </w:rPr>
        <w:t>’</w:t>
      </w:r>
      <w:r w:rsidR="00F0345B" w:rsidRPr="008625DC">
        <w:rPr>
          <w:color w:val="595959" w:themeColor="text1" w:themeTint="A6"/>
        </w:rPr>
        <w:t xml:space="preserve"> resolve to undertake reform.</w:t>
      </w:r>
      <w:r w:rsidR="00787DCF" w:rsidRPr="008625DC">
        <w:rPr>
          <w:color w:val="595959" w:themeColor="text1" w:themeTint="A6"/>
        </w:rPr>
        <w:t xml:space="preserve"> </w:t>
      </w:r>
      <w:r w:rsidR="00F0345B" w:rsidRPr="008625DC">
        <w:rPr>
          <w:color w:val="595959" w:themeColor="text1" w:themeTint="A6"/>
        </w:rPr>
        <w:t xml:space="preserve">Fiscal penalties, in particular, </w:t>
      </w:r>
      <w:r w:rsidR="004E3403" w:rsidRPr="008625DC">
        <w:rPr>
          <w:color w:val="595959" w:themeColor="text1" w:themeTint="A6"/>
        </w:rPr>
        <w:t>focused</w:t>
      </w:r>
      <w:r w:rsidR="00F0345B" w:rsidRPr="008625DC">
        <w:rPr>
          <w:color w:val="595959" w:themeColor="text1" w:themeTint="A6"/>
        </w:rPr>
        <w:t xml:space="preserve"> attention on failed or excessively delayed reforms</w:t>
      </w:r>
      <w:r w:rsidR="00B70519" w:rsidRPr="008625DC">
        <w:rPr>
          <w:color w:val="595959" w:themeColor="text1" w:themeTint="A6"/>
        </w:rPr>
        <w:t>.</w:t>
      </w:r>
      <w:r w:rsidR="004A26A9" w:rsidRPr="008625DC">
        <w:rPr>
          <w:color w:val="595959" w:themeColor="text1" w:themeTint="A6"/>
        </w:rPr>
        <w:t xml:space="preserve"> (</w:t>
      </w:r>
      <w:r w:rsidR="00AA380B" w:rsidRPr="008625DC">
        <w:rPr>
          <w:color w:val="595959" w:themeColor="text1" w:themeTint="A6"/>
        </w:rPr>
        <w:t xml:space="preserve">page </w:t>
      </w:r>
      <w:r w:rsidR="004A26A9" w:rsidRPr="008625DC">
        <w:rPr>
          <w:color w:val="595959" w:themeColor="text1" w:themeTint="A6"/>
        </w:rPr>
        <w:t>8)</w:t>
      </w:r>
    </w:p>
    <w:p w14:paraId="708458CB" w14:textId="77777777" w:rsidR="003C0278" w:rsidRPr="008625DC" w:rsidRDefault="003C0278" w:rsidP="003C0278">
      <w:r w:rsidRPr="008625DC">
        <w:t xml:space="preserve">The message from all those </w:t>
      </w:r>
      <w:r w:rsidR="00E92618" w:rsidRPr="008625DC">
        <w:t>making</w:t>
      </w:r>
      <w:r w:rsidRPr="008625DC">
        <w:t xml:space="preserve"> submissions to the Panel on the issue of competition payments is that they assisted governments in delivering on their reform agendas. However, their effectiveness across the NCP agenda was limited </w:t>
      </w:r>
      <w:r w:rsidRPr="008625DC" w:rsidDel="00504A84">
        <w:t xml:space="preserve">by </w:t>
      </w:r>
      <w:r w:rsidRPr="008625DC">
        <w:t xml:space="preserve">not </w:t>
      </w:r>
      <w:r w:rsidR="00153EBE" w:rsidRPr="008625DC">
        <w:t>applying</w:t>
      </w:r>
      <w:r w:rsidRPr="008625DC">
        <w:t xml:space="preserve"> to the Commonwealth </w:t>
      </w:r>
      <w:r w:rsidRPr="008625DC" w:rsidDel="00504A84">
        <w:t>and not</w:t>
      </w:r>
      <w:r w:rsidRPr="008625DC">
        <w:t xml:space="preserve"> consistently </w:t>
      </w:r>
      <w:r w:rsidRPr="008625DC" w:rsidDel="00504A84">
        <w:t xml:space="preserve">being </w:t>
      </w:r>
      <w:r w:rsidRPr="008625DC">
        <w:t>applied to local government.</w:t>
      </w:r>
    </w:p>
    <w:p w14:paraId="204F600E" w14:textId="77777777" w:rsidR="003C0278" w:rsidRPr="008625DC" w:rsidRDefault="003C0278" w:rsidP="003C0278">
      <w:r w:rsidRPr="008625DC">
        <w:t>They also at times distorted the public message around the need for reform</w:t>
      </w:r>
      <w:r w:rsidR="00E92618" w:rsidRPr="008625DC">
        <w:t>, creating</w:t>
      </w:r>
      <w:r w:rsidRPr="008625DC">
        <w:t xml:space="preserve"> a focus on withholding payments</w:t>
      </w:r>
      <w:r w:rsidR="00380141" w:rsidRPr="008625DC">
        <w:t xml:space="preserve"> </w:t>
      </w:r>
      <w:r w:rsidR="007150BE" w:rsidRPr="008625DC">
        <w:t>rather than</w:t>
      </w:r>
      <w:r w:rsidRPr="008625DC">
        <w:t xml:space="preserve"> the benefits that would flow from reform.</w:t>
      </w:r>
      <w:r w:rsidR="00787DCF" w:rsidRPr="008625DC">
        <w:t xml:space="preserve"> </w:t>
      </w:r>
      <w:r w:rsidRPr="008625DC">
        <w:t xml:space="preserve">This appears to underlie the position </w:t>
      </w:r>
      <w:r w:rsidR="007150BE" w:rsidRPr="008625DC">
        <w:t>of</w:t>
      </w:r>
      <w:r w:rsidRPr="008625DC">
        <w:t xml:space="preserve"> many stakeholders that progress with competition policy reform waned when the competition payments ceased.</w:t>
      </w:r>
      <w:r w:rsidR="00787DCF" w:rsidRPr="008625DC">
        <w:t xml:space="preserve"> </w:t>
      </w:r>
      <w:r w:rsidRPr="008625DC">
        <w:t>Discerning whether this is the case is complicated by the introduction of the Seamless National Economy reform agreement that followed NC</w:t>
      </w:r>
      <w:r w:rsidR="00AA380B" w:rsidRPr="008625DC">
        <w:t>P</w:t>
      </w:r>
      <w:r w:rsidR="00F92E05" w:rsidRPr="008625DC">
        <w:t>.</w:t>
      </w:r>
      <w:r w:rsidR="00AA380B" w:rsidRPr="008625DC">
        <w:t xml:space="preserve"> </w:t>
      </w:r>
      <w:r w:rsidRPr="008625DC">
        <w:t>While this also included incentive payments, it was overshadowed by the much larger changes in funding for human services.</w:t>
      </w:r>
      <w:r w:rsidR="00787DCF" w:rsidRPr="008625DC">
        <w:t xml:space="preserve"> </w:t>
      </w:r>
    </w:p>
    <w:p w14:paraId="23006E7C" w14:textId="77777777" w:rsidR="00F0345B" w:rsidRPr="008625DC" w:rsidRDefault="00F0345B" w:rsidP="00F0345B">
      <w:r w:rsidRPr="008625DC">
        <w:t>There have been a number of calls for competition payments to be a feature of any institutional framework going forward in order to recognise the potentially uneven distribution of reform effort and reward.</w:t>
      </w:r>
    </w:p>
    <w:p w14:paraId="629B6050" w14:textId="65F9C1F4" w:rsidR="00F0345B" w:rsidRPr="008625DC" w:rsidRDefault="00F0345B" w:rsidP="008D2F63">
      <w:pPr>
        <w:spacing w:after="120"/>
      </w:pPr>
      <w:r w:rsidRPr="008625DC">
        <w:t>The NSW Government reco</w:t>
      </w:r>
      <w:r w:rsidR="008C4E5B" w:rsidRPr="008625DC">
        <w:t>mmends</w:t>
      </w:r>
      <w:r w:rsidRPr="008625DC">
        <w:t xml:space="preserve"> that</w:t>
      </w:r>
      <w:r w:rsidR="00225293" w:rsidRPr="008625DC">
        <w:t>:</w:t>
      </w:r>
    </w:p>
    <w:p w14:paraId="7DCAD206" w14:textId="103B2C36" w:rsidR="00F0345B" w:rsidRPr="008625DC" w:rsidRDefault="00F0345B" w:rsidP="00153EBE">
      <w:pPr>
        <w:ind w:left="567" w:right="425"/>
        <w:rPr>
          <w:color w:val="595959" w:themeColor="text1" w:themeTint="A6"/>
        </w:rPr>
      </w:pPr>
      <w:r w:rsidRPr="008625DC">
        <w:rPr>
          <w:color w:val="595959" w:themeColor="text1" w:themeTint="A6"/>
        </w:rPr>
        <w:t>The provision of financial incentives from the Commonwealth to the States would help lock in reforms and share the economic growth and revenue benefits (which would largely be captured by the Commonwealth tax bases) in a way that is proportionate with reform effort and outcomes</w:t>
      </w:r>
      <w:r w:rsidR="008D2F63" w:rsidRPr="008625DC">
        <w:rPr>
          <w:color w:val="595959" w:themeColor="text1" w:themeTint="A6"/>
        </w:rPr>
        <w:t>.</w:t>
      </w:r>
      <w:r w:rsidR="004A26A9" w:rsidRPr="008625DC">
        <w:rPr>
          <w:color w:val="595959" w:themeColor="text1" w:themeTint="A6"/>
        </w:rPr>
        <w:t xml:space="preserve"> (</w:t>
      </w:r>
      <w:r w:rsidR="00AA380B" w:rsidRPr="008625DC">
        <w:rPr>
          <w:color w:val="595959" w:themeColor="text1" w:themeTint="A6"/>
        </w:rPr>
        <w:t xml:space="preserve">page </w:t>
      </w:r>
      <w:r w:rsidR="004A26A9" w:rsidRPr="008625DC">
        <w:rPr>
          <w:color w:val="595959" w:themeColor="text1" w:themeTint="A6"/>
        </w:rPr>
        <w:t>17)</w:t>
      </w:r>
    </w:p>
    <w:p w14:paraId="68E81EC6" w14:textId="101C41D0" w:rsidR="00F0345B" w:rsidRPr="008625DC" w:rsidRDefault="00F0345B" w:rsidP="008D2F63">
      <w:pPr>
        <w:spacing w:after="120"/>
      </w:pPr>
      <w:r w:rsidRPr="008625DC">
        <w:t xml:space="preserve">The BCA also </w:t>
      </w:r>
      <w:r w:rsidR="008C4E5B" w:rsidRPr="008625DC">
        <w:t>argues</w:t>
      </w:r>
      <w:r w:rsidRPr="008625DC">
        <w:t xml:space="preserve"> that</w:t>
      </w:r>
      <w:r w:rsidR="00225293" w:rsidRPr="008625DC">
        <w:t>:</w:t>
      </w:r>
    </w:p>
    <w:p w14:paraId="2BF16FAB" w14:textId="7979052F" w:rsidR="00F0345B" w:rsidRPr="008625DC" w:rsidRDefault="00F0345B" w:rsidP="00153EBE">
      <w:pPr>
        <w:ind w:left="567" w:right="425"/>
        <w:rPr>
          <w:color w:val="595959" w:themeColor="text1" w:themeTint="A6"/>
        </w:rPr>
      </w:pPr>
      <w:r w:rsidRPr="008625DC">
        <w:rPr>
          <w:color w:val="595959" w:themeColor="text1" w:themeTint="A6"/>
        </w:rPr>
        <w:t>A proposed new incentive model is for a new intergovernmental agreement to be structured essentially as a joint venture where all jurisdictions contribute to the cost of reforms but all share more evenly in the fiscal benefits through productivity payments</w:t>
      </w:r>
      <w:r w:rsidR="008D2F63" w:rsidRPr="008625DC">
        <w:rPr>
          <w:color w:val="595959" w:themeColor="text1" w:themeTint="A6"/>
        </w:rPr>
        <w:t>.</w:t>
      </w:r>
      <w:r w:rsidR="004A26A9" w:rsidRPr="008625DC">
        <w:rPr>
          <w:color w:val="595959" w:themeColor="text1" w:themeTint="A6"/>
        </w:rPr>
        <w:t xml:space="preserve"> (</w:t>
      </w:r>
      <w:r w:rsidR="00985C8E" w:rsidRPr="008625DC">
        <w:rPr>
          <w:color w:val="595959" w:themeColor="text1" w:themeTint="A6"/>
        </w:rPr>
        <w:t xml:space="preserve">BCA Main Report, </w:t>
      </w:r>
      <w:r w:rsidR="00AA380B" w:rsidRPr="008625DC">
        <w:rPr>
          <w:color w:val="595959" w:themeColor="text1" w:themeTint="A6"/>
        </w:rPr>
        <w:t xml:space="preserve">page </w:t>
      </w:r>
      <w:r w:rsidR="008D2F63" w:rsidRPr="008625DC">
        <w:rPr>
          <w:color w:val="595959" w:themeColor="text1" w:themeTint="A6"/>
        </w:rPr>
        <w:t>106)</w:t>
      </w:r>
    </w:p>
    <w:p w14:paraId="35D629C9" w14:textId="68CE2695" w:rsidR="00B70519" w:rsidRPr="008625DC" w:rsidRDefault="00B70519" w:rsidP="00F0345B">
      <w:r w:rsidRPr="008625DC">
        <w:t>It is the focus on sharing the benefits which is a crucial feature of the NCP payments and</w:t>
      </w:r>
      <w:r w:rsidR="00B701AA" w:rsidRPr="008625DC">
        <w:t xml:space="preserve"> that</w:t>
      </w:r>
      <w:r w:rsidRPr="008625DC">
        <w:t xml:space="preserve"> should be </w:t>
      </w:r>
      <w:r w:rsidR="007150BE" w:rsidRPr="008625DC">
        <w:t xml:space="preserve">reinstated </w:t>
      </w:r>
      <w:r w:rsidRPr="008625DC">
        <w:t xml:space="preserve">in any future arrangements. The payments should not be represented as an </w:t>
      </w:r>
      <w:r w:rsidR="00C74E19" w:rsidRPr="008625DC">
        <w:t>‘</w:t>
      </w:r>
      <w:r w:rsidRPr="008625DC">
        <w:t>incentive</w:t>
      </w:r>
      <w:r w:rsidR="00C74E19" w:rsidRPr="008625DC">
        <w:t>’</w:t>
      </w:r>
      <w:r w:rsidRPr="008625DC">
        <w:t xml:space="preserve"> or a </w:t>
      </w:r>
      <w:r w:rsidR="00C74E19" w:rsidRPr="008625DC">
        <w:t>‘</w:t>
      </w:r>
      <w:r w:rsidRPr="008625DC">
        <w:t>bribe</w:t>
      </w:r>
      <w:r w:rsidR="00C74E19" w:rsidRPr="008625DC">
        <w:t>’</w:t>
      </w:r>
      <w:r w:rsidRPr="008625DC">
        <w:t xml:space="preserve"> for the </w:t>
      </w:r>
      <w:r w:rsidRPr="008625DC" w:rsidDel="00504A84">
        <w:t>s</w:t>
      </w:r>
      <w:r w:rsidRPr="008625DC">
        <w:t xml:space="preserve">tates and </w:t>
      </w:r>
      <w:r w:rsidRPr="008625DC" w:rsidDel="00504A84">
        <w:t>t</w:t>
      </w:r>
      <w:r w:rsidRPr="008625DC">
        <w:t xml:space="preserve">erritories to undertake reform. Such an approach has the potential to </w:t>
      </w:r>
      <w:r w:rsidR="007150BE" w:rsidRPr="008625DC">
        <w:t>direct</w:t>
      </w:r>
      <w:r w:rsidRPr="008625DC">
        <w:t xml:space="preserve"> the </w:t>
      </w:r>
      <w:r w:rsidR="007150BE" w:rsidRPr="008625DC">
        <w:t>focus away</w:t>
      </w:r>
      <w:r w:rsidRPr="008625DC">
        <w:t xml:space="preserve"> from the benefits of reform.</w:t>
      </w:r>
    </w:p>
    <w:p w14:paraId="0AD6085D" w14:textId="51C8CF89" w:rsidR="00B70519" w:rsidRPr="008625DC" w:rsidRDefault="00B70519" w:rsidP="00F0345B">
      <w:r w:rsidRPr="008625DC">
        <w:t xml:space="preserve">However, as with the NCP reforms, there is a likelihood that the benefits of reform will not necessarily flow in proportion to the effort put into pursuing and implementing </w:t>
      </w:r>
      <w:r w:rsidR="007150BE" w:rsidRPr="008625DC">
        <w:t>reform</w:t>
      </w:r>
      <w:r w:rsidRPr="008625DC">
        <w:t xml:space="preserve">. It is therefore reasonable to facilitate </w:t>
      </w:r>
      <w:r w:rsidR="00B701AA" w:rsidRPr="008625DC">
        <w:t>a process to re</w:t>
      </w:r>
      <w:r w:rsidR="00C74E19" w:rsidRPr="008625DC">
        <w:noBreakHyphen/>
      </w:r>
      <w:r w:rsidR="007150BE" w:rsidRPr="008625DC">
        <w:t>balance</w:t>
      </w:r>
      <w:r w:rsidR="00B701AA" w:rsidRPr="008625DC">
        <w:t xml:space="preserve"> any such revenue effects</w:t>
      </w:r>
      <w:r w:rsidRPr="008625DC">
        <w:t>.</w:t>
      </w:r>
    </w:p>
    <w:p w14:paraId="71D72C3A" w14:textId="1440C935" w:rsidR="00153EBE" w:rsidRPr="008625DC" w:rsidRDefault="00153EBE" w:rsidP="00153EBE">
      <w:r w:rsidRPr="008625DC">
        <w:t>The argument put by the PC (page 24) that any effects of vertical fiscal imbalance are better addressed directly than remediated through a competition policy payments process is laudable. However, the Panel wants to avoid vertical fiscal imbalance acting as a barrier to a set of reforms that have the potential to significantly enhance the long</w:t>
      </w:r>
      <w:r w:rsidR="00C74E19" w:rsidRPr="008625DC">
        <w:noBreakHyphen/>
      </w:r>
      <w:r w:rsidRPr="008625DC">
        <w:t>term interests of consumers.</w:t>
      </w:r>
    </w:p>
    <w:p w14:paraId="66C8954B" w14:textId="77777777" w:rsidR="00153EBE" w:rsidRPr="008625DC" w:rsidRDefault="00153EBE" w:rsidP="00447D7A">
      <w:pPr>
        <w:pStyle w:val="Heading3"/>
      </w:pPr>
      <w:bookmarkStart w:id="36146" w:name="s222mkt"/>
      <w:r w:rsidRPr="008625DC">
        <w:lastRenderedPageBreak/>
        <w:t>Market studies</w:t>
      </w:r>
    </w:p>
    <w:bookmarkEnd w:id="36146"/>
    <w:p w14:paraId="7A5C8172" w14:textId="31F02C0A" w:rsidR="008F3C74" w:rsidRPr="008625DC" w:rsidRDefault="008F3C74" w:rsidP="00A17D4E">
      <w:r w:rsidRPr="008625DC">
        <w:t>While the competition laws serve an important purpose in discouraging anti</w:t>
      </w:r>
      <w:r w:rsidR="00C74E19" w:rsidRPr="008625DC">
        <w:noBreakHyphen/>
      </w:r>
      <w:r w:rsidRPr="008625DC">
        <w:t xml:space="preserve">competitive behaviour, there </w:t>
      </w:r>
      <w:r w:rsidR="00031F7E" w:rsidRPr="008625DC">
        <w:t>are</w:t>
      </w:r>
      <w:r w:rsidRPr="008625DC">
        <w:t xml:space="preserve"> occasions where competition concerns </w:t>
      </w:r>
      <w:r w:rsidR="003F314D" w:rsidRPr="008625DC">
        <w:t xml:space="preserve">arise </w:t>
      </w:r>
      <w:r w:rsidRPr="008625DC">
        <w:t xml:space="preserve">within a market that do not fall within the bounds of the law. In these cases, a comprehensive </w:t>
      </w:r>
      <w:r w:rsidR="00960DCB" w:rsidRPr="008625DC">
        <w:t>review</w:t>
      </w:r>
      <w:r w:rsidRPr="008625DC">
        <w:t xml:space="preserve"> of the market can help policymakers better understand the competitive landscape, and determine whether </w:t>
      </w:r>
      <w:r w:rsidR="00A774F7" w:rsidRPr="008625DC">
        <w:t>policy changes are</w:t>
      </w:r>
      <w:r w:rsidRPr="008625DC">
        <w:t xml:space="preserve"> needed.</w:t>
      </w:r>
    </w:p>
    <w:p w14:paraId="13B1A738" w14:textId="0AAB14DA" w:rsidR="008F3C74" w:rsidRPr="008625DC" w:rsidRDefault="008F3C74" w:rsidP="008D2F63">
      <w:pPr>
        <w:spacing w:after="120"/>
      </w:pPr>
      <w:r w:rsidRPr="008625DC">
        <w:t xml:space="preserve">A market study is one means though which policymakers can delve deeper into the workings of a market in an effort to </w:t>
      </w:r>
      <w:r w:rsidR="001019DF" w:rsidRPr="008625DC">
        <w:t>identify changes that would lead to more</w:t>
      </w:r>
      <w:r w:rsidRPr="008625DC">
        <w:t xml:space="preserve"> competitive outcomes. In</w:t>
      </w:r>
      <w:r w:rsidR="004A26A9" w:rsidRPr="008625DC">
        <w:t xml:space="preserve"> its guidance on market studies</w:t>
      </w:r>
      <w:r w:rsidRPr="008625DC">
        <w:t xml:space="preserve">, the </w:t>
      </w:r>
      <w:r w:rsidR="00FD78ED" w:rsidRPr="008625DC">
        <w:t xml:space="preserve">former </w:t>
      </w:r>
      <w:r w:rsidRPr="008625DC">
        <w:t xml:space="preserve">UK Office of Fair Trading </w:t>
      </w:r>
      <w:r w:rsidR="008C4E5B" w:rsidRPr="008625DC">
        <w:t>noted</w:t>
      </w:r>
      <w:r w:rsidRPr="008625DC">
        <w:t xml:space="preserve"> that market studies are:</w:t>
      </w:r>
    </w:p>
    <w:p w14:paraId="58E41DAA" w14:textId="13900AB6" w:rsidR="008F3C74" w:rsidRPr="008625DC" w:rsidRDefault="00447D7A" w:rsidP="00153EBE">
      <w:pPr>
        <w:spacing w:after="120"/>
        <w:ind w:left="567" w:right="425"/>
        <w:rPr>
          <w:color w:val="595959" w:themeColor="text1" w:themeTint="A6"/>
        </w:rPr>
      </w:pPr>
      <w:r w:rsidRPr="008625DC">
        <w:rPr>
          <w:color w:val="595959" w:themeColor="text1" w:themeTint="A6"/>
        </w:rPr>
        <w:t>[</w:t>
      </w:r>
      <w:r w:rsidR="00AA4806">
        <w:rPr>
          <w:color w:val="595959" w:themeColor="text1" w:themeTint="A6"/>
        </w:rPr>
        <w:t>E</w:t>
      </w:r>
      <w:r w:rsidRPr="008625DC">
        <w:rPr>
          <w:color w:val="595959" w:themeColor="text1" w:themeTint="A6"/>
        </w:rPr>
        <w:t>]</w:t>
      </w:r>
      <w:r w:rsidR="008F3C74" w:rsidRPr="008625DC">
        <w:rPr>
          <w:color w:val="595959" w:themeColor="text1" w:themeTint="A6"/>
        </w:rPr>
        <w:t xml:space="preserve">xaminations into the causes of why particular markets are not working well for consumers, leading to proposals as to how they might be made to work better. They take an overview of regulatory and other economic drivers in a market and patterns of </w:t>
      </w:r>
      <w:r w:rsidR="009025D5" w:rsidRPr="008625DC">
        <w:rPr>
          <w:color w:val="595959" w:themeColor="text1" w:themeTint="A6"/>
        </w:rPr>
        <w:t>consumer and business behaviour.</w:t>
      </w:r>
    </w:p>
    <w:p w14:paraId="68727D92" w14:textId="222CE563" w:rsidR="00DB584A" w:rsidRPr="008625DC" w:rsidRDefault="00DB584A" w:rsidP="00153EBE">
      <w:pPr>
        <w:ind w:left="567" w:right="425"/>
        <w:rPr>
          <w:color w:val="595959" w:themeColor="text1" w:themeTint="A6"/>
        </w:rPr>
      </w:pPr>
      <w:r w:rsidRPr="008625DC">
        <w:rPr>
          <w:color w:val="595959" w:themeColor="text1" w:themeTint="A6"/>
        </w:rPr>
        <w:t>As well as taking a look at particular markets, market studies can relate to practices across a range of goods and services, for example, doorstep selling</w:t>
      </w:r>
      <w:r w:rsidR="004A26A9" w:rsidRPr="008625DC">
        <w:rPr>
          <w:color w:val="595959" w:themeColor="text1" w:themeTint="A6"/>
        </w:rPr>
        <w:t>.</w:t>
      </w:r>
      <w:r w:rsidR="004A26A9" w:rsidRPr="008625DC">
        <w:rPr>
          <w:color w:val="595959" w:themeColor="text1" w:themeTint="A6"/>
          <w:vertAlign w:val="superscript"/>
        </w:rPr>
        <w:footnoteReference w:id="394"/>
      </w:r>
    </w:p>
    <w:p w14:paraId="62B66529" w14:textId="3C5EC92F" w:rsidR="00FD13E5" w:rsidRPr="008625DC" w:rsidRDefault="00FD13E5" w:rsidP="00153EBE">
      <w:pPr>
        <w:spacing w:before="0" w:after="120"/>
        <w:rPr>
          <w:color w:val="auto"/>
        </w:rPr>
      </w:pPr>
      <w:r w:rsidRPr="008625DC">
        <w:t xml:space="preserve">In addition to observing businesses operating in a market, market studies can play a very important role in </w:t>
      </w:r>
      <w:r w:rsidR="00DE0539" w:rsidRPr="008625DC">
        <w:t>examining</w:t>
      </w:r>
      <w:r w:rsidRPr="008625DC">
        <w:t xml:space="preserve"> the role of </w:t>
      </w:r>
      <w:r w:rsidR="001019DF" w:rsidRPr="008625DC">
        <w:t>government</w:t>
      </w:r>
      <w:r w:rsidRPr="008625DC">
        <w:t xml:space="preserve">. The former </w:t>
      </w:r>
      <w:r w:rsidRPr="008625DC">
        <w:rPr>
          <w:color w:val="auto"/>
        </w:rPr>
        <w:t xml:space="preserve">UK Office of Fair Trading </w:t>
      </w:r>
      <w:r w:rsidR="004A26A9" w:rsidRPr="008625DC">
        <w:rPr>
          <w:color w:val="auto"/>
        </w:rPr>
        <w:t>also</w:t>
      </w:r>
      <w:r w:rsidRPr="008625DC">
        <w:rPr>
          <w:color w:val="auto"/>
        </w:rPr>
        <w:t xml:space="preserve"> noted:</w:t>
      </w:r>
    </w:p>
    <w:p w14:paraId="0A53B80E" w14:textId="1DF27831" w:rsidR="00FD13E5" w:rsidRPr="008625DC" w:rsidRDefault="00FD13E5" w:rsidP="00447D7A">
      <w:pPr>
        <w:spacing w:after="120"/>
        <w:ind w:left="567" w:right="425"/>
        <w:rPr>
          <w:color w:val="595959" w:themeColor="text1" w:themeTint="A6"/>
        </w:rPr>
      </w:pPr>
      <w:r w:rsidRPr="008625DC">
        <w:rPr>
          <w:color w:val="595959" w:themeColor="text1" w:themeTint="A6"/>
        </w:rPr>
        <w:t>As well as investigating adverse effects on competition caused by business and consumer behaviour, market studies can also examine restrictions on competition that can arise through Government regulation or public policy</w:t>
      </w:r>
      <w:r w:rsidR="004A26A9" w:rsidRPr="008625DC">
        <w:rPr>
          <w:color w:val="595959" w:themeColor="text1" w:themeTint="A6"/>
        </w:rPr>
        <w:t>.</w:t>
      </w:r>
    </w:p>
    <w:p w14:paraId="48C8A29D" w14:textId="77777777" w:rsidR="00FD13E5" w:rsidRPr="008625DC" w:rsidRDefault="00FD13E5" w:rsidP="00447D7A">
      <w:pPr>
        <w:spacing w:after="120"/>
        <w:ind w:left="567" w:right="425"/>
        <w:rPr>
          <w:color w:val="595959" w:themeColor="text1" w:themeTint="A6"/>
        </w:rPr>
      </w:pPr>
      <w:r w:rsidRPr="008625DC">
        <w:rPr>
          <w:color w:val="595959" w:themeColor="text1" w:themeTint="A6"/>
        </w:rPr>
        <w:t>…</w:t>
      </w:r>
    </w:p>
    <w:p w14:paraId="54133D59" w14:textId="10AF45A6" w:rsidR="00FD13E5" w:rsidRPr="008625DC" w:rsidRDefault="00FD13E5" w:rsidP="00153EBE">
      <w:pPr>
        <w:spacing w:before="0"/>
        <w:ind w:left="567" w:right="425"/>
        <w:rPr>
          <w:color w:val="595959" w:themeColor="text1" w:themeTint="A6"/>
        </w:rPr>
      </w:pPr>
      <w:r w:rsidRPr="008625DC">
        <w:rPr>
          <w:color w:val="595959" w:themeColor="text1" w:themeTint="A6"/>
        </w:rPr>
        <w:t>As government regulation and policy are not typically susceptible to enforcement action, market studies can be the best response to concerns regarding markets where public restrictions may be distorting a market or chilling competition.</w:t>
      </w:r>
      <w:r w:rsidR="004A26A9" w:rsidRPr="008625DC">
        <w:rPr>
          <w:color w:val="595959" w:themeColor="text1" w:themeTint="A6"/>
          <w:vertAlign w:val="superscript"/>
        </w:rPr>
        <w:footnoteReference w:id="395"/>
      </w:r>
    </w:p>
    <w:p w14:paraId="47A8A597" w14:textId="42332DD3" w:rsidR="00DB243A" w:rsidRPr="008625DC" w:rsidRDefault="00DB243A" w:rsidP="00447D7A">
      <w:pPr>
        <w:spacing w:before="0" w:after="120"/>
      </w:pPr>
      <w:r w:rsidRPr="008625DC">
        <w:rPr>
          <w:color w:val="auto"/>
        </w:rPr>
        <w:t>The lack of a formal market stud</w:t>
      </w:r>
      <w:r w:rsidR="007150BE" w:rsidRPr="008625DC">
        <w:rPr>
          <w:color w:val="auto"/>
        </w:rPr>
        <w:t>ies</w:t>
      </w:r>
      <w:r w:rsidRPr="008625DC">
        <w:rPr>
          <w:color w:val="auto"/>
        </w:rPr>
        <w:t xml:space="preserve"> power in Australia is generally in contrast with other comparable economies. </w:t>
      </w:r>
      <w:r w:rsidRPr="008625DC">
        <w:t>When looking at overseas comparisons, it is possible to make some generalisations:</w:t>
      </w:r>
    </w:p>
    <w:p w14:paraId="2BE56986" w14:textId="70572126" w:rsidR="00DB243A" w:rsidRPr="008625DC" w:rsidRDefault="00B701AA" w:rsidP="00447D7A">
      <w:pPr>
        <w:pStyle w:val="Bullet"/>
      </w:pPr>
      <w:r w:rsidRPr="008625DC">
        <w:t>m</w:t>
      </w:r>
      <w:r w:rsidR="00DB243A" w:rsidRPr="008625DC">
        <w:t>arket studies are most often undertaken by the competition regulator, as a complement to its broader competition enforcement and education priorities;</w:t>
      </w:r>
    </w:p>
    <w:p w14:paraId="1B0E0C8E" w14:textId="69BF5E75" w:rsidR="00DB243A" w:rsidRPr="008625DC" w:rsidRDefault="00B701AA" w:rsidP="00447D7A">
      <w:pPr>
        <w:pStyle w:val="Bullet"/>
      </w:pPr>
      <w:r w:rsidRPr="008625DC">
        <w:t>m</w:t>
      </w:r>
      <w:r w:rsidR="00DB243A" w:rsidRPr="008625DC">
        <w:t>ost market stud</w:t>
      </w:r>
      <w:r w:rsidR="007150BE" w:rsidRPr="008625DC">
        <w:t>ies</w:t>
      </w:r>
      <w:r w:rsidR="00DB243A" w:rsidRPr="008625DC">
        <w:t xml:space="preserve"> bodies possess mandatory information</w:t>
      </w:r>
      <w:r w:rsidR="00C74E19" w:rsidRPr="008625DC">
        <w:noBreakHyphen/>
      </w:r>
      <w:r w:rsidR="00DB243A" w:rsidRPr="008625DC">
        <w:t>gathering powers</w:t>
      </w:r>
      <w:r w:rsidR="00C74E19" w:rsidRPr="008625DC">
        <w:t xml:space="preserve"> — </w:t>
      </w:r>
      <w:r w:rsidR="001E0E0A" w:rsidRPr="008625DC">
        <w:t>t</w:t>
      </w:r>
      <w:r w:rsidR="00DB243A" w:rsidRPr="008625DC">
        <w:t>here will usually be policies about how the information collected as part of a market study will be used;</w:t>
      </w:r>
    </w:p>
    <w:p w14:paraId="05045305" w14:textId="73624560" w:rsidR="00DB243A" w:rsidRPr="008625DC" w:rsidRDefault="00B701AA" w:rsidP="00447D7A">
      <w:pPr>
        <w:pStyle w:val="Bullet"/>
      </w:pPr>
      <w:r w:rsidRPr="008625DC">
        <w:t>m</w:t>
      </w:r>
      <w:r w:rsidR="00DB243A" w:rsidRPr="008625DC">
        <w:t xml:space="preserve">ost market studies are </w:t>
      </w:r>
      <w:r w:rsidR="00DB243A" w:rsidRPr="008625DC" w:rsidDel="004677BB">
        <w:t>published</w:t>
      </w:r>
      <w:r w:rsidR="001E0E0A" w:rsidRPr="008625DC">
        <w:t>,</w:t>
      </w:r>
      <w:r w:rsidR="00DB243A" w:rsidRPr="008625DC">
        <w:t xml:space="preserve"> allow</w:t>
      </w:r>
      <w:r w:rsidR="001E0E0A" w:rsidRPr="008625DC">
        <w:t>ing</w:t>
      </w:r>
      <w:r w:rsidR="00DB243A" w:rsidRPr="008625DC">
        <w:t xml:space="preserve"> for a broader public discussion o</w:t>
      </w:r>
      <w:r w:rsidR="001E0E0A" w:rsidRPr="008625DC">
        <w:t>f</w:t>
      </w:r>
      <w:r w:rsidR="00DB243A" w:rsidRPr="008625DC">
        <w:t xml:space="preserve"> the policy and recommendations relating to the market in question;</w:t>
      </w:r>
      <w:r w:rsidR="00BB3BB5" w:rsidRPr="008625DC">
        <w:t xml:space="preserve"> and</w:t>
      </w:r>
    </w:p>
    <w:p w14:paraId="56F59297" w14:textId="73324FA2" w:rsidR="00DB243A" w:rsidRPr="008625DC" w:rsidRDefault="00B701AA" w:rsidP="00447D7A">
      <w:pPr>
        <w:pStyle w:val="Bullet"/>
        <w:spacing w:after="240"/>
      </w:pPr>
      <w:r w:rsidRPr="008625DC">
        <w:t>a</w:t>
      </w:r>
      <w:r w:rsidR="00DB243A" w:rsidRPr="008625DC">
        <w:t xml:space="preserve"> common outcome of market studies is recommendations for changes to legislation or government policies</w:t>
      </w:r>
      <w:r w:rsidR="00C74E19" w:rsidRPr="008625DC">
        <w:t xml:space="preserve"> — </w:t>
      </w:r>
      <w:r w:rsidR="001E0E0A" w:rsidRPr="008625DC">
        <w:t>as</w:t>
      </w:r>
      <w:r w:rsidR="00DB243A" w:rsidRPr="008625DC">
        <w:t xml:space="preserve"> is the </w:t>
      </w:r>
      <w:r w:rsidR="001E0E0A" w:rsidRPr="008625DC">
        <w:t>case with</w:t>
      </w:r>
      <w:r w:rsidR="00DB243A" w:rsidRPr="008625DC">
        <w:t xml:space="preserve"> PC </w:t>
      </w:r>
      <w:r w:rsidR="00BB3BB5" w:rsidRPr="008625DC">
        <w:t>i</w:t>
      </w:r>
      <w:r w:rsidR="00DB243A" w:rsidRPr="008625DC">
        <w:t xml:space="preserve">nquiry recommendations and </w:t>
      </w:r>
      <w:r w:rsidR="00F4613E" w:rsidRPr="008625DC">
        <w:t>s</w:t>
      </w:r>
      <w:r w:rsidR="00DB243A" w:rsidRPr="008625DC">
        <w:t xml:space="preserve">tate and </w:t>
      </w:r>
      <w:r w:rsidR="00F4613E" w:rsidRPr="008625DC">
        <w:t>t</w:t>
      </w:r>
      <w:r w:rsidR="00DB243A" w:rsidRPr="008625DC">
        <w:t>erritory regulator recommendations.</w:t>
      </w:r>
      <w:r w:rsidR="00DB243A" w:rsidRPr="008625DC">
        <w:rPr>
          <w:color w:val="auto"/>
        </w:rPr>
        <w:t xml:space="preserve"> </w:t>
      </w:r>
    </w:p>
    <w:p w14:paraId="06374AC0" w14:textId="6A6F9D61" w:rsidR="000F5EF9" w:rsidRPr="008625DC" w:rsidRDefault="00DB243A" w:rsidP="00153EBE">
      <w:pPr>
        <w:spacing w:before="0" w:after="120"/>
      </w:pPr>
      <w:r w:rsidRPr="008625DC">
        <w:t>Reflecting overseas experience, t</w:t>
      </w:r>
      <w:r w:rsidR="000F5EF9" w:rsidRPr="008625DC">
        <w:t>he ACCC notes that it would like the ability to initiate market studies for various reasons:</w:t>
      </w:r>
    </w:p>
    <w:p w14:paraId="123B6AD0" w14:textId="5E701522" w:rsidR="00E751D7" w:rsidRPr="008625DC" w:rsidRDefault="00E751D7" w:rsidP="00153EBE">
      <w:pPr>
        <w:numPr>
          <w:ilvl w:val="0"/>
          <w:numId w:val="30"/>
        </w:numPr>
        <w:tabs>
          <w:tab w:val="num" w:pos="993"/>
        </w:tabs>
        <w:spacing w:after="120"/>
        <w:ind w:left="993" w:hanging="426"/>
        <w:rPr>
          <w:color w:val="595959" w:themeColor="text1" w:themeTint="A6"/>
        </w:rPr>
      </w:pPr>
      <w:r w:rsidRPr="008625DC">
        <w:rPr>
          <w:color w:val="595959" w:themeColor="text1" w:themeTint="A6"/>
        </w:rPr>
        <w:lastRenderedPageBreak/>
        <w:t>as a lead</w:t>
      </w:r>
      <w:r w:rsidR="00C74E19" w:rsidRPr="008625DC">
        <w:rPr>
          <w:color w:val="595959" w:themeColor="text1" w:themeTint="A6"/>
        </w:rPr>
        <w:noBreakHyphen/>
      </w:r>
      <w:r w:rsidRPr="008625DC">
        <w:rPr>
          <w:color w:val="595959" w:themeColor="text1" w:themeTint="A6"/>
        </w:rPr>
        <w:t>in to competition or consumer protection enforcement action when anti</w:t>
      </w:r>
      <w:r w:rsidR="00C74E19" w:rsidRPr="008625DC">
        <w:rPr>
          <w:color w:val="595959" w:themeColor="text1" w:themeTint="A6"/>
        </w:rPr>
        <w:noBreakHyphen/>
      </w:r>
      <w:r w:rsidRPr="008625DC">
        <w:rPr>
          <w:color w:val="595959" w:themeColor="text1" w:themeTint="A6"/>
        </w:rPr>
        <w:t xml:space="preserve">competitive behaviour is suspected in a sector but the exact nature and source of the problem is unknown; </w:t>
      </w:r>
    </w:p>
    <w:p w14:paraId="0C7D76D9" w14:textId="2A5DBFB8" w:rsidR="00E751D7" w:rsidRPr="008625DC" w:rsidRDefault="00E751D7" w:rsidP="00153EBE">
      <w:pPr>
        <w:numPr>
          <w:ilvl w:val="0"/>
          <w:numId w:val="30"/>
        </w:numPr>
        <w:tabs>
          <w:tab w:val="num" w:pos="993"/>
        </w:tabs>
        <w:spacing w:after="120"/>
        <w:ind w:left="993" w:hanging="426"/>
        <w:rPr>
          <w:color w:val="595959" w:themeColor="text1" w:themeTint="A6"/>
        </w:rPr>
      </w:pPr>
      <w:r w:rsidRPr="008625DC">
        <w:rPr>
          <w:color w:val="595959" w:themeColor="text1" w:themeTint="A6"/>
        </w:rPr>
        <w:t xml:space="preserve">to identify a systemic market failure (instead of ad hoc compliance action against individual firms) and to better target a response (whether, for example, though enforcement action or compliance education); </w:t>
      </w:r>
    </w:p>
    <w:p w14:paraId="1DE8D18A" w14:textId="1129795C" w:rsidR="00E751D7" w:rsidRPr="008625DC" w:rsidRDefault="00E751D7" w:rsidP="00153EBE">
      <w:pPr>
        <w:numPr>
          <w:ilvl w:val="0"/>
          <w:numId w:val="30"/>
        </w:numPr>
        <w:tabs>
          <w:tab w:val="num" w:pos="993"/>
        </w:tabs>
        <w:spacing w:after="120"/>
        <w:ind w:left="993" w:hanging="426"/>
        <w:rPr>
          <w:color w:val="595959" w:themeColor="text1" w:themeTint="A6"/>
        </w:rPr>
      </w:pPr>
      <w:r w:rsidRPr="008625DC">
        <w:rPr>
          <w:color w:val="595959" w:themeColor="text1" w:themeTint="A6"/>
        </w:rPr>
        <w:t xml:space="preserve">to identify market problems where affected parties are disadvantaged and either have difficulty making a complaint to the ACCC or accessing the legal system to take private action; </w:t>
      </w:r>
    </w:p>
    <w:p w14:paraId="07BB68B0" w14:textId="0B4BDFAA" w:rsidR="00E751D7" w:rsidRPr="008625DC" w:rsidRDefault="00E751D7" w:rsidP="00153EBE">
      <w:pPr>
        <w:numPr>
          <w:ilvl w:val="0"/>
          <w:numId w:val="30"/>
        </w:numPr>
        <w:tabs>
          <w:tab w:val="num" w:pos="993"/>
        </w:tabs>
        <w:spacing w:after="120"/>
        <w:ind w:left="993" w:hanging="426"/>
        <w:rPr>
          <w:color w:val="595959" w:themeColor="text1" w:themeTint="A6"/>
        </w:rPr>
      </w:pPr>
      <w:r w:rsidRPr="008625DC">
        <w:rPr>
          <w:color w:val="595959" w:themeColor="text1" w:themeTint="A6"/>
        </w:rPr>
        <w:t xml:space="preserve">to address public interest or concern about markets not functioning in a competitive way; the market study could either confirm such concerns, and propose some solutions, or reveal them to be unfounded; or </w:t>
      </w:r>
    </w:p>
    <w:p w14:paraId="3BABDB57" w14:textId="762CE4DA" w:rsidR="00E751D7" w:rsidRPr="008625DC" w:rsidRDefault="00E751D7" w:rsidP="00153EBE">
      <w:pPr>
        <w:numPr>
          <w:ilvl w:val="0"/>
          <w:numId w:val="30"/>
        </w:numPr>
        <w:tabs>
          <w:tab w:val="num" w:pos="993"/>
        </w:tabs>
        <w:ind w:left="993" w:hanging="426"/>
        <w:rPr>
          <w:color w:val="595959" w:themeColor="text1" w:themeTint="A6"/>
        </w:rPr>
      </w:pPr>
      <w:r w:rsidRPr="008625DC">
        <w:rPr>
          <w:color w:val="595959" w:themeColor="text1" w:themeTint="A6"/>
        </w:rPr>
        <w:t>to fact</w:t>
      </w:r>
      <w:r w:rsidR="00C74E19" w:rsidRPr="008625DC">
        <w:rPr>
          <w:color w:val="595959" w:themeColor="text1" w:themeTint="A6"/>
        </w:rPr>
        <w:noBreakHyphen/>
      </w:r>
      <w:r w:rsidRPr="008625DC">
        <w:rPr>
          <w:color w:val="595959" w:themeColor="text1" w:themeTint="A6"/>
        </w:rPr>
        <w:t>find to enhance the ACCC</w:t>
      </w:r>
      <w:r w:rsidR="00C74E19" w:rsidRPr="008625DC">
        <w:rPr>
          <w:color w:val="595959" w:themeColor="text1" w:themeTint="A6"/>
        </w:rPr>
        <w:t>’</w:t>
      </w:r>
      <w:r w:rsidRPr="008625DC">
        <w:rPr>
          <w:color w:val="595959" w:themeColor="text1" w:themeTint="A6"/>
        </w:rPr>
        <w:t>s knowledge of a specific market or sector, particularly</w:t>
      </w:r>
      <w:r w:rsidR="00787DCF" w:rsidRPr="008625DC">
        <w:rPr>
          <w:color w:val="595959" w:themeColor="text1" w:themeTint="A6"/>
        </w:rPr>
        <w:t xml:space="preserve"> </w:t>
      </w:r>
      <w:r w:rsidR="00EE0D03">
        <w:rPr>
          <w:color w:val="595959" w:themeColor="text1" w:themeTint="A6"/>
        </w:rPr>
        <w:t>w</w:t>
      </w:r>
      <w:r w:rsidR="00153EBE" w:rsidRPr="008625DC">
        <w:rPr>
          <w:color w:val="595959" w:themeColor="text1" w:themeTint="A6"/>
        </w:rPr>
        <w:t>here</w:t>
      </w:r>
      <w:r w:rsidRPr="008625DC">
        <w:rPr>
          <w:color w:val="595959" w:themeColor="text1" w:themeTint="A6"/>
        </w:rPr>
        <w:t xml:space="preserve"> a market is rapidly changing, and raises issues across the ACCC</w:t>
      </w:r>
      <w:r w:rsidR="00C74E19" w:rsidRPr="008625DC">
        <w:rPr>
          <w:color w:val="595959" w:themeColor="text1" w:themeTint="A6"/>
        </w:rPr>
        <w:t>’</w:t>
      </w:r>
      <w:r w:rsidRPr="008625DC">
        <w:rPr>
          <w:color w:val="595959" w:themeColor="text1" w:themeTint="A6"/>
        </w:rPr>
        <w:t>s functions</w:t>
      </w:r>
      <w:r w:rsidR="000F5EF9" w:rsidRPr="008625DC">
        <w:rPr>
          <w:color w:val="595959" w:themeColor="text1" w:themeTint="A6"/>
        </w:rPr>
        <w:t>.</w:t>
      </w:r>
      <w:r w:rsidRPr="008625DC">
        <w:rPr>
          <w:color w:val="595959" w:themeColor="text1" w:themeTint="A6"/>
        </w:rPr>
        <w:t xml:space="preserve"> (</w:t>
      </w:r>
      <w:r w:rsidR="00225293" w:rsidRPr="008625DC">
        <w:rPr>
          <w:color w:val="595959" w:themeColor="text1" w:themeTint="A6"/>
        </w:rPr>
        <w:t xml:space="preserve">ACCC </w:t>
      </w:r>
      <w:r w:rsidR="00D04174" w:rsidRPr="008625DC">
        <w:rPr>
          <w:color w:val="595959" w:themeColor="text1" w:themeTint="A6"/>
        </w:rPr>
        <w:t>S</w:t>
      </w:r>
      <w:r w:rsidR="00225293" w:rsidRPr="008625DC">
        <w:rPr>
          <w:color w:val="595959" w:themeColor="text1" w:themeTint="A6"/>
        </w:rPr>
        <w:t>ubmission 1</w:t>
      </w:r>
      <w:r w:rsidR="00B15334" w:rsidRPr="008625DC">
        <w:rPr>
          <w:color w:val="595959" w:themeColor="text1" w:themeTint="A6"/>
        </w:rPr>
        <w:t>,</w:t>
      </w:r>
      <w:r w:rsidR="00225293" w:rsidRPr="008625DC">
        <w:rPr>
          <w:color w:val="595959" w:themeColor="text1" w:themeTint="A6"/>
        </w:rPr>
        <w:t xml:space="preserve"> </w:t>
      </w:r>
      <w:r w:rsidR="008D2F63" w:rsidRPr="008625DC">
        <w:rPr>
          <w:color w:val="595959" w:themeColor="text1" w:themeTint="A6"/>
        </w:rPr>
        <w:t>page </w:t>
      </w:r>
      <w:r w:rsidRPr="008625DC">
        <w:rPr>
          <w:color w:val="595959" w:themeColor="text1" w:themeTint="A6"/>
        </w:rPr>
        <w:t>138)</w:t>
      </w:r>
    </w:p>
    <w:p w14:paraId="17C253BB" w14:textId="68FFA5B8" w:rsidR="00DB243A" w:rsidRPr="008625DC" w:rsidRDefault="00DB243A" w:rsidP="00447D7A">
      <w:r w:rsidRPr="008625DC">
        <w:t>While international experience favours embedding a market studies function within the competition regulator, this approach may lead to conflicts between policy and regulation/enforcement functions. As the Monash Business Policy Forum states</w:t>
      </w:r>
      <w:r w:rsidR="001E0E0A" w:rsidRPr="008625DC">
        <w:t>,</w:t>
      </w:r>
      <w:r w:rsidRPr="008625DC">
        <w:t xml:space="preserve"> </w:t>
      </w:r>
      <w:r w:rsidR="00C74E19" w:rsidRPr="008625DC">
        <w:t>‘</w:t>
      </w:r>
      <w:r w:rsidRPr="008625DC">
        <w:t>separation of policy design and implementation is key to effective regulatory agencies</w:t>
      </w:r>
      <w:r w:rsidR="00AA4806">
        <w:t xml:space="preserve"> </w:t>
      </w:r>
      <w:r w:rsidRPr="008625DC">
        <w:t>…</w:t>
      </w:r>
      <w:r w:rsidR="00AA4806">
        <w:t xml:space="preserve"> </w:t>
      </w:r>
      <w:r w:rsidRPr="008625DC">
        <w:t>regulators should be explicitly excluded from policy development</w:t>
      </w:r>
      <w:r w:rsidR="00C74E19" w:rsidRPr="008625DC">
        <w:t>’</w:t>
      </w:r>
      <w:r w:rsidR="00AA4806">
        <w:t>.</w:t>
      </w:r>
      <w:r w:rsidRPr="008625DC">
        <w:t xml:space="preserve"> (</w:t>
      </w:r>
      <w:r w:rsidR="00AA380B" w:rsidRPr="008625DC">
        <w:t xml:space="preserve">pages </w:t>
      </w:r>
      <w:r w:rsidRPr="008625DC">
        <w:t>13 and 17)</w:t>
      </w:r>
    </w:p>
    <w:p w14:paraId="6EAC5DD8" w14:textId="1D582F00" w:rsidR="00E778BF" w:rsidRPr="008625DC" w:rsidRDefault="00DB584A" w:rsidP="00447D7A">
      <w:r w:rsidRPr="008625DC">
        <w:t>Typically</w:t>
      </w:r>
      <w:r w:rsidR="00E778BF" w:rsidRPr="008625DC">
        <w:t>, a market study will seek to understand the workings of a market with a view to identifying any factors that prevent or distort competition, efficiency, or consumer welfare.</w:t>
      </w:r>
    </w:p>
    <w:p w14:paraId="63D291A0" w14:textId="0C76CA5E" w:rsidR="00DB243A" w:rsidRPr="008625DC" w:rsidRDefault="00DB243A" w:rsidP="00447D7A">
      <w:r w:rsidRPr="008625DC">
        <w:t>The Panel favours an approach to market studies that is clearly separate from the enforcement function. The market stud</w:t>
      </w:r>
      <w:r w:rsidR="001E0E0A" w:rsidRPr="008625DC">
        <w:t>ies</w:t>
      </w:r>
      <w:r w:rsidRPr="008625DC">
        <w:t xml:space="preserve"> function would therefore be separate from the necessarily adversarial nature of enforcement under the CCA. It would seek instead to focus on understanding the range of factors</w:t>
      </w:r>
      <w:r w:rsidR="00380141" w:rsidRPr="008625DC">
        <w:t xml:space="preserve"> — </w:t>
      </w:r>
      <w:r w:rsidRPr="008625DC">
        <w:t>government or otherwise</w:t>
      </w:r>
      <w:r w:rsidR="00380141" w:rsidRPr="008625DC">
        <w:t xml:space="preserve"> — </w:t>
      </w:r>
      <w:r w:rsidRPr="008625DC">
        <w:t xml:space="preserve">that shape the level of competition in </w:t>
      </w:r>
      <w:r w:rsidR="001E0E0A" w:rsidRPr="008625DC">
        <w:t>a</w:t>
      </w:r>
      <w:r w:rsidRPr="008625DC">
        <w:t xml:space="preserve"> market.</w:t>
      </w:r>
    </w:p>
    <w:p w14:paraId="6854EA62" w14:textId="62E0F28F" w:rsidR="000F614A" w:rsidRPr="008625DC" w:rsidRDefault="00DB243A" w:rsidP="00447D7A">
      <w:r w:rsidRPr="008625DC">
        <w:t xml:space="preserve">A market study should consider the framework, structure and rules which govern a market. </w:t>
      </w:r>
      <w:r w:rsidR="000F614A" w:rsidRPr="008625DC">
        <w:t>Recommendations could be made to implement changes in any of these areas, either through changes to regulation that directly determine the shape of the market, or to regulation that has the unintended consequence of reducing competition in the market, for example</w:t>
      </w:r>
      <w:r w:rsidR="001E0E0A" w:rsidRPr="008625DC">
        <w:t>,</w:t>
      </w:r>
      <w:r w:rsidR="000F614A" w:rsidRPr="008625DC">
        <w:t xml:space="preserve"> </w:t>
      </w:r>
      <w:r w:rsidR="001E0E0A" w:rsidRPr="008625DC">
        <w:t>by</w:t>
      </w:r>
      <w:r w:rsidR="000F614A" w:rsidRPr="008625DC">
        <w:t xml:space="preserve"> affecting entry into or exit from the market</w:t>
      </w:r>
      <w:r w:rsidR="00380141" w:rsidRPr="008625DC">
        <w:t xml:space="preserve">. </w:t>
      </w:r>
    </w:p>
    <w:p w14:paraId="28E91653" w14:textId="3D3834A1" w:rsidR="00DB243A" w:rsidRPr="008625DC" w:rsidRDefault="000F614A" w:rsidP="008D2F63">
      <w:r w:rsidRPr="008625DC">
        <w:t xml:space="preserve">A market study is </w:t>
      </w:r>
      <w:r w:rsidR="00DB243A" w:rsidRPr="008625DC">
        <w:t>not necessarily conduct</w:t>
      </w:r>
      <w:r w:rsidR="00C74E19" w:rsidRPr="008625DC">
        <w:noBreakHyphen/>
      </w:r>
      <w:r w:rsidR="00DB243A" w:rsidRPr="008625DC">
        <w:t>based and therefore</w:t>
      </w:r>
      <w:r w:rsidRPr="008625DC">
        <w:t xml:space="preserve"> is</w:t>
      </w:r>
      <w:r w:rsidR="00DB243A" w:rsidRPr="008625DC">
        <w:t xml:space="preserve"> not a precursor to enforcement action. Rather, where there are conduct concerns, the market studies body could refer its concerns to the ACCC for appropriate investigation.</w:t>
      </w:r>
    </w:p>
    <w:p w14:paraId="3CBBF489" w14:textId="7409E7E0" w:rsidR="00E751D7" w:rsidRPr="008625DC" w:rsidRDefault="00E751D7" w:rsidP="008D2F63">
      <w:r w:rsidRPr="008625DC">
        <w:t>In Australia, there is no dedicated market stud</w:t>
      </w:r>
      <w:r w:rsidR="001E0E0A" w:rsidRPr="008625DC">
        <w:t>ies</w:t>
      </w:r>
      <w:r w:rsidRPr="008625DC">
        <w:t xml:space="preserve"> body to examine the competitive dynamics of particular markets in a systematic way.</w:t>
      </w:r>
      <w:r w:rsidR="00787DCF" w:rsidRPr="008625DC">
        <w:t xml:space="preserve"> </w:t>
      </w:r>
      <w:r w:rsidRPr="008625DC">
        <w:t>Currently, inquiries into these issues are conducted on an ad</w:t>
      </w:r>
      <w:r w:rsidR="001E0E0A" w:rsidRPr="008625DC">
        <w:t> </w:t>
      </w:r>
      <w:r w:rsidRPr="008625DC">
        <w:t xml:space="preserve">hoc basis by, for example, the ACCC, the PC or </w:t>
      </w:r>
      <w:r w:rsidR="00F4613E" w:rsidRPr="008625DC">
        <w:t>state</w:t>
      </w:r>
      <w:r w:rsidR="00031F7E" w:rsidRPr="008625DC">
        <w:t xml:space="preserve"> and </w:t>
      </w:r>
      <w:r w:rsidR="00F4613E" w:rsidRPr="008625DC">
        <w:t>t</w:t>
      </w:r>
      <w:r w:rsidR="00031F7E" w:rsidRPr="008625DC">
        <w:t>erritory regulators</w:t>
      </w:r>
      <w:r w:rsidRPr="008625DC">
        <w:t>.</w:t>
      </w:r>
    </w:p>
    <w:p w14:paraId="100EF2C5" w14:textId="1CD7361E" w:rsidR="00E751D7" w:rsidRPr="008625DC" w:rsidRDefault="00E751D7" w:rsidP="008D2F63">
      <w:pPr>
        <w:autoSpaceDE w:val="0"/>
        <w:autoSpaceDN w:val="0"/>
        <w:adjustRightInd w:val="0"/>
        <w:spacing w:after="120"/>
      </w:pPr>
      <w:r w:rsidRPr="008625DC">
        <w:t>The ACCC</w:t>
      </w:r>
      <w:r w:rsidR="00C74E19" w:rsidRPr="008625DC">
        <w:t>’</w:t>
      </w:r>
      <w:r w:rsidRPr="008625DC">
        <w:t>s submission notes its role in market studies:</w:t>
      </w:r>
    </w:p>
    <w:p w14:paraId="37FCF5EC" w14:textId="4D6BFFB8" w:rsidR="00E8226D" w:rsidRPr="008625DC" w:rsidRDefault="00E8226D" w:rsidP="00153EBE">
      <w:pPr>
        <w:ind w:left="567" w:right="425"/>
        <w:rPr>
          <w:color w:val="595959" w:themeColor="text1" w:themeTint="A6"/>
        </w:rPr>
      </w:pPr>
      <w:r w:rsidRPr="008625DC">
        <w:rPr>
          <w:color w:val="595959" w:themeColor="text1" w:themeTint="A6"/>
        </w:rPr>
        <w:t>The ACCC currently has some scope to conduct market studies. Under section 28 of the CCA, the ACCC has functions in relation to dissemination of information, law reform and research although the information gathering powers set out in the CCA do not apply to this section.</w:t>
      </w:r>
      <w:r w:rsidRPr="008625DC">
        <w:rPr>
          <w:color w:val="595959" w:themeColor="text1" w:themeTint="A6"/>
          <w:sz w:val="14"/>
        </w:rPr>
        <w:t xml:space="preserve"> </w:t>
      </w:r>
      <w:r w:rsidRPr="008625DC">
        <w:rPr>
          <w:color w:val="595959" w:themeColor="text1" w:themeTint="A6"/>
        </w:rPr>
        <w:t xml:space="preserve">Under Part VIIA of the CCA, the Minister may require the ACCC or another </w:t>
      </w:r>
      <w:r w:rsidRPr="008625DC">
        <w:rPr>
          <w:color w:val="595959" w:themeColor="text1" w:themeTint="A6"/>
        </w:rPr>
        <w:lastRenderedPageBreak/>
        <w:t>body to hold a price inquiry. The ACCC may also hold such inquiries with the Minister</w:t>
      </w:r>
      <w:r w:rsidR="00C74E19" w:rsidRPr="008625DC">
        <w:rPr>
          <w:color w:val="595959" w:themeColor="text1" w:themeTint="A6"/>
        </w:rPr>
        <w:t>’</w:t>
      </w:r>
      <w:r w:rsidRPr="008625DC">
        <w:rPr>
          <w:color w:val="595959" w:themeColor="text1" w:themeTint="A6"/>
        </w:rPr>
        <w:t>s approval</w:t>
      </w:r>
      <w:r w:rsidR="008D2F63" w:rsidRPr="008625DC">
        <w:rPr>
          <w:color w:val="595959" w:themeColor="text1" w:themeTint="A6"/>
        </w:rPr>
        <w:t>.</w:t>
      </w:r>
      <w:r w:rsidR="00E751D7" w:rsidRPr="008625DC">
        <w:rPr>
          <w:color w:val="595959" w:themeColor="text1" w:themeTint="A6"/>
        </w:rPr>
        <w:t xml:space="preserve"> (</w:t>
      </w:r>
      <w:r w:rsidR="00225293" w:rsidRPr="008625DC">
        <w:rPr>
          <w:color w:val="595959" w:themeColor="text1" w:themeTint="A6"/>
        </w:rPr>
        <w:t xml:space="preserve">ACCC </w:t>
      </w:r>
      <w:r w:rsidR="00D04174" w:rsidRPr="008625DC">
        <w:rPr>
          <w:color w:val="595959" w:themeColor="text1" w:themeTint="A6"/>
        </w:rPr>
        <w:t>S</w:t>
      </w:r>
      <w:r w:rsidR="00225293" w:rsidRPr="008625DC">
        <w:rPr>
          <w:color w:val="595959" w:themeColor="text1" w:themeTint="A6"/>
        </w:rPr>
        <w:t>ubmission 1</w:t>
      </w:r>
      <w:r w:rsidR="00B15334" w:rsidRPr="008625DC">
        <w:rPr>
          <w:color w:val="595959" w:themeColor="text1" w:themeTint="A6"/>
        </w:rPr>
        <w:t>,</w:t>
      </w:r>
      <w:r w:rsidR="00225293" w:rsidRPr="008625DC">
        <w:rPr>
          <w:color w:val="595959" w:themeColor="text1" w:themeTint="A6"/>
        </w:rPr>
        <w:t xml:space="preserve"> </w:t>
      </w:r>
      <w:r w:rsidR="00AA380B" w:rsidRPr="008625DC">
        <w:rPr>
          <w:color w:val="595959" w:themeColor="text1" w:themeTint="A6"/>
        </w:rPr>
        <w:t xml:space="preserve">page </w:t>
      </w:r>
      <w:r w:rsidR="00E751D7" w:rsidRPr="008625DC">
        <w:rPr>
          <w:color w:val="595959" w:themeColor="text1" w:themeTint="A6"/>
        </w:rPr>
        <w:t>139)</w:t>
      </w:r>
    </w:p>
    <w:p w14:paraId="342F061C" w14:textId="205DD0AF" w:rsidR="00E53677" w:rsidRPr="008625DC" w:rsidRDefault="00E751D7" w:rsidP="008D2F63">
      <w:pPr>
        <w:spacing w:after="220"/>
      </w:pPr>
      <w:r w:rsidRPr="008625DC">
        <w:t xml:space="preserve">While the ACCC, the PC and </w:t>
      </w:r>
      <w:r w:rsidR="008D2F63" w:rsidRPr="008625DC">
        <w:t xml:space="preserve">state and territory </w:t>
      </w:r>
      <w:r w:rsidR="00031F7E" w:rsidRPr="008625DC">
        <w:t>regulators</w:t>
      </w:r>
      <w:r w:rsidRPr="008625DC">
        <w:t xml:space="preserve"> have each conducted studies into particular markets, none of these bodies </w:t>
      </w:r>
      <w:r w:rsidR="001E0E0A" w:rsidRPr="008625DC">
        <w:t>i</w:t>
      </w:r>
      <w:r w:rsidRPr="008625DC">
        <w:t>s specifically designed to conduct market studies</w:t>
      </w:r>
      <w:r w:rsidR="001019DF" w:rsidRPr="008625DC">
        <w:t>.</w:t>
      </w:r>
      <w:r w:rsidRPr="008625DC">
        <w:t xml:space="preserve"> </w:t>
      </w:r>
      <w:r w:rsidR="000F614A" w:rsidRPr="008625DC">
        <w:t xml:space="preserve">Having the ACCC conduct market studies could encourage the perception that they </w:t>
      </w:r>
      <w:r w:rsidR="001E0E0A" w:rsidRPr="008625DC">
        <w:t>are a precursor</w:t>
      </w:r>
      <w:r w:rsidR="000F614A" w:rsidRPr="008625DC">
        <w:t xml:space="preserve"> </w:t>
      </w:r>
      <w:r w:rsidR="001E0E0A" w:rsidRPr="008625DC">
        <w:t>to</w:t>
      </w:r>
      <w:r w:rsidR="000F614A" w:rsidRPr="008625DC">
        <w:t xml:space="preserve"> enforcement</w:t>
      </w:r>
      <w:r w:rsidR="001E0E0A" w:rsidRPr="008625DC">
        <w:t xml:space="preserve"> action</w:t>
      </w:r>
      <w:r w:rsidR="000F614A" w:rsidRPr="008625DC">
        <w:t>.</w:t>
      </w:r>
    </w:p>
    <w:p w14:paraId="713B3624" w14:textId="4CD074BA" w:rsidR="00660F63" w:rsidRPr="008625DC" w:rsidRDefault="00660F63" w:rsidP="008D2F63">
      <w:pPr>
        <w:spacing w:after="220"/>
      </w:pPr>
      <w:r w:rsidRPr="008625DC">
        <w:rPr>
          <w:color w:val="auto"/>
        </w:rPr>
        <w:t>The usefulness of a market study will depend on the information acquire</w:t>
      </w:r>
      <w:r w:rsidR="001E0E0A" w:rsidRPr="008625DC">
        <w:rPr>
          <w:color w:val="auto"/>
        </w:rPr>
        <w:t>d</w:t>
      </w:r>
      <w:r w:rsidRPr="008625DC">
        <w:rPr>
          <w:color w:val="auto"/>
        </w:rPr>
        <w:t xml:space="preserve">. </w:t>
      </w:r>
      <w:r w:rsidR="00153EBE" w:rsidRPr="008625DC">
        <w:rPr>
          <w:color w:val="auto"/>
        </w:rPr>
        <w:t>Most</w:t>
      </w:r>
      <w:r w:rsidRPr="008625DC">
        <w:rPr>
          <w:color w:val="auto"/>
        </w:rPr>
        <w:t xml:space="preserve"> market stud</w:t>
      </w:r>
      <w:r w:rsidR="00B827FB" w:rsidRPr="008625DC">
        <w:rPr>
          <w:color w:val="auto"/>
        </w:rPr>
        <w:t>ies</w:t>
      </w:r>
      <w:r w:rsidRPr="008625DC">
        <w:rPr>
          <w:color w:val="auto"/>
        </w:rPr>
        <w:t xml:space="preserve"> bodies </w:t>
      </w:r>
      <w:r w:rsidR="00153EBE" w:rsidRPr="008625DC">
        <w:rPr>
          <w:color w:val="auto"/>
        </w:rPr>
        <w:t xml:space="preserve">in other countries </w:t>
      </w:r>
      <w:r w:rsidRPr="008625DC">
        <w:t>have mandatory information</w:t>
      </w:r>
      <w:r w:rsidR="00C74E19" w:rsidRPr="008625DC">
        <w:noBreakHyphen/>
      </w:r>
      <w:r w:rsidRPr="008625DC">
        <w:t>gathering powers. The rationale for mandatory powers is that they help to ensure that a market study builds an accurate picture of the market.</w:t>
      </w:r>
    </w:p>
    <w:p w14:paraId="079901DC" w14:textId="45ACD6D1" w:rsidR="00660F63" w:rsidRPr="008625DC" w:rsidRDefault="00660F63" w:rsidP="008D2F63">
      <w:pPr>
        <w:spacing w:after="220"/>
      </w:pPr>
      <w:r w:rsidRPr="008625DC">
        <w:t>However, mandatory information</w:t>
      </w:r>
      <w:r w:rsidR="00C74E19" w:rsidRPr="008625DC">
        <w:noBreakHyphen/>
      </w:r>
      <w:r w:rsidRPr="008625DC">
        <w:t>gathering powers are a significant legal imposition and there is a presumption that they should be used sparingly.</w:t>
      </w:r>
    </w:p>
    <w:p w14:paraId="13E9154A" w14:textId="013896A8" w:rsidR="00660F63" w:rsidRPr="008625DC" w:rsidRDefault="00153EBE" w:rsidP="008D2F63">
      <w:pPr>
        <w:spacing w:after="220"/>
      </w:pPr>
      <w:r w:rsidRPr="008625DC">
        <w:t>The</w:t>
      </w:r>
      <w:r w:rsidR="00660F63" w:rsidRPr="008625DC">
        <w:t xml:space="preserve"> PC </w:t>
      </w:r>
      <w:r w:rsidRPr="008625DC">
        <w:t>has</w:t>
      </w:r>
      <w:r w:rsidR="00660F63" w:rsidRPr="008625DC">
        <w:t xml:space="preserve"> information</w:t>
      </w:r>
      <w:r w:rsidR="00C74E19" w:rsidRPr="008625DC">
        <w:noBreakHyphen/>
      </w:r>
      <w:r w:rsidR="00660F63" w:rsidRPr="008625DC">
        <w:t xml:space="preserve">gathering powers in relation to its inquiries under section 48 of the </w:t>
      </w:r>
      <w:r w:rsidR="00660F63" w:rsidRPr="008625DC">
        <w:rPr>
          <w:i/>
        </w:rPr>
        <w:t>Productivity Commission Act 1998</w:t>
      </w:r>
      <w:r w:rsidR="00660F63" w:rsidRPr="008625DC">
        <w:t xml:space="preserve"> </w:t>
      </w:r>
      <w:r w:rsidRPr="008625DC">
        <w:t xml:space="preserve">(Cth) </w:t>
      </w:r>
      <w:r w:rsidR="00660F63" w:rsidRPr="008625DC">
        <w:t>but generally chooses not to use them, relying instead on information voluntarily submitted by interested parties. That said, the ability of the PC to draw upon these powers if required may act as an incentive for parties to provide information voluntarily.</w:t>
      </w:r>
    </w:p>
    <w:p w14:paraId="6FE26C7B" w14:textId="3B320B37" w:rsidR="00660F63" w:rsidRPr="008625DC" w:rsidRDefault="00660F63" w:rsidP="00660F63">
      <w:r w:rsidRPr="008625DC">
        <w:rPr>
          <w:szCs w:val="22"/>
        </w:rPr>
        <w:t xml:space="preserve">On balance, the use of </w:t>
      </w:r>
      <w:r w:rsidRPr="008625DC">
        <w:t>mandatory information</w:t>
      </w:r>
      <w:r w:rsidR="00C74E19" w:rsidRPr="008625DC">
        <w:noBreakHyphen/>
      </w:r>
      <w:r w:rsidRPr="008625DC">
        <w:t xml:space="preserve">gathering powers in market studies may create an adversarial environment, where participants show reluctance to </w:t>
      </w:r>
      <w:r w:rsidR="00153EBE" w:rsidRPr="008625DC">
        <w:t>cooperate</w:t>
      </w:r>
      <w:r w:rsidRPr="008625DC">
        <w:t xml:space="preserve"> and share information with the body. The approach adopted by the PC</w:t>
      </w:r>
      <w:r w:rsidR="001E0E0A" w:rsidRPr="008625DC">
        <w:t xml:space="preserve"> </w:t>
      </w:r>
      <w:r w:rsidRPr="008625DC">
        <w:t>—</w:t>
      </w:r>
      <w:r w:rsidR="001E0E0A" w:rsidRPr="008625DC">
        <w:t xml:space="preserve"> </w:t>
      </w:r>
      <w:r w:rsidRPr="008625DC">
        <w:t>inviting interested parties to comment on issues and undertaking independent research</w:t>
      </w:r>
      <w:r w:rsidR="00C34D67" w:rsidRPr="008625DC">
        <w:t>, while having the power to compel production of information</w:t>
      </w:r>
      <w:r w:rsidR="001E0E0A" w:rsidRPr="008625DC">
        <w:t xml:space="preserve"> </w:t>
      </w:r>
      <w:r w:rsidRPr="008625DC">
        <w:t>—</w:t>
      </w:r>
      <w:r w:rsidR="001E0E0A" w:rsidRPr="008625DC">
        <w:t xml:space="preserve"> </w:t>
      </w:r>
      <w:r w:rsidRPr="008625DC">
        <w:t>appears to achieve desired outcomes without the need to invoke mandatory legal powers.</w:t>
      </w:r>
    </w:p>
    <w:p w14:paraId="754F4066" w14:textId="0B5F3B45" w:rsidR="00E778BF" w:rsidRPr="008625DC" w:rsidRDefault="00E778BF" w:rsidP="00447D7A">
      <w:pPr>
        <w:pStyle w:val="Heading4"/>
      </w:pPr>
      <w:r w:rsidRPr="008625DC">
        <w:t>Outcomes of studies</w:t>
      </w:r>
    </w:p>
    <w:p w14:paraId="0B5AE4A0" w14:textId="77777777" w:rsidR="00BC0967" w:rsidRPr="008625DC" w:rsidRDefault="00153EBE" w:rsidP="00153EBE">
      <w:pPr>
        <w:spacing w:before="0" w:after="60"/>
        <w:rPr>
          <w:color w:val="auto"/>
        </w:rPr>
      </w:pPr>
      <w:r w:rsidRPr="008625DC">
        <w:t>The</w:t>
      </w:r>
      <w:r w:rsidR="004677BB" w:rsidRPr="008625DC">
        <w:t xml:space="preserve"> </w:t>
      </w:r>
      <w:r w:rsidR="00242749" w:rsidRPr="008625DC">
        <w:t xml:space="preserve">former </w:t>
      </w:r>
      <w:r w:rsidR="00BC0967" w:rsidRPr="008625DC">
        <w:rPr>
          <w:color w:val="auto"/>
        </w:rPr>
        <w:t xml:space="preserve">UK Office of Fair Trading </w:t>
      </w:r>
      <w:r w:rsidR="00BC0967" w:rsidRPr="008625DC" w:rsidDel="004677BB">
        <w:rPr>
          <w:color w:val="auto"/>
        </w:rPr>
        <w:t xml:space="preserve">paper </w:t>
      </w:r>
      <w:r w:rsidR="00BC0967" w:rsidRPr="008625DC">
        <w:rPr>
          <w:color w:val="auto"/>
        </w:rPr>
        <w:t xml:space="preserve">notes that options available at the conclusion of </w:t>
      </w:r>
      <w:r w:rsidR="001019DF" w:rsidRPr="008625DC">
        <w:rPr>
          <w:color w:val="auto"/>
        </w:rPr>
        <w:t>their</w:t>
      </w:r>
      <w:r w:rsidR="00BC0967" w:rsidRPr="008625DC">
        <w:rPr>
          <w:color w:val="auto"/>
        </w:rPr>
        <w:t xml:space="preserve"> market </w:t>
      </w:r>
      <w:r w:rsidR="001019DF" w:rsidRPr="008625DC">
        <w:rPr>
          <w:color w:val="auto"/>
        </w:rPr>
        <w:t>studies</w:t>
      </w:r>
      <w:r w:rsidR="00BC0967" w:rsidRPr="008625DC">
        <w:rPr>
          <w:color w:val="auto"/>
        </w:rPr>
        <w:t xml:space="preserve"> include:</w:t>
      </w:r>
    </w:p>
    <w:p w14:paraId="139493AE" w14:textId="1CDE5534" w:rsidR="009025D5" w:rsidRPr="008625DC" w:rsidRDefault="009025D5" w:rsidP="003D18B9">
      <w:pPr>
        <w:pStyle w:val="Bullet"/>
      </w:pPr>
      <w:r w:rsidRPr="008625DC">
        <w:t>improving the quality and accessibility of information for consumers</w:t>
      </w:r>
    </w:p>
    <w:p w14:paraId="77C0FFBE" w14:textId="31B26A1B" w:rsidR="009025D5" w:rsidRPr="008625DC" w:rsidRDefault="009025D5" w:rsidP="003D18B9">
      <w:pPr>
        <w:pStyle w:val="Bullet"/>
      </w:pPr>
      <w:r w:rsidRPr="008625DC">
        <w:t>encouraging businesses in the market to self</w:t>
      </w:r>
      <w:r w:rsidR="00C74E19" w:rsidRPr="008625DC">
        <w:noBreakHyphen/>
      </w:r>
      <w:r w:rsidRPr="008625DC">
        <w:t>regulate</w:t>
      </w:r>
    </w:p>
    <w:p w14:paraId="6636F640" w14:textId="11327050" w:rsidR="009025D5" w:rsidRPr="008625DC" w:rsidRDefault="009025D5" w:rsidP="003D18B9">
      <w:pPr>
        <w:pStyle w:val="Bullet"/>
      </w:pPr>
      <w:r w:rsidRPr="008625DC">
        <w:t>making recommendations to the Government to change regulations or public policy</w:t>
      </w:r>
    </w:p>
    <w:p w14:paraId="2823DB9D" w14:textId="431A5D27" w:rsidR="009025D5" w:rsidRPr="008625DC" w:rsidRDefault="009025D5" w:rsidP="003D18B9">
      <w:pPr>
        <w:pStyle w:val="Bullet"/>
      </w:pPr>
      <w:r w:rsidRPr="008625DC">
        <w:t>taking competition or consumer enforcement action, or</w:t>
      </w:r>
    </w:p>
    <w:p w14:paraId="44FFD263" w14:textId="0ACA5F1F" w:rsidR="009025D5" w:rsidRPr="008625DC" w:rsidRDefault="009025D5" w:rsidP="00447D7A">
      <w:pPr>
        <w:pStyle w:val="Bullet"/>
        <w:spacing w:after="240"/>
      </w:pPr>
      <w:r w:rsidRPr="008625DC">
        <w:t xml:space="preserve">making a market investigation reference to the </w:t>
      </w:r>
      <w:r w:rsidR="00BC0967" w:rsidRPr="008625DC">
        <w:t>[relevant authority</w:t>
      </w:r>
      <w:r w:rsidR="00DE123D" w:rsidRPr="008625DC">
        <w:t>].</w:t>
      </w:r>
      <w:r w:rsidR="00242749" w:rsidRPr="008625DC">
        <w:rPr>
          <w:vertAlign w:val="superscript"/>
        </w:rPr>
        <w:footnoteReference w:id="396"/>
      </w:r>
    </w:p>
    <w:p w14:paraId="354780F3" w14:textId="7DEBB3D8" w:rsidR="00BC0967" w:rsidRPr="008625DC" w:rsidRDefault="00BC0967" w:rsidP="00153EBE">
      <w:pPr>
        <w:spacing w:before="0"/>
      </w:pPr>
      <w:r w:rsidRPr="008625DC">
        <w:t>Importantly, findings and recommendations presented to government allow the market stud</w:t>
      </w:r>
      <w:r w:rsidR="001E0E0A" w:rsidRPr="008625DC">
        <w:t>ies</w:t>
      </w:r>
      <w:r w:rsidRPr="008625DC">
        <w:t xml:space="preserve"> body to dispel myths about the market and determine the effects on consumers without limiting the reform options for </w:t>
      </w:r>
      <w:r w:rsidR="001E0E0A" w:rsidRPr="008625DC">
        <w:t>g</w:t>
      </w:r>
      <w:r w:rsidRPr="008625DC">
        <w:t>overnm</w:t>
      </w:r>
      <w:r w:rsidR="001E0E0A" w:rsidRPr="008625DC">
        <w:t>ent.</w:t>
      </w:r>
      <w:r w:rsidRPr="008625DC">
        <w:t xml:space="preserve"> Ultimately, this provides </w:t>
      </w:r>
      <w:r w:rsidR="001E0E0A" w:rsidRPr="008625DC">
        <w:t>g</w:t>
      </w:r>
      <w:r w:rsidRPr="008625DC">
        <w:t>overnment with valuable information about the nature and extent of any problems but leave</w:t>
      </w:r>
      <w:r w:rsidR="001E0E0A" w:rsidRPr="008625DC">
        <w:t>s</w:t>
      </w:r>
      <w:r w:rsidRPr="008625DC">
        <w:t xml:space="preserve"> maximum flexibility for policy responses.</w:t>
      </w:r>
      <w:r w:rsidR="00787DCF" w:rsidRPr="008625DC">
        <w:t xml:space="preserve"> </w:t>
      </w:r>
    </w:p>
    <w:p w14:paraId="5CD811B6" w14:textId="739D4154" w:rsidR="001D1BD6" w:rsidRPr="008625DC" w:rsidRDefault="001E0E0A" w:rsidP="008D2F63">
      <w:r w:rsidRPr="008625DC">
        <w:t>T</w:t>
      </w:r>
      <w:r w:rsidR="001D1BD6" w:rsidRPr="008625DC">
        <w:t>he Panel notes an important distinction between market studies and market investigations</w:t>
      </w:r>
      <w:r w:rsidR="000F614A" w:rsidRPr="008625DC">
        <w:t xml:space="preserve"> as undertaken in the UK</w:t>
      </w:r>
      <w:r w:rsidR="001D1BD6" w:rsidRPr="008625DC">
        <w:t>. While market studies will generally result in recommendations and/or findings, market investigations go a step further by allowing the market investigation body to impose a wide range of legally enforceable remedies.</w:t>
      </w:r>
    </w:p>
    <w:p w14:paraId="15E57DE5" w14:textId="2C483CEE" w:rsidR="001D1BD6" w:rsidRPr="008625DC" w:rsidRDefault="001D1BD6" w:rsidP="008D2F63">
      <w:r w:rsidRPr="008625DC">
        <w:lastRenderedPageBreak/>
        <w:t xml:space="preserve">The </w:t>
      </w:r>
      <w:r w:rsidR="00242749" w:rsidRPr="008625DC">
        <w:t xml:space="preserve">former </w:t>
      </w:r>
      <w:r w:rsidRPr="008625DC">
        <w:t>UK</w:t>
      </w:r>
      <w:r w:rsidR="00FD78ED" w:rsidRPr="008625DC">
        <w:t xml:space="preserve"> Competition </w:t>
      </w:r>
      <w:r w:rsidR="00242749" w:rsidRPr="008625DC">
        <w:t>Commission guidelines</w:t>
      </w:r>
      <w:r w:rsidRPr="008625DC">
        <w:t xml:space="preserve"> provide an overview of the possible outcomes from a market investigation:</w:t>
      </w:r>
      <w:r w:rsidR="00242749" w:rsidRPr="008625DC">
        <w:rPr>
          <w:vertAlign w:val="superscript"/>
        </w:rPr>
        <w:footnoteReference w:id="397"/>
      </w:r>
    </w:p>
    <w:p w14:paraId="63CC9396" w14:textId="347F7147" w:rsidR="00153EBE" w:rsidRPr="008625DC" w:rsidRDefault="00A658B6" w:rsidP="00447D7A">
      <w:pPr>
        <w:spacing w:before="0"/>
        <w:jc w:val="center"/>
      </w:pPr>
      <w:r w:rsidRPr="008625DC">
        <w:rPr>
          <w:noProof/>
        </w:rPr>
        <w:drawing>
          <wp:inline distT="0" distB="0" distL="0" distR="0" wp14:anchorId="665CBB2B" wp14:editId="12154764">
            <wp:extent cx="4652686" cy="2534194"/>
            <wp:effectExtent l="0" t="0" r="0" b="0"/>
            <wp:docPr id="13" name="Picture 13" descr="The chart shows a range of possible outcomes from market investigations. The three broad categories of remedies are structural remedies, behavioural remedies and recommendations. Two types of structural remedies identified are divestiture and intellectual property remedies.Three types of behavioural remedies identified are intellectual property remedies, enabling measures and controlling outcomes." title="Overview of the universe of possible reme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7522.834D8FF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674922" cy="2546305"/>
                    </a:xfrm>
                    <a:prstGeom prst="rect">
                      <a:avLst/>
                    </a:prstGeom>
                    <a:noFill/>
                    <a:ln>
                      <a:noFill/>
                    </a:ln>
                  </pic:spPr>
                </pic:pic>
              </a:graphicData>
            </a:graphic>
          </wp:inline>
        </w:drawing>
      </w:r>
    </w:p>
    <w:p w14:paraId="3A46D375" w14:textId="0D34F7EF" w:rsidR="00153EBE" w:rsidRPr="008625DC" w:rsidRDefault="00153EBE" w:rsidP="0020129A">
      <w:pPr>
        <w:spacing w:before="240"/>
        <w:rPr>
          <w:color w:val="auto"/>
        </w:rPr>
      </w:pPr>
      <w:r w:rsidRPr="008625DC">
        <w:t>While CHOICE</w:t>
      </w:r>
      <w:r w:rsidR="00C74E19" w:rsidRPr="008625DC">
        <w:t>’</w:t>
      </w:r>
      <w:r w:rsidRPr="008625DC">
        <w:t xml:space="preserve">s submission supports an additional market investigations function (page 56), the ACCC disagrees, noting that it does not support the ability of a market investigations body to impose legally enforceable remedies (ACCC </w:t>
      </w:r>
      <w:r w:rsidR="00D04174" w:rsidRPr="008625DC">
        <w:t>S</w:t>
      </w:r>
      <w:r w:rsidRPr="008625DC">
        <w:t>ubmission 1, page 139). The ACCC view is preferable as it is consistent with Australia</w:t>
      </w:r>
      <w:r w:rsidR="00C74E19" w:rsidRPr="008625DC">
        <w:t>’</w:t>
      </w:r>
      <w:r w:rsidRPr="008625DC">
        <w:t>s legal landscape which gives Parliament the power to make laws and the judiciary the power to impose remedies.</w:t>
      </w:r>
      <w:r w:rsidRPr="008625DC" w:rsidDel="0052008E">
        <w:t xml:space="preserve"> </w:t>
      </w:r>
    </w:p>
    <w:p w14:paraId="3EDEA877" w14:textId="6568FB59" w:rsidR="006241D1" w:rsidRPr="008625DC" w:rsidRDefault="006241D1" w:rsidP="00B27C5A">
      <w:pPr>
        <w:pStyle w:val="Heading2"/>
        <w:ind w:left="851" w:hanging="851"/>
        <w:rPr>
          <w:lang w:val="en-AU"/>
        </w:rPr>
      </w:pPr>
      <w:bookmarkStart w:id="36147" w:name="_Toc398549191"/>
      <w:bookmarkStart w:id="36148" w:name="_Toc398549441"/>
      <w:bookmarkStart w:id="36149" w:name="_Toc398555860"/>
      <w:bookmarkStart w:id="36150" w:name="_Toc398559064"/>
      <w:bookmarkStart w:id="36151" w:name="_Toc398563550"/>
      <w:bookmarkStart w:id="36152" w:name="_Toc398563683"/>
      <w:bookmarkStart w:id="36153" w:name="_Toc398564082"/>
      <w:bookmarkStart w:id="36154" w:name="_Toc398827420"/>
      <w:bookmarkStart w:id="36155" w:name="_Toc398827614"/>
      <w:r w:rsidRPr="008625DC">
        <w:rPr>
          <w:lang w:val="en-AU"/>
        </w:rPr>
        <w:t>A new competition policy institution</w:t>
      </w:r>
      <w:bookmarkEnd w:id="36147"/>
      <w:bookmarkEnd w:id="36148"/>
      <w:bookmarkEnd w:id="36149"/>
      <w:bookmarkEnd w:id="36150"/>
      <w:bookmarkEnd w:id="36151"/>
      <w:bookmarkEnd w:id="36152"/>
      <w:bookmarkEnd w:id="36153"/>
      <w:bookmarkEnd w:id="36154"/>
      <w:bookmarkEnd w:id="36155"/>
    </w:p>
    <w:p w14:paraId="4A2B13E8" w14:textId="77777777" w:rsidR="00153EBE" w:rsidRPr="008625DC" w:rsidRDefault="00153EBE" w:rsidP="00153EBE">
      <w:r w:rsidRPr="008625DC">
        <w:t>The Panel believes that reinvigorating competition policy reform requires leadership from an institution specifically constituted for the purpose. Leadership encompasses advocacy for competition policy, driving implementation of the decisions made and conducting independent, transparent reviews of progress.</w:t>
      </w:r>
    </w:p>
    <w:p w14:paraId="71A79467" w14:textId="58653C27" w:rsidR="00153EBE" w:rsidRPr="008625DC" w:rsidRDefault="00153EBE" w:rsidP="00153EBE">
      <w:r w:rsidRPr="008625DC">
        <w:t xml:space="preserve">The NCC, which oversaw the NCP, now has a considerably diminished role. It has been put to the Panel that the NCC no longer has the capacity to provide leadership in this domain. </w:t>
      </w:r>
      <w:hyperlink w:anchor="DR46" w:history="1">
        <w:r w:rsidR="00A57FF5" w:rsidRPr="008625DC">
          <w:rPr>
            <w:rStyle w:val="Hyperlink"/>
          </w:rPr>
          <w:t>Draft Recommendation 46</w:t>
        </w:r>
      </w:hyperlink>
      <w:r w:rsidR="00A57FF5" w:rsidRPr="008625DC">
        <w:t xml:space="preserve"> proposes that the remaining functions of the NCC, associated with the National Access Regime, be transferred to a new national access and pricing regulator. The NCC could then be dissolved.</w:t>
      </w:r>
    </w:p>
    <w:p w14:paraId="44F52D8D" w14:textId="33B135F8" w:rsidR="00153EBE" w:rsidRPr="008625DC" w:rsidRDefault="00153EBE" w:rsidP="00153EBE">
      <w:r w:rsidRPr="008625DC">
        <w:rPr>
          <w:color w:val="auto"/>
        </w:rPr>
        <w:t>The PC is the only existing body with the necessary credibility and expertise to undertake this function, given its role as an</w:t>
      </w:r>
      <w:r w:rsidRPr="008625DC">
        <w:t xml:space="preserve"> independent research and advisory body on a range of economic, social and environmental issues affecting the welfare of Australians. But the PC</w:t>
      </w:r>
      <w:r w:rsidR="00C74E19" w:rsidRPr="008625DC">
        <w:t>’</w:t>
      </w:r>
      <w:r w:rsidRPr="008625DC">
        <w:t>s work is driven by the Commonwealth and, if it were to have the competition policy function as well, its legislation and governance would need significant change.</w:t>
      </w:r>
    </w:p>
    <w:p w14:paraId="0CE156EA" w14:textId="584574C8" w:rsidR="00153EBE" w:rsidRPr="008625DC" w:rsidRDefault="00153EBE" w:rsidP="00153EBE">
      <w:r w:rsidRPr="008625DC">
        <w:t>The AEMC is an example of an independent, national organisation, operating in an area of state government responsibility that has a governance structure supported by both the Commonwealth and the States and Territories.</w:t>
      </w:r>
    </w:p>
    <w:p w14:paraId="3BCFF692" w14:textId="044B6918" w:rsidR="00153EBE" w:rsidRPr="008625DC" w:rsidRDefault="00153EBE" w:rsidP="00153EBE">
      <w:r w:rsidRPr="008625DC">
        <w:lastRenderedPageBreak/>
        <w:t>The Panel considers that a new national competition body, the Australian Council for Competition Policy (ACCP), should be established with a mandate to provide leadership and drive implementation of the evolving competition policy agenda.</w:t>
      </w:r>
    </w:p>
    <w:p w14:paraId="34331548" w14:textId="3A9C2DBC" w:rsidR="00153EBE" w:rsidRPr="008625DC" w:rsidRDefault="00153EBE" w:rsidP="00153EBE">
      <w:pPr>
        <w:spacing w:before="240"/>
      </w:pPr>
      <w:r w:rsidRPr="008625DC">
        <w:t>The establishment of governance arrangements to implement reforms must be undertaken in the context of Australia</w:t>
      </w:r>
      <w:r w:rsidR="00C74E19" w:rsidRPr="008625DC">
        <w:t>’</w:t>
      </w:r>
      <w:r w:rsidRPr="008625DC">
        <w:t>s federal structure. Many of the competition policy reforms outlined in this Draft Report are overseen by state and territory governments. All Australian governments must have confidence in the governance arrangements for a reinvigorated round of competition policy reform to succeed.</w:t>
      </w:r>
    </w:p>
    <w:p w14:paraId="26C4479F" w14:textId="41DE082C" w:rsidR="00153EBE" w:rsidRPr="008625DC" w:rsidRDefault="00153EBE" w:rsidP="00153EBE">
      <w:pPr>
        <w:spacing w:before="240"/>
      </w:pPr>
      <w:r w:rsidRPr="008625DC">
        <w:t>The ACCP cannot be accountable to just one jurisdiction but must be accountable to them all. This suggests an intergovernmental agreement and oversight by a specific Ministerial council. Given the economy</w:t>
      </w:r>
      <w:r w:rsidR="00C74E19" w:rsidRPr="008625DC">
        <w:noBreakHyphen/>
      </w:r>
      <w:r w:rsidRPr="008625DC">
        <w:t>wide nature of competition issues</w:t>
      </w:r>
      <w:r w:rsidR="00B27C5A" w:rsidRPr="008625DC">
        <w:t>,</w:t>
      </w:r>
      <w:r w:rsidRPr="008625DC">
        <w:t xml:space="preserve"> this responsibility </w:t>
      </w:r>
      <w:r w:rsidR="00B27C5A" w:rsidRPr="008625DC">
        <w:t xml:space="preserve">should </w:t>
      </w:r>
      <w:r w:rsidRPr="008625DC">
        <w:t>be assigned to Treasurers.</w:t>
      </w:r>
    </w:p>
    <w:p w14:paraId="52FC57C8" w14:textId="2094C52B" w:rsidR="00153EBE" w:rsidRPr="008625DC" w:rsidRDefault="006241D1" w:rsidP="00153EBE">
      <w:pPr>
        <w:tabs>
          <w:tab w:val="left" w:pos="0"/>
        </w:tabs>
      </w:pPr>
      <w:r w:rsidRPr="008625DC">
        <w:t>An</w:t>
      </w:r>
      <w:r w:rsidR="00153EBE" w:rsidRPr="008625DC">
        <w:t xml:space="preserve"> intergovernmental agreement would set out the functions of the ACCP and the process of appointing its members. While there should be scope for members to be nominated and appointed by state and territory governments, their role would not be to represent jurisdictional interests, but rather to view competition policy from a national perspective.</w:t>
      </w:r>
    </w:p>
    <w:p w14:paraId="35C07643" w14:textId="77777777" w:rsidR="00153EBE" w:rsidRPr="008625DC" w:rsidRDefault="00153EBE" w:rsidP="00153EBE">
      <w:pPr>
        <w:tabs>
          <w:tab w:val="left" w:pos="0"/>
        </w:tabs>
      </w:pPr>
      <w:r w:rsidRPr="008625DC">
        <w:t xml:space="preserve">The secretariat should be independent of any one government and there may be merit in rotating the right to nominate the Chair. </w:t>
      </w:r>
    </w:p>
    <w:p w14:paraId="3385C3AE" w14:textId="77777777" w:rsidR="00153EBE" w:rsidRPr="008625DC" w:rsidRDefault="00153EBE" w:rsidP="00BB3BB5">
      <w:pPr>
        <w:pStyle w:val="Heading3"/>
        <w:rPr>
          <w:bCs w:val="0"/>
          <w:iCs/>
          <w:smallCaps/>
          <w:color w:val="009976" w:themeColor="accent1"/>
          <w:sz w:val="32"/>
          <w:szCs w:val="28"/>
        </w:rPr>
      </w:pPr>
      <w:r w:rsidRPr="008625DC">
        <w:t>Functions of the ACCP</w:t>
      </w:r>
    </w:p>
    <w:p w14:paraId="2DB0ADCC" w14:textId="79B5AC60" w:rsidR="00153EBE" w:rsidRPr="008625DC" w:rsidRDefault="00153EBE" w:rsidP="00153EBE">
      <w:r w:rsidRPr="008625DC">
        <w:t xml:space="preserve">The proposed </w:t>
      </w:r>
      <w:r w:rsidR="007D457F" w:rsidRPr="008625DC">
        <w:t xml:space="preserve">ACCP </w:t>
      </w:r>
      <w:r w:rsidRPr="008625DC">
        <w:t>should have a broad role. In particular, the ACCP should advise governments on how to adapt competition policy to changing circumstances facing consumers and business. The ACCP should therefore develop an understanding of the state of competition across the Australian economy and report on it regularly.</w:t>
      </w:r>
    </w:p>
    <w:p w14:paraId="6E083ECD" w14:textId="7595C94C" w:rsidR="00153EBE" w:rsidRPr="008625DC" w:rsidRDefault="00153EBE" w:rsidP="00153EBE">
      <w:r w:rsidRPr="008625DC">
        <w:t>There needs to be a clear advocate for competition policy in Australia</w:t>
      </w:r>
      <w:r w:rsidR="00C74E19" w:rsidRPr="008625DC">
        <w:t>’</w:t>
      </w:r>
      <w:r w:rsidRPr="008625DC">
        <w:t>s institutional structure. Too often this has fallen by default to the ACCC, which can be an uneasy role for a regulator to fulfil. The Panel sees advocacy for competition as a central function of the ACCP.</w:t>
      </w:r>
    </w:p>
    <w:p w14:paraId="4D5E3A8E" w14:textId="77777777" w:rsidR="00153EBE" w:rsidRPr="008625DC" w:rsidRDefault="00153EBE" w:rsidP="00153EBE">
      <w:r w:rsidRPr="008625DC">
        <w:t>The ACCP should also act as an independent assessor of progress on reform, holding governments at all levels to account. Priority areas for reform identified in this Draft Report could form an initial program of work for the ACCP.</w:t>
      </w:r>
    </w:p>
    <w:p w14:paraId="3C9495E5" w14:textId="5D1DF57F" w:rsidR="009A687F" w:rsidRPr="008625DC" w:rsidRDefault="009A687F" w:rsidP="00BB3BB5">
      <w:pPr>
        <w:pStyle w:val="Heading4"/>
      </w:pPr>
      <w:r w:rsidRPr="008625DC">
        <w:t>ACCP</w:t>
      </w:r>
      <w:r w:rsidR="00C74E19" w:rsidRPr="008625DC">
        <w:t xml:space="preserve"> — </w:t>
      </w:r>
      <w:r w:rsidRPr="008625DC">
        <w:t>market studies</w:t>
      </w:r>
    </w:p>
    <w:p w14:paraId="092D61D5" w14:textId="77777777" w:rsidR="00153EBE" w:rsidRPr="008625DC" w:rsidRDefault="00153EBE" w:rsidP="00153EBE">
      <w:pPr>
        <w:spacing w:before="240"/>
      </w:pPr>
      <w:r w:rsidRPr="008625DC">
        <w:t xml:space="preserve">The effectiveness of the ACCP could be strengthened by assigning it a market studies function which would create a convenient, consistent, effective and independent way for governments to seek advice and recommendations on recurrent and emerging competition policy issues. </w:t>
      </w:r>
    </w:p>
    <w:p w14:paraId="2D0ECFA5" w14:textId="6E7ADF2C" w:rsidR="00153EBE" w:rsidRPr="008625DC" w:rsidRDefault="00153EBE" w:rsidP="00153EBE">
      <w:r w:rsidRPr="008625DC">
        <w:t>Given the potential for conflicts between the ACCC</w:t>
      </w:r>
      <w:r w:rsidR="00C74E19" w:rsidRPr="008625DC">
        <w:t>’</w:t>
      </w:r>
      <w:r w:rsidRPr="008625DC">
        <w:t>s investigation and enforcement responsibilities and the scope of a market studies function, the Panel believes it is appropriate to vest such a power with the ACCP rather than the ACCC.</w:t>
      </w:r>
    </w:p>
    <w:p w14:paraId="2C40A750" w14:textId="095F1DFC" w:rsidR="00153EBE" w:rsidRPr="008625DC" w:rsidRDefault="00153EBE" w:rsidP="00153EBE">
      <w:r w:rsidRPr="008625DC">
        <w:t>The market studies function would have a competition policy focus and complement but not duplicate the work of other bodie</w:t>
      </w:r>
      <w:r w:rsidR="00EE0D03">
        <w:t>s such as the PC. For example, States and T</w:t>
      </w:r>
      <w:r w:rsidRPr="008625DC">
        <w:t>erritories could call upon the ACCP to undertake market studies of the provision of human services in their jurisdiction as part of implementing principles of choice and diversity of providers.</w:t>
      </w:r>
    </w:p>
    <w:p w14:paraId="475F6EA5" w14:textId="6E7B4E1E" w:rsidR="00153EBE" w:rsidRPr="008625DC" w:rsidRDefault="00153EBE" w:rsidP="00153EBE">
      <w:r w:rsidRPr="008625DC">
        <w:rPr>
          <w:szCs w:val="22"/>
        </w:rPr>
        <w:lastRenderedPageBreak/>
        <w:t xml:space="preserve">The use of </w:t>
      </w:r>
      <w:r w:rsidRPr="008625DC">
        <w:t>mandatory information</w:t>
      </w:r>
      <w:r w:rsidR="00C74E19" w:rsidRPr="008625DC">
        <w:noBreakHyphen/>
      </w:r>
      <w:r w:rsidRPr="008625DC">
        <w:t>gathering powers can help to ensure that a market study builds an accurate picture of the market but, on the other hand, may create an adversarial environment where participants show reluctance to cooperate and share information with the market studies body. The approach adopted by the PC — inviting interested parties to comment on issues and undertaking independent research — appears to achieve desired outcomes without the need to invoke mandatory legal powers.</w:t>
      </w:r>
    </w:p>
    <w:p w14:paraId="33248DD4" w14:textId="3A5E51CC" w:rsidR="00153EBE" w:rsidRPr="008625DC" w:rsidRDefault="00153EBE" w:rsidP="00153EBE">
      <w:r w:rsidRPr="008625DC">
        <w:t>A principle recognised in the NCP was that there were different circumstances in different jurisdictions that could lead to different approaches to either the scope or timing of reform. The Panel, in agreeing with this principle, considers that the ACCP should be able to receive referrals from</w:t>
      </w:r>
      <w:r w:rsidR="0020129A" w:rsidRPr="008625DC">
        <w:t> </w:t>
      </w:r>
      <w:r w:rsidRPr="008625DC">
        <w:t>jurisdictions collectively as well as individually.</w:t>
      </w:r>
    </w:p>
    <w:p w14:paraId="1C61C859" w14:textId="7E9B8701" w:rsidR="00153EBE" w:rsidRPr="008625DC" w:rsidRDefault="00153EBE" w:rsidP="00153EBE">
      <w:pPr>
        <w:rPr>
          <w:color w:val="auto"/>
        </w:rPr>
      </w:pPr>
      <w:r w:rsidRPr="008625DC">
        <w:rPr>
          <w:color w:val="auto"/>
        </w:rPr>
        <w:t>This would ensure that each jurisdiction has the freedom to identify its own concerns, while allowing the ACCP the flexibility to consider whether those concerns have broader or cross</w:t>
      </w:r>
      <w:r w:rsidR="00C74E19" w:rsidRPr="008625DC">
        <w:rPr>
          <w:color w:val="auto"/>
        </w:rPr>
        <w:noBreakHyphen/>
      </w:r>
      <w:r w:rsidRPr="008625DC">
        <w:rPr>
          <w:color w:val="auto"/>
        </w:rPr>
        <w:t xml:space="preserve">jurisdictional impacts. </w:t>
      </w:r>
    </w:p>
    <w:p w14:paraId="6E4FB900" w14:textId="7F1E963B" w:rsidR="00153EBE" w:rsidRPr="008625DC" w:rsidRDefault="00153EBE" w:rsidP="00153EBE">
      <w:pPr>
        <w:rPr>
          <w:color w:val="auto"/>
        </w:rPr>
      </w:pPr>
      <w:r w:rsidRPr="008625DC">
        <w:rPr>
          <w:color w:val="auto"/>
        </w:rPr>
        <w:t>In addition, the Panel considers that all market participants, including small business and regulators, should have the opportunity to raise issues they would like to see become the subject of market studies. Funding could be set aside in the ACCP budget to undertake studies in addition to those referred by the Ministerial Council. The decision would rest with the ACCP as to which of these outside requests it might take up</w:t>
      </w:r>
      <w:r w:rsidR="002F78E3" w:rsidRPr="008625DC">
        <w:rPr>
          <w:color w:val="auto"/>
        </w:rPr>
        <w:t>, and it would not be obliged to agree to all requests.</w:t>
      </w:r>
    </w:p>
    <w:p w14:paraId="03791776" w14:textId="44091C19" w:rsidR="00153EBE" w:rsidRPr="008625DC" w:rsidRDefault="00153EBE" w:rsidP="00153EBE">
      <w:r w:rsidRPr="008625DC">
        <w:t xml:space="preserve">The Ministerial Council would need to oversee priorities and resourcing so that the ACCP has the capacity to focus on the priorities of governments and market participants. </w:t>
      </w:r>
    </w:p>
    <w:p w14:paraId="5785B0E7" w14:textId="77777777" w:rsidR="00153EBE" w:rsidRPr="008625DC" w:rsidRDefault="00153EBE" w:rsidP="00153EBE">
      <w:r w:rsidRPr="008625DC">
        <w:t>The competition policy environment is not static. New technologies can raise new issues and resolve older ones. The Panel considers that governments would benefit from an annual analysis of developments in the competition policy environment.</w:t>
      </w:r>
    </w:p>
    <w:p w14:paraId="3EE0801C" w14:textId="6C69BF4A" w:rsidR="00153EBE" w:rsidRPr="008625DC" w:rsidRDefault="00153EBE" w:rsidP="00153EBE">
      <w:r w:rsidRPr="008625DC">
        <w:t>This would include more detail on the specific priority issues or markets that should receive greater attention, and could include recommending review mechanisms, particularly for more heavily regulated markets, to ensure more burdensome or intrusive regulatory frameworks remain fit</w:t>
      </w:r>
      <w:r w:rsidR="00452F93" w:rsidRPr="008625DC">
        <w:t xml:space="preserve"> </w:t>
      </w:r>
      <w:r w:rsidRPr="008625DC">
        <w:t>for</w:t>
      </w:r>
      <w:r w:rsidR="00452F93" w:rsidRPr="008625DC">
        <w:t xml:space="preserve"> </w:t>
      </w:r>
      <w:r w:rsidRPr="008625DC">
        <w:t>purpose.</w:t>
      </w:r>
    </w:p>
    <w:p w14:paraId="459F851E" w14:textId="77777777" w:rsidR="00153EBE" w:rsidRPr="008625DC" w:rsidRDefault="00153EBE" w:rsidP="00153EBE">
      <w:r w:rsidRPr="008625DC">
        <w:t xml:space="preserve">Commenting on best practice and international developments would provide opportunities for governments to consider whether the outcomes of different approaches to reform in other jurisdictions apply within their own. </w:t>
      </w:r>
    </w:p>
    <w:p w14:paraId="65D5A9B2" w14:textId="379616DB" w:rsidR="009A687F" w:rsidRPr="008625DC" w:rsidRDefault="009A687F" w:rsidP="00AA4806">
      <w:pPr>
        <w:pStyle w:val="Heading4"/>
        <w:spacing w:after="180"/>
      </w:pPr>
      <w:r w:rsidRPr="008625DC">
        <w:t>ACCP</w:t>
      </w:r>
      <w:r w:rsidR="00C74E19" w:rsidRPr="008625DC">
        <w:t xml:space="preserve"> — </w:t>
      </w:r>
      <w:r w:rsidRPr="008625DC">
        <w:t>competition payments</w:t>
      </w:r>
    </w:p>
    <w:p w14:paraId="2E66A44A" w14:textId="77777777" w:rsidR="00153EBE" w:rsidRPr="008625DC" w:rsidRDefault="00153EBE" w:rsidP="0020129A">
      <w:r w:rsidRPr="008625DC">
        <w:t xml:space="preserve">There is widespread support for competition payments that were made by the Commonwealth to state and territory governments to recognise that the Commonwealth received a disproportionate share of the increased revenue flowing from the NCP reforms. </w:t>
      </w:r>
    </w:p>
    <w:p w14:paraId="32B97D01" w14:textId="5153310F" w:rsidR="00153EBE" w:rsidRPr="008625DC" w:rsidRDefault="00153EBE" w:rsidP="00153EBE">
      <w:r w:rsidRPr="008625DC">
        <w:t xml:space="preserve">While the quantum of the payments was not large compared to total state and territory revenues, the Panel consistently heard that their existence provided an additional argument that could be used to support reform. The Panel was also told, however, that their effectiveness was limited by not being applied to the Commonwealth and </w:t>
      </w:r>
      <w:r w:rsidR="00EE0D03">
        <w:t xml:space="preserve">not </w:t>
      </w:r>
      <w:r w:rsidRPr="008625DC">
        <w:t xml:space="preserve">consistently </w:t>
      </w:r>
      <w:r w:rsidR="00EE0D03">
        <w:t>being applied</w:t>
      </w:r>
      <w:r w:rsidR="00EE0D03" w:rsidRPr="008625DC">
        <w:t xml:space="preserve"> </w:t>
      </w:r>
      <w:r w:rsidRPr="008625DC">
        <w:t>to local government.</w:t>
      </w:r>
    </w:p>
    <w:p w14:paraId="10FD6C34" w14:textId="4F74E11D" w:rsidR="00153EBE" w:rsidRPr="008625DC" w:rsidRDefault="00153EBE" w:rsidP="00153EBE">
      <w:r w:rsidRPr="008625DC">
        <w:lastRenderedPageBreak/>
        <w:t xml:space="preserve">On the other hand, as noted by the PC, a focus on payments and penalties </w:t>
      </w:r>
      <w:r w:rsidR="00C74E19" w:rsidRPr="008625DC">
        <w:t>‘</w:t>
      </w:r>
      <w:r w:rsidRPr="008625DC">
        <w:t>has from time to time almost certainly misled the community as to the main rationale for the reform</w:t>
      </w:r>
      <w:r w:rsidR="0020129A" w:rsidRPr="008625DC">
        <w:t xml:space="preserve"> </w:t>
      </w:r>
      <w:r w:rsidRPr="008625DC">
        <w:t>…</w:t>
      </w:r>
      <w:r w:rsidR="00C74E19" w:rsidRPr="008625DC">
        <w:t>’</w:t>
      </w:r>
      <w:r w:rsidRPr="008625DC">
        <w:t>.</w:t>
      </w:r>
      <w:r w:rsidRPr="008625DC">
        <w:rPr>
          <w:vertAlign w:val="superscript"/>
        </w:rPr>
        <w:footnoteReference w:id="398"/>
      </w:r>
      <w:r w:rsidRPr="008625DC">
        <w:t xml:space="preserve"> This appears to underlie the observation made by many stakeholders that progress with competition policy reform waned once competition payments ceased. </w:t>
      </w:r>
    </w:p>
    <w:p w14:paraId="652CBC63" w14:textId="77777777" w:rsidR="00153EBE" w:rsidRPr="008625DC" w:rsidRDefault="00153EBE" w:rsidP="00153EBE">
      <w:r w:rsidRPr="008625DC">
        <w:t>That said, there is a case to be made that the benefits of reform, including any fiscal dividend, should be commensurate with the reform effort made. The differing revenue bases of the Commonwealth and the States and Territories mean that revenue may not flow in proportion to reform effort.</w:t>
      </w:r>
    </w:p>
    <w:p w14:paraId="00441655" w14:textId="491E6605" w:rsidR="00153EBE" w:rsidRPr="008625DC" w:rsidRDefault="00153EBE" w:rsidP="00E7073A">
      <w:pPr>
        <w:rPr>
          <w:bCs/>
          <w:smallCaps/>
        </w:rPr>
      </w:pPr>
      <w:bookmarkStart w:id="36156" w:name="_Toc398284904"/>
      <w:r w:rsidRPr="008625DC">
        <w:t>The PC should be tasked to undertake a study of reforms agreed to by the Commonwealth and state and territory governments to estimate their effect on revenue in each jurisdiction. The ACCP could then assess whether reforms had been undertaken to a sufficient standard to warrant compensation payments. That assessment would be based on actual implementation of reforms, not on the basis of undertaking reviews or other processes.</w:t>
      </w:r>
      <w:bookmarkEnd w:id="36156"/>
      <w:r w:rsidRPr="008625DC" w:rsidDel="00DE0892">
        <w:rPr>
          <w:bCs/>
          <w:smallCaps/>
        </w:rPr>
        <w:t xml:space="preserve"> </w:t>
      </w:r>
    </w:p>
    <w:p w14:paraId="533AD79C" w14:textId="77777777" w:rsidR="004C6AEA" w:rsidRPr="008625DC" w:rsidRDefault="004C6AEA">
      <w:pPr>
        <w:spacing w:before="0" w:after="0"/>
        <w:rPr>
          <w:rFonts w:ascii="Calibri" w:hAnsi="Calibri" w:cs="Arial"/>
          <w:bCs/>
          <w:smallCaps/>
          <w:color w:val="009976"/>
          <w:kern w:val="32"/>
          <w:sz w:val="40"/>
          <w:szCs w:val="36"/>
        </w:rPr>
      </w:pPr>
      <w:r w:rsidRPr="008625DC">
        <w:rPr>
          <w:rFonts w:ascii="Calibri" w:hAnsi="Calibri" w:cs="Arial"/>
          <w:bCs/>
          <w:smallCaps/>
          <w:color w:val="009976"/>
          <w:kern w:val="32"/>
          <w:sz w:val="40"/>
          <w:szCs w:val="36"/>
        </w:rPr>
        <w:br w:type="page"/>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5638FD" w:rsidRPr="008625DC" w14:paraId="2CD1CEC5" w14:textId="77777777" w:rsidTr="0052543A">
        <w:tc>
          <w:tcPr>
            <w:tcW w:w="5000" w:type="pct"/>
            <w:shd w:val="clear" w:color="auto" w:fill="FFFFFF" w:themeFill="background1"/>
          </w:tcPr>
          <w:p w14:paraId="10DDEB4D" w14:textId="61AAEE34" w:rsidR="005638FD" w:rsidRPr="008625DC" w:rsidRDefault="005638FD" w:rsidP="0052543A">
            <w:pPr>
              <w:pStyle w:val="Keyfindingheading"/>
            </w:pPr>
            <w:bookmarkStart w:id="36157" w:name="_Toc398287377"/>
            <w:r w:rsidRPr="008625DC">
              <w:lastRenderedPageBreak/>
              <w:t>The Panel</w:t>
            </w:r>
            <w:r w:rsidR="00C74E19" w:rsidRPr="008625DC">
              <w:t>’</w:t>
            </w:r>
            <w:r w:rsidRPr="008625DC">
              <w:t>s view</w:t>
            </w:r>
          </w:p>
          <w:p w14:paraId="084C7BF6" w14:textId="77806BDB" w:rsidR="005638FD" w:rsidRPr="008625DC" w:rsidRDefault="005638FD" w:rsidP="006F3307">
            <w:pPr>
              <w:pStyle w:val="Keyfindingtext"/>
            </w:pPr>
            <w:r w:rsidRPr="008625DC">
              <w:t>The Panel believes that reinvigorating competition policy reform requires leadership from an institution specifically constituted for the purpose</w:t>
            </w:r>
            <w:r w:rsidR="0030226C" w:rsidRPr="008625DC">
              <w:t xml:space="preserve"> and therefore proposes establishing t</w:t>
            </w:r>
            <w:r w:rsidRPr="008625DC">
              <w:t>he Australian Council for Competition Policy (ACCP) with a mandate to provide leadership and drive implementation of the evolving competition policy agenda. The establishment of governance arrangements to implement reforms must be undertaken in the context of Australia</w:t>
            </w:r>
            <w:r w:rsidR="00C74E19" w:rsidRPr="008625DC">
              <w:t>’</w:t>
            </w:r>
            <w:r w:rsidRPr="008625DC">
              <w:t>s federal structure.</w:t>
            </w:r>
          </w:p>
          <w:p w14:paraId="4EE155D7" w14:textId="47D46A59" w:rsidR="000E0BA5" w:rsidRPr="008625DC" w:rsidRDefault="000E0BA5" w:rsidP="006F3307">
            <w:pPr>
              <w:pStyle w:val="Keyfindingtext"/>
            </w:pPr>
            <w:r w:rsidRPr="008625DC">
              <w:t>The Panel sees advocacy for competition as a central function of the ACCP</w:t>
            </w:r>
            <w:r w:rsidR="0030226C" w:rsidRPr="008625DC">
              <w:t>, and that it should act</w:t>
            </w:r>
            <w:r w:rsidR="009A687F" w:rsidRPr="008625DC">
              <w:t xml:space="preserve"> </w:t>
            </w:r>
            <w:r w:rsidRPr="008625DC">
              <w:t>as an independent assessor of progress on reform.</w:t>
            </w:r>
          </w:p>
          <w:p w14:paraId="130FA172" w14:textId="77777777" w:rsidR="000E0BA5" w:rsidRPr="008625DC" w:rsidRDefault="000E0BA5" w:rsidP="006F3307">
            <w:pPr>
              <w:pStyle w:val="Keyfindingtext"/>
            </w:pPr>
            <w:r w:rsidRPr="008625DC">
              <w:t>The effectiveness of the ACCP could be strengthened by assigning it a market studies function which would create a convenient, consistent, effective and independent way for governments to seek advice and recommendations on recurrent and emerging competition policy issues.</w:t>
            </w:r>
          </w:p>
          <w:p w14:paraId="4A5EE71C" w14:textId="6C2E162A" w:rsidR="000E0BA5" w:rsidRPr="008625DC" w:rsidRDefault="000E0BA5" w:rsidP="006F3307">
            <w:pPr>
              <w:pStyle w:val="Keyfindingtext"/>
            </w:pPr>
            <w:r w:rsidRPr="008625DC">
              <w:t>The competition policy environment is not static. New technologies can raise new issues and resolve older ones. The Panel considers that governments would benefit from an annual analysis of developments in the</w:t>
            </w:r>
            <w:r w:rsidR="009A687F" w:rsidRPr="008625DC">
              <w:t xml:space="preserve"> competition policy environment, which could be undertaken by the ACCP.</w:t>
            </w:r>
          </w:p>
          <w:p w14:paraId="3ECDD650" w14:textId="77777777" w:rsidR="00F1355C" w:rsidRPr="008625DC" w:rsidRDefault="00F1355C" w:rsidP="006F3307">
            <w:pPr>
              <w:pStyle w:val="Keyfindingtext"/>
            </w:pPr>
            <w:r w:rsidRPr="008625DC">
              <w:t>There is a case to be made that the benefits of reform, including any fiscal dividend, should be commensurate with the reform effort made. The differing revenue bases of the Commonwealth and the States and Territories mean that revenue may not flow in proportion to reform effort.</w:t>
            </w:r>
          </w:p>
          <w:p w14:paraId="781DDDC5" w14:textId="64896B5D" w:rsidR="00F1355C" w:rsidRPr="008625DC" w:rsidRDefault="00F1355C" w:rsidP="006F3307">
            <w:pPr>
              <w:pStyle w:val="Keyfindingtext"/>
            </w:pPr>
            <w:r w:rsidRPr="008625DC">
              <w:t>The PC should be tasked to undertake</w:t>
            </w:r>
            <w:r w:rsidR="00EE0D03">
              <w:t xml:space="preserve"> a study of reforms agreed to by</w:t>
            </w:r>
            <w:r w:rsidRPr="008625DC">
              <w:t xml:space="preserve"> the Commonwealth and state and territory governments to estimate their effect on revenue in each jurisdiction. The ACCP could then assess whether reforms had been undertaken to a sufficient standard to warrant compensation payments. That assessment would be based on actual implementation of reforms, not on the basis of undertaking reviews or other processes.</w:t>
            </w:r>
          </w:p>
        </w:tc>
      </w:tr>
    </w:tbl>
    <w:p w14:paraId="07F62D51" w14:textId="77777777" w:rsidR="005638FD" w:rsidRPr="008625DC" w:rsidRDefault="005638FD" w:rsidP="006C5F3B">
      <w:pPr>
        <w:pStyle w:val="SingleParagraph"/>
      </w:pPr>
    </w:p>
    <w:p w14:paraId="1C407012" w14:textId="77777777" w:rsidR="00B27C5A" w:rsidRPr="008625DC" w:rsidRDefault="00B27C5A">
      <w:pPr>
        <w:spacing w:before="0" w:after="0"/>
        <w:rPr>
          <w:rFonts w:ascii="Calibri" w:hAnsi="Calibri" w:cs="Arial"/>
          <w:bCs/>
          <w:smallCaps/>
          <w:color w:val="009976"/>
          <w:kern w:val="32"/>
          <w:sz w:val="40"/>
          <w:szCs w:val="36"/>
        </w:rPr>
      </w:pPr>
      <w:bookmarkStart w:id="36158" w:name="_Toc398289260"/>
      <w:bookmarkStart w:id="36159" w:name="_Toc398297257"/>
      <w:bookmarkStart w:id="36160" w:name="_Toc398298731"/>
      <w:bookmarkStart w:id="36161" w:name="_Toc398301329"/>
      <w:r w:rsidRPr="008625DC">
        <w:br w:type="page"/>
      </w:r>
    </w:p>
    <w:p w14:paraId="208FE3B3" w14:textId="7A2E09CC" w:rsidR="00F43A43" w:rsidRPr="008625DC" w:rsidRDefault="00F43A43" w:rsidP="00D372B2">
      <w:pPr>
        <w:pStyle w:val="Heading1"/>
        <w:ind w:left="851" w:hanging="851"/>
        <w:rPr>
          <w:smallCaps w:val="0"/>
        </w:rPr>
      </w:pPr>
      <w:bookmarkStart w:id="36162" w:name="_Toc398302514"/>
      <w:bookmarkStart w:id="36163" w:name="_Toc398302677"/>
      <w:bookmarkStart w:id="36164" w:name="_Toc398549192"/>
      <w:bookmarkStart w:id="36165" w:name="_Toc398549442"/>
      <w:bookmarkStart w:id="36166" w:name="_Toc398555861"/>
      <w:bookmarkStart w:id="36167" w:name="_Toc398559065"/>
      <w:bookmarkStart w:id="36168" w:name="_Toc398563551"/>
      <w:bookmarkStart w:id="36169" w:name="_Toc398563684"/>
      <w:bookmarkStart w:id="36170" w:name="_Toc398564083"/>
      <w:bookmarkStart w:id="36171" w:name="_Toc398827421"/>
      <w:bookmarkStart w:id="36172" w:name="_Toc398827615"/>
      <w:bookmarkStart w:id="36173" w:name="Ch23"/>
      <w:r w:rsidRPr="008625DC">
        <w:lastRenderedPageBreak/>
        <w:t>Enforcement of competition law</w:t>
      </w:r>
      <w:bookmarkEnd w:id="36157"/>
      <w:bookmarkEnd w:id="36158"/>
      <w:bookmarkEnd w:id="36159"/>
      <w:bookmarkEnd w:id="36160"/>
      <w:bookmarkEnd w:id="36161"/>
      <w:bookmarkEnd w:id="36162"/>
      <w:bookmarkEnd w:id="36163"/>
      <w:bookmarkEnd w:id="36164"/>
      <w:bookmarkEnd w:id="36165"/>
      <w:bookmarkEnd w:id="36166"/>
      <w:bookmarkEnd w:id="36167"/>
      <w:bookmarkEnd w:id="36168"/>
      <w:bookmarkEnd w:id="36169"/>
      <w:bookmarkEnd w:id="36170"/>
      <w:bookmarkEnd w:id="36171"/>
      <w:bookmarkEnd w:id="36172"/>
    </w:p>
    <w:bookmarkEnd w:id="36173"/>
    <w:p w14:paraId="4B1F121C" w14:textId="77777777" w:rsidR="00F43A43" w:rsidRPr="008625DC" w:rsidRDefault="00F43A43" w:rsidP="00B27C5A">
      <w:r w:rsidRPr="008625DC">
        <w:t xml:space="preserve">Enforcement of competition law is crucial to consumers, and therefore to the performance of the economy. </w:t>
      </w:r>
    </w:p>
    <w:p w14:paraId="02068BFA" w14:textId="4145E7F7" w:rsidR="00F43A43" w:rsidRPr="008625DC" w:rsidRDefault="00F43A43" w:rsidP="00B27C5A">
      <w:r w:rsidRPr="008625DC">
        <w:t>The primary enforcement body is the ACCC, which was created in 1995 by merging the Prices Surveillance Authority and the Trade Practices Commission, with some functions from the telecommunications regulator Austel. The ACCC retained the Trade Practice Commissions</w:t>
      </w:r>
      <w:r w:rsidR="00C74E19" w:rsidRPr="008625DC">
        <w:t>’</w:t>
      </w:r>
      <w:r w:rsidRPr="008625DC">
        <w:t xml:space="preserve"> Commonwealth consumer protection enforcement functions. It has also added the AER as a constituent component.</w:t>
      </w:r>
    </w:p>
    <w:p w14:paraId="50349417" w14:textId="77777777" w:rsidR="00F43A43" w:rsidRPr="008625DC" w:rsidRDefault="00F43A43" w:rsidP="0020129A">
      <w:pPr>
        <w:spacing w:after="120"/>
      </w:pPr>
      <w:r w:rsidRPr="008625DC">
        <w:t>Many submissions comment on the role, structure and effectiveness of the ACCC as the central regulatory body for competition law. The issues that submissions raise include:</w:t>
      </w:r>
    </w:p>
    <w:p w14:paraId="0C221EE3" w14:textId="77777777" w:rsidR="00F43A43" w:rsidRPr="008625DC" w:rsidRDefault="00F43A43" w:rsidP="0020129A">
      <w:pPr>
        <w:pStyle w:val="Bullet"/>
      </w:pPr>
      <w:r w:rsidRPr="008625DC">
        <w:t>whether the ACCC should be responsible for enforcement of both competition law and consumer protection law or whether those responsibilities should be separated;</w:t>
      </w:r>
    </w:p>
    <w:p w14:paraId="14079D7E" w14:textId="72FB87D6" w:rsidR="00F43A43" w:rsidRPr="008625DC" w:rsidRDefault="00F43A43" w:rsidP="0020129A">
      <w:pPr>
        <w:pStyle w:val="Bullet"/>
      </w:pPr>
      <w:r w:rsidRPr="008625DC">
        <w:t>whether the ACCC decision making would be improved by changes to its governance structure;</w:t>
      </w:r>
      <w:r w:rsidR="00DF0AA5" w:rsidRPr="008625DC">
        <w:t xml:space="preserve"> and</w:t>
      </w:r>
    </w:p>
    <w:p w14:paraId="0331B901" w14:textId="77777777" w:rsidR="00F43A43" w:rsidRPr="008625DC" w:rsidRDefault="00F43A43" w:rsidP="0020129A">
      <w:pPr>
        <w:pStyle w:val="Bullet"/>
        <w:spacing w:after="240"/>
      </w:pPr>
      <w:r w:rsidRPr="008625DC">
        <w:t>whether the ACCC uses the media responsibly.</w:t>
      </w:r>
    </w:p>
    <w:p w14:paraId="1CAA6089" w14:textId="40FA3F0E" w:rsidR="00153EBE" w:rsidRPr="008625DC" w:rsidRDefault="00F43A43" w:rsidP="00B27C5A">
      <w:r w:rsidRPr="008625DC">
        <w:t>Submissions also address whether access and pricing regulatory functions should be undertaken by a body separate to the ACCC.</w:t>
      </w:r>
    </w:p>
    <w:p w14:paraId="1390B819" w14:textId="1C8396F6" w:rsidR="00F43A43" w:rsidRPr="008625DC" w:rsidRDefault="00F43A43" w:rsidP="00D372B2">
      <w:pPr>
        <w:pStyle w:val="Heading2"/>
        <w:ind w:left="851" w:hanging="851"/>
        <w:rPr>
          <w:smallCaps w:val="0"/>
          <w:lang w:val="en-AU"/>
        </w:rPr>
      </w:pPr>
      <w:bookmarkStart w:id="36174" w:name="_Toc398287378"/>
      <w:bookmarkStart w:id="36175" w:name="_Toc398289261"/>
      <w:bookmarkStart w:id="36176" w:name="_Toc398297258"/>
      <w:bookmarkStart w:id="36177" w:name="_Toc398298732"/>
      <w:bookmarkStart w:id="36178" w:name="_Toc398301330"/>
      <w:bookmarkStart w:id="36179" w:name="_Toc398302515"/>
      <w:bookmarkStart w:id="36180" w:name="_Toc398302678"/>
      <w:bookmarkStart w:id="36181" w:name="_Toc398549193"/>
      <w:bookmarkStart w:id="36182" w:name="_Toc398549443"/>
      <w:bookmarkStart w:id="36183" w:name="_Toc398555862"/>
      <w:bookmarkStart w:id="36184" w:name="_Toc398559066"/>
      <w:bookmarkStart w:id="36185" w:name="_Toc398563552"/>
      <w:bookmarkStart w:id="36186" w:name="_Toc398563685"/>
      <w:bookmarkStart w:id="36187" w:name="_Toc398564084"/>
      <w:bookmarkStart w:id="36188" w:name="_Toc398827422"/>
      <w:bookmarkStart w:id="36189" w:name="_Toc398827616"/>
      <w:r w:rsidRPr="008625DC">
        <w:rPr>
          <w:lang w:val="en-AU"/>
        </w:rPr>
        <w:t>Competition and consumer protection functions</w:t>
      </w:r>
      <w:bookmarkEnd w:id="36174"/>
      <w:bookmarkEnd w:id="36175"/>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p>
    <w:p w14:paraId="31F3423E" w14:textId="4CA71807" w:rsidR="00F43A43" w:rsidRPr="008625DC" w:rsidRDefault="00F43A43" w:rsidP="00F43A43">
      <w:r w:rsidRPr="008625DC">
        <w:t xml:space="preserve">The ACCC argues that </w:t>
      </w:r>
      <w:r w:rsidRPr="008625DC">
        <w:rPr>
          <w:szCs w:val="22"/>
        </w:rPr>
        <w:t>one of the core strengths of Australian competition policy is that competition enforcement, consumer protection and economic regulation are combined within a single, economy</w:t>
      </w:r>
      <w:r w:rsidR="0020129A" w:rsidRPr="008625DC">
        <w:rPr>
          <w:szCs w:val="22"/>
        </w:rPr>
        <w:noBreakHyphen/>
      </w:r>
      <w:r w:rsidRPr="008625DC">
        <w:rPr>
          <w:szCs w:val="22"/>
        </w:rPr>
        <w:t xml:space="preserve">wide body with the objective of making markets work to enhance the welfare of Australians (ACCC </w:t>
      </w:r>
      <w:r w:rsidR="000376F5" w:rsidRPr="008625DC">
        <w:rPr>
          <w:szCs w:val="22"/>
        </w:rPr>
        <w:t>S</w:t>
      </w:r>
      <w:r w:rsidRPr="008625DC">
        <w:rPr>
          <w:szCs w:val="22"/>
        </w:rPr>
        <w:t>ubmission 1, page 130). H</w:t>
      </w:r>
      <w:r w:rsidRPr="008625DC">
        <w:t>aving a single body fosters a pro</w:t>
      </w:r>
      <w:r w:rsidR="00C74E19" w:rsidRPr="008625DC">
        <w:noBreakHyphen/>
      </w:r>
      <w:r w:rsidRPr="008625DC">
        <w:t>market culture, facilitates co</w:t>
      </w:r>
      <w:r w:rsidR="00C74E19" w:rsidRPr="008625DC">
        <w:noBreakHyphen/>
      </w:r>
      <w:r w:rsidRPr="008625DC">
        <w:t xml:space="preserve">ordination and depth across the functions, ensures small businesses do not fall between the cracks, provides a source of consistent information to business and consumers about their rights, and provides administrative savings and skill enhancement through the pooling of information, skills and expertise (ACCC </w:t>
      </w:r>
      <w:r w:rsidR="000376F5" w:rsidRPr="008625DC">
        <w:t>S</w:t>
      </w:r>
      <w:r w:rsidRPr="008625DC">
        <w:t>ubmission 1, page 13</w:t>
      </w:r>
      <w:r w:rsidR="003F1FF1" w:rsidRPr="008625DC">
        <w:t>1</w:t>
      </w:r>
      <w:r w:rsidRPr="008625DC">
        <w:t>).</w:t>
      </w:r>
    </w:p>
    <w:p w14:paraId="5C410FFA" w14:textId="77777777" w:rsidR="00F43A43" w:rsidRPr="008625DC" w:rsidRDefault="00F43A43" w:rsidP="00F43A43">
      <w:r w:rsidRPr="008625DC">
        <w:t>The link between competition and consumer functions has been described as competition law keeping the options open, while consumer protection laws protect the ability of consumers to make informed choices among those options.</w:t>
      </w:r>
      <w:r w:rsidRPr="008625DC">
        <w:rPr>
          <w:vertAlign w:val="superscript"/>
        </w:rPr>
        <w:footnoteReference w:id="399"/>
      </w:r>
    </w:p>
    <w:p w14:paraId="470EC04A" w14:textId="77777777" w:rsidR="00F43A43" w:rsidRPr="008625DC" w:rsidRDefault="00F43A43" w:rsidP="0020129A">
      <w:pPr>
        <w:spacing w:after="120"/>
      </w:pPr>
      <w:r w:rsidRPr="008625DC">
        <w:t>However, the Monash Business Policy Forum argues that the competition and consumer functions should be separate.</w:t>
      </w:r>
    </w:p>
    <w:p w14:paraId="1BF3A1E3" w14:textId="0C192946" w:rsidR="00F43A43" w:rsidRPr="008625DC" w:rsidRDefault="0020129A" w:rsidP="00F43A43">
      <w:pPr>
        <w:ind w:left="567" w:right="425"/>
        <w:rPr>
          <w:color w:val="595959" w:themeColor="text1" w:themeTint="A6"/>
        </w:rPr>
      </w:pPr>
      <w:r w:rsidRPr="008625DC">
        <w:rPr>
          <w:color w:val="595959" w:themeColor="text1" w:themeTint="A6"/>
        </w:rPr>
        <w:t>[</w:t>
      </w:r>
      <w:r w:rsidR="00AA4806">
        <w:rPr>
          <w:color w:val="595959" w:themeColor="text1" w:themeTint="A6"/>
        </w:rPr>
        <w:t>C</w:t>
      </w:r>
      <w:r w:rsidRPr="008625DC">
        <w:rPr>
          <w:color w:val="595959" w:themeColor="text1" w:themeTint="A6"/>
        </w:rPr>
        <w:t>]</w:t>
      </w:r>
      <w:r w:rsidR="003F1FF1" w:rsidRPr="008625DC">
        <w:rPr>
          <w:color w:val="595959" w:themeColor="text1" w:themeTint="A6"/>
        </w:rPr>
        <w:t>ombining</w:t>
      </w:r>
      <w:r w:rsidR="00F43A43" w:rsidRPr="008625DC">
        <w:rPr>
          <w:color w:val="595959" w:themeColor="text1" w:themeTint="A6"/>
        </w:rPr>
        <w:t xml:space="preserve"> competition and consumer protection in a single regulatory agency is inconsistent with best practice design of regulatory institutions. (page 33)</w:t>
      </w:r>
    </w:p>
    <w:p w14:paraId="6C96547C" w14:textId="1B54A527" w:rsidR="00F43A43" w:rsidRPr="008625DC" w:rsidRDefault="00F43A43" w:rsidP="0020129A">
      <w:pPr>
        <w:spacing w:after="120"/>
      </w:pPr>
      <w:r w:rsidRPr="008625DC">
        <w:t xml:space="preserve">Competition regulation is argued to be </w:t>
      </w:r>
      <w:r w:rsidR="00C74E19" w:rsidRPr="008625DC">
        <w:t>‘</w:t>
      </w:r>
      <w:r w:rsidRPr="008625DC">
        <w:t>neutral</w:t>
      </w:r>
      <w:r w:rsidR="00C74E19" w:rsidRPr="008625DC">
        <w:t>’</w:t>
      </w:r>
      <w:r w:rsidRPr="008625DC">
        <w:t xml:space="preserve"> with the regulator an umpire in day</w:t>
      </w:r>
      <w:r w:rsidR="00C74E19" w:rsidRPr="008625DC">
        <w:noBreakHyphen/>
      </w:r>
      <w:r w:rsidRPr="008625DC">
        <w:t>to</w:t>
      </w:r>
      <w:r w:rsidR="00C74E19" w:rsidRPr="008625DC">
        <w:noBreakHyphen/>
      </w:r>
      <w:r w:rsidRPr="008625DC">
        <w:t xml:space="preserve">day market activities, while consumer protection rebalances the market towards consumers. In particular the Monash Business Policy Forum notes that consumer protection matters can be used to raise the </w:t>
      </w:r>
      <w:r w:rsidRPr="008625DC">
        <w:lastRenderedPageBreak/>
        <w:t>agency</w:t>
      </w:r>
      <w:r w:rsidR="00C74E19" w:rsidRPr="008625DC">
        <w:t>’</w:t>
      </w:r>
      <w:r w:rsidRPr="008625DC">
        <w:t>s public profile to the detriment of competition enforcement and that there are likely to be internal divisions of culture. They quote Bill Kovacic, a former Chairman and Commissioner of the US</w:t>
      </w:r>
      <w:r w:rsidR="00AA4806">
        <w:t> </w:t>
      </w:r>
      <w:r w:rsidRPr="008625DC">
        <w:t>Federal Trade Commission:</w:t>
      </w:r>
    </w:p>
    <w:p w14:paraId="5E33FCC6" w14:textId="1F5FBF3B" w:rsidR="00F43A43" w:rsidRPr="008625DC" w:rsidRDefault="00F43A43" w:rsidP="00F43A43">
      <w:pPr>
        <w:ind w:left="567" w:right="425"/>
        <w:rPr>
          <w:color w:val="595959" w:themeColor="text1" w:themeTint="A6"/>
        </w:rPr>
      </w:pPr>
      <w:r w:rsidRPr="008625DC">
        <w:rPr>
          <w:color w:val="595959" w:themeColor="text1" w:themeTint="A6"/>
        </w:rPr>
        <w:t>During the [Federal Trade Commission</w:t>
      </w:r>
      <w:r w:rsidR="00C74E19" w:rsidRPr="008625DC">
        <w:rPr>
          <w:color w:val="595959" w:themeColor="text1" w:themeTint="A6"/>
        </w:rPr>
        <w:t>’</w:t>
      </w:r>
      <w:r w:rsidRPr="008625DC">
        <w:rPr>
          <w:color w:val="595959" w:themeColor="text1" w:themeTint="A6"/>
        </w:rPr>
        <w:t>s] deliberations over Google</w:t>
      </w:r>
      <w:r w:rsidR="00C74E19" w:rsidRPr="008625DC">
        <w:rPr>
          <w:color w:val="595959" w:themeColor="text1" w:themeTint="A6"/>
        </w:rPr>
        <w:t>’</w:t>
      </w:r>
      <w:r w:rsidRPr="008625DC">
        <w:rPr>
          <w:color w:val="595959" w:themeColor="text1" w:themeTint="A6"/>
        </w:rPr>
        <w:t>s merger, some Commission officials and staff advocated that the agency use the merger review process to exact concessions from the merging parties concerning their privacy policies and data protection practices. (page 33)</w:t>
      </w:r>
    </w:p>
    <w:p w14:paraId="0B752F25" w14:textId="7869ACE8" w:rsidR="00F43A43" w:rsidRPr="008625DC" w:rsidRDefault="00F43A43" w:rsidP="00F43A43">
      <w:r w:rsidRPr="008625DC">
        <w:t>The Panel acknowledges that there are synergies in having competition and consumer functions in the one institution. Within the current structure of the ACCC, the market investigation skills of staff are relevant to a range of the organisation</w:t>
      </w:r>
      <w:r w:rsidR="00C74E19" w:rsidRPr="008625DC">
        <w:t>’</w:t>
      </w:r>
      <w:r w:rsidRPr="008625DC">
        <w:t xml:space="preserve">s roles and functions, from the general competition and consumer protection, compliance and enforcement roles to specific competition functions such as mergers, authorisations and notifications. This facilitates staff movement across the agency, the building up of expertise and a common approach to issues. </w:t>
      </w:r>
    </w:p>
    <w:p w14:paraId="299E518B" w14:textId="77777777" w:rsidR="00F43A43" w:rsidRPr="008625DC" w:rsidRDefault="00F43A43" w:rsidP="00F43A43">
      <w:pPr>
        <w:spacing w:after="120"/>
      </w:pPr>
      <w:r w:rsidRPr="008625DC">
        <w:t xml:space="preserve">The OECD identifies three major advantages of retaining the competition and consumer functions in one institution: </w:t>
      </w:r>
    </w:p>
    <w:p w14:paraId="39AB16B1" w14:textId="77777777" w:rsidR="00F43A43" w:rsidRPr="008625DC" w:rsidRDefault="00F43A43" w:rsidP="0020129A">
      <w:pPr>
        <w:pStyle w:val="Bullet"/>
      </w:pPr>
      <w:r w:rsidRPr="008625DC">
        <w:t>gains from treating competition and consumer policy as instruments that can be flexibly combined and more generally managed within a single portfolio of policy instruments;</w:t>
      </w:r>
    </w:p>
    <w:p w14:paraId="73924BEE" w14:textId="77777777" w:rsidR="00F43A43" w:rsidRPr="008625DC" w:rsidRDefault="00F43A43" w:rsidP="0020129A">
      <w:pPr>
        <w:pStyle w:val="Bullet"/>
      </w:pPr>
      <w:r w:rsidRPr="008625DC">
        <w:t>gains from developing and sharing expertise across these two areas; and</w:t>
      </w:r>
    </w:p>
    <w:p w14:paraId="4E77DC2D" w14:textId="19508E54" w:rsidR="00F43A43" w:rsidRPr="008625DC" w:rsidRDefault="00F43A43" w:rsidP="0020129A">
      <w:pPr>
        <w:pStyle w:val="Bullet"/>
        <w:spacing w:after="240"/>
      </w:pPr>
      <w:r w:rsidRPr="008625DC">
        <w:t>gains in terms of the wider visibility to the community, and understanding in the community, of competition and consumer issues.</w:t>
      </w:r>
      <w:r w:rsidRPr="008625DC">
        <w:rPr>
          <w:vertAlign w:val="superscript"/>
        </w:rPr>
        <w:footnoteReference w:id="400"/>
      </w:r>
    </w:p>
    <w:p w14:paraId="674687C8" w14:textId="758E4654" w:rsidR="00F43A43" w:rsidRPr="008625DC" w:rsidRDefault="00F43A43" w:rsidP="00F43A43">
      <w:r w:rsidRPr="008625DC">
        <w:t>Retaining a combined competition and consumer body is supported by a range of consumer groups that focus on the ACCC</w:t>
      </w:r>
      <w:r w:rsidR="00C74E19" w:rsidRPr="008625DC">
        <w:t>’</w:t>
      </w:r>
      <w:r w:rsidRPr="008625DC">
        <w:t>s record of being an active competition and consumer regulator.</w:t>
      </w:r>
    </w:p>
    <w:p w14:paraId="17D3F0E8" w14:textId="2F0F2092" w:rsidR="00F43A43" w:rsidRPr="008625DC" w:rsidRDefault="00F43A43" w:rsidP="00F43A43">
      <w:r w:rsidRPr="008625DC">
        <w:t xml:space="preserve">The Australian Communications Consumer Action Network submits that it sees the competition and consumer protection roles of the ACCC as complementary and those roles </w:t>
      </w:r>
      <w:r w:rsidR="00C74E19" w:rsidRPr="008625DC">
        <w:t>‘</w:t>
      </w:r>
      <w:r w:rsidRPr="008625DC">
        <w:t>as inextricably linked and important to maintain within the same organisation.</w:t>
      </w:r>
      <w:r w:rsidR="00C74E19" w:rsidRPr="008625DC">
        <w:t>’</w:t>
      </w:r>
      <w:r w:rsidRPr="008625DC">
        <w:t xml:space="preserve"> (page 9) CHOICE notes one of the benefits of having a combined competition and consumer regulator is avoiding regulatory over</w:t>
      </w:r>
      <w:r w:rsidR="00C74E19" w:rsidRPr="008625DC">
        <w:noBreakHyphen/>
      </w:r>
      <w:r w:rsidRPr="008625DC">
        <w:t>capture. (page</w:t>
      </w:r>
      <w:r w:rsidR="000376F5" w:rsidRPr="008625DC">
        <w:t> </w:t>
      </w:r>
      <w:r w:rsidRPr="008625DC">
        <w:t>55)</w:t>
      </w:r>
    </w:p>
    <w:p w14:paraId="38CDA150" w14:textId="2F4A8373" w:rsidR="00F43A43" w:rsidRPr="008625DC" w:rsidRDefault="00F43A43" w:rsidP="00F43A43">
      <w:pPr>
        <w:ind w:right="425"/>
        <w:rPr>
          <w:szCs w:val="22"/>
        </w:rPr>
      </w:pPr>
      <w:r w:rsidRPr="008625DC">
        <w:rPr>
          <w:szCs w:val="22"/>
        </w:rPr>
        <w:t xml:space="preserve">The question for the Panel is whether the claimed cultural benefits of separate regulators outweigh the synergy benefits from combining competition and consumer functions. </w:t>
      </w:r>
      <w:r w:rsidR="00046B31" w:rsidRPr="008625DC">
        <w:rPr>
          <w:szCs w:val="22"/>
        </w:rPr>
        <w:t>The Panel is</w:t>
      </w:r>
      <w:r w:rsidRPr="008625DC">
        <w:rPr>
          <w:szCs w:val="22"/>
        </w:rPr>
        <w:t xml:space="preserve"> not satisfied, on balance, that there would be an overall benefit in separating the competition and consumer functions. Small businesses, in particular, which sometimes have the characteristics of businesses and at other times of consumers, could </w:t>
      </w:r>
      <w:r w:rsidR="00C74E19" w:rsidRPr="008625DC">
        <w:rPr>
          <w:szCs w:val="22"/>
        </w:rPr>
        <w:t>‘</w:t>
      </w:r>
      <w:r w:rsidRPr="008625DC">
        <w:rPr>
          <w:szCs w:val="22"/>
        </w:rPr>
        <w:t>fall through the cracks</w:t>
      </w:r>
      <w:r w:rsidR="00C74E19" w:rsidRPr="008625DC">
        <w:rPr>
          <w:szCs w:val="22"/>
        </w:rPr>
        <w:t>’</w:t>
      </w:r>
      <w:r w:rsidRPr="008625DC">
        <w:rPr>
          <w:szCs w:val="22"/>
        </w:rPr>
        <w:t>.</w:t>
      </w:r>
    </w:p>
    <w:p w14:paraId="43B25A45" w14:textId="0421398B" w:rsidR="00F43A43" w:rsidRPr="008625DC" w:rsidRDefault="00F43A43" w:rsidP="00F43A43">
      <w:pPr>
        <w:rPr>
          <w:szCs w:val="22"/>
        </w:rPr>
      </w:pPr>
      <w:r w:rsidRPr="008625DC">
        <w:t>For example, currently the ACCC can assess a complaint of anti</w:t>
      </w:r>
      <w:r w:rsidR="00C74E19" w:rsidRPr="008625DC">
        <w:noBreakHyphen/>
      </w:r>
      <w:r w:rsidRPr="008625DC">
        <w:t>competitive behaviour against the misuse of market power provisions, the business unconscionable conduct provisions, or the operation of a relevant code. Having these considerations split across different agencies could lead to additional administrative complexity or, far worse, to duplicate prosecutions of the same conduct under separate parts of the CCA by separate agencies.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F43A43" w:rsidRPr="008625DC" w14:paraId="37077CE9" w14:textId="77777777" w:rsidTr="00F43A43">
        <w:tc>
          <w:tcPr>
            <w:tcW w:w="5000" w:type="pct"/>
            <w:shd w:val="clear" w:color="auto" w:fill="FFFFFF" w:themeFill="background1"/>
          </w:tcPr>
          <w:p w14:paraId="2C3DEB99" w14:textId="4A659DBB" w:rsidR="00F43A43" w:rsidRPr="008625DC" w:rsidRDefault="00F43A43" w:rsidP="0020129A">
            <w:pPr>
              <w:pStyle w:val="Keyfindingheading"/>
            </w:pPr>
            <w:r w:rsidRPr="008625DC">
              <w:lastRenderedPageBreak/>
              <w:t>The Panel</w:t>
            </w:r>
            <w:r w:rsidR="00C74E19" w:rsidRPr="008625DC">
              <w:t>’</w:t>
            </w:r>
            <w:r w:rsidRPr="008625DC">
              <w:t>s view</w:t>
            </w:r>
          </w:p>
          <w:p w14:paraId="5E8420F3" w14:textId="77777777" w:rsidR="00F43A43" w:rsidRPr="008625DC" w:rsidRDefault="00F43A43" w:rsidP="0020129A">
            <w:pPr>
              <w:pStyle w:val="Keyfindingtext"/>
            </w:pPr>
            <w:r w:rsidRPr="008625DC">
              <w:t xml:space="preserve">The Panel considers that the ACCC should continue to combine competition and consumer regulation. </w:t>
            </w:r>
          </w:p>
          <w:p w14:paraId="0DF0F85A" w14:textId="77777777" w:rsidR="00F43A43" w:rsidRPr="008625DC" w:rsidRDefault="00F43A43" w:rsidP="0020129A">
            <w:pPr>
              <w:pStyle w:val="Keyfindingtext"/>
            </w:pPr>
            <w:bookmarkStart w:id="36190" w:name="_Toc395003576"/>
            <w:bookmarkStart w:id="36191" w:name="_Toc395005817"/>
            <w:bookmarkStart w:id="36192" w:name="_Toc395009803"/>
            <w:bookmarkStart w:id="36193" w:name="_Toc395011433"/>
            <w:bookmarkStart w:id="36194" w:name="_Toc395012727"/>
            <w:bookmarkStart w:id="36195" w:name="_Toc395011721"/>
            <w:bookmarkStart w:id="36196" w:name="_Toc395012191"/>
            <w:bookmarkStart w:id="36197" w:name="_Toc395014530"/>
            <w:bookmarkStart w:id="36198" w:name="_Toc395084873"/>
            <w:bookmarkStart w:id="36199" w:name="_Toc395085174"/>
            <w:bookmarkStart w:id="36200" w:name="_Toc395090640"/>
            <w:bookmarkStart w:id="36201" w:name="_Toc395093224"/>
            <w:bookmarkStart w:id="36202" w:name="_Toc395098134"/>
            <w:bookmarkStart w:id="36203" w:name="_Toc395105319"/>
            <w:bookmarkStart w:id="36204" w:name="_Toc395106922"/>
            <w:bookmarkStart w:id="36205" w:name="_Toc395109579"/>
            <w:bookmarkStart w:id="36206" w:name="_Toc395112284"/>
            <w:bookmarkStart w:id="36207" w:name="_Toc395107426"/>
            <w:bookmarkStart w:id="36208" w:name="_Toc395108987"/>
            <w:bookmarkStart w:id="36209" w:name="_Toc395114227"/>
            <w:bookmarkStart w:id="36210" w:name="_Toc395116964"/>
            <w:bookmarkStart w:id="36211" w:name="_Toc395113082"/>
            <w:bookmarkStart w:id="36212" w:name="_Toc395115441"/>
            <w:bookmarkStart w:id="36213" w:name="_Toc395118593"/>
            <w:bookmarkStart w:id="36214" w:name="_Toc395624785"/>
            <w:bookmarkStart w:id="36215" w:name="_Toc395790136"/>
            <w:bookmarkStart w:id="36216" w:name="_Toc395800894"/>
            <w:r w:rsidRPr="008625DC">
              <w:t>There are synergies from having the competition and consumer functions within the one regulator. For example, fair trading issues may raise concerns about misuse of market power, unconscionable conduct or unfair contract terms.</w:t>
            </w:r>
            <w:bookmarkEnd w:id="36190"/>
            <w:bookmarkEnd w:id="36191"/>
            <w:bookmarkEnd w:id="36192"/>
            <w:bookmarkEnd w:id="36193"/>
            <w:bookmarkEnd w:id="36194"/>
            <w:bookmarkEnd w:id="36195"/>
            <w:bookmarkEnd w:id="36196"/>
            <w:bookmarkEnd w:id="36197"/>
            <w:bookmarkEnd w:id="36198"/>
            <w:bookmarkEnd w:id="36199"/>
            <w:r w:rsidRPr="008625DC">
              <w:t xml:space="preserve"> Having one regulator overseeing all of these functions allows the different courses of action to be considered simultaneously.</w:t>
            </w:r>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r w:rsidRPr="008625DC">
              <w:t xml:space="preserve"> It also encourages the building of expertise.</w:t>
            </w:r>
          </w:p>
          <w:p w14:paraId="707441A6" w14:textId="3E8357E3" w:rsidR="00F43A43" w:rsidRPr="008625DC" w:rsidRDefault="00F43A43" w:rsidP="0020129A">
            <w:pPr>
              <w:pStyle w:val="Keyfindingtext"/>
            </w:pPr>
            <w:r w:rsidRPr="008625DC">
              <w:t>We recognise that with these synergies come tensions, and note that the ACCC should continue to carefully balance its competition</w:t>
            </w:r>
            <w:r w:rsidR="00C74E19" w:rsidRPr="008625DC">
              <w:noBreakHyphen/>
            </w:r>
            <w:r w:rsidRPr="008625DC">
              <w:t>related regulatory tasks with its consumer protection role.</w:t>
            </w:r>
          </w:p>
        </w:tc>
      </w:tr>
    </w:tbl>
    <w:p w14:paraId="354FB702" w14:textId="77777777" w:rsidR="00F43A43" w:rsidRPr="008625DC" w:rsidRDefault="00F43A43" w:rsidP="0020129A">
      <w:pPr>
        <w:pStyle w:val="SingleParagraph"/>
      </w:pPr>
    </w:p>
    <w:p w14:paraId="4E2CA2B0" w14:textId="77777777" w:rsidR="00F43A43" w:rsidRPr="008625DC" w:rsidRDefault="00F43A43" w:rsidP="00D372B2">
      <w:pPr>
        <w:pStyle w:val="Heading2"/>
        <w:ind w:left="851" w:hanging="851"/>
        <w:rPr>
          <w:smallCaps w:val="0"/>
          <w:lang w:val="en-AU"/>
        </w:rPr>
      </w:pPr>
      <w:bookmarkStart w:id="36217" w:name="_Toc398287379"/>
      <w:bookmarkStart w:id="36218" w:name="_Toc398289262"/>
      <w:bookmarkStart w:id="36219" w:name="_Toc398297259"/>
      <w:bookmarkStart w:id="36220" w:name="_Toc398298733"/>
      <w:bookmarkStart w:id="36221" w:name="_Toc398301331"/>
      <w:bookmarkStart w:id="36222" w:name="_Toc398302516"/>
      <w:bookmarkStart w:id="36223" w:name="_Toc398302679"/>
      <w:bookmarkStart w:id="36224" w:name="_Toc398549194"/>
      <w:bookmarkStart w:id="36225" w:name="_Toc398549444"/>
      <w:bookmarkStart w:id="36226" w:name="_Toc398555863"/>
      <w:bookmarkStart w:id="36227" w:name="_Toc398559067"/>
      <w:bookmarkStart w:id="36228" w:name="_Toc398563553"/>
      <w:bookmarkStart w:id="36229" w:name="_Toc398563686"/>
      <w:bookmarkStart w:id="36230" w:name="_Toc398564085"/>
      <w:bookmarkStart w:id="36231" w:name="_Toc398827423"/>
      <w:bookmarkStart w:id="36232" w:name="_Toc398827617"/>
      <w:r w:rsidRPr="008625DC">
        <w:rPr>
          <w:lang w:val="en-AU"/>
        </w:rPr>
        <w:t>ACCC accountability and governance</w:t>
      </w:r>
      <w:bookmarkEnd w:id="36217"/>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p>
    <w:p w14:paraId="216A2769" w14:textId="629ED756" w:rsidR="00F43A43" w:rsidRPr="008625DC" w:rsidRDefault="00F43A43" w:rsidP="00F43A43">
      <w:r w:rsidRPr="008625DC">
        <w:rPr>
          <w:rFonts w:ascii="Calibri" w:eastAsia="Calibri" w:hAnsi="Calibri"/>
          <w:color w:val="auto"/>
          <w:szCs w:val="22"/>
          <w:lang w:eastAsia="en-US"/>
        </w:rPr>
        <w:t>The ACCC is established under the CCA as a sta</w:t>
      </w:r>
      <w:r w:rsidR="00602DAF" w:rsidRPr="008625DC">
        <w:rPr>
          <w:rFonts w:ascii="Calibri" w:eastAsia="Calibri" w:hAnsi="Calibri"/>
          <w:color w:val="auto"/>
          <w:szCs w:val="22"/>
          <w:lang w:eastAsia="en-US"/>
        </w:rPr>
        <w:t xml:space="preserve">tutory corporation. </w:t>
      </w:r>
      <w:r w:rsidRPr="008625DC">
        <w:rPr>
          <w:rFonts w:ascii="Calibri" w:eastAsia="Calibri" w:hAnsi="Calibri"/>
          <w:color w:val="auto"/>
          <w:szCs w:val="22"/>
          <w:lang w:eastAsia="en-US"/>
        </w:rPr>
        <w:t>It is governed by a chairperson and other persons appointed as members of the Commission (usually called commissioners). Decisions are made by the chairperson and commissioners meeting together (or as a division of the Commission), save where a power has been delegated to a member of the Commission. The Commission is assisted by its staff. In practice, the chairperson and commissioners are appointed on a full</w:t>
      </w:r>
      <w:r w:rsidR="00C74E19" w:rsidRPr="008625DC">
        <w:rPr>
          <w:rFonts w:ascii="Calibri" w:eastAsia="Calibri" w:hAnsi="Calibri"/>
          <w:color w:val="auto"/>
          <w:szCs w:val="22"/>
          <w:lang w:eastAsia="en-US"/>
        </w:rPr>
        <w:noBreakHyphen/>
      </w:r>
      <w:r w:rsidRPr="008625DC">
        <w:rPr>
          <w:rFonts w:ascii="Calibri" w:eastAsia="Calibri" w:hAnsi="Calibri"/>
          <w:color w:val="auto"/>
          <w:szCs w:val="22"/>
          <w:lang w:eastAsia="en-US"/>
        </w:rPr>
        <w:t>time basis; in other words, they perform an executive role.</w:t>
      </w:r>
    </w:p>
    <w:p w14:paraId="0076A916" w14:textId="1A871459" w:rsidR="00F43A43" w:rsidRPr="008625DC" w:rsidRDefault="00F43A43" w:rsidP="00F43A43">
      <w:r w:rsidRPr="008625DC">
        <w:t>The ACCC is subject to external parliamentary scrutiny through the Senate Economics References Committee, which examines the operations and performance of all Treasury portfolio agencies as part of the Senate Estimates process that occurs up to three times each year. The ACCC</w:t>
      </w:r>
      <w:r w:rsidR="00C74E19" w:rsidRPr="008625DC">
        <w:t>’</w:t>
      </w:r>
      <w:r w:rsidRPr="008625DC">
        <w:t>s annual report is also tabled in parliament.</w:t>
      </w:r>
    </w:p>
    <w:p w14:paraId="63415E79" w14:textId="77777777" w:rsidR="00F43A43" w:rsidRPr="008625DC" w:rsidRDefault="00F43A43" w:rsidP="00F43A43">
      <w:r w:rsidRPr="008625DC">
        <w:t xml:space="preserve">Other bodies reviewing the activities of the ACCC include tribunals and courts and the Commonwealth Ombudsman. The ACCC and its staff must also comply with a range of other general rules and guidance such as the </w:t>
      </w:r>
      <w:r w:rsidRPr="008625DC">
        <w:rPr>
          <w:i/>
        </w:rPr>
        <w:t>Public Governance, Performance and Accountability Act 2013</w:t>
      </w:r>
      <w:r w:rsidRPr="008625DC">
        <w:t>, Legal Services Directions,</w:t>
      </w:r>
      <w:r w:rsidRPr="008625DC">
        <w:rPr>
          <w:vertAlign w:val="superscript"/>
        </w:rPr>
        <w:footnoteReference w:id="401"/>
      </w:r>
      <w:r w:rsidRPr="008625DC">
        <w:t xml:space="preserve"> Commonwealth freedom of information framework</w:t>
      </w:r>
      <w:r w:rsidRPr="008625DC">
        <w:rPr>
          <w:vertAlign w:val="superscript"/>
        </w:rPr>
        <w:footnoteReference w:id="402"/>
      </w:r>
      <w:r w:rsidRPr="008625DC">
        <w:t xml:space="preserve"> and general obligations on public service employees.</w:t>
      </w:r>
      <w:r w:rsidRPr="008625DC">
        <w:rPr>
          <w:vertAlign w:val="superscript"/>
        </w:rPr>
        <w:footnoteReference w:id="403"/>
      </w:r>
    </w:p>
    <w:p w14:paraId="5DD22B9D" w14:textId="4C22C05A" w:rsidR="00F43A43" w:rsidRPr="008625DC" w:rsidRDefault="00F43A43" w:rsidP="00F43A43">
      <w:r w:rsidRPr="008625DC">
        <w:t>The ACCC, like other executive institutions, is issued with a statement of expectations from the Government, most recently in 2014.</w:t>
      </w:r>
      <w:r w:rsidRPr="008625DC">
        <w:rPr>
          <w:vertAlign w:val="superscript"/>
        </w:rPr>
        <w:footnoteReference w:id="404"/>
      </w:r>
      <w:r w:rsidRPr="008625DC">
        <w:t xml:space="preserve"> This sets out the Government</w:t>
      </w:r>
      <w:r w:rsidR="00C74E19" w:rsidRPr="008625DC">
        <w:t>’</w:t>
      </w:r>
      <w:r w:rsidRPr="008625DC">
        <w:t>s expectations about the role and responsibilities of the ACCC, its relationship with the Government, issues of transparency and accountability and operational matters. The ACCC has responded with its statement of intent.</w:t>
      </w:r>
      <w:r w:rsidRPr="008625DC">
        <w:rPr>
          <w:vertAlign w:val="superscript"/>
        </w:rPr>
        <w:footnoteReference w:id="405"/>
      </w:r>
    </w:p>
    <w:p w14:paraId="62DFFB4D" w14:textId="0C0F10FB" w:rsidR="00F43A43" w:rsidRPr="008625DC" w:rsidRDefault="00F43A43" w:rsidP="00F43A43">
      <w:r w:rsidRPr="008625DC">
        <w:t>The ACCC was constituted in 1995 following the implementation of the Hilmer Review. Since that time the ACCC has had three Chairs and a number of commissioners. Over that period the economy has become increasingly complex and the ACCC</w:t>
      </w:r>
      <w:r w:rsidR="00C74E19" w:rsidRPr="008625DC">
        <w:t>’</w:t>
      </w:r>
      <w:r w:rsidRPr="008625DC">
        <w:t>s role has expanded significantly. While the ACCC has been a successful agency, the question for the Panel is whether there are enhancements that can be made to its governance structure to ensure it continues to perform well into the future.</w:t>
      </w:r>
    </w:p>
    <w:p w14:paraId="69F9E33A" w14:textId="33899717" w:rsidR="00116962" w:rsidRPr="008625DC" w:rsidRDefault="00F43A43" w:rsidP="0020129A">
      <w:r w:rsidRPr="008625DC">
        <w:lastRenderedPageBreak/>
        <w:t>The Review</w:t>
      </w:r>
      <w:r w:rsidR="00C74E19" w:rsidRPr="008625DC">
        <w:t>’</w:t>
      </w:r>
      <w:r w:rsidRPr="008625DC">
        <w:t xml:space="preserve">s remit includes considering the governance structure of the ACCC and whether improvements may be made to strengthen decision making. Given the fundamental role that </w:t>
      </w:r>
      <w:r w:rsidR="00C74E19" w:rsidRPr="008625DC">
        <w:t>‘</w:t>
      </w:r>
      <w:r w:rsidRPr="008625DC">
        <w:t>checks and balances</w:t>
      </w:r>
      <w:r w:rsidR="00C74E19" w:rsidRPr="008625DC">
        <w:t>’</w:t>
      </w:r>
      <w:r w:rsidRPr="008625DC">
        <w:t xml:space="preserve"> play in good governan</w:t>
      </w:r>
      <w:r w:rsidR="0020129A" w:rsidRPr="008625DC">
        <w:t>ce structures</w:t>
      </w:r>
      <w:r w:rsidRPr="008625DC">
        <w:t xml:space="preserve"> it is appropriate to consider whether the current chec</w:t>
      </w:r>
      <w:r w:rsidR="0020129A" w:rsidRPr="008625DC">
        <w:t>ks and balances are sufficient.</w:t>
      </w:r>
    </w:p>
    <w:p w14:paraId="45B8ADF0" w14:textId="3131C2CA" w:rsidR="00F43A43" w:rsidRPr="008625DC" w:rsidRDefault="00F43A43" w:rsidP="0020129A">
      <w:pPr>
        <w:spacing w:after="120"/>
      </w:pPr>
      <w:r w:rsidRPr="008625DC">
        <w:t>Mr John Dahlsen</w:t>
      </w:r>
      <w:r w:rsidR="00D363D7" w:rsidRPr="008625DC">
        <w:t xml:space="preserve"> notes</w:t>
      </w:r>
      <w:r w:rsidR="00116962" w:rsidRPr="008625DC">
        <w:t>:</w:t>
      </w:r>
    </w:p>
    <w:p w14:paraId="58F5986B" w14:textId="66C3376E" w:rsidR="00F43A43" w:rsidRPr="008625DC" w:rsidRDefault="00F43A43" w:rsidP="0020129A">
      <w:pPr>
        <w:pStyle w:val="Quotes"/>
      </w:pPr>
      <w:r w:rsidRPr="008625DC">
        <w:t>Governance arrangements could clearly be improved to establish a chain of accountability superior to what currently exists. It is possible that the strong, independent and non</w:t>
      </w:r>
      <w:r w:rsidR="00C74E19" w:rsidRPr="008625DC">
        <w:noBreakHyphen/>
      </w:r>
      <w:r w:rsidRPr="008625DC">
        <w:t>conflicting influence of directors with clearly mandated powers could improve the situation.</w:t>
      </w:r>
      <w:r w:rsidRPr="008625DC">
        <w:rPr>
          <w:vertAlign w:val="superscript"/>
        </w:rPr>
        <w:footnoteReference w:id="406"/>
      </w:r>
      <w:r w:rsidRPr="008625DC">
        <w:t xml:space="preserve"> (page 131)</w:t>
      </w:r>
    </w:p>
    <w:p w14:paraId="60E51E9B" w14:textId="31C0D22C" w:rsidR="00F43A43" w:rsidRPr="008625DC" w:rsidRDefault="00F43A43" w:rsidP="00F43A43">
      <w:r w:rsidRPr="008625DC">
        <w:t xml:space="preserve">The Panel notes there are other governance structures available for government bodies. The Panel has had particular regard to the Reserve Bank of Australia (RBA) given that it is a body that is independent and has a reputation for using its independence. It is trusted in the way that it undertakes its responsibilities and its decisions are seen to be taken in the interests of Australia, even though any individual decision will have </w:t>
      </w:r>
      <w:r w:rsidR="00C74E19" w:rsidRPr="008625DC">
        <w:t>‘</w:t>
      </w:r>
      <w:r w:rsidRPr="008625DC">
        <w:t>winners and losers</w:t>
      </w:r>
      <w:r w:rsidR="00C74E19" w:rsidRPr="008625DC">
        <w:t>’</w:t>
      </w:r>
      <w:r w:rsidRPr="008625DC">
        <w:t xml:space="preserve">. </w:t>
      </w:r>
    </w:p>
    <w:p w14:paraId="50D40310" w14:textId="69B42A63" w:rsidR="00F43A43" w:rsidRPr="008625DC" w:rsidRDefault="00F43A43" w:rsidP="00F43A43">
      <w:r w:rsidRPr="008625DC">
        <w:t>The RBA has its own source of revenue that can bolster its independence. That cannot be replicated for the ACCC. But there are other features that could be applied to the ACCC. The Governor of the RBA is generally appointed from within the agency, which provides cultural continuity. The Governor is also asked to appear before a House of Representatives Committee twice each year for a broad</w:t>
      </w:r>
      <w:r w:rsidR="00C74E19" w:rsidRPr="008625DC">
        <w:noBreakHyphen/>
      </w:r>
      <w:r w:rsidRPr="008625DC">
        <w:t>ranging discussion of the RBA</w:t>
      </w:r>
      <w:r w:rsidR="00C74E19" w:rsidRPr="008625DC">
        <w:t>’</w:t>
      </w:r>
      <w:r w:rsidRPr="008625DC">
        <w:t>s approach to implementing its responsibilities.</w:t>
      </w:r>
    </w:p>
    <w:p w14:paraId="70866616" w14:textId="19CCC381" w:rsidR="00F43A43" w:rsidRPr="008625DC" w:rsidRDefault="00F43A43" w:rsidP="00F43A43">
      <w:r w:rsidRPr="008625DC">
        <w:t>The RBA also has a Board with independent, non</w:t>
      </w:r>
      <w:r w:rsidR="00C74E19" w:rsidRPr="008625DC">
        <w:noBreakHyphen/>
      </w:r>
      <w:r w:rsidRPr="008625DC">
        <w:t xml:space="preserve">executive directors. The Board brings business and academic experience to the governance of the RBA. It also provides an alternative source of advice and oversight from that generated within the RBA, and so can provide a check against </w:t>
      </w:r>
      <w:r w:rsidR="00C74E19" w:rsidRPr="008625DC">
        <w:t>‘</w:t>
      </w:r>
      <w:r w:rsidRPr="008625DC">
        <w:t>group think</w:t>
      </w:r>
      <w:r w:rsidR="00C74E19" w:rsidRPr="008625DC">
        <w:t>’</w:t>
      </w:r>
      <w:r w:rsidRPr="008625DC">
        <w:t>.</w:t>
      </w:r>
    </w:p>
    <w:p w14:paraId="6F073BB2" w14:textId="1D59A159" w:rsidR="00F43A43" w:rsidRPr="008625DC" w:rsidRDefault="00F43A43" w:rsidP="00F43A43">
      <w:r w:rsidRPr="008625DC">
        <w:t>Adding a Board to the ACCC could strengthen the checks and balances on the ACCC</w:t>
      </w:r>
      <w:r w:rsidR="00C74E19" w:rsidRPr="008625DC">
        <w:t>’</w:t>
      </w:r>
      <w:r w:rsidRPr="008625DC">
        <w:t>s internal decision</w:t>
      </w:r>
      <w:r w:rsidR="0020129A" w:rsidRPr="008625DC">
        <w:noBreakHyphen/>
      </w:r>
      <w:r w:rsidRPr="008625DC">
        <w:t>making by bringing external perspectives to bear, and could also strengthen the accountability of the ACCC executive to the broader community as represented by external members of the Board.</w:t>
      </w:r>
    </w:p>
    <w:p w14:paraId="038A167A" w14:textId="50144406" w:rsidR="00F43A43" w:rsidRPr="008625DC" w:rsidRDefault="00F43A43" w:rsidP="00F43A43">
      <w:r w:rsidRPr="008625DC">
        <w:t>The Panel has contemplated two options to introduce this diversity of views into the decision</w:t>
      </w:r>
      <w:r w:rsidR="00C74E19" w:rsidRPr="008625DC">
        <w:noBreakHyphen/>
      </w:r>
      <w:r w:rsidRPr="008625DC">
        <w:t>making of the ACCC.</w:t>
      </w:r>
    </w:p>
    <w:p w14:paraId="638CEEB4" w14:textId="2898BCC2" w:rsidR="00F43A43" w:rsidRPr="008625DC" w:rsidRDefault="00F43A43" w:rsidP="00F43A43">
      <w:r w:rsidRPr="008625DC">
        <w:t xml:space="preserve">The first is to replace the current Commission with a Board, comprising a number of members akin to the current commissioners, who </w:t>
      </w:r>
      <w:r w:rsidR="00CB5D6F" w:rsidRPr="008625DC">
        <w:t xml:space="preserve">would </w:t>
      </w:r>
      <w:r w:rsidRPr="008625DC">
        <w:t>work full</w:t>
      </w:r>
      <w:r w:rsidR="00C74E19" w:rsidRPr="008625DC">
        <w:noBreakHyphen/>
      </w:r>
      <w:r w:rsidRPr="008625DC">
        <w:t>time in the operations of the ACCC, and a number of independent non</w:t>
      </w:r>
      <w:r w:rsidR="00C74E19" w:rsidRPr="008625DC">
        <w:noBreakHyphen/>
      </w:r>
      <w:r w:rsidRPr="008625DC">
        <w:t xml:space="preserve">executive members </w:t>
      </w:r>
      <w:r w:rsidR="00CB5D6F" w:rsidRPr="008625DC">
        <w:t xml:space="preserve">with </w:t>
      </w:r>
      <w:r w:rsidRPr="008625DC">
        <w:t>business</w:t>
      </w:r>
      <w:r w:rsidR="00CB5D6F" w:rsidRPr="008625DC">
        <w:t>, consumer</w:t>
      </w:r>
      <w:r w:rsidRPr="008625DC">
        <w:t xml:space="preserve"> and academi</w:t>
      </w:r>
      <w:r w:rsidR="00CB5D6F" w:rsidRPr="008625DC">
        <w:t>c expertise</w:t>
      </w:r>
      <w:r w:rsidRPr="008625DC">
        <w:t xml:space="preserve">, who </w:t>
      </w:r>
      <w:r w:rsidR="00CB5D6F" w:rsidRPr="008625DC">
        <w:t xml:space="preserve">would not be </w:t>
      </w:r>
      <w:r w:rsidRPr="008625DC">
        <w:t>involved in the day</w:t>
      </w:r>
      <w:r w:rsidR="00C74E19" w:rsidRPr="008625DC">
        <w:noBreakHyphen/>
      </w:r>
      <w:r w:rsidRPr="008625DC">
        <w:t>to</w:t>
      </w:r>
      <w:r w:rsidR="00C74E19" w:rsidRPr="008625DC">
        <w:noBreakHyphen/>
      </w:r>
      <w:r w:rsidRPr="008625DC">
        <w:t>day functions of the ACCC. This option would strengthen accountability of the ACCC to the broader community as represented by the non</w:t>
      </w:r>
      <w:r w:rsidR="00C74E19" w:rsidRPr="008625DC">
        <w:noBreakHyphen/>
      </w:r>
      <w:r w:rsidRPr="008625DC">
        <w:t>executive members of the Board.</w:t>
      </w:r>
    </w:p>
    <w:p w14:paraId="29F976BA" w14:textId="1713A41F" w:rsidR="00CB5D6F" w:rsidRPr="008625DC" w:rsidRDefault="00CB5D6F" w:rsidP="00F43A43">
      <w:r w:rsidRPr="008625DC">
        <w:t>The Panel has no strong view on whether the Board should be chaired by an executive or non</w:t>
      </w:r>
      <w:r w:rsidR="00C74E19" w:rsidRPr="008625DC">
        <w:noBreakHyphen/>
      </w:r>
      <w:r w:rsidRPr="008625DC">
        <w:t>executive member.</w:t>
      </w:r>
    </w:p>
    <w:p w14:paraId="30AE6BEC" w14:textId="61550EB8" w:rsidR="00F43A43" w:rsidRPr="008625DC" w:rsidRDefault="00F43A43" w:rsidP="00F43A43">
      <w:r w:rsidRPr="008625DC">
        <w:t>An alternative means of adding to the diversity of views may be through retaining the current Commission structure but adding an Advisory Board without decision</w:t>
      </w:r>
      <w:r w:rsidR="00C74E19" w:rsidRPr="008625DC">
        <w:noBreakHyphen/>
      </w:r>
      <w:r w:rsidRPr="008625DC">
        <w:t>making powers. The Advisory Board would comprise independent non</w:t>
      </w:r>
      <w:r w:rsidR="00C74E19" w:rsidRPr="008625DC">
        <w:noBreakHyphen/>
      </w:r>
      <w:r w:rsidRPr="008625DC">
        <w:t xml:space="preserve">executive directors </w:t>
      </w:r>
      <w:r w:rsidR="00CB5D6F" w:rsidRPr="008625DC">
        <w:t xml:space="preserve">with </w:t>
      </w:r>
      <w:r w:rsidRPr="008625DC">
        <w:t>business</w:t>
      </w:r>
      <w:r w:rsidR="00CB5D6F" w:rsidRPr="008625DC">
        <w:t>, consumer</w:t>
      </w:r>
      <w:r w:rsidRPr="008625DC">
        <w:t xml:space="preserve"> and academi</w:t>
      </w:r>
      <w:r w:rsidR="00CB5D6F" w:rsidRPr="008625DC">
        <w:t xml:space="preserve">c </w:t>
      </w:r>
      <w:r w:rsidR="00CB5D6F" w:rsidRPr="008625DC">
        <w:lastRenderedPageBreak/>
        <w:t>expertise</w:t>
      </w:r>
      <w:r w:rsidRPr="008625DC">
        <w:t xml:space="preserve"> and would advise the Commission on operational and administrative policies. The Advisory Board would be chaired by the Chair of the Commission, with other commissioners also potentially serving as members.</w:t>
      </w:r>
    </w:p>
    <w:p w14:paraId="2E6F123B" w14:textId="7409B6BD" w:rsidR="00F43A43" w:rsidRPr="008625DC" w:rsidRDefault="00F43A43" w:rsidP="00F43A43">
      <w:r w:rsidRPr="008625DC">
        <w:t>The Panel considers that, whichever option may be adopted, a fundamental requirement is the appointment of non</w:t>
      </w:r>
      <w:r w:rsidR="00C74E19" w:rsidRPr="008625DC">
        <w:noBreakHyphen/>
      </w:r>
      <w:r w:rsidRPr="008625DC">
        <w:t>executive members who would not have other roles in the ACCC or its committees and who would be independent of the day</w:t>
      </w:r>
      <w:r w:rsidR="00C74E19" w:rsidRPr="008625DC">
        <w:noBreakHyphen/>
      </w:r>
      <w:r w:rsidRPr="008625DC">
        <w:t>to</w:t>
      </w:r>
      <w:r w:rsidR="00C74E19" w:rsidRPr="008625DC">
        <w:noBreakHyphen/>
      </w:r>
      <w:r w:rsidRPr="008625DC">
        <w:t>day operations of the agency.</w:t>
      </w:r>
    </w:p>
    <w:p w14:paraId="761B1E92" w14:textId="2B29EDBE" w:rsidR="00F43A43" w:rsidRPr="008625DC" w:rsidRDefault="00F43A43" w:rsidP="00F43A43">
      <w:r w:rsidRPr="008625DC">
        <w:t xml:space="preserve">The ACCC could also report regularly to a </w:t>
      </w:r>
      <w:r w:rsidR="00B73EB6" w:rsidRPr="008625DC">
        <w:t>broadly</w:t>
      </w:r>
      <w:r w:rsidR="00C74E19" w:rsidRPr="008625DC">
        <w:noBreakHyphen/>
      </w:r>
      <w:r w:rsidR="00B73EB6" w:rsidRPr="008625DC">
        <w:t xml:space="preserve">based committee of the </w:t>
      </w:r>
      <w:r w:rsidRPr="008625DC">
        <w:t>Parliament,</w:t>
      </w:r>
      <w:r w:rsidR="00B73EB6" w:rsidRPr="008625DC">
        <w:t xml:space="preserve"> such as the </w:t>
      </w:r>
      <w:r w:rsidR="00CB5D6F" w:rsidRPr="008625DC">
        <w:t>House of Representatives Standing Committee on Economics</w:t>
      </w:r>
      <w:r w:rsidR="00B73EB6" w:rsidRPr="008625DC">
        <w:t>,</w:t>
      </w:r>
      <w:r w:rsidRPr="008625DC">
        <w:t xml:space="preserve"> to build profile and credibility for the agency as well as </w:t>
      </w:r>
      <w:r w:rsidR="00B73EB6" w:rsidRPr="008625DC">
        <w:t xml:space="preserve">to </w:t>
      </w:r>
      <w:r w:rsidRPr="008625DC">
        <w:t xml:space="preserve">subject it to </w:t>
      </w:r>
      <w:r w:rsidR="00B73EB6" w:rsidRPr="008625DC">
        <w:t xml:space="preserve">additional </w:t>
      </w:r>
      <w:r w:rsidRPr="008625DC">
        <w:t>accountability to the Parliament.</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F43A43" w:rsidRPr="008625DC" w14:paraId="2E9D0297" w14:textId="77777777" w:rsidTr="00F43A43">
        <w:tc>
          <w:tcPr>
            <w:tcW w:w="5000" w:type="pct"/>
            <w:shd w:val="clear" w:color="auto" w:fill="FFFFFF" w:themeFill="background1"/>
          </w:tcPr>
          <w:p w14:paraId="0970CFA3" w14:textId="2A065865" w:rsidR="00F43A43" w:rsidRPr="008625DC" w:rsidRDefault="00F43A43" w:rsidP="0020129A">
            <w:pPr>
              <w:pStyle w:val="Keyfindingheading"/>
            </w:pPr>
            <w:r w:rsidRPr="008625DC">
              <w:t>The Panel</w:t>
            </w:r>
            <w:r w:rsidR="00C74E19" w:rsidRPr="008625DC">
              <w:t>’</w:t>
            </w:r>
            <w:r w:rsidRPr="008625DC">
              <w:t>s view</w:t>
            </w:r>
          </w:p>
          <w:p w14:paraId="47DA58C9" w14:textId="43B44C50" w:rsidR="00F43A43" w:rsidRPr="008625DC" w:rsidRDefault="00F43A43" w:rsidP="0020129A">
            <w:pPr>
              <w:pStyle w:val="Keyfindingtext"/>
            </w:pPr>
            <w:r w:rsidRPr="008625DC">
              <w:t>ACCC decision</w:t>
            </w:r>
            <w:r w:rsidR="00C74E19" w:rsidRPr="008625DC">
              <w:noBreakHyphen/>
            </w:r>
            <w:r w:rsidRPr="008625DC">
              <w:t>making is sound, but the Panel considers there are benefits from considering options to further strengthen governance and accountability.</w:t>
            </w:r>
          </w:p>
          <w:p w14:paraId="1E8CF62E" w14:textId="02B487F5" w:rsidR="00F43A43" w:rsidRPr="008625DC" w:rsidRDefault="00F43A43" w:rsidP="0020129A">
            <w:pPr>
              <w:pStyle w:val="Keyfindingtext"/>
            </w:pPr>
            <w:r w:rsidRPr="008625DC">
              <w:t>The Panel believes that incorporating a wider range of business</w:t>
            </w:r>
            <w:r w:rsidR="005C218F" w:rsidRPr="008625DC">
              <w:t>, consumer</w:t>
            </w:r>
            <w:r w:rsidRPr="008625DC">
              <w:t xml:space="preserve"> and academi</w:t>
            </w:r>
            <w:r w:rsidR="005C218F" w:rsidRPr="008625DC">
              <w:t>c</w:t>
            </w:r>
            <w:r w:rsidRPr="008625DC">
              <w:t xml:space="preserve"> </w:t>
            </w:r>
            <w:r w:rsidR="005C218F" w:rsidRPr="008625DC">
              <w:t xml:space="preserve">viewpoints </w:t>
            </w:r>
            <w:r w:rsidRPr="008625DC">
              <w:t>would improve the governance of the ACCC.</w:t>
            </w:r>
          </w:p>
          <w:p w14:paraId="20CD106A" w14:textId="77777777" w:rsidR="00F43A43" w:rsidRPr="008625DC" w:rsidRDefault="00F43A43" w:rsidP="0020129A">
            <w:pPr>
              <w:pStyle w:val="Keyfindingtext"/>
            </w:pPr>
            <w:r w:rsidRPr="008625DC">
              <w:t>The Panel seeks views on the best means of achieving this outcome, including but not limited to, the following options:</w:t>
            </w:r>
          </w:p>
          <w:p w14:paraId="75FB73D8" w14:textId="3F19C546" w:rsidR="00F43A43" w:rsidRPr="008625DC" w:rsidRDefault="00F43A43" w:rsidP="003D18B9">
            <w:pPr>
              <w:pStyle w:val="Bullet"/>
            </w:pPr>
            <w:r w:rsidRPr="008625DC">
              <w:t>replacing the current Commission with a Board comprising executive members, and non</w:t>
            </w:r>
            <w:r w:rsidR="00C74E19" w:rsidRPr="008625DC">
              <w:noBreakHyphen/>
            </w:r>
            <w:r w:rsidRPr="008625DC">
              <w:t xml:space="preserve">executive members </w:t>
            </w:r>
            <w:r w:rsidR="005C218F" w:rsidRPr="008625DC">
              <w:t xml:space="preserve">with </w:t>
            </w:r>
            <w:r w:rsidRPr="008625DC">
              <w:t>business</w:t>
            </w:r>
            <w:r w:rsidR="005C218F" w:rsidRPr="008625DC">
              <w:t>, consumer</w:t>
            </w:r>
            <w:r w:rsidRPr="008625DC">
              <w:t xml:space="preserve"> and academi</w:t>
            </w:r>
            <w:r w:rsidR="005C218F" w:rsidRPr="008625DC">
              <w:t>c expertise</w:t>
            </w:r>
            <w:r w:rsidRPr="008625DC">
              <w:t xml:space="preserve"> (with either an executive or non</w:t>
            </w:r>
            <w:r w:rsidR="00C74E19" w:rsidRPr="008625DC">
              <w:noBreakHyphen/>
            </w:r>
            <w:r w:rsidRPr="008625DC">
              <w:t>executive Chair of the Board); or</w:t>
            </w:r>
          </w:p>
          <w:p w14:paraId="4A980E4B" w14:textId="76B82A45" w:rsidR="00F43A43" w:rsidRPr="008625DC" w:rsidRDefault="00F43A43" w:rsidP="00AA4806">
            <w:pPr>
              <w:pStyle w:val="Bullet"/>
              <w:spacing w:after="180"/>
            </w:pPr>
            <w:r w:rsidRPr="008625DC">
              <w:t>adding an Advisory Board, chaired by the Chair of the Commission, which would provide advice, including on matters of strategy, to the ACCC but would have no decision</w:t>
            </w:r>
            <w:r w:rsidR="00C74E19" w:rsidRPr="008625DC">
              <w:noBreakHyphen/>
            </w:r>
            <w:r w:rsidRPr="008625DC">
              <w:t>making powers.</w:t>
            </w:r>
          </w:p>
          <w:p w14:paraId="46693195" w14:textId="6AE35729" w:rsidR="00F43A43" w:rsidRPr="008625DC" w:rsidRDefault="00F43A43" w:rsidP="0020129A">
            <w:pPr>
              <w:pStyle w:val="Keyfindingtext"/>
            </w:pPr>
            <w:r w:rsidRPr="008625DC">
              <w:t xml:space="preserve">The credibility of the ACCC could also be strengthened </w:t>
            </w:r>
            <w:r w:rsidR="005C218F" w:rsidRPr="008625DC">
              <w:t xml:space="preserve">with additional </w:t>
            </w:r>
            <w:r w:rsidRPr="008625DC">
              <w:t xml:space="preserve">accountability to the Parliament through regular appearance before a </w:t>
            </w:r>
            <w:r w:rsidR="005C218F" w:rsidRPr="008625DC">
              <w:t>broadly</w:t>
            </w:r>
            <w:r w:rsidR="00C74E19" w:rsidRPr="008625DC">
              <w:noBreakHyphen/>
            </w:r>
            <w:r w:rsidR="005C218F" w:rsidRPr="008625DC">
              <w:t xml:space="preserve">based </w:t>
            </w:r>
            <w:r w:rsidRPr="008625DC">
              <w:t>Parliamentary Committee.</w:t>
            </w:r>
          </w:p>
          <w:p w14:paraId="4C9FEEE7" w14:textId="77777777" w:rsidR="00F43A43" w:rsidRPr="008625DC" w:rsidRDefault="00F43A43" w:rsidP="0020129A">
            <w:pPr>
              <w:pStyle w:val="Keyfindingtext"/>
            </w:pPr>
            <w:r w:rsidRPr="008625DC">
              <w:t>The Panel is also of the view that the ACCC should not undertake competition policy advocacy and education, as this may compromise stakeholder perceptions of impartiality.</w:t>
            </w:r>
          </w:p>
        </w:tc>
      </w:tr>
    </w:tbl>
    <w:p w14:paraId="58791932" w14:textId="383243B0" w:rsidR="00F43A43" w:rsidRPr="008625DC" w:rsidRDefault="00F43A43" w:rsidP="00D372B2">
      <w:pPr>
        <w:pStyle w:val="Heading2"/>
        <w:ind w:left="851" w:hanging="851"/>
        <w:rPr>
          <w:smallCaps w:val="0"/>
          <w:lang w:val="en-AU"/>
        </w:rPr>
      </w:pPr>
      <w:bookmarkStart w:id="36233" w:name="_Toc398287380"/>
      <w:bookmarkStart w:id="36234" w:name="_Toc398289263"/>
      <w:bookmarkStart w:id="36235" w:name="_Toc398297260"/>
      <w:bookmarkStart w:id="36236" w:name="_Toc398298734"/>
      <w:bookmarkStart w:id="36237" w:name="_Toc398301332"/>
      <w:bookmarkStart w:id="36238" w:name="_Toc398302517"/>
      <w:bookmarkStart w:id="36239" w:name="_Toc398302680"/>
      <w:bookmarkStart w:id="36240" w:name="_Toc398549195"/>
      <w:bookmarkStart w:id="36241" w:name="_Toc398549445"/>
      <w:bookmarkStart w:id="36242" w:name="_Toc398555864"/>
      <w:bookmarkStart w:id="36243" w:name="_Toc398559068"/>
      <w:bookmarkStart w:id="36244" w:name="_Toc398563554"/>
      <w:bookmarkStart w:id="36245" w:name="_Toc398563687"/>
      <w:bookmarkStart w:id="36246" w:name="_Toc398564086"/>
      <w:bookmarkStart w:id="36247" w:name="_Toc398827424"/>
      <w:bookmarkStart w:id="36248" w:name="_Toc398827618"/>
      <w:r w:rsidRPr="008625DC">
        <w:rPr>
          <w:lang w:val="en-AU"/>
        </w:rPr>
        <w:t>ACCC and the media</w:t>
      </w:r>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p>
    <w:p w14:paraId="38C871CD" w14:textId="6D206B32" w:rsidR="00F43A43" w:rsidRPr="008625DC" w:rsidRDefault="00F43A43" w:rsidP="00F43A43">
      <w:pPr>
        <w:spacing w:after="120"/>
      </w:pPr>
      <w:r w:rsidRPr="008625DC">
        <w:t>The ACCC has a long history of using the media to raise awareness of competition issues. However, this important educative role can cross over into advocacy of particular policy positions. An advocacy role can compromise stakeholders</w:t>
      </w:r>
      <w:r w:rsidR="00C74E19" w:rsidRPr="008625DC">
        <w:t>’</w:t>
      </w:r>
      <w:r w:rsidRPr="008625DC">
        <w:t xml:space="preserve"> perceptions about the impartiality of the ACCC in its enforcement of the law. This is reflected in the comment from the BCA that:</w:t>
      </w:r>
    </w:p>
    <w:p w14:paraId="7CC288C1" w14:textId="4241E11C" w:rsidR="00F43A43" w:rsidRPr="008625DC" w:rsidRDefault="0020129A" w:rsidP="00F43A43">
      <w:pPr>
        <w:ind w:left="567" w:right="425"/>
        <w:rPr>
          <w:color w:val="595959" w:themeColor="text1" w:themeTint="A6"/>
        </w:rPr>
      </w:pPr>
      <w:r w:rsidRPr="008625DC">
        <w:rPr>
          <w:color w:val="595959" w:themeColor="text1" w:themeTint="A6"/>
        </w:rPr>
        <w:t>[</w:t>
      </w:r>
      <w:r w:rsidR="00AA4806">
        <w:rPr>
          <w:color w:val="595959" w:themeColor="text1" w:themeTint="A6"/>
        </w:rPr>
        <w:t>B</w:t>
      </w:r>
      <w:r w:rsidRPr="008625DC">
        <w:rPr>
          <w:color w:val="595959" w:themeColor="text1" w:themeTint="A6"/>
        </w:rPr>
        <w:t>]</w:t>
      </w:r>
      <w:r w:rsidR="00F43A43" w:rsidRPr="008625DC">
        <w:rPr>
          <w:color w:val="595959" w:themeColor="text1" w:themeTint="A6"/>
        </w:rPr>
        <w:t>usiness remains concerned about the potential of investigations being prejudiced by the media conduct of interested parties, including the ACCC. (</w:t>
      </w:r>
      <w:r w:rsidR="00985C8E" w:rsidRPr="008625DC">
        <w:rPr>
          <w:color w:val="595959" w:themeColor="text1" w:themeTint="A6"/>
        </w:rPr>
        <w:t xml:space="preserve">BCA Summary Report, </w:t>
      </w:r>
      <w:r w:rsidR="00F43A43" w:rsidRPr="008625DC">
        <w:rPr>
          <w:color w:val="595959" w:themeColor="text1" w:themeTint="A6"/>
        </w:rPr>
        <w:t>page</w:t>
      </w:r>
      <w:r w:rsidR="00985C8E" w:rsidRPr="008625DC">
        <w:rPr>
          <w:color w:val="595959" w:themeColor="text1" w:themeTint="A6"/>
        </w:rPr>
        <w:t> </w:t>
      </w:r>
      <w:r w:rsidR="00F43A43" w:rsidRPr="008625DC">
        <w:rPr>
          <w:color w:val="595959" w:themeColor="text1" w:themeTint="A6"/>
        </w:rPr>
        <w:t>24)</w:t>
      </w:r>
    </w:p>
    <w:p w14:paraId="4E0558A9" w14:textId="0B167330" w:rsidR="00F43A43" w:rsidRPr="008625DC" w:rsidRDefault="00EE0D03" w:rsidP="0020129A">
      <w:r>
        <w:t>As discussed previously</w:t>
      </w:r>
      <w:r w:rsidR="00F43A43" w:rsidRPr="008625DC">
        <w:t>, there is a role for competition policy advocacy and education. The Panel considers it desirable that this function not be undertaken by the ACCC. The ACCC undertaking such an advocacy role can compromise stakeholders</w:t>
      </w:r>
      <w:r w:rsidR="00C74E19" w:rsidRPr="008625DC">
        <w:t>’</w:t>
      </w:r>
      <w:r w:rsidR="00F43A43" w:rsidRPr="008625DC">
        <w:t xml:space="preserve"> perceptions about the impartiality of the agency in its administration and enforcement of the competition law. </w:t>
      </w:r>
    </w:p>
    <w:p w14:paraId="3E2731AC" w14:textId="77777777" w:rsidR="00F43A43" w:rsidRPr="008625DC" w:rsidRDefault="00F43A43" w:rsidP="0020129A">
      <w:r w:rsidRPr="008625DC">
        <w:lastRenderedPageBreak/>
        <w:t>However, the ACCC would continue to have a role in communicating to the public through the media, including explaining enforcement priorities, educating business about compliance, and publishing enforcement outcomes.</w:t>
      </w:r>
    </w:p>
    <w:p w14:paraId="00A96B01" w14:textId="78B9FC8C" w:rsidR="00F43A43" w:rsidRPr="008625DC" w:rsidRDefault="00F43A43" w:rsidP="0020129A">
      <w:r w:rsidRPr="008625DC">
        <w:t xml:space="preserve">The Dawson Inquiry recommended that the ACCC develop a media code of conduct and the Panel notes a reference in the Dawson report that </w:t>
      </w:r>
      <w:r w:rsidR="00C74E19" w:rsidRPr="008625DC">
        <w:t>‘</w:t>
      </w:r>
      <w:r w:rsidRPr="008625DC">
        <w:t>[t]he ACCC was conscious of the concerns expressed and supported the introduction of such a code in order to address them</w:t>
      </w:r>
      <w:r w:rsidR="00C74E19" w:rsidRPr="008625DC">
        <w:t>’</w:t>
      </w:r>
      <w:r w:rsidRPr="008625DC">
        <w:t>.</w:t>
      </w:r>
      <w:r w:rsidRPr="008625DC">
        <w:rPr>
          <w:vertAlign w:val="superscript"/>
        </w:rPr>
        <w:footnoteReference w:id="407"/>
      </w:r>
      <w:r w:rsidRPr="008625DC">
        <w:t xml:space="preserve"> The Panel understands that this recommendation has not been adopted. </w:t>
      </w:r>
    </w:p>
    <w:p w14:paraId="7E7ABED4" w14:textId="77777777" w:rsidR="00F43A43" w:rsidRPr="008625DC" w:rsidRDefault="00F43A43" w:rsidP="0020129A">
      <w:r w:rsidRPr="008625DC" w:rsidDel="00FC3D11">
        <w:t>The Panel believes that the ACCC should establish, publish and report against a Media Code of Conduct. This should counter the perception of partiality on the part of the ACCC, especially in enforcement actions.</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F43A43" w:rsidRPr="008625DC" w14:paraId="25C38C1B" w14:textId="77777777" w:rsidTr="00F43A43">
        <w:tc>
          <w:tcPr>
            <w:tcW w:w="5000" w:type="pct"/>
            <w:shd w:val="clear" w:color="auto" w:fill="FFFFFF" w:themeFill="background1"/>
          </w:tcPr>
          <w:p w14:paraId="45F7D76F" w14:textId="1FB0977E" w:rsidR="00F43A43" w:rsidRPr="008625DC" w:rsidRDefault="00F43A43" w:rsidP="0020129A">
            <w:pPr>
              <w:pStyle w:val="Keyfindingheading"/>
            </w:pPr>
            <w:r w:rsidRPr="008625DC">
              <w:t>The Panel</w:t>
            </w:r>
            <w:r w:rsidR="00C74E19" w:rsidRPr="008625DC">
              <w:t>’</w:t>
            </w:r>
            <w:r w:rsidRPr="008625DC">
              <w:t>s view</w:t>
            </w:r>
          </w:p>
          <w:p w14:paraId="50108B79" w14:textId="01EEF5DE" w:rsidR="00F43A43" w:rsidRPr="008625DC" w:rsidRDefault="00F43A43" w:rsidP="0020129A">
            <w:pPr>
              <w:pStyle w:val="Keyfindingtext"/>
            </w:pPr>
            <w:r w:rsidRPr="008625DC">
              <w:t>The Dawson Inquiry</w:t>
            </w:r>
            <w:r w:rsidR="00C74E19" w:rsidRPr="008625DC">
              <w:t>’</w:t>
            </w:r>
            <w:r w:rsidRPr="008625DC">
              <w:t xml:space="preserve">s recommendation that the ACCC develop a media code of conduct remains appropriate to </w:t>
            </w:r>
            <w:r w:rsidR="008959EA" w:rsidRPr="008625DC">
              <w:t>strengthen the perception of the ACCC</w:t>
            </w:r>
            <w:r w:rsidR="00C74E19" w:rsidRPr="008625DC">
              <w:t>’</w:t>
            </w:r>
            <w:r w:rsidR="008959EA" w:rsidRPr="008625DC">
              <w:t>s impartiality in enforcing the law</w:t>
            </w:r>
            <w:r w:rsidRPr="008625DC">
              <w:t>.</w:t>
            </w:r>
          </w:p>
        </w:tc>
      </w:tr>
    </w:tbl>
    <w:p w14:paraId="3E661237" w14:textId="77777777" w:rsidR="004C6AEA" w:rsidRPr="008625DC" w:rsidRDefault="004C6AEA">
      <w:pPr>
        <w:spacing w:before="0" w:after="0"/>
        <w:rPr>
          <w:rFonts w:ascii="Calibri" w:hAnsi="Calibri" w:cs="Arial"/>
          <w:bCs/>
          <w:smallCaps/>
          <w:color w:val="009976"/>
          <w:kern w:val="32"/>
          <w:sz w:val="40"/>
          <w:szCs w:val="36"/>
        </w:rPr>
      </w:pPr>
      <w:bookmarkStart w:id="36249" w:name="_Toc394423641"/>
      <w:bookmarkStart w:id="36250" w:name="_Toc394423786"/>
      <w:bookmarkStart w:id="36251" w:name="_Toc394422685"/>
      <w:bookmarkStart w:id="36252" w:name="_Toc394422830"/>
      <w:bookmarkStart w:id="36253" w:name="_Toc394423156"/>
      <w:bookmarkStart w:id="36254" w:name="_Toc394423301"/>
      <w:bookmarkStart w:id="36255" w:name="_Toc394424307"/>
      <w:bookmarkStart w:id="36256" w:name="_Toc394424450"/>
      <w:bookmarkStart w:id="36257" w:name="_Toc394492141"/>
      <w:bookmarkStart w:id="36258" w:name="_Toc394492283"/>
      <w:bookmarkStart w:id="36259" w:name="_Toc394495285"/>
      <w:bookmarkStart w:id="36260" w:name="_Toc394495427"/>
      <w:bookmarkStart w:id="36261" w:name="_Toc394498100"/>
      <w:bookmarkStart w:id="36262" w:name="_Toc394498242"/>
      <w:bookmarkStart w:id="36263" w:name="_Toc394500890"/>
      <w:bookmarkStart w:id="36264" w:name="_Toc394501032"/>
      <w:bookmarkStart w:id="36265" w:name="_Toc394502287"/>
      <w:bookmarkStart w:id="36266" w:name="_Toc394502422"/>
      <w:bookmarkStart w:id="36267" w:name="_Toc394503187"/>
      <w:bookmarkStart w:id="36268" w:name="_Toc394503780"/>
      <w:bookmarkStart w:id="36269" w:name="_Toc394502731"/>
      <w:bookmarkStart w:id="36270" w:name="_Toc394502869"/>
      <w:bookmarkStart w:id="36271" w:name="_Toc394505938"/>
      <w:bookmarkStart w:id="36272" w:name="_Toc394506198"/>
      <w:bookmarkStart w:id="36273" w:name="_Toc394506397"/>
      <w:bookmarkStart w:id="36274" w:name="_Toc394506536"/>
      <w:bookmarkStart w:id="36275" w:name="_Toc394506951"/>
      <w:bookmarkStart w:id="36276" w:name="_Toc394507090"/>
      <w:bookmarkStart w:id="36277" w:name="_Toc394561024"/>
      <w:bookmarkStart w:id="36278" w:name="_Toc394561167"/>
      <w:bookmarkStart w:id="36279" w:name="_Toc394561485"/>
      <w:bookmarkStart w:id="36280" w:name="_Toc394562000"/>
      <w:bookmarkStart w:id="36281" w:name="_Toc394583016"/>
      <w:bookmarkStart w:id="36282" w:name="_Toc394585687"/>
      <w:bookmarkStart w:id="36283" w:name="_Toc394586153"/>
      <w:bookmarkStart w:id="36284" w:name="_Toc394588085"/>
      <w:bookmarkStart w:id="36285" w:name="_Toc394588920"/>
      <w:bookmarkStart w:id="36286" w:name="_Toc394589045"/>
      <w:bookmarkStart w:id="36287" w:name="_Toc394590460"/>
      <w:bookmarkStart w:id="36288" w:name="_Toc394590653"/>
      <w:bookmarkStart w:id="36289" w:name="_Toc394654554"/>
      <w:bookmarkStart w:id="36290" w:name="_Toc394654712"/>
      <w:bookmarkStart w:id="36291" w:name="_Toc394656252"/>
      <w:bookmarkStart w:id="36292" w:name="_Toc394656409"/>
      <w:bookmarkStart w:id="36293" w:name="_Toc394659389"/>
      <w:bookmarkStart w:id="36294" w:name="_Toc394659547"/>
      <w:bookmarkStart w:id="36295" w:name="_Toc394663401"/>
      <w:bookmarkStart w:id="36296" w:name="_Toc394663557"/>
      <w:bookmarkStart w:id="36297" w:name="_Toc394667195"/>
      <w:bookmarkStart w:id="36298" w:name="_Toc394667351"/>
      <w:bookmarkStart w:id="36299" w:name="_Toc394671674"/>
      <w:bookmarkStart w:id="36300" w:name="_Toc394671834"/>
      <w:bookmarkStart w:id="36301" w:name="_Toc394674676"/>
      <w:bookmarkStart w:id="36302" w:name="_Toc394674839"/>
      <w:bookmarkStart w:id="36303" w:name="_Toc394674953"/>
      <w:bookmarkStart w:id="36304" w:name="_Toc394675119"/>
      <w:bookmarkStart w:id="36305" w:name="_Toc394676064"/>
      <w:bookmarkStart w:id="36306" w:name="_Toc394676226"/>
      <w:bookmarkStart w:id="36307" w:name="_Toc394675752"/>
      <w:bookmarkStart w:id="36308" w:name="_Toc394675915"/>
      <w:bookmarkStart w:id="36309" w:name="_Toc394918318"/>
      <w:bookmarkStart w:id="36310" w:name="_Toc394918832"/>
      <w:bookmarkStart w:id="36311" w:name="_Toc394930805"/>
      <w:bookmarkStart w:id="36312" w:name="_Toc394933716"/>
      <w:bookmarkStart w:id="36313" w:name="_Toc394938163"/>
      <w:bookmarkStart w:id="36314" w:name="_Toc394938528"/>
      <w:bookmarkStart w:id="36315" w:name="_Toc394938665"/>
      <w:bookmarkStart w:id="36316" w:name="_Toc394937810"/>
      <w:bookmarkStart w:id="36317" w:name="_Toc394937947"/>
      <w:bookmarkStart w:id="36318" w:name="_Toc394941075"/>
      <w:bookmarkStart w:id="36319" w:name="_Toc394941439"/>
      <w:bookmarkStart w:id="36320" w:name="_Toc394941576"/>
      <w:bookmarkStart w:id="36321" w:name="_Toc394941691"/>
      <w:bookmarkStart w:id="36322" w:name="_Toc394942055"/>
      <w:bookmarkStart w:id="36323" w:name="_Toc394942192"/>
      <w:bookmarkStart w:id="36324" w:name="_Toc394939912"/>
      <w:bookmarkStart w:id="36325" w:name="_Toc394940277"/>
      <w:bookmarkStart w:id="36326" w:name="_Toc394940414"/>
      <w:bookmarkStart w:id="36327" w:name="_Toc394939523"/>
      <w:bookmarkStart w:id="36328" w:name="_Toc394940491"/>
      <w:bookmarkStart w:id="36329" w:name="_Toc394940627"/>
      <w:bookmarkStart w:id="36330" w:name="_Toc394993771"/>
      <w:bookmarkStart w:id="36331" w:name="_Toc394995654"/>
      <w:bookmarkStart w:id="36332" w:name="_Toc394995968"/>
      <w:bookmarkStart w:id="36333" w:name="_Toc394996107"/>
      <w:bookmarkStart w:id="36334" w:name="_Toc394997833"/>
      <w:bookmarkStart w:id="36335" w:name="_Toc394998213"/>
      <w:bookmarkStart w:id="36336" w:name="_Toc394998348"/>
      <w:bookmarkStart w:id="36337" w:name="_Toc394998727"/>
      <w:bookmarkStart w:id="36338" w:name="_Toc395001843"/>
      <w:bookmarkStart w:id="36339" w:name="_Toc395002226"/>
      <w:bookmarkStart w:id="36340" w:name="_Toc395001434"/>
      <w:bookmarkStart w:id="36341" w:name="_Toc395001706"/>
      <w:bookmarkStart w:id="36342" w:name="_Toc395002995"/>
      <w:bookmarkStart w:id="36343" w:name="_Toc395003197"/>
      <w:bookmarkStart w:id="36344" w:name="_Toc395003579"/>
      <w:bookmarkStart w:id="36345" w:name="_Toc395005094"/>
      <w:bookmarkStart w:id="36346" w:name="_Toc395005220"/>
      <w:bookmarkStart w:id="36347" w:name="_Toc395005436"/>
      <w:bookmarkStart w:id="36348" w:name="_Toc395005820"/>
      <w:bookmarkStart w:id="36349" w:name="_Toc395009013"/>
      <w:bookmarkStart w:id="36350" w:name="_Toc395009806"/>
      <w:bookmarkStart w:id="36351" w:name="_Toc395010199"/>
      <w:bookmarkStart w:id="36352" w:name="_Toc395010041"/>
      <w:bookmarkStart w:id="36353" w:name="_Toc395011436"/>
      <w:bookmarkStart w:id="36354" w:name="_Toc395011567"/>
      <w:bookmarkStart w:id="36355" w:name="_Toc395012385"/>
      <w:bookmarkStart w:id="36356" w:name="_Toc395012730"/>
      <w:bookmarkStart w:id="36357" w:name="_Toc395012975"/>
      <w:bookmarkStart w:id="36358" w:name="_Toc395010790"/>
      <w:bookmarkStart w:id="36359" w:name="_Toc395011724"/>
      <w:bookmarkStart w:id="36360" w:name="_Toc395012263"/>
      <w:bookmarkStart w:id="36361" w:name="_Toc395014533"/>
      <w:bookmarkStart w:id="36362" w:name="_Toc395014664"/>
      <w:bookmarkStart w:id="36363" w:name="_Toc395013255"/>
      <w:bookmarkStart w:id="36364" w:name="_Toc395084876"/>
      <w:bookmarkStart w:id="36365" w:name="_Toc395085177"/>
      <w:bookmarkStart w:id="36366" w:name="_Toc395090294"/>
      <w:bookmarkStart w:id="36367" w:name="_Toc395090643"/>
      <w:bookmarkStart w:id="36368" w:name="_Toc395090773"/>
      <w:bookmarkStart w:id="36369" w:name="_Toc395092662"/>
      <w:bookmarkStart w:id="36370" w:name="_Toc395092874"/>
      <w:bookmarkStart w:id="36371" w:name="_Toc395093227"/>
      <w:bookmarkStart w:id="36372" w:name="_Toc395093356"/>
      <w:bookmarkStart w:id="36373" w:name="_Toc395097785"/>
      <w:bookmarkStart w:id="36374" w:name="_Toc395098137"/>
      <w:bookmarkStart w:id="36375" w:name="_Toc395098266"/>
      <w:bookmarkStart w:id="36376" w:name="_Toc395105322"/>
      <w:bookmarkStart w:id="36377" w:name="_Toc395105450"/>
      <w:bookmarkStart w:id="36378" w:name="_Toc395106925"/>
      <w:bookmarkStart w:id="36379" w:name="_Toc395107053"/>
      <w:bookmarkStart w:id="36380" w:name="_Toc395109924"/>
      <w:bookmarkStart w:id="36381" w:name="_Toc395109582"/>
      <w:bookmarkStart w:id="36382" w:name="_Toc395109710"/>
      <w:bookmarkStart w:id="36383" w:name="_Toc395111927"/>
      <w:bookmarkStart w:id="36384" w:name="_Toc395112287"/>
      <w:bookmarkStart w:id="36385" w:name="_Toc395112415"/>
      <w:bookmarkStart w:id="36386" w:name="_Toc395106847"/>
      <w:bookmarkStart w:id="36387" w:name="_Toc395107429"/>
      <w:bookmarkStart w:id="36388" w:name="_Toc395107560"/>
      <w:bookmarkStart w:id="36389" w:name="_Toc395110099"/>
      <w:bookmarkStart w:id="36390" w:name="_Toc395108607"/>
      <w:bookmarkStart w:id="36391" w:name="_Toc395108990"/>
      <w:bookmarkStart w:id="36392" w:name="_Toc395113847"/>
      <w:bookmarkStart w:id="36393" w:name="_Toc395114230"/>
      <w:bookmarkStart w:id="36394" w:name="_Toc395114367"/>
      <w:bookmarkStart w:id="36395" w:name="_Toc395116583"/>
      <w:bookmarkStart w:id="36396" w:name="_Toc395116967"/>
      <w:bookmarkStart w:id="36397" w:name="_Toc395117105"/>
      <w:bookmarkStart w:id="36398" w:name="_Toc395112520"/>
      <w:bookmarkStart w:id="36399" w:name="_Toc395113085"/>
      <w:bookmarkStart w:id="36400" w:name="_Toc395113223"/>
      <w:bookmarkStart w:id="36401" w:name="_Toc395115059"/>
      <w:bookmarkStart w:id="36402" w:name="_Toc395115444"/>
      <w:bookmarkStart w:id="36403" w:name="_Toc395115582"/>
      <w:bookmarkStart w:id="36404" w:name="_Toc395118214"/>
      <w:bookmarkStart w:id="36405" w:name="_Toc395118596"/>
      <w:bookmarkStart w:id="36406" w:name="_Toc395118732"/>
      <w:bookmarkStart w:id="36407" w:name="_Toc395178424"/>
      <w:bookmarkStart w:id="36408" w:name="_Toc395178756"/>
      <w:bookmarkStart w:id="36409" w:name="_Toc395624788"/>
      <w:bookmarkStart w:id="36410" w:name="_Toc395624913"/>
      <w:bookmarkStart w:id="36411" w:name="_Toc395789767"/>
      <w:bookmarkStart w:id="36412" w:name="_Toc395790139"/>
      <w:bookmarkStart w:id="36413" w:name="_Toc395800897"/>
      <w:bookmarkStart w:id="36414" w:name="_Toc395802899"/>
      <w:bookmarkStart w:id="36415" w:name="_Toc395867666"/>
      <w:bookmarkStart w:id="36416" w:name="_Toc395868579"/>
      <w:bookmarkStart w:id="36417" w:name="_Toc395868798"/>
      <w:bookmarkStart w:id="36418" w:name="_Toc395878960"/>
      <w:bookmarkStart w:id="36419" w:name="_Toc395879177"/>
      <w:bookmarkStart w:id="36420" w:name="_Toc395882084"/>
      <w:bookmarkStart w:id="36421" w:name="_Toc395882301"/>
      <w:bookmarkStart w:id="36422" w:name="_Toc395882415"/>
      <w:bookmarkStart w:id="36423" w:name="_Toc395882632"/>
      <w:bookmarkStart w:id="36424" w:name="_Toc395880579"/>
      <w:bookmarkStart w:id="36425" w:name="_Toc395880910"/>
      <w:bookmarkStart w:id="36426" w:name="_Toc395881468"/>
      <w:bookmarkStart w:id="36427" w:name="_Toc395881401"/>
      <w:bookmarkStart w:id="36428" w:name="_Toc395883853"/>
      <w:bookmarkStart w:id="36429" w:name="_Toc395884070"/>
      <w:bookmarkStart w:id="36430" w:name="_Toc395880808"/>
      <w:bookmarkStart w:id="36431" w:name="_Toc395884515"/>
      <w:bookmarkStart w:id="36432" w:name="_Toc395884732"/>
      <w:bookmarkStart w:id="36433" w:name="_Toc395883224"/>
      <w:bookmarkStart w:id="36434" w:name="_Toc395883441"/>
      <w:bookmarkStart w:id="36435" w:name="_Toc395883554"/>
      <w:bookmarkStart w:id="36436" w:name="_Toc395883771"/>
      <w:bookmarkStart w:id="36437" w:name="_Toc395884856"/>
      <w:bookmarkStart w:id="36438" w:name="_Toc396123881"/>
      <w:bookmarkStart w:id="36439" w:name="_Toc396130783"/>
      <w:bookmarkStart w:id="36440" w:name="_Toc396136361"/>
      <w:bookmarkStart w:id="36441" w:name="_Toc396138815"/>
      <w:bookmarkStart w:id="36442" w:name="_Toc396144076"/>
      <w:bookmarkStart w:id="36443" w:name="_Toc396145585"/>
      <w:bookmarkStart w:id="36444" w:name="_Toc396145729"/>
      <w:bookmarkStart w:id="36445" w:name="_Toc396147551"/>
      <w:bookmarkStart w:id="36446" w:name="_Toc396147837"/>
      <w:bookmarkStart w:id="36447" w:name="_Toc396149093"/>
      <w:bookmarkStart w:id="36448" w:name="_Toc396148806"/>
      <w:bookmarkStart w:id="36449" w:name="_Toc396149587"/>
      <w:bookmarkStart w:id="36450" w:name="_Toc396149233"/>
      <w:bookmarkStart w:id="36451" w:name="_Toc396149519"/>
      <w:bookmarkStart w:id="36452" w:name="_Toc396149941"/>
      <w:bookmarkStart w:id="36453" w:name="_Toc396149691"/>
      <w:bookmarkStart w:id="36454" w:name="_Toc396150532"/>
      <w:bookmarkStart w:id="36455" w:name="_Toc396151421"/>
      <w:bookmarkStart w:id="36456" w:name="_Toc396151715"/>
      <w:bookmarkStart w:id="36457" w:name="_Toc396201642"/>
      <w:bookmarkStart w:id="36458" w:name="_Toc396202432"/>
      <w:bookmarkStart w:id="36459" w:name="_Toc396202727"/>
      <w:bookmarkStart w:id="36460" w:name="_Toc396203344"/>
      <w:bookmarkStart w:id="36461" w:name="_Toc396206640"/>
      <w:bookmarkStart w:id="36462" w:name="_Toc396206934"/>
      <w:bookmarkStart w:id="36463" w:name="_Toc396209468"/>
      <w:bookmarkStart w:id="36464" w:name="_Toc396209762"/>
      <w:bookmarkStart w:id="36465" w:name="_Toc396211892"/>
      <w:bookmarkStart w:id="36466" w:name="_Toc396212186"/>
      <w:bookmarkStart w:id="36467" w:name="_Toc396213236"/>
      <w:bookmarkStart w:id="36468" w:name="_Toc396213528"/>
      <w:bookmarkStart w:id="36469" w:name="_Toc396214514"/>
      <w:bookmarkStart w:id="36470" w:name="_Toc396214804"/>
      <w:bookmarkStart w:id="36471" w:name="_Toc396220364"/>
      <w:bookmarkStart w:id="36472" w:name="_Toc396226626"/>
      <w:bookmarkStart w:id="36473" w:name="_Toc396226915"/>
      <w:bookmarkStart w:id="36474" w:name="_Toc396228826"/>
      <w:bookmarkStart w:id="36475" w:name="_Toc396229121"/>
      <w:bookmarkStart w:id="36476" w:name="_Toc396230763"/>
      <w:bookmarkStart w:id="36477" w:name="_Toc396231905"/>
      <w:bookmarkStart w:id="36478" w:name="_Toc396233248"/>
      <w:bookmarkStart w:id="36479" w:name="_Toc396233545"/>
      <w:bookmarkStart w:id="36480" w:name="_Toc396234068"/>
      <w:bookmarkStart w:id="36481" w:name="_Toc396234365"/>
      <w:bookmarkStart w:id="36482" w:name="_Toc396234478"/>
      <w:bookmarkStart w:id="36483" w:name="_Toc396236212"/>
      <w:bookmarkStart w:id="36484" w:name="_Toc396235990"/>
      <w:bookmarkStart w:id="36485" w:name="_Toc396236600"/>
      <w:bookmarkStart w:id="36486" w:name="_Toc396237119"/>
      <w:bookmarkStart w:id="36487" w:name="_Toc396397462"/>
      <w:bookmarkStart w:id="36488" w:name="_Toc396304643"/>
      <w:bookmarkStart w:id="36489" w:name="_Toc396586178"/>
      <w:bookmarkStart w:id="36490" w:name="_Toc396815199"/>
      <w:bookmarkStart w:id="36491" w:name="_Toc396821148"/>
      <w:bookmarkStart w:id="36492" w:name="_Toc396821756"/>
      <w:bookmarkStart w:id="36493" w:name="_Toc396827606"/>
      <w:bookmarkStart w:id="36494" w:name="_Toc396828577"/>
      <w:bookmarkStart w:id="36495" w:name="_Toc396828687"/>
      <w:bookmarkStart w:id="36496" w:name="_Toc396838076"/>
      <w:bookmarkStart w:id="36497" w:name="_Toc396838474"/>
      <w:bookmarkStart w:id="36498" w:name="_Toc396904797"/>
      <w:bookmarkStart w:id="36499" w:name="_Toc396907631"/>
      <w:bookmarkStart w:id="36500" w:name="_Toc396912550"/>
      <w:bookmarkStart w:id="36501" w:name="_Toc396914530"/>
      <w:bookmarkStart w:id="36502" w:name="_Toc396915414"/>
      <w:bookmarkStart w:id="36503" w:name="_Toc396915808"/>
      <w:bookmarkStart w:id="36504" w:name="_Toc396921119"/>
      <w:bookmarkStart w:id="36505" w:name="_Toc396924459"/>
      <w:bookmarkStart w:id="36506" w:name="_Toc396925153"/>
      <w:bookmarkStart w:id="36507" w:name="_Toc396992273"/>
      <w:bookmarkStart w:id="36508" w:name="_Toc396992852"/>
      <w:bookmarkStart w:id="36509" w:name="_Toc396994516"/>
      <w:bookmarkStart w:id="36510" w:name="_Toc397002286"/>
      <w:bookmarkStart w:id="36511" w:name="_Toc397003205"/>
      <w:bookmarkStart w:id="36512" w:name="_Toc397008763"/>
      <w:bookmarkStart w:id="36513" w:name="_Toc397008981"/>
      <w:bookmarkStart w:id="36514" w:name="_Toc397011653"/>
      <w:bookmarkStart w:id="36515" w:name="_Toc397012715"/>
      <w:bookmarkStart w:id="36516" w:name="_Toc397015057"/>
      <w:bookmarkStart w:id="36517" w:name="_Toc397015544"/>
      <w:bookmarkStart w:id="36518" w:name="_Toc397070615"/>
      <w:bookmarkStart w:id="36519" w:name="_Toc397413373"/>
      <w:bookmarkStart w:id="36520" w:name="_Toc397413520"/>
      <w:bookmarkStart w:id="36521" w:name="_Toc397428085"/>
      <w:bookmarkStart w:id="36522" w:name="_Toc397439475"/>
      <w:bookmarkStart w:id="36523" w:name="_Toc397439645"/>
      <w:bookmarkStart w:id="36524" w:name="_Toc397439901"/>
      <w:bookmarkStart w:id="36525" w:name="_Toc397440203"/>
      <w:bookmarkStart w:id="36526" w:name="_Toc397441832"/>
      <w:bookmarkStart w:id="36527" w:name="_Toc397517534"/>
      <w:bookmarkStart w:id="36528" w:name="_Toc397522799"/>
      <w:bookmarkStart w:id="36529" w:name="_Toc397526217"/>
      <w:bookmarkStart w:id="36530" w:name="_Toc397528417"/>
      <w:bookmarkStart w:id="36531" w:name="_Toc397528532"/>
      <w:bookmarkStart w:id="36532" w:name="_Toc397529007"/>
      <w:bookmarkStart w:id="36533" w:name="_Toc397594874"/>
      <w:bookmarkStart w:id="36534" w:name="_Toc397602005"/>
      <w:bookmarkStart w:id="36535" w:name="_Toc397602740"/>
      <w:bookmarkStart w:id="36536" w:name="_Toc397605873"/>
      <w:bookmarkStart w:id="36537" w:name="_Toc397614570"/>
      <w:bookmarkStart w:id="36538" w:name="_Toc397615013"/>
      <w:bookmarkStart w:id="36539" w:name="_Toc397616456"/>
      <w:bookmarkStart w:id="36540" w:name="_Toc397616850"/>
      <w:bookmarkStart w:id="36541" w:name="_Toc397688148"/>
      <w:bookmarkStart w:id="36542" w:name="_Toc397689364"/>
      <w:bookmarkStart w:id="36543" w:name="_Toc397694644"/>
      <w:bookmarkStart w:id="36544" w:name="_Toc397696485"/>
      <w:bookmarkStart w:id="36545" w:name="_Toc397697219"/>
      <w:bookmarkStart w:id="36546" w:name="_Toc397698506"/>
      <w:bookmarkStart w:id="36547" w:name="_Toc397699872"/>
      <w:bookmarkStart w:id="36548" w:name="_Toc397700326"/>
      <w:bookmarkStart w:id="36549" w:name="_Toc397936722"/>
      <w:bookmarkStart w:id="36550" w:name="_Toc397936842"/>
      <w:bookmarkStart w:id="36551" w:name="_Toc397945998"/>
      <w:bookmarkStart w:id="36552" w:name="_Toc397947024"/>
      <w:bookmarkStart w:id="36553" w:name="_Toc397948143"/>
      <w:bookmarkStart w:id="36554" w:name="_Toc397958549"/>
      <w:bookmarkStart w:id="36555" w:name="_Toc397958791"/>
      <w:bookmarkStart w:id="36556" w:name="_Toc397959206"/>
      <w:bookmarkStart w:id="36557" w:name="_Toc397962273"/>
      <w:bookmarkStart w:id="36558" w:name="_Toc397963059"/>
      <w:bookmarkStart w:id="36559" w:name="_Toc397963425"/>
      <w:bookmarkStart w:id="36560" w:name="_Toc397965502"/>
      <w:bookmarkStart w:id="36561" w:name="_Toc397969438"/>
      <w:r w:rsidRPr="008625DC">
        <w:rPr>
          <w:rFonts w:ascii="Calibri" w:hAnsi="Calibri" w:cs="Arial"/>
          <w:bCs/>
          <w:smallCaps/>
          <w:color w:val="009976"/>
          <w:kern w:val="32"/>
          <w:sz w:val="40"/>
          <w:szCs w:val="36"/>
        </w:rPr>
        <w:br w:type="page"/>
      </w:r>
    </w:p>
    <w:p w14:paraId="69B61FC9" w14:textId="59AD0187" w:rsidR="00F43A43" w:rsidRPr="008625DC" w:rsidRDefault="00F43A43" w:rsidP="00D372B2">
      <w:pPr>
        <w:pStyle w:val="Heading1"/>
        <w:ind w:left="851" w:hanging="851"/>
        <w:rPr>
          <w:smallCaps w:val="0"/>
        </w:rPr>
      </w:pPr>
      <w:bookmarkStart w:id="36562" w:name="_Toc398287381"/>
      <w:bookmarkStart w:id="36563" w:name="_Toc398289264"/>
      <w:bookmarkStart w:id="36564" w:name="_Toc398297261"/>
      <w:bookmarkStart w:id="36565" w:name="_Toc398298735"/>
      <w:bookmarkStart w:id="36566" w:name="_Toc398301333"/>
      <w:bookmarkStart w:id="36567" w:name="_Toc398302518"/>
      <w:bookmarkStart w:id="36568" w:name="_Toc398302681"/>
      <w:bookmarkStart w:id="36569" w:name="_Toc398549196"/>
      <w:bookmarkStart w:id="36570" w:name="_Toc398549446"/>
      <w:bookmarkStart w:id="36571" w:name="_Toc398555865"/>
      <w:bookmarkStart w:id="36572" w:name="_Toc398564087"/>
      <w:bookmarkStart w:id="36573" w:name="_Toc398559069"/>
      <w:bookmarkStart w:id="36574" w:name="_Toc398563555"/>
      <w:bookmarkStart w:id="36575" w:name="_Toc398563688"/>
      <w:bookmarkStart w:id="36576" w:name="_Toc398827425"/>
      <w:bookmarkStart w:id="36577" w:name="_Toc398827619"/>
      <w:bookmarkStart w:id="36578" w:name="Ch24"/>
      <w:r w:rsidRPr="008625DC">
        <w:lastRenderedPageBreak/>
        <w:t xml:space="preserve">Access and </w:t>
      </w:r>
      <w:bookmarkEnd w:id="36249"/>
      <w:bookmarkEnd w:id="36250"/>
      <w:bookmarkEnd w:id="36251"/>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bookmarkEnd w:id="36308"/>
      <w:r w:rsidRPr="008625DC">
        <w:t xml:space="preserve">pricing </w:t>
      </w:r>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bookmarkEnd w:id="36387"/>
      <w:bookmarkEnd w:id="36388"/>
      <w:bookmarkEnd w:id="36389"/>
      <w:bookmarkEnd w:id="36390"/>
      <w:bookmarkEnd w:id="3639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r w:rsidR="001D5EF7" w:rsidRPr="008625DC">
        <w:t>r</w:t>
      </w:r>
      <w:bookmarkEnd w:id="36571"/>
      <w:r w:rsidR="001D5EF7" w:rsidRPr="008625DC">
        <w:t>egulation</w:t>
      </w:r>
      <w:bookmarkEnd w:id="36572"/>
      <w:bookmarkEnd w:id="36573"/>
      <w:bookmarkEnd w:id="36574"/>
      <w:bookmarkEnd w:id="36575"/>
      <w:bookmarkEnd w:id="36576"/>
      <w:bookmarkEnd w:id="36577"/>
    </w:p>
    <w:bookmarkEnd w:id="36578"/>
    <w:p w14:paraId="0AEE606D" w14:textId="68DCC433" w:rsidR="00F43A43" w:rsidRPr="008625DC" w:rsidRDefault="00F43A43" w:rsidP="00F43A43">
      <w:pPr>
        <w:spacing w:before="0" w:line="280" w:lineRule="exact"/>
      </w:pPr>
      <w:r w:rsidRPr="008625DC">
        <w:rPr>
          <w:szCs w:val="22"/>
        </w:rPr>
        <w:t xml:space="preserve">Economic regulation of monopoly or other infrastructure where there is limited competition </w:t>
      </w:r>
      <w:r w:rsidR="001D5EF7" w:rsidRPr="008625DC">
        <w:rPr>
          <w:szCs w:val="22"/>
        </w:rPr>
        <w:t xml:space="preserve">among providers </w:t>
      </w:r>
      <w:r w:rsidRPr="008625DC">
        <w:rPr>
          <w:szCs w:val="22"/>
        </w:rPr>
        <w:t>seeks to protect, strengthen and supplement competitive market processes to improve the efficiency of the economy and increase the welfare of Australians</w:t>
      </w:r>
      <w:r w:rsidRPr="008625DC">
        <w:rPr>
          <w:sz w:val="21"/>
          <w:szCs w:val="21"/>
        </w:rPr>
        <w:t>.</w:t>
      </w:r>
      <w:r w:rsidRPr="008625DC">
        <w:rPr>
          <w:sz w:val="21"/>
          <w:szCs w:val="21"/>
          <w:vertAlign w:val="superscript"/>
        </w:rPr>
        <w:footnoteReference w:id="408"/>
      </w:r>
    </w:p>
    <w:p w14:paraId="75F5F97B" w14:textId="20E37DA4" w:rsidR="00F43A43" w:rsidRPr="008625DC" w:rsidRDefault="00F43A43" w:rsidP="00F43A43">
      <w:pPr>
        <w:spacing w:before="0" w:line="280" w:lineRule="exact"/>
      </w:pPr>
      <w:r w:rsidRPr="008625DC">
        <w:t xml:space="preserve">Economic regulatory functions are </w:t>
      </w:r>
      <w:r w:rsidR="001D5EF7" w:rsidRPr="008625DC">
        <w:t xml:space="preserve">currently </w:t>
      </w:r>
      <w:r w:rsidRPr="008625DC">
        <w:t xml:space="preserve">undertaken by the ACCC and </w:t>
      </w:r>
      <w:r w:rsidR="001D5EF7" w:rsidRPr="008625DC">
        <w:t xml:space="preserve">by </w:t>
      </w:r>
      <w:r w:rsidRPr="008625DC">
        <w:t xml:space="preserve">state and territory regulators. </w:t>
      </w:r>
    </w:p>
    <w:p w14:paraId="7870D340" w14:textId="6A4832E4" w:rsidR="00F43A43" w:rsidRPr="008625DC" w:rsidRDefault="00F43A43" w:rsidP="00F43A43">
      <w:pPr>
        <w:spacing w:before="0" w:line="280" w:lineRule="exact"/>
        <w:rPr>
          <w:szCs w:val="22"/>
        </w:rPr>
      </w:pPr>
      <w:r w:rsidRPr="008625DC">
        <w:rPr>
          <w:szCs w:val="22"/>
        </w:rPr>
        <w:t xml:space="preserve">The ACCC regulates access to and pricing of national infrastructure services such as </w:t>
      </w:r>
      <w:r w:rsidR="001D5EF7" w:rsidRPr="008625DC">
        <w:rPr>
          <w:szCs w:val="22"/>
        </w:rPr>
        <w:t>tele</w:t>
      </w:r>
      <w:r w:rsidRPr="008625DC">
        <w:rPr>
          <w:szCs w:val="22"/>
        </w:rPr>
        <w:t>communications, energy (through the AER</w:t>
      </w:r>
      <w:r w:rsidRPr="008625DC">
        <w:t xml:space="preserve"> which is a separate but constituent part of the ACCC</w:t>
      </w:r>
      <w:r w:rsidRPr="008625DC">
        <w:rPr>
          <w:szCs w:val="22"/>
        </w:rPr>
        <w:t xml:space="preserve">) and bulk water, and monitors pricing in other </w:t>
      </w:r>
      <w:r w:rsidR="001D5EF7" w:rsidRPr="008625DC">
        <w:rPr>
          <w:szCs w:val="22"/>
        </w:rPr>
        <w:t xml:space="preserve">infrastructure </w:t>
      </w:r>
      <w:r w:rsidRPr="008625DC">
        <w:rPr>
          <w:szCs w:val="22"/>
        </w:rPr>
        <w:t xml:space="preserve">markets where there is limited competition. </w:t>
      </w:r>
    </w:p>
    <w:p w14:paraId="4198F5ED" w14:textId="6057C090" w:rsidR="001D5EF7" w:rsidRPr="008625DC" w:rsidRDefault="001D5EF7" w:rsidP="001D5EF7">
      <w:pPr>
        <w:pStyle w:val="Heading2"/>
        <w:ind w:left="851" w:hanging="851"/>
        <w:rPr>
          <w:lang w:val="en-AU"/>
        </w:rPr>
      </w:pPr>
      <w:bookmarkStart w:id="36579" w:name="_Toc398458174"/>
      <w:bookmarkStart w:id="36580" w:name="_Toc398549197"/>
      <w:bookmarkStart w:id="36581" w:name="_Toc398549447"/>
      <w:bookmarkStart w:id="36582" w:name="_Toc398555866"/>
      <w:bookmarkStart w:id="36583" w:name="_Toc398559070"/>
      <w:bookmarkStart w:id="36584" w:name="_Toc398563556"/>
      <w:bookmarkStart w:id="36585" w:name="_Toc398563689"/>
      <w:bookmarkStart w:id="36586" w:name="_Toc398564088"/>
      <w:bookmarkStart w:id="36587" w:name="_Toc398827426"/>
      <w:bookmarkStart w:id="36588" w:name="_Toc398827620"/>
      <w:r w:rsidRPr="008625DC">
        <w:rPr>
          <w:lang w:val="en-AU"/>
        </w:rPr>
        <w:t xml:space="preserve">State and </w:t>
      </w:r>
      <w:r w:rsidR="0020129A" w:rsidRPr="008625DC">
        <w:rPr>
          <w:lang w:val="en-AU"/>
        </w:rPr>
        <w:t>T</w:t>
      </w:r>
      <w:r w:rsidRPr="008625DC">
        <w:rPr>
          <w:lang w:val="en-AU"/>
        </w:rPr>
        <w:t>erritory regulators</w:t>
      </w:r>
      <w:bookmarkEnd w:id="36579"/>
      <w:bookmarkEnd w:id="36580"/>
      <w:bookmarkEnd w:id="36581"/>
      <w:bookmarkEnd w:id="36582"/>
      <w:bookmarkEnd w:id="36583"/>
      <w:bookmarkEnd w:id="36584"/>
      <w:bookmarkEnd w:id="36585"/>
      <w:bookmarkEnd w:id="36586"/>
      <w:bookmarkEnd w:id="36587"/>
      <w:bookmarkEnd w:id="36588"/>
    </w:p>
    <w:p w14:paraId="1B6529ED" w14:textId="030411AF" w:rsidR="00F43A43" w:rsidRPr="008625DC" w:rsidRDefault="00F43A43" w:rsidP="0020129A">
      <w:r w:rsidRPr="008625DC">
        <w:t xml:space="preserve">Each State and Territory has an </w:t>
      </w:r>
      <w:r w:rsidR="001D5EF7" w:rsidRPr="008625DC">
        <w:t>access</w:t>
      </w:r>
      <w:r w:rsidRPr="008625DC">
        <w:t xml:space="preserve"> and pricing regulator. These regulators perform various functions, such as determining regulated prices for retail energy, water and transport services and access to essential services or infrastructure, that are not undertaken by the ACCC or AER. Some of these regulators also provide economic policy advice to governments. </w:t>
      </w:r>
      <w:r w:rsidR="00402BDE" w:rsidRPr="008625DC">
        <w:t>For</w:t>
      </w:r>
      <w:r w:rsidR="00C815E4" w:rsidRPr="008625DC">
        <w:t xml:space="preserve"> </w:t>
      </w:r>
      <w:r w:rsidRPr="008625DC">
        <w:t>example</w:t>
      </w:r>
      <w:r w:rsidR="00402BDE" w:rsidRPr="008625DC">
        <w:t>,</w:t>
      </w:r>
      <w:r w:rsidR="001D5EF7" w:rsidRPr="008625DC">
        <w:t xml:space="preserve"> </w:t>
      </w:r>
      <w:r w:rsidRPr="008625DC">
        <w:t>the Western Australian Economic Regulation Authority recent</w:t>
      </w:r>
      <w:r w:rsidR="00402BDE" w:rsidRPr="008625DC">
        <w:t>ly completed its</w:t>
      </w:r>
      <w:r w:rsidRPr="008625DC">
        <w:t xml:space="preserve"> Microeconomic Reform Inquiry</w:t>
      </w:r>
      <w:r w:rsidR="00C815E4" w:rsidRPr="008625DC">
        <w:t>.</w:t>
      </w:r>
      <w:r w:rsidRPr="008625DC">
        <w:rPr>
          <w:vertAlign w:val="superscript"/>
        </w:rPr>
        <w:footnoteReference w:id="409"/>
      </w:r>
    </w:p>
    <w:tbl>
      <w:tblPr>
        <w:tblStyle w:val="OptionsTable"/>
        <w:tblW w:w="0" w:type="auto"/>
        <w:tblInd w:w="108" w:type="dxa"/>
        <w:tblLook w:val="01E0" w:firstRow="1" w:lastRow="1" w:firstColumn="1" w:lastColumn="1" w:noHBand="0" w:noVBand="0"/>
      </w:tblPr>
      <w:tblGrid>
        <w:gridCol w:w="3119"/>
        <w:gridCol w:w="5924"/>
      </w:tblGrid>
      <w:tr w:rsidR="00F43A43" w:rsidRPr="008625DC" w14:paraId="4826A633" w14:textId="77777777" w:rsidTr="0020129A">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nil"/>
              <w:bottom w:val="single" w:sz="12" w:space="0" w:color="FFFFFF"/>
            </w:tcBorders>
            <w:shd w:val="clear" w:color="auto" w:fill="009976" w:themeFill="accent1"/>
          </w:tcPr>
          <w:p w14:paraId="13061D53" w14:textId="77777777" w:rsidR="00F43A43" w:rsidRPr="008625DC" w:rsidRDefault="00F43A43" w:rsidP="00834567">
            <w:pPr>
              <w:pStyle w:val="TableColumnHeadingLeft"/>
              <w:rPr>
                <w:b/>
                <w:color w:val="FFFFFF" w:themeColor="background1"/>
              </w:rPr>
            </w:pPr>
            <w:r w:rsidRPr="008625DC">
              <w:rPr>
                <w:b/>
                <w:color w:val="FFFFFF" w:themeColor="background1"/>
              </w:rPr>
              <w:t>State or Territory</w:t>
            </w:r>
          </w:p>
        </w:tc>
        <w:tc>
          <w:tcPr>
            <w:tcW w:w="5924" w:type="dxa"/>
            <w:tcBorders>
              <w:top w:val="nil"/>
              <w:bottom w:val="single" w:sz="12" w:space="0" w:color="FFFFFF"/>
            </w:tcBorders>
            <w:shd w:val="clear" w:color="auto" w:fill="009976" w:themeFill="accent1"/>
          </w:tcPr>
          <w:p w14:paraId="6C9FC3C7" w14:textId="77777777" w:rsidR="00F43A43" w:rsidRPr="008625DC" w:rsidRDefault="00F43A43" w:rsidP="00834567">
            <w:pPr>
              <w:pStyle w:val="TableColumnHeadingLeft"/>
              <w:rPr>
                <w:b/>
                <w:color w:val="FFFFFF" w:themeColor="background1"/>
              </w:rPr>
            </w:pPr>
            <w:r w:rsidRPr="008625DC">
              <w:rPr>
                <w:b/>
                <w:color w:val="FFFFFF" w:themeColor="background1"/>
              </w:rPr>
              <w:t>Regulator</w:t>
            </w:r>
          </w:p>
        </w:tc>
      </w:tr>
      <w:tr w:rsidR="00F43A43" w:rsidRPr="008625DC" w14:paraId="782F640C" w14:textId="77777777" w:rsidTr="00F43A43">
        <w:trPr>
          <w:cnfStyle w:val="000000100000" w:firstRow="0" w:lastRow="0" w:firstColumn="0" w:lastColumn="0" w:oddVBand="0" w:evenVBand="0" w:oddHBand="1" w:evenHBand="0" w:firstRowFirstColumn="0" w:firstRowLastColumn="0" w:lastRowFirstColumn="0" w:lastRowLastColumn="0"/>
        </w:trPr>
        <w:tc>
          <w:tcPr>
            <w:tcW w:w="3119" w:type="dxa"/>
            <w:tcBorders>
              <w:top w:val="single" w:sz="12" w:space="0" w:color="FFFFFF"/>
            </w:tcBorders>
          </w:tcPr>
          <w:p w14:paraId="0DC2C494" w14:textId="77777777" w:rsidR="00F43A43" w:rsidRPr="008625DC" w:rsidRDefault="00F43A43" w:rsidP="0020129A">
            <w:pPr>
              <w:pStyle w:val="TableTextLeft"/>
            </w:pPr>
            <w:r w:rsidRPr="008625DC">
              <w:t>New South Wales</w:t>
            </w:r>
          </w:p>
        </w:tc>
        <w:tc>
          <w:tcPr>
            <w:tcW w:w="5924" w:type="dxa"/>
            <w:tcBorders>
              <w:top w:val="single" w:sz="12" w:space="0" w:color="FFFFFF"/>
            </w:tcBorders>
          </w:tcPr>
          <w:p w14:paraId="03FC1146" w14:textId="77777777" w:rsidR="00F43A43" w:rsidRPr="008625DC" w:rsidRDefault="00F43A43" w:rsidP="0020129A">
            <w:pPr>
              <w:pStyle w:val="TableTextLeft"/>
            </w:pPr>
            <w:r w:rsidRPr="008625DC">
              <w:t>Independent Pricing and Regulatory Tribunal</w:t>
            </w:r>
          </w:p>
        </w:tc>
      </w:tr>
      <w:tr w:rsidR="00F43A43" w:rsidRPr="008625DC" w14:paraId="052101C3" w14:textId="77777777" w:rsidTr="00F43A43">
        <w:trPr>
          <w:cnfStyle w:val="000000010000" w:firstRow="0" w:lastRow="0" w:firstColumn="0" w:lastColumn="0" w:oddVBand="0" w:evenVBand="0" w:oddHBand="0" w:evenHBand="1" w:firstRowFirstColumn="0" w:firstRowLastColumn="0" w:lastRowFirstColumn="0" w:lastRowLastColumn="0"/>
        </w:trPr>
        <w:tc>
          <w:tcPr>
            <w:tcW w:w="3119" w:type="dxa"/>
          </w:tcPr>
          <w:p w14:paraId="4D1E1459" w14:textId="77777777" w:rsidR="00F43A43" w:rsidRPr="008625DC" w:rsidRDefault="00F43A43" w:rsidP="0020129A">
            <w:pPr>
              <w:pStyle w:val="TableTextLeft"/>
            </w:pPr>
            <w:r w:rsidRPr="008625DC">
              <w:t>Victoria</w:t>
            </w:r>
          </w:p>
        </w:tc>
        <w:tc>
          <w:tcPr>
            <w:tcW w:w="5924" w:type="dxa"/>
          </w:tcPr>
          <w:p w14:paraId="15FF7B11" w14:textId="77777777" w:rsidR="00F43A43" w:rsidRPr="008625DC" w:rsidRDefault="00F43A43" w:rsidP="0020129A">
            <w:pPr>
              <w:pStyle w:val="TableTextLeft"/>
            </w:pPr>
            <w:r w:rsidRPr="008625DC">
              <w:t>Essential Services Commission</w:t>
            </w:r>
          </w:p>
        </w:tc>
      </w:tr>
      <w:tr w:rsidR="00F43A43" w:rsidRPr="008625DC" w14:paraId="7AED4090" w14:textId="77777777" w:rsidTr="00F43A43">
        <w:trPr>
          <w:cnfStyle w:val="000000100000" w:firstRow="0" w:lastRow="0" w:firstColumn="0" w:lastColumn="0" w:oddVBand="0" w:evenVBand="0" w:oddHBand="1" w:evenHBand="0" w:firstRowFirstColumn="0" w:firstRowLastColumn="0" w:lastRowFirstColumn="0" w:lastRowLastColumn="0"/>
        </w:trPr>
        <w:tc>
          <w:tcPr>
            <w:tcW w:w="3119" w:type="dxa"/>
          </w:tcPr>
          <w:p w14:paraId="5E4D4D5C" w14:textId="77777777" w:rsidR="00F43A43" w:rsidRPr="008625DC" w:rsidRDefault="00F43A43" w:rsidP="0020129A">
            <w:pPr>
              <w:pStyle w:val="TableTextLeft"/>
            </w:pPr>
            <w:r w:rsidRPr="008625DC">
              <w:t>Queensland</w:t>
            </w:r>
          </w:p>
        </w:tc>
        <w:tc>
          <w:tcPr>
            <w:tcW w:w="5924" w:type="dxa"/>
          </w:tcPr>
          <w:p w14:paraId="569DB31D" w14:textId="77777777" w:rsidR="00F43A43" w:rsidRPr="008625DC" w:rsidRDefault="00F43A43" w:rsidP="0020129A">
            <w:pPr>
              <w:pStyle w:val="TableTextLeft"/>
            </w:pPr>
            <w:r w:rsidRPr="008625DC">
              <w:t>Queensland Competition Authority</w:t>
            </w:r>
          </w:p>
        </w:tc>
      </w:tr>
      <w:tr w:rsidR="00F43A43" w:rsidRPr="008625DC" w14:paraId="18606E05" w14:textId="77777777" w:rsidTr="00F43A43">
        <w:trPr>
          <w:cnfStyle w:val="000000010000" w:firstRow="0" w:lastRow="0" w:firstColumn="0" w:lastColumn="0" w:oddVBand="0" w:evenVBand="0" w:oddHBand="0" w:evenHBand="1" w:firstRowFirstColumn="0" w:firstRowLastColumn="0" w:lastRowFirstColumn="0" w:lastRowLastColumn="0"/>
        </w:trPr>
        <w:tc>
          <w:tcPr>
            <w:tcW w:w="3119" w:type="dxa"/>
          </w:tcPr>
          <w:p w14:paraId="7AD2DD21" w14:textId="77777777" w:rsidR="00F43A43" w:rsidRPr="008625DC" w:rsidRDefault="00F43A43" w:rsidP="0020129A">
            <w:pPr>
              <w:pStyle w:val="TableTextLeft"/>
            </w:pPr>
            <w:r w:rsidRPr="008625DC">
              <w:t>Western Australia</w:t>
            </w:r>
          </w:p>
        </w:tc>
        <w:tc>
          <w:tcPr>
            <w:tcW w:w="5924" w:type="dxa"/>
          </w:tcPr>
          <w:p w14:paraId="067A2EC2" w14:textId="77777777" w:rsidR="00F43A43" w:rsidRPr="008625DC" w:rsidRDefault="00F43A43" w:rsidP="0020129A">
            <w:pPr>
              <w:pStyle w:val="TableTextLeft"/>
            </w:pPr>
            <w:r w:rsidRPr="008625DC">
              <w:t>Economic Regulation Authority</w:t>
            </w:r>
          </w:p>
        </w:tc>
      </w:tr>
      <w:tr w:rsidR="00F43A43" w:rsidRPr="008625DC" w14:paraId="659001A6" w14:textId="77777777" w:rsidTr="00F43A43">
        <w:trPr>
          <w:cnfStyle w:val="000000100000" w:firstRow="0" w:lastRow="0" w:firstColumn="0" w:lastColumn="0" w:oddVBand="0" w:evenVBand="0" w:oddHBand="1" w:evenHBand="0" w:firstRowFirstColumn="0" w:firstRowLastColumn="0" w:lastRowFirstColumn="0" w:lastRowLastColumn="0"/>
        </w:trPr>
        <w:tc>
          <w:tcPr>
            <w:tcW w:w="3119" w:type="dxa"/>
          </w:tcPr>
          <w:p w14:paraId="4669695E" w14:textId="77777777" w:rsidR="00F43A43" w:rsidRPr="008625DC" w:rsidRDefault="00F43A43" w:rsidP="0020129A">
            <w:pPr>
              <w:pStyle w:val="TableTextLeft"/>
            </w:pPr>
            <w:r w:rsidRPr="008625DC">
              <w:t>South Australia</w:t>
            </w:r>
          </w:p>
        </w:tc>
        <w:tc>
          <w:tcPr>
            <w:tcW w:w="5924" w:type="dxa"/>
          </w:tcPr>
          <w:p w14:paraId="54FC13CA" w14:textId="77777777" w:rsidR="00F43A43" w:rsidRPr="008625DC" w:rsidRDefault="00F43A43" w:rsidP="0020129A">
            <w:pPr>
              <w:pStyle w:val="TableTextLeft"/>
            </w:pPr>
            <w:r w:rsidRPr="008625DC">
              <w:t xml:space="preserve">Essential Services Commission </w:t>
            </w:r>
          </w:p>
        </w:tc>
      </w:tr>
      <w:tr w:rsidR="00F43A43" w:rsidRPr="008625DC" w14:paraId="5AA5C658" w14:textId="77777777" w:rsidTr="00F43A43">
        <w:trPr>
          <w:cnfStyle w:val="000000010000" w:firstRow="0" w:lastRow="0" w:firstColumn="0" w:lastColumn="0" w:oddVBand="0" w:evenVBand="0" w:oddHBand="0" w:evenHBand="1" w:firstRowFirstColumn="0" w:firstRowLastColumn="0" w:lastRowFirstColumn="0" w:lastRowLastColumn="0"/>
        </w:trPr>
        <w:tc>
          <w:tcPr>
            <w:tcW w:w="3119" w:type="dxa"/>
          </w:tcPr>
          <w:p w14:paraId="609C3244" w14:textId="77777777" w:rsidR="00F43A43" w:rsidRPr="008625DC" w:rsidRDefault="00F43A43" w:rsidP="0020129A">
            <w:pPr>
              <w:pStyle w:val="TableTextLeft"/>
            </w:pPr>
            <w:r w:rsidRPr="008625DC">
              <w:t>Tasmania</w:t>
            </w:r>
          </w:p>
        </w:tc>
        <w:tc>
          <w:tcPr>
            <w:tcW w:w="5924" w:type="dxa"/>
          </w:tcPr>
          <w:p w14:paraId="6341494C" w14:textId="77777777" w:rsidR="00F43A43" w:rsidRPr="008625DC" w:rsidRDefault="00F43A43" w:rsidP="0020129A">
            <w:pPr>
              <w:pStyle w:val="TableTextLeft"/>
            </w:pPr>
            <w:r w:rsidRPr="008625DC">
              <w:t>Office of the Tasmanian Economic Regulator</w:t>
            </w:r>
          </w:p>
        </w:tc>
      </w:tr>
      <w:tr w:rsidR="00F43A43" w:rsidRPr="008625DC" w14:paraId="6F9D2A63" w14:textId="77777777" w:rsidTr="00F43A43">
        <w:trPr>
          <w:cnfStyle w:val="000000100000" w:firstRow="0" w:lastRow="0" w:firstColumn="0" w:lastColumn="0" w:oddVBand="0" w:evenVBand="0" w:oddHBand="1" w:evenHBand="0" w:firstRowFirstColumn="0" w:firstRowLastColumn="0" w:lastRowFirstColumn="0" w:lastRowLastColumn="0"/>
        </w:trPr>
        <w:tc>
          <w:tcPr>
            <w:tcW w:w="3119" w:type="dxa"/>
          </w:tcPr>
          <w:p w14:paraId="24B700BA" w14:textId="77777777" w:rsidR="00F43A43" w:rsidRPr="008625DC" w:rsidRDefault="00F43A43" w:rsidP="0020129A">
            <w:pPr>
              <w:pStyle w:val="TableTextLeft"/>
            </w:pPr>
            <w:r w:rsidRPr="008625DC">
              <w:t>Australian Capital Territory</w:t>
            </w:r>
          </w:p>
        </w:tc>
        <w:tc>
          <w:tcPr>
            <w:tcW w:w="5924" w:type="dxa"/>
          </w:tcPr>
          <w:p w14:paraId="1BA3A27C" w14:textId="77777777" w:rsidR="00F43A43" w:rsidRPr="008625DC" w:rsidRDefault="00F43A43" w:rsidP="0020129A">
            <w:pPr>
              <w:pStyle w:val="TableTextLeft"/>
            </w:pPr>
            <w:r w:rsidRPr="008625DC">
              <w:t>Independent Competition and Regulatory Commission</w:t>
            </w:r>
          </w:p>
        </w:tc>
      </w:tr>
      <w:tr w:rsidR="00F43A43" w:rsidRPr="008625DC" w14:paraId="5DF95D74" w14:textId="77777777" w:rsidTr="00F43A43">
        <w:trPr>
          <w:cnfStyle w:val="000000010000" w:firstRow="0" w:lastRow="0" w:firstColumn="0" w:lastColumn="0" w:oddVBand="0" w:evenVBand="0" w:oddHBand="0" w:evenHBand="1" w:firstRowFirstColumn="0" w:firstRowLastColumn="0" w:lastRowFirstColumn="0" w:lastRowLastColumn="0"/>
        </w:trPr>
        <w:tc>
          <w:tcPr>
            <w:tcW w:w="3119" w:type="dxa"/>
          </w:tcPr>
          <w:p w14:paraId="7B7012C5" w14:textId="77777777" w:rsidR="00F43A43" w:rsidRPr="008625DC" w:rsidRDefault="00F43A43" w:rsidP="0020129A">
            <w:pPr>
              <w:pStyle w:val="TableTextLeft"/>
            </w:pPr>
            <w:r w:rsidRPr="008625DC">
              <w:t>Northern Territory</w:t>
            </w:r>
          </w:p>
        </w:tc>
        <w:tc>
          <w:tcPr>
            <w:tcW w:w="5924" w:type="dxa"/>
          </w:tcPr>
          <w:p w14:paraId="158D04AF" w14:textId="77777777" w:rsidR="00F43A43" w:rsidRPr="008625DC" w:rsidRDefault="00F43A43" w:rsidP="0020129A">
            <w:pPr>
              <w:pStyle w:val="TableTextLeft"/>
            </w:pPr>
            <w:r w:rsidRPr="008625DC">
              <w:t>The Utilities Commission of the Northern Territory</w:t>
            </w:r>
          </w:p>
        </w:tc>
      </w:tr>
    </w:tbl>
    <w:p w14:paraId="4B674AEB" w14:textId="38740C5D" w:rsidR="00402BDE" w:rsidRPr="008625DC" w:rsidRDefault="00402BDE" w:rsidP="0020129A">
      <w:pPr>
        <w:spacing w:before="240"/>
        <w:rPr>
          <w:rFonts w:ascii="Calibri" w:hAnsi="Calibri"/>
        </w:rPr>
      </w:pPr>
      <w:r w:rsidRPr="008625DC">
        <w:rPr>
          <w:rFonts w:ascii="Calibri" w:hAnsi="Calibri"/>
        </w:rPr>
        <w:t xml:space="preserve">Submissions note that, when state access and pricing regulators are added in, Australia has </w:t>
      </w:r>
      <w:r w:rsidR="00AA4806">
        <w:rPr>
          <w:rFonts w:ascii="Calibri" w:hAnsi="Calibri"/>
        </w:rPr>
        <w:t>11</w:t>
      </w:r>
      <w:r w:rsidRPr="008625DC">
        <w:rPr>
          <w:rFonts w:ascii="Calibri" w:hAnsi="Calibri"/>
        </w:rPr>
        <w:t xml:space="preserve"> separate </w:t>
      </w:r>
      <w:r w:rsidR="005C43C9" w:rsidRPr="008625DC">
        <w:rPr>
          <w:rFonts w:ascii="Calibri" w:hAnsi="Calibri"/>
        </w:rPr>
        <w:t>competition-related</w:t>
      </w:r>
      <w:r w:rsidRPr="008625DC">
        <w:rPr>
          <w:rFonts w:ascii="Calibri" w:hAnsi="Calibri"/>
        </w:rPr>
        <w:t xml:space="preserve"> regulators (BCA</w:t>
      </w:r>
      <w:r w:rsidR="005C43C9" w:rsidRPr="008625DC">
        <w:rPr>
          <w:rFonts w:ascii="Calibri" w:hAnsi="Calibri"/>
        </w:rPr>
        <w:t xml:space="preserve"> Main Report</w:t>
      </w:r>
      <w:r w:rsidRPr="008625DC">
        <w:rPr>
          <w:rFonts w:ascii="Calibri" w:hAnsi="Calibri"/>
        </w:rPr>
        <w:t>, page 20). Australia</w:t>
      </w:r>
      <w:r w:rsidR="00C74E19" w:rsidRPr="008625DC">
        <w:rPr>
          <w:rFonts w:ascii="Calibri" w:hAnsi="Calibri"/>
        </w:rPr>
        <w:t>’</w:t>
      </w:r>
      <w:r w:rsidRPr="008625DC">
        <w:rPr>
          <w:rFonts w:ascii="Calibri" w:hAnsi="Calibri"/>
        </w:rPr>
        <w:t>s seven water regulators serve a population of 23 million, while, by comparison, the UK</w:t>
      </w:r>
      <w:r w:rsidR="00C74E19" w:rsidRPr="008625DC">
        <w:rPr>
          <w:rFonts w:ascii="Calibri" w:hAnsi="Calibri"/>
        </w:rPr>
        <w:t>’</w:t>
      </w:r>
      <w:r w:rsidRPr="008625DC">
        <w:rPr>
          <w:rFonts w:ascii="Calibri" w:hAnsi="Calibri"/>
        </w:rPr>
        <w:t>s single water regulator (OFWAT) serves more than 60 million people.</w:t>
      </w:r>
    </w:p>
    <w:p w14:paraId="11E4CE64" w14:textId="77777777" w:rsidR="00834567" w:rsidRPr="008625DC" w:rsidRDefault="00834567">
      <w:pPr>
        <w:spacing w:before="0" w:after="0"/>
        <w:rPr>
          <w:rFonts w:ascii="Calibri" w:hAnsi="Calibri"/>
        </w:rPr>
      </w:pPr>
      <w:r w:rsidRPr="008625DC">
        <w:rPr>
          <w:rFonts w:ascii="Calibri" w:hAnsi="Calibri"/>
        </w:rPr>
        <w:br w:type="page"/>
      </w:r>
    </w:p>
    <w:p w14:paraId="37C77E54" w14:textId="48697CC8" w:rsidR="00402BDE" w:rsidRPr="008625DC" w:rsidRDefault="00402BDE" w:rsidP="00402BDE">
      <w:pPr>
        <w:autoSpaceDE w:val="0"/>
        <w:autoSpaceDN w:val="0"/>
        <w:adjustRightInd w:val="0"/>
        <w:spacing w:before="0" w:after="0"/>
        <w:rPr>
          <w:rFonts w:ascii="Calibri" w:hAnsi="Calibri"/>
        </w:rPr>
      </w:pPr>
      <w:r w:rsidRPr="008625DC">
        <w:rPr>
          <w:rFonts w:ascii="Calibri" w:hAnsi="Calibri"/>
        </w:rPr>
        <w:lastRenderedPageBreak/>
        <w:t>The multiplicity of regulators results in fragmented regulatory oversight. For example, IPART identifies that:</w:t>
      </w:r>
    </w:p>
    <w:p w14:paraId="7B463F1E" w14:textId="0F0E707D" w:rsidR="00402BDE" w:rsidRPr="008625DC" w:rsidRDefault="005A0741" w:rsidP="00834567">
      <w:pPr>
        <w:pStyle w:val="Bullet"/>
        <w:tabs>
          <w:tab w:val="clear" w:pos="566"/>
          <w:tab w:val="num" w:pos="993"/>
        </w:tabs>
        <w:ind w:left="993" w:hanging="425"/>
        <w:rPr>
          <w:color w:val="595959" w:themeColor="text1" w:themeTint="A6"/>
        </w:rPr>
      </w:pPr>
      <w:r w:rsidRPr="008625DC">
        <w:rPr>
          <w:color w:val="595959" w:themeColor="text1" w:themeTint="A6"/>
        </w:rPr>
        <w:t>IPART regulates 3 valleys for State Water. The Murray</w:t>
      </w:r>
      <w:r w:rsidR="00C74E19" w:rsidRPr="008625DC">
        <w:rPr>
          <w:color w:val="595959" w:themeColor="text1" w:themeTint="A6"/>
        </w:rPr>
        <w:noBreakHyphen/>
      </w:r>
      <w:r w:rsidRPr="008625DC">
        <w:rPr>
          <w:color w:val="595959" w:themeColor="text1" w:themeTint="A6"/>
        </w:rPr>
        <w:t>Darling basin is regulated by the ACCC.</w:t>
      </w:r>
    </w:p>
    <w:p w14:paraId="50F06399" w14:textId="4D819170" w:rsidR="00402BDE" w:rsidRPr="008625DC" w:rsidRDefault="005A0741" w:rsidP="00834567">
      <w:pPr>
        <w:pStyle w:val="Bullet"/>
        <w:tabs>
          <w:tab w:val="clear" w:pos="566"/>
          <w:tab w:val="num" w:pos="993"/>
        </w:tabs>
        <w:spacing w:after="240"/>
        <w:ind w:left="993" w:hanging="425"/>
        <w:rPr>
          <w:color w:val="595959" w:themeColor="text1" w:themeTint="A6"/>
        </w:rPr>
      </w:pPr>
      <w:r w:rsidRPr="008625DC">
        <w:rPr>
          <w:color w:val="595959" w:themeColor="text1" w:themeTint="A6"/>
        </w:rPr>
        <w:t>IPART regulates around 21km of the Hunter Valley Coal rail network. The ACCC regulates the remaining 650km of track. (IPART, page 30)</w:t>
      </w:r>
    </w:p>
    <w:p w14:paraId="1A52E968" w14:textId="3F289CA2" w:rsidR="00402BDE" w:rsidRPr="008625DC" w:rsidRDefault="00402BDE" w:rsidP="00402BDE">
      <w:pPr>
        <w:rPr>
          <w:rFonts w:ascii="Calibri" w:hAnsi="Calibri"/>
        </w:rPr>
      </w:pPr>
      <w:r w:rsidRPr="008625DC">
        <w:rPr>
          <w:rFonts w:ascii="Calibri" w:hAnsi="Calibri"/>
        </w:rPr>
        <w:t xml:space="preserve">A multiplicity of regulators can also be administratively costly, and lead to gaps and overlaps in regulatory responsibility. Business may have to engage with more than one regulator. </w:t>
      </w:r>
    </w:p>
    <w:p w14:paraId="79D0E81C" w14:textId="0922791C" w:rsidR="00402BDE" w:rsidRPr="008625DC" w:rsidRDefault="00402BDE" w:rsidP="00402BDE">
      <w:pPr>
        <w:rPr>
          <w:rFonts w:ascii="Calibri" w:hAnsi="Calibri"/>
        </w:rPr>
      </w:pPr>
      <w:r w:rsidRPr="008625DC">
        <w:rPr>
          <w:rFonts w:ascii="Calibri" w:hAnsi="Calibri"/>
        </w:rPr>
        <w:t>The Panel notes these concerns but believes that States and Territories should continue to have responsibility for those sectors with which they are, by geography and institutional arrangements, better placed to deal. For example, regulation of public transport fares is better dealt with at a State and Territory level.</w:t>
      </w:r>
    </w:p>
    <w:p w14:paraId="7B2E240D" w14:textId="001AF6E2" w:rsidR="00402BDE" w:rsidRPr="008625DC" w:rsidRDefault="00402BDE" w:rsidP="00402BDE">
      <w:pPr>
        <w:rPr>
          <w:rFonts w:ascii="Calibri" w:hAnsi="Calibri"/>
        </w:rPr>
      </w:pPr>
      <w:r w:rsidRPr="008625DC">
        <w:rPr>
          <w:rFonts w:ascii="Calibri" w:hAnsi="Calibri"/>
        </w:rPr>
        <w:t>That said, some of the gaps and overlaps arise because activities that can be regulated nationally are still undertaken at a State and Territory level. The Panel</w:t>
      </w:r>
      <w:r w:rsidR="00C74E19" w:rsidRPr="008625DC">
        <w:rPr>
          <w:rFonts w:ascii="Calibri" w:hAnsi="Calibri"/>
        </w:rPr>
        <w:t>’</w:t>
      </w:r>
      <w:r w:rsidRPr="008625DC">
        <w:rPr>
          <w:rFonts w:ascii="Calibri" w:hAnsi="Calibri"/>
        </w:rPr>
        <w:t xml:space="preserve">s view is that a national approach to regulation should be adopted in these cases. For example, as discussed in </w:t>
      </w:r>
      <w:hyperlink w:anchor="s91" w:history="1">
        <w:r w:rsidRPr="008625DC">
          <w:rPr>
            <w:rStyle w:val="Hyperlink"/>
            <w:rFonts w:ascii="Calibri" w:hAnsi="Calibri"/>
          </w:rPr>
          <w:t>Section 9.1</w:t>
        </w:r>
      </w:hyperlink>
      <w:r w:rsidRPr="008625DC">
        <w:rPr>
          <w:rFonts w:ascii="Calibri" w:hAnsi="Calibri"/>
        </w:rPr>
        <w:t xml:space="preserve">, the Panel recommends a national approach to water regulation. </w:t>
      </w:r>
    </w:p>
    <w:p w14:paraId="313C81B0" w14:textId="3E4BEAD4" w:rsidR="00402BDE" w:rsidRPr="008625DC" w:rsidRDefault="00402BDE" w:rsidP="00402BDE">
      <w:pPr>
        <w:pStyle w:val="Heading2"/>
        <w:ind w:left="851" w:hanging="851"/>
        <w:rPr>
          <w:lang w:val="en-AU"/>
        </w:rPr>
      </w:pPr>
      <w:bookmarkStart w:id="36589" w:name="_Toc398458175"/>
      <w:bookmarkStart w:id="36590" w:name="_Toc398555867"/>
      <w:bookmarkStart w:id="36591" w:name="_Toc398559071"/>
      <w:bookmarkStart w:id="36592" w:name="_Toc398563557"/>
      <w:bookmarkStart w:id="36593" w:name="_Toc398563690"/>
      <w:bookmarkStart w:id="36594" w:name="_Toc398564089"/>
      <w:bookmarkStart w:id="36595" w:name="_Toc398827427"/>
      <w:bookmarkStart w:id="36596" w:name="_Toc398827621"/>
      <w:r w:rsidRPr="008625DC">
        <w:rPr>
          <w:rFonts w:eastAsiaTheme="minorHAnsi"/>
          <w:lang w:val="en-AU" w:eastAsia="en-US"/>
        </w:rPr>
        <w:t>A separate national access and pricing regulator</w:t>
      </w:r>
      <w:bookmarkEnd w:id="36589"/>
      <w:bookmarkEnd w:id="36590"/>
      <w:bookmarkEnd w:id="36591"/>
      <w:bookmarkEnd w:id="36592"/>
      <w:bookmarkEnd w:id="36593"/>
      <w:bookmarkEnd w:id="36594"/>
      <w:bookmarkEnd w:id="36595"/>
      <w:bookmarkEnd w:id="36596"/>
    </w:p>
    <w:p w14:paraId="642675BC" w14:textId="1EEE834A" w:rsidR="00402BDE" w:rsidRPr="008625DC" w:rsidRDefault="005A249A" w:rsidP="00834567">
      <w:r>
        <w:t>The Panel sees benefit in focus</w:t>
      </w:r>
      <w:r w:rsidR="00402BDE" w:rsidRPr="008625DC">
        <w:t>ing the ACCC on its competition and consumer functions and separating out its access and pricing functions into a separate, dedicated regulator. Amalgamating all price regulatory functions into a single body will sharpen focus and strengthen analytical capacity in this important area of regulation.</w:t>
      </w:r>
    </w:p>
    <w:p w14:paraId="3429FF82" w14:textId="6D623B28" w:rsidR="00402BDE" w:rsidRPr="008625DC" w:rsidRDefault="00402BDE" w:rsidP="00834567">
      <w:pPr>
        <w:rPr>
          <w:rFonts w:eastAsiaTheme="minorHAnsi"/>
          <w:lang w:eastAsia="en-US"/>
        </w:rPr>
      </w:pPr>
      <w:r w:rsidRPr="008625DC">
        <w:rPr>
          <w:rFonts w:eastAsiaTheme="minorHAnsi"/>
          <w:lang w:eastAsia="en-US"/>
        </w:rPr>
        <w:t>The ACCC argues that there are benefits in having access and pricing regulation undertaken by the competition and consumer regulator. The Panel</w:t>
      </w:r>
      <w:r w:rsidR="00C74E19" w:rsidRPr="008625DC">
        <w:rPr>
          <w:rFonts w:eastAsiaTheme="minorHAnsi"/>
          <w:lang w:eastAsia="en-US"/>
        </w:rPr>
        <w:t>’</w:t>
      </w:r>
      <w:r w:rsidRPr="008625DC">
        <w:rPr>
          <w:rFonts w:eastAsiaTheme="minorHAnsi"/>
          <w:lang w:eastAsia="en-US"/>
        </w:rPr>
        <w:t>s view, however, it that, while there are synergies between the competition and consumer functions, there are fewer synergies between the functions of competition enforcement and access and pricing regulation.</w:t>
      </w:r>
    </w:p>
    <w:p w14:paraId="4A3BF093" w14:textId="77777777" w:rsidR="00F43A43" w:rsidRPr="008625DC" w:rsidRDefault="00F43A43" w:rsidP="00834567">
      <w:pPr>
        <w:rPr>
          <w:rFonts w:eastAsiaTheme="minorHAnsi"/>
          <w:lang w:eastAsia="en-US"/>
        </w:rPr>
      </w:pPr>
      <w:r w:rsidRPr="008625DC">
        <w:rPr>
          <w:rFonts w:eastAsiaTheme="minorHAnsi"/>
          <w:lang w:eastAsia="en-US"/>
        </w:rPr>
        <w:t>The culture and analytical approach required to regulate an industry differs from those typically characteristic of a competition law enforcement agency. For example, the former is required to have an ongoing and collaborative relationship with the industry it regulates; the latter is more likely to involve adversarial interactions.</w:t>
      </w:r>
    </w:p>
    <w:p w14:paraId="788902C7" w14:textId="77777777" w:rsidR="00F43A43" w:rsidRPr="008625DC" w:rsidRDefault="00F43A43" w:rsidP="00834567">
      <w:pPr>
        <w:rPr>
          <w:rFonts w:eastAsiaTheme="minorHAnsi"/>
          <w:lang w:eastAsia="en-US"/>
        </w:rPr>
      </w:pPr>
      <w:r w:rsidRPr="008625DC">
        <w:rPr>
          <w:rFonts w:eastAsiaTheme="minorHAnsi"/>
          <w:lang w:eastAsia="en-US"/>
        </w:rPr>
        <w:t>There is also a risk that the views of an industry regulator about the structure of a particular market could influence a merger decision. The latter is required to be based on the likelihood of a particular transaction resulting in a substantial lessening of competition, not on a view of what a particular market structure should be.</w:t>
      </w:r>
    </w:p>
    <w:p w14:paraId="252C0C2F" w14:textId="3A0F3BE4" w:rsidR="007A4E52" w:rsidRPr="008625DC" w:rsidRDefault="00843163" w:rsidP="00834567">
      <w:pPr>
        <w:rPr>
          <w:rFonts w:eastAsiaTheme="minorHAnsi"/>
          <w:lang w:eastAsia="en-US"/>
        </w:rPr>
      </w:pPr>
      <w:r w:rsidRPr="008625DC">
        <w:rPr>
          <w:rFonts w:eastAsiaTheme="minorHAnsi"/>
          <w:lang w:eastAsia="en-US"/>
        </w:rPr>
        <w:t>T</w:t>
      </w:r>
      <w:r w:rsidR="007A4E52" w:rsidRPr="008625DC">
        <w:rPr>
          <w:rFonts w:eastAsiaTheme="minorHAnsi"/>
          <w:lang w:eastAsia="en-US"/>
        </w:rPr>
        <w:t xml:space="preserve">he Monash Business Policy Forum proposes the creation of an </w:t>
      </w:r>
      <w:r w:rsidR="00C74E19" w:rsidRPr="008625DC">
        <w:rPr>
          <w:rFonts w:eastAsiaTheme="minorHAnsi"/>
          <w:lang w:eastAsia="en-US"/>
        </w:rPr>
        <w:t>‘</w:t>
      </w:r>
      <w:r w:rsidR="007A4E52" w:rsidRPr="008625DC">
        <w:rPr>
          <w:rFonts w:eastAsiaTheme="minorHAnsi"/>
          <w:lang w:eastAsia="en-US"/>
        </w:rPr>
        <w:t>Australian Essential Services Commission</w:t>
      </w:r>
      <w:r w:rsidR="00C74E19" w:rsidRPr="008625DC">
        <w:rPr>
          <w:rFonts w:eastAsiaTheme="minorHAnsi"/>
          <w:lang w:eastAsia="en-US"/>
        </w:rPr>
        <w:t>’</w:t>
      </w:r>
      <w:r w:rsidR="007A4E52" w:rsidRPr="008625DC">
        <w:rPr>
          <w:rFonts w:eastAsiaTheme="minorHAnsi"/>
          <w:lang w:eastAsia="en-US"/>
        </w:rPr>
        <w:t xml:space="preserve"> to bring all pricing and access regulation into one agency. The body would </w:t>
      </w:r>
      <w:r w:rsidR="00C74E19" w:rsidRPr="008625DC">
        <w:rPr>
          <w:rFonts w:eastAsiaTheme="minorHAnsi"/>
          <w:lang w:eastAsia="en-US"/>
        </w:rPr>
        <w:t>‘</w:t>
      </w:r>
      <w:r w:rsidR="007A4E52" w:rsidRPr="008625DC">
        <w:rPr>
          <w:rFonts w:eastAsiaTheme="minorHAnsi"/>
          <w:lang w:eastAsia="en-US"/>
        </w:rPr>
        <w:t>bring together the current regulatory functions of the ACCC, ACMA, the regulatory functions of the Murray</w:t>
      </w:r>
      <w:r w:rsidR="00C74E19" w:rsidRPr="008625DC">
        <w:rPr>
          <w:rFonts w:eastAsiaTheme="minorHAnsi"/>
          <w:lang w:eastAsia="en-US"/>
        </w:rPr>
        <w:noBreakHyphen/>
      </w:r>
      <w:r w:rsidR="007A4E52" w:rsidRPr="008625DC">
        <w:rPr>
          <w:rFonts w:eastAsiaTheme="minorHAnsi"/>
          <w:lang w:eastAsia="en-US"/>
        </w:rPr>
        <w:t>Darling Basin Authority, and groups such as the Au</w:t>
      </w:r>
      <w:r w:rsidR="00923A4E" w:rsidRPr="008625DC">
        <w:rPr>
          <w:rFonts w:eastAsiaTheme="minorHAnsi"/>
          <w:lang w:eastAsia="en-US"/>
        </w:rPr>
        <w:t>stralian Energy Regulator (AER)</w:t>
      </w:r>
      <w:r w:rsidR="00C74E19" w:rsidRPr="008625DC">
        <w:rPr>
          <w:rFonts w:eastAsiaTheme="minorHAnsi"/>
          <w:lang w:eastAsia="en-US"/>
        </w:rPr>
        <w:t>’</w:t>
      </w:r>
      <w:r w:rsidR="00923A4E" w:rsidRPr="008625DC">
        <w:rPr>
          <w:rFonts w:eastAsiaTheme="minorHAnsi"/>
          <w:lang w:eastAsia="en-US"/>
        </w:rPr>
        <w:t>.</w:t>
      </w:r>
      <w:r w:rsidR="007A4E52" w:rsidRPr="008625DC">
        <w:rPr>
          <w:rFonts w:eastAsiaTheme="minorHAnsi"/>
          <w:lang w:eastAsia="en-US"/>
        </w:rPr>
        <w:t xml:space="preserve"> (page 36)</w:t>
      </w:r>
    </w:p>
    <w:p w14:paraId="25DC2305" w14:textId="209F664B" w:rsidR="007A4E52" w:rsidRPr="008625DC" w:rsidRDefault="007A4E52" w:rsidP="00923A4E">
      <w:pPr>
        <w:spacing w:after="120"/>
      </w:pPr>
      <w:r w:rsidRPr="008625DC">
        <w:t xml:space="preserve">The </w:t>
      </w:r>
      <w:r w:rsidRPr="008625DC">
        <w:rPr>
          <w:rFonts w:eastAsiaTheme="minorHAnsi"/>
          <w:lang w:eastAsia="en-US"/>
        </w:rPr>
        <w:t>Monash Business Policy</w:t>
      </w:r>
      <w:r w:rsidRPr="008625DC">
        <w:rPr>
          <w:rFonts w:eastAsiaTheme="minorHAnsi"/>
        </w:rPr>
        <w:t xml:space="preserve"> </w:t>
      </w:r>
      <w:r w:rsidRPr="008625DC">
        <w:t>Forum stresses the importance of co</w:t>
      </w:r>
      <w:r w:rsidR="00C74E19" w:rsidRPr="008625DC">
        <w:noBreakHyphen/>
      </w:r>
      <w:r w:rsidRPr="008625DC">
        <w:t>locating functions by similarity of analytical approach rather than by industry:</w:t>
      </w:r>
    </w:p>
    <w:p w14:paraId="09383649" w14:textId="7924381F" w:rsidR="007A4E52" w:rsidRPr="008625DC" w:rsidRDefault="007A4E52" w:rsidP="007A4E52">
      <w:pPr>
        <w:pStyle w:val="Quotes"/>
        <w:rPr>
          <w:rFonts w:ascii="Calibri" w:hAnsi="Calibri"/>
          <w:color w:val="595959"/>
        </w:rPr>
      </w:pPr>
      <w:r w:rsidRPr="008625DC">
        <w:rPr>
          <w:rFonts w:ascii="Calibri" w:hAnsi="Calibri"/>
          <w:color w:val="595959"/>
        </w:rPr>
        <w:t xml:space="preserve">Colocation by industry increases the likelihood of capture. It creates regulatory inflexibility as </w:t>
      </w:r>
      <w:r w:rsidR="00C74E19" w:rsidRPr="008625DC">
        <w:rPr>
          <w:rFonts w:ascii="Calibri" w:hAnsi="Calibri"/>
          <w:color w:val="595959"/>
        </w:rPr>
        <w:t>‘</w:t>
      </w:r>
      <w:r w:rsidRPr="008625DC">
        <w:rPr>
          <w:rFonts w:ascii="Calibri" w:hAnsi="Calibri"/>
          <w:color w:val="595959"/>
        </w:rPr>
        <w:t>industry specialists</w:t>
      </w:r>
      <w:r w:rsidR="00C74E19" w:rsidRPr="008625DC">
        <w:rPr>
          <w:rFonts w:ascii="Calibri" w:hAnsi="Calibri"/>
          <w:color w:val="595959"/>
        </w:rPr>
        <w:t>’</w:t>
      </w:r>
      <w:r w:rsidRPr="008625DC">
        <w:rPr>
          <w:rFonts w:ascii="Calibri" w:hAnsi="Calibri"/>
          <w:color w:val="595959"/>
        </w:rPr>
        <w:t xml:space="preserve"> rather than </w:t>
      </w:r>
      <w:r w:rsidR="00C74E19" w:rsidRPr="008625DC">
        <w:rPr>
          <w:rFonts w:ascii="Calibri" w:hAnsi="Calibri"/>
          <w:color w:val="595959"/>
        </w:rPr>
        <w:t>‘</w:t>
      </w:r>
      <w:r w:rsidRPr="008625DC">
        <w:rPr>
          <w:rFonts w:ascii="Calibri" w:hAnsi="Calibri"/>
          <w:color w:val="595959"/>
        </w:rPr>
        <w:t>analytical generalists</w:t>
      </w:r>
      <w:r w:rsidR="00C74E19" w:rsidRPr="008625DC">
        <w:rPr>
          <w:rFonts w:ascii="Calibri" w:hAnsi="Calibri"/>
          <w:color w:val="595959"/>
        </w:rPr>
        <w:t>’</w:t>
      </w:r>
      <w:r w:rsidRPr="008625DC">
        <w:rPr>
          <w:rFonts w:ascii="Calibri" w:hAnsi="Calibri"/>
          <w:color w:val="595959"/>
        </w:rPr>
        <w:t xml:space="preserve"> dominate regulators. It risks the </w:t>
      </w:r>
      <w:r w:rsidRPr="008625DC">
        <w:rPr>
          <w:rFonts w:ascii="Calibri" w:hAnsi="Calibri"/>
          <w:color w:val="595959"/>
        </w:rPr>
        <w:lastRenderedPageBreak/>
        <w:t xml:space="preserve">creation of a regulatory culture that views the particular industry that is the focus of regulation as </w:t>
      </w:r>
      <w:r w:rsidR="00C74E19" w:rsidRPr="008625DC">
        <w:rPr>
          <w:rFonts w:ascii="Calibri" w:hAnsi="Calibri"/>
          <w:color w:val="595959"/>
        </w:rPr>
        <w:t>‘</w:t>
      </w:r>
      <w:r w:rsidRPr="008625DC">
        <w:rPr>
          <w:rFonts w:ascii="Calibri" w:hAnsi="Calibri"/>
          <w:color w:val="595959"/>
        </w:rPr>
        <w:t>special</w:t>
      </w:r>
      <w:r w:rsidR="00C74E19" w:rsidRPr="008625DC">
        <w:rPr>
          <w:rFonts w:ascii="Calibri" w:hAnsi="Calibri"/>
          <w:color w:val="595959"/>
        </w:rPr>
        <w:t>’</w:t>
      </w:r>
      <w:r w:rsidRPr="008625DC">
        <w:rPr>
          <w:rFonts w:ascii="Calibri" w:hAnsi="Calibri"/>
          <w:color w:val="595959"/>
        </w:rPr>
        <w:t xml:space="preserve"> and </w:t>
      </w:r>
      <w:r w:rsidR="00C74E19" w:rsidRPr="008625DC">
        <w:rPr>
          <w:rFonts w:ascii="Calibri" w:hAnsi="Calibri"/>
          <w:color w:val="595959"/>
        </w:rPr>
        <w:t>‘</w:t>
      </w:r>
      <w:r w:rsidRPr="008625DC">
        <w:rPr>
          <w:rFonts w:ascii="Calibri" w:hAnsi="Calibri"/>
          <w:color w:val="595959"/>
        </w:rPr>
        <w:t>separate</w:t>
      </w:r>
      <w:r w:rsidR="00C74E19" w:rsidRPr="008625DC">
        <w:rPr>
          <w:rFonts w:ascii="Calibri" w:hAnsi="Calibri"/>
          <w:color w:val="595959"/>
        </w:rPr>
        <w:t>’</w:t>
      </w:r>
      <w:r w:rsidRPr="008625DC">
        <w:rPr>
          <w:rFonts w:ascii="Calibri" w:hAnsi="Calibri"/>
          <w:color w:val="595959"/>
        </w:rPr>
        <w:t xml:space="preserve"> from broader economic and social considerations. (page 17)</w:t>
      </w:r>
    </w:p>
    <w:p w14:paraId="4C873C3A" w14:textId="6CC74A54" w:rsidR="007A4E52" w:rsidRPr="008625DC" w:rsidRDefault="007A4E52" w:rsidP="00923A4E">
      <w:pPr>
        <w:rPr>
          <w:rFonts w:eastAsiaTheme="minorHAnsi"/>
          <w:lang w:eastAsia="en-US"/>
        </w:rPr>
      </w:pPr>
      <w:r w:rsidRPr="008625DC">
        <w:rPr>
          <w:rFonts w:eastAsiaTheme="minorHAnsi"/>
          <w:lang w:eastAsia="en-US"/>
        </w:rPr>
        <w:t>States and Territories have called for the A</w:t>
      </w:r>
      <w:r w:rsidR="000376F5" w:rsidRPr="008625DC">
        <w:rPr>
          <w:rFonts w:eastAsiaTheme="minorHAnsi"/>
          <w:lang w:eastAsia="en-US"/>
        </w:rPr>
        <w:t>ER</w:t>
      </w:r>
      <w:r w:rsidRPr="008625DC">
        <w:rPr>
          <w:rFonts w:eastAsiaTheme="minorHAnsi"/>
          <w:lang w:eastAsia="en-US"/>
        </w:rPr>
        <w:t xml:space="preserve"> to be separated out of the ACCC. The 1 May 2014 COAG Energy Council meeting communique notes that </w:t>
      </w:r>
      <w:r w:rsidR="00C74E19" w:rsidRPr="008625DC">
        <w:rPr>
          <w:rFonts w:eastAsiaTheme="minorHAnsi"/>
          <w:lang w:eastAsia="en-US"/>
        </w:rPr>
        <w:t>‘</w:t>
      </w:r>
      <w:r w:rsidRPr="008625DC">
        <w:rPr>
          <w:rFonts w:eastAsiaTheme="minorHAnsi"/>
          <w:lang w:eastAsia="en-US"/>
        </w:rPr>
        <w:t>state and territory Ministers reiterated their support for separation of the AER from the Australian Competition and Consumer Commission. The Chair agreed to communicate these vie</w:t>
      </w:r>
      <w:r w:rsidR="00923A4E" w:rsidRPr="008625DC">
        <w:rPr>
          <w:rFonts w:eastAsiaTheme="minorHAnsi"/>
          <w:lang w:eastAsia="en-US"/>
        </w:rPr>
        <w:t>ws to the Australian Government</w:t>
      </w:r>
      <w:r w:rsidR="00C74E19" w:rsidRPr="008625DC">
        <w:rPr>
          <w:rFonts w:eastAsiaTheme="minorHAnsi"/>
          <w:lang w:eastAsia="en-US"/>
        </w:rPr>
        <w:t>’</w:t>
      </w:r>
      <w:r w:rsidR="00923A4E" w:rsidRPr="008625DC">
        <w:rPr>
          <w:rFonts w:eastAsiaTheme="minorHAnsi"/>
          <w:lang w:eastAsia="en-US"/>
        </w:rPr>
        <w:t>.</w:t>
      </w:r>
    </w:p>
    <w:p w14:paraId="7B1E4F43" w14:textId="77777777" w:rsidR="007A4E52" w:rsidRPr="008625DC" w:rsidRDefault="007A4E52" w:rsidP="00923A4E">
      <w:pPr>
        <w:spacing w:after="120"/>
        <w:rPr>
          <w:rFonts w:ascii="Calibri" w:eastAsiaTheme="minorHAnsi" w:hAnsi="Calibri"/>
          <w:lang w:eastAsia="en-US"/>
        </w:rPr>
      </w:pPr>
      <w:r w:rsidRPr="008625DC">
        <w:rPr>
          <w:rFonts w:ascii="Calibri" w:eastAsiaTheme="minorHAnsi" w:hAnsi="Calibri"/>
          <w:lang w:eastAsia="en-US"/>
        </w:rPr>
        <w:t>The Energy Networks Association argues that:</w:t>
      </w:r>
    </w:p>
    <w:p w14:paraId="54D3C782" w14:textId="39D0E781" w:rsidR="007A4E52" w:rsidRPr="008625DC" w:rsidRDefault="00923A4E" w:rsidP="007A4E52">
      <w:pPr>
        <w:pStyle w:val="Quotes"/>
        <w:rPr>
          <w:rFonts w:ascii="Calibri" w:eastAsiaTheme="minorHAnsi" w:hAnsi="Calibri"/>
          <w:color w:val="595959"/>
          <w:lang w:eastAsia="en-US"/>
        </w:rPr>
      </w:pPr>
      <w:r w:rsidRPr="008625DC">
        <w:rPr>
          <w:rFonts w:ascii="Calibri" w:eastAsiaTheme="minorHAnsi" w:hAnsi="Calibri"/>
          <w:color w:val="595959"/>
          <w:lang w:eastAsia="en-US"/>
        </w:rPr>
        <w:t>[</w:t>
      </w:r>
      <w:r w:rsidR="00AA4806">
        <w:rPr>
          <w:rFonts w:ascii="Calibri" w:eastAsiaTheme="minorHAnsi" w:hAnsi="Calibri"/>
          <w:color w:val="595959"/>
          <w:lang w:eastAsia="en-US"/>
        </w:rPr>
        <w:t>T</w:t>
      </w:r>
      <w:r w:rsidRPr="008625DC">
        <w:rPr>
          <w:rFonts w:ascii="Calibri" w:eastAsiaTheme="minorHAnsi" w:hAnsi="Calibri"/>
          <w:color w:val="595959"/>
          <w:lang w:eastAsia="en-US"/>
        </w:rPr>
        <w:t>]</w:t>
      </w:r>
      <w:r w:rsidR="007A4E52" w:rsidRPr="008625DC">
        <w:rPr>
          <w:rFonts w:ascii="Calibri" w:eastAsiaTheme="minorHAnsi" w:hAnsi="Calibri"/>
          <w:color w:val="595959"/>
          <w:lang w:eastAsia="en-US"/>
        </w:rPr>
        <w:t>he separation of the AER into a stand</w:t>
      </w:r>
      <w:r w:rsidR="00C74E19" w:rsidRPr="008625DC">
        <w:rPr>
          <w:rFonts w:ascii="Calibri" w:eastAsiaTheme="minorHAnsi" w:hAnsi="Calibri"/>
          <w:color w:val="595959"/>
          <w:lang w:eastAsia="en-US"/>
        </w:rPr>
        <w:noBreakHyphen/>
      </w:r>
      <w:r w:rsidR="007A4E52" w:rsidRPr="008625DC">
        <w:rPr>
          <w:rFonts w:ascii="Calibri" w:eastAsiaTheme="minorHAnsi" w:hAnsi="Calibri"/>
          <w:color w:val="595959"/>
          <w:lang w:eastAsia="en-US"/>
        </w:rPr>
        <w:t>alone independent industry</w:t>
      </w:r>
      <w:r w:rsidR="00C74E19" w:rsidRPr="008625DC">
        <w:rPr>
          <w:rFonts w:ascii="Calibri" w:eastAsiaTheme="minorHAnsi" w:hAnsi="Calibri"/>
          <w:color w:val="595959"/>
          <w:lang w:eastAsia="en-US"/>
        </w:rPr>
        <w:noBreakHyphen/>
      </w:r>
      <w:r w:rsidR="007A4E52" w:rsidRPr="008625DC">
        <w:rPr>
          <w:rFonts w:ascii="Calibri" w:eastAsiaTheme="minorHAnsi" w:hAnsi="Calibri"/>
          <w:color w:val="595959"/>
          <w:lang w:eastAsia="en-US"/>
        </w:rPr>
        <w:t>specific regulatory body would assist it in having the flexibility to further develop its specialist expertise in the energy sector, provide greater autonomy and give better sco</w:t>
      </w:r>
      <w:r w:rsidRPr="008625DC">
        <w:rPr>
          <w:rFonts w:ascii="Calibri" w:eastAsiaTheme="minorHAnsi" w:hAnsi="Calibri"/>
          <w:color w:val="595959"/>
          <w:lang w:eastAsia="en-US"/>
        </w:rPr>
        <w:t>pe for development of an organis</w:t>
      </w:r>
      <w:r w:rsidR="007A4E52" w:rsidRPr="008625DC">
        <w:rPr>
          <w:rFonts w:ascii="Calibri" w:eastAsiaTheme="minorHAnsi" w:hAnsi="Calibri"/>
          <w:color w:val="595959"/>
          <w:lang w:eastAsia="en-US"/>
        </w:rPr>
        <w:t>ation culture focused on providing appropriate, predictable and credible long</w:t>
      </w:r>
      <w:r w:rsidR="00C74E19" w:rsidRPr="008625DC">
        <w:rPr>
          <w:rFonts w:ascii="Calibri" w:eastAsiaTheme="minorHAnsi" w:hAnsi="Calibri"/>
          <w:color w:val="595959"/>
          <w:lang w:eastAsia="en-US"/>
        </w:rPr>
        <w:noBreakHyphen/>
      </w:r>
      <w:r w:rsidR="007A4E52" w:rsidRPr="008625DC">
        <w:rPr>
          <w:rFonts w:ascii="Calibri" w:eastAsiaTheme="minorHAnsi" w:hAnsi="Calibri"/>
          <w:color w:val="595959"/>
          <w:lang w:eastAsia="en-US"/>
        </w:rPr>
        <w:t>term signals for e</w:t>
      </w:r>
      <w:r w:rsidRPr="008625DC">
        <w:rPr>
          <w:rFonts w:ascii="Calibri" w:eastAsiaTheme="minorHAnsi" w:hAnsi="Calibri"/>
          <w:color w:val="595959"/>
          <w:lang w:eastAsia="en-US"/>
        </w:rPr>
        <w:t>fficient investment … (page 6)</w:t>
      </w:r>
    </w:p>
    <w:p w14:paraId="5B999DF7" w14:textId="77777777" w:rsidR="007A4E52" w:rsidRPr="008625DC" w:rsidRDefault="007A4E52" w:rsidP="007A4E52">
      <w:pPr>
        <w:jc w:val="both"/>
        <w:rPr>
          <w:rFonts w:ascii="Calibri" w:eastAsiaTheme="minorHAnsi" w:hAnsi="Calibri"/>
          <w:lang w:eastAsia="en-US"/>
        </w:rPr>
      </w:pPr>
      <w:r w:rsidRPr="008625DC">
        <w:rPr>
          <w:rFonts w:ascii="Calibri" w:eastAsiaTheme="minorHAnsi" w:hAnsi="Calibri"/>
          <w:lang w:eastAsia="en-US"/>
        </w:rPr>
        <w:t>The ACCC, on the other hand, advocates that the AER should be retained within the current structure of the Commission, arguing that there are efficiencies in locating the AER within the ACCC, particularly in relation to the sharing of corporate functions such as legal resources.</w:t>
      </w:r>
    </w:p>
    <w:p w14:paraId="2F4E0178" w14:textId="77777777" w:rsidR="007A4E52" w:rsidRPr="008625DC" w:rsidRDefault="007A4E52" w:rsidP="00923A4E">
      <w:pPr>
        <w:spacing w:after="120"/>
        <w:rPr>
          <w:rFonts w:ascii="Calibri" w:eastAsiaTheme="minorHAnsi" w:hAnsi="Calibri"/>
          <w:lang w:eastAsia="en-US"/>
        </w:rPr>
      </w:pPr>
      <w:r w:rsidRPr="008625DC">
        <w:rPr>
          <w:rFonts w:ascii="Calibri" w:eastAsiaTheme="minorHAnsi" w:hAnsi="Calibri"/>
          <w:lang w:eastAsia="en-US"/>
        </w:rPr>
        <w:t>The Consumer Action Law Centre supports this view, submitting that:</w:t>
      </w:r>
    </w:p>
    <w:p w14:paraId="5E9B3248" w14:textId="699099AE" w:rsidR="007A4E52" w:rsidRPr="008625DC" w:rsidRDefault="00923A4E" w:rsidP="007A4E52">
      <w:pPr>
        <w:pStyle w:val="Quotes"/>
        <w:rPr>
          <w:rFonts w:ascii="Calibri" w:eastAsiaTheme="minorHAnsi" w:hAnsi="Calibri"/>
          <w:color w:val="595959"/>
          <w:lang w:eastAsia="en-US"/>
        </w:rPr>
      </w:pPr>
      <w:r w:rsidRPr="008625DC">
        <w:rPr>
          <w:rFonts w:ascii="Calibri" w:eastAsiaTheme="minorHAnsi" w:hAnsi="Calibri"/>
          <w:color w:val="595959"/>
          <w:lang w:eastAsia="en-US"/>
        </w:rPr>
        <w:t>[</w:t>
      </w:r>
      <w:r w:rsidR="00AA4806">
        <w:rPr>
          <w:rFonts w:ascii="Calibri" w:eastAsiaTheme="minorHAnsi" w:hAnsi="Calibri"/>
          <w:color w:val="595959"/>
          <w:lang w:eastAsia="en-US"/>
        </w:rPr>
        <w:t>T</w:t>
      </w:r>
      <w:r w:rsidRPr="008625DC">
        <w:rPr>
          <w:rFonts w:ascii="Calibri" w:eastAsiaTheme="minorHAnsi" w:hAnsi="Calibri"/>
          <w:color w:val="595959"/>
          <w:lang w:eastAsia="en-US"/>
        </w:rPr>
        <w:t>]</w:t>
      </w:r>
      <w:r w:rsidR="007A4E52" w:rsidRPr="008625DC">
        <w:rPr>
          <w:rFonts w:ascii="Calibri" w:eastAsiaTheme="minorHAnsi" w:hAnsi="Calibri"/>
          <w:color w:val="595959"/>
          <w:lang w:eastAsia="en-US"/>
        </w:rPr>
        <w:t xml:space="preserve">here are significant benefits from keeping the ACCC and AER together. Not only are there operational efficiencies in the AER and the ACCC sharing resources (the two regulators share many functions and it means that the AER is able to be represented in a number of state capital cities), it is also our view that regulators that focus narrowly on one industry are at significant risk of becoming </w:t>
      </w:r>
      <w:r w:rsidR="00C74E19" w:rsidRPr="008625DC">
        <w:rPr>
          <w:rFonts w:ascii="Calibri" w:eastAsiaTheme="minorHAnsi" w:hAnsi="Calibri"/>
          <w:color w:val="595959"/>
          <w:lang w:eastAsia="en-US"/>
        </w:rPr>
        <w:t>‘</w:t>
      </w:r>
      <w:r w:rsidR="007A4E52" w:rsidRPr="008625DC">
        <w:rPr>
          <w:rFonts w:ascii="Calibri" w:eastAsiaTheme="minorHAnsi" w:hAnsi="Calibri"/>
          <w:color w:val="595959"/>
          <w:lang w:eastAsia="en-US"/>
        </w:rPr>
        <w:t>captured</w:t>
      </w:r>
      <w:r w:rsidR="00C74E19" w:rsidRPr="008625DC">
        <w:rPr>
          <w:rFonts w:ascii="Calibri" w:eastAsiaTheme="minorHAnsi" w:hAnsi="Calibri"/>
          <w:color w:val="595959"/>
          <w:lang w:eastAsia="en-US"/>
        </w:rPr>
        <w:t>’</w:t>
      </w:r>
      <w:r w:rsidR="007A4E52" w:rsidRPr="008625DC">
        <w:rPr>
          <w:rFonts w:ascii="Calibri" w:eastAsiaTheme="minorHAnsi" w:hAnsi="Calibri"/>
          <w:color w:val="595959"/>
          <w:lang w:eastAsia="en-US"/>
        </w:rPr>
        <w:t xml:space="preserve"> by industry interests. (page 27)</w:t>
      </w:r>
    </w:p>
    <w:p w14:paraId="02E4DE42" w14:textId="4987C269" w:rsidR="007A4E52" w:rsidRPr="008625DC" w:rsidRDefault="007A4E52" w:rsidP="007A4E52">
      <w:pPr>
        <w:jc w:val="both"/>
        <w:rPr>
          <w:rFonts w:ascii="Calibri" w:eastAsiaTheme="minorHAnsi" w:hAnsi="Calibri"/>
          <w:lang w:eastAsia="en-US"/>
        </w:rPr>
      </w:pPr>
      <w:r w:rsidRPr="008625DC">
        <w:rPr>
          <w:rFonts w:ascii="Calibri" w:eastAsiaTheme="minorHAnsi" w:hAnsi="Calibri"/>
          <w:lang w:eastAsia="en-US"/>
        </w:rPr>
        <w:t>Other submissions, without speaking directly to the issue of separating the AER, note the need for greater clarity in respect of the AER</w:t>
      </w:r>
      <w:r w:rsidR="00C74E19" w:rsidRPr="008625DC">
        <w:rPr>
          <w:rFonts w:ascii="Calibri" w:eastAsiaTheme="minorHAnsi" w:hAnsi="Calibri"/>
          <w:lang w:eastAsia="en-US"/>
        </w:rPr>
        <w:t>’</w:t>
      </w:r>
      <w:r w:rsidRPr="008625DC">
        <w:rPr>
          <w:rFonts w:ascii="Calibri" w:eastAsiaTheme="minorHAnsi" w:hAnsi="Calibri"/>
          <w:lang w:eastAsia="en-US"/>
        </w:rPr>
        <w:t>s role within the ACCC.</w:t>
      </w:r>
    </w:p>
    <w:p w14:paraId="3B3C8228" w14:textId="77777777" w:rsidR="00F43A43" w:rsidRPr="008625DC" w:rsidRDefault="00F43A43" w:rsidP="00F43A43">
      <w:pPr>
        <w:spacing w:after="120"/>
        <w:jc w:val="both"/>
        <w:rPr>
          <w:rFonts w:eastAsiaTheme="minorHAnsi"/>
          <w:lang w:eastAsia="en-US"/>
        </w:rPr>
      </w:pPr>
      <w:r w:rsidRPr="008625DC">
        <w:rPr>
          <w:rFonts w:eastAsiaTheme="minorHAnsi"/>
          <w:lang w:eastAsia="en-US"/>
        </w:rPr>
        <w:t>The Panel considers that access and pricing regulatory functions would be best performed by a single national independent agency. The benefits of a single national independent agency include:</w:t>
      </w:r>
    </w:p>
    <w:p w14:paraId="1B5A07BC" w14:textId="635970CF" w:rsidR="00F43A43" w:rsidRPr="008625DC" w:rsidRDefault="00F43A43" w:rsidP="004C6AEA">
      <w:pPr>
        <w:pStyle w:val="Bullet"/>
        <w:rPr>
          <w:rFonts w:eastAsiaTheme="minorHAnsi"/>
          <w:lang w:eastAsia="en-US"/>
        </w:rPr>
      </w:pPr>
      <w:r w:rsidRPr="008625DC">
        <w:rPr>
          <w:rFonts w:eastAsiaTheme="minorHAnsi"/>
          <w:lang w:eastAsia="en-US"/>
        </w:rPr>
        <w:t xml:space="preserve">a single agency will have the scale of activities that enables it to acquire broad expertise and experience across a range of industries, and acquire and retain staff </w:t>
      </w:r>
      <w:r w:rsidR="007A4E52" w:rsidRPr="008625DC">
        <w:rPr>
          <w:rFonts w:eastAsiaTheme="minorHAnsi"/>
          <w:lang w:eastAsia="en-US"/>
        </w:rPr>
        <w:t xml:space="preserve">who </w:t>
      </w:r>
      <w:r w:rsidRPr="008625DC">
        <w:rPr>
          <w:rFonts w:eastAsiaTheme="minorHAnsi"/>
          <w:lang w:eastAsia="en-US"/>
        </w:rPr>
        <w:t>have that expertise;</w:t>
      </w:r>
    </w:p>
    <w:p w14:paraId="67E76A8C" w14:textId="2B407A1F" w:rsidR="00F43A43" w:rsidRPr="008625DC" w:rsidRDefault="00F43A43" w:rsidP="004C6AEA">
      <w:pPr>
        <w:pStyle w:val="Bullet"/>
        <w:rPr>
          <w:rFonts w:eastAsiaTheme="minorHAnsi"/>
          <w:lang w:eastAsia="en-US"/>
        </w:rPr>
      </w:pPr>
      <w:r w:rsidRPr="008625DC">
        <w:rPr>
          <w:rFonts w:eastAsiaTheme="minorHAnsi"/>
          <w:lang w:eastAsia="en-US"/>
        </w:rPr>
        <w:t>a single agency regulating a range of infrastructure industries reduces the risk of capture (the</w:t>
      </w:r>
      <w:r w:rsidR="00923A4E" w:rsidRPr="008625DC">
        <w:rPr>
          <w:rFonts w:eastAsiaTheme="minorHAnsi"/>
          <w:lang w:eastAsia="en-US"/>
        </w:rPr>
        <w:t> </w:t>
      </w:r>
      <w:r w:rsidRPr="008625DC">
        <w:rPr>
          <w:rFonts w:eastAsiaTheme="minorHAnsi"/>
          <w:lang w:eastAsia="en-US"/>
        </w:rPr>
        <w:t>agency losing necessary independence from the regulated industry);</w:t>
      </w:r>
      <w:r w:rsidR="00EE0D03">
        <w:rPr>
          <w:rFonts w:eastAsiaTheme="minorHAnsi"/>
          <w:lang w:eastAsia="en-US"/>
        </w:rPr>
        <w:t xml:space="preserve"> and</w:t>
      </w:r>
    </w:p>
    <w:p w14:paraId="33EF5FFE" w14:textId="77777777" w:rsidR="00F43A43" w:rsidRPr="008625DC" w:rsidRDefault="00F43A43" w:rsidP="00923A4E">
      <w:pPr>
        <w:pStyle w:val="Bullet"/>
        <w:spacing w:after="240"/>
        <w:rPr>
          <w:rFonts w:eastAsiaTheme="minorHAnsi"/>
          <w:lang w:eastAsia="en-US"/>
        </w:rPr>
      </w:pPr>
      <w:r w:rsidRPr="008625DC">
        <w:rPr>
          <w:rFonts w:eastAsiaTheme="minorHAnsi"/>
          <w:lang w:eastAsia="en-US"/>
        </w:rPr>
        <w:t xml:space="preserve">a single agency will reduce the costs associated with multiple regulators and regulatory frameworks and promote consistency in regulatory approaches. </w:t>
      </w:r>
    </w:p>
    <w:p w14:paraId="014252AB" w14:textId="68C9660B" w:rsidR="00F43A43" w:rsidRPr="008625DC" w:rsidRDefault="00F43A43" w:rsidP="00F43A43">
      <w:r w:rsidRPr="008625DC">
        <w:t>The Panel</w:t>
      </w:r>
      <w:r w:rsidR="00C74E19" w:rsidRPr="008625DC">
        <w:t>’</w:t>
      </w:r>
      <w:r w:rsidRPr="008625DC">
        <w:t>s proposal would see regulatory functions currently undertaken by the ACCC in energy (through the AER)</w:t>
      </w:r>
      <w:r w:rsidR="00B06110" w:rsidRPr="008625DC">
        <w:t>,</w:t>
      </w:r>
      <w:r w:rsidRPr="008625DC">
        <w:t xml:space="preserve"> water and telecommunications, and functions currently undertaken by the NCC in relation to the National Access Regime</w:t>
      </w:r>
      <w:r w:rsidR="007F27A5" w:rsidRPr="008625DC">
        <w:t xml:space="preserve"> and the National Gas Law</w:t>
      </w:r>
      <w:r w:rsidRPr="008625DC">
        <w:t xml:space="preserve">, transferred to </w:t>
      </w:r>
      <w:r w:rsidR="007A4E52" w:rsidRPr="008625DC">
        <w:t xml:space="preserve">the national </w:t>
      </w:r>
      <w:r w:rsidRPr="008625DC">
        <w:t xml:space="preserve">access and pricing regulator. Consumer protection </w:t>
      </w:r>
      <w:r w:rsidR="003709A1" w:rsidRPr="008625DC">
        <w:t xml:space="preserve">and competition </w:t>
      </w:r>
      <w:r w:rsidRPr="008625DC">
        <w:t>functions associated with regulatory functions would remain with the ACCC</w:t>
      </w:r>
      <w:r w:rsidR="007A4E52" w:rsidRPr="008625DC">
        <w:t>, however</w:t>
      </w:r>
      <w:r w:rsidR="0043728A" w:rsidRPr="008625DC">
        <w:t>.</w:t>
      </w:r>
    </w:p>
    <w:p w14:paraId="051916EB" w14:textId="27FC0DEE" w:rsidR="004553A7" w:rsidRPr="008625DC" w:rsidRDefault="00F43A43" w:rsidP="004553A7">
      <w:r w:rsidRPr="008625DC">
        <w:t xml:space="preserve">Including </w:t>
      </w:r>
      <w:r w:rsidR="007F27A5" w:rsidRPr="008625DC">
        <w:t>the NCC</w:t>
      </w:r>
      <w:r w:rsidR="00C74E19" w:rsidRPr="008625DC">
        <w:t>’</w:t>
      </w:r>
      <w:r w:rsidR="007F27A5" w:rsidRPr="008625DC">
        <w:t>s functions under</w:t>
      </w:r>
      <w:r w:rsidRPr="008625DC">
        <w:t xml:space="preserve"> the National Access Regime </w:t>
      </w:r>
      <w:r w:rsidR="007F27A5" w:rsidRPr="008625DC">
        <w:t xml:space="preserve">and the National Gas Law </w:t>
      </w:r>
      <w:r w:rsidRPr="008625DC">
        <w:t>within the access and pricing regulator would allow the NCC to be dissolved. This would result in the access and pricing regulator undertaking both the declaration function</w:t>
      </w:r>
      <w:r w:rsidR="007F27A5" w:rsidRPr="008625DC">
        <w:t>s</w:t>
      </w:r>
      <w:r w:rsidRPr="008625DC">
        <w:t xml:space="preserve"> under the National Access Regime </w:t>
      </w:r>
      <w:r w:rsidR="007F27A5" w:rsidRPr="008625DC">
        <w:t xml:space="preserve">and the National Gas Law </w:t>
      </w:r>
      <w:r w:rsidRPr="008625DC">
        <w:t xml:space="preserve">and the </w:t>
      </w:r>
      <w:r w:rsidR="004553A7" w:rsidRPr="008625DC">
        <w:t xml:space="preserve">current ACCC role in </w:t>
      </w:r>
      <w:r w:rsidRPr="008625DC">
        <w:t>arbitrati</w:t>
      </w:r>
      <w:r w:rsidR="004553A7" w:rsidRPr="008625DC">
        <w:t>ng</w:t>
      </w:r>
      <w:r w:rsidRPr="008625DC">
        <w:t xml:space="preserve"> the terms and conditions where a facility is declared</w:t>
      </w:r>
      <w:r w:rsidR="004553A7" w:rsidRPr="008625DC">
        <w:t>,</w:t>
      </w:r>
      <w:r w:rsidRPr="008625DC">
        <w:t xml:space="preserve"> but </w:t>
      </w:r>
      <w:r w:rsidR="004553A7" w:rsidRPr="008625DC">
        <w:t xml:space="preserve">where </w:t>
      </w:r>
      <w:r w:rsidRPr="008625DC">
        <w:t>terms and conditions are not able to be commercially</w:t>
      </w:r>
      <w:r w:rsidR="004553A7" w:rsidRPr="008625DC">
        <w:t xml:space="preserve"> negotiated</w:t>
      </w:r>
      <w:r w:rsidRPr="008625DC">
        <w:t xml:space="preserve">. The </w:t>
      </w:r>
      <w:r w:rsidRPr="008625DC">
        <w:lastRenderedPageBreak/>
        <w:t xml:space="preserve">Panel </w:t>
      </w:r>
      <w:r w:rsidR="004553A7" w:rsidRPr="008625DC">
        <w:t>notes concerns</w:t>
      </w:r>
      <w:r w:rsidR="004553A7" w:rsidRPr="008625DC">
        <w:rPr>
          <w:rStyle w:val="FootnoteReference"/>
        </w:rPr>
        <w:footnoteReference w:id="410"/>
      </w:r>
      <w:r w:rsidR="004553A7" w:rsidRPr="008625DC">
        <w:t xml:space="preserve"> expressed by the PC about a single body undertaking these functions but </w:t>
      </w:r>
      <w:r w:rsidRPr="008625DC">
        <w:t>does not foresee any conflict in a single regulator performing both functions and anticipates there may be benefits. Under the current telecommunications access regime (in Part XIC of the CCA), the ACCC performs both the declaration and arbitration functions.</w:t>
      </w:r>
    </w:p>
    <w:p w14:paraId="6557ED76" w14:textId="39FC5E52" w:rsidR="00722F10" w:rsidRPr="008625DC" w:rsidRDefault="00F43A43" w:rsidP="00923A4E">
      <w:pPr>
        <w:rPr>
          <w:rFonts w:eastAsiaTheme="minorHAnsi"/>
          <w:lang w:eastAsia="en-US"/>
        </w:rPr>
      </w:pPr>
      <w:r w:rsidRPr="008625DC">
        <w:t xml:space="preserve">The </w:t>
      </w:r>
      <w:r w:rsidR="007A4E52" w:rsidRPr="008625DC">
        <w:t xml:space="preserve">national access and pricing </w:t>
      </w:r>
      <w:r w:rsidRPr="008625DC">
        <w:t>regulator could, over time, assume responsibility for other functions if and when they were elevated into a national framework. One function that could be transferr</w:t>
      </w:r>
      <w:r w:rsidR="0043728A" w:rsidRPr="008625DC">
        <w:t>ed from S</w:t>
      </w:r>
      <w:r w:rsidRPr="008625DC">
        <w:t xml:space="preserve">tates and </w:t>
      </w:r>
      <w:r w:rsidR="0043728A" w:rsidRPr="008625DC">
        <w:t>T</w:t>
      </w:r>
      <w:r w:rsidRPr="008625DC">
        <w:t>erritories is national regulation of urban and rural water should a national framework be agreed.</w:t>
      </w:r>
    </w:p>
    <w:p w14:paraId="5F80473A" w14:textId="5C90477D" w:rsidR="0043728A" w:rsidRPr="008625DC" w:rsidRDefault="007A4E52" w:rsidP="007A4E52">
      <w:r w:rsidRPr="008625DC">
        <w:t>Australia</w:t>
      </w:r>
      <w:r w:rsidR="00C74E19" w:rsidRPr="008625DC">
        <w:t>’</w:t>
      </w:r>
      <w:r w:rsidRPr="008625DC">
        <w:t xml:space="preserve">s telecommunications industry is subject to specific access and pricing regulation administered by the ACCC. </w:t>
      </w:r>
      <w:r w:rsidR="00BC48C4" w:rsidRPr="008625DC">
        <w:t xml:space="preserve">The </w:t>
      </w:r>
      <w:r w:rsidR="004553A7" w:rsidRPr="008625DC">
        <w:t xml:space="preserve">Panel proposes that these functions would transfer to the new </w:t>
      </w:r>
      <w:r w:rsidR="00BC48C4" w:rsidRPr="008625DC">
        <w:t>access and pricing regulator.</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F43A43" w:rsidRPr="008625DC" w14:paraId="780A22AF" w14:textId="77777777" w:rsidTr="00F43A43">
        <w:tc>
          <w:tcPr>
            <w:tcW w:w="5000" w:type="pct"/>
            <w:shd w:val="clear" w:color="auto" w:fill="FFFFFF" w:themeFill="background1"/>
          </w:tcPr>
          <w:p w14:paraId="2984E155" w14:textId="5265B1A4" w:rsidR="00F43A43" w:rsidRPr="008625DC" w:rsidRDefault="00F43A43" w:rsidP="00923A4E">
            <w:pPr>
              <w:pStyle w:val="Keyfindingheading"/>
            </w:pPr>
            <w:r w:rsidRPr="008625DC">
              <w:t>The Panel</w:t>
            </w:r>
            <w:r w:rsidR="00C74E19" w:rsidRPr="008625DC">
              <w:t>’</w:t>
            </w:r>
            <w:r w:rsidRPr="008625DC">
              <w:t>s view</w:t>
            </w:r>
          </w:p>
          <w:p w14:paraId="1685F01D" w14:textId="172334CB" w:rsidR="00B22976" w:rsidRPr="008625DC" w:rsidRDefault="00B22976" w:rsidP="00923A4E">
            <w:pPr>
              <w:pStyle w:val="Keyfindingtext"/>
            </w:pPr>
            <w:r w:rsidRPr="008625DC">
              <w:t>The Panel supports a continuing role for state and territory economic regulators. However, a move to national regulation as circumstances permit should be encouraged, including, for example, in the case of water.</w:t>
            </w:r>
          </w:p>
          <w:p w14:paraId="2B594142" w14:textId="3CAD06D2" w:rsidR="00B22976" w:rsidRPr="008625DC" w:rsidRDefault="00B22976" w:rsidP="00923A4E">
            <w:pPr>
              <w:pStyle w:val="Keyfindingtext"/>
            </w:pPr>
            <w:r w:rsidRPr="008625DC">
              <w:t>The Panel proposes the creation of a separate access and pricing regulator to oversee all industries currently regulated by the Commonwealth.</w:t>
            </w:r>
          </w:p>
          <w:p w14:paraId="1A2947B6" w14:textId="54D05848" w:rsidR="00B22976" w:rsidRPr="008625DC" w:rsidRDefault="00B22976" w:rsidP="00923A4E">
            <w:pPr>
              <w:pStyle w:val="Keyfindingtext"/>
            </w:pPr>
            <w:r w:rsidRPr="008625DC">
              <w:t>The following regulatory functions would be transferred from the ACCC and the NCC and be undertaken within the national access and pricing regulator:</w:t>
            </w:r>
          </w:p>
          <w:p w14:paraId="3CB0D694" w14:textId="77777777" w:rsidR="00B22976" w:rsidRPr="008625DC" w:rsidRDefault="00B22976" w:rsidP="00B22976">
            <w:pPr>
              <w:pStyle w:val="Bullet"/>
            </w:pPr>
            <w:r w:rsidRPr="008625DC">
              <w:t>the powers given to the NCC and the ACCC under the National Access Regime;</w:t>
            </w:r>
          </w:p>
          <w:p w14:paraId="7C1AB2DC" w14:textId="77777777" w:rsidR="00B22976" w:rsidRPr="008625DC" w:rsidRDefault="00B22976" w:rsidP="00B22976">
            <w:pPr>
              <w:pStyle w:val="Bullet"/>
            </w:pPr>
            <w:r w:rsidRPr="008625DC">
              <w:t>the powers given to the NCC under the National Gas Law;</w:t>
            </w:r>
          </w:p>
          <w:p w14:paraId="274CA785" w14:textId="77777777" w:rsidR="00B22976" w:rsidRPr="008625DC" w:rsidRDefault="00B22976" w:rsidP="00B22976">
            <w:pPr>
              <w:pStyle w:val="Bullet"/>
            </w:pPr>
            <w:r w:rsidRPr="008625DC">
              <w:t>the functions undertaken by the Australian Energy Regulator under the National Electricity Law and the National Gas Law;</w:t>
            </w:r>
          </w:p>
          <w:p w14:paraId="6724ADDA" w14:textId="77777777" w:rsidR="00B22976" w:rsidRPr="008625DC" w:rsidRDefault="00B22976" w:rsidP="00B22976">
            <w:pPr>
              <w:pStyle w:val="Bullet"/>
            </w:pPr>
            <w:r w:rsidRPr="008625DC">
              <w:t>the telecommunications access and pricing functions of the ACCC; and</w:t>
            </w:r>
          </w:p>
          <w:p w14:paraId="052E65FB" w14:textId="0ECCF627" w:rsidR="00B22976" w:rsidRPr="008625DC" w:rsidRDefault="002700D6" w:rsidP="00923A4E">
            <w:pPr>
              <w:pStyle w:val="Bullet"/>
              <w:spacing w:after="180"/>
            </w:pPr>
            <w:r w:rsidRPr="008625DC">
              <w:t xml:space="preserve">price regulation and related advisory roles under the </w:t>
            </w:r>
            <w:r w:rsidRPr="008625DC">
              <w:rPr>
                <w:i/>
              </w:rPr>
              <w:t xml:space="preserve">Water Act 2007 </w:t>
            </w:r>
            <w:r w:rsidRPr="008625DC">
              <w:t>(Cth)</w:t>
            </w:r>
            <w:r w:rsidR="00B22976" w:rsidRPr="008625DC">
              <w:rPr>
                <w:i/>
              </w:rPr>
              <w:t>.</w:t>
            </w:r>
          </w:p>
          <w:p w14:paraId="600B033B" w14:textId="2395F830" w:rsidR="00B22976" w:rsidRPr="008625DC" w:rsidRDefault="008B56DC" w:rsidP="00923A4E">
            <w:pPr>
              <w:pStyle w:val="Keyfindingtext"/>
            </w:pPr>
            <w:r w:rsidRPr="008625DC">
              <w:t>C</w:t>
            </w:r>
            <w:r w:rsidR="00B22976" w:rsidRPr="008625DC">
              <w:t>onsumer protection and competition functions would remain with the ACCC.</w:t>
            </w:r>
          </w:p>
          <w:p w14:paraId="03DAB2CD" w14:textId="60550B44" w:rsidR="00F43A43" w:rsidRPr="008625DC" w:rsidRDefault="00B22976" w:rsidP="00923A4E">
            <w:pPr>
              <w:pStyle w:val="Keyfindingtext"/>
              <w:rPr>
                <w:rFonts w:ascii="Calibri" w:hAnsi="Calibri"/>
              </w:rPr>
            </w:pPr>
            <w:r w:rsidRPr="008625DC">
              <w:t>The national access and pricing regulator should be established with a view to it gaining further functions as other sectors are transferred to national regimes.</w:t>
            </w:r>
          </w:p>
        </w:tc>
      </w:tr>
    </w:tbl>
    <w:p w14:paraId="21B89863" w14:textId="6114AEC1" w:rsidR="004C6AEA" w:rsidRPr="008625DC" w:rsidRDefault="004C6AEA" w:rsidP="004C6AEA">
      <w:bookmarkStart w:id="36597" w:name="_Toc397969440"/>
      <w:r w:rsidRPr="008625DC">
        <w:br w:type="page"/>
      </w:r>
    </w:p>
    <w:p w14:paraId="37E186F7" w14:textId="6B39C146" w:rsidR="00F43A43" w:rsidRPr="008625DC" w:rsidRDefault="00F43A43" w:rsidP="00D372B2">
      <w:pPr>
        <w:pStyle w:val="Heading1"/>
        <w:ind w:left="851" w:hanging="851"/>
        <w:rPr>
          <w:smallCaps w:val="0"/>
        </w:rPr>
      </w:pPr>
      <w:bookmarkStart w:id="36598" w:name="_Toc398287382"/>
      <w:bookmarkStart w:id="36599" w:name="_Toc398289265"/>
      <w:bookmarkStart w:id="36600" w:name="_Toc398297262"/>
      <w:bookmarkStart w:id="36601" w:name="_Toc398298736"/>
      <w:bookmarkStart w:id="36602" w:name="_Toc398301334"/>
      <w:bookmarkStart w:id="36603" w:name="_Toc398302519"/>
      <w:bookmarkStart w:id="36604" w:name="_Toc398302682"/>
      <w:bookmarkStart w:id="36605" w:name="_Toc398549199"/>
      <w:bookmarkStart w:id="36606" w:name="_Toc398549449"/>
      <w:bookmarkStart w:id="36607" w:name="_Toc398555868"/>
      <w:bookmarkStart w:id="36608" w:name="_Toc398559072"/>
      <w:bookmarkStart w:id="36609" w:name="_Toc398563558"/>
      <w:bookmarkStart w:id="36610" w:name="_Toc398563691"/>
      <w:bookmarkStart w:id="36611" w:name="_Toc398564090"/>
      <w:bookmarkStart w:id="36612" w:name="_Toc398827428"/>
      <w:bookmarkStart w:id="36613" w:name="_Toc398827622"/>
      <w:bookmarkStart w:id="36614" w:name="Ch25"/>
      <w:r w:rsidRPr="008625DC">
        <w:lastRenderedPageBreak/>
        <w:t>Review of competition and regulatory decisions</w:t>
      </w:r>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p>
    <w:bookmarkEnd w:id="36614"/>
    <w:p w14:paraId="62038114" w14:textId="77777777" w:rsidR="00F43A43" w:rsidRPr="008625DC" w:rsidRDefault="00F43A43" w:rsidP="00923A4E">
      <w:pPr>
        <w:pStyle w:val="Heading2NotNumbered"/>
      </w:pPr>
      <w:r w:rsidRPr="008625DC">
        <w:t>Federal Court of Australia</w:t>
      </w:r>
    </w:p>
    <w:p w14:paraId="3B7BC3D1" w14:textId="5E288159" w:rsidR="00F43A43" w:rsidRPr="008625DC" w:rsidRDefault="00F43A43" w:rsidP="00F43A43">
      <w:r w:rsidRPr="008625DC">
        <w:t>Australia</w:t>
      </w:r>
      <w:r w:rsidR="00C74E19" w:rsidRPr="008625DC">
        <w:t>’</w:t>
      </w:r>
      <w:r w:rsidRPr="008625DC">
        <w:t>s competition law is enforced through proceedings in the Federal Court of Australia. Proceedings may be brought by the ACCC or by a person harmed by contraventions of the law.</w:t>
      </w:r>
    </w:p>
    <w:p w14:paraId="161403D1" w14:textId="15993C17" w:rsidR="00F43A43" w:rsidRPr="008625DC" w:rsidRDefault="00F43A43" w:rsidP="00F43A43">
      <w:r w:rsidRPr="008625DC">
        <w:t>The Federal Court has exclusive jurisdiction to determine whether a contravention of the competition law has occurred, save in respect of section 46. The Federal Circuit Court also has jurisdiction to determine matters arising under section 46</w:t>
      </w:r>
      <w:r w:rsidR="00C74E19" w:rsidRPr="008625DC">
        <w:t xml:space="preserve">. </w:t>
      </w:r>
    </w:p>
    <w:p w14:paraId="18E32911" w14:textId="7FC1F6DD" w:rsidR="00F43A43" w:rsidRPr="008625DC" w:rsidRDefault="00F43A43" w:rsidP="00F43A43">
      <w:r w:rsidRPr="008625DC">
        <w:t>Competition law proceedings frequently involve disputes about the dimensions and attributes of markets within which particular businesses trade and the nature and extent of the sources of competition within those markets. It is often relevant for the court to hear from expert economic witnesses about those issues. For that reason, it is appropriate that competition law proceedings are determined in courts that, over time, can develop expertise in the types of issues that must be resolved. This supports the conferral of exclusive jurisdiction on the Federal Court.</w:t>
      </w:r>
    </w:p>
    <w:p w14:paraId="5DAB373B" w14:textId="3CCC3B74" w:rsidR="00F43A43" w:rsidRPr="008625DC" w:rsidRDefault="00F43A43" w:rsidP="00F43A43">
      <w:pPr>
        <w:rPr>
          <w:b/>
        </w:rPr>
      </w:pPr>
      <w:r w:rsidRPr="008625DC">
        <w:t xml:space="preserve">The Panel notes that in some countries, notably New Zealand, the court is able to draw on the assistance of an economist who presides over the proceeding with the trial judge. </w:t>
      </w:r>
      <w:r w:rsidRPr="008625DC">
        <w:rPr>
          <w:b/>
        </w:rPr>
        <w:t>The Panel invites submissions about that practice, and whether there are procedural practices that might be implemented in Australia that would be beneficial in resolving competition law proceedings in a just and cost</w:t>
      </w:r>
      <w:r w:rsidR="00C74E19" w:rsidRPr="008625DC">
        <w:rPr>
          <w:b/>
        </w:rPr>
        <w:noBreakHyphen/>
      </w:r>
      <w:r w:rsidRPr="008625DC">
        <w:rPr>
          <w:b/>
        </w:rPr>
        <w:t>effective manner.</w:t>
      </w:r>
    </w:p>
    <w:p w14:paraId="0C72CC45" w14:textId="77777777" w:rsidR="00F43A43" w:rsidRPr="008625DC" w:rsidRDefault="00F43A43" w:rsidP="00923A4E">
      <w:pPr>
        <w:pStyle w:val="Heading2NotNumbered"/>
      </w:pPr>
      <w:r w:rsidRPr="008625DC">
        <w:t>The Australian Competition Tribunal</w:t>
      </w:r>
    </w:p>
    <w:p w14:paraId="2B1333E2" w14:textId="5E196A93" w:rsidR="00F43A43" w:rsidRPr="008625DC" w:rsidRDefault="00F43A43" w:rsidP="00923A4E">
      <w:pPr>
        <w:tabs>
          <w:tab w:val="left" w:pos="0"/>
        </w:tabs>
        <w:spacing w:after="120"/>
      </w:pPr>
      <w:r w:rsidRPr="008625DC">
        <w:t xml:space="preserve">The Australian Competition Tribunal </w:t>
      </w:r>
      <w:r w:rsidR="00575A09" w:rsidRPr="008625DC">
        <w:t xml:space="preserve">(the Tribunal) </w:t>
      </w:r>
      <w:r w:rsidRPr="008625DC">
        <w:t xml:space="preserve">is created by Part III of the </w:t>
      </w:r>
      <w:r w:rsidR="00575A09" w:rsidRPr="008625DC">
        <w:t>CCA</w:t>
      </w:r>
      <w:r w:rsidRPr="008625DC">
        <w:t>. Various powers have been conferred on it to review competition and economic decisions including:</w:t>
      </w:r>
    </w:p>
    <w:p w14:paraId="1ABA1D27" w14:textId="77777777" w:rsidR="00F43A43" w:rsidRPr="008625DC" w:rsidRDefault="00F43A43" w:rsidP="003D18B9">
      <w:pPr>
        <w:pStyle w:val="Bullet"/>
      </w:pPr>
      <w:r w:rsidRPr="008625DC">
        <w:t>decisions of the ACCC under the CCA to grant authorisations or withdraw notifications;</w:t>
      </w:r>
    </w:p>
    <w:p w14:paraId="70FD0F8C" w14:textId="6007C0D7" w:rsidR="00F43A43" w:rsidRPr="008625DC" w:rsidRDefault="00F43A43" w:rsidP="003D18B9">
      <w:pPr>
        <w:pStyle w:val="Bullet"/>
      </w:pPr>
      <w:r w:rsidRPr="008625DC">
        <w:t>decisions of the Minister to declare or not to declare an infrastructure service under Part</w:t>
      </w:r>
      <w:r w:rsidR="00BB1A2F">
        <w:t> </w:t>
      </w:r>
      <w:r w:rsidRPr="008625DC">
        <w:t>IIIA of the CCA;</w:t>
      </w:r>
    </w:p>
    <w:p w14:paraId="374A5869" w14:textId="10B251F0" w:rsidR="00F43A43" w:rsidRPr="008625DC" w:rsidRDefault="00F43A43" w:rsidP="003D18B9">
      <w:pPr>
        <w:pStyle w:val="Bullet"/>
      </w:pPr>
      <w:r w:rsidRPr="008625DC">
        <w:t>decisions of the ACCC to arbitrate terms and conditions of services declared under Part</w:t>
      </w:r>
      <w:r w:rsidR="00BB1A2F">
        <w:t> </w:t>
      </w:r>
      <w:r w:rsidRPr="008625DC">
        <w:t>IIIA;</w:t>
      </w:r>
      <w:r w:rsidR="00575A09" w:rsidRPr="008625DC">
        <w:t xml:space="preserve"> and</w:t>
      </w:r>
    </w:p>
    <w:p w14:paraId="3A2E72DC" w14:textId="77777777" w:rsidR="00F43A43" w:rsidRPr="008625DC" w:rsidRDefault="00F43A43" w:rsidP="00923A4E">
      <w:pPr>
        <w:pStyle w:val="Bullet"/>
        <w:spacing w:after="240"/>
      </w:pPr>
      <w:r w:rsidRPr="008625DC">
        <w:t>pricing regulatory decisions of the AER made under the National Energy Law and the National Gas Law.</w:t>
      </w:r>
    </w:p>
    <w:p w14:paraId="22F93D09" w14:textId="6B621B69" w:rsidR="00F43A43" w:rsidRPr="008625DC" w:rsidRDefault="00F43A43" w:rsidP="00F43A43">
      <w:pPr>
        <w:tabs>
          <w:tab w:val="left" w:pos="0"/>
        </w:tabs>
      </w:pPr>
      <w:r w:rsidRPr="008625DC">
        <w:t>Accordingly, the Tribunal performs a very significant role in Australia</w:t>
      </w:r>
      <w:r w:rsidR="00C74E19" w:rsidRPr="008625DC">
        <w:t>’</w:t>
      </w:r>
      <w:r w:rsidRPr="008625DC">
        <w:t>s competition and regulatory framework.</w:t>
      </w:r>
    </w:p>
    <w:p w14:paraId="4EA75750" w14:textId="26A4FAFA" w:rsidR="00F43A43" w:rsidRPr="008625DC" w:rsidRDefault="00F43A43" w:rsidP="00F43A43">
      <w:pPr>
        <w:tabs>
          <w:tab w:val="left" w:pos="0"/>
        </w:tabs>
      </w:pPr>
      <w:r w:rsidRPr="008625DC">
        <w:t>The particular strength of the Tribunal lies in its composition. For the purpose of hearing and determining a matter before it, the Tribunal must be constituted by a presidential member (who is a Federal Court judge) and two members who are not presidential members. A person appointed as a member of the Tribunal must be qualified by virtue of his or her knowledge of, or experience in, industry, commerce, economics, law or public administration. In practice, the Tribunal is usually constituted with at least one member who is an economist.</w:t>
      </w:r>
    </w:p>
    <w:p w14:paraId="04CD7820" w14:textId="3969F989" w:rsidR="00F43A43" w:rsidRPr="008625DC" w:rsidRDefault="00F43A43" w:rsidP="00923A4E">
      <w:pPr>
        <w:keepNext/>
        <w:spacing w:after="120"/>
        <w:rPr>
          <w:rFonts w:eastAsiaTheme="minorHAnsi"/>
          <w:color w:val="auto"/>
          <w:szCs w:val="22"/>
          <w:lang w:eastAsia="en-US"/>
        </w:rPr>
      </w:pPr>
      <w:r w:rsidRPr="008625DC">
        <w:rPr>
          <w:rFonts w:eastAsiaTheme="minorHAnsi"/>
          <w:color w:val="auto"/>
          <w:szCs w:val="22"/>
          <w:lang w:eastAsia="en-US"/>
        </w:rPr>
        <w:lastRenderedPageBreak/>
        <w:t>In its first submission the ACCC recognise</w:t>
      </w:r>
      <w:r w:rsidR="008F15E8" w:rsidRPr="008625DC">
        <w:rPr>
          <w:rFonts w:eastAsiaTheme="minorHAnsi"/>
          <w:color w:val="auto"/>
          <w:szCs w:val="22"/>
          <w:lang w:eastAsia="en-US"/>
        </w:rPr>
        <w:t>s</w:t>
      </w:r>
      <w:r w:rsidRPr="008625DC">
        <w:rPr>
          <w:rFonts w:eastAsiaTheme="minorHAnsi"/>
          <w:color w:val="auto"/>
          <w:szCs w:val="22"/>
          <w:lang w:eastAsia="en-US"/>
        </w:rPr>
        <w:t xml:space="preserve"> the important role of the Tribunal:</w:t>
      </w:r>
    </w:p>
    <w:p w14:paraId="598611DB" w14:textId="54F19A28" w:rsidR="00F43A43" w:rsidRPr="008625DC" w:rsidRDefault="00F43A43" w:rsidP="00923A4E">
      <w:pPr>
        <w:pStyle w:val="Quotes"/>
        <w:rPr>
          <w:rFonts w:eastAsiaTheme="minorHAnsi"/>
          <w:color w:val="auto"/>
          <w:lang w:eastAsia="en-US"/>
        </w:rPr>
      </w:pPr>
      <w:r w:rsidRPr="008625DC">
        <w:t xml:space="preserve">The ACCC supports the OECD assessment that: </w:t>
      </w:r>
      <w:r w:rsidR="00C74E19" w:rsidRPr="008625DC">
        <w:t>‘</w:t>
      </w:r>
      <w:r w:rsidRPr="008625DC">
        <w:t>The Australian Competition Tribunal plays an important role as a merits review body, and the economic content in its determinations has made a significant contribution to both the legislative and judicial development of the law</w:t>
      </w:r>
      <w:r w:rsidR="00C74E19" w:rsidRPr="008625DC">
        <w:t>’</w:t>
      </w:r>
      <w:r w:rsidRPr="008625DC">
        <w:t>. (</w:t>
      </w:r>
      <w:r w:rsidR="00D04174" w:rsidRPr="008625DC">
        <w:t xml:space="preserve">ACCC Submission 1, </w:t>
      </w:r>
      <w:r w:rsidRPr="008625DC">
        <w:t xml:space="preserve">page 139) </w:t>
      </w:r>
    </w:p>
    <w:p w14:paraId="0767DB2C" w14:textId="497B7127" w:rsidR="00F43A43" w:rsidRPr="008625DC" w:rsidRDefault="00F43A43" w:rsidP="00F43A43">
      <w:pPr>
        <w:rPr>
          <w:rFonts w:eastAsiaTheme="minorHAnsi"/>
          <w:lang w:eastAsia="en-US"/>
        </w:rPr>
      </w:pPr>
      <w:r w:rsidRPr="008625DC">
        <w:rPr>
          <w:rFonts w:eastAsiaTheme="minorHAnsi"/>
          <w:lang w:eastAsia="en-US"/>
        </w:rPr>
        <w:t>The Tribunal currently has a role as a first</w:t>
      </w:r>
      <w:r w:rsidR="00C74E19" w:rsidRPr="008625DC">
        <w:rPr>
          <w:rFonts w:eastAsiaTheme="minorHAnsi"/>
          <w:lang w:eastAsia="en-US"/>
        </w:rPr>
        <w:noBreakHyphen/>
      </w:r>
      <w:r w:rsidRPr="008625DC">
        <w:rPr>
          <w:rFonts w:eastAsiaTheme="minorHAnsi"/>
          <w:lang w:eastAsia="en-US"/>
        </w:rPr>
        <w:t>instance decision maker in authorising mergers, in addition to its review functions. The first</w:t>
      </w:r>
      <w:r w:rsidR="00C74E19" w:rsidRPr="008625DC">
        <w:rPr>
          <w:rFonts w:eastAsiaTheme="minorHAnsi"/>
          <w:lang w:eastAsia="en-US"/>
        </w:rPr>
        <w:noBreakHyphen/>
      </w:r>
      <w:r w:rsidRPr="008625DC">
        <w:rPr>
          <w:rFonts w:eastAsiaTheme="minorHAnsi"/>
          <w:lang w:eastAsia="en-US"/>
        </w:rPr>
        <w:t xml:space="preserve">instance decision making requires an investigative role that the Tribunal, with its predominant review function, is not well placed to deliver. The Panel considers that the Tribunal would be more effective if it were constituted solely as a review body. This is discussed further in </w:t>
      </w:r>
      <w:hyperlink w:anchor="Ch15" w:history="1">
        <w:r w:rsidRPr="008625DC">
          <w:rPr>
            <w:rStyle w:val="Hyperlink"/>
            <w:rFonts w:eastAsiaTheme="minorHAnsi"/>
            <w:lang w:eastAsia="en-US"/>
          </w:rPr>
          <w:t xml:space="preserve">Chapter </w:t>
        </w:r>
        <w:r w:rsidR="007660BD" w:rsidRPr="008625DC">
          <w:rPr>
            <w:rStyle w:val="Hyperlink"/>
            <w:rFonts w:eastAsiaTheme="minorHAnsi"/>
            <w:lang w:eastAsia="en-US"/>
          </w:rPr>
          <w:t>15</w:t>
        </w:r>
      </w:hyperlink>
      <w:r w:rsidRPr="008625DC">
        <w:rPr>
          <w:rFonts w:eastAsiaTheme="minorHAnsi"/>
          <w:lang w:eastAsia="en-US"/>
        </w:rPr>
        <w:t>.</w:t>
      </w:r>
    </w:p>
    <w:p w14:paraId="364FEDF1" w14:textId="79538113" w:rsidR="00F43A43" w:rsidRPr="008625DC" w:rsidRDefault="00F43A43" w:rsidP="00F43A43">
      <w:pPr>
        <w:rPr>
          <w:rFonts w:eastAsiaTheme="minorHAnsi"/>
          <w:lang w:eastAsia="en-US"/>
        </w:rPr>
      </w:pPr>
      <w:r w:rsidRPr="008625DC">
        <w:rPr>
          <w:rFonts w:eastAsiaTheme="minorHAnsi"/>
          <w:lang w:eastAsia="en-US"/>
        </w:rPr>
        <w:t xml:space="preserve">The nature and scope of the review function performed by the Tribunal varies and is dependent upon the powers granted to it in respect of different review tasks. In respect of the review of authorisation decisions of the ACCC, the Tribunal is able to hear directly from </w:t>
      </w:r>
      <w:r w:rsidR="00E136A2" w:rsidRPr="008625DC">
        <w:rPr>
          <w:rFonts w:eastAsiaTheme="minorHAnsi"/>
          <w:lang w:eastAsia="en-US"/>
        </w:rPr>
        <w:t xml:space="preserve">any </w:t>
      </w:r>
      <w:r w:rsidRPr="008625DC">
        <w:rPr>
          <w:rFonts w:eastAsiaTheme="minorHAnsi"/>
          <w:lang w:eastAsia="en-US"/>
        </w:rPr>
        <w:t xml:space="preserve">business people concerned in the application and expert economists. In respect of the review of access pricing decisions, </w:t>
      </w:r>
      <w:r w:rsidR="00E136A2" w:rsidRPr="008625DC">
        <w:rPr>
          <w:rFonts w:eastAsiaTheme="minorHAnsi"/>
          <w:lang w:eastAsia="en-US"/>
        </w:rPr>
        <w:t xml:space="preserve">however, </w:t>
      </w:r>
      <w:r w:rsidRPr="008625DC">
        <w:rPr>
          <w:rFonts w:eastAsiaTheme="minorHAnsi"/>
          <w:lang w:eastAsia="en-US"/>
        </w:rPr>
        <w:t>the Tribunal</w:t>
      </w:r>
      <w:r w:rsidR="00C74E19" w:rsidRPr="008625DC">
        <w:rPr>
          <w:rFonts w:eastAsiaTheme="minorHAnsi"/>
          <w:lang w:eastAsia="en-US"/>
        </w:rPr>
        <w:t>’</w:t>
      </w:r>
      <w:r w:rsidRPr="008625DC">
        <w:rPr>
          <w:rFonts w:eastAsiaTheme="minorHAnsi"/>
          <w:lang w:eastAsia="en-US"/>
        </w:rPr>
        <w:t xml:space="preserve">s </w:t>
      </w:r>
      <w:r w:rsidR="008A6E6D" w:rsidRPr="008625DC">
        <w:rPr>
          <w:rFonts w:eastAsiaTheme="minorHAnsi"/>
          <w:lang w:eastAsia="en-US"/>
        </w:rPr>
        <w:t xml:space="preserve">powers are often </w:t>
      </w:r>
      <w:r w:rsidR="00E136A2" w:rsidRPr="008625DC">
        <w:rPr>
          <w:rFonts w:eastAsiaTheme="minorHAnsi"/>
          <w:lang w:eastAsia="en-US"/>
        </w:rPr>
        <w:t>confined</w:t>
      </w:r>
      <w:r w:rsidR="008A6E6D" w:rsidRPr="008625DC">
        <w:rPr>
          <w:rFonts w:eastAsiaTheme="minorHAnsi"/>
          <w:lang w:eastAsia="en-US"/>
        </w:rPr>
        <w:t xml:space="preserve"> </w:t>
      </w:r>
      <w:r w:rsidRPr="008625DC">
        <w:rPr>
          <w:rFonts w:eastAsiaTheme="minorHAnsi"/>
          <w:lang w:eastAsia="en-US"/>
        </w:rPr>
        <w:t>to considering the materials before the original decision</w:t>
      </w:r>
      <w:r w:rsidR="00C74E19" w:rsidRPr="008625DC">
        <w:rPr>
          <w:rFonts w:eastAsiaTheme="minorHAnsi"/>
          <w:lang w:eastAsia="en-US"/>
        </w:rPr>
        <w:noBreakHyphen/>
      </w:r>
      <w:r w:rsidRPr="008625DC">
        <w:rPr>
          <w:rFonts w:eastAsiaTheme="minorHAnsi"/>
          <w:lang w:eastAsia="en-US"/>
        </w:rPr>
        <w:t>maker</w:t>
      </w:r>
      <w:r w:rsidR="00E136A2" w:rsidRPr="008625DC">
        <w:rPr>
          <w:rFonts w:eastAsiaTheme="minorHAnsi"/>
          <w:lang w:eastAsia="en-US"/>
        </w:rPr>
        <w:t>,</w:t>
      </w:r>
      <w:r w:rsidRPr="008625DC">
        <w:rPr>
          <w:rFonts w:eastAsiaTheme="minorHAnsi"/>
          <w:lang w:eastAsia="en-US"/>
        </w:rPr>
        <w:t xml:space="preserve"> and the Tribunal </w:t>
      </w:r>
      <w:r w:rsidR="008A6E6D" w:rsidRPr="008625DC">
        <w:rPr>
          <w:rFonts w:eastAsiaTheme="minorHAnsi"/>
          <w:lang w:eastAsia="en-US"/>
        </w:rPr>
        <w:t>is unable</w:t>
      </w:r>
      <w:r w:rsidRPr="008625DC">
        <w:rPr>
          <w:rFonts w:eastAsiaTheme="minorHAnsi"/>
          <w:lang w:eastAsia="en-US"/>
        </w:rPr>
        <w:t xml:space="preserve"> to hear from </w:t>
      </w:r>
      <w:r w:rsidR="00E136A2" w:rsidRPr="008625DC">
        <w:rPr>
          <w:rFonts w:eastAsiaTheme="minorHAnsi"/>
          <w:lang w:eastAsia="en-US"/>
        </w:rPr>
        <w:t xml:space="preserve">the </w:t>
      </w:r>
      <w:r w:rsidRPr="008625DC">
        <w:rPr>
          <w:rFonts w:eastAsiaTheme="minorHAnsi"/>
          <w:lang w:eastAsia="en-US"/>
        </w:rPr>
        <w:t xml:space="preserve">business people </w:t>
      </w:r>
      <w:r w:rsidR="00E136A2" w:rsidRPr="008625DC">
        <w:rPr>
          <w:rFonts w:eastAsiaTheme="minorHAnsi"/>
          <w:lang w:eastAsia="en-US"/>
        </w:rPr>
        <w:t xml:space="preserve">and </w:t>
      </w:r>
      <w:r w:rsidRPr="008625DC">
        <w:rPr>
          <w:rFonts w:eastAsiaTheme="minorHAnsi"/>
          <w:lang w:eastAsia="en-US"/>
        </w:rPr>
        <w:t>expert economists</w:t>
      </w:r>
      <w:r w:rsidR="00E136A2" w:rsidRPr="008625DC">
        <w:rPr>
          <w:rFonts w:eastAsiaTheme="minorHAnsi"/>
          <w:lang w:eastAsia="en-US"/>
        </w:rPr>
        <w:t xml:space="preserve"> who authored those materials</w:t>
      </w:r>
      <w:r w:rsidRPr="008625DC">
        <w:rPr>
          <w:rFonts w:eastAsiaTheme="minorHAnsi"/>
          <w:lang w:eastAsia="en-US"/>
        </w:rPr>
        <w:t>.</w:t>
      </w:r>
      <w:r w:rsidR="00E136A2" w:rsidRPr="008625DC">
        <w:rPr>
          <w:rFonts w:eastAsiaTheme="minorHAnsi"/>
          <w:lang w:eastAsia="en-US"/>
        </w:rPr>
        <w:t xml:space="preserve"> While these restrictions enable reviews to be conducted more quickly, they also reduce the depth of the review able to be undertaken by the Tribunal.</w:t>
      </w:r>
    </w:p>
    <w:tbl>
      <w:tblPr>
        <w:tblW w:w="9072" w:type="dxa"/>
        <w:tblInd w:w="108" w:type="dxa"/>
        <w:tblBorders>
          <w:top w:val="single" w:sz="4" w:space="0" w:color="129391" w:themeColor="accent2"/>
          <w:left w:val="single" w:sz="4" w:space="0" w:color="129391" w:themeColor="accent2"/>
          <w:bottom w:val="single" w:sz="4" w:space="0" w:color="129391" w:themeColor="accent2"/>
          <w:right w:val="single" w:sz="4" w:space="0" w:color="129391" w:themeColor="accent2"/>
          <w:insideH w:val="single" w:sz="4" w:space="0" w:color="129391" w:themeColor="accent2"/>
          <w:insideV w:val="single" w:sz="4" w:space="0" w:color="129391" w:themeColor="accent2"/>
        </w:tblBorders>
        <w:shd w:val="clear" w:color="auto" w:fill="FFFFFF" w:themeFill="background1"/>
        <w:tblLook w:val="01E0" w:firstRow="1" w:lastRow="1" w:firstColumn="1" w:lastColumn="1" w:noHBand="0" w:noVBand="0"/>
      </w:tblPr>
      <w:tblGrid>
        <w:gridCol w:w="9072"/>
      </w:tblGrid>
      <w:tr w:rsidR="00007069" w:rsidRPr="008625DC" w14:paraId="218313FE" w14:textId="77777777" w:rsidTr="0052543A">
        <w:tc>
          <w:tcPr>
            <w:tcW w:w="5000" w:type="pct"/>
            <w:shd w:val="clear" w:color="auto" w:fill="FFFFFF" w:themeFill="background1"/>
          </w:tcPr>
          <w:p w14:paraId="5D2A1B8B" w14:textId="719F5DEF" w:rsidR="00007069" w:rsidRPr="008625DC" w:rsidRDefault="00007069" w:rsidP="0052543A">
            <w:pPr>
              <w:pStyle w:val="Keyfindingheading"/>
            </w:pPr>
            <w:r w:rsidRPr="008625DC">
              <w:t>The Panel</w:t>
            </w:r>
            <w:r w:rsidR="00C74E19" w:rsidRPr="008625DC">
              <w:t>’</w:t>
            </w:r>
            <w:r w:rsidRPr="008625DC">
              <w:t>s View</w:t>
            </w:r>
          </w:p>
          <w:p w14:paraId="56AF6358" w14:textId="26CB477D" w:rsidR="00007069" w:rsidRPr="008625DC" w:rsidRDefault="00007069" w:rsidP="00007069">
            <w:pPr>
              <w:pStyle w:val="Keyfindingtext"/>
            </w:pPr>
            <w:r w:rsidRPr="008625DC">
              <w:rPr>
                <w:rFonts w:eastAsiaTheme="minorHAnsi"/>
                <w:lang w:eastAsia="en-US"/>
              </w:rPr>
              <w:t>The Panel considers that the Tribunal performs an important role in the administration of the competition law, especially in access and pricing regulation. While it is important that review processes are conducted within restricted timeframes, the value of the review process would be greatly enhanced if the Tribunal were empowered to hear from relevant business representatives and economists responsible for reports relied upon by original decision</w:t>
            </w:r>
            <w:r w:rsidR="00C74E19" w:rsidRPr="008625DC">
              <w:rPr>
                <w:rFonts w:eastAsiaTheme="minorHAnsi"/>
                <w:lang w:eastAsia="en-US"/>
              </w:rPr>
              <w:noBreakHyphen/>
            </w:r>
            <w:r w:rsidRPr="008625DC">
              <w:rPr>
                <w:rFonts w:eastAsiaTheme="minorHAnsi"/>
                <w:lang w:eastAsia="en-US"/>
              </w:rPr>
              <w:t>makers.</w:t>
            </w:r>
          </w:p>
        </w:tc>
      </w:tr>
    </w:tbl>
    <w:p w14:paraId="3CA2B5C4" w14:textId="77777777" w:rsidR="00007069" w:rsidRPr="008625DC" w:rsidRDefault="00007069" w:rsidP="006C5F3B">
      <w:pPr>
        <w:pStyle w:val="SingleParagraph"/>
      </w:pPr>
    </w:p>
    <w:p w14:paraId="4AB48FB1" w14:textId="77777777" w:rsidR="00806FD9" w:rsidRDefault="00806FD9" w:rsidP="00392423">
      <w:pPr>
        <w:pStyle w:val="PartHeading"/>
        <w:sectPr w:rsidR="00806FD9" w:rsidSect="00AA577F">
          <w:headerReference w:type="default" r:id="rId59"/>
          <w:pgSz w:w="11906" w:h="16838" w:code="9"/>
          <w:pgMar w:top="1418" w:right="1418" w:bottom="1418" w:left="1418" w:header="709" w:footer="709" w:gutter="0"/>
          <w:cols w:space="708"/>
          <w:docGrid w:linePitch="360"/>
        </w:sectPr>
      </w:pPr>
      <w:bookmarkStart w:id="36615" w:name="_Toc394062327"/>
      <w:bookmarkStart w:id="36616" w:name="_Toc394062584"/>
      <w:bookmarkStart w:id="36617" w:name="_Toc394069204"/>
      <w:bookmarkStart w:id="36618" w:name="_Toc394069299"/>
      <w:bookmarkStart w:id="36619" w:name="_Toc394071123"/>
      <w:bookmarkStart w:id="36620" w:name="_Toc394071218"/>
      <w:bookmarkStart w:id="36621" w:name="_Toc394312831"/>
      <w:bookmarkStart w:id="36622" w:name="_Toc394330490"/>
      <w:bookmarkStart w:id="36623" w:name="_Toc394330807"/>
      <w:bookmarkStart w:id="36624" w:name="_Toc394331322"/>
      <w:bookmarkStart w:id="36625" w:name="_Toc394331421"/>
      <w:bookmarkStart w:id="36626" w:name="_Toc394332669"/>
      <w:bookmarkStart w:id="36627" w:name="_Toc394333398"/>
      <w:bookmarkStart w:id="36628" w:name="_Toc394333496"/>
      <w:bookmarkStart w:id="36629" w:name="_Toc394333811"/>
      <w:bookmarkStart w:id="36630" w:name="_Toc394333909"/>
      <w:bookmarkStart w:id="36631" w:name="_Toc394334224"/>
      <w:bookmarkStart w:id="36632" w:name="_Toc394334322"/>
      <w:bookmarkStart w:id="36633" w:name="_Toc394335050"/>
      <w:bookmarkStart w:id="36634" w:name="_Toc394335148"/>
      <w:bookmarkStart w:id="36635" w:name="_Toc394415254"/>
      <w:bookmarkStart w:id="36636" w:name="_Toc394415373"/>
      <w:bookmarkStart w:id="36637" w:name="_Toc394412563"/>
      <w:bookmarkStart w:id="36638" w:name="_Toc394412686"/>
      <w:bookmarkStart w:id="36639" w:name="_Toc394420856"/>
      <w:bookmarkStart w:id="36640" w:name="_Toc394420979"/>
      <w:bookmarkStart w:id="36641" w:name="_Toc394423697"/>
      <w:bookmarkStart w:id="36642" w:name="_Toc394423819"/>
      <w:bookmarkStart w:id="36643" w:name="_Toc394422741"/>
      <w:bookmarkStart w:id="36644" w:name="_Toc394422863"/>
      <w:bookmarkStart w:id="36645" w:name="_Toc394423212"/>
      <w:bookmarkStart w:id="36646" w:name="_Toc394423334"/>
      <w:bookmarkStart w:id="36647" w:name="_Toc394424360"/>
      <w:bookmarkStart w:id="36648" w:name="_Toc394424483"/>
      <w:bookmarkStart w:id="36649" w:name="_Toc394492191"/>
      <w:bookmarkStart w:id="36650" w:name="_Toc394492316"/>
      <w:bookmarkStart w:id="36651" w:name="_Toc394495335"/>
      <w:bookmarkStart w:id="36652" w:name="_Toc394495460"/>
      <w:bookmarkStart w:id="36653" w:name="_Toc394498150"/>
      <w:bookmarkStart w:id="36654" w:name="_Toc394498275"/>
      <w:bookmarkStart w:id="36655" w:name="_Toc394500940"/>
      <w:bookmarkStart w:id="36656" w:name="_Toc394501065"/>
      <w:bookmarkStart w:id="36657" w:name="_Toc394502337"/>
      <w:bookmarkStart w:id="36658" w:name="_Toc394502455"/>
      <w:bookmarkStart w:id="36659" w:name="_Toc394502900"/>
      <w:bookmarkStart w:id="36660" w:name="_Toc394503696"/>
      <w:bookmarkStart w:id="36661" w:name="_Toc394503814"/>
      <w:bookmarkStart w:id="36662" w:name="_Toc394502785"/>
      <w:bookmarkStart w:id="36663" w:name="_Toc394502903"/>
      <w:bookmarkStart w:id="36664" w:name="_Toc394505992"/>
      <w:bookmarkStart w:id="36665" w:name="_Toc394506232"/>
      <w:bookmarkStart w:id="36666" w:name="_Toc394506450"/>
      <w:bookmarkStart w:id="36667" w:name="_Toc394506569"/>
      <w:bookmarkStart w:id="36668" w:name="_Toc394507004"/>
      <w:bookmarkStart w:id="36669" w:name="_Toc394507123"/>
      <w:bookmarkStart w:id="36670" w:name="_Toc394561079"/>
      <w:bookmarkStart w:id="36671" w:name="_Toc394561202"/>
      <w:bookmarkStart w:id="36672" w:name="_Toc394561540"/>
      <w:bookmarkStart w:id="36673" w:name="_Toc394562035"/>
      <w:bookmarkStart w:id="36674" w:name="_Toc394565235"/>
      <w:bookmarkStart w:id="36675" w:name="_Toc394583052"/>
      <w:bookmarkStart w:id="36676" w:name="_Toc394585723"/>
      <w:bookmarkStart w:id="36677" w:name="_Toc394586190"/>
      <w:bookmarkStart w:id="36678" w:name="_Toc394588122"/>
      <w:bookmarkStart w:id="36679" w:name="_Toc394588957"/>
      <w:bookmarkStart w:id="36680" w:name="_Toc394589082"/>
      <w:bookmarkStart w:id="36681" w:name="_Toc394590497"/>
      <w:bookmarkStart w:id="36682" w:name="_Toc394590690"/>
      <w:bookmarkStart w:id="36683" w:name="_Toc394654626"/>
      <w:bookmarkStart w:id="36684" w:name="_Toc394654750"/>
      <w:bookmarkStart w:id="36685" w:name="_Toc394656325"/>
      <w:bookmarkStart w:id="36686" w:name="_Toc394656446"/>
      <w:bookmarkStart w:id="36687" w:name="_Toc394659463"/>
      <w:bookmarkStart w:id="36688" w:name="_Toc394659584"/>
      <w:bookmarkStart w:id="36689" w:name="_Toc394663475"/>
      <w:bookmarkStart w:id="36690" w:name="_Toc394663594"/>
      <w:bookmarkStart w:id="36691" w:name="_Toc394667269"/>
      <w:bookmarkStart w:id="36692" w:name="_Toc394667388"/>
      <w:bookmarkStart w:id="36693" w:name="_Toc394671752"/>
      <w:bookmarkStart w:id="36694" w:name="_Toc394671872"/>
      <w:bookmarkStart w:id="36695" w:name="_Toc394674757"/>
      <w:bookmarkStart w:id="36696" w:name="_Toc394674876"/>
      <w:bookmarkStart w:id="36697" w:name="_Toc394675037"/>
      <w:bookmarkStart w:id="36698" w:name="_Toc394675433"/>
      <w:bookmarkStart w:id="36699" w:name="_Toc394676144"/>
      <w:bookmarkStart w:id="36700" w:name="_Toc394676263"/>
      <w:bookmarkStart w:id="36701" w:name="_Toc394675833"/>
      <w:bookmarkStart w:id="36702" w:name="_Toc394675952"/>
      <w:bookmarkStart w:id="36703" w:name="_Toc394677134"/>
      <w:bookmarkStart w:id="36704" w:name="_Toc394677253"/>
      <w:bookmarkStart w:id="36705" w:name="_Toc397070619"/>
      <w:bookmarkStart w:id="36706" w:name="_Toc397413377"/>
      <w:bookmarkStart w:id="36707" w:name="_Toc397413524"/>
      <w:bookmarkStart w:id="36708" w:name="_Toc397428089"/>
      <w:bookmarkStart w:id="36709" w:name="_Toc397439479"/>
      <w:bookmarkStart w:id="36710" w:name="_Toc397439649"/>
      <w:bookmarkStart w:id="36711" w:name="_Toc397439905"/>
      <w:bookmarkStart w:id="36712" w:name="_Toc397440207"/>
      <w:bookmarkStart w:id="36713" w:name="_Toc397441836"/>
      <w:bookmarkStart w:id="36714" w:name="_Toc397517538"/>
      <w:bookmarkStart w:id="36715" w:name="_Toc397522803"/>
      <w:bookmarkStart w:id="36716" w:name="_Toc397526221"/>
      <w:bookmarkStart w:id="36717" w:name="_Toc397528421"/>
      <w:bookmarkStart w:id="36718" w:name="_Toc397528536"/>
      <w:bookmarkStart w:id="36719" w:name="_Toc397529011"/>
      <w:bookmarkStart w:id="36720" w:name="_Toc397594878"/>
      <w:bookmarkStart w:id="36721" w:name="_Toc397602009"/>
      <w:bookmarkStart w:id="36722" w:name="_Toc397602744"/>
      <w:bookmarkStart w:id="36723" w:name="_Toc397605877"/>
      <w:bookmarkStart w:id="36724" w:name="_Toc397614574"/>
      <w:bookmarkStart w:id="36725" w:name="_Toc397615017"/>
      <w:bookmarkStart w:id="36726" w:name="_Toc397616460"/>
      <w:bookmarkStart w:id="36727" w:name="_Toc397616854"/>
      <w:bookmarkStart w:id="36728" w:name="_Toc397688152"/>
      <w:bookmarkStart w:id="36729" w:name="_Toc397689368"/>
      <w:bookmarkStart w:id="36730" w:name="_Toc397694648"/>
      <w:bookmarkStart w:id="36731" w:name="_Toc397696489"/>
      <w:bookmarkStart w:id="36732" w:name="_Toc397697223"/>
      <w:bookmarkStart w:id="36733" w:name="_Toc397698510"/>
      <w:bookmarkStart w:id="36734" w:name="_Toc397699876"/>
      <w:bookmarkStart w:id="36735" w:name="_Toc397700330"/>
      <w:bookmarkStart w:id="36736" w:name="_Toc397936726"/>
      <w:bookmarkStart w:id="36737" w:name="_Toc397936846"/>
      <w:bookmarkStart w:id="36738" w:name="_Toc397946002"/>
      <w:bookmarkStart w:id="36739" w:name="_Toc397947028"/>
      <w:bookmarkStart w:id="36740" w:name="_Toc397948147"/>
      <w:bookmarkStart w:id="36741" w:name="_Toc397958553"/>
      <w:bookmarkStart w:id="36742" w:name="_Toc397958795"/>
      <w:bookmarkStart w:id="36743" w:name="_Toc397959210"/>
      <w:bookmarkStart w:id="36744" w:name="_Toc397962277"/>
      <w:bookmarkStart w:id="36745" w:name="_Toc397963063"/>
      <w:bookmarkStart w:id="36746" w:name="_Toc397963429"/>
      <w:bookmarkStart w:id="36747" w:name="_Toc397965506"/>
      <w:bookmarkStart w:id="36748" w:name="_Toc398197444"/>
      <w:bookmarkStart w:id="36749" w:name="_Toc398200069"/>
      <w:bookmarkStart w:id="36750" w:name="_Toc398200335"/>
      <w:bookmarkStart w:id="36751" w:name="_Toc398201661"/>
      <w:bookmarkStart w:id="36752" w:name="_Toc398207266"/>
      <w:bookmarkStart w:id="36753" w:name="_Toc398209970"/>
      <w:bookmarkStart w:id="36754" w:name="_Toc398210539"/>
      <w:bookmarkStart w:id="36755" w:name="_Toc398211053"/>
      <w:bookmarkStart w:id="36756" w:name="_Toc398219864"/>
      <w:bookmarkStart w:id="36757" w:name="_Toc398220239"/>
      <w:bookmarkStart w:id="36758" w:name="_Toc398220626"/>
      <w:bookmarkStart w:id="36759" w:name="_Toc398221704"/>
      <w:bookmarkStart w:id="36760" w:name="_Toc398222390"/>
      <w:bookmarkStart w:id="36761" w:name="_Toc398222702"/>
      <w:bookmarkStart w:id="36762" w:name="_Toc398223119"/>
      <w:bookmarkStart w:id="36763" w:name="_Toc398223498"/>
      <w:bookmarkStart w:id="36764" w:name="_Toc398223625"/>
      <w:bookmarkStart w:id="36765" w:name="_Toc398224433"/>
      <w:bookmarkStart w:id="36766" w:name="_Toc398225770"/>
      <w:bookmarkStart w:id="36767" w:name="_Toc398225895"/>
      <w:bookmarkStart w:id="36768" w:name="_Toc398281382"/>
      <w:bookmarkStart w:id="36769" w:name="_Toc398282241"/>
      <w:bookmarkStart w:id="36770" w:name="_Toc398284905"/>
      <w:bookmarkStart w:id="36771" w:name="_Toc398287383"/>
      <w:bookmarkStart w:id="36772" w:name="_Toc398289266"/>
      <w:bookmarkStart w:id="36773" w:name="_Toc398297263"/>
      <w:bookmarkStart w:id="36774" w:name="_Toc398298737"/>
      <w:bookmarkStart w:id="36775" w:name="_Toc398301335"/>
      <w:bookmarkStart w:id="36776" w:name="_Toc398302520"/>
      <w:bookmarkStart w:id="36777" w:name="_Toc398302683"/>
      <w:bookmarkStart w:id="36778" w:name="_Toc398549200"/>
      <w:bookmarkStart w:id="36779" w:name="_Toc398549450"/>
      <w:bookmarkStart w:id="36780" w:name="_Toc398555869"/>
      <w:bookmarkStart w:id="36781" w:name="_Toc398559073"/>
      <w:bookmarkStart w:id="36782" w:name="_Toc398563559"/>
      <w:bookmarkStart w:id="36783" w:name="_Toc398563692"/>
      <w:bookmarkStart w:id="36784" w:name="_Toc398564091"/>
      <w:bookmarkStart w:id="36785" w:name="_Toc398827429"/>
      <w:bookmarkStart w:id="36786" w:name="_Toc398827623"/>
      <w:bookmarkEnd w:id="35670"/>
      <w:bookmarkEnd w:id="35671"/>
      <w:bookmarkEnd w:id="35672"/>
      <w:bookmarkEnd w:id="35673"/>
      <w:bookmarkEnd w:id="35674"/>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6597"/>
    </w:p>
    <w:p w14:paraId="206DE991" w14:textId="4DF4FDAC" w:rsidR="00CF477E" w:rsidRPr="008625DC" w:rsidRDefault="00CF477E" w:rsidP="00392423">
      <w:pPr>
        <w:pStyle w:val="PartHeading"/>
      </w:pPr>
      <w:r w:rsidRPr="008625DC">
        <w:lastRenderedPageBreak/>
        <w:t>Appendix A</w:t>
      </w:r>
      <w:r w:rsidR="00380141" w:rsidRPr="008625DC">
        <w:t xml:space="preserve"> — </w:t>
      </w:r>
      <w:r w:rsidRPr="008625DC">
        <w:t>Terms of Reference</w:t>
      </w:r>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bookmarkEnd w:id="36779"/>
      <w:bookmarkEnd w:id="36780"/>
      <w:bookmarkEnd w:id="36781"/>
      <w:bookmarkEnd w:id="36782"/>
      <w:bookmarkEnd w:id="36783"/>
      <w:bookmarkEnd w:id="36784"/>
      <w:bookmarkEnd w:id="36785"/>
      <w:bookmarkEnd w:id="36786"/>
    </w:p>
    <w:p w14:paraId="33A6183F" w14:textId="77777777" w:rsidR="00CF477E" w:rsidRPr="008625DC" w:rsidRDefault="00CF477E" w:rsidP="00923A4E">
      <w:pPr>
        <w:pStyle w:val="Heading2NotNumbered"/>
        <w:rPr>
          <w:color w:val="000000" w:themeColor="text1"/>
        </w:rPr>
      </w:pPr>
      <w:bookmarkStart w:id="36787" w:name="_Toc397413378"/>
      <w:bookmarkStart w:id="36788" w:name="_Toc397413525"/>
      <w:r w:rsidRPr="008625DC">
        <w:rPr>
          <w:color w:val="000000" w:themeColor="text1"/>
        </w:rPr>
        <w:t>Overview</w:t>
      </w:r>
      <w:bookmarkEnd w:id="36787"/>
      <w:bookmarkEnd w:id="36788"/>
    </w:p>
    <w:p w14:paraId="05FD080D" w14:textId="77777777" w:rsidR="00CF477E" w:rsidRPr="008625DC" w:rsidRDefault="00CF477E" w:rsidP="00CF477E">
      <w:r w:rsidRPr="008625DC">
        <w:t>An effective competition framework is a vital element of a strong economy that drives continued growth in productivity and living standards. It promotes a strong and innovative business sector and better outcomes for consumers.</w:t>
      </w:r>
    </w:p>
    <w:p w14:paraId="572A820F" w14:textId="5FEE9D15" w:rsidR="00CF477E" w:rsidRPr="008625DC" w:rsidRDefault="00CF477E" w:rsidP="00CF477E">
      <w:pPr>
        <w:rPr>
          <w:szCs w:val="22"/>
        </w:rPr>
      </w:pPr>
      <w:r w:rsidRPr="008625DC">
        <w:rPr>
          <w:szCs w:val="22"/>
        </w:rPr>
        <w:t xml:space="preserve">The Government has commissioned an independent </w:t>
      </w:r>
      <w:r w:rsidR="00C74E19" w:rsidRPr="008625DC">
        <w:rPr>
          <w:szCs w:val="22"/>
        </w:rPr>
        <w:t>‘</w:t>
      </w:r>
      <w:r w:rsidRPr="008625DC">
        <w:rPr>
          <w:szCs w:val="22"/>
        </w:rPr>
        <w:t>root and branch</w:t>
      </w:r>
      <w:r w:rsidR="00C74E19" w:rsidRPr="008625DC">
        <w:rPr>
          <w:szCs w:val="22"/>
        </w:rPr>
        <w:t>’</w:t>
      </w:r>
      <w:r w:rsidRPr="008625DC">
        <w:rPr>
          <w:szCs w:val="22"/>
        </w:rPr>
        <w:t xml:space="preserve"> review of Australia</w:t>
      </w:r>
      <w:r w:rsidR="00C74E19" w:rsidRPr="008625DC">
        <w:rPr>
          <w:szCs w:val="22"/>
        </w:rPr>
        <w:t>’</w:t>
      </w:r>
      <w:r w:rsidRPr="008625DC">
        <w:rPr>
          <w:szCs w:val="22"/>
        </w:rPr>
        <w:t>s competition laws and policy in recognition of the fact that the Australian economy has changed markedly since the last major review of competition policy in 1993.</w:t>
      </w:r>
    </w:p>
    <w:p w14:paraId="14CC6127" w14:textId="77777777" w:rsidR="00CF477E" w:rsidRPr="008625DC" w:rsidRDefault="00CF477E" w:rsidP="008D2F63">
      <w:pPr>
        <w:spacing w:after="120"/>
        <w:rPr>
          <w:szCs w:val="22"/>
        </w:rPr>
      </w:pPr>
      <w:r w:rsidRPr="008625DC">
        <w:rPr>
          <w:szCs w:val="22"/>
        </w:rPr>
        <w:t>The key areas of focus for the review are to:</w:t>
      </w:r>
    </w:p>
    <w:p w14:paraId="7FB7D7A0" w14:textId="77777777" w:rsidR="00CF477E" w:rsidRPr="008625DC" w:rsidRDefault="00CF477E" w:rsidP="008D2F63">
      <w:pPr>
        <w:pStyle w:val="Bullet"/>
      </w:pPr>
      <w:r w:rsidRPr="008625DC">
        <w:t>identify regulations and other impediments across the economy that restrict competition and reduce productivity, which are not in the broader public interest;</w:t>
      </w:r>
    </w:p>
    <w:p w14:paraId="4AD819BF" w14:textId="77777777" w:rsidR="00CF477E" w:rsidRPr="008625DC" w:rsidRDefault="00CF477E" w:rsidP="008D2F63">
      <w:pPr>
        <w:pStyle w:val="Bullet"/>
      </w:pPr>
      <w:r w:rsidRPr="008625DC">
        <w:t xml:space="preserve">examine the competition provisions of the </w:t>
      </w:r>
      <w:r w:rsidRPr="008625DC">
        <w:rPr>
          <w:i/>
        </w:rPr>
        <w:t>Competition and Consumer Act 2010</w:t>
      </w:r>
      <w:r w:rsidRPr="008625DC">
        <w:t xml:space="preserve"> (CCA) to ensure that they are driving efficient, competitive and durable outcomes, particularly in light of changes to the Australian economy in recent decades and its increased integration into global markets;</w:t>
      </w:r>
    </w:p>
    <w:p w14:paraId="5F60A18E" w14:textId="77777777" w:rsidR="00CF477E" w:rsidRPr="008625DC" w:rsidRDefault="00CF477E" w:rsidP="008D2F63">
      <w:pPr>
        <w:pStyle w:val="Bullet"/>
      </w:pPr>
      <w:r w:rsidRPr="008625DC">
        <w:t>examine the competition provisions and the special protections for small business in the CCA to ensure that efficient businesses, both big and small, can compete effectively and have incentives to invest and innovate for the future;</w:t>
      </w:r>
    </w:p>
    <w:p w14:paraId="1922B761" w14:textId="77777777" w:rsidR="00CF477E" w:rsidRPr="008625DC" w:rsidRDefault="00CF477E" w:rsidP="008D2F63">
      <w:pPr>
        <w:pStyle w:val="Bullet"/>
      </w:pPr>
      <w:r w:rsidRPr="008625DC">
        <w:t>consider whether the structure and powers of the competition institutions remain appropriate, in light of ongoing changes in the economy and the desire to reduce the regulatory impost on business; and</w:t>
      </w:r>
    </w:p>
    <w:p w14:paraId="63E1C234" w14:textId="77777777" w:rsidR="00CF477E" w:rsidRPr="008625DC" w:rsidRDefault="00CF477E" w:rsidP="008D2F63">
      <w:pPr>
        <w:pStyle w:val="Bullet"/>
        <w:spacing w:after="240"/>
      </w:pPr>
      <w:r w:rsidRPr="008625DC">
        <w:t>review government involvement in markets through government business enterprises, direct ownership of assets and the competitive neutrality policy, with a view to reducing government involvement where there is no longer a clear public interest need.</w:t>
      </w:r>
    </w:p>
    <w:p w14:paraId="66E4270B" w14:textId="77777777" w:rsidR="00CF477E" w:rsidRPr="008625DC" w:rsidRDefault="00CF477E" w:rsidP="00923A4E">
      <w:pPr>
        <w:pStyle w:val="Heading2NotNumbered"/>
        <w:rPr>
          <w:color w:val="000000" w:themeColor="text1"/>
        </w:rPr>
      </w:pPr>
      <w:bookmarkStart w:id="36789" w:name="_Toc397413379"/>
      <w:bookmarkStart w:id="36790" w:name="_Toc397413526"/>
      <w:r w:rsidRPr="008625DC">
        <w:rPr>
          <w:color w:val="000000" w:themeColor="text1"/>
        </w:rPr>
        <w:t>Scope of the review</w:t>
      </w:r>
      <w:bookmarkEnd w:id="36789"/>
      <w:bookmarkEnd w:id="36790"/>
    </w:p>
    <w:p w14:paraId="59BACF40" w14:textId="6E8F1AD3" w:rsidR="00CF477E" w:rsidRPr="008625DC" w:rsidRDefault="00CF477E" w:rsidP="00776842">
      <w:pPr>
        <w:pStyle w:val="OutlineNumbered1"/>
        <w:numPr>
          <w:ilvl w:val="0"/>
          <w:numId w:val="14"/>
        </w:numPr>
        <w:spacing w:after="120" w:line="240" w:lineRule="auto"/>
        <w:jc w:val="left"/>
      </w:pPr>
      <w:r w:rsidRPr="008625DC">
        <w:t>The Review Panel is to inquire into and make recommendations on appropriate reforms to improve the Australian economy and the welfare of Australians, not limited to the legislation governing Australia</w:t>
      </w:r>
      <w:r w:rsidR="00C74E19" w:rsidRPr="008625DC">
        <w:t>’</w:t>
      </w:r>
      <w:r w:rsidRPr="008625DC">
        <w:t>s competition policy, in regard to achieving competitive and productive markets throughout the economy, by identifying and removing impediments to competition that are not in the long</w:t>
      </w:r>
      <w:r w:rsidR="00C74E19" w:rsidRPr="008625DC">
        <w:noBreakHyphen/>
      </w:r>
      <w:r w:rsidRPr="008625DC">
        <w:t>term interest of consumers or the public interest, having regard to the following principles and the policy priorities:</w:t>
      </w:r>
    </w:p>
    <w:p w14:paraId="6EADA68F" w14:textId="514CE41D"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no participant in the market should be able to engage in anti</w:t>
      </w:r>
      <w:r w:rsidR="00C74E19" w:rsidRPr="008625DC">
        <w:noBreakHyphen/>
      </w:r>
      <w:r w:rsidRPr="008625DC">
        <w:t>competitive conduct against the public interest within that market and its broader value chain;</w:t>
      </w:r>
    </w:p>
    <w:p w14:paraId="16DBB3C3"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productivity boosting microeconomic reform should be identified, centred on the realisation of fair, transparent and open competition that drives productivity, stronger real wage growth and higher standards of living;</w:t>
      </w:r>
    </w:p>
    <w:p w14:paraId="058C0467"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government should not be a substitute for the private sector where markets are, or can, function effectively or where contestability can be realised; and</w:t>
      </w:r>
    </w:p>
    <w:p w14:paraId="67919E9C" w14:textId="77777777" w:rsidR="00CF477E" w:rsidRPr="008625DC" w:rsidRDefault="00CF477E" w:rsidP="00776842">
      <w:pPr>
        <w:pStyle w:val="OutlineNumbered2"/>
        <w:numPr>
          <w:ilvl w:val="1"/>
          <w:numId w:val="14"/>
        </w:numPr>
        <w:tabs>
          <w:tab w:val="clear" w:pos="993"/>
          <w:tab w:val="num" w:pos="1134"/>
        </w:tabs>
        <w:spacing w:line="240" w:lineRule="auto"/>
        <w:ind w:left="1134"/>
        <w:jc w:val="left"/>
      </w:pPr>
      <w:r w:rsidRPr="008625DC">
        <w:t>the need to be mindful of removing wherever possible, the regulatory burden on business when assessing the costs and benefits of competition regulation.</w:t>
      </w:r>
    </w:p>
    <w:p w14:paraId="587EB38B" w14:textId="6C07C60C" w:rsidR="00CF477E" w:rsidRPr="008625DC" w:rsidRDefault="00CF477E" w:rsidP="00776842">
      <w:pPr>
        <w:pStyle w:val="OutlineNumbered1"/>
        <w:numPr>
          <w:ilvl w:val="0"/>
          <w:numId w:val="14"/>
        </w:numPr>
        <w:spacing w:line="240" w:lineRule="auto"/>
        <w:jc w:val="left"/>
      </w:pPr>
      <w:r w:rsidRPr="008625DC">
        <w:lastRenderedPageBreak/>
        <w:t>The Review Panel should also consider and make recommendations where appropriate, aimed at ensuring Australia</w:t>
      </w:r>
      <w:r w:rsidR="00C74E19" w:rsidRPr="008625DC">
        <w:t>’</w:t>
      </w:r>
      <w:r w:rsidRPr="008625DC">
        <w:t>s competition regulation, policy, and regulatory agencies are effective in protecting and facilitating competition, provide incentives for innovation and creativity in business, and meet world</w:t>
      </w:r>
      <w:r w:rsidR="00C74E19" w:rsidRPr="008625DC">
        <w:t>’</w:t>
      </w:r>
      <w:r w:rsidRPr="008625DC">
        <w:t>s best practice.</w:t>
      </w:r>
    </w:p>
    <w:p w14:paraId="0FBAB26B" w14:textId="77777777" w:rsidR="00CF477E" w:rsidRPr="008625DC" w:rsidRDefault="00CF477E" w:rsidP="00776842">
      <w:pPr>
        <w:pStyle w:val="OutlineNumbered1"/>
        <w:numPr>
          <w:ilvl w:val="0"/>
          <w:numId w:val="14"/>
        </w:numPr>
        <w:spacing w:after="120" w:line="240" w:lineRule="auto"/>
        <w:jc w:val="left"/>
        <w:rPr>
          <w:iCs/>
        </w:rPr>
      </w:pPr>
      <w:r w:rsidRPr="008625DC">
        <w:t xml:space="preserve">The Review Panel should also consider whether the CCA and regulatory agencies are operating effectively, having regard to the regulatory balance between the Commonwealth and the States and Territories, increasing globalisation and developments in international markets, changing market and social structures, technological change, and the need to minimise business compliance costs, including: </w:t>
      </w:r>
    </w:p>
    <w:p w14:paraId="085B5AF6" w14:textId="69276E19" w:rsidR="00CF477E" w:rsidRPr="008625DC" w:rsidRDefault="00CF477E" w:rsidP="00776842">
      <w:pPr>
        <w:pStyle w:val="OutlineNumbered2"/>
        <w:numPr>
          <w:ilvl w:val="1"/>
          <w:numId w:val="14"/>
        </w:numPr>
        <w:tabs>
          <w:tab w:val="clear" w:pos="993"/>
          <w:tab w:val="num" w:pos="1134"/>
        </w:tabs>
        <w:spacing w:line="240" w:lineRule="auto"/>
        <w:ind w:left="1134"/>
        <w:jc w:val="left"/>
        <w:rPr>
          <w:iCs/>
        </w:rPr>
      </w:pPr>
      <w:r w:rsidRPr="008625DC">
        <w:rPr>
          <w:iCs/>
        </w:rPr>
        <w:t>considering whether Australia</w:t>
      </w:r>
      <w:r w:rsidR="00C74E19" w:rsidRPr="008625DC">
        <w:rPr>
          <w:iCs/>
        </w:rPr>
        <w:t>’</w:t>
      </w:r>
      <w:r w:rsidRPr="008625DC">
        <w:rPr>
          <w:iCs/>
        </w:rPr>
        <w:t xml:space="preserve">s highly codified competition law is responsive, effective and certain in its support of its economic policy objectives; </w:t>
      </w:r>
    </w:p>
    <w:p w14:paraId="33BD49AA" w14:textId="77777777" w:rsidR="00CF477E" w:rsidRPr="008625DC" w:rsidRDefault="00CF477E" w:rsidP="00923A4E">
      <w:pPr>
        <w:pStyle w:val="OutlineNumbered2"/>
        <w:numPr>
          <w:ilvl w:val="1"/>
          <w:numId w:val="14"/>
        </w:numPr>
        <w:tabs>
          <w:tab w:val="clear" w:pos="993"/>
          <w:tab w:val="num" w:pos="1134"/>
        </w:tabs>
        <w:spacing w:after="120" w:line="240" w:lineRule="auto"/>
        <w:ind w:left="1134"/>
        <w:jc w:val="left"/>
        <w:rPr>
          <w:iCs/>
        </w:rPr>
      </w:pPr>
      <w:r w:rsidRPr="008625DC">
        <w:rPr>
          <w:iCs/>
        </w:rPr>
        <w:t>examining whether the operations and processes of regulatory agencies are transparent, efficient, subject to appropriate external scrutiny and provide reasonable regulatory certainty;</w:t>
      </w:r>
    </w:p>
    <w:p w14:paraId="7FBFBE5E"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rPr>
          <w:iCs/>
        </w:rPr>
      </w:pPr>
      <w:r w:rsidRPr="008625DC">
        <w:t>ensuring that the CCA appropriately protects the competitive process and facilitates competition, including by (but not limited to):</w:t>
      </w:r>
    </w:p>
    <w:p w14:paraId="79F72484" w14:textId="77777777" w:rsidR="00CF477E" w:rsidRPr="008625DC" w:rsidRDefault="00CF477E" w:rsidP="003C70A8">
      <w:pPr>
        <w:pStyle w:val="OutlineNumbered3"/>
      </w:pPr>
      <w:r w:rsidRPr="008625DC">
        <w:t xml:space="preserve">examining whether current legislative provisions are functioning as intended in light of actual experience and precedent; </w:t>
      </w:r>
    </w:p>
    <w:p w14:paraId="1940CC46" w14:textId="32822DAC" w:rsidR="00CF477E" w:rsidRPr="008625DC" w:rsidRDefault="00CF477E" w:rsidP="003C70A8">
      <w:pPr>
        <w:pStyle w:val="OutlineNumbered3"/>
        <w:rPr>
          <w:iCs/>
        </w:rPr>
      </w:pPr>
      <w:r w:rsidRPr="008625DC">
        <w:t>considering whether the misuse of market power provisions effectively prohibit anti</w:t>
      </w:r>
      <w:r w:rsidR="00C74E19" w:rsidRPr="008625DC">
        <w:noBreakHyphen/>
      </w:r>
      <w:r w:rsidRPr="008625DC">
        <w:t>competitive conduct and are sufficient to: address the breadth of matters expected of them; capture all behaviours of concern; and support the growth of efficient businesses regardless of their size;</w:t>
      </w:r>
    </w:p>
    <w:p w14:paraId="65E957B1" w14:textId="77777777" w:rsidR="00CF477E" w:rsidRPr="008625DC" w:rsidRDefault="00CF477E" w:rsidP="003C70A8">
      <w:pPr>
        <w:pStyle w:val="OutlineNumbered3"/>
        <w:rPr>
          <w:iCs/>
        </w:rPr>
      </w:pPr>
      <w:r w:rsidRPr="008625DC">
        <w:t xml:space="preserve">considering whether areas that are currently uncertain or rarely used in Australian law could be framed and administered more effectively; </w:t>
      </w:r>
    </w:p>
    <w:p w14:paraId="43D61F55" w14:textId="77777777" w:rsidR="00CF477E" w:rsidRPr="008625DC" w:rsidRDefault="00CF477E" w:rsidP="003C70A8">
      <w:pPr>
        <w:pStyle w:val="OutlineNumbered3"/>
      </w:pPr>
      <w:r w:rsidRPr="008625DC">
        <w:t xml:space="preserve">considering whether the framework for industry codes of conduct (with reference to State and Territory codes where relevant) and protections against unfair and unconscionable conduct, provide an adequate mechanism to encourage reasonable business dealings across the economy—particularly in relation to small business; </w:t>
      </w:r>
    </w:p>
    <w:p w14:paraId="087CC74A" w14:textId="05DD6A0B" w:rsidR="00CF477E" w:rsidRPr="008625DC" w:rsidRDefault="00CF477E" w:rsidP="003C70A8">
      <w:pPr>
        <w:pStyle w:val="OutlineNumbered3"/>
        <w:rPr>
          <w:iCs/>
        </w:rPr>
      </w:pPr>
      <w:r w:rsidRPr="008625DC">
        <w:t>whether existing exemptions from competition law and/or historic sector</w:t>
      </w:r>
      <w:r w:rsidR="00C74E19" w:rsidRPr="008625DC">
        <w:noBreakHyphen/>
      </w:r>
      <w:r w:rsidRPr="008625DC">
        <w:t xml:space="preserve">specific arrangements (e.g. conditional offers between related businesses and immunities for providers of liner shipping services) are still warranted; and </w:t>
      </w:r>
    </w:p>
    <w:p w14:paraId="35F61955" w14:textId="2700D935" w:rsidR="00CF477E" w:rsidRPr="008625DC" w:rsidRDefault="00CF477E" w:rsidP="003C70A8">
      <w:pPr>
        <w:pStyle w:val="OutlineNumbered3"/>
        <w:rPr>
          <w:iCs/>
        </w:rPr>
      </w:pPr>
      <w:r w:rsidRPr="008625DC">
        <w:t>considering whether the National Access Regime contained in Part IIIA of the CCA (taking into account the Productivity Commission</w:t>
      </w:r>
      <w:r w:rsidR="00C74E19" w:rsidRPr="008625DC">
        <w:t>’</w:t>
      </w:r>
      <w:r w:rsidRPr="008625DC">
        <w:t>s recent inquiry) is adequate; and</w:t>
      </w:r>
      <w:r w:rsidR="003D765F" w:rsidRPr="008625DC">
        <w:t>,</w:t>
      </w:r>
      <w:r w:rsidRPr="008625DC">
        <w:t xml:space="preserve"> </w:t>
      </w:r>
    </w:p>
    <w:p w14:paraId="3D36953D"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whether competition regulations, enforcement arrangements and appeal mechanisms are in line with international best practice, and:</w:t>
      </w:r>
    </w:p>
    <w:p w14:paraId="72082A50" w14:textId="35EDE1ED" w:rsidR="00CF477E" w:rsidRPr="008625DC" w:rsidRDefault="00CF477E" w:rsidP="003C70A8">
      <w:pPr>
        <w:pStyle w:val="OutlineNumbered3"/>
      </w:pPr>
      <w:r w:rsidRPr="008625DC">
        <w:t>foster a productive and cost</w:t>
      </w:r>
      <w:r w:rsidR="00C74E19" w:rsidRPr="008625DC">
        <w:noBreakHyphen/>
      </w:r>
      <w:r w:rsidRPr="008625DC">
        <w:t xml:space="preserve">minimising interface between the Australian Competition and Consumer Commission (ACCC) and industry (for instance, through applications for immunity or merger clearances) that is simple, effective and well designed; </w:t>
      </w:r>
    </w:p>
    <w:p w14:paraId="3E4C2125" w14:textId="6D2B9816" w:rsidR="00CF477E" w:rsidRPr="008625DC" w:rsidRDefault="00CF477E" w:rsidP="003C70A8">
      <w:pPr>
        <w:pStyle w:val="OutlineNumbered3"/>
        <w:spacing w:after="60"/>
      </w:pPr>
      <w:r w:rsidRPr="008625DC">
        <w:t>provide appropriate mechanisms for enforcement and seeking redress including</w:t>
      </w:r>
      <w:r w:rsidR="003D765F" w:rsidRPr="008625DC">
        <w:t>:</w:t>
      </w:r>
      <w:r w:rsidRPr="008625DC">
        <w:t xml:space="preserve"> </w:t>
      </w:r>
    </w:p>
    <w:p w14:paraId="09A05971" w14:textId="77777777" w:rsidR="00CF477E" w:rsidRPr="008625DC" w:rsidRDefault="00CF477E" w:rsidP="003C70A8">
      <w:pPr>
        <w:pStyle w:val="Bullet"/>
        <w:tabs>
          <w:tab w:val="clear" w:pos="566"/>
          <w:tab w:val="left" w:pos="1985"/>
        </w:tabs>
        <w:spacing w:before="0" w:after="60" w:line="280" w:lineRule="exact"/>
        <w:ind w:left="1985" w:hanging="284"/>
      </w:pPr>
      <w:r w:rsidRPr="008625DC">
        <w:t xml:space="preserve">whether administration and enforcement of competition laws is being carried out in an effective, transparent and consistent way; </w:t>
      </w:r>
    </w:p>
    <w:p w14:paraId="67940516" w14:textId="77777777" w:rsidR="00CF477E" w:rsidRPr="008625DC" w:rsidRDefault="00CF477E" w:rsidP="003C70A8">
      <w:pPr>
        <w:pStyle w:val="Bullet"/>
        <w:tabs>
          <w:tab w:val="clear" w:pos="566"/>
          <w:tab w:val="left" w:pos="1985"/>
        </w:tabs>
        <w:spacing w:before="0" w:after="60" w:line="280" w:lineRule="exact"/>
        <w:ind w:left="1985" w:hanging="284"/>
      </w:pPr>
      <w:r w:rsidRPr="008625DC">
        <w:lastRenderedPageBreak/>
        <w:t>whether enforcement and redress mechanisms can be effectively used by people to enforce their rights—by small businesses in particular; and</w:t>
      </w:r>
    </w:p>
    <w:p w14:paraId="3494104F" w14:textId="7F5C3BE4" w:rsidR="00CF477E" w:rsidRPr="008625DC" w:rsidRDefault="00CF477E" w:rsidP="003C70A8">
      <w:pPr>
        <w:pStyle w:val="Bullet"/>
        <w:tabs>
          <w:tab w:val="clear" w:pos="566"/>
          <w:tab w:val="left" w:pos="1985"/>
        </w:tabs>
        <w:spacing w:before="0" w:line="280" w:lineRule="exact"/>
        <w:ind w:left="1985" w:hanging="284"/>
      </w:pPr>
      <w:r w:rsidRPr="008625DC">
        <w:t>the extent to which new enforcement powers, remedies or enhanced penalties might be necessary and appropriate to prohibit anti</w:t>
      </w:r>
      <w:r w:rsidR="00C74E19" w:rsidRPr="008625DC">
        <w:noBreakHyphen/>
      </w:r>
      <w:r w:rsidRPr="008625DC">
        <w:t>competitive conduct, and</w:t>
      </w:r>
    </w:p>
    <w:p w14:paraId="2F426F15" w14:textId="16ABD7AC" w:rsidR="00CF477E" w:rsidRPr="008625DC" w:rsidRDefault="00CF477E" w:rsidP="003C70A8">
      <w:pPr>
        <w:pStyle w:val="OutlineNumbered3"/>
        <w:spacing w:after="240"/>
      </w:pPr>
      <w:r w:rsidRPr="008625DC">
        <w:t>can adequately address competition issues in emerging markets and across new technologies, particularly e</w:t>
      </w:r>
      <w:r w:rsidR="00C74E19" w:rsidRPr="008625DC">
        <w:noBreakHyphen/>
      </w:r>
      <w:r w:rsidRPr="008625DC">
        <w:t>commerce environments, to promote entrepreneurship and innovation.</w:t>
      </w:r>
    </w:p>
    <w:p w14:paraId="22AC3DF1" w14:textId="42890A60" w:rsidR="00CF477E" w:rsidRPr="008625DC" w:rsidRDefault="00CF477E" w:rsidP="00776842">
      <w:pPr>
        <w:pStyle w:val="OutlineNumbered1"/>
        <w:numPr>
          <w:ilvl w:val="0"/>
          <w:numId w:val="14"/>
        </w:numPr>
        <w:tabs>
          <w:tab w:val="clear" w:pos="567"/>
        </w:tabs>
        <w:spacing w:after="120" w:line="240" w:lineRule="auto"/>
        <w:jc w:val="left"/>
      </w:pPr>
      <w:r w:rsidRPr="008625DC">
        <w:t>The Review Panel should inquire into and advise on appropriate changes to legislation, institutional arrangements and other measures in relation to the matters below, having regard to the impact on long</w:t>
      </w:r>
      <w:r w:rsidR="00C74E19" w:rsidRPr="008625DC">
        <w:noBreakHyphen/>
      </w:r>
      <w:r w:rsidRPr="008625DC">
        <w:t xml:space="preserve">term consumer benefits in relation to value, innovation, choice and access to goods and services, and the capacity of Australian business to compete both domestically and internationally. In particular, the Review Panel should: </w:t>
      </w:r>
    </w:p>
    <w:p w14:paraId="44D0FAB3"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examine the structure and behaviour of markets with natural monopoly characteristics with a view to determining whether the existing regulatory frameworks are leading to efficient outcomes and whether there are opportunities to increase competition;</w:t>
      </w:r>
    </w:p>
    <w:p w14:paraId="202E8F0E"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examine whether key markets — including, but not limited to, groceries, utilities and automotive fuel — are competitive and whether changes to the scope of the CCA and related laws are necessary to enhance consumer, producer, supplier and retailer opportunities in those markets and their broader value chains;</w:t>
      </w:r>
    </w:p>
    <w:p w14:paraId="3532C063" w14:textId="5DBC51FD"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consider alternative means for addressing anti</w:t>
      </w:r>
      <w:r w:rsidR="00C74E19" w:rsidRPr="008625DC">
        <w:noBreakHyphen/>
      </w:r>
      <w:r w:rsidRPr="008625DC">
        <w:t xml:space="preserve">competitive market structure, composition and behaviour currently outside the scope of the CCA; </w:t>
      </w:r>
    </w:p>
    <w:p w14:paraId="770B678F"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 xml:space="preserve">consider the impact of concentration and vertical integration in key Australian markets on the welfare of Australians ensuring that any changes to the coverage and nature of competition policy is consistent with national economic policy objectives; </w:t>
      </w:r>
    </w:p>
    <w:p w14:paraId="0B90D1BD" w14:textId="77777777" w:rsidR="00CF477E" w:rsidRPr="008625DC" w:rsidRDefault="00CF477E" w:rsidP="00776842">
      <w:pPr>
        <w:pStyle w:val="OutlineNumbered2"/>
        <w:numPr>
          <w:ilvl w:val="1"/>
          <w:numId w:val="14"/>
        </w:numPr>
        <w:tabs>
          <w:tab w:val="clear" w:pos="993"/>
          <w:tab w:val="num" w:pos="1134"/>
        </w:tabs>
        <w:spacing w:after="120" w:line="240" w:lineRule="auto"/>
        <w:ind w:left="1134"/>
        <w:jc w:val="left"/>
      </w:pPr>
      <w:r w:rsidRPr="008625DC">
        <w:t xml:space="preserve">identify opportunities for removing unnecessary and inefficient barriers to entry and competition, reducing complexity and eliminating administrative duplication; and </w:t>
      </w:r>
    </w:p>
    <w:p w14:paraId="4DCAEBA4" w14:textId="77777777" w:rsidR="00CF477E" w:rsidRPr="008625DC" w:rsidRDefault="00CF477E" w:rsidP="00776842">
      <w:pPr>
        <w:pStyle w:val="OutlineNumbered2"/>
        <w:numPr>
          <w:ilvl w:val="1"/>
          <w:numId w:val="14"/>
        </w:numPr>
        <w:tabs>
          <w:tab w:val="clear" w:pos="993"/>
          <w:tab w:val="num" w:pos="1134"/>
        </w:tabs>
        <w:spacing w:line="240" w:lineRule="auto"/>
        <w:ind w:left="1134"/>
        <w:jc w:val="left"/>
      </w:pPr>
      <w:r w:rsidRPr="008625DC">
        <w:t>consider ways to ensure Australians can access goods and services at internationally competitive prices, including examining any remaining parallel import restrictions and international price discrimination.</w:t>
      </w:r>
    </w:p>
    <w:p w14:paraId="7CBEE451" w14:textId="17FB077B" w:rsidR="00CF477E" w:rsidRPr="008625DC" w:rsidRDefault="00CF477E" w:rsidP="00776842">
      <w:pPr>
        <w:pStyle w:val="OutlineNumbered1"/>
        <w:numPr>
          <w:ilvl w:val="0"/>
          <w:numId w:val="14"/>
        </w:numPr>
        <w:spacing w:line="240" w:lineRule="auto"/>
        <w:jc w:val="left"/>
      </w:pPr>
      <w:r w:rsidRPr="008625DC">
        <w:t>The Review Panel should also examine whether government business activities and services providers serve the public interest and promote competition and productivity, including consideration of separating government funding of services from service provision, privatisation, corporatisation, price regulation that improves price signals in non</w:t>
      </w:r>
      <w:r w:rsidR="00C74E19" w:rsidRPr="008625DC">
        <w:noBreakHyphen/>
      </w:r>
      <w:r w:rsidRPr="008625DC">
        <w:t>competitive segments, and competitive neutrality policy.</w:t>
      </w:r>
    </w:p>
    <w:p w14:paraId="4249ED4A" w14:textId="784F916E" w:rsidR="00CF477E" w:rsidRPr="008625DC" w:rsidRDefault="00CF477E" w:rsidP="00776842">
      <w:pPr>
        <w:pStyle w:val="OutlineNumbered1"/>
        <w:numPr>
          <w:ilvl w:val="0"/>
          <w:numId w:val="14"/>
        </w:numPr>
        <w:spacing w:line="240" w:lineRule="auto"/>
        <w:jc w:val="left"/>
      </w:pPr>
      <w:r w:rsidRPr="008625DC">
        <w:t>The Review Panel should consider and make recommendations on the most appropriate ways to enhance competition, by removing regulation and by working with stakeholders to put in place economic devices that ensure a fair balance between regulatory expectations of the community and self</w:t>
      </w:r>
      <w:r w:rsidR="00C74E19" w:rsidRPr="008625DC">
        <w:noBreakHyphen/>
      </w:r>
      <w:r w:rsidRPr="008625DC">
        <w:t>regulation, free markets and the promotion of competition.</w:t>
      </w:r>
    </w:p>
    <w:p w14:paraId="2920FF15" w14:textId="77777777" w:rsidR="00CF477E" w:rsidRPr="008625DC" w:rsidRDefault="00CF477E" w:rsidP="00CF477E">
      <w:pPr>
        <w:rPr>
          <w:szCs w:val="22"/>
        </w:rPr>
      </w:pPr>
      <w:r w:rsidRPr="008625DC">
        <w:rPr>
          <w:szCs w:val="22"/>
        </w:rPr>
        <w:t>The Review Panel should consider overseas experience insofar as it may be useful for the review.</w:t>
      </w:r>
    </w:p>
    <w:p w14:paraId="71E6A23E" w14:textId="12B834F8" w:rsidR="00CF477E" w:rsidRPr="008625DC" w:rsidRDefault="00CF477E" w:rsidP="00CF477E">
      <w:pPr>
        <w:rPr>
          <w:szCs w:val="22"/>
        </w:rPr>
      </w:pPr>
      <w:r w:rsidRPr="008625DC">
        <w:rPr>
          <w:szCs w:val="22"/>
        </w:rPr>
        <w:t>The Review Panel may, where appropriate, draw on (but should not duplicate or re</w:t>
      </w:r>
      <w:r w:rsidR="00C74E19" w:rsidRPr="008625DC">
        <w:rPr>
          <w:szCs w:val="22"/>
        </w:rPr>
        <w:noBreakHyphen/>
      </w:r>
      <w:r w:rsidRPr="008625DC">
        <w:rPr>
          <w:szCs w:val="22"/>
        </w:rPr>
        <w:t>visit) the work of</w:t>
      </w:r>
      <w:r w:rsidR="003C70A8" w:rsidRPr="008625DC">
        <w:rPr>
          <w:szCs w:val="22"/>
        </w:rPr>
        <w:t> </w:t>
      </w:r>
      <w:r w:rsidRPr="008625DC">
        <w:rPr>
          <w:szCs w:val="22"/>
        </w:rPr>
        <w:t>other recent or current comprehensive reviews, such as the Commission of Audit and the Cost</w:t>
      </w:r>
      <w:r w:rsidR="00C74E19" w:rsidRPr="008625DC">
        <w:rPr>
          <w:szCs w:val="22"/>
        </w:rPr>
        <w:noBreakHyphen/>
      </w:r>
      <w:r w:rsidRPr="008625DC">
        <w:rPr>
          <w:szCs w:val="22"/>
        </w:rPr>
        <w:t>Benefit Analysis and Regulatory Review for the National Broadband Network.</w:t>
      </w:r>
    </w:p>
    <w:p w14:paraId="37EB07A8" w14:textId="77777777" w:rsidR="00CF477E" w:rsidRPr="008625DC" w:rsidRDefault="00CF477E" w:rsidP="00CF477E">
      <w:pPr>
        <w:rPr>
          <w:szCs w:val="22"/>
        </w:rPr>
      </w:pPr>
      <w:r w:rsidRPr="008625DC">
        <w:rPr>
          <w:szCs w:val="22"/>
        </w:rPr>
        <w:lastRenderedPageBreak/>
        <w:t xml:space="preserve">The Review Panel should only consider the Australian Consumer Law (Schedule 2 of the CCA) and corresponding provisions in Part 2, Division 2 of the </w:t>
      </w:r>
      <w:r w:rsidRPr="008625DC">
        <w:rPr>
          <w:i/>
          <w:szCs w:val="22"/>
        </w:rPr>
        <w:t>Australian Securities and Investments Commission Act 2001</w:t>
      </w:r>
      <w:r w:rsidRPr="008625DC">
        <w:rPr>
          <w:szCs w:val="22"/>
        </w:rPr>
        <w:t>, to the extent they relate to protections (such as from unfair and unconscionable conduct) for small businesses.</w:t>
      </w:r>
    </w:p>
    <w:p w14:paraId="4E91777F" w14:textId="77777777" w:rsidR="00CF477E" w:rsidRPr="008625DC" w:rsidRDefault="00CF477E" w:rsidP="003C70A8">
      <w:pPr>
        <w:pStyle w:val="Heading2NotNumbered"/>
        <w:rPr>
          <w:color w:val="000000" w:themeColor="text1"/>
        </w:rPr>
      </w:pPr>
      <w:bookmarkStart w:id="36791" w:name="_Toc397413380"/>
      <w:bookmarkStart w:id="36792" w:name="_Toc397413527"/>
      <w:r w:rsidRPr="008625DC">
        <w:rPr>
          <w:color w:val="000000" w:themeColor="text1"/>
        </w:rPr>
        <w:t>Process</w:t>
      </w:r>
      <w:bookmarkEnd w:id="36791"/>
      <w:bookmarkEnd w:id="36792"/>
    </w:p>
    <w:p w14:paraId="3DA21735" w14:textId="77777777" w:rsidR="00CF477E" w:rsidRPr="008625DC" w:rsidRDefault="00CF477E" w:rsidP="00CF477E">
      <w:pPr>
        <w:rPr>
          <w:szCs w:val="22"/>
        </w:rPr>
      </w:pPr>
      <w:r w:rsidRPr="008625DC">
        <w:rPr>
          <w:szCs w:val="22"/>
        </w:rPr>
        <w:t>The Review Panel is to ensure thorough engagement with all interested stakeholders. At a minimum, the Review Panel should publish an issues paper, hold public hearings and receive written submissions from all interested parties.</w:t>
      </w:r>
    </w:p>
    <w:p w14:paraId="0E611E74" w14:textId="30EC60F1" w:rsidR="002C7416" w:rsidRPr="008625DC" w:rsidRDefault="00CF477E" w:rsidP="00CF477E">
      <w:pPr>
        <w:rPr>
          <w:szCs w:val="22"/>
        </w:rPr>
      </w:pPr>
      <w:r w:rsidRPr="008625DC">
        <w:rPr>
          <w:szCs w:val="22"/>
        </w:rPr>
        <w:t>The Review Panel should subsequently publish a draft report and hold further public consultations, before providing a final report to the Government within 12 months.</w:t>
      </w:r>
    </w:p>
    <w:p w14:paraId="774FCC26" w14:textId="77777777" w:rsidR="002C7416" w:rsidRPr="008625DC" w:rsidRDefault="002C7416">
      <w:pPr>
        <w:spacing w:before="0" w:after="0"/>
        <w:rPr>
          <w:szCs w:val="22"/>
        </w:rPr>
      </w:pPr>
      <w:r w:rsidRPr="008625DC">
        <w:rPr>
          <w:szCs w:val="22"/>
        </w:rPr>
        <w:br w:type="page"/>
      </w:r>
    </w:p>
    <w:p w14:paraId="5280989E" w14:textId="77946BD9" w:rsidR="002C7416" w:rsidRPr="008625DC" w:rsidRDefault="002C7416" w:rsidP="00392423">
      <w:pPr>
        <w:pStyle w:val="PartHeading"/>
      </w:pPr>
      <w:bookmarkStart w:id="36793" w:name="_Toc394505993"/>
      <w:bookmarkStart w:id="36794" w:name="_Toc394506233"/>
      <w:bookmarkStart w:id="36795" w:name="_Toc394506451"/>
      <w:bookmarkStart w:id="36796" w:name="_Toc394506570"/>
      <w:bookmarkStart w:id="36797" w:name="_Toc394507005"/>
      <w:bookmarkStart w:id="36798" w:name="_Toc394507124"/>
      <w:bookmarkStart w:id="36799" w:name="_Toc394561080"/>
      <w:bookmarkStart w:id="36800" w:name="_Toc394561203"/>
      <w:bookmarkStart w:id="36801" w:name="_Toc394561541"/>
      <w:bookmarkStart w:id="36802" w:name="_Toc394562036"/>
      <w:bookmarkStart w:id="36803" w:name="_Toc394583053"/>
      <w:bookmarkStart w:id="36804" w:name="_Toc394585724"/>
      <w:bookmarkStart w:id="36805" w:name="_Toc394586191"/>
      <w:bookmarkStart w:id="36806" w:name="_Toc394588123"/>
      <w:bookmarkStart w:id="36807" w:name="_Toc394588958"/>
      <w:bookmarkStart w:id="36808" w:name="_Toc394589083"/>
      <w:bookmarkStart w:id="36809" w:name="_Toc394590498"/>
      <w:bookmarkStart w:id="36810" w:name="_Toc394590691"/>
      <w:bookmarkStart w:id="36811" w:name="_Toc394654627"/>
      <w:bookmarkStart w:id="36812" w:name="_Toc394654751"/>
      <w:bookmarkStart w:id="36813" w:name="_Toc394656326"/>
      <w:bookmarkStart w:id="36814" w:name="_Toc394656447"/>
      <w:bookmarkStart w:id="36815" w:name="_Toc394659464"/>
      <w:bookmarkStart w:id="36816" w:name="_Toc394659585"/>
      <w:bookmarkStart w:id="36817" w:name="_Toc394663476"/>
      <w:bookmarkStart w:id="36818" w:name="_Toc394663595"/>
      <w:bookmarkStart w:id="36819" w:name="_Toc394667270"/>
      <w:bookmarkStart w:id="36820" w:name="_Toc394667389"/>
      <w:bookmarkStart w:id="36821" w:name="_Toc394671753"/>
      <w:bookmarkStart w:id="36822" w:name="_Toc394671873"/>
      <w:bookmarkStart w:id="36823" w:name="_Toc394674758"/>
      <w:bookmarkStart w:id="36824" w:name="_Toc394674877"/>
      <w:bookmarkStart w:id="36825" w:name="_Toc394675038"/>
      <w:bookmarkStart w:id="36826" w:name="_Toc394675434"/>
      <w:bookmarkStart w:id="36827" w:name="_Toc394676145"/>
      <w:bookmarkStart w:id="36828" w:name="_Toc394676264"/>
      <w:bookmarkStart w:id="36829" w:name="_Toc394675834"/>
      <w:bookmarkStart w:id="36830" w:name="_Toc394675953"/>
      <w:bookmarkStart w:id="36831" w:name="_Toc394918356"/>
      <w:bookmarkStart w:id="36832" w:name="_Toc394918870"/>
      <w:bookmarkStart w:id="36833" w:name="_Toc394930843"/>
      <w:bookmarkStart w:id="36834" w:name="_Toc394932076"/>
      <w:bookmarkStart w:id="36835" w:name="_Toc394932193"/>
      <w:bookmarkStart w:id="36836" w:name="_Toc394933829"/>
      <w:bookmarkStart w:id="36837" w:name="_Toc394934034"/>
      <w:bookmarkStart w:id="36838" w:name="_Toc394934338"/>
      <w:bookmarkStart w:id="36839" w:name="_Toc394934455"/>
      <w:bookmarkStart w:id="36840" w:name="_Toc394937471"/>
      <w:bookmarkStart w:id="36841" w:name="_Toc394936016"/>
      <w:bookmarkStart w:id="36842" w:name="_Toc394936324"/>
      <w:bookmarkStart w:id="36843" w:name="_Toc394936444"/>
      <w:bookmarkStart w:id="36844" w:name="_Toc394938893"/>
      <w:bookmarkStart w:id="36845" w:name="_Toc394939200"/>
      <w:bookmarkStart w:id="36846" w:name="_Toc394939319"/>
      <w:bookmarkStart w:id="36847" w:name="_Toc394938278"/>
      <w:bookmarkStart w:id="36848" w:name="_Toc394938585"/>
      <w:bookmarkStart w:id="36849" w:name="_Toc394938704"/>
      <w:bookmarkStart w:id="36850" w:name="_Toc397070620"/>
      <w:bookmarkStart w:id="36851" w:name="_Toc397413381"/>
      <w:bookmarkStart w:id="36852" w:name="_Toc397413528"/>
      <w:bookmarkStart w:id="36853" w:name="_Toc397428090"/>
      <w:bookmarkStart w:id="36854" w:name="_Toc397439480"/>
      <w:bookmarkStart w:id="36855" w:name="_Toc397439650"/>
      <w:bookmarkStart w:id="36856" w:name="_Toc397439906"/>
      <w:bookmarkStart w:id="36857" w:name="_Toc397440208"/>
      <w:bookmarkStart w:id="36858" w:name="_Toc397441837"/>
      <w:bookmarkStart w:id="36859" w:name="_Toc397517539"/>
      <w:bookmarkStart w:id="36860" w:name="_Toc397522804"/>
      <w:bookmarkStart w:id="36861" w:name="_Toc397526222"/>
      <w:bookmarkStart w:id="36862" w:name="_Toc397528422"/>
      <w:bookmarkStart w:id="36863" w:name="_Toc397528537"/>
      <w:bookmarkStart w:id="36864" w:name="_Toc397529012"/>
      <w:bookmarkStart w:id="36865" w:name="_Toc397594879"/>
      <w:bookmarkStart w:id="36866" w:name="_Toc397602010"/>
      <w:bookmarkStart w:id="36867" w:name="_Toc397602745"/>
      <w:bookmarkStart w:id="36868" w:name="_Toc397605878"/>
      <w:bookmarkStart w:id="36869" w:name="_Toc397614575"/>
      <w:bookmarkStart w:id="36870" w:name="_Toc397615018"/>
      <w:bookmarkStart w:id="36871" w:name="_Toc397616461"/>
      <w:bookmarkStart w:id="36872" w:name="_Toc397616855"/>
      <w:bookmarkStart w:id="36873" w:name="_Toc397688153"/>
      <w:bookmarkStart w:id="36874" w:name="_Toc397689369"/>
      <w:bookmarkStart w:id="36875" w:name="_Toc397694649"/>
      <w:bookmarkStart w:id="36876" w:name="_Toc397696490"/>
      <w:bookmarkStart w:id="36877" w:name="_Toc397697224"/>
      <w:bookmarkStart w:id="36878" w:name="_Toc397698511"/>
      <w:bookmarkStart w:id="36879" w:name="_Toc397699877"/>
      <w:bookmarkStart w:id="36880" w:name="_Toc397700331"/>
      <w:bookmarkStart w:id="36881" w:name="_Toc397936727"/>
      <w:bookmarkStart w:id="36882" w:name="_Toc397936847"/>
      <w:bookmarkStart w:id="36883" w:name="_Toc397946003"/>
      <w:bookmarkStart w:id="36884" w:name="_Toc397947029"/>
      <w:bookmarkStart w:id="36885" w:name="_Toc397948148"/>
      <w:bookmarkStart w:id="36886" w:name="_Toc397958554"/>
      <w:bookmarkStart w:id="36887" w:name="_Toc397958796"/>
      <w:bookmarkStart w:id="36888" w:name="_Toc397959211"/>
      <w:bookmarkStart w:id="36889" w:name="_Toc397962278"/>
      <w:bookmarkStart w:id="36890" w:name="_Toc397963064"/>
      <w:bookmarkStart w:id="36891" w:name="_Toc397963430"/>
      <w:bookmarkStart w:id="36892" w:name="_Toc397965507"/>
      <w:bookmarkStart w:id="36893" w:name="_Toc398197445"/>
      <w:bookmarkStart w:id="36894" w:name="_Toc398200070"/>
      <w:bookmarkStart w:id="36895" w:name="_Toc398200336"/>
      <w:bookmarkStart w:id="36896" w:name="_Toc398201662"/>
      <w:bookmarkStart w:id="36897" w:name="_Toc398207267"/>
      <w:bookmarkStart w:id="36898" w:name="_Toc398209971"/>
      <w:bookmarkStart w:id="36899" w:name="_Toc398210540"/>
      <w:bookmarkStart w:id="36900" w:name="_Toc398211054"/>
      <w:bookmarkStart w:id="36901" w:name="_Toc398219865"/>
      <w:bookmarkStart w:id="36902" w:name="_Toc398220240"/>
      <w:bookmarkStart w:id="36903" w:name="_Toc398220627"/>
      <w:bookmarkStart w:id="36904" w:name="_Toc398221705"/>
      <w:bookmarkStart w:id="36905" w:name="_Toc398222391"/>
      <w:bookmarkStart w:id="36906" w:name="_Toc398222703"/>
      <w:bookmarkStart w:id="36907" w:name="_Toc398223120"/>
      <w:bookmarkStart w:id="36908" w:name="_Toc398223499"/>
      <w:bookmarkStart w:id="36909" w:name="_Toc398223626"/>
      <w:bookmarkStart w:id="36910" w:name="_Toc398224434"/>
      <w:bookmarkStart w:id="36911" w:name="_Toc398225771"/>
      <w:bookmarkStart w:id="36912" w:name="_Toc398225896"/>
      <w:bookmarkStart w:id="36913" w:name="_Toc398281383"/>
      <w:bookmarkStart w:id="36914" w:name="_Toc398282242"/>
      <w:bookmarkStart w:id="36915" w:name="_Toc398284906"/>
      <w:bookmarkStart w:id="36916" w:name="_Toc398287384"/>
      <w:bookmarkStart w:id="36917" w:name="_Toc398289267"/>
      <w:bookmarkStart w:id="36918" w:name="_Toc398297264"/>
      <w:bookmarkStart w:id="36919" w:name="_Toc398298738"/>
      <w:bookmarkStart w:id="36920" w:name="_Toc398301336"/>
      <w:bookmarkStart w:id="36921" w:name="_Toc398302521"/>
      <w:bookmarkStart w:id="36922" w:name="_Toc398302684"/>
      <w:bookmarkStart w:id="36923" w:name="_Toc398549201"/>
      <w:bookmarkStart w:id="36924" w:name="_Toc398549451"/>
      <w:bookmarkStart w:id="36925" w:name="_Toc398555870"/>
      <w:bookmarkStart w:id="36926" w:name="_Toc398559074"/>
      <w:bookmarkStart w:id="36927" w:name="_Toc398563560"/>
      <w:bookmarkStart w:id="36928" w:name="_Toc398563693"/>
      <w:bookmarkStart w:id="36929" w:name="_Toc398564092"/>
      <w:bookmarkStart w:id="36930" w:name="_Toc398827430"/>
      <w:bookmarkStart w:id="36931" w:name="_Toc398827624"/>
      <w:r w:rsidRPr="008625DC">
        <w:lastRenderedPageBreak/>
        <w:t>Appendix B</w:t>
      </w:r>
      <w:r w:rsidR="00380141" w:rsidRPr="008625DC">
        <w:t xml:space="preserve"> — </w:t>
      </w:r>
      <w:r w:rsidRPr="008625DC">
        <w:t>List of non</w:t>
      </w:r>
      <w:r w:rsidR="00C74E19" w:rsidRPr="008625DC">
        <w:noBreakHyphen/>
      </w:r>
      <w:r w:rsidRPr="008625DC">
        <w:t>confidential submissions</w:t>
      </w:r>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bookmarkEnd w:id="36812"/>
      <w:bookmarkEnd w:id="36813"/>
      <w:bookmarkEnd w:id="36814"/>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bookmarkEnd w:id="36914"/>
      <w:bookmarkEnd w:id="36915"/>
      <w:bookmarkEnd w:id="36916"/>
      <w:bookmarkEnd w:id="36917"/>
      <w:bookmarkEnd w:id="36918"/>
      <w:bookmarkEnd w:id="36919"/>
      <w:bookmarkEnd w:id="36920"/>
      <w:bookmarkEnd w:id="36921"/>
      <w:bookmarkEnd w:id="36922"/>
      <w:bookmarkEnd w:id="36923"/>
      <w:bookmarkEnd w:id="36924"/>
      <w:bookmarkEnd w:id="36925"/>
      <w:bookmarkEnd w:id="36926"/>
      <w:bookmarkEnd w:id="36927"/>
      <w:bookmarkEnd w:id="36928"/>
      <w:bookmarkEnd w:id="36929"/>
      <w:bookmarkEnd w:id="36930"/>
      <w:bookmarkEnd w:id="36931"/>
    </w:p>
    <w:p w14:paraId="2A6BB9D8" w14:textId="345B524B" w:rsidR="002C7416" w:rsidRPr="008625DC" w:rsidRDefault="002C7416" w:rsidP="002C7416">
      <w:pPr>
        <w:spacing w:before="0" w:after="0"/>
        <w:rPr>
          <w:color w:val="auto"/>
        </w:rPr>
      </w:pPr>
      <w:r w:rsidRPr="008625DC">
        <w:rPr>
          <w:color w:val="auto"/>
        </w:rPr>
        <w:t>All 3</w:t>
      </w:r>
      <w:r w:rsidR="002E1BC4" w:rsidRPr="008625DC">
        <w:rPr>
          <w:color w:val="auto"/>
        </w:rPr>
        <w:t>18</w:t>
      </w:r>
      <w:r w:rsidRPr="008625DC">
        <w:rPr>
          <w:color w:val="auto"/>
        </w:rPr>
        <w:t xml:space="preserve"> non</w:t>
      </w:r>
      <w:r w:rsidR="00C74E19" w:rsidRPr="008625DC">
        <w:rPr>
          <w:color w:val="auto"/>
        </w:rPr>
        <w:noBreakHyphen/>
      </w:r>
      <w:r w:rsidRPr="008625DC">
        <w:rPr>
          <w:color w:val="auto"/>
        </w:rPr>
        <w:t xml:space="preserve">confidential submissions can be accessed at: </w:t>
      </w:r>
      <w:hyperlink r:id="rId60" w:history="1">
        <w:r w:rsidR="003D765F" w:rsidRPr="008625DC">
          <w:rPr>
            <w:rStyle w:val="Hyperlink"/>
          </w:rPr>
          <w:t>www.competitionpolicyreview.gov.au/issues</w:t>
        </w:r>
        <w:r w:rsidR="00C74E19" w:rsidRPr="008625DC">
          <w:rPr>
            <w:rStyle w:val="Hyperlink"/>
          </w:rPr>
          <w:noBreakHyphen/>
        </w:r>
        <w:r w:rsidR="003D765F" w:rsidRPr="008625DC">
          <w:rPr>
            <w:rStyle w:val="Hyperlink"/>
          </w:rPr>
          <w:t>paper/submissions</w:t>
        </w:r>
      </w:hyperlink>
      <w:r w:rsidR="003D765F" w:rsidRPr="008625DC">
        <w:rPr>
          <w:color w:val="auto"/>
        </w:rPr>
        <w:t xml:space="preserve">. </w:t>
      </w:r>
    </w:p>
    <w:p w14:paraId="164B336F" w14:textId="77777777" w:rsidR="00620940" w:rsidRPr="008625DC" w:rsidRDefault="00620940" w:rsidP="00C91C93">
      <w:pPr>
        <w:tabs>
          <w:tab w:val="left" w:pos="6046"/>
        </w:tabs>
        <w:spacing w:before="0" w:after="0"/>
      </w:pPr>
    </w:p>
    <w:tbl>
      <w:tblPr>
        <w:tblStyle w:val="TableGrid"/>
        <w:tblW w:w="0" w:type="auto"/>
        <w:tblBorders>
          <w:insideV w:val="single" w:sz="2" w:space="0" w:color="BFBFBF" w:themeColor="background1" w:themeShade="BF"/>
        </w:tblBorders>
        <w:shd w:val="clear" w:color="auto" w:fill="F2F2F2" w:themeFill="background1" w:themeFillShade="F2"/>
        <w:tblLook w:val="04A0" w:firstRow="1" w:lastRow="0" w:firstColumn="1" w:lastColumn="0" w:noHBand="0" w:noVBand="1"/>
      </w:tblPr>
      <w:tblGrid>
        <w:gridCol w:w="3095"/>
        <w:gridCol w:w="3095"/>
        <w:gridCol w:w="3096"/>
      </w:tblGrid>
      <w:tr w:rsidR="002E1BC4" w:rsidRPr="008625DC" w14:paraId="6CC6FFB1" w14:textId="77777777" w:rsidTr="00F536A7">
        <w:tc>
          <w:tcPr>
            <w:tcW w:w="3095" w:type="dxa"/>
            <w:shd w:val="clear" w:color="auto" w:fill="F2F2F2" w:themeFill="background1" w:themeFillShade="F2"/>
          </w:tcPr>
          <w:p w14:paraId="1EA45DA8" w14:textId="77777777" w:rsidR="002E1BC4" w:rsidRPr="008625DC" w:rsidRDefault="002E1BC4" w:rsidP="009571A7">
            <w:pPr>
              <w:pStyle w:val="TableTextLeft"/>
              <w:spacing w:before="20" w:after="60" w:line="240" w:lineRule="auto"/>
              <w:jc w:val="left"/>
            </w:pPr>
            <w:r w:rsidRPr="008625DC">
              <w:t>ABB Australia</w:t>
            </w:r>
          </w:p>
        </w:tc>
        <w:tc>
          <w:tcPr>
            <w:tcW w:w="3095" w:type="dxa"/>
            <w:shd w:val="clear" w:color="auto" w:fill="F2F2F2" w:themeFill="background1" w:themeFillShade="F2"/>
          </w:tcPr>
          <w:p w14:paraId="22A9A84F" w14:textId="77777777" w:rsidR="002E1BC4" w:rsidRPr="008625DC" w:rsidRDefault="002E1BC4" w:rsidP="009571A7">
            <w:pPr>
              <w:pStyle w:val="TableTextLeft"/>
              <w:spacing w:before="20" w:after="60" w:line="240" w:lineRule="auto"/>
              <w:jc w:val="left"/>
            </w:pPr>
            <w:r w:rsidRPr="008625DC">
              <w:t>Accountants and More</w:t>
            </w:r>
          </w:p>
        </w:tc>
        <w:tc>
          <w:tcPr>
            <w:tcW w:w="3096" w:type="dxa"/>
            <w:shd w:val="clear" w:color="auto" w:fill="F2F2F2" w:themeFill="background1" w:themeFillShade="F2"/>
          </w:tcPr>
          <w:p w14:paraId="61AAB3F7" w14:textId="77777777" w:rsidR="002E1BC4" w:rsidRPr="008625DC" w:rsidRDefault="002E1BC4" w:rsidP="009571A7">
            <w:pPr>
              <w:pStyle w:val="TableTextLeft"/>
              <w:spacing w:before="20" w:after="60" w:line="240" w:lineRule="auto"/>
              <w:jc w:val="left"/>
            </w:pPr>
            <w:r w:rsidRPr="008625DC">
              <w:t>ADJ Consultancy Services</w:t>
            </w:r>
          </w:p>
        </w:tc>
      </w:tr>
      <w:tr w:rsidR="002E1BC4" w:rsidRPr="008625DC" w14:paraId="5F5C3378" w14:textId="77777777" w:rsidTr="00F536A7">
        <w:tc>
          <w:tcPr>
            <w:tcW w:w="3095" w:type="dxa"/>
            <w:shd w:val="clear" w:color="auto" w:fill="F2F2F2" w:themeFill="background1" w:themeFillShade="F2"/>
          </w:tcPr>
          <w:p w14:paraId="294C17E6" w14:textId="77777777" w:rsidR="002E1BC4" w:rsidRPr="008625DC" w:rsidRDefault="002E1BC4" w:rsidP="009571A7">
            <w:pPr>
              <w:pStyle w:val="TableTextLeft"/>
              <w:spacing w:before="20" w:after="60" w:line="240" w:lineRule="auto"/>
              <w:jc w:val="left"/>
            </w:pPr>
            <w:r w:rsidRPr="008625DC">
              <w:t>Agforce QLD</w:t>
            </w:r>
          </w:p>
        </w:tc>
        <w:tc>
          <w:tcPr>
            <w:tcW w:w="3095" w:type="dxa"/>
            <w:shd w:val="clear" w:color="auto" w:fill="F2F2F2" w:themeFill="background1" w:themeFillShade="F2"/>
          </w:tcPr>
          <w:p w14:paraId="673D89ED" w14:textId="77777777" w:rsidR="002E1BC4" w:rsidRPr="008625DC" w:rsidRDefault="002E1BC4" w:rsidP="009571A7">
            <w:pPr>
              <w:pStyle w:val="TableTextLeft"/>
              <w:spacing w:before="20" w:after="60" w:line="240" w:lineRule="auto"/>
              <w:jc w:val="left"/>
            </w:pPr>
            <w:r w:rsidRPr="008625DC">
              <w:t>AIMIA Digital Policy Group</w:t>
            </w:r>
          </w:p>
        </w:tc>
        <w:tc>
          <w:tcPr>
            <w:tcW w:w="3096" w:type="dxa"/>
            <w:shd w:val="clear" w:color="auto" w:fill="F2F2F2" w:themeFill="background1" w:themeFillShade="F2"/>
          </w:tcPr>
          <w:p w14:paraId="3EE12BDB" w14:textId="18A4AF6E" w:rsidR="002E1BC4" w:rsidRPr="008625DC" w:rsidRDefault="0015308D" w:rsidP="009571A7">
            <w:pPr>
              <w:pStyle w:val="TableTextLeft"/>
              <w:spacing w:before="20" w:after="60" w:line="240" w:lineRule="auto"/>
              <w:jc w:val="left"/>
            </w:pPr>
            <w:r w:rsidRPr="008625DC">
              <w:t>ALDI</w:t>
            </w:r>
            <w:r w:rsidR="002E1BC4" w:rsidRPr="008625DC">
              <w:t xml:space="preserve"> Stores</w:t>
            </w:r>
          </w:p>
        </w:tc>
      </w:tr>
      <w:tr w:rsidR="002E1BC4" w:rsidRPr="008625DC" w14:paraId="401D86EE" w14:textId="77777777" w:rsidTr="00F536A7">
        <w:tc>
          <w:tcPr>
            <w:tcW w:w="3095" w:type="dxa"/>
            <w:shd w:val="clear" w:color="auto" w:fill="F2F2F2" w:themeFill="background1" w:themeFillShade="F2"/>
          </w:tcPr>
          <w:p w14:paraId="6F2F644C" w14:textId="77777777" w:rsidR="002E1BC4" w:rsidRPr="008625DC" w:rsidRDefault="002E1BC4" w:rsidP="009571A7">
            <w:pPr>
              <w:pStyle w:val="TableTextLeft"/>
              <w:spacing w:before="20" w:after="60" w:line="240" w:lineRule="auto"/>
              <w:jc w:val="left"/>
            </w:pPr>
            <w:r w:rsidRPr="008625DC">
              <w:t>American Bar Association</w:t>
            </w:r>
          </w:p>
        </w:tc>
        <w:tc>
          <w:tcPr>
            <w:tcW w:w="3095" w:type="dxa"/>
            <w:shd w:val="clear" w:color="auto" w:fill="F2F2F2" w:themeFill="background1" w:themeFillShade="F2"/>
          </w:tcPr>
          <w:p w14:paraId="0827B26C" w14:textId="77777777" w:rsidR="002E1BC4" w:rsidRPr="008625DC" w:rsidRDefault="002E1BC4" w:rsidP="009571A7">
            <w:pPr>
              <w:pStyle w:val="TableTextLeft"/>
              <w:spacing w:before="20" w:after="60" w:line="240" w:lineRule="auto"/>
              <w:jc w:val="left"/>
            </w:pPr>
            <w:r w:rsidRPr="008625DC">
              <w:t>AMMA Workplace Consultancy</w:t>
            </w:r>
          </w:p>
        </w:tc>
        <w:tc>
          <w:tcPr>
            <w:tcW w:w="3096" w:type="dxa"/>
            <w:shd w:val="clear" w:color="auto" w:fill="F2F2F2" w:themeFill="background1" w:themeFillShade="F2"/>
          </w:tcPr>
          <w:p w14:paraId="75F4819E" w14:textId="77777777" w:rsidR="002E1BC4" w:rsidRPr="008625DC" w:rsidRDefault="002E1BC4" w:rsidP="009571A7">
            <w:pPr>
              <w:pStyle w:val="TableTextLeft"/>
              <w:spacing w:before="20" w:after="60" w:line="240" w:lineRule="auto"/>
              <w:jc w:val="left"/>
            </w:pPr>
            <w:r w:rsidRPr="008625DC">
              <w:t>Anglo American Metallurgical Coal</w:t>
            </w:r>
          </w:p>
        </w:tc>
      </w:tr>
      <w:tr w:rsidR="002E1BC4" w:rsidRPr="008625DC" w14:paraId="26AD3358" w14:textId="77777777" w:rsidTr="00F536A7">
        <w:tc>
          <w:tcPr>
            <w:tcW w:w="3095" w:type="dxa"/>
            <w:shd w:val="clear" w:color="auto" w:fill="F2F2F2" w:themeFill="background1" w:themeFillShade="F2"/>
          </w:tcPr>
          <w:p w14:paraId="47CE2DF4" w14:textId="77777777" w:rsidR="002E1BC4" w:rsidRPr="008625DC" w:rsidRDefault="002E1BC4" w:rsidP="009571A7">
            <w:pPr>
              <w:pStyle w:val="TableTextLeft"/>
              <w:spacing w:before="20" w:after="60" w:line="240" w:lineRule="auto"/>
              <w:jc w:val="left"/>
            </w:pPr>
            <w:r w:rsidRPr="008625DC">
              <w:t>Anonomous, P</w:t>
            </w:r>
          </w:p>
        </w:tc>
        <w:tc>
          <w:tcPr>
            <w:tcW w:w="3095" w:type="dxa"/>
            <w:shd w:val="clear" w:color="auto" w:fill="F2F2F2" w:themeFill="background1" w:themeFillShade="F2"/>
          </w:tcPr>
          <w:p w14:paraId="4BC5CD25" w14:textId="77777777" w:rsidR="002E1BC4" w:rsidRPr="008625DC" w:rsidRDefault="002E1BC4" w:rsidP="009571A7">
            <w:pPr>
              <w:pStyle w:val="TableTextLeft"/>
              <w:spacing w:before="20" w:after="60" w:line="240" w:lineRule="auto"/>
              <w:jc w:val="left"/>
            </w:pPr>
            <w:r w:rsidRPr="008625DC">
              <w:t>Anonymous childcare</w:t>
            </w:r>
          </w:p>
        </w:tc>
        <w:tc>
          <w:tcPr>
            <w:tcW w:w="3096" w:type="dxa"/>
            <w:shd w:val="clear" w:color="auto" w:fill="F2F2F2" w:themeFill="background1" w:themeFillShade="F2"/>
          </w:tcPr>
          <w:p w14:paraId="7E5BE6AB" w14:textId="77777777" w:rsidR="002E1BC4" w:rsidRPr="008625DC" w:rsidRDefault="002E1BC4" w:rsidP="009571A7">
            <w:pPr>
              <w:pStyle w:val="TableTextLeft"/>
              <w:spacing w:before="20" w:after="60" w:line="240" w:lineRule="auto"/>
              <w:jc w:val="left"/>
            </w:pPr>
            <w:r w:rsidRPr="008625DC">
              <w:t>Anonymous retailer</w:t>
            </w:r>
          </w:p>
        </w:tc>
      </w:tr>
      <w:tr w:rsidR="002E1BC4" w:rsidRPr="008625DC" w14:paraId="5952E32E" w14:textId="77777777" w:rsidTr="00F536A7">
        <w:tc>
          <w:tcPr>
            <w:tcW w:w="3095" w:type="dxa"/>
            <w:shd w:val="clear" w:color="auto" w:fill="F2F2F2" w:themeFill="background1" w:themeFillShade="F2"/>
          </w:tcPr>
          <w:p w14:paraId="5D978F28" w14:textId="77777777" w:rsidR="002E1BC4" w:rsidRPr="008625DC" w:rsidRDefault="002E1BC4" w:rsidP="009571A7">
            <w:pPr>
              <w:pStyle w:val="TableTextLeft"/>
              <w:spacing w:before="20" w:after="60" w:line="240" w:lineRule="auto"/>
              <w:jc w:val="left"/>
            </w:pPr>
            <w:r w:rsidRPr="008625DC">
              <w:t>Appco Group Australia</w:t>
            </w:r>
          </w:p>
        </w:tc>
        <w:tc>
          <w:tcPr>
            <w:tcW w:w="3095" w:type="dxa"/>
            <w:shd w:val="clear" w:color="auto" w:fill="F2F2F2" w:themeFill="background1" w:themeFillShade="F2"/>
          </w:tcPr>
          <w:p w14:paraId="1A5BE9B8" w14:textId="77777777" w:rsidR="002E1BC4" w:rsidRPr="008625DC" w:rsidRDefault="002E1BC4" w:rsidP="009571A7">
            <w:pPr>
              <w:pStyle w:val="TableTextLeft"/>
              <w:spacing w:before="20" w:after="60" w:line="240" w:lineRule="auto"/>
              <w:jc w:val="left"/>
            </w:pPr>
            <w:r w:rsidRPr="008625DC">
              <w:t>Applied Medical</w:t>
            </w:r>
          </w:p>
        </w:tc>
        <w:tc>
          <w:tcPr>
            <w:tcW w:w="3096" w:type="dxa"/>
            <w:shd w:val="clear" w:color="auto" w:fill="F2F2F2" w:themeFill="background1" w:themeFillShade="F2"/>
          </w:tcPr>
          <w:p w14:paraId="5321F8CE" w14:textId="77777777" w:rsidR="002E1BC4" w:rsidRPr="008625DC" w:rsidRDefault="002E1BC4" w:rsidP="009571A7">
            <w:pPr>
              <w:pStyle w:val="TableTextLeft"/>
              <w:spacing w:before="20" w:after="60" w:line="240" w:lineRule="auto"/>
              <w:jc w:val="left"/>
            </w:pPr>
            <w:r w:rsidRPr="008625DC">
              <w:t>Arblaster, M</w:t>
            </w:r>
          </w:p>
        </w:tc>
      </w:tr>
      <w:tr w:rsidR="002E1BC4" w:rsidRPr="008625DC" w14:paraId="68361313" w14:textId="77777777" w:rsidTr="00F536A7">
        <w:tc>
          <w:tcPr>
            <w:tcW w:w="3095" w:type="dxa"/>
            <w:shd w:val="clear" w:color="auto" w:fill="F2F2F2" w:themeFill="background1" w:themeFillShade="F2"/>
          </w:tcPr>
          <w:p w14:paraId="5BE24E93" w14:textId="77777777" w:rsidR="002E1BC4" w:rsidRPr="008625DC" w:rsidRDefault="002E1BC4" w:rsidP="009571A7">
            <w:pPr>
              <w:pStyle w:val="TableTextLeft"/>
              <w:spacing w:before="20" w:after="60" w:line="240" w:lineRule="auto"/>
              <w:jc w:val="left"/>
            </w:pPr>
            <w:r w:rsidRPr="008625DC">
              <w:t>Arnold Bloch Leibler</w:t>
            </w:r>
          </w:p>
        </w:tc>
        <w:tc>
          <w:tcPr>
            <w:tcW w:w="3095" w:type="dxa"/>
            <w:shd w:val="clear" w:color="auto" w:fill="F2F2F2" w:themeFill="background1" w:themeFillShade="F2"/>
          </w:tcPr>
          <w:p w14:paraId="13ED48B4" w14:textId="77777777" w:rsidR="002E1BC4" w:rsidRPr="008625DC" w:rsidRDefault="002E1BC4" w:rsidP="009571A7">
            <w:pPr>
              <w:pStyle w:val="TableTextLeft"/>
              <w:spacing w:before="20" w:after="60" w:line="240" w:lineRule="auto"/>
              <w:jc w:val="left"/>
            </w:pPr>
            <w:r w:rsidRPr="008625DC">
              <w:t>Asciano</w:t>
            </w:r>
          </w:p>
        </w:tc>
        <w:tc>
          <w:tcPr>
            <w:tcW w:w="3096" w:type="dxa"/>
            <w:shd w:val="clear" w:color="auto" w:fill="F2F2F2" w:themeFill="background1" w:themeFillShade="F2"/>
          </w:tcPr>
          <w:p w14:paraId="110AD911" w14:textId="77777777" w:rsidR="002E1BC4" w:rsidRPr="008625DC" w:rsidRDefault="002E1BC4" w:rsidP="009571A7">
            <w:pPr>
              <w:pStyle w:val="TableTextLeft"/>
              <w:spacing w:before="20" w:after="60" w:line="240" w:lineRule="auto"/>
              <w:jc w:val="left"/>
            </w:pPr>
            <w:r w:rsidRPr="008625DC">
              <w:t>ASX</w:t>
            </w:r>
          </w:p>
        </w:tc>
      </w:tr>
      <w:tr w:rsidR="002E1BC4" w:rsidRPr="008625DC" w14:paraId="7BF8B149" w14:textId="77777777" w:rsidTr="00F536A7">
        <w:tc>
          <w:tcPr>
            <w:tcW w:w="3095" w:type="dxa"/>
            <w:shd w:val="clear" w:color="auto" w:fill="F2F2F2" w:themeFill="background1" w:themeFillShade="F2"/>
          </w:tcPr>
          <w:p w14:paraId="7D86BF0D" w14:textId="77777777" w:rsidR="002E1BC4" w:rsidRPr="008625DC" w:rsidRDefault="002E1BC4" w:rsidP="009571A7">
            <w:pPr>
              <w:pStyle w:val="TableTextLeft"/>
              <w:spacing w:before="20" w:after="60" w:line="240" w:lineRule="auto"/>
              <w:jc w:val="left"/>
            </w:pPr>
            <w:r w:rsidRPr="008625DC">
              <w:t>Aurizon Holdings Limited</w:t>
            </w:r>
          </w:p>
        </w:tc>
        <w:tc>
          <w:tcPr>
            <w:tcW w:w="3095" w:type="dxa"/>
            <w:shd w:val="clear" w:color="auto" w:fill="F2F2F2" w:themeFill="background1" w:themeFillShade="F2"/>
          </w:tcPr>
          <w:p w14:paraId="355C5F4B" w14:textId="77777777" w:rsidR="002E1BC4" w:rsidRPr="008625DC" w:rsidRDefault="002E1BC4" w:rsidP="009571A7">
            <w:pPr>
              <w:pStyle w:val="TableTextLeft"/>
              <w:spacing w:before="20" w:after="60" w:line="240" w:lineRule="auto"/>
              <w:jc w:val="left"/>
            </w:pPr>
            <w:r w:rsidRPr="008625DC">
              <w:t>AURL (FoodWorks)</w:t>
            </w:r>
          </w:p>
        </w:tc>
        <w:tc>
          <w:tcPr>
            <w:tcW w:w="3096" w:type="dxa"/>
            <w:shd w:val="clear" w:color="auto" w:fill="F2F2F2" w:themeFill="background1" w:themeFillShade="F2"/>
          </w:tcPr>
          <w:p w14:paraId="33C0869B" w14:textId="77777777" w:rsidR="002E1BC4" w:rsidRPr="008625DC" w:rsidRDefault="002E1BC4" w:rsidP="009571A7">
            <w:pPr>
              <w:pStyle w:val="TableTextLeft"/>
              <w:spacing w:before="20" w:after="60" w:line="240" w:lineRule="auto"/>
              <w:jc w:val="left"/>
            </w:pPr>
            <w:r w:rsidRPr="008625DC">
              <w:t>AusBiotech</w:t>
            </w:r>
          </w:p>
        </w:tc>
      </w:tr>
      <w:tr w:rsidR="002E1BC4" w:rsidRPr="008625DC" w14:paraId="6F313996" w14:textId="77777777" w:rsidTr="00F536A7">
        <w:tc>
          <w:tcPr>
            <w:tcW w:w="3095" w:type="dxa"/>
            <w:shd w:val="clear" w:color="auto" w:fill="F2F2F2" w:themeFill="background1" w:themeFillShade="F2"/>
          </w:tcPr>
          <w:p w14:paraId="0EB63A94" w14:textId="77777777" w:rsidR="002E1BC4" w:rsidRPr="008625DC" w:rsidRDefault="002E1BC4" w:rsidP="009571A7">
            <w:pPr>
              <w:pStyle w:val="TableTextLeft"/>
              <w:spacing w:before="20" w:after="60" w:line="240" w:lineRule="auto"/>
              <w:jc w:val="left"/>
            </w:pPr>
            <w:r w:rsidRPr="008625DC">
              <w:t>Australasian Association of Convenience Stores</w:t>
            </w:r>
          </w:p>
        </w:tc>
        <w:tc>
          <w:tcPr>
            <w:tcW w:w="3095" w:type="dxa"/>
            <w:shd w:val="clear" w:color="auto" w:fill="F2F2F2" w:themeFill="background1" w:themeFillShade="F2"/>
          </w:tcPr>
          <w:p w14:paraId="7FF1F962" w14:textId="29920497" w:rsidR="002E1BC4" w:rsidRPr="008625DC" w:rsidRDefault="002E1BC4" w:rsidP="009571A7">
            <w:pPr>
              <w:pStyle w:val="TableTextLeft"/>
              <w:spacing w:before="20" w:after="60" w:line="240" w:lineRule="auto"/>
              <w:jc w:val="left"/>
            </w:pPr>
            <w:r w:rsidRPr="008625DC">
              <w:t>Australasian Performing Right Association Limited and Australasian Mechanical Copyright Owners</w:t>
            </w:r>
            <w:r w:rsidR="00C74E19" w:rsidRPr="008625DC">
              <w:t>’</w:t>
            </w:r>
            <w:r w:rsidRPr="008625DC">
              <w:t xml:space="preserve"> Society</w:t>
            </w:r>
          </w:p>
        </w:tc>
        <w:tc>
          <w:tcPr>
            <w:tcW w:w="3096" w:type="dxa"/>
            <w:shd w:val="clear" w:color="auto" w:fill="F2F2F2" w:themeFill="background1" w:themeFillShade="F2"/>
          </w:tcPr>
          <w:p w14:paraId="00F91898" w14:textId="77777777" w:rsidR="002E1BC4" w:rsidRPr="008625DC" w:rsidRDefault="002E1BC4" w:rsidP="009571A7">
            <w:pPr>
              <w:pStyle w:val="TableTextLeft"/>
              <w:spacing w:before="20" w:after="60" w:line="240" w:lineRule="auto"/>
              <w:jc w:val="left"/>
            </w:pPr>
            <w:r w:rsidRPr="008625DC">
              <w:t>Australia Marketing Pty Ltd</w:t>
            </w:r>
          </w:p>
        </w:tc>
      </w:tr>
      <w:tr w:rsidR="002E1BC4" w:rsidRPr="008625DC" w14:paraId="4A4D6921" w14:textId="77777777" w:rsidTr="00F536A7">
        <w:tc>
          <w:tcPr>
            <w:tcW w:w="3095" w:type="dxa"/>
            <w:shd w:val="clear" w:color="auto" w:fill="F2F2F2" w:themeFill="background1" w:themeFillShade="F2"/>
          </w:tcPr>
          <w:p w14:paraId="4E7B1C70" w14:textId="77777777" w:rsidR="002E1BC4" w:rsidRPr="008625DC" w:rsidRDefault="002E1BC4" w:rsidP="009571A7">
            <w:pPr>
              <w:pStyle w:val="TableTextLeft"/>
              <w:spacing w:before="20" w:after="60" w:line="240" w:lineRule="auto"/>
              <w:jc w:val="left"/>
            </w:pPr>
            <w:r w:rsidRPr="008625DC">
              <w:t>Australian Airports Association</w:t>
            </w:r>
          </w:p>
        </w:tc>
        <w:tc>
          <w:tcPr>
            <w:tcW w:w="3095" w:type="dxa"/>
            <w:shd w:val="clear" w:color="auto" w:fill="F2F2F2" w:themeFill="background1" w:themeFillShade="F2"/>
          </w:tcPr>
          <w:p w14:paraId="63FEDE1C" w14:textId="77777777" w:rsidR="002E1BC4" w:rsidRPr="008625DC" w:rsidRDefault="002E1BC4" w:rsidP="009571A7">
            <w:pPr>
              <w:pStyle w:val="TableTextLeft"/>
              <w:spacing w:before="20" w:after="60" w:line="240" w:lineRule="auto"/>
              <w:jc w:val="left"/>
            </w:pPr>
            <w:r w:rsidRPr="008625DC">
              <w:t>Australian Automobile Association</w:t>
            </w:r>
          </w:p>
        </w:tc>
        <w:tc>
          <w:tcPr>
            <w:tcW w:w="3096" w:type="dxa"/>
            <w:shd w:val="clear" w:color="auto" w:fill="F2F2F2" w:themeFill="background1" w:themeFillShade="F2"/>
          </w:tcPr>
          <w:p w14:paraId="439BC7D1" w14:textId="77777777" w:rsidR="002E1BC4" w:rsidRPr="008625DC" w:rsidRDefault="002E1BC4" w:rsidP="009571A7">
            <w:pPr>
              <w:pStyle w:val="TableTextLeft"/>
              <w:spacing w:before="20" w:after="60" w:line="240" w:lineRule="auto"/>
              <w:jc w:val="left"/>
            </w:pPr>
            <w:r w:rsidRPr="008625DC">
              <w:t>Australian Automobile Association (updated submission)</w:t>
            </w:r>
          </w:p>
        </w:tc>
      </w:tr>
      <w:tr w:rsidR="002E1BC4" w:rsidRPr="008625DC" w14:paraId="5882038E" w14:textId="77777777" w:rsidTr="00F536A7">
        <w:tc>
          <w:tcPr>
            <w:tcW w:w="3095" w:type="dxa"/>
            <w:shd w:val="clear" w:color="auto" w:fill="F2F2F2" w:themeFill="background1" w:themeFillShade="F2"/>
          </w:tcPr>
          <w:p w14:paraId="16C6E66A" w14:textId="77777777" w:rsidR="002E1BC4" w:rsidRPr="008625DC" w:rsidRDefault="002E1BC4" w:rsidP="009571A7">
            <w:pPr>
              <w:pStyle w:val="TableTextLeft"/>
              <w:spacing w:before="20" w:after="60" w:line="240" w:lineRule="auto"/>
              <w:jc w:val="left"/>
            </w:pPr>
            <w:r w:rsidRPr="008625DC">
              <w:t>Australian Automotive Dealer Association</w:t>
            </w:r>
          </w:p>
        </w:tc>
        <w:tc>
          <w:tcPr>
            <w:tcW w:w="3095" w:type="dxa"/>
            <w:shd w:val="clear" w:color="auto" w:fill="F2F2F2" w:themeFill="background1" w:themeFillShade="F2"/>
          </w:tcPr>
          <w:p w14:paraId="678238A9" w14:textId="77777777" w:rsidR="002E1BC4" w:rsidRPr="008625DC" w:rsidRDefault="002E1BC4" w:rsidP="009571A7">
            <w:pPr>
              <w:pStyle w:val="TableTextLeft"/>
              <w:spacing w:before="20" w:after="60" w:line="240" w:lineRule="auto"/>
              <w:jc w:val="left"/>
            </w:pPr>
            <w:r w:rsidRPr="008625DC">
              <w:t>Australian Chamber of Commerce and Industry</w:t>
            </w:r>
          </w:p>
        </w:tc>
        <w:tc>
          <w:tcPr>
            <w:tcW w:w="3096" w:type="dxa"/>
            <w:shd w:val="clear" w:color="auto" w:fill="F2F2F2" w:themeFill="background1" w:themeFillShade="F2"/>
          </w:tcPr>
          <w:p w14:paraId="09C4A887" w14:textId="23E320D3" w:rsidR="002E1BC4" w:rsidRPr="008625DC" w:rsidRDefault="002E1BC4" w:rsidP="009571A7">
            <w:pPr>
              <w:pStyle w:val="TableTextLeft"/>
              <w:spacing w:before="20" w:after="60" w:line="240" w:lineRule="auto"/>
              <w:jc w:val="left"/>
            </w:pPr>
            <w:r w:rsidRPr="008625DC">
              <w:t>Australian Chicken Growers</w:t>
            </w:r>
            <w:r w:rsidR="00C74E19" w:rsidRPr="008625DC">
              <w:t>’</w:t>
            </w:r>
            <w:r w:rsidRPr="008625DC">
              <w:t xml:space="preserve"> Council Limited</w:t>
            </w:r>
          </w:p>
        </w:tc>
      </w:tr>
      <w:tr w:rsidR="002E1BC4" w:rsidRPr="008625DC" w14:paraId="3910767C" w14:textId="77777777" w:rsidTr="00F536A7">
        <w:tc>
          <w:tcPr>
            <w:tcW w:w="3095" w:type="dxa"/>
            <w:shd w:val="clear" w:color="auto" w:fill="F2F2F2" w:themeFill="background1" w:themeFillShade="F2"/>
          </w:tcPr>
          <w:p w14:paraId="0ECF477D" w14:textId="77777777" w:rsidR="002E1BC4" w:rsidRPr="008625DC" w:rsidRDefault="002E1BC4" w:rsidP="009571A7">
            <w:pPr>
              <w:pStyle w:val="TableTextLeft"/>
              <w:spacing w:before="20" w:after="60" w:line="240" w:lineRule="auto"/>
              <w:jc w:val="left"/>
            </w:pPr>
            <w:r w:rsidRPr="008625DC">
              <w:t>Australian Clinical Psychologists</w:t>
            </w:r>
          </w:p>
        </w:tc>
        <w:tc>
          <w:tcPr>
            <w:tcW w:w="3095" w:type="dxa"/>
            <w:shd w:val="clear" w:color="auto" w:fill="F2F2F2" w:themeFill="background1" w:themeFillShade="F2"/>
          </w:tcPr>
          <w:p w14:paraId="40F64546" w14:textId="77777777" w:rsidR="002E1BC4" w:rsidRPr="008625DC" w:rsidRDefault="002E1BC4" w:rsidP="009571A7">
            <w:pPr>
              <w:pStyle w:val="TableTextLeft"/>
              <w:spacing w:before="20" w:after="60" w:line="240" w:lineRule="auto"/>
              <w:jc w:val="left"/>
            </w:pPr>
            <w:r w:rsidRPr="008625DC">
              <w:t>Australian College of Theology</w:t>
            </w:r>
          </w:p>
        </w:tc>
        <w:tc>
          <w:tcPr>
            <w:tcW w:w="3096" w:type="dxa"/>
            <w:shd w:val="clear" w:color="auto" w:fill="F2F2F2" w:themeFill="background1" w:themeFillShade="F2"/>
          </w:tcPr>
          <w:p w14:paraId="42CC777B" w14:textId="77777777" w:rsidR="002E1BC4" w:rsidRPr="008625DC" w:rsidRDefault="002E1BC4" w:rsidP="009571A7">
            <w:pPr>
              <w:pStyle w:val="TableTextLeft"/>
              <w:spacing w:before="20" w:after="60" w:line="240" w:lineRule="auto"/>
              <w:jc w:val="left"/>
            </w:pPr>
            <w:r w:rsidRPr="008625DC">
              <w:t>Australian Communications Consumer Action Network</w:t>
            </w:r>
          </w:p>
        </w:tc>
      </w:tr>
      <w:tr w:rsidR="002E1BC4" w:rsidRPr="008625DC" w14:paraId="1E2836E5" w14:textId="77777777" w:rsidTr="00F536A7">
        <w:tc>
          <w:tcPr>
            <w:tcW w:w="3095" w:type="dxa"/>
            <w:shd w:val="clear" w:color="auto" w:fill="F2F2F2" w:themeFill="background1" w:themeFillShade="F2"/>
          </w:tcPr>
          <w:p w14:paraId="479E53DB" w14:textId="77777777" w:rsidR="002E1BC4" w:rsidRPr="008625DC" w:rsidRDefault="002E1BC4" w:rsidP="009571A7">
            <w:pPr>
              <w:pStyle w:val="TableTextLeft"/>
              <w:spacing w:before="20" w:after="60" w:line="240" w:lineRule="auto"/>
              <w:jc w:val="left"/>
            </w:pPr>
            <w:r w:rsidRPr="008625DC">
              <w:t>Australian Competition and Consumer Commission</w:t>
            </w:r>
          </w:p>
        </w:tc>
        <w:tc>
          <w:tcPr>
            <w:tcW w:w="3095" w:type="dxa"/>
            <w:shd w:val="clear" w:color="auto" w:fill="F2F2F2" w:themeFill="background1" w:themeFillShade="F2"/>
          </w:tcPr>
          <w:p w14:paraId="2003C61D" w14:textId="77777777" w:rsidR="002E1BC4" w:rsidRPr="008625DC" w:rsidRDefault="002E1BC4" w:rsidP="009571A7">
            <w:pPr>
              <w:pStyle w:val="TableTextLeft"/>
              <w:spacing w:before="20" w:after="60" w:line="240" w:lineRule="auto"/>
              <w:jc w:val="left"/>
            </w:pPr>
            <w:r w:rsidRPr="008625DC">
              <w:t>Australian Competition and Consumer Commission (Submission 2)</w:t>
            </w:r>
          </w:p>
        </w:tc>
        <w:tc>
          <w:tcPr>
            <w:tcW w:w="3096" w:type="dxa"/>
            <w:shd w:val="clear" w:color="auto" w:fill="F2F2F2" w:themeFill="background1" w:themeFillShade="F2"/>
          </w:tcPr>
          <w:p w14:paraId="4BD3F9F0" w14:textId="77777777" w:rsidR="002E1BC4" w:rsidRPr="008625DC" w:rsidRDefault="002E1BC4" w:rsidP="009571A7">
            <w:pPr>
              <w:pStyle w:val="TableTextLeft"/>
              <w:spacing w:before="20" w:after="60" w:line="240" w:lineRule="auto"/>
              <w:jc w:val="left"/>
            </w:pPr>
            <w:r w:rsidRPr="008625DC">
              <w:t>Australian Competition and Consumer Commission (Submission 3)</w:t>
            </w:r>
          </w:p>
        </w:tc>
      </w:tr>
      <w:tr w:rsidR="002E1BC4" w:rsidRPr="008625DC" w14:paraId="24D85AE1" w14:textId="77777777" w:rsidTr="00F536A7">
        <w:tc>
          <w:tcPr>
            <w:tcW w:w="3095" w:type="dxa"/>
            <w:shd w:val="clear" w:color="auto" w:fill="F2F2F2" w:themeFill="background1" w:themeFillShade="F2"/>
          </w:tcPr>
          <w:p w14:paraId="07CEA658" w14:textId="77777777" w:rsidR="002E1BC4" w:rsidRPr="008625DC" w:rsidRDefault="002E1BC4" w:rsidP="009571A7">
            <w:pPr>
              <w:pStyle w:val="TableTextLeft"/>
              <w:spacing w:before="20" w:after="60" w:line="240" w:lineRule="auto"/>
              <w:jc w:val="left"/>
            </w:pPr>
            <w:r w:rsidRPr="008625DC">
              <w:t>Australian Competition and Consumer Commission (Submission 4)</w:t>
            </w:r>
          </w:p>
        </w:tc>
        <w:tc>
          <w:tcPr>
            <w:tcW w:w="3095" w:type="dxa"/>
            <w:shd w:val="clear" w:color="auto" w:fill="F2F2F2" w:themeFill="background1" w:themeFillShade="F2"/>
          </w:tcPr>
          <w:p w14:paraId="1DD02575" w14:textId="77777777" w:rsidR="002E1BC4" w:rsidRPr="008625DC" w:rsidRDefault="002E1BC4" w:rsidP="009571A7">
            <w:pPr>
              <w:pStyle w:val="TableTextLeft"/>
              <w:spacing w:before="20" w:after="60" w:line="240" w:lineRule="auto"/>
              <w:jc w:val="left"/>
            </w:pPr>
            <w:r w:rsidRPr="008625DC">
              <w:t>Australian Conservation Foundation</w:t>
            </w:r>
          </w:p>
        </w:tc>
        <w:tc>
          <w:tcPr>
            <w:tcW w:w="3096" w:type="dxa"/>
            <w:shd w:val="clear" w:color="auto" w:fill="F2F2F2" w:themeFill="background1" w:themeFillShade="F2"/>
          </w:tcPr>
          <w:p w14:paraId="5539C8C7" w14:textId="77777777" w:rsidR="002E1BC4" w:rsidRPr="008625DC" w:rsidRDefault="002E1BC4" w:rsidP="009571A7">
            <w:pPr>
              <w:pStyle w:val="TableTextLeft"/>
              <w:spacing w:before="20" w:after="60" w:line="240" w:lineRule="auto"/>
              <w:jc w:val="left"/>
            </w:pPr>
            <w:r w:rsidRPr="008625DC">
              <w:t>Australian Copyright Council</w:t>
            </w:r>
          </w:p>
        </w:tc>
      </w:tr>
      <w:tr w:rsidR="002E1BC4" w:rsidRPr="008625DC" w14:paraId="589663AA" w14:textId="77777777" w:rsidTr="00F536A7">
        <w:tc>
          <w:tcPr>
            <w:tcW w:w="3095" w:type="dxa"/>
            <w:shd w:val="clear" w:color="auto" w:fill="F2F2F2" w:themeFill="background1" w:themeFillShade="F2"/>
          </w:tcPr>
          <w:p w14:paraId="1B232263" w14:textId="77777777" w:rsidR="002E1BC4" w:rsidRPr="008625DC" w:rsidRDefault="002E1BC4" w:rsidP="009571A7">
            <w:pPr>
              <w:pStyle w:val="TableTextLeft"/>
              <w:spacing w:before="20" w:after="60" w:line="240" w:lineRule="auto"/>
              <w:jc w:val="left"/>
            </w:pPr>
            <w:r w:rsidRPr="008625DC">
              <w:t>Australian Corporate Lawyers Association</w:t>
            </w:r>
          </w:p>
        </w:tc>
        <w:tc>
          <w:tcPr>
            <w:tcW w:w="3095" w:type="dxa"/>
            <w:shd w:val="clear" w:color="auto" w:fill="F2F2F2" w:themeFill="background1" w:themeFillShade="F2"/>
          </w:tcPr>
          <w:p w14:paraId="2DEAEFBB" w14:textId="77777777" w:rsidR="002E1BC4" w:rsidRPr="008625DC" w:rsidRDefault="002E1BC4" w:rsidP="009571A7">
            <w:pPr>
              <w:pStyle w:val="TableTextLeft"/>
              <w:spacing w:before="20" w:after="60" w:line="240" w:lineRule="auto"/>
              <w:jc w:val="left"/>
            </w:pPr>
            <w:r w:rsidRPr="008625DC">
              <w:t>Australian Council of Trade Unions</w:t>
            </w:r>
          </w:p>
        </w:tc>
        <w:tc>
          <w:tcPr>
            <w:tcW w:w="3096" w:type="dxa"/>
            <w:shd w:val="clear" w:color="auto" w:fill="F2F2F2" w:themeFill="background1" w:themeFillShade="F2"/>
          </w:tcPr>
          <w:p w14:paraId="28FBA284" w14:textId="77777777" w:rsidR="002E1BC4" w:rsidRPr="008625DC" w:rsidRDefault="002E1BC4" w:rsidP="009571A7">
            <w:pPr>
              <w:pStyle w:val="TableTextLeft"/>
              <w:spacing w:before="20" w:after="60" w:line="240" w:lineRule="auto"/>
              <w:jc w:val="left"/>
            </w:pPr>
            <w:r w:rsidRPr="008625DC">
              <w:t>Australian Dairy Farmers Limited</w:t>
            </w:r>
          </w:p>
        </w:tc>
      </w:tr>
      <w:tr w:rsidR="002E1BC4" w:rsidRPr="008625DC" w14:paraId="0F8F279D" w14:textId="77777777" w:rsidTr="00F536A7">
        <w:tc>
          <w:tcPr>
            <w:tcW w:w="3095" w:type="dxa"/>
            <w:shd w:val="clear" w:color="auto" w:fill="F2F2F2" w:themeFill="background1" w:themeFillShade="F2"/>
          </w:tcPr>
          <w:p w14:paraId="1C7A5610" w14:textId="77777777" w:rsidR="002E1BC4" w:rsidRPr="008625DC" w:rsidRDefault="002E1BC4" w:rsidP="009571A7">
            <w:pPr>
              <w:pStyle w:val="TableTextLeft"/>
              <w:spacing w:before="20" w:after="60" w:line="240" w:lineRule="auto"/>
              <w:jc w:val="left"/>
            </w:pPr>
            <w:r w:rsidRPr="008625DC">
              <w:t>Australian Dental Association Inc.</w:t>
            </w:r>
          </w:p>
        </w:tc>
        <w:tc>
          <w:tcPr>
            <w:tcW w:w="3095" w:type="dxa"/>
            <w:shd w:val="clear" w:color="auto" w:fill="F2F2F2" w:themeFill="background1" w:themeFillShade="F2"/>
          </w:tcPr>
          <w:p w14:paraId="1C446D78" w14:textId="77777777" w:rsidR="002E1BC4" w:rsidRPr="008625DC" w:rsidRDefault="002E1BC4" w:rsidP="009571A7">
            <w:pPr>
              <w:pStyle w:val="TableTextLeft"/>
              <w:spacing w:before="20" w:after="60" w:line="240" w:lineRule="auto"/>
              <w:jc w:val="left"/>
            </w:pPr>
            <w:r w:rsidRPr="008625DC">
              <w:t>Australian Dental Industry Association</w:t>
            </w:r>
          </w:p>
        </w:tc>
        <w:tc>
          <w:tcPr>
            <w:tcW w:w="3096" w:type="dxa"/>
            <w:shd w:val="clear" w:color="auto" w:fill="F2F2F2" w:themeFill="background1" w:themeFillShade="F2"/>
          </w:tcPr>
          <w:p w14:paraId="08285D47" w14:textId="77777777" w:rsidR="002E1BC4" w:rsidRPr="008625DC" w:rsidRDefault="002E1BC4" w:rsidP="009571A7">
            <w:pPr>
              <w:pStyle w:val="TableTextLeft"/>
              <w:spacing w:before="20" w:after="60" w:line="240" w:lineRule="auto"/>
              <w:jc w:val="left"/>
            </w:pPr>
            <w:r w:rsidRPr="008625DC">
              <w:t>Australian Diagnostic Imaging Association</w:t>
            </w:r>
          </w:p>
        </w:tc>
      </w:tr>
      <w:tr w:rsidR="002E1BC4" w:rsidRPr="008625DC" w14:paraId="16DBF332" w14:textId="77777777" w:rsidTr="00F536A7">
        <w:tc>
          <w:tcPr>
            <w:tcW w:w="3095" w:type="dxa"/>
            <w:shd w:val="clear" w:color="auto" w:fill="F2F2F2" w:themeFill="background1" w:themeFillShade="F2"/>
          </w:tcPr>
          <w:p w14:paraId="01EF7C12" w14:textId="77777777" w:rsidR="002E1BC4" w:rsidRPr="008625DC" w:rsidRDefault="002E1BC4" w:rsidP="009571A7">
            <w:pPr>
              <w:pStyle w:val="TableTextLeft"/>
              <w:spacing w:before="20" w:after="60" w:line="240" w:lineRule="auto"/>
              <w:jc w:val="left"/>
            </w:pPr>
            <w:r w:rsidRPr="008625DC">
              <w:t>Australian Digital Alliance and Australian Libraries Copyright Committee</w:t>
            </w:r>
          </w:p>
        </w:tc>
        <w:tc>
          <w:tcPr>
            <w:tcW w:w="3095" w:type="dxa"/>
            <w:shd w:val="clear" w:color="auto" w:fill="F2F2F2" w:themeFill="background1" w:themeFillShade="F2"/>
          </w:tcPr>
          <w:p w14:paraId="5B775D55" w14:textId="77777777" w:rsidR="002E1BC4" w:rsidRPr="008625DC" w:rsidRDefault="002E1BC4" w:rsidP="009571A7">
            <w:pPr>
              <w:pStyle w:val="TableTextLeft"/>
              <w:spacing w:before="20" w:after="60" w:line="240" w:lineRule="auto"/>
              <w:jc w:val="left"/>
            </w:pPr>
            <w:r w:rsidRPr="008625DC">
              <w:t>Australian Education Union</w:t>
            </w:r>
          </w:p>
        </w:tc>
        <w:tc>
          <w:tcPr>
            <w:tcW w:w="3096" w:type="dxa"/>
            <w:shd w:val="clear" w:color="auto" w:fill="F2F2F2" w:themeFill="background1" w:themeFillShade="F2"/>
          </w:tcPr>
          <w:p w14:paraId="0D4478D3" w14:textId="77777777" w:rsidR="002E1BC4" w:rsidRPr="008625DC" w:rsidRDefault="002E1BC4" w:rsidP="009571A7">
            <w:pPr>
              <w:pStyle w:val="TableTextLeft"/>
              <w:spacing w:before="20" w:after="60" w:line="240" w:lineRule="auto"/>
              <w:jc w:val="left"/>
            </w:pPr>
            <w:r w:rsidRPr="008625DC">
              <w:t>Australian Energy Market Commission</w:t>
            </w:r>
          </w:p>
        </w:tc>
      </w:tr>
      <w:tr w:rsidR="002E1BC4" w:rsidRPr="008625DC" w14:paraId="53B78649" w14:textId="77777777" w:rsidTr="00F536A7">
        <w:tc>
          <w:tcPr>
            <w:tcW w:w="3095" w:type="dxa"/>
            <w:shd w:val="clear" w:color="auto" w:fill="F2F2F2" w:themeFill="background1" w:themeFillShade="F2"/>
          </w:tcPr>
          <w:p w14:paraId="0F0D9604" w14:textId="77777777" w:rsidR="002E1BC4" w:rsidRPr="008625DC" w:rsidRDefault="002E1BC4" w:rsidP="009571A7">
            <w:pPr>
              <w:pStyle w:val="TableTextLeft"/>
              <w:spacing w:before="20" w:after="60" w:line="240" w:lineRule="auto"/>
              <w:jc w:val="left"/>
            </w:pPr>
            <w:r w:rsidRPr="008625DC">
              <w:t>Australian Energy Regulator</w:t>
            </w:r>
          </w:p>
        </w:tc>
        <w:tc>
          <w:tcPr>
            <w:tcW w:w="3095" w:type="dxa"/>
            <w:shd w:val="clear" w:color="auto" w:fill="F2F2F2" w:themeFill="background1" w:themeFillShade="F2"/>
          </w:tcPr>
          <w:p w14:paraId="1740CA8F" w14:textId="77777777" w:rsidR="002E1BC4" w:rsidRPr="008625DC" w:rsidRDefault="002E1BC4" w:rsidP="009571A7">
            <w:pPr>
              <w:pStyle w:val="TableTextLeft"/>
              <w:spacing w:before="20" w:after="60" w:line="240" w:lineRule="auto"/>
              <w:jc w:val="left"/>
            </w:pPr>
            <w:r w:rsidRPr="008625DC">
              <w:t>Australian Food and Grocery Council</w:t>
            </w:r>
          </w:p>
        </w:tc>
        <w:tc>
          <w:tcPr>
            <w:tcW w:w="3096" w:type="dxa"/>
            <w:shd w:val="clear" w:color="auto" w:fill="F2F2F2" w:themeFill="background1" w:themeFillShade="F2"/>
          </w:tcPr>
          <w:p w14:paraId="2BA77EC8" w14:textId="77777777" w:rsidR="002E1BC4" w:rsidRPr="008625DC" w:rsidRDefault="002E1BC4" w:rsidP="009571A7">
            <w:pPr>
              <w:pStyle w:val="TableTextLeft"/>
              <w:spacing w:before="20" w:after="60" w:line="240" w:lineRule="auto"/>
              <w:jc w:val="left"/>
            </w:pPr>
            <w:r w:rsidRPr="008625DC">
              <w:t>Australian Forest Products Association</w:t>
            </w:r>
          </w:p>
        </w:tc>
      </w:tr>
      <w:tr w:rsidR="002E1BC4" w:rsidRPr="008625DC" w14:paraId="444678B7" w14:textId="77777777" w:rsidTr="00F536A7">
        <w:tc>
          <w:tcPr>
            <w:tcW w:w="3095" w:type="dxa"/>
            <w:shd w:val="clear" w:color="auto" w:fill="F2F2F2" w:themeFill="background1" w:themeFillShade="F2"/>
          </w:tcPr>
          <w:p w14:paraId="42A7913C" w14:textId="77777777" w:rsidR="002E1BC4" w:rsidRPr="008625DC" w:rsidRDefault="002E1BC4" w:rsidP="009571A7">
            <w:pPr>
              <w:pStyle w:val="TableTextLeft"/>
              <w:spacing w:before="20" w:after="60" w:line="240" w:lineRule="auto"/>
              <w:jc w:val="left"/>
            </w:pPr>
            <w:r w:rsidRPr="008625DC">
              <w:t>Australian Friendly Societies Pharmacies Association</w:t>
            </w:r>
          </w:p>
        </w:tc>
        <w:tc>
          <w:tcPr>
            <w:tcW w:w="3095" w:type="dxa"/>
            <w:shd w:val="clear" w:color="auto" w:fill="F2F2F2" w:themeFill="background1" w:themeFillShade="F2"/>
          </w:tcPr>
          <w:p w14:paraId="317B8829" w14:textId="77777777" w:rsidR="002E1BC4" w:rsidRPr="008625DC" w:rsidRDefault="002E1BC4" w:rsidP="009571A7">
            <w:pPr>
              <w:pStyle w:val="TableTextLeft"/>
              <w:spacing w:before="20" w:after="60" w:line="240" w:lineRule="auto"/>
              <w:jc w:val="left"/>
            </w:pPr>
            <w:r w:rsidRPr="008625DC">
              <w:t>Australian Healthcare and Hospitals Association</w:t>
            </w:r>
          </w:p>
        </w:tc>
        <w:tc>
          <w:tcPr>
            <w:tcW w:w="3096" w:type="dxa"/>
            <w:shd w:val="clear" w:color="auto" w:fill="F2F2F2" w:themeFill="background1" w:themeFillShade="F2"/>
          </w:tcPr>
          <w:p w14:paraId="6B234CCE" w14:textId="77777777" w:rsidR="002E1BC4" w:rsidRPr="008625DC" w:rsidRDefault="002E1BC4" w:rsidP="009571A7">
            <w:pPr>
              <w:pStyle w:val="TableTextLeft"/>
              <w:spacing w:before="20" w:after="60" w:line="240" w:lineRule="auto"/>
              <w:jc w:val="left"/>
            </w:pPr>
            <w:r w:rsidRPr="008625DC">
              <w:t>Australian Hotels Association</w:t>
            </w:r>
          </w:p>
        </w:tc>
      </w:tr>
      <w:tr w:rsidR="002E1BC4" w:rsidRPr="008625DC" w14:paraId="4225B36C" w14:textId="77777777" w:rsidTr="00F536A7">
        <w:tc>
          <w:tcPr>
            <w:tcW w:w="3095" w:type="dxa"/>
            <w:shd w:val="clear" w:color="auto" w:fill="F2F2F2" w:themeFill="background1" w:themeFillShade="F2"/>
          </w:tcPr>
          <w:p w14:paraId="5E91E450" w14:textId="77777777" w:rsidR="002E1BC4" w:rsidRPr="008625DC" w:rsidRDefault="002E1BC4" w:rsidP="009571A7">
            <w:pPr>
              <w:pStyle w:val="TableTextLeft"/>
              <w:spacing w:before="20" w:after="60" w:line="240" w:lineRule="auto"/>
              <w:jc w:val="left"/>
            </w:pPr>
            <w:r w:rsidRPr="008625DC">
              <w:t>Australian Industry Group</w:t>
            </w:r>
          </w:p>
        </w:tc>
        <w:tc>
          <w:tcPr>
            <w:tcW w:w="3095" w:type="dxa"/>
            <w:shd w:val="clear" w:color="auto" w:fill="F2F2F2" w:themeFill="background1" w:themeFillShade="F2"/>
          </w:tcPr>
          <w:p w14:paraId="1DF0B71E" w14:textId="77777777" w:rsidR="002E1BC4" w:rsidRPr="008625DC" w:rsidRDefault="002E1BC4" w:rsidP="009571A7">
            <w:pPr>
              <w:pStyle w:val="TableTextLeft"/>
              <w:spacing w:before="20" w:after="60" w:line="240" w:lineRule="auto"/>
              <w:jc w:val="left"/>
            </w:pPr>
            <w:r w:rsidRPr="008625DC">
              <w:t>Australian Information Industry Association</w:t>
            </w:r>
          </w:p>
        </w:tc>
        <w:tc>
          <w:tcPr>
            <w:tcW w:w="3096" w:type="dxa"/>
            <w:shd w:val="clear" w:color="auto" w:fill="F2F2F2" w:themeFill="background1" w:themeFillShade="F2"/>
          </w:tcPr>
          <w:p w14:paraId="36ADBC83" w14:textId="77777777" w:rsidR="002E1BC4" w:rsidRPr="008625DC" w:rsidRDefault="002E1BC4" w:rsidP="009571A7">
            <w:pPr>
              <w:pStyle w:val="TableTextLeft"/>
              <w:spacing w:before="20" w:after="60" w:line="240" w:lineRule="auto"/>
              <w:jc w:val="left"/>
            </w:pPr>
            <w:r w:rsidRPr="008625DC">
              <w:t>Australian Institute of Petroleum</w:t>
            </w:r>
          </w:p>
        </w:tc>
      </w:tr>
      <w:tr w:rsidR="002E1BC4" w:rsidRPr="008625DC" w14:paraId="5F68C1FB" w14:textId="77777777" w:rsidTr="00F536A7">
        <w:tc>
          <w:tcPr>
            <w:tcW w:w="3095" w:type="dxa"/>
            <w:shd w:val="clear" w:color="auto" w:fill="F2F2F2" w:themeFill="background1" w:themeFillShade="F2"/>
          </w:tcPr>
          <w:p w14:paraId="3B611B2A" w14:textId="77777777" w:rsidR="002E1BC4" w:rsidRPr="008625DC" w:rsidRDefault="002E1BC4" w:rsidP="009571A7">
            <w:pPr>
              <w:pStyle w:val="TableTextLeft"/>
              <w:spacing w:before="20" w:after="60" w:line="240" w:lineRule="auto"/>
              <w:jc w:val="left"/>
            </w:pPr>
            <w:r w:rsidRPr="008625DC">
              <w:t>Australian International Movers Association</w:t>
            </w:r>
          </w:p>
        </w:tc>
        <w:tc>
          <w:tcPr>
            <w:tcW w:w="3095" w:type="dxa"/>
            <w:shd w:val="clear" w:color="auto" w:fill="F2F2F2" w:themeFill="background1" w:themeFillShade="F2"/>
          </w:tcPr>
          <w:p w14:paraId="175BE770" w14:textId="77777777" w:rsidR="002E1BC4" w:rsidRPr="008625DC" w:rsidRDefault="002E1BC4" w:rsidP="009571A7">
            <w:pPr>
              <w:pStyle w:val="TableTextLeft"/>
              <w:spacing w:before="20" w:after="60" w:line="240" w:lineRule="auto"/>
              <w:jc w:val="left"/>
            </w:pPr>
            <w:r w:rsidRPr="008625DC">
              <w:t>Australian Lawyers for Human Rights</w:t>
            </w:r>
          </w:p>
        </w:tc>
        <w:tc>
          <w:tcPr>
            <w:tcW w:w="3096" w:type="dxa"/>
            <w:shd w:val="clear" w:color="auto" w:fill="F2F2F2" w:themeFill="background1" w:themeFillShade="F2"/>
          </w:tcPr>
          <w:p w14:paraId="3BCA6A9C" w14:textId="77777777" w:rsidR="002E1BC4" w:rsidRPr="008625DC" w:rsidRDefault="002E1BC4" w:rsidP="009571A7">
            <w:pPr>
              <w:pStyle w:val="TableTextLeft"/>
              <w:spacing w:before="20" w:after="60" w:line="240" w:lineRule="auto"/>
              <w:jc w:val="left"/>
            </w:pPr>
            <w:r w:rsidRPr="008625DC">
              <w:t>Australian Liquor Stores Association</w:t>
            </w:r>
          </w:p>
        </w:tc>
      </w:tr>
      <w:tr w:rsidR="002E1BC4" w:rsidRPr="008625DC" w14:paraId="266C5496" w14:textId="77777777" w:rsidTr="00F536A7">
        <w:tc>
          <w:tcPr>
            <w:tcW w:w="3095" w:type="dxa"/>
            <w:shd w:val="clear" w:color="auto" w:fill="F2F2F2" w:themeFill="background1" w:themeFillShade="F2"/>
          </w:tcPr>
          <w:p w14:paraId="50E695D2" w14:textId="77777777" w:rsidR="002E1BC4" w:rsidRPr="008625DC" w:rsidRDefault="002E1BC4" w:rsidP="009571A7">
            <w:pPr>
              <w:pStyle w:val="TableTextLeft"/>
              <w:spacing w:before="20" w:after="60" w:line="240" w:lineRule="auto"/>
              <w:jc w:val="left"/>
            </w:pPr>
            <w:r w:rsidRPr="008625DC">
              <w:t>Australian Motor Industry Federation</w:t>
            </w:r>
          </w:p>
        </w:tc>
        <w:tc>
          <w:tcPr>
            <w:tcW w:w="3095" w:type="dxa"/>
            <w:shd w:val="clear" w:color="auto" w:fill="F2F2F2" w:themeFill="background1" w:themeFillShade="F2"/>
          </w:tcPr>
          <w:p w14:paraId="390E78C0" w14:textId="77777777" w:rsidR="002E1BC4" w:rsidRPr="008625DC" w:rsidRDefault="002E1BC4" w:rsidP="009571A7">
            <w:pPr>
              <w:pStyle w:val="TableTextLeft"/>
              <w:spacing w:before="20" w:after="60" w:line="240" w:lineRule="auto"/>
              <w:jc w:val="left"/>
            </w:pPr>
            <w:r w:rsidRPr="008625DC">
              <w:t>Australian National Retailers Association</w:t>
            </w:r>
          </w:p>
        </w:tc>
        <w:tc>
          <w:tcPr>
            <w:tcW w:w="3096" w:type="dxa"/>
            <w:shd w:val="clear" w:color="auto" w:fill="F2F2F2" w:themeFill="background1" w:themeFillShade="F2"/>
          </w:tcPr>
          <w:p w14:paraId="7B3B20F5" w14:textId="4FB52F53" w:rsidR="002E1BC4" w:rsidRPr="008625DC" w:rsidRDefault="002E1BC4" w:rsidP="009571A7">
            <w:pPr>
              <w:pStyle w:val="TableTextLeft"/>
              <w:spacing w:before="20" w:after="60" w:line="240" w:lineRule="auto"/>
              <w:jc w:val="left"/>
            </w:pPr>
            <w:r w:rsidRPr="008625DC">
              <w:t>Australian Network of Environmental Defender</w:t>
            </w:r>
            <w:r w:rsidR="00C74E19" w:rsidRPr="008625DC">
              <w:t>’</w:t>
            </w:r>
            <w:r w:rsidRPr="008625DC">
              <w:t>s Offices</w:t>
            </w:r>
          </w:p>
        </w:tc>
      </w:tr>
      <w:tr w:rsidR="002E1BC4" w:rsidRPr="008625DC" w14:paraId="2700620F" w14:textId="77777777" w:rsidTr="00F536A7">
        <w:tc>
          <w:tcPr>
            <w:tcW w:w="3095" w:type="dxa"/>
            <w:shd w:val="clear" w:color="auto" w:fill="F2F2F2" w:themeFill="background1" w:themeFillShade="F2"/>
          </w:tcPr>
          <w:p w14:paraId="24F5C274" w14:textId="1F63BFFB" w:rsidR="002E1BC4" w:rsidRPr="008625DC" w:rsidRDefault="002E1BC4" w:rsidP="009571A7">
            <w:pPr>
              <w:pStyle w:val="TableTextLeft"/>
              <w:spacing w:before="20" w:after="60" w:line="240" w:lineRule="auto"/>
              <w:jc w:val="left"/>
            </w:pPr>
            <w:r w:rsidRPr="008625DC">
              <w:t>Australian Newsagents</w:t>
            </w:r>
            <w:r w:rsidR="00C74E19" w:rsidRPr="008625DC">
              <w:t>’</w:t>
            </w:r>
            <w:r w:rsidRPr="008625DC">
              <w:t xml:space="preserve"> Federation</w:t>
            </w:r>
          </w:p>
        </w:tc>
        <w:tc>
          <w:tcPr>
            <w:tcW w:w="3095" w:type="dxa"/>
            <w:shd w:val="clear" w:color="auto" w:fill="F2F2F2" w:themeFill="background1" w:themeFillShade="F2"/>
          </w:tcPr>
          <w:p w14:paraId="0331AC51" w14:textId="77777777" w:rsidR="002E1BC4" w:rsidRPr="008625DC" w:rsidRDefault="002E1BC4" w:rsidP="009571A7">
            <w:pPr>
              <w:pStyle w:val="TableTextLeft"/>
              <w:spacing w:before="20" w:after="60" w:line="240" w:lineRule="auto"/>
              <w:jc w:val="left"/>
            </w:pPr>
            <w:r w:rsidRPr="008625DC">
              <w:t>Australian Organisation for Quality</w:t>
            </w:r>
          </w:p>
        </w:tc>
        <w:tc>
          <w:tcPr>
            <w:tcW w:w="3096" w:type="dxa"/>
            <w:shd w:val="clear" w:color="auto" w:fill="F2F2F2" w:themeFill="background1" w:themeFillShade="F2"/>
          </w:tcPr>
          <w:p w14:paraId="23AC608A" w14:textId="77777777" w:rsidR="002E1BC4" w:rsidRPr="008625DC" w:rsidRDefault="002E1BC4" w:rsidP="009571A7">
            <w:pPr>
              <w:pStyle w:val="TableTextLeft"/>
              <w:spacing w:before="20" w:line="240" w:lineRule="auto"/>
              <w:jc w:val="left"/>
            </w:pPr>
            <w:r w:rsidRPr="008625DC">
              <w:t>Australian Payments Clearing Association</w:t>
            </w:r>
          </w:p>
        </w:tc>
      </w:tr>
      <w:tr w:rsidR="002E1BC4" w:rsidRPr="008625DC" w14:paraId="5E001815" w14:textId="77777777" w:rsidTr="00F536A7">
        <w:tc>
          <w:tcPr>
            <w:tcW w:w="3095" w:type="dxa"/>
            <w:shd w:val="clear" w:color="auto" w:fill="F2F2F2" w:themeFill="background1" w:themeFillShade="F2"/>
          </w:tcPr>
          <w:p w14:paraId="54BE8E59" w14:textId="77777777" w:rsidR="002E1BC4" w:rsidRPr="008625DC" w:rsidRDefault="002E1BC4" w:rsidP="009571A7">
            <w:pPr>
              <w:pStyle w:val="TableTextLeft"/>
              <w:keepLines/>
              <w:spacing w:before="20" w:after="60" w:line="240" w:lineRule="auto"/>
              <w:jc w:val="left"/>
            </w:pPr>
            <w:r w:rsidRPr="008625DC">
              <w:lastRenderedPageBreak/>
              <w:t>Australian Peak Shippers Association Inc.</w:t>
            </w:r>
          </w:p>
        </w:tc>
        <w:tc>
          <w:tcPr>
            <w:tcW w:w="3095" w:type="dxa"/>
            <w:shd w:val="clear" w:color="auto" w:fill="F2F2F2" w:themeFill="background1" w:themeFillShade="F2"/>
          </w:tcPr>
          <w:p w14:paraId="2D67CF50" w14:textId="77777777" w:rsidR="002E1BC4" w:rsidRPr="008625DC" w:rsidRDefault="002E1BC4" w:rsidP="009571A7">
            <w:pPr>
              <w:pStyle w:val="TableTextLeft"/>
              <w:keepLines/>
              <w:spacing w:before="20" w:after="60" w:line="240" w:lineRule="auto"/>
              <w:jc w:val="left"/>
            </w:pPr>
            <w:r w:rsidRPr="008625DC">
              <w:t>Australian Petroleum Production and Exploration Association</w:t>
            </w:r>
          </w:p>
        </w:tc>
        <w:tc>
          <w:tcPr>
            <w:tcW w:w="3096" w:type="dxa"/>
            <w:shd w:val="clear" w:color="auto" w:fill="F2F2F2" w:themeFill="background1" w:themeFillShade="F2"/>
          </w:tcPr>
          <w:p w14:paraId="028907E2" w14:textId="77777777" w:rsidR="002E1BC4" w:rsidRPr="008625DC" w:rsidRDefault="002E1BC4" w:rsidP="009571A7">
            <w:pPr>
              <w:pStyle w:val="TableTextLeft"/>
              <w:keepLines/>
              <w:spacing w:before="20" w:after="60" w:line="240" w:lineRule="auto"/>
              <w:jc w:val="left"/>
            </w:pPr>
            <w:r w:rsidRPr="008625DC">
              <w:t>Australian Physiotherapy Association</w:t>
            </w:r>
          </w:p>
        </w:tc>
      </w:tr>
      <w:tr w:rsidR="002E1BC4" w:rsidRPr="008625DC" w14:paraId="5729B1D2" w14:textId="77777777" w:rsidTr="00F536A7">
        <w:tc>
          <w:tcPr>
            <w:tcW w:w="3095" w:type="dxa"/>
            <w:shd w:val="clear" w:color="auto" w:fill="F2F2F2" w:themeFill="background1" w:themeFillShade="F2"/>
          </w:tcPr>
          <w:p w14:paraId="44A8B333" w14:textId="77777777" w:rsidR="002E1BC4" w:rsidRPr="008625DC" w:rsidRDefault="002E1BC4" w:rsidP="009571A7">
            <w:pPr>
              <w:pStyle w:val="TableTextLeft"/>
              <w:spacing w:before="20" w:after="60" w:line="240" w:lineRule="auto"/>
              <w:jc w:val="left"/>
            </w:pPr>
            <w:r w:rsidRPr="008625DC">
              <w:t>Australian Pipeline Industry Association</w:t>
            </w:r>
          </w:p>
        </w:tc>
        <w:tc>
          <w:tcPr>
            <w:tcW w:w="3095" w:type="dxa"/>
            <w:shd w:val="clear" w:color="auto" w:fill="F2F2F2" w:themeFill="background1" w:themeFillShade="F2"/>
          </w:tcPr>
          <w:p w14:paraId="16EF86A5" w14:textId="77777777" w:rsidR="002E1BC4" w:rsidRPr="008625DC" w:rsidRDefault="002E1BC4" w:rsidP="009571A7">
            <w:pPr>
              <w:pStyle w:val="TableTextLeft"/>
              <w:spacing w:before="20" w:after="60" w:line="240" w:lineRule="auto"/>
              <w:jc w:val="left"/>
            </w:pPr>
            <w:r w:rsidRPr="008625DC">
              <w:t>Australian Prawn Farmers Association</w:t>
            </w:r>
          </w:p>
        </w:tc>
        <w:tc>
          <w:tcPr>
            <w:tcW w:w="3096" w:type="dxa"/>
            <w:shd w:val="clear" w:color="auto" w:fill="F2F2F2" w:themeFill="background1" w:themeFillShade="F2"/>
          </w:tcPr>
          <w:p w14:paraId="7E0D169E" w14:textId="77777777" w:rsidR="002E1BC4" w:rsidRPr="008625DC" w:rsidRDefault="002E1BC4" w:rsidP="009571A7">
            <w:pPr>
              <w:pStyle w:val="TableTextLeft"/>
              <w:spacing w:before="20" w:after="60" w:line="240" w:lineRule="auto"/>
              <w:jc w:val="left"/>
            </w:pPr>
            <w:r w:rsidRPr="008625DC">
              <w:t>Australian Private Hospitals Association</w:t>
            </w:r>
          </w:p>
        </w:tc>
      </w:tr>
      <w:tr w:rsidR="002E1BC4" w:rsidRPr="008625DC" w14:paraId="63CA310D" w14:textId="77777777" w:rsidTr="00F536A7">
        <w:tc>
          <w:tcPr>
            <w:tcW w:w="3095" w:type="dxa"/>
            <w:shd w:val="clear" w:color="auto" w:fill="F2F2F2" w:themeFill="background1" w:themeFillShade="F2"/>
          </w:tcPr>
          <w:p w14:paraId="759799E1" w14:textId="77777777" w:rsidR="002E1BC4" w:rsidRPr="008625DC" w:rsidRDefault="002E1BC4" w:rsidP="009571A7">
            <w:pPr>
              <w:pStyle w:val="TableTextLeft"/>
              <w:spacing w:before="20" w:after="60" w:line="240" w:lineRule="auto"/>
              <w:jc w:val="left"/>
            </w:pPr>
            <w:r w:rsidRPr="008625DC">
              <w:t>Australian Recording Industry Association</w:t>
            </w:r>
          </w:p>
        </w:tc>
        <w:tc>
          <w:tcPr>
            <w:tcW w:w="3095" w:type="dxa"/>
            <w:shd w:val="clear" w:color="auto" w:fill="F2F2F2" w:themeFill="background1" w:themeFillShade="F2"/>
          </w:tcPr>
          <w:p w14:paraId="53F74FB6" w14:textId="77777777" w:rsidR="002E1BC4" w:rsidRPr="008625DC" w:rsidRDefault="002E1BC4" w:rsidP="009571A7">
            <w:pPr>
              <w:pStyle w:val="TableTextLeft"/>
              <w:spacing w:before="20" w:after="60" w:line="240" w:lineRule="auto"/>
              <w:jc w:val="left"/>
            </w:pPr>
            <w:r w:rsidRPr="008625DC">
              <w:t>Australian Retailers Association</w:t>
            </w:r>
          </w:p>
        </w:tc>
        <w:tc>
          <w:tcPr>
            <w:tcW w:w="3096" w:type="dxa"/>
            <w:shd w:val="clear" w:color="auto" w:fill="F2F2F2" w:themeFill="background1" w:themeFillShade="F2"/>
          </w:tcPr>
          <w:p w14:paraId="51B9E670" w14:textId="77777777" w:rsidR="002E1BC4" w:rsidRPr="008625DC" w:rsidRDefault="002E1BC4" w:rsidP="009571A7">
            <w:pPr>
              <w:pStyle w:val="TableTextLeft"/>
              <w:spacing w:before="20" w:after="60" w:line="240" w:lineRule="auto"/>
              <w:jc w:val="left"/>
            </w:pPr>
            <w:r w:rsidRPr="008625DC">
              <w:t>Australian Society of Authors</w:t>
            </w:r>
          </w:p>
        </w:tc>
      </w:tr>
      <w:tr w:rsidR="002E1BC4" w:rsidRPr="008625DC" w14:paraId="1CB22180" w14:textId="77777777" w:rsidTr="00F536A7">
        <w:tc>
          <w:tcPr>
            <w:tcW w:w="3095" w:type="dxa"/>
            <w:shd w:val="clear" w:color="auto" w:fill="F2F2F2" w:themeFill="background1" w:themeFillShade="F2"/>
          </w:tcPr>
          <w:p w14:paraId="5EC89BCF" w14:textId="77777777" w:rsidR="002E1BC4" w:rsidRPr="008625DC" w:rsidRDefault="002E1BC4" w:rsidP="009571A7">
            <w:pPr>
              <w:pStyle w:val="TableTextLeft"/>
              <w:spacing w:before="20" w:after="60" w:line="240" w:lineRule="auto"/>
              <w:jc w:val="left"/>
            </w:pPr>
            <w:r w:rsidRPr="008625DC">
              <w:t>Australian Subscription Television and Radio Association</w:t>
            </w:r>
          </w:p>
        </w:tc>
        <w:tc>
          <w:tcPr>
            <w:tcW w:w="3095" w:type="dxa"/>
            <w:shd w:val="clear" w:color="auto" w:fill="F2F2F2" w:themeFill="background1" w:themeFillShade="F2"/>
          </w:tcPr>
          <w:p w14:paraId="510E371B" w14:textId="77777777" w:rsidR="002E1BC4" w:rsidRPr="008625DC" w:rsidRDefault="002E1BC4" w:rsidP="009571A7">
            <w:pPr>
              <w:pStyle w:val="TableTextLeft"/>
              <w:spacing w:before="20" w:after="60" w:line="240" w:lineRule="auto"/>
              <w:jc w:val="left"/>
            </w:pPr>
            <w:r w:rsidRPr="008625DC">
              <w:t>Australian Taxi Industry Association</w:t>
            </w:r>
          </w:p>
        </w:tc>
        <w:tc>
          <w:tcPr>
            <w:tcW w:w="3096" w:type="dxa"/>
            <w:shd w:val="clear" w:color="auto" w:fill="F2F2F2" w:themeFill="background1" w:themeFillShade="F2"/>
          </w:tcPr>
          <w:p w14:paraId="2964D7A8" w14:textId="77777777" w:rsidR="002E1BC4" w:rsidRPr="008625DC" w:rsidRDefault="002E1BC4" w:rsidP="009571A7">
            <w:pPr>
              <w:pStyle w:val="TableTextLeft"/>
              <w:spacing w:before="20" w:after="60" w:line="240" w:lineRule="auto"/>
              <w:jc w:val="left"/>
            </w:pPr>
            <w:r w:rsidRPr="008625DC">
              <w:t>Baker and McKenzie</w:t>
            </w:r>
          </w:p>
        </w:tc>
      </w:tr>
      <w:tr w:rsidR="002E1BC4" w:rsidRPr="008625DC" w14:paraId="2B9E79EA" w14:textId="77777777" w:rsidTr="00F536A7">
        <w:tc>
          <w:tcPr>
            <w:tcW w:w="3095" w:type="dxa"/>
            <w:shd w:val="clear" w:color="auto" w:fill="F2F2F2" w:themeFill="background1" w:themeFillShade="F2"/>
          </w:tcPr>
          <w:p w14:paraId="78BBDA54" w14:textId="77777777" w:rsidR="002E1BC4" w:rsidRPr="008625DC" w:rsidRDefault="002E1BC4" w:rsidP="009571A7">
            <w:pPr>
              <w:pStyle w:val="TableTextLeft"/>
              <w:spacing w:before="20" w:after="60" w:line="240" w:lineRule="auto"/>
              <w:jc w:val="left"/>
            </w:pPr>
            <w:r w:rsidRPr="008625DC">
              <w:t>Baxt, Bob</w:t>
            </w:r>
          </w:p>
        </w:tc>
        <w:tc>
          <w:tcPr>
            <w:tcW w:w="3095" w:type="dxa"/>
            <w:shd w:val="clear" w:color="auto" w:fill="F2F2F2" w:themeFill="background1" w:themeFillShade="F2"/>
          </w:tcPr>
          <w:p w14:paraId="59B3B682" w14:textId="77777777" w:rsidR="002E1BC4" w:rsidRPr="008625DC" w:rsidRDefault="002E1BC4" w:rsidP="009571A7">
            <w:pPr>
              <w:pStyle w:val="TableTextLeft"/>
              <w:spacing w:before="20" w:after="60" w:line="240" w:lineRule="auto"/>
              <w:jc w:val="left"/>
            </w:pPr>
            <w:r w:rsidRPr="008625DC">
              <w:t>Beadman, B</w:t>
            </w:r>
          </w:p>
        </w:tc>
        <w:tc>
          <w:tcPr>
            <w:tcW w:w="3096" w:type="dxa"/>
            <w:shd w:val="clear" w:color="auto" w:fill="F2F2F2" w:themeFill="background1" w:themeFillShade="F2"/>
          </w:tcPr>
          <w:p w14:paraId="5E6D8BF1" w14:textId="3C217309" w:rsidR="002E1BC4" w:rsidRPr="008625DC" w:rsidRDefault="002E1BC4" w:rsidP="009571A7">
            <w:pPr>
              <w:pStyle w:val="TableTextLeft"/>
              <w:spacing w:before="20" w:after="60" w:line="240" w:lineRule="auto"/>
              <w:jc w:val="left"/>
            </w:pPr>
            <w:r w:rsidRPr="008625DC">
              <w:t>Beaton</w:t>
            </w:r>
            <w:r w:rsidR="00C74E19" w:rsidRPr="008625DC">
              <w:noBreakHyphen/>
            </w:r>
            <w:r w:rsidRPr="008625DC">
              <w:t>Wells, C</w:t>
            </w:r>
          </w:p>
        </w:tc>
      </w:tr>
      <w:tr w:rsidR="002E1BC4" w:rsidRPr="008625DC" w14:paraId="145CBCAF" w14:textId="77777777" w:rsidTr="00F536A7">
        <w:tc>
          <w:tcPr>
            <w:tcW w:w="3095" w:type="dxa"/>
            <w:shd w:val="clear" w:color="auto" w:fill="F2F2F2" w:themeFill="background1" w:themeFillShade="F2"/>
          </w:tcPr>
          <w:p w14:paraId="79B7C5EB" w14:textId="3DF34CFE" w:rsidR="002E1BC4" w:rsidRPr="008625DC" w:rsidRDefault="002E1BC4" w:rsidP="009571A7">
            <w:pPr>
              <w:pStyle w:val="TableTextLeft"/>
              <w:spacing w:before="20" w:after="60" w:line="240" w:lineRule="auto"/>
              <w:jc w:val="left"/>
            </w:pPr>
            <w:r w:rsidRPr="008625DC">
              <w:t>Beaton</w:t>
            </w:r>
            <w:r w:rsidR="00C74E19" w:rsidRPr="008625DC">
              <w:noBreakHyphen/>
            </w:r>
            <w:r w:rsidRPr="008625DC">
              <w:t>Wells, C and Fisse, B</w:t>
            </w:r>
          </w:p>
        </w:tc>
        <w:tc>
          <w:tcPr>
            <w:tcW w:w="3095" w:type="dxa"/>
            <w:shd w:val="clear" w:color="auto" w:fill="F2F2F2" w:themeFill="background1" w:themeFillShade="F2"/>
          </w:tcPr>
          <w:p w14:paraId="1A30C641" w14:textId="77777777" w:rsidR="002E1BC4" w:rsidRPr="008625DC" w:rsidRDefault="002E1BC4" w:rsidP="009571A7">
            <w:pPr>
              <w:pStyle w:val="TableTextLeft"/>
              <w:spacing w:before="20" w:after="60" w:line="240" w:lineRule="auto"/>
              <w:jc w:val="left"/>
            </w:pPr>
            <w:r w:rsidRPr="008625DC">
              <w:t>Beck, K R</w:t>
            </w:r>
          </w:p>
        </w:tc>
        <w:tc>
          <w:tcPr>
            <w:tcW w:w="3096" w:type="dxa"/>
            <w:shd w:val="clear" w:color="auto" w:fill="F2F2F2" w:themeFill="background1" w:themeFillShade="F2"/>
          </w:tcPr>
          <w:p w14:paraId="5C326515" w14:textId="77777777" w:rsidR="002E1BC4" w:rsidRPr="008625DC" w:rsidRDefault="002E1BC4" w:rsidP="009571A7">
            <w:pPr>
              <w:pStyle w:val="TableTextLeft"/>
              <w:spacing w:before="20" w:after="60" w:line="240" w:lineRule="auto"/>
              <w:jc w:val="left"/>
            </w:pPr>
            <w:r w:rsidRPr="008625DC">
              <w:t>Bendigo and Adelaide Bank, BOQ, ME Bank and Suncorp Bank</w:t>
            </w:r>
          </w:p>
        </w:tc>
      </w:tr>
      <w:tr w:rsidR="002E1BC4" w:rsidRPr="008625DC" w14:paraId="4E69C9E3" w14:textId="77777777" w:rsidTr="00F536A7">
        <w:tc>
          <w:tcPr>
            <w:tcW w:w="3095" w:type="dxa"/>
            <w:shd w:val="clear" w:color="auto" w:fill="F2F2F2" w:themeFill="background1" w:themeFillShade="F2"/>
          </w:tcPr>
          <w:p w14:paraId="44BF482F" w14:textId="1F2E0BB3" w:rsidR="002E1BC4" w:rsidRPr="008625DC" w:rsidRDefault="002E1BC4" w:rsidP="009571A7">
            <w:pPr>
              <w:pStyle w:val="TableTextLeft"/>
              <w:spacing w:before="20" w:after="60" w:line="240" w:lineRule="auto"/>
              <w:jc w:val="left"/>
            </w:pPr>
            <w:r w:rsidRPr="008625DC">
              <w:t>BHP Billiton</w:t>
            </w:r>
            <w:r w:rsidR="00C74E19" w:rsidRPr="008625DC">
              <w:t xml:space="preserve"> — </w:t>
            </w:r>
            <w:r w:rsidRPr="008625DC">
              <w:t>updated submission</w:t>
            </w:r>
          </w:p>
        </w:tc>
        <w:tc>
          <w:tcPr>
            <w:tcW w:w="3095" w:type="dxa"/>
            <w:shd w:val="clear" w:color="auto" w:fill="F2F2F2" w:themeFill="background1" w:themeFillShade="F2"/>
          </w:tcPr>
          <w:p w14:paraId="79411F44" w14:textId="77777777" w:rsidR="002E1BC4" w:rsidRPr="008625DC" w:rsidRDefault="002E1BC4" w:rsidP="009571A7">
            <w:pPr>
              <w:pStyle w:val="TableTextLeft"/>
              <w:spacing w:before="20" w:after="60" w:line="240" w:lineRule="auto"/>
              <w:jc w:val="left"/>
            </w:pPr>
            <w:r w:rsidRPr="008625DC">
              <w:t>Birve, A</w:t>
            </w:r>
          </w:p>
        </w:tc>
        <w:tc>
          <w:tcPr>
            <w:tcW w:w="3096" w:type="dxa"/>
            <w:shd w:val="clear" w:color="auto" w:fill="F2F2F2" w:themeFill="background1" w:themeFillShade="F2"/>
          </w:tcPr>
          <w:p w14:paraId="52597EFE" w14:textId="77777777" w:rsidR="002E1BC4" w:rsidRPr="008625DC" w:rsidRDefault="002E1BC4" w:rsidP="009571A7">
            <w:pPr>
              <w:pStyle w:val="TableTextLeft"/>
              <w:spacing w:before="20" w:after="60" w:line="240" w:lineRule="auto"/>
              <w:jc w:val="left"/>
            </w:pPr>
            <w:r w:rsidRPr="008625DC">
              <w:t>Board of Airline Representatives of Australia</w:t>
            </w:r>
          </w:p>
        </w:tc>
      </w:tr>
      <w:tr w:rsidR="002E1BC4" w:rsidRPr="008625DC" w14:paraId="5CBA284F" w14:textId="77777777" w:rsidTr="00F536A7">
        <w:tc>
          <w:tcPr>
            <w:tcW w:w="3095" w:type="dxa"/>
            <w:shd w:val="clear" w:color="auto" w:fill="F2F2F2" w:themeFill="background1" w:themeFillShade="F2"/>
          </w:tcPr>
          <w:p w14:paraId="4B72EDB8" w14:textId="77777777" w:rsidR="002E1BC4" w:rsidRPr="008625DC" w:rsidRDefault="002E1BC4" w:rsidP="009571A7">
            <w:pPr>
              <w:pStyle w:val="TableTextLeft"/>
              <w:spacing w:before="20" w:after="60" w:line="240" w:lineRule="auto"/>
              <w:jc w:val="left"/>
            </w:pPr>
            <w:r w:rsidRPr="008625DC">
              <w:t>Bond University</w:t>
            </w:r>
          </w:p>
        </w:tc>
        <w:tc>
          <w:tcPr>
            <w:tcW w:w="3095" w:type="dxa"/>
            <w:shd w:val="clear" w:color="auto" w:fill="F2F2F2" w:themeFill="background1" w:themeFillShade="F2"/>
          </w:tcPr>
          <w:p w14:paraId="13168709" w14:textId="77777777" w:rsidR="002E1BC4" w:rsidRPr="008625DC" w:rsidRDefault="002E1BC4" w:rsidP="009571A7">
            <w:pPr>
              <w:pStyle w:val="TableTextLeft"/>
              <w:spacing w:before="20" w:after="60" w:line="240" w:lineRule="auto"/>
              <w:jc w:val="left"/>
            </w:pPr>
            <w:r w:rsidRPr="008625DC">
              <w:t>Border, A</w:t>
            </w:r>
          </w:p>
        </w:tc>
        <w:tc>
          <w:tcPr>
            <w:tcW w:w="3096" w:type="dxa"/>
            <w:shd w:val="clear" w:color="auto" w:fill="F2F2F2" w:themeFill="background1" w:themeFillShade="F2"/>
          </w:tcPr>
          <w:p w14:paraId="624719EB" w14:textId="77777777" w:rsidR="002E1BC4" w:rsidRPr="008625DC" w:rsidRDefault="002E1BC4" w:rsidP="009571A7">
            <w:pPr>
              <w:pStyle w:val="TableTextLeft"/>
              <w:spacing w:before="20" w:after="60" w:line="240" w:lineRule="auto"/>
              <w:jc w:val="left"/>
            </w:pPr>
            <w:r w:rsidRPr="008625DC">
              <w:t>Brewers Association of Australia and New Zealand Inc.</w:t>
            </w:r>
          </w:p>
        </w:tc>
      </w:tr>
      <w:tr w:rsidR="002E1BC4" w:rsidRPr="008625DC" w14:paraId="6507A8FC" w14:textId="77777777" w:rsidTr="00F536A7">
        <w:tc>
          <w:tcPr>
            <w:tcW w:w="3095" w:type="dxa"/>
            <w:shd w:val="clear" w:color="auto" w:fill="F2F2F2" w:themeFill="background1" w:themeFillShade="F2"/>
          </w:tcPr>
          <w:p w14:paraId="6CA933AA" w14:textId="77777777" w:rsidR="002E1BC4" w:rsidRPr="008625DC" w:rsidRDefault="002E1BC4" w:rsidP="009571A7">
            <w:pPr>
              <w:pStyle w:val="TableTextLeft"/>
              <w:spacing w:before="20" w:after="60" w:line="240" w:lineRule="auto"/>
              <w:jc w:val="left"/>
            </w:pPr>
            <w:r w:rsidRPr="008625DC">
              <w:t>Bright, S</w:t>
            </w:r>
          </w:p>
        </w:tc>
        <w:tc>
          <w:tcPr>
            <w:tcW w:w="3095" w:type="dxa"/>
            <w:shd w:val="clear" w:color="auto" w:fill="F2F2F2" w:themeFill="background1" w:themeFillShade="F2"/>
          </w:tcPr>
          <w:p w14:paraId="32300036" w14:textId="77777777" w:rsidR="002E1BC4" w:rsidRPr="008625DC" w:rsidRDefault="002E1BC4" w:rsidP="009571A7">
            <w:pPr>
              <w:pStyle w:val="TableTextLeft"/>
              <w:spacing w:before="20" w:after="60" w:line="240" w:lineRule="auto"/>
              <w:jc w:val="left"/>
            </w:pPr>
            <w:r w:rsidRPr="008625DC">
              <w:t>Bus Industry Confederation</w:t>
            </w:r>
          </w:p>
        </w:tc>
        <w:tc>
          <w:tcPr>
            <w:tcW w:w="3096" w:type="dxa"/>
            <w:shd w:val="clear" w:color="auto" w:fill="F2F2F2" w:themeFill="background1" w:themeFillShade="F2"/>
          </w:tcPr>
          <w:p w14:paraId="7684F067" w14:textId="77777777" w:rsidR="002E1BC4" w:rsidRPr="008625DC" w:rsidRDefault="002E1BC4" w:rsidP="009571A7">
            <w:pPr>
              <w:pStyle w:val="TableTextLeft"/>
              <w:spacing w:before="20" w:after="60" w:line="240" w:lineRule="auto"/>
              <w:jc w:val="left"/>
            </w:pPr>
            <w:r w:rsidRPr="008625DC">
              <w:t>Business Council of Australia</w:t>
            </w:r>
          </w:p>
        </w:tc>
      </w:tr>
      <w:tr w:rsidR="002E1BC4" w:rsidRPr="008625DC" w14:paraId="14AFC1A2" w14:textId="77777777" w:rsidTr="00F536A7">
        <w:tc>
          <w:tcPr>
            <w:tcW w:w="3095" w:type="dxa"/>
            <w:shd w:val="clear" w:color="auto" w:fill="F2F2F2" w:themeFill="background1" w:themeFillShade="F2"/>
          </w:tcPr>
          <w:p w14:paraId="71EAB844" w14:textId="77777777" w:rsidR="002E1BC4" w:rsidRPr="008625DC" w:rsidRDefault="002E1BC4" w:rsidP="009571A7">
            <w:pPr>
              <w:pStyle w:val="TableTextLeft"/>
              <w:spacing w:before="20" w:after="60" w:line="240" w:lineRule="auto"/>
              <w:jc w:val="left"/>
            </w:pPr>
            <w:r w:rsidRPr="008625DC">
              <w:t>Business Council of Australia (Submission 2)</w:t>
            </w:r>
          </w:p>
        </w:tc>
        <w:tc>
          <w:tcPr>
            <w:tcW w:w="3095" w:type="dxa"/>
            <w:shd w:val="clear" w:color="auto" w:fill="F2F2F2" w:themeFill="background1" w:themeFillShade="F2"/>
          </w:tcPr>
          <w:p w14:paraId="54ABF80C" w14:textId="77777777" w:rsidR="002E1BC4" w:rsidRPr="008625DC" w:rsidRDefault="002E1BC4" w:rsidP="009571A7">
            <w:pPr>
              <w:pStyle w:val="TableTextLeft"/>
              <w:spacing w:before="20" w:after="60" w:line="240" w:lineRule="auto"/>
              <w:jc w:val="left"/>
            </w:pPr>
            <w:r w:rsidRPr="008625DC">
              <w:t>Business Council of Cooperatives and Mutuals</w:t>
            </w:r>
          </w:p>
        </w:tc>
        <w:tc>
          <w:tcPr>
            <w:tcW w:w="3096" w:type="dxa"/>
            <w:shd w:val="clear" w:color="auto" w:fill="F2F2F2" w:themeFill="background1" w:themeFillShade="F2"/>
          </w:tcPr>
          <w:p w14:paraId="6457BB0D" w14:textId="77777777" w:rsidR="002E1BC4" w:rsidRPr="008625DC" w:rsidRDefault="002E1BC4" w:rsidP="009571A7">
            <w:pPr>
              <w:pStyle w:val="TableTextLeft"/>
              <w:spacing w:before="20" w:after="60" w:line="240" w:lineRule="auto"/>
              <w:jc w:val="left"/>
            </w:pPr>
            <w:r w:rsidRPr="008625DC">
              <w:t>Business SA</w:t>
            </w:r>
          </w:p>
        </w:tc>
      </w:tr>
      <w:tr w:rsidR="002E1BC4" w:rsidRPr="008625DC" w14:paraId="0B27843A" w14:textId="77777777" w:rsidTr="00F536A7">
        <w:tc>
          <w:tcPr>
            <w:tcW w:w="3095" w:type="dxa"/>
            <w:shd w:val="clear" w:color="auto" w:fill="F2F2F2" w:themeFill="background1" w:themeFillShade="F2"/>
          </w:tcPr>
          <w:p w14:paraId="35A42A83" w14:textId="77777777" w:rsidR="002E1BC4" w:rsidRPr="008625DC" w:rsidRDefault="002E1BC4" w:rsidP="009571A7">
            <w:pPr>
              <w:pStyle w:val="TableTextLeft"/>
              <w:spacing w:before="20" w:after="60" w:line="240" w:lineRule="auto"/>
              <w:jc w:val="left"/>
            </w:pPr>
            <w:r w:rsidRPr="008625DC">
              <w:t>Cabfare</w:t>
            </w:r>
          </w:p>
        </w:tc>
        <w:tc>
          <w:tcPr>
            <w:tcW w:w="3095" w:type="dxa"/>
            <w:shd w:val="clear" w:color="auto" w:fill="F2F2F2" w:themeFill="background1" w:themeFillShade="F2"/>
          </w:tcPr>
          <w:p w14:paraId="75FFA214" w14:textId="77777777" w:rsidR="002E1BC4" w:rsidRPr="008625DC" w:rsidRDefault="002E1BC4" w:rsidP="009571A7">
            <w:pPr>
              <w:pStyle w:val="TableTextLeft"/>
              <w:spacing w:before="20" w:after="60" w:line="240" w:lineRule="auto"/>
              <w:jc w:val="left"/>
            </w:pPr>
            <w:r w:rsidRPr="008625DC">
              <w:t>Callaghan, J</w:t>
            </w:r>
          </w:p>
        </w:tc>
        <w:tc>
          <w:tcPr>
            <w:tcW w:w="3096" w:type="dxa"/>
            <w:shd w:val="clear" w:color="auto" w:fill="F2F2F2" w:themeFill="background1" w:themeFillShade="F2"/>
          </w:tcPr>
          <w:p w14:paraId="6AF9C5D6" w14:textId="77777777" w:rsidR="002E1BC4" w:rsidRPr="008625DC" w:rsidRDefault="002E1BC4" w:rsidP="009571A7">
            <w:pPr>
              <w:pStyle w:val="TableTextLeft"/>
              <w:spacing w:before="20" w:after="60" w:line="240" w:lineRule="auto"/>
              <w:jc w:val="left"/>
            </w:pPr>
            <w:r w:rsidRPr="008625DC">
              <w:t>Caltex Australia Limited</w:t>
            </w:r>
          </w:p>
        </w:tc>
      </w:tr>
      <w:tr w:rsidR="002E1BC4" w:rsidRPr="008625DC" w14:paraId="1B33172F" w14:textId="77777777" w:rsidTr="00F536A7">
        <w:tc>
          <w:tcPr>
            <w:tcW w:w="3095" w:type="dxa"/>
            <w:shd w:val="clear" w:color="auto" w:fill="F2F2F2" w:themeFill="background1" w:themeFillShade="F2"/>
          </w:tcPr>
          <w:p w14:paraId="060864B0" w14:textId="77777777" w:rsidR="002E1BC4" w:rsidRPr="008625DC" w:rsidRDefault="002E1BC4" w:rsidP="009571A7">
            <w:pPr>
              <w:pStyle w:val="TableTextLeft"/>
              <w:spacing w:before="20" w:after="60" w:line="240" w:lineRule="auto"/>
              <w:jc w:val="left"/>
            </w:pPr>
            <w:r w:rsidRPr="008625DC">
              <w:t>Canegrowers</w:t>
            </w:r>
          </w:p>
        </w:tc>
        <w:tc>
          <w:tcPr>
            <w:tcW w:w="3095" w:type="dxa"/>
            <w:shd w:val="clear" w:color="auto" w:fill="F2F2F2" w:themeFill="background1" w:themeFillShade="F2"/>
          </w:tcPr>
          <w:p w14:paraId="0B0B6F95" w14:textId="77777777" w:rsidR="002E1BC4" w:rsidRPr="008625DC" w:rsidRDefault="002E1BC4" w:rsidP="009571A7">
            <w:pPr>
              <w:pStyle w:val="TableTextLeft"/>
              <w:spacing w:before="20" w:after="60" w:line="240" w:lineRule="auto"/>
              <w:jc w:val="left"/>
            </w:pPr>
            <w:r w:rsidRPr="008625DC">
              <w:t>CBH Group</w:t>
            </w:r>
          </w:p>
        </w:tc>
        <w:tc>
          <w:tcPr>
            <w:tcW w:w="3096" w:type="dxa"/>
            <w:shd w:val="clear" w:color="auto" w:fill="F2F2F2" w:themeFill="background1" w:themeFillShade="F2"/>
          </w:tcPr>
          <w:p w14:paraId="50C47115" w14:textId="77777777" w:rsidR="002E1BC4" w:rsidRPr="008625DC" w:rsidRDefault="002E1BC4" w:rsidP="009571A7">
            <w:pPr>
              <w:pStyle w:val="TableTextLeft"/>
              <w:spacing w:before="20" w:after="60" w:line="240" w:lineRule="auto"/>
              <w:jc w:val="left"/>
            </w:pPr>
            <w:r w:rsidRPr="008625DC">
              <w:t>Cement Concrete and Aggregates Australia</w:t>
            </w:r>
          </w:p>
        </w:tc>
      </w:tr>
      <w:tr w:rsidR="002E1BC4" w:rsidRPr="008625DC" w14:paraId="1DDE126F" w14:textId="77777777" w:rsidTr="00F536A7">
        <w:tc>
          <w:tcPr>
            <w:tcW w:w="3095" w:type="dxa"/>
            <w:shd w:val="clear" w:color="auto" w:fill="F2F2F2" w:themeFill="background1" w:themeFillShade="F2"/>
          </w:tcPr>
          <w:p w14:paraId="120D36C6" w14:textId="77777777" w:rsidR="002E1BC4" w:rsidRPr="008625DC" w:rsidRDefault="002E1BC4" w:rsidP="009571A7">
            <w:pPr>
              <w:pStyle w:val="TableTextLeft"/>
              <w:spacing w:before="20" w:after="60" w:line="240" w:lineRule="auto"/>
              <w:jc w:val="left"/>
            </w:pPr>
            <w:r w:rsidRPr="008625DC">
              <w:t>Cement Industry Federation</w:t>
            </w:r>
          </w:p>
        </w:tc>
        <w:tc>
          <w:tcPr>
            <w:tcW w:w="3095" w:type="dxa"/>
            <w:shd w:val="clear" w:color="auto" w:fill="F2F2F2" w:themeFill="background1" w:themeFillShade="F2"/>
          </w:tcPr>
          <w:p w14:paraId="1FFB1576" w14:textId="77777777" w:rsidR="002E1BC4" w:rsidRPr="008625DC" w:rsidRDefault="002E1BC4" w:rsidP="009571A7">
            <w:pPr>
              <w:pStyle w:val="TableTextLeft"/>
              <w:spacing w:before="20" w:after="60" w:line="240" w:lineRule="auto"/>
              <w:jc w:val="left"/>
            </w:pPr>
            <w:r w:rsidRPr="008625DC">
              <w:t>Chamber of Commerce and Industry Queensland</w:t>
            </w:r>
          </w:p>
        </w:tc>
        <w:tc>
          <w:tcPr>
            <w:tcW w:w="3096" w:type="dxa"/>
            <w:shd w:val="clear" w:color="auto" w:fill="F2F2F2" w:themeFill="background1" w:themeFillShade="F2"/>
          </w:tcPr>
          <w:p w14:paraId="7E7306F0" w14:textId="77777777" w:rsidR="002E1BC4" w:rsidRPr="008625DC" w:rsidRDefault="002E1BC4" w:rsidP="009571A7">
            <w:pPr>
              <w:pStyle w:val="TableTextLeft"/>
              <w:spacing w:before="20" w:after="60" w:line="240" w:lineRule="auto"/>
              <w:jc w:val="left"/>
            </w:pPr>
            <w:r w:rsidRPr="008625DC">
              <w:t>Chamber of Commerce and Industry (WA)</w:t>
            </w:r>
          </w:p>
        </w:tc>
      </w:tr>
      <w:tr w:rsidR="002E1BC4" w:rsidRPr="008625DC" w14:paraId="154738FC" w14:textId="77777777" w:rsidTr="00F536A7">
        <w:tc>
          <w:tcPr>
            <w:tcW w:w="3095" w:type="dxa"/>
            <w:shd w:val="clear" w:color="auto" w:fill="F2F2F2" w:themeFill="background1" w:themeFillShade="F2"/>
          </w:tcPr>
          <w:p w14:paraId="6B75FFB8" w14:textId="77777777" w:rsidR="002E1BC4" w:rsidRPr="008625DC" w:rsidRDefault="002E1BC4" w:rsidP="009571A7">
            <w:pPr>
              <w:pStyle w:val="TableTextLeft"/>
              <w:spacing w:before="20" w:after="60" w:line="240" w:lineRule="auto"/>
              <w:jc w:val="left"/>
            </w:pPr>
            <w:r w:rsidRPr="008625DC">
              <w:t>Chemist Warehouse</w:t>
            </w:r>
          </w:p>
        </w:tc>
        <w:tc>
          <w:tcPr>
            <w:tcW w:w="3095" w:type="dxa"/>
            <w:shd w:val="clear" w:color="auto" w:fill="F2F2F2" w:themeFill="background1" w:themeFillShade="F2"/>
          </w:tcPr>
          <w:p w14:paraId="28E0160E" w14:textId="03ADE9DB" w:rsidR="002E1BC4" w:rsidRPr="008625DC" w:rsidRDefault="002E1BC4" w:rsidP="009571A7">
            <w:pPr>
              <w:pStyle w:val="TableTextLeft"/>
              <w:spacing w:before="20" w:after="60" w:line="240" w:lineRule="auto"/>
              <w:jc w:val="left"/>
            </w:pPr>
            <w:r w:rsidRPr="008625DC">
              <w:t>Chi</w:t>
            </w:r>
            <w:r w:rsidR="00C74E19" w:rsidRPr="008625DC">
              <w:noBreakHyphen/>
            </w:r>
            <w:r w:rsidRPr="008625DC">
              <w:t>X Australia</w:t>
            </w:r>
          </w:p>
        </w:tc>
        <w:tc>
          <w:tcPr>
            <w:tcW w:w="3096" w:type="dxa"/>
            <w:shd w:val="clear" w:color="auto" w:fill="F2F2F2" w:themeFill="background1" w:themeFillShade="F2"/>
          </w:tcPr>
          <w:p w14:paraId="37BAD341" w14:textId="77777777" w:rsidR="002E1BC4" w:rsidRPr="008625DC" w:rsidRDefault="002E1BC4" w:rsidP="009571A7">
            <w:pPr>
              <w:pStyle w:val="TableTextLeft"/>
              <w:spacing w:before="20" w:after="60" w:line="240" w:lineRule="auto"/>
              <w:jc w:val="left"/>
            </w:pPr>
            <w:r w:rsidRPr="008625DC">
              <w:t>CHOICE</w:t>
            </w:r>
          </w:p>
        </w:tc>
      </w:tr>
      <w:tr w:rsidR="002E1BC4" w:rsidRPr="008625DC" w14:paraId="2E418D77" w14:textId="77777777" w:rsidTr="00F536A7">
        <w:tc>
          <w:tcPr>
            <w:tcW w:w="3095" w:type="dxa"/>
            <w:shd w:val="clear" w:color="auto" w:fill="F2F2F2" w:themeFill="background1" w:themeFillShade="F2"/>
          </w:tcPr>
          <w:p w14:paraId="6861E340" w14:textId="77777777" w:rsidR="002E1BC4" w:rsidRPr="008625DC" w:rsidRDefault="002E1BC4" w:rsidP="009571A7">
            <w:pPr>
              <w:pStyle w:val="TableTextLeft"/>
              <w:spacing w:before="20" w:after="60" w:line="240" w:lineRule="auto"/>
              <w:jc w:val="left"/>
            </w:pPr>
            <w:r w:rsidRPr="008625DC">
              <w:t>Cider Australia</w:t>
            </w:r>
          </w:p>
        </w:tc>
        <w:tc>
          <w:tcPr>
            <w:tcW w:w="3095" w:type="dxa"/>
            <w:shd w:val="clear" w:color="auto" w:fill="F2F2F2" w:themeFill="background1" w:themeFillShade="F2"/>
          </w:tcPr>
          <w:p w14:paraId="0E5807F0" w14:textId="77777777" w:rsidR="002E1BC4" w:rsidRPr="008625DC" w:rsidRDefault="002E1BC4" w:rsidP="009571A7">
            <w:pPr>
              <w:pStyle w:val="TableTextLeft"/>
              <w:spacing w:before="20" w:after="60" w:line="240" w:lineRule="auto"/>
              <w:jc w:val="left"/>
            </w:pPr>
            <w:r w:rsidRPr="008625DC">
              <w:t>City of Whittlesea</w:t>
            </w:r>
          </w:p>
        </w:tc>
        <w:tc>
          <w:tcPr>
            <w:tcW w:w="3096" w:type="dxa"/>
            <w:shd w:val="clear" w:color="auto" w:fill="F2F2F2" w:themeFill="background1" w:themeFillShade="F2"/>
          </w:tcPr>
          <w:p w14:paraId="62353510" w14:textId="77777777" w:rsidR="002E1BC4" w:rsidRPr="008625DC" w:rsidRDefault="002E1BC4" w:rsidP="009571A7">
            <w:pPr>
              <w:pStyle w:val="TableTextLeft"/>
              <w:spacing w:before="20" w:after="60" w:line="240" w:lineRule="auto"/>
              <w:jc w:val="left"/>
            </w:pPr>
            <w:r w:rsidRPr="008625DC">
              <w:t>Clarke, G</w:t>
            </w:r>
          </w:p>
        </w:tc>
      </w:tr>
      <w:tr w:rsidR="002E1BC4" w:rsidRPr="008625DC" w14:paraId="3C616436" w14:textId="77777777" w:rsidTr="00F536A7">
        <w:tc>
          <w:tcPr>
            <w:tcW w:w="3095" w:type="dxa"/>
            <w:shd w:val="clear" w:color="auto" w:fill="F2F2F2" w:themeFill="background1" w:themeFillShade="F2"/>
          </w:tcPr>
          <w:p w14:paraId="23DCE23A" w14:textId="77777777" w:rsidR="002E1BC4" w:rsidRPr="008625DC" w:rsidRDefault="002E1BC4" w:rsidP="009571A7">
            <w:pPr>
              <w:pStyle w:val="TableTextLeft"/>
              <w:spacing w:before="20" w:after="60" w:line="240" w:lineRule="auto"/>
              <w:jc w:val="left"/>
            </w:pPr>
            <w:r w:rsidRPr="008625DC">
              <w:t>Clean Energy Council</w:t>
            </w:r>
          </w:p>
        </w:tc>
        <w:tc>
          <w:tcPr>
            <w:tcW w:w="3095" w:type="dxa"/>
            <w:shd w:val="clear" w:color="auto" w:fill="F2F2F2" w:themeFill="background1" w:themeFillShade="F2"/>
          </w:tcPr>
          <w:p w14:paraId="6BDF964C" w14:textId="77777777" w:rsidR="002E1BC4" w:rsidRPr="008625DC" w:rsidRDefault="002E1BC4" w:rsidP="009571A7">
            <w:pPr>
              <w:pStyle w:val="TableTextLeft"/>
              <w:spacing w:before="20" w:after="60" w:line="240" w:lineRule="auto"/>
              <w:jc w:val="left"/>
            </w:pPr>
            <w:r w:rsidRPr="008625DC">
              <w:t>Coles Group Limited</w:t>
            </w:r>
          </w:p>
        </w:tc>
        <w:tc>
          <w:tcPr>
            <w:tcW w:w="3096" w:type="dxa"/>
            <w:shd w:val="clear" w:color="auto" w:fill="F2F2F2" w:themeFill="background1" w:themeFillShade="F2"/>
          </w:tcPr>
          <w:p w14:paraId="7B95C988" w14:textId="77777777" w:rsidR="002E1BC4" w:rsidRPr="008625DC" w:rsidRDefault="002E1BC4" w:rsidP="009571A7">
            <w:pPr>
              <w:pStyle w:val="TableTextLeft"/>
              <w:spacing w:before="20" w:after="60" w:line="240" w:lineRule="auto"/>
              <w:jc w:val="left"/>
            </w:pPr>
            <w:r w:rsidRPr="008625DC">
              <w:t>Collins, C</w:t>
            </w:r>
          </w:p>
        </w:tc>
      </w:tr>
      <w:tr w:rsidR="002E1BC4" w:rsidRPr="008625DC" w14:paraId="0CD33C88" w14:textId="77777777" w:rsidTr="00F536A7">
        <w:tc>
          <w:tcPr>
            <w:tcW w:w="3095" w:type="dxa"/>
            <w:shd w:val="clear" w:color="auto" w:fill="F2F2F2" w:themeFill="background1" w:themeFillShade="F2"/>
          </w:tcPr>
          <w:p w14:paraId="7F4E448E" w14:textId="77777777" w:rsidR="002E1BC4" w:rsidRPr="008625DC" w:rsidRDefault="002E1BC4" w:rsidP="009571A7">
            <w:pPr>
              <w:pStyle w:val="TableTextLeft"/>
              <w:spacing w:before="20" w:after="60" w:line="240" w:lineRule="auto"/>
              <w:jc w:val="left"/>
            </w:pPr>
            <w:r w:rsidRPr="008625DC">
              <w:t>Combined Small Business Alliance of WA</w:t>
            </w:r>
          </w:p>
        </w:tc>
        <w:tc>
          <w:tcPr>
            <w:tcW w:w="3095" w:type="dxa"/>
            <w:shd w:val="clear" w:color="auto" w:fill="F2F2F2" w:themeFill="background1" w:themeFillShade="F2"/>
          </w:tcPr>
          <w:p w14:paraId="78A8ECB9" w14:textId="77777777" w:rsidR="002E1BC4" w:rsidRPr="008625DC" w:rsidRDefault="002E1BC4" w:rsidP="009571A7">
            <w:pPr>
              <w:pStyle w:val="TableTextLeft"/>
              <w:spacing w:before="20" w:after="60" w:line="240" w:lineRule="auto"/>
              <w:jc w:val="left"/>
            </w:pPr>
            <w:r w:rsidRPr="008625DC">
              <w:t>Community and Public Sector Union</w:t>
            </w:r>
          </w:p>
        </w:tc>
        <w:tc>
          <w:tcPr>
            <w:tcW w:w="3096" w:type="dxa"/>
            <w:shd w:val="clear" w:color="auto" w:fill="F2F2F2" w:themeFill="background1" w:themeFillShade="F2"/>
          </w:tcPr>
          <w:p w14:paraId="038E800E" w14:textId="77777777" w:rsidR="002E1BC4" w:rsidRPr="008625DC" w:rsidRDefault="002E1BC4" w:rsidP="009571A7">
            <w:pPr>
              <w:pStyle w:val="TableTextLeft"/>
              <w:spacing w:before="20" w:after="60" w:line="240" w:lineRule="auto"/>
              <w:jc w:val="left"/>
            </w:pPr>
            <w:r w:rsidRPr="008625DC">
              <w:t>Community Employers WA</w:t>
            </w:r>
          </w:p>
        </w:tc>
      </w:tr>
      <w:tr w:rsidR="002E1BC4" w:rsidRPr="008625DC" w14:paraId="6C2FB74B" w14:textId="77777777" w:rsidTr="00F536A7">
        <w:tc>
          <w:tcPr>
            <w:tcW w:w="3095" w:type="dxa"/>
            <w:shd w:val="clear" w:color="auto" w:fill="F2F2F2" w:themeFill="background1" w:themeFillShade="F2"/>
          </w:tcPr>
          <w:p w14:paraId="1EC5DDAA" w14:textId="77777777" w:rsidR="002E1BC4" w:rsidRPr="008625DC" w:rsidRDefault="002E1BC4" w:rsidP="009571A7">
            <w:pPr>
              <w:pStyle w:val="TableTextLeft"/>
              <w:spacing w:before="20" w:after="60" w:line="240" w:lineRule="auto"/>
              <w:jc w:val="left"/>
            </w:pPr>
            <w:r w:rsidRPr="008625DC">
              <w:t>Complementary Healthcare Council of Australia</w:t>
            </w:r>
          </w:p>
        </w:tc>
        <w:tc>
          <w:tcPr>
            <w:tcW w:w="3095" w:type="dxa"/>
            <w:shd w:val="clear" w:color="auto" w:fill="F2F2F2" w:themeFill="background1" w:themeFillShade="F2"/>
          </w:tcPr>
          <w:p w14:paraId="27D57556" w14:textId="77777777" w:rsidR="002E1BC4" w:rsidRPr="008625DC" w:rsidRDefault="002E1BC4" w:rsidP="009571A7">
            <w:pPr>
              <w:pStyle w:val="TableTextLeft"/>
              <w:spacing w:before="20" w:after="60" w:line="240" w:lineRule="auto"/>
              <w:jc w:val="left"/>
            </w:pPr>
            <w:r w:rsidRPr="008625DC">
              <w:t>Construction Material Processors Association</w:t>
            </w:r>
          </w:p>
        </w:tc>
        <w:tc>
          <w:tcPr>
            <w:tcW w:w="3096" w:type="dxa"/>
            <w:shd w:val="clear" w:color="auto" w:fill="F2F2F2" w:themeFill="background1" w:themeFillShade="F2"/>
          </w:tcPr>
          <w:p w14:paraId="43032F05" w14:textId="77777777" w:rsidR="002E1BC4" w:rsidRPr="008625DC" w:rsidRDefault="002E1BC4" w:rsidP="009571A7">
            <w:pPr>
              <w:pStyle w:val="TableTextLeft"/>
              <w:spacing w:before="20" w:after="60" w:line="240" w:lineRule="auto"/>
              <w:jc w:val="left"/>
            </w:pPr>
            <w:r w:rsidRPr="008625DC">
              <w:t>Consult Australia</w:t>
            </w:r>
          </w:p>
        </w:tc>
      </w:tr>
      <w:tr w:rsidR="002E1BC4" w:rsidRPr="008625DC" w14:paraId="77F2321E" w14:textId="77777777" w:rsidTr="00F536A7">
        <w:tc>
          <w:tcPr>
            <w:tcW w:w="3095" w:type="dxa"/>
            <w:shd w:val="clear" w:color="auto" w:fill="F2F2F2" w:themeFill="background1" w:themeFillShade="F2"/>
          </w:tcPr>
          <w:p w14:paraId="7D97A856" w14:textId="77777777" w:rsidR="002E1BC4" w:rsidRPr="008625DC" w:rsidRDefault="002E1BC4" w:rsidP="009571A7">
            <w:pPr>
              <w:pStyle w:val="TableTextLeft"/>
              <w:spacing w:before="20" w:after="60" w:line="240" w:lineRule="auto"/>
              <w:jc w:val="left"/>
            </w:pPr>
            <w:r w:rsidRPr="008625DC">
              <w:t>Consumer Action Law Centre</w:t>
            </w:r>
          </w:p>
        </w:tc>
        <w:tc>
          <w:tcPr>
            <w:tcW w:w="3095" w:type="dxa"/>
            <w:shd w:val="clear" w:color="auto" w:fill="F2F2F2" w:themeFill="background1" w:themeFillShade="F2"/>
          </w:tcPr>
          <w:p w14:paraId="3E21E141" w14:textId="77777777" w:rsidR="002E1BC4" w:rsidRPr="008625DC" w:rsidRDefault="002E1BC4" w:rsidP="009571A7">
            <w:pPr>
              <w:pStyle w:val="TableTextLeft"/>
              <w:spacing w:before="20" w:after="60" w:line="240" w:lineRule="auto"/>
              <w:jc w:val="left"/>
            </w:pPr>
            <w:r w:rsidRPr="008625DC">
              <w:t>Consumers Health Forum of Australia</w:t>
            </w:r>
          </w:p>
        </w:tc>
        <w:tc>
          <w:tcPr>
            <w:tcW w:w="3096" w:type="dxa"/>
            <w:shd w:val="clear" w:color="auto" w:fill="F2F2F2" w:themeFill="background1" w:themeFillShade="F2"/>
          </w:tcPr>
          <w:p w14:paraId="34CB57C0" w14:textId="052C9176" w:rsidR="002E1BC4" w:rsidRPr="008625DC" w:rsidRDefault="002E1BC4" w:rsidP="009571A7">
            <w:pPr>
              <w:pStyle w:val="TableTextLeft"/>
              <w:spacing w:before="20" w:after="60" w:line="240" w:lineRule="auto"/>
              <w:jc w:val="left"/>
            </w:pPr>
            <w:r w:rsidRPr="008625DC">
              <w:t>Consumers Health Forum of Australia</w:t>
            </w:r>
            <w:r w:rsidR="00C74E19" w:rsidRPr="008625DC">
              <w:t xml:space="preserve"> — </w:t>
            </w:r>
            <w:r w:rsidRPr="008625DC">
              <w:t>Supplementary</w:t>
            </w:r>
          </w:p>
        </w:tc>
      </w:tr>
      <w:tr w:rsidR="002E1BC4" w:rsidRPr="008625DC" w14:paraId="4A503E2B" w14:textId="77777777" w:rsidTr="00F536A7">
        <w:tc>
          <w:tcPr>
            <w:tcW w:w="3095" w:type="dxa"/>
            <w:shd w:val="clear" w:color="auto" w:fill="F2F2F2" w:themeFill="background1" w:themeFillShade="F2"/>
          </w:tcPr>
          <w:p w14:paraId="2179B325" w14:textId="77777777" w:rsidR="002E1BC4" w:rsidRPr="008625DC" w:rsidRDefault="002E1BC4" w:rsidP="009571A7">
            <w:pPr>
              <w:pStyle w:val="TableTextLeft"/>
              <w:spacing w:before="20" w:after="60" w:line="240" w:lineRule="auto"/>
              <w:jc w:val="left"/>
            </w:pPr>
            <w:r w:rsidRPr="008625DC">
              <w:t>Consumers SA</w:t>
            </w:r>
          </w:p>
        </w:tc>
        <w:tc>
          <w:tcPr>
            <w:tcW w:w="3095" w:type="dxa"/>
            <w:shd w:val="clear" w:color="auto" w:fill="F2F2F2" w:themeFill="background1" w:themeFillShade="F2"/>
          </w:tcPr>
          <w:p w14:paraId="54DA4ADD" w14:textId="77777777" w:rsidR="002E1BC4" w:rsidRPr="008625DC" w:rsidRDefault="002E1BC4" w:rsidP="009571A7">
            <w:pPr>
              <w:pStyle w:val="TableTextLeft"/>
              <w:spacing w:before="20" w:after="60" w:line="240" w:lineRule="auto"/>
              <w:jc w:val="left"/>
            </w:pPr>
            <w:r w:rsidRPr="008625DC">
              <w:t>Consumers SA (updated submission)</w:t>
            </w:r>
          </w:p>
        </w:tc>
        <w:tc>
          <w:tcPr>
            <w:tcW w:w="3096" w:type="dxa"/>
            <w:shd w:val="clear" w:color="auto" w:fill="F2F2F2" w:themeFill="background1" w:themeFillShade="F2"/>
          </w:tcPr>
          <w:p w14:paraId="5576D182" w14:textId="101023F1" w:rsidR="002E1BC4" w:rsidRPr="008625DC" w:rsidRDefault="002E1BC4" w:rsidP="009571A7">
            <w:pPr>
              <w:pStyle w:val="TableTextLeft"/>
              <w:spacing w:before="20" w:after="60" w:line="240" w:lineRule="auto"/>
              <w:jc w:val="left"/>
            </w:pPr>
            <w:r w:rsidRPr="008625DC">
              <w:t>Consumers</w:t>
            </w:r>
            <w:r w:rsidR="00C74E19" w:rsidRPr="008625DC">
              <w:t>’</w:t>
            </w:r>
            <w:r w:rsidRPr="008625DC">
              <w:t xml:space="preserve"> Federation of Australia</w:t>
            </w:r>
          </w:p>
        </w:tc>
      </w:tr>
      <w:tr w:rsidR="002E1BC4" w:rsidRPr="008625DC" w14:paraId="20635664" w14:textId="77777777" w:rsidTr="00F536A7">
        <w:tc>
          <w:tcPr>
            <w:tcW w:w="3095" w:type="dxa"/>
            <w:shd w:val="clear" w:color="auto" w:fill="F2F2F2" w:themeFill="background1" w:themeFillShade="F2"/>
          </w:tcPr>
          <w:p w14:paraId="036DDE94" w14:textId="77777777" w:rsidR="002E1BC4" w:rsidRPr="008625DC" w:rsidRDefault="002E1BC4" w:rsidP="009571A7">
            <w:pPr>
              <w:pStyle w:val="TableTextLeft"/>
              <w:spacing w:before="20" w:after="60" w:line="240" w:lineRule="auto"/>
              <w:jc w:val="left"/>
            </w:pPr>
            <w:r w:rsidRPr="008625DC">
              <w:t>Copyright Agency</w:t>
            </w:r>
          </w:p>
        </w:tc>
        <w:tc>
          <w:tcPr>
            <w:tcW w:w="3095" w:type="dxa"/>
            <w:shd w:val="clear" w:color="auto" w:fill="F2F2F2" w:themeFill="background1" w:themeFillShade="F2"/>
          </w:tcPr>
          <w:p w14:paraId="290076E9" w14:textId="77777777" w:rsidR="002E1BC4" w:rsidRPr="008625DC" w:rsidRDefault="002E1BC4" w:rsidP="009571A7">
            <w:pPr>
              <w:pStyle w:val="TableTextLeft"/>
              <w:spacing w:before="20" w:after="60" w:line="240" w:lineRule="auto"/>
              <w:jc w:val="left"/>
            </w:pPr>
            <w:r w:rsidRPr="008625DC">
              <w:t>Council of Private Higher Education Inc.</w:t>
            </w:r>
          </w:p>
        </w:tc>
        <w:tc>
          <w:tcPr>
            <w:tcW w:w="3096" w:type="dxa"/>
            <w:shd w:val="clear" w:color="auto" w:fill="F2F2F2" w:themeFill="background1" w:themeFillShade="F2"/>
          </w:tcPr>
          <w:p w14:paraId="11DE8364" w14:textId="77777777" w:rsidR="002E1BC4" w:rsidRPr="008625DC" w:rsidRDefault="002E1BC4" w:rsidP="009571A7">
            <w:pPr>
              <w:pStyle w:val="TableTextLeft"/>
              <w:spacing w:before="20" w:after="60" w:line="240" w:lineRule="auto"/>
              <w:jc w:val="left"/>
            </w:pPr>
            <w:r w:rsidRPr="008625DC">
              <w:t>Council of Small Business Organisations of Australia</w:t>
            </w:r>
          </w:p>
        </w:tc>
      </w:tr>
      <w:tr w:rsidR="002E1BC4" w:rsidRPr="008625DC" w14:paraId="764CFBA1" w14:textId="77777777" w:rsidTr="00F536A7">
        <w:tc>
          <w:tcPr>
            <w:tcW w:w="3095" w:type="dxa"/>
            <w:shd w:val="clear" w:color="auto" w:fill="F2F2F2" w:themeFill="background1" w:themeFillShade="F2"/>
          </w:tcPr>
          <w:p w14:paraId="1DF6039C" w14:textId="77777777" w:rsidR="002E1BC4" w:rsidRPr="008625DC" w:rsidRDefault="002E1BC4" w:rsidP="009571A7">
            <w:pPr>
              <w:pStyle w:val="TableTextLeft"/>
              <w:spacing w:before="20" w:after="60" w:line="240" w:lineRule="auto"/>
              <w:jc w:val="left"/>
            </w:pPr>
            <w:r w:rsidRPr="008625DC">
              <w:t>CPA Australia</w:t>
            </w:r>
          </w:p>
        </w:tc>
        <w:tc>
          <w:tcPr>
            <w:tcW w:w="3095" w:type="dxa"/>
            <w:shd w:val="clear" w:color="auto" w:fill="F2F2F2" w:themeFill="background1" w:themeFillShade="F2"/>
          </w:tcPr>
          <w:p w14:paraId="01F543E1" w14:textId="77777777" w:rsidR="002E1BC4" w:rsidRPr="008625DC" w:rsidRDefault="002E1BC4" w:rsidP="009571A7">
            <w:pPr>
              <w:pStyle w:val="TableTextLeft"/>
              <w:spacing w:before="20" w:after="60" w:line="240" w:lineRule="auto"/>
              <w:jc w:val="left"/>
            </w:pPr>
            <w:r w:rsidRPr="008625DC">
              <w:t>Credit Ombudsman Service Limited</w:t>
            </w:r>
          </w:p>
        </w:tc>
        <w:tc>
          <w:tcPr>
            <w:tcW w:w="3096" w:type="dxa"/>
            <w:shd w:val="clear" w:color="auto" w:fill="F2F2F2" w:themeFill="background1" w:themeFillShade="F2"/>
          </w:tcPr>
          <w:p w14:paraId="3939B7CD" w14:textId="77777777" w:rsidR="002E1BC4" w:rsidRPr="008625DC" w:rsidRDefault="002E1BC4" w:rsidP="009571A7">
            <w:pPr>
              <w:pStyle w:val="TableTextLeft"/>
              <w:spacing w:before="20" w:after="60" w:line="240" w:lineRule="auto"/>
              <w:jc w:val="left"/>
            </w:pPr>
            <w:r w:rsidRPr="008625DC">
              <w:t>CSR Limited</w:t>
            </w:r>
          </w:p>
        </w:tc>
      </w:tr>
      <w:tr w:rsidR="002E1BC4" w:rsidRPr="008625DC" w14:paraId="4E1B80FF" w14:textId="77777777" w:rsidTr="00F536A7">
        <w:tc>
          <w:tcPr>
            <w:tcW w:w="3095" w:type="dxa"/>
            <w:shd w:val="clear" w:color="auto" w:fill="F2F2F2" w:themeFill="background1" w:themeFillShade="F2"/>
          </w:tcPr>
          <w:p w14:paraId="025E3D43" w14:textId="77777777" w:rsidR="002E1BC4" w:rsidRPr="008625DC" w:rsidRDefault="002E1BC4" w:rsidP="009571A7">
            <w:pPr>
              <w:pStyle w:val="TableTextLeft"/>
              <w:spacing w:before="20" w:after="60" w:line="240" w:lineRule="auto"/>
              <w:jc w:val="left"/>
            </w:pPr>
            <w:r w:rsidRPr="008625DC">
              <w:t>Customer Owned Banking Association</w:t>
            </w:r>
          </w:p>
        </w:tc>
        <w:tc>
          <w:tcPr>
            <w:tcW w:w="3095" w:type="dxa"/>
            <w:shd w:val="clear" w:color="auto" w:fill="F2F2F2" w:themeFill="background1" w:themeFillShade="F2"/>
          </w:tcPr>
          <w:p w14:paraId="7460EADC" w14:textId="77777777" w:rsidR="002E1BC4" w:rsidRPr="008625DC" w:rsidRDefault="002E1BC4" w:rsidP="009571A7">
            <w:pPr>
              <w:pStyle w:val="TableTextLeft"/>
              <w:spacing w:before="20" w:after="60" w:line="240" w:lineRule="auto"/>
              <w:jc w:val="left"/>
            </w:pPr>
            <w:r w:rsidRPr="008625DC">
              <w:t>Direct Selling Association of Australia</w:t>
            </w:r>
          </w:p>
        </w:tc>
        <w:tc>
          <w:tcPr>
            <w:tcW w:w="3096" w:type="dxa"/>
            <w:shd w:val="clear" w:color="auto" w:fill="F2F2F2" w:themeFill="background1" w:themeFillShade="F2"/>
          </w:tcPr>
          <w:p w14:paraId="451EEA9E" w14:textId="77777777" w:rsidR="002E1BC4" w:rsidRPr="008625DC" w:rsidRDefault="002E1BC4" w:rsidP="009571A7">
            <w:pPr>
              <w:pStyle w:val="TableTextLeft"/>
              <w:spacing w:before="20" w:after="60" w:line="240" w:lineRule="auto"/>
              <w:jc w:val="left"/>
            </w:pPr>
            <w:r w:rsidRPr="008625DC">
              <w:t>Discover Murray River</w:t>
            </w:r>
          </w:p>
        </w:tc>
      </w:tr>
      <w:tr w:rsidR="002E1BC4" w:rsidRPr="008625DC" w14:paraId="1E0A59E9" w14:textId="77777777" w:rsidTr="00F536A7">
        <w:tc>
          <w:tcPr>
            <w:tcW w:w="3095" w:type="dxa"/>
            <w:shd w:val="clear" w:color="auto" w:fill="F2F2F2" w:themeFill="background1" w:themeFillShade="F2"/>
          </w:tcPr>
          <w:p w14:paraId="10308910" w14:textId="77777777" w:rsidR="002E1BC4" w:rsidRPr="008625DC" w:rsidRDefault="002E1BC4" w:rsidP="009571A7">
            <w:pPr>
              <w:pStyle w:val="TableTextLeft"/>
              <w:spacing w:before="20" w:after="60" w:line="240" w:lineRule="auto"/>
              <w:jc w:val="left"/>
            </w:pPr>
            <w:r w:rsidRPr="008625DC">
              <w:t>Drakes Supermarkets</w:t>
            </w:r>
          </w:p>
        </w:tc>
        <w:tc>
          <w:tcPr>
            <w:tcW w:w="3095" w:type="dxa"/>
            <w:shd w:val="clear" w:color="auto" w:fill="F2F2F2" w:themeFill="background1" w:themeFillShade="F2"/>
          </w:tcPr>
          <w:p w14:paraId="3106D6CC" w14:textId="77777777" w:rsidR="002E1BC4" w:rsidRPr="008625DC" w:rsidRDefault="002E1BC4" w:rsidP="009571A7">
            <w:pPr>
              <w:pStyle w:val="TableTextLeft"/>
              <w:spacing w:before="20" w:after="60" w:line="240" w:lineRule="auto"/>
              <w:jc w:val="left"/>
            </w:pPr>
            <w:r w:rsidRPr="008625DC">
              <w:t>Duke, A</w:t>
            </w:r>
          </w:p>
        </w:tc>
        <w:tc>
          <w:tcPr>
            <w:tcW w:w="3096" w:type="dxa"/>
            <w:shd w:val="clear" w:color="auto" w:fill="F2F2F2" w:themeFill="background1" w:themeFillShade="F2"/>
          </w:tcPr>
          <w:p w14:paraId="6E6B1B7C" w14:textId="77777777" w:rsidR="002E1BC4" w:rsidRPr="008625DC" w:rsidRDefault="002E1BC4" w:rsidP="009571A7">
            <w:pPr>
              <w:pStyle w:val="TableTextLeft"/>
              <w:spacing w:before="20" w:after="60" w:line="240" w:lineRule="auto"/>
              <w:jc w:val="left"/>
            </w:pPr>
            <w:r w:rsidRPr="008625DC">
              <w:t>eBay</w:t>
            </w:r>
          </w:p>
        </w:tc>
      </w:tr>
      <w:tr w:rsidR="002E1BC4" w:rsidRPr="008625DC" w14:paraId="6DBE1E3A" w14:textId="77777777" w:rsidTr="00F536A7">
        <w:tc>
          <w:tcPr>
            <w:tcW w:w="3095" w:type="dxa"/>
            <w:shd w:val="clear" w:color="auto" w:fill="F2F2F2" w:themeFill="background1" w:themeFillShade="F2"/>
          </w:tcPr>
          <w:p w14:paraId="0E280ED9" w14:textId="77777777" w:rsidR="002E1BC4" w:rsidRPr="008625DC" w:rsidRDefault="002E1BC4" w:rsidP="009571A7">
            <w:pPr>
              <w:pStyle w:val="TableTextLeft"/>
              <w:spacing w:before="20" w:after="60" w:line="240" w:lineRule="auto"/>
              <w:jc w:val="left"/>
            </w:pPr>
            <w:r w:rsidRPr="008625DC">
              <w:t>Edge, P</w:t>
            </w:r>
          </w:p>
        </w:tc>
        <w:tc>
          <w:tcPr>
            <w:tcW w:w="3095" w:type="dxa"/>
            <w:shd w:val="clear" w:color="auto" w:fill="F2F2F2" w:themeFill="background1" w:themeFillShade="F2"/>
          </w:tcPr>
          <w:p w14:paraId="31CE4E16" w14:textId="77777777" w:rsidR="002E1BC4" w:rsidRPr="008625DC" w:rsidRDefault="002E1BC4" w:rsidP="009571A7">
            <w:pPr>
              <w:pStyle w:val="TableTextLeft"/>
              <w:spacing w:before="20" w:after="60" w:line="240" w:lineRule="auto"/>
              <w:jc w:val="left"/>
            </w:pPr>
            <w:r w:rsidRPr="008625DC">
              <w:t>EnergyAustralia</w:t>
            </w:r>
          </w:p>
        </w:tc>
        <w:tc>
          <w:tcPr>
            <w:tcW w:w="3096" w:type="dxa"/>
            <w:shd w:val="clear" w:color="auto" w:fill="F2F2F2" w:themeFill="background1" w:themeFillShade="F2"/>
          </w:tcPr>
          <w:p w14:paraId="52965EC2" w14:textId="77777777" w:rsidR="002E1BC4" w:rsidRPr="008625DC" w:rsidRDefault="002E1BC4" w:rsidP="009571A7">
            <w:pPr>
              <w:pStyle w:val="TableTextLeft"/>
              <w:spacing w:before="20" w:after="60" w:line="240" w:lineRule="auto"/>
              <w:jc w:val="left"/>
            </w:pPr>
            <w:r w:rsidRPr="008625DC">
              <w:t>Energy Networks Association</w:t>
            </w:r>
          </w:p>
        </w:tc>
      </w:tr>
      <w:tr w:rsidR="002E1BC4" w:rsidRPr="008625DC" w14:paraId="48AC0763" w14:textId="77777777" w:rsidTr="00F536A7">
        <w:tc>
          <w:tcPr>
            <w:tcW w:w="3095" w:type="dxa"/>
            <w:shd w:val="clear" w:color="auto" w:fill="F2F2F2" w:themeFill="background1" w:themeFillShade="F2"/>
          </w:tcPr>
          <w:p w14:paraId="319A8A89" w14:textId="77777777" w:rsidR="002E1BC4" w:rsidRPr="008625DC" w:rsidRDefault="002E1BC4" w:rsidP="009571A7">
            <w:pPr>
              <w:pStyle w:val="TableTextLeft"/>
              <w:spacing w:before="20" w:after="60" w:line="240" w:lineRule="auto"/>
              <w:jc w:val="left"/>
            </w:pPr>
            <w:r w:rsidRPr="008625DC">
              <w:t>Energy Retailers Association of Australia</w:t>
            </w:r>
          </w:p>
        </w:tc>
        <w:tc>
          <w:tcPr>
            <w:tcW w:w="3095" w:type="dxa"/>
            <w:shd w:val="clear" w:color="auto" w:fill="F2F2F2" w:themeFill="background1" w:themeFillShade="F2"/>
          </w:tcPr>
          <w:p w14:paraId="10C1802A" w14:textId="77777777" w:rsidR="002E1BC4" w:rsidRPr="008625DC" w:rsidRDefault="002E1BC4" w:rsidP="009571A7">
            <w:pPr>
              <w:pStyle w:val="TableTextLeft"/>
              <w:spacing w:before="20" w:after="60" w:line="240" w:lineRule="auto"/>
              <w:jc w:val="left"/>
            </w:pPr>
            <w:r w:rsidRPr="008625DC">
              <w:t>Energy Supply Association of Australia</w:t>
            </w:r>
          </w:p>
        </w:tc>
        <w:tc>
          <w:tcPr>
            <w:tcW w:w="3096" w:type="dxa"/>
            <w:shd w:val="clear" w:color="auto" w:fill="F2F2F2" w:themeFill="background1" w:themeFillShade="F2"/>
          </w:tcPr>
          <w:p w14:paraId="6A5E8F4A" w14:textId="77777777" w:rsidR="002E1BC4" w:rsidRPr="008625DC" w:rsidRDefault="002E1BC4" w:rsidP="009571A7">
            <w:pPr>
              <w:pStyle w:val="TableTextLeft"/>
              <w:spacing w:before="20" w:after="60" w:line="240" w:lineRule="auto"/>
              <w:jc w:val="left"/>
            </w:pPr>
            <w:r w:rsidRPr="008625DC">
              <w:t>Eqalex Underwriting Pty Ltd</w:t>
            </w:r>
          </w:p>
        </w:tc>
      </w:tr>
      <w:tr w:rsidR="002E1BC4" w:rsidRPr="008625DC" w14:paraId="1BF91B61" w14:textId="77777777" w:rsidTr="00F536A7">
        <w:tc>
          <w:tcPr>
            <w:tcW w:w="3095" w:type="dxa"/>
            <w:shd w:val="clear" w:color="auto" w:fill="F2F2F2" w:themeFill="background1" w:themeFillShade="F2"/>
          </w:tcPr>
          <w:p w14:paraId="0AA44453" w14:textId="77777777" w:rsidR="002E1BC4" w:rsidRPr="008625DC" w:rsidRDefault="002E1BC4" w:rsidP="009571A7">
            <w:pPr>
              <w:pStyle w:val="TableTextLeft"/>
              <w:spacing w:before="20" w:after="60" w:line="240" w:lineRule="auto"/>
              <w:jc w:val="left"/>
            </w:pPr>
            <w:r w:rsidRPr="008625DC">
              <w:t>Federal Chamber of Automotive Industries</w:t>
            </w:r>
          </w:p>
        </w:tc>
        <w:tc>
          <w:tcPr>
            <w:tcW w:w="3095" w:type="dxa"/>
            <w:shd w:val="clear" w:color="auto" w:fill="F2F2F2" w:themeFill="background1" w:themeFillShade="F2"/>
          </w:tcPr>
          <w:p w14:paraId="5ADDD215" w14:textId="77777777" w:rsidR="002E1BC4" w:rsidRPr="008625DC" w:rsidRDefault="002E1BC4" w:rsidP="009571A7">
            <w:pPr>
              <w:pStyle w:val="TableTextLeft"/>
              <w:spacing w:before="20" w:after="60" w:line="240" w:lineRule="auto"/>
              <w:jc w:val="left"/>
            </w:pPr>
            <w:r w:rsidRPr="008625DC">
              <w:t>Federation of National Associations of Ship Brokers and Agents</w:t>
            </w:r>
          </w:p>
        </w:tc>
        <w:tc>
          <w:tcPr>
            <w:tcW w:w="3096" w:type="dxa"/>
            <w:shd w:val="clear" w:color="auto" w:fill="F2F2F2" w:themeFill="background1" w:themeFillShade="F2"/>
          </w:tcPr>
          <w:p w14:paraId="0AD156BC" w14:textId="77777777" w:rsidR="002E1BC4" w:rsidRPr="008625DC" w:rsidRDefault="002E1BC4" w:rsidP="009571A7">
            <w:pPr>
              <w:pStyle w:val="TableTextLeft"/>
              <w:spacing w:before="20" w:after="60" w:line="240" w:lineRule="auto"/>
              <w:jc w:val="left"/>
            </w:pPr>
            <w:r w:rsidRPr="008625DC">
              <w:t>Fels, Professor Allan AO</w:t>
            </w:r>
          </w:p>
        </w:tc>
      </w:tr>
      <w:tr w:rsidR="002E1BC4" w:rsidRPr="008625DC" w14:paraId="09555B8B" w14:textId="77777777" w:rsidTr="00F536A7">
        <w:tc>
          <w:tcPr>
            <w:tcW w:w="3095" w:type="dxa"/>
            <w:shd w:val="clear" w:color="auto" w:fill="F2F2F2" w:themeFill="background1" w:themeFillShade="F2"/>
          </w:tcPr>
          <w:p w14:paraId="3E9C0ABE" w14:textId="269A91F1" w:rsidR="002E1BC4" w:rsidRPr="008625DC" w:rsidRDefault="002E1BC4" w:rsidP="009571A7">
            <w:pPr>
              <w:pStyle w:val="TableTextLeft"/>
              <w:spacing w:before="20" w:after="60" w:line="240" w:lineRule="auto"/>
              <w:jc w:val="left"/>
            </w:pPr>
            <w:r w:rsidRPr="008625DC">
              <w:t xml:space="preserve">Fels </w:t>
            </w:r>
            <w:r w:rsidR="009571A7" w:rsidRPr="008625DC">
              <w:t>AO, A, Taylor, N J and Smith, P </w:t>
            </w:r>
            <w:r w:rsidRPr="008625DC">
              <w:t>J</w:t>
            </w:r>
          </w:p>
        </w:tc>
        <w:tc>
          <w:tcPr>
            <w:tcW w:w="3095" w:type="dxa"/>
            <w:shd w:val="clear" w:color="auto" w:fill="F2F2F2" w:themeFill="background1" w:themeFillShade="F2"/>
          </w:tcPr>
          <w:p w14:paraId="0354DED6" w14:textId="77777777" w:rsidR="002E1BC4" w:rsidRPr="008625DC" w:rsidRDefault="002E1BC4" w:rsidP="009571A7">
            <w:pPr>
              <w:pStyle w:val="TableTextLeft"/>
              <w:spacing w:before="20" w:after="60" w:line="240" w:lineRule="auto"/>
              <w:jc w:val="left"/>
            </w:pPr>
            <w:r w:rsidRPr="008625DC">
              <w:t>Fletcher, M</w:t>
            </w:r>
          </w:p>
        </w:tc>
        <w:tc>
          <w:tcPr>
            <w:tcW w:w="3096" w:type="dxa"/>
            <w:shd w:val="clear" w:color="auto" w:fill="F2F2F2" w:themeFill="background1" w:themeFillShade="F2"/>
          </w:tcPr>
          <w:p w14:paraId="69F579FA" w14:textId="77777777" w:rsidR="002E1BC4" w:rsidRPr="008625DC" w:rsidRDefault="002E1BC4" w:rsidP="009571A7">
            <w:pPr>
              <w:pStyle w:val="TableTextLeft"/>
              <w:spacing w:before="20" w:after="60" w:line="240" w:lineRule="auto"/>
              <w:jc w:val="left"/>
            </w:pPr>
            <w:r w:rsidRPr="008625DC">
              <w:t>Forest Industries Federation (WA)</w:t>
            </w:r>
          </w:p>
        </w:tc>
      </w:tr>
      <w:tr w:rsidR="002E1BC4" w:rsidRPr="008625DC" w14:paraId="739302AA" w14:textId="77777777" w:rsidTr="00F536A7">
        <w:tc>
          <w:tcPr>
            <w:tcW w:w="3095" w:type="dxa"/>
            <w:shd w:val="clear" w:color="auto" w:fill="F2F2F2" w:themeFill="background1" w:themeFillShade="F2"/>
          </w:tcPr>
          <w:p w14:paraId="2AA5A74F" w14:textId="77777777" w:rsidR="002E1BC4" w:rsidRPr="008625DC" w:rsidRDefault="002E1BC4" w:rsidP="009571A7">
            <w:pPr>
              <w:pStyle w:val="TableTextLeft"/>
              <w:spacing w:before="20" w:after="60" w:line="240" w:lineRule="auto"/>
              <w:jc w:val="left"/>
            </w:pPr>
            <w:r w:rsidRPr="008625DC">
              <w:lastRenderedPageBreak/>
              <w:t>Fortescue Metals Group Limited</w:t>
            </w:r>
          </w:p>
        </w:tc>
        <w:tc>
          <w:tcPr>
            <w:tcW w:w="3095" w:type="dxa"/>
            <w:shd w:val="clear" w:color="auto" w:fill="F2F2F2" w:themeFill="background1" w:themeFillShade="F2"/>
          </w:tcPr>
          <w:p w14:paraId="301043F0" w14:textId="77777777" w:rsidR="002E1BC4" w:rsidRPr="008625DC" w:rsidRDefault="002E1BC4" w:rsidP="009571A7">
            <w:pPr>
              <w:pStyle w:val="TableTextLeft"/>
              <w:spacing w:before="20" w:after="60" w:line="240" w:lineRule="auto"/>
              <w:jc w:val="left"/>
            </w:pPr>
            <w:r w:rsidRPr="008625DC">
              <w:t>Foundation for Alcohol Research and Education</w:t>
            </w:r>
          </w:p>
        </w:tc>
        <w:tc>
          <w:tcPr>
            <w:tcW w:w="3096" w:type="dxa"/>
            <w:shd w:val="clear" w:color="auto" w:fill="F2F2F2" w:themeFill="background1" w:themeFillShade="F2"/>
          </w:tcPr>
          <w:p w14:paraId="7B0B178A" w14:textId="77777777" w:rsidR="002E1BC4" w:rsidRPr="008625DC" w:rsidRDefault="002E1BC4" w:rsidP="009571A7">
            <w:pPr>
              <w:pStyle w:val="TableTextLeft"/>
              <w:spacing w:before="20" w:after="60" w:line="240" w:lineRule="auto"/>
              <w:jc w:val="left"/>
            </w:pPr>
            <w:r w:rsidRPr="008625DC">
              <w:t>Foxtel</w:t>
            </w:r>
          </w:p>
        </w:tc>
      </w:tr>
      <w:tr w:rsidR="002E1BC4" w:rsidRPr="008625DC" w14:paraId="2A3C11F6" w14:textId="77777777" w:rsidTr="00F536A7">
        <w:tc>
          <w:tcPr>
            <w:tcW w:w="3095" w:type="dxa"/>
            <w:shd w:val="clear" w:color="auto" w:fill="F2F2F2" w:themeFill="background1" w:themeFillShade="F2"/>
          </w:tcPr>
          <w:p w14:paraId="69DA256C" w14:textId="77777777" w:rsidR="002E1BC4" w:rsidRPr="008625DC" w:rsidRDefault="002E1BC4" w:rsidP="009571A7">
            <w:pPr>
              <w:pStyle w:val="TableTextLeft"/>
              <w:spacing w:before="20" w:after="60" w:line="240" w:lineRule="auto"/>
              <w:jc w:val="left"/>
            </w:pPr>
            <w:r w:rsidRPr="008625DC">
              <w:t>Fraser, B</w:t>
            </w:r>
          </w:p>
        </w:tc>
        <w:tc>
          <w:tcPr>
            <w:tcW w:w="3095" w:type="dxa"/>
            <w:shd w:val="clear" w:color="auto" w:fill="F2F2F2" w:themeFill="background1" w:themeFillShade="F2"/>
          </w:tcPr>
          <w:p w14:paraId="70DA8F33" w14:textId="77777777" w:rsidR="002E1BC4" w:rsidRPr="008625DC" w:rsidRDefault="002E1BC4" w:rsidP="009571A7">
            <w:pPr>
              <w:pStyle w:val="TableTextLeft"/>
              <w:spacing w:before="20" w:after="60" w:line="240" w:lineRule="auto"/>
              <w:jc w:val="left"/>
            </w:pPr>
            <w:r w:rsidRPr="008625DC">
              <w:t>Friends of Hawker Village</w:t>
            </w:r>
          </w:p>
        </w:tc>
        <w:tc>
          <w:tcPr>
            <w:tcW w:w="3096" w:type="dxa"/>
            <w:shd w:val="clear" w:color="auto" w:fill="F2F2F2" w:themeFill="background1" w:themeFillShade="F2"/>
          </w:tcPr>
          <w:p w14:paraId="0BB4981C" w14:textId="77777777" w:rsidR="002E1BC4" w:rsidRPr="008625DC" w:rsidRDefault="002E1BC4" w:rsidP="009571A7">
            <w:pPr>
              <w:pStyle w:val="TableTextLeft"/>
              <w:spacing w:before="20" w:after="60" w:line="240" w:lineRule="auto"/>
              <w:jc w:val="left"/>
            </w:pPr>
            <w:r w:rsidRPr="008625DC">
              <w:t>Gale, N</w:t>
            </w:r>
          </w:p>
        </w:tc>
      </w:tr>
      <w:tr w:rsidR="002E1BC4" w:rsidRPr="008625DC" w14:paraId="59130FA8" w14:textId="77777777" w:rsidTr="00F536A7">
        <w:tc>
          <w:tcPr>
            <w:tcW w:w="3095" w:type="dxa"/>
            <w:shd w:val="clear" w:color="auto" w:fill="F2F2F2" w:themeFill="background1" w:themeFillShade="F2"/>
          </w:tcPr>
          <w:p w14:paraId="5D89CF26" w14:textId="77777777" w:rsidR="002E1BC4" w:rsidRPr="008625DC" w:rsidRDefault="002E1BC4" w:rsidP="009571A7">
            <w:pPr>
              <w:pStyle w:val="TableTextLeft"/>
              <w:spacing w:before="20" w:after="60" w:line="240" w:lineRule="auto"/>
              <w:jc w:val="left"/>
            </w:pPr>
            <w:r w:rsidRPr="008625DC">
              <w:t>Glencore Coal Australia</w:t>
            </w:r>
          </w:p>
        </w:tc>
        <w:tc>
          <w:tcPr>
            <w:tcW w:w="3095" w:type="dxa"/>
            <w:shd w:val="clear" w:color="auto" w:fill="F2F2F2" w:themeFill="background1" w:themeFillShade="F2"/>
          </w:tcPr>
          <w:p w14:paraId="0ADCDB45" w14:textId="5D77D00B" w:rsidR="002E1BC4" w:rsidRPr="008625DC" w:rsidRDefault="002E1BC4" w:rsidP="009571A7">
            <w:pPr>
              <w:pStyle w:val="TableTextLeft"/>
              <w:spacing w:before="20" w:after="60" w:line="240" w:lineRule="auto"/>
              <w:jc w:val="left"/>
            </w:pPr>
            <w:r w:rsidRPr="008625DC">
              <w:t>Global Shippers</w:t>
            </w:r>
            <w:r w:rsidR="00C74E19" w:rsidRPr="008625DC">
              <w:t>’</w:t>
            </w:r>
            <w:r w:rsidRPr="008625DC">
              <w:t xml:space="preserve"> Forum</w:t>
            </w:r>
          </w:p>
        </w:tc>
        <w:tc>
          <w:tcPr>
            <w:tcW w:w="3096" w:type="dxa"/>
            <w:shd w:val="clear" w:color="auto" w:fill="F2F2F2" w:themeFill="background1" w:themeFillShade="F2"/>
          </w:tcPr>
          <w:p w14:paraId="55D4A036" w14:textId="77777777" w:rsidR="002E1BC4" w:rsidRPr="008625DC" w:rsidRDefault="002E1BC4" w:rsidP="009571A7">
            <w:pPr>
              <w:pStyle w:val="TableTextLeft"/>
              <w:spacing w:before="20" w:after="60" w:line="240" w:lineRule="auto"/>
              <w:jc w:val="left"/>
            </w:pPr>
            <w:r w:rsidRPr="008625DC">
              <w:t>Google Australia</w:t>
            </w:r>
          </w:p>
        </w:tc>
      </w:tr>
      <w:tr w:rsidR="002E1BC4" w:rsidRPr="008625DC" w14:paraId="46F7715D" w14:textId="77777777" w:rsidTr="00F536A7">
        <w:tc>
          <w:tcPr>
            <w:tcW w:w="3095" w:type="dxa"/>
            <w:shd w:val="clear" w:color="auto" w:fill="F2F2F2" w:themeFill="background1" w:themeFillShade="F2"/>
          </w:tcPr>
          <w:p w14:paraId="4B4C8A47" w14:textId="77777777" w:rsidR="002E1BC4" w:rsidRPr="008625DC" w:rsidRDefault="002E1BC4" w:rsidP="009571A7">
            <w:pPr>
              <w:pStyle w:val="TableTextLeft"/>
              <w:spacing w:before="20" w:after="60" w:line="240" w:lineRule="auto"/>
              <w:jc w:val="left"/>
            </w:pPr>
            <w:r w:rsidRPr="008625DC">
              <w:t>Government of South Australia</w:t>
            </w:r>
          </w:p>
        </w:tc>
        <w:tc>
          <w:tcPr>
            <w:tcW w:w="3095" w:type="dxa"/>
            <w:shd w:val="clear" w:color="auto" w:fill="F2F2F2" w:themeFill="background1" w:themeFillShade="F2"/>
          </w:tcPr>
          <w:p w14:paraId="5261B55C" w14:textId="77777777" w:rsidR="002E1BC4" w:rsidRPr="008625DC" w:rsidRDefault="002E1BC4" w:rsidP="009571A7">
            <w:pPr>
              <w:pStyle w:val="TableTextLeft"/>
              <w:spacing w:before="20" w:after="60" w:line="240" w:lineRule="auto"/>
              <w:jc w:val="left"/>
            </w:pPr>
            <w:r w:rsidRPr="008625DC">
              <w:t>GrainGrowers</w:t>
            </w:r>
          </w:p>
        </w:tc>
        <w:tc>
          <w:tcPr>
            <w:tcW w:w="3096" w:type="dxa"/>
            <w:shd w:val="clear" w:color="auto" w:fill="F2F2F2" w:themeFill="background1" w:themeFillShade="F2"/>
          </w:tcPr>
          <w:p w14:paraId="09777606" w14:textId="77777777" w:rsidR="002E1BC4" w:rsidRPr="008625DC" w:rsidRDefault="002E1BC4" w:rsidP="009571A7">
            <w:pPr>
              <w:pStyle w:val="TableTextLeft"/>
              <w:spacing w:before="20" w:after="60" w:line="240" w:lineRule="auto"/>
              <w:jc w:val="left"/>
            </w:pPr>
            <w:r w:rsidRPr="008625DC">
              <w:t>Greenpeace Australia, Wilderness Society, OXFAM Australia, GetUp!, Voiceless, Friends of the Earth, AidWatch</w:t>
            </w:r>
          </w:p>
        </w:tc>
      </w:tr>
      <w:tr w:rsidR="002E1BC4" w:rsidRPr="008625DC" w14:paraId="7DBAEBDB" w14:textId="77777777" w:rsidTr="00F536A7">
        <w:tc>
          <w:tcPr>
            <w:tcW w:w="3095" w:type="dxa"/>
            <w:shd w:val="clear" w:color="auto" w:fill="F2F2F2" w:themeFill="background1" w:themeFillShade="F2"/>
          </w:tcPr>
          <w:p w14:paraId="1DC4C492" w14:textId="1ECD8C54" w:rsidR="002E1BC4" w:rsidRPr="008625DC" w:rsidRDefault="002E1BC4" w:rsidP="009571A7">
            <w:pPr>
              <w:pStyle w:val="TableTextLeft"/>
              <w:spacing w:before="20" w:after="60" w:line="240" w:lineRule="auto"/>
              <w:jc w:val="left"/>
            </w:pPr>
            <w:r w:rsidRPr="008625DC">
              <w:t>Griffith and District Citrus Growers</w:t>
            </w:r>
            <w:r w:rsidR="00C74E19" w:rsidRPr="008625DC">
              <w:t>’</w:t>
            </w:r>
            <w:r w:rsidRPr="008625DC">
              <w:t xml:space="preserve"> Association</w:t>
            </w:r>
          </w:p>
        </w:tc>
        <w:tc>
          <w:tcPr>
            <w:tcW w:w="3095" w:type="dxa"/>
            <w:shd w:val="clear" w:color="auto" w:fill="F2F2F2" w:themeFill="background1" w:themeFillShade="F2"/>
          </w:tcPr>
          <w:p w14:paraId="20B5C8F7" w14:textId="77777777" w:rsidR="002E1BC4" w:rsidRPr="008625DC" w:rsidRDefault="002E1BC4" w:rsidP="009571A7">
            <w:pPr>
              <w:pStyle w:val="TableTextLeft"/>
              <w:spacing w:before="20" w:after="60" w:line="240" w:lineRule="auto"/>
              <w:jc w:val="left"/>
            </w:pPr>
            <w:r w:rsidRPr="008625DC">
              <w:t>Griggs, L &amp; Nielsen, J</w:t>
            </w:r>
          </w:p>
        </w:tc>
        <w:tc>
          <w:tcPr>
            <w:tcW w:w="3096" w:type="dxa"/>
            <w:shd w:val="clear" w:color="auto" w:fill="F2F2F2" w:themeFill="background1" w:themeFillShade="F2"/>
          </w:tcPr>
          <w:p w14:paraId="78EB80D9" w14:textId="77777777" w:rsidR="002E1BC4" w:rsidRPr="008625DC" w:rsidRDefault="002E1BC4" w:rsidP="009571A7">
            <w:pPr>
              <w:pStyle w:val="TableTextLeft"/>
              <w:spacing w:before="20" w:after="60" w:line="240" w:lineRule="auto"/>
              <w:jc w:val="left"/>
            </w:pPr>
            <w:r w:rsidRPr="008625DC">
              <w:t>Hawkins, M</w:t>
            </w:r>
          </w:p>
        </w:tc>
      </w:tr>
      <w:tr w:rsidR="002E1BC4" w:rsidRPr="008625DC" w14:paraId="41221828" w14:textId="77777777" w:rsidTr="00F536A7">
        <w:tc>
          <w:tcPr>
            <w:tcW w:w="3095" w:type="dxa"/>
            <w:shd w:val="clear" w:color="auto" w:fill="F2F2F2" w:themeFill="background1" w:themeFillShade="F2"/>
          </w:tcPr>
          <w:p w14:paraId="06F72779" w14:textId="77777777" w:rsidR="002E1BC4" w:rsidRPr="008625DC" w:rsidRDefault="002E1BC4" w:rsidP="009571A7">
            <w:pPr>
              <w:pStyle w:val="TableTextLeft"/>
              <w:spacing w:before="20" w:after="60" w:line="240" w:lineRule="auto"/>
              <w:jc w:val="left"/>
            </w:pPr>
            <w:r w:rsidRPr="008625DC">
              <w:t>Herbert Smith Freehills</w:t>
            </w:r>
          </w:p>
        </w:tc>
        <w:tc>
          <w:tcPr>
            <w:tcW w:w="3095" w:type="dxa"/>
            <w:shd w:val="clear" w:color="auto" w:fill="F2F2F2" w:themeFill="background1" w:themeFillShade="F2"/>
          </w:tcPr>
          <w:p w14:paraId="52B20A9F" w14:textId="77777777" w:rsidR="002E1BC4" w:rsidRPr="008625DC" w:rsidRDefault="002E1BC4" w:rsidP="009571A7">
            <w:pPr>
              <w:pStyle w:val="TableTextLeft"/>
              <w:spacing w:before="20" w:after="60" w:line="240" w:lineRule="auto"/>
              <w:jc w:val="left"/>
            </w:pPr>
            <w:r w:rsidRPr="008625DC">
              <w:t>Housing Industry Association</w:t>
            </w:r>
          </w:p>
        </w:tc>
        <w:tc>
          <w:tcPr>
            <w:tcW w:w="3096" w:type="dxa"/>
            <w:shd w:val="clear" w:color="auto" w:fill="F2F2F2" w:themeFill="background1" w:themeFillShade="F2"/>
          </w:tcPr>
          <w:p w14:paraId="134E6269" w14:textId="77777777" w:rsidR="002E1BC4" w:rsidRPr="008625DC" w:rsidRDefault="002E1BC4" w:rsidP="009571A7">
            <w:pPr>
              <w:pStyle w:val="TableTextLeft"/>
              <w:spacing w:before="20" w:after="60" w:line="240" w:lineRule="auto"/>
              <w:jc w:val="left"/>
            </w:pPr>
            <w:r w:rsidRPr="008625DC">
              <w:t>Hutchison Ports Australia</w:t>
            </w:r>
          </w:p>
        </w:tc>
      </w:tr>
      <w:tr w:rsidR="002E1BC4" w:rsidRPr="008625DC" w14:paraId="70405817" w14:textId="77777777" w:rsidTr="00F536A7">
        <w:tc>
          <w:tcPr>
            <w:tcW w:w="3095" w:type="dxa"/>
            <w:shd w:val="clear" w:color="auto" w:fill="F2F2F2" w:themeFill="background1" w:themeFillShade="F2"/>
          </w:tcPr>
          <w:p w14:paraId="54059158" w14:textId="77777777" w:rsidR="002E1BC4" w:rsidRPr="008625DC" w:rsidRDefault="002E1BC4" w:rsidP="009571A7">
            <w:pPr>
              <w:pStyle w:val="TableTextLeft"/>
              <w:spacing w:before="20" w:after="60" w:line="240" w:lineRule="auto"/>
              <w:jc w:val="left"/>
            </w:pPr>
            <w:r w:rsidRPr="008625DC">
              <w:t>in tempore Advisory</w:t>
            </w:r>
          </w:p>
        </w:tc>
        <w:tc>
          <w:tcPr>
            <w:tcW w:w="3095" w:type="dxa"/>
            <w:shd w:val="clear" w:color="auto" w:fill="F2F2F2" w:themeFill="background1" w:themeFillShade="F2"/>
          </w:tcPr>
          <w:p w14:paraId="74A5BC80" w14:textId="77777777" w:rsidR="002E1BC4" w:rsidRPr="008625DC" w:rsidRDefault="002E1BC4" w:rsidP="009571A7">
            <w:pPr>
              <w:pStyle w:val="TableTextLeft"/>
              <w:spacing w:before="20" w:after="60" w:line="240" w:lineRule="auto"/>
              <w:jc w:val="left"/>
            </w:pPr>
            <w:r w:rsidRPr="008625DC">
              <w:t>Independent Supermarket Retailers Guild of SA</w:t>
            </w:r>
          </w:p>
        </w:tc>
        <w:tc>
          <w:tcPr>
            <w:tcW w:w="3096" w:type="dxa"/>
            <w:shd w:val="clear" w:color="auto" w:fill="F2F2F2" w:themeFill="background1" w:themeFillShade="F2"/>
          </w:tcPr>
          <w:p w14:paraId="153D6B0C" w14:textId="77777777" w:rsidR="002E1BC4" w:rsidRPr="008625DC" w:rsidRDefault="002E1BC4" w:rsidP="009571A7">
            <w:pPr>
              <w:pStyle w:val="TableTextLeft"/>
              <w:spacing w:before="20" w:after="60" w:line="240" w:lineRule="auto"/>
              <w:jc w:val="left"/>
            </w:pPr>
            <w:r w:rsidRPr="008625DC">
              <w:t>Industry Super Australia</w:t>
            </w:r>
          </w:p>
        </w:tc>
      </w:tr>
      <w:tr w:rsidR="002E1BC4" w:rsidRPr="008625DC" w14:paraId="2C40FE12" w14:textId="77777777" w:rsidTr="00F536A7">
        <w:tc>
          <w:tcPr>
            <w:tcW w:w="3095" w:type="dxa"/>
            <w:shd w:val="clear" w:color="auto" w:fill="F2F2F2" w:themeFill="background1" w:themeFillShade="F2"/>
          </w:tcPr>
          <w:p w14:paraId="6F80550D" w14:textId="77777777" w:rsidR="002E1BC4" w:rsidRPr="008625DC" w:rsidRDefault="002E1BC4" w:rsidP="009571A7">
            <w:pPr>
              <w:pStyle w:val="TableTextLeft"/>
              <w:spacing w:before="20" w:after="60" w:line="240" w:lineRule="auto"/>
              <w:jc w:val="left"/>
            </w:pPr>
            <w:r w:rsidRPr="008625DC">
              <w:t>Institute of Chartered Accountants Australia</w:t>
            </w:r>
          </w:p>
        </w:tc>
        <w:tc>
          <w:tcPr>
            <w:tcW w:w="3095" w:type="dxa"/>
            <w:shd w:val="clear" w:color="auto" w:fill="F2F2F2" w:themeFill="background1" w:themeFillShade="F2"/>
          </w:tcPr>
          <w:p w14:paraId="294BC6BD" w14:textId="77777777" w:rsidR="002E1BC4" w:rsidRPr="008625DC" w:rsidRDefault="002E1BC4" w:rsidP="009571A7">
            <w:pPr>
              <w:pStyle w:val="TableTextLeft"/>
              <w:spacing w:before="20" w:after="60" w:line="240" w:lineRule="auto"/>
              <w:jc w:val="left"/>
            </w:pPr>
            <w:r w:rsidRPr="008625DC">
              <w:t>Institute of Public Accountants</w:t>
            </w:r>
          </w:p>
        </w:tc>
        <w:tc>
          <w:tcPr>
            <w:tcW w:w="3096" w:type="dxa"/>
            <w:shd w:val="clear" w:color="auto" w:fill="F2F2F2" w:themeFill="background1" w:themeFillShade="F2"/>
          </w:tcPr>
          <w:p w14:paraId="5B14139B" w14:textId="77777777" w:rsidR="002E1BC4" w:rsidRPr="008625DC" w:rsidRDefault="002E1BC4" w:rsidP="009571A7">
            <w:pPr>
              <w:pStyle w:val="TableTextLeft"/>
              <w:spacing w:before="20" w:after="60" w:line="240" w:lineRule="auto"/>
              <w:jc w:val="left"/>
            </w:pPr>
            <w:r w:rsidRPr="008625DC">
              <w:t>Institute of Public Accountants (submission 2)</w:t>
            </w:r>
          </w:p>
        </w:tc>
      </w:tr>
      <w:tr w:rsidR="002E1BC4" w:rsidRPr="008625DC" w14:paraId="70AE722F" w14:textId="77777777" w:rsidTr="00F536A7">
        <w:tc>
          <w:tcPr>
            <w:tcW w:w="3095" w:type="dxa"/>
            <w:shd w:val="clear" w:color="auto" w:fill="F2F2F2" w:themeFill="background1" w:themeFillShade="F2"/>
          </w:tcPr>
          <w:p w14:paraId="545FCD6F" w14:textId="77777777" w:rsidR="002E1BC4" w:rsidRPr="008625DC" w:rsidRDefault="002E1BC4" w:rsidP="009571A7">
            <w:pPr>
              <w:pStyle w:val="TableTextLeft"/>
              <w:spacing w:before="20" w:after="60" w:line="240" w:lineRule="auto"/>
              <w:jc w:val="left"/>
            </w:pPr>
            <w:r w:rsidRPr="008625DC">
              <w:t>Insurance Australia Group</w:t>
            </w:r>
          </w:p>
        </w:tc>
        <w:tc>
          <w:tcPr>
            <w:tcW w:w="3095" w:type="dxa"/>
            <w:shd w:val="clear" w:color="auto" w:fill="F2F2F2" w:themeFill="background1" w:themeFillShade="F2"/>
          </w:tcPr>
          <w:p w14:paraId="7A58ED71" w14:textId="1D6158A7" w:rsidR="002E1BC4" w:rsidRPr="008625DC" w:rsidRDefault="002E1BC4" w:rsidP="009571A7">
            <w:pPr>
              <w:pStyle w:val="TableTextLeft"/>
              <w:spacing w:before="20" w:after="60" w:line="240" w:lineRule="auto"/>
              <w:jc w:val="left"/>
            </w:pPr>
            <w:r w:rsidRPr="008625DC">
              <w:t>Insurance Council of Australia</w:t>
            </w:r>
            <w:r w:rsidR="00C74E19" w:rsidRPr="008625DC">
              <w:t xml:space="preserve"> — </w:t>
            </w:r>
            <w:r w:rsidRPr="008625DC">
              <w:t>updated submission</w:t>
            </w:r>
          </w:p>
        </w:tc>
        <w:tc>
          <w:tcPr>
            <w:tcW w:w="3096" w:type="dxa"/>
            <w:shd w:val="clear" w:color="auto" w:fill="F2F2F2" w:themeFill="background1" w:themeFillShade="F2"/>
          </w:tcPr>
          <w:p w14:paraId="409A0B40" w14:textId="77777777" w:rsidR="002E1BC4" w:rsidRPr="008625DC" w:rsidRDefault="002E1BC4" w:rsidP="009571A7">
            <w:pPr>
              <w:pStyle w:val="TableTextLeft"/>
              <w:spacing w:before="20" w:after="60" w:line="240" w:lineRule="auto"/>
              <w:jc w:val="left"/>
            </w:pPr>
            <w:r w:rsidRPr="008625DC">
              <w:t>International Bar Association (Antitrust Committee)</w:t>
            </w:r>
          </w:p>
        </w:tc>
      </w:tr>
      <w:tr w:rsidR="002E1BC4" w:rsidRPr="008625DC" w14:paraId="3DD180AE" w14:textId="77777777" w:rsidTr="00F536A7">
        <w:tc>
          <w:tcPr>
            <w:tcW w:w="3095" w:type="dxa"/>
            <w:shd w:val="clear" w:color="auto" w:fill="F2F2F2" w:themeFill="background1" w:themeFillShade="F2"/>
          </w:tcPr>
          <w:p w14:paraId="6F5F7067" w14:textId="77777777" w:rsidR="002E1BC4" w:rsidRPr="008625DC" w:rsidRDefault="002E1BC4" w:rsidP="009571A7">
            <w:pPr>
              <w:pStyle w:val="TableTextLeft"/>
              <w:spacing w:before="20" w:after="60" w:line="240" w:lineRule="auto"/>
              <w:jc w:val="left"/>
            </w:pPr>
            <w:r w:rsidRPr="008625DC">
              <w:t>International Chamber of Shipping</w:t>
            </w:r>
          </w:p>
        </w:tc>
        <w:tc>
          <w:tcPr>
            <w:tcW w:w="3095" w:type="dxa"/>
            <w:shd w:val="clear" w:color="auto" w:fill="F2F2F2" w:themeFill="background1" w:themeFillShade="F2"/>
          </w:tcPr>
          <w:p w14:paraId="3B681EDF" w14:textId="77777777" w:rsidR="002E1BC4" w:rsidRPr="008625DC" w:rsidRDefault="002E1BC4" w:rsidP="009571A7">
            <w:pPr>
              <w:pStyle w:val="TableTextLeft"/>
              <w:spacing w:before="20" w:after="60" w:line="240" w:lineRule="auto"/>
              <w:jc w:val="left"/>
            </w:pPr>
            <w:r w:rsidRPr="008625DC">
              <w:t>International Container Lines Committee (NZ)</w:t>
            </w:r>
          </w:p>
        </w:tc>
        <w:tc>
          <w:tcPr>
            <w:tcW w:w="3096" w:type="dxa"/>
            <w:shd w:val="clear" w:color="auto" w:fill="F2F2F2" w:themeFill="background1" w:themeFillShade="F2"/>
          </w:tcPr>
          <w:p w14:paraId="247529CE" w14:textId="77777777" w:rsidR="002E1BC4" w:rsidRPr="008625DC" w:rsidRDefault="002E1BC4" w:rsidP="009571A7">
            <w:pPr>
              <w:pStyle w:val="TableTextLeft"/>
              <w:spacing w:before="20" w:after="60" w:line="240" w:lineRule="auto"/>
              <w:jc w:val="left"/>
            </w:pPr>
            <w:r w:rsidRPr="008625DC">
              <w:t>IPART</w:t>
            </w:r>
          </w:p>
        </w:tc>
      </w:tr>
      <w:tr w:rsidR="002E1BC4" w:rsidRPr="008625DC" w14:paraId="2DE11036" w14:textId="77777777" w:rsidTr="00F536A7">
        <w:tc>
          <w:tcPr>
            <w:tcW w:w="3095" w:type="dxa"/>
            <w:shd w:val="clear" w:color="auto" w:fill="F2F2F2" w:themeFill="background1" w:themeFillShade="F2"/>
          </w:tcPr>
          <w:p w14:paraId="29425992" w14:textId="77777777" w:rsidR="002E1BC4" w:rsidRPr="008625DC" w:rsidRDefault="002E1BC4" w:rsidP="009571A7">
            <w:pPr>
              <w:pStyle w:val="TableTextLeft"/>
              <w:spacing w:before="20" w:after="60" w:line="240" w:lineRule="auto"/>
              <w:jc w:val="left"/>
            </w:pPr>
            <w:r w:rsidRPr="008625DC">
              <w:t>ITS Global</w:t>
            </w:r>
          </w:p>
        </w:tc>
        <w:tc>
          <w:tcPr>
            <w:tcW w:w="3095" w:type="dxa"/>
            <w:shd w:val="clear" w:color="auto" w:fill="F2F2F2" w:themeFill="background1" w:themeFillShade="F2"/>
          </w:tcPr>
          <w:p w14:paraId="7172FF04" w14:textId="77777777" w:rsidR="002E1BC4" w:rsidRPr="008625DC" w:rsidRDefault="002E1BC4" w:rsidP="009571A7">
            <w:pPr>
              <w:pStyle w:val="TableTextLeft"/>
              <w:spacing w:before="20" w:after="60" w:line="240" w:lineRule="auto"/>
              <w:jc w:val="left"/>
            </w:pPr>
            <w:r w:rsidRPr="008625DC">
              <w:t>Jedlickova, B</w:t>
            </w:r>
          </w:p>
        </w:tc>
        <w:tc>
          <w:tcPr>
            <w:tcW w:w="3096" w:type="dxa"/>
            <w:shd w:val="clear" w:color="auto" w:fill="F2F2F2" w:themeFill="background1" w:themeFillShade="F2"/>
          </w:tcPr>
          <w:p w14:paraId="63AE3982" w14:textId="77777777" w:rsidR="002E1BC4" w:rsidRPr="008625DC" w:rsidRDefault="002E1BC4" w:rsidP="009571A7">
            <w:pPr>
              <w:pStyle w:val="TableTextLeft"/>
              <w:spacing w:before="20" w:after="60" w:line="240" w:lineRule="auto"/>
              <w:jc w:val="left"/>
            </w:pPr>
            <w:r w:rsidRPr="008625DC">
              <w:t>Jewellers Association of Australia</w:t>
            </w:r>
          </w:p>
        </w:tc>
      </w:tr>
      <w:tr w:rsidR="002E1BC4" w:rsidRPr="008625DC" w14:paraId="223F59D6" w14:textId="77777777" w:rsidTr="00F536A7">
        <w:tc>
          <w:tcPr>
            <w:tcW w:w="3095" w:type="dxa"/>
            <w:shd w:val="clear" w:color="auto" w:fill="F2F2F2" w:themeFill="background1" w:themeFillShade="F2"/>
          </w:tcPr>
          <w:p w14:paraId="2E37B53F" w14:textId="77777777" w:rsidR="002E1BC4" w:rsidRPr="008625DC" w:rsidRDefault="002E1BC4" w:rsidP="009571A7">
            <w:pPr>
              <w:pStyle w:val="TableTextLeft"/>
              <w:spacing w:before="20" w:after="60" w:line="240" w:lineRule="auto"/>
              <w:jc w:val="left"/>
            </w:pPr>
            <w:r w:rsidRPr="008625DC">
              <w:t>Jones Day</w:t>
            </w:r>
          </w:p>
        </w:tc>
        <w:tc>
          <w:tcPr>
            <w:tcW w:w="3095" w:type="dxa"/>
            <w:shd w:val="clear" w:color="auto" w:fill="F2F2F2" w:themeFill="background1" w:themeFillShade="F2"/>
          </w:tcPr>
          <w:p w14:paraId="2A30EC42" w14:textId="77777777" w:rsidR="002E1BC4" w:rsidRPr="008625DC" w:rsidRDefault="002E1BC4" w:rsidP="009571A7">
            <w:pPr>
              <w:pStyle w:val="TableTextLeft"/>
              <w:spacing w:before="20" w:after="60" w:line="240" w:lineRule="auto"/>
              <w:jc w:val="left"/>
            </w:pPr>
            <w:r w:rsidRPr="008625DC">
              <w:t>Jones Day (Submission 2)</w:t>
            </w:r>
          </w:p>
        </w:tc>
        <w:tc>
          <w:tcPr>
            <w:tcW w:w="3096" w:type="dxa"/>
            <w:shd w:val="clear" w:color="auto" w:fill="F2F2F2" w:themeFill="background1" w:themeFillShade="F2"/>
          </w:tcPr>
          <w:p w14:paraId="31E4668F" w14:textId="77777777" w:rsidR="002E1BC4" w:rsidRPr="008625DC" w:rsidRDefault="002E1BC4" w:rsidP="009571A7">
            <w:pPr>
              <w:pStyle w:val="TableTextLeft"/>
              <w:spacing w:before="20" w:after="60" w:line="240" w:lineRule="auto"/>
              <w:jc w:val="left"/>
            </w:pPr>
            <w:r w:rsidRPr="008625DC">
              <w:t>Kagome Australia</w:t>
            </w:r>
          </w:p>
        </w:tc>
      </w:tr>
      <w:tr w:rsidR="002E1BC4" w:rsidRPr="008625DC" w14:paraId="05BDEC6A" w14:textId="77777777" w:rsidTr="00F536A7">
        <w:tc>
          <w:tcPr>
            <w:tcW w:w="3095" w:type="dxa"/>
            <w:shd w:val="clear" w:color="auto" w:fill="F2F2F2" w:themeFill="background1" w:themeFillShade="F2"/>
          </w:tcPr>
          <w:p w14:paraId="73663111" w14:textId="77777777" w:rsidR="002E1BC4" w:rsidRPr="008625DC" w:rsidRDefault="002E1BC4" w:rsidP="009571A7">
            <w:pPr>
              <w:pStyle w:val="TableTextLeft"/>
              <w:spacing w:before="20" w:after="60" w:line="240" w:lineRule="auto"/>
              <w:jc w:val="left"/>
            </w:pPr>
            <w:r w:rsidRPr="008625DC">
              <w:t>Kelly, V</w:t>
            </w:r>
          </w:p>
        </w:tc>
        <w:tc>
          <w:tcPr>
            <w:tcW w:w="3095" w:type="dxa"/>
            <w:shd w:val="clear" w:color="auto" w:fill="F2F2F2" w:themeFill="background1" w:themeFillShade="F2"/>
          </w:tcPr>
          <w:p w14:paraId="32756093" w14:textId="77777777" w:rsidR="002E1BC4" w:rsidRPr="008625DC" w:rsidRDefault="002E1BC4" w:rsidP="009571A7">
            <w:pPr>
              <w:pStyle w:val="TableTextLeft"/>
              <w:spacing w:before="20" w:after="60" w:line="240" w:lineRule="auto"/>
              <w:jc w:val="left"/>
            </w:pPr>
            <w:r w:rsidRPr="008625DC">
              <w:t>Kemp, K</w:t>
            </w:r>
          </w:p>
        </w:tc>
        <w:tc>
          <w:tcPr>
            <w:tcW w:w="3096" w:type="dxa"/>
            <w:shd w:val="clear" w:color="auto" w:fill="F2F2F2" w:themeFill="background1" w:themeFillShade="F2"/>
          </w:tcPr>
          <w:p w14:paraId="5C06A392" w14:textId="77777777" w:rsidR="002E1BC4" w:rsidRPr="008625DC" w:rsidRDefault="002E1BC4" w:rsidP="009571A7">
            <w:pPr>
              <w:pStyle w:val="TableTextLeft"/>
              <w:spacing w:before="20" w:after="60" w:line="240" w:lineRule="auto"/>
              <w:jc w:val="left"/>
            </w:pPr>
            <w:r w:rsidRPr="008625DC">
              <w:t>Kudis, R</w:t>
            </w:r>
          </w:p>
        </w:tc>
      </w:tr>
      <w:tr w:rsidR="002E1BC4" w:rsidRPr="008625DC" w14:paraId="1D7AE488" w14:textId="77777777" w:rsidTr="00F536A7">
        <w:tc>
          <w:tcPr>
            <w:tcW w:w="3095" w:type="dxa"/>
            <w:shd w:val="clear" w:color="auto" w:fill="F2F2F2" w:themeFill="background1" w:themeFillShade="F2"/>
          </w:tcPr>
          <w:p w14:paraId="62233FD9" w14:textId="77777777" w:rsidR="002E1BC4" w:rsidRPr="008625DC" w:rsidRDefault="002E1BC4" w:rsidP="009571A7">
            <w:pPr>
              <w:pStyle w:val="TableTextLeft"/>
              <w:spacing w:before="20" w:after="60" w:line="240" w:lineRule="auto"/>
              <w:jc w:val="left"/>
            </w:pPr>
            <w:r w:rsidRPr="008625DC">
              <w:t>Large Format Retail Association</w:t>
            </w:r>
          </w:p>
        </w:tc>
        <w:tc>
          <w:tcPr>
            <w:tcW w:w="3095" w:type="dxa"/>
            <w:shd w:val="clear" w:color="auto" w:fill="F2F2F2" w:themeFill="background1" w:themeFillShade="F2"/>
          </w:tcPr>
          <w:p w14:paraId="7D556183" w14:textId="77777777" w:rsidR="002E1BC4" w:rsidRPr="008625DC" w:rsidRDefault="002E1BC4" w:rsidP="009571A7">
            <w:pPr>
              <w:pStyle w:val="TableTextLeft"/>
              <w:spacing w:before="20" w:after="60" w:line="240" w:lineRule="auto"/>
              <w:jc w:val="left"/>
            </w:pPr>
            <w:r w:rsidRPr="008625DC">
              <w:t>Laskowska, M</w:t>
            </w:r>
          </w:p>
        </w:tc>
        <w:tc>
          <w:tcPr>
            <w:tcW w:w="3096" w:type="dxa"/>
            <w:shd w:val="clear" w:color="auto" w:fill="F2F2F2" w:themeFill="background1" w:themeFillShade="F2"/>
          </w:tcPr>
          <w:p w14:paraId="4F8ADE31" w14:textId="77777777" w:rsidR="002E1BC4" w:rsidRPr="008625DC" w:rsidRDefault="002E1BC4" w:rsidP="009571A7">
            <w:pPr>
              <w:pStyle w:val="TableTextLeft"/>
              <w:spacing w:before="20" w:after="60" w:line="240" w:lineRule="auto"/>
              <w:jc w:val="left"/>
            </w:pPr>
            <w:r w:rsidRPr="008625DC">
              <w:t>Law Council of Australia, Business Law Section</w:t>
            </w:r>
          </w:p>
        </w:tc>
      </w:tr>
      <w:tr w:rsidR="002E1BC4" w:rsidRPr="008625DC" w14:paraId="38F20B0E" w14:textId="77777777" w:rsidTr="00F536A7">
        <w:tc>
          <w:tcPr>
            <w:tcW w:w="3095" w:type="dxa"/>
            <w:shd w:val="clear" w:color="auto" w:fill="F2F2F2" w:themeFill="background1" w:themeFillShade="F2"/>
          </w:tcPr>
          <w:p w14:paraId="0E9DEA02" w14:textId="77777777" w:rsidR="002E1BC4" w:rsidRPr="008625DC" w:rsidRDefault="002E1BC4" w:rsidP="009571A7">
            <w:pPr>
              <w:pStyle w:val="TableTextLeft"/>
              <w:spacing w:before="20" w:after="60" w:line="240" w:lineRule="auto"/>
              <w:jc w:val="left"/>
            </w:pPr>
            <w:r w:rsidRPr="008625DC">
              <w:t>Law Council of Australia, Intellectual Property Committee</w:t>
            </w:r>
          </w:p>
        </w:tc>
        <w:tc>
          <w:tcPr>
            <w:tcW w:w="3095" w:type="dxa"/>
            <w:shd w:val="clear" w:color="auto" w:fill="F2F2F2" w:themeFill="background1" w:themeFillShade="F2"/>
          </w:tcPr>
          <w:p w14:paraId="5B2715D5" w14:textId="2A9D9209" w:rsidR="002E1BC4" w:rsidRPr="008625DC" w:rsidRDefault="002E1BC4" w:rsidP="009571A7">
            <w:pPr>
              <w:pStyle w:val="TableTextLeft"/>
              <w:spacing w:before="20" w:after="60" w:line="240" w:lineRule="auto"/>
              <w:jc w:val="left"/>
            </w:pPr>
            <w:r w:rsidRPr="008625DC">
              <w:t>Law Council of Australia</w:t>
            </w:r>
            <w:r w:rsidR="00C74E19" w:rsidRPr="008625DC">
              <w:t xml:space="preserve"> — </w:t>
            </w:r>
            <w:r w:rsidRPr="008625DC">
              <w:t>Small and Medium Enterprise Committee of the Business Law Section</w:t>
            </w:r>
          </w:p>
        </w:tc>
        <w:tc>
          <w:tcPr>
            <w:tcW w:w="3096" w:type="dxa"/>
            <w:shd w:val="clear" w:color="auto" w:fill="F2F2F2" w:themeFill="background1" w:themeFillShade="F2"/>
          </w:tcPr>
          <w:p w14:paraId="057D74AF" w14:textId="404DAF60" w:rsidR="002E1BC4" w:rsidRPr="008625DC" w:rsidRDefault="002E1BC4" w:rsidP="009571A7">
            <w:pPr>
              <w:pStyle w:val="TableTextLeft"/>
              <w:spacing w:before="20" w:after="60" w:line="240" w:lineRule="auto"/>
              <w:jc w:val="left"/>
            </w:pPr>
            <w:r w:rsidRPr="008625DC">
              <w:t>Law Council of Australia</w:t>
            </w:r>
            <w:r w:rsidR="00C74E19" w:rsidRPr="008625DC">
              <w:t xml:space="preserve"> — </w:t>
            </w:r>
            <w:r w:rsidRPr="008625DC">
              <w:t>Small and Medium Enterprise Committee of the Business Law Section (Submission 2)</w:t>
            </w:r>
          </w:p>
        </w:tc>
      </w:tr>
      <w:tr w:rsidR="002E1BC4" w:rsidRPr="008625DC" w14:paraId="50AD27CA" w14:textId="77777777" w:rsidTr="00F536A7">
        <w:tc>
          <w:tcPr>
            <w:tcW w:w="3095" w:type="dxa"/>
            <w:shd w:val="clear" w:color="auto" w:fill="F2F2F2" w:themeFill="background1" w:themeFillShade="F2"/>
          </w:tcPr>
          <w:p w14:paraId="389EFBBE" w14:textId="77777777" w:rsidR="002E1BC4" w:rsidRPr="008625DC" w:rsidRDefault="002E1BC4" w:rsidP="009571A7">
            <w:pPr>
              <w:pStyle w:val="TableTextLeft"/>
              <w:spacing w:before="20" w:after="60" w:line="240" w:lineRule="auto"/>
              <w:jc w:val="left"/>
            </w:pPr>
            <w:r w:rsidRPr="008625DC">
              <w:t>Lawson, C</w:t>
            </w:r>
          </w:p>
        </w:tc>
        <w:tc>
          <w:tcPr>
            <w:tcW w:w="3095" w:type="dxa"/>
            <w:shd w:val="clear" w:color="auto" w:fill="F2F2F2" w:themeFill="background1" w:themeFillShade="F2"/>
          </w:tcPr>
          <w:p w14:paraId="462C71D4" w14:textId="77777777" w:rsidR="002E1BC4" w:rsidRPr="008625DC" w:rsidRDefault="002E1BC4" w:rsidP="009571A7">
            <w:pPr>
              <w:pStyle w:val="TableTextLeft"/>
              <w:spacing w:before="20" w:after="60" w:line="240" w:lineRule="auto"/>
              <w:jc w:val="left"/>
            </w:pPr>
            <w:r w:rsidRPr="008625DC">
              <w:t>LCH.Clearnet</w:t>
            </w:r>
          </w:p>
        </w:tc>
        <w:tc>
          <w:tcPr>
            <w:tcW w:w="3096" w:type="dxa"/>
            <w:shd w:val="clear" w:color="auto" w:fill="F2F2F2" w:themeFill="background1" w:themeFillShade="F2"/>
          </w:tcPr>
          <w:p w14:paraId="3217A8A2" w14:textId="77777777" w:rsidR="002E1BC4" w:rsidRPr="008625DC" w:rsidRDefault="002E1BC4" w:rsidP="009571A7">
            <w:pPr>
              <w:pStyle w:val="TableTextLeft"/>
              <w:spacing w:before="20" w:after="60" w:line="240" w:lineRule="auto"/>
              <w:jc w:val="left"/>
            </w:pPr>
            <w:r w:rsidRPr="008625DC">
              <w:t>Lloyd, J</w:t>
            </w:r>
          </w:p>
        </w:tc>
      </w:tr>
      <w:tr w:rsidR="002E1BC4" w:rsidRPr="008625DC" w14:paraId="6027A5C6" w14:textId="77777777" w:rsidTr="00F536A7">
        <w:tc>
          <w:tcPr>
            <w:tcW w:w="3095" w:type="dxa"/>
            <w:shd w:val="clear" w:color="auto" w:fill="F2F2F2" w:themeFill="background1" w:themeFillShade="F2"/>
          </w:tcPr>
          <w:p w14:paraId="1DDC6187" w14:textId="77777777" w:rsidR="002E1BC4" w:rsidRPr="008625DC" w:rsidRDefault="002E1BC4" w:rsidP="009571A7">
            <w:pPr>
              <w:pStyle w:val="TableTextLeft"/>
              <w:spacing w:before="20" w:after="60" w:line="240" w:lineRule="auto"/>
              <w:jc w:val="left"/>
            </w:pPr>
            <w:r w:rsidRPr="008625DC">
              <w:t>Lottery Agents Association of Tasmania</w:t>
            </w:r>
          </w:p>
        </w:tc>
        <w:tc>
          <w:tcPr>
            <w:tcW w:w="3095" w:type="dxa"/>
            <w:shd w:val="clear" w:color="auto" w:fill="F2F2F2" w:themeFill="background1" w:themeFillShade="F2"/>
          </w:tcPr>
          <w:p w14:paraId="2A963629" w14:textId="77777777" w:rsidR="002E1BC4" w:rsidRPr="008625DC" w:rsidRDefault="002E1BC4" w:rsidP="009571A7">
            <w:pPr>
              <w:pStyle w:val="TableTextLeft"/>
              <w:spacing w:before="20" w:after="60" w:line="240" w:lineRule="auto"/>
              <w:jc w:val="left"/>
            </w:pPr>
            <w:r w:rsidRPr="008625DC">
              <w:t>Mair, P</w:t>
            </w:r>
          </w:p>
        </w:tc>
        <w:tc>
          <w:tcPr>
            <w:tcW w:w="3096" w:type="dxa"/>
            <w:shd w:val="clear" w:color="auto" w:fill="F2F2F2" w:themeFill="background1" w:themeFillShade="F2"/>
          </w:tcPr>
          <w:p w14:paraId="5FA88C9F" w14:textId="77777777" w:rsidR="002E1BC4" w:rsidRPr="008625DC" w:rsidRDefault="002E1BC4" w:rsidP="009571A7">
            <w:pPr>
              <w:pStyle w:val="TableTextLeft"/>
              <w:spacing w:before="20" w:after="60" w:line="240" w:lineRule="auto"/>
              <w:jc w:val="left"/>
            </w:pPr>
            <w:r w:rsidRPr="008625DC">
              <w:t>Margetts, D</w:t>
            </w:r>
          </w:p>
        </w:tc>
      </w:tr>
      <w:tr w:rsidR="002E1BC4" w:rsidRPr="008625DC" w14:paraId="3577CE0A" w14:textId="77777777" w:rsidTr="00F536A7">
        <w:tc>
          <w:tcPr>
            <w:tcW w:w="3095" w:type="dxa"/>
            <w:shd w:val="clear" w:color="auto" w:fill="F2F2F2" w:themeFill="background1" w:themeFillShade="F2"/>
          </w:tcPr>
          <w:p w14:paraId="6C0F79FD" w14:textId="77777777" w:rsidR="002E1BC4" w:rsidRPr="008625DC" w:rsidRDefault="002E1BC4" w:rsidP="009571A7">
            <w:pPr>
              <w:pStyle w:val="TableTextLeft"/>
              <w:spacing w:before="20" w:after="60" w:line="240" w:lineRule="auto"/>
              <w:jc w:val="left"/>
            </w:pPr>
            <w:r w:rsidRPr="008625DC">
              <w:t>Master Builders Australia</w:t>
            </w:r>
          </w:p>
        </w:tc>
        <w:tc>
          <w:tcPr>
            <w:tcW w:w="3095" w:type="dxa"/>
            <w:shd w:val="clear" w:color="auto" w:fill="F2F2F2" w:themeFill="background1" w:themeFillShade="F2"/>
          </w:tcPr>
          <w:p w14:paraId="28C7CFAE" w14:textId="77777777" w:rsidR="002E1BC4" w:rsidRPr="008625DC" w:rsidRDefault="002E1BC4" w:rsidP="009571A7">
            <w:pPr>
              <w:pStyle w:val="TableTextLeft"/>
              <w:spacing w:before="20" w:after="60" w:line="240" w:lineRule="auto"/>
              <w:jc w:val="left"/>
            </w:pPr>
            <w:r w:rsidRPr="008625DC">
              <w:t>Master Builders Australia (Submission 2)</w:t>
            </w:r>
          </w:p>
        </w:tc>
        <w:tc>
          <w:tcPr>
            <w:tcW w:w="3096" w:type="dxa"/>
            <w:shd w:val="clear" w:color="auto" w:fill="F2F2F2" w:themeFill="background1" w:themeFillShade="F2"/>
          </w:tcPr>
          <w:p w14:paraId="147707ED" w14:textId="77777777" w:rsidR="002E1BC4" w:rsidRPr="008625DC" w:rsidRDefault="002E1BC4" w:rsidP="009571A7">
            <w:pPr>
              <w:pStyle w:val="TableTextLeft"/>
              <w:spacing w:before="20" w:after="60" w:line="240" w:lineRule="auto"/>
              <w:jc w:val="left"/>
            </w:pPr>
            <w:r w:rsidRPr="008625DC">
              <w:t>Master Builders Australia (Submission 3)</w:t>
            </w:r>
          </w:p>
        </w:tc>
      </w:tr>
      <w:tr w:rsidR="002E1BC4" w:rsidRPr="008625DC" w14:paraId="5064052A" w14:textId="77777777" w:rsidTr="00F536A7">
        <w:tc>
          <w:tcPr>
            <w:tcW w:w="3095" w:type="dxa"/>
            <w:shd w:val="clear" w:color="auto" w:fill="F2F2F2" w:themeFill="background1" w:themeFillShade="F2"/>
          </w:tcPr>
          <w:p w14:paraId="50281F49" w14:textId="77777777" w:rsidR="002E1BC4" w:rsidRPr="008625DC" w:rsidRDefault="002E1BC4" w:rsidP="009571A7">
            <w:pPr>
              <w:pStyle w:val="TableTextLeft"/>
              <w:spacing w:before="20" w:after="60" w:line="240" w:lineRule="auto"/>
              <w:jc w:val="left"/>
            </w:pPr>
            <w:r w:rsidRPr="008625DC">
              <w:t>Master Grocers Australia</w:t>
            </w:r>
          </w:p>
        </w:tc>
        <w:tc>
          <w:tcPr>
            <w:tcW w:w="3095" w:type="dxa"/>
            <w:shd w:val="clear" w:color="auto" w:fill="F2F2F2" w:themeFill="background1" w:themeFillShade="F2"/>
          </w:tcPr>
          <w:p w14:paraId="2E452291" w14:textId="77777777" w:rsidR="002E1BC4" w:rsidRPr="008625DC" w:rsidRDefault="002E1BC4" w:rsidP="009571A7">
            <w:pPr>
              <w:pStyle w:val="TableTextLeft"/>
              <w:spacing w:before="20" w:after="60" w:line="240" w:lineRule="auto"/>
              <w:jc w:val="left"/>
            </w:pPr>
            <w:r w:rsidRPr="008625DC">
              <w:t>McCusker Centre for Action on Alcohol and Youth</w:t>
            </w:r>
          </w:p>
        </w:tc>
        <w:tc>
          <w:tcPr>
            <w:tcW w:w="3096" w:type="dxa"/>
            <w:shd w:val="clear" w:color="auto" w:fill="F2F2F2" w:themeFill="background1" w:themeFillShade="F2"/>
          </w:tcPr>
          <w:p w14:paraId="2D4BCF7F" w14:textId="77777777" w:rsidR="002E1BC4" w:rsidRPr="008625DC" w:rsidRDefault="002E1BC4" w:rsidP="009571A7">
            <w:pPr>
              <w:pStyle w:val="TableTextLeft"/>
              <w:spacing w:before="20" w:after="60" w:line="240" w:lineRule="auto"/>
              <w:jc w:val="left"/>
            </w:pPr>
            <w:r w:rsidRPr="008625DC">
              <w:t>Medibank Private</w:t>
            </w:r>
          </w:p>
        </w:tc>
      </w:tr>
      <w:tr w:rsidR="002E1BC4" w:rsidRPr="008625DC" w14:paraId="1C288205" w14:textId="77777777" w:rsidTr="00F536A7">
        <w:tc>
          <w:tcPr>
            <w:tcW w:w="3095" w:type="dxa"/>
            <w:shd w:val="clear" w:color="auto" w:fill="F2F2F2" w:themeFill="background1" w:themeFillShade="F2"/>
          </w:tcPr>
          <w:p w14:paraId="282707C8" w14:textId="77777777" w:rsidR="002E1BC4" w:rsidRPr="008625DC" w:rsidRDefault="002E1BC4" w:rsidP="009571A7">
            <w:pPr>
              <w:pStyle w:val="TableTextLeft"/>
              <w:spacing w:before="20" w:after="60" w:line="240" w:lineRule="auto"/>
              <w:jc w:val="left"/>
            </w:pPr>
            <w:r w:rsidRPr="008625DC">
              <w:t>Merger Streamlining Group</w:t>
            </w:r>
          </w:p>
        </w:tc>
        <w:tc>
          <w:tcPr>
            <w:tcW w:w="3095" w:type="dxa"/>
            <w:shd w:val="clear" w:color="auto" w:fill="F2F2F2" w:themeFill="background1" w:themeFillShade="F2"/>
          </w:tcPr>
          <w:p w14:paraId="7C62503B" w14:textId="77777777" w:rsidR="002E1BC4" w:rsidRPr="008625DC" w:rsidRDefault="002E1BC4" w:rsidP="009571A7">
            <w:pPr>
              <w:pStyle w:val="TableTextLeft"/>
              <w:spacing w:before="20" w:after="60" w:line="240" w:lineRule="auto"/>
              <w:jc w:val="left"/>
            </w:pPr>
            <w:r w:rsidRPr="008625DC">
              <w:t>Metcash Limited</w:t>
            </w:r>
          </w:p>
        </w:tc>
        <w:tc>
          <w:tcPr>
            <w:tcW w:w="3096" w:type="dxa"/>
            <w:shd w:val="clear" w:color="auto" w:fill="F2F2F2" w:themeFill="background1" w:themeFillShade="F2"/>
          </w:tcPr>
          <w:p w14:paraId="62ACD9B3" w14:textId="77777777" w:rsidR="002E1BC4" w:rsidRPr="008625DC" w:rsidRDefault="002E1BC4" w:rsidP="009571A7">
            <w:pPr>
              <w:pStyle w:val="TableTextLeft"/>
              <w:spacing w:before="20" w:after="60" w:line="240" w:lineRule="auto"/>
              <w:jc w:val="left"/>
            </w:pPr>
            <w:r w:rsidRPr="008625DC">
              <w:t>Miller, I</w:t>
            </w:r>
          </w:p>
        </w:tc>
      </w:tr>
      <w:tr w:rsidR="002E1BC4" w:rsidRPr="008625DC" w14:paraId="71A855AD" w14:textId="77777777" w:rsidTr="00F536A7">
        <w:tc>
          <w:tcPr>
            <w:tcW w:w="3095" w:type="dxa"/>
            <w:shd w:val="clear" w:color="auto" w:fill="F2F2F2" w:themeFill="background1" w:themeFillShade="F2"/>
          </w:tcPr>
          <w:p w14:paraId="5910B30F" w14:textId="77777777" w:rsidR="002E1BC4" w:rsidRPr="008625DC" w:rsidRDefault="002E1BC4" w:rsidP="009571A7">
            <w:pPr>
              <w:pStyle w:val="TableTextLeft"/>
              <w:spacing w:before="20" w:after="60" w:line="240" w:lineRule="auto"/>
              <w:jc w:val="left"/>
            </w:pPr>
            <w:r w:rsidRPr="008625DC">
              <w:t>Minerals Council of Australia</w:t>
            </w:r>
          </w:p>
        </w:tc>
        <w:tc>
          <w:tcPr>
            <w:tcW w:w="3095" w:type="dxa"/>
            <w:shd w:val="clear" w:color="auto" w:fill="F2F2F2" w:themeFill="background1" w:themeFillShade="F2"/>
          </w:tcPr>
          <w:p w14:paraId="70B23DF5" w14:textId="77777777" w:rsidR="002E1BC4" w:rsidRPr="008625DC" w:rsidRDefault="002E1BC4" w:rsidP="009571A7">
            <w:pPr>
              <w:pStyle w:val="TableTextLeft"/>
              <w:spacing w:before="20" w:after="60" w:line="240" w:lineRule="auto"/>
              <w:jc w:val="left"/>
            </w:pPr>
            <w:r w:rsidRPr="008625DC">
              <w:t>Minter Ellison</w:t>
            </w:r>
          </w:p>
        </w:tc>
        <w:tc>
          <w:tcPr>
            <w:tcW w:w="3096" w:type="dxa"/>
            <w:shd w:val="clear" w:color="auto" w:fill="F2F2F2" w:themeFill="background1" w:themeFillShade="F2"/>
          </w:tcPr>
          <w:p w14:paraId="00FFD559" w14:textId="77777777" w:rsidR="002E1BC4" w:rsidRPr="008625DC" w:rsidRDefault="002E1BC4" w:rsidP="009571A7">
            <w:pPr>
              <w:pStyle w:val="TableTextLeft"/>
              <w:spacing w:before="20" w:after="60" w:line="240" w:lineRule="auto"/>
              <w:jc w:val="left"/>
            </w:pPr>
            <w:r w:rsidRPr="008625DC">
              <w:t>Momentum Energy</w:t>
            </w:r>
          </w:p>
        </w:tc>
      </w:tr>
      <w:tr w:rsidR="002E1BC4" w:rsidRPr="008625DC" w14:paraId="605B3FCC" w14:textId="77777777" w:rsidTr="00F536A7">
        <w:tc>
          <w:tcPr>
            <w:tcW w:w="3095" w:type="dxa"/>
            <w:shd w:val="clear" w:color="auto" w:fill="F2F2F2" w:themeFill="background1" w:themeFillShade="F2"/>
          </w:tcPr>
          <w:p w14:paraId="61EBBD57" w14:textId="77777777" w:rsidR="002E1BC4" w:rsidRPr="008625DC" w:rsidRDefault="002E1BC4" w:rsidP="009571A7">
            <w:pPr>
              <w:pStyle w:val="TableTextLeft"/>
              <w:spacing w:before="20" w:after="60" w:line="240" w:lineRule="auto"/>
              <w:jc w:val="left"/>
            </w:pPr>
            <w:r w:rsidRPr="008625DC">
              <w:t>Monash Business Policy Forum</w:t>
            </w:r>
          </w:p>
        </w:tc>
        <w:tc>
          <w:tcPr>
            <w:tcW w:w="3095" w:type="dxa"/>
            <w:shd w:val="clear" w:color="auto" w:fill="F2F2F2" w:themeFill="background1" w:themeFillShade="F2"/>
          </w:tcPr>
          <w:p w14:paraId="2BCBA2C6" w14:textId="77777777" w:rsidR="002E1BC4" w:rsidRPr="008625DC" w:rsidRDefault="002E1BC4" w:rsidP="009571A7">
            <w:pPr>
              <w:pStyle w:val="TableTextLeft"/>
              <w:spacing w:before="20" w:after="60" w:line="240" w:lineRule="auto"/>
              <w:jc w:val="left"/>
            </w:pPr>
            <w:r w:rsidRPr="008625DC">
              <w:t>MTA Queensland</w:t>
            </w:r>
          </w:p>
        </w:tc>
        <w:tc>
          <w:tcPr>
            <w:tcW w:w="3096" w:type="dxa"/>
            <w:shd w:val="clear" w:color="auto" w:fill="F2F2F2" w:themeFill="background1" w:themeFillShade="F2"/>
          </w:tcPr>
          <w:p w14:paraId="3E305C8C" w14:textId="77777777" w:rsidR="002E1BC4" w:rsidRPr="008625DC" w:rsidRDefault="002E1BC4" w:rsidP="009571A7">
            <w:pPr>
              <w:pStyle w:val="TableTextLeft"/>
              <w:spacing w:before="20" w:after="60" w:line="240" w:lineRule="auto"/>
              <w:jc w:val="left"/>
            </w:pPr>
            <w:r w:rsidRPr="008625DC">
              <w:t>Municipal Association of Victoria</w:t>
            </w:r>
          </w:p>
        </w:tc>
      </w:tr>
      <w:tr w:rsidR="002E1BC4" w:rsidRPr="008625DC" w14:paraId="6A320D68" w14:textId="77777777" w:rsidTr="00F536A7">
        <w:tc>
          <w:tcPr>
            <w:tcW w:w="3095" w:type="dxa"/>
            <w:shd w:val="clear" w:color="auto" w:fill="F2F2F2" w:themeFill="background1" w:themeFillShade="F2"/>
          </w:tcPr>
          <w:p w14:paraId="27AB6641" w14:textId="77777777" w:rsidR="002E1BC4" w:rsidRPr="008625DC" w:rsidRDefault="002E1BC4" w:rsidP="009571A7">
            <w:pPr>
              <w:pStyle w:val="TableTextLeft"/>
              <w:spacing w:before="20" w:after="60" w:line="240" w:lineRule="auto"/>
              <w:jc w:val="left"/>
            </w:pPr>
            <w:r w:rsidRPr="008625DC">
              <w:t>Narulla, H</w:t>
            </w:r>
          </w:p>
        </w:tc>
        <w:tc>
          <w:tcPr>
            <w:tcW w:w="3095" w:type="dxa"/>
            <w:shd w:val="clear" w:color="auto" w:fill="F2F2F2" w:themeFill="background1" w:themeFillShade="F2"/>
          </w:tcPr>
          <w:p w14:paraId="757E89BA" w14:textId="77777777" w:rsidR="002E1BC4" w:rsidRPr="008625DC" w:rsidRDefault="002E1BC4" w:rsidP="009571A7">
            <w:pPr>
              <w:pStyle w:val="TableTextLeft"/>
              <w:spacing w:before="20" w:after="60" w:line="240" w:lineRule="auto"/>
              <w:jc w:val="left"/>
            </w:pPr>
            <w:r w:rsidRPr="008625DC">
              <w:t>National Alliance for Action on Alcohol</w:t>
            </w:r>
          </w:p>
        </w:tc>
        <w:tc>
          <w:tcPr>
            <w:tcW w:w="3096" w:type="dxa"/>
            <w:shd w:val="clear" w:color="auto" w:fill="F2F2F2" w:themeFill="background1" w:themeFillShade="F2"/>
          </w:tcPr>
          <w:p w14:paraId="127694AB" w14:textId="77777777" w:rsidR="002E1BC4" w:rsidRPr="008625DC" w:rsidRDefault="002E1BC4" w:rsidP="009571A7">
            <w:pPr>
              <w:pStyle w:val="TableTextLeft"/>
              <w:spacing w:before="20" w:after="60" w:line="240" w:lineRule="auto"/>
              <w:jc w:val="left"/>
            </w:pPr>
            <w:r w:rsidRPr="008625DC">
              <w:t>National Australia Bank</w:t>
            </w:r>
          </w:p>
        </w:tc>
      </w:tr>
      <w:tr w:rsidR="002E1BC4" w:rsidRPr="008625DC" w14:paraId="0CE5B76E" w14:textId="77777777" w:rsidTr="00F536A7">
        <w:tc>
          <w:tcPr>
            <w:tcW w:w="3095" w:type="dxa"/>
            <w:shd w:val="clear" w:color="auto" w:fill="F2F2F2" w:themeFill="background1" w:themeFillShade="F2"/>
          </w:tcPr>
          <w:p w14:paraId="1D392BD8" w14:textId="77777777" w:rsidR="002E1BC4" w:rsidRPr="008625DC" w:rsidRDefault="002E1BC4" w:rsidP="009571A7">
            <w:pPr>
              <w:pStyle w:val="TableTextLeft"/>
              <w:spacing w:before="20" w:after="60" w:line="240" w:lineRule="auto"/>
              <w:jc w:val="left"/>
            </w:pPr>
            <w:r w:rsidRPr="008625DC">
              <w:t>National Competition Council</w:t>
            </w:r>
          </w:p>
        </w:tc>
        <w:tc>
          <w:tcPr>
            <w:tcW w:w="3095" w:type="dxa"/>
            <w:shd w:val="clear" w:color="auto" w:fill="F2F2F2" w:themeFill="background1" w:themeFillShade="F2"/>
          </w:tcPr>
          <w:p w14:paraId="3553C7E0" w14:textId="77777777" w:rsidR="002E1BC4" w:rsidRPr="008625DC" w:rsidRDefault="002E1BC4" w:rsidP="009571A7">
            <w:pPr>
              <w:pStyle w:val="TableTextLeft"/>
              <w:spacing w:before="20" w:after="60" w:line="240" w:lineRule="auto"/>
              <w:jc w:val="left"/>
            </w:pPr>
            <w:r w:rsidRPr="008625DC">
              <w:t>National Disability Services</w:t>
            </w:r>
          </w:p>
        </w:tc>
        <w:tc>
          <w:tcPr>
            <w:tcW w:w="3096" w:type="dxa"/>
            <w:shd w:val="clear" w:color="auto" w:fill="F2F2F2" w:themeFill="background1" w:themeFillShade="F2"/>
          </w:tcPr>
          <w:p w14:paraId="6A279E03" w14:textId="77777777" w:rsidR="002E1BC4" w:rsidRPr="008625DC" w:rsidRDefault="002E1BC4" w:rsidP="009571A7">
            <w:pPr>
              <w:pStyle w:val="TableTextLeft"/>
              <w:spacing w:before="20" w:after="60" w:line="240" w:lineRule="auto"/>
              <w:jc w:val="left"/>
            </w:pPr>
            <w:r w:rsidRPr="008625DC">
              <w:t>National Electrical and Communications Association</w:t>
            </w:r>
          </w:p>
        </w:tc>
      </w:tr>
      <w:tr w:rsidR="002E1BC4" w:rsidRPr="008625DC" w14:paraId="454B9F24" w14:textId="77777777" w:rsidTr="00F536A7">
        <w:tc>
          <w:tcPr>
            <w:tcW w:w="3095" w:type="dxa"/>
            <w:shd w:val="clear" w:color="auto" w:fill="F2F2F2" w:themeFill="background1" w:themeFillShade="F2"/>
          </w:tcPr>
          <w:p w14:paraId="63BA9E5F" w14:textId="02586D41" w:rsidR="002E1BC4" w:rsidRPr="008625DC" w:rsidRDefault="002E1BC4" w:rsidP="009571A7">
            <w:pPr>
              <w:pStyle w:val="TableTextLeft"/>
              <w:spacing w:before="20" w:after="60" w:line="240" w:lineRule="auto"/>
              <w:jc w:val="left"/>
            </w:pPr>
            <w:r w:rsidRPr="008625DC">
              <w:t>National Farmers</w:t>
            </w:r>
            <w:r w:rsidR="00C74E19" w:rsidRPr="008625DC">
              <w:t>’</w:t>
            </w:r>
            <w:r w:rsidRPr="008625DC">
              <w:t xml:space="preserve"> Federation</w:t>
            </w:r>
          </w:p>
        </w:tc>
        <w:tc>
          <w:tcPr>
            <w:tcW w:w="3095" w:type="dxa"/>
            <w:shd w:val="clear" w:color="auto" w:fill="F2F2F2" w:themeFill="background1" w:themeFillShade="F2"/>
          </w:tcPr>
          <w:p w14:paraId="095A912F" w14:textId="77777777" w:rsidR="002E1BC4" w:rsidRPr="008625DC" w:rsidRDefault="002E1BC4" w:rsidP="009571A7">
            <w:pPr>
              <w:pStyle w:val="TableTextLeft"/>
              <w:spacing w:before="20" w:after="60" w:line="240" w:lineRule="auto"/>
              <w:jc w:val="left"/>
            </w:pPr>
            <w:r w:rsidRPr="008625DC">
              <w:t>National Insurance Brokers Association of Australia</w:t>
            </w:r>
          </w:p>
        </w:tc>
        <w:tc>
          <w:tcPr>
            <w:tcW w:w="3096" w:type="dxa"/>
            <w:shd w:val="clear" w:color="auto" w:fill="F2F2F2" w:themeFill="background1" w:themeFillShade="F2"/>
          </w:tcPr>
          <w:p w14:paraId="72807669" w14:textId="77777777" w:rsidR="002E1BC4" w:rsidRPr="008625DC" w:rsidRDefault="002E1BC4" w:rsidP="009571A7">
            <w:pPr>
              <w:pStyle w:val="TableTextLeft"/>
              <w:spacing w:before="20" w:after="60" w:line="240" w:lineRule="auto"/>
              <w:jc w:val="left"/>
            </w:pPr>
            <w:r w:rsidRPr="008625DC">
              <w:t>National Roads and Motorists Association</w:t>
            </w:r>
          </w:p>
        </w:tc>
      </w:tr>
      <w:tr w:rsidR="002E1BC4" w:rsidRPr="008625DC" w14:paraId="194953AE" w14:textId="77777777" w:rsidTr="00F536A7">
        <w:tc>
          <w:tcPr>
            <w:tcW w:w="3095" w:type="dxa"/>
            <w:shd w:val="clear" w:color="auto" w:fill="F2F2F2" w:themeFill="background1" w:themeFillShade="F2"/>
          </w:tcPr>
          <w:p w14:paraId="012511CE" w14:textId="77777777" w:rsidR="002E1BC4" w:rsidRPr="008625DC" w:rsidRDefault="002E1BC4" w:rsidP="009571A7">
            <w:pPr>
              <w:pStyle w:val="TableTextLeft"/>
              <w:spacing w:before="20" w:after="60" w:line="240" w:lineRule="auto"/>
              <w:jc w:val="left"/>
            </w:pPr>
            <w:r w:rsidRPr="008625DC">
              <w:t>National Seniors Australia</w:t>
            </w:r>
          </w:p>
        </w:tc>
        <w:tc>
          <w:tcPr>
            <w:tcW w:w="3095" w:type="dxa"/>
            <w:shd w:val="clear" w:color="auto" w:fill="F2F2F2" w:themeFill="background1" w:themeFillShade="F2"/>
          </w:tcPr>
          <w:p w14:paraId="0628CAA1" w14:textId="77777777" w:rsidR="002E1BC4" w:rsidRPr="008625DC" w:rsidRDefault="002E1BC4" w:rsidP="009571A7">
            <w:pPr>
              <w:pStyle w:val="TableTextLeft"/>
              <w:spacing w:before="20" w:after="60" w:line="240" w:lineRule="auto"/>
              <w:jc w:val="left"/>
            </w:pPr>
            <w:r w:rsidRPr="008625DC">
              <w:t>NBN Co</w:t>
            </w:r>
          </w:p>
        </w:tc>
        <w:tc>
          <w:tcPr>
            <w:tcW w:w="3096" w:type="dxa"/>
            <w:shd w:val="clear" w:color="auto" w:fill="F2F2F2" w:themeFill="background1" w:themeFillShade="F2"/>
          </w:tcPr>
          <w:p w14:paraId="65F23E35" w14:textId="77777777" w:rsidR="002E1BC4" w:rsidRPr="008625DC" w:rsidRDefault="002E1BC4" w:rsidP="009571A7">
            <w:pPr>
              <w:pStyle w:val="TableTextLeft"/>
              <w:spacing w:before="20" w:after="60" w:line="240" w:lineRule="auto"/>
              <w:jc w:val="left"/>
            </w:pPr>
            <w:r w:rsidRPr="008625DC">
              <w:t>Nehme, M and Laman, J</w:t>
            </w:r>
          </w:p>
        </w:tc>
      </w:tr>
      <w:tr w:rsidR="002E1BC4" w:rsidRPr="008625DC" w14:paraId="5A23599F" w14:textId="77777777" w:rsidTr="00F536A7">
        <w:tc>
          <w:tcPr>
            <w:tcW w:w="3095" w:type="dxa"/>
            <w:shd w:val="clear" w:color="auto" w:fill="F2F2F2" w:themeFill="background1" w:themeFillShade="F2"/>
          </w:tcPr>
          <w:p w14:paraId="2D1C02F8" w14:textId="77777777" w:rsidR="002E1BC4" w:rsidRPr="008625DC" w:rsidRDefault="002E1BC4" w:rsidP="009571A7">
            <w:pPr>
              <w:pStyle w:val="TableTextLeft"/>
              <w:spacing w:before="20" w:after="60" w:line="240" w:lineRule="auto"/>
              <w:jc w:val="left"/>
            </w:pPr>
            <w:r w:rsidRPr="008625DC">
              <w:t>Nelson, D</w:t>
            </w:r>
          </w:p>
        </w:tc>
        <w:tc>
          <w:tcPr>
            <w:tcW w:w="3095" w:type="dxa"/>
            <w:shd w:val="clear" w:color="auto" w:fill="F2F2F2" w:themeFill="background1" w:themeFillShade="F2"/>
          </w:tcPr>
          <w:p w14:paraId="26AAA5E2" w14:textId="77777777" w:rsidR="002E1BC4" w:rsidRPr="008625DC" w:rsidRDefault="002E1BC4" w:rsidP="009571A7">
            <w:pPr>
              <w:pStyle w:val="TableTextLeft"/>
              <w:spacing w:before="20" w:after="60" w:line="240" w:lineRule="auto"/>
              <w:jc w:val="left"/>
            </w:pPr>
            <w:r w:rsidRPr="008625DC">
              <w:t>News Corp</w:t>
            </w:r>
          </w:p>
        </w:tc>
        <w:tc>
          <w:tcPr>
            <w:tcW w:w="3096" w:type="dxa"/>
            <w:shd w:val="clear" w:color="auto" w:fill="F2F2F2" w:themeFill="background1" w:themeFillShade="F2"/>
          </w:tcPr>
          <w:p w14:paraId="7BAA9502" w14:textId="77777777" w:rsidR="002E1BC4" w:rsidRPr="008625DC" w:rsidRDefault="002E1BC4" w:rsidP="009571A7">
            <w:pPr>
              <w:pStyle w:val="TableTextLeft"/>
              <w:spacing w:before="20" w:after="60" w:line="240" w:lineRule="auto"/>
              <w:jc w:val="left"/>
            </w:pPr>
            <w:r w:rsidRPr="008625DC">
              <w:t>NPS MedicineWise</w:t>
            </w:r>
          </w:p>
        </w:tc>
      </w:tr>
      <w:tr w:rsidR="002E1BC4" w:rsidRPr="008625DC" w14:paraId="78F7D300" w14:textId="77777777" w:rsidTr="00F536A7">
        <w:tc>
          <w:tcPr>
            <w:tcW w:w="3095" w:type="dxa"/>
            <w:shd w:val="clear" w:color="auto" w:fill="F2F2F2" w:themeFill="background1" w:themeFillShade="F2"/>
          </w:tcPr>
          <w:p w14:paraId="1932182F" w14:textId="77777777" w:rsidR="002E1BC4" w:rsidRPr="008625DC" w:rsidRDefault="002E1BC4" w:rsidP="009571A7">
            <w:pPr>
              <w:pStyle w:val="TableTextLeft"/>
              <w:spacing w:before="20" w:after="60" w:line="240" w:lineRule="auto"/>
              <w:jc w:val="left"/>
            </w:pPr>
            <w:r w:rsidRPr="008625DC">
              <w:t>NSW Business Chamber</w:t>
            </w:r>
          </w:p>
        </w:tc>
        <w:tc>
          <w:tcPr>
            <w:tcW w:w="3095" w:type="dxa"/>
            <w:shd w:val="clear" w:color="auto" w:fill="F2F2F2" w:themeFill="background1" w:themeFillShade="F2"/>
          </w:tcPr>
          <w:p w14:paraId="31D67A5F" w14:textId="77777777" w:rsidR="002E1BC4" w:rsidRPr="008625DC" w:rsidRDefault="002E1BC4" w:rsidP="009571A7">
            <w:pPr>
              <w:pStyle w:val="TableTextLeft"/>
              <w:spacing w:before="20" w:after="60" w:line="240" w:lineRule="auto"/>
              <w:jc w:val="left"/>
            </w:pPr>
            <w:r w:rsidRPr="008625DC">
              <w:t>NSW Government</w:t>
            </w:r>
          </w:p>
        </w:tc>
        <w:tc>
          <w:tcPr>
            <w:tcW w:w="3096" w:type="dxa"/>
            <w:shd w:val="clear" w:color="auto" w:fill="F2F2F2" w:themeFill="background1" w:themeFillShade="F2"/>
          </w:tcPr>
          <w:p w14:paraId="0C216A4D" w14:textId="77777777" w:rsidR="002E1BC4" w:rsidRPr="008625DC" w:rsidRDefault="002E1BC4" w:rsidP="009571A7">
            <w:pPr>
              <w:pStyle w:val="TableTextLeft"/>
              <w:spacing w:before="20" w:after="60" w:line="240" w:lineRule="auto"/>
              <w:jc w:val="left"/>
            </w:pPr>
            <w:r w:rsidRPr="008625DC">
              <w:t>NSW Taxi Council</w:t>
            </w:r>
          </w:p>
        </w:tc>
      </w:tr>
      <w:tr w:rsidR="002E1BC4" w:rsidRPr="008625DC" w14:paraId="30C0DDC9" w14:textId="77777777" w:rsidTr="00F536A7">
        <w:tc>
          <w:tcPr>
            <w:tcW w:w="3095" w:type="dxa"/>
            <w:shd w:val="clear" w:color="auto" w:fill="F2F2F2" w:themeFill="background1" w:themeFillShade="F2"/>
          </w:tcPr>
          <w:p w14:paraId="5666AEB2" w14:textId="39E3E608" w:rsidR="002E1BC4" w:rsidRPr="008625DC" w:rsidRDefault="002E1BC4" w:rsidP="009571A7">
            <w:pPr>
              <w:pStyle w:val="TableTextLeft"/>
              <w:spacing w:before="20" w:after="60" w:line="240" w:lineRule="auto"/>
              <w:jc w:val="left"/>
            </w:pPr>
            <w:r w:rsidRPr="008625DC">
              <w:lastRenderedPageBreak/>
              <w:t>O</w:t>
            </w:r>
            <w:r w:rsidR="00C74E19" w:rsidRPr="008625DC">
              <w:t>’</w:t>
            </w:r>
            <w:r w:rsidRPr="008625DC">
              <w:t>Donnell, C</w:t>
            </w:r>
          </w:p>
        </w:tc>
        <w:tc>
          <w:tcPr>
            <w:tcW w:w="3095" w:type="dxa"/>
            <w:shd w:val="clear" w:color="auto" w:fill="F2F2F2" w:themeFill="background1" w:themeFillShade="F2"/>
          </w:tcPr>
          <w:p w14:paraId="3C48BAB5" w14:textId="77777777" w:rsidR="002E1BC4" w:rsidRPr="008625DC" w:rsidRDefault="002E1BC4" w:rsidP="009571A7">
            <w:pPr>
              <w:pStyle w:val="TableTextLeft"/>
              <w:spacing w:before="20" w:after="60" w:line="240" w:lineRule="auto"/>
              <w:jc w:val="left"/>
            </w:pPr>
            <w:r w:rsidRPr="008625DC">
              <w:t>Office of the Small Business Commissioner</w:t>
            </w:r>
          </w:p>
        </w:tc>
        <w:tc>
          <w:tcPr>
            <w:tcW w:w="3096" w:type="dxa"/>
            <w:shd w:val="clear" w:color="auto" w:fill="F2F2F2" w:themeFill="background1" w:themeFillShade="F2"/>
          </w:tcPr>
          <w:p w14:paraId="4D2F75A3" w14:textId="77777777" w:rsidR="002E1BC4" w:rsidRPr="008625DC" w:rsidRDefault="002E1BC4" w:rsidP="009571A7">
            <w:pPr>
              <w:pStyle w:val="TableTextLeft"/>
              <w:spacing w:before="20" w:after="60" w:line="240" w:lineRule="auto"/>
              <w:jc w:val="left"/>
            </w:pPr>
            <w:r w:rsidRPr="008625DC">
              <w:t>Optometry Australia</w:t>
            </w:r>
          </w:p>
        </w:tc>
      </w:tr>
      <w:tr w:rsidR="002E1BC4" w:rsidRPr="008625DC" w14:paraId="592C1D01" w14:textId="77777777" w:rsidTr="00F536A7">
        <w:tc>
          <w:tcPr>
            <w:tcW w:w="3095" w:type="dxa"/>
            <w:shd w:val="clear" w:color="auto" w:fill="F2F2F2" w:themeFill="background1" w:themeFillShade="F2"/>
          </w:tcPr>
          <w:p w14:paraId="72092D40" w14:textId="77777777" w:rsidR="002E1BC4" w:rsidRPr="008625DC" w:rsidRDefault="002E1BC4" w:rsidP="009571A7">
            <w:pPr>
              <w:pStyle w:val="TableTextLeft"/>
              <w:spacing w:before="20" w:after="60" w:line="240" w:lineRule="auto"/>
              <w:jc w:val="left"/>
            </w:pPr>
            <w:r w:rsidRPr="008625DC">
              <w:t>Origin Energy Limited</w:t>
            </w:r>
          </w:p>
        </w:tc>
        <w:tc>
          <w:tcPr>
            <w:tcW w:w="3095" w:type="dxa"/>
            <w:shd w:val="clear" w:color="auto" w:fill="F2F2F2" w:themeFill="background1" w:themeFillShade="F2"/>
          </w:tcPr>
          <w:p w14:paraId="6519EA28" w14:textId="77777777" w:rsidR="002E1BC4" w:rsidRPr="008625DC" w:rsidRDefault="002E1BC4" w:rsidP="009571A7">
            <w:pPr>
              <w:pStyle w:val="TableTextLeft"/>
              <w:spacing w:before="20" w:after="60" w:line="240" w:lineRule="auto"/>
              <w:jc w:val="left"/>
            </w:pPr>
            <w:r w:rsidRPr="008625DC">
              <w:t>Palermo, V A</w:t>
            </w:r>
          </w:p>
        </w:tc>
        <w:tc>
          <w:tcPr>
            <w:tcW w:w="3096" w:type="dxa"/>
            <w:shd w:val="clear" w:color="auto" w:fill="F2F2F2" w:themeFill="background1" w:themeFillShade="F2"/>
          </w:tcPr>
          <w:p w14:paraId="2E38EEC1" w14:textId="77777777" w:rsidR="002E1BC4" w:rsidRPr="008625DC" w:rsidRDefault="002E1BC4" w:rsidP="009571A7">
            <w:pPr>
              <w:pStyle w:val="TableTextLeft"/>
              <w:spacing w:before="20" w:after="60" w:line="240" w:lineRule="auto"/>
              <w:jc w:val="left"/>
            </w:pPr>
            <w:r w:rsidRPr="008625DC">
              <w:t>Papworth, A</w:t>
            </w:r>
          </w:p>
        </w:tc>
      </w:tr>
      <w:tr w:rsidR="002E1BC4" w:rsidRPr="008625DC" w14:paraId="6094F981" w14:textId="77777777" w:rsidTr="00F536A7">
        <w:tc>
          <w:tcPr>
            <w:tcW w:w="3095" w:type="dxa"/>
            <w:shd w:val="clear" w:color="auto" w:fill="F2F2F2" w:themeFill="background1" w:themeFillShade="F2"/>
          </w:tcPr>
          <w:p w14:paraId="0C61A6BA" w14:textId="77777777" w:rsidR="002E1BC4" w:rsidRPr="008625DC" w:rsidRDefault="002E1BC4" w:rsidP="009571A7">
            <w:pPr>
              <w:pStyle w:val="TableTextLeft"/>
              <w:spacing w:before="20" w:after="60" w:line="240" w:lineRule="auto"/>
              <w:jc w:val="left"/>
            </w:pPr>
            <w:r w:rsidRPr="008625DC">
              <w:t>Pharmacy Guild of Australia</w:t>
            </w:r>
          </w:p>
        </w:tc>
        <w:tc>
          <w:tcPr>
            <w:tcW w:w="3095" w:type="dxa"/>
            <w:shd w:val="clear" w:color="auto" w:fill="F2F2F2" w:themeFill="background1" w:themeFillShade="F2"/>
          </w:tcPr>
          <w:p w14:paraId="1945EE9C" w14:textId="77777777" w:rsidR="002E1BC4" w:rsidRPr="008625DC" w:rsidRDefault="002E1BC4" w:rsidP="009571A7">
            <w:pPr>
              <w:pStyle w:val="TableTextLeft"/>
              <w:spacing w:before="20" w:after="60" w:line="240" w:lineRule="auto"/>
              <w:jc w:val="left"/>
            </w:pPr>
            <w:r w:rsidRPr="008625DC">
              <w:t>Paramedical Services Pty Ltd</w:t>
            </w:r>
          </w:p>
        </w:tc>
        <w:tc>
          <w:tcPr>
            <w:tcW w:w="3096" w:type="dxa"/>
            <w:shd w:val="clear" w:color="auto" w:fill="F2F2F2" w:themeFill="background1" w:themeFillShade="F2"/>
          </w:tcPr>
          <w:p w14:paraId="2ADFA3A0" w14:textId="77777777" w:rsidR="002E1BC4" w:rsidRPr="008625DC" w:rsidRDefault="002E1BC4" w:rsidP="009571A7">
            <w:pPr>
              <w:pStyle w:val="TableTextLeft"/>
              <w:spacing w:before="20" w:after="60" w:line="240" w:lineRule="auto"/>
              <w:jc w:val="left"/>
            </w:pPr>
            <w:r w:rsidRPr="008625DC">
              <w:t>Pharmaceutical Society of Australia</w:t>
            </w:r>
          </w:p>
        </w:tc>
      </w:tr>
      <w:tr w:rsidR="002E1BC4" w:rsidRPr="008625DC" w14:paraId="6B679E5F" w14:textId="77777777" w:rsidTr="00F536A7">
        <w:tc>
          <w:tcPr>
            <w:tcW w:w="3095" w:type="dxa"/>
            <w:shd w:val="clear" w:color="auto" w:fill="F2F2F2" w:themeFill="background1" w:themeFillShade="F2"/>
          </w:tcPr>
          <w:p w14:paraId="4E34B589" w14:textId="77777777" w:rsidR="002E1BC4" w:rsidRPr="008625DC" w:rsidRDefault="002E1BC4" w:rsidP="009571A7">
            <w:pPr>
              <w:pStyle w:val="TableTextLeft"/>
              <w:spacing w:before="20" w:after="60" w:line="240" w:lineRule="auto"/>
              <w:jc w:val="left"/>
            </w:pPr>
            <w:r w:rsidRPr="008625DC">
              <w:t>Phonographic Performance Company of Australia</w:t>
            </w:r>
          </w:p>
        </w:tc>
        <w:tc>
          <w:tcPr>
            <w:tcW w:w="3095" w:type="dxa"/>
            <w:shd w:val="clear" w:color="auto" w:fill="F2F2F2" w:themeFill="background1" w:themeFillShade="F2"/>
          </w:tcPr>
          <w:p w14:paraId="57252348" w14:textId="77777777" w:rsidR="002E1BC4" w:rsidRPr="008625DC" w:rsidRDefault="002E1BC4" w:rsidP="009571A7">
            <w:pPr>
              <w:pStyle w:val="TableTextLeft"/>
              <w:spacing w:before="20" w:after="60" w:line="240" w:lineRule="auto"/>
              <w:jc w:val="left"/>
            </w:pPr>
            <w:r w:rsidRPr="008625DC">
              <w:t>Planning Institute of Australia</w:t>
            </w:r>
          </w:p>
        </w:tc>
        <w:tc>
          <w:tcPr>
            <w:tcW w:w="3096" w:type="dxa"/>
            <w:shd w:val="clear" w:color="auto" w:fill="F2F2F2" w:themeFill="background1" w:themeFillShade="F2"/>
          </w:tcPr>
          <w:p w14:paraId="46C76B2E" w14:textId="77777777" w:rsidR="002E1BC4" w:rsidRPr="008625DC" w:rsidRDefault="002E1BC4" w:rsidP="009571A7">
            <w:pPr>
              <w:pStyle w:val="TableTextLeft"/>
              <w:spacing w:before="20" w:after="60" w:line="240" w:lineRule="auto"/>
              <w:jc w:val="left"/>
            </w:pPr>
            <w:r w:rsidRPr="008625DC">
              <w:t>Plastics and Chemicals Industries Association</w:t>
            </w:r>
          </w:p>
        </w:tc>
      </w:tr>
      <w:tr w:rsidR="002E1BC4" w:rsidRPr="008625DC" w14:paraId="679F6043" w14:textId="77777777" w:rsidTr="00F536A7">
        <w:tc>
          <w:tcPr>
            <w:tcW w:w="3095" w:type="dxa"/>
            <w:shd w:val="clear" w:color="auto" w:fill="F2F2F2" w:themeFill="background1" w:themeFillShade="F2"/>
          </w:tcPr>
          <w:p w14:paraId="01339A7A" w14:textId="77777777" w:rsidR="002E1BC4" w:rsidRPr="008625DC" w:rsidRDefault="002E1BC4" w:rsidP="009571A7">
            <w:pPr>
              <w:pStyle w:val="TableTextLeft"/>
              <w:spacing w:before="20" w:after="60" w:line="240" w:lineRule="auto"/>
              <w:jc w:val="left"/>
            </w:pPr>
            <w:r w:rsidRPr="008625DC">
              <w:t>Priestley, C</w:t>
            </w:r>
          </w:p>
        </w:tc>
        <w:tc>
          <w:tcPr>
            <w:tcW w:w="3095" w:type="dxa"/>
            <w:shd w:val="clear" w:color="auto" w:fill="F2F2F2" w:themeFill="background1" w:themeFillShade="F2"/>
          </w:tcPr>
          <w:p w14:paraId="33B9E674" w14:textId="77777777" w:rsidR="002E1BC4" w:rsidRPr="008625DC" w:rsidRDefault="002E1BC4" w:rsidP="009571A7">
            <w:pPr>
              <w:pStyle w:val="TableTextLeft"/>
              <w:spacing w:before="20" w:after="60" w:line="240" w:lineRule="auto"/>
              <w:jc w:val="left"/>
            </w:pPr>
            <w:r w:rsidRPr="008625DC">
              <w:t>Priestley, C (submission 2)</w:t>
            </w:r>
          </w:p>
        </w:tc>
        <w:tc>
          <w:tcPr>
            <w:tcW w:w="3096" w:type="dxa"/>
            <w:shd w:val="clear" w:color="auto" w:fill="F2F2F2" w:themeFill="background1" w:themeFillShade="F2"/>
          </w:tcPr>
          <w:p w14:paraId="7DCAC974" w14:textId="77777777" w:rsidR="002E1BC4" w:rsidRPr="008625DC" w:rsidRDefault="002E1BC4" w:rsidP="009571A7">
            <w:pPr>
              <w:pStyle w:val="TableTextLeft"/>
              <w:spacing w:before="20" w:after="60" w:line="240" w:lineRule="auto"/>
              <w:jc w:val="left"/>
            </w:pPr>
            <w:r w:rsidRPr="008625DC">
              <w:t>Printing Industries Association of Australia</w:t>
            </w:r>
          </w:p>
        </w:tc>
      </w:tr>
      <w:tr w:rsidR="002E1BC4" w:rsidRPr="008625DC" w14:paraId="7F066D24" w14:textId="77777777" w:rsidTr="00F536A7">
        <w:tc>
          <w:tcPr>
            <w:tcW w:w="3095" w:type="dxa"/>
            <w:shd w:val="clear" w:color="auto" w:fill="F2F2F2" w:themeFill="background1" w:themeFillShade="F2"/>
          </w:tcPr>
          <w:p w14:paraId="683CC8D3" w14:textId="77777777" w:rsidR="002E1BC4" w:rsidRPr="008625DC" w:rsidRDefault="002E1BC4" w:rsidP="009571A7">
            <w:pPr>
              <w:pStyle w:val="TableTextLeft"/>
              <w:spacing w:before="20" w:after="60" w:line="240" w:lineRule="auto"/>
              <w:jc w:val="left"/>
            </w:pPr>
            <w:r w:rsidRPr="008625DC">
              <w:t>Productivity Commission</w:t>
            </w:r>
          </w:p>
        </w:tc>
        <w:tc>
          <w:tcPr>
            <w:tcW w:w="3095" w:type="dxa"/>
            <w:shd w:val="clear" w:color="auto" w:fill="F2F2F2" w:themeFill="background1" w:themeFillShade="F2"/>
          </w:tcPr>
          <w:p w14:paraId="7EF1225C" w14:textId="77777777" w:rsidR="002E1BC4" w:rsidRPr="008625DC" w:rsidRDefault="002E1BC4" w:rsidP="009571A7">
            <w:pPr>
              <w:pStyle w:val="TableTextLeft"/>
              <w:spacing w:before="20" w:after="60" w:line="240" w:lineRule="auto"/>
              <w:jc w:val="left"/>
            </w:pPr>
            <w:r w:rsidRPr="008625DC">
              <w:t>Proud, K</w:t>
            </w:r>
          </w:p>
        </w:tc>
        <w:tc>
          <w:tcPr>
            <w:tcW w:w="3096" w:type="dxa"/>
            <w:shd w:val="clear" w:color="auto" w:fill="F2F2F2" w:themeFill="background1" w:themeFillShade="F2"/>
          </w:tcPr>
          <w:p w14:paraId="03C03037" w14:textId="77777777" w:rsidR="002E1BC4" w:rsidRPr="008625DC" w:rsidRDefault="002E1BC4" w:rsidP="009571A7">
            <w:pPr>
              <w:pStyle w:val="TableTextLeft"/>
              <w:spacing w:before="20" w:after="60" w:line="240" w:lineRule="auto"/>
              <w:jc w:val="left"/>
            </w:pPr>
            <w:r w:rsidRPr="008625DC">
              <w:t>QBE</w:t>
            </w:r>
          </w:p>
        </w:tc>
      </w:tr>
      <w:tr w:rsidR="002E1BC4" w:rsidRPr="008625DC" w14:paraId="50E32FC8" w14:textId="77777777" w:rsidTr="00F536A7">
        <w:tc>
          <w:tcPr>
            <w:tcW w:w="3095" w:type="dxa"/>
            <w:shd w:val="clear" w:color="auto" w:fill="F2F2F2" w:themeFill="background1" w:themeFillShade="F2"/>
          </w:tcPr>
          <w:p w14:paraId="34960300" w14:textId="77777777" w:rsidR="002E1BC4" w:rsidRPr="008625DC" w:rsidRDefault="002E1BC4" w:rsidP="009571A7">
            <w:pPr>
              <w:pStyle w:val="TableTextLeft"/>
              <w:spacing w:before="20" w:after="60" w:line="240" w:lineRule="auto"/>
              <w:jc w:val="left"/>
            </w:pPr>
            <w:r w:rsidRPr="008625DC">
              <w:t>Queensland Competition Authority</w:t>
            </w:r>
          </w:p>
        </w:tc>
        <w:tc>
          <w:tcPr>
            <w:tcW w:w="3095" w:type="dxa"/>
            <w:shd w:val="clear" w:color="auto" w:fill="F2F2F2" w:themeFill="background1" w:themeFillShade="F2"/>
          </w:tcPr>
          <w:p w14:paraId="79FDF9AD" w14:textId="77777777" w:rsidR="002E1BC4" w:rsidRPr="008625DC" w:rsidRDefault="002E1BC4" w:rsidP="009571A7">
            <w:pPr>
              <w:pStyle w:val="TableTextLeft"/>
              <w:spacing w:before="20" w:after="60" w:line="240" w:lineRule="auto"/>
              <w:jc w:val="left"/>
            </w:pPr>
            <w:r w:rsidRPr="008625DC">
              <w:t>Queensland Dairyfarmers Organisation</w:t>
            </w:r>
          </w:p>
        </w:tc>
        <w:tc>
          <w:tcPr>
            <w:tcW w:w="3096" w:type="dxa"/>
            <w:shd w:val="clear" w:color="auto" w:fill="F2F2F2" w:themeFill="background1" w:themeFillShade="F2"/>
          </w:tcPr>
          <w:p w14:paraId="1F606A85" w14:textId="516ADE58" w:rsidR="002E1BC4" w:rsidRPr="008625DC" w:rsidRDefault="002E1BC4" w:rsidP="009571A7">
            <w:pPr>
              <w:pStyle w:val="TableTextLeft"/>
              <w:spacing w:before="20" w:after="60" w:line="240" w:lineRule="auto"/>
              <w:jc w:val="left"/>
            </w:pPr>
            <w:r w:rsidRPr="008625DC">
              <w:t>Queensland Farmers</w:t>
            </w:r>
            <w:r w:rsidR="00C74E19" w:rsidRPr="008625DC">
              <w:t>’</w:t>
            </w:r>
            <w:r w:rsidRPr="008625DC">
              <w:t xml:space="preserve"> Federation</w:t>
            </w:r>
          </w:p>
        </w:tc>
      </w:tr>
      <w:tr w:rsidR="002E1BC4" w:rsidRPr="008625DC" w14:paraId="1891CF78" w14:textId="77777777" w:rsidTr="00F536A7">
        <w:tc>
          <w:tcPr>
            <w:tcW w:w="3095" w:type="dxa"/>
            <w:shd w:val="clear" w:color="auto" w:fill="F2F2F2" w:themeFill="background1" w:themeFillShade="F2"/>
          </w:tcPr>
          <w:p w14:paraId="36ACDFBA" w14:textId="77777777" w:rsidR="002E1BC4" w:rsidRPr="008625DC" w:rsidRDefault="002E1BC4" w:rsidP="009571A7">
            <w:pPr>
              <w:pStyle w:val="TableTextLeft"/>
              <w:spacing w:before="20" w:after="60" w:line="240" w:lineRule="auto"/>
              <w:jc w:val="left"/>
            </w:pPr>
            <w:r w:rsidRPr="008625DC">
              <w:t>Queensland Law Society</w:t>
            </w:r>
          </w:p>
        </w:tc>
        <w:tc>
          <w:tcPr>
            <w:tcW w:w="3095" w:type="dxa"/>
            <w:shd w:val="clear" w:color="auto" w:fill="F2F2F2" w:themeFill="background1" w:themeFillShade="F2"/>
          </w:tcPr>
          <w:p w14:paraId="210FB4C5" w14:textId="77777777" w:rsidR="002E1BC4" w:rsidRPr="008625DC" w:rsidRDefault="002E1BC4" w:rsidP="009571A7">
            <w:pPr>
              <w:pStyle w:val="TableTextLeft"/>
              <w:spacing w:before="20" w:after="60" w:line="240" w:lineRule="auto"/>
              <w:jc w:val="left"/>
            </w:pPr>
            <w:r w:rsidRPr="008625DC">
              <w:t>Raitt, G</w:t>
            </w:r>
          </w:p>
        </w:tc>
        <w:tc>
          <w:tcPr>
            <w:tcW w:w="3096" w:type="dxa"/>
            <w:shd w:val="clear" w:color="auto" w:fill="F2F2F2" w:themeFill="background1" w:themeFillShade="F2"/>
          </w:tcPr>
          <w:p w14:paraId="7296A701" w14:textId="77777777" w:rsidR="002E1BC4" w:rsidRPr="008625DC" w:rsidRDefault="002E1BC4" w:rsidP="009571A7">
            <w:pPr>
              <w:pStyle w:val="TableTextLeft"/>
              <w:spacing w:before="20" w:after="60" w:line="240" w:lineRule="auto"/>
              <w:jc w:val="left"/>
            </w:pPr>
            <w:r w:rsidRPr="008625DC">
              <w:t>RBB Economics</w:t>
            </w:r>
          </w:p>
        </w:tc>
      </w:tr>
      <w:tr w:rsidR="002E1BC4" w:rsidRPr="008625DC" w14:paraId="37067EF3" w14:textId="77777777" w:rsidTr="00F536A7">
        <w:tc>
          <w:tcPr>
            <w:tcW w:w="3095" w:type="dxa"/>
            <w:shd w:val="clear" w:color="auto" w:fill="F2F2F2" w:themeFill="background1" w:themeFillShade="F2"/>
          </w:tcPr>
          <w:p w14:paraId="2CD0FD0C" w14:textId="77777777" w:rsidR="002E1BC4" w:rsidRPr="008625DC" w:rsidRDefault="002E1BC4" w:rsidP="009571A7">
            <w:pPr>
              <w:pStyle w:val="TableTextLeft"/>
              <w:spacing w:before="20" w:after="60" w:line="240" w:lineRule="auto"/>
              <w:jc w:val="left"/>
            </w:pPr>
            <w:r w:rsidRPr="008625DC">
              <w:t>Recruitment and Consulting Services Association</w:t>
            </w:r>
          </w:p>
        </w:tc>
        <w:tc>
          <w:tcPr>
            <w:tcW w:w="3095" w:type="dxa"/>
            <w:shd w:val="clear" w:color="auto" w:fill="F2F2F2" w:themeFill="background1" w:themeFillShade="F2"/>
          </w:tcPr>
          <w:p w14:paraId="68886FA7" w14:textId="77777777" w:rsidR="002E1BC4" w:rsidRPr="008625DC" w:rsidRDefault="002E1BC4" w:rsidP="009571A7">
            <w:pPr>
              <w:pStyle w:val="TableTextLeft"/>
              <w:spacing w:before="20" w:after="60" w:line="240" w:lineRule="auto"/>
              <w:jc w:val="left"/>
            </w:pPr>
            <w:r w:rsidRPr="008625DC">
              <w:t>Restaurant &amp; Catering Australia</w:t>
            </w:r>
          </w:p>
        </w:tc>
        <w:tc>
          <w:tcPr>
            <w:tcW w:w="3096" w:type="dxa"/>
            <w:shd w:val="clear" w:color="auto" w:fill="F2F2F2" w:themeFill="background1" w:themeFillShade="F2"/>
          </w:tcPr>
          <w:p w14:paraId="55303FA5" w14:textId="77777777" w:rsidR="002E1BC4" w:rsidRPr="008625DC" w:rsidRDefault="002E1BC4" w:rsidP="009571A7">
            <w:pPr>
              <w:pStyle w:val="TableTextLeft"/>
              <w:spacing w:before="20" w:after="60" w:line="240" w:lineRule="auto"/>
              <w:jc w:val="left"/>
            </w:pPr>
            <w:r w:rsidRPr="008625DC">
              <w:t>Retail Guild of Australia</w:t>
            </w:r>
          </w:p>
        </w:tc>
      </w:tr>
      <w:tr w:rsidR="002E1BC4" w:rsidRPr="008625DC" w14:paraId="75E17332" w14:textId="77777777" w:rsidTr="00F536A7">
        <w:tc>
          <w:tcPr>
            <w:tcW w:w="3095" w:type="dxa"/>
            <w:shd w:val="clear" w:color="auto" w:fill="F2F2F2" w:themeFill="background1" w:themeFillShade="F2"/>
          </w:tcPr>
          <w:p w14:paraId="0F40FA3C" w14:textId="77777777" w:rsidR="002E1BC4" w:rsidRPr="008625DC" w:rsidRDefault="002E1BC4" w:rsidP="009571A7">
            <w:pPr>
              <w:pStyle w:val="TableTextLeft"/>
              <w:spacing w:before="20" w:after="60" w:line="240" w:lineRule="auto"/>
              <w:jc w:val="left"/>
            </w:pPr>
            <w:r w:rsidRPr="008625DC">
              <w:t>Rhydderch, A</w:t>
            </w:r>
          </w:p>
        </w:tc>
        <w:tc>
          <w:tcPr>
            <w:tcW w:w="3095" w:type="dxa"/>
            <w:shd w:val="clear" w:color="auto" w:fill="F2F2F2" w:themeFill="background1" w:themeFillShade="F2"/>
          </w:tcPr>
          <w:p w14:paraId="4ACC8DFD" w14:textId="77777777" w:rsidR="002E1BC4" w:rsidRPr="008625DC" w:rsidRDefault="002E1BC4" w:rsidP="009571A7">
            <w:pPr>
              <w:pStyle w:val="TableTextLeft"/>
              <w:spacing w:before="20" w:after="60" w:line="240" w:lineRule="auto"/>
              <w:jc w:val="left"/>
            </w:pPr>
            <w:r w:rsidRPr="008625DC">
              <w:t>Rio Tinto</w:t>
            </w:r>
          </w:p>
        </w:tc>
        <w:tc>
          <w:tcPr>
            <w:tcW w:w="3096" w:type="dxa"/>
            <w:shd w:val="clear" w:color="auto" w:fill="F2F2F2" w:themeFill="background1" w:themeFillShade="F2"/>
          </w:tcPr>
          <w:p w14:paraId="246FF39C" w14:textId="77777777" w:rsidR="002E1BC4" w:rsidRPr="008625DC" w:rsidRDefault="002E1BC4" w:rsidP="009571A7">
            <w:pPr>
              <w:pStyle w:val="TableTextLeft"/>
              <w:spacing w:before="20" w:after="60" w:line="240" w:lineRule="auto"/>
              <w:jc w:val="left"/>
            </w:pPr>
            <w:r w:rsidRPr="008625DC">
              <w:t>Ron Finemore Transport</w:t>
            </w:r>
          </w:p>
        </w:tc>
      </w:tr>
      <w:tr w:rsidR="002E1BC4" w:rsidRPr="008625DC" w14:paraId="4EB07A0F" w14:textId="77777777" w:rsidTr="00F536A7">
        <w:tc>
          <w:tcPr>
            <w:tcW w:w="3095" w:type="dxa"/>
            <w:shd w:val="clear" w:color="auto" w:fill="F2F2F2" w:themeFill="background1" w:themeFillShade="F2"/>
          </w:tcPr>
          <w:p w14:paraId="650D48F6" w14:textId="77777777" w:rsidR="002E1BC4" w:rsidRPr="008625DC" w:rsidRDefault="002E1BC4" w:rsidP="009571A7">
            <w:pPr>
              <w:pStyle w:val="TableTextLeft"/>
              <w:spacing w:before="20" w:after="60" w:line="240" w:lineRule="auto"/>
              <w:jc w:val="left"/>
            </w:pPr>
            <w:r w:rsidRPr="008625DC">
              <w:t>Rosenwald, A</w:t>
            </w:r>
          </w:p>
        </w:tc>
        <w:tc>
          <w:tcPr>
            <w:tcW w:w="3095" w:type="dxa"/>
            <w:shd w:val="clear" w:color="auto" w:fill="F2F2F2" w:themeFill="background1" w:themeFillShade="F2"/>
          </w:tcPr>
          <w:p w14:paraId="49B4F2B0" w14:textId="77777777" w:rsidR="002E1BC4" w:rsidRPr="008625DC" w:rsidRDefault="002E1BC4" w:rsidP="009571A7">
            <w:pPr>
              <w:pStyle w:val="TableTextLeft"/>
              <w:spacing w:before="20" w:after="60" w:line="240" w:lineRule="auto"/>
              <w:jc w:val="left"/>
            </w:pPr>
            <w:r w:rsidRPr="008625DC">
              <w:t>Routledge, J</w:t>
            </w:r>
          </w:p>
        </w:tc>
        <w:tc>
          <w:tcPr>
            <w:tcW w:w="3096" w:type="dxa"/>
            <w:shd w:val="clear" w:color="auto" w:fill="F2F2F2" w:themeFill="background1" w:themeFillShade="F2"/>
          </w:tcPr>
          <w:p w14:paraId="3DCF244D" w14:textId="77777777" w:rsidR="002E1BC4" w:rsidRPr="008625DC" w:rsidRDefault="002E1BC4" w:rsidP="009571A7">
            <w:pPr>
              <w:pStyle w:val="TableTextLeft"/>
              <w:spacing w:before="20" w:after="60" w:line="240" w:lineRule="auto"/>
              <w:jc w:val="left"/>
            </w:pPr>
            <w:r w:rsidRPr="008625DC">
              <w:t>RSPCA Australia</w:t>
            </w:r>
          </w:p>
        </w:tc>
      </w:tr>
      <w:tr w:rsidR="002E1BC4" w:rsidRPr="008625DC" w14:paraId="07740C95" w14:textId="77777777" w:rsidTr="00F536A7">
        <w:tc>
          <w:tcPr>
            <w:tcW w:w="3095" w:type="dxa"/>
            <w:shd w:val="clear" w:color="auto" w:fill="F2F2F2" w:themeFill="background1" w:themeFillShade="F2"/>
          </w:tcPr>
          <w:p w14:paraId="6347745A" w14:textId="77777777" w:rsidR="002E1BC4" w:rsidRPr="008625DC" w:rsidRDefault="002E1BC4" w:rsidP="009571A7">
            <w:pPr>
              <w:pStyle w:val="TableTextLeft"/>
              <w:spacing w:before="20" w:after="60" w:line="240" w:lineRule="auto"/>
              <w:jc w:val="left"/>
            </w:pPr>
            <w:r w:rsidRPr="008625DC">
              <w:t>Runacres, S</w:t>
            </w:r>
          </w:p>
        </w:tc>
        <w:tc>
          <w:tcPr>
            <w:tcW w:w="3095" w:type="dxa"/>
            <w:shd w:val="clear" w:color="auto" w:fill="F2F2F2" w:themeFill="background1" w:themeFillShade="F2"/>
          </w:tcPr>
          <w:p w14:paraId="474797E8" w14:textId="77777777" w:rsidR="002E1BC4" w:rsidRPr="008625DC" w:rsidRDefault="002E1BC4" w:rsidP="009571A7">
            <w:pPr>
              <w:pStyle w:val="TableTextLeft"/>
              <w:spacing w:before="20" w:after="60" w:line="240" w:lineRule="auto"/>
              <w:jc w:val="left"/>
            </w:pPr>
            <w:r w:rsidRPr="008625DC">
              <w:t>Seddon, N</w:t>
            </w:r>
          </w:p>
        </w:tc>
        <w:tc>
          <w:tcPr>
            <w:tcW w:w="3096" w:type="dxa"/>
            <w:shd w:val="clear" w:color="auto" w:fill="F2F2F2" w:themeFill="background1" w:themeFillShade="F2"/>
          </w:tcPr>
          <w:p w14:paraId="209B78BF" w14:textId="77777777" w:rsidR="002E1BC4" w:rsidRPr="008625DC" w:rsidRDefault="002E1BC4" w:rsidP="009571A7">
            <w:pPr>
              <w:pStyle w:val="TableTextLeft"/>
              <w:spacing w:before="20" w:after="60" w:line="240" w:lineRule="auto"/>
              <w:jc w:val="left"/>
            </w:pPr>
            <w:r w:rsidRPr="008625DC">
              <w:t>Shipping Australia Ltd</w:t>
            </w:r>
          </w:p>
        </w:tc>
      </w:tr>
      <w:tr w:rsidR="002E1BC4" w:rsidRPr="008625DC" w14:paraId="02508C2D" w14:textId="77777777" w:rsidTr="00F536A7">
        <w:tc>
          <w:tcPr>
            <w:tcW w:w="3095" w:type="dxa"/>
            <w:shd w:val="clear" w:color="auto" w:fill="F2F2F2" w:themeFill="background1" w:themeFillShade="F2"/>
          </w:tcPr>
          <w:p w14:paraId="0A1377C4" w14:textId="77777777" w:rsidR="002E1BC4" w:rsidRPr="008625DC" w:rsidRDefault="002E1BC4" w:rsidP="009571A7">
            <w:pPr>
              <w:pStyle w:val="TableTextLeft"/>
              <w:spacing w:before="20" w:after="60" w:line="240" w:lineRule="auto"/>
              <w:jc w:val="left"/>
            </w:pPr>
            <w:r w:rsidRPr="008625DC">
              <w:t>Shop Distributive and Allied Employees Association</w:t>
            </w:r>
          </w:p>
        </w:tc>
        <w:tc>
          <w:tcPr>
            <w:tcW w:w="3095" w:type="dxa"/>
            <w:shd w:val="clear" w:color="auto" w:fill="F2F2F2" w:themeFill="background1" w:themeFillShade="F2"/>
          </w:tcPr>
          <w:p w14:paraId="27E64032" w14:textId="77777777" w:rsidR="002E1BC4" w:rsidRPr="008625DC" w:rsidRDefault="002E1BC4" w:rsidP="009571A7">
            <w:pPr>
              <w:pStyle w:val="TableTextLeft"/>
              <w:spacing w:before="20" w:after="60" w:line="240" w:lineRule="auto"/>
              <w:jc w:val="left"/>
            </w:pPr>
            <w:r w:rsidRPr="008625DC">
              <w:t>Shopping Centre Council of Australia</w:t>
            </w:r>
          </w:p>
        </w:tc>
        <w:tc>
          <w:tcPr>
            <w:tcW w:w="3096" w:type="dxa"/>
            <w:shd w:val="clear" w:color="auto" w:fill="F2F2F2" w:themeFill="background1" w:themeFillShade="F2"/>
          </w:tcPr>
          <w:p w14:paraId="47397529" w14:textId="77777777" w:rsidR="002E1BC4" w:rsidRPr="008625DC" w:rsidRDefault="002E1BC4" w:rsidP="009571A7">
            <w:pPr>
              <w:pStyle w:val="TableTextLeft"/>
              <w:spacing w:before="20" w:after="60" w:line="240" w:lineRule="auto"/>
              <w:jc w:val="left"/>
            </w:pPr>
            <w:r w:rsidRPr="008625DC">
              <w:t>Sigma Pharmaceuticals Limited</w:t>
            </w:r>
          </w:p>
        </w:tc>
      </w:tr>
      <w:tr w:rsidR="002E1BC4" w:rsidRPr="008625DC" w14:paraId="2CAF5ABC" w14:textId="77777777" w:rsidTr="00F536A7">
        <w:tc>
          <w:tcPr>
            <w:tcW w:w="3095" w:type="dxa"/>
            <w:shd w:val="clear" w:color="auto" w:fill="F2F2F2" w:themeFill="background1" w:themeFillShade="F2"/>
          </w:tcPr>
          <w:p w14:paraId="671E4B80" w14:textId="77777777" w:rsidR="002E1BC4" w:rsidRPr="008625DC" w:rsidRDefault="002E1BC4" w:rsidP="009571A7">
            <w:pPr>
              <w:pStyle w:val="TableTextLeft"/>
              <w:spacing w:before="20" w:after="60" w:line="240" w:lineRule="auto"/>
              <w:jc w:val="left"/>
            </w:pPr>
            <w:r w:rsidRPr="008625DC">
              <w:t>SingTel Optus Pty Ltd</w:t>
            </w:r>
          </w:p>
        </w:tc>
        <w:tc>
          <w:tcPr>
            <w:tcW w:w="3095" w:type="dxa"/>
            <w:shd w:val="clear" w:color="auto" w:fill="F2F2F2" w:themeFill="background1" w:themeFillShade="F2"/>
          </w:tcPr>
          <w:p w14:paraId="10434D57" w14:textId="77777777" w:rsidR="002E1BC4" w:rsidRPr="008625DC" w:rsidRDefault="002E1BC4" w:rsidP="009571A7">
            <w:pPr>
              <w:pStyle w:val="TableTextLeft"/>
              <w:spacing w:before="20" w:after="60" w:line="240" w:lineRule="auto"/>
              <w:jc w:val="left"/>
            </w:pPr>
            <w:r w:rsidRPr="008625DC">
              <w:t>Slavery Links Australia</w:t>
            </w:r>
          </w:p>
        </w:tc>
        <w:tc>
          <w:tcPr>
            <w:tcW w:w="3096" w:type="dxa"/>
            <w:shd w:val="clear" w:color="auto" w:fill="F2F2F2" w:themeFill="background1" w:themeFillShade="F2"/>
          </w:tcPr>
          <w:p w14:paraId="00FAB2F0" w14:textId="77777777" w:rsidR="002E1BC4" w:rsidRPr="008625DC" w:rsidRDefault="002E1BC4" w:rsidP="009571A7">
            <w:pPr>
              <w:pStyle w:val="TableTextLeft"/>
              <w:spacing w:before="20" w:after="60" w:line="240" w:lineRule="auto"/>
              <w:jc w:val="left"/>
            </w:pPr>
            <w:r w:rsidRPr="008625DC">
              <w:t>Small Business Development Corporation, WA</w:t>
            </w:r>
          </w:p>
        </w:tc>
      </w:tr>
      <w:tr w:rsidR="002E1BC4" w:rsidRPr="008625DC" w14:paraId="38E6E687" w14:textId="77777777" w:rsidTr="00F536A7">
        <w:tc>
          <w:tcPr>
            <w:tcW w:w="3095" w:type="dxa"/>
            <w:shd w:val="clear" w:color="auto" w:fill="F2F2F2" w:themeFill="background1" w:themeFillShade="F2"/>
          </w:tcPr>
          <w:p w14:paraId="5E38A4F4" w14:textId="77777777" w:rsidR="002E1BC4" w:rsidRPr="008625DC" w:rsidRDefault="002E1BC4" w:rsidP="009571A7">
            <w:pPr>
              <w:pStyle w:val="TableTextLeft"/>
              <w:spacing w:before="20" w:after="60" w:line="240" w:lineRule="auto"/>
              <w:jc w:val="left"/>
            </w:pPr>
            <w:r w:rsidRPr="008625DC">
              <w:t>SP AusNet</w:t>
            </w:r>
          </w:p>
        </w:tc>
        <w:tc>
          <w:tcPr>
            <w:tcW w:w="3095" w:type="dxa"/>
            <w:shd w:val="clear" w:color="auto" w:fill="F2F2F2" w:themeFill="background1" w:themeFillShade="F2"/>
          </w:tcPr>
          <w:p w14:paraId="3E1D14FF" w14:textId="3C4FB606" w:rsidR="002E1BC4" w:rsidRPr="008625DC" w:rsidRDefault="002E1BC4" w:rsidP="009571A7">
            <w:pPr>
              <w:pStyle w:val="TableTextLeft"/>
              <w:spacing w:before="20" w:after="60" w:line="240" w:lineRule="auto"/>
              <w:jc w:val="left"/>
            </w:pPr>
            <w:r w:rsidRPr="008625DC">
              <w:t>Sp</w:t>
            </w:r>
            <w:r w:rsidR="0015308D" w:rsidRPr="008625DC">
              <w:t>aldi</w:t>
            </w:r>
            <w:r w:rsidRPr="008625DC">
              <w:t>ng, N</w:t>
            </w:r>
          </w:p>
        </w:tc>
        <w:tc>
          <w:tcPr>
            <w:tcW w:w="3096" w:type="dxa"/>
            <w:shd w:val="clear" w:color="auto" w:fill="F2F2F2" w:themeFill="background1" w:themeFillShade="F2"/>
          </w:tcPr>
          <w:p w14:paraId="7CBB4F87" w14:textId="77777777" w:rsidR="002E1BC4" w:rsidRPr="008625DC" w:rsidRDefault="002E1BC4" w:rsidP="009571A7">
            <w:pPr>
              <w:pStyle w:val="TableTextLeft"/>
              <w:spacing w:before="20" w:after="60" w:line="240" w:lineRule="auto"/>
              <w:jc w:val="left"/>
            </w:pPr>
            <w:r w:rsidRPr="008625DC">
              <w:t>SPAR Australia Limited</w:t>
            </w:r>
          </w:p>
        </w:tc>
      </w:tr>
      <w:tr w:rsidR="002E1BC4" w:rsidRPr="008625DC" w14:paraId="23618220" w14:textId="77777777" w:rsidTr="00F536A7">
        <w:tc>
          <w:tcPr>
            <w:tcW w:w="3095" w:type="dxa"/>
            <w:shd w:val="clear" w:color="auto" w:fill="F2F2F2" w:themeFill="background1" w:themeFillShade="F2"/>
          </w:tcPr>
          <w:p w14:paraId="0D26A5E2" w14:textId="77777777" w:rsidR="002E1BC4" w:rsidRPr="008625DC" w:rsidRDefault="002E1BC4" w:rsidP="009571A7">
            <w:pPr>
              <w:pStyle w:val="TableTextLeft"/>
              <w:spacing w:before="20" w:after="60" w:line="240" w:lineRule="auto"/>
              <w:jc w:val="left"/>
            </w:pPr>
            <w:r w:rsidRPr="008625DC">
              <w:t>Spier Consulting</w:t>
            </w:r>
          </w:p>
        </w:tc>
        <w:tc>
          <w:tcPr>
            <w:tcW w:w="3095" w:type="dxa"/>
            <w:shd w:val="clear" w:color="auto" w:fill="F2F2F2" w:themeFill="background1" w:themeFillShade="F2"/>
          </w:tcPr>
          <w:p w14:paraId="1EB6849A" w14:textId="77777777" w:rsidR="002E1BC4" w:rsidRPr="008625DC" w:rsidRDefault="002E1BC4" w:rsidP="009571A7">
            <w:pPr>
              <w:pStyle w:val="TableTextLeft"/>
              <w:spacing w:before="20" w:after="60" w:line="240" w:lineRule="auto"/>
              <w:jc w:val="left"/>
            </w:pPr>
            <w:r w:rsidRPr="008625DC">
              <w:t>Spier Consulting (second submission)</w:t>
            </w:r>
          </w:p>
        </w:tc>
        <w:tc>
          <w:tcPr>
            <w:tcW w:w="3096" w:type="dxa"/>
            <w:shd w:val="clear" w:color="auto" w:fill="F2F2F2" w:themeFill="background1" w:themeFillShade="F2"/>
          </w:tcPr>
          <w:p w14:paraId="5B09D5F2" w14:textId="77777777" w:rsidR="002E1BC4" w:rsidRPr="008625DC" w:rsidRDefault="002E1BC4" w:rsidP="009571A7">
            <w:pPr>
              <w:pStyle w:val="TableTextLeft"/>
              <w:spacing w:before="20" w:after="60" w:line="240" w:lineRule="auto"/>
              <w:jc w:val="left"/>
            </w:pPr>
            <w:r w:rsidRPr="008625DC">
              <w:t>Standards Australia</w:t>
            </w:r>
          </w:p>
        </w:tc>
      </w:tr>
      <w:tr w:rsidR="002E1BC4" w:rsidRPr="008625DC" w14:paraId="37D24CDF" w14:textId="77777777" w:rsidTr="00F536A7">
        <w:tc>
          <w:tcPr>
            <w:tcW w:w="3095" w:type="dxa"/>
            <w:shd w:val="clear" w:color="auto" w:fill="F2F2F2" w:themeFill="background1" w:themeFillShade="F2"/>
          </w:tcPr>
          <w:p w14:paraId="6EC9DDF7" w14:textId="77777777" w:rsidR="002E1BC4" w:rsidRPr="008625DC" w:rsidRDefault="002E1BC4" w:rsidP="009571A7">
            <w:pPr>
              <w:pStyle w:val="TableTextLeft"/>
              <w:spacing w:before="20" w:after="60" w:line="240" w:lineRule="auto"/>
              <w:jc w:val="left"/>
            </w:pPr>
            <w:r w:rsidRPr="008625DC">
              <w:t>Stanley, M B</w:t>
            </w:r>
          </w:p>
        </w:tc>
        <w:tc>
          <w:tcPr>
            <w:tcW w:w="3095" w:type="dxa"/>
            <w:shd w:val="clear" w:color="auto" w:fill="F2F2F2" w:themeFill="background1" w:themeFillShade="F2"/>
          </w:tcPr>
          <w:p w14:paraId="51552C7D" w14:textId="77777777" w:rsidR="002E1BC4" w:rsidRPr="008625DC" w:rsidRDefault="002E1BC4" w:rsidP="009571A7">
            <w:pPr>
              <w:pStyle w:val="TableTextLeft"/>
              <w:spacing w:before="20" w:after="60" w:line="240" w:lineRule="auto"/>
              <w:jc w:val="left"/>
            </w:pPr>
            <w:r w:rsidRPr="008625DC">
              <w:t>Stern, S</w:t>
            </w:r>
          </w:p>
        </w:tc>
        <w:tc>
          <w:tcPr>
            <w:tcW w:w="3096" w:type="dxa"/>
            <w:shd w:val="clear" w:color="auto" w:fill="F2F2F2" w:themeFill="background1" w:themeFillShade="F2"/>
          </w:tcPr>
          <w:p w14:paraId="4B98967E" w14:textId="77777777" w:rsidR="002E1BC4" w:rsidRPr="008625DC" w:rsidRDefault="002E1BC4" w:rsidP="009571A7">
            <w:pPr>
              <w:pStyle w:val="TableTextLeft"/>
              <w:spacing w:before="20" w:after="60" w:line="240" w:lineRule="auto"/>
              <w:jc w:val="left"/>
            </w:pPr>
            <w:r w:rsidRPr="008625DC">
              <w:t>Stewart, I</w:t>
            </w:r>
          </w:p>
        </w:tc>
      </w:tr>
      <w:tr w:rsidR="002E1BC4" w:rsidRPr="008625DC" w14:paraId="29BBB8B5" w14:textId="77777777" w:rsidTr="00F536A7">
        <w:tc>
          <w:tcPr>
            <w:tcW w:w="3095" w:type="dxa"/>
            <w:shd w:val="clear" w:color="auto" w:fill="F2F2F2" w:themeFill="background1" w:themeFillShade="F2"/>
          </w:tcPr>
          <w:p w14:paraId="19DBCC79" w14:textId="77777777" w:rsidR="002E1BC4" w:rsidRPr="008625DC" w:rsidRDefault="002E1BC4" w:rsidP="009571A7">
            <w:pPr>
              <w:pStyle w:val="TableTextLeft"/>
              <w:spacing w:before="20" w:after="60" w:line="240" w:lineRule="auto"/>
              <w:jc w:val="left"/>
            </w:pPr>
            <w:r w:rsidRPr="008625DC">
              <w:t>Summerfield, M</w:t>
            </w:r>
          </w:p>
        </w:tc>
        <w:tc>
          <w:tcPr>
            <w:tcW w:w="3095" w:type="dxa"/>
            <w:shd w:val="clear" w:color="auto" w:fill="F2F2F2" w:themeFill="background1" w:themeFillShade="F2"/>
          </w:tcPr>
          <w:p w14:paraId="2040000C" w14:textId="77777777" w:rsidR="002E1BC4" w:rsidRPr="008625DC" w:rsidRDefault="002E1BC4" w:rsidP="009571A7">
            <w:pPr>
              <w:pStyle w:val="TableTextLeft"/>
              <w:spacing w:before="20" w:after="60" w:line="240" w:lineRule="auto"/>
              <w:jc w:val="left"/>
            </w:pPr>
            <w:r w:rsidRPr="008625DC">
              <w:t>Suncorp Group</w:t>
            </w:r>
          </w:p>
        </w:tc>
        <w:tc>
          <w:tcPr>
            <w:tcW w:w="3096" w:type="dxa"/>
            <w:shd w:val="clear" w:color="auto" w:fill="F2F2F2" w:themeFill="background1" w:themeFillShade="F2"/>
          </w:tcPr>
          <w:p w14:paraId="524E87C7" w14:textId="77777777" w:rsidR="002E1BC4" w:rsidRPr="008625DC" w:rsidRDefault="002E1BC4" w:rsidP="009571A7">
            <w:pPr>
              <w:pStyle w:val="TableTextLeft"/>
              <w:spacing w:before="20" w:after="60" w:line="240" w:lineRule="auto"/>
              <w:jc w:val="left"/>
            </w:pPr>
            <w:r w:rsidRPr="008625DC">
              <w:t>Sydney Airport Corporation Limited</w:t>
            </w:r>
          </w:p>
        </w:tc>
      </w:tr>
      <w:tr w:rsidR="002E1BC4" w:rsidRPr="008625DC" w14:paraId="69B52A34" w14:textId="77777777" w:rsidTr="00F536A7">
        <w:tc>
          <w:tcPr>
            <w:tcW w:w="3095" w:type="dxa"/>
            <w:shd w:val="clear" w:color="auto" w:fill="F2F2F2" w:themeFill="background1" w:themeFillShade="F2"/>
          </w:tcPr>
          <w:p w14:paraId="21A9C24F" w14:textId="77777777" w:rsidR="002E1BC4" w:rsidRPr="008625DC" w:rsidRDefault="002E1BC4" w:rsidP="009571A7">
            <w:pPr>
              <w:pStyle w:val="TableTextLeft"/>
              <w:spacing w:before="20" w:after="60" w:line="240" w:lineRule="auto"/>
              <w:jc w:val="left"/>
            </w:pPr>
            <w:r w:rsidRPr="008625DC">
              <w:t>Symbion Pharmacy Services</w:t>
            </w:r>
          </w:p>
        </w:tc>
        <w:tc>
          <w:tcPr>
            <w:tcW w:w="3095" w:type="dxa"/>
            <w:shd w:val="clear" w:color="auto" w:fill="F2F2F2" w:themeFill="background1" w:themeFillShade="F2"/>
          </w:tcPr>
          <w:p w14:paraId="08902047" w14:textId="77777777" w:rsidR="002E1BC4" w:rsidRPr="008625DC" w:rsidRDefault="002E1BC4" w:rsidP="009571A7">
            <w:pPr>
              <w:pStyle w:val="TableTextLeft"/>
              <w:spacing w:before="20" w:after="60" w:line="240" w:lineRule="auto"/>
              <w:jc w:val="left"/>
            </w:pPr>
            <w:r w:rsidRPr="008625DC">
              <w:t>Tasmanian Farmers and Graziers Association</w:t>
            </w:r>
          </w:p>
        </w:tc>
        <w:tc>
          <w:tcPr>
            <w:tcW w:w="3096" w:type="dxa"/>
            <w:shd w:val="clear" w:color="auto" w:fill="F2F2F2" w:themeFill="background1" w:themeFillShade="F2"/>
          </w:tcPr>
          <w:p w14:paraId="1C32F386" w14:textId="77777777" w:rsidR="002E1BC4" w:rsidRPr="008625DC" w:rsidRDefault="002E1BC4" w:rsidP="009571A7">
            <w:pPr>
              <w:pStyle w:val="TableTextLeft"/>
              <w:spacing w:before="20" w:after="60" w:line="240" w:lineRule="auto"/>
              <w:jc w:val="left"/>
            </w:pPr>
            <w:r w:rsidRPr="008625DC">
              <w:t>Tasmanian Government</w:t>
            </w:r>
          </w:p>
        </w:tc>
      </w:tr>
      <w:tr w:rsidR="002E1BC4" w:rsidRPr="008625DC" w14:paraId="580E7A8F" w14:textId="77777777" w:rsidTr="00F536A7">
        <w:tc>
          <w:tcPr>
            <w:tcW w:w="3095" w:type="dxa"/>
            <w:shd w:val="clear" w:color="auto" w:fill="F2F2F2" w:themeFill="background1" w:themeFillShade="F2"/>
          </w:tcPr>
          <w:p w14:paraId="6620F484" w14:textId="77777777" w:rsidR="002E1BC4" w:rsidRPr="008625DC" w:rsidRDefault="002E1BC4" w:rsidP="009571A7">
            <w:pPr>
              <w:pStyle w:val="TableTextLeft"/>
              <w:spacing w:before="20" w:after="60" w:line="240" w:lineRule="auto"/>
              <w:jc w:val="left"/>
            </w:pPr>
            <w:r w:rsidRPr="008625DC">
              <w:t>Tasmanian Small Business Council</w:t>
            </w:r>
          </w:p>
        </w:tc>
        <w:tc>
          <w:tcPr>
            <w:tcW w:w="3095" w:type="dxa"/>
            <w:shd w:val="clear" w:color="auto" w:fill="F2F2F2" w:themeFill="background1" w:themeFillShade="F2"/>
          </w:tcPr>
          <w:p w14:paraId="19514DD0" w14:textId="77777777" w:rsidR="002E1BC4" w:rsidRPr="008625DC" w:rsidRDefault="002E1BC4" w:rsidP="009571A7">
            <w:pPr>
              <w:pStyle w:val="TableTextLeft"/>
              <w:spacing w:before="20" w:after="60" w:line="240" w:lineRule="auto"/>
              <w:jc w:val="left"/>
            </w:pPr>
            <w:r w:rsidRPr="008625DC">
              <w:t>Telstra Corporation Limited</w:t>
            </w:r>
          </w:p>
        </w:tc>
        <w:tc>
          <w:tcPr>
            <w:tcW w:w="3096" w:type="dxa"/>
            <w:shd w:val="clear" w:color="auto" w:fill="F2F2F2" w:themeFill="background1" w:themeFillShade="F2"/>
          </w:tcPr>
          <w:p w14:paraId="5F22E094" w14:textId="77777777" w:rsidR="002E1BC4" w:rsidRPr="008625DC" w:rsidRDefault="002E1BC4" w:rsidP="009571A7">
            <w:pPr>
              <w:pStyle w:val="TableTextLeft"/>
              <w:spacing w:before="20" w:after="60" w:line="240" w:lineRule="auto"/>
              <w:jc w:val="left"/>
            </w:pPr>
            <w:r w:rsidRPr="008625DC">
              <w:t>Terceiro Legal Consulting</w:t>
            </w:r>
          </w:p>
        </w:tc>
      </w:tr>
      <w:tr w:rsidR="002E1BC4" w:rsidRPr="008625DC" w14:paraId="259B19AC" w14:textId="77777777" w:rsidTr="00F536A7">
        <w:tc>
          <w:tcPr>
            <w:tcW w:w="3095" w:type="dxa"/>
            <w:shd w:val="clear" w:color="auto" w:fill="F2F2F2" w:themeFill="background1" w:themeFillShade="F2"/>
          </w:tcPr>
          <w:p w14:paraId="3E80B643" w14:textId="77777777" w:rsidR="002E1BC4" w:rsidRPr="008625DC" w:rsidRDefault="002E1BC4" w:rsidP="009571A7">
            <w:pPr>
              <w:pStyle w:val="TableTextLeft"/>
              <w:spacing w:before="20" w:after="60" w:line="240" w:lineRule="auto"/>
              <w:jc w:val="left"/>
            </w:pPr>
            <w:r w:rsidRPr="008625DC">
              <w:t>The Australia Institute</w:t>
            </w:r>
          </w:p>
        </w:tc>
        <w:tc>
          <w:tcPr>
            <w:tcW w:w="3095" w:type="dxa"/>
            <w:shd w:val="clear" w:color="auto" w:fill="F2F2F2" w:themeFill="background1" w:themeFillShade="F2"/>
          </w:tcPr>
          <w:p w14:paraId="6ADCFAE9" w14:textId="5C4548AC" w:rsidR="002E1BC4" w:rsidRPr="008625DC" w:rsidRDefault="002E1BC4" w:rsidP="009571A7">
            <w:pPr>
              <w:pStyle w:val="TableTextLeft"/>
              <w:spacing w:before="20" w:after="60" w:line="240" w:lineRule="auto"/>
              <w:jc w:val="left"/>
            </w:pPr>
            <w:r w:rsidRPr="008625DC">
              <w:t>The Co</w:t>
            </w:r>
            <w:r w:rsidR="00C74E19" w:rsidRPr="008625DC">
              <w:noBreakHyphen/>
            </w:r>
            <w:r w:rsidRPr="008625DC">
              <w:t>Op</w:t>
            </w:r>
          </w:p>
        </w:tc>
        <w:tc>
          <w:tcPr>
            <w:tcW w:w="3096" w:type="dxa"/>
            <w:shd w:val="clear" w:color="auto" w:fill="F2F2F2" w:themeFill="background1" w:themeFillShade="F2"/>
          </w:tcPr>
          <w:p w14:paraId="3A929CEE" w14:textId="77777777" w:rsidR="002E1BC4" w:rsidRPr="008625DC" w:rsidRDefault="002E1BC4" w:rsidP="009571A7">
            <w:pPr>
              <w:pStyle w:val="TableTextLeft"/>
              <w:spacing w:before="20" w:after="60" w:line="240" w:lineRule="auto"/>
              <w:jc w:val="left"/>
            </w:pPr>
            <w:r w:rsidRPr="008625DC">
              <w:t>The Industry Group</w:t>
            </w:r>
          </w:p>
        </w:tc>
      </w:tr>
      <w:tr w:rsidR="002E1BC4" w:rsidRPr="008625DC" w14:paraId="5AD7A720" w14:textId="77777777" w:rsidTr="00F536A7">
        <w:tc>
          <w:tcPr>
            <w:tcW w:w="3095" w:type="dxa"/>
            <w:shd w:val="clear" w:color="auto" w:fill="F2F2F2" w:themeFill="background1" w:themeFillShade="F2"/>
          </w:tcPr>
          <w:p w14:paraId="4A34B2B3" w14:textId="77777777" w:rsidR="002E1BC4" w:rsidRPr="008625DC" w:rsidRDefault="002E1BC4" w:rsidP="009571A7">
            <w:pPr>
              <w:pStyle w:val="TableTextLeft"/>
              <w:spacing w:before="20" w:after="60" w:line="240" w:lineRule="auto"/>
              <w:jc w:val="left"/>
            </w:pPr>
            <w:r w:rsidRPr="008625DC">
              <w:t>The Infrastructure Group</w:t>
            </w:r>
          </w:p>
        </w:tc>
        <w:tc>
          <w:tcPr>
            <w:tcW w:w="3095" w:type="dxa"/>
            <w:shd w:val="clear" w:color="auto" w:fill="F2F2F2" w:themeFill="background1" w:themeFillShade="F2"/>
          </w:tcPr>
          <w:p w14:paraId="62B86759" w14:textId="77777777" w:rsidR="002E1BC4" w:rsidRPr="008625DC" w:rsidRDefault="002E1BC4" w:rsidP="009571A7">
            <w:pPr>
              <w:pStyle w:val="TableTextLeft"/>
              <w:spacing w:before="20" w:after="60" w:line="240" w:lineRule="auto"/>
              <w:jc w:val="left"/>
            </w:pPr>
            <w:r w:rsidRPr="008625DC">
              <w:t>Truman Hoyle</w:t>
            </w:r>
          </w:p>
        </w:tc>
        <w:tc>
          <w:tcPr>
            <w:tcW w:w="3096" w:type="dxa"/>
            <w:shd w:val="clear" w:color="auto" w:fill="F2F2F2" w:themeFill="background1" w:themeFillShade="F2"/>
          </w:tcPr>
          <w:p w14:paraId="5761B7DE" w14:textId="77777777" w:rsidR="002E1BC4" w:rsidRPr="008625DC" w:rsidRDefault="002E1BC4" w:rsidP="009571A7">
            <w:pPr>
              <w:pStyle w:val="TableTextLeft"/>
              <w:spacing w:before="20" w:after="60" w:line="240" w:lineRule="auto"/>
              <w:jc w:val="left"/>
            </w:pPr>
            <w:r w:rsidRPr="008625DC">
              <w:t>United Energy and Multinet Gas</w:t>
            </w:r>
          </w:p>
        </w:tc>
      </w:tr>
      <w:tr w:rsidR="002E1BC4" w:rsidRPr="008625DC" w14:paraId="659305E7" w14:textId="77777777" w:rsidTr="00F536A7">
        <w:tc>
          <w:tcPr>
            <w:tcW w:w="3095" w:type="dxa"/>
            <w:shd w:val="clear" w:color="auto" w:fill="F2F2F2" w:themeFill="background1" w:themeFillShade="F2"/>
          </w:tcPr>
          <w:p w14:paraId="1E334A8C" w14:textId="77777777" w:rsidR="002E1BC4" w:rsidRPr="008625DC" w:rsidRDefault="002E1BC4" w:rsidP="009571A7">
            <w:pPr>
              <w:pStyle w:val="TableTextLeft"/>
              <w:spacing w:before="20" w:after="60" w:line="240" w:lineRule="auto"/>
              <w:jc w:val="left"/>
            </w:pPr>
            <w:r w:rsidRPr="008625DC">
              <w:t>United States Federal Trade Commission</w:t>
            </w:r>
          </w:p>
        </w:tc>
        <w:tc>
          <w:tcPr>
            <w:tcW w:w="3095" w:type="dxa"/>
            <w:shd w:val="clear" w:color="auto" w:fill="F2F2F2" w:themeFill="background1" w:themeFillShade="F2"/>
          </w:tcPr>
          <w:p w14:paraId="30BFA11F" w14:textId="77777777" w:rsidR="002E1BC4" w:rsidRPr="008625DC" w:rsidRDefault="002E1BC4" w:rsidP="009571A7">
            <w:pPr>
              <w:pStyle w:val="TableTextLeft"/>
              <w:spacing w:before="20" w:after="60" w:line="240" w:lineRule="auto"/>
              <w:jc w:val="left"/>
            </w:pPr>
            <w:r w:rsidRPr="008625DC">
              <w:t>Uniting Church in Australia</w:t>
            </w:r>
          </w:p>
        </w:tc>
        <w:tc>
          <w:tcPr>
            <w:tcW w:w="3096" w:type="dxa"/>
            <w:shd w:val="clear" w:color="auto" w:fill="F2F2F2" w:themeFill="background1" w:themeFillShade="F2"/>
          </w:tcPr>
          <w:p w14:paraId="4294E7F2" w14:textId="77777777" w:rsidR="002E1BC4" w:rsidRPr="008625DC" w:rsidRDefault="002E1BC4" w:rsidP="009571A7">
            <w:pPr>
              <w:pStyle w:val="TableTextLeft"/>
              <w:spacing w:before="20" w:after="60" w:line="240" w:lineRule="auto"/>
              <w:jc w:val="left"/>
            </w:pPr>
            <w:r w:rsidRPr="008625DC">
              <w:t>Urban Development Institute of Australia</w:t>
            </w:r>
          </w:p>
        </w:tc>
      </w:tr>
      <w:tr w:rsidR="002E1BC4" w:rsidRPr="008625DC" w14:paraId="4AA4233E" w14:textId="77777777" w:rsidTr="00F536A7">
        <w:tc>
          <w:tcPr>
            <w:tcW w:w="3095" w:type="dxa"/>
            <w:shd w:val="clear" w:color="auto" w:fill="F2F2F2" w:themeFill="background1" w:themeFillShade="F2"/>
          </w:tcPr>
          <w:p w14:paraId="54566AB3" w14:textId="77777777" w:rsidR="002E1BC4" w:rsidRPr="008625DC" w:rsidRDefault="002E1BC4" w:rsidP="009571A7">
            <w:pPr>
              <w:pStyle w:val="TableTextLeft"/>
              <w:spacing w:before="20" w:after="60" w:line="240" w:lineRule="auto"/>
              <w:jc w:val="left"/>
            </w:pPr>
            <w:r w:rsidRPr="008625DC">
              <w:t>Urban Taskforce Australia</w:t>
            </w:r>
          </w:p>
        </w:tc>
        <w:tc>
          <w:tcPr>
            <w:tcW w:w="3095" w:type="dxa"/>
            <w:shd w:val="clear" w:color="auto" w:fill="F2F2F2" w:themeFill="background1" w:themeFillShade="F2"/>
          </w:tcPr>
          <w:p w14:paraId="12483191" w14:textId="77777777" w:rsidR="002E1BC4" w:rsidRPr="008625DC" w:rsidRDefault="002E1BC4" w:rsidP="009571A7">
            <w:pPr>
              <w:pStyle w:val="TableTextLeft"/>
              <w:spacing w:before="20" w:after="60" w:line="240" w:lineRule="auto"/>
              <w:jc w:val="left"/>
            </w:pPr>
            <w:r w:rsidRPr="008625DC">
              <w:t>Victorian Branch of the Australian Dental Association</w:t>
            </w:r>
          </w:p>
        </w:tc>
        <w:tc>
          <w:tcPr>
            <w:tcW w:w="3096" w:type="dxa"/>
            <w:shd w:val="clear" w:color="auto" w:fill="F2F2F2" w:themeFill="background1" w:themeFillShade="F2"/>
          </w:tcPr>
          <w:p w14:paraId="76A247A9" w14:textId="77777777" w:rsidR="002E1BC4" w:rsidRPr="008625DC" w:rsidRDefault="002E1BC4" w:rsidP="009571A7">
            <w:pPr>
              <w:pStyle w:val="TableTextLeft"/>
              <w:spacing w:before="20" w:after="60" w:line="240" w:lineRule="auto"/>
              <w:jc w:val="left"/>
            </w:pPr>
            <w:r w:rsidRPr="008625DC">
              <w:t>Vodafone Hutchison Australia</w:t>
            </w:r>
          </w:p>
        </w:tc>
      </w:tr>
      <w:tr w:rsidR="002E1BC4" w:rsidRPr="008625DC" w14:paraId="2E8151B1" w14:textId="77777777" w:rsidTr="00F536A7">
        <w:tc>
          <w:tcPr>
            <w:tcW w:w="3095" w:type="dxa"/>
            <w:shd w:val="clear" w:color="auto" w:fill="F2F2F2" w:themeFill="background1" w:themeFillShade="F2"/>
          </w:tcPr>
          <w:p w14:paraId="15E8DD50" w14:textId="77777777" w:rsidR="002E1BC4" w:rsidRPr="008625DC" w:rsidRDefault="002E1BC4" w:rsidP="009571A7">
            <w:pPr>
              <w:pStyle w:val="TableTextLeft"/>
              <w:spacing w:before="20" w:after="60" w:line="240" w:lineRule="auto"/>
              <w:jc w:val="left"/>
            </w:pPr>
            <w:r w:rsidRPr="008625DC">
              <w:t>Voiceless</w:t>
            </w:r>
          </w:p>
        </w:tc>
        <w:tc>
          <w:tcPr>
            <w:tcW w:w="3095" w:type="dxa"/>
            <w:shd w:val="clear" w:color="auto" w:fill="F2F2F2" w:themeFill="background1" w:themeFillShade="F2"/>
          </w:tcPr>
          <w:p w14:paraId="217F0D19" w14:textId="77777777" w:rsidR="002E1BC4" w:rsidRPr="008625DC" w:rsidRDefault="002E1BC4" w:rsidP="009571A7">
            <w:pPr>
              <w:pStyle w:val="TableTextLeft"/>
              <w:spacing w:before="20" w:after="60" w:line="240" w:lineRule="auto"/>
              <w:jc w:val="left"/>
            </w:pPr>
            <w:r w:rsidRPr="008625DC">
              <w:t>WA Independent Grocers Association</w:t>
            </w:r>
          </w:p>
        </w:tc>
        <w:tc>
          <w:tcPr>
            <w:tcW w:w="3096" w:type="dxa"/>
            <w:shd w:val="clear" w:color="auto" w:fill="F2F2F2" w:themeFill="background1" w:themeFillShade="F2"/>
          </w:tcPr>
          <w:p w14:paraId="2226330E" w14:textId="77777777" w:rsidR="002E1BC4" w:rsidRPr="008625DC" w:rsidRDefault="002E1BC4" w:rsidP="009571A7">
            <w:pPr>
              <w:pStyle w:val="TableTextLeft"/>
              <w:spacing w:before="20" w:after="60" w:line="240" w:lineRule="auto"/>
              <w:jc w:val="left"/>
            </w:pPr>
            <w:r w:rsidRPr="008625DC">
              <w:t>Walker, M</w:t>
            </w:r>
          </w:p>
        </w:tc>
      </w:tr>
      <w:tr w:rsidR="002E1BC4" w:rsidRPr="008625DC" w14:paraId="34D36F09" w14:textId="77777777" w:rsidTr="00F536A7">
        <w:tc>
          <w:tcPr>
            <w:tcW w:w="3095" w:type="dxa"/>
            <w:shd w:val="clear" w:color="auto" w:fill="F2F2F2" w:themeFill="background1" w:themeFillShade="F2"/>
          </w:tcPr>
          <w:p w14:paraId="3227B038" w14:textId="77777777" w:rsidR="002E1BC4" w:rsidRPr="008625DC" w:rsidRDefault="002E1BC4" w:rsidP="009571A7">
            <w:pPr>
              <w:pStyle w:val="TableTextLeft"/>
              <w:spacing w:before="20" w:after="60" w:line="240" w:lineRule="auto"/>
              <w:jc w:val="left"/>
            </w:pPr>
            <w:r w:rsidRPr="008625DC">
              <w:t>Water Services Association of Australia</w:t>
            </w:r>
          </w:p>
        </w:tc>
        <w:tc>
          <w:tcPr>
            <w:tcW w:w="3095" w:type="dxa"/>
            <w:shd w:val="clear" w:color="auto" w:fill="F2F2F2" w:themeFill="background1" w:themeFillShade="F2"/>
          </w:tcPr>
          <w:p w14:paraId="37A021AC" w14:textId="77777777" w:rsidR="002E1BC4" w:rsidRPr="008625DC" w:rsidRDefault="002E1BC4" w:rsidP="009571A7">
            <w:pPr>
              <w:pStyle w:val="TableTextLeft"/>
              <w:spacing w:before="20" w:after="60" w:line="240" w:lineRule="auto"/>
              <w:jc w:val="left"/>
            </w:pPr>
            <w:r w:rsidRPr="008625DC">
              <w:t>Wesfarmers Limited</w:t>
            </w:r>
          </w:p>
        </w:tc>
        <w:tc>
          <w:tcPr>
            <w:tcW w:w="3096" w:type="dxa"/>
            <w:shd w:val="clear" w:color="auto" w:fill="F2F2F2" w:themeFill="background1" w:themeFillShade="F2"/>
          </w:tcPr>
          <w:p w14:paraId="15388859" w14:textId="77777777" w:rsidR="002E1BC4" w:rsidRPr="008625DC" w:rsidRDefault="002E1BC4" w:rsidP="009571A7">
            <w:pPr>
              <w:pStyle w:val="TableTextLeft"/>
              <w:spacing w:before="20" w:after="60" w:line="240" w:lineRule="auto"/>
              <w:jc w:val="left"/>
            </w:pPr>
            <w:r w:rsidRPr="008625DC">
              <w:t>Wildlife Tourism Australia</w:t>
            </w:r>
          </w:p>
        </w:tc>
      </w:tr>
      <w:tr w:rsidR="002E1BC4" w:rsidRPr="008625DC" w14:paraId="67DF611D" w14:textId="77777777" w:rsidTr="00F536A7">
        <w:tc>
          <w:tcPr>
            <w:tcW w:w="3095" w:type="dxa"/>
            <w:shd w:val="clear" w:color="auto" w:fill="F2F2F2" w:themeFill="background1" w:themeFillShade="F2"/>
          </w:tcPr>
          <w:p w14:paraId="2E5788A8" w14:textId="498B3E6B" w:rsidR="002E1BC4" w:rsidRPr="008625DC" w:rsidRDefault="002E1BC4" w:rsidP="009571A7">
            <w:pPr>
              <w:pStyle w:val="TableTextLeft"/>
              <w:spacing w:before="20" w:after="60" w:line="240" w:lineRule="auto"/>
              <w:jc w:val="left"/>
            </w:pPr>
            <w:r w:rsidRPr="008625DC">
              <w:t>White</w:t>
            </w:r>
            <w:r w:rsidR="00C74E19" w:rsidRPr="008625DC">
              <w:t>’</w:t>
            </w:r>
            <w:r w:rsidRPr="008625DC">
              <w:t>s Grocers</w:t>
            </w:r>
          </w:p>
        </w:tc>
        <w:tc>
          <w:tcPr>
            <w:tcW w:w="3095" w:type="dxa"/>
            <w:shd w:val="clear" w:color="auto" w:fill="F2F2F2" w:themeFill="background1" w:themeFillShade="F2"/>
          </w:tcPr>
          <w:p w14:paraId="6F226D72" w14:textId="06FB6C79" w:rsidR="002E1BC4" w:rsidRPr="008625DC" w:rsidRDefault="002E1BC4" w:rsidP="009571A7">
            <w:pPr>
              <w:pStyle w:val="TableTextLeft"/>
              <w:spacing w:before="20" w:after="60" w:line="240" w:lineRule="auto"/>
              <w:jc w:val="left"/>
            </w:pPr>
            <w:r w:rsidRPr="008625DC">
              <w:t>Wills</w:t>
            </w:r>
            <w:r w:rsidR="00C74E19" w:rsidRPr="008625DC">
              <w:noBreakHyphen/>
            </w:r>
            <w:r w:rsidRPr="008625DC">
              <w:t>Johnson, N</w:t>
            </w:r>
          </w:p>
        </w:tc>
        <w:tc>
          <w:tcPr>
            <w:tcW w:w="3096" w:type="dxa"/>
            <w:shd w:val="clear" w:color="auto" w:fill="F2F2F2" w:themeFill="background1" w:themeFillShade="F2"/>
          </w:tcPr>
          <w:p w14:paraId="16CD9525" w14:textId="77777777" w:rsidR="002E1BC4" w:rsidRPr="008625DC" w:rsidRDefault="002E1BC4" w:rsidP="009571A7">
            <w:pPr>
              <w:pStyle w:val="TableTextLeft"/>
              <w:spacing w:before="20" w:after="60" w:line="240" w:lineRule="auto"/>
              <w:jc w:val="left"/>
            </w:pPr>
            <w:r w:rsidRPr="008625DC">
              <w:t>Wishart, D</w:t>
            </w:r>
          </w:p>
        </w:tc>
      </w:tr>
      <w:tr w:rsidR="002E1BC4" w:rsidRPr="008625DC" w14:paraId="32398054" w14:textId="77777777" w:rsidTr="00F536A7">
        <w:tc>
          <w:tcPr>
            <w:tcW w:w="3095" w:type="dxa"/>
            <w:shd w:val="clear" w:color="auto" w:fill="F2F2F2" w:themeFill="background1" w:themeFillShade="F2"/>
          </w:tcPr>
          <w:p w14:paraId="7F9D89F8" w14:textId="77777777" w:rsidR="002E1BC4" w:rsidRPr="008625DC" w:rsidRDefault="002E1BC4" w:rsidP="009571A7">
            <w:pPr>
              <w:pStyle w:val="TableTextLeft"/>
              <w:spacing w:before="20" w:after="60" w:line="240" w:lineRule="auto"/>
              <w:jc w:val="left"/>
            </w:pPr>
            <w:r w:rsidRPr="008625DC">
              <w:t>Woodward L &amp; Rubinstein M</w:t>
            </w:r>
          </w:p>
        </w:tc>
        <w:tc>
          <w:tcPr>
            <w:tcW w:w="3095" w:type="dxa"/>
            <w:shd w:val="clear" w:color="auto" w:fill="F2F2F2" w:themeFill="background1" w:themeFillShade="F2"/>
          </w:tcPr>
          <w:p w14:paraId="59C2F9A3" w14:textId="77777777" w:rsidR="002E1BC4" w:rsidRPr="008625DC" w:rsidRDefault="002E1BC4" w:rsidP="009571A7">
            <w:pPr>
              <w:pStyle w:val="TableTextLeft"/>
              <w:spacing w:before="20" w:after="60" w:line="240" w:lineRule="auto"/>
              <w:jc w:val="left"/>
            </w:pPr>
            <w:r w:rsidRPr="008625DC">
              <w:t>Woolworths Ltd</w:t>
            </w:r>
          </w:p>
        </w:tc>
        <w:tc>
          <w:tcPr>
            <w:tcW w:w="3096" w:type="dxa"/>
            <w:shd w:val="clear" w:color="auto" w:fill="F2F2F2" w:themeFill="background1" w:themeFillShade="F2"/>
          </w:tcPr>
          <w:p w14:paraId="27EFB683" w14:textId="77777777" w:rsidR="002E1BC4" w:rsidRPr="008625DC" w:rsidRDefault="002E1BC4" w:rsidP="009571A7">
            <w:pPr>
              <w:pStyle w:val="TableTextLeft"/>
              <w:spacing w:before="20" w:after="60" w:line="240" w:lineRule="auto"/>
              <w:jc w:val="left"/>
            </w:pPr>
            <w:r w:rsidRPr="008625DC">
              <w:t>Zoo and Aquarium Association</w:t>
            </w:r>
          </w:p>
        </w:tc>
      </w:tr>
    </w:tbl>
    <w:p w14:paraId="5A72941E" w14:textId="12DD7FD4" w:rsidR="00BB16EB" w:rsidRPr="008625DC" w:rsidRDefault="00BB16EB" w:rsidP="002E1BC4">
      <w:pPr>
        <w:tabs>
          <w:tab w:val="left" w:pos="6046"/>
        </w:tabs>
        <w:spacing w:before="0" w:after="0"/>
      </w:pPr>
    </w:p>
    <w:p w14:paraId="232E9D78" w14:textId="7935A2D5" w:rsidR="00BB16EB" w:rsidRPr="008625DC" w:rsidRDefault="00BB16EB" w:rsidP="002D0696">
      <w:pPr>
        <w:tabs>
          <w:tab w:val="left" w:pos="6046"/>
        </w:tabs>
        <w:spacing w:before="0" w:after="0"/>
      </w:pPr>
    </w:p>
    <w:sectPr w:rsidR="00BB16EB" w:rsidRPr="008625DC" w:rsidSect="00AA577F">
      <w:headerReference w:type="default" r:id="rId61"/>
      <w:footerReference w:type="default" r:id="rId6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4DBBA" w14:textId="77777777" w:rsidR="00977786" w:rsidRDefault="00977786">
      <w:r>
        <w:separator/>
      </w:r>
    </w:p>
  </w:endnote>
  <w:endnote w:type="continuationSeparator" w:id="0">
    <w:p w14:paraId="26E3DA24" w14:textId="77777777" w:rsidR="00977786" w:rsidRDefault="00977786">
      <w:r>
        <w:continuationSeparator/>
      </w:r>
    </w:p>
  </w:endnote>
  <w:endnote w:type="continuationNotice" w:id="1">
    <w:p w14:paraId="0CDCB90C" w14:textId="77777777" w:rsidR="00977786" w:rsidRDefault="009777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Garamond">
    <w:altName w:val="ITC 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T15Ct00">
    <w:altName w:val="Times New Roman"/>
    <w:panose1 w:val="00000000000000000000"/>
    <w:charset w:val="00"/>
    <w:family w:val="auto"/>
    <w:notTrueType/>
    <w:pitch w:val="default"/>
    <w:sig w:usb0="00000003" w:usb1="00000000" w:usb2="00000000" w:usb3="00000000" w:csb0="00000001" w:csb1="00000000"/>
  </w:font>
  <w:font w:name="MyriadPro-Ligh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BookAntiqua-Italic">
    <w:altName w:val="Book Antiqua"/>
    <w:panose1 w:val="00000000000000000000"/>
    <w:charset w:val="00"/>
    <w:family w:val="roman"/>
    <w:notTrueType/>
    <w:pitch w:val="default"/>
    <w:sig w:usb0="00000003" w:usb1="00000000" w:usb2="00000000" w:usb3="00000000" w:csb0="00000001" w:csb1="00000000"/>
  </w:font>
  <w:font w:name="Caecilia-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204763"/>
      <w:docPartObj>
        <w:docPartGallery w:val="Page Numbers (Bottom of Page)"/>
        <w:docPartUnique/>
      </w:docPartObj>
    </w:sdtPr>
    <w:sdtEndPr>
      <w:rPr>
        <w:noProof/>
      </w:rPr>
    </w:sdtEndPr>
    <w:sdtContent>
      <w:p w14:paraId="5E62E497" w14:textId="77777777" w:rsidR="00977786" w:rsidRPr="008C7D42" w:rsidRDefault="00977786" w:rsidP="008C7D42">
        <w:pPr>
          <w:pStyle w:val="Footer"/>
        </w:pPr>
        <w:r>
          <w:t xml:space="preserve">Page </w:t>
        </w:r>
        <w:r>
          <w:fldChar w:fldCharType="begin"/>
        </w:r>
        <w:r>
          <w:instrText xml:space="preserve"> PAGE   \* MERGEFORMAT </w:instrText>
        </w:r>
        <w:r>
          <w:fldChar w:fldCharType="separate"/>
        </w:r>
        <w:r>
          <w:rPr>
            <w:noProof/>
          </w:rPr>
          <w:t>304</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673543"/>
      <w:docPartObj>
        <w:docPartGallery w:val="Page Numbers (Bottom of Page)"/>
        <w:docPartUnique/>
      </w:docPartObj>
    </w:sdtPr>
    <w:sdtEndPr/>
    <w:sdtContent>
      <w:p w14:paraId="350E4A0B" w14:textId="003B45BE" w:rsidR="00743557" w:rsidRDefault="00AD530F" w:rsidP="00B15334">
        <w:pPr>
          <w:pStyle w:val="Footer"/>
          <w:tabs>
            <w:tab w:val="left" w:pos="3560"/>
            <w:tab w:val="right" w:pos="9072"/>
          </w:tabs>
          <w:jc w:val="left"/>
        </w:pPr>
        <w:r>
          <w:fldChar w:fldCharType="begin"/>
        </w:r>
        <w:r>
          <w:instrText xml:space="preserve"> STYLEREF  "Part Heading"  \* MERGEFORMAT </w:instrText>
        </w:r>
        <w:r>
          <w:fldChar w:fldCharType="separate"/>
        </w:r>
        <w:r>
          <w:rPr>
            <w:noProof/>
          </w:rPr>
          <w:t>Appendix B — List of non-confidential submissions</w:t>
        </w:r>
        <w:r>
          <w:rPr>
            <w:noProof/>
          </w:rPr>
          <w:fldChar w:fldCharType="end"/>
        </w:r>
        <w:r w:rsidR="00743557">
          <w:tab/>
          <w:t xml:space="preserve">Page </w:t>
        </w:r>
        <w:r w:rsidR="00743557">
          <w:fldChar w:fldCharType="begin"/>
        </w:r>
        <w:r w:rsidR="00743557">
          <w:instrText xml:space="preserve"> PAGE  \* Arabic  \* MERGEFORMAT </w:instrText>
        </w:r>
        <w:r w:rsidR="00743557">
          <w:fldChar w:fldCharType="separate"/>
        </w:r>
        <w:r>
          <w:rPr>
            <w:noProof/>
          </w:rPr>
          <w:t>307</w:t>
        </w:r>
        <w:r w:rsidR="00743557">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B454A" w14:textId="440F68C2" w:rsidR="00977786" w:rsidRDefault="00977786" w:rsidP="001C6864">
    <w:pPr>
      <w:pStyle w:val="SecurityClassificationFooter"/>
      <w:tabs>
        <w:tab w:val="right" w:pos="9072"/>
      </w:tabs>
      <w:jc w:val="left"/>
    </w:pPr>
    <w:r>
      <w:rPr>
        <w:rFonts w:ascii="Calibri" w:hAnsi="Calibri"/>
        <w:b w:val="0"/>
        <w:caps w:val="0"/>
        <w:sz w:val="20"/>
      </w:rPr>
      <w:t>Part 2 — Findings and recommendations</w:t>
    </w:r>
    <w:r>
      <w:rPr>
        <w:rFonts w:ascii="Calibri" w:hAnsi="Calibri"/>
        <w:b w:val="0"/>
        <w:caps w:val="0"/>
        <w:sz w:val="20"/>
      </w:rPr>
      <w:tab/>
      <w:t xml:space="preserve">Page </w:t>
    </w:r>
    <w:r w:rsidRPr="001C6864">
      <w:rPr>
        <w:rFonts w:ascii="Calibri" w:hAnsi="Calibri"/>
        <w:b w:val="0"/>
        <w:caps w:val="0"/>
        <w:sz w:val="20"/>
      </w:rPr>
      <w:fldChar w:fldCharType="begin"/>
    </w:r>
    <w:r w:rsidRPr="001C6864">
      <w:rPr>
        <w:rFonts w:ascii="Calibri" w:hAnsi="Calibri"/>
        <w:b w:val="0"/>
        <w:caps w:val="0"/>
        <w:sz w:val="20"/>
      </w:rPr>
      <w:instrText xml:space="preserve"> PAGE   \* MERGEFORMAT </w:instrText>
    </w:r>
    <w:r w:rsidRPr="001C6864">
      <w:rPr>
        <w:rFonts w:ascii="Calibri" w:hAnsi="Calibri"/>
        <w:b w:val="0"/>
        <w:caps w:val="0"/>
        <w:sz w:val="20"/>
      </w:rPr>
      <w:fldChar w:fldCharType="separate"/>
    </w:r>
    <w:r>
      <w:rPr>
        <w:rFonts w:ascii="Calibri" w:hAnsi="Calibri"/>
        <w:b w:val="0"/>
        <w:caps w:val="0"/>
        <w:noProof/>
        <w:sz w:val="20"/>
      </w:rPr>
      <w:t>23</w:t>
    </w:r>
    <w:r w:rsidRPr="001C6864">
      <w:rPr>
        <w:rFonts w:ascii="Calibri" w:hAnsi="Calibri"/>
        <w:b w:val="0"/>
        <w:caps w:val="0"/>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864043"/>
      <w:docPartObj>
        <w:docPartGallery w:val="Page Numbers (Bottom of Page)"/>
        <w:docPartUnique/>
      </w:docPartObj>
    </w:sdtPr>
    <w:sdtEndPr>
      <w:rPr>
        <w:rStyle w:val="FooterChar"/>
      </w:rPr>
    </w:sdtEndPr>
    <w:sdtContent>
      <w:p w14:paraId="3F23FFAD" w14:textId="77777777" w:rsidR="00977786" w:rsidRPr="0089621C" w:rsidRDefault="00977786" w:rsidP="007333B8">
        <w:pPr>
          <w:pStyle w:val="FooterEven"/>
          <w:rPr>
            <w:rStyle w:val="FooterChar"/>
          </w:rPr>
        </w:pPr>
        <w:r>
          <w:t xml:space="preserve">Page </w:t>
        </w:r>
        <w:r w:rsidRPr="0089621C">
          <w:rPr>
            <w:rStyle w:val="FooterChar"/>
          </w:rPr>
          <w:fldChar w:fldCharType="begin"/>
        </w:r>
        <w:r w:rsidRPr="0089621C">
          <w:rPr>
            <w:rStyle w:val="FooterChar"/>
          </w:rPr>
          <w:instrText xml:space="preserve"> PAGE   \* MERGEFORMAT </w:instrText>
        </w:r>
        <w:r w:rsidRPr="0089621C">
          <w:rPr>
            <w:rStyle w:val="FooterChar"/>
          </w:rPr>
          <w:fldChar w:fldCharType="separate"/>
        </w:r>
        <w:r>
          <w:rPr>
            <w:rStyle w:val="FooterChar"/>
            <w:noProof/>
          </w:rPr>
          <w:t>cclxxiii</w:t>
        </w:r>
        <w:r w:rsidRPr="0089621C">
          <w:rPr>
            <w:rStyle w:val="FooterChar"/>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209279"/>
      <w:docPartObj>
        <w:docPartGallery w:val="Page Numbers (Bottom of Page)"/>
        <w:docPartUnique/>
      </w:docPartObj>
    </w:sdtPr>
    <w:sdtEndPr/>
    <w:sdtContent>
      <w:p w14:paraId="47C79E1F" w14:textId="2B4A8AB6" w:rsidR="00977786" w:rsidRPr="00865B4D" w:rsidRDefault="00977786" w:rsidP="002A6D97">
        <w:pPr>
          <w:pStyle w:val="FooterCentered"/>
          <w:jc w:val="right"/>
        </w:pPr>
        <w:r>
          <w:tab/>
          <w:t xml:space="preserve">Page </w:t>
        </w:r>
        <w:r>
          <w:fldChar w:fldCharType="begin"/>
        </w:r>
        <w:r>
          <w:instrText xml:space="preserve"> PAGE  \* roman  \* MERGEFORMAT </w:instrText>
        </w:r>
        <w:r>
          <w:fldChar w:fldCharType="separate"/>
        </w:r>
        <w:r w:rsidR="00AD530F">
          <w:rPr>
            <w:noProof/>
          </w:rPr>
          <w:t>vi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196986"/>
      <w:docPartObj>
        <w:docPartGallery w:val="Page Numbers (Bottom of Page)"/>
        <w:docPartUnique/>
      </w:docPartObj>
    </w:sdtPr>
    <w:sdtEndPr/>
    <w:sdtContent>
      <w:p w14:paraId="3D367A31" w14:textId="77B05C54" w:rsidR="00977786" w:rsidRDefault="00AD530F" w:rsidP="00B15334">
        <w:pPr>
          <w:pStyle w:val="Footer"/>
          <w:tabs>
            <w:tab w:val="left" w:pos="3560"/>
            <w:tab w:val="right" w:pos="9072"/>
          </w:tabs>
          <w:jc w:val="left"/>
        </w:pPr>
        <w:r>
          <w:fldChar w:fldCharType="begin"/>
        </w:r>
        <w:r>
          <w:instrText xml:space="preserve"> STYLEREF  "Heading 1 Not Numbered"  \* MERGEFORMAT </w:instrText>
        </w:r>
        <w:r>
          <w:fldChar w:fldCharType="separate"/>
        </w:r>
        <w:r>
          <w:rPr>
            <w:noProof/>
          </w:rPr>
          <w:t>Abbreviations</w:t>
        </w:r>
        <w:r>
          <w:rPr>
            <w:noProof/>
          </w:rPr>
          <w:fldChar w:fldCharType="end"/>
        </w:r>
        <w:r w:rsidR="00977786">
          <w:tab/>
        </w:r>
        <w:r w:rsidR="00977786">
          <w:tab/>
          <w:t xml:space="preserve">Page </w:t>
        </w:r>
        <w:r w:rsidR="00977786">
          <w:fldChar w:fldCharType="begin"/>
        </w:r>
        <w:r w:rsidR="00977786">
          <w:instrText xml:space="preserve"> PAGE  \* Arabic  \* MERGEFORMAT </w:instrText>
        </w:r>
        <w:r w:rsidR="00977786">
          <w:fldChar w:fldCharType="separate"/>
        </w:r>
        <w:r>
          <w:rPr>
            <w:noProof/>
          </w:rPr>
          <w:t>3</w:t>
        </w:r>
        <w:r w:rsidR="00977786">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450725"/>
      <w:docPartObj>
        <w:docPartGallery w:val="Page Numbers (Bottom of Page)"/>
        <w:docPartUnique/>
      </w:docPartObj>
    </w:sdtPr>
    <w:sdtEndPr/>
    <w:sdtContent>
      <w:p w14:paraId="7CC07547" w14:textId="4CEB3E87" w:rsidR="00977786" w:rsidRDefault="00AD530F" w:rsidP="00B15334">
        <w:pPr>
          <w:pStyle w:val="Footer"/>
          <w:tabs>
            <w:tab w:val="left" w:pos="3560"/>
            <w:tab w:val="right" w:pos="9072"/>
          </w:tabs>
          <w:jc w:val="left"/>
        </w:pPr>
        <w:r>
          <w:fldChar w:fldCharType="begin"/>
        </w:r>
        <w:r>
          <w:instrText xml:space="preserve"> STYLEREF  "Heading 1 Not Numbered"  \* MERGEFORMAT </w:instrText>
        </w:r>
        <w:r>
          <w:fldChar w:fldCharType="separate"/>
        </w:r>
        <w:r>
          <w:rPr>
            <w:noProof/>
          </w:rPr>
          <w:t>Report structure</w:t>
        </w:r>
        <w:r>
          <w:rPr>
            <w:noProof/>
          </w:rPr>
          <w:fldChar w:fldCharType="end"/>
        </w:r>
        <w:r w:rsidR="00977786">
          <w:tab/>
        </w:r>
        <w:r w:rsidR="00977786">
          <w:tab/>
          <w:t xml:space="preserve">Page </w:t>
        </w:r>
        <w:r w:rsidR="00977786">
          <w:fldChar w:fldCharType="begin"/>
        </w:r>
        <w:r w:rsidR="00977786">
          <w:instrText xml:space="preserve"> PAGE  \* Arabic  \* MERGEFORMAT </w:instrText>
        </w:r>
        <w:r w:rsidR="00977786">
          <w:fldChar w:fldCharType="separate"/>
        </w:r>
        <w:r>
          <w:rPr>
            <w:noProof/>
          </w:rPr>
          <w:t>9</w:t>
        </w:r>
        <w:r w:rsidR="00977786">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475296"/>
      <w:docPartObj>
        <w:docPartGallery w:val="Page Numbers (Bottom of Page)"/>
        <w:docPartUnique/>
      </w:docPartObj>
    </w:sdtPr>
    <w:sdtEndPr/>
    <w:sdtContent>
      <w:p w14:paraId="2560BBCA" w14:textId="00C94970" w:rsidR="00977786" w:rsidRDefault="00AD530F" w:rsidP="00B15334">
        <w:pPr>
          <w:pStyle w:val="Footer"/>
          <w:tabs>
            <w:tab w:val="left" w:pos="3560"/>
            <w:tab w:val="right" w:pos="9072"/>
          </w:tabs>
          <w:jc w:val="left"/>
        </w:pPr>
        <w:r>
          <w:fldChar w:fldCharType="begin"/>
        </w:r>
        <w:r>
          <w:instrText xml:space="preserve"> STYLEREF  "Part Heading"  \* MERGEFORMAT </w:instrText>
        </w:r>
        <w:r>
          <w:fldChar w:fldCharType="separate"/>
        </w:r>
        <w:r>
          <w:rPr>
            <w:noProof/>
          </w:rPr>
          <w:t>Part 1 — Overview</w:t>
        </w:r>
        <w:r>
          <w:rPr>
            <w:noProof/>
          </w:rPr>
          <w:fldChar w:fldCharType="end"/>
        </w:r>
        <w:r w:rsidR="00977786">
          <w:tab/>
        </w:r>
        <w:r w:rsidR="00977786">
          <w:tab/>
          <w:t xml:space="preserve">Page </w:t>
        </w:r>
        <w:r w:rsidR="00977786">
          <w:fldChar w:fldCharType="begin"/>
        </w:r>
        <w:r w:rsidR="00977786">
          <w:instrText xml:space="preserve"> PAGE  \* Arabic  \* MERGEFORMAT </w:instrText>
        </w:r>
        <w:r w:rsidR="00977786">
          <w:fldChar w:fldCharType="separate"/>
        </w:r>
        <w:r>
          <w:rPr>
            <w:noProof/>
          </w:rPr>
          <w:t>20</w:t>
        </w:r>
        <w:r w:rsidR="00977786">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55628"/>
      <w:docPartObj>
        <w:docPartGallery w:val="Page Numbers (Bottom of Page)"/>
        <w:docPartUnique/>
      </w:docPartObj>
    </w:sdtPr>
    <w:sdtEndPr/>
    <w:sdtContent>
      <w:p w14:paraId="34DE647F" w14:textId="78C0A02F" w:rsidR="00977786" w:rsidRDefault="00AD530F" w:rsidP="00B15334">
        <w:pPr>
          <w:pStyle w:val="Footer"/>
          <w:tabs>
            <w:tab w:val="left" w:pos="3560"/>
            <w:tab w:val="right" w:pos="9072"/>
          </w:tabs>
          <w:jc w:val="left"/>
        </w:pPr>
        <w:r>
          <w:fldChar w:fldCharType="begin"/>
        </w:r>
        <w:r>
          <w:instrText xml:space="preserve"> STYLEREF  "Part Heading"  \* MERGEFORMAT </w:instrText>
        </w:r>
        <w:r>
          <w:fldChar w:fldCharType="separate"/>
        </w:r>
        <w:r>
          <w:rPr>
            <w:noProof/>
          </w:rPr>
          <w:t>Part 2 — Findings and draft recommendations</w:t>
        </w:r>
        <w:r>
          <w:rPr>
            <w:noProof/>
          </w:rPr>
          <w:fldChar w:fldCharType="end"/>
        </w:r>
        <w:r w:rsidR="00977786">
          <w:tab/>
          <w:t xml:space="preserve">Page </w:t>
        </w:r>
        <w:r w:rsidR="00977786">
          <w:fldChar w:fldCharType="begin"/>
        </w:r>
        <w:r w:rsidR="00977786">
          <w:instrText xml:space="preserve"> PAGE  \* Arabic  \* MERGEFORMAT </w:instrText>
        </w:r>
        <w:r w:rsidR="00977786">
          <w:fldChar w:fldCharType="separate"/>
        </w:r>
        <w:r>
          <w:rPr>
            <w:noProof/>
          </w:rPr>
          <w:t>69</w:t>
        </w:r>
        <w:r w:rsidR="00977786">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011052"/>
      <w:docPartObj>
        <w:docPartGallery w:val="Page Numbers (Bottom of Page)"/>
        <w:docPartUnique/>
      </w:docPartObj>
    </w:sdtPr>
    <w:sdtEndPr/>
    <w:sdtContent>
      <w:p w14:paraId="62D7B25C" w14:textId="07E25761" w:rsidR="00977786" w:rsidRDefault="00AD530F" w:rsidP="00B15334">
        <w:pPr>
          <w:pStyle w:val="Footer"/>
          <w:tabs>
            <w:tab w:val="left" w:pos="3560"/>
            <w:tab w:val="right" w:pos="9072"/>
          </w:tabs>
          <w:jc w:val="left"/>
        </w:pPr>
        <w:r>
          <w:fldChar w:fldCharType="begin"/>
        </w:r>
        <w:r>
          <w:instrText xml:space="preserve"> STYLEREF  "Part Heading"  \* MERGEFORMAT </w:instrText>
        </w:r>
        <w:r>
          <w:fldChar w:fldCharType="separate"/>
        </w:r>
        <w:r>
          <w:rPr>
            <w:noProof/>
          </w:rPr>
          <w:t>Part 5 — Competition institutions</w:t>
        </w:r>
        <w:r>
          <w:rPr>
            <w:noProof/>
          </w:rPr>
          <w:fldChar w:fldCharType="end"/>
        </w:r>
        <w:r w:rsidR="00977786">
          <w:tab/>
        </w:r>
        <w:r w:rsidR="00977786">
          <w:tab/>
          <w:t xml:space="preserve">Page </w:t>
        </w:r>
        <w:r w:rsidR="00977786">
          <w:fldChar w:fldCharType="begin"/>
        </w:r>
        <w:r w:rsidR="00977786">
          <w:instrText xml:space="preserve"> PAGE  \* Arabic  \* MERGEFORMAT </w:instrText>
        </w:r>
        <w:r w:rsidR="00977786">
          <w:fldChar w:fldCharType="separate"/>
        </w:r>
        <w:r>
          <w:rPr>
            <w:noProof/>
          </w:rPr>
          <w:t>299</w:t>
        </w:r>
        <w:r w:rsidR="00977786">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40D41" w14:textId="77777777" w:rsidR="00977786" w:rsidRDefault="00977786" w:rsidP="00271F1A">
      <w:pPr>
        <w:spacing w:after="0"/>
      </w:pPr>
      <w:r>
        <w:separator/>
      </w:r>
    </w:p>
  </w:footnote>
  <w:footnote w:type="continuationSeparator" w:id="0">
    <w:p w14:paraId="5A694B1C" w14:textId="77777777" w:rsidR="00977786" w:rsidRDefault="00977786">
      <w:r>
        <w:continuationSeparator/>
      </w:r>
    </w:p>
  </w:footnote>
  <w:footnote w:type="continuationNotice" w:id="1">
    <w:p w14:paraId="28C92477" w14:textId="77777777" w:rsidR="00977786" w:rsidRDefault="00977786">
      <w:pPr>
        <w:spacing w:before="0" w:after="0"/>
      </w:pPr>
    </w:p>
  </w:footnote>
  <w:footnote w:id="2">
    <w:p w14:paraId="73DAE72A" w14:textId="6A989397" w:rsidR="00977786" w:rsidRDefault="00977786" w:rsidP="00C45739">
      <w:pPr>
        <w:pStyle w:val="FootnoteText"/>
      </w:pPr>
      <w:r w:rsidRPr="00977786">
        <w:rPr>
          <w:rStyle w:val="FootnoteReference"/>
          <w:vertAlign w:val="baseline"/>
        </w:rPr>
        <w:footnoteRef/>
      </w:r>
      <w:r>
        <w:t xml:space="preserve"> </w:t>
      </w:r>
      <w:r>
        <w:tab/>
        <w:t xml:space="preserve">Banks, G 2005, </w:t>
      </w:r>
      <w:hyperlink r:id="rId1" w:history="1">
        <w:r w:rsidRPr="00E76410">
          <w:rPr>
            <w:rStyle w:val="Hyperlink"/>
          </w:rPr>
          <w:t>Structural Reform Australian</w:t>
        </w:r>
        <w:r>
          <w:rPr>
            <w:rStyle w:val="Hyperlink"/>
          </w:rPr>
          <w:noBreakHyphen/>
        </w:r>
        <w:r w:rsidRPr="00E76410">
          <w:rPr>
            <w:rStyle w:val="Hyperlink"/>
          </w:rPr>
          <w:t>Style: Lessons for Others?</w:t>
        </w:r>
      </w:hyperlink>
      <w:r>
        <w:t>, Presentation to the IMF, World Bank and OECD.</w:t>
      </w:r>
    </w:p>
  </w:footnote>
  <w:footnote w:id="3">
    <w:p w14:paraId="75163AC4" w14:textId="506D11A5" w:rsidR="00977786" w:rsidRDefault="00977786" w:rsidP="00271F1A">
      <w:pPr>
        <w:pStyle w:val="FootnoteText"/>
      </w:pPr>
      <w:r w:rsidRPr="00977786">
        <w:rPr>
          <w:rStyle w:val="FootnoteReference"/>
          <w:vertAlign w:val="baseline"/>
        </w:rPr>
        <w:footnoteRef/>
      </w:r>
      <w:r>
        <w:t xml:space="preserve"> </w:t>
      </w:r>
      <w:r>
        <w:tab/>
      </w:r>
      <w:r w:rsidRPr="00271F1A">
        <w:t>National</w:t>
      </w:r>
      <w:r>
        <w:t xml:space="preserve"> Competition Council 1999, </w:t>
      </w:r>
      <w:hyperlink r:id="rId2" w:history="1">
        <w:r w:rsidRPr="00DE6233">
          <w:rPr>
            <w:rStyle w:val="Hyperlink"/>
            <w:i/>
          </w:rPr>
          <w:t>National Competition Policy: Some impacts on society and the economy</w:t>
        </w:r>
      </w:hyperlink>
      <w:r>
        <w:rPr>
          <w:rStyle w:val="Hyperlink"/>
          <w:color w:val="auto"/>
        </w:rPr>
        <w:t>, page 9.</w:t>
      </w:r>
    </w:p>
  </w:footnote>
  <w:footnote w:id="4">
    <w:p w14:paraId="4893E76D" w14:textId="2B396851" w:rsidR="00977786" w:rsidRDefault="00977786" w:rsidP="00271F1A">
      <w:pPr>
        <w:pStyle w:val="FootnoteText"/>
        <w:ind w:right="-144"/>
      </w:pPr>
      <w:r w:rsidRPr="00977786">
        <w:rPr>
          <w:rStyle w:val="FootnoteReference"/>
          <w:vertAlign w:val="baseline"/>
        </w:rPr>
        <w:footnoteRef/>
      </w:r>
      <w:r>
        <w:t xml:space="preserve"> </w:t>
      </w:r>
      <w:r>
        <w:tab/>
        <w:t xml:space="preserve">OECD 2014, </w:t>
      </w:r>
      <w:hyperlink r:id="rId3" w:history="1">
        <w:r w:rsidRPr="00FD7C1D">
          <w:rPr>
            <w:rStyle w:val="Hyperlink"/>
          </w:rPr>
          <w:t>Shifting Gear: Policy Challenges for the next 50 Years</w:t>
        </w:r>
      </w:hyperlink>
      <w:r>
        <w:t>, OECD Economics Department Policy Notes, No. 24, page 1.</w:t>
      </w:r>
    </w:p>
  </w:footnote>
  <w:footnote w:id="5">
    <w:p w14:paraId="70D96AA9" w14:textId="0928B37B" w:rsidR="00977786" w:rsidRDefault="00977786" w:rsidP="00C45739">
      <w:pPr>
        <w:pStyle w:val="FootnoteText"/>
      </w:pPr>
      <w:r w:rsidRPr="00977786">
        <w:rPr>
          <w:rStyle w:val="FootnoteReference"/>
          <w:vertAlign w:val="baseline"/>
        </w:rPr>
        <w:footnoteRef/>
      </w:r>
      <w:r>
        <w:t xml:space="preserve"> </w:t>
      </w:r>
      <w:r>
        <w:tab/>
        <w:t xml:space="preserve">Productivity Commission 2013, </w:t>
      </w:r>
      <w:hyperlink r:id="rId4" w:history="1">
        <w:r w:rsidRPr="00A2237F">
          <w:rPr>
            <w:rStyle w:val="Hyperlink"/>
          </w:rPr>
          <w:t>An Ageing Australia: Preparing for the Future</w:t>
        </w:r>
      </w:hyperlink>
      <w:r>
        <w:t xml:space="preserve">, Research paper, page 6. </w:t>
      </w:r>
    </w:p>
  </w:footnote>
  <w:footnote w:id="6">
    <w:p w14:paraId="5FDDC02A" w14:textId="676FBFDA" w:rsidR="00977786" w:rsidRDefault="00977786" w:rsidP="00C45739">
      <w:pPr>
        <w:pStyle w:val="FootnoteText"/>
      </w:pPr>
      <w:r w:rsidRPr="00977786">
        <w:rPr>
          <w:rStyle w:val="FootnoteReference"/>
          <w:vertAlign w:val="baseline"/>
        </w:rPr>
        <w:footnoteRef/>
      </w:r>
      <w:r>
        <w:t xml:space="preserve"> </w:t>
      </w:r>
      <w:r>
        <w:tab/>
        <w:t xml:space="preserve">Australian Government 2010, </w:t>
      </w:r>
      <w:hyperlink r:id="rId5" w:history="1">
        <w:r w:rsidRPr="00DE6233">
          <w:rPr>
            <w:rStyle w:val="Hyperlink"/>
            <w:i/>
          </w:rPr>
          <w:t>Intergenerational Report</w:t>
        </w:r>
      </w:hyperlink>
      <w:r>
        <w:t>, page 47.</w:t>
      </w:r>
    </w:p>
  </w:footnote>
  <w:footnote w:id="7">
    <w:p w14:paraId="12FBF669" w14:textId="6421BD49" w:rsidR="00977786" w:rsidRDefault="00977786">
      <w:pPr>
        <w:pStyle w:val="FootnoteText"/>
      </w:pPr>
      <w:r w:rsidRPr="00977786">
        <w:rPr>
          <w:rStyle w:val="FootnoteReference"/>
          <w:vertAlign w:val="baseline"/>
        </w:rPr>
        <w:footnoteRef/>
      </w:r>
      <w:r>
        <w:t xml:space="preserve"> </w:t>
      </w:r>
      <w:r>
        <w:tab/>
      </w:r>
      <w:proofErr w:type="gramStart"/>
      <w:r>
        <w:t xml:space="preserve">Section 2 of the former </w:t>
      </w:r>
      <w:r w:rsidRPr="00C573F7">
        <w:rPr>
          <w:i/>
        </w:rPr>
        <w:t>Trade Practices Act 1974</w:t>
      </w:r>
      <w:r>
        <w:t>.</w:t>
      </w:r>
      <w:proofErr w:type="gramEnd"/>
      <w:r>
        <w:t xml:space="preserve"> </w:t>
      </w:r>
      <w:proofErr w:type="gramStart"/>
      <w:r>
        <w:t xml:space="preserve">Now section 2 of the </w:t>
      </w:r>
      <w:r w:rsidRPr="006B3CBC">
        <w:rPr>
          <w:i/>
        </w:rPr>
        <w:t>Competition and Consumer Act 2010</w:t>
      </w:r>
      <w:r>
        <w:t xml:space="preserve"> (CCA).</w:t>
      </w:r>
      <w:proofErr w:type="gramEnd"/>
      <w:r>
        <w:t xml:space="preserve"> </w:t>
      </w:r>
    </w:p>
  </w:footnote>
  <w:footnote w:id="8">
    <w:p w14:paraId="22692A8C" w14:textId="79A3352B" w:rsidR="00977786" w:rsidRDefault="00977786" w:rsidP="001E4B43">
      <w:pPr>
        <w:pStyle w:val="FootnoteText"/>
      </w:pPr>
      <w:r w:rsidRPr="00977786">
        <w:rPr>
          <w:rStyle w:val="FootnoteReference"/>
          <w:vertAlign w:val="baseline"/>
        </w:rPr>
        <w:footnoteRef/>
      </w:r>
      <w:r>
        <w:t xml:space="preserve"> </w:t>
      </w:r>
      <w:r>
        <w:tab/>
      </w:r>
      <w:r>
        <w:rPr>
          <w:szCs w:val="18"/>
        </w:rPr>
        <w:t xml:space="preserve">Report by the National Competition Policy Review 1993, </w:t>
      </w:r>
      <w:hyperlink r:id="rId6" w:history="1">
        <w:r w:rsidRPr="001C6864">
          <w:rPr>
            <w:rStyle w:val="Hyperlink"/>
            <w:i/>
            <w:szCs w:val="18"/>
          </w:rPr>
          <w:t>National Competition Policy</w:t>
        </w:r>
      </w:hyperlink>
      <w:r w:rsidRPr="001C6864">
        <w:rPr>
          <w:i/>
        </w:rPr>
        <w:t>,</w:t>
      </w:r>
      <w:r>
        <w:t xml:space="preserve"> page xvii</w:t>
      </w:r>
    </w:p>
  </w:footnote>
  <w:footnote w:id="9">
    <w:p w14:paraId="37920C36" w14:textId="118A7043" w:rsidR="00977786" w:rsidRDefault="00977786" w:rsidP="001E4B43">
      <w:pPr>
        <w:pStyle w:val="FootnoteText"/>
      </w:pPr>
      <w:r w:rsidRPr="00977786">
        <w:rPr>
          <w:rStyle w:val="FootnoteReference"/>
          <w:vertAlign w:val="baseline"/>
        </w:rPr>
        <w:footnoteRef/>
      </w:r>
      <w:r>
        <w:t xml:space="preserve"> </w:t>
      </w:r>
      <w:r>
        <w:tab/>
        <w:t xml:space="preserve">See The Treasury 2010, </w:t>
      </w:r>
      <w:hyperlink r:id="rId7" w:history="1">
        <w:r w:rsidRPr="00F15A8B">
          <w:rPr>
            <w:rStyle w:val="Hyperlink"/>
            <w:i/>
          </w:rPr>
          <w:t>The 2010 Intergenerational Report</w:t>
        </w:r>
      </w:hyperlink>
      <w:r>
        <w:t>, page 46.</w:t>
      </w:r>
    </w:p>
  </w:footnote>
  <w:footnote w:id="10">
    <w:p w14:paraId="78EB34CD" w14:textId="7B783260" w:rsidR="00977786" w:rsidRDefault="00977786" w:rsidP="001E4B43">
      <w:pPr>
        <w:pStyle w:val="FootnoteText"/>
      </w:pPr>
      <w:r w:rsidRPr="00977786">
        <w:rPr>
          <w:rStyle w:val="FootnoteReference"/>
          <w:vertAlign w:val="baseline"/>
        </w:rPr>
        <w:footnoteRef/>
      </w:r>
      <w:r>
        <w:t xml:space="preserve"> </w:t>
      </w:r>
      <w:r>
        <w:tab/>
      </w:r>
      <w:r w:rsidRPr="00471EF4">
        <w:t>Paragraph 51(2</w:t>
      </w:r>
      <w:proofErr w:type="gramStart"/>
      <w:r w:rsidRPr="00471EF4">
        <w:t>)(</w:t>
      </w:r>
      <w:proofErr w:type="gramEnd"/>
      <w:r w:rsidRPr="00471EF4">
        <w:t xml:space="preserve">c) of the </w:t>
      </w:r>
      <w:r w:rsidRPr="00363AB5">
        <w:rPr>
          <w:i/>
        </w:rPr>
        <w:t>Competition and Consumer Act 2010</w:t>
      </w:r>
      <w:r>
        <w:t>.</w:t>
      </w:r>
    </w:p>
  </w:footnote>
  <w:footnote w:id="11">
    <w:p w14:paraId="26676032" w14:textId="6CFBCAE6" w:rsidR="00977786" w:rsidRDefault="00977786">
      <w:pPr>
        <w:pStyle w:val="FootnoteText"/>
      </w:pPr>
      <w:r w:rsidRPr="00977786">
        <w:rPr>
          <w:rStyle w:val="FootnoteReference"/>
          <w:vertAlign w:val="baseline"/>
        </w:rPr>
        <w:footnoteRef/>
      </w:r>
      <w:r>
        <w:t xml:space="preserve"> </w:t>
      </w:r>
      <w:r>
        <w:tab/>
        <w:t xml:space="preserve">The </w:t>
      </w:r>
      <w:r w:rsidRPr="009B714E">
        <w:t>Panel notes that the prohibition on certain public disclosures also applies to disclosures of a corporation</w:t>
      </w:r>
      <w:r>
        <w:t>’</w:t>
      </w:r>
      <w:r w:rsidRPr="009B714E">
        <w:t xml:space="preserve">s capacity or commercial strategy. The Draft Report does not deal with these matters separately, </w:t>
      </w:r>
      <w:r>
        <w:t>since</w:t>
      </w:r>
      <w:r w:rsidRPr="009B714E">
        <w:t xml:space="preserve"> the Panel considers that the same issues arise as </w:t>
      </w:r>
      <w:r>
        <w:t>in the case of</w:t>
      </w:r>
      <w:r w:rsidRPr="009B714E">
        <w:t xml:space="preserve"> public price disclosure.</w:t>
      </w:r>
    </w:p>
  </w:footnote>
  <w:footnote w:id="12">
    <w:p w14:paraId="7604D8FF" w14:textId="3C2B74D0" w:rsidR="00977786" w:rsidRPr="001715DA" w:rsidRDefault="00977786">
      <w:pPr>
        <w:pStyle w:val="FootnoteText"/>
        <w:rPr>
          <w:lang w:val="en-US"/>
        </w:rPr>
      </w:pPr>
      <w:r w:rsidRPr="00977786">
        <w:rPr>
          <w:rStyle w:val="FootnoteReference"/>
          <w:vertAlign w:val="baseline"/>
        </w:rPr>
        <w:footnoteRef/>
      </w:r>
      <w:r>
        <w:t xml:space="preserve"> </w:t>
      </w:r>
      <w:r>
        <w:tab/>
      </w:r>
      <w:r>
        <w:rPr>
          <w:lang w:val="en-US"/>
        </w:rPr>
        <w:t xml:space="preserve">See </w:t>
      </w:r>
      <w:r w:rsidRPr="00D21D5D">
        <w:t>subsections</w:t>
      </w:r>
      <w:r>
        <w:t> 46</w:t>
      </w:r>
      <w:r w:rsidRPr="00D21D5D">
        <w:t>(1AAA) and</w:t>
      </w:r>
      <w:r>
        <w:t> </w:t>
      </w:r>
      <w:r w:rsidRPr="00D21D5D">
        <w:t>(1AA)</w:t>
      </w:r>
      <w:r>
        <w:t>.</w:t>
      </w:r>
    </w:p>
  </w:footnote>
  <w:footnote w:id="13">
    <w:p w14:paraId="5131F9E1" w14:textId="63F67676" w:rsidR="00977786" w:rsidRPr="00BB437E" w:rsidRDefault="00977786" w:rsidP="00170CD3">
      <w:pPr>
        <w:pStyle w:val="FootnoteText"/>
        <w:rPr>
          <w:lang w:val="en-US"/>
        </w:rPr>
      </w:pPr>
      <w:r w:rsidRPr="00977786">
        <w:rPr>
          <w:rStyle w:val="FootnoteReference"/>
          <w:vertAlign w:val="baseline"/>
        </w:rPr>
        <w:footnoteRef/>
      </w:r>
      <w:r>
        <w:t xml:space="preserve"> </w:t>
      </w:r>
      <w:r>
        <w:tab/>
      </w:r>
      <w:proofErr w:type="gramStart"/>
      <w:r>
        <w:rPr>
          <w:lang w:val="en-US"/>
        </w:rPr>
        <w:t xml:space="preserve">Subsections 45(8) and 47(12) of the </w:t>
      </w:r>
      <w:r>
        <w:rPr>
          <w:i/>
          <w:lang w:val="en-US"/>
        </w:rPr>
        <w:t>Competition and Consumer Act 2010</w:t>
      </w:r>
      <w:r>
        <w:rPr>
          <w:lang w:val="en-US"/>
        </w:rPr>
        <w:t>.</w:t>
      </w:r>
      <w:proofErr w:type="gramEnd"/>
    </w:p>
  </w:footnote>
  <w:footnote w:id="14">
    <w:p w14:paraId="00A8DD82" w14:textId="44153CEF" w:rsidR="00977786" w:rsidRDefault="00977786" w:rsidP="000752DD">
      <w:pPr>
        <w:pStyle w:val="FootnoteText"/>
      </w:pPr>
      <w:r w:rsidRPr="00977786">
        <w:rPr>
          <w:rStyle w:val="FootnoteReference"/>
          <w:vertAlign w:val="baseline"/>
        </w:rPr>
        <w:footnoteRef/>
      </w:r>
      <w:r>
        <w:t xml:space="preserve"> </w:t>
      </w:r>
      <w:r>
        <w:tab/>
        <w:t xml:space="preserve">Productivity Commission 2005, </w:t>
      </w:r>
      <w:hyperlink r:id="rId8" w:history="1">
        <w:r w:rsidRPr="0031183F">
          <w:rPr>
            <w:rStyle w:val="Hyperlink"/>
            <w:i/>
          </w:rPr>
          <w:t>Review of National Competition Policy Reforms</w:t>
        </w:r>
      </w:hyperlink>
      <w:r>
        <w:t>, page 152.</w:t>
      </w:r>
    </w:p>
  </w:footnote>
  <w:footnote w:id="15">
    <w:p w14:paraId="51A62208" w14:textId="179BAC4C" w:rsidR="00977786" w:rsidRDefault="00977786">
      <w:pPr>
        <w:pStyle w:val="FootnoteText"/>
      </w:pPr>
      <w:r w:rsidRPr="00977786">
        <w:rPr>
          <w:rStyle w:val="FootnoteReference"/>
          <w:vertAlign w:val="baseline"/>
        </w:rPr>
        <w:footnoteRef/>
      </w:r>
      <w:r>
        <w:t xml:space="preserve"> </w:t>
      </w:r>
      <w:r>
        <w:tab/>
      </w:r>
      <w:proofErr w:type="gramStart"/>
      <w:r>
        <w:t xml:space="preserve">National Commission of Audit, </w:t>
      </w:r>
      <w:hyperlink r:id="rId9" w:history="1">
        <w:r w:rsidRPr="0031183F">
          <w:rPr>
            <w:rStyle w:val="Hyperlink"/>
            <w:i/>
          </w:rPr>
          <w:t>Phase One Report</w:t>
        </w:r>
      </w:hyperlink>
      <w:r>
        <w:t>, page xlii.</w:t>
      </w:r>
      <w:proofErr w:type="gramEnd"/>
    </w:p>
  </w:footnote>
  <w:footnote w:id="16">
    <w:p w14:paraId="7322CE84" w14:textId="358DFBA8" w:rsidR="00977786" w:rsidRDefault="00977786" w:rsidP="00551AD5">
      <w:pPr>
        <w:pStyle w:val="FootnoteText"/>
      </w:pPr>
      <w:r w:rsidRPr="00977786">
        <w:rPr>
          <w:rStyle w:val="FootnoteReference"/>
          <w:vertAlign w:val="baseline"/>
        </w:rPr>
        <w:footnoteRef/>
      </w:r>
      <w:r>
        <w:t xml:space="preserve"> </w:t>
      </w:r>
      <w:r>
        <w:tab/>
        <w:t xml:space="preserve">Hawke, B 1991, </w:t>
      </w:r>
      <w:hyperlink r:id="rId10" w:history="1">
        <w:r w:rsidRPr="00551AD5">
          <w:rPr>
            <w:rStyle w:val="Hyperlink"/>
          </w:rPr>
          <w:t>Building a Competitive Australia</w:t>
        </w:r>
      </w:hyperlink>
      <w:r>
        <w:t xml:space="preserve">, page 9. </w:t>
      </w:r>
    </w:p>
  </w:footnote>
  <w:footnote w:id="17">
    <w:p w14:paraId="04F79F8E" w14:textId="1C166BE8" w:rsidR="00977786" w:rsidRDefault="00977786" w:rsidP="004A3737">
      <w:pPr>
        <w:pStyle w:val="FootnoteText"/>
      </w:pPr>
      <w:r w:rsidRPr="00977786">
        <w:rPr>
          <w:rStyle w:val="FootnoteReference"/>
          <w:vertAlign w:val="baseline"/>
        </w:rPr>
        <w:footnoteRef/>
      </w:r>
      <w:r>
        <w:t xml:space="preserve"> </w:t>
      </w:r>
      <w:r>
        <w:tab/>
        <w:t xml:space="preserve">National Competition Council 1998, </w:t>
      </w:r>
      <w:hyperlink r:id="rId11" w:history="1">
        <w:r w:rsidRPr="00DF114F">
          <w:rPr>
            <w:rStyle w:val="Hyperlink"/>
            <w:i/>
          </w:rPr>
          <w:t>Compendium of National Competition Policy Agreements</w:t>
        </w:r>
        <w:r w:rsidRPr="004C3B08">
          <w:rPr>
            <w:rStyle w:val="Hyperlink"/>
          </w:rPr>
          <w:t>, Second Edition</w:t>
        </w:r>
      </w:hyperlink>
      <w:r>
        <w:t xml:space="preserve">. </w:t>
      </w:r>
    </w:p>
  </w:footnote>
  <w:footnote w:id="18">
    <w:p w14:paraId="40225215" w14:textId="090EE3A0" w:rsidR="00977786" w:rsidRDefault="00977786" w:rsidP="00583321">
      <w:pPr>
        <w:pStyle w:val="FootnoteText"/>
      </w:pPr>
      <w:r w:rsidRPr="00977786">
        <w:rPr>
          <w:rStyle w:val="FootnoteReference"/>
          <w:vertAlign w:val="baseline"/>
        </w:rPr>
        <w:footnoteRef/>
      </w:r>
      <w:r>
        <w:t xml:space="preserve"> </w:t>
      </w:r>
      <w:r>
        <w:tab/>
        <w:t xml:space="preserve">Productivity Commission 2005, </w:t>
      </w:r>
      <w:hyperlink r:id="rId12" w:history="1">
        <w:r w:rsidRPr="00DF114F">
          <w:rPr>
            <w:rStyle w:val="Hyperlink"/>
            <w:i/>
          </w:rPr>
          <w:t>Review of National Competition Policy Reforms</w:t>
        </w:r>
      </w:hyperlink>
      <w:r>
        <w:t>, page 130.</w:t>
      </w:r>
    </w:p>
  </w:footnote>
  <w:footnote w:id="19">
    <w:p w14:paraId="3A14D793" w14:textId="6EFBB815" w:rsidR="00977786" w:rsidRDefault="00977786" w:rsidP="00430447">
      <w:pPr>
        <w:pStyle w:val="FootnoteText"/>
      </w:pPr>
      <w:r w:rsidRPr="00977786">
        <w:rPr>
          <w:rStyle w:val="FootnoteReference"/>
          <w:vertAlign w:val="baseline"/>
        </w:rPr>
        <w:footnoteRef/>
      </w:r>
      <w:r w:rsidRPr="00C111D6">
        <w:t xml:space="preserve"> </w:t>
      </w:r>
      <w:r>
        <w:tab/>
        <w:t xml:space="preserve">See clause 5 of the </w:t>
      </w:r>
      <w:hyperlink r:id="rId13" w:history="1">
        <w:r w:rsidRPr="00424EDF">
          <w:rPr>
            <w:rStyle w:val="Hyperlink"/>
          </w:rPr>
          <w:t>Competition Principles Agreement</w:t>
        </w:r>
      </w:hyperlink>
      <w:r w:rsidRPr="00C111D6">
        <w:t>.</w:t>
      </w:r>
      <w:r>
        <w:t xml:space="preserve"> This was supported in submissions, for example by the Housing Industry Association, page 13.</w:t>
      </w:r>
    </w:p>
  </w:footnote>
  <w:footnote w:id="20">
    <w:p w14:paraId="4C9EE683" w14:textId="7410F0F6" w:rsidR="00977786" w:rsidRDefault="00977786" w:rsidP="00430447">
      <w:pPr>
        <w:pStyle w:val="FootnoteText"/>
      </w:pPr>
      <w:r w:rsidRPr="00977786">
        <w:rPr>
          <w:rStyle w:val="FootnoteReference"/>
          <w:vertAlign w:val="baseline"/>
        </w:rPr>
        <w:footnoteRef/>
      </w:r>
      <w:r>
        <w:t xml:space="preserve"> </w:t>
      </w:r>
      <w:r>
        <w:tab/>
      </w:r>
      <w:proofErr w:type="gramStart"/>
      <w:r>
        <w:t xml:space="preserve">National Competition Council </w:t>
      </w:r>
      <w:hyperlink r:id="rId14" w:history="1">
        <w:r w:rsidRPr="0085437B">
          <w:rPr>
            <w:i/>
          </w:rPr>
          <w:t>2005,</w:t>
        </w:r>
        <w:r w:rsidRPr="0085437B">
          <w:rPr>
            <w:rStyle w:val="Hyperlink"/>
            <w:i/>
          </w:rPr>
          <w:t xml:space="preserve"> Assessment of governments’ progress in implementing the National Competition Policy and related reforms</w:t>
        </w:r>
      </w:hyperlink>
      <w:r>
        <w:t>, page xi.</w:t>
      </w:r>
      <w:proofErr w:type="gramEnd"/>
    </w:p>
  </w:footnote>
  <w:footnote w:id="21">
    <w:p w14:paraId="3C60A86E" w14:textId="477B3F2D" w:rsidR="00977786" w:rsidRDefault="00977786">
      <w:pPr>
        <w:pStyle w:val="FootnoteText"/>
      </w:pPr>
      <w:r w:rsidRPr="00977786">
        <w:rPr>
          <w:rStyle w:val="FootnoteReference"/>
          <w:vertAlign w:val="baseline"/>
        </w:rPr>
        <w:footnoteRef/>
      </w:r>
      <w:r>
        <w:t xml:space="preserve"> </w:t>
      </w:r>
      <w:r>
        <w:tab/>
        <w:t xml:space="preserve">Although </w:t>
      </w:r>
      <w:r w:rsidRPr="003C14A8">
        <w:t xml:space="preserve">subsection 51(1) of the </w:t>
      </w:r>
      <w:r w:rsidRPr="00030AA1">
        <w:rPr>
          <w:i/>
        </w:rPr>
        <w:t>Competition and Consumer Act 2010</w:t>
      </w:r>
      <w:r w:rsidRPr="003C14A8">
        <w:t xml:space="preserve"> provides that all jurisdictions can exempt specific conduct from competition laws by way of regulations or legislation.</w:t>
      </w:r>
      <w:r>
        <w:t xml:space="preserve"> The Acts and Regulations that contain these exemptions are listed on the </w:t>
      </w:r>
      <w:hyperlink r:id="rId15" w:history="1">
        <w:r w:rsidRPr="006F26B5">
          <w:rPr>
            <w:rStyle w:val="Hyperlink"/>
          </w:rPr>
          <w:t>ACCC’s website</w:t>
        </w:r>
      </w:hyperlink>
      <w:r>
        <w:t>.</w:t>
      </w:r>
    </w:p>
  </w:footnote>
  <w:footnote w:id="22">
    <w:p w14:paraId="7062C9CF" w14:textId="6D718809" w:rsidR="00977786" w:rsidRDefault="00977786">
      <w:pPr>
        <w:pStyle w:val="FootnoteText"/>
      </w:pPr>
      <w:r w:rsidRPr="00977786">
        <w:rPr>
          <w:rStyle w:val="FootnoteReference"/>
          <w:vertAlign w:val="baseline"/>
        </w:rPr>
        <w:footnoteRef/>
      </w:r>
      <w:r>
        <w:t xml:space="preserve"> </w:t>
      </w:r>
      <w:r>
        <w:tab/>
        <w:t>Business Council of Australia, Main Report, Exhibit 6, page 21.</w:t>
      </w:r>
    </w:p>
  </w:footnote>
  <w:footnote w:id="23">
    <w:p w14:paraId="5E3F2FA7" w14:textId="657A122B" w:rsidR="00977786" w:rsidRPr="00FE6C75" w:rsidRDefault="00977786">
      <w:pPr>
        <w:pStyle w:val="FootnoteText"/>
      </w:pPr>
      <w:r w:rsidRPr="00977786">
        <w:rPr>
          <w:rStyle w:val="FootnoteReference"/>
          <w:vertAlign w:val="baseline"/>
        </w:rPr>
        <w:footnoteRef/>
      </w:r>
      <w:r w:rsidRPr="00FE6C75">
        <w:t xml:space="preserve"> </w:t>
      </w:r>
      <w:r>
        <w:tab/>
        <w:t>See for example, OECD</w:t>
      </w:r>
      <w:r w:rsidRPr="00191B16">
        <w:t xml:space="preserve"> 2014, </w:t>
      </w:r>
      <w:hyperlink r:id="rId16" w:history="1">
        <w:r w:rsidRPr="00191B16">
          <w:rPr>
            <w:rStyle w:val="Hyperlink"/>
          </w:rPr>
          <w:t>How Can Competition Contribute to the G</w:t>
        </w:r>
        <w:r>
          <w:rPr>
            <w:rStyle w:val="Hyperlink"/>
          </w:rPr>
          <w:noBreakHyphen/>
        </w:r>
        <w:r w:rsidRPr="00191B16">
          <w:rPr>
            <w:rStyle w:val="Hyperlink"/>
          </w:rPr>
          <w:t>20 Commitment to Raise GDP by at Least 2%?</w:t>
        </w:r>
      </w:hyperlink>
      <w:proofErr w:type="gramStart"/>
      <w:r w:rsidRPr="00191B16">
        <w:t xml:space="preserve">, </w:t>
      </w:r>
      <w:r w:rsidRPr="00FE6C75">
        <w:t>p</w:t>
      </w:r>
      <w:r>
        <w:t>age </w:t>
      </w:r>
      <w:r w:rsidRPr="00FE6C75">
        <w:t>2</w:t>
      </w:r>
      <w:r>
        <w:t>.</w:t>
      </w:r>
      <w:proofErr w:type="gramEnd"/>
    </w:p>
  </w:footnote>
  <w:footnote w:id="24">
    <w:p w14:paraId="5B942C4C" w14:textId="4164E3F0" w:rsidR="00977786" w:rsidRDefault="00977786" w:rsidP="00275B6B">
      <w:pPr>
        <w:pStyle w:val="FootnoteText"/>
      </w:pPr>
      <w:r w:rsidRPr="00977786">
        <w:rPr>
          <w:rStyle w:val="FootnoteReference"/>
          <w:vertAlign w:val="baseline"/>
        </w:rPr>
        <w:footnoteRef/>
      </w:r>
      <w:r>
        <w:t xml:space="preserve"> </w:t>
      </w:r>
      <w:r>
        <w:tab/>
        <w:t xml:space="preserve">National Competition Council 2005, </w:t>
      </w:r>
      <w:hyperlink r:id="rId17" w:history="1">
        <w:r w:rsidRPr="00E424E0">
          <w:rPr>
            <w:rStyle w:val="Hyperlink"/>
            <w:i/>
          </w:rPr>
          <w:t>National Competition Council Assessment of governments’ progress in implementing the National Competition Policy and related reforms: 2005</w:t>
        </w:r>
      </w:hyperlink>
      <w:r>
        <w:t>,</w:t>
      </w:r>
      <w:r w:rsidRPr="00C9583F">
        <w:t xml:space="preserve"> page</w:t>
      </w:r>
      <w:r>
        <w:t xml:space="preserve"> xii.</w:t>
      </w:r>
    </w:p>
  </w:footnote>
  <w:footnote w:id="25">
    <w:p w14:paraId="52045E75" w14:textId="7C326BF0" w:rsidR="00977786" w:rsidRDefault="00977786" w:rsidP="00C46E7E">
      <w:pPr>
        <w:pStyle w:val="FootnoteText"/>
      </w:pPr>
      <w:r w:rsidRPr="00977786">
        <w:rPr>
          <w:rStyle w:val="FootnoteReference"/>
          <w:vertAlign w:val="baseline"/>
        </w:rPr>
        <w:footnoteRef/>
      </w:r>
      <w:r>
        <w:t xml:space="preserve"> </w:t>
      </w:r>
      <w:r>
        <w:tab/>
      </w:r>
      <w:r w:rsidRPr="003C14A8">
        <w:t xml:space="preserve">In </w:t>
      </w:r>
      <w:r>
        <w:t>its</w:t>
      </w:r>
      <w:r w:rsidRPr="003C14A8">
        <w:t xml:space="preserve"> report on NCP, the PC recommended that all Australian governments should ensure that they have in place effective and independent arrangements for monitoring new and amen</w:t>
      </w:r>
      <w:r>
        <w:t xml:space="preserve">ded legislation. </w:t>
      </w:r>
      <w:proofErr w:type="gramStart"/>
      <w:r>
        <w:t xml:space="preserve">(Productivity Commission 2005, </w:t>
      </w:r>
      <w:hyperlink r:id="rId18" w:history="1">
        <w:r w:rsidRPr="00E424E0">
          <w:rPr>
            <w:rStyle w:val="Hyperlink"/>
            <w:i/>
          </w:rPr>
          <w:t>Review of National Competition Policy Arrangements</w:t>
        </w:r>
      </w:hyperlink>
      <w:r>
        <w:t>, page</w:t>
      </w:r>
      <w:r w:rsidRPr="003C14A8">
        <w:t xml:space="preserve"> x (</w:t>
      </w:r>
      <w:r>
        <w:t>R</w:t>
      </w:r>
      <w:r w:rsidRPr="003C14A8">
        <w:t>ec</w:t>
      </w:r>
      <w:r>
        <w:t>ommendation</w:t>
      </w:r>
      <w:r w:rsidRPr="003C14A8">
        <w:t xml:space="preserve"> 9.2))</w:t>
      </w:r>
      <w:r>
        <w:t>.</w:t>
      </w:r>
      <w:proofErr w:type="gramEnd"/>
    </w:p>
  </w:footnote>
  <w:footnote w:id="26">
    <w:p w14:paraId="5E744656" w14:textId="2F8FA5FF" w:rsidR="00977786" w:rsidRDefault="00977786" w:rsidP="00170066">
      <w:pPr>
        <w:pStyle w:val="FootnoteText"/>
      </w:pPr>
      <w:r w:rsidRPr="00977786">
        <w:rPr>
          <w:rStyle w:val="FootnoteReference"/>
          <w:vertAlign w:val="baseline"/>
        </w:rPr>
        <w:footnoteRef/>
      </w:r>
      <w:r>
        <w:t xml:space="preserve"> </w:t>
      </w:r>
      <w:r>
        <w:tab/>
      </w:r>
      <w:proofErr w:type="gramStart"/>
      <w:r>
        <w:t xml:space="preserve">Council of Australian Governments 1995, </w:t>
      </w:r>
      <w:hyperlink r:id="rId19" w:history="1">
        <w:r w:rsidRPr="00A426EE">
          <w:rPr>
            <w:rStyle w:val="Hyperlink"/>
          </w:rPr>
          <w:t>Competition Principles Agreement</w:t>
        </w:r>
      </w:hyperlink>
      <w:r>
        <w:t>.</w:t>
      </w:r>
      <w:proofErr w:type="gramEnd"/>
    </w:p>
  </w:footnote>
  <w:footnote w:id="27">
    <w:p w14:paraId="18774329" w14:textId="1F0A4FC2" w:rsidR="00977786" w:rsidRDefault="00977786">
      <w:pPr>
        <w:pStyle w:val="FootnoteText"/>
      </w:pPr>
      <w:r w:rsidRPr="00977786">
        <w:rPr>
          <w:rStyle w:val="FootnoteReference"/>
          <w:vertAlign w:val="baseline"/>
        </w:rPr>
        <w:footnoteRef/>
      </w:r>
      <w:r>
        <w:t xml:space="preserve"> </w:t>
      </w:r>
      <w:r>
        <w:tab/>
      </w:r>
      <w:r w:rsidRPr="00470495">
        <w:rPr>
          <w:szCs w:val="22"/>
        </w:rPr>
        <w:t xml:space="preserve">Productivity Commission 2012, </w:t>
      </w:r>
      <w:hyperlink r:id="rId20" w:history="1">
        <w:r w:rsidRPr="00E424E0">
          <w:rPr>
            <w:rStyle w:val="Hyperlink"/>
            <w:i/>
            <w:szCs w:val="22"/>
          </w:rPr>
          <w:t>Performance Benchmarking of Australian Business Regulation: The Role of Local Government as Regulator</w:t>
        </w:r>
      </w:hyperlink>
      <w:r w:rsidRPr="00E424E0">
        <w:t>.</w:t>
      </w:r>
    </w:p>
  </w:footnote>
  <w:footnote w:id="28">
    <w:p w14:paraId="236CF946" w14:textId="10A08093" w:rsidR="00977786" w:rsidRDefault="00977786" w:rsidP="00215822">
      <w:pPr>
        <w:pStyle w:val="FootnoteText"/>
      </w:pPr>
      <w:r w:rsidRPr="00977786">
        <w:rPr>
          <w:rStyle w:val="FootnoteReference"/>
          <w:vertAlign w:val="baseline"/>
        </w:rPr>
        <w:footnoteRef/>
      </w:r>
      <w:r>
        <w:t xml:space="preserve"> </w:t>
      </w:r>
      <w:r>
        <w:tab/>
      </w:r>
      <w:proofErr w:type="gramStart"/>
      <w:r>
        <w:t xml:space="preserve">Council of Australian Governments 2007, </w:t>
      </w:r>
      <w:hyperlink r:id="rId21" w:history="1">
        <w:r w:rsidRPr="005628E5">
          <w:rPr>
            <w:rStyle w:val="Hyperlink"/>
            <w:i/>
          </w:rPr>
          <w:t>COAG best practice regulation guide</w:t>
        </w:r>
      </w:hyperlink>
      <w:r>
        <w:t>.</w:t>
      </w:r>
      <w:proofErr w:type="gramEnd"/>
      <w:r>
        <w:t xml:space="preserve"> See also: </w:t>
      </w:r>
      <w:hyperlink r:id="rId22" w:history="1">
        <w:r>
          <w:rPr>
            <w:rStyle w:val="Hyperlink"/>
          </w:rPr>
          <w:t>www.dpmc.gov.au/deregulation/obpr/proposal/coag_requirements/index.cfm</w:t>
        </w:r>
      </w:hyperlink>
      <w:r>
        <w:rPr>
          <w:rStyle w:val="Hyperlink"/>
        </w:rPr>
        <w:t>.</w:t>
      </w:r>
    </w:p>
  </w:footnote>
  <w:footnote w:id="29">
    <w:p w14:paraId="1EF1807C" w14:textId="413D1AD8" w:rsidR="00977786" w:rsidRDefault="00977786" w:rsidP="001126AD">
      <w:pPr>
        <w:pStyle w:val="FootnoteText"/>
      </w:pPr>
      <w:r w:rsidRPr="00977786">
        <w:rPr>
          <w:rStyle w:val="FootnoteReference"/>
          <w:vertAlign w:val="baseline"/>
        </w:rPr>
        <w:footnoteRef/>
      </w:r>
      <w:r>
        <w:t xml:space="preserve"> </w:t>
      </w:r>
      <w:r>
        <w:tab/>
        <w:t xml:space="preserve">Harris, P 2014, </w:t>
      </w:r>
      <w:hyperlink r:id="rId23" w:history="1">
        <w:r w:rsidRPr="00081CBC">
          <w:rPr>
            <w:rStyle w:val="Hyperlink"/>
          </w:rPr>
          <w:t xml:space="preserve">Crawford School of Public Policy, ANU: Competition Policy and Deregulation — </w:t>
        </w:r>
        <w:r>
          <w:rPr>
            <w:rStyle w:val="Hyperlink"/>
          </w:rPr>
          <w:t>c</w:t>
        </w:r>
        <w:r w:rsidRPr="00081CBC">
          <w:rPr>
            <w:rStyle w:val="Hyperlink"/>
          </w:rPr>
          <w:t xml:space="preserve">hallenges and </w:t>
        </w:r>
        <w:r>
          <w:rPr>
            <w:rStyle w:val="Hyperlink"/>
          </w:rPr>
          <w:t>c</w:t>
        </w:r>
        <w:r w:rsidRPr="00081CBC">
          <w:rPr>
            <w:rStyle w:val="Hyperlink"/>
          </w:rPr>
          <w:t>hoices</w:t>
        </w:r>
      </w:hyperlink>
      <w:r>
        <w:t>, page 8.</w:t>
      </w:r>
    </w:p>
  </w:footnote>
  <w:footnote w:id="30">
    <w:p w14:paraId="31DAE90B" w14:textId="11ED5A8A" w:rsidR="00977786" w:rsidRDefault="00977786" w:rsidP="001126AD">
      <w:pPr>
        <w:pStyle w:val="FootnoteText"/>
      </w:pPr>
      <w:r w:rsidRPr="00977786">
        <w:rPr>
          <w:rStyle w:val="FootnoteReference"/>
          <w:vertAlign w:val="baseline"/>
        </w:rPr>
        <w:footnoteRef/>
      </w:r>
      <w:r w:rsidRPr="00BD6139">
        <w:t xml:space="preserve"> </w:t>
      </w:r>
      <w:r>
        <w:tab/>
        <w:t xml:space="preserve">IP Australia 2014, </w:t>
      </w:r>
      <w:hyperlink r:id="rId24" w:history="1">
        <w:proofErr w:type="gramStart"/>
        <w:r w:rsidRPr="002F260F">
          <w:rPr>
            <w:rStyle w:val="Hyperlink"/>
          </w:rPr>
          <w:t>What</w:t>
        </w:r>
        <w:proofErr w:type="gramEnd"/>
        <w:r w:rsidRPr="002F260F">
          <w:rPr>
            <w:rStyle w:val="Hyperlink"/>
          </w:rPr>
          <w:t xml:space="preserve"> is IP</w:t>
        </w:r>
      </w:hyperlink>
      <w:r>
        <w:t xml:space="preserve">. </w:t>
      </w:r>
    </w:p>
  </w:footnote>
  <w:footnote w:id="31">
    <w:p w14:paraId="362B163A" w14:textId="756AEBCD" w:rsidR="00977786" w:rsidRDefault="00977786" w:rsidP="001126AD">
      <w:pPr>
        <w:pStyle w:val="FootnoteText"/>
      </w:pPr>
      <w:r w:rsidRPr="00977786">
        <w:rPr>
          <w:rStyle w:val="FootnoteReference"/>
          <w:vertAlign w:val="baseline"/>
        </w:rPr>
        <w:footnoteRef/>
      </w:r>
      <w:r>
        <w:t xml:space="preserve"> </w:t>
      </w:r>
      <w:r>
        <w:tab/>
      </w:r>
      <w:proofErr w:type="gramStart"/>
      <w:r>
        <w:t xml:space="preserve">Productivity Commission 2013, </w:t>
      </w:r>
      <w:hyperlink r:id="rId25" w:history="1">
        <w:r w:rsidRPr="00A66C9D">
          <w:rPr>
            <w:rStyle w:val="Hyperlink"/>
            <w:i/>
          </w:rPr>
          <w:t>Trade &amp; Assistance Review 2011</w:t>
        </w:r>
        <w:r>
          <w:rPr>
            <w:rStyle w:val="Hyperlink"/>
            <w:i/>
          </w:rPr>
          <w:noBreakHyphen/>
        </w:r>
        <w:r w:rsidRPr="00A66C9D">
          <w:rPr>
            <w:rStyle w:val="Hyperlink"/>
            <w:i/>
          </w:rPr>
          <w:t>12</w:t>
        </w:r>
      </w:hyperlink>
      <w:r>
        <w:t>, Annual Report Series, page 66.</w:t>
      </w:r>
      <w:proofErr w:type="gramEnd"/>
    </w:p>
  </w:footnote>
  <w:footnote w:id="32">
    <w:p w14:paraId="2E0070A2" w14:textId="1FE4E5DD" w:rsidR="00977786" w:rsidRDefault="00977786" w:rsidP="001126AD">
      <w:pPr>
        <w:pStyle w:val="FootnoteText"/>
      </w:pPr>
      <w:r w:rsidRPr="00977786">
        <w:rPr>
          <w:rStyle w:val="FootnoteReference"/>
          <w:vertAlign w:val="baseline"/>
        </w:rPr>
        <w:footnoteRef/>
      </w:r>
      <w:r>
        <w:t xml:space="preserve"> </w:t>
      </w:r>
      <w:r>
        <w:tab/>
        <w:t xml:space="preserve">Letters from Thomas Jefferson to Isaac McPherson (August 13, 1813) in </w:t>
      </w:r>
      <w:r w:rsidRPr="00ED3847">
        <w:rPr>
          <w:i/>
        </w:rPr>
        <w:t>The</w:t>
      </w:r>
      <w:r>
        <w:t xml:space="preserve"> </w:t>
      </w:r>
      <w:r w:rsidRPr="00ED3847">
        <w:rPr>
          <w:i/>
        </w:rPr>
        <w:t>Writings of Thomas Jefferson</w:t>
      </w:r>
      <w:r>
        <w:t xml:space="preserve"> 326, 334, (A Lipscomb ed., 1904), cited in Stiglitz, J, 2008, </w:t>
      </w:r>
      <w:hyperlink r:id="rId26" w:history="1">
        <w:r w:rsidRPr="005628E5">
          <w:rPr>
            <w:rStyle w:val="Hyperlink"/>
            <w:i/>
          </w:rPr>
          <w:t>Economic Foundations of Intellectual Property Rights</w:t>
        </w:r>
      </w:hyperlink>
      <w:r>
        <w:t>, Duke Law Journal, Vol.57, page 1700.</w:t>
      </w:r>
    </w:p>
  </w:footnote>
  <w:footnote w:id="33">
    <w:p w14:paraId="61EDCE37" w14:textId="758E4921" w:rsidR="00977786" w:rsidRDefault="00977786" w:rsidP="001126AD">
      <w:pPr>
        <w:pStyle w:val="FootnoteText"/>
      </w:pPr>
      <w:r w:rsidRPr="00977786">
        <w:rPr>
          <w:rStyle w:val="FootnoteReference"/>
          <w:vertAlign w:val="baseline"/>
        </w:rPr>
        <w:footnoteRef/>
      </w:r>
      <w:r>
        <w:t xml:space="preserve"> </w:t>
      </w:r>
      <w:r>
        <w:tab/>
        <w:t xml:space="preserve">The Big Innovation Centre 2012, </w:t>
      </w:r>
      <w:hyperlink r:id="rId27" w:history="1">
        <w:r w:rsidRPr="00A6209F">
          <w:rPr>
            <w:rStyle w:val="Hyperlink"/>
            <w:i/>
          </w:rPr>
          <w:t xml:space="preserve">Three Dimensional Policy, </w:t>
        </w:r>
        <w:proofErr w:type="gramStart"/>
        <w:r w:rsidRPr="00A6209F">
          <w:rPr>
            <w:rStyle w:val="Hyperlink"/>
            <w:i/>
          </w:rPr>
          <w:t>Why</w:t>
        </w:r>
        <w:proofErr w:type="gramEnd"/>
        <w:r w:rsidRPr="00A6209F">
          <w:rPr>
            <w:rStyle w:val="Hyperlink"/>
            <w:i/>
          </w:rPr>
          <w:t xml:space="preserve"> Britain needs a policy framework for 3D printing</w:t>
        </w:r>
      </w:hyperlink>
      <w:r>
        <w:t>, page 3.</w:t>
      </w:r>
    </w:p>
  </w:footnote>
  <w:footnote w:id="34">
    <w:p w14:paraId="7B0D0C3D" w14:textId="70467C46" w:rsidR="00977786" w:rsidRDefault="00977786" w:rsidP="001126AD">
      <w:pPr>
        <w:pStyle w:val="FootnoteText"/>
      </w:pPr>
      <w:r w:rsidRPr="00977786">
        <w:rPr>
          <w:rStyle w:val="FootnoteReference"/>
          <w:vertAlign w:val="baseline"/>
        </w:rPr>
        <w:footnoteRef/>
      </w:r>
      <w:r>
        <w:t xml:space="preserve"> </w:t>
      </w:r>
      <w:r>
        <w:tab/>
      </w:r>
      <w:r w:rsidRPr="00D21D5D">
        <w:t>Australian Digital Alliance and Australian Libraries Copyright Committee</w:t>
      </w:r>
      <w:r>
        <w:t>,</w:t>
      </w:r>
      <w:r w:rsidRPr="00D21D5D">
        <w:t xml:space="preserve"> page 7 </w:t>
      </w:r>
      <w:r>
        <w:t xml:space="preserve">and </w:t>
      </w:r>
      <w:r w:rsidRPr="00D21D5D">
        <w:t>Google</w:t>
      </w:r>
      <w:r>
        <w:t xml:space="preserve"> Australia</w:t>
      </w:r>
      <w:r w:rsidRPr="00D21D5D">
        <w:t>, page 1</w:t>
      </w:r>
      <w:r>
        <w:t>8.</w:t>
      </w:r>
    </w:p>
  </w:footnote>
  <w:footnote w:id="35">
    <w:p w14:paraId="3E9B6E74" w14:textId="01089975" w:rsidR="00977786" w:rsidRDefault="00977786" w:rsidP="001126AD">
      <w:pPr>
        <w:pStyle w:val="FootnoteText"/>
      </w:pPr>
      <w:r w:rsidRPr="00977786">
        <w:rPr>
          <w:rStyle w:val="FootnoteReference"/>
          <w:vertAlign w:val="baseline"/>
        </w:rPr>
        <w:footnoteRef/>
      </w:r>
      <w:r>
        <w:t xml:space="preserve"> </w:t>
      </w:r>
      <w:r>
        <w:tab/>
      </w:r>
      <w:proofErr w:type="gramStart"/>
      <w:r>
        <w:t xml:space="preserve">Productivity Commission 2013, </w:t>
      </w:r>
      <w:hyperlink r:id="rId28" w:history="1">
        <w:r w:rsidRPr="008E5D91">
          <w:rPr>
            <w:rStyle w:val="Hyperlink"/>
          </w:rPr>
          <w:t>Trade &amp; Assistance Review 2011</w:t>
        </w:r>
        <w:r>
          <w:rPr>
            <w:rStyle w:val="Hyperlink"/>
          </w:rPr>
          <w:noBreakHyphen/>
        </w:r>
        <w:r w:rsidRPr="008E5D91">
          <w:rPr>
            <w:rStyle w:val="Hyperlink"/>
          </w:rPr>
          <w:t>12</w:t>
        </w:r>
      </w:hyperlink>
      <w:r>
        <w:t>, Annual Report Series, page 90.</w:t>
      </w:r>
      <w:proofErr w:type="gramEnd"/>
    </w:p>
  </w:footnote>
  <w:footnote w:id="36">
    <w:p w14:paraId="6BE9405D" w14:textId="5809C0D3" w:rsidR="00977786" w:rsidRDefault="00977786" w:rsidP="001126AD">
      <w:pPr>
        <w:pStyle w:val="FootnoteText"/>
      </w:pPr>
      <w:r w:rsidRPr="00977786">
        <w:rPr>
          <w:rStyle w:val="FootnoteReference"/>
          <w:vertAlign w:val="baseline"/>
        </w:rPr>
        <w:footnoteRef/>
      </w:r>
      <w:r>
        <w:t xml:space="preserve"> </w:t>
      </w:r>
      <w:r>
        <w:tab/>
      </w:r>
      <w:proofErr w:type="gramStart"/>
      <w:r>
        <w:t xml:space="preserve">Hall, B and Harhoff, D 2012, </w:t>
      </w:r>
      <w:hyperlink r:id="rId29" w:history="1">
        <w:r w:rsidRPr="00A72B8C">
          <w:rPr>
            <w:rStyle w:val="Hyperlink"/>
          </w:rPr>
          <w:t>Recent Research on the Economics of Patents</w:t>
        </w:r>
      </w:hyperlink>
      <w:r>
        <w:t>, NBER Working Paper Series.</w:t>
      </w:r>
      <w:proofErr w:type="gramEnd"/>
      <w:r>
        <w:t xml:space="preserve"> </w:t>
      </w:r>
    </w:p>
  </w:footnote>
  <w:footnote w:id="37">
    <w:p w14:paraId="6E572306" w14:textId="51EEE8CD" w:rsidR="00977786" w:rsidRDefault="00977786" w:rsidP="001126AD">
      <w:pPr>
        <w:pStyle w:val="FootnoteText"/>
      </w:pPr>
      <w:r w:rsidRPr="00977786">
        <w:rPr>
          <w:rStyle w:val="FootnoteReference"/>
          <w:vertAlign w:val="baseline"/>
        </w:rPr>
        <w:footnoteRef/>
      </w:r>
      <w:r>
        <w:t xml:space="preserve"> </w:t>
      </w:r>
      <w:r>
        <w:tab/>
        <w:t xml:space="preserve">ACCC 2012, </w:t>
      </w:r>
      <w:hyperlink r:id="rId30" w:history="1">
        <w:r w:rsidRPr="00155993">
          <w:rPr>
            <w:rStyle w:val="Hyperlink"/>
          </w:rPr>
          <w:t>ACCC submission to the ALRC Copyright and the Digital Economy Issues Paper</w:t>
        </w:r>
      </w:hyperlink>
      <w:r>
        <w:t>, page 12.</w:t>
      </w:r>
    </w:p>
  </w:footnote>
  <w:footnote w:id="38">
    <w:p w14:paraId="1FE784F5" w14:textId="5565E7A6" w:rsidR="00977786" w:rsidRDefault="00977786" w:rsidP="001126AD">
      <w:pPr>
        <w:pStyle w:val="FootnoteText"/>
      </w:pPr>
      <w:r w:rsidRPr="00977786">
        <w:rPr>
          <w:rStyle w:val="FootnoteReference"/>
          <w:vertAlign w:val="baseline"/>
        </w:rPr>
        <w:footnoteRef/>
      </w:r>
      <w:r>
        <w:t xml:space="preserve"> </w:t>
      </w:r>
      <w:r>
        <w:tab/>
        <w:t xml:space="preserve">ACCC 2012, </w:t>
      </w:r>
      <w:hyperlink r:id="rId31" w:history="1">
        <w:r w:rsidRPr="00155993">
          <w:rPr>
            <w:rStyle w:val="Hyperlink"/>
          </w:rPr>
          <w:t>ACCC submission to the ALRC Copyright and the Digital Economy Issues Paper</w:t>
        </w:r>
      </w:hyperlink>
      <w:r>
        <w:t>, page 5.</w:t>
      </w:r>
    </w:p>
  </w:footnote>
  <w:footnote w:id="39">
    <w:p w14:paraId="0FE47483" w14:textId="19574DCB" w:rsidR="00977786" w:rsidRDefault="00977786" w:rsidP="001126AD">
      <w:pPr>
        <w:pStyle w:val="FootnoteText"/>
      </w:pPr>
      <w:r w:rsidRPr="00977786">
        <w:rPr>
          <w:rStyle w:val="FootnoteReference"/>
          <w:vertAlign w:val="baseline"/>
        </w:rPr>
        <w:footnoteRef/>
      </w:r>
      <w:r>
        <w:t xml:space="preserve"> </w:t>
      </w:r>
      <w:r>
        <w:tab/>
        <w:t xml:space="preserve">Productivity Commission 2005, </w:t>
      </w:r>
      <w:hyperlink r:id="rId32" w:history="1">
        <w:r w:rsidRPr="003A2994">
          <w:rPr>
            <w:rStyle w:val="Hyperlink"/>
          </w:rPr>
          <w:t>Review of National Competition Policy Reforms</w:t>
        </w:r>
      </w:hyperlink>
      <w:r>
        <w:t xml:space="preserve">, page 284. </w:t>
      </w:r>
    </w:p>
  </w:footnote>
  <w:footnote w:id="40">
    <w:p w14:paraId="4A568055" w14:textId="1571D777" w:rsidR="00977786" w:rsidRDefault="00977786" w:rsidP="008625DC">
      <w:pPr>
        <w:pStyle w:val="FootnoteText"/>
      </w:pPr>
      <w:r w:rsidRPr="00977786">
        <w:rPr>
          <w:rStyle w:val="FootnoteReference"/>
          <w:vertAlign w:val="baseline"/>
        </w:rPr>
        <w:footnoteRef/>
      </w:r>
      <w:r>
        <w:t xml:space="preserve"> </w:t>
      </w:r>
      <w:r>
        <w:tab/>
        <w:t xml:space="preserve">House of Representatives Standing Committee on Infrastructure and Communications, 2013, </w:t>
      </w:r>
      <w:hyperlink r:id="rId33" w:history="1">
        <w:r w:rsidRPr="008625DC">
          <w:rPr>
            <w:rStyle w:val="Hyperlink"/>
            <w:i/>
          </w:rPr>
          <w:t xml:space="preserve">At What Cost? </w:t>
        </w:r>
        <w:proofErr w:type="gramStart"/>
        <w:r w:rsidRPr="008625DC">
          <w:rPr>
            <w:rStyle w:val="Hyperlink"/>
            <w:i/>
          </w:rPr>
          <w:t>IT pricing and the Australia Tax</w:t>
        </w:r>
      </w:hyperlink>
      <w:r>
        <w:t>, page xiii.</w:t>
      </w:r>
      <w:proofErr w:type="gramEnd"/>
    </w:p>
  </w:footnote>
  <w:footnote w:id="41">
    <w:p w14:paraId="7386264D" w14:textId="08BA8E03" w:rsidR="00977786" w:rsidRDefault="00977786" w:rsidP="001126AD">
      <w:pPr>
        <w:pStyle w:val="FootnoteText"/>
      </w:pPr>
      <w:r w:rsidRPr="00977786">
        <w:rPr>
          <w:rStyle w:val="FootnoteReference"/>
          <w:vertAlign w:val="baseline"/>
        </w:rPr>
        <w:footnoteRef/>
      </w:r>
      <w:r>
        <w:t xml:space="preserve"> </w:t>
      </w:r>
      <w:r>
        <w:tab/>
      </w:r>
      <w:proofErr w:type="gramStart"/>
      <w:r>
        <w:t xml:space="preserve">Australian Law Reform Commission 2014, </w:t>
      </w:r>
      <w:hyperlink r:id="rId34" w:history="1">
        <w:r w:rsidRPr="00F409BD">
          <w:rPr>
            <w:rStyle w:val="Hyperlink"/>
          </w:rPr>
          <w:t>Copyright and the Digital Economy Final Report</w:t>
        </w:r>
      </w:hyperlink>
      <w:r>
        <w:t>, pages 74 and 196.</w:t>
      </w:r>
      <w:proofErr w:type="gramEnd"/>
    </w:p>
  </w:footnote>
  <w:footnote w:id="42">
    <w:p w14:paraId="7C78479D" w14:textId="5B0F22AF" w:rsidR="00977786" w:rsidRDefault="00977786" w:rsidP="001126AD">
      <w:pPr>
        <w:pStyle w:val="FootnoteText"/>
      </w:pPr>
      <w:r w:rsidRPr="00977786">
        <w:rPr>
          <w:rStyle w:val="FootnoteReference"/>
          <w:vertAlign w:val="baseline"/>
        </w:rPr>
        <w:footnoteRef/>
      </w:r>
      <w:r>
        <w:t xml:space="preserve"> </w:t>
      </w:r>
      <w:r>
        <w:tab/>
      </w:r>
      <w:r>
        <w:rPr>
          <w:szCs w:val="18"/>
        </w:rPr>
        <w:t xml:space="preserve">Report by the National Competition Policy Review 1993, </w:t>
      </w:r>
      <w:hyperlink r:id="rId35" w:history="1">
        <w:r w:rsidRPr="00D251BD">
          <w:rPr>
            <w:rStyle w:val="Hyperlink"/>
            <w:szCs w:val="18"/>
          </w:rPr>
          <w:t>National Competition Policy</w:t>
        </w:r>
      </w:hyperlink>
      <w:r>
        <w:t xml:space="preserve">, </w:t>
      </w:r>
      <w:proofErr w:type="gramStart"/>
      <w:r>
        <w:t>page</w:t>
      </w:r>
      <w:proofErr w:type="gramEnd"/>
      <w:r>
        <w:t> 151.</w:t>
      </w:r>
    </w:p>
  </w:footnote>
  <w:footnote w:id="43">
    <w:p w14:paraId="2D60449A" w14:textId="7F662502" w:rsidR="00977786" w:rsidRDefault="00977786" w:rsidP="001126AD">
      <w:pPr>
        <w:pStyle w:val="FootnoteText"/>
      </w:pPr>
      <w:r w:rsidRPr="00977786">
        <w:rPr>
          <w:rStyle w:val="FootnoteReference"/>
          <w:vertAlign w:val="baseline"/>
        </w:rPr>
        <w:footnoteRef/>
      </w:r>
      <w:r>
        <w:t xml:space="preserve"> </w:t>
      </w:r>
      <w:r>
        <w:tab/>
        <w:t xml:space="preserve">National Competition Council 1999, </w:t>
      </w:r>
      <w:hyperlink r:id="rId36" w:history="1">
        <w:r w:rsidRPr="007A3BED">
          <w:rPr>
            <w:rStyle w:val="Hyperlink"/>
            <w:i/>
          </w:rPr>
          <w:t>Review of Sections 51(2) and 51(3) of the Trade Practices Act 1974, Final Report</w:t>
        </w:r>
      </w:hyperlink>
      <w:r>
        <w:t xml:space="preserve">. </w:t>
      </w:r>
    </w:p>
  </w:footnote>
  <w:footnote w:id="44">
    <w:p w14:paraId="61349771" w14:textId="30064E63" w:rsidR="00977786" w:rsidRDefault="00977786" w:rsidP="001126AD">
      <w:pPr>
        <w:pStyle w:val="FootnoteText"/>
      </w:pPr>
      <w:r w:rsidRPr="00977786">
        <w:rPr>
          <w:rStyle w:val="FootnoteReference"/>
          <w:vertAlign w:val="baseline"/>
        </w:rPr>
        <w:footnoteRef/>
      </w:r>
      <w:r>
        <w:t xml:space="preserve"> </w:t>
      </w:r>
      <w:r>
        <w:tab/>
      </w:r>
      <w:proofErr w:type="gramStart"/>
      <w:r>
        <w:t xml:space="preserve">Intellectual Property and Competition Review Committee 2000, </w:t>
      </w:r>
      <w:r w:rsidRPr="005628E5">
        <w:rPr>
          <w:i/>
        </w:rPr>
        <w:t>Review of intellectual property legislation under the Competition Principles Agreement</w:t>
      </w:r>
      <w:r>
        <w:t xml:space="preserve">, </w:t>
      </w:r>
      <w:r w:rsidRPr="005628E5">
        <w:rPr>
          <w:i/>
        </w:rPr>
        <w:t>Final Report</w:t>
      </w:r>
      <w:r>
        <w:t>.</w:t>
      </w:r>
      <w:proofErr w:type="gramEnd"/>
    </w:p>
  </w:footnote>
  <w:footnote w:id="45">
    <w:p w14:paraId="39A2BF8A" w14:textId="194CA2BA" w:rsidR="00977786" w:rsidRDefault="00977786" w:rsidP="001126AD">
      <w:pPr>
        <w:pStyle w:val="FootnoteText"/>
      </w:pPr>
      <w:r w:rsidRPr="00977786">
        <w:rPr>
          <w:rStyle w:val="FootnoteReference"/>
          <w:vertAlign w:val="baseline"/>
        </w:rPr>
        <w:footnoteRef/>
      </w:r>
      <w:r>
        <w:t xml:space="preserve"> </w:t>
      </w:r>
      <w:r>
        <w:tab/>
        <w:t xml:space="preserve">ACCC 2012, </w:t>
      </w:r>
      <w:hyperlink r:id="rId37" w:history="1">
        <w:r w:rsidRPr="00155993">
          <w:rPr>
            <w:rStyle w:val="Hyperlink"/>
          </w:rPr>
          <w:t>ACCC submission to the ALRC Copyright and the Digital Economy Issues Paper</w:t>
        </w:r>
      </w:hyperlink>
      <w:r>
        <w:t xml:space="preserve">, page 5. </w:t>
      </w:r>
    </w:p>
  </w:footnote>
  <w:footnote w:id="46">
    <w:p w14:paraId="339AE3C8" w14:textId="68BCC1BC" w:rsidR="00977786" w:rsidRDefault="00977786" w:rsidP="001126AD">
      <w:pPr>
        <w:pStyle w:val="FootnoteText"/>
      </w:pPr>
      <w:r w:rsidRPr="00977786">
        <w:rPr>
          <w:rStyle w:val="FootnoteReference"/>
          <w:vertAlign w:val="baseline"/>
        </w:rPr>
        <w:footnoteRef/>
      </w:r>
      <w:r>
        <w:t xml:space="preserve"> </w:t>
      </w:r>
      <w:r>
        <w:tab/>
        <w:t xml:space="preserve">Productivity Commission 2013, </w:t>
      </w:r>
      <w:hyperlink r:id="rId38" w:history="1">
        <w:r w:rsidRPr="005628E5">
          <w:rPr>
            <w:rStyle w:val="Hyperlink"/>
            <w:i/>
          </w:rPr>
          <w:t>Trade &amp; Assistance Review 2011</w:t>
        </w:r>
        <w:r w:rsidRPr="005628E5">
          <w:rPr>
            <w:rStyle w:val="Hyperlink"/>
            <w:i/>
          </w:rPr>
          <w:noBreakHyphen/>
          <w:t>12</w:t>
        </w:r>
      </w:hyperlink>
      <w:r>
        <w:t>, page 77.</w:t>
      </w:r>
    </w:p>
  </w:footnote>
  <w:footnote w:id="47">
    <w:p w14:paraId="5821308B" w14:textId="4CABC365" w:rsidR="00977786" w:rsidRDefault="00977786" w:rsidP="001126AD">
      <w:pPr>
        <w:pStyle w:val="FootnoteText"/>
      </w:pPr>
      <w:r w:rsidRPr="00977786">
        <w:rPr>
          <w:rStyle w:val="FootnoteReference"/>
          <w:vertAlign w:val="baseline"/>
        </w:rPr>
        <w:footnoteRef/>
      </w:r>
      <w:r>
        <w:t xml:space="preserve"> </w:t>
      </w:r>
      <w:r>
        <w:tab/>
        <w:t xml:space="preserve">Productivity Commission 2013, </w:t>
      </w:r>
      <w:hyperlink r:id="rId39" w:history="1">
        <w:r w:rsidRPr="005628E5">
          <w:rPr>
            <w:rStyle w:val="Hyperlink"/>
            <w:i/>
          </w:rPr>
          <w:t>Trade &amp; Assistance Review 2011</w:t>
        </w:r>
        <w:r w:rsidRPr="005628E5">
          <w:rPr>
            <w:rStyle w:val="Hyperlink"/>
            <w:i/>
          </w:rPr>
          <w:noBreakHyphen/>
          <w:t>12</w:t>
        </w:r>
      </w:hyperlink>
      <w:r>
        <w:t>, page 78.</w:t>
      </w:r>
    </w:p>
  </w:footnote>
  <w:footnote w:id="48">
    <w:p w14:paraId="0C5029E1" w14:textId="1F4609D5" w:rsidR="00977786" w:rsidRDefault="00977786" w:rsidP="001126AD">
      <w:pPr>
        <w:pStyle w:val="FootnoteText"/>
      </w:pPr>
      <w:r w:rsidRPr="00977786">
        <w:rPr>
          <w:rStyle w:val="FootnoteReference"/>
          <w:vertAlign w:val="baseline"/>
        </w:rPr>
        <w:footnoteRef/>
      </w:r>
      <w:r>
        <w:t xml:space="preserve"> </w:t>
      </w:r>
      <w:r>
        <w:tab/>
      </w:r>
      <w:proofErr w:type="gramStart"/>
      <w:r>
        <w:t xml:space="preserve">Productivity Commission 2010, </w:t>
      </w:r>
      <w:hyperlink r:id="rId40" w:history="1">
        <w:r w:rsidRPr="005628E5">
          <w:rPr>
            <w:rStyle w:val="Hyperlink"/>
            <w:i/>
          </w:rPr>
          <w:t>Bilateral and Regional Trade Agreements</w:t>
        </w:r>
      </w:hyperlink>
      <w:r>
        <w:t>.</w:t>
      </w:r>
      <w:proofErr w:type="gramEnd"/>
    </w:p>
  </w:footnote>
  <w:footnote w:id="49">
    <w:p w14:paraId="7A122A25" w14:textId="5F8360CB" w:rsidR="00977786" w:rsidRDefault="00977786" w:rsidP="001126AD">
      <w:pPr>
        <w:pStyle w:val="FootnoteText"/>
      </w:pPr>
      <w:r w:rsidRPr="00977786">
        <w:rPr>
          <w:rStyle w:val="FootnoteReference"/>
          <w:vertAlign w:val="baseline"/>
        </w:rPr>
        <w:footnoteRef/>
      </w:r>
      <w:r>
        <w:t xml:space="preserve"> </w:t>
      </w:r>
      <w:r>
        <w:tab/>
        <w:t xml:space="preserve">Productivity Commission 2011, </w:t>
      </w:r>
      <w:hyperlink r:id="rId41" w:history="1">
        <w:r w:rsidRPr="00A6209F">
          <w:rPr>
            <w:rStyle w:val="Hyperlink"/>
            <w:i/>
          </w:rPr>
          <w:t>Economic Structure and Performance of the Australian Retail Industry</w:t>
        </w:r>
      </w:hyperlink>
      <w:r>
        <w:t>, page 160.</w:t>
      </w:r>
    </w:p>
  </w:footnote>
  <w:footnote w:id="50">
    <w:p w14:paraId="25E7D97C" w14:textId="71EC2FAD" w:rsidR="00977786" w:rsidRDefault="00977786" w:rsidP="001126AD">
      <w:pPr>
        <w:pStyle w:val="FootnoteText"/>
      </w:pPr>
      <w:r w:rsidRPr="00977786">
        <w:rPr>
          <w:rStyle w:val="FootnoteReference"/>
          <w:vertAlign w:val="baseline"/>
        </w:rPr>
        <w:footnoteRef/>
      </w:r>
      <w:r>
        <w:t xml:space="preserve"> </w:t>
      </w:r>
      <w:r>
        <w:tab/>
      </w:r>
      <w:proofErr w:type="gramStart"/>
      <w:r>
        <w:t>ACCC, page 61.</w:t>
      </w:r>
      <w:proofErr w:type="gramEnd"/>
      <w:r>
        <w:t xml:space="preserve"> The Copyright Act grants copyright holders the right to restrict parallel imports, extending copyright protection into the sphere of distribution.</w:t>
      </w:r>
    </w:p>
  </w:footnote>
  <w:footnote w:id="51">
    <w:p w14:paraId="4A8F3041" w14:textId="06FBB561" w:rsidR="00977786" w:rsidRDefault="00977786" w:rsidP="001126AD">
      <w:pPr>
        <w:pStyle w:val="FootnoteText"/>
      </w:pPr>
      <w:r w:rsidRPr="00977786">
        <w:rPr>
          <w:rStyle w:val="FootnoteReference"/>
          <w:vertAlign w:val="baseline"/>
        </w:rPr>
        <w:footnoteRef/>
      </w:r>
      <w:r>
        <w:t xml:space="preserve"> </w:t>
      </w:r>
      <w:r>
        <w:tab/>
        <w:t xml:space="preserve">ACCC Submission 1, page 61 provides details on two recent cases, </w:t>
      </w:r>
      <w:r w:rsidRPr="002D7801">
        <w:rPr>
          <w:i/>
        </w:rPr>
        <w:t>Sporte Leisure Pty Ltd v Paul</w:t>
      </w:r>
      <w:r>
        <w:rPr>
          <w:i/>
        </w:rPr>
        <w:t>’</w:t>
      </w:r>
      <w:r w:rsidRPr="002D7801">
        <w:rPr>
          <w:i/>
        </w:rPr>
        <w:t>s Warehouse International Pty Ltd</w:t>
      </w:r>
      <w:r>
        <w:t xml:space="preserve"> and </w:t>
      </w:r>
      <w:r w:rsidRPr="002D7801">
        <w:rPr>
          <w:i/>
        </w:rPr>
        <w:t>Paul</w:t>
      </w:r>
      <w:r>
        <w:rPr>
          <w:i/>
        </w:rPr>
        <w:t>’</w:t>
      </w:r>
      <w:r w:rsidRPr="002D7801">
        <w:rPr>
          <w:i/>
        </w:rPr>
        <w:t>s Retail Pty Ltd v Lonsdale Australia Ltd</w:t>
      </w:r>
      <w:r>
        <w:t xml:space="preserve">. </w:t>
      </w:r>
    </w:p>
  </w:footnote>
  <w:footnote w:id="52">
    <w:p w14:paraId="723B0F04" w14:textId="6F093477" w:rsidR="00977786" w:rsidRDefault="00977786" w:rsidP="001126AD">
      <w:pPr>
        <w:pStyle w:val="FootnoteText"/>
      </w:pPr>
      <w:r w:rsidRPr="00977786">
        <w:rPr>
          <w:rStyle w:val="FootnoteReference"/>
          <w:vertAlign w:val="baseline"/>
        </w:rPr>
        <w:footnoteRef/>
      </w:r>
      <w:r>
        <w:t xml:space="preserve"> </w:t>
      </w:r>
      <w:r>
        <w:tab/>
        <w:t xml:space="preserve">For example, the Review of Intellectual Property Legislation under the Competition Principles Agreement 2000 (the Ergas Committee) recommended the repeal of the parallel importation provisions of the </w:t>
      </w:r>
      <w:r w:rsidRPr="005B6233">
        <w:rPr>
          <w:i/>
        </w:rPr>
        <w:t>Copyright Act 1968</w:t>
      </w:r>
      <w:r>
        <w:t xml:space="preserve">. In 2009, the PC recommended that Australia’s parallel import restrictions on books be repealed. </w:t>
      </w:r>
    </w:p>
  </w:footnote>
  <w:footnote w:id="53">
    <w:p w14:paraId="5EBC11C0" w14:textId="11E9A863" w:rsidR="00977786" w:rsidRDefault="00977786" w:rsidP="001126AD">
      <w:pPr>
        <w:pStyle w:val="FootnoteText"/>
      </w:pPr>
      <w:r w:rsidRPr="00977786">
        <w:rPr>
          <w:rStyle w:val="FootnoteReference"/>
          <w:vertAlign w:val="baseline"/>
        </w:rPr>
        <w:footnoteRef/>
      </w:r>
      <w:r>
        <w:t xml:space="preserve"> </w:t>
      </w:r>
      <w:r>
        <w:tab/>
        <w:t>ACCC Submission 1, page 62.</w:t>
      </w:r>
    </w:p>
  </w:footnote>
  <w:footnote w:id="54">
    <w:p w14:paraId="7001D1FB" w14:textId="6EC028A1" w:rsidR="00977786" w:rsidRDefault="00977786" w:rsidP="001126AD">
      <w:pPr>
        <w:pStyle w:val="FootnoteText"/>
      </w:pPr>
      <w:r w:rsidRPr="00977786">
        <w:rPr>
          <w:rStyle w:val="FootnoteReference"/>
          <w:vertAlign w:val="baseline"/>
        </w:rPr>
        <w:footnoteRef/>
      </w:r>
      <w:r>
        <w:t xml:space="preserve"> </w:t>
      </w:r>
      <w:r>
        <w:tab/>
        <w:t>Professor Allan Fels, page</w:t>
      </w:r>
      <w:r w:rsidRPr="00E82AB3">
        <w:t xml:space="preserve"> 14</w:t>
      </w:r>
      <w:r>
        <w:t>.</w:t>
      </w:r>
    </w:p>
  </w:footnote>
  <w:footnote w:id="55">
    <w:p w14:paraId="10E18538" w14:textId="58ED06F7" w:rsidR="00977786" w:rsidRDefault="00977786" w:rsidP="001126AD">
      <w:pPr>
        <w:pStyle w:val="FootnoteText"/>
      </w:pPr>
      <w:r w:rsidRPr="00977786">
        <w:rPr>
          <w:rStyle w:val="FootnoteReference"/>
          <w:vertAlign w:val="baseline"/>
        </w:rPr>
        <w:footnoteRef/>
      </w:r>
      <w:r>
        <w:t xml:space="preserve"> </w:t>
      </w:r>
      <w:r>
        <w:tab/>
        <w:t xml:space="preserve">Productivity Commission 2009, </w:t>
      </w:r>
      <w:hyperlink r:id="rId42" w:history="1">
        <w:r w:rsidRPr="003B7881">
          <w:rPr>
            <w:rStyle w:val="Hyperlink"/>
            <w:i/>
          </w:rPr>
          <w:t>Restrictions on the Parallel Importation of Books, Research Report</w:t>
        </w:r>
      </w:hyperlink>
      <w:r>
        <w:t>, page XXI.</w:t>
      </w:r>
    </w:p>
  </w:footnote>
  <w:footnote w:id="56">
    <w:p w14:paraId="36C07290" w14:textId="5DDB4B21" w:rsidR="00977786" w:rsidRDefault="00977786" w:rsidP="001126AD">
      <w:pPr>
        <w:pStyle w:val="FootnoteText"/>
      </w:pPr>
      <w:r w:rsidRPr="00977786">
        <w:rPr>
          <w:rStyle w:val="FootnoteReference"/>
          <w:vertAlign w:val="baseline"/>
        </w:rPr>
        <w:footnoteRef/>
      </w:r>
      <w:r>
        <w:t xml:space="preserve"> </w:t>
      </w:r>
      <w:r>
        <w:tab/>
        <w:t xml:space="preserve">Productivity Commission 2009, </w:t>
      </w:r>
      <w:hyperlink r:id="rId43" w:history="1">
        <w:r w:rsidRPr="003B7881">
          <w:rPr>
            <w:rStyle w:val="Hyperlink"/>
            <w:i/>
          </w:rPr>
          <w:t>Restrictions on the Parallel Importation of Books, Research Report</w:t>
        </w:r>
      </w:hyperlink>
      <w:r>
        <w:t>, page XVIII.</w:t>
      </w:r>
    </w:p>
  </w:footnote>
  <w:footnote w:id="57">
    <w:p w14:paraId="0FF7C127" w14:textId="593F183A" w:rsidR="00977786" w:rsidRDefault="00977786" w:rsidP="001126AD">
      <w:pPr>
        <w:pStyle w:val="FootnoteText"/>
      </w:pPr>
      <w:r w:rsidRPr="00977786">
        <w:rPr>
          <w:rStyle w:val="FootnoteReference"/>
          <w:vertAlign w:val="baseline"/>
        </w:rPr>
        <w:footnoteRef/>
      </w:r>
      <w:r>
        <w:t xml:space="preserve"> </w:t>
      </w:r>
      <w:r>
        <w:tab/>
      </w:r>
      <w:proofErr w:type="gramStart"/>
      <w:r>
        <w:t xml:space="preserve">Productivity Commission 2011, </w:t>
      </w:r>
      <w:hyperlink r:id="rId44" w:history="1">
        <w:r w:rsidRPr="003B7881">
          <w:rPr>
            <w:rStyle w:val="Hyperlink"/>
            <w:i/>
          </w:rPr>
          <w:t>Economic Structure and Performance of the Australian Retail Industry, Inquiry Report</w:t>
        </w:r>
      </w:hyperlink>
      <w:r>
        <w:t>.</w:t>
      </w:r>
      <w:proofErr w:type="gramEnd"/>
    </w:p>
  </w:footnote>
  <w:footnote w:id="58">
    <w:p w14:paraId="2EB9A98B" w14:textId="71741A55" w:rsidR="00977786" w:rsidRDefault="00977786" w:rsidP="001126AD">
      <w:pPr>
        <w:pStyle w:val="FootnoteText"/>
      </w:pPr>
      <w:r w:rsidRPr="00977786">
        <w:rPr>
          <w:rStyle w:val="FootnoteReference"/>
          <w:vertAlign w:val="baseline"/>
        </w:rPr>
        <w:footnoteRef/>
      </w:r>
      <w:r>
        <w:t xml:space="preserve"> </w:t>
      </w:r>
      <w:r>
        <w:tab/>
        <w:t xml:space="preserve">Productivity Commission 2011, </w:t>
      </w:r>
      <w:hyperlink r:id="rId45" w:history="1">
        <w:r w:rsidRPr="003B7881">
          <w:rPr>
            <w:rStyle w:val="Hyperlink"/>
            <w:i/>
          </w:rPr>
          <w:t>Economic Structure and Performance of the Australian Retail Industry, Inquiry Report</w:t>
        </w:r>
      </w:hyperlink>
      <w:r>
        <w:t>, page XL.</w:t>
      </w:r>
    </w:p>
  </w:footnote>
  <w:footnote w:id="59">
    <w:p w14:paraId="23AA1210" w14:textId="0313740A" w:rsidR="00977786" w:rsidRDefault="00977786" w:rsidP="001126AD">
      <w:pPr>
        <w:pStyle w:val="FootnoteText"/>
      </w:pPr>
      <w:r w:rsidRPr="00977786">
        <w:rPr>
          <w:rStyle w:val="FootnoteReference"/>
          <w:vertAlign w:val="baseline"/>
        </w:rPr>
        <w:footnoteRef/>
      </w:r>
      <w:r>
        <w:t xml:space="preserve"> </w:t>
      </w:r>
      <w:r>
        <w:tab/>
        <w:t xml:space="preserve">House of Representatives Standing Committee on Infrastructure and Communications, </w:t>
      </w:r>
      <w:proofErr w:type="gramStart"/>
      <w:r>
        <w:t>At</w:t>
      </w:r>
      <w:proofErr w:type="gramEnd"/>
      <w:r>
        <w:t xml:space="preserve"> what cost? IT pricing and the Australia tax, pages xii</w:t>
      </w:r>
      <w:r>
        <w:noBreakHyphen/>
        <w:t xml:space="preserve">xiii. </w:t>
      </w:r>
    </w:p>
  </w:footnote>
  <w:footnote w:id="60">
    <w:p w14:paraId="4E83BE1D" w14:textId="3AE9876D" w:rsidR="00977786" w:rsidRDefault="00977786" w:rsidP="001126AD">
      <w:pPr>
        <w:pStyle w:val="FootnoteText"/>
      </w:pPr>
      <w:r w:rsidRPr="00977786">
        <w:rPr>
          <w:rStyle w:val="FootnoteReference"/>
          <w:vertAlign w:val="baseline"/>
        </w:rPr>
        <w:footnoteRef/>
      </w:r>
      <w:r>
        <w:t xml:space="preserve"> </w:t>
      </w:r>
      <w:r>
        <w:tab/>
      </w:r>
      <w:proofErr w:type="gramStart"/>
      <w:r>
        <w:t xml:space="preserve">Productivity Commission 2014, </w:t>
      </w:r>
      <w:hyperlink r:id="rId46" w:history="1">
        <w:r w:rsidRPr="003B7881">
          <w:rPr>
            <w:rStyle w:val="Hyperlink"/>
            <w:i/>
          </w:rPr>
          <w:t>Australia’s Automotive Manufacturing Industry, Inquiry Report</w:t>
        </w:r>
      </w:hyperlink>
      <w:r w:rsidRPr="00A6209F">
        <w:rPr>
          <w:i/>
        </w:rPr>
        <w:t>,</w:t>
      </w:r>
      <w:r>
        <w:t xml:space="preserve"> page 32.</w:t>
      </w:r>
      <w:proofErr w:type="gramEnd"/>
      <w:r>
        <w:t xml:space="preserve"> </w:t>
      </w:r>
    </w:p>
  </w:footnote>
  <w:footnote w:id="61">
    <w:p w14:paraId="2F213142" w14:textId="53C7D60E" w:rsidR="00977786" w:rsidRDefault="00977786" w:rsidP="001126AD">
      <w:pPr>
        <w:pStyle w:val="FootnoteText"/>
      </w:pPr>
      <w:r w:rsidRPr="00977786">
        <w:rPr>
          <w:rStyle w:val="FootnoteReference"/>
          <w:vertAlign w:val="baseline"/>
        </w:rPr>
        <w:footnoteRef/>
      </w:r>
      <w:r>
        <w:t xml:space="preserve"> </w:t>
      </w:r>
      <w:r>
        <w:tab/>
      </w:r>
      <w:r w:rsidRPr="00175C73">
        <w:t>Australian Copyright Council</w:t>
      </w:r>
      <w:r>
        <w:t>,</w:t>
      </w:r>
      <w:r w:rsidRPr="00175C73">
        <w:t xml:space="preserve"> p</w:t>
      </w:r>
      <w:r>
        <w:t>age</w:t>
      </w:r>
      <w:r w:rsidRPr="00175C73">
        <w:t xml:space="preserve"> 5</w:t>
      </w:r>
      <w:r>
        <w:t>.</w:t>
      </w:r>
    </w:p>
  </w:footnote>
  <w:footnote w:id="62">
    <w:p w14:paraId="276B78D6" w14:textId="2FCE1C49" w:rsidR="00977786" w:rsidRDefault="00977786" w:rsidP="001126AD">
      <w:pPr>
        <w:pStyle w:val="FootnoteText"/>
      </w:pPr>
      <w:r w:rsidRPr="00977786">
        <w:rPr>
          <w:rStyle w:val="FootnoteReference"/>
          <w:vertAlign w:val="baseline"/>
        </w:rPr>
        <w:footnoteRef/>
      </w:r>
      <w:r>
        <w:t xml:space="preserve"> </w:t>
      </w:r>
      <w:r>
        <w:tab/>
        <w:t>For example, Australian Food and Grocery Council, page 22, Brewers Association of Australia and New Zealand Inc, pages 4</w:t>
      </w:r>
      <w:r>
        <w:noBreakHyphen/>
        <w:t>5, ACCI, page 20, the Federal Chamber of Automotive Industries, page 3.</w:t>
      </w:r>
    </w:p>
  </w:footnote>
  <w:footnote w:id="63">
    <w:p w14:paraId="610764A2" w14:textId="2B185650" w:rsidR="00977786" w:rsidRDefault="00977786" w:rsidP="001126AD">
      <w:pPr>
        <w:pStyle w:val="FootnoteText"/>
      </w:pPr>
      <w:r w:rsidRPr="00977786">
        <w:rPr>
          <w:rStyle w:val="FootnoteReference"/>
          <w:vertAlign w:val="baseline"/>
        </w:rPr>
        <w:footnoteRef/>
      </w:r>
      <w:r>
        <w:t xml:space="preserve"> </w:t>
      </w:r>
      <w:r>
        <w:tab/>
        <w:t xml:space="preserve">Productivity Commission 2011, </w:t>
      </w:r>
      <w:hyperlink r:id="rId47" w:history="1">
        <w:r w:rsidRPr="003B7881">
          <w:rPr>
            <w:rStyle w:val="Hyperlink"/>
            <w:i/>
          </w:rPr>
          <w:t>Economic Structure and Performance of the Australian Retail Industry</w:t>
        </w:r>
      </w:hyperlink>
      <w:r w:rsidRPr="003B7881">
        <w:rPr>
          <w:i/>
        </w:rPr>
        <w:t>,</w:t>
      </w:r>
      <w:r>
        <w:t xml:space="preserve"> page 130. </w:t>
      </w:r>
    </w:p>
  </w:footnote>
  <w:footnote w:id="64">
    <w:p w14:paraId="73AC9236" w14:textId="0A3786F4" w:rsidR="00977786" w:rsidRDefault="00977786" w:rsidP="001126AD">
      <w:pPr>
        <w:pStyle w:val="FootnoteText"/>
      </w:pPr>
      <w:r w:rsidRPr="00977786">
        <w:rPr>
          <w:rStyle w:val="FootnoteReference"/>
          <w:vertAlign w:val="baseline"/>
        </w:rPr>
        <w:footnoteRef/>
      </w:r>
      <w:r>
        <w:t xml:space="preserve"> </w:t>
      </w:r>
      <w:r>
        <w:tab/>
      </w:r>
      <w:r w:rsidRPr="00CC7610">
        <w:t>Nestle Australia Limited</w:t>
      </w:r>
      <w:r>
        <w:t xml:space="preserve"> — </w:t>
      </w:r>
      <w:hyperlink r:id="rId48" w:history="1">
        <w:r w:rsidRPr="00C05E4C">
          <w:rPr>
            <w:rStyle w:val="Hyperlink"/>
          </w:rPr>
          <w:t>Notification — N31488</w:t>
        </w:r>
      </w:hyperlink>
      <w:r>
        <w:t xml:space="preserve"> </w:t>
      </w:r>
    </w:p>
  </w:footnote>
  <w:footnote w:id="65">
    <w:p w14:paraId="5385278A" w14:textId="12F179A8" w:rsidR="00977786" w:rsidRDefault="00977786" w:rsidP="001126AD">
      <w:pPr>
        <w:pStyle w:val="FootnoteText"/>
      </w:pPr>
      <w:r w:rsidRPr="00977786">
        <w:rPr>
          <w:rStyle w:val="FootnoteReference"/>
          <w:vertAlign w:val="baseline"/>
        </w:rPr>
        <w:footnoteRef/>
      </w:r>
      <w:r>
        <w:t xml:space="preserve"> </w:t>
      </w:r>
      <w:r>
        <w:tab/>
        <w:t xml:space="preserve">National Competition Council 2003, </w:t>
      </w:r>
      <w:hyperlink r:id="rId49" w:history="1">
        <w:r w:rsidRPr="001C4233">
          <w:rPr>
            <w:rStyle w:val="Hyperlink"/>
            <w:i/>
          </w:rPr>
          <w:t>Assessment of governments’ progress in implementing the National Competition Policy and related reforms: Volume two — Legislation review and reform</w:t>
        </w:r>
      </w:hyperlink>
      <w:r>
        <w:rPr>
          <w:rStyle w:val="Hyperlink"/>
        </w:rPr>
        <w:t>,</w:t>
      </w:r>
      <w:r>
        <w:t xml:space="preserve"> page 10.2.</w:t>
      </w:r>
    </w:p>
  </w:footnote>
  <w:footnote w:id="66">
    <w:p w14:paraId="364AB046" w14:textId="27DC247D" w:rsidR="00977786" w:rsidRPr="001223A9" w:rsidRDefault="00977786" w:rsidP="001126AD">
      <w:pPr>
        <w:pStyle w:val="FootnoteText"/>
      </w:pPr>
      <w:r w:rsidRPr="00977786">
        <w:rPr>
          <w:rStyle w:val="FootnoteReference"/>
          <w:vertAlign w:val="baseline"/>
        </w:rPr>
        <w:footnoteRef/>
      </w:r>
      <w:r w:rsidRPr="001223A9">
        <w:t xml:space="preserve"> </w:t>
      </w:r>
      <w:r>
        <w:tab/>
      </w:r>
      <w:r w:rsidRPr="001223A9">
        <w:t>National Competition Council 200</w:t>
      </w:r>
      <w:r>
        <w:t>5,</w:t>
      </w:r>
      <w:r w:rsidRPr="001223A9">
        <w:t xml:space="preserve"> </w:t>
      </w:r>
      <w:hyperlink r:id="rId50" w:history="1">
        <w:r w:rsidRPr="001C4233">
          <w:rPr>
            <w:rStyle w:val="Hyperlink"/>
            <w:i/>
          </w:rPr>
          <w:t>Assessment of governments’ progress in implementing the National Competition Policy and related reforms</w:t>
        </w:r>
      </w:hyperlink>
      <w:r>
        <w:t>,</w:t>
      </w:r>
      <w:r w:rsidRPr="001223A9">
        <w:t xml:space="preserve"> page 1</w:t>
      </w:r>
      <w:r>
        <w:t>4.39</w:t>
      </w:r>
      <w:r w:rsidRPr="001223A9">
        <w:t>.</w:t>
      </w:r>
    </w:p>
  </w:footnote>
  <w:footnote w:id="67">
    <w:p w14:paraId="6A5950C8" w14:textId="0B2AD866" w:rsidR="00977786" w:rsidRDefault="00977786" w:rsidP="001126AD">
      <w:pPr>
        <w:pStyle w:val="FootnoteText"/>
      </w:pPr>
      <w:r w:rsidRPr="00977786">
        <w:rPr>
          <w:rStyle w:val="FootnoteReference"/>
          <w:vertAlign w:val="baseline"/>
        </w:rPr>
        <w:footnoteRef/>
      </w:r>
      <w:r>
        <w:t xml:space="preserve"> </w:t>
      </w:r>
      <w:r>
        <w:tab/>
      </w:r>
      <w:r w:rsidRPr="002F1521">
        <w:t xml:space="preserve">ACCC </w:t>
      </w:r>
      <w:r>
        <w:t xml:space="preserve">2008, </w:t>
      </w:r>
      <w:hyperlink r:id="rId51" w:history="1">
        <w:r w:rsidRPr="001C4233">
          <w:rPr>
            <w:rStyle w:val="Hyperlink"/>
            <w:i/>
          </w:rPr>
          <w:t>Report of the ACCC inquiry into the competitiveness of retail prices for standard groceries</w:t>
        </w:r>
      </w:hyperlink>
      <w:hyperlink r:id="rId52" w:history="1"/>
      <w:r>
        <w:t>, page xix.</w:t>
      </w:r>
    </w:p>
  </w:footnote>
  <w:footnote w:id="68">
    <w:p w14:paraId="7F7D034F" w14:textId="254E5B59" w:rsidR="00977786" w:rsidRPr="001E3ECB" w:rsidRDefault="00977786" w:rsidP="001126AD">
      <w:pPr>
        <w:pStyle w:val="FootnoteText"/>
      </w:pPr>
      <w:r w:rsidRPr="00977786">
        <w:rPr>
          <w:rStyle w:val="FootnoteReference"/>
          <w:vertAlign w:val="baseline"/>
        </w:rPr>
        <w:footnoteRef/>
      </w:r>
      <w:r w:rsidRPr="001E3ECB">
        <w:t xml:space="preserve"> </w:t>
      </w:r>
      <w:r>
        <w:tab/>
      </w:r>
      <w:r w:rsidRPr="001E3ECB">
        <w:t xml:space="preserve">ACCC 2008, </w:t>
      </w:r>
      <w:hyperlink r:id="rId53" w:history="1">
        <w:r w:rsidRPr="001C4233">
          <w:rPr>
            <w:rStyle w:val="Hyperlink"/>
            <w:i/>
          </w:rPr>
          <w:t>Report of the ACCC inquiry into the competitiveness of retail prices for standard groceries</w:t>
        </w:r>
      </w:hyperlink>
      <w:hyperlink r:id="rId54" w:history="1"/>
      <w:r w:rsidRPr="001E3ECB">
        <w:t xml:space="preserve">, </w:t>
      </w:r>
      <w:r>
        <w:t>p</w:t>
      </w:r>
      <w:r w:rsidRPr="001E3ECB">
        <w:t>age xix</w:t>
      </w:r>
      <w:r>
        <w:t xml:space="preserve"> and 194</w:t>
      </w:r>
      <w:r w:rsidRPr="001E3ECB">
        <w:t>.</w:t>
      </w:r>
    </w:p>
  </w:footnote>
  <w:footnote w:id="69">
    <w:p w14:paraId="79F4FB29" w14:textId="64706040" w:rsidR="00977786" w:rsidRDefault="00977786" w:rsidP="001126AD">
      <w:pPr>
        <w:pStyle w:val="FootnoteText"/>
      </w:pPr>
      <w:r w:rsidRPr="00977786">
        <w:rPr>
          <w:rStyle w:val="FootnoteReference"/>
          <w:vertAlign w:val="baseline"/>
        </w:rPr>
        <w:footnoteRef/>
      </w:r>
      <w:r>
        <w:t xml:space="preserve"> </w:t>
      </w:r>
      <w:r>
        <w:tab/>
        <w:t xml:space="preserve">Productivity Commission, 2011 </w:t>
      </w:r>
      <w:hyperlink r:id="rId55" w:history="1">
        <w:r w:rsidRPr="00E7208D">
          <w:rPr>
            <w:rStyle w:val="Hyperlink"/>
            <w:i/>
          </w:rPr>
          <w:t>Inquiry Report: Economic Structure and Performance of the Australian Retail Industry</w:t>
        </w:r>
      </w:hyperlink>
      <w:r>
        <w:t xml:space="preserve"> page XIV and these findings were based on the Productivity Commission’s assessment from its 2011 </w:t>
      </w:r>
      <w:hyperlink r:id="rId56" w:history="1">
        <w:r w:rsidRPr="00E7208D">
          <w:rPr>
            <w:rStyle w:val="Hyperlink"/>
            <w:i/>
          </w:rPr>
          <w:t>Research Report into Planning, Zoning and Development Assessments</w:t>
        </w:r>
      </w:hyperlink>
      <w:r>
        <w:rPr>
          <w:rStyle w:val="Hyperlink"/>
        </w:rPr>
        <w:t>.</w:t>
      </w:r>
      <w:r>
        <w:t xml:space="preserve"> </w:t>
      </w:r>
    </w:p>
  </w:footnote>
  <w:footnote w:id="70">
    <w:p w14:paraId="465451B3" w14:textId="45246E5C" w:rsidR="00977786" w:rsidRDefault="00977786" w:rsidP="001126AD">
      <w:pPr>
        <w:pStyle w:val="FootnoteText"/>
      </w:pPr>
      <w:r w:rsidRPr="00977786">
        <w:rPr>
          <w:rStyle w:val="FootnoteReference"/>
          <w:vertAlign w:val="baseline"/>
        </w:rPr>
        <w:footnoteRef/>
      </w:r>
      <w:r>
        <w:t xml:space="preserve"> </w:t>
      </w:r>
      <w:r>
        <w:tab/>
        <w:t xml:space="preserve">The Productivity Commission’s </w:t>
      </w:r>
      <w:hyperlink r:id="rId57" w:history="1">
        <w:r w:rsidRPr="001836E8">
          <w:rPr>
            <w:rStyle w:val="Hyperlink"/>
            <w:i/>
          </w:rPr>
          <w:t>Relative Costs of Doing Business in Australia: Retail Trade Interim Report</w:t>
        </w:r>
      </w:hyperlink>
      <w:r>
        <w:t xml:space="preserve"> (2014) notes, at page 93, that in 2013 the Victorian Government undertook reforms aimed at improving business zones and permissible uses. It was announced that the prevailing five business zones were to be condensed into two broader commercial zones. The reform was to have the effect of increasing permissible uses within the zones, thereby bypassing the need for often lengthy (and costly) rezoning processes. Benefits of the reform included: more mixed uses and diversity within employment precincts; making the property sector more responsive to changes in demand for various business types/models; and removing planning barriers to investment.</w:t>
      </w:r>
    </w:p>
  </w:footnote>
  <w:footnote w:id="71">
    <w:p w14:paraId="2BCF18F8" w14:textId="091E3726" w:rsidR="00977786" w:rsidRDefault="00977786" w:rsidP="001126AD">
      <w:pPr>
        <w:pStyle w:val="FootnoteText"/>
      </w:pPr>
      <w:r w:rsidRPr="00977786">
        <w:rPr>
          <w:rStyle w:val="FootnoteReference"/>
          <w:vertAlign w:val="baseline"/>
        </w:rPr>
        <w:footnoteRef/>
      </w:r>
      <w:r>
        <w:t xml:space="preserve"> </w:t>
      </w:r>
      <w:r>
        <w:tab/>
        <w:t xml:space="preserve">For example, the </w:t>
      </w:r>
      <w:r w:rsidRPr="00FB697E">
        <w:t>Urban Devel</w:t>
      </w:r>
      <w:r>
        <w:t>opment Institute of Australia, page</w:t>
      </w:r>
      <w:r w:rsidRPr="00FB697E">
        <w:t xml:space="preserve"> 2</w:t>
      </w:r>
      <w:r>
        <w:t xml:space="preserve">, noted </w:t>
      </w:r>
      <w:r w:rsidRPr="00FB697E">
        <w:t>the new residential zones currently being introduced in Melbourne as part of the Victorian Government</w:t>
      </w:r>
      <w:r>
        <w:t>’</w:t>
      </w:r>
      <w:r w:rsidRPr="00FB697E">
        <w:t>s Metropolitan Planning Strategy will place a mandatory limit of two dwellings per lot for at least 50</w:t>
      </w:r>
      <w:r>
        <w:t xml:space="preserve"> per cent</w:t>
      </w:r>
      <w:r w:rsidRPr="00FB697E">
        <w:t xml:space="preserve"> of residential areas in Melbourne. This policy has the potential to lock large quantities of valuable urban land into an extremely limited range of uses, and is characteristic of planning</w:t>
      </w:r>
      <w:r>
        <w:t xml:space="preserve"> systems throughout Australia.</w:t>
      </w:r>
    </w:p>
  </w:footnote>
  <w:footnote w:id="72">
    <w:p w14:paraId="42FDACDF" w14:textId="6AA5430D" w:rsidR="00977786" w:rsidRDefault="00977786" w:rsidP="001126AD">
      <w:pPr>
        <w:pStyle w:val="FootnoteText"/>
      </w:pPr>
      <w:r w:rsidRPr="00977786">
        <w:rPr>
          <w:rStyle w:val="FootnoteReference"/>
          <w:vertAlign w:val="baseline"/>
        </w:rPr>
        <w:footnoteRef/>
      </w:r>
      <w:r>
        <w:t xml:space="preserve"> </w:t>
      </w:r>
      <w:r>
        <w:tab/>
        <w:t xml:space="preserve">For example, the </w:t>
      </w:r>
      <w:r w:rsidRPr="0084560C">
        <w:t>Aust</w:t>
      </w:r>
      <w:r>
        <w:t>ralian Retailers Association, page</w:t>
      </w:r>
      <w:r w:rsidRPr="0084560C">
        <w:t xml:space="preserve"> 9</w:t>
      </w:r>
      <w:r>
        <w:t>.</w:t>
      </w:r>
    </w:p>
  </w:footnote>
  <w:footnote w:id="73">
    <w:p w14:paraId="18DDCB7E" w14:textId="3D45D528" w:rsidR="00977786" w:rsidRDefault="00977786" w:rsidP="001126AD">
      <w:pPr>
        <w:pStyle w:val="FootnoteText"/>
      </w:pPr>
      <w:r w:rsidRPr="00977786">
        <w:rPr>
          <w:rStyle w:val="FootnoteReference"/>
          <w:vertAlign w:val="baseline"/>
        </w:rPr>
        <w:footnoteRef/>
      </w:r>
      <w:r>
        <w:t xml:space="preserve"> </w:t>
      </w:r>
      <w:r>
        <w:tab/>
        <w:t>NSW Business Chamber, page</w:t>
      </w:r>
      <w:r w:rsidRPr="0084560C">
        <w:t xml:space="preserve"> 5</w:t>
      </w:r>
      <w:r>
        <w:t>.</w:t>
      </w:r>
    </w:p>
  </w:footnote>
  <w:footnote w:id="74">
    <w:p w14:paraId="0FD46A82" w14:textId="40BEED26" w:rsidR="00977786" w:rsidRDefault="00977786" w:rsidP="001126AD">
      <w:pPr>
        <w:pStyle w:val="FootnoteText"/>
      </w:pPr>
      <w:r w:rsidRPr="00977786">
        <w:rPr>
          <w:rStyle w:val="FootnoteReference"/>
          <w:vertAlign w:val="baseline"/>
        </w:rPr>
        <w:footnoteRef/>
      </w:r>
      <w:r>
        <w:t xml:space="preserve"> </w:t>
      </w:r>
      <w:r>
        <w:tab/>
      </w:r>
      <w:r w:rsidRPr="00FB697E">
        <w:t>Wills</w:t>
      </w:r>
      <w:r>
        <w:noBreakHyphen/>
        <w:t>Johnson, N, page 1.</w:t>
      </w:r>
    </w:p>
  </w:footnote>
  <w:footnote w:id="75">
    <w:p w14:paraId="6306A683" w14:textId="581FE959" w:rsidR="00977786" w:rsidRDefault="00977786" w:rsidP="001126AD">
      <w:pPr>
        <w:pStyle w:val="FootnoteText"/>
      </w:pPr>
      <w:r w:rsidRPr="00977786">
        <w:rPr>
          <w:rStyle w:val="FootnoteReference"/>
          <w:vertAlign w:val="baseline"/>
        </w:rPr>
        <w:footnoteRef/>
      </w:r>
      <w:r>
        <w:t xml:space="preserve"> </w:t>
      </w:r>
      <w:r>
        <w:tab/>
        <w:t xml:space="preserve">Australian Bureau of Statistics 2014, </w:t>
      </w:r>
      <w:hyperlink r:id="rId58" w:history="1">
        <w:r w:rsidRPr="003F5F0D">
          <w:rPr>
            <w:rStyle w:val="Hyperlink"/>
          </w:rPr>
          <w:t>Cat No. 4102.0</w:t>
        </w:r>
      </w:hyperlink>
      <w:r>
        <w:t>.</w:t>
      </w:r>
    </w:p>
  </w:footnote>
  <w:footnote w:id="76">
    <w:p w14:paraId="112ECCA7" w14:textId="3527C8C8" w:rsidR="00977786" w:rsidRDefault="00977786" w:rsidP="001126AD">
      <w:pPr>
        <w:pStyle w:val="FootnoteText"/>
      </w:pPr>
      <w:r w:rsidRPr="00977786">
        <w:rPr>
          <w:rStyle w:val="FootnoteReference"/>
          <w:vertAlign w:val="baseline"/>
        </w:rPr>
        <w:footnoteRef/>
      </w:r>
      <w:r>
        <w:t xml:space="preserve"> </w:t>
      </w:r>
      <w:r>
        <w:tab/>
        <w:t xml:space="preserve">Productivity Commission, 2014 </w:t>
      </w:r>
      <w:hyperlink r:id="rId59" w:history="1">
        <w:r w:rsidRPr="00B95932">
          <w:rPr>
            <w:rStyle w:val="Hyperlink"/>
            <w:i/>
          </w:rPr>
          <w:t>Childcare and Early Childhood Learning Draft Report</w:t>
        </w:r>
      </w:hyperlink>
      <w:r w:rsidRPr="00D643DD">
        <w:rPr>
          <w:rStyle w:val="Hyperlink"/>
          <w:i/>
          <w:color w:val="auto"/>
        </w:rPr>
        <w:t>,</w:t>
      </w:r>
      <w:r>
        <w:t xml:space="preserve"> page 318.</w:t>
      </w:r>
    </w:p>
  </w:footnote>
  <w:footnote w:id="77">
    <w:p w14:paraId="4B6DED12" w14:textId="5B38E427" w:rsidR="00977786" w:rsidRDefault="00977786" w:rsidP="001126AD">
      <w:pPr>
        <w:pStyle w:val="FootnoteText"/>
      </w:pPr>
      <w:r w:rsidRPr="00977786">
        <w:rPr>
          <w:rStyle w:val="FootnoteReference"/>
          <w:vertAlign w:val="baseline"/>
        </w:rPr>
        <w:footnoteRef/>
      </w:r>
      <w:r>
        <w:t xml:space="preserve"> </w:t>
      </w:r>
      <w:r>
        <w:tab/>
      </w:r>
      <w:r w:rsidRPr="0046090C">
        <w:t>On 9 December 2011</w:t>
      </w:r>
      <w:r>
        <w:t>,</w:t>
      </w:r>
      <w:r w:rsidRPr="0046090C">
        <w:t xml:space="preserve"> the former Ministerial Council for Education, Early Childhood Development and Youth Affairs made the Education and Care Services National Regulations under sections 301 and 324 of the Education and Care Services National Law as applied by the law of the states and territories. The current Regulations came into effect on 1</w:t>
      </w:r>
      <w:r>
        <w:t> </w:t>
      </w:r>
      <w:r w:rsidRPr="0046090C">
        <w:t xml:space="preserve">September 2013 in all states and territories except Western Australia, where they </w:t>
      </w:r>
      <w:r>
        <w:t>commenced</w:t>
      </w:r>
      <w:r w:rsidRPr="0046090C">
        <w:t xml:space="preserve"> on 31 December 2013.</w:t>
      </w:r>
    </w:p>
  </w:footnote>
  <w:footnote w:id="78">
    <w:p w14:paraId="532CB38A" w14:textId="327671DD" w:rsidR="00977786" w:rsidRDefault="00977786" w:rsidP="001126AD">
      <w:pPr>
        <w:pStyle w:val="FootnoteText"/>
      </w:pPr>
      <w:r w:rsidRPr="00977786">
        <w:rPr>
          <w:rStyle w:val="FootnoteReference"/>
          <w:vertAlign w:val="baseline"/>
        </w:rPr>
        <w:footnoteRef/>
      </w:r>
      <w:r>
        <w:t xml:space="preserve"> </w:t>
      </w:r>
      <w:r>
        <w:tab/>
        <w:t xml:space="preserve">For example Victoria’s ‘Plan for Melbourne’, Western Australia’s ‘Planning Makes it Happen: a blueprint for planning reform’, South Australia’s ‘Planning Reform — a Driver of Economic Growth’ and Queensland’s </w:t>
      </w:r>
      <w:r w:rsidRPr="00544347">
        <w:rPr>
          <w:i/>
        </w:rPr>
        <w:t>Sustainable Planning and Other Legislation Amendment (SOPLA) Act 2012</w:t>
      </w:r>
      <w:r>
        <w:t xml:space="preserve">. </w:t>
      </w:r>
    </w:p>
  </w:footnote>
  <w:footnote w:id="79">
    <w:p w14:paraId="0EEB0BB1" w14:textId="624F5FB6" w:rsidR="00977786" w:rsidRDefault="00977786" w:rsidP="00D37DD7">
      <w:pPr>
        <w:pStyle w:val="FootnoteText"/>
      </w:pPr>
      <w:r w:rsidRPr="00977786">
        <w:rPr>
          <w:rStyle w:val="FootnoteReference"/>
          <w:vertAlign w:val="baseline"/>
        </w:rPr>
        <w:footnoteRef/>
      </w:r>
      <w:r>
        <w:t xml:space="preserve"> </w:t>
      </w:r>
      <w:r>
        <w:tab/>
        <w:t>Spier Consulting Submission 1, pages</w:t>
      </w:r>
      <w:r w:rsidRPr="00F52FDE">
        <w:t xml:space="preserve"> 1</w:t>
      </w:r>
      <w:r>
        <w:noBreakHyphen/>
      </w:r>
      <w:r w:rsidRPr="00F52FDE">
        <w:t>2</w:t>
      </w:r>
      <w:r>
        <w:t>.</w:t>
      </w:r>
    </w:p>
  </w:footnote>
  <w:footnote w:id="80">
    <w:p w14:paraId="792DFF55" w14:textId="2AC88242" w:rsidR="00977786" w:rsidRDefault="00977786" w:rsidP="00D37DD7">
      <w:pPr>
        <w:pStyle w:val="FootnoteText"/>
      </w:pPr>
      <w:r w:rsidRPr="00977786">
        <w:rPr>
          <w:rStyle w:val="FootnoteReference"/>
          <w:vertAlign w:val="baseline"/>
        </w:rPr>
        <w:footnoteRef/>
      </w:r>
      <w:r>
        <w:t xml:space="preserve"> </w:t>
      </w:r>
      <w:r>
        <w:tab/>
        <w:t>National Seniors Australia, page 20.</w:t>
      </w:r>
    </w:p>
  </w:footnote>
  <w:footnote w:id="81">
    <w:p w14:paraId="53EDB42B" w14:textId="5CF3ED48" w:rsidR="00977786" w:rsidRDefault="00977786" w:rsidP="00E11A38">
      <w:pPr>
        <w:pStyle w:val="FootnoteText"/>
      </w:pPr>
      <w:r w:rsidRPr="00977786">
        <w:rPr>
          <w:rStyle w:val="FootnoteReference"/>
          <w:vertAlign w:val="baseline"/>
        </w:rPr>
        <w:footnoteRef/>
      </w:r>
      <w:r>
        <w:t xml:space="preserve"> </w:t>
      </w:r>
      <w:r>
        <w:tab/>
      </w:r>
      <w:r w:rsidRPr="00E313F0">
        <w:t>National Seniors</w:t>
      </w:r>
      <w:r>
        <w:t xml:space="preserve"> Australia, page 20.</w:t>
      </w:r>
    </w:p>
  </w:footnote>
  <w:footnote w:id="82">
    <w:p w14:paraId="06A0C1B9" w14:textId="3CCA0EB3" w:rsidR="00977786" w:rsidRDefault="00977786" w:rsidP="00D37DD7">
      <w:pPr>
        <w:pStyle w:val="FootnoteText"/>
      </w:pPr>
      <w:r w:rsidRPr="00977786">
        <w:rPr>
          <w:rStyle w:val="FootnoteReference"/>
          <w:vertAlign w:val="baseline"/>
        </w:rPr>
        <w:footnoteRef/>
      </w:r>
      <w:r>
        <w:t xml:space="preserve"> </w:t>
      </w:r>
      <w:r>
        <w:tab/>
      </w:r>
      <w:proofErr w:type="gramStart"/>
      <w:r w:rsidRPr="00FB79B7">
        <w:t>Housing Industry Association</w:t>
      </w:r>
      <w:r>
        <w:t>,</w:t>
      </w:r>
      <w:r w:rsidRPr="00FB79B7">
        <w:t xml:space="preserve"> </w:t>
      </w:r>
      <w:r>
        <w:t>pages 12</w:t>
      </w:r>
      <w:r>
        <w:noBreakHyphen/>
        <w:t>13.</w:t>
      </w:r>
      <w:proofErr w:type="gramEnd"/>
    </w:p>
  </w:footnote>
  <w:footnote w:id="83">
    <w:p w14:paraId="7D13CA21" w14:textId="5E95C88D" w:rsidR="00977786" w:rsidRDefault="00977786" w:rsidP="00C04D36">
      <w:pPr>
        <w:pStyle w:val="FootnoteText"/>
      </w:pPr>
      <w:r w:rsidRPr="00977786">
        <w:rPr>
          <w:rStyle w:val="FootnoteReference"/>
          <w:vertAlign w:val="baseline"/>
        </w:rPr>
        <w:footnoteRef/>
      </w:r>
      <w:r>
        <w:t xml:space="preserve"> </w:t>
      </w:r>
      <w:r>
        <w:tab/>
        <w:t xml:space="preserve">For example, </w:t>
      </w:r>
      <w:r w:rsidRPr="00FC4098">
        <w:t>Griggs</w:t>
      </w:r>
      <w:r>
        <w:t>, L</w:t>
      </w:r>
      <w:r w:rsidRPr="00FC4098">
        <w:t xml:space="preserve"> and Nielsen</w:t>
      </w:r>
      <w:r>
        <w:t>, J, pages 1</w:t>
      </w:r>
      <w:r>
        <w:noBreakHyphen/>
        <w:t>2.</w:t>
      </w:r>
    </w:p>
  </w:footnote>
  <w:footnote w:id="84">
    <w:p w14:paraId="7B3E59E2" w14:textId="2AABAB02" w:rsidR="00977786" w:rsidRDefault="00977786" w:rsidP="00C04D36">
      <w:pPr>
        <w:pStyle w:val="FootnoteText"/>
      </w:pPr>
      <w:r w:rsidRPr="00977786">
        <w:rPr>
          <w:rStyle w:val="FootnoteReference"/>
          <w:vertAlign w:val="baseline"/>
        </w:rPr>
        <w:footnoteRef/>
      </w:r>
      <w:r>
        <w:t xml:space="preserve"> </w:t>
      </w:r>
      <w:r>
        <w:tab/>
        <w:t xml:space="preserve">For example, </w:t>
      </w:r>
      <w:r w:rsidRPr="00EA23F0">
        <w:t>Eqalex Underwriting</w:t>
      </w:r>
      <w:r>
        <w:t xml:space="preserve"> Pty Ltd, page 6.</w:t>
      </w:r>
    </w:p>
  </w:footnote>
  <w:footnote w:id="85">
    <w:p w14:paraId="220B23B9" w14:textId="5E564E58" w:rsidR="00977786" w:rsidRDefault="00977786" w:rsidP="00C04D36">
      <w:pPr>
        <w:pStyle w:val="FootnoteText"/>
      </w:pPr>
      <w:r w:rsidRPr="00977786">
        <w:rPr>
          <w:rStyle w:val="FootnoteReference"/>
          <w:vertAlign w:val="baseline"/>
        </w:rPr>
        <w:footnoteRef/>
      </w:r>
      <w:r>
        <w:t xml:space="preserve"> </w:t>
      </w:r>
      <w:r>
        <w:tab/>
      </w:r>
      <w:r w:rsidRPr="00FC4098">
        <w:t>The Australian Dental Association Inc</w:t>
      </w:r>
      <w:r>
        <w:t>,</w:t>
      </w:r>
      <w:r w:rsidRPr="00FC4098">
        <w:t xml:space="preserve"> p</w:t>
      </w:r>
      <w:r>
        <w:t>age</w:t>
      </w:r>
      <w:r w:rsidRPr="00FC4098">
        <w:t xml:space="preserve"> 18</w:t>
      </w:r>
      <w:r>
        <w:t>.</w:t>
      </w:r>
    </w:p>
  </w:footnote>
  <w:footnote w:id="86">
    <w:p w14:paraId="3B02D063" w14:textId="0D171642" w:rsidR="00977786" w:rsidRDefault="00977786" w:rsidP="00A24996">
      <w:pPr>
        <w:pStyle w:val="FootnoteText"/>
      </w:pPr>
      <w:r w:rsidRPr="00977786">
        <w:rPr>
          <w:rStyle w:val="FootnoteReference"/>
          <w:vertAlign w:val="baseline"/>
        </w:rPr>
        <w:footnoteRef/>
      </w:r>
      <w:r>
        <w:t xml:space="preserve"> </w:t>
      </w:r>
      <w:r>
        <w:tab/>
        <w:t xml:space="preserve">PricewaterhouseCoopers 2012, </w:t>
      </w:r>
      <w:hyperlink r:id="rId60" w:history="1">
        <w:r w:rsidRPr="00B95932">
          <w:rPr>
            <w:rStyle w:val="Hyperlink"/>
            <w:i/>
          </w:rPr>
          <w:t>A best practice approach to designing and reviewing licensing schemes — Independent Pricing and Regulatory Tribunal</w:t>
        </w:r>
      </w:hyperlink>
      <w:r>
        <w:t>.</w:t>
      </w:r>
    </w:p>
  </w:footnote>
  <w:footnote w:id="87">
    <w:p w14:paraId="7A94230E" w14:textId="72373518" w:rsidR="00977786" w:rsidRDefault="00977786" w:rsidP="00215822">
      <w:pPr>
        <w:pStyle w:val="FootnoteText"/>
        <w:spacing w:before="0"/>
      </w:pPr>
      <w:r w:rsidRPr="00977786">
        <w:rPr>
          <w:rStyle w:val="FootnoteReference"/>
          <w:vertAlign w:val="baseline"/>
        </w:rPr>
        <w:footnoteRef/>
      </w:r>
      <w:r>
        <w:t xml:space="preserve"> </w:t>
      </w:r>
      <w:r>
        <w:tab/>
      </w:r>
      <w:r w:rsidRPr="006D7C52">
        <w:t xml:space="preserve">National Competition Council </w:t>
      </w:r>
      <w:r>
        <w:t>m</w:t>
      </w:r>
      <w:r w:rsidRPr="006D7C52">
        <w:t xml:space="preserve">edia </w:t>
      </w:r>
      <w:r>
        <w:t>r</w:t>
      </w:r>
      <w:r w:rsidRPr="006D7C52">
        <w:t xml:space="preserve">elease, </w:t>
      </w:r>
      <w:hyperlink r:id="rId61" w:history="1">
        <w:r w:rsidRPr="00B23F8E">
          <w:rPr>
            <w:rStyle w:val="Hyperlink"/>
            <w:i/>
          </w:rPr>
          <w:t>Public Interest or Self Interest?</w:t>
        </w:r>
      </w:hyperlink>
      <w:r>
        <w:t>,</w:t>
      </w:r>
      <w:r w:rsidRPr="006D7C52">
        <w:t xml:space="preserve"> 14 August 2000.</w:t>
      </w:r>
    </w:p>
  </w:footnote>
  <w:footnote w:id="88">
    <w:p w14:paraId="5B70D1C2" w14:textId="7DD8A847" w:rsidR="00977786" w:rsidRDefault="00977786">
      <w:pPr>
        <w:pStyle w:val="FootnoteText"/>
      </w:pPr>
      <w:r w:rsidRPr="00977786">
        <w:rPr>
          <w:rStyle w:val="FootnoteReference"/>
          <w:vertAlign w:val="baseline"/>
        </w:rPr>
        <w:footnoteRef/>
      </w:r>
      <w:r>
        <w:t xml:space="preserve"> </w:t>
      </w:r>
      <w:r>
        <w:tab/>
        <w:t xml:space="preserve">For example, </w:t>
      </w:r>
      <w:r w:rsidRPr="00BE38E4">
        <w:t>A</w:t>
      </w:r>
      <w:r>
        <w:t>ustralian Industry</w:t>
      </w:r>
      <w:r w:rsidRPr="00BE38E4">
        <w:t xml:space="preserve"> Group</w:t>
      </w:r>
      <w:r>
        <w:t>, page 15.</w:t>
      </w:r>
    </w:p>
  </w:footnote>
  <w:footnote w:id="89">
    <w:p w14:paraId="031D0583" w14:textId="33B6D57B" w:rsidR="00977786" w:rsidRDefault="00977786" w:rsidP="00A24996">
      <w:pPr>
        <w:pStyle w:val="FootnoteText"/>
      </w:pPr>
      <w:r w:rsidRPr="00977786">
        <w:rPr>
          <w:rStyle w:val="FootnoteReference"/>
          <w:vertAlign w:val="baseline"/>
        </w:rPr>
        <w:footnoteRef/>
      </w:r>
      <w:r>
        <w:t xml:space="preserve"> </w:t>
      </w:r>
      <w:r>
        <w:tab/>
        <w:t>For example, Australian Food and Grocery Council, page 19 and Attachment 5, provides examples of regulations that impede competition, growth and innovation in the food and grocery sector, including regulation of agricultural and veterinary chemicals residue, industrial chemicals, metrology markings, and ‘down schedule’ medicines.</w:t>
      </w:r>
    </w:p>
  </w:footnote>
  <w:footnote w:id="90">
    <w:p w14:paraId="1FCE6DEF" w14:textId="26B76A26" w:rsidR="00977786" w:rsidRDefault="00977786">
      <w:pPr>
        <w:pStyle w:val="FootnoteText"/>
      </w:pPr>
      <w:r w:rsidRPr="00977786">
        <w:rPr>
          <w:rStyle w:val="FootnoteReference"/>
          <w:vertAlign w:val="baseline"/>
        </w:rPr>
        <w:footnoteRef/>
      </w:r>
      <w:r>
        <w:t xml:space="preserve"> </w:t>
      </w:r>
      <w:r>
        <w:tab/>
        <w:t xml:space="preserve">See </w:t>
      </w:r>
      <w:hyperlink r:id="rId62" w:history="1">
        <w:r>
          <w:rPr>
            <w:rStyle w:val="Hyperlink"/>
          </w:rPr>
          <w:t>www.standards.org.au/StandardsDevelopment/What_is_a_Standard/Pages/Net</w:t>
        </w:r>
        <w:r>
          <w:rPr>
            <w:rStyle w:val="Hyperlink"/>
          </w:rPr>
          <w:noBreakHyphen/>
          <w:t>Benefit.aspx</w:t>
        </w:r>
      </w:hyperlink>
      <w:r>
        <w:rPr>
          <w:rStyle w:val="Hyperlink"/>
        </w:rPr>
        <w:t>.</w:t>
      </w:r>
      <w:r>
        <w:t xml:space="preserve"> </w:t>
      </w:r>
    </w:p>
  </w:footnote>
  <w:footnote w:id="91">
    <w:p w14:paraId="55E01FA9" w14:textId="55C4F802" w:rsidR="00977786" w:rsidRDefault="00977786" w:rsidP="00C80F90">
      <w:pPr>
        <w:pStyle w:val="FootnoteText"/>
      </w:pPr>
      <w:r w:rsidRPr="00977786">
        <w:rPr>
          <w:rStyle w:val="FootnoteReference"/>
          <w:vertAlign w:val="baseline"/>
        </w:rPr>
        <w:footnoteRef/>
      </w:r>
      <w:r>
        <w:t xml:space="preserve"> </w:t>
      </w:r>
      <w:r>
        <w:tab/>
      </w:r>
      <w:proofErr w:type="gramStart"/>
      <w:r>
        <w:t>Standards Australia, page 4.</w:t>
      </w:r>
      <w:proofErr w:type="gramEnd"/>
    </w:p>
  </w:footnote>
  <w:footnote w:id="92">
    <w:p w14:paraId="66281EC5" w14:textId="5F818EDF" w:rsidR="00977786" w:rsidRDefault="00977786">
      <w:pPr>
        <w:pStyle w:val="FootnoteText"/>
      </w:pPr>
      <w:r w:rsidRPr="00977786">
        <w:rPr>
          <w:rStyle w:val="FootnoteReference"/>
          <w:vertAlign w:val="baseline"/>
        </w:rPr>
        <w:footnoteRef/>
      </w:r>
      <w:r>
        <w:t xml:space="preserve"> </w:t>
      </w:r>
      <w:r>
        <w:tab/>
        <w:t xml:space="preserve">See </w:t>
      </w:r>
      <w:hyperlink r:id="rId63" w:history="1">
        <w:r>
          <w:rPr>
            <w:rStyle w:val="Hyperlink"/>
          </w:rPr>
          <w:t>www.standards.org.au/InternationalEngagement/Pages/default.aspx</w:t>
        </w:r>
      </w:hyperlink>
      <w:r>
        <w:rPr>
          <w:rStyle w:val="Hyperlink"/>
        </w:rPr>
        <w:t>.</w:t>
      </w:r>
      <w:r>
        <w:t xml:space="preserve"> </w:t>
      </w:r>
    </w:p>
  </w:footnote>
  <w:footnote w:id="93">
    <w:p w14:paraId="59372AC2" w14:textId="32843BF5" w:rsidR="00977786" w:rsidRDefault="00977786" w:rsidP="00A24996">
      <w:pPr>
        <w:pStyle w:val="FootnoteText"/>
      </w:pPr>
      <w:r w:rsidRPr="00977786">
        <w:rPr>
          <w:rStyle w:val="FootnoteReference"/>
          <w:vertAlign w:val="baseline"/>
        </w:rPr>
        <w:footnoteRef/>
      </w:r>
      <w:r>
        <w:t xml:space="preserve"> </w:t>
      </w:r>
      <w:r>
        <w:tab/>
        <w:t xml:space="preserve">World Trade Organisation, </w:t>
      </w:r>
      <w:hyperlink r:id="rId64" w:history="1">
        <w:r w:rsidRPr="00A24996">
          <w:rPr>
            <w:rStyle w:val="Hyperlink"/>
            <w:i/>
          </w:rPr>
          <w:t>Agreement on Technical Barriers to Trade</w:t>
        </w:r>
      </w:hyperlink>
      <w:r>
        <w:t xml:space="preserve">. </w:t>
      </w:r>
    </w:p>
  </w:footnote>
  <w:footnote w:id="94">
    <w:p w14:paraId="2553D58E" w14:textId="02E89CD0" w:rsidR="00977786" w:rsidRDefault="00977786" w:rsidP="0009441E">
      <w:pPr>
        <w:pStyle w:val="FootnoteText"/>
        <w:spacing w:before="40"/>
      </w:pPr>
      <w:r w:rsidRPr="00977786">
        <w:rPr>
          <w:rStyle w:val="FootnoteReference"/>
          <w:vertAlign w:val="baseline"/>
        </w:rPr>
        <w:footnoteRef/>
      </w:r>
      <w:r>
        <w:t xml:space="preserve"> </w:t>
      </w:r>
      <w:r>
        <w:tab/>
      </w:r>
      <w:r w:rsidRPr="00C80F90">
        <w:t>Lloyd</w:t>
      </w:r>
      <w:r>
        <w:t>, J, page 8.</w:t>
      </w:r>
    </w:p>
  </w:footnote>
  <w:footnote w:id="95">
    <w:p w14:paraId="2B6E31F6" w14:textId="5D0751CD" w:rsidR="00977786" w:rsidRDefault="00977786" w:rsidP="0009441E">
      <w:pPr>
        <w:pStyle w:val="FootnoteText"/>
        <w:spacing w:before="40"/>
      </w:pPr>
      <w:r w:rsidRPr="00977786">
        <w:rPr>
          <w:rStyle w:val="FootnoteReference"/>
          <w:vertAlign w:val="baseline"/>
        </w:rPr>
        <w:footnoteRef/>
      </w:r>
      <w:r>
        <w:t xml:space="preserve"> </w:t>
      </w:r>
      <w:r>
        <w:tab/>
      </w:r>
      <w:r w:rsidRPr="00C57278">
        <w:t>A</w:t>
      </w:r>
      <w:r>
        <w:t>ustralian Industry</w:t>
      </w:r>
      <w:r w:rsidRPr="00C57278">
        <w:t xml:space="preserve"> Group</w:t>
      </w:r>
      <w:r>
        <w:t xml:space="preserve">, page 16 and </w:t>
      </w:r>
      <w:r w:rsidRPr="00C57278">
        <w:t>National Electrical and Communicatio</w:t>
      </w:r>
      <w:r>
        <w:t>ns Association, page 4.</w:t>
      </w:r>
    </w:p>
  </w:footnote>
  <w:footnote w:id="96">
    <w:p w14:paraId="74DD8C86" w14:textId="3AC86EC3" w:rsidR="00977786" w:rsidRDefault="00977786" w:rsidP="0009441E">
      <w:pPr>
        <w:pStyle w:val="FootnoteText"/>
        <w:spacing w:before="40"/>
      </w:pPr>
      <w:r w:rsidRPr="00977786">
        <w:rPr>
          <w:rStyle w:val="FootnoteReference"/>
          <w:vertAlign w:val="baseline"/>
        </w:rPr>
        <w:footnoteRef/>
      </w:r>
      <w:r>
        <w:t xml:space="preserve"> </w:t>
      </w:r>
      <w:r>
        <w:tab/>
      </w:r>
      <w:r w:rsidRPr="00C57278">
        <w:t>Federal Chamber of Automotive Industries</w:t>
      </w:r>
      <w:r>
        <w:t>, page 3.</w:t>
      </w:r>
    </w:p>
  </w:footnote>
  <w:footnote w:id="97">
    <w:p w14:paraId="0FA34F23" w14:textId="1EB41631" w:rsidR="00977786" w:rsidRDefault="00977786">
      <w:pPr>
        <w:pStyle w:val="FootnoteText"/>
      </w:pPr>
      <w:r w:rsidRPr="00977786">
        <w:rPr>
          <w:rStyle w:val="FootnoteReference"/>
          <w:vertAlign w:val="baseline"/>
        </w:rPr>
        <w:footnoteRef/>
      </w:r>
      <w:r>
        <w:t xml:space="preserve"> </w:t>
      </w:r>
      <w:r>
        <w:tab/>
        <w:t xml:space="preserve">Productivity Commission 2014, </w:t>
      </w:r>
      <w:hyperlink r:id="rId65" w:history="1">
        <w:r w:rsidRPr="003F5F0D">
          <w:rPr>
            <w:rStyle w:val="Hyperlink"/>
            <w:i/>
          </w:rPr>
          <w:t>Australia</w:t>
        </w:r>
        <w:r>
          <w:rPr>
            <w:rStyle w:val="Hyperlink"/>
            <w:i/>
          </w:rPr>
          <w:t>’</w:t>
        </w:r>
        <w:r w:rsidRPr="003F5F0D">
          <w:rPr>
            <w:rStyle w:val="Hyperlink"/>
            <w:i/>
          </w:rPr>
          <w:t>s Automotive Manufacturing Industry</w:t>
        </w:r>
      </w:hyperlink>
      <w:r>
        <w:t>, page 129. See also Recommendation 5.4.</w:t>
      </w:r>
    </w:p>
  </w:footnote>
  <w:footnote w:id="98">
    <w:p w14:paraId="5A9C4A98" w14:textId="6BC5E1FC" w:rsidR="00977786" w:rsidRDefault="00977786" w:rsidP="00095EC4">
      <w:pPr>
        <w:pStyle w:val="FootnoteText"/>
        <w:spacing w:before="40"/>
      </w:pPr>
      <w:r w:rsidRPr="00977786">
        <w:rPr>
          <w:rStyle w:val="FootnoteReference"/>
          <w:vertAlign w:val="baseline"/>
        </w:rPr>
        <w:footnoteRef/>
      </w:r>
      <w:r w:rsidRPr="00095EC4">
        <w:rPr>
          <w:rStyle w:val="FootnoteReference"/>
          <w:vertAlign w:val="baseline"/>
        </w:rPr>
        <w:t xml:space="preserve"> </w:t>
      </w:r>
      <w:r w:rsidRPr="00095EC4">
        <w:rPr>
          <w:rStyle w:val="FootnoteReference"/>
          <w:vertAlign w:val="baseline"/>
        </w:rPr>
        <w:tab/>
      </w:r>
      <w:r w:rsidRPr="00AC0581">
        <w:rPr>
          <w:rStyle w:val="FootnoteReference"/>
          <w:vertAlign w:val="baseline"/>
        </w:rPr>
        <w:t>F</w:t>
      </w:r>
      <w:r w:rsidRPr="00095EC4">
        <w:rPr>
          <w:rStyle w:val="FootnoteReference"/>
          <w:vertAlign w:val="baseline"/>
        </w:rPr>
        <w:t>or example, Griffith and District Citrus Growers Association, page 4</w:t>
      </w:r>
      <w:r>
        <w:t>,</w:t>
      </w:r>
      <w:r w:rsidRPr="00095EC4">
        <w:rPr>
          <w:rStyle w:val="FootnoteReference"/>
          <w:vertAlign w:val="baseline"/>
        </w:rPr>
        <w:t xml:space="preserve"> and Cider Australia, page 1.</w:t>
      </w:r>
    </w:p>
  </w:footnote>
  <w:footnote w:id="99">
    <w:p w14:paraId="18BDFE04" w14:textId="1AA84320" w:rsidR="00977786" w:rsidRDefault="00977786" w:rsidP="00E72C48">
      <w:pPr>
        <w:pStyle w:val="FootnoteText"/>
      </w:pPr>
      <w:r w:rsidRPr="00977786">
        <w:rPr>
          <w:rStyle w:val="FootnoteReference"/>
          <w:vertAlign w:val="baseline"/>
        </w:rPr>
        <w:footnoteRef/>
      </w:r>
      <w:r>
        <w:t xml:space="preserve"> </w:t>
      </w:r>
      <w:r>
        <w:tab/>
        <w:t>KAGOME Australia, page</w:t>
      </w:r>
      <w:r w:rsidRPr="00863D2E">
        <w:t xml:space="preserve"> 11</w:t>
      </w:r>
      <w:r>
        <w:t>.</w:t>
      </w:r>
    </w:p>
  </w:footnote>
  <w:footnote w:id="100">
    <w:p w14:paraId="397E749F" w14:textId="315EBFC5" w:rsidR="00977786" w:rsidRDefault="00977786" w:rsidP="00215822">
      <w:pPr>
        <w:pStyle w:val="FootnoteText"/>
      </w:pPr>
      <w:r w:rsidRPr="00977786">
        <w:rPr>
          <w:rStyle w:val="FootnoteReference"/>
          <w:vertAlign w:val="baseline"/>
        </w:rPr>
        <w:footnoteRef/>
      </w:r>
      <w:r>
        <w:t xml:space="preserve"> </w:t>
      </w:r>
      <w:r>
        <w:tab/>
      </w:r>
      <w:proofErr w:type="gramStart"/>
      <w:r w:rsidRPr="000515E7">
        <w:t>National Competition Council</w:t>
      </w:r>
      <w:r>
        <w:t xml:space="preserve"> 2005</w:t>
      </w:r>
      <w:r w:rsidRPr="000515E7">
        <w:t xml:space="preserve">, </w:t>
      </w:r>
      <w:hyperlink r:id="rId66" w:history="1">
        <w:r w:rsidRPr="00480A3C">
          <w:rPr>
            <w:rStyle w:val="Hyperlink"/>
            <w:i/>
          </w:rPr>
          <w:t>Assessment of governments’ progress in implementing the National Competition Policy and related reforms</w:t>
        </w:r>
      </w:hyperlink>
      <w:r>
        <w:t>, page xxix.</w:t>
      </w:r>
      <w:proofErr w:type="gramEnd"/>
    </w:p>
  </w:footnote>
  <w:footnote w:id="101">
    <w:p w14:paraId="6326DFD8" w14:textId="42D35076" w:rsidR="00977786" w:rsidRDefault="00977786" w:rsidP="00480A3C">
      <w:pPr>
        <w:pStyle w:val="FootnoteText"/>
      </w:pPr>
      <w:r w:rsidRPr="00977786">
        <w:rPr>
          <w:rStyle w:val="FootnoteReference"/>
          <w:vertAlign w:val="baseline"/>
        </w:rPr>
        <w:footnoteRef/>
      </w:r>
      <w:r>
        <w:t xml:space="preserve"> Productivity Commission 2011, </w:t>
      </w:r>
      <w:hyperlink r:id="rId67" w:history="1">
        <w:r w:rsidRPr="00480A3C">
          <w:rPr>
            <w:rStyle w:val="Hyperlink"/>
            <w:i/>
          </w:rPr>
          <w:t>Economic Structure and Performance of the Australian Retail Industry Inquiry</w:t>
        </w:r>
      </w:hyperlink>
      <w:r>
        <w:t>, Recommendation 10.1, page XLII.</w:t>
      </w:r>
    </w:p>
  </w:footnote>
  <w:footnote w:id="102">
    <w:p w14:paraId="65663D54" w14:textId="7E1B1FED" w:rsidR="00977786" w:rsidRDefault="00977786" w:rsidP="00C95C4B">
      <w:pPr>
        <w:pStyle w:val="FootnoteText"/>
      </w:pPr>
      <w:r w:rsidRPr="00977786">
        <w:rPr>
          <w:rStyle w:val="FootnoteReference"/>
          <w:vertAlign w:val="baseline"/>
        </w:rPr>
        <w:footnoteRef/>
      </w:r>
      <w:r>
        <w:t xml:space="preserve"> </w:t>
      </w:r>
      <w:r w:rsidRPr="00244492">
        <w:t>Queensland Competition Authority</w:t>
      </w:r>
      <w:r>
        <w:t xml:space="preserve"> 2013,</w:t>
      </w:r>
      <w:r w:rsidRPr="00244492">
        <w:t xml:space="preserve"> </w:t>
      </w:r>
      <w:hyperlink r:id="rId68" w:history="1">
        <w:r w:rsidRPr="00480A3C">
          <w:rPr>
            <w:rStyle w:val="Hyperlink"/>
            <w:i/>
          </w:rPr>
          <w:t>Measuring and Reducing the Burden of Regulation</w:t>
        </w:r>
      </w:hyperlink>
      <w:r w:rsidRPr="00244492">
        <w:t>,</w:t>
      </w:r>
      <w:r>
        <w:t xml:space="preserve"> page 33.</w:t>
      </w:r>
    </w:p>
  </w:footnote>
  <w:footnote w:id="103">
    <w:p w14:paraId="14003411" w14:textId="7BF1C5E3" w:rsidR="00977786" w:rsidRDefault="00977786" w:rsidP="00C95C4B">
      <w:pPr>
        <w:pStyle w:val="FootnoteText"/>
      </w:pPr>
      <w:r w:rsidRPr="00977786">
        <w:rPr>
          <w:rStyle w:val="FootnoteReference"/>
          <w:vertAlign w:val="baseline"/>
        </w:rPr>
        <w:footnoteRef/>
      </w:r>
      <w:r>
        <w:t xml:space="preserve"> </w:t>
      </w:r>
      <w:r w:rsidRPr="00E72911">
        <w:t>West</w:t>
      </w:r>
      <w:r>
        <w:t>ern</w:t>
      </w:r>
      <w:r w:rsidRPr="00E72911">
        <w:t xml:space="preserve"> Australian Economic Regulation Authority</w:t>
      </w:r>
      <w:r>
        <w:t xml:space="preserve"> 2014, </w:t>
      </w:r>
      <w:hyperlink r:id="rId69" w:history="1">
        <w:r w:rsidRPr="00480A3C">
          <w:rPr>
            <w:rStyle w:val="Hyperlink"/>
            <w:i/>
          </w:rPr>
          <w:t>Inquiry into Microeconomic Reform in WA Final Report</w:t>
        </w:r>
      </w:hyperlink>
      <w:r>
        <w:t xml:space="preserve">, </w:t>
      </w:r>
      <w:r w:rsidRPr="00E72911">
        <w:t>page</w:t>
      </w:r>
      <w:r>
        <w:t>s 292</w:t>
      </w:r>
      <w:r>
        <w:noBreakHyphen/>
        <w:t>293 and recommendation 29.</w:t>
      </w:r>
    </w:p>
  </w:footnote>
  <w:footnote w:id="104">
    <w:p w14:paraId="0EE2D29A" w14:textId="4C021E83" w:rsidR="00977786" w:rsidRDefault="00977786" w:rsidP="00C95C4B">
      <w:pPr>
        <w:pStyle w:val="FootnoteText"/>
      </w:pPr>
      <w:r w:rsidRPr="00977786">
        <w:rPr>
          <w:rStyle w:val="FootnoteReference"/>
          <w:vertAlign w:val="baseline"/>
        </w:rPr>
        <w:footnoteRef/>
      </w:r>
      <w:r>
        <w:t xml:space="preserve"> </w:t>
      </w:r>
      <w:proofErr w:type="gramStart"/>
      <w:r>
        <w:t xml:space="preserve">Moss, A 2007, </w:t>
      </w:r>
      <w:hyperlink r:id="rId70" w:history="1">
        <w:r w:rsidRPr="00D23AB1">
          <w:rPr>
            <w:rStyle w:val="Hyperlink"/>
          </w:rPr>
          <w:t xml:space="preserve">Report of the 2006–07 </w:t>
        </w:r>
        <w:r w:rsidRPr="000515E7">
          <w:rPr>
            <w:rStyle w:val="Hyperlink"/>
          </w:rPr>
          <w:t>Review of the Shop Trading Hours Act 1977</w:t>
        </w:r>
      </w:hyperlink>
      <w:r>
        <w:t xml:space="preserve"> (South Australia), page 26.</w:t>
      </w:r>
      <w:proofErr w:type="gramEnd"/>
    </w:p>
  </w:footnote>
  <w:footnote w:id="105">
    <w:p w14:paraId="37A70C01" w14:textId="2154DFBF" w:rsidR="00977786" w:rsidRDefault="00977786">
      <w:pPr>
        <w:pStyle w:val="FootnoteText"/>
      </w:pPr>
      <w:r w:rsidRPr="00977786">
        <w:rPr>
          <w:rStyle w:val="FootnoteReference"/>
          <w:vertAlign w:val="baseline"/>
        </w:rPr>
        <w:footnoteRef/>
      </w:r>
      <w:r>
        <w:t xml:space="preserve"> For example </w:t>
      </w:r>
      <w:r w:rsidRPr="004235EC">
        <w:t>Australian Natio</w:t>
      </w:r>
      <w:r>
        <w:t xml:space="preserve">nal Retailers Association, page 6, </w:t>
      </w:r>
      <w:r w:rsidRPr="004235EC">
        <w:t>Shopping Centre Council of Australia</w:t>
      </w:r>
      <w:r>
        <w:t>,</w:t>
      </w:r>
      <w:r w:rsidRPr="004235EC">
        <w:t xml:space="preserve"> p</w:t>
      </w:r>
      <w:r>
        <w:t>age</w:t>
      </w:r>
      <w:r w:rsidRPr="004235EC">
        <w:t xml:space="preserve"> </w:t>
      </w:r>
      <w:r w:rsidRPr="00B73367">
        <w:t>3</w:t>
      </w:r>
      <w:r>
        <w:t xml:space="preserve"> and Woolworths, page 60.</w:t>
      </w:r>
    </w:p>
  </w:footnote>
  <w:footnote w:id="106">
    <w:p w14:paraId="5EDBD2C5" w14:textId="6117B56E" w:rsidR="00977786" w:rsidRDefault="00977786" w:rsidP="0026615F">
      <w:pPr>
        <w:pStyle w:val="FootnoteText"/>
      </w:pPr>
      <w:r w:rsidRPr="00977786">
        <w:rPr>
          <w:rStyle w:val="FootnoteReference"/>
          <w:vertAlign w:val="baseline"/>
        </w:rPr>
        <w:footnoteRef/>
      </w:r>
      <w:r>
        <w:t xml:space="preserve"> </w:t>
      </w:r>
      <w:proofErr w:type="gramStart"/>
      <w:r w:rsidRPr="00E37D60">
        <w:t>Shopping Centre Cou</w:t>
      </w:r>
      <w:r>
        <w:t>ncil of Australia, page</w:t>
      </w:r>
      <w:r w:rsidRPr="00E37D60">
        <w:t xml:space="preserve"> 7</w:t>
      </w:r>
      <w:r>
        <w:t>.</w:t>
      </w:r>
      <w:proofErr w:type="gramEnd"/>
    </w:p>
  </w:footnote>
  <w:footnote w:id="107">
    <w:p w14:paraId="3E684B4D" w14:textId="32CA5E9F" w:rsidR="00977786" w:rsidRDefault="00977786">
      <w:pPr>
        <w:pStyle w:val="FootnoteText"/>
      </w:pPr>
      <w:r w:rsidRPr="00977786">
        <w:rPr>
          <w:rStyle w:val="FootnoteReference"/>
          <w:vertAlign w:val="baseline"/>
        </w:rPr>
        <w:footnoteRef/>
      </w:r>
      <w:r>
        <w:t xml:space="preserve"> For example, </w:t>
      </w:r>
      <w:r w:rsidRPr="004235EC">
        <w:t>Chamber of Commerce and Industry WA, p</w:t>
      </w:r>
      <w:r>
        <w:t>age</w:t>
      </w:r>
      <w:r w:rsidRPr="004235EC">
        <w:t xml:space="preserve"> 30</w:t>
      </w:r>
      <w:r>
        <w:t>.</w:t>
      </w:r>
    </w:p>
  </w:footnote>
  <w:footnote w:id="108">
    <w:p w14:paraId="193E5B0C" w14:textId="5045D4E6" w:rsidR="00977786" w:rsidRDefault="00977786" w:rsidP="000813A4">
      <w:pPr>
        <w:pStyle w:val="FootnoteText"/>
      </w:pPr>
      <w:r w:rsidRPr="00977786">
        <w:rPr>
          <w:rStyle w:val="FootnoteReference"/>
          <w:vertAlign w:val="baseline"/>
        </w:rPr>
        <w:footnoteRef/>
      </w:r>
      <w:r>
        <w:t xml:space="preserve"> </w:t>
      </w:r>
      <w:r w:rsidRPr="00E37D60">
        <w:t>Australian Retailers Assoc</w:t>
      </w:r>
      <w:r>
        <w:t>iation, page</w:t>
      </w:r>
      <w:r w:rsidRPr="00E37D60">
        <w:t xml:space="preserve"> 6</w:t>
      </w:r>
      <w:r>
        <w:t>.</w:t>
      </w:r>
    </w:p>
  </w:footnote>
  <w:footnote w:id="109">
    <w:p w14:paraId="5A04D067" w14:textId="591B27AD" w:rsidR="00977786" w:rsidRDefault="00977786">
      <w:pPr>
        <w:pStyle w:val="FootnoteText"/>
      </w:pPr>
      <w:r w:rsidRPr="00977786">
        <w:rPr>
          <w:rStyle w:val="FootnoteReference"/>
          <w:vertAlign w:val="baseline"/>
        </w:rPr>
        <w:footnoteRef/>
      </w:r>
      <w:r>
        <w:t xml:space="preserve"> </w:t>
      </w:r>
      <w:r w:rsidRPr="00E37D60">
        <w:t>White</w:t>
      </w:r>
      <w:r>
        <w:t>’s Grocers, page</w:t>
      </w:r>
      <w:r w:rsidRPr="00E37D60">
        <w:t xml:space="preserve"> 8</w:t>
      </w:r>
      <w:r>
        <w:t>.</w:t>
      </w:r>
    </w:p>
  </w:footnote>
  <w:footnote w:id="110">
    <w:p w14:paraId="0F4C91D8" w14:textId="3125794F" w:rsidR="00977786" w:rsidRDefault="00977786">
      <w:pPr>
        <w:pStyle w:val="FootnoteText"/>
      </w:pPr>
      <w:r w:rsidRPr="00977786">
        <w:rPr>
          <w:rStyle w:val="FootnoteReference"/>
          <w:vertAlign w:val="baseline"/>
        </w:rPr>
        <w:footnoteRef/>
      </w:r>
      <w:r>
        <w:tab/>
      </w:r>
      <w:proofErr w:type="gramStart"/>
      <w:r>
        <w:t>National Australia Bank</w:t>
      </w:r>
      <w:r w:rsidRPr="00806211">
        <w:t xml:space="preserve"> 2012</w:t>
      </w:r>
      <w:r>
        <w:t xml:space="preserve">, </w:t>
      </w:r>
      <w:hyperlink r:id="rId71" w:history="1">
        <w:r w:rsidRPr="00480A3C">
          <w:rPr>
            <w:rStyle w:val="Hyperlink"/>
            <w:i/>
          </w:rPr>
          <w:t>NAB Online Retail Sales Index In</w:t>
        </w:r>
        <w:r w:rsidRPr="00480A3C">
          <w:rPr>
            <w:rStyle w:val="Hyperlink"/>
            <w:i/>
          </w:rPr>
          <w:noBreakHyphen/>
          <w:t>depth report</w:t>
        </w:r>
        <w:r w:rsidRPr="003F5F0D">
          <w:rPr>
            <w:rStyle w:val="Hyperlink"/>
          </w:rPr>
          <w:t>, January 2010</w:t>
        </w:r>
        <w:r>
          <w:rPr>
            <w:rStyle w:val="Hyperlink"/>
          </w:rPr>
          <w:t xml:space="preserve"> — </w:t>
        </w:r>
        <w:r w:rsidRPr="003F5F0D">
          <w:rPr>
            <w:rStyle w:val="Hyperlink"/>
          </w:rPr>
          <w:t>January 2012</w:t>
        </w:r>
      </w:hyperlink>
      <w:r>
        <w:t xml:space="preserve"> and </w:t>
      </w:r>
      <w:hyperlink r:id="rId72" w:history="1">
        <w:r w:rsidRPr="00B221F5">
          <w:rPr>
            <w:rStyle w:val="Hyperlink"/>
          </w:rPr>
          <w:t>NAB Online Retail Sales Index</w:t>
        </w:r>
      </w:hyperlink>
      <w:r>
        <w:t>, June 2014.</w:t>
      </w:r>
      <w:proofErr w:type="gramEnd"/>
    </w:p>
  </w:footnote>
  <w:footnote w:id="111">
    <w:p w14:paraId="1E98C1DC" w14:textId="35EF5372" w:rsidR="00977786" w:rsidRDefault="00977786" w:rsidP="001C03E5">
      <w:pPr>
        <w:pStyle w:val="FootnoteText"/>
      </w:pPr>
      <w:r w:rsidRPr="00977786">
        <w:rPr>
          <w:rStyle w:val="FootnoteReference"/>
          <w:vertAlign w:val="baseline"/>
        </w:rPr>
        <w:footnoteRef/>
      </w:r>
      <w:r>
        <w:t xml:space="preserve"> </w:t>
      </w:r>
      <w:proofErr w:type="gramStart"/>
      <w:r>
        <w:t xml:space="preserve">National Australia Bank 2014, </w:t>
      </w:r>
      <w:hyperlink r:id="rId73" w:history="1">
        <w:r w:rsidRPr="00B221F5">
          <w:rPr>
            <w:rStyle w:val="Hyperlink"/>
          </w:rPr>
          <w:t>NAB Online Retail Sales Index</w:t>
        </w:r>
      </w:hyperlink>
      <w:r>
        <w:t>.</w:t>
      </w:r>
      <w:proofErr w:type="gramEnd"/>
    </w:p>
  </w:footnote>
  <w:footnote w:id="112">
    <w:p w14:paraId="6BE49244" w14:textId="15F08231" w:rsidR="00977786" w:rsidRDefault="00977786" w:rsidP="006F54D0">
      <w:pPr>
        <w:pStyle w:val="FootnoteText"/>
      </w:pPr>
      <w:r w:rsidRPr="00977786">
        <w:rPr>
          <w:rStyle w:val="FootnoteReference"/>
          <w:vertAlign w:val="baseline"/>
        </w:rPr>
        <w:footnoteRef/>
      </w:r>
      <w:r>
        <w:t xml:space="preserve"> For further discussion see Australian Government Department of Communications June 2014, </w:t>
      </w:r>
      <w:hyperlink r:id="rId74" w:history="1">
        <w:r w:rsidRPr="00424EDF">
          <w:rPr>
            <w:rStyle w:val="Hyperlink"/>
          </w:rPr>
          <w:t>Media Control and Ownership — Background Policy Paper</w:t>
        </w:r>
      </w:hyperlink>
      <w:r>
        <w:rPr>
          <w:rStyle w:val="Hyperlink"/>
        </w:rPr>
        <w:t>.</w:t>
      </w:r>
    </w:p>
  </w:footnote>
  <w:footnote w:id="113">
    <w:p w14:paraId="3ACC22A1" w14:textId="05BC9546" w:rsidR="00977786" w:rsidRDefault="00977786" w:rsidP="0077362F">
      <w:pPr>
        <w:pStyle w:val="FootnoteText"/>
      </w:pPr>
      <w:r w:rsidRPr="00977786">
        <w:rPr>
          <w:rStyle w:val="FootnoteReference"/>
          <w:vertAlign w:val="baseline"/>
        </w:rPr>
        <w:footnoteRef/>
      </w:r>
      <w:r>
        <w:t xml:space="preserve"> Minister for Communications, Press Release, </w:t>
      </w:r>
      <w:hyperlink r:id="rId75" w:history="1">
        <w:r w:rsidRPr="00030AA1">
          <w:rPr>
            <w:rStyle w:val="Hyperlink"/>
          </w:rPr>
          <w:t>Spectrum Reform to Drive Future Innovation and Productivity</w:t>
        </w:r>
      </w:hyperlink>
      <w:r>
        <w:t xml:space="preserve">, 23 May 2014. </w:t>
      </w:r>
    </w:p>
  </w:footnote>
  <w:footnote w:id="114">
    <w:p w14:paraId="6C379BBC" w14:textId="14DFB98A" w:rsidR="00977786" w:rsidRDefault="00977786">
      <w:pPr>
        <w:pStyle w:val="FootnoteText"/>
      </w:pPr>
      <w:r w:rsidRPr="00977786">
        <w:rPr>
          <w:rStyle w:val="FootnoteReference"/>
          <w:vertAlign w:val="baseline"/>
        </w:rPr>
        <w:footnoteRef/>
      </w:r>
      <w:r>
        <w:t xml:space="preserve"> </w:t>
      </w:r>
      <w:r w:rsidRPr="00D21D5D">
        <w:t>National Alliance for Action on Alcohol, page 1 (</w:t>
      </w:r>
      <w:r>
        <w:t>t</w:t>
      </w:r>
      <w:r w:rsidRPr="00D21D5D">
        <w:t>his submission is endorsed by the Foundation for Alcohol Research and Education, and the McCusker Centre</w:t>
      </w:r>
      <w:r>
        <w:t xml:space="preserve"> for Action on Alcohol and Youth</w:t>
      </w:r>
      <w:r w:rsidDel="0012687F">
        <w:t>)</w:t>
      </w:r>
      <w:r>
        <w:t>.</w:t>
      </w:r>
    </w:p>
  </w:footnote>
  <w:footnote w:id="115">
    <w:p w14:paraId="627ABC12" w14:textId="531642F9" w:rsidR="00977786" w:rsidRDefault="00977786" w:rsidP="00ED7DDB">
      <w:pPr>
        <w:pStyle w:val="FootnoteText"/>
      </w:pPr>
      <w:r w:rsidRPr="00977786">
        <w:rPr>
          <w:rStyle w:val="FootnoteReference"/>
          <w:vertAlign w:val="baseline"/>
        </w:rPr>
        <w:footnoteRef/>
      </w:r>
      <w:r>
        <w:t xml:space="preserve"> </w:t>
      </w:r>
      <w:r w:rsidRPr="00BC2586">
        <w:t xml:space="preserve">Productivity Commission 2010, </w:t>
      </w:r>
      <w:hyperlink r:id="rId76" w:history="1">
        <w:proofErr w:type="gramStart"/>
        <w:r w:rsidRPr="0023794D">
          <w:rPr>
            <w:rStyle w:val="Hyperlink"/>
            <w:i/>
          </w:rPr>
          <w:t>Gambling</w:t>
        </w:r>
        <w:proofErr w:type="gramEnd"/>
      </w:hyperlink>
      <w:r>
        <w:t xml:space="preserve">, pages 2 and 19. </w:t>
      </w:r>
    </w:p>
  </w:footnote>
  <w:footnote w:id="116">
    <w:p w14:paraId="1EEE0189" w14:textId="3FAE84EB" w:rsidR="00977786" w:rsidRDefault="00977786">
      <w:pPr>
        <w:pStyle w:val="FootnoteText"/>
      </w:pPr>
      <w:r w:rsidRPr="00977786">
        <w:rPr>
          <w:rStyle w:val="FootnoteReference"/>
          <w:vertAlign w:val="baseline"/>
        </w:rPr>
        <w:footnoteRef/>
      </w:r>
      <w:r>
        <w:t xml:space="preserve"> In this Draft Report, ‘pharmacy’ refers to community pharmacy and does not include hospital pharmacy.</w:t>
      </w:r>
    </w:p>
  </w:footnote>
  <w:footnote w:id="117">
    <w:p w14:paraId="7B7BF91F" w14:textId="451E1454" w:rsidR="00977786" w:rsidRDefault="00977786" w:rsidP="00A14BC7">
      <w:pPr>
        <w:pStyle w:val="FootnoteText"/>
      </w:pPr>
      <w:r w:rsidRPr="00977786">
        <w:rPr>
          <w:rStyle w:val="FootnoteReference"/>
          <w:vertAlign w:val="baseline"/>
        </w:rPr>
        <w:footnoteRef/>
      </w:r>
      <w:r>
        <w:t xml:space="preserve"> </w:t>
      </w:r>
      <w:proofErr w:type="gramStart"/>
      <w:r>
        <w:t xml:space="preserve">National Commission of Audit 2014, </w:t>
      </w:r>
      <w:hyperlink r:id="rId77" w:history="1">
        <w:r w:rsidRPr="0023794D">
          <w:rPr>
            <w:rStyle w:val="Hyperlink"/>
            <w:i/>
          </w:rPr>
          <w:t>Phase One Report</w:t>
        </w:r>
      </w:hyperlink>
      <w:r>
        <w:t>, page xlii.</w:t>
      </w:r>
      <w:proofErr w:type="gramEnd"/>
    </w:p>
  </w:footnote>
  <w:footnote w:id="118">
    <w:p w14:paraId="6A05B714" w14:textId="01A80EE0" w:rsidR="00977786" w:rsidRDefault="00977786">
      <w:pPr>
        <w:pStyle w:val="FootnoteText"/>
      </w:pPr>
      <w:r w:rsidRPr="00977786">
        <w:rPr>
          <w:rStyle w:val="FootnoteReference"/>
          <w:vertAlign w:val="baseline"/>
        </w:rPr>
        <w:footnoteRef/>
      </w:r>
      <w:r>
        <w:t xml:space="preserve"> Professional Pharmacists Australia provided a confidential submission to the Review but gave permission for this extract to be quoted in this Draft Report.</w:t>
      </w:r>
    </w:p>
  </w:footnote>
  <w:footnote w:id="119">
    <w:p w14:paraId="2A36A6DD" w14:textId="1033E3DF" w:rsidR="00977786" w:rsidRDefault="00977786">
      <w:pPr>
        <w:pStyle w:val="FootnoteText"/>
      </w:pPr>
      <w:r w:rsidRPr="00977786">
        <w:rPr>
          <w:rStyle w:val="FootnoteReference"/>
          <w:vertAlign w:val="baseline"/>
        </w:rPr>
        <w:footnoteRef/>
      </w:r>
      <w:r w:rsidRPr="00646353">
        <w:rPr>
          <w:rStyle w:val="FootnoteReference"/>
          <w:vertAlign w:val="baseline"/>
        </w:rPr>
        <w:t xml:space="preserve"> </w:t>
      </w:r>
      <w:proofErr w:type="gramStart"/>
      <w:r>
        <w:t>As at 31 December 2013.</w:t>
      </w:r>
      <w:proofErr w:type="gramEnd"/>
      <w:r>
        <w:t xml:space="preserve"> </w:t>
      </w:r>
      <w:r w:rsidRPr="00646353">
        <w:t>Private Health Insurance Administration Council 2014</w:t>
      </w:r>
      <w:r>
        <w:t xml:space="preserve">, </w:t>
      </w:r>
      <w:hyperlink r:id="rId78" w:history="1">
        <w:r w:rsidRPr="00646353">
          <w:rPr>
            <w:rStyle w:val="Hyperlink"/>
          </w:rPr>
          <w:t>Privately Insured People with Hospital Treatment Cover</w:t>
        </w:r>
      </w:hyperlink>
      <w:r>
        <w:t>, page 5.</w:t>
      </w:r>
    </w:p>
  </w:footnote>
  <w:footnote w:id="120">
    <w:p w14:paraId="1CC43C11" w14:textId="6963675F" w:rsidR="00977786" w:rsidRDefault="00977786" w:rsidP="005E6EFA">
      <w:pPr>
        <w:pStyle w:val="FootnoteText"/>
      </w:pPr>
      <w:r w:rsidRPr="00977786">
        <w:rPr>
          <w:rStyle w:val="FootnoteReference"/>
          <w:vertAlign w:val="baseline"/>
        </w:rPr>
        <w:footnoteRef/>
      </w:r>
      <w:r>
        <w:t xml:space="preserve"> National Commission of Audit 2014, </w:t>
      </w:r>
      <w:hyperlink r:id="rId79" w:history="1">
        <w:r w:rsidRPr="0023794D">
          <w:rPr>
            <w:rStyle w:val="Hyperlink"/>
            <w:i/>
          </w:rPr>
          <w:t>Phase One Report</w:t>
        </w:r>
      </w:hyperlink>
      <w:r>
        <w:t>, pages 101</w:t>
      </w:r>
      <w:r>
        <w:noBreakHyphen/>
        <w:t>102.</w:t>
      </w:r>
    </w:p>
  </w:footnote>
  <w:footnote w:id="121">
    <w:p w14:paraId="0616C788" w14:textId="26241282" w:rsidR="00977786" w:rsidRDefault="00977786">
      <w:pPr>
        <w:pStyle w:val="FootnoteText"/>
      </w:pPr>
      <w:r w:rsidRPr="00977786">
        <w:rPr>
          <w:rStyle w:val="FootnoteReference"/>
          <w:vertAlign w:val="baseline"/>
        </w:rPr>
        <w:footnoteRef/>
      </w:r>
      <w:r>
        <w:t xml:space="preserve"> For example, Optometry Australia, pages 1</w:t>
      </w:r>
      <w:r>
        <w:noBreakHyphen/>
        <w:t xml:space="preserve">2, </w:t>
      </w:r>
      <w:r w:rsidRPr="004B02EB">
        <w:t>Australian Dental Association Inc.</w:t>
      </w:r>
      <w:r>
        <w:t>, pages 7</w:t>
      </w:r>
      <w:r>
        <w:noBreakHyphen/>
        <w:t>8 and Australian Physiotherapy Association, pages 3</w:t>
      </w:r>
      <w:r>
        <w:noBreakHyphen/>
        <w:t>7.</w:t>
      </w:r>
    </w:p>
  </w:footnote>
  <w:footnote w:id="122">
    <w:p w14:paraId="2F410C67" w14:textId="2974DADC" w:rsidR="00977786" w:rsidRDefault="00977786" w:rsidP="005E6EFA">
      <w:pPr>
        <w:pStyle w:val="FootnoteText"/>
      </w:pPr>
      <w:r w:rsidRPr="00977786">
        <w:rPr>
          <w:rStyle w:val="FootnoteReference"/>
          <w:vertAlign w:val="baseline"/>
        </w:rPr>
        <w:footnoteRef/>
      </w:r>
      <w:r w:rsidRPr="00BD6139">
        <w:t xml:space="preserve"> </w:t>
      </w:r>
      <w:r>
        <w:t xml:space="preserve">For example, the ACCC found in its </w:t>
      </w:r>
      <w:hyperlink r:id="rId80" w:history="1">
        <w:r w:rsidRPr="000D043A">
          <w:rPr>
            <w:rStyle w:val="Hyperlink"/>
          </w:rPr>
          <w:t>2010</w:t>
        </w:r>
        <w:r>
          <w:rPr>
            <w:rStyle w:val="Hyperlink"/>
          </w:rPr>
          <w:noBreakHyphen/>
        </w:r>
        <w:r w:rsidRPr="000D043A">
          <w:rPr>
            <w:rStyle w:val="Hyperlink"/>
          </w:rPr>
          <w:t>11 Private health insurance report</w:t>
        </w:r>
      </w:hyperlink>
      <w:r>
        <w:t xml:space="preserve"> that consumers were, on the whole, satisfied with preferred provider schemes, and the arrangements were unlikely to contravene the third</w:t>
      </w:r>
      <w:r>
        <w:noBreakHyphen/>
        <w:t xml:space="preserve">line forcing provisions of the CCA (page 33). The ACCC has also found that preferred provider </w:t>
      </w:r>
      <w:r w:rsidRPr="00782528">
        <w:t xml:space="preserve">schemes </w:t>
      </w:r>
      <w:r>
        <w:t xml:space="preserve">for smash repairs </w:t>
      </w:r>
      <w:r w:rsidRPr="00782528">
        <w:t>have resulted in a number of consumer benefits, including lower insurance premiums, lifetime guarantees and repair work performed to a high standard</w:t>
      </w:r>
      <w:r>
        <w:t xml:space="preserve">: </w:t>
      </w:r>
      <w:hyperlink r:id="rId81" w:history="1">
        <w:r>
          <w:rPr>
            <w:rStyle w:val="Hyperlink"/>
          </w:rPr>
          <w:t>www.accc.gov.au/media</w:t>
        </w:r>
        <w:r>
          <w:rPr>
            <w:rStyle w:val="Hyperlink"/>
          </w:rPr>
          <w:noBreakHyphen/>
          <w:t>release/smash</w:t>
        </w:r>
        <w:r>
          <w:rPr>
            <w:rStyle w:val="Hyperlink"/>
          </w:rPr>
          <w:noBreakHyphen/>
          <w:t>repairers/insurance</w:t>
        </w:r>
        <w:r>
          <w:rPr>
            <w:rStyle w:val="Hyperlink"/>
          </w:rPr>
          <w:noBreakHyphen/>
          <w:t>issues</w:t>
        </w:r>
        <w:r>
          <w:rPr>
            <w:rStyle w:val="Hyperlink"/>
          </w:rPr>
          <w:noBreakHyphen/>
          <w:t>paper</w:t>
        </w:r>
        <w:r>
          <w:rPr>
            <w:rStyle w:val="Hyperlink"/>
          </w:rPr>
          <w:noBreakHyphen/>
          <w:t>published</w:t>
        </w:r>
      </w:hyperlink>
      <w:r>
        <w:t>.</w:t>
      </w:r>
    </w:p>
  </w:footnote>
  <w:footnote w:id="123">
    <w:p w14:paraId="1AFA5CA6" w14:textId="7973409E" w:rsidR="00977786" w:rsidRDefault="00977786" w:rsidP="00215822">
      <w:pPr>
        <w:pStyle w:val="FootnoteText"/>
      </w:pPr>
      <w:r w:rsidRPr="00977786">
        <w:rPr>
          <w:rStyle w:val="FootnoteReference"/>
          <w:vertAlign w:val="baseline"/>
        </w:rPr>
        <w:footnoteRef/>
      </w:r>
      <w:r>
        <w:t xml:space="preserve"> </w:t>
      </w:r>
      <w:r w:rsidRPr="00F1533E">
        <w:t>Productivity Commission</w:t>
      </w:r>
      <w:r>
        <w:t xml:space="preserve"> 2005 </w:t>
      </w:r>
      <w:hyperlink r:id="rId82" w:history="1">
        <w:r w:rsidRPr="002D3CC5">
          <w:rPr>
            <w:rStyle w:val="Hyperlink"/>
            <w:i/>
          </w:rPr>
          <w:t>Review of National Competition Policy Reforms Inquiry Report</w:t>
        </w:r>
      </w:hyperlink>
      <w:r>
        <w:t>,</w:t>
      </w:r>
      <w:r w:rsidRPr="00F1533E">
        <w:t xml:space="preserve"> page 81</w:t>
      </w:r>
      <w:r>
        <w:t>.</w:t>
      </w:r>
    </w:p>
  </w:footnote>
  <w:footnote w:id="124">
    <w:p w14:paraId="6E9AD5FD" w14:textId="0B1DBEB3" w:rsidR="00977786" w:rsidRDefault="00977786" w:rsidP="00C71B95">
      <w:pPr>
        <w:pStyle w:val="FootnoteText"/>
      </w:pPr>
      <w:r w:rsidRPr="00977786">
        <w:rPr>
          <w:rStyle w:val="FootnoteReference"/>
          <w:vertAlign w:val="baseline"/>
        </w:rPr>
        <w:footnoteRef/>
      </w:r>
      <w:r>
        <w:t xml:space="preserve"> National Competition Council 2003, </w:t>
      </w:r>
      <w:hyperlink r:id="rId83" w:history="1">
        <w:r w:rsidRPr="002D3CC5">
          <w:rPr>
            <w:rStyle w:val="Hyperlink"/>
          </w:rPr>
          <w:t>Assessment of governments</w:t>
        </w:r>
        <w:r>
          <w:rPr>
            <w:rStyle w:val="Hyperlink"/>
          </w:rPr>
          <w:t>’</w:t>
        </w:r>
        <w:r w:rsidRPr="002D3CC5">
          <w:rPr>
            <w:rStyle w:val="Hyperlink"/>
          </w:rPr>
          <w:t xml:space="preserve"> progress in implementing the National Competition Policy and related reforms: Volume one — Overview of the National Competition Policy and related reforms</w:t>
        </w:r>
      </w:hyperlink>
      <w:r>
        <w:t>, page 4.6.</w:t>
      </w:r>
    </w:p>
  </w:footnote>
  <w:footnote w:id="125">
    <w:p w14:paraId="45104305" w14:textId="329F5DB2" w:rsidR="00977786" w:rsidRDefault="00977786" w:rsidP="00C71B95">
      <w:pPr>
        <w:pStyle w:val="FootnoteText"/>
      </w:pPr>
      <w:r w:rsidRPr="00977786">
        <w:rPr>
          <w:rStyle w:val="FootnoteReference"/>
          <w:vertAlign w:val="baseline"/>
        </w:rPr>
        <w:footnoteRef/>
      </w:r>
      <w:r>
        <w:t xml:space="preserve"> </w:t>
      </w:r>
      <w:r w:rsidRPr="00F1533E">
        <w:t>Australian Bureau of Agricultural and Resource Sciences</w:t>
      </w:r>
      <w:r>
        <w:t xml:space="preserve">, 2014 </w:t>
      </w:r>
      <w:hyperlink r:id="rId84" w:history="1">
        <w:r w:rsidRPr="00660980">
          <w:rPr>
            <w:rStyle w:val="Hyperlink"/>
            <w:i/>
          </w:rPr>
          <w:t>Australian Agricultural Productivity Growth: Past Reforms and Future Opportunities Research Report</w:t>
        </w:r>
      </w:hyperlink>
      <w:r w:rsidRPr="007039E7">
        <w:t>, page 14</w:t>
      </w:r>
      <w:r w:rsidRPr="00660980">
        <w:rPr>
          <w:i/>
        </w:rPr>
        <w:t>.</w:t>
      </w:r>
    </w:p>
  </w:footnote>
  <w:footnote w:id="126">
    <w:p w14:paraId="34410BE8" w14:textId="34886088" w:rsidR="00977786" w:rsidRDefault="00977786" w:rsidP="00215822">
      <w:pPr>
        <w:pStyle w:val="FootnoteText"/>
      </w:pPr>
      <w:r w:rsidRPr="00977786">
        <w:rPr>
          <w:rStyle w:val="FootnoteReference"/>
          <w:vertAlign w:val="baseline"/>
        </w:rPr>
        <w:footnoteRef/>
      </w:r>
      <w:r>
        <w:t xml:space="preserve"> See </w:t>
      </w:r>
      <w:hyperlink r:id="rId85" w:history="1">
        <w:r>
          <w:rPr>
            <w:rStyle w:val="Hyperlink"/>
          </w:rPr>
          <w:t>www.rmbnsw.org.au/?page=about</w:t>
        </w:r>
      </w:hyperlink>
      <w:r>
        <w:rPr>
          <w:rStyle w:val="Hyperlink"/>
        </w:rPr>
        <w:t>.</w:t>
      </w:r>
    </w:p>
  </w:footnote>
  <w:footnote w:id="127">
    <w:p w14:paraId="3E7295B4" w14:textId="1A88D839" w:rsidR="00977786" w:rsidRDefault="00977786" w:rsidP="00215822">
      <w:pPr>
        <w:pStyle w:val="FootnoteText"/>
      </w:pPr>
      <w:r w:rsidRPr="00977786">
        <w:rPr>
          <w:rStyle w:val="FootnoteReference"/>
          <w:vertAlign w:val="baseline"/>
        </w:rPr>
        <w:footnoteRef/>
      </w:r>
      <w:r>
        <w:t xml:space="preserve"> </w:t>
      </w:r>
      <w:r w:rsidRPr="00F1533E">
        <w:t>Australian Bureau of Agricultural and Resource Sciences</w:t>
      </w:r>
      <w:r>
        <w:t xml:space="preserve"> 2014, </w:t>
      </w:r>
      <w:hyperlink r:id="rId86" w:history="1">
        <w:r w:rsidRPr="00353F97">
          <w:rPr>
            <w:rStyle w:val="Hyperlink"/>
            <w:i/>
          </w:rPr>
          <w:t>Australian Agricultural Productivity Growth: Past Reforms and Future Opportunities Research Report</w:t>
        </w:r>
      </w:hyperlink>
      <w:r>
        <w:t>,</w:t>
      </w:r>
      <w:r w:rsidRPr="002B58E8">
        <w:t xml:space="preserve"> page 15</w:t>
      </w:r>
      <w:r>
        <w:t>.</w:t>
      </w:r>
    </w:p>
  </w:footnote>
  <w:footnote w:id="128">
    <w:p w14:paraId="4CE5ECBD" w14:textId="755D1FAD" w:rsidR="00977786" w:rsidRDefault="00977786" w:rsidP="00215822">
      <w:pPr>
        <w:pStyle w:val="FootnoteText"/>
      </w:pPr>
      <w:r w:rsidRPr="00977786">
        <w:rPr>
          <w:rStyle w:val="FootnoteReference"/>
          <w:vertAlign w:val="baseline"/>
        </w:rPr>
        <w:footnoteRef/>
      </w:r>
      <w:r>
        <w:t xml:space="preserve"> See </w:t>
      </w:r>
      <w:hyperlink r:id="rId87" w:history="1">
        <w:r>
          <w:rPr>
            <w:rStyle w:val="Hyperlink"/>
          </w:rPr>
          <w:t>www.pmc.wa.gov.au</w:t>
        </w:r>
      </w:hyperlink>
      <w:r>
        <w:t>.</w:t>
      </w:r>
    </w:p>
  </w:footnote>
  <w:footnote w:id="129">
    <w:p w14:paraId="65A582AC" w14:textId="5119953A" w:rsidR="00977786" w:rsidRDefault="00977786">
      <w:pPr>
        <w:pStyle w:val="FootnoteText"/>
      </w:pPr>
      <w:r w:rsidRPr="00977786">
        <w:rPr>
          <w:rStyle w:val="FootnoteReference"/>
          <w:vertAlign w:val="baseline"/>
        </w:rPr>
        <w:footnoteRef/>
      </w:r>
      <w:r>
        <w:t xml:space="preserve"> Western Australian Economic Regulation Authority 2014, </w:t>
      </w:r>
      <w:hyperlink r:id="rId88" w:history="1">
        <w:r w:rsidRPr="007039E7">
          <w:rPr>
            <w:rStyle w:val="Hyperlink"/>
            <w:i/>
          </w:rPr>
          <w:t>Inquiry into Microeconomic Reform in Western Australia: Final report</w:t>
        </w:r>
      </w:hyperlink>
      <w:r>
        <w:t>, page 317.</w:t>
      </w:r>
    </w:p>
  </w:footnote>
  <w:footnote w:id="130">
    <w:p w14:paraId="7534C42F" w14:textId="44747F4A" w:rsidR="00977786" w:rsidRDefault="00977786">
      <w:pPr>
        <w:pStyle w:val="FootnoteText"/>
      </w:pPr>
      <w:r w:rsidRPr="00977786">
        <w:rPr>
          <w:rStyle w:val="FootnoteReference"/>
          <w:vertAlign w:val="baseline"/>
        </w:rPr>
        <w:footnoteRef/>
      </w:r>
      <w:r>
        <w:t xml:space="preserve"> For example, the BCA Main Report, page 21 and CCIWA, page 16.</w:t>
      </w:r>
    </w:p>
  </w:footnote>
  <w:footnote w:id="131">
    <w:p w14:paraId="7AA0BECA" w14:textId="4060DD54" w:rsidR="00977786" w:rsidRDefault="00977786" w:rsidP="00AB2C8C">
      <w:pPr>
        <w:pStyle w:val="FootnoteText"/>
      </w:pPr>
      <w:r w:rsidRPr="00977786">
        <w:rPr>
          <w:rStyle w:val="FootnoteReference"/>
          <w:vertAlign w:val="baseline"/>
        </w:rPr>
        <w:footnoteRef/>
      </w:r>
      <w:r>
        <w:t xml:space="preserve"> See Department of Infrastructure and Regional Development website: </w:t>
      </w:r>
      <w:hyperlink r:id="rId89" w:history="1">
        <w:r w:rsidRPr="00D9127A">
          <w:rPr>
            <w:rStyle w:val="Hyperlink"/>
          </w:rPr>
          <w:t>The Bilateral System</w:t>
        </w:r>
        <w:r>
          <w:rPr>
            <w:rStyle w:val="Hyperlink"/>
          </w:rPr>
          <w:t xml:space="preserve"> — </w:t>
        </w:r>
        <w:r w:rsidRPr="00D9127A">
          <w:rPr>
            <w:rStyle w:val="Hyperlink"/>
          </w:rPr>
          <w:t>how international air services work</w:t>
        </w:r>
      </w:hyperlink>
      <w:r>
        <w:rPr>
          <w:rStyle w:val="Hyperlink"/>
        </w:rPr>
        <w:t>.</w:t>
      </w:r>
      <w:r>
        <w:t xml:space="preserve"> </w:t>
      </w:r>
    </w:p>
  </w:footnote>
  <w:footnote w:id="132">
    <w:p w14:paraId="03C4575A" w14:textId="6016E3D0" w:rsidR="00977786" w:rsidRDefault="00977786" w:rsidP="00AB2C8C">
      <w:pPr>
        <w:pStyle w:val="FootnoteText"/>
      </w:pPr>
      <w:r w:rsidRPr="00977786">
        <w:rPr>
          <w:rStyle w:val="FootnoteReference"/>
          <w:vertAlign w:val="baseline"/>
        </w:rPr>
        <w:footnoteRef/>
      </w:r>
      <w:r>
        <w:t xml:space="preserve"> See Department of Infrastructure and Regional Development website: </w:t>
      </w:r>
      <w:hyperlink r:id="rId90" w:history="1">
        <w:r w:rsidRPr="00D9127A">
          <w:rPr>
            <w:rStyle w:val="Hyperlink"/>
          </w:rPr>
          <w:t>The Bilateral System</w:t>
        </w:r>
        <w:r>
          <w:rPr>
            <w:rStyle w:val="Hyperlink"/>
          </w:rPr>
          <w:t xml:space="preserve"> — </w:t>
        </w:r>
        <w:r w:rsidRPr="00D9127A">
          <w:rPr>
            <w:rStyle w:val="Hyperlink"/>
          </w:rPr>
          <w:t>how international air services work</w:t>
        </w:r>
      </w:hyperlink>
      <w:r>
        <w:rPr>
          <w:rStyle w:val="Hyperlink"/>
        </w:rPr>
        <w:t>.</w:t>
      </w:r>
    </w:p>
  </w:footnote>
  <w:footnote w:id="133">
    <w:p w14:paraId="1E57D6DD" w14:textId="70D98E41" w:rsidR="00977786" w:rsidRDefault="00977786" w:rsidP="00AB2C8C">
      <w:pPr>
        <w:pStyle w:val="FootnoteText"/>
      </w:pPr>
      <w:r w:rsidRPr="00977786">
        <w:rPr>
          <w:rStyle w:val="FootnoteReference"/>
          <w:vertAlign w:val="baseline"/>
        </w:rPr>
        <w:footnoteRef/>
      </w:r>
      <w:r>
        <w:t xml:space="preserve"> Productivity Commission 1998, </w:t>
      </w:r>
      <w:hyperlink r:id="rId91" w:history="1">
        <w:r w:rsidRPr="00945156">
          <w:rPr>
            <w:rStyle w:val="Hyperlink"/>
            <w:i/>
          </w:rPr>
          <w:t>International Air Services Inquiry Report</w:t>
        </w:r>
      </w:hyperlink>
      <w:r>
        <w:t xml:space="preserve">, page 220. </w:t>
      </w:r>
    </w:p>
  </w:footnote>
  <w:footnote w:id="134">
    <w:p w14:paraId="42C3EA6F" w14:textId="490FE9AE" w:rsidR="00977786" w:rsidRDefault="00977786">
      <w:pPr>
        <w:pStyle w:val="FootnoteText"/>
      </w:pPr>
      <w:r w:rsidRPr="00977786">
        <w:rPr>
          <w:rStyle w:val="FootnoteReference"/>
          <w:vertAlign w:val="baseline"/>
        </w:rPr>
        <w:footnoteRef/>
      </w:r>
      <w:r>
        <w:t xml:space="preserve"> Productivity Commission 2011, </w:t>
      </w:r>
      <w:hyperlink r:id="rId92" w:history="1">
        <w:r w:rsidRPr="00EF6498">
          <w:rPr>
            <w:rStyle w:val="Hyperlink"/>
            <w:i/>
          </w:rPr>
          <w:t>Australia’s Urban Water Sector</w:t>
        </w:r>
        <w:r w:rsidRPr="00EF6498">
          <w:rPr>
            <w:rStyle w:val="Hyperlink"/>
          </w:rPr>
          <w:t>,</w:t>
        </w:r>
      </w:hyperlink>
      <w:r>
        <w:t xml:space="preserve"> pages 42</w:t>
      </w:r>
      <w:r>
        <w:noBreakHyphen/>
        <w:t>45.</w:t>
      </w:r>
    </w:p>
  </w:footnote>
  <w:footnote w:id="135">
    <w:p w14:paraId="7220812C" w14:textId="62836C52" w:rsidR="00977786" w:rsidRDefault="00977786">
      <w:pPr>
        <w:pStyle w:val="FootnoteText"/>
      </w:pPr>
      <w:r w:rsidRPr="00977786">
        <w:rPr>
          <w:rStyle w:val="FootnoteReference"/>
          <w:vertAlign w:val="baseline"/>
        </w:rPr>
        <w:footnoteRef/>
      </w:r>
      <w:r>
        <w:t xml:space="preserve"> Independent Pricing and Regulatory Tribunal, page 9.</w:t>
      </w:r>
    </w:p>
  </w:footnote>
  <w:footnote w:id="136">
    <w:p w14:paraId="191B01B4" w14:textId="0BDBB610" w:rsidR="00977786" w:rsidRDefault="00977786" w:rsidP="003D1EF1">
      <w:pPr>
        <w:pStyle w:val="FootnoteText"/>
      </w:pPr>
      <w:r w:rsidRPr="00977786">
        <w:rPr>
          <w:rStyle w:val="FootnoteReference"/>
          <w:vertAlign w:val="baseline"/>
        </w:rPr>
        <w:footnoteRef/>
      </w:r>
      <w:r>
        <w:t xml:space="preserve"> See </w:t>
      </w:r>
      <w:hyperlink r:id="rId93" w:history="1">
        <w:r>
          <w:rPr>
            <w:rStyle w:val="Hyperlink"/>
          </w:rPr>
          <w:t>www.hvccc.com.au/AboutUs/Pages/History.aspx</w:t>
        </w:r>
      </w:hyperlink>
      <w:r>
        <w:t xml:space="preserve">.  </w:t>
      </w:r>
    </w:p>
  </w:footnote>
  <w:footnote w:id="137">
    <w:p w14:paraId="4057B9CB" w14:textId="7811FAD8" w:rsidR="00977786" w:rsidRDefault="00977786">
      <w:pPr>
        <w:pStyle w:val="FootnoteText"/>
      </w:pPr>
      <w:r w:rsidRPr="00977786">
        <w:rPr>
          <w:rStyle w:val="FootnoteReference"/>
          <w:vertAlign w:val="baseline"/>
        </w:rPr>
        <w:footnoteRef/>
      </w:r>
      <w:r>
        <w:t xml:space="preserve"> ACCC Submission 1, page 36.</w:t>
      </w:r>
    </w:p>
  </w:footnote>
  <w:footnote w:id="138">
    <w:p w14:paraId="3EE9AFF8" w14:textId="3DC1D3D8" w:rsidR="00977786" w:rsidRDefault="00977786">
      <w:pPr>
        <w:pStyle w:val="FootnoteText"/>
      </w:pPr>
      <w:r w:rsidRPr="00977786">
        <w:rPr>
          <w:rStyle w:val="FootnoteReference"/>
          <w:vertAlign w:val="baseline"/>
        </w:rPr>
        <w:footnoteRef/>
      </w:r>
      <w:r>
        <w:t xml:space="preserve"> See for example, City of Whittlesea, pages 1</w:t>
      </w:r>
      <w:r>
        <w:noBreakHyphen/>
        <w:t>2.</w:t>
      </w:r>
    </w:p>
  </w:footnote>
  <w:footnote w:id="139">
    <w:p w14:paraId="1FFF0638" w14:textId="45B922CC" w:rsidR="00977786" w:rsidRDefault="00977786" w:rsidP="00A82A27">
      <w:pPr>
        <w:pStyle w:val="FootnoteText"/>
      </w:pPr>
      <w:r w:rsidRPr="00977786">
        <w:rPr>
          <w:rStyle w:val="FootnoteReference"/>
          <w:vertAlign w:val="baseline"/>
        </w:rPr>
        <w:footnoteRef/>
      </w:r>
      <w:r>
        <w:t xml:space="preserve"> For more detail on previously agreed energy reforms, see the COAG Energy Market Reform — Implementation Plan at </w:t>
      </w:r>
      <w:hyperlink r:id="rId94" w:history="1">
        <w:r>
          <w:rPr>
            <w:rStyle w:val="Hyperlink"/>
          </w:rPr>
          <w:t>www.coag.gov.au/node/481</w:t>
        </w:r>
      </w:hyperlink>
      <w:r>
        <w:t xml:space="preserve">. </w:t>
      </w:r>
    </w:p>
  </w:footnote>
  <w:footnote w:id="140">
    <w:p w14:paraId="159E576E" w14:textId="0D1604D1" w:rsidR="00977786" w:rsidRDefault="00977786" w:rsidP="00A82A27">
      <w:pPr>
        <w:pStyle w:val="FootnoteText"/>
      </w:pPr>
      <w:r w:rsidRPr="00977786">
        <w:rPr>
          <w:rStyle w:val="FootnoteReference"/>
          <w:vertAlign w:val="baseline"/>
        </w:rPr>
        <w:footnoteRef/>
      </w:r>
      <w:r>
        <w:t xml:space="preserve"> COAG Energy Council Communique, 1 May 2014.</w:t>
      </w:r>
    </w:p>
  </w:footnote>
  <w:footnote w:id="141">
    <w:p w14:paraId="60EAB99E" w14:textId="654F3FF5" w:rsidR="00977786" w:rsidRDefault="00977786" w:rsidP="00CF51C3">
      <w:pPr>
        <w:pStyle w:val="FootnoteText"/>
      </w:pPr>
      <w:r w:rsidRPr="00977786">
        <w:rPr>
          <w:rStyle w:val="FootnoteReference"/>
          <w:vertAlign w:val="baseline"/>
        </w:rPr>
        <w:footnoteRef/>
      </w:r>
      <w:r>
        <w:t xml:space="preserve"> Australian Energy Market Commission 2013, </w:t>
      </w:r>
      <w:hyperlink r:id="rId95" w:history="1">
        <w:r w:rsidRPr="00777DB9">
          <w:rPr>
            <w:rStyle w:val="Hyperlink"/>
            <w:i/>
          </w:rPr>
          <w:t>Final Report: 2013 Residential Electricity Price Trends</w:t>
        </w:r>
      </w:hyperlink>
      <w:r>
        <w:t xml:space="preserve">, Page </w:t>
      </w:r>
      <w:proofErr w:type="gramStart"/>
      <w:r>
        <w:t>iv</w:t>
      </w:r>
      <w:proofErr w:type="gramEnd"/>
      <w:r>
        <w:t>.</w:t>
      </w:r>
    </w:p>
  </w:footnote>
  <w:footnote w:id="142">
    <w:p w14:paraId="063445BA" w14:textId="154DC6EF" w:rsidR="00977786" w:rsidRPr="00C13D07" w:rsidRDefault="00977786" w:rsidP="000653E5">
      <w:pPr>
        <w:pStyle w:val="FootnoteText"/>
      </w:pPr>
      <w:r w:rsidRPr="00977786">
        <w:rPr>
          <w:rStyle w:val="FootnoteReference"/>
          <w:vertAlign w:val="baseline"/>
        </w:rPr>
        <w:footnoteRef/>
      </w:r>
      <w:r>
        <w:t xml:space="preserve"> Department of Industry and the Bureau of Resource and Energy Economics 2014, </w:t>
      </w:r>
      <w:hyperlink r:id="rId96" w:history="1">
        <w:r w:rsidRPr="003A0269">
          <w:rPr>
            <w:rStyle w:val="Hyperlink"/>
          </w:rPr>
          <w:t>Eastern Australian Domestic Gas Market Study</w:t>
        </w:r>
      </w:hyperlink>
      <w:r>
        <w:t>, page 47.</w:t>
      </w:r>
    </w:p>
  </w:footnote>
  <w:footnote w:id="143">
    <w:p w14:paraId="251ECFAA" w14:textId="1A255B0D" w:rsidR="00977786" w:rsidRDefault="00977786">
      <w:pPr>
        <w:pStyle w:val="FootnoteText"/>
      </w:pPr>
      <w:r w:rsidRPr="00977786">
        <w:rPr>
          <w:rStyle w:val="FootnoteReference"/>
          <w:vertAlign w:val="baseline"/>
        </w:rPr>
        <w:footnoteRef/>
      </w:r>
      <w:r>
        <w:t xml:space="preserve"> </w:t>
      </w:r>
      <w:proofErr w:type="gramStart"/>
      <w:r w:rsidRPr="00A56434">
        <w:t>Victorian Government 2013</w:t>
      </w:r>
      <w:r>
        <w:t>,</w:t>
      </w:r>
      <w:r w:rsidRPr="00A56434">
        <w:t xml:space="preserve"> </w:t>
      </w:r>
      <w:hyperlink r:id="rId97" w:history="1">
        <w:r w:rsidRPr="00F624CD">
          <w:rPr>
            <w:rStyle w:val="Hyperlink"/>
            <w:i/>
          </w:rPr>
          <w:t>Gas Market Taskforce Final Report and Recommendations</w:t>
        </w:r>
      </w:hyperlink>
      <w:r>
        <w:t>, Recommendation 15.</w:t>
      </w:r>
      <w:proofErr w:type="gramEnd"/>
    </w:p>
  </w:footnote>
  <w:footnote w:id="144">
    <w:p w14:paraId="625A28EB" w14:textId="06FECE44" w:rsidR="00977786" w:rsidRDefault="00977786" w:rsidP="006F54D0">
      <w:pPr>
        <w:pStyle w:val="FootnoteText"/>
      </w:pPr>
      <w:r w:rsidRPr="00977786">
        <w:rPr>
          <w:rStyle w:val="FootnoteReference"/>
          <w:vertAlign w:val="baseline"/>
        </w:rPr>
        <w:footnoteRef/>
      </w:r>
      <w:r>
        <w:t xml:space="preserve"> Productivity Commission 2011, </w:t>
      </w:r>
      <w:hyperlink r:id="rId98" w:history="1">
        <w:r w:rsidRPr="003A0269">
          <w:rPr>
            <w:rStyle w:val="Hyperlink"/>
            <w:i/>
          </w:rPr>
          <w:t>Australia</w:t>
        </w:r>
        <w:r>
          <w:rPr>
            <w:rStyle w:val="Hyperlink"/>
            <w:i/>
          </w:rPr>
          <w:t>’</w:t>
        </w:r>
        <w:r w:rsidRPr="003A0269">
          <w:rPr>
            <w:rStyle w:val="Hyperlink"/>
            <w:i/>
          </w:rPr>
          <w:t>s Urban Water Sector</w:t>
        </w:r>
      </w:hyperlink>
      <w:r>
        <w:t>, page 69.</w:t>
      </w:r>
    </w:p>
  </w:footnote>
  <w:footnote w:id="145">
    <w:p w14:paraId="4F8B3DF8" w14:textId="53E5E522" w:rsidR="00977786" w:rsidRPr="00C610DF" w:rsidRDefault="00977786">
      <w:pPr>
        <w:pStyle w:val="FootnoteText"/>
      </w:pPr>
      <w:r w:rsidRPr="00977786">
        <w:rPr>
          <w:rStyle w:val="FootnoteReference"/>
          <w:vertAlign w:val="baseline"/>
        </w:rPr>
        <w:footnoteRef/>
      </w:r>
      <w:r>
        <w:t xml:space="preserve"> </w:t>
      </w:r>
      <w:proofErr w:type="gramStart"/>
      <w:r>
        <w:t xml:space="preserve">National Water Commission 2011, </w:t>
      </w:r>
      <w:hyperlink r:id="rId99" w:history="1">
        <w:r w:rsidRPr="003A0269">
          <w:rPr>
            <w:rStyle w:val="Hyperlink"/>
            <w:i/>
          </w:rPr>
          <w:t>Review of Pricing Reform in the Australian Water Sector</w:t>
        </w:r>
      </w:hyperlink>
      <w:r>
        <w:t>, page xii.</w:t>
      </w:r>
      <w:proofErr w:type="gramEnd"/>
    </w:p>
  </w:footnote>
  <w:footnote w:id="146">
    <w:p w14:paraId="12B69BF5" w14:textId="49CCD8DE" w:rsidR="00977786" w:rsidRDefault="00977786">
      <w:pPr>
        <w:pStyle w:val="FootnoteText"/>
      </w:pPr>
      <w:r w:rsidRPr="00977786">
        <w:rPr>
          <w:rStyle w:val="FootnoteReference"/>
          <w:vertAlign w:val="baseline"/>
        </w:rPr>
        <w:footnoteRef/>
      </w:r>
      <w:r>
        <w:t xml:space="preserve"> Ibid, page xiv.</w:t>
      </w:r>
    </w:p>
  </w:footnote>
  <w:footnote w:id="147">
    <w:p w14:paraId="60063BAC" w14:textId="5AB77946" w:rsidR="00977786" w:rsidRPr="0015557C" w:rsidRDefault="00977786" w:rsidP="00775816">
      <w:pPr>
        <w:pStyle w:val="FootnoteText"/>
      </w:pPr>
      <w:r w:rsidRPr="00977786">
        <w:rPr>
          <w:rStyle w:val="FootnoteReference"/>
          <w:vertAlign w:val="baseline"/>
        </w:rPr>
        <w:footnoteRef/>
      </w:r>
      <w:r>
        <w:t xml:space="preserve"> Infrastructure Australia 2013, </w:t>
      </w:r>
      <w:hyperlink r:id="rId100" w:history="1">
        <w:r w:rsidRPr="003A0269">
          <w:rPr>
            <w:rStyle w:val="Hyperlink"/>
            <w:i/>
          </w:rPr>
          <w:t>National Infrastructure Plan</w:t>
        </w:r>
      </w:hyperlink>
      <w:r>
        <w:t>, page 60.</w:t>
      </w:r>
    </w:p>
  </w:footnote>
  <w:footnote w:id="148">
    <w:p w14:paraId="6E3EAFD5" w14:textId="379FEED0" w:rsidR="00977786" w:rsidRDefault="00977786" w:rsidP="003E2D02">
      <w:pPr>
        <w:pStyle w:val="FootnoteText"/>
      </w:pPr>
      <w:r w:rsidRPr="00977786">
        <w:rPr>
          <w:rStyle w:val="FootnoteReference"/>
          <w:vertAlign w:val="baseline"/>
        </w:rPr>
        <w:footnoteRef/>
      </w:r>
      <w:r>
        <w:t xml:space="preserve"> UK Department for Business Innovation &amp; Skills, </w:t>
      </w:r>
      <w:hyperlink r:id="rId101" w:history="1">
        <w:r w:rsidRPr="00F624CD">
          <w:rPr>
            <w:rStyle w:val="Hyperlink"/>
            <w:i/>
          </w:rPr>
          <w:t>Government Response to 2012 consultation</w:t>
        </w:r>
      </w:hyperlink>
      <w:r>
        <w:t>, page 9.</w:t>
      </w:r>
    </w:p>
  </w:footnote>
  <w:footnote w:id="149">
    <w:p w14:paraId="35CC6DC6" w14:textId="7A471C89" w:rsidR="00977786" w:rsidRDefault="00977786">
      <w:pPr>
        <w:pStyle w:val="FootnoteText"/>
      </w:pPr>
      <w:r w:rsidRPr="00977786">
        <w:rPr>
          <w:rStyle w:val="FootnoteReference"/>
          <w:vertAlign w:val="baseline"/>
        </w:rPr>
        <w:footnoteRef/>
      </w:r>
      <w:r>
        <w:t xml:space="preserve"> See </w:t>
      </w:r>
      <w:hyperlink r:id="rId102" w:history="1">
        <w:r w:rsidRPr="002F0AB3">
          <w:rPr>
            <w:rStyle w:val="Hyperlink"/>
          </w:rPr>
          <w:t>http://greenbuttondata.org/</w:t>
        </w:r>
      </w:hyperlink>
      <w:r>
        <w:rPr>
          <w:rStyle w:val="Hyperlink"/>
        </w:rPr>
        <w:t>.</w:t>
      </w:r>
      <w:r>
        <w:t xml:space="preserve"> </w:t>
      </w:r>
    </w:p>
  </w:footnote>
  <w:footnote w:id="150">
    <w:p w14:paraId="00A17C1D" w14:textId="4E090C0B" w:rsidR="00977786" w:rsidRDefault="00977786" w:rsidP="000653E5">
      <w:pPr>
        <w:pStyle w:val="FootnoteText"/>
      </w:pPr>
      <w:r w:rsidRPr="00977786">
        <w:rPr>
          <w:rStyle w:val="FootnoteReference"/>
          <w:vertAlign w:val="baseline"/>
        </w:rPr>
        <w:footnoteRef/>
      </w:r>
      <w:r>
        <w:t xml:space="preserve"> </w:t>
      </w:r>
      <w:proofErr w:type="gramStart"/>
      <w:r>
        <w:t>With a 49</w:t>
      </w:r>
      <w:r>
        <w:noBreakHyphen/>
        <w:t>year extension available.</w:t>
      </w:r>
      <w:proofErr w:type="gramEnd"/>
    </w:p>
  </w:footnote>
  <w:footnote w:id="151">
    <w:p w14:paraId="545A1777" w14:textId="779B8E56" w:rsidR="00977786" w:rsidRDefault="00977786">
      <w:pPr>
        <w:pStyle w:val="FootnoteText"/>
      </w:pPr>
      <w:r w:rsidRPr="00977786">
        <w:rPr>
          <w:rStyle w:val="FootnoteReference"/>
          <w:vertAlign w:val="baseline"/>
        </w:rPr>
        <w:footnoteRef/>
      </w:r>
      <w:r>
        <w:t xml:space="preserve"> Productivity Commission 2011, </w:t>
      </w:r>
      <w:hyperlink r:id="rId103" w:history="1">
        <w:r w:rsidRPr="00F624CD">
          <w:rPr>
            <w:rStyle w:val="Hyperlink"/>
            <w:i/>
          </w:rPr>
          <w:t>Economic Regulation of Airport Services</w:t>
        </w:r>
      </w:hyperlink>
      <w:r>
        <w:t>, Finding 4.1, page XLVI.</w:t>
      </w:r>
    </w:p>
  </w:footnote>
  <w:footnote w:id="152">
    <w:p w14:paraId="4E2313F7" w14:textId="5CADE5B6" w:rsidR="00977786" w:rsidRDefault="00977786" w:rsidP="000653E5">
      <w:pPr>
        <w:pStyle w:val="FootnoteText"/>
      </w:pPr>
      <w:r w:rsidRPr="00977786">
        <w:rPr>
          <w:rStyle w:val="FootnoteReference"/>
          <w:vertAlign w:val="baseline"/>
        </w:rPr>
        <w:footnoteRef/>
      </w:r>
      <w:r>
        <w:t xml:space="preserve"> Ibid, Finding 7.2, page XLVIII. </w:t>
      </w:r>
    </w:p>
  </w:footnote>
  <w:footnote w:id="153">
    <w:p w14:paraId="68F4869F" w14:textId="2A71159B" w:rsidR="00977786" w:rsidRDefault="00977786" w:rsidP="005027FA">
      <w:pPr>
        <w:pStyle w:val="FootnoteText"/>
      </w:pPr>
      <w:r w:rsidRPr="00977786">
        <w:rPr>
          <w:rStyle w:val="FootnoteReference"/>
          <w:vertAlign w:val="baseline"/>
        </w:rPr>
        <w:footnoteRef/>
      </w:r>
      <w:r>
        <w:t xml:space="preserve"> Productivity Commission 2005, </w:t>
      </w:r>
      <w:hyperlink r:id="rId104" w:history="1">
        <w:r w:rsidRPr="00F624CD">
          <w:rPr>
            <w:rStyle w:val="Hyperlink"/>
            <w:i/>
          </w:rPr>
          <w:t>Review of National Competition Policy Reforms</w:t>
        </w:r>
      </w:hyperlink>
      <w:r w:rsidRPr="00F624CD">
        <w:rPr>
          <w:i/>
        </w:rPr>
        <w:t>,</w:t>
      </w:r>
      <w:r>
        <w:t xml:space="preserve"> page 15.</w:t>
      </w:r>
    </w:p>
  </w:footnote>
  <w:footnote w:id="154">
    <w:p w14:paraId="78AC542A" w14:textId="2FD40E5B" w:rsidR="00977786" w:rsidRDefault="00977786" w:rsidP="0076431E">
      <w:pPr>
        <w:pStyle w:val="FootnoteText"/>
      </w:pPr>
      <w:r w:rsidRPr="00977786">
        <w:rPr>
          <w:rStyle w:val="FootnoteReference"/>
          <w:vertAlign w:val="baseline"/>
        </w:rPr>
        <w:footnoteRef/>
      </w:r>
      <w:r>
        <w:t xml:space="preserve"> See </w:t>
      </w:r>
      <w:hyperlink r:id="rId105" w:history="1">
        <w:r w:rsidRPr="00024194">
          <w:rPr>
            <w:rStyle w:val="Hyperlink"/>
          </w:rPr>
          <w:t>www.hvccc.com.au/AboutUs/Pages/History.aspx.</w:t>
        </w:r>
      </w:hyperlink>
      <w:r>
        <w:t xml:space="preserve"> </w:t>
      </w:r>
    </w:p>
  </w:footnote>
  <w:footnote w:id="155">
    <w:p w14:paraId="5038C4DC" w14:textId="7DB1DB74" w:rsidR="00977786" w:rsidRDefault="00977786" w:rsidP="00B87457">
      <w:pPr>
        <w:pStyle w:val="FootnoteText"/>
      </w:pPr>
      <w:r w:rsidRPr="00977786">
        <w:rPr>
          <w:rStyle w:val="FootnoteReference"/>
          <w:vertAlign w:val="baseline"/>
        </w:rPr>
        <w:footnoteRef/>
      </w:r>
      <w:r>
        <w:t xml:space="preserve"> For further discussion see ACCC 2013, </w:t>
      </w:r>
      <w:hyperlink r:id="rId106" w:history="1">
        <w:r w:rsidRPr="0057732E">
          <w:rPr>
            <w:rStyle w:val="Hyperlink"/>
            <w:i/>
          </w:rPr>
          <w:t>Container stevedoring monitoring report no. 15</w:t>
        </w:r>
      </w:hyperlink>
      <w:r>
        <w:t xml:space="preserve">, page 18 and </w:t>
      </w:r>
      <w:hyperlink r:id="rId107" w:history="1">
        <w:r>
          <w:rPr>
            <w:rStyle w:val="Hyperlink"/>
          </w:rPr>
          <w:t>www.infrastructureaustralia.gov.au/publications/files/COAG_National_Ports_Strategy.pdf</w:t>
        </w:r>
      </w:hyperlink>
      <w:r>
        <w:t xml:space="preserve">. </w:t>
      </w:r>
    </w:p>
  </w:footnote>
  <w:footnote w:id="156">
    <w:p w14:paraId="1485A100" w14:textId="19A4BC2D" w:rsidR="00977786" w:rsidRDefault="00977786" w:rsidP="005A1353">
      <w:pPr>
        <w:pStyle w:val="FootnoteText"/>
      </w:pPr>
      <w:r w:rsidRPr="00977786">
        <w:rPr>
          <w:rStyle w:val="FootnoteReference"/>
          <w:vertAlign w:val="baseline"/>
        </w:rPr>
        <w:footnoteRef/>
      </w:r>
      <w:r>
        <w:t xml:space="preserve"> See Australian Government 2014, </w:t>
      </w:r>
      <w:hyperlink r:id="rId108" w:history="1">
        <w:r w:rsidRPr="0057732E">
          <w:rPr>
            <w:rStyle w:val="Hyperlink"/>
          </w:rPr>
          <w:t>Options Paper: Approaches to regulating coastal shipping in Australia</w:t>
        </w:r>
      </w:hyperlink>
      <w:r>
        <w:t>.</w:t>
      </w:r>
    </w:p>
  </w:footnote>
  <w:footnote w:id="157">
    <w:p w14:paraId="7C455C9D" w14:textId="2FEB03E0" w:rsidR="00977786" w:rsidRPr="00200CFB" w:rsidRDefault="00977786">
      <w:pPr>
        <w:pStyle w:val="FootnoteText"/>
      </w:pPr>
      <w:r w:rsidRPr="00977786">
        <w:rPr>
          <w:rStyle w:val="FootnoteReference"/>
          <w:vertAlign w:val="baseline"/>
        </w:rPr>
        <w:footnoteRef/>
      </w:r>
      <w:r>
        <w:t xml:space="preserve"> Australian Trucking Association, </w:t>
      </w:r>
      <w:hyperlink r:id="rId109" w:history="1">
        <w:r w:rsidRPr="0057732E">
          <w:rPr>
            <w:rStyle w:val="Hyperlink"/>
            <w:i/>
          </w:rPr>
          <w:t>A Future Strategy for Road Supply and Charging in Australia</w:t>
        </w:r>
      </w:hyperlink>
      <w:r>
        <w:rPr>
          <w:i/>
        </w:rPr>
        <w:t xml:space="preserve">, </w:t>
      </w:r>
      <w:r>
        <w:t>page 3.</w:t>
      </w:r>
    </w:p>
  </w:footnote>
  <w:footnote w:id="158">
    <w:p w14:paraId="057F329E" w14:textId="62C1037C" w:rsidR="00977786" w:rsidRPr="00F624F9" w:rsidRDefault="00977786" w:rsidP="000653E5">
      <w:pPr>
        <w:pStyle w:val="FootnoteText"/>
        <w:rPr>
          <w:lang w:val="en-US"/>
        </w:rPr>
      </w:pPr>
      <w:r w:rsidRPr="00977786">
        <w:rPr>
          <w:rStyle w:val="FootnoteReference"/>
          <w:vertAlign w:val="baseline"/>
        </w:rPr>
        <w:footnoteRef/>
      </w:r>
      <w:r>
        <w:t xml:space="preserve"> </w:t>
      </w:r>
      <w:r w:rsidRPr="00C86D0B">
        <w:rPr>
          <w:rStyle w:val="emphasis-61"/>
          <w:i w:val="0"/>
          <w:lang w:val="en-US"/>
        </w:rPr>
        <w:t xml:space="preserve">The Bureau of Infrastructure, Transport and Regional Economics estimates the costs of road congestion in Australian capital cities </w:t>
      </w:r>
      <w:r>
        <w:rPr>
          <w:rStyle w:val="emphasis-61"/>
          <w:i w:val="0"/>
          <w:lang w:val="en-US"/>
        </w:rPr>
        <w:t xml:space="preserve">to have been </w:t>
      </w:r>
      <w:r w:rsidRPr="00C86D0B">
        <w:rPr>
          <w:rStyle w:val="emphasis-61"/>
          <w:i w:val="0"/>
          <w:lang w:val="en-US"/>
        </w:rPr>
        <w:t>$9.4 billion in 2005 and projected to more than double by 2020</w:t>
      </w:r>
      <w:r>
        <w:rPr>
          <w:rStyle w:val="emphasis-61"/>
          <w:i w:val="0"/>
          <w:lang w:val="en-US"/>
        </w:rPr>
        <w:t xml:space="preserve">; </w:t>
      </w:r>
      <w:hyperlink r:id="rId110" w:history="1">
        <w:r>
          <w:rPr>
            <w:rStyle w:val="Hyperlink"/>
            <w:lang w:val="en-US"/>
          </w:rPr>
          <w:t>http://www.bitre.gov.au/publications/2007/files/wp_071.pdf</w:t>
        </w:r>
      </w:hyperlink>
    </w:p>
  </w:footnote>
  <w:footnote w:id="159">
    <w:p w14:paraId="2E26FE79" w14:textId="569EF44C" w:rsidR="00977786" w:rsidRDefault="00977786">
      <w:pPr>
        <w:pStyle w:val="FootnoteText"/>
      </w:pPr>
      <w:r w:rsidRPr="00977786">
        <w:rPr>
          <w:rStyle w:val="FootnoteReference"/>
          <w:vertAlign w:val="baseline"/>
        </w:rPr>
        <w:footnoteRef/>
      </w:r>
      <w:r>
        <w:t xml:space="preserve"> Productivity Commission 2014, </w:t>
      </w:r>
      <w:hyperlink r:id="rId111" w:history="1">
        <w:r w:rsidRPr="00C81354">
          <w:rPr>
            <w:rStyle w:val="Hyperlink"/>
            <w:i/>
          </w:rPr>
          <w:t>Public Infrastructure</w:t>
        </w:r>
      </w:hyperlink>
      <w:r>
        <w:t>, page 21.</w:t>
      </w:r>
    </w:p>
  </w:footnote>
  <w:footnote w:id="160">
    <w:p w14:paraId="2407132E" w14:textId="6EF861B8" w:rsidR="00977786" w:rsidRDefault="00977786">
      <w:pPr>
        <w:pStyle w:val="FootnoteText"/>
      </w:pPr>
      <w:r w:rsidRPr="00977786">
        <w:rPr>
          <w:rStyle w:val="FootnoteReference"/>
          <w:vertAlign w:val="baseline"/>
        </w:rPr>
        <w:footnoteRef/>
      </w:r>
      <w:r>
        <w:t xml:space="preserve"> Infrastructure Partnerships Australia 2014, </w:t>
      </w:r>
      <w:hyperlink r:id="rId112" w:history="1">
        <w:r w:rsidRPr="0057732E">
          <w:rPr>
            <w:rStyle w:val="Hyperlink"/>
          </w:rPr>
          <w:t>Road Pricing and Transport Infrastructure Funding</w:t>
        </w:r>
      </w:hyperlink>
      <w:r>
        <w:t>, page 9.</w:t>
      </w:r>
    </w:p>
  </w:footnote>
  <w:footnote w:id="161">
    <w:p w14:paraId="7BC598A8" w14:textId="6C79C34C" w:rsidR="00977786" w:rsidRDefault="00977786" w:rsidP="000653E5">
      <w:pPr>
        <w:pStyle w:val="FootnoteText"/>
      </w:pPr>
      <w:r w:rsidRPr="00977786">
        <w:rPr>
          <w:rStyle w:val="FootnoteReference"/>
          <w:vertAlign w:val="baseline"/>
        </w:rPr>
        <w:footnoteRef/>
      </w:r>
      <w:r>
        <w:t xml:space="preserve"> See Victorian Department of Infrastructure 2005, </w:t>
      </w:r>
      <w:hyperlink r:id="rId113" w:history="1">
        <w:r w:rsidRPr="0057732E">
          <w:rPr>
            <w:rStyle w:val="Hyperlink"/>
          </w:rPr>
          <w:t>An Overview of Passenger Rail Franchising in Victoria</w:t>
        </w:r>
      </w:hyperlink>
      <w:r>
        <w:t>, pages 8</w:t>
      </w:r>
      <w:r>
        <w:noBreakHyphen/>
        <w:t>9.</w:t>
      </w:r>
    </w:p>
  </w:footnote>
  <w:footnote w:id="162">
    <w:p w14:paraId="4E30DC7B" w14:textId="264936B2" w:rsidR="00977786" w:rsidRDefault="00977786">
      <w:pPr>
        <w:pStyle w:val="FootnoteText"/>
      </w:pPr>
      <w:r w:rsidRPr="00977786">
        <w:rPr>
          <w:rStyle w:val="FootnoteReference"/>
          <w:vertAlign w:val="baseline"/>
        </w:rPr>
        <w:footnoteRef/>
      </w:r>
      <w:r>
        <w:t xml:space="preserve"> See National Competition Council 2005, </w:t>
      </w:r>
      <w:hyperlink r:id="rId114" w:history="1">
        <w:r w:rsidRPr="00C81354">
          <w:rPr>
            <w:rStyle w:val="Hyperlink"/>
            <w:i/>
          </w:rPr>
          <w:t>Annual Report 2004</w:t>
        </w:r>
        <w:r w:rsidRPr="00C81354">
          <w:rPr>
            <w:rStyle w:val="Hyperlink"/>
            <w:i/>
          </w:rPr>
          <w:noBreakHyphen/>
          <w:t>2005</w:t>
        </w:r>
      </w:hyperlink>
      <w:r>
        <w:t>, page 35.</w:t>
      </w:r>
    </w:p>
  </w:footnote>
  <w:footnote w:id="163">
    <w:p w14:paraId="564E5BC4" w14:textId="12B459B3" w:rsidR="00977786" w:rsidRDefault="00977786" w:rsidP="00323186">
      <w:pPr>
        <w:pStyle w:val="FootnoteText"/>
      </w:pPr>
      <w:r w:rsidRPr="00977786">
        <w:rPr>
          <w:rStyle w:val="FootnoteReference"/>
          <w:vertAlign w:val="baseline"/>
        </w:rPr>
        <w:footnoteRef/>
      </w:r>
      <w:r>
        <w:t xml:space="preserve"> See </w:t>
      </w:r>
      <w:hyperlink r:id="rId115" w:history="1">
        <w:r>
          <w:rPr>
            <w:rStyle w:val="Hyperlink"/>
          </w:rPr>
          <w:t>www.taxibrokersrus.com.au</w:t>
        </w:r>
      </w:hyperlink>
      <w:r>
        <w:t xml:space="preserve">. </w:t>
      </w:r>
    </w:p>
  </w:footnote>
  <w:footnote w:id="164">
    <w:p w14:paraId="17235A1A" w14:textId="0FD54438" w:rsidR="00977786" w:rsidRDefault="00977786" w:rsidP="00323186">
      <w:pPr>
        <w:pStyle w:val="FootnoteText"/>
      </w:pPr>
      <w:r w:rsidRPr="00977786">
        <w:rPr>
          <w:rStyle w:val="FootnoteReference"/>
          <w:vertAlign w:val="baseline"/>
        </w:rPr>
        <w:footnoteRef/>
      </w:r>
      <w:r>
        <w:t xml:space="preserve"> See, for example, the Industry Commission 1994, </w:t>
      </w:r>
      <w:hyperlink r:id="rId116" w:history="1">
        <w:r w:rsidRPr="00D96CF1">
          <w:rPr>
            <w:rStyle w:val="Hyperlink"/>
          </w:rPr>
          <w:t>Urban Transport</w:t>
        </w:r>
      </w:hyperlink>
      <w:r>
        <w:t>.</w:t>
      </w:r>
    </w:p>
  </w:footnote>
  <w:footnote w:id="165">
    <w:p w14:paraId="42446080" w14:textId="52D8A24C" w:rsidR="00977786" w:rsidRDefault="00977786" w:rsidP="00323186">
      <w:pPr>
        <w:pStyle w:val="FootnoteText"/>
      </w:pPr>
      <w:r w:rsidRPr="00977786">
        <w:rPr>
          <w:rStyle w:val="FootnoteReference"/>
          <w:vertAlign w:val="baseline"/>
        </w:rPr>
        <w:footnoteRef/>
      </w:r>
      <w:r>
        <w:t xml:space="preserve"> See Fels AO, A 2012, </w:t>
      </w:r>
      <w:hyperlink r:id="rId117" w:history="1">
        <w:r w:rsidRPr="00D96CF1">
          <w:rPr>
            <w:rStyle w:val="Hyperlink"/>
          </w:rPr>
          <w:t>Customers First</w:t>
        </w:r>
        <w:r>
          <w:rPr>
            <w:rStyle w:val="Hyperlink"/>
          </w:rPr>
          <w:t xml:space="preserve"> — </w:t>
        </w:r>
        <w:r w:rsidRPr="00D96CF1">
          <w:rPr>
            <w:rStyle w:val="Hyperlink"/>
          </w:rPr>
          <w:t>Service, Safety, Choice</w:t>
        </w:r>
      </w:hyperlink>
      <w:r>
        <w:t xml:space="preserve">. </w:t>
      </w:r>
    </w:p>
  </w:footnote>
  <w:footnote w:id="166">
    <w:p w14:paraId="5436EC29" w14:textId="34AEEE1A" w:rsidR="00977786" w:rsidRDefault="00977786" w:rsidP="00323186">
      <w:pPr>
        <w:pStyle w:val="FootnoteText"/>
      </w:pPr>
      <w:r w:rsidRPr="00977786">
        <w:rPr>
          <w:rStyle w:val="FootnoteReference"/>
          <w:vertAlign w:val="baseline"/>
        </w:rPr>
        <w:footnoteRef/>
      </w:r>
      <w:r>
        <w:t xml:space="preserve"> See </w:t>
      </w:r>
      <w:hyperlink r:id="rId118" w:history="1">
        <w:r>
          <w:rPr>
            <w:rStyle w:val="Hyperlink"/>
          </w:rPr>
          <w:t>www.taxi.vic.gov.au/taxi</w:t>
        </w:r>
        <w:r>
          <w:rPr>
            <w:rStyle w:val="Hyperlink"/>
          </w:rPr>
          <w:noBreakHyphen/>
          <w:t>reform/about</w:t>
        </w:r>
        <w:r>
          <w:rPr>
            <w:rStyle w:val="Hyperlink"/>
          </w:rPr>
          <w:noBreakHyphen/>
          <w:t>taxi</w:t>
        </w:r>
        <w:r>
          <w:rPr>
            <w:rStyle w:val="Hyperlink"/>
          </w:rPr>
          <w:noBreakHyphen/>
          <w:t>and</w:t>
        </w:r>
        <w:r>
          <w:rPr>
            <w:rStyle w:val="Hyperlink"/>
          </w:rPr>
          <w:noBreakHyphen/>
          <w:t>hire</w:t>
        </w:r>
        <w:r>
          <w:rPr>
            <w:rStyle w:val="Hyperlink"/>
          </w:rPr>
          <w:noBreakHyphen/>
          <w:t>car</w:t>
        </w:r>
        <w:r>
          <w:rPr>
            <w:rStyle w:val="Hyperlink"/>
          </w:rPr>
          <w:noBreakHyphen/>
          <w:t>reforms</w:t>
        </w:r>
      </w:hyperlink>
      <w:r>
        <w:t xml:space="preserve">. </w:t>
      </w:r>
    </w:p>
  </w:footnote>
  <w:footnote w:id="167">
    <w:p w14:paraId="679F2D0D" w14:textId="5D12C9EA" w:rsidR="00977786" w:rsidRDefault="00977786">
      <w:pPr>
        <w:pStyle w:val="FootnoteText"/>
      </w:pPr>
      <w:r w:rsidRPr="00977786">
        <w:rPr>
          <w:rStyle w:val="FootnoteReference"/>
          <w:vertAlign w:val="baseline"/>
        </w:rPr>
        <w:footnoteRef/>
      </w:r>
      <w:r>
        <w:t xml:space="preserve"> See Australian Government 2010, </w:t>
      </w:r>
      <w:hyperlink r:id="rId119" w:history="1">
        <w:r w:rsidRPr="00E76410">
          <w:rPr>
            <w:rStyle w:val="Hyperlink"/>
          </w:rPr>
          <w:t>Intergenerational Report</w:t>
        </w:r>
      </w:hyperlink>
      <w:r>
        <w:rPr>
          <w:rStyle w:val="Hyperlink"/>
        </w:rPr>
        <w:t>.</w:t>
      </w:r>
    </w:p>
  </w:footnote>
  <w:footnote w:id="168">
    <w:p w14:paraId="3E2482BF" w14:textId="30EE7A29" w:rsidR="00977786" w:rsidRDefault="00977786" w:rsidP="000225AB">
      <w:pPr>
        <w:pStyle w:val="FootnoteText"/>
      </w:pPr>
      <w:r w:rsidRPr="00977786">
        <w:rPr>
          <w:rStyle w:val="FootnoteReference"/>
          <w:vertAlign w:val="baseline"/>
        </w:rPr>
        <w:footnoteRef/>
      </w:r>
      <w:r>
        <w:t xml:space="preserve"> Productivity Commission 2012, </w:t>
      </w:r>
      <w:hyperlink r:id="rId120" w:history="1">
        <w:r w:rsidRPr="00467524">
          <w:rPr>
            <w:rStyle w:val="Hyperlink"/>
            <w:i/>
          </w:rPr>
          <w:t>Performance Benchmarking of Australian Business Regulation: The Role of Local Government as Regulator Research Report Volume 1</w:t>
        </w:r>
      </w:hyperlink>
      <w:r w:rsidRPr="00FA2974">
        <w:t>,</w:t>
      </w:r>
      <w:r>
        <w:rPr>
          <w:i/>
        </w:rPr>
        <w:t xml:space="preserve"> </w:t>
      </w:r>
      <w:r>
        <w:t>page</w:t>
      </w:r>
      <w:r w:rsidRPr="00DA4F6E">
        <w:t xml:space="preserve"> 53</w:t>
      </w:r>
      <w:r>
        <w:t>.</w:t>
      </w:r>
    </w:p>
  </w:footnote>
  <w:footnote w:id="169">
    <w:p w14:paraId="25069B1A" w14:textId="7BCEAD9C" w:rsidR="00977786" w:rsidRDefault="00977786" w:rsidP="00F45C71">
      <w:pPr>
        <w:pStyle w:val="FootnoteText"/>
      </w:pPr>
      <w:r w:rsidRPr="00977786">
        <w:rPr>
          <w:rStyle w:val="FootnoteReference"/>
          <w:vertAlign w:val="baseline"/>
        </w:rPr>
        <w:footnoteRef/>
      </w:r>
      <w:r>
        <w:t xml:space="preserve"> See the </w:t>
      </w:r>
      <w:r w:rsidRPr="00AB0460">
        <w:rPr>
          <w:i/>
        </w:rPr>
        <w:t>Australian Education Act 2013</w:t>
      </w:r>
      <w:r>
        <w:t>.</w:t>
      </w:r>
    </w:p>
  </w:footnote>
  <w:footnote w:id="170">
    <w:p w14:paraId="5321C630" w14:textId="1222197D" w:rsidR="00977786" w:rsidRDefault="00977786" w:rsidP="00F45C71">
      <w:pPr>
        <w:pStyle w:val="FootnoteText"/>
      </w:pPr>
      <w:r w:rsidRPr="00977786">
        <w:rPr>
          <w:rStyle w:val="FootnoteReference"/>
          <w:vertAlign w:val="baseline"/>
        </w:rPr>
        <w:footnoteRef/>
      </w:r>
      <w:r>
        <w:t xml:space="preserve"> National Disability Insurance Scheme, </w:t>
      </w:r>
      <w:hyperlink r:id="rId121" w:history="1">
        <w:r w:rsidRPr="00074247">
          <w:rPr>
            <w:rStyle w:val="Hyperlink"/>
          </w:rPr>
          <w:t>My Access Checker: Access Requirements</w:t>
        </w:r>
      </w:hyperlink>
      <w:r>
        <w:rPr>
          <w:rStyle w:val="Hyperlink"/>
        </w:rPr>
        <w:t>.</w:t>
      </w:r>
    </w:p>
  </w:footnote>
  <w:footnote w:id="171">
    <w:p w14:paraId="781067F3" w14:textId="22CE3803" w:rsidR="00977786" w:rsidRDefault="00977786" w:rsidP="000225AB">
      <w:pPr>
        <w:pStyle w:val="FootnoteText"/>
      </w:pPr>
      <w:r w:rsidRPr="00977786">
        <w:rPr>
          <w:rStyle w:val="FootnoteReference"/>
          <w:vertAlign w:val="baseline"/>
        </w:rPr>
        <w:footnoteRef/>
      </w:r>
      <w:r>
        <w:t xml:space="preserve"> </w:t>
      </w:r>
      <w:r w:rsidRPr="0031723B">
        <w:t>House of Representatives Standing Committee on Financial Institutions and Public Administration</w:t>
      </w:r>
      <w:r>
        <w:t xml:space="preserve"> 1997,</w:t>
      </w:r>
      <w:r w:rsidRPr="0031723B">
        <w:t xml:space="preserve"> </w:t>
      </w:r>
      <w:hyperlink r:id="rId122" w:history="1">
        <w:r w:rsidRPr="00A85044">
          <w:rPr>
            <w:rStyle w:val="Hyperlink"/>
          </w:rPr>
          <w:t>Cultivating Competition</w:t>
        </w:r>
        <w:r>
          <w:rPr>
            <w:rStyle w:val="Hyperlink"/>
          </w:rPr>
          <w:t>,</w:t>
        </w:r>
        <w:r w:rsidRPr="00A85044">
          <w:rPr>
            <w:rStyle w:val="Hyperlink"/>
          </w:rPr>
          <w:t xml:space="preserve"> </w:t>
        </w:r>
        <w:r w:rsidRPr="00467524">
          <w:rPr>
            <w:rStyle w:val="Hyperlink"/>
            <w:i/>
          </w:rPr>
          <w:t>Report of the Inquiry into aspects of the National Competition Policy Reform Package</w:t>
        </w:r>
        <w:r w:rsidRPr="00A85044">
          <w:rPr>
            <w:rStyle w:val="Hyperlink"/>
          </w:rPr>
          <w:t>,</w:t>
        </w:r>
      </w:hyperlink>
      <w:r w:rsidRPr="0031723B">
        <w:t xml:space="preserve"> p</w:t>
      </w:r>
      <w:r>
        <w:t>ages 33</w:t>
      </w:r>
      <w:r>
        <w:noBreakHyphen/>
        <w:t>34.</w:t>
      </w:r>
    </w:p>
  </w:footnote>
  <w:footnote w:id="172">
    <w:p w14:paraId="2BDA2B6E" w14:textId="1467B2CC" w:rsidR="00977786" w:rsidRDefault="00977786">
      <w:pPr>
        <w:pStyle w:val="FootnoteText"/>
      </w:pPr>
      <w:r w:rsidRPr="00977786">
        <w:rPr>
          <w:rStyle w:val="FootnoteReference"/>
          <w:vertAlign w:val="baseline"/>
        </w:rPr>
        <w:footnoteRef/>
      </w:r>
      <w:r w:rsidRPr="00352AA9">
        <w:t xml:space="preserve"> </w:t>
      </w:r>
      <w:r>
        <w:t xml:space="preserve">See </w:t>
      </w:r>
      <w:r w:rsidRPr="001125D8">
        <w:t>National Disability Insurance Scheme Act 2013</w:t>
      </w:r>
      <w:r>
        <w:t xml:space="preserve"> and </w:t>
      </w:r>
      <w:hyperlink r:id="rId123" w:history="1">
        <w:r w:rsidRPr="007C5A8B">
          <w:rPr>
            <w:rStyle w:val="Hyperlink"/>
          </w:rPr>
          <w:t>NDIS website</w:t>
        </w:r>
      </w:hyperlink>
      <w:r>
        <w:rPr>
          <w:rStyle w:val="Hyperlink"/>
          <w:sz w:val="22"/>
        </w:rPr>
        <w:t>.</w:t>
      </w:r>
    </w:p>
  </w:footnote>
  <w:footnote w:id="173">
    <w:p w14:paraId="49492D92" w14:textId="3B9BB29E" w:rsidR="00977786" w:rsidRDefault="00977786">
      <w:pPr>
        <w:pStyle w:val="FootnoteText"/>
      </w:pPr>
      <w:r w:rsidRPr="00977786">
        <w:rPr>
          <w:rStyle w:val="FootnoteReference"/>
          <w:vertAlign w:val="baseline"/>
        </w:rPr>
        <w:footnoteRef/>
      </w:r>
      <w:r>
        <w:t xml:space="preserve"> Productivity Commission 2011, </w:t>
      </w:r>
      <w:hyperlink r:id="rId124" w:history="1">
        <w:r w:rsidRPr="00467524">
          <w:rPr>
            <w:rStyle w:val="Hyperlink"/>
            <w:i/>
          </w:rPr>
          <w:t>Disability Care and Support</w:t>
        </w:r>
      </w:hyperlink>
      <w:r>
        <w:rPr>
          <w:rStyle w:val="Hyperlink"/>
          <w:i/>
        </w:rPr>
        <w:t xml:space="preserve"> Report</w:t>
      </w:r>
      <w:r w:rsidRPr="00467524">
        <w:rPr>
          <w:rStyle w:val="Hyperlink"/>
        </w:rPr>
        <w:t xml:space="preserve"> Vol. 1</w:t>
      </w:r>
      <w:r>
        <w:t>, page 21.</w:t>
      </w:r>
    </w:p>
  </w:footnote>
  <w:footnote w:id="174">
    <w:p w14:paraId="738B435F" w14:textId="5371CA66" w:rsidR="00977786" w:rsidRDefault="00977786" w:rsidP="002D7403">
      <w:pPr>
        <w:pStyle w:val="FootnoteText"/>
      </w:pPr>
      <w:r w:rsidRPr="00977786">
        <w:rPr>
          <w:rStyle w:val="FootnoteReference"/>
          <w:vertAlign w:val="baseline"/>
        </w:rPr>
        <w:footnoteRef/>
      </w:r>
      <w:r>
        <w:t xml:space="preserve"> </w:t>
      </w:r>
      <w:proofErr w:type="gramStart"/>
      <w:r>
        <w:t xml:space="preserve">Productivity Commission 2011, </w:t>
      </w:r>
      <w:hyperlink r:id="rId125" w:history="1">
        <w:r w:rsidRPr="00467524">
          <w:rPr>
            <w:rStyle w:val="Hyperlink"/>
            <w:i/>
          </w:rPr>
          <w:t>Disability Care and Support</w:t>
        </w:r>
      </w:hyperlink>
      <w:r>
        <w:rPr>
          <w:rStyle w:val="Hyperlink"/>
          <w:i/>
        </w:rPr>
        <w:t xml:space="preserve"> Report</w:t>
      </w:r>
      <w:r w:rsidRPr="00467524">
        <w:rPr>
          <w:rStyle w:val="Hyperlink"/>
          <w:i/>
        </w:rPr>
        <w:t xml:space="preserve"> </w:t>
      </w:r>
      <w:r w:rsidRPr="00467524">
        <w:rPr>
          <w:rStyle w:val="Hyperlink"/>
        </w:rPr>
        <w:t>Vol. 1</w:t>
      </w:r>
      <w:r>
        <w:t>, pages 407</w:t>
      </w:r>
      <w:r>
        <w:noBreakHyphen/>
        <w:t>408.</w:t>
      </w:r>
      <w:proofErr w:type="gramEnd"/>
    </w:p>
  </w:footnote>
  <w:footnote w:id="175">
    <w:p w14:paraId="3FE1E645" w14:textId="19E60D9E" w:rsidR="00977786" w:rsidRDefault="00977786" w:rsidP="00F45C71">
      <w:pPr>
        <w:pStyle w:val="FootnoteText"/>
      </w:pPr>
      <w:r w:rsidRPr="00977786">
        <w:rPr>
          <w:rStyle w:val="FootnoteReference"/>
          <w:vertAlign w:val="baseline"/>
        </w:rPr>
        <w:footnoteRef/>
      </w:r>
      <w:r>
        <w:t xml:space="preserve"> </w:t>
      </w:r>
      <w:proofErr w:type="gramStart"/>
      <w:r>
        <w:t xml:space="preserve">Productivity Commission 2011, </w:t>
      </w:r>
      <w:hyperlink r:id="rId126" w:history="1">
        <w:r w:rsidRPr="00467524">
          <w:rPr>
            <w:rStyle w:val="Hyperlink"/>
            <w:i/>
          </w:rPr>
          <w:t>Disability Care and Support</w:t>
        </w:r>
      </w:hyperlink>
      <w:r w:rsidRPr="00467524">
        <w:rPr>
          <w:rStyle w:val="Hyperlink"/>
          <w:i/>
        </w:rPr>
        <w:t xml:space="preserve"> Report </w:t>
      </w:r>
      <w:r>
        <w:rPr>
          <w:rStyle w:val="Hyperlink"/>
        </w:rPr>
        <w:t xml:space="preserve">Vol.1, </w:t>
      </w:r>
      <w:r>
        <w:rPr>
          <w:rStyle w:val="Hyperlink"/>
          <w:color w:val="auto"/>
        </w:rPr>
        <w:t>pages 355</w:t>
      </w:r>
      <w:r>
        <w:rPr>
          <w:rStyle w:val="Hyperlink"/>
          <w:color w:val="auto"/>
        </w:rPr>
        <w:noBreakHyphen/>
      </w:r>
      <w:r w:rsidRPr="00C409D7">
        <w:rPr>
          <w:rStyle w:val="Hyperlink"/>
          <w:color w:val="auto"/>
        </w:rPr>
        <w:t>357</w:t>
      </w:r>
      <w:r>
        <w:rPr>
          <w:rStyle w:val="Hyperlink"/>
          <w:color w:val="auto"/>
        </w:rPr>
        <w:t>.</w:t>
      </w:r>
      <w:proofErr w:type="gramEnd"/>
    </w:p>
  </w:footnote>
  <w:footnote w:id="176">
    <w:p w14:paraId="1E96CBC8" w14:textId="5A9ACB89" w:rsidR="00977786" w:rsidRDefault="00977786">
      <w:pPr>
        <w:pStyle w:val="FootnoteText"/>
      </w:pPr>
      <w:r w:rsidRPr="00977786">
        <w:rPr>
          <w:rStyle w:val="FootnoteReference"/>
          <w:vertAlign w:val="baseline"/>
        </w:rPr>
        <w:footnoteRef/>
      </w:r>
      <w:r>
        <w:t xml:space="preserve"> </w:t>
      </w:r>
      <w:r w:rsidRPr="00D21D5D">
        <w:t>Brotherhood of St Laurence 2009</w:t>
      </w:r>
      <w:r>
        <w:t xml:space="preserve">, </w:t>
      </w:r>
      <w:hyperlink r:id="rId127" w:history="1">
        <w:proofErr w:type="gramStart"/>
        <w:r w:rsidRPr="003E14E5">
          <w:rPr>
            <w:rStyle w:val="Hyperlink"/>
          </w:rPr>
          <w:t>Increasing</w:t>
        </w:r>
        <w:proofErr w:type="gramEnd"/>
        <w:r w:rsidRPr="003E14E5">
          <w:rPr>
            <w:rStyle w:val="Hyperlink"/>
          </w:rPr>
          <w:t xml:space="preserve"> consumer choice in aged care services: A position paper</w:t>
        </w:r>
      </w:hyperlink>
      <w:r>
        <w:t>.</w:t>
      </w:r>
    </w:p>
  </w:footnote>
  <w:footnote w:id="177">
    <w:p w14:paraId="596441B5" w14:textId="50335565" w:rsidR="00977786" w:rsidRDefault="00977786">
      <w:pPr>
        <w:pStyle w:val="FootnoteText"/>
      </w:pPr>
      <w:r w:rsidRPr="00977786">
        <w:rPr>
          <w:rStyle w:val="FootnoteReference"/>
          <w:vertAlign w:val="baseline"/>
        </w:rPr>
        <w:footnoteRef/>
      </w:r>
      <w:r>
        <w:t xml:space="preserve"> Ibid, pages 8</w:t>
      </w:r>
      <w:r>
        <w:noBreakHyphen/>
        <w:t>9.</w:t>
      </w:r>
    </w:p>
  </w:footnote>
  <w:footnote w:id="178">
    <w:p w14:paraId="109B5D7B" w14:textId="7EF65F70" w:rsidR="00977786" w:rsidRDefault="00977786">
      <w:pPr>
        <w:pStyle w:val="FootnoteText"/>
      </w:pPr>
      <w:r w:rsidRPr="00977786">
        <w:rPr>
          <w:rStyle w:val="FootnoteReference"/>
          <w:vertAlign w:val="baseline"/>
        </w:rPr>
        <w:footnoteRef/>
      </w:r>
      <w:r>
        <w:t xml:space="preserve"> UK</w:t>
      </w:r>
      <w:r w:rsidRPr="00D21D5D">
        <w:t xml:space="preserve"> Government 2011, </w:t>
      </w:r>
      <w:hyperlink r:id="rId128" w:history="1">
        <w:r w:rsidRPr="00D21D5D">
          <w:rPr>
            <w:rStyle w:val="Hyperlink"/>
          </w:rPr>
          <w:t>Open Public Services White Paper</w:t>
        </w:r>
      </w:hyperlink>
      <w:r>
        <w:rPr>
          <w:rStyle w:val="Hyperlink"/>
        </w:rPr>
        <w:t>.</w:t>
      </w:r>
    </w:p>
  </w:footnote>
  <w:footnote w:id="179">
    <w:p w14:paraId="1324536B" w14:textId="1EAA0B74" w:rsidR="00977786" w:rsidRDefault="00977786" w:rsidP="00F45C71">
      <w:pPr>
        <w:pStyle w:val="FootnoteText"/>
      </w:pPr>
      <w:r w:rsidRPr="00977786">
        <w:rPr>
          <w:rStyle w:val="FootnoteReference"/>
          <w:vertAlign w:val="baseline"/>
        </w:rPr>
        <w:footnoteRef/>
      </w:r>
      <w:r>
        <w:t xml:space="preserve"> See NSW Treasury, </w:t>
      </w:r>
      <w:hyperlink r:id="rId129" w:history="1">
        <w:r w:rsidRPr="00EA18C9">
          <w:rPr>
            <w:rStyle w:val="Hyperlink"/>
          </w:rPr>
          <w:t>Social benefit bonds</w:t>
        </w:r>
      </w:hyperlink>
      <w:r>
        <w:rPr>
          <w:rStyle w:val="Hyperlink"/>
        </w:rPr>
        <w:t>.</w:t>
      </w:r>
    </w:p>
  </w:footnote>
  <w:footnote w:id="180">
    <w:p w14:paraId="11507FAA" w14:textId="6113C949" w:rsidR="00977786" w:rsidRPr="006C1DCD" w:rsidRDefault="00977786" w:rsidP="00E5196A">
      <w:pPr>
        <w:pStyle w:val="FootnoteText"/>
        <w:rPr>
          <w:color w:val="129391" w:themeColor="accent2"/>
        </w:rPr>
      </w:pPr>
      <w:r w:rsidRPr="00977786">
        <w:rPr>
          <w:rStyle w:val="FootnoteReference"/>
          <w:vertAlign w:val="baseline"/>
        </w:rPr>
        <w:footnoteRef/>
      </w:r>
      <w:r w:rsidRPr="00AD2BDD">
        <w:t xml:space="preserve"> </w:t>
      </w:r>
      <w:r w:rsidRPr="000515E7">
        <w:t xml:space="preserve">OECD 2014, PISA in Focus 42, </w:t>
      </w:r>
      <w:hyperlink r:id="rId130" w:history="1">
        <w:r w:rsidRPr="00AD2BDD">
          <w:rPr>
            <w:rStyle w:val="Hyperlink"/>
          </w:rPr>
          <w:t>When is competition betwe</w:t>
        </w:r>
        <w:r w:rsidRPr="000515E7">
          <w:rPr>
            <w:rStyle w:val="Hyperlink"/>
          </w:rPr>
          <w:t>en schools beneficial?</w:t>
        </w:r>
      </w:hyperlink>
    </w:p>
  </w:footnote>
  <w:footnote w:id="181">
    <w:p w14:paraId="289DD386" w14:textId="5764E796" w:rsidR="00977786" w:rsidRDefault="00977786" w:rsidP="00606C19">
      <w:pPr>
        <w:pStyle w:val="FootnoteText"/>
      </w:pPr>
      <w:r w:rsidRPr="00977786">
        <w:rPr>
          <w:rStyle w:val="FootnoteReference"/>
          <w:szCs w:val="18"/>
          <w:vertAlign w:val="baseline"/>
        </w:rPr>
        <w:footnoteRef/>
      </w:r>
      <w:r w:rsidRPr="00B85EC5">
        <w:rPr>
          <w:szCs w:val="18"/>
        </w:rPr>
        <w:t xml:space="preserve"> Cowen,</w:t>
      </w:r>
      <w:r>
        <w:rPr>
          <w:szCs w:val="18"/>
        </w:rPr>
        <w:t xml:space="preserve"> N</w:t>
      </w:r>
      <w:r w:rsidRPr="00B85EC5">
        <w:rPr>
          <w:szCs w:val="18"/>
        </w:rPr>
        <w:t xml:space="preserve"> 2008, </w:t>
      </w:r>
      <w:hyperlink r:id="rId131" w:history="1">
        <w:r w:rsidRPr="00B85EC5">
          <w:rPr>
            <w:rStyle w:val="Hyperlink"/>
          </w:rPr>
          <w:t>Swedish</w:t>
        </w:r>
      </w:hyperlink>
      <w:r w:rsidRPr="00B85EC5">
        <w:rPr>
          <w:rStyle w:val="Hyperlink"/>
        </w:rPr>
        <w:t xml:space="preserve"> lessons: how schools with more freedom can deliver better education</w:t>
      </w:r>
      <w:r>
        <w:rPr>
          <w:rStyle w:val="Hyperlink"/>
        </w:rPr>
        <w:t>.</w:t>
      </w:r>
    </w:p>
  </w:footnote>
  <w:footnote w:id="182">
    <w:p w14:paraId="4A4C9549" w14:textId="4820E043" w:rsidR="00977786" w:rsidRDefault="00977786">
      <w:pPr>
        <w:pStyle w:val="FootnoteText"/>
      </w:pPr>
      <w:r w:rsidRPr="00977786">
        <w:rPr>
          <w:rStyle w:val="FootnoteReference"/>
          <w:szCs w:val="18"/>
          <w:vertAlign w:val="baseline"/>
        </w:rPr>
        <w:footnoteRef/>
      </w:r>
      <w:r w:rsidRPr="00B85EC5">
        <w:rPr>
          <w:szCs w:val="18"/>
        </w:rPr>
        <w:t xml:space="preserve"> </w:t>
      </w:r>
      <w:r>
        <w:rPr>
          <w:szCs w:val="18"/>
        </w:rPr>
        <w:t>Ibid.</w:t>
      </w:r>
    </w:p>
  </w:footnote>
  <w:footnote w:id="183">
    <w:p w14:paraId="7085FEA8" w14:textId="2AB99A61" w:rsidR="00977786" w:rsidRDefault="00977786" w:rsidP="00012CD2">
      <w:pPr>
        <w:pStyle w:val="FootnoteText"/>
      </w:pPr>
      <w:r w:rsidRPr="00977786">
        <w:rPr>
          <w:rStyle w:val="FootnoteReference"/>
          <w:vertAlign w:val="baseline"/>
        </w:rPr>
        <w:footnoteRef/>
      </w:r>
      <w:r w:rsidRPr="00BC70F0">
        <w:rPr>
          <w:vertAlign w:val="superscript"/>
        </w:rPr>
        <w:t xml:space="preserve"> </w:t>
      </w:r>
      <w:r>
        <w:t xml:space="preserve">NHS choices website: </w:t>
      </w:r>
      <w:hyperlink r:id="rId132" w:history="1">
        <w:r>
          <w:rPr>
            <w:rStyle w:val="Hyperlink"/>
          </w:rPr>
          <w:t>www.nhs.uk/choiceinthenhs/yourchoices/consultant</w:t>
        </w:r>
        <w:r>
          <w:rPr>
            <w:rStyle w:val="Hyperlink"/>
          </w:rPr>
          <w:noBreakHyphen/>
          <w:t>choice/pages/consultant</w:t>
        </w:r>
        <w:r>
          <w:rPr>
            <w:rStyle w:val="Hyperlink"/>
          </w:rPr>
          <w:noBreakHyphen/>
          <w:t>data.aspx</w:t>
        </w:r>
      </w:hyperlink>
      <w:r>
        <w:rPr>
          <w:rStyle w:val="Hyperlink"/>
        </w:rPr>
        <w:t>.</w:t>
      </w:r>
    </w:p>
  </w:footnote>
  <w:footnote w:id="184">
    <w:p w14:paraId="49460826" w14:textId="7264F9B5" w:rsidR="00977786" w:rsidRDefault="00977786" w:rsidP="00F45C71">
      <w:pPr>
        <w:pStyle w:val="FootnoteText"/>
      </w:pPr>
      <w:r w:rsidRPr="00977786">
        <w:rPr>
          <w:rStyle w:val="FootnoteReference"/>
          <w:vertAlign w:val="baseline"/>
        </w:rPr>
        <w:footnoteRef/>
      </w:r>
      <w:r>
        <w:t xml:space="preserve"> </w:t>
      </w:r>
      <w:proofErr w:type="gramStart"/>
      <w:r>
        <w:t xml:space="preserve">Reported on the myschool website: </w:t>
      </w:r>
      <w:hyperlink r:id="rId133" w:history="1">
        <w:r w:rsidRPr="00A2544D">
          <w:rPr>
            <w:rStyle w:val="Hyperlink"/>
          </w:rPr>
          <w:t>www.myschool.edu.au/</w:t>
        </w:r>
      </w:hyperlink>
      <w:r>
        <w:rPr>
          <w:rStyle w:val="Hyperlink"/>
        </w:rPr>
        <w:t>.</w:t>
      </w:r>
      <w:proofErr w:type="gramEnd"/>
    </w:p>
  </w:footnote>
  <w:footnote w:id="185">
    <w:p w14:paraId="0E40FB5A" w14:textId="629F57B8" w:rsidR="00977786" w:rsidRDefault="00977786" w:rsidP="00D53B2C">
      <w:pPr>
        <w:pStyle w:val="FootnoteText"/>
      </w:pPr>
      <w:r w:rsidRPr="00977786">
        <w:rPr>
          <w:rStyle w:val="FootnoteReference"/>
          <w:vertAlign w:val="baseline"/>
        </w:rPr>
        <w:footnoteRef/>
      </w:r>
      <w:r>
        <w:t xml:space="preserve"> Boyle, D 2013, </w:t>
      </w:r>
      <w:hyperlink r:id="rId134" w:history="1">
        <w:proofErr w:type="gramStart"/>
        <w:r w:rsidRPr="004B434F">
          <w:rPr>
            <w:rStyle w:val="Hyperlink"/>
          </w:rPr>
          <w:t>The</w:t>
        </w:r>
        <w:proofErr w:type="gramEnd"/>
        <w:r w:rsidRPr="004B434F">
          <w:rPr>
            <w:rStyle w:val="Hyperlink"/>
          </w:rPr>
          <w:t xml:space="preserve"> barriers to choice review: How are people using choice in public services?</w:t>
        </w:r>
      </w:hyperlink>
    </w:p>
  </w:footnote>
  <w:footnote w:id="186">
    <w:p w14:paraId="00B04C73" w14:textId="23C77746" w:rsidR="00977786" w:rsidRDefault="00977786" w:rsidP="00F45C71">
      <w:pPr>
        <w:pStyle w:val="FootnoteText"/>
      </w:pPr>
      <w:r w:rsidRPr="00977786">
        <w:rPr>
          <w:rStyle w:val="FootnoteReference"/>
          <w:vertAlign w:val="baseline"/>
        </w:rPr>
        <w:footnoteRef/>
      </w:r>
      <w:r>
        <w:t xml:space="preserve"> NDIS website: </w:t>
      </w:r>
      <w:hyperlink r:id="rId135" w:history="1">
        <w:r w:rsidRPr="00AC6A0E">
          <w:rPr>
            <w:rStyle w:val="Hyperlink"/>
          </w:rPr>
          <w:t>www.ndis.gov.au/</w:t>
        </w:r>
      </w:hyperlink>
      <w:r>
        <w:rPr>
          <w:rStyle w:val="Hyperlink"/>
        </w:rPr>
        <w:t>.</w:t>
      </w:r>
    </w:p>
  </w:footnote>
  <w:footnote w:id="187">
    <w:p w14:paraId="788A6713" w14:textId="593D2B76" w:rsidR="00977786" w:rsidRDefault="00977786" w:rsidP="004235E4">
      <w:pPr>
        <w:pStyle w:val="FootnoteText"/>
      </w:pPr>
      <w:r w:rsidRPr="00977786">
        <w:rPr>
          <w:rStyle w:val="FootnoteReference"/>
          <w:vertAlign w:val="baseline"/>
        </w:rPr>
        <w:footnoteRef/>
      </w:r>
      <w:r>
        <w:t xml:space="preserve"> </w:t>
      </w:r>
      <w:r w:rsidRPr="004670AA">
        <w:t>DSS website:</w:t>
      </w:r>
      <w:r>
        <w:t xml:space="preserve"> </w:t>
      </w:r>
      <w:hyperlink r:id="rId136" w:history="1">
        <w:r>
          <w:rPr>
            <w:rStyle w:val="Hyperlink"/>
          </w:rPr>
          <w:t>www.dss.gov.au/our-responsibilities/ageing-and-aged-care/aged-care-reform/reforms-by-topic/home-care</w:t>
        </w:r>
      </w:hyperlink>
      <w:r>
        <w:rPr>
          <w:rStyle w:val="Hyperlink"/>
          <w:szCs w:val="18"/>
        </w:rPr>
        <w:t>.</w:t>
      </w:r>
    </w:p>
  </w:footnote>
  <w:footnote w:id="188">
    <w:p w14:paraId="0765CE5D" w14:textId="526B4286" w:rsidR="00977786" w:rsidRDefault="00977786">
      <w:pPr>
        <w:pStyle w:val="FootnoteText"/>
      </w:pPr>
      <w:r w:rsidRPr="00977786">
        <w:rPr>
          <w:rStyle w:val="FootnoteReference"/>
          <w:vertAlign w:val="baseline"/>
        </w:rPr>
        <w:footnoteRef/>
      </w:r>
      <w:r>
        <w:t xml:space="preserve"> </w:t>
      </w:r>
      <w:proofErr w:type="gramStart"/>
      <w:r w:rsidRPr="00A65EF1">
        <w:t>Sturgess</w:t>
      </w:r>
      <w:r>
        <w:t>, G 2012,</w:t>
      </w:r>
      <w:r w:rsidRPr="00A65EF1">
        <w:t xml:space="preserve"> </w:t>
      </w:r>
      <w:hyperlink r:id="rId137" w:history="1">
        <w:r w:rsidRPr="00C626B4">
          <w:rPr>
            <w:rStyle w:val="Hyperlink"/>
            <w:i/>
          </w:rPr>
          <w:t>Diversity and Contestability in the Public Service Economy</w:t>
        </w:r>
      </w:hyperlink>
      <w:r>
        <w:t>, pages 18–19.</w:t>
      </w:r>
      <w:proofErr w:type="gramEnd"/>
    </w:p>
  </w:footnote>
  <w:footnote w:id="189">
    <w:p w14:paraId="46C9A510" w14:textId="3609C014" w:rsidR="00977786" w:rsidRDefault="00977786">
      <w:pPr>
        <w:pStyle w:val="FootnoteText"/>
      </w:pPr>
      <w:r w:rsidRPr="00977786">
        <w:rPr>
          <w:rStyle w:val="FootnoteReference"/>
          <w:vertAlign w:val="baseline"/>
        </w:rPr>
        <w:footnoteRef/>
      </w:r>
      <w:r>
        <w:t xml:space="preserve"> UK Government 2011, </w:t>
      </w:r>
      <w:hyperlink r:id="rId138" w:history="1">
        <w:r w:rsidRPr="0095233E">
          <w:rPr>
            <w:rStyle w:val="Hyperlink"/>
          </w:rPr>
          <w:t>Open Public Services White Paper</w:t>
        </w:r>
      </w:hyperlink>
      <w:r w:rsidRPr="00C409D7">
        <w:rPr>
          <w:rStyle w:val="Hyperlink"/>
          <w:color w:val="auto"/>
        </w:rPr>
        <w:t>, p</w:t>
      </w:r>
      <w:r>
        <w:rPr>
          <w:rStyle w:val="Hyperlink"/>
          <w:color w:val="auto"/>
        </w:rPr>
        <w:t>age</w:t>
      </w:r>
      <w:r w:rsidRPr="00C409D7">
        <w:rPr>
          <w:rStyle w:val="Hyperlink"/>
          <w:color w:val="auto"/>
        </w:rPr>
        <w:t xml:space="preserve"> 9</w:t>
      </w:r>
      <w:r>
        <w:rPr>
          <w:rStyle w:val="Hyperlink"/>
          <w:color w:val="auto"/>
        </w:rPr>
        <w:t>.</w:t>
      </w:r>
    </w:p>
  </w:footnote>
  <w:footnote w:id="190">
    <w:p w14:paraId="592885F1" w14:textId="143ADA12" w:rsidR="00977786" w:rsidRDefault="00977786" w:rsidP="000225AB">
      <w:pPr>
        <w:pStyle w:val="FootnoteText"/>
      </w:pPr>
      <w:r w:rsidRPr="00977786">
        <w:rPr>
          <w:rStyle w:val="FootnoteReference"/>
          <w:vertAlign w:val="baseline"/>
        </w:rPr>
        <w:footnoteRef/>
      </w:r>
      <w:r>
        <w:t xml:space="preserve"> Productivity Commission 2014, </w:t>
      </w:r>
      <w:hyperlink r:id="rId139" w:history="1">
        <w:r w:rsidRPr="00C626B4">
          <w:rPr>
            <w:rStyle w:val="Hyperlink"/>
            <w:i/>
          </w:rPr>
          <w:t>Report on Government Services</w:t>
        </w:r>
      </w:hyperlink>
      <w:r>
        <w:rPr>
          <w:rStyle w:val="Hyperlink"/>
        </w:rPr>
        <w:t xml:space="preserve"> Vol. E</w:t>
      </w:r>
      <w:r>
        <w:t>, page</w:t>
      </w:r>
      <w:r w:rsidRPr="00720ECA">
        <w:t xml:space="preserve"> </w:t>
      </w:r>
      <w:r>
        <w:t>3-4</w:t>
      </w:r>
      <w:r w:rsidRPr="00720ECA">
        <w:t xml:space="preserve"> of T</w:t>
      </w:r>
      <w:r>
        <w:t>able</w:t>
      </w:r>
      <w:r w:rsidRPr="00720ECA">
        <w:t xml:space="preserve"> 10A.10</w:t>
      </w:r>
      <w:r>
        <w:t>. Data is for 2011</w:t>
      </w:r>
      <w:r>
        <w:noBreakHyphen/>
        <w:t>12.</w:t>
      </w:r>
    </w:p>
  </w:footnote>
  <w:footnote w:id="191">
    <w:p w14:paraId="02A7562E" w14:textId="5D662729" w:rsidR="00977786" w:rsidRDefault="00977786" w:rsidP="000225AB">
      <w:pPr>
        <w:pStyle w:val="FootnoteText"/>
      </w:pPr>
      <w:r w:rsidRPr="00977786">
        <w:rPr>
          <w:rStyle w:val="FootnoteReference"/>
          <w:vertAlign w:val="baseline"/>
        </w:rPr>
        <w:footnoteRef/>
      </w:r>
      <w:r>
        <w:t xml:space="preserve"> </w:t>
      </w:r>
      <w:r>
        <w:rPr>
          <w:szCs w:val="18"/>
        </w:rPr>
        <w:t xml:space="preserve">Productivity Commission 2009, </w:t>
      </w:r>
      <w:hyperlink r:id="rId140" w:history="1">
        <w:r w:rsidRPr="00C626B4">
          <w:rPr>
            <w:rStyle w:val="Hyperlink"/>
            <w:i/>
          </w:rPr>
          <w:t>Public and Private Hospitals</w:t>
        </w:r>
      </w:hyperlink>
      <w:r>
        <w:rPr>
          <w:szCs w:val="18"/>
        </w:rPr>
        <w:t>, page 46. Data is for 2006</w:t>
      </w:r>
      <w:r>
        <w:rPr>
          <w:szCs w:val="18"/>
        </w:rPr>
        <w:noBreakHyphen/>
        <w:t>07.</w:t>
      </w:r>
    </w:p>
  </w:footnote>
  <w:footnote w:id="192">
    <w:p w14:paraId="68A1DE34" w14:textId="73591746" w:rsidR="00977786" w:rsidRDefault="00977786" w:rsidP="00C626B4">
      <w:pPr>
        <w:pStyle w:val="FootnoteText"/>
      </w:pPr>
      <w:r w:rsidRPr="00977786">
        <w:rPr>
          <w:rStyle w:val="FootnoteReference"/>
          <w:vertAlign w:val="baseline"/>
        </w:rPr>
        <w:footnoteRef/>
      </w:r>
      <w:r w:rsidRPr="00384CD0">
        <w:t xml:space="preserve"> </w:t>
      </w:r>
      <w:r w:rsidRPr="00693504">
        <w:t xml:space="preserve">Productivity Commission 2014, </w:t>
      </w:r>
      <w:hyperlink r:id="rId141" w:history="1">
        <w:r w:rsidRPr="00C626B4">
          <w:rPr>
            <w:rStyle w:val="Hyperlink"/>
            <w:i/>
          </w:rPr>
          <w:t>Draft Report on Childcare and Early Childhood Learning</w:t>
        </w:r>
      </w:hyperlink>
      <w:r w:rsidRPr="00693504">
        <w:t>, p</w:t>
      </w:r>
      <w:r>
        <w:t>age</w:t>
      </w:r>
      <w:r w:rsidRPr="00693504">
        <w:t xml:space="preserve"> 441.</w:t>
      </w:r>
      <w:r>
        <w:t xml:space="preserve"> Data is for 2012.</w:t>
      </w:r>
    </w:p>
  </w:footnote>
  <w:footnote w:id="193">
    <w:p w14:paraId="24D65347" w14:textId="2AA5E88C" w:rsidR="00977786" w:rsidRDefault="00977786" w:rsidP="000225AB">
      <w:pPr>
        <w:pStyle w:val="FootnoteText"/>
      </w:pPr>
      <w:r w:rsidRPr="00977786">
        <w:rPr>
          <w:rStyle w:val="FootnoteReference"/>
          <w:vertAlign w:val="baseline"/>
        </w:rPr>
        <w:footnoteRef/>
      </w:r>
      <w:r>
        <w:t xml:space="preserve"> Productivity Commission 2014, </w:t>
      </w:r>
      <w:hyperlink r:id="rId142" w:history="1">
        <w:r w:rsidRPr="00C626B4">
          <w:rPr>
            <w:rStyle w:val="Hyperlink"/>
            <w:i/>
          </w:rPr>
          <w:t>Report on Government Services</w:t>
        </w:r>
      </w:hyperlink>
      <w:r>
        <w:rPr>
          <w:rStyle w:val="Hyperlink"/>
        </w:rPr>
        <w:t xml:space="preserve"> Vol. F</w:t>
      </w:r>
      <w:r>
        <w:t>, page 13.5. Data is for June 2013.</w:t>
      </w:r>
    </w:p>
  </w:footnote>
  <w:footnote w:id="194">
    <w:p w14:paraId="4D4581DD" w14:textId="0EFFFC22" w:rsidR="00977786" w:rsidRDefault="00977786" w:rsidP="000225AB">
      <w:pPr>
        <w:pStyle w:val="FootnoteText"/>
      </w:pPr>
      <w:r w:rsidRPr="00977786">
        <w:rPr>
          <w:rStyle w:val="FootnoteReference"/>
          <w:vertAlign w:val="baseline"/>
        </w:rPr>
        <w:footnoteRef/>
      </w:r>
      <w:r>
        <w:t xml:space="preserve"> Productivity Commission 2014, </w:t>
      </w:r>
      <w:hyperlink r:id="rId143" w:history="1">
        <w:r w:rsidRPr="00C626B4">
          <w:rPr>
            <w:rStyle w:val="Hyperlink"/>
            <w:i/>
          </w:rPr>
          <w:t>Report on Government Services</w:t>
        </w:r>
      </w:hyperlink>
      <w:r>
        <w:rPr>
          <w:rStyle w:val="Hyperlink"/>
        </w:rPr>
        <w:t xml:space="preserve"> Vol. C</w:t>
      </w:r>
      <w:r>
        <w:t>, page 8.6. Data is for 2012</w:t>
      </w:r>
      <w:r>
        <w:noBreakHyphen/>
        <w:t>13.</w:t>
      </w:r>
    </w:p>
  </w:footnote>
  <w:footnote w:id="195">
    <w:p w14:paraId="7E93E887" w14:textId="5F825A00" w:rsidR="00977786" w:rsidRDefault="00977786" w:rsidP="000225AB">
      <w:pPr>
        <w:pStyle w:val="FootnoteText"/>
      </w:pPr>
      <w:r w:rsidRPr="00977786">
        <w:rPr>
          <w:rStyle w:val="FootnoteReference"/>
          <w:vertAlign w:val="baseline"/>
        </w:rPr>
        <w:footnoteRef/>
      </w:r>
      <w:r>
        <w:t xml:space="preserve"> For example, see </w:t>
      </w:r>
      <w:hyperlink r:id="rId144" w:history="1">
        <w:r w:rsidRPr="00C409D7">
          <w:rPr>
            <w:rStyle w:val="Hyperlink"/>
          </w:rPr>
          <w:t>Roy Morgan Image of Professions Survey 2014</w:t>
        </w:r>
      </w:hyperlink>
      <w:r>
        <w:t xml:space="preserve"> — </w:t>
      </w:r>
      <w:r w:rsidRPr="009025C5">
        <w:t xml:space="preserve">Doctors were rated as </w:t>
      </w:r>
      <w:r>
        <w:t>‘</w:t>
      </w:r>
      <w:r w:rsidRPr="009025C5">
        <w:t>ethical and honest</w:t>
      </w:r>
      <w:r>
        <w:t>’</w:t>
      </w:r>
      <w:r w:rsidRPr="009025C5">
        <w:t xml:space="preserve"> by 86</w:t>
      </w:r>
      <w:r>
        <w:t> </w:t>
      </w:r>
      <w:r w:rsidRPr="009025C5">
        <w:t>per</w:t>
      </w:r>
      <w:r>
        <w:t> </w:t>
      </w:r>
      <w:r w:rsidRPr="009025C5">
        <w:t>cent of survey participants, coming second only to nurses.</w:t>
      </w:r>
      <w:r>
        <w:rPr>
          <w:rFonts w:ascii="Arial" w:hAnsi="Arial" w:cs="Arial"/>
          <w:color w:val="575757"/>
          <w:lang w:val="en"/>
        </w:rPr>
        <w:t xml:space="preserve"> </w:t>
      </w:r>
    </w:p>
  </w:footnote>
  <w:footnote w:id="196">
    <w:p w14:paraId="0B4C7CCE" w14:textId="3071652E" w:rsidR="00977786" w:rsidRPr="00717559" w:rsidRDefault="00977786" w:rsidP="000225AB">
      <w:pPr>
        <w:pStyle w:val="FootnoteText"/>
      </w:pPr>
      <w:r w:rsidRPr="00977786">
        <w:rPr>
          <w:rStyle w:val="FootnoteReference"/>
          <w:vertAlign w:val="baseline"/>
        </w:rPr>
        <w:footnoteRef/>
      </w:r>
      <w:r>
        <w:t xml:space="preserve"> See, for example, </w:t>
      </w:r>
      <w:r w:rsidRPr="00717559">
        <w:t>The Business Council of Co</w:t>
      </w:r>
      <w:r>
        <w:noBreakHyphen/>
      </w:r>
      <w:r w:rsidRPr="00717559">
        <w:t>operatives and Mutuals and the Australian Public Service Mutual Task Force Green</w:t>
      </w:r>
      <w:r>
        <w:t xml:space="preserve"> Paper,</w:t>
      </w:r>
      <w:r w:rsidRPr="00717559">
        <w:t xml:space="preserve"> </w:t>
      </w:r>
      <w:hyperlink r:id="rId145" w:history="1">
        <w:r w:rsidRPr="00240ACC">
          <w:rPr>
            <w:rStyle w:val="Hyperlink"/>
          </w:rPr>
          <w:t>Public Service Mutuals: The case for a Third</w:t>
        </w:r>
        <w:r>
          <w:rPr>
            <w:rStyle w:val="Hyperlink"/>
          </w:rPr>
          <w:noBreakHyphen/>
        </w:r>
        <w:r w:rsidRPr="00240ACC">
          <w:rPr>
            <w:rStyle w:val="Hyperlink"/>
          </w:rPr>
          <w:t>way for delivering public services in Australia,</w:t>
        </w:r>
      </w:hyperlink>
      <w:r>
        <w:t xml:space="preserve"> page 20.</w:t>
      </w:r>
    </w:p>
  </w:footnote>
  <w:footnote w:id="197">
    <w:p w14:paraId="105CA4C2" w14:textId="22B7C05D" w:rsidR="00977786" w:rsidRPr="00693504" w:rsidRDefault="00977786" w:rsidP="000225AB">
      <w:pPr>
        <w:pStyle w:val="FootnoteText"/>
      </w:pPr>
      <w:r w:rsidRPr="00977786">
        <w:rPr>
          <w:rStyle w:val="FootnoteReference"/>
          <w:vertAlign w:val="baseline"/>
        </w:rPr>
        <w:footnoteRef/>
      </w:r>
      <w:r>
        <w:t xml:space="preserve"> Productivity Commission 2010, </w:t>
      </w:r>
      <w:hyperlink r:id="rId146" w:history="1">
        <w:r w:rsidRPr="00240ACC">
          <w:rPr>
            <w:rStyle w:val="Hyperlink"/>
          </w:rPr>
          <w:t>Contribution of the Not</w:t>
        </w:r>
        <w:r>
          <w:rPr>
            <w:rStyle w:val="Hyperlink"/>
          </w:rPr>
          <w:noBreakHyphen/>
        </w:r>
        <w:r w:rsidRPr="00240ACC">
          <w:rPr>
            <w:rStyle w:val="Hyperlink"/>
          </w:rPr>
          <w:t>for</w:t>
        </w:r>
        <w:r>
          <w:rPr>
            <w:rStyle w:val="Hyperlink"/>
          </w:rPr>
          <w:noBreakHyphen/>
        </w:r>
        <w:r w:rsidRPr="00240ACC">
          <w:rPr>
            <w:rStyle w:val="Hyperlink"/>
          </w:rPr>
          <w:t>Profit Sector,</w:t>
        </w:r>
      </w:hyperlink>
      <w:r>
        <w:t xml:space="preserve"> page 2.</w:t>
      </w:r>
    </w:p>
  </w:footnote>
  <w:footnote w:id="198">
    <w:p w14:paraId="4D29699D" w14:textId="593716D2" w:rsidR="00977786" w:rsidRDefault="00977786" w:rsidP="000225AB">
      <w:pPr>
        <w:pStyle w:val="FootnoteText"/>
      </w:pPr>
      <w:r w:rsidRPr="00977786">
        <w:rPr>
          <w:rStyle w:val="FootnoteReference"/>
          <w:vertAlign w:val="baseline"/>
        </w:rPr>
        <w:footnoteRef/>
      </w:r>
      <w:r>
        <w:t xml:space="preserve"> Ibid, page 53.</w:t>
      </w:r>
    </w:p>
  </w:footnote>
  <w:footnote w:id="199">
    <w:p w14:paraId="48C57C48" w14:textId="75E263A7" w:rsidR="00977786" w:rsidRDefault="00977786" w:rsidP="000225AB">
      <w:pPr>
        <w:pStyle w:val="FootnoteText"/>
      </w:pPr>
      <w:r w:rsidRPr="00977786">
        <w:footnoteRef/>
      </w:r>
      <w:r w:rsidRPr="00693504">
        <w:rPr>
          <w:vertAlign w:val="superscript"/>
        </w:rPr>
        <w:t xml:space="preserve"> </w:t>
      </w:r>
      <w:r w:rsidRPr="00717559">
        <w:t>The Business Council of Co</w:t>
      </w:r>
      <w:r>
        <w:noBreakHyphen/>
      </w:r>
      <w:r w:rsidRPr="00717559">
        <w:t xml:space="preserve">operatives and Mutuals </w:t>
      </w:r>
      <w:r>
        <w:t>2014,</w:t>
      </w:r>
      <w:r w:rsidRPr="00717559">
        <w:t xml:space="preserve"> </w:t>
      </w:r>
      <w:hyperlink r:id="rId147" w:history="1">
        <w:r w:rsidRPr="00240ACC">
          <w:rPr>
            <w:rStyle w:val="Hyperlink"/>
          </w:rPr>
          <w:t xml:space="preserve">Public Service Mutuals: </w:t>
        </w:r>
        <w:r>
          <w:rPr>
            <w:rStyle w:val="Hyperlink"/>
          </w:rPr>
          <w:t>A</w:t>
        </w:r>
        <w:r w:rsidRPr="00240ACC">
          <w:rPr>
            <w:rStyle w:val="Hyperlink"/>
          </w:rPr>
          <w:t xml:space="preserve"> Third</w:t>
        </w:r>
        <w:r>
          <w:rPr>
            <w:rStyle w:val="Hyperlink"/>
          </w:rPr>
          <w:noBreakHyphen/>
        </w:r>
        <w:r w:rsidRPr="00240ACC">
          <w:rPr>
            <w:rStyle w:val="Hyperlink"/>
          </w:rPr>
          <w:t>way for delivering public services in Australia</w:t>
        </w:r>
        <w:r>
          <w:rPr>
            <w:rStyle w:val="Hyperlink"/>
          </w:rPr>
          <w:t xml:space="preserve"> White Paper</w:t>
        </w:r>
        <w:r w:rsidRPr="00240ACC">
          <w:rPr>
            <w:rStyle w:val="Hyperlink"/>
          </w:rPr>
          <w:t>,</w:t>
        </w:r>
      </w:hyperlink>
      <w:r>
        <w:t xml:space="preserve"> page 9.</w:t>
      </w:r>
    </w:p>
  </w:footnote>
  <w:footnote w:id="200">
    <w:p w14:paraId="5B3DC499" w14:textId="0E8DAF2A" w:rsidR="00977786" w:rsidRDefault="00977786" w:rsidP="000225AB">
      <w:pPr>
        <w:pStyle w:val="FootnoteText"/>
      </w:pPr>
      <w:r w:rsidRPr="00977786">
        <w:footnoteRef/>
      </w:r>
      <w:r w:rsidRPr="00693504">
        <w:rPr>
          <w:vertAlign w:val="superscript"/>
        </w:rPr>
        <w:t xml:space="preserve"> </w:t>
      </w:r>
      <w:r>
        <w:t>Ibid, page 13.</w:t>
      </w:r>
    </w:p>
  </w:footnote>
  <w:footnote w:id="201">
    <w:p w14:paraId="4417BF05" w14:textId="68E68F41" w:rsidR="00977786" w:rsidRDefault="00977786" w:rsidP="000225AB">
      <w:pPr>
        <w:pStyle w:val="FootnoteText"/>
      </w:pPr>
      <w:r w:rsidRPr="00977786">
        <w:rPr>
          <w:rStyle w:val="FootnoteReference"/>
          <w:vertAlign w:val="baseline"/>
        </w:rPr>
        <w:footnoteRef/>
      </w:r>
      <w:r>
        <w:t xml:space="preserve"> Productivity Commission 2010, </w:t>
      </w:r>
      <w:hyperlink r:id="rId148" w:history="1">
        <w:r w:rsidRPr="00240ACC">
          <w:rPr>
            <w:rStyle w:val="Hyperlink"/>
          </w:rPr>
          <w:t>Contribution of the Not</w:t>
        </w:r>
        <w:r>
          <w:rPr>
            <w:rStyle w:val="Hyperlink"/>
          </w:rPr>
          <w:noBreakHyphen/>
        </w:r>
        <w:r w:rsidRPr="00240ACC">
          <w:rPr>
            <w:rStyle w:val="Hyperlink"/>
          </w:rPr>
          <w:t>for</w:t>
        </w:r>
        <w:r>
          <w:rPr>
            <w:rStyle w:val="Hyperlink"/>
          </w:rPr>
          <w:noBreakHyphen/>
        </w:r>
        <w:r w:rsidRPr="00240ACC">
          <w:rPr>
            <w:rStyle w:val="Hyperlink"/>
          </w:rPr>
          <w:t>Profit Sector,</w:t>
        </w:r>
      </w:hyperlink>
      <w:r>
        <w:t xml:space="preserve"> page 297.</w:t>
      </w:r>
    </w:p>
  </w:footnote>
  <w:footnote w:id="202">
    <w:p w14:paraId="6D99E822" w14:textId="07F5D5A9" w:rsidR="00977786" w:rsidRDefault="00977786" w:rsidP="007824EE">
      <w:pPr>
        <w:pStyle w:val="FootnoteText"/>
      </w:pPr>
      <w:r w:rsidRPr="00977786">
        <w:rPr>
          <w:rStyle w:val="FootnoteReference"/>
          <w:vertAlign w:val="baseline"/>
        </w:rPr>
        <w:footnoteRef/>
      </w:r>
      <w:r w:rsidRPr="007578CE">
        <w:rPr>
          <w:vertAlign w:val="superscript"/>
        </w:rPr>
        <w:t xml:space="preserve"> </w:t>
      </w:r>
      <w:r>
        <w:t xml:space="preserve">Department of Employment and Workplace Relations, </w:t>
      </w:r>
      <w:hyperlink r:id="rId149" w:history="1">
        <w:r w:rsidRPr="00353F91">
          <w:rPr>
            <w:rStyle w:val="Hyperlink"/>
          </w:rPr>
          <w:t>Submission to the Independent Review of Job Network</w:t>
        </w:r>
      </w:hyperlink>
      <w:r>
        <w:t>, page 14.</w:t>
      </w:r>
    </w:p>
  </w:footnote>
  <w:footnote w:id="203">
    <w:p w14:paraId="1EEE3142" w14:textId="42EC6C52" w:rsidR="00977786" w:rsidRDefault="00977786">
      <w:pPr>
        <w:pStyle w:val="FootnoteText"/>
      </w:pPr>
      <w:r w:rsidRPr="00977786">
        <w:rPr>
          <w:rStyle w:val="FootnoteReference"/>
          <w:vertAlign w:val="baseline"/>
        </w:rPr>
        <w:footnoteRef/>
      </w:r>
      <w:r w:rsidRPr="007578CE">
        <w:rPr>
          <w:vertAlign w:val="superscript"/>
        </w:rPr>
        <w:t xml:space="preserve"> </w:t>
      </w:r>
      <w:r>
        <w:t>C</w:t>
      </w:r>
      <w:r w:rsidRPr="00D53B2C">
        <w:t xml:space="preserve"> </w:t>
      </w:r>
      <w:r>
        <w:t xml:space="preserve">Ham, C 1996, </w:t>
      </w:r>
      <w:hyperlink r:id="rId150" w:history="1">
        <w:proofErr w:type="gramStart"/>
        <w:r w:rsidRPr="003762D3">
          <w:rPr>
            <w:rStyle w:val="Hyperlink"/>
            <w:i/>
          </w:rPr>
          <w:t>Contestability</w:t>
        </w:r>
        <w:proofErr w:type="gramEnd"/>
        <w:r w:rsidRPr="003762D3">
          <w:rPr>
            <w:rStyle w:val="Hyperlink"/>
            <w:i/>
          </w:rPr>
          <w:t>: A Middle Path for Health Care</w:t>
        </w:r>
      </w:hyperlink>
      <w:r>
        <w:t>, British Medical Journal, Vol 312, pages 70</w:t>
      </w:r>
      <w:r>
        <w:noBreakHyphen/>
        <w:t>71.</w:t>
      </w:r>
    </w:p>
  </w:footnote>
  <w:footnote w:id="204">
    <w:p w14:paraId="28460066" w14:textId="00EB3E64" w:rsidR="00977786" w:rsidRDefault="00977786" w:rsidP="001559D4">
      <w:pPr>
        <w:pStyle w:val="FootnoteText"/>
      </w:pPr>
      <w:r w:rsidRPr="00977786">
        <w:rPr>
          <w:rStyle w:val="FootnoteReference"/>
          <w:vertAlign w:val="baseline"/>
        </w:rPr>
        <w:footnoteRef/>
      </w:r>
      <w:r w:rsidRPr="007578CE">
        <w:rPr>
          <w:vertAlign w:val="superscript"/>
        </w:rPr>
        <w:t xml:space="preserve"> </w:t>
      </w:r>
      <w:r>
        <w:rPr>
          <w:lang w:val="en"/>
        </w:rPr>
        <w:t xml:space="preserve">WA Economic Regulation Authority 2014, </w:t>
      </w:r>
      <w:hyperlink r:id="rId151" w:history="1">
        <w:r w:rsidRPr="008B1547">
          <w:rPr>
            <w:rStyle w:val="Hyperlink"/>
            <w:i/>
            <w:lang w:val="en"/>
          </w:rPr>
          <w:t>Inquiry into Microeconomic Reform in Western Australia Final Report</w:t>
        </w:r>
        <w:r w:rsidRPr="008B1547">
          <w:rPr>
            <w:rStyle w:val="Hyperlink"/>
            <w:lang w:val="en"/>
          </w:rPr>
          <w:t>,</w:t>
        </w:r>
      </w:hyperlink>
      <w:r w:rsidRPr="00693504">
        <w:rPr>
          <w:lang w:val="en"/>
        </w:rPr>
        <w:t xml:space="preserve"> </w:t>
      </w:r>
      <w:r>
        <w:rPr>
          <w:lang w:val="en"/>
        </w:rPr>
        <w:t>page </w:t>
      </w:r>
      <w:r w:rsidRPr="00693504">
        <w:rPr>
          <w:lang w:val="en"/>
        </w:rPr>
        <w:t>1</w:t>
      </w:r>
      <w:r>
        <w:rPr>
          <w:lang w:val="en"/>
        </w:rPr>
        <w:t>28.</w:t>
      </w:r>
    </w:p>
  </w:footnote>
  <w:footnote w:id="205">
    <w:p w14:paraId="208A1D0D" w14:textId="663F474E" w:rsidR="00977786" w:rsidRPr="003762D3" w:rsidRDefault="00977786" w:rsidP="001559D4">
      <w:pPr>
        <w:pStyle w:val="FootnoteText"/>
      </w:pPr>
      <w:r w:rsidRPr="00977786">
        <w:rPr>
          <w:rStyle w:val="FootnoteReference"/>
          <w:vertAlign w:val="baseline"/>
        </w:rPr>
        <w:footnoteRef/>
      </w:r>
      <w:r>
        <w:t xml:space="preserve"> </w:t>
      </w:r>
      <w:r w:rsidRPr="00693504">
        <w:t>International Finance Corporation,</w:t>
      </w:r>
      <w:r>
        <w:rPr>
          <w:i/>
        </w:rPr>
        <w:t xml:space="preserve"> </w:t>
      </w:r>
      <w:r w:rsidRPr="008A0EB3">
        <w:t xml:space="preserve">PPPs in </w:t>
      </w:r>
      <w:r w:rsidRPr="008A0EB3">
        <w:rPr>
          <w:lang w:val="en"/>
        </w:rPr>
        <w:t>Health Care: An International Perspective</w:t>
      </w:r>
      <w:r>
        <w:rPr>
          <w:lang w:val="en"/>
        </w:rPr>
        <w:t>, page 4.</w:t>
      </w:r>
    </w:p>
  </w:footnote>
  <w:footnote w:id="206">
    <w:p w14:paraId="6D895273" w14:textId="3F3EFAEB" w:rsidR="00977786" w:rsidRDefault="00977786" w:rsidP="001559D4">
      <w:pPr>
        <w:pStyle w:val="FootnoteText"/>
      </w:pPr>
      <w:r w:rsidRPr="00977786">
        <w:rPr>
          <w:rStyle w:val="FootnoteReference"/>
          <w:vertAlign w:val="baseline"/>
        </w:rPr>
        <w:footnoteRef/>
      </w:r>
      <w:r w:rsidRPr="007578CE">
        <w:rPr>
          <w:vertAlign w:val="superscript"/>
        </w:rPr>
        <w:t xml:space="preserve"> </w:t>
      </w:r>
      <w:r>
        <w:rPr>
          <w:lang w:val="en"/>
        </w:rPr>
        <w:t>Ibid, page 14.</w:t>
      </w:r>
    </w:p>
  </w:footnote>
  <w:footnote w:id="207">
    <w:p w14:paraId="482CFC5A" w14:textId="295B98AC" w:rsidR="00977786" w:rsidRPr="007578CE" w:rsidRDefault="00977786" w:rsidP="001559D4">
      <w:pPr>
        <w:pStyle w:val="FootnoteText"/>
        <w:rPr>
          <w:vertAlign w:val="superscript"/>
        </w:rPr>
      </w:pPr>
      <w:r w:rsidRPr="00977786">
        <w:rPr>
          <w:rStyle w:val="FootnoteReference"/>
          <w:vertAlign w:val="baseline"/>
        </w:rPr>
        <w:footnoteRef/>
      </w:r>
      <w:r>
        <w:t xml:space="preserve"> </w:t>
      </w:r>
      <w:r>
        <w:rPr>
          <w:lang w:val="en"/>
        </w:rPr>
        <w:t>Ibid, page 14, page 13.</w:t>
      </w:r>
    </w:p>
  </w:footnote>
  <w:footnote w:id="208">
    <w:p w14:paraId="00D9E071" w14:textId="0270EBE6" w:rsidR="00977786" w:rsidRPr="0017537A" w:rsidRDefault="00977786" w:rsidP="00582FDE">
      <w:pPr>
        <w:pStyle w:val="FootnoteText"/>
      </w:pPr>
      <w:r w:rsidRPr="00977786">
        <w:rPr>
          <w:rStyle w:val="FootnoteReference"/>
          <w:vertAlign w:val="baseline"/>
        </w:rPr>
        <w:footnoteRef/>
      </w:r>
      <w:r>
        <w:t xml:space="preserve"> </w:t>
      </w:r>
      <w:r w:rsidRPr="003274B4">
        <w:t xml:space="preserve">The </w:t>
      </w:r>
      <w:r>
        <w:t>Productivity Commission</w:t>
      </w:r>
      <w:r w:rsidRPr="003274B4">
        <w:t xml:space="preserve"> cites examples of PPPs that have successful including Melbourne</w:t>
      </w:r>
      <w:r>
        <w:t>’</w:t>
      </w:r>
      <w:r w:rsidRPr="003274B4">
        <w:t>s CityLink and Sydney</w:t>
      </w:r>
      <w:r>
        <w:t>’</w:t>
      </w:r>
      <w:r w:rsidRPr="003274B4">
        <w:t xml:space="preserve">s Eastern Distributor, as well as examples of PPPs that have not performed well including the Latrobe Regional Hospital and the Sydney Airport Rail Link. </w:t>
      </w:r>
      <w:r>
        <w:t xml:space="preserve">See </w:t>
      </w:r>
      <w:r w:rsidRPr="003274B4">
        <w:t xml:space="preserve">Productivity Commission 2014, </w:t>
      </w:r>
      <w:hyperlink r:id="rId152" w:history="1">
        <w:r w:rsidRPr="00582FDE">
          <w:rPr>
            <w:rStyle w:val="Hyperlink"/>
            <w:i/>
            <w:lang w:val="en"/>
          </w:rPr>
          <w:t>Public Infrastructure</w:t>
        </w:r>
      </w:hyperlink>
      <w:r w:rsidRPr="003274B4">
        <w:rPr>
          <w:lang w:val="en"/>
        </w:rPr>
        <w:t>, page 7</w:t>
      </w:r>
      <w:r>
        <w:rPr>
          <w:lang w:val="en"/>
        </w:rPr>
        <w:t>.</w:t>
      </w:r>
    </w:p>
  </w:footnote>
  <w:footnote w:id="209">
    <w:p w14:paraId="4183F710" w14:textId="5CFDC66C" w:rsidR="00977786" w:rsidRDefault="00977786" w:rsidP="001559D4">
      <w:pPr>
        <w:pStyle w:val="FootnoteText"/>
      </w:pPr>
      <w:r w:rsidRPr="00977786">
        <w:rPr>
          <w:rStyle w:val="FootnoteReference"/>
          <w:vertAlign w:val="baseline"/>
        </w:rPr>
        <w:footnoteRef/>
      </w:r>
      <w:r w:rsidRPr="007578CE">
        <w:rPr>
          <w:vertAlign w:val="superscript"/>
        </w:rPr>
        <w:t xml:space="preserve"> </w:t>
      </w:r>
      <w:r w:rsidRPr="00693504">
        <w:rPr>
          <w:szCs w:val="18"/>
        </w:rPr>
        <w:t>Productivity Commission</w:t>
      </w:r>
      <w:r>
        <w:rPr>
          <w:szCs w:val="18"/>
        </w:rPr>
        <w:t xml:space="preserve"> 2014</w:t>
      </w:r>
      <w:r w:rsidRPr="00693504">
        <w:rPr>
          <w:szCs w:val="18"/>
        </w:rPr>
        <w:t xml:space="preserve">, </w:t>
      </w:r>
      <w:hyperlink r:id="rId153" w:history="1">
        <w:r w:rsidRPr="00582FDE">
          <w:rPr>
            <w:rStyle w:val="Hyperlink"/>
            <w:i/>
            <w:lang w:val="en"/>
          </w:rPr>
          <w:t>Public Infrastructure</w:t>
        </w:r>
      </w:hyperlink>
      <w:r w:rsidRPr="00693504">
        <w:rPr>
          <w:szCs w:val="18"/>
          <w:lang w:val="en"/>
        </w:rPr>
        <w:t xml:space="preserve">, </w:t>
      </w:r>
      <w:r>
        <w:rPr>
          <w:szCs w:val="18"/>
          <w:lang w:val="en"/>
        </w:rPr>
        <w:t>page 115.</w:t>
      </w:r>
    </w:p>
  </w:footnote>
  <w:footnote w:id="210">
    <w:p w14:paraId="7EA9FA80" w14:textId="0676D457" w:rsidR="00977786" w:rsidRDefault="00977786" w:rsidP="001559D4">
      <w:pPr>
        <w:pStyle w:val="FootnoteText"/>
      </w:pPr>
      <w:r w:rsidRPr="00977786">
        <w:rPr>
          <w:rStyle w:val="FootnoteReference"/>
          <w:vertAlign w:val="baseline"/>
        </w:rPr>
        <w:footnoteRef/>
      </w:r>
      <w:r w:rsidRPr="007578CE">
        <w:rPr>
          <w:vertAlign w:val="superscript"/>
        </w:rPr>
        <w:t xml:space="preserve"> </w:t>
      </w:r>
      <w:r>
        <w:t xml:space="preserve">See: </w:t>
      </w:r>
      <w:hyperlink r:id="rId154" w:history="1">
        <w:r w:rsidRPr="000C7677">
          <w:rPr>
            <w:rStyle w:val="Hyperlink"/>
          </w:rPr>
          <w:t>www.joondaluphealthcampus.com.au/News/wa</w:t>
        </w:r>
        <w:r>
          <w:rPr>
            <w:rStyle w:val="Hyperlink"/>
          </w:rPr>
          <w:noBreakHyphen/>
        </w:r>
        <w:r w:rsidRPr="000C7677">
          <w:rPr>
            <w:rStyle w:val="Hyperlink"/>
          </w:rPr>
          <w:t>health</w:t>
        </w:r>
        <w:r>
          <w:rPr>
            <w:rStyle w:val="Hyperlink"/>
          </w:rPr>
          <w:noBreakHyphen/>
        </w:r>
        <w:r w:rsidRPr="000C7677">
          <w:rPr>
            <w:rStyle w:val="Hyperlink"/>
          </w:rPr>
          <w:t>minister</w:t>
        </w:r>
        <w:r>
          <w:rPr>
            <w:rStyle w:val="Hyperlink"/>
          </w:rPr>
          <w:noBreakHyphen/>
        </w:r>
        <w:r w:rsidRPr="000C7677">
          <w:rPr>
            <w:rStyle w:val="Hyperlink"/>
          </w:rPr>
          <w:t>unveils</w:t>
        </w:r>
        <w:r>
          <w:rPr>
            <w:rStyle w:val="Hyperlink"/>
          </w:rPr>
          <w:noBreakHyphen/>
        </w:r>
        <w:r w:rsidRPr="000C7677">
          <w:rPr>
            <w:rStyle w:val="Hyperlink"/>
          </w:rPr>
          <w:t>major</w:t>
        </w:r>
        <w:r>
          <w:rPr>
            <w:rStyle w:val="Hyperlink"/>
          </w:rPr>
          <w:noBreakHyphen/>
        </w:r>
        <w:r w:rsidRPr="000C7677">
          <w:rPr>
            <w:rStyle w:val="Hyperlink"/>
          </w:rPr>
          <w:t>expansion.aspx</w:t>
        </w:r>
      </w:hyperlink>
      <w:r>
        <w:rPr>
          <w:rStyle w:val="Hyperlink"/>
        </w:rPr>
        <w:t>.</w:t>
      </w:r>
    </w:p>
  </w:footnote>
  <w:footnote w:id="211">
    <w:p w14:paraId="59FBF610" w14:textId="3E7C86F7" w:rsidR="00977786" w:rsidRPr="00693504" w:rsidRDefault="00977786" w:rsidP="001559D4">
      <w:pPr>
        <w:pStyle w:val="FootnoteText"/>
      </w:pPr>
      <w:r w:rsidRPr="00977786">
        <w:rPr>
          <w:rStyle w:val="FootnoteReference"/>
          <w:vertAlign w:val="baseline"/>
        </w:rPr>
        <w:footnoteRef/>
      </w:r>
      <w:r>
        <w:t xml:space="preserve"> </w:t>
      </w:r>
      <w:r>
        <w:rPr>
          <w:color w:val="auto"/>
        </w:rPr>
        <w:t xml:space="preserve">Infrastructure Partnerships Australia 2013, </w:t>
      </w:r>
      <w:hyperlink r:id="rId155" w:history="1">
        <w:r w:rsidRPr="000C7677">
          <w:rPr>
            <w:rStyle w:val="Hyperlink"/>
          </w:rPr>
          <w:t>Submission on the Future Direction for Public Private Partnerships</w:t>
        </w:r>
      </w:hyperlink>
      <w:r w:rsidRPr="000C7677">
        <w:rPr>
          <w:color w:val="auto"/>
        </w:rPr>
        <w:t>,</w:t>
      </w:r>
      <w:r>
        <w:rPr>
          <w:color w:val="auto"/>
        </w:rPr>
        <w:t xml:space="preserve"> page 16.</w:t>
      </w:r>
    </w:p>
  </w:footnote>
  <w:footnote w:id="212">
    <w:p w14:paraId="321B9D81" w14:textId="5E5AB12C" w:rsidR="00977786" w:rsidRDefault="00977786" w:rsidP="001559D4">
      <w:pPr>
        <w:pStyle w:val="FootnoteText"/>
      </w:pPr>
      <w:r w:rsidRPr="00977786">
        <w:rPr>
          <w:rStyle w:val="FootnoteReference"/>
          <w:vertAlign w:val="baseline"/>
        </w:rPr>
        <w:footnoteRef/>
      </w:r>
      <w:r>
        <w:t xml:space="preserve"> </w:t>
      </w:r>
      <w:proofErr w:type="gramStart"/>
      <w:r w:rsidRPr="00D21D5D">
        <w:t xml:space="preserve">South </w:t>
      </w:r>
      <w:r>
        <w:t>Australian Department of Health</w:t>
      </w:r>
      <w:hyperlink r:id="rId156" w:history="1">
        <w:r w:rsidRPr="00606C19">
          <w:rPr>
            <w:rStyle w:val="Hyperlink"/>
          </w:rPr>
          <w:t>, Public Private Partnership and the new Royal Adelaide Hospital</w:t>
        </w:r>
      </w:hyperlink>
      <w:r>
        <w:rPr>
          <w:rStyle w:val="Hyperlink"/>
        </w:rPr>
        <w:t>.</w:t>
      </w:r>
      <w:proofErr w:type="gramEnd"/>
    </w:p>
  </w:footnote>
  <w:footnote w:id="213">
    <w:p w14:paraId="44AE0914" w14:textId="44A82226" w:rsidR="00977786" w:rsidRPr="008D24A3" w:rsidRDefault="00977786" w:rsidP="00582FDE">
      <w:pPr>
        <w:pStyle w:val="FootnoteText"/>
      </w:pPr>
      <w:r w:rsidRPr="00977786">
        <w:rPr>
          <w:rStyle w:val="FootnoteReference"/>
          <w:vertAlign w:val="baseline"/>
        </w:rPr>
        <w:footnoteRef/>
      </w:r>
      <w:r w:rsidRPr="008D24A3">
        <w:t xml:space="preserve"> Government of Western Australia, </w:t>
      </w:r>
      <w:hyperlink r:id="rId157" w:history="1">
        <w:r w:rsidRPr="008D24A3">
          <w:rPr>
            <w:rStyle w:val="Hyperlink"/>
          </w:rPr>
          <w:t>Western Australia and the Nation</w:t>
        </w:r>
        <w:r w:rsidRPr="009A1772">
          <w:rPr>
            <w:rStyle w:val="Hyperlink"/>
          </w:rPr>
          <w:t xml:space="preserve">al Disability Insurance Scheme: </w:t>
        </w:r>
        <w:r w:rsidRPr="008D24A3">
          <w:rPr>
            <w:rStyle w:val="Hyperlink"/>
          </w:rPr>
          <w:t>My Way</w:t>
        </w:r>
      </w:hyperlink>
      <w:r>
        <w:t xml:space="preserve">, </w:t>
      </w:r>
      <w:r>
        <w:rPr>
          <w:szCs w:val="18"/>
        </w:rPr>
        <w:t>fact s</w:t>
      </w:r>
      <w:r w:rsidRPr="00A32363">
        <w:rPr>
          <w:szCs w:val="18"/>
        </w:rPr>
        <w:t>heet</w:t>
      </w:r>
      <w:r>
        <w:t>.</w:t>
      </w:r>
    </w:p>
  </w:footnote>
  <w:footnote w:id="214">
    <w:p w14:paraId="639F2C57" w14:textId="2CA3D499" w:rsidR="00977786" w:rsidRDefault="00977786" w:rsidP="001559D4">
      <w:pPr>
        <w:pStyle w:val="FootnoteText"/>
      </w:pPr>
      <w:r w:rsidRPr="00977786">
        <w:rPr>
          <w:rStyle w:val="FootnoteReference"/>
          <w:vertAlign w:val="baseline"/>
        </w:rPr>
        <w:footnoteRef/>
      </w:r>
      <w:r>
        <w:t xml:space="preserve"> </w:t>
      </w:r>
      <w:proofErr w:type="gramStart"/>
      <w:r>
        <w:t>Ibid.</w:t>
      </w:r>
      <w:proofErr w:type="gramEnd"/>
      <w:r>
        <w:t xml:space="preserve"> </w:t>
      </w:r>
    </w:p>
  </w:footnote>
  <w:footnote w:id="215">
    <w:p w14:paraId="6C74EAE8" w14:textId="603A0DCE" w:rsidR="00977786" w:rsidRDefault="00977786" w:rsidP="001559D4">
      <w:pPr>
        <w:pStyle w:val="FootnoteText"/>
      </w:pPr>
      <w:r w:rsidRPr="00977786">
        <w:rPr>
          <w:rStyle w:val="FootnoteReference"/>
          <w:vertAlign w:val="baseline"/>
        </w:rPr>
        <w:footnoteRef/>
      </w:r>
      <w:r>
        <w:t xml:space="preserve"> Ibid.</w:t>
      </w:r>
    </w:p>
  </w:footnote>
  <w:footnote w:id="216">
    <w:p w14:paraId="5C64B64C" w14:textId="04F5BD41" w:rsidR="00977786" w:rsidRDefault="00977786" w:rsidP="001559D4">
      <w:pPr>
        <w:pStyle w:val="FootnoteText"/>
      </w:pPr>
      <w:r w:rsidRPr="00977786">
        <w:rPr>
          <w:rStyle w:val="FootnoteReference"/>
          <w:vertAlign w:val="baseline"/>
        </w:rPr>
        <w:footnoteRef/>
      </w:r>
      <w:r w:rsidRPr="00D21D5D">
        <w:t xml:space="preserve"> </w:t>
      </w:r>
      <w:proofErr w:type="gramStart"/>
      <w:r w:rsidRPr="00D21D5D">
        <w:t xml:space="preserve">Productivity Commission 2002, </w:t>
      </w:r>
      <w:hyperlink r:id="rId158" w:history="1">
        <w:r w:rsidRPr="00582FDE">
          <w:rPr>
            <w:rStyle w:val="Hyperlink"/>
            <w:i/>
          </w:rPr>
          <w:t>Independent Review of Job Network</w:t>
        </w:r>
      </w:hyperlink>
      <w:r>
        <w:rPr>
          <w:rStyle w:val="Hyperlink"/>
        </w:rPr>
        <w:t xml:space="preserve"> </w:t>
      </w:r>
      <w:r w:rsidRPr="008571C9">
        <w:rPr>
          <w:rStyle w:val="Hyperlink"/>
          <w:color w:val="auto"/>
        </w:rPr>
        <w:t>(various pages).</w:t>
      </w:r>
      <w:proofErr w:type="gramEnd"/>
    </w:p>
  </w:footnote>
  <w:footnote w:id="217">
    <w:p w14:paraId="1EB270BB" w14:textId="625F07E9" w:rsidR="00977786" w:rsidRDefault="00977786" w:rsidP="001559D4">
      <w:pPr>
        <w:pStyle w:val="FootnoteText"/>
      </w:pPr>
      <w:r w:rsidRPr="00977786">
        <w:rPr>
          <w:rStyle w:val="FootnoteReference"/>
          <w:vertAlign w:val="baseline"/>
        </w:rPr>
        <w:footnoteRef/>
      </w:r>
      <w:r>
        <w:t xml:space="preserve"> Shergold, P 2013, </w:t>
      </w:r>
      <w:hyperlink r:id="rId159" w:history="1">
        <w:r w:rsidRPr="00506042">
          <w:rPr>
            <w:rStyle w:val="Hyperlink"/>
          </w:rPr>
          <w:t>Service Sector Reform</w:t>
        </w:r>
        <w:r>
          <w:rPr>
            <w:rStyle w:val="Hyperlink"/>
          </w:rPr>
          <w:t xml:space="preserve"> — </w:t>
        </w:r>
        <w:r w:rsidRPr="00506042">
          <w:rPr>
            <w:rStyle w:val="Hyperlink"/>
          </w:rPr>
          <w:t>Reflections on Consultations</w:t>
        </w:r>
      </w:hyperlink>
      <w:r>
        <w:t>, page 6.</w:t>
      </w:r>
    </w:p>
  </w:footnote>
  <w:footnote w:id="218">
    <w:p w14:paraId="3765AA23" w14:textId="5C6E1852" w:rsidR="00977786" w:rsidRDefault="00977786" w:rsidP="001E4B43">
      <w:pPr>
        <w:pStyle w:val="FootnoteText"/>
      </w:pPr>
      <w:r w:rsidRPr="00977786">
        <w:rPr>
          <w:rStyle w:val="FootnoteReference"/>
          <w:vertAlign w:val="baseline"/>
        </w:rPr>
        <w:footnoteRef/>
      </w:r>
      <w:r>
        <w:t xml:space="preserve"> OECD 2012, </w:t>
      </w:r>
      <w:hyperlink r:id="rId160" w:history="1">
        <w:r w:rsidRPr="00EB2249">
          <w:rPr>
            <w:rStyle w:val="Hyperlink"/>
          </w:rPr>
          <w:t>Competitive Neutrality, Maintaining a level playing field between public and private business</w:t>
        </w:r>
      </w:hyperlink>
      <w:r>
        <w:t>, OECD Publishing, page 15.</w:t>
      </w:r>
    </w:p>
  </w:footnote>
  <w:footnote w:id="219">
    <w:p w14:paraId="523CC0A1" w14:textId="220CECA4" w:rsidR="00977786" w:rsidRDefault="00977786" w:rsidP="001E4B43">
      <w:pPr>
        <w:pStyle w:val="FootnoteText"/>
      </w:pPr>
      <w:r w:rsidRPr="00977786">
        <w:rPr>
          <w:rStyle w:val="FootnoteReference"/>
          <w:vertAlign w:val="baseline"/>
        </w:rPr>
        <w:footnoteRef/>
      </w:r>
      <w:r>
        <w:t xml:space="preserve"> </w:t>
      </w:r>
      <w:proofErr w:type="gramStart"/>
      <w:r>
        <w:t xml:space="preserve">Council of Australian Governments 1995 (as amended to 13 April 2007), </w:t>
      </w:r>
      <w:hyperlink r:id="rId161" w:history="1">
        <w:r w:rsidRPr="00481509">
          <w:rPr>
            <w:rStyle w:val="Hyperlink"/>
          </w:rPr>
          <w:t>Competition Principles Agreement</w:t>
        </w:r>
      </w:hyperlink>
      <w:r>
        <w:t>, page 3.</w:t>
      </w:r>
      <w:proofErr w:type="gramEnd"/>
      <w:r>
        <w:t xml:space="preserve"> </w:t>
      </w:r>
    </w:p>
  </w:footnote>
  <w:footnote w:id="220">
    <w:p w14:paraId="7FB6B800" w14:textId="6737B47F" w:rsidR="00977786" w:rsidRDefault="00977786" w:rsidP="001E4B43">
      <w:pPr>
        <w:pStyle w:val="FootnoteText"/>
      </w:pPr>
      <w:r w:rsidRPr="00977786">
        <w:rPr>
          <w:rStyle w:val="FootnoteReference"/>
          <w:vertAlign w:val="baseline"/>
        </w:rPr>
        <w:footnoteRef/>
      </w:r>
      <w:r>
        <w:t xml:space="preserve"> Victorian Competition &amp; Efficiency Commission, Competitive neutrality inter</w:t>
      </w:r>
      <w:r>
        <w:noBreakHyphen/>
        <w:t>jurisdictional comparison paper.</w:t>
      </w:r>
    </w:p>
  </w:footnote>
  <w:footnote w:id="221">
    <w:p w14:paraId="1FBDDE33" w14:textId="503D4F91" w:rsidR="00977786" w:rsidRDefault="00977786" w:rsidP="001E4B43">
      <w:pPr>
        <w:pStyle w:val="FootnoteText"/>
      </w:pPr>
      <w:r w:rsidRPr="00977786">
        <w:rPr>
          <w:rStyle w:val="FootnoteReference"/>
          <w:vertAlign w:val="baseline"/>
        </w:rPr>
        <w:footnoteRef/>
      </w:r>
      <w:r>
        <w:t xml:space="preserve"> </w:t>
      </w:r>
      <w:hyperlink r:id="rId162" w:history="1">
        <w:proofErr w:type="gramStart"/>
        <w:r w:rsidRPr="00571B4E">
          <w:rPr>
            <w:rStyle w:val="Hyperlink"/>
          </w:rPr>
          <w:t>Australian Government Competitive Neutrality Complaints Office</w:t>
        </w:r>
      </w:hyperlink>
      <w:r>
        <w:t>.</w:t>
      </w:r>
      <w:proofErr w:type="gramEnd"/>
    </w:p>
  </w:footnote>
  <w:footnote w:id="222">
    <w:p w14:paraId="52020A4A" w14:textId="3B08549B" w:rsidR="00977786" w:rsidRDefault="00977786" w:rsidP="001E4B43">
      <w:pPr>
        <w:pStyle w:val="FootnoteText"/>
      </w:pPr>
      <w:r w:rsidRPr="00977786">
        <w:rPr>
          <w:rStyle w:val="FootnoteReference"/>
          <w:vertAlign w:val="baseline"/>
        </w:rPr>
        <w:footnoteRef/>
      </w:r>
      <w:r>
        <w:t xml:space="preserve"> Commonwealth of Australia 2004, </w:t>
      </w:r>
      <w:hyperlink r:id="rId163" w:history="1">
        <w:r w:rsidRPr="00802D55">
          <w:rPr>
            <w:rStyle w:val="Hyperlink"/>
            <w:i/>
          </w:rPr>
          <w:t>Australian Government Competitive Neutrality Guidelines for Managers</w:t>
        </w:r>
      </w:hyperlink>
      <w:r>
        <w:rPr>
          <w:rStyle w:val="Hyperlink"/>
        </w:rPr>
        <w:t>,</w:t>
      </w:r>
      <w:r>
        <w:t xml:space="preserve"> pages 9 and 13.</w:t>
      </w:r>
    </w:p>
  </w:footnote>
  <w:footnote w:id="223">
    <w:p w14:paraId="3351A8D4" w14:textId="2005E614" w:rsidR="00977786" w:rsidRDefault="00977786" w:rsidP="001E4B43">
      <w:pPr>
        <w:pStyle w:val="FootnoteText"/>
      </w:pPr>
      <w:r w:rsidRPr="00977786">
        <w:rPr>
          <w:rStyle w:val="FootnoteReference"/>
          <w:vertAlign w:val="baseline"/>
        </w:rPr>
        <w:footnoteRef/>
      </w:r>
      <w:r>
        <w:t xml:space="preserve"> OECD 2012, </w:t>
      </w:r>
      <w:hyperlink r:id="rId164" w:history="1">
        <w:r w:rsidRPr="00BD6424">
          <w:rPr>
            <w:rStyle w:val="Hyperlink"/>
          </w:rPr>
          <w:t>Competitive Neutrality, A Compendium of OECD Recommendations, Guidelines and Best Practice</w:t>
        </w:r>
      </w:hyperlink>
      <w:r>
        <w:t xml:space="preserve">, page 5. </w:t>
      </w:r>
    </w:p>
  </w:footnote>
  <w:footnote w:id="224">
    <w:p w14:paraId="5EC68EBA" w14:textId="7051AB54" w:rsidR="00977786" w:rsidRDefault="00977786" w:rsidP="001E4B43">
      <w:pPr>
        <w:pStyle w:val="FootnoteText"/>
      </w:pPr>
      <w:r w:rsidRPr="00977786">
        <w:rPr>
          <w:rStyle w:val="FootnoteReference"/>
          <w:vertAlign w:val="baseline"/>
        </w:rPr>
        <w:footnoteRef/>
      </w:r>
      <w:r>
        <w:t xml:space="preserve"> For example, the Department of Treasury and Finance (Victoria) 2012, </w:t>
      </w:r>
      <w:hyperlink r:id="rId165" w:history="1">
        <w:r w:rsidRPr="00481509">
          <w:rPr>
            <w:rStyle w:val="Hyperlink"/>
          </w:rPr>
          <w:t>Competitive neutrality policy</w:t>
        </w:r>
      </w:hyperlink>
      <w:r>
        <w:rPr>
          <w:rStyle w:val="Hyperlink"/>
        </w:rPr>
        <w:t>,</w:t>
      </w:r>
      <w:r>
        <w:t xml:space="preserve"> pages 4</w:t>
      </w:r>
      <w:r>
        <w:noBreakHyphen/>
        <w:t>5.</w:t>
      </w:r>
    </w:p>
  </w:footnote>
  <w:footnote w:id="225">
    <w:p w14:paraId="025E5AE1" w14:textId="038E7A20" w:rsidR="00977786" w:rsidRDefault="00977786" w:rsidP="001E4B43">
      <w:pPr>
        <w:pStyle w:val="FootnoteText"/>
      </w:pPr>
      <w:r w:rsidRPr="00977786">
        <w:rPr>
          <w:rStyle w:val="FootnoteReference"/>
          <w:vertAlign w:val="baseline"/>
        </w:rPr>
        <w:footnoteRef/>
      </w:r>
      <w:r>
        <w:t xml:space="preserve"> Australian Government 2004, </w:t>
      </w:r>
      <w:hyperlink r:id="rId166" w:history="1">
        <w:r w:rsidRPr="00481509">
          <w:rPr>
            <w:rStyle w:val="Hyperlink"/>
          </w:rPr>
          <w:t>Australian Government Competitive Neutrality Guidelines for Managers</w:t>
        </w:r>
      </w:hyperlink>
      <w:r>
        <w:t>, page 41.</w:t>
      </w:r>
    </w:p>
  </w:footnote>
  <w:footnote w:id="226">
    <w:p w14:paraId="78D10D07" w14:textId="595F2EE0" w:rsidR="00977786" w:rsidRDefault="00977786" w:rsidP="001E4B43">
      <w:pPr>
        <w:pStyle w:val="FootnoteText"/>
      </w:pPr>
      <w:r w:rsidRPr="00977786">
        <w:rPr>
          <w:rStyle w:val="FootnoteReference"/>
          <w:vertAlign w:val="baseline"/>
        </w:rPr>
        <w:footnoteRef/>
      </w:r>
      <w:r>
        <w:t xml:space="preserve"> Trembath, A 2002, </w:t>
      </w:r>
      <w:hyperlink r:id="rId167" w:history="1">
        <w:r w:rsidRPr="00BC2690">
          <w:rPr>
            <w:rStyle w:val="Hyperlink"/>
          </w:rPr>
          <w:t>Competitive Neutrality: Scope for Enhancement</w:t>
        </w:r>
      </w:hyperlink>
      <w:r>
        <w:t>, NCC Staff Discussion Paper, page 7.</w:t>
      </w:r>
    </w:p>
  </w:footnote>
  <w:footnote w:id="227">
    <w:p w14:paraId="06EDB498" w14:textId="5376EC62" w:rsidR="00977786" w:rsidRDefault="00977786" w:rsidP="001E4B43">
      <w:pPr>
        <w:pStyle w:val="FootnoteText"/>
      </w:pPr>
      <w:r w:rsidRPr="00977786">
        <w:rPr>
          <w:rStyle w:val="FootnoteReference"/>
          <w:vertAlign w:val="baseline"/>
        </w:rPr>
        <w:footnoteRef/>
      </w:r>
      <w:r>
        <w:t xml:space="preserve"> For example, ACCC Submission 1, page 69, Australian Information Industry Association, page 12, Australian Newsagents Federation, page 8, BCA Summary Report, page 14. </w:t>
      </w:r>
    </w:p>
  </w:footnote>
  <w:footnote w:id="228">
    <w:p w14:paraId="6835D69A" w14:textId="4B261B9E" w:rsidR="00977786" w:rsidRDefault="00977786" w:rsidP="001E4B43">
      <w:pPr>
        <w:pStyle w:val="FootnoteText"/>
      </w:pPr>
      <w:r w:rsidRPr="00977786">
        <w:rPr>
          <w:rStyle w:val="FootnoteReference"/>
          <w:vertAlign w:val="baseline"/>
        </w:rPr>
        <w:footnoteRef/>
      </w:r>
      <w:r>
        <w:t xml:space="preserve"> </w:t>
      </w:r>
      <w:proofErr w:type="gramStart"/>
      <w:r>
        <w:t xml:space="preserve">OECD 2012, </w:t>
      </w:r>
      <w:hyperlink r:id="rId168" w:history="1">
        <w:r w:rsidRPr="00802D55">
          <w:rPr>
            <w:rStyle w:val="Hyperlink"/>
            <w:i/>
          </w:rPr>
          <w:t>Competitive Neutrality, Maintaining a level playing field between public and private business</w:t>
        </w:r>
      </w:hyperlink>
      <w:r>
        <w:rPr>
          <w:rStyle w:val="Hyperlink"/>
        </w:rPr>
        <w:t>,</w:t>
      </w:r>
      <w:r>
        <w:t xml:space="preserve"> page 107.</w:t>
      </w:r>
      <w:proofErr w:type="gramEnd"/>
    </w:p>
  </w:footnote>
  <w:footnote w:id="229">
    <w:p w14:paraId="7476B24D" w14:textId="14DB56E3" w:rsidR="00977786" w:rsidRDefault="00977786" w:rsidP="001E4B43">
      <w:pPr>
        <w:pStyle w:val="FootnoteText"/>
      </w:pPr>
      <w:r w:rsidRPr="00977786">
        <w:rPr>
          <w:rStyle w:val="FootnoteReference"/>
          <w:vertAlign w:val="baseline"/>
        </w:rPr>
        <w:footnoteRef/>
      </w:r>
      <w:r>
        <w:t xml:space="preserve"> Capobianco, A and Christiansen, H 2011, </w:t>
      </w:r>
      <w:hyperlink r:id="rId169" w:history="1">
        <w:r w:rsidRPr="00E91347">
          <w:rPr>
            <w:rStyle w:val="Hyperlink"/>
          </w:rPr>
          <w:t>Competitive Neutrality and State</w:t>
        </w:r>
        <w:r>
          <w:rPr>
            <w:rStyle w:val="Hyperlink"/>
          </w:rPr>
          <w:noBreakHyphen/>
        </w:r>
        <w:r w:rsidRPr="00E91347">
          <w:rPr>
            <w:rStyle w:val="Hyperlink"/>
          </w:rPr>
          <w:t>Owned Enterprises: Challenges and Policy Options, OECD Corporate Governance Working Papers, No. 1</w:t>
        </w:r>
      </w:hyperlink>
      <w:r>
        <w:t>, page 16.</w:t>
      </w:r>
    </w:p>
  </w:footnote>
  <w:footnote w:id="230">
    <w:p w14:paraId="08A32472" w14:textId="3AD04FB9" w:rsidR="00977786" w:rsidRDefault="00977786" w:rsidP="001E4B43">
      <w:pPr>
        <w:pStyle w:val="FootnoteText"/>
      </w:pPr>
      <w:r w:rsidRPr="00977786">
        <w:rPr>
          <w:rStyle w:val="FootnoteReference"/>
          <w:vertAlign w:val="baseline"/>
        </w:rPr>
        <w:footnoteRef/>
      </w:r>
      <w:r>
        <w:t xml:space="preserve"> Additional examples can be found in submissions from the Australian Taxi Industry Association (page 10) and the Chamber of Commerce and Industry Queensland (page 5).</w:t>
      </w:r>
    </w:p>
  </w:footnote>
  <w:footnote w:id="231">
    <w:p w14:paraId="75B9CF40" w14:textId="20B90BA5" w:rsidR="00977786" w:rsidRDefault="00977786" w:rsidP="001E4B43">
      <w:pPr>
        <w:pStyle w:val="FootnoteText"/>
      </w:pPr>
      <w:r w:rsidRPr="00977786">
        <w:rPr>
          <w:rStyle w:val="FootnoteReference"/>
          <w:vertAlign w:val="baseline"/>
        </w:rPr>
        <w:footnoteRef/>
      </w:r>
      <w:r>
        <w:t xml:space="preserve"> OECD 2012, Competitive Neutrality: </w:t>
      </w:r>
      <w:hyperlink r:id="rId170" w:history="1">
        <w:r w:rsidRPr="0080745B">
          <w:rPr>
            <w:rStyle w:val="Hyperlink"/>
          </w:rPr>
          <w:t>A Compendium of OECD Recommendations</w:t>
        </w:r>
        <w:r>
          <w:rPr>
            <w:rStyle w:val="Hyperlink"/>
          </w:rPr>
          <w:t>, Guidelines</w:t>
        </w:r>
        <w:r w:rsidRPr="0080745B">
          <w:rPr>
            <w:rStyle w:val="Hyperlink"/>
          </w:rPr>
          <w:t xml:space="preserve"> and Best Practice</w:t>
        </w:r>
      </w:hyperlink>
      <w:r>
        <w:t>, page 12.</w:t>
      </w:r>
    </w:p>
  </w:footnote>
  <w:footnote w:id="232">
    <w:p w14:paraId="7450C009" w14:textId="3C0557C6" w:rsidR="00977786" w:rsidRDefault="00977786" w:rsidP="001E4B43">
      <w:pPr>
        <w:pStyle w:val="FootnoteText"/>
      </w:pPr>
      <w:r w:rsidRPr="00977786">
        <w:rPr>
          <w:rStyle w:val="FootnoteReference"/>
          <w:vertAlign w:val="baseline"/>
        </w:rPr>
        <w:footnoteRef/>
      </w:r>
      <w:r>
        <w:t xml:space="preserve"> The ACCC also notes the significant decline in the number of completed competitive neutrality complaint investigations since 2006 (ACCC Submission 1, page 26).</w:t>
      </w:r>
    </w:p>
  </w:footnote>
  <w:footnote w:id="233">
    <w:p w14:paraId="58E407CA" w14:textId="4DC45AE0" w:rsidR="00977786" w:rsidRDefault="00977786" w:rsidP="001E4B43">
      <w:pPr>
        <w:pStyle w:val="FootnoteText"/>
      </w:pPr>
      <w:r w:rsidRPr="00977786">
        <w:rPr>
          <w:rStyle w:val="FootnoteReference"/>
          <w:vertAlign w:val="baseline"/>
        </w:rPr>
        <w:footnoteRef/>
      </w:r>
      <w:r>
        <w:t xml:space="preserve"> </w:t>
      </w:r>
      <w:r w:rsidRPr="00D30536">
        <w:t xml:space="preserve">Victorian Competition and Efficiency Commission </w:t>
      </w:r>
      <w:r>
        <w:t>2013</w:t>
      </w:r>
      <w:r w:rsidRPr="00D30536">
        <w:t xml:space="preserve"> Competitive Neutrality Inter</w:t>
      </w:r>
      <w:r>
        <w:noBreakHyphen/>
      </w:r>
      <w:r w:rsidRPr="00D30536">
        <w:t>jurisdictional Comparison Paper</w:t>
      </w:r>
      <w:r>
        <w:t>, page 6.</w:t>
      </w:r>
    </w:p>
  </w:footnote>
  <w:footnote w:id="234">
    <w:p w14:paraId="3F0BA73A" w14:textId="752CD2D5" w:rsidR="00977786" w:rsidRDefault="00977786" w:rsidP="001E4B43">
      <w:pPr>
        <w:pStyle w:val="FootnoteText"/>
      </w:pPr>
      <w:r w:rsidRPr="00977786">
        <w:rPr>
          <w:rStyle w:val="FootnoteReference"/>
          <w:vertAlign w:val="baseline"/>
        </w:rPr>
        <w:footnoteRef/>
      </w:r>
      <w:r>
        <w:t xml:space="preserve"> Merrett A and Trindade R 2013, The State of Competition: </w:t>
      </w:r>
      <w:hyperlink r:id="rId171" w:history="1">
        <w:r w:rsidRPr="005120E1">
          <w:rPr>
            <w:rStyle w:val="Hyperlink"/>
          </w:rPr>
          <w:t>Has competitive neutrality run its course?</w:t>
        </w:r>
      </w:hyperlink>
      <w:proofErr w:type="gramStart"/>
      <w:r>
        <w:t>, page 5</w:t>
      </w:r>
      <w:r>
        <w:rPr>
          <w:rStyle w:val="Hyperlink"/>
        </w:rPr>
        <w:t>.</w:t>
      </w:r>
      <w:proofErr w:type="gramEnd"/>
      <w:r>
        <w:t xml:space="preserve"> </w:t>
      </w:r>
    </w:p>
  </w:footnote>
  <w:footnote w:id="235">
    <w:p w14:paraId="3D1B238D" w14:textId="1F399B5A" w:rsidR="00977786" w:rsidRDefault="00977786" w:rsidP="001E4B43">
      <w:pPr>
        <w:pStyle w:val="FootnoteText"/>
      </w:pPr>
      <w:r w:rsidRPr="00977786">
        <w:rPr>
          <w:rStyle w:val="FootnoteReference"/>
          <w:vertAlign w:val="baseline"/>
        </w:rPr>
        <w:footnoteRef/>
      </w:r>
      <w:r>
        <w:t xml:space="preserve"> For example, the PC, page 34, BCA Summary Report, page 14, ACCI, page 24, ACCC Submission 1, page 26, Queensland Competition Authority, page 13.</w:t>
      </w:r>
    </w:p>
  </w:footnote>
  <w:footnote w:id="236">
    <w:p w14:paraId="552FBD00" w14:textId="0D256384" w:rsidR="00977786" w:rsidRDefault="00977786" w:rsidP="001E4B43">
      <w:pPr>
        <w:pStyle w:val="FootnoteText"/>
      </w:pPr>
      <w:r w:rsidRPr="00977786">
        <w:rPr>
          <w:rStyle w:val="FootnoteReference"/>
          <w:vertAlign w:val="baseline"/>
        </w:rPr>
        <w:footnoteRef/>
      </w:r>
      <w:r>
        <w:t xml:space="preserve"> For example, from the ACCC Submission 1, page 69, ACCI, page 24, BCA Summary Report, page 14, NSW Government, page 10 and Chamber of Commerce and Industry Queensland, page 4.</w:t>
      </w:r>
    </w:p>
  </w:footnote>
  <w:footnote w:id="237">
    <w:p w14:paraId="23728E9B" w14:textId="55221CAB" w:rsidR="00977786" w:rsidRDefault="00977786" w:rsidP="001E4B43">
      <w:pPr>
        <w:pStyle w:val="FootnoteText"/>
      </w:pPr>
      <w:r w:rsidRPr="00977786">
        <w:rPr>
          <w:rStyle w:val="FootnoteReference"/>
          <w:vertAlign w:val="baseline"/>
        </w:rPr>
        <w:footnoteRef/>
      </w:r>
      <w:r>
        <w:t xml:space="preserve"> </w:t>
      </w:r>
      <w:r w:rsidRPr="004F4980">
        <w:t xml:space="preserve">OECD 2014 </w:t>
      </w:r>
      <w:hyperlink r:id="rId172" w:history="1">
        <w:r w:rsidRPr="000C0498">
          <w:rPr>
            <w:rStyle w:val="Hyperlink"/>
            <w:i/>
          </w:rPr>
          <w:t>Competitive Neutrality, Maintaining a level playing field between public and private business</w:t>
        </w:r>
      </w:hyperlink>
      <w:r>
        <w:rPr>
          <w:rStyle w:val="Hyperlink"/>
        </w:rPr>
        <w:t>,</w:t>
      </w:r>
      <w:r w:rsidRPr="004F4980">
        <w:t xml:space="preserve"> page </w:t>
      </w:r>
      <w:r>
        <w:t>18.</w:t>
      </w:r>
    </w:p>
  </w:footnote>
  <w:footnote w:id="238">
    <w:p w14:paraId="7DDFF61F" w14:textId="3A1668AB" w:rsidR="00977786" w:rsidRDefault="00977786" w:rsidP="00094FE2">
      <w:pPr>
        <w:pStyle w:val="FootnoteText"/>
      </w:pPr>
      <w:r w:rsidRPr="00977786">
        <w:rPr>
          <w:rStyle w:val="FootnoteReference"/>
          <w:vertAlign w:val="baseline"/>
        </w:rPr>
        <w:footnoteRef/>
      </w:r>
      <w:r>
        <w:t xml:space="preserve"> OECD 2012, Competitive Neutrality: </w:t>
      </w:r>
      <w:hyperlink r:id="rId173" w:history="1">
        <w:r w:rsidRPr="00CD4B2B">
          <w:rPr>
            <w:rStyle w:val="Hyperlink"/>
            <w:i/>
          </w:rPr>
          <w:t>A Compendium of OECD Recommendations, Guidelines and Best Practice</w:t>
        </w:r>
      </w:hyperlink>
      <w:r>
        <w:t>, page 11.</w:t>
      </w:r>
    </w:p>
  </w:footnote>
  <w:footnote w:id="239">
    <w:p w14:paraId="27EDF385" w14:textId="5DE974AB" w:rsidR="00977786" w:rsidRDefault="00977786" w:rsidP="001E4B43">
      <w:pPr>
        <w:pStyle w:val="FootnoteText"/>
      </w:pPr>
      <w:r w:rsidRPr="00977786">
        <w:rPr>
          <w:rStyle w:val="FootnoteReference"/>
          <w:vertAlign w:val="baseline"/>
        </w:rPr>
        <w:footnoteRef/>
      </w:r>
      <w:r>
        <w:t xml:space="preserve"> Trembath, A 2002, </w:t>
      </w:r>
      <w:hyperlink r:id="rId174" w:history="1">
        <w:r w:rsidRPr="00884A88">
          <w:rPr>
            <w:rStyle w:val="Hyperlink"/>
          </w:rPr>
          <w:t>Competitive Neutrality: Scope for Enhancement, National Competition Council Staff Discussion Paper</w:t>
        </w:r>
      </w:hyperlink>
      <w:r>
        <w:t>, page 38.</w:t>
      </w:r>
    </w:p>
  </w:footnote>
  <w:footnote w:id="240">
    <w:p w14:paraId="35026A76" w14:textId="4A40F477" w:rsidR="00977786" w:rsidRDefault="00977786" w:rsidP="0031484D">
      <w:pPr>
        <w:pStyle w:val="FootnoteText"/>
      </w:pPr>
      <w:r w:rsidRPr="00977786">
        <w:rPr>
          <w:rStyle w:val="FootnoteReference"/>
          <w:vertAlign w:val="baseline"/>
        </w:rPr>
        <w:footnoteRef/>
      </w:r>
      <w:r>
        <w:t xml:space="preserve"> See </w:t>
      </w:r>
      <w:hyperlink r:id="rId175" w:history="1">
        <w:r w:rsidRPr="00DA5197">
          <w:rPr>
            <w:rStyle w:val="Hyperlink"/>
          </w:rPr>
          <w:t>www.smallbusiness.wa.gov.au/tender</w:t>
        </w:r>
        <w:r>
          <w:rPr>
            <w:rStyle w:val="Hyperlink"/>
          </w:rPr>
          <w:noBreakHyphen/>
        </w:r>
        <w:r w:rsidRPr="00DA5197">
          <w:rPr>
            <w:rStyle w:val="Hyperlink"/>
          </w:rPr>
          <w:t>process/</w:t>
        </w:r>
      </w:hyperlink>
      <w:r>
        <w:rPr>
          <w:rStyle w:val="Hyperlink"/>
        </w:rPr>
        <w:t>.</w:t>
      </w:r>
    </w:p>
  </w:footnote>
  <w:footnote w:id="241">
    <w:p w14:paraId="493502F8" w14:textId="422E8B5C" w:rsidR="00977786" w:rsidRDefault="00977786">
      <w:pPr>
        <w:pStyle w:val="FootnoteText"/>
      </w:pPr>
      <w:r w:rsidRPr="00977786">
        <w:rPr>
          <w:rStyle w:val="FootnoteReference"/>
          <w:vertAlign w:val="baseline"/>
        </w:rPr>
        <w:footnoteRef/>
      </w:r>
      <w:r>
        <w:t xml:space="preserve"> Example taken from North, J and Keane B, 2014, </w:t>
      </w:r>
      <w:hyperlink r:id="rId176" w:history="1">
        <w:r w:rsidRPr="0094423D">
          <w:rPr>
            <w:rStyle w:val="Hyperlink"/>
          </w:rPr>
          <w:t>Australia: Outcome</w:t>
        </w:r>
        <w:r>
          <w:rPr>
            <w:rStyle w:val="Hyperlink"/>
          </w:rPr>
          <w:noBreakHyphen/>
        </w:r>
        <w:r w:rsidRPr="0094423D">
          <w:rPr>
            <w:rStyle w:val="Hyperlink"/>
          </w:rPr>
          <w:t>based contracting is on the up: Who</w:t>
        </w:r>
        <w:r>
          <w:rPr>
            <w:rStyle w:val="Hyperlink"/>
          </w:rPr>
          <w:t>’</w:t>
        </w:r>
        <w:r w:rsidRPr="0094423D">
          <w:rPr>
            <w:rStyle w:val="Hyperlink"/>
          </w:rPr>
          <w:t>s doing it, why, and what you need to know about it</w:t>
        </w:r>
      </w:hyperlink>
      <w:r>
        <w:rPr>
          <w:rStyle w:val="Hyperlink"/>
        </w:rPr>
        <w:t>.</w:t>
      </w:r>
    </w:p>
  </w:footnote>
  <w:footnote w:id="242">
    <w:p w14:paraId="354E7BB6" w14:textId="6153E5CD" w:rsidR="00977786" w:rsidRDefault="00977786">
      <w:pPr>
        <w:pStyle w:val="FootnoteText"/>
      </w:pPr>
      <w:r w:rsidRPr="00977786">
        <w:rPr>
          <w:rStyle w:val="FootnoteReference"/>
          <w:vertAlign w:val="baseline"/>
        </w:rPr>
        <w:footnoteRef/>
      </w:r>
      <w:r>
        <w:t xml:space="preserve"> </w:t>
      </w:r>
      <w:hyperlink r:id="rId177" w:history="1">
        <w:proofErr w:type="gramStart"/>
        <w:r w:rsidRPr="0094423D">
          <w:rPr>
            <w:rStyle w:val="Hyperlink"/>
          </w:rPr>
          <w:t>NSW Government Procurement Roadmap</w:t>
        </w:r>
      </w:hyperlink>
      <w:r>
        <w:rPr>
          <w:rStyle w:val="Hyperlink"/>
        </w:rPr>
        <w:t>.</w:t>
      </w:r>
      <w:proofErr w:type="gramEnd"/>
    </w:p>
  </w:footnote>
  <w:footnote w:id="243">
    <w:p w14:paraId="61C29E7D" w14:textId="36EB04F5" w:rsidR="00977786" w:rsidRDefault="00977786" w:rsidP="00EF7B89">
      <w:pPr>
        <w:pStyle w:val="FootnoteText"/>
      </w:pPr>
      <w:r w:rsidRPr="00977786">
        <w:rPr>
          <w:rStyle w:val="FootnoteReference"/>
          <w:vertAlign w:val="baseline"/>
        </w:rPr>
        <w:footnoteRef/>
      </w:r>
      <w:r>
        <w:t xml:space="preserve"> ACCC 2008, </w:t>
      </w:r>
      <w:hyperlink r:id="rId178" w:history="1">
        <w:r w:rsidRPr="006C1ED5">
          <w:rPr>
            <w:rStyle w:val="Hyperlink"/>
            <w:i/>
          </w:rPr>
          <w:t>Report of the ACCC inquiry into the competitiveness of retail prices for standard groceries</w:t>
        </w:r>
      </w:hyperlink>
      <w:r>
        <w:t>, page xix.</w:t>
      </w:r>
    </w:p>
  </w:footnote>
  <w:footnote w:id="244">
    <w:p w14:paraId="5F6EC9D6" w14:textId="5DA3424E" w:rsidR="00977786" w:rsidRDefault="00977786" w:rsidP="004B159C">
      <w:pPr>
        <w:pStyle w:val="FootnoteText"/>
      </w:pPr>
      <w:r w:rsidRPr="00977786">
        <w:rPr>
          <w:rStyle w:val="FootnoteReference"/>
          <w:vertAlign w:val="baseline"/>
        </w:rPr>
        <w:footnoteRef/>
      </w:r>
      <w:r>
        <w:t xml:space="preserve"> </w:t>
      </w:r>
      <w:proofErr w:type="gramStart"/>
      <w:r>
        <w:t xml:space="preserve">ACCC 2007, </w:t>
      </w:r>
      <w:hyperlink r:id="rId179" w:history="1">
        <w:r w:rsidRPr="00094FE2">
          <w:rPr>
            <w:rStyle w:val="Hyperlink"/>
            <w:i/>
          </w:rPr>
          <w:t>Report of the ACCC inquiry into the price of unleaded petrol</w:t>
        </w:r>
        <w:r w:rsidRPr="00094FE2">
          <w:rPr>
            <w:rStyle w:val="Hyperlink"/>
          </w:rPr>
          <w:t>,</w:t>
        </w:r>
      </w:hyperlink>
      <w:r>
        <w:t xml:space="preserve"> Foreword.</w:t>
      </w:r>
      <w:proofErr w:type="gramEnd"/>
      <w:r>
        <w:t xml:space="preserve"> </w:t>
      </w:r>
    </w:p>
  </w:footnote>
  <w:footnote w:id="245">
    <w:p w14:paraId="18B9C4EC" w14:textId="0F1A314B" w:rsidR="00977786" w:rsidRDefault="00977786" w:rsidP="00D37F07">
      <w:pPr>
        <w:pStyle w:val="FootnoteText"/>
      </w:pPr>
      <w:r w:rsidRPr="00977786">
        <w:rPr>
          <w:rStyle w:val="FootnoteReference"/>
          <w:vertAlign w:val="baseline"/>
        </w:rPr>
        <w:footnoteRef/>
      </w:r>
      <w:r>
        <w:t xml:space="preserve"> </w:t>
      </w:r>
      <w:proofErr w:type="gramStart"/>
      <w:r>
        <w:t xml:space="preserve">ACCC 2013, </w:t>
      </w:r>
      <w:hyperlink r:id="rId180" w:history="1">
        <w:r w:rsidRPr="006C1ED5">
          <w:rPr>
            <w:rStyle w:val="Hyperlink"/>
            <w:i/>
          </w:rPr>
          <w:t>Report of the ACCC into the prices, costs and profits of unleaded petrol in Australia</w:t>
        </w:r>
      </w:hyperlink>
      <w:r>
        <w:t>, page xiii.</w:t>
      </w:r>
      <w:proofErr w:type="gramEnd"/>
    </w:p>
  </w:footnote>
  <w:footnote w:id="246">
    <w:p w14:paraId="6E14F6D2" w14:textId="7345C46A" w:rsidR="00977786" w:rsidRDefault="00977786" w:rsidP="00D84152">
      <w:pPr>
        <w:pStyle w:val="FootnoteText"/>
      </w:pPr>
      <w:r w:rsidRPr="00977786">
        <w:rPr>
          <w:rStyle w:val="FootnoteReference"/>
          <w:vertAlign w:val="baseline"/>
        </w:rPr>
        <w:footnoteRef/>
      </w:r>
      <w:r>
        <w:t xml:space="preserve"> For example, Australian Automobile Association, page 5; Drakes Supermarkets, page 2.</w:t>
      </w:r>
    </w:p>
  </w:footnote>
  <w:footnote w:id="247">
    <w:p w14:paraId="38420796" w14:textId="6F207FB5" w:rsidR="00977786" w:rsidRDefault="00977786" w:rsidP="004B159C">
      <w:pPr>
        <w:pStyle w:val="FootnoteText"/>
      </w:pPr>
      <w:r w:rsidRPr="00977786">
        <w:rPr>
          <w:rStyle w:val="FootnoteReference"/>
          <w:vertAlign w:val="baseline"/>
        </w:rPr>
        <w:footnoteRef/>
      </w:r>
      <w:r>
        <w:t xml:space="preserve"> Moulis, N (ACAPMA CEO) </w:t>
      </w:r>
      <w:hyperlink r:id="rId181" w:history="1">
        <w:r w:rsidRPr="000515E7">
          <w:rPr>
            <w:rStyle w:val="Hyperlink"/>
          </w:rPr>
          <w:t>Fuel industry: Not drowning, waving</w:t>
        </w:r>
      </w:hyperlink>
      <w:r>
        <w:t>, 9 April 2014,</w:t>
      </w:r>
    </w:p>
  </w:footnote>
  <w:footnote w:id="248">
    <w:p w14:paraId="7E7C4695" w14:textId="17B8E969" w:rsidR="00977786" w:rsidRDefault="00977786">
      <w:pPr>
        <w:pStyle w:val="FootnoteText"/>
      </w:pPr>
      <w:r w:rsidRPr="00977786">
        <w:rPr>
          <w:rStyle w:val="FootnoteReference"/>
          <w:vertAlign w:val="baseline"/>
        </w:rPr>
        <w:footnoteRef/>
      </w:r>
      <w:r>
        <w:t xml:space="preserve"> </w:t>
      </w:r>
      <w:hyperlink r:id="rId182" w:history="1">
        <w:proofErr w:type="gramStart"/>
        <w:r w:rsidRPr="00D12BCC">
          <w:rPr>
            <w:i/>
          </w:rPr>
          <w:t>Trade Practices Legislation Amendment Act 1992</w:t>
        </w:r>
      </w:hyperlink>
      <w:r>
        <w:rPr>
          <w:rStyle w:val="Hyperlink"/>
        </w:rPr>
        <w:t>.</w:t>
      </w:r>
      <w:proofErr w:type="gramEnd"/>
    </w:p>
  </w:footnote>
  <w:footnote w:id="249">
    <w:p w14:paraId="22CBF422" w14:textId="3EFA771D" w:rsidR="00977786" w:rsidRDefault="00977786">
      <w:pPr>
        <w:pStyle w:val="FootnoteText"/>
      </w:pPr>
      <w:r w:rsidRPr="00977786">
        <w:rPr>
          <w:rStyle w:val="FootnoteReference"/>
          <w:vertAlign w:val="baseline"/>
        </w:rPr>
        <w:footnoteRef/>
      </w:r>
      <w:r>
        <w:t xml:space="preserve"> </w:t>
      </w:r>
      <w:proofErr w:type="gramStart"/>
      <w:r w:rsidRPr="00845BB3">
        <w:rPr>
          <w:i/>
        </w:rPr>
        <w:t>Re Queensland Co</w:t>
      </w:r>
      <w:r>
        <w:rPr>
          <w:i/>
        </w:rPr>
        <w:noBreakHyphen/>
      </w:r>
      <w:r w:rsidRPr="00845BB3">
        <w:rPr>
          <w:i/>
        </w:rPr>
        <w:t>Op Milling Association Limited and Defiance Holdings Limited (QCMA)</w:t>
      </w:r>
      <w:r w:rsidRPr="0058392D">
        <w:t xml:space="preserve"> (1976) 8 ALR 481</w:t>
      </w:r>
      <w:r>
        <w:t xml:space="preserve"> at 518.</w:t>
      </w:r>
      <w:proofErr w:type="gramEnd"/>
    </w:p>
  </w:footnote>
  <w:footnote w:id="250">
    <w:p w14:paraId="0AD960FD" w14:textId="4782DD9C" w:rsidR="00977786" w:rsidRPr="003454C4" w:rsidRDefault="00977786" w:rsidP="00845BB3">
      <w:pPr>
        <w:pStyle w:val="FootnoteText"/>
        <w:tabs>
          <w:tab w:val="left" w:pos="3900"/>
        </w:tabs>
        <w:rPr>
          <w:rFonts w:ascii="Book Antiqua" w:hAnsi="Book Antiqua"/>
          <w:lang w:val="en-US"/>
        </w:rPr>
      </w:pPr>
      <w:r w:rsidRPr="00977786">
        <w:rPr>
          <w:rStyle w:val="FootnoteReference"/>
          <w:vertAlign w:val="baseline"/>
        </w:rPr>
        <w:footnoteRef/>
      </w:r>
      <w:r w:rsidRPr="005A63F7">
        <w:rPr>
          <w:rStyle w:val="FootnoteReference"/>
          <w:vertAlign w:val="baseline"/>
        </w:rPr>
        <w:t xml:space="preserve"> </w:t>
      </w:r>
      <w:proofErr w:type="gramStart"/>
      <w:r w:rsidRPr="00845BB3">
        <w:rPr>
          <w:i/>
        </w:rPr>
        <w:t>Queensland Wire v BHP</w:t>
      </w:r>
      <w:r w:rsidRPr="005A63F7">
        <w:t xml:space="preserve"> (1989) 167 CLR 177</w:t>
      </w:r>
      <w:r>
        <w:t>.</w:t>
      </w:r>
      <w:proofErr w:type="gramEnd"/>
    </w:p>
  </w:footnote>
  <w:footnote w:id="251">
    <w:p w14:paraId="506A7930" w14:textId="161012BE" w:rsidR="00977786" w:rsidRPr="003454C4" w:rsidRDefault="00977786" w:rsidP="005A63F7">
      <w:pPr>
        <w:pStyle w:val="FootnoteText"/>
        <w:rPr>
          <w:rFonts w:ascii="Book Antiqua" w:hAnsi="Book Antiqua"/>
          <w:lang w:val="en-US"/>
        </w:rPr>
      </w:pPr>
      <w:r w:rsidRPr="00977786">
        <w:rPr>
          <w:rStyle w:val="FootnoteReference"/>
          <w:vertAlign w:val="baseline"/>
        </w:rPr>
        <w:footnoteRef/>
      </w:r>
      <w:r w:rsidRPr="005A63F7">
        <w:rPr>
          <w:rStyle w:val="FootnoteReference"/>
          <w:vertAlign w:val="baseline"/>
        </w:rPr>
        <w:t xml:space="preserve"> </w:t>
      </w:r>
      <w:proofErr w:type="gramStart"/>
      <w:r>
        <w:t>Ibid a</w:t>
      </w:r>
      <w:r w:rsidRPr="005A63F7">
        <w:t>t 188</w:t>
      </w:r>
      <w:r>
        <w:t>.</w:t>
      </w:r>
      <w:proofErr w:type="gramEnd"/>
    </w:p>
  </w:footnote>
  <w:footnote w:id="252">
    <w:p w14:paraId="1FB817E2" w14:textId="7CD67AAD" w:rsidR="00977786" w:rsidRPr="003454C4" w:rsidRDefault="00977786" w:rsidP="005A63F7">
      <w:pPr>
        <w:pStyle w:val="FootnoteText"/>
        <w:rPr>
          <w:rFonts w:ascii="Book Antiqua" w:hAnsi="Book Antiqua"/>
          <w:lang w:val="en-US"/>
        </w:rPr>
      </w:pPr>
      <w:r w:rsidRPr="00977786">
        <w:rPr>
          <w:rStyle w:val="FootnoteReference"/>
          <w:vertAlign w:val="baseline"/>
        </w:rPr>
        <w:footnoteRef/>
      </w:r>
      <w:r w:rsidRPr="005A63F7">
        <w:rPr>
          <w:rStyle w:val="FootnoteReference"/>
          <w:vertAlign w:val="baseline"/>
        </w:rPr>
        <w:t xml:space="preserve"> </w:t>
      </w:r>
      <w:proofErr w:type="gramStart"/>
      <w:r>
        <w:t>Ibid a</w:t>
      </w:r>
      <w:r w:rsidRPr="005A63F7">
        <w:t>t 210</w:t>
      </w:r>
      <w:r>
        <w:t>.</w:t>
      </w:r>
      <w:proofErr w:type="gramEnd"/>
    </w:p>
  </w:footnote>
  <w:footnote w:id="253">
    <w:p w14:paraId="7478ECB9" w14:textId="1C1DC7F0" w:rsidR="00977786" w:rsidRPr="003454C4" w:rsidRDefault="00977786" w:rsidP="005A63F7">
      <w:pPr>
        <w:pStyle w:val="FootnoteText"/>
        <w:rPr>
          <w:rFonts w:ascii="Book Antiqua" w:hAnsi="Book Antiqua"/>
          <w:lang w:val="en-US"/>
        </w:rPr>
      </w:pPr>
      <w:r w:rsidRPr="00977786">
        <w:rPr>
          <w:rStyle w:val="FootnoteReference"/>
          <w:vertAlign w:val="baseline"/>
        </w:rPr>
        <w:footnoteRef/>
      </w:r>
      <w:r w:rsidRPr="005A63F7">
        <w:rPr>
          <w:rStyle w:val="FootnoteReference"/>
          <w:vertAlign w:val="baseline"/>
        </w:rPr>
        <w:t xml:space="preserve"> </w:t>
      </w:r>
      <w:r>
        <w:rPr>
          <w:rStyle w:val="FootnoteReference"/>
          <w:vertAlign w:val="baseline"/>
        </w:rPr>
        <w:t>Ibid</w:t>
      </w:r>
      <w:r>
        <w:t xml:space="preserve"> </w:t>
      </w:r>
      <w:proofErr w:type="gramStart"/>
      <w:r>
        <w:t>a</w:t>
      </w:r>
      <w:r w:rsidRPr="005A63F7">
        <w:t>t</w:t>
      </w:r>
      <w:proofErr w:type="gramEnd"/>
      <w:r w:rsidRPr="005A63F7">
        <w:t xml:space="preserve"> 195</w:t>
      </w:r>
      <w:r>
        <w:t>.</w:t>
      </w:r>
    </w:p>
  </w:footnote>
  <w:footnote w:id="254">
    <w:p w14:paraId="5E1E7B2D" w14:textId="657168EF" w:rsidR="00977786" w:rsidRPr="00371182" w:rsidRDefault="00977786" w:rsidP="005A63F7">
      <w:pPr>
        <w:pStyle w:val="FootnoteText"/>
        <w:rPr>
          <w:lang w:val="en-US"/>
        </w:rPr>
      </w:pPr>
      <w:r w:rsidRPr="00977786">
        <w:rPr>
          <w:rStyle w:val="FootnoteReference"/>
          <w:vertAlign w:val="baseline"/>
        </w:rPr>
        <w:footnoteRef/>
      </w:r>
      <w:r w:rsidRPr="005A63F7">
        <w:rPr>
          <w:rStyle w:val="FootnoteReference"/>
          <w:vertAlign w:val="baseline"/>
        </w:rPr>
        <w:t xml:space="preserve"> </w:t>
      </w:r>
      <w:proofErr w:type="gramStart"/>
      <w:r>
        <w:t>Ibid a</w:t>
      </w:r>
      <w:r w:rsidRPr="005A63F7">
        <w:t>t 199</w:t>
      </w:r>
      <w:r>
        <w:t>.</w:t>
      </w:r>
      <w:proofErr w:type="gramEnd"/>
    </w:p>
  </w:footnote>
  <w:footnote w:id="255">
    <w:p w14:paraId="69CB7188" w14:textId="1D892AF8" w:rsidR="00977786" w:rsidRPr="003454C4" w:rsidRDefault="00977786" w:rsidP="005A63F7">
      <w:pPr>
        <w:pStyle w:val="FootnoteText"/>
      </w:pPr>
      <w:r w:rsidRPr="00977786">
        <w:rPr>
          <w:rStyle w:val="FootnoteReference"/>
          <w:vertAlign w:val="baseline"/>
        </w:rPr>
        <w:footnoteRef/>
      </w:r>
      <w:r w:rsidRPr="003454C4">
        <w:t xml:space="preserve"> </w:t>
      </w:r>
      <w:proofErr w:type="gramStart"/>
      <w:r w:rsidRPr="00845BB3">
        <w:rPr>
          <w:i/>
        </w:rPr>
        <w:t>Boral Besser Masonry v ACCC</w:t>
      </w:r>
      <w:r w:rsidRPr="005A63F7">
        <w:t xml:space="preserve"> </w:t>
      </w:r>
      <w:r w:rsidRPr="003454C4">
        <w:t>(2003) 215 CLR 374</w:t>
      </w:r>
      <w:r>
        <w:t>.</w:t>
      </w:r>
      <w:proofErr w:type="gramEnd"/>
    </w:p>
  </w:footnote>
  <w:footnote w:id="256">
    <w:p w14:paraId="3CCF53DC" w14:textId="651E2981" w:rsidR="00977786" w:rsidRPr="003454C4" w:rsidRDefault="00977786" w:rsidP="005A63F7">
      <w:pPr>
        <w:pStyle w:val="FootnoteText"/>
        <w:rPr>
          <w:lang w:val="en-US"/>
        </w:rPr>
      </w:pPr>
      <w:r w:rsidRPr="00977786">
        <w:rPr>
          <w:rStyle w:val="FootnoteReference"/>
          <w:vertAlign w:val="baseline"/>
        </w:rPr>
        <w:footnoteRef/>
      </w:r>
      <w:r w:rsidRPr="003454C4">
        <w:t xml:space="preserve"> </w:t>
      </w:r>
      <w:proofErr w:type="gramStart"/>
      <w:r>
        <w:t>Ibid a</w:t>
      </w:r>
      <w:r w:rsidRPr="003454C4">
        <w:rPr>
          <w:lang w:val="en-US"/>
        </w:rPr>
        <w:t xml:space="preserve">t </w:t>
      </w:r>
      <w:r w:rsidRPr="00845BB3">
        <w:t>248</w:t>
      </w:r>
      <w:r>
        <w:rPr>
          <w:lang w:val="en-US"/>
        </w:rPr>
        <w:t>.</w:t>
      </w:r>
      <w:proofErr w:type="gramEnd"/>
    </w:p>
  </w:footnote>
  <w:footnote w:id="257">
    <w:p w14:paraId="1A449134" w14:textId="099DE92A" w:rsidR="00977786" w:rsidRDefault="00977786" w:rsidP="004A443B">
      <w:pPr>
        <w:pStyle w:val="FootnoteText"/>
      </w:pPr>
      <w:r w:rsidRPr="00977786">
        <w:rPr>
          <w:rStyle w:val="FootnoteReference"/>
          <w:vertAlign w:val="baseline"/>
        </w:rPr>
        <w:footnoteRef/>
      </w:r>
      <w:r>
        <w:t xml:space="preserve"> </w:t>
      </w:r>
      <w:hyperlink r:id="rId183" w:history="1">
        <w:r w:rsidRPr="008B1547">
          <w:rPr>
            <w:rStyle w:val="Hyperlink"/>
            <w:i/>
          </w:rPr>
          <w:t>ACCC Annual Report 2012</w:t>
        </w:r>
        <w:r w:rsidRPr="008B1547">
          <w:rPr>
            <w:rStyle w:val="Hyperlink"/>
            <w:i/>
          </w:rPr>
          <w:noBreakHyphen/>
          <w:t>2013</w:t>
        </w:r>
      </w:hyperlink>
      <w:r>
        <w:t>, page 41.</w:t>
      </w:r>
    </w:p>
  </w:footnote>
  <w:footnote w:id="258">
    <w:p w14:paraId="53832B5E" w14:textId="1AA790AC" w:rsidR="00977786" w:rsidRPr="00C24475" w:rsidRDefault="00977786" w:rsidP="004A443B">
      <w:pPr>
        <w:pStyle w:val="FootnoteText"/>
      </w:pPr>
      <w:r w:rsidRPr="00977786">
        <w:rPr>
          <w:rStyle w:val="FootnoteReference"/>
          <w:vertAlign w:val="baseline"/>
        </w:rPr>
        <w:footnoteRef/>
      </w:r>
      <w:r>
        <w:t xml:space="preserve"> See for example Professor Frederic Jenny in </w:t>
      </w:r>
      <w:r>
        <w:rPr>
          <w:i/>
        </w:rPr>
        <w:t xml:space="preserve">Competition Policy Analysis, </w:t>
      </w:r>
      <w:r>
        <w:t>edited by Einar Hope, Routledge, 2002, page 31.</w:t>
      </w:r>
    </w:p>
  </w:footnote>
  <w:footnote w:id="259">
    <w:p w14:paraId="6A2386D1" w14:textId="6412010E" w:rsidR="00977786" w:rsidRDefault="00977786" w:rsidP="004A443B">
      <w:pPr>
        <w:pStyle w:val="FootnoteText"/>
      </w:pPr>
      <w:r w:rsidRPr="00977786">
        <w:rPr>
          <w:rStyle w:val="FootnoteReference"/>
          <w:vertAlign w:val="baseline"/>
        </w:rPr>
        <w:footnoteRef/>
      </w:r>
      <w:r>
        <w:t xml:space="preserve"> Trade Practices Act Review Committee 2003, </w:t>
      </w:r>
      <w:hyperlink r:id="rId184" w:history="1">
        <w:r w:rsidRPr="00371182">
          <w:rPr>
            <w:rStyle w:val="Hyperlink"/>
          </w:rPr>
          <w:t>Review of the Competition Provisions of the Trade Practices Act</w:t>
        </w:r>
      </w:hyperlink>
      <w:r>
        <w:t>, pages 50 and 59.</w:t>
      </w:r>
    </w:p>
  </w:footnote>
  <w:footnote w:id="260">
    <w:p w14:paraId="7D27452F" w14:textId="50B6D133" w:rsidR="00977786" w:rsidRPr="003454C4" w:rsidRDefault="00977786" w:rsidP="005A63F7">
      <w:pPr>
        <w:pStyle w:val="FootnoteText"/>
      </w:pPr>
      <w:r w:rsidRPr="00977786">
        <w:rPr>
          <w:rStyle w:val="FootnoteReference"/>
          <w:vertAlign w:val="baseline"/>
        </w:rPr>
        <w:footnoteRef/>
      </w:r>
      <w:r w:rsidRPr="003454C4">
        <w:t xml:space="preserve"> </w:t>
      </w:r>
      <w:proofErr w:type="gramStart"/>
      <w:r w:rsidRPr="003454C4">
        <w:t xml:space="preserve">[2010] </w:t>
      </w:r>
      <w:r w:rsidRPr="00982BA9">
        <w:t>ACompT</w:t>
      </w:r>
      <w:r w:rsidRPr="003454C4">
        <w:t xml:space="preserve"> 2 at [1011]</w:t>
      </w:r>
      <w:r>
        <w:t>.</w:t>
      </w:r>
      <w:proofErr w:type="gramEnd"/>
    </w:p>
  </w:footnote>
  <w:footnote w:id="261">
    <w:p w14:paraId="66961E86" w14:textId="252F1D9E" w:rsidR="00977786" w:rsidRPr="00982BA9" w:rsidRDefault="00977786" w:rsidP="005A63F7">
      <w:pPr>
        <w:pStyle w:val="FootnoteText"/>
      </w:pPr>
      <w:r w:rsidRPr="00977786">
        <w:rPr>
          <w:rStyle w:val="FootnoteReference"/>
          <w:vertAlign w:val="baseline"/>
        </w:rPr>
        <w:footnoteRef/>
      </w:r>
      <w:r w:rsidRPr="003454C4">
        <w:t xml:space="preserve"> </w:t>
      </w:r>
      <w:proofErr w:type="gramStart"/>
      <w:r w:rsidRPr="00371182">
        <w:t>Ibid at</w:t>
      </w:r>
      <w:r w:rsidRPr="003454C4">
        <w:t xml:space="preserve"> [1014]</w:t>
      </w:r>
      <w:r>
        <w:t>.</w:t>
      </w:r>
      <w:proofErr w:type="gramEnd"/>
    </w:p>
  </w:footnote>
  <w:footnote w:id="262">
    <w:p w14:paraId="7CB16258" w14:textId="7E337A81" w:rsidR="00977786" w:rsidRDefault="00977786" w:rsidP="00A13C1A">
      <w:pPr>
        <w:pStyle w:val="FootnoteText"/>
      </w:pPr>
      <w:r w:rsidRPr="00977786">
        <w:rPr>
          <w:rStyle w:val="FootnoteReference"/>
          <w:vertAlign w:val="baseline"/>
        </w:rPr>
        <w:footnoteRef/>
      </w:r>
      <w:r>
        <w:t xml:space="preserve"> </w:t>
      </w:r>
      <w:proofErr w:type="gramStart"/>
      <w:r>
        <w:t xml:space="preserve">Porter, M E 1990, </w:t>
      </w:r>
      <w:hyperlink r:id="rId185" w:history="1">
        <w:r w:rsidRPr="00551AD5">
          <w:rPr>
            <w:rStyle w:val="Hyperlink"/>
          </w:rPr>
          <w:t>Competitive Advantage of Nations</w:t>
        </w:r>
      </w:hyperlink>
      <w:r>
        <w:t>, Harvard Business Review, page 86.</w:t>
      </w:r>
      <w:proofErr w:type="gramEnd"/>
    </w:p>
  </w:footnote>
  <w:footnote w:id="263">
    <w:p w14:paraId="04CEA7D4" w14:textId="5DEF5CC6" w:rsidR="00977786" w:rsidRDefault="00977786" w:rsidP="00E63CB1">
      <w:pPr>
        <w:pStyle w:val="FootnoteText"/>
      </w:pPr>
      <w:r w:rsidRPr="00977786">
        <w:rPr>
          <w:rStyle w:val="FootnoteReference"/>
          <w:vertAlign w:val="baseline"/>
        </w:rPr>
        <w:footnoteRef/>
      </w:r>
      <w:r>
        <w:t xml:space="preserve"> Binsted, T and Malpass, L, </w:t>
      </w:r>
      <w:r w:rsidRPr="00AB0460">
        <w:rPr>
          <w:i/>
          <w:lang w:val="en-US"/>
        </w:rPr>
        <w:t>Tough cheese</w:t>
      </w:r>
      <w:r w:rsidRPr="00343070">
        <w:rPr>
          <w:lang w:val="en-US"/>
        </w:rPr>
        <w:t xml:space="preserve">, </w:t>
      </w:r>
      <w:r w:rsidRPr="00AF65A7">
        <w:rPr>
          <w:lang w:val="en-US"/>
        </w:rPr>
        <w:t>Australian Financial Review</w:t>
      </w:r>
      <w:r w:rsidRPr="00343070">
        <w:rPr>
          <w:lang w:val="en-US"/>
        </w:rPr>
        <w:t xml:space="preserve">, 2 August 2014, </w:t>
      </w:r>
      <w:r>
        <w:rPr>
          <w:lang w:val="en-US"/>
        </w:rPr>
        <w:t xml:space="preserve">page </w:t>
      </w:r>
      <w:r w:rsidRPr="00343070">
        <w:rPr>
          <w:lang w:val="en-US"/>
        </w:rPr>
        <w:t>17</w:t>
      </w:r>
      <w:r>
        <w:rPr>
          <w:lang w:val="en-US"/>
        </w:rPr>
        <w:t>.</w:t>
      </w:r>
    </w:p>
  </w:footnote>
  <w:footnote w:id="264">
    <w:p w14:paraId="7896BE4F" w14:textId="370D4DEC" w:rsidR="00977786" w:rsidRDefault="00977786">
      <w:pPr>
        <w:pStyle w:val="FootnoteText"/>
      </w:pPr>
      <w:r w:rsidRPr="00977786">
        <w:rPr>
          <w:rStyle w:val="FootnoteReference"/>
          <w:vertAlign w:val="baseline"/>
        </w:rPr>
        <w:footnoteRef/>
      </w:r>
      <w:r>
        <w:t xml:space="preserve"> </w:t>
      </w:r>
      <w:proofErr w:type="gramStart"/>
      <w:r w:rsidRPr="005C16B5">
        <w:rPr>
          <w:i/>
        </w:rPr>
        <w:t>Competition and Consumer Act 2010</w:t>
      </w:r>
      <w:r>
        <w:t>, section 95AZH.</w:t>
      </w:r>
      <w:proofErr w:type="gramEnd"/>
    </w:p>
  </w:footnote>
  <w:footnote w:id="265">
    <w:p w14:paraId="6EB3DEFD" w14:textId="334E9ECE" w:rsidR="00977786" w:rsidRDefault="00977786" w:rsidP="004A443B">
      <w:pPr>
        <w:pStyle w:val="FootnoteText"/>
      </w:pPr>
      <w:r w:rsidRPr="00977786">
        <w:rPr>
          <w:rStyle w:val="FootnoteReference"/>
          <w:vertAlign w:val="baseline"/>
        </w:rPr>
        <w:footnoteRef/>
      </w:r>
      <w:r>
        <w:t xml:space="preserve"> Productivity Commission 2014, </w:t>
      </w:r>
      <w:hyperlink r:id="rId186" w:history="1">
        <w:r w:rsidRPr="008D2763">
          <w:rPr>
            <w:rStyle w:val="Hyperlink"/>
            <w:i/>
          </w:rPr>
          <w:t>Relative Costs of Doing Business in Australia: Dairy Product Manufacturing</w:t>
        </w:r>
      </w:hyperlink>
      <w:r>
        <w:t>, page 80.</w:t>
      </w:r>
    </w:p>
  </w:footnote>
  <w:footnote w:id="266">
    <w:p w14:paraId="17C8B285" w14:textId="1739953D" w:rsidR="00977786" w:rsidRDefault="00977786" w:rsidP="004A443B">
      <w:pPr>
        <w:pStyle w:val="FootnoteText"/>
      </w:pPr>
      <w:r w:rsidRPr="00977786">
        <w:rPr>
          <w:rStyle w:val="FootnoteReference"/>
          <w:vertAlign w:val="baseline"/>
        </w:rPr>
        <w:footnoteRef/>
      </w:r>
      <w:r>
        <w:t xml:space="preserve"> Treasury 2008, </w:t>
      </w:r>
      <w:hyperlink r:id="rId187" w:history="1">
        <w:r w:rsidRPr="00AF65A7">
          <w:rPr>
            <w:rStyle w:val="Hyperlink"/>
          </w:rPr>
          <w:t>Discussion Paper — Creeping Acquisitions</w:t>
        </w:r>
      </w:hyperlink>
      <w:r>
        <w:t>, pages 3-4.</w:t>
      </w:r>
    </w:p>
  </w:footnote>
  <w:footnote w:id="267">
    <w:p w14:paraId="1C304C90" w14:textId="2DC4AFAC" w:rsidR="00977786" w:rsidRDefault="00977786">
      <w:pPr>
        <w:pStyle w:val="FootnoteText"/>
      </w:pPr>
      <w:r w:rsidRPr="00977786">
        <w:rPr>
          <w:rStyle w:val="FootnoteReference"/>
          <w:vertAlign w:val="baseline"/>
        </w:rPr>
        <w:footnoteRef/>
      </w:r>
      <w:r>
        <w:t xml:space="preserve"> ACCC 2008, </w:t>
      </w:r>
      <w:hyperlink r:id="rId188" w:history="1">
        <w:r w:rsidRPr="002F11DC">
          <w:rPr>
            <w:rStyle w:val="Hyperlink"/>
            <w:i/>
          </w:rPr>
          <w:t>Report of the ACCC inquiry into the competitiveness of retail prices for standard groceries</w:t>
        </w:r>
      </w:hyperlink>
      <w:r>
        <w:t>, page xxi.</w:t>
      </w:r>
    </w:p>
  </w:footnote>
  <w:footnote w:id="268">
    <w:p w14:paraId="7C725DBF" w14:textId="0E4D072C" w:rsidR="00977786" w:rsidRDefault="00977786" w:rsidP="004A443B">
      <w:pPr>
        <w:pStyle w:val="FootnoteText"/>
      </w:pPr>
      <w:r w:rsidRPr="00977786">
        <w:rPr>
          <w:rStyle w:val="FootnoteReference"/>
          <w:vertAlign w:val="baseline"/>
        </w:rPr>
        <w:footnoteRef/>
      </w:r>
      <w:r>
        <w:t xml:space="preserve"> </w:t>
      </w:r>
      <w:proofErr w:type="gramStart"/>
      <w:r>
        <w:t xml:space="preserve">Trade Practices Act Review Committee 2003, </w:t>
      </w:r>
      <w:hyperlink r:id="rId189" w:history="1">
        <w:r w:rsidRPr="002F11DC">
          <w:rPr>
            <w:rStyle w:val="Hyperlink"/>
            <w:i/>
          </w:rPr>
          <w:t>Review of the Competition Provisions of the Trade Practices Act</w:t>
        </w:r>
      </w:hyperlink>
      <w:r>
        <w:t>, page 60.</w:t>
      </w:r>
      <w:proofErr w:type="gramEnd"/>
    </w:p>
  </w:footnote>
  <w:footnote w:id="269">
    <w:p w14:paraId="05552F8E" w14:textId="5A9B4DDE" w:rsidR="00977786" w:rsidRDefault="00977786" w:rsidP="00D96804">
      <w:pPr>
        <w:pStyle w:val="FootnoteText"/>
      </w:pPr>
      <w:r w:rsidRPr="00977786">
        <w:rPr>
          <w:rStyle w:val="FootnoteReference"/>
          <w:vertAlign w:val="baseline"/>
        </w:rPr>
        <w:footnoteRef/>
      </w:r>
      <w:r>
        <w:t xml:space="preserve"> OECD 1996, </w:t>
      </w:r>
      <w:hyperlink r:id="rId190" w:history="1">
        <w:r w:rsidRPr="008D2763">
          <w:rPr>
            <w:rStyle w:val="Hyperlink"/>
          </w:rPr>
          <w:t>Abuse of Dominance and Monopolisation</w:t>
        </w:r>
      </w:hyperlink>
      <w:r>
        <w:rPr>
          <w:rStyle w:val="Hyperlink"/>
        </w:rPr>
        <w:t>,</w:t>
      </w:r>
      <w:r>
        <w:t xml:space="preserve"> page 35. </w:t>
      </w:r>
    </w:p>
  </w:footnote>
  <w:footnote w:id="270">
    <w:p w14:paraId="5B14A19C" w14:textId="1534F235" w:rsidR="00977786" w:rsidRDefault="00977786">
      <w:pPr>
        <w:pStyle w:val="FootnoteText"/>
      </w:pPr>
      <w:r w:rsidRPr="00977786">
        <w:rPr>
          <w:rStyle w:val="FootnoteReference"/>
          <w:vertAlign w:val="baseline"/>
        </w:rPr>
        <w:footnoteRef/>
      </w:r>
      <w:r>
        <w:t xml:space="preserve"> </w:t>
      </w:r>
      <w:proofErr w:type="gramStart"/>
      <w:r>
        <w:t xml:space="preserve">Section 46 of the </w:t>
      </w:r>
      <w:r w:rsidRPr="00AB0460">
        <w:rPr>
          <w:i/>
        </w:rPr>
        <w:t>Competition and Consumer Act 2010</w:t>
      </w:r>
      <w:r>
        <w:t>.</w:t>
      </w:r>
      <w:proofErr w:type="gramEnd"/>
    </w:p>
  </w:footnote>
  <w:footnote w:id="271">
    <w:p w14:paraId="318E919D" w14:textId="65FF1D40" w:rsidR="00977786" w:rsidRDefault="00977786" w:rsidP="00D96804">
      <w:pPr>
        <w:pStyle w:val="FootnoteText"/>
      </w:pPr>
      <w:r w:rsidRPr="00977786">
        <w:rPr>
          <w:rStyle w:val="FootnoteReference"/>
          <w:vertAlign w:val="baseline"/>
        </w:rPr>
        <w:footnoteRef/>
      </w:r>
      <w:r>
        <w:t xml:space="preserve"> Part IV of the CCA is mirrored in the Competition Code, which applies </w:t>
      </w:r>
      <w:r w:rsidRPr="00C243E2">
        <w:t xml:space="preserve">the </w:t>
      </w:r>
      <w:r>
        <w:t>anti</w:t>
      </w:r>
      <w:r>
        <w:noBreakHyphen/>
      </w:r>
      <w:r w:rsidRPr="00C243E2">
        <w:t xml:space="preserve">competitive conduct </w:t>
      </w:r>
      <w:r>
        <w:t>laws</w:t>
      </w:r>
      <w:r w:rsidRPr="00C243E2">
        <w:t xml:space="preserve"> </w:t>
      </w:r>
      <w:r>
        <w:t>through application legislation</w:t>
      </w:r>
      <w:r w:rsidRPr="008D2763">
        <w:t xml:space="preserve"> </w:t>
      </w:r>
      <w:r>
        <w:t>in the States and Territories.</w:t>
      </w:r>
    </w:p>
  </w:footnote>
  <w:footnote w:id="272">
    <w:p w14:paraId="4153CD44" w14:textId="667397BE" w:rsidR="00977786" w:rsidRDefault="00977786">
      <w:pPr>
        <w:pStyle w:val="FootnoteText"/>
      </w:pPr>
      <w:r w:rsidRPr="00977786">
        <w:rPr>
          <w:rStyle w:val="FootnoteReference"/>
          <w:vertAlign w:val="baseline"/>
        </w:rPr>
        <w:footnoteRef/>
      </w:r>
      <w:r>
        <w:t xml:space="preserve"> </w:t>
      </w:r>
      <w:proofErr w:type="gramStart"/>
      <w:r>
        <w:t xml:space="preserve">Adapted from Trade Practices Act Review Committee 2003, </w:t>
      </w:r>
      <w:hyperlink r:id="rId191" w:history="1">
        <w:r w:rsidRPr="00371182">
          <w:rPr>
            <w:rStyle w:val="Hyperlink"/>
          </w:rPr>
          <w:t>Review of the Competition Provisions of the Trade Practices Act</w:t>
        </w:r>
      </w:hyperlink>
      <w:r>
        <w:t xml:space="preserve">, </w:t>
      </w:r>
      <w:r w:rsidRPr="00AB0460">
        <w:rPr>
          <w:i/>
        </w:rPr>
        <w:t>Box 3.2 History of the effects test</w:t>
      </w:r>
      <w:r>
        <w:t>, page 83.</w:t>
      </w:r>
      <w:proofErr w:type="gramEnd"/>
    </w:p>
  </w:footnote>
  <w:footnote w:id="273">
    <w:p w14:paraId="2949444C" w14:textId="34EDA561" w:rsidR="00977786" w:rsidRDefault="00977786">
      <w:pPr>
        <w:pStyle w:val="FootnoteText"/>
      </w:pPr>
      <w:r w:rsidRPr="00977786">
        <w:rPr>
          <w:rStyle w:val="FootnoteReference"/>
          <w:vertAlign w:val="baseline"/>
        </w:rPr>
        <w:footnoteRef/>
      </w:r>
      <w:r>
        <w:t xml:space="preserve"> </w:t>
      </w:r>
      <w:proofErr w:type="gramStart"/>
      <w:r w:rsidRPr="009F7016">
        <w:rPr>
          <w:i/>
        </w:rPr>
        <w:t>Queensland Wire Industries v BHP</w:t>
      </w:r>
      <w:r w:rsidRPr="009F7016">
        <w:t xml:space="preserve"> (1989) 167 CLR 177</w:t>
      </w:r>
      <w:r>
        <w:t>.</w:t>
      </w:r>
      <w:proofErr w:type="gramEnd"/>
    </w:p>
  </w:footnote>
  <w:footnote w:id="274">
    <w:p w14:paraId="41B110DB" w14:textId="516C2878" w:rsidR="00977786" w:rsidRDefault="00977786">
      <w:pPr>
        <w:pStyle w:val="FootnoteText"/>
      </w:pPr>
      <w:r w:rsidRPr="00977786">
        <w:rPr>
          <w:rStyle w:val="FootnoteReference"/>
          <w:vertAlign w:val="baseline"/>
        </w:rPr>
        <w:footnoteRef/>
      </w:r>
      <w:r>
        <w:t xml:space="preserve"> </w:t>
      </w:r>
      <w:proofErr w:type="gramStart"/>
      <w:r w:rsidRPr="009F7016">
        <w:rPr>
          <w:i/>
        </w:rPr>
        <w:t>Melway Publishing Pty Ltd v Robert Hicks Pty Ltd</w:t>
      </w:r>
      <w:r w:rsidRPr="009F7016">
        <w:t xml:space="preserve"> [2001] HCA 13</w:t>
      </w:r>
      <w:r>
        <w:t>.</w:t>
      </w:r>
      <w:proofErr w:type="gramEnd"/>
    </w:p>
  </w:footnote>
  <w:footnote w:id="275">
    <w:p w14:paraId="550429A2" w14:textId="6B54E3F7" w:rsidR="00977786" w:rsidRDefault="00977786">
      <w:pPr>
        <w:pStyle w:val="FootnoteText"/>
      </w:pPr>
      <w:r w:rsidRPr="00977786">
        <w:rPr>
          <w:rStyle w:val="FootnoteReference"/>
          <w:vertAlign w:val="baseline"/>
        </w:rPr>
        <w:footnoteRef/>
      </w:r>
      <w:r>
        <w:t xml:space="preserve"> </w:t>
      </w:r>
      <w:proofErr w:type="gramStart"/>
      <w:r w:rsidRPr="009F7016">
        <w:rPr>
          <w:i/>
        </w:rPr>
        <w:t>Boral Besser Masonry Ltd v ACCC</w:t>
      </w:r>
      <w:r>
        <w:t xml:space="preserve"> (2003) 215 CLR 374.</w:t>
      </w:r>
      <w:proofErr w:type="gramEnd"/>
    </w:p>
  </w:footnote>
  <w:footnote w:id="276">
    <w:p w14:paraId="3E86DCFE" w14:textId="1BB1C755" w:rsidR="00977786" w:rsidRDefault="00977786">
      <w:pPr>
        <w:pStyle w:val="FootnoteText"/>
      </w:pPr>
      <w:r w:rsidRPr="00977786">
        <w:rPr>
          <w:rStyle w:val="FootnoteReference"/>
          <w:vertAlign w:val="baseline"/>
        </w:rPr>
        <w:footnoteRef/>
      </w:r>
      <w:r>
        <w:t xml:space="preserve"> </w:t>
      </w:r>
      <w:proofErr w:type="gramStart"/>
      <w:r>
        <w:t xml:space="preserve">Subsections 46(1AAA) and (1AA) of the </w:t>
      </w:r>
      <w:r w:rsidRPr="00AB0460">
        <w:rPr>
          <w:i/>
        </w:rPr>
        <w:t>Competition and Consumer Act 2010</w:t>
      </w:r>
      <w:r>
        <w:t>.</w:t>
      </w:r>
      <w:proofErr w:type="gramEnd"/>
    </w:p>
  </w:footnote>
  <w:footnote w:id="277">
    <w:p w14:paraId="04B6D5AA" w14:textId="55AE6F70" w:rsidR="00977786" w:rsidRDefault="00977786" w:rsidP="00101DD2">
      <w:pPr>
        <w:pStyle w:val="FootnoteText"/>
      </w:pPr>
      <w:r w:rsidRPr="00977786">
        <w:rPr>
          <w:rStyle w:val="FootnoteReference"/>
          <w:vertAlign w:val="baseline"/>
        </w:rPr>
        <w:footnoteRef/>
      </w:r>
      <w:r>
        <w:t xml:space="preserve"> </w:t>
      </w:r>
      <w:proofErr w:type="gramStart"/>
      <w:r w:rsidRPr="009F7016">
        <w:rPr>
          <w:i/>
        </w:rPr>
        <w:t>Rural Press Limited v ACCC</w:t>
      </w:r>
      <w:r w:rsidRPr="009F7016">
        <w:t xml:space="preserve"> [2003] HCA 75</w:t>
      </w:r>
      <w:r>
        <w:t>.</w:t>
      </w:r>
      <w:proofErr w:type="gramEnd"/>
    </w:p>
  </w:footnote>
  <w:footnote w:id="278">
    <w:p w14:paraId="719AF185" w14:textId="56AA1FA4" w:rsidR="00977786" w:rsidRDefault="00977786">
      <w:pPr>
        <w:pStyle w:val="FootnoteText"/>
      </w:pPr>
      <w:r w:rsidRPr="00977786">
        <w:rPr>
          <w:rStyle w:val="FootnoteReference"/>
          <w:vertAlign w:val="baseline"/>
        </w:rPr>
        <w:footnoteRef/>
      </w:r>
      <w:r>
        <w:t xml:space="preserve"> Subsection 46(6A)</w:t>
      </w:r>
      <w:r w:rsidRPr="00592252">
        <w:t xml:space="preserve"> </w:t>
      </w:r>
      <w:r>
        <w:t xml:space="preserve">of the </w:t>
      </w:r>
      <w:r w:rsidRPr="00C94944">
        <w:rPr>
          <w:i/>
        </w:rPr>
        <w:t>Competition and Consumer Act 2010</w:t>
      </w:r>
      <w:r>
        <w:t>.</w:t>
      </w:r>
    </w:p>
  </w:footnote>
  <w:footnote w:id="279">
    <w:p w14:paraId="7C0623DB" w14:textId="58815453" w:rsidR="00977786" w:rsidRDefault="00977786">
      <w:pPr>
        <w:pStyle w:val="FootnoteText"/>
      </w:pPr>
      <w:r w:rsidRPr="00977786">
        <w:rPr>
          <w:rStyle w:val="FootnoteReference"/>
          <w:vertAlign w:val="baseline"/>
        </w:rPr>
        <w:footnoteRef/>
      </w:r>
      <w:r>
        <w:t xml:space="preserve"> </w:t>
      </w:r>
      <w:proofErr w:type="gramStart"/>
      <w:r w:rsidRPr="009F7016">
        <w:rPr>
          <w:i/>
        </w:rPr>
        <w:t>ACCC v Cement Australia</w:t>
      </w:r>
      <w:r>
        <w:t xml:space="preserve"> </w:t>
      </w:r>
      <w:r w:rsidRPr="009F7016">
        <w:t>[2013] FCA 909</w:t>
      </w:r>
      <w:r>
        <w:t>.</w:t>
      </w:r>
      <w:proofErr w:type="gramEnd"/>
    </w:p>
  </w:footnote>
  <w:footnote w:id="280">
    <w:p w14:paraId="0A225F17" w14:textId="3B81077F" w:rsidR="00977786" w:rsidRDefault="00977786">
      <w:pPr>
        <w:pStyle w:val="FootnoteText"/>
      </w:pPr>
      <w:r w:rsidRPr="00977786">
        <w:rPr>
          <w:rStyle w:val="FootnoteReference"/>
          <w:vertAlign w:val="baseline"/>
        </w:rPr>
        <w:footnoteRef/>
      </w:r>
      <w:r>
        <w:t xml:space="preserve"> Part VI of the </w:t>
      </w:r>
      <w:r w:rsidRPr="00C94944">
        <w:rPr>
          <w:i/>
        </w:rPr>
        <w:t>Competition and Consumer Act 2010</w:t>
      </w:r>
      <w:r>
        <w:t>.</w:t>
      </w:r>
    </w:p>
  </w:footnote>
  <w:footnote w:id="281">
    <w:p w14:paraId="56CC78C8" w14:textId="085822CA" w:rsidR="00977786" w:rsidRDefault="00977786">
      <w:pPr>
        <w:pStyle w:val="FootnoteText"/>
      </w:pPr>
      <w:r w:rsidRPr="00977786">
        <w:rPr>
          <w:rStyle w:val="FootnoteReference"/>
          <w:vertAlign w:val="baseline"/>
        </w:rPr>
        <w:footnoteRef/>
      </w:r>
      <w:r>
        <w:t xml:space="preserve"> </w:t>
      </w:r>
      <w:r w:rsidRPr="00D21D5D">
        <w:t xml:space="preserve">Independent Committee of Inquiry into Competition Policy in Australia </w:t>
      </w:r>
      <w:r>
        <w:t xml:space="preserve">1993, </w:t>
      </w:r>
      <w:hyperlink r:id="rId192" w:history="1">
        <w:r w:rsidRPr="00592252">
          <w:rPr>
            <w:rStyle w:val="Hyperlink"/>
          </w:rPr>
          <w:t>National Competition Policy</w:t>
        </w:r>
      </w:hyperlink>
      <w:r>
        <w:t>, page 163.</w:t>
      </w:r>
    </w:p>
  </w:footnote>
  <w:footnote w:id="282">
    <w:p w14:paraId="6A01B349" w14:textId="6B139174" w:rsidR="00977786" w:rsidRDefault="00977786">
      <w:pPr>
        <w:pStyle w:val="FootnoteText"/>
      </w:pPr>
      <w:r w:rsidRPr="00977786">
        <w:rPr>
          <w:rStyle w:val="FootnoteReference"/>
          <w:vertAlign w:val="baseline"/>
        </w:rPr>
        <w:footnoteRef/>
      </w:r>
      <w:r>
        <w:t xml:space="preserve"> </w:t>
      </w:r>
      <w:proofErr w:type="gramStart"/>
      <w:r>
        <w:t xml:space="preserve">Trade Practices Act Review Committee 2003, </w:t>
      </w:r>
      <w:hyperlink r:id="rId193" w:history="1">
        <w:r w:rsidRPr="00371182">
          <w:rPr>
            <w:rStyle w:val="Hyperlink"/>
          </w:rPr>
          <w:t>Review of the Competition Provisions of the Trade Practices Act</w:t>
        </w:r>
      </w:hyperlink>
      <w:r>
        <w:t>, page 150.</w:t>
      </w:r>
      <w:proofErr w:type="gramEnd"/>
    </w:p>
  </w:footnote>
  <w:footnote w:id="283">
    <w:p w14:paraId="581FDEA2" w14:textId="346D5C46" w:rsidR="00977786" w:rsidRDefault="00977786" w:rsidP="00F41BB1">
      <w:pPr>
        <w:pStyle w:val="FootnoteText"/>
      </w:pPr>
      <w:r w:rsidRPr="00977786">
        <w:rPr>
          <w:rStyle w:val="FootnoteReference"/>
          <w:vertAlign w:val="baseline"/>
        </w:rPr>
        <w:footnoteRef/>
      </w:r>
      <w:r>
        <w:t xml:space="preserve"> </w:t>
      </w:r>
      <w:proofErr w:type="gramStart"/>
      <w:r>
        <w:t xml:space="preserve">See discussion in Senate Standing Committee on Legal and Constitutional Affairs 1991 (Cooney Committee) </w:t>
      </w:r>
      <w:hyperlink r:id="rId194" w:history="1">
        <w:r w:rsidRPr="00592252">
          <w:rPr>
            <w:rStyle w:val="Hyperlink"/>
            <w:i/>
          </w:rPr>
          <w:t>Mergers Monopolies and Acquisitions</w:t>
        </w:r>
        <w:r>
          <w:rPr>
            <w:rStyle w:val="Hyperlink"/>
            <w:i/>
          </w:rPr>
          <w:t xml:space="preserve"> — </w:t>
        </w:r>
        <w:r w:rsidRPr="00592252">
          <w:rPr>
            <w:rStyle w:val="Hyperlink"/>
            <w:i/>
          </w:rPr>
          <w:t>Adequacy of Existing Legislative Controls</w:t>
        </w:r>
      </w:hyperlink>
      <w:r>
        <w:t>, pages 89</w:t>
      </w:r>
      <w:r>
        <w:noBreakHyphen/>
        <w:t>93.</w:t>
      </w:r>
      <w:proofErr w:type="gramEnd"/>
    </w:p>
  </w:footnote>
  <w:footnote w:id="284">
    <w:p w14:paraId="60CA655F" w14:textId="7A84FA82" w:rsidR="00977786" w:rsidRPr="00BC71F0" w:rsidRDefault="00977786" w:rsidP="00127F3A">
      <w:pPr>
        <w:pStyle w:val="FootnoteText"/>
        <w:rPr>
          <w:szCs w:val="18"/>
        </w:rPr>
      </w:pPr>
      <w:r w:rsidRPr="00977786">
        <w:rPr>
          <w:rStyle w:val="FootnoteReference"/>
          <w:vertAlign w:val="baseline"/>
        </w:rPr>
        <w:footnoteRef/>
      </w:r>
      <w:r w:rsidRPr="00BC71F0">
        <w:t xml:space="preserve"> The</w:t>
      </w:r>
      <w:r>
        <w:t xml:space="preserve"> </w:t>
      </w:r>
      <w:r w:rsidRPr="00592252">
        <w:t>Trade Practices Act Review Committee</w:t>
      </w:r>
      <w:r>
        <w:t xml:space="preserve"> 1976,</w:t>
      </w:r>
      <w:r w:rsidRPr="00592252">
        <w:t xml:space="preserve"> </w:t>
      </w:r>
      <w:hyperlink r:id="rId195" w:history="1">
        <w:r w:rsidRPr="00592252">
          <w:rPr>
            <w:rStyle w:val="Hyperlink"/>
            <w:rFonts w:ascii="Calibri" w:hAnsi="Calibri"/>
          </w:rPr>
          <w:t>Report to the Minister for Business and Consumer Affairs</w:t>
        </w:r>
      </w:hyperlink>
      <w:r w:rsidRPr="00592252">
        <w:t xml:space="preserve"> </w:t>
      </w:r>
      <w:r w:rsidRPr="00BC71F0">
        <w:t xml:space="preserve"> noted that </w:t>
      </w:r>
      <w:r>
        <w:t>section </w:t>
      </w:r>
      <w:r w:rsidRPr="00BC71F0">
        <w:t xml:space="preserve">49 drew more </w:t>
      </w:r>
      <w:r w:rsidRPr="00BC71F0">
        <w:rPr>
          <w:rFonts w:ascii="Calibri" w:hAnsi="Calibri"/>
          <w:color w:val="auto"/>
        </w:rPr>
        <w:t xml:space="preserve">criticism in submissions than any other and found that some suppliers took the law to mean that they were required to charge similar prices to all customers, </w:t>
      </w:r>
      <w:proofErr w:type="gramStart"/>
      <w:r w:rsidRPr="00BC71F0">
        <w:rPr>
          <w:rFonts w:ascii="Calibri" w:hAnsi="Calibri"/>
          <w:color w:val="auto"/>
        </w:rPr>
        <w:t>which</w:t>
      </w:r>
      <w:proofErr w:type="gramEnd"/>
      <w:r w:rsidRPr="00BC71F0">
        <w:rPr>
          <w:rFonts w:ascii="Calibri" w:hAnsi="Calibri"/>
          <w:color w:val="auto"/>
        </w:rPr>
        <w:t xml:space="preserve"> led to price rigidity and overall price increases.</w:t>
      </w:r>
    </w:p>
    <w:p w14:paraId="4F9FE0C0" w14:textId="5CDD886F" w:rsidR="00977786" w:rsidRPr="00BC71F0" w:rsidRDefault="00977786" w:rsidP="00127F3A">
      <w:pPr>
        <w:pStyle w:val="FootnoteText"/>
      </w:pPr>
      <w:r>
        <w:tab/>
      </w:r>
      <w:r w:rsidRPr="00BC71F0">
        <w:t xml:space="preserve">The </w:t>
      </w:r>
      <w:r w:rsidRPr="00592252">
        <w:t>Trade Practices Consultative Committee</w:t>
      </w:r>
      <w:r>
        <w:t xml:space="preserve"> 1979, </w:t>
      </w:r>
      <w:hyperlink r:id="rId196" w:history="1">
        <w:r w:rsidRPr="00592252">
          <w:rPr>
            <w:rStyle w:val="Hyperlink"/>
            <w:rFonts w:ascii="Calibri" w:hAnsi="Calibri"/>
          </w:rPr>
          <w:t>Small business and the Trade Practices Act</w:t>
        </w:r>
      </w:hyperlink>
      <w:r w:rsidRPr="00592252">
        <w:t xml:space="preserve"> </w:t>
      </w:r>
      <w:r w:rsidRPr="00BC71F0">
        <w:t xml:space="preserve">again called for the repeal of </w:t>
      </w:r>
      <w:r>
        <w:t>s</w:t>
      </w:r>
      <w:r w:rsidRPr="00BC71F0">
        <w:t xml:space="preserve">ection 49. The Committee noted that the flexibility of pricing was impaired by the operation of </w:t>
      </w:r>
      <w:r>
        <w:t>s</w:t>
      </w:r>
      <w:r w:rsidRPr="00BC71F0">
        <w:t>ection 49 and certain rigidities were introduced both by the section and the unc</w:t>
      </w:r>
      <w:r>
        <w:t xml:space="preserve">ertainties of its application. </w:t>
      </w:r>
    </w:p>
  </w:footnote>
  <w:footnote w:id="285">
    <w:p w14:paraId="437E0D87" w14:textId="1945F1FA" w:rsidR="00977786" w:rsidRDefault="00977786" w:rsidP="002538F5">
      <w:pPr>
        <w:pStyle w:val="FootnoteText"/>
      </w:pPr>
      <w:r w:rsidRPr="00977786">
        <w:rPr>
          <w:rStyle w:val="FootnoteReference"/>
          <w:vertAlign w:val="baseline"/>
        </w:rPr>
        <w:footnoteRef/>
      </w:r>
      <w:r>
        <w:t xml:space="preserve"> </w:t>
      </w:r>
      <w:proofErr w:type="gramStart"/>
      <w:r>
        <w:t xml:space="preserve">Trade Practices Act Review Committee 2003, </w:t>
      </w:r>
      <w:hyperlink r:id="rId197" w:history="1">
        <w:r w:rsidRPr="00371182">
          <w:rPr>
            <w:rStyle w:val="Hyperlink"/>
          </w:rPr>
          <w:t>Review of the Competition Provisions of the Trade Practices Act</w:t>
        </w:r>
      </w:hyperlink>
      <w:r>
        <w:rPr>
          <w:rStyle w:val="st1"/>
          <w:rFonts w:cs="Arial"/>
          <w:color w:val="222222"/>
        </w:rPr>
        <w:t>, page 97.</w:t>
      </w:r>
      <w:proofErr w:type="gramEnd"/>
    </w:p>
  </w:footnote>
  <w:footnote w:id="286">
    <w:p w14:paraId="14845F97" w14:textId="2066EB47" w:rsidR="00977786" w:rsidRDefault="00977786" w:rsidP="00FF25F3">
      <w:pPr>
        <w:pStyle w:val="FootnoteText"/>
      </w:pPr>
      <w:r w:rsidRPr="00977786">
        <w:rPr>
          <w:rStyle w:val="FootnoteReference"/>
          <w:vertAlign w:val="baseline"/>
        </w:rPr>
        <w:footnoteRef/>
      </w:r>
      <w:r>
        <w:t xml:space="preserve"> </w:t>
      </w:r>
      <w:proofErr w:type="gramStart"/>
      <w:r>
        <w:t xml:space="preserve">See generally submissions to the Senate Economics Committee, </w:t>
      </w:r>
      <w:hyperlink r:id="rId198" w:history="1">
        <w:r w:rsidRPr="002F73D0">
          <w:rPr>
            <w:rStyle w:val="Hyperlink"/>
            <w:i/>
          </w:rPr>
          <w:t>Inquiry into the Trade Practices Amendment (Guaranteed Lowest Prices</w:t>
        </w:r>
        <w:r>
          <w:rPr>
            <w:rStyle w:val="Hyperlink"/>
            <w:i/>
          </w:rPr>
          <w:t xml:space="preserve"> — </w:t>
        </w:r>
        <w:r w:rsidRPr="002F73D0">
          <w:rPr>
            <w:rStyle w:val="Hyperlink"/>
            <w:i/>
          </w:rPr>
          <w:t>Blacktown Amendment) Bill 2009</w:t>
        </w:r>
      </w:hyperlink>
      <w:r>
        <w:t>.</w:t>
      </w:r>
      <w:proofErr w:type="gramEnd"/>
    </w:p>
  </w:footnote>
  <w:footnote w:id="287">
    <w:p w14:paraId="700C1C30" w14:textId="077A8B44" w:rsidR="00977786" w:rsidRDefault="00977786" w:rsidP="00FF25F3">
      <w:pPr>
        <w:pStyle w:val="FootnoteText"/>
      </w:pPr>
      <w:r w:rsidRPr="00977786">
        <w:rPr>
          <w:rStyle w:val="FootnoteReference"/>
          <w:vertAlign w:val="baseline"/>
        </w:rPr>
        <w:footnoteRef/>
      </w:r>
      <w:r>
        <w:t xml:space="preserve"> The </w:t>
      </w:r>
      <w:r w:rsidRPr="0042712A">
        <w:t>Canadian Government</w:t>
      </w:r>
      <w:r>
        <w:t xml:space="preserve"> announcement which formed part of the 2014 Budget states that the government will introduce ‘</w:t>
      </w:r>
      <w:r>
        <w:rPr>
          <w:lang w:val="en"/>
        </w:rPr>
        <w:t>legislation to prohibit unjustified cross</w:t>
      </w:r>
      <w:r>
        <w:rPr>
          <w:lang w:val="en"/>
        </w:rPr>
        <w:noBreakHyphen/>
        <w:t xml:space="preserve">border price discrimination to reduce the gap between consumer prices in Canada and the United States’. </w:t>
      </w:r>
      <w:r>
        <w:t>No further detail on the proposal is publicly available.</w:t>
      </w:r>
      <w:r>
        <w:rPr>
          <w:lang w:val="en"/>
        </w:rPr>
        <w:t xml:space="preserve"> See: </w:t>
      </w:r>
      <w:hyperlink r:id="rId199" w:history="1">
        <w:r w:rsidRPr="000768EC">
          <w:rPr>
            <w:rStyle w:val="Hyperlink"/>
          </w:rPr>
          <w:t>www.budget.gc.ca/2014/docs/plan/ch3</w:t>
        </w:r>
        <w:r>
          <w:rPr>
            <w:rStyle w:val="Hyperlink"/>
          </w:rPr>
          <w:noBreakHyphen/>
        </w:r>
        <w:r w:rsidRPr="000768EC">
          <w:rPr>
            <w:rStyle w:val="Hyperlink"/>
          </w:rPr>
          <w:t>4</w:t>
        </w:r>
        <w:r>
          <w:rPr>
            <w:rStyle w:val="Hyperlink"/>
          </w:rPr>
          <w:noBreakHyphen/>
        </w:r>
        <w:r w:rsidRPr="000768EC">
          <w:rPr>
            <w:rStyle w:val="Hyperlink"/>
          </w:rPr>
          <w:t>eng.html</w:t>
        </w:r>
      </w:hyperlink>
      <w:r>
        <w:rPr>
          <w:rStyle w:val="Hyperlink"/>
        </w:rPr>
        <w:t>.</w:t>
      </w:r>
    </w:p>
  </w:footnote>
  <w:footnote w:id="288">
    <w:p w14:paraId="1BA24FB5" w14:textId="65CD34EA" w:rsidR="00977786" w:rsidRPr="00B00D34" w:rsidRDefault="00977786" w:rsidP="00127F3A">
      <w:pPr>
        <w:pStyle w:val="FootnoteText"/>
        <w:rPr>
          <w:szCs w:val="18"/>
        </w:rPr>
      </w:pPr>
      <w:r w:rsidRPr="00977786">
        <w:rPr>
          <w:rStyle w:val="FootnoteReference"/>
          <w:vertAlign w:val="baseline"/>
        </w:rPr>
        <w:footnoteRef/>
      </w:r>
      <w:r>
        <w:t xml:space="preserve"> </w:t>
      </w:r>
      <w:proofErr w:type="gramStart"/>
      <w:r w:rsidRPr="00B4117E">
        <w:t>Bezzi</w:t>
      </w:r>
      <w:r>
        <w:t xml:space="preserve"> M</w:t>
      </w:r>
      <w:r w:rsidRPr="00B4117E">
        <w:t xml:space="preserve">, Executive General Manager ACCC, Official Committee Hansard, House of Representatives Standing Committee on Infrastructure and Communications, Information </w:t>
      </w:r>
      <w:r>
        <w:t>T</w:t>
      </w:r>
      <w:r w:rsidRPr="00B4117E">
        <w:t xml:space="preserve">echnology </w:t>
      </w:r>
      <w:r>
        <w:t>P</w:t>
      </w:r>
      <w:r w:rsidRPr="00B4117E">
        <w:t>ricing, 31 October 2012</w:t>
      </w:r>
      <w:r>
        <w:rPr>
          <w:bCs/>
        </w:rPr>
        <w:t>.</w:t>
      </w:r>
      <w:proofErr w:type="gramEnd"/>
    </w:p>
  </w:footnote>
  <w:footnote w:id="289">
    <w:p w14:paraId="3CD88661" w14:textId="525C869D" w:rsidR="00977786" w:rsidRDefault="00977786">
      <w:pPr>
        <w:pStyle w:val="FootnoteText"/>
      </w:pPr>
      <w:r w:rsidRPr="00977786">
        <w:rPr>
          <w:rStyle w:val="FootnoteReference"/>
          <w:vertAlign w:val="baseline"/>
        </w:rPr>
        <w:footnoteRef/>
      </w:r>
      <w:r>
        <w:t xml:space="preserve"> </w:t>
      </w:r>
      <w:r w:rsidRPr="00D21D5D">
        <w:t xml:space="preserve">House of Representatives Standing Committee on Infrastructure and Communications </w:t>
      </w:r>
      <w:r>
        <w:t xml:space="preserve">2013, </w:t>
      </w:r>
      <w:hyperlink r:id="rId200" w:history="1">
        <w:r w:rsidRPr="002F73D0">
          <w:rPr>
            <w:rStyle w:val="Hyperlink"/>
          </w:rPr>
          <w:t>IT pricing in Australia</w:t>
        </w:r>
      </w:hyperlink>
      <w:r>
        <w:t xml:space="preserve">. </w:t>
      </w:r>
    </w:p>
  </w:footnote>
  <w:footnote w:id="290">
    <w:p w14:paraId="62684EEF" w14:textId="62EA3EAC" w:rsidR="00977786" w:rsidRDefault="00977786">
      <w:pPr>
        <w:pStyle w:val="FootnoteText"/>
      </w:pPr>
      <w:r w:rsidRPr="00977786">
        <w:rPr>
          <w:rStyle w:val="FootnoteReference"/>
          <w:vertAlign w:val="baseline"/>
        </w:rPr>
        <w:footnoteRef/>
      </w:r>
      <w:r>
        <w:t xml:space="preserve"> </w:t>
      </w:r>
      <w:hyperlink r:id="rId201" w:anchor="chapters" w:history="1">
        <w:r>
          <w:rPr>
            <w:rStyle w:val="Hyperlink"/>
          </w:rPr>
          <w:t>Ibid.</w:t>
        </w:r>
      </w:hyperlink>
    </w:p>
  </w:footnote>
  <w:footnote w:id="291">
    <w:p w14:paraId="76C3BB68" w14:textId="02DD348E" w:rsidR="00977786" w:rsidRPr="00AF12B7" w:rsidRDefault="00977786" w:rsidP="00FF25F3">
      <w:pPr>
        <w:pStyle w:val="FootnoteText"/>
      </w:pPr>
      <w:r w:rsidRPr="00977786">
        <w:rPr>
          <w:rStyle w:val="FootnoteReference"/>
          <w:vertAlign w:val="baseline"/>
        </w:rPr>
        <w:footnoteRef/>
      </w:r>
      <w:r w:rsidRPr="00AF12B7">
        <w:t xml:space="preserve"> Trade Practices Act Review Committee 1976, </w:t>
      </w:r>
      <w:hyperlink r:id="rId202" w:history="1">
        <w:r w:rsidRPr="00AF12B7">
          <w:rPr>
            <w:rStyle w:val="Hyperlink"/>
          </w:rPr>
          <w:t>Report to the Minister for Business and Consumer Affairs</w:t>
        </w:r>
      </w:hyperlink>
      <w:r w:rsidRPr="00AF12B7">
        <w:t>, at 9.56</w:t>
      </w:r>
      <w:r>
        <w:noBreakHyphen/>
      </w:r>
      <w:r w:rsidRPr="00AF12B7">
        <w:t>9.62.</w:t>
      </w:r>
    </w:p>
  </w:footnote>
  <w:footnote w:id="292">
    <w:p w14:paraId="4DF96E6E" w14:textId="1C89C2BC" w:rsidR="00977786" w:rsidRPr="00AF12B7" w:rsidRDefault="00977786" w:rsidP="00FF25F3">
      <w:pPr>
        <w:pStyle w:val="FootnoteText"/>
      </w:pPr>
      <w:r w:rsidRPr="00977786">
        <w:rPr>
          <w:rStyle w:val="FootnoteReference"/>
          <w:vertAlign w:val="baseline"/>
        </w:rPr>
        <w:footnoteRef/>
      </w:r>
      <w:r w:rsidRPr="00AF12B7">
        <w:t xml:space="preserve"> </w:t>
      </w:r>
      <w:hyperlink r:id="rId203" w:history="1">
        <w:proofErr w:type="gramStart"/>
        <w:r w:rsidRPr="002D19DE">
          <w:rPr>
            <w:rStyle w:val="Hyperlink"/>
            <w:i/>
            <w:color w:val="auto"/>
          </w:rPr>
          <w:t>Trade Practices Revision Act 1986</w:t>
        </w:r>
      </w:hyperlink>
      <w:r w:rsidRPr="002D19DE">
        <w:rPr>
          <w:i/>
          <w:color w:val="auto"/>
        </w:rPr>
        <w:t>.</w:t>
      </w:r>
      <w:proofErr w:type="gramEnd"/>
    </w:p>
  </w:footnote>
  <w:footnote w:id="293">
    <w:p w14:paraId="750E5025" w14:textId="35F4C802" w:rsidR="00977786" w:rsidRPr="002D19DE" w:rsidRDefault="00977786" w:rsidP="00FF25F3">
      <w:pPr>
        <w:pStyle w:val="FootnoteText"/>
        <w:rPr>
          <w:color w:val="auto"/>
        </w:rPr>
      </w:pPr>
      <w:r w:rsidRPr="00977786">
        <w:rPr>
          <w:rStyle w:val="FootnoteReference"/>
          <w:vertAlign w:val="baseline"/>
        </w:rPr>
        <w:footnoteRef/>
      </w:r>
      <w:r>
        <w:t xml:space="preserve"> </w:t>
      </w:r>
      <w:proofErr w:type="gramStart"/>
      <w:r w:rsidRPr="00AF12B7">
        <w:t>For example,</w:t>
      </w:r>
      <w:r>
        <w:t xml:space="preserve"> former</w:t>
      </w:r>
      <w:r w:rsidRPr="00AF12B7">
        <w:t xml:space="preserve"> </w:t>
      </w:r>
      <w:hyperlink r:id="rId204" w:anchor="param365" w:history="1">
        <w:r w:rsidRPr="002D19DE">
          <w:rPr>
            <w:rStyle w:val="Hyperlink"/>
            <w:color w:val="auto"/>
          </w:rPr>
          <w:t xml:space="preserve">section 51AA of the then </w:t>
        </w:r>
        <w:r w:rsidRPr="002D19DE">
          <w:rPr>
            <w:rStyle w:val="Hyperlink"/>
            <w:i/>
            <w:color w:val="auto"/>
          </w:rPr>
          <w:t>Trade Practices Act 1974</w:t>
        </w:r>
      </w:hyperlink>
      <w:r w:rsidRPr="002D19DE">
        <w:rPr>
          <w:color w:val="auto"/>
        </w:rPr>
        <w:t xml:space="preserve">, inserted by the </w:t>
      </w:r>
      <w:r w:rsidRPr="002D19DE">
        <w:rPr>
          <w:i/>
          <w:color w:val="auto"/>
        </w:rPr>
        <w:t>Trade Practices Legislation Amendment Act 1992</w:t>
      </w:r>
      <w:r w:rsidRPr="002D19DE">
        <w:rPr>
          <w:color w:val="auto"/>
        </w:rPr>
        <w:t>;</w:t>
      </w:r>
      <w:r w:rsidRPr="002D19DE">
        <w:rPr>
          <w:i/>
          <w:color w:val="auto"/>
        </w:rPr>
        <w:t xml:space="preserve"> </w:t>
      </w:r>
      <w:r w:rsidRPr="002D19DE">
        <w:rPr>
          <w:color w:val="auto"/>
        </w:rPr>
        <w:t xml:space="preserve">and </w:t>
      </w:r>
      <w:hyperlink r:id="rId205" w:anchor="param365" w:history="1">
        <w:r w:rsidRPr="002D19DE">
          <w:rPr>
            <w:rStyle w:val="Hyperlink"/>
            <w:color w:val="auto"/>
          </w:rPr>
          <w:t>section 51AC</w:t>
        </w:r>
      </w:hyperlink>
      <w:r w:rsidRPr="002D19DE">
        <w:rPr>
          <w:color w:val="auto"/>
        </w:rPr>
        <w:t xml:space="preserve"> of the then </w:t>
      </w:r>
      <w:r w:rsidRPr="002D19DE">
        <w:rPr>
          <w:i/>
          <w:color w:val="auto"/>
        </w:rPr>
        <w:t>Trade Practices Act 1974</w:t>
      </w:r>
      <w:r w:rsidRPr="002D19DE">
        <w:rPr>
          <w:color w:val="auto"/>
        </w:rPr>
        <w:t xml:space="preserve">, inserted by the </w:t>
      </w:r>
      <w:r w:rsidRPr="002D19DE">
        <w:rPr>
          <w:i/>
          <w:color w:val="auto"/>
        </w:rPr>
        <w:t>Trade Practices Amendment (Fair Trading) Act 1998.</w:t>
      </w:r>
      <w:proofErr w:type="gramEnd"/>
      <w:r>
        <w:rPr>
          <w:color w:val="auto"/>
        </w:rPr>
        <w:t xml:space="preserve"> For background see </w:t>
      </w:r>
      <w:r w:rsidRPr="00660BCB">
        <w:rPr>
          <w:color w:val="auto"/>
        </w:rPr>
        <w:t>Report to the Hon Dr Craig Emerson MP Minister for Small Business, Independent Contractors and the Service Economy</w:t>
      </w:r>
      <w:r>
        <w:rPr>
          <w:color w:val="auto"/>
        </w:rPr>
        <w:t>,</w:t>
      </w:r>
      <w:r w:rsidRPr="00660BCB">
        <w:rPr>
          <w:color w:val="auto"/>
        </w:rPr>
        <w:t xml:space="preserve"> Minister for Competition Policy and Consumer Affairs</w:t>
      </w:r>
      <w:r>
        <w:rPr>
          <w:color w:val="auto"/>
        </w:rPr>
        <w:t xml:space="preserve"> 2010, </w:t>
      </w:r>
      <w:hyperlink r:id="rId206" w:history="1">
        <w:r w:rsidRPr="002F73D0">
          <w:rPr>
            <w:rStyle w:val="Hyperlink"/>
            <w:i/>
          </w:rPr>
          <w:t>Strengthening statutory unconscionable conduct and the Franchising Code of Conduct</w:t>
        </w:r>
      </w:hyperlink>
      <w:proofErr w:type="gramStart"/>
      <w:r>
        <w:rPr>
          <w:i/>
          <w:color w:val="auto"/>
        </w:rPr>
        <w:t>,</w:t>
      </w:r>
      <w:r>
        <w:rPr>
          <w:color w:val="auto"/>
        </w:rPr>
        <w:t>.</w:t>
      </w:r>
      <w:proofErr w:type="gramEnd"/>
      <w:r>
        <w:rPr>
          <w:color w:val="auto"/>
        </w:rPr>
        <w:t xml:space="preserve"> </w:t>
      </w:r>
    </w:p>
  </w:footnote>
  <w:footnote w:id="294">
    <w:p w14:paraId="412581A5" w14:textId="7752C856" w:rsidR="00977786" w:rsidRPr="002D19DE" w:rsidRDefault="00977786" w:rsidP="00FF25F3">
      <w:pPr>
        <w:pStyle w:val="FootnoteText"/>
        <w:rPr>
          <w:color w:val="auto"/>
        </w:rPr>
      </w:pPr>
      <w:r w:rsidRPr="00977786">
        <w:rPr>
          <w:rStyle w:val="FootnoteReference"/>
          <w:vertAlign w:val="baseline"/>
        </w:rPr>
        <w:footnoteRef/>
      </w:r>
      <w:r w:rsidRPr="00AF12B7">
        <w:t xml:space="preserve"> </w:t>
      </w:r>
      <w:hyperlink r:id="rId207" w:history="1">
        <w:proofErr w:type="gramStart"/>
        <w:r w:rsidRPr="002D19DE">
          <w:rPr>
            <w:rStyle w:val="Hyperlink"/>
            <w:i/>
            <w:color w:val="auto"/>
          </w:rPr>
          <w:t>Competition and Consumer Legislation Amendment Act 2011</w:t>
        </w:r>
      </w:hyperlink>
      <w:r w:rsidRPr="002D19DE">
        <w:rPr>
          <w:i/>
          <w:color w:val="auto"/>
        </w:rPr>
        <w:t>.</w:t>
      </w:r>
      <w:proofErr w:type="gramEnd"/>
    </w:p>
  </w:footnote>
  <w:footnote w:id="295">
    <w:p w14:paraId="56EB677D" w14:textId="5F7D0BE1" w:rsidR="00977786" w:rsidRPr="00AF12B7" w:rsidRDefault="00977786" w:rsidP="00FF25F3">
      <w:pPr>
        <w:pStyle w:val="FootnoteText"/>
      </w:pPr>
      <w:r w:rsidRPr="00977786">
        <w:rPr>
          <w:rStyle w:val="FootnoteReference"/>
          <w:color w:val="auto"/>
          <w:vertAlign w:val="baseline"/>
        </w:rPr>
        <w:footnoteRef/>
      </w:r>
      <w:r w:rsidRPr="002D19DE">
        <w:rPr>
          <w:color w:val="auto"/>
        </w:rPr>
        <w:t xml:space="preserve"> </w:t>
      </w:r>
      <w:proofErr w:type="gramStart"/>
      <w:r w:rsidRPr="002D19DE">
        <w:rPr>
          <w:color w:val="auto"/>
        </w:rPr>
        <w:t>Ibid.</w:t>
      </w:r>
      <w:proofErr w:type="gramEnd"/>
      <w:r w:rsidRPr="002D19DE">
        <w:rPr>
          <w:color w:val="auto"/>
        </w:rPr>
        <w:t xml:space="preserve"> See </w:t>
      </w:r>
      <w:hyperlink r:id="rId208" w:anchor="australian_consumer_law" w:history="1">
        <w:r w:rsidRPr="002D19DE">
          <w:rPr>
            <w:rStyle w:val="Hyperlink"/>
            <w:color w:val="auto"/>
          </w:rPr>
          <w:t xml:space="preserve">section 22 of the </w:t>
        </w:r>
        <w:r>
          <w:rPr>
            <w:rStyle w:val="Hyperlink"/>
            <w:color w:val="auto"/>
          </w:rPr>
          <w:t>Australian Consumer Law (ACL)</w:t>
        </w:r>
        <w:r w:rsidRPr="002D19DE">
          <w:rPr>
            <w:rStyle w:val="Hyperlink"/>
            <w:color w:val="auto"/>
          </w:rPr>
          <w:t xml:space="preserve"> and Part 2</w:t>
        </w:r>
        <w:r>
          <w:rPr>
            <w:rStyle w:val="Hyperlink"/>
            <w:color w:val="auto"/>
          </w:rPr>
          <w:noBreakHyphen/>
        </w:r>
        <w:r w:rsidRPr="002D19DE">
          <w:rPr>
            <w:rStyle w:val="Hyperlink"/>
            <w:color w:val="auto"/>
          </w:rPr>
          <w:t>2 of the ACL</w:t>
        </w:r>
      </w:hyperlink>
      <w:r w:rsidRPr="002D19DE">
        <w:rPr>
          <w:color w:val="auto"/>
        </w:rPr>
        <w:t xml:space="preserve"> more generally</w:t>
      </w:r>
      <w:r w:rsidRPr="00AF12B7">
        <w:t>.</w:t>
      </w:r>
    </w:p>
  </w:footnote>
  <w:footnote w:id="296">
    <w:p w14:paraId="1FEE0A5E" w14:textId="5A956731" w:rsidR="00977786" w:rsidRPr="00E607A5" w:rsidRDefault="00977786" w:rsidP="00FF25F3">
      <w:pPr>
        <w:pStyle w:val="FootnoteText"/>
      </w:pPr>
      <w:r w:rsidRPr="00977786">
        <w:rPr>
          <w:rStyle w:val="FootnoteReference"/>
          <w:vertAlign w:val="baseline"/>
        </w:rPr>
        <w:footnoteRef/>
      </w:r>
      <w:r w:rsidRPr="00C65D9F">
        <w:rPr>
          <w:rStyle w:val="FootnoteReference"/>
        </w:rPr>
        <w:t xml:space="preserve"> </w:t>
      </w:r>
      <w:r>
        <w:rPr>
          <w:color w:val="auto"/>
        </w:rPr>
        <w:t xml:space="preserve">See </w:t>
      </w:r>
      <w:hyperlink r:id="rId209" w:history="1">
        <w:r w:rsidRPr="002D19DE">
          <w:rPr>
            <w:rStyle w:val="Hyperlink"/>
            <w:color w:val="auto"/>
          </w:rPr>
          <w:t>Min</w:t>
        </w:r>
        <w:r>
          <w:rPr>
            <w:rStyle w:val="Hyperlink"/>
            <w:color w:val="auto"/>
          </w:rPr>
          <w:t>i</w:t>
        </w:r>
        <w:r w:rsidRPr="002D19DE">
          <w:rPr>
            <w:rStyle w:val="Hyperlink"/>
            <w:color w:val="auto"/>
          </w:rPr>
          <w:t>ster</w:t>
        </w:r>
        <w:r>
          <w:rPr>
            <w:rStyle w:val="Hyperlink"/>
            <w:color w:val="auto"/>
          </w:rPr>
          <w:t xml:space="preserve"> Reith’</w:t>
        </w:r>
        <w:r w:rsidRPr="002D19DE">
          <w:rPr>
            <w:rStyle w:val="Hyperlink"/>
            <w:color w:val="auto"/>
          </w:rPr>
          <w:t>s second reading speech</w:t>
        </w:r>
      </w:hyperlink>
      <w:r>
        <w:t xml:space="preserve"> to the </w:t>
      </w:r>
      <w:r w:rsidRPr="00C65D9F">
        <w:t>Trade Practices Amendment (Fair Trading) Bill 1997</w:t>
      </w:r>
      <w:r>
        <w:t>.</w:t>
      </w:r>
      <w:r w:rsidRPr="003841D8">
        <w:t xml:space="preserve"> Prohibitions against unfair contract terms are also aimed at addressing unequal bargaining power. These provisions were introduced as part of the ACL reforms in 2010 to protect consumers from unfair terms in standard form contracts and reflect concerns that consumers have little or no opportunity to negotiate with businesses about such contracts</w:t>
      </w:r>
      <w:r>
        <w:t xml:space="preserve"> — see </w:t>
      </w:r>
      <w:hyperlink r:id="rId210" w:history="1">
        <w:r w:rsidRPr="002D19DE">
          <w:rPr>
            <w:rStyle w:val="Hyperlink"/>
            <w:color w:val="auto"/>
          </w:rPr>
          <w:t>Minister</w:t>
        </w:r>
        <w:r>
          <w:rPr>
            <w:rStyle w:val="Hyperlink"/>
            <w:color w:val="auto"/>
          </w:rPr>
          <w:t xml:space="preserve"> Emerson’</w:t>
        </w:r>
        <w:r w:rsidRPr="002D19DE">
          <w:rPr>
            <w:rStyle w:val="Hyperlink"/>
            <w:color w:val="auto"/>
          </w:rPr>
          <w:t>s second reading speech</w:t>
        </w:r>
      </w:hyperlink>
      <w:r w:rsidRPr="002D19DE">
        <w:rPr>
          <w:color w:val="auto"/>
        </w:rPr>
        <w:t xml:space="preserve"> to the T</w:t>
      </w:r>
      <w:r w:rsidRPr="00AF12B7">
        <w:t>rade Practices Amendment (Australian Consumer Law) Bill 2010.</w:t>
      </w:r>
      <w:r>
        <w:t xml:space="preserve"> The Australian Government announced prior to the 2013 election that it would seek to extend the ACL protections dealing with unfair contract terms to small business. — see </w:t>
      </w:r>
      <w:hyperlink r:id="rId211" w:history="1">
        <w:r w:rsidRPr="000768EC">
          <w:rPr>
            <w:rStyle w:val="Hyperlink"/>
          </w:rPr>
          <w:t>www.treasury.gov.au/ConsultationsandReviews/Consultations/2014/Small</w:t>
        </w:r>
        <w:r>
          <w:rPr>
            <w:rStyle w:val="Hyperlink"/>
          </w:rPr>
          <w:noBreakHyphen/>
        </w:r>
        <w:r w:rsidRPr="000768EC">
          <w:rPr>
            <w:rStyle w:val="Hyperlink"/>
          </w:rPr>
          <w:t>Business</w:t>
        </w:r>
        <w:r>
          <w:rPr>
            <w:rStyle w:val="Hyperlink"/>
          </w:rPr>
          <w:noBreakHyphen/>
        </w:r>
        <w:r w:rsidRPr="000768EC">
          <w:rPr>
            <w:rStyle w:val="Hyperlink"/>
          </w:rPr>
          <w:t>and</w:t>
        </w:r>
        <w:r>
          <w:rPr>
            <w:rStyle w:val="Hyperlink"/>
          </w:rPr>
          <w:noBreakHyphen/>
        </w:r>
        <w:r w:rsidRPr="000768EC">
          <w:rPr>
            <w:rStyle w:val="Hyperlink"/>
          </w:rPr>
          <w:t>Unfair</w:t>
        </w:r>
        <w:r>
          <w:rPr>
            <w:rStyle w:val="Hyperlink"/>
          </w:rPr>
          <w:noBreakHyphen/>
        </w:r>
        <w:r w:rsidRPr="000768EC">
          <w:rPr>
            <w:rStyle w:val="Hyperlink"/>
          </w:rPr>
          <w:t>Contract</w:t>
        </w:r>
        <w:r>
          <w:rPr>
            <w:rStyle w:val="Hyperlink"/>
          </w:rPr>
          <w:noBreakHyphen/>
        </w:r>
        <w:r w:rsidRPr="000768EC">
          <w:rPr>
            <w:rStyle w:val="Hyperlink"/>
          </w:rPr>
          <w:t>Terms</w:t>
        </w:r>
      </w:hyperlink>
      <w:r>
        <w:t xml:space="preserve">. </w:t>
      </w:r>
    </w:p>
  </w:footnote>
  <w:footnote w:id="297">
    <w:p w14:paraId="388062DD" w14:textId="45666451" w:rsidR="00977786" w:rsidRDefault="00977786">
      <w:pPr>
        <w:pStyle w:val="FootnoteText"/>
      </w:pPr>
      <w:r w:rsidRPr="00977786">
        <w:rPr>
          <w:rStyle w:val="FootnoteReference"/>
          <w:vertAlign w:val="baseline"/>
        </w:rPr>
        <w:footnoteRef/>
      </w:r>
      <w:r>
        <w:t xml:space="preserve"> See for example </w:t>
      </w:r>
      <w:r w:rsidRPr="0026439E">
        <w:t>AgForce Queensland</w:t>
      </w:r>
      <w:proofErr w:type="gramStart"/>
      <w:r>
        <w:t>,page</w:t>
      </w:r>
      <w:proofErr w:type="gramEnd"/>
      <w:r>
        <w:t xml:space="preserve"> 2, </w:t>
      </w:r>
      <w:r w:rsidRPr="0026439E">
        <w:t>Australian Chicken Growers</w:t>
      </w:r>
      <w:r>
        <w:t>’</w:t>
      </w:r>
      <w:r w:rsidRPr="0026439E">
        <w:t xml:space="preserve"> Council Limited</w:t>
      </w:r>
      <w:r>
        <w:t>, pages 7</w:t>
      </w:r>
      <w:r>
        <w:noBreakHyphen/>
        <w:t xml:space="preserve">8, </w:t>
      </w:r>
      <w:r w:rsidRPr="0026439E">
        <w:t>Australian Dairy Farmers Limited</w:t>
      </w:r>
      <w:r>
        <w:t>, pages 9</w:t>
      </w:r>
      <w:r>
        <w:noBreakHyphen/>
        <w:t xml:space="preserve">10, </w:t>
      </w:r>
      <w:r w:rsidRPr="0026439E">
        <w:t>Australian Newsagents</w:t>
      </w:r>
      <w:r>
        <w:t>’</w:t>
      </w:r>
      <w:r w:rsidRPr="0026439E">
        <w:t xml:space="preserve"> Federation</w:t>
      </w:r>
      <w:r>
        <w:t>, page 11, National Farmers’ Federation, page 7.</w:t>
      </w:r>
    </w:p>
  </w:footnote>
  <w:footnote w:id="298">
    <w:p w14:paraId="76A73533" w14:textId="57D20552" w:rsidR="00977786" w:rsidRPr="008E3472" w:rsidRDefault="00977786" w:rsidP="00FF25F3">
      <w:pPr>
        <w:pStyle w:val="FootnoteText"/>
      </w:pPr>
      <w:r w:rsidRPr="00977786">
        <w:rPr>
          <w:rStyle w:val="FootnoteReference"/>
          <w:vertAlign w:val="baseline"/>
        </w:rPr>
        <w:footnoteRef/>
      </w:r>
      <w:r w:rsidRPr="008E3472">
        <w:t xml:space="preserve"> Subsection</w:t>
      </w:r>
      <w:r>
        <w:t> </w:t>
      </w:r>
      <w:proofErr w:type="gramStart"/>
      <w:r w:rsidRPr="008E3472">
        <w:t>51ACA(</w:t>
      </w:r>
      <w:proofErr w:type="gramEnd"/>
      <w:r w:rsidRPr="008E3472">
        <w:t>1)</w:t>
      </w:r>
      <w:r>
        <w:t xml:space="preserve"> of the </w:t>
      </w:r>
      <w:r w:rsidRPr="00AB0460">
        <w:rPr>
          <w:i/>
        </w:rPr>
        <w:t>Competition and Consumer Act 2010</w:t>
      </w:r>
      <w:r>
        <w:t>.</w:t>
      </w:r>
    </w:p>
  </w:footnote>
  <w:footnote w:id="299">
    <w:p w14:paraId="37DDD347" w14:textId="1B7138E7" w:rsidR="00977786" w:rsidRDefault="00977786" w:rsidP="0054403D">
      <w:pPr>
        <w:pStyle w:val="FootnoteText"/>
      </w:pPr>
      <w:r w:rsidRPr="00977786">
        <w:rPr>
          <w:rStyle w:val="FootnoteReference"/>
          <w:vertAlign w:val="baseline"/>
        </w:rPr>
        <w:footnoteRef/>
      </w:r>
      <w:r w:rsidRPr="00715D15">
        <w:t xml:space="preserve"> The language used in the CCA is confusing, as voluntary codes may be created by legislation or ministerial order. The paradox of this is noted by Freiberg who states </w:t>
      </w:r>
      <w:r>
        <w:t>‘</w:t>
      </w:r>
      <w:r w:rsidRPr="00715D15">
        <w:t xml:space="preserve">There are thousands of voluntary codes of conduct or practice that operate independently of government. However and possibly oxymoronically </w:t>
      </w:r>
      <w:r>
        <w:t>‘</w:t>
      </w:r>
      <w:r w:rsidRPr="00715D15">
        <w:t>voluntary codes</w:t>
      </w:r>
      <w:r>
        <w:t>’</w:t>
      </w:r>
      <w:r w:rsidRPr="00715D15">
        <w:t xml:space="preserve"> may be recognised or created by legislation or ministerial order.</w:t>
      </w:r>
      <w:r>
        <w:t>’</w:t>
      </w:r>
      <w:r w:rsidRPr="00715D15">
        <w:t xml:space="preserve"> Freiberg</w:t>
      </w:r>
      <w:r>
        <w:t>, A 2010, The Tools of Regulation,</w:t>
      </w:r>
      <w:r w:rsidRPr="00715D15">
        <w:t xml:space="preserve"> p</w:t>
      </w:r>
      <w:r>
        <w:t>age</w:t>
      </w:r>
      <w:r w:rsidRPr="00715D15">
        <w:t xml:space="preserve"> 192</w:t>
      </w:r>
      <w:r>
        <w:t>.</w:t>
      </w:r>
    </w:p>
  </w:footnote>
  <w:footnote w:id="300">
    <w:p w14:paraId="0CA2EC77" w14:textId="4D687C74" w:rsidR="00977786" w:rsidRDefault="00977786">
      <w:pPr>
        <w:pStyle w:val="FootnoteText"/>
      </w:pPr>
      <w:r w:rsidRPr="00977786">
        <w:rPr>
          <w:rStyle w:val="FootnoteReference"/>
          <w:vertAlign w:val="baseline"/>
        </w:rPr>
        <w:footnoteRef/>
      </w:r>
      <w:r>
        <w:t xml:space="preserve"> See for example </w:t>
      </w:r>
      <w:r w:rsidRPr="0085548E">
        <w:t>AgForce Queensland</w:t>
      </w:r>
      <w:r>
        <w:t>,</w:t>
      </w:r>
      <w:r w:rsidRPr="0085548E">
        <w:t xml:space="preserve"> page </w:t>
      </w:r>
      <w:r>
        <w:t xml:space="preserve">2, </w:t>
      </w:r>
      <w:r w:rsidRPr="0085548E">
        <w:t>Australian Automotive Dealer Association</w:t>
      </w:r>
      <w:r>
        <w:t>, pages 7</w:t>
      </w:r>
      <w:r>
        <w:noBreakHyphen/>
        <w:t xml:space="preserve">8, </w:t>
      </w:r>
      <w:r w:rsidRPr="0085548E">
        <w:t>Australian Dairy Farmers Limited</w:t>
      </w:r>
      <w:r>
        <w:t>, page 12, Australian Food and Grocery Council, pages 29</w:t>
      </w:r>
      <w:r>
        <w:noBreakHyphen/>
        <w:t xml:space="preserve">30, </w:t>
      </w:r>
      <w:r w:rsidRPr="0085548E">
        <w:t>Australian Forest Products Association</w:t>
      </w:r>
      <w:r>
        <w:t xml:space="preserve">, page 2, </w:t>
      </w:r>
      <w:r w:rsidRPr="0085548E">
        <w:t>Australian National Retailers Association</w:t>
      </w:r>
      <w:r>
        <w:t>, pages 48</w:t>
      </w:r>
      <w:r>
        <w:noBreakHyphen/>
        <w:t>49, CHOICE, pages 36</w:t>
      </w:r>
      <w:r>
        <w:noBreakHyphen/>
        <w:t>43, Consumer Action Law Centre, pages 21</w:t>
      </w:r>
      <w:r>
        <w:noBreakHyphen/>
        <w:t xml:space="preserve">24, </w:t>
      </w:r>
      <w:r w:rsidRPr="004C7D6A">
        <w:t>Insurance Australia Group</w:t>
      </w:r>
      <w:r>
        <w:t xml:space="preserve">, page 16, </w:t>
      </w:r>
      <w:r w:rsidRPr="004C7D6A">
        <w:t>Master Grocers Australia</w:t>
      </w:r>
      <w:r>
        <w:t>, pages 53</w:t>
      </w:r>
      <w:r>
        <w:noBreakHyphen/>
        <w:t>57, National Farmers’ Federation, pages 10</w:t>
      </w:r>
      <w:r>
        <w:noBreakHyphen/>
        <w:t>11.</w:t>
      </w:r>
    </w:p>
  </w:footnote>
  <w:footnote w:id="301">
    <w:p w14:paraId="4A6A44A9" w14:textId="10CEF513" w:rsidR="00977786" w:rsidRDefault="00977786">
      <w:pPr>
        <w:pStyle w:val="FootnoteText"/>
      </w:pPr>
      <w:r w:rsidRPr="00977786">
        <w:rPr>
          <w:rStyle w:val="FootnoteReference"/>
          <w:vertAlign w:val="baseline"/>
        </w:rPr>
        <w:footnoteRef/>
      </w:r>
      <w:r>
        <w:t xml:space="preserve"> See The Treasury </w:t>
      </w:r>
      <w:hyperlink r:id="rId212" w:history="1">
        <w:r w:rsidRPr="00BE4429">
          <w:rPr>
            <w:rStyle w:val="Hyperlink"/>
            <w:color w:val="auto"/>
          </w:rPr>
          <w:t>2014,</w:t>
        </w:r>
        <w:r w:rsidRPr="002B0EBD">
          <w:rPr>
            <w:rStyle w:val="Hyperlink"/>
          </w:rPr>
          <w:t xml:space="preserve"> </w:t>
        </w:r>
        <w:r w:rsidRPr="00BE4429">
          <w:rPr>
            <w:rStyle w:val="Hyperlink"/>
          </w:rPr>
          <w:t>Amendments to the Franchising Code and the Competition and Consumer Act</w:t>
        </w:r>
      </w:hyperlink>
      <w:r>
        <w:t xml:space="preserve">. </w:t>
      </w:r>
    </w:p>
  </w:footnote>
  <w:footnote w:id="302">
    <w:p w14:paraId="1461264F" w14:textId="2753E31B" w:rsidR="00977786" w:rsidRDefault="00977786" w:rsidP="00FF25F3">
      <w:pPr>
        <w:pStyle w:val="FootnoteText"/>
      </w:pPr>
      <w:r w:rsidRPr="00977786">
        <w:rPr>
          <w:rStyle w:val="FootnoteReference"/>
          <w:vertAlign w:val="baseline"/>
        </w:rPr>
        <w:footnoteRef/>
      </w:r>
      <w:r>
        <w:t xml:space="preserve"> </w:t>
      </w:r>
      <w:proofErr w:type="gramStart"/>
      <w:r>
        <w:t xml:space="preserve">Trade Practices Act Review Committee 2003, </w:t>
      </w:r>
      <w:hyperlink r:id="rId213" w:history="1">
        <w:r w:rsidRPr="00E607A5">
          <w:rPr>
            <w:rStyle w:val="Hyperlink"/>
            <w:i/>
          </w:rPr>
          <w:t>Review of the Competition Provisions of the Trade Practices Act</w:t>
        </w:r>
      </w:hyperlink>
      <w:r>
        <w:t>.</w:t>
      </w:r>
      <w:proofErr w:type="gramEnd"/>
    </w:p>
  </w:footnote>
  <w:footnote w:id="303">
    <w:p w14:paraId="6E074EE2" w14:textId="637DCC93" w:rsidR="00977786" w:rsidRDefault="00977786" w:rsidP="00FF25F3">
      <w:pPr>
        <w:pStyle w:val="FootnoteText"/>
      </w:pPr>
      <w:r w:rsidRPr="00977786">
        <w:rPr>
          <w:rStyle w:val="FootnoteReference"/>
          <w:vertAlign w:val="baseline"/>
        </w:rPr>
        <w:footnoteRef/>
      </w:r>
      <w:r>
        <w:t xml:space="preserve"> OECD 1998, </w:t>
      </w:r>
      <w:hyperlink r:id="rId214" w:history="1">
        <w:r w:rsidRPr="002F73D0">
          <w:rPr>
            <w:rStyle w:val="Hyperlink"/>
          </w:rPr>
          <w:t xml:space="preserve">Recommendation of the Council concerning Effective Action </w:t>
        </w:r>
        <w:proofErr w:type="gramStart"/>
        <w:r w:rsidRPr="002F73D0">
          <w:rPr>
            <w:rStyle w:val="Hyperlink"/>
          </w:rPr>
          <w:t>Against</w:t>
        </w:r>
        <w:proofErr w:type="gramEnd"/>
        <w:r w:rsidRPr="002F73D0">
          <w:rPr>
            <w:rStyle w:val="Hyperlink"/>
          </w:rPr>
          <w:t xml:space="preserve"> Hard Core Cartels</w:t>
        </w:r>
      </w:hyperlink>
      <w:r>
        <w:t>.</w:t>
      </w:r>
    </w:p>
  </w:footnote>
  <w:footnote w:id="304">
    <w:p w14:paraId="037EFE6D" w14:textId="72D844B4" w:rsidR="00977786" w:rsidRDefault="00977786">
      <w:pPr>
        <w:pStyle w:val="FootnoteText"/>
      </w:pPr>
      <w:r w:rsidRPr="00977786">
        <w:rPr>
          <w:rStyle w:val="FootnoteReference"/>
          <w:vertAlign w:val="baseline"/>
        </w:rPr>
        <w:footnoteRef/>
      </w:r>
      <w:r>
        <w:t xml:space="preserve"> See Stewart, I B, p 13</w:t>
      </w:r>
      <w:r>
        <w:rPr>
          <w:color w:val="1F497D" w:themeColor="dark2"/>
        </w:rPr>
        <w:t>;</w:t>
      </w:r>
      <w:r>
        <w:t xml:space="preserve"> BHP Billiton, page 41.</w:t>
      </w:r>
    </w:p>
  </w:footnote>
  <w:footnote w:id="305">
    <w:p w14:paraId="07421F29" w14:textId="6CEA56B6" w:rsidR="00977786" w:rsidRDefault="00977786">
      <w:pPr>
        <w:pStyle w:val="FootnoteText"/>
      </w:pPr>
      <w:r w:rsidRPr="00977786">
        <w:rPr>
          <w:rStyle w:val="FootnoteReference"/>
          <w:vertAlign w:val="baseline"/>
        </w:rPr>
        <w:footnoteRef/>
      </w:r>
      <w:r>
        <w:t xml:space="preserve"> </w:t>
      </w:r>
      <w:r w:rsidRPr="00085B28">
        <w:t>Business</w:t>
      </w:r>
      <w:r>
        <w:t xml:space="preserve"> Law Section of the Law Council, pages 50</w:t>
      </w:r>
      <w:r>
        <w:noBreakHyphen/>
        <w:t>52, Arnold Bloch Leibler, page 2, Baker and McKenzie, page 1 and Beaton</w:t>
      </w:r>
      <w:r>
        <w:noBreakHyphen/>
        <w:t>Wells C and Fisse B, page 9.</w:t>
      </w:r>
    </w:p>
  </w:footnote>
  <w:footnote w:id="306">
    <w:p w14:paraId="00F853F5" w14:textId="62702E66" w:rsidR="00977786" w:rsidRDefault="00977786" w:rsidP="004F7853">
      <w:pPr>
        <w:pStyle w:val="FootnoteText"/>
      </w:pPr>
      <w:r w:rsidRPr="00977786">
        <w:rPr>
          <w:rStyle w:val="FootnoteReference"/>
          <w:vertAlign w:val="baseline"/>
        </w:rPr>
        <w:footnoteRef/>
      </w:r>
      <w:r>
        <w:t xml:space="preserve"> </w:t>
      </w:r>
      <w:proofErr w:type="gramStart"/>
      <w:r w:rsidRPr="004F7853">
        <w:t>Norcast S.ár.L v Bradken Limited (No 2) [2013] FCA 235</w:t>
      </w:r>
      <w:r>
        <w:t>.</w:t>
      </w:r>
      <w:proofErr w:type="gramEnd"/>
    </w:p>
  </w:footnote>
  <w:footnote w:id="307">
    <w:p w14:paraId="54925B12" w14:textId="0FCF1731" w:rsidR="00977786" w:rsidRDefault="00977786">
      <w:pPr>
        <w:pStyle w:val="FootnoteText"/>
      </w:pPr>
      <w:r w:rsidRPr="00977786">
        <w:rPr>
          <w:rStyle w:val="FootnoteReference"/>
          <w:vertAlign w:val="baseline"/>
        </w:rPr>
        <w:footnoteRef/>
      </w:r>
      <w:r>
        <w:t xml:space="preserve"> </w:t>
      </w:r>
      <w:proofErr w:type="gramStart"/>
      <w:r>
        <w:t>Ibid, at para 259.</w:t>
      </w:r>
      <w:proofErr w:type="gramEnd"/>
    </w:p>
  </w:footnote>
  <w:footnote w:id="308">
    <w:p w14:paraId="614E7836" w14:textId="5BDBA46C" w:rsidR="00977786" w:rsidRDefault="00977786">
      <w:pPr>
        <w:pStyle w:val="FootnoteText"/>
      </w:pPr>
      <w:r w:rsidRPr="00977786">
        <w:rPr>
          <w:rStyle w:val="FootnoteReference"/>
          <w:vertAlign w:val="baseline"/>
        </w:rPr>
        <w:footnoteRef/>
      </w:r>
      <w:r>
        <w:t xml:space="preserve"> </w:t>
      </w:r>
      <w:r w:rsidRPr="003E126C">
        <w:t xml:space="preserve">See for example Arnold Bloch Leibler, page 3, Baker and McKenzie, page 3, Beaton-Wells, C and Fisse, B, pages 13-14, Consult Australia, pages 1-2, International Bar Association (Antitrust Committee), pages 25-26, Law Council of Australia, Business Law Section, page 9, Minter Ellison, page 5, Queensland Law Society, pages 10-12 </w:t>
      </w:r>
      <w:r>
        <w:t xml:space="preserve">and </w:t>
      </w:r>
      <w:r w:rsidRPr="003E126C">
        <w:t>Shopping Centre Council of Australia, pages 25-27.</w:t>
      </w:r>
    </w:p>
  </w:footnote>
  <w:footnote w:id="309">
    <w:p w14:paraId="68F99819" w14:textId="277991B2" w:rsidR="00977786" w:rsidRDefault="00977786" w:rsidP="00FF25F3">
      <w:pPr>
        <w:pStyle w:val="FootnoteText"/>
      </w:pPr>
      <w:r w:rsidRPr="00977786">
        <w:rPr>
          <w:rStyle w:val="FootnoteReference"/>
          <w:vertAlign w:val="baseline"/>
        </w:rPr>
        <w:footnoteRef/>
      </w:r>
      <w:r>
        <w:t xml:space="preserve"> </w:t>
      </w:r>
      <w:proofErr w:type="gramStart"/>
      <w:r w:rsidRPr="005B1CB8">
        <w:t>ACCC</w:t>
      </w:r>
      <w:r>
        <w:t xml:space="preserve"> 2014</w:t>
      </w:r>
      <w:r w:rsidRPr="005B1CB8">
        <w:t xml:space="preserve">, </w:t>
      </w:r>
      <w:hyperlink r:id="rId215" w:history="1">
        <w:r w:rsidRPr="00CD23F3">
          <w:rPr>
            <w:rStyle w:val="Hyperlink"/>
            <w:i/>
          </w:rPr>
          <w:t>Immunity &amp; cooperation policy for cartel conduct</w:t>
        </w:r>
      </w:hyperlink>
      <w:r>
        <w:t>.</w:t>
      </w:r>
      <w:proofErr w:type="gramEnd"/>
    </w:p>
  </w:footnote>
  <w:footnote w:id="310">
    <w:p w14:paraId="4A4CE60D" w14:textId="14E9F924" w:rsidR="00977786" w:rsidRDefault="00977786" w:rsidP="00FF25F3">
      <w:pPr>
        <w:pStyle w:val="FootnoteText"/>
      </w:pPr>
      <w:r w:rsidRPr="00977786">
        <w:rPr>
          <w:rStyle w:val="FootnoteReference"/>
          <w:vertAlign w:val="baseline"/>
        </w:rPr>
        <w:footnoteRef/>
      </w:r>
      <w:r>
        <w:t xml:space="preserve"> Ibid.</w:t>
      </w:r>
    </w:p>
  </w:footnote>
  <w:footnote w:id="311">
    <w:p w14:paraId="03225AF1" w14:textId="74A57ABA" w:rsidR="00977786" w:rsidRDefault="00977786" w:rsidP="00FF25F3">
      <w:pPr>
        <w:pStyle w:val="FootnoteText"/>
      </w:pPr>
      <w:r w:rsidRPr="00977786">
        <w:rPr>
          <w:rStyle w:val="FootnoteReference"/>
          <w:vertAlign w:val="baseline"/>
        </w:rPr>
        <w:footnoteRef/>
      </w:r>
      <w:r>
        <w:t xml:space="preserve"> ACCC media release, </w:t>
      </w:r>
      <w:r w:rsidRPr="00CE2A8C">
        <w:t xml:space="preserve">MR </w:t>
      </w:r>
      <w:r>
        <w:t>225</w:t>
      </w:r>
      <w:r w:rsidRPr="00CE2A8C">
        <w:t>/14</w:t>
      </w:r>
      <w:r>
        <w:t xml:space="preserve">, </w:t>
      </w:r>
      <w:hyperlink r:id="rId216" w:history="1">
        <w:r w:rsidRPr="000D14D5">
          <w:rPr>
            <w:rStyle w:val="Hyperlink"/>
          </w:rPr>
          <w:t>www.accc.gov.au/media</w:t>
        </w:r>
        <w:r>
          <w:rPr>
            <w:rStyle w:val="Hyperlink"/>
          </w:rPr>
          <w:noBreakHyphen/>
        </w:r>
        <w:r w:rsidRPr="000D14D5">
          <w:rPr>
            <w:rStyle w:val="Hyperlink"/>
          </w:rPr>
          <w:t>release/updated</w:t>
        </w:r>
        <w:r>
          <w:rPr>
            <w:rStyle w:val="Hyperlink"/>
          </w:rPr>
          <w:noBreakHyphen/>
        </w:r>
        <w:r w:rsidRPr="000D14D5">
          <w:rPr>
            <w:rStyle w:val="Hyperlink"/>
          </w:rPr>
          <w:t>immunity</w:t>
        </w:r>
        <w:r>
          <w:rPr>
            <w:rStyle w:val="Hyperlink"/>
          </w:rPr>
          <w:noBreakHyphen/>
        </w:r>
        <w:r w:rsidRPr="000D14D5">
          <w:rPr>
            <w:rStyle w:val="Hyperlink"/>
          </w:rPr>
          <w:t>policy</w:t>
        </w:r>
        <w:r>
          <w:rPr>
            <w:rStyle w:val="Hyperlink"/>
          </w:rPr>
          <w:noBreakHyphen/>
        </w:r>
        <w:r w:rsidRPr="000D14D5">
          <w:rPr>
            <w:rStyle w:val="Hyperlink"/>
          </w:rPr>
          <w:t>to</w:t>
        </w:r>
        <w:r>
          <w:rPr>
            <w:rStyle w:val="Hyperlink"/>
          </w:rPr>
          <w:noBreakHyphen/>
        </w:r>
        <w:r w:rsidRPr="000D14D5">
          <w:rPr>
            <w:rStyle w:val="Hyperlink"/>
          </w:rPr>
          <w:t>uncover</w:t>
        </w:r>
        <w:r>
          <w:rPr>
            <w:rStyle w:val="Hyperlink"/>
          </w:rPr>
          <w:noBreakHyphen/>
        </w:r>
        <w:r w:rsidRPr="000D14D5">
          <w:rPr>
            <w:rStyle w:val="Hyperlink"/>
          </w:rPr>
          <w:t>cartel</w:t>
        </w:r>
        <w:r>
          <w:rPr>
            <w:rStyle w:val="Hyperlink"/>
          </w:rPr>
          <w:noBreakHyphen/>
        </w:r>
        <w:r w:rsidRPr="000D14D5">
          <w:rPr>
            <w:rStyle w:val="Hyperlink"/>
          </w:rPr>
          <w:t>conduct</w:t>
        </w:r>
      </w:hyperlink>
      <w:r>
        <w:t>.</w:t>
      </w:r>
    </w:p>
  </w:footnote>
  <w:footnote w:id="312">
    <w:p w14:paraId="248F2A91" w14:textId="28F1D9A4" w:rsidR="00977786" w:rsidRDefault="00977786">
      <w:pPr>
        <w:pStyle w:val="FootnoteText"/>
      </w:pPr>
      <w:r w:rsidRPr="00977786">
        <w:rPr>
          <w:rStyle w:val="FootnoteReference"/>
          <w:vertAlign w:val="baseline"/>
        </w:rPr>
        <w:footnoteRef/>
      </w:r>
      <w:r>
        <w:t xml:space="preserve"> </w:t>
      </w:r>
      <w:r w:rsidRPr="00D12A0E">
        <w:t>Beaton</w:t>
      </w:r>
      <w:r>
        <w:noBreakHyphen/>
      </w:r>
      <w:r w:rsidRPr="00D12A0E">
        <w:t>Wells, C and Fisse, B</w:t>
      </w:r>
      <w:r>
        <w:t xml:space="preserve">, page 31; </w:t>
      </w:r>
      <w:r w:rsidRPr="00D12A0E">
        <w:t>Law Council of Australia, Business Law Section</w:t>
      </w:r>
      <w:r>
        <w:t>, page 56.</w:t>
      </w:r>
    </w:p>
  </w:footnote>
  <w:footnote w:id="313">
    <w:p w14:paraId="47EA2074" w14:textId="6E837CCB" w:rsidR="00977786" w:rsidRPr="001F190E" w:rsidRDefault="00977786" w:rsidP="0039012D">
      <w:pPr>
        <w:pStyle w:val="FootnoteText"/>
      </w:pPr>
      <w:r w:rsidRPr="00977786">
        <w:rPr>
          <w:rStyle w:val="FootnoteReference"/>
          <w:vertAlign w:val="baseline"/>
        </w:rPr>
        <w:footnoteRef/>
      </w:r>
      <w:r>
        <w:t xml:space="preserve"> </w:t>
      </w:r>
      <w:proofErr w:type="gramStart"/>
      <w:r>
        <w:t>Reg 48,</w:t>
      </w:r>
      <w:r>
        <w:rPr>
          <w:i/>
        </w:rPr>
        <w:t xml:space="preserve"> Competition and Consumer Regulations 2010</w:t>
      </w:r>
      <w:r>
        <w:t>.</w:t>
      </w:r>
      <w:proofErr w:type="gramEnd"/>
    </w:p>
  </w:footnote>
  <w:footnote w:id="314">
    <w:p w14:paraId="222EBE7E" w14:textId="12ABD395" w:rsidR="00977786" w:rsidRPr="00B4260E" w:rsidRDefault="00977786" w:rsidP="00FF25F3">
      <w:pPr>
        <w:pStyle w:val="FootnoteText"/>
      </w:pPr>
      <w:r w:rsidRPr="00977786">
        <w:rPr>
          <w:rStyle w:val="FootnoteReference"/>
          <w:vertAlign w:val="baseline"/>
        </w:rPr>
        <w:footnoteRef/>
      </w:r>
      <w:r>
        <w:t xml:space="preserve"> ACCC 2007, </w:t>
      </w:r>
      <w:hyperlink r:id="rId217" w:history="1">
        <w:r w:rsidRPr="00AB0460">
          <w:rPr>
            <w:rStyle w:val="Hyperlink"/>
          </w:rPr>
          <w:t>Petrol Prices and Australian Consumers</w:t>
        </w:r>
        <w:r>
          <w:rPr>
            <w:rStyle w:val="Hyperlink"/>
          </w:rPr>
          <w:t xml:space="preserve"> — </w:t>
        </w:r>
        <w:r w:rsidRPr="00AB0460">
          <w:rPr>
            <w:rStyle w:val="Hyperlink"/>
          </w:rPr>
          <w:t>Report of the ACCC Inquiry into the price of unleaded petrol</w:t>
        </w:r>
      </w:hyperlink>
      <w:r w:rsidRPr="00AB0460">
        <w:t>.</w:t>
      </w:r>
    </w:p>
  </w:footnote>
  <w:footnote w:id="315">
    <w:p w14:paraId="764EB266" w14:textId="3B8BA042" w:rsidR="00977786" w:rsidRDefault="00977786" w:rsidP="00FF25F3">
      <w:pPr>
        <w:pStyle w:val="FootnoteText"/>
      </w:pPr>
      <w:r w:rsidRPr="00977786">
        <w:rPr>
          <w:rStyle w:val="FootnoteReference"/>
          <w:vertAlign w:val="baseline"/>
        </w:rPr>
        <w:footnoteRef/>
      </w:r>
      <w:r>
        <w:t xml:space="preserve"> See in particular, Appendix R of the 2007 ACCC petrol report (ibid) — Legal Advice on section 45 of the </w:t>
      </w:r>
      <w:r w:rsidRPr="00B4260E">
        <w:rPr>
          <w:i/>
        </w:rPr>
        <w:t xml:space="preserve">Trade Practices Act 1974 </w:t>
      </w:r>
      <w:r>
        <w:t>from Julian Burnside QC 6 December 2007, page 368.</w:t>
      </w:r>
    </w:p>
  </w:footnote>
  <w:footnote w:id="316">
    <w:p w14:paraId="441EEFF6" w14:textId="37507104" w:rsidR="00977786" w:rsidRDefault="00977786" w:rsidP="00FF25F3">
      <w:pPr>
        <w:pStyle w:val="FootnoteText"/>
      </w:pPr>
      <w:r w:rsidRPr="00977786">
        <w:rPr>
          <w:rStyle w:val="FootnoteReference"/>
          <w:vertAlign w:val="baseline"/>
        </w:rPr>
        <w:footnoteRef/>
      </w:r>
      <w:r>
        <w:t xml:space="preserve"> ABC RN Breakfast, </w:t>
      </w:r>
      <w:hyperlink r:id="rId218" w:anchor="transcript" w:history="1">
        <w:r w:rsidRPr="00526D55">
          <w:rPr>
            <w:rStyle w:val="Hyperlink"/>
            <w:i/>
          </w:rPr>
          <w:t>ACCC warns banks about price signalling</w:t>
        </w:r>
      </w:hyperlink>
      <w:r>
        <w:t xml:space="preserve">, </w:t>
      </w:r>
      <w:r w:rsidRPr="007F3275">
        <w:t>25</w:t>
      </w:r>
      <w:r>
        <w:t xml:space="preserve"> October 2010.</w:t>
      </w:r>
    </w:p>
  </w:footnote>
  <w:footnote w:id="317">
    <w:p w14:paraId="7ADA1E93" w14:textId="0A09ED54" w:rsidR="00977786" w:rsidRDefault="00977786">
      <w:pPr>
        <w:pStyle w:val="FootnoteText"/>
      </w:pPr>
      <w:r w:rsidRPr="00977786">
        <w:rPr>
          <w:rStyle w:val="FootnoteReference"/>
          <w:vertAlign w:val="baseline"/>
        </w:rPr>
        <w:footnoteRef/>
      </w:r>
      <w:r>
        <w:t xml:space="preserve"> </w:t>
      </w:r>
      <w:proofErr w:type="gramStart"/>
      <w:r w:rsidRPr="00FC65F1">
        <w:t>E I Du Pont De Nemours &amp; Co v FTC, 729 F.2d 128.</w:t>
      </w:r>
      <w:proofErr w:type="gramEnd"/>
    </w:p>
  </w:footnote>
  <w:footnote w:id="318">
    <w:p w14:paraId="2530B3E3" w14:textId="5B0D73A1" w:rsidR="00977786" w:rsidRDefault="00977786">
      <w:pPr>
        <w:pStyle w:val="FootnoteText"/>
      </w:pPr>
      <w:r w:rsidRPr="00977786">
        <w:rPr>
          <w:rStyle w:val="FootnoteReference"/>
          <w:vertAlign w:val="baseline"/>
        </w:rPr>
        <w:footnoteRef/>
      </w:r>
      <w:r>
        <w:t xml:space="preserve"> </w:t>
      </w:r>
      <w:proofErr w:type="gramStart"/>
      <w:r w:rsidRPr="00897DF0">
        <w:rPr>
          <w:i/>
        </w:rPr>
        <w:t>Coordinated Pretrial Proceedings in Petroleum Products Antitrust Litigation State of Arizona v Standard Oil Co of California</w:t>
      </w:r>
      <w:r>
        <w:t xml:space="preserve"> 906 F.2d 432 (1990).</w:t>
      </w:r>
      <w:proofErr w:type="gramEnd"/>
    </w:p>
  </w:footnote>
  <w:footnote w:id="319">
    <w:p w14:paraId="4EF7385B" w14:textId="574CFD01" w:rsidR="00977786" w:rsidRDefault="00977786">
      <w:pPr>
        <w:pStyle w:val="FootnoteText"/>
      </w:pPr>
      <w:r w:rsidRPr="00977786">
        <w:rPr>
          <w:rStyle w:val="FootnoteReference"/>
          <w:vertAlign w:val="baseline"/>
        </w:rPr>
        <w:footnoteRef/>
      </w:r>
      <w:r>
        <w:t xml:space="preserve"> Australian Automobile Association, page 12.</w:t>
      </w:r>
    </w:p>
  </w:footnote>
  <w:footnote w:id="320">
    <w:p w14:paraId="4E764CDF" w14:textId="66CB1F25" w:rsidR="00977786" w:rsidRDefault="00977786" w:rsidP="00FF25F3">
      <w:pPr>
        <w:pStyle w:val="FootnoteText"/>
      </w:pPr>
      <w:r w:rsidRPr="00977786">
        <w:rPr>
          <w:rStyle w:val="FootnoteReference"/>
          <w:vertAlign w:val="baseline"/>
        </w:rPr>
        <w:footnoteRef/>
      </w:r>
      <w:r>
        <w:t xml:space="preserve"> For example, Queensland Law Society, page 9; see also American Bar Association, pages 11</w:t>
      </w:r>
      <w:r>
        <w:noBreakHyphen/>
        <w:t>15.</w:t>
      </w:r>
    </w:p>
  </w:footnote>
  <w:footnote w:id="321">
    <w:p w14:paraId="2B6FF528" w14:textId="3D1EAE72" w:rsidR="00977786" w:rsidRDefault="00977786" w:rsidP="00FF25F3">
      <w:pPr>
        <w:pStyle w:val="FootnoteText"/>
      </w:pPr>
      <w:r w:rsidRPr="00977786">
        <w:rPr>
          <w:rStyle w:val="FootnoteReference"/>
          <w:vertAlign w:val="baseline"/>
        </w:rPr>
        <w:footnoteRef/>
      </w:r>
      <w:r>
        <w:t xml:space="preserve"> For example, ACCC Submission 1, page 9; </w:t>
      </w:r>
      <w:r w:rsidRPr="008901CA">
        <w:t>Small and Medium Enterprise Committee of the Business Law Section of the Law Council of Australia</w:t>
      </w:r>
      <w:r>
        <w:t xml:space="preserve"> (submission 1), page 11.</w:t>
      </w:r>
    </w:p>
  </w:footnote>
  <w:footnote w:id="322">
    <w:p w14:paraId="4FB17E8B" w14:textId="11B8D6FF" w:rsidR="00977786" w:rsidRDefault="00977786" w:rsidP="00780340">
      <w:pPr>
        <w:pStyle w:val="FootnoteText"/>
      </w:pPr>
      <w:r w:rsidRPr="00977786">
        <w:rPr>
          <w:rStyle w:val="FootnoteReference"/>
          <w:vertAlign w:val="baseline"/>
        </w:rPr>
        <w:footnoteRef/>
      </w:r>
      <w:r>
        <w:t xml:space="preserve"> </w:t>
      </w:r>
      <w:proofErr w:type="gramStart"/>
      <w:r>
        <w:rPr>
          <w:szCs w:val="18"/>
        </w:rPr>
        <w:t xml:space="preserve">Report by the National Competition Policy Review 1993, </w:t>
      </w:r>
      <w:hyperlink r:id="rId219" w:history="1">
        <w:r w:rsidRPr="00D251BD">
          <w:rPr>
            <w:rStyle w:val="Hyperlink"/>
            <w:szCs w:val="18"/>
          </w:rPr>
          <w:t>National Competition Policy</w:t>
        </w:r>
      </w:hyperlink>
      <w:r>
        <w:t>, pages 50 and 54.</w:t>
      </w:r>
      <w:proofErr w:type="gramEnd"/>
      <w:r>
        <w:t xml:space="preserve"> </w:t>
      </w:r>
    </w:p>
  </w:footnote>
  <w:footnote w:id="323">
    <w:p w14:paraId="67508711" w14:textId="5FE3007B" w:rsidR="00977786" w:rsidRDefault="00977786" w:rsidP="00780340">
      <w:pPr>
        <w:pStyle w:val="FootnoteText"/>
      </w:pPr>
      <w:r w:rsidRPr="00977786">
        <w:rPr>
          <w:rStyle w:val="FootnoteReference"/>
          <w:vertAlign w:val="baseline"/>
        </w:rPr>
        <w:footnoteRef/>
      </w:r>
      <w:r>
        <w:t xml:space="preserve"> Baker &amp; McKenzie, page 3; Business Council of Australia, Summary Report, page 19; Duke A, page 28; Law Council of Australia Business Law Section, page 9; Energy Australia, page 12; Federal Chamber of Automotive Industries, page 7; Foxtel, page 2; Raitt G, page 2; Woodward L &amp; Rubinstein M, page 4; Metcash Limited, page 5; Queensland Law Society, page 13.</w:t>
      </w:r>
    </w:p>
  </w:footnote>
  <w:footnote w:id="324">
    <w:p w14:paraId="145F762C" w14:textId="24773106" w:rsidR="00977786" w:rsidRDefault="00977786">
      <w:pPr>
        <w:pStyle w:val="FootnoteText"/>
      </w:pPr>
      <w:r w:rsidRPr="00977786">
        <w:rPr>
          <w:rStyle w:val="FootnoteReference"/>
          <w:vertAlign w:val="baseline"/>
        </w:rPr>
        <w:footnoteRef/>
      </w:r>
      <w:r>
        <w:t xml:space="preserve"> See for example Duke, A, page 11.</w:t>
      </w:r>
    </w:p>
  </w:footnote>
  <w:footnote w:id="325">
    <w:p w14:paraId="1CFD5035" w14:textId="33FB11F8" w:rsidR="00977786" w:rsidRDefault="00977786">
      <w:pPr>
        <w:pStyle w:val="FootnoteText"/>
      </w:pPr>
      <w:r w:rsidRPr="00977786">
        <w:rPr>
          <w:rStyle w:val="FootnoteReference"/>
          <w:vertAlign w:val="baseline"/>
        </w:rPr>
        <w:footnoteRef/>
      </w:r>
      <w:r w:rsidRPr="00526D55">
        <w:t xml:space="preserve"> </w:t>
      </w:r>
      <w:r>
        <w:t xml:space="preserve">Trade Practices Act Review Committee 2003, </w:t>
      </w:r>
      <w:hyperlink r:id="rId220" w:history="1">
        <w:r w:rsidRPr="00371182">
          <w:rPr>
            <w:rStyle w:val="Hyperlink"/>
          </w:rPr>
          <w:t>Review of the Competition Provisions of the Trade Practices Act</w:t>
        </w:r>
      </w:hyperlink>
      <w:r>
        <w:rPr>
          <w:sz w:val="16"/>
          <w:szCs w:val="16"/>
        </w:rPr>
        <w:t>, page 123</w:t>
      </w:r>
    </w:p>
  </w:footnote>
  <w:footnote w:id="326">
    <w:p w14:paraId="0E639F1B" w14:textId="0824B132" w:rsidR="00977786" w:rsidRDefault="00977786">
      <w:pPr>
        <w:pStyle w:val="FootnoteText"/>
      </w:pPr>
      <w:r w:rsidRPr="00977786">
        <w:rPr>
          <w:rStyle w:val="FootnoteReference"/>
          <w:vertAlign w:val="baseline"/>
        </w:rPr>
        <w:footnoteRef/>
      </w:r>
      <w:r>
        <w:t xml:space="preserve"> </w:t>
      </w:r>
      <w:proofErr w:type="gramStart"/>
      <w:r>
        <w:t>Page 61.</w:t>
      </w:r>
      <w:proofErr w:type="gramEnd"/>
    </w:p>
  </w:footnote>
  <w:footnote w:id="327">
    <w:p w14:paraId="7C21EEC1" w14:textId="19B0C1A2" w:rsidR="00977786" w:rsidRDefault="00977786" w:rsidP="00B21D56">
      <w:pPr>
        <w:pStyle w:val="FootnoteText"/>
      </w:pPr>
      <w:r w:rsidRPr="00977786">
        <w:rPr>
          <w:rStyle w:val="FootnoteReference"/>
          <w:vertAlign w:val="baseline"/>
        </w:rPr>
        <w:footnoteRef/>
      </w:r>
      <w:r>
        <w:t xml:space="preserve"> As noted by </w:t>
      </w:r>
      <w:r w:rsidRPr="00031929">
        <w:t>Law Council of Australia, Business Law Section</w:t>
      </w:r>
      <w:r>
        <w:t xml:space="preserve"> in their submission, page 61.</w:t>
      </w:r>
    </w:p>
  </w:footnote>
  <w:footnote w:id="328">
    <w:p w14:paraId="70695B3B" w14:textId="777AF322" w:rsidR="00977786" w:rsidRDefault="00977786">
      <w:pPr>
        <w:pStyle w:val="FootnoteText"/>
      </w:pPr>
      <w:r w:rsidRPr="00977786">
        <w:rPr>
          <w:rStyle w:val="FootnoteReference"/>
          <w:vertAlign w:val="baseline"/>
        </w:rPr>
        <w:footnoteRef/>
      </w:r>
      <w:r>
        <w:t xml:space="preserve"> </w:t>
      </w:r>
      <w:r w:rsidRPr="00AB0460">
        <w:t>Competition Act</w:t>
      </w:r>
      <w:r>
        <w:t xml:space="preserve"> (Canada), section 76.</w:t>
      </w:r>
    </w:p>
  </w:footnote>
  <w:footnote w:id="329">
    <w:p w14:paraId="0FA0736D" w14:textId="17988F00" w:rsidR="00977786" w:rsidRDefault="00977786">
      <w:pPr>
        <w:pStyle w:val="FootnoteText"/>
      </w:pPr>
      <w:r w:rsidRPr="00977786">
        <w:rPr>
          <w:rStyle w:val="FootnoteReference"/>
          <w:vertAlign w:val="baseline"/>
        </w:rPr>
        <w:footnoteRef/>
      </w:r>
      <w:r>
        <w:t xml:space="preserve"> For example, subsection 9(1) </w:t>
      </w:r>
      <w:r w:rsidRPr="00CB719A">
        <w:rPr>
          <w:i/>
        </w:rPr>
        <w:t>Competition Act 1998</w:t>
      </w:r>
      <w:r>
        <w:t xml:space="preserve"> (UK), article 101(3) Treaty on the Functioning of the European Union (EU).</w:t>
      </w:r>
    </w:p>
  </w:footnote>
  <w:footnote w:id="330">
    <w:p w14:paraId="3CD1592D" w14:textId="418EA920" w:rsidR="00977786" w:rsidRPr="00526D55" w:rsidRDefault="00977786" w:rsidP="00DA4F6E">
      <w:pPr>
        <w:pStyle w:val="FootnoteText"/>
      </w:pPr>
      <w:r w:rsidRPr="00977786">
        <w:rPr>
          <w:rStyle w:val="FootnoteReference"/>
          <w:vertAlign w:val="baseline"/>
        </w:rPr>
        <w:footnoteRef/>
      </w:r>
      <w:r>
        <w:t xml:space="preserve"> While moving to an agency agreement could circumvent the prohibition on RPM, in this case the agreement was not </w:t>
      </w:r>
      <w:r w:rsidRPr="00CC1098">
        <w:t xml:space="preserve">merely bilaterally between each publisher and Apple as agent, but also </w:t>
      </w:r>
      <w:r>
        <w:t>through a degree of horizontal</w:t>
      </w:r>
      <w:r w:rsidRPr="00CC1098">
        <w:t xml:space="preserve"> collusion </w:t>
      </w:r>
      <w:r w:rsidRPr="00715D15">
        <w:t xml:space="preserve">between the publishers. Source: Coleman, M, Norton Rose Fullbright, </w:t>
      </w:r>
      <w:proofErr w:type="gramStart"/>
      <w:r w:rsidRPr="00715D15">
        <w:rPr>
          <w:i/>
        </w:rPr>
        <w:t>Australia</w:t>
      </w:r>
      <w:proofErr w:type="gramEnd"/>
      <w:r w:rsidRPr="00715D15">
        <w:rPr>
          <w:i/>
        </w:rPr>
        <w:t>: Technology: Lessons from the ebooks case</w:t>
      </w:r>
      <w:r w:rsidRPr="00715D15">
        <w:t>.</w:t>
      </w:r>
    </w:p>
  </w:footnote>
  <w:footnote w:id="331">
    <w:p w14:paraId="4656DEF3" w14:textId="4645A991" w:rsidR="00977786" w:rsidRPr="00BB437E" w:rsidRDefault="00977786" w:rsidP="00B21D56">
      <w:pPr>
        <w:pStyle w:val="FootnoteText"/>
        <w:rPr>
          <w:lang w:val="en-US"/>
        </w:rPr>
      </w:pPr>
      <w:r w:rsidRPr="00977786">
        <w:rPr>
          <w:rStyle w:val="FootnoteReference"/>
          <w:vertAlign w:val="baseline"/>
        </w:rPr>
        <w:footnoteRef/>
      </w:r>
      <w:r>
        <w:t xml:space="preserve"> </w:t>
      </w:r>
      <w:proofErr w:type="gramStart"/>
      <w:r>
        <w:rPr>
          <w:lang w:val="en-US"/>
        </w:rPr>
        <w:t xml:space="preserve">Subsections 45(8) and 47(12) of the </w:t>
      </w:r>
      <w:r w:rsidRPr="00AB0460">
        <w:rPr>
          <w:i/>
          <w:lang w:val="en-US"/>
        </w:rPr>
        <w:t>Competition and Consumer Act 2010</w:t>
      </w:r>
      <w:r>
        <w:rPr>
          <w:lang w:val="en-US"/>
        </w:rPr>
        <w:t>.</w:t>
      </w:r>
      <w:proofErr w:type="gramEnd"/>
    </w:p>
  </w:footnote>
  <w:footnote w:id="332">
    <w:p w14:paraId="139EF72B" w14:textId="2B99665A" w:rsidR="00977786" w:rsidRDefault="00977786" w:rsidP="00B21D56">
      <w:pPr>
        <w:pStyle w:val="FootnoteText"/>
      </w:pPr>
      <w:r w:rsidRPr="00977786">
        <w:rPr>
          <w:rStyle w:val="FootnoteReference"/>
          <w:vertAlign w:val="baseline"/>
        </w:rPr>
        <w:footnoteRef/>
      </w:r>
      <w:r>
        <w:t xml:space="preserve"> ACCC Submission 1, page 49, Global Shippers Forum, page 3.</w:t>
      </w:r>
    </w:p>
  </w:footnote>
  <w:footnote w:id="333">
    <w:p w14:paraId="4AC96FC8" w14:textId="15536123" w:rsidR="00977786" w:rsidRDefault="00977786" w:rsidP="00B21D56">
      <w:pPr>
        <w:pStyle w:val="FootnoteText"/>
      </w:pPr>
      <w:r w:rsidRPr="00977786">
        <w:rPr>
          <w:rStyle w:val="FootnoteReference"/>
          <w:vertAlign w:val="baseline"/>
        </w:rPr>
        <w:footnoteRef/>
      </w:r>
      <w:r>
        <w:t xml:space="preserve"> Productivity Commission 2005, </w:t>
      </w:r>
      <w:hyperlink r:id="rId221" w:history="1">
        <w:r w:rsidRPr="004159AE">
          <w:rPr>
            <w:rStyle w:val="Hyperlink"/>
            <w:i/>
          </w:rPr>
          <w:t>Review of Part X of the Trade Practices Act 1974: International Liner Cargo Shipping</w:t>
        </w:r>
      </w:hyperlink>
      <w:r>
        <w:t>, page xxvi.</w:t>
      </w:r>
    </w:p>
  </w:footnote>
  <w:footnote w:id="334">
    <w:p w14:paraId="2CD21623" w14:textId="3C8654D9" w:rsidR="00977786" w:rsidRDefault="00977786" w:rsidP="00B21D56">
      <w:pPr>
        <w:pStyle w:val="FootnoteText"/>
      </w:pPr>
      <w:r w:rsidRPr="00977786">
        <w:rPr>
          <w:rStyle w:val="FootnoteReference"/>
          <w:vertAlign w:val="baseline"/>
        </w:rPr>
        <w:footnoteRef/>
      </w:r>
      <w:r>
        <w:t xml:space="preserve"> Productivity Commission 1999, </w:t>
      </w:r>
      <w:hyperlink r:id="rId222" w:history="1">
        <w:r w:rsidRPr="004159AE">
          <w:rPr>
            <w:rStyle w:val="Hyperlink"/>
            <w:i/>
          </w:rPr>
          <w:t>International Liner Cargo Shipping: A Review of Part X of the Trade Practices Act 1974</w:t>
        </w:r>
      </w:hyperlink>
      <w:r>
        <w:t>.</w:t>
      </w:r>
    </w:p>
  </w:footnote>
  <w:footnote w:id="335">
    <w:p w14:paraId="12A80553" w14:textId="535C185A" w:rsidR="00977786" w:rsidRDefault="00977786" w:rsidP="00B21D56">
      <w:pPr>
        <w:pStyle w:val="FootnoteText"/>
      </w:pPr>
      <w:r w:rsidRPr="00977786">
        <w:rPr>
          <w:rStyle w:val="FootnoteReference"/>
          <w:vertAlign w:val="baseline"/>
        </w:rPr>
        <w:footnoteRef/>
      </w:r>
      <w:r>
        <w:t xml:space="preserve"> Australia and New Zealand Productivity Commissions 2012, Joint Study — </w:t>
      </w:r>
      <w:hyperlink r:id="rId223" w:history="1">
        <w:r w:rsidRPr="004159AE">
          <w:rPr>
            <w:rStyle w:val="Hyperlink"/>
            <w:i/>
          </w:rPr>
          <w:t>Strengthening Trans</w:t>
        </w:r>
        <w:r w:rsidRPr="004159AE">
          <w:rPr>
            <w:rStyle w:val="Hyperlink"/>
            <w:i/>
          </w:rPr>
          <w:noBreakHyphen/>
          <w:t>Tasman Economic Relations</w:t>
        </w:r>
      </w:hyperlink>
      <w:r>
        <w:t>, recommendation 4.14, page 16.</w:t>
      </w:r>
    </w:p>
  </w:footnote>
  <w:footnote w:id="336">
    <w:p w14:paraId="52E0F500" w14:textId="310BD2BF" w:rsidR="00977786" w:rsidRDefault="00977786" w:rsidP="00B21D56">
      <w:pPr>
        <w:pStyle w:val="FootnoteText"/>
      </w:pPr>
      <w:r w:rsidRPr="00977786">
        <w:rPr>
          <w:rStyle w:val="FootnoteReference"/>
          <w:vertAlign w:val="baseline"/>
        </w:rPr>
        <w:footnoteRef/>
      </w:r>
      <w:r>
        <w:t xml:space="preserve"> Joint Media Statement by the Hon Peter Costello, Treasurer, and the Hon Warren Truss MP — Minister for Transport and Regional Services — </w:t>
      </w:r>
      <w:hyperlink r:id="rId224" w:history="1">
        <w:r w:rsidRPr="00CF7A7A">
          <w:rPr>
            <w:rStyle w:val="Hyperlink"/>
          </w:rPr>
          <w:t>Media Release No. 081</w:t>
        </w:r>
      </w:hyperlink>
      <w:r>
        <w:t>, 4 August 2006.</w:t>
      </w:r>
    </w:p>
  </w:footnote>
  <w:footnote w:id="337">
    <w:p w14:paraId="5DF6A09E" w14:textId="1A97E643" w:rsidR="00977786" w:rsidRDefault="00977786" w:rsidP="00B11C30">
      <w:pPr>
        <w:pStyle w:val="FootnoteText"/>
      </w:pPr>
      <w:r w:rsidRPr="00977786">
        <w:rPr>
          <w:rStyle w:val="FootnoteReference"/>
          <w:vertAlign w:val="baseline"/>
        </w:rPr>
        <w:footnoteRef/>
      </w:r>
      <w:r>
        <w:t xml:space="preserve"> </w:t>
      </w:r>
      <w:proofErr w:type="gramStart"/>
      <w:r>
        <w:t xml:space="preserve">Trade Practices Act Review Committee 1976, </w:t>
      </w:r>
      <w:hyperlink r:id="rId225" w:history="1">
        <w:r w:rsidRPr="004159AE">
          <w:rPr>
            <w:rStyle w:val="Hyperlink"/>
            <w:i/>
          </w:rPr>
          <w:t>Report to the Minister for Business and Consumer Affairs</w:t>
        </w:r>
      </w:hyperlink>
      <w:r>
        <w:t>, page 85 paragraph 10.16.</w:t>
      </w:r>
      <w:proofErr w:type="gramEnd"/>
    </w:p>
  </w:footnote>
  <w:footnote w:id="338">
    <w:p w14:paraId="597CAAD5" w14:textId="6F28D6BF" w:rsidR="00977786" w:rsidRDefault="00977786" w:rsidP="00B11C30">
      <w:pPr>
        <w:pStyle w:val="FootnoteText"/>
      </w:pPr>
      <w:r w:rsidRPr="00977786">
        <w:rPr>
          <w:rStyle w:val="FootnoteReference"/>
          <w:vertAlign w:val="baseline"/>
        </w:rPr>
        <w:footnoteRef/>
      </w:r>
      <w:r>
        <w:t xml:space="preserve"> See submission pages 43</w:t>
      </w:r>
      <w:r>
        <w:noBreakHyphen/>
        <w:t>44 and also the general discussion in relation to industrial boycotts, pages 26</w:t>
      </w:r>
      <w:r>
        <w:noBreakHyphen/>
        <w:t>29.</w:t>
      </w:r>
    </w:p>
  </w:footnote>
  <w:footnote w:id="339">
    <w:p w14:paraId="1EB29AA0" w14:textId="1B0C660D" w:rsidR="00977786" w:rsidRDefault="00977786" w:rsidP="00B11C30">
      <w:pPr>
        <w:pStyle w:val="FootnoteText"/>
      </w:pPr>
      <w:r w:rsidRPr="00977786">
        <w:rPr>
          <w:rStyle w:val="FootnoteReference"/>
          <w:vertAlign w:val="baseline"/>
        </w:rPr>
        <w:footnoteRef/>
      </w:r>
      <w:r>
        <w:t xml:space="preserve"> Recommendation 181,</w:t>
      </w:r>
      <w:r w:rsidRPr="007026FF">
        <w:t xml:space="preserve"> </w:t>
      </w:r>
      <w:r w:rsidRPr="007026FF">
        <w:rPr>
          <w:i/>
        </w:rPr>
        <w:t>Final Report of the Royal Commission into the Building and Construction Industry</w:t>
      </w:r>
      <w:r>
        <w:t>, Volume 1 page 158.</w:t>
      </w:r>
    </w:p>
  </w:footnote>
  <w:footnote w:id="340">
    <w:p w14:paraId="2B53DDC5" w14:textId="6652A667" w:rsidR="00977786" w:rsidRDefault="00977786">
      <w:pPr>
        <w:pStyle w:val="FootnoteText"/>
      </w:pPr>
      <w:r w:rsidRPr="00977786">
        <w:rPr>
          <w:rStyle w:val="FootnoteReference"/>
          <w:vertAlign w:val="baseline"/>
        </w:rPr>
        <w:footnoteRef/>
      </w:r>
      <w:r>
        <w:t xml:space="preserve"> See for example </w:t>
      </w:r>
      <w:r w:rsidRPr="00D12A0E">
        <w:t>Australian Conservation Foundation</w:t>
      </w:r>
      <w:r>
        <w:t>, pages 2</w:t>
      </w:r>
      <w:r>
        <w:noBreakHyphen/>
        <w:t xml:space="preserve">5, </w:t>
      </w:r>
      <w:r w:rsidRPr="00D12A0E">
        <w:t>Australian Food and Grocery Council</w:t>
      </w:r>
      <w:r>
        <w:t xml:space="preserve">, page 28, </w:t>
      </w:r>
      <w:r w:rsidRPr="00E037B0">
        <w:t>Australian Forest Products Association</w:t>
      </w:r>
      <w:r>
        <w:t>, pages 3</w:t>
      </w:r>
      <w:r>
        <w:noBreakHyphen/>
        <w:t xml:space="preserve">5, </w:t>
      </w:r>
      <w:r w:rsidRPr="00E037B0">
        <w:t>Australian Lawyers for Human Rights</w:t>
      </w:r>
      <w:r>
        <w:t>, pages 1</w:t>
      </w:r>
      <w:r>
        <w:noBreakHyphen/>
        <w:t xml:space="preserve">2, </w:t>
      </w:r>
      <w:r w:rsidRPr="00E037B0">
        <w:t>Australian Network of Environmental Defender</w:t>
      </w:r>
      <w:r>
        <w:t>’</w:t>
      </w:r>
      <w:r w:rsidRPr="00E037B0">
        <w:t>s Offices</w:t>
      </w:r>
      <w:r>
        <w:t>, pages 4</w:t>
      </w:r>
      <w:r>
        <w:noBreakHyphen/>
        <w:t xml:space="preserve">6, </w:t>
      </w:r>
      <w:r w:rsidRPr="00E037B0">
        <w:t>Consumers Health Forum of Australia</w:t>
      </w:r>
      <w:r>
        <w:t xml:space="preserve">, page 5, </w:t>
      </w:r>
      <w:r w:rsidRPr="00E037B0">
        <w:t xml:space="preserve">Greenpeace Australia, </w:t>
      </w:r>
      <w:r>
        <w:t xml:space="preserve">The </w:t>
      </w:r>
      <w:r w:rsidRPr="00E037B0">
        <w:t>Wilderness Society, OXFAM Australia, GetUp!, Voiceless, Friends of the Earth, AidWatch</w:t>
      </w:r>
      <w:r>
        <w:t>, pages 1</w:t>
      </w:r>
      <w:r>
        <w:noBreakHyphen/>
        <w:t xml:space="preserve">3, </w:t>
      </w:r>
      <w:r w:rsidRPr="00E037B0">
        <w:t>ITS Global</w:t>
      </w:r>
      <w:r>
        <w:t>, pages 1</w:t>
      </w:r>
      <w:r>
        <w:noBreakHyphen/>
        <w:t xml:space="preserve">5, National Farmers’ Federation, page 15, </w:t>
      </w:r>
      <w:r w:rsidRPr="00E037B0">
        <w:t>RSPCA Australia</w:t>
      </w:r>
      <w:r>
        <w:t>, pages 1</w:t>
      </w:r>
      <w:r>
        <w:noBreakHyphen/>
        <w:t xml:space="preserve">2, </w:t>
      </w:r>
      <w:r w:rsidRPr="00E037B0">
        <w:t>Voiceless</w:t>
      </w:r>
      <w:r>
        <w:t>, page 3.</w:t>
      </w:r>
    </w:p>
  </w:footnote>
  <w:footnote w:id="341">
    <w:p w14:paraId="44E2BF85" w14:textId="68164E7C" w:rsidR="00977786" w:rsidRDefault="00977786" w:rsidP="00B11C30">
      <w:pPr>
        <w:pStyle w:val="FootnoteText"/>
      </w:pPr>
      <w:r w:rsidRPr="00977786">
        <w:rPr>
          <w:rStyle w:val="FootnoteReference"/>
          <w:vertAlign w:val="baseline"/>
        </w:rPr>
        <w:footnoteRef/>
      </w:r>
      <w:r>
        <w:t xml:space="preserve"> </w:t>
      </w:r>
      <w:proofErr w:type="gramStart"/>
      <w:r>
        <w:t>Tasmanian Government, page 1.</w:t>
      </w:r>
      <w:proofErr w:type="gramEnd"/>
    </w:p>
  </w:footnote>
  <w:footnote w:id="342">
    <w:p w14:paraId="0B009FCF" w14:textId="69509648" w:rsidR="00977786" w:rsidRDefault="00977786" w:rsidP="00B11C30">
      <w:pPr>
        <w:pStyle w:val="FootnoteText"/>
      </w:pPr>
      <w:r w:rsidRPr="00977786">
        <w:rPr>
          <w:rStyle w:val="FootnoteReference"/>
          <w:vertAlign w:val="baseline"/>
        </w:rPr>
        <w:footnoteRef/>
      </w:r>
      <w:r>
        <w:t xml:space="preserve"> See submissions from Ai Group, MBA, AMMA and Minerals Council of Australia.</w:t>
      </w:r>
    </w:p>
  </w:footnote>
  <w:footnote w:id="343">
    <w:p w14:paraId="7C7AACAD" w14:textId="1D2954BC" w:rsidR="00977786" w:rsidRDefault="00977786">
      <w:pPr>
        <w:pStyle w:val="FootnoteText"/>
      </w:pPr>
      <w:r w:rsidRPr="00977786">
        <w:rPr>
          <w:rStyle w:val="FootnoteReference"/>
          <w:vertAlign w:val="baseline"/>
        </w:rPr>
        <w:footnoteRef/>
      </w:r>
      <w:r>
        <w:t xml:space="preserve"> See discussions in submissions from </w:t>
      </w:r>
      <w:r w:rsidRPr="00D21D5D">
        <w:t>Australian Chicken Growers</w:t>
      </w:r>
      <w:r>
        <w:t>’</w:t>
      </w:r>
      <w:r w:rsidRPr="00D21D5D">
        <w:t xml:space="preserve"> Council Limited, </w:t>
      </w:r>
      <w:r>
        <w:t xml:space="preserve">page 7; </w:t>
      </w:r>
      <w:r w:rsidRPr="00D21D5D">
        <w:t>Aus</w:t>
      </w:r>
      <w:r>
        <w:t xml:space="preserve">tralian Dairy Farmers Limited, page </w:t>
      </w:r>
      <w:r w:rsidRPr="00D21D5D">
        <w:t>11</w:t>
      </w:r>
      <w:r>
        <w:t>.</w:t>
      </w:r>
    </w:p>
  </w:footnote>
  <w:footnote w:id="344">
    <w:p w14:paraId="6866BCE3" w14:textId="55E26368" w:rsidR="00977786" w:rsidRDefault="00977786">
      <w:pPr>
        <w:pStyle w:val="FootnoteText"/>
      </w:pPr>
      <w:r w:rsidRPr="00977786">
        <w:rPr>
          <w:rStyle w:val="FootnoteReference"/>
          <w:vertAlign w:val="baseline"/>
        </w:rPr>
        <w:footnoteRef/>
      </w:r>
      <w:r>
        <w:t xml:space="preserve"> </w:t>
      </w:r>
      <w:r w:rsidRPr="00D21D5D">
        <w:t>Australian Chicken Growers</w:t>
      </w:r>
      <w:r>
        <w:t>’</w:t>
      </w:r>
      <w:r w:rsidRPr="00D21D5D">
        <w:t xml:space="preserve"> Council Limited</w:t>
      </w:r>
      <w:r>
        <w:t>,</w:t>
      </w:r>
      <w:r w:rsidRPr="00D21D5D">
        <w:t xml:space="preserve"> </w:t>
      </w:r>
      <w:r>
        <w:t>pages 5</w:t>
      </w:r>
      <w:r>
        <w:noBreakHyphen/>
        <w:t xml:space="preserve">7; </w:t>
      </w:r>
      <w:r w:rsidRPr="00D21D5D">
        <w:t>Australian Dairy Farmers Limited</w:t>
      </w:r>
      <w:r>
        <w:t>,</w:t>
      </w:r>
      <w:r w:rsidRPr="00D21D5D">
        <w:t xml:space="preserve"> p</w:t>
      </w:r>
      <w:r>
        <w:t xml:space="preserve">age </w:t>
      </w:r>
      <w:r w:rsidRPr="00D21D5D">
        <w:t>11</w:t>
      </w:r>
      <w:r>
        <w:t>;</w:t>
      </w:r>
      <w:r w:rsidRPr="00D21D5D">
        <w:t xml:space="preserve"> AgForce Queensland</w:t>
      </w:r>
      <w:r>
        <w:t>,</w:t>
      </w:r>
      <w:r w:rsidRPr="00D21D5D">
        <w:t xml:space="preserve"> p</w:t>
      </w:r>
      <w:r>
        <w:t xml:space="preserve">age </w:t>
      </w:r>
      <w:r w:rsidRPr="00D21D5D">
        <w:t>2</w:t>
      </w:r>
      <w:r>
        <w:t>.</w:t>
      </w:r>
    </w:p>
  </w:footnote>
  <w:footnote w:id="345">
    <w:p w14:paraId="2A90A457" w14:textId="65082080" w:rsidR="00977786" w:rsidRDefault="00977786" w:rsidP="00047202">
      <w:pPr>
        <w:pStyle w:val="FootnoteText"/>
      </w:pPr>
      <w:r w:rsidRPr="00977786">
        <w:rPr>
          <w:rStyle w:val="FootnoteReference"/>
          <w:vertAlign w:val="baseline"/>
        </w:rPr>
        <w:footnoteRef/>
      </w:r>
      <w:r>
        <w:t xml:space="preserve"> </w:t>
      </w:r>
      <w:proofErr w:type="gramStart"/>
      <w:r>
        <w:t xml:space="preserve">Section 6, </w:t>
      </w:r>
      <w:r w:rsidRPr="00047202">
        <w:rPr>
          <w:i/>
        </w:rPr>
        <w:t>Competition Act 1998</w:t>
      </w:r>
      <w:r w:rsidRPr="00505FD2">
        <w:t xml:space="preserve"> </w:t>
      </w:r>
      <w:r>
        <w:t>(UK).</w:t>
      </w:r>
      <w:proofErr w:type="gramEnd"/>
    </w:p>
  </w:footnote>
  <w:footnote w:id="346">
    <w:p w14:paraId="1DD2730B" w14:textId="675990E9" w:rsidR="00977786" w:rsidRDefault="00977786" w:rsidP="00D7380F">
      <w:pPr>
        <w:pStyle w:val="FootnoteText"/>
      </w:pPr>
      <w:r w:rsidRPr="00977786">
        <w:rPr>
          <w:rStyle w:val="FootnoteReference"/>
          <w:vertAlign w:val="baseline"/>
        </w:rPr>
        <w:footnoteRef/>
      </w:r>
      <w:r>
        <w:t xml:space="preserve"> </w:t>
      </w:r>
      <w:proofErr w:type="gramStart"/>
      <w:r>
        <w:t xml:space="preserve">See sections 4AA (level of penalty units) and 4B (penalties for corporations five </w:t>
      </w:r>
      <w:r w:rsidRPr="00D7380F">
        <w:t>times</w:t>
      </w:r>
      <w:r>
        <w:t xml:space="preserve"> that of individuals) of the </w:t>
      </w:r>
      <w:r w:rsidRPr="00D3005C">
        <w:rPr>
          <w:i/>
        </w:rPr>
        <w:t>Crimes</w:t>
      </w:r>
      <w:r>
        <w:rPr>
          <w:i/>
        </w:rPr>
        <w:t> </w:t>
      </w:r>
      <w:r w:rsidRPr="00D3005C">
        <w:rPr>
          <w:i/>
        </w:rPr>
        <w:t>Act 1914</w:t>
      </w:r>
      <w:r>
        <w:t>.</w:t>
      </w:r>
      <w:proofErr w:type="gramEnd"/>
    </w:p>
  </w:footnote>
  <w:footnote w:id="347">
    <w:p w14:paraId="2D942378" w14:textId="699DD919" w:rsidR="00977786" w:rsidRDefault="00977786" w:rsidP="00D7380F">
      <w:pPr>
        <w:pStyle w:val="FootnoteText"/>
      </w:pPr>
      <w:r w:rsidRPr="00977786">
        <w:rPr>
          <w:rStyle w:val="FootnoteReference"/>
          <w:vertAlign w:val="baseline"/>
        </w:rPr>
        <w:footnoteRef/>
      </w:r>
      <w:r>
        <w:t xml:space="preserve"> </w:t>
      </w:r>
      <w:proofErr w:type="gramStart"/>
      <w:r>
        <w:t>Section 63 of the</w:t>
      </w:r>
      <w:r w:rsidRPr="00245C0E">
        <w:t xml:space="preserve"> </w:t>
      </w:r>
      <w:r w:rsidRPr="00D7380F">
        <w:rPr>
          <w:i/>
        </w:rPr>
        <w:t>Australian Securities and Investments Commission Act 2001</w:t>
      </w:r>
      <w:r>
        <w:t>.</w:t>
      </w:r>
      <w:proofErr w:type="gramEnd"/>
    </w:p>
  </w:footnote>
  <w:footnote w:id="348">
    <w:p w14:paraId="7992F33D" w14:textId="13E23459" w:rsidR="00977786" w:rsidRPr="00821202" w:rsidRDefault="00977786" w:rsidP="003F4E5C">
      <w:pPr>
        <w:pStyle w:val="FootnoteText"/>
        <w:rPr>
          <w:lang w:val="en-US"/>
        </w:rPr>
      </w:pPr>
      <w:r w:rsidRPr="00977786">
        <w:rPr>
          <w:rStyle w:val="FootnoteReference"/>
          <w:vertAlign w:val="baseline"/>
        </w:rPr>
        <w:footnoteRef/>
      </w:r>
      <w:r>
        <w:t xml:space="preserve"> </w:t>
      </w:r>
      <w:proofErr w:type="gramStart"/>
      <w:r w:rsidRPr="0005594D">
        <w:t xml:space="preserve">ACCC v Apollo Optical (Aust) Pty </w:t>
      </w:r>
      <w:r w:rsidRPr="00506381">
        <w:t>Ltd</w:t>
      </w:r>
      <w:r w:rsidRPr="0005594D">
        <w:t xml:space="preserve"> [2001] FCA 1456</w:t>
      </w:r>
      <w:r>
        <w:t xml:space="preserve"> at [24]</w:t>
      </w:r>
      <w:r w:rsidRPr="0005594D">
        <w:t>; ACCC v ABB Transmission and Distribution Limited (No. 2) (2002) 190 ALR 169</w:t>
      </w:r>
      <w:r>
        <w:t xml:space="preserve"> at [51]</w:t>
      </w:r>
      <w:r w:rsidRPr="0005594D">
        <w:t>; ACCC v Leahy Petroleum Pty Ltd (No 3) (2005) ALR 301</w:t>
      </w:r>
      <w:r>
        <w:t xml:space="preserve"> at [118]</w:t>
      </w:r>
      <w:r w:rsidRPr="0005594D">
        <w:t>; ACCC v Dataline.net.au Pty Ltd (2006) 236 ALR 665 at [107].</w:t>
      </w:r>
      <w:proofErr w:type="gramEnd"/>
    </w:p>
  </w:footnote>
  <w:footnote w:id="349">
    <w:p w14:paraId="53E71BC3" w14:textId="36F5F83D" w:rsidR="00977786" w:rsidRDefault="00977786">
      <w:pPr>
        <w:pStyle w:val="FootnoteText"/>
      </w:pPr>
      <w:r w:rsidRPr="00977786">
        <w:rPr>
          <w:rStyle w:val="FootnoteReference"/>
          <w:vertAlign w:val="baseline"/>
        </w:rPr>
        <w:footnoteRef/>
      </w:r>
      <w:r>
        <w:t xml:space="preserve"> See </w:t>
      </w:r>
      <w:hyperlink r:id="rId226" w:history="1">
        <w:r>
          <w:rPr>
            <w:rStyle w:val="Hyperlink"/>
          </w:rPr>
          <w:t>www.sasbc.sa.gov.au/dispute_resolution/overview</w:t>
        </w:r>
      </w:hyperlink>
      <w:r>
        <w:rPr>
          <w:rStyle w:val="Hyperlink"/>
        </w:rPr>
        <w:t>.</w:t>
      </w:r>
      <w:r>
        <w:t xml:space="preserve"> </w:t>
      </w:r>
    </w:p>
  </w:footnote>
  <w:footnote w:id="350">
    <w:p w14:paraId="0591E114" w14:textId="059D369E" w:rsidR="00977786" w:rsidRDefault="00977786">
      <w:pPr>
        <w:pStyle w:val="FootnoteText"/>
      </w:pPr>
      <w:r w:rsidRPr="00977786">
        <w:rPr>
          <w:rStyle w:val="FootnoteReference"/>
          <w:vertAlign w:val="baseline"/>
        </w:rPr>
        <w:footnoteRef/>
      </w:r>
      <w:r>
        <w:t xml:space="preserve"> See </w:t>
      </w:r>
      <w:hyperlink r:id="rId227" w:history="1">
        <w:r>
          <w:rPr>
            <w:rStyle w:val="Hyperlink"/>
          </w:rPr>
          <w:t>www.smallbusiness.nsw.gov.au/solving</w:t>
        </w:r>
        <w:r>
          <w:rPr>
            <w:rStyle w:val="Hyperlink"/>
          </w:rPr>
          <w:noBreakHyphen/>
          <w:t>problems/commercial</w:t>
        </w:r>
        <w:r>
          <w:rPr>
            <w:rStyle w:val="Hyperlink"/>
          </w:rPr>
          <w:noBreakHyphen/>
          <w:t>dispute</w:t>
        </w:r>
        <w:r>
          <w:rPr>
            <w:rStyle w:val="Hyperlink"/>
          </w:rPr>
          <w:noBreakHyphen/>
          <w:t>resolution</w:t>
        </w:r>
      </w:hyperlink>
      <w:r>
        <w:rPr>
          <w:rStyle w:val="Hyperlink"/>
        </w:rPr>
        <w:t>.</w:t>
      </w:r>
      <w:r>
        <w:t xml:space="preserve"> </w:t>
      </w:r>
    </w:p>
  </w:footnote>
  <w:footnote w:id="351">
    <w:p w14:paraId="02A594B4" w14:textId="283CA435" w:rsidR="00977786" w:rsidRDefault="00977786">
      <w:pPr>
        <w:pStyle w:val="FootnoteText"/>
      </w:pPr>
      <w:r w:rsidRPr="00977786">
        <w:rPr>
          <w:rStyle w:val="FootnoteReference"/>
          <w:vertAlign w:val="baseline"/>
        </w:rPr>
        <w:footnoteRef/>
      </w:r>
      <w:r>
        <w:t xml:space="preserve"> For example, Master Grocers Australia, page 58; Independent Supermarket Retailers Guild of South Australia, page 6.</w:t>
      </w:r>
    </w:p>
  </w:footnote>
  <w:footnote w:id="352">
    <w:p w14:paraId="1463EB14" w14:textId="6B36383F" w:rsidR="00977786" w:rsidRPr="00970BD6" w:rsidRDefault="00977786" w:rsidP="003F4E5C">
      <w:pPr>
        <w:pStyle w:val="FootnoteText"/>
        <w:rPr>
          <w:lang w:val="en-US"/>
        </w:rPr>
      </w:pPr>
      <w:r w:rsidRPr="00977786">
        <w:rPr>
          <w:rStyle w:val="FootnoteReference"/>
          <w:vertAlign w:val="baseline"/>
        </w:rPr>
        <w:footnoteRef/>
      </w:r>
      <w:r>
        <w:t xml:space="preserve"> </w:t>
      </w:r>
      <w:r w:rsidRPr="00970BD6">
        <w:t xml:space="preserve">The </w:t>
      </w:r>
      <w:r>
        <w:t xml:space="preserve">Commonwealth has power under </w:t>
      </w:r>
      <w:r w:rsidRPr="00970BD6">
        <w:t>s</w:t>
      </w:r>
      <w:r>
        <w:t xml:space="preserve">ection </w:t>
      </w:r>
      <w:r w:rsidRPr="00970BD6">
        <w:t xml:space="preserve">51(xx) </w:t>
      </w:r>
      <w:r>
        <w:t xml:space="preserve">of the Constitution to make laws with respect to </w:t>
      </w:r>
      <w:r w:rsidRPr="00970BD6">
        <w:t>trading or financial corporations formed within the limits of the Common</w:t>
      </w:r>
      <w:r>
        <w:t>wealth and foreign corporations.</w:t>
      </w:r>
      <w:r w:rsidRPr="00970BD6">
        <w:t xml:space="preserve"> </w:t>
      </w:r>
      <w:r>
        <w:t>T</w:t>
      </w:r>
      <w:r w:rsidRPr="00970BD6">
        <w:t>here is no additional requirement that foreign corporations have any particular connection with Australia.</w:t>
      </w:r>
    </w:p>
  </w:footnote>
  <w:footnote w:id="353">
    <w:p w14:paraId="583E193C" w14:textId="3ACC1FF4" w:rsidR="00977786" w:rsidRDefault="00977786" w:rsidP="003F4E5C">
      <w:pPr>
        <w:pStyle w:val="FootnoteText"/>
      </w:pPr>
      <w:r w:rsidRPr="00977786">
        <w:rPr>
          <w:rStyle w:val="FootnoteReference"/>
          <w:vertAlign w:val="baseline"/>
        </w:rPr>
        <w:footnoteRef/>
      </w:r>
      <w:r>
        <w:t xml:space="preserve"> Similar requirements exist for the consumer protection provisions of the </w:t>
      </w:r>
      <w:r w:rsidRPr="001D0F57">
        <w:rPr>
          <w:i/>
        </w:rPr>
        <w:t>Australian Securities and Investments Commission Act 2001</w:t>
      </w:r>
      <w:r>
        <w:t xml:space="preserve"> (section 12AC). </w:t>
      </w:r>
    </w:p>
  </w:footnote>
  <w:footnote w:id="354">
    <w:p w14:paraId="615AEAC3" w14:textId="30A051C0" w:rsidR="00977786" w:rsidRPr="00BF5E6D" w:rsidRDefault="00977786" w:rsidP="003F4E5C">
      <w:pPr>
        <w:pStyle w:val="FootnoteText"/>
        <w:rPr>
          <w:lang w:val="en-US"/>
        </w:rPr>
      </w:pPr>
      <w:r w:rsidRPr="00977786">
        <w:rPr>
          <w:rStyle w:val="FootnoteReference"/>
          <w:vertAlign w:val="baseline"/>
        </w:rPr>
        <w:footnoteRef/>
      </w:r>
      <w:r>
        <w:t xml:space="preserve"> A convenient summary of the </w:t>
      </w:r>
      <w:r>
        <w:rPr>
          <w:lang w:val="en-US"/>
        </w:rPr>
        <w:t xml:space="preserve">litigation arising from the uranium cartel, and the political responses to the litigation, is contained in Senz and Charlesworth, </w:t>
      </w:r>
      <w:r>
        <w:rPr>
          <w:i/>
          <w:lang w:val="en-US"/>
        </w:rPr>
        <w:t>Building Blocks: Australia’s Response to Foreign Extraterritorial Legislation</w:t>
      </w:r>
      <w:r>
        <w:rPr>
          <w:lang w:val="en-US"/>
        </w:rPr>
        <w:t>, (2001) Melbourne Journal of International Law.</w:t>
      </w:r>
    </w:p>
  </w:footnote>
  <w:footnote w:id="355">
    <w:p w14:paraId="77ED1E1E" w14:textId="4B202A6B" w:rsidR="00977786" w:rsidRPr="005A26CB" w:rsidRDefault="00977786" w:rsidP="003F4E5C">
      <w:pPr>
        <w:pStyle w:val="FootnoteText"/>
        <w:rPr>
          <w:lang w:val="en-US"/>
        </w:rPr>
      </w:pPr>
      <w:r w:rsidRPr="00977786">
        <w:rPr>
          <w:rStyle w:val="FootnoteReference"/>
          <w:vertAlign w:val="baseline"/>
        </w:rPr>
        <w:footnoteRef/>
      </w:r>
      <w:r>
        <w:t xml:space="preserve"> </w:t>
      </w:r>
      <w:proofErr w:type="gramStart"/>
      <w:r w:rsidRPr="00D7380F">
        <w:rPr>
          <w:i/>
        </w:rPr>
        <w:t>Foreign Antitrust Judgment (Restriction of Enforcement) Act 1979</w:t>
      </w:r>
      <w:r w:rsidRPr="005A26CB">
        <w:t xml:space="preserve">, which was subsequently incorporated into the </w:t>
      </w:r>
      <w:r w:rsidRPr="00D7380F">
        <w:rPr>
          <w:i/>
        </w:rPr>
        <w:t>Foreign Proceedings (Excess of Jurisdiction) Act 1984</w:t>
      </w:r>
      <w:r>
        <w:t>.</w:t>
      </w:r>
      <w:proofErr w:type="gramEnd"/>
    </w:p>
  </w:footnote>
  <w:footnote w:id="356">
    <w:p w14:paraId="5EA95896" w14:textId="04FB6CF2" w:rsidR="00977786" w:rsidRPr="006A129C" w:rsidRDefault="00977786" w:rsidP="003F4E5C">
      <w:pPr>
        <w:pStyle w:val="FootnoteText"/>
        <w:rPr>
          <w:lang w:val="en-US"/>
        </w:rPr>
      </w:pPr>
      <w:r w:rsidRPr="00977786">
        <w:rPr>
          <w:rStyle w:val="FootnoteReference"/>
          <w:vertAlign w:val="baseline"/>
        </w:rPr>
        <w:footnoteRef/>
      </w:r>
      <w:r>
        <w:t xml:space="preserve"> </w:t>
      </w:r>
      <w:r w:rsidRPr="0005594D">
        <w:t xml:space="preserve">In the US, see F. Hoffman La Roche Ltd v Empagran SA (2004) 542 US 174. In the EU, see </w:t>
      </w:r>
      <w:r w:rsidRPr="00D7380F">
        <w:rPr>
          <w:i/>
        </w:rPr>
        <w:t>A. Ahlstrom OY v EC Commission</w:t>
      </w:r>
      <w:r w:rsidRPr="0005594D">
        <w:t xml:space="preserve"> [1988] 4 CMLR 901 (known as the Wood Pulp case).</w:t>
      </w:r>
    </w:p>
  </w:footnote>
  <w:footnote w:id="357">
    <w:p w14:paraId="21B85DB7" w14:textId="0B62DD6C" w:rsidR="00977786" w:rsidRDefault="00977786" w:rsidP="003F4E5C">
      <w:pPr>
        <w:pStyle w:val="FootnoteText"/>
      </w:pPr>
      <w:r w:rsidRPr="00977786">
        <w:rPr>
          <w:rStyle w:val="FootnoteReference"/>
          <w:vertAlign w:val="baseline"/>
        </w:rPr>
        <w:footnoteRef/>
      </w:r>
      <w:r>
        <w:t xml:space="preserve"> In 2008, Cathay Pacific unsuccessfully challenged the Minister’s decision to grant consent: </w:t>
      </w:r>
      <w:r w:rsidRPr="00A21DC5">
        <w:rPr>
          <w:i/>
        </w:rPr>
        <w:t>Cathay Pacific v Assistant Treasurer</w:t>
      </w:r>
      <w:r>
        <w:t xml:space="preserve"> (2010) 186 FCR 168.</w:t>
      </w:r>
    </w:p>
  </w:footnote>
  <w:footnote w:id="358">
    <w:p w14:paraId="26EE7479" w14:textId="624FEAF2" w:rsidR="00977786" w:rsidRPr="006412B2" w:rsidRDefault="00977786" w:rsidP="003F4E5C">
      <w:pPr>
        <w:pStyle w:val="FootnoteText"/>
        <w:rPr>
          <w:b/>
          <w:i/>
          <w:lang w:val="en-US"/>
        </w:rPr>
      </w:pPr>
      <w:r w:rsidRPr="00977786">
        <w:rPr>
          <w:rStyle w:val="FootnoteReference"/>
          <w:vertAlign w:val="baseline"/>
        </w:rPr>
        <w:footnoteRef/>
      </w:r>
      <w:r>
        <w:t xml:space="preserve"> </w:t>
      </w:r>
      <w:proofErr w:type="gramStart"/>
      <w:r>
        <w:t xml:space="preserve">Trade Practices Act Review Committee 2003, </w:t>
      </w:r>
      <w:hyperlink r:id="rId228" w:history="1">
        <w:r w:rsidRPr="00D7380F">
          <w:rPr>
            <w:rStyle w:val="Hyperlink"/>
            <w:i/>
          </w:rPr>
          <w:t>Review of the Competition Provisions of the Trade Practices Act</w:t>
        </w:r>
      </w:hyperlink>
      <w:r w:rsidRPr="00D7380F">
        <w:rPr>
          <w:i/>
        </w:rPr>
        <w:t xml:space="preserve">, </w:t>
      </w:r>
      <w:r>
        <w:t>page 163.</w:t>
      </w:r>
      <w:proofErr w:type="gramEnd"/>
      <w:r>
        <w:t xml:space="preserve"> </w:t>
      </w:r>
    </w:p>
  </w:footnote>
  <w:footnote w:id="359">
    <w:p w14:paraId="3FE00FC6" w14:textId="364B7D2C" w:rsidR="00977786" w:rsidRDefault="00977786">
      <w:pPr>
        <w:pStyle w:val="FootnoteText"/>
      </w:pPr>
      <w:r w:rsidRPr="00977786">
        <w:rPr>
          <w:rStyle w:val="FootnoteReference"/>
          <w:vertAlign w:val="baseline"/>
        </w:rPr>
        <w:footnoteRef/>
      </w:r>
      <w:r>
        <w:t xml:space="preserve"> </w:t>
      </w:r>
      <w:proofErr w:type="gramStart"/>
      <w:r>
        <w:t>For example, Arnold Block Leibler, pages 6</w:t>
      </w:r>
      <w:r>
        <w:noBreakHyphen/>
        <w:t>7; Telstra, pages 12</w:t>
      </w:r>
      <w:r>
        <w:noBreakHyphen/>
        <w:t>13.</w:t>
      </w:r>
      <w:proofErr w:type="gramEnd"/>
    </w:p>
  </w:footnote>
  <w:footnote w:id="360">
    <w:p w14:paraId="539E91B6" w14:textId="2A1A3B04" w:rsidR="00977786" w:rsidRDefault="00977786">
      <w:pPr>
        <w:pStyle w:val="FootnoteText"/>
      </w:pPr>
      <w:r w:rsidRPr="00977786">
        <w:rPr>
          <w:rStyle w:val="FootnoteReference"/>
          <w:vertAlign w:val="baseline"/>
        </w:rPr>
        <w:footnoteRef/>
      </w:r>
      <w:r>
        <w:t xml:space="preserve"> </w:t>
      </w:r>
      <w:proofErr w:type="gramStart"/>
      <w:r>
        <w:t>For example, Arnold Bloch Leibler, page 7; Foxtel, pages 7</w:t>
      </w:r>
      <w:r>
        <w:noBreakHyphen/>
        <w:t>8.</w:t>
      </w:r>
      <w:proofErr w:type="gramEnd"/>
    </w:p>
  </w:footnote>
  <w:footnote w:id="361">
    <w:p w14:paraId="0D314DC7" w14:textId="5C19229F" w:rsidR="00977786" w:rsidRPr="003B2A43" w:rsidRDefault="00977786" w:rsidP="00D7380F">
      <w:pPr>
        <w:pStyle w:val="FootnoteText"/>
        <w:rPr>
          <w:sz w:val="20"/>
        </w:rPr>
      </w:pPr>
      <w:r w:rsidRPr="00977786">
        <w:rPr>
          <w:rStyle w:val="FootnoteReference"/>
          <w:vertAlign w:val="baseline"/>
        </w:rPr>
        <w:footnoteRef/>
      </w:r>
      <w:r>
        <w:t xml:space="preserve"> </w:t>
      </w:r>
      <w:r w:rsidRPr="003D58C6">
        <w:t xml:space="preserve">ACCC 2008, </w:t>
      </w:r>
      <w:hyperlink r:id="rId229" w:history="1">
        <w:proofErr w:type="gramStart"/>
        <w:r w:rsidRPr="001A6E95">
          <w:rPr>
            <w:rStyle w:val="Hyperlink"/>
            <w:i/>
          </w:rPr>
          <w:t>A</w:t>
        </w:r>
        <w:proofErr w:type="gramEnd"/>
        <w:r w:rsidRPr="001A6E95">
          <w:rPr>
            <w:rStyle w:val="Hyperlink"/>
            <w:i/>
          </w:rPr>
          <w:t xml:space="preserve"> guide to the Australian Competition and Consumer Commission’s power to obtain information, documents and evidence under s 155 of the Trade Practices Act 1974</w:t>
        </w:r>
      </w:hyperlink>
      <w:r>
        <w:rPr>
          <w:sz w:val="20"/>
        </w:rPr>
        <w:t xml:space="preserve">, </w:t>
      </w:r>
      <w:r w:rsidRPr="00D7380F">
        <w:t>page</w:t>
      </w:r>
      <w:r>
        <w:rPr>
          <w:sz w:val="20"/>
        </w:rPr>
        <w:t xml:space="preserve"> 11.</w:t>
      </w:r>
    </w:p>
  </w:footnote>
  <w:footnote w:id="362">
    <w:p w14:paraId="2AFF5445" w14:textId="76503A8C" w:rsidR="00977786" w:rsidRDefault="00977786" w:rsidP="00EC66E2">
      <w:pPr>
        <w:pStyle w:val="FootnoteText"/>
      </w:pPr>
      <w:r w:rsidRPr="00977786">
        <w:rPr>
          <w:rStyle w:val="FootnoteReference"/>
          <w:vertAlign w:val="baseline"/>
        </w:rPr>
        <w:footnoteRef/>
      </w:r>
      <w:r>
        <w:t xml:space="preserve"> </w:t>
      </w:r>
      <w:r w:rsidRPr="00AB0460">
        <w:rPr>
          <w:i/>
        </w:rPr>
        <w:t>Competition and Consumer Act 2010</w:t>
      </w:r>
      <w:r>
        <w:t xml:space="preserve"> section 44AA.</w:t>
      </w:r>
    </w:p>
  </w:footnote>
  <w:footnote w:id="363">
    <w:p w14:paraId="36252E82" w14:textId="5F8E4873" w:rsidR="00977786" w:rsidRPr="008003B6" w:rsidRDefault="00977786">
      <w:pPr>
        <w:pStyle w:val="FootnoteText"/>
      </w:pPr>
      <w:r w:rsidRPr="00977786">
        <w:rPr>
          <w:rStyle w:val="FootnoteReference"/>
          <w:vertAlign w:val="baseline"/>
        </w:rPr>
        <w:footnoteRef/>
      </w:r>
      <w:r>
        <w:t xml:space="preserve"> National Competition Council 2011, </w:t>
      </w:r>
      <w:hyperlink r:id="rId230" w:history="1">
        <w:r w:rsidRPr="001A6E95">
          <w:rPr>
            <w:rStyle w:val="Hyperlink"/>
            <w:i/>
          </w:rPr>
          <w:t>Access to Monopoly Infrastructure in Australia</w:t>
        </w:r>
      </w:hyperlink>
      <w:r>
        <w:t>, page 4.</w:t>
      </w:r>
    </w:p>
  </w:footnote>
  <w:footnote w:id="364">
    <w:p w14:paraId="252B6479" w14:textId="645BCF89" w:rsidR="00977786" w:rsidRDefault="00977786">
      <w:pPr>
        <w:pStyle w:val="FootnoteText"/>
      </w:pPr>
      <w:r w:rsidRPr="00977786">
        <w:rPr>
          <w:rStyle w:val="FootnoteReference"/>
          <w:vertAlign w:val="baseline"/>
        </w:rPr>
        <w:footnoteRef/>
      </w:r>
      <w:r>
        <w:t xml:space="preserve"> Criterion (d) has been repealed.</w:t>
      </w:r>
    </w:p>
  </w:footnote>
  <w:footnote w:id="365">
    <w:p w14:paraId="2700703D" w14:textId="58C2674B" w:rsidR="00977786" w:rsidRDefault="00977786">
      <w:pPr>
        <w:pStyle w:val="FootnoteText"/>
      </w:pPr>
      <w:r w:rsidRPr="00977786">
        <w:rPr>
          <w:rStyle w:val="FootnoteReference"/>
          <w:vertAlign w:val="baseline"/>
        </w:rPr>
        <w:footnoteRef/>
      </w:r>
      <w:r>
        <w:t xml:space="preserve"> In the 2006 </w:t>
      </w:r>
      <w:hyperlink r:id="rId231" w:history="1">
        <w:r w:rsidRPr="00071FC1">
          <w:rPr>
            <w:rStyle w:val="Hyperlink"/>
          </w:rPr>
          <w:t>Competition and Infrastructure Reform Agreement</w:t>
        </w:r>
      </w:hyperlink>
      <w:r>
        <w:t>, States and Territories agreed to submit their access regimes for certification (page 41).</w:t>
      </w:r>
    </w:p>
  </w:footnote>
  <w:footnote w:id="366">
    <w:p w14:paraId="33A0250D" w14:textId="2B31636F" w:rsidR="00977786" w:rsidRDefault="00977786">
      <w:pPr>
        <w:pStyle w:val="FootnoteText"/>
      </w:pPr>
      <w:r w:rsidRPr="00977786">
        <w:rPr>
          <w:rStyle w:val="FootnoteReference"/>
          <w:vertAlign w:val="baseline"/>
        </w:rPr>
        <w:footnoteRef/>
      </w:r>
      <w:r>
        <w:t xml:space="preserve"> </w:t>
      </w:r>
      <w:proofErr w:type="gramStart"/>
      <w:r>
        <w:t xml:space="preserve">Council of Australian Governments 1995 (as amended to 13 April 2007) </w:t>
      </w:r>
      <w:hyperlink r:id="rId232" w:history="1">
        <w:r w:rsidRPr="00481509">
          <w:rPr>
            <w:rStyle w:val="Hyperlink"/>
          </w:rPr>
          <w:t>Competition Principles Agreement</w:t>
        </w:r>
      </w:hyperlink>
      <w:r>
        <w:t>, pages 6</w:t>
      </w:r>
      <w:r>
        <w:noBreakHyphen/>
        <w:t>9.</w:t>
      </w:r>
      <w:proofErr w:type="gramEnd"/>
    </w:p>
  </w:footnote>
  <w:footnote w:id="367">
    <w:p w14:paraId="61D9CB86" w14:textId="3F159510" w:rsidR="00977786" w:rsidRPr="00B65CC1" w:rsidRDefault="00977786" w:rsidP="00862A34">
      <w:pPr>
        <w:pStyle w:val="FootnoteText"/>
        <w:rPr>
          <w:lang w:val="en-US"/>
        </w:rPr>
      </w:pPr>
      <w:r w:rsidRPr="00977786">
        <w:rPr>
          <w:rStyle w:val="FootnoteReference"/>
          <w:vertAlign w:val="baseline"/>
        </w:rPr>
        <w:footnoteRef/>
      </w:r>
      <w:r>
        <w:t xml:space="preserve"> </w:t>
      </w:r>
      <w:proofErr w:type="gramStart"/>
      <w:r>
        <w:t xml:space="preserve">Productivity Commission 2013, </w:t>
      </w:r>
      <w:hyperlink r:id="rId233" w:history="1">
        <w:r w:rsidRPr="0074774A">
          <w:rPr>
            <w:rStyle w:val="Hyperlink"/>
            <w:lang w:val="en-US"/>
          </w:rPr>
          <w:t>National Access Regime</w:t>
        </w:r>
      </w:hyperlink>
      <w:r>
        <w:rPr>
          <w:lang w:val="en-US"/>
        </w:rPr>
        <w:t>.</w:t>
      </w:r>
      <w:proofErr w:type="gramEnd"/>
    </w:p>
  </w:footnote>
  <w:footnote w:id="368">
    <w:p w14:paraId="37DACDD6" w14:textId="7E043188" w:rsidR="00977786" w:rsidRDefault="00977786" w:rsidP="00515618">
      <w:pPr>
        <w:pStyle w:val="FootnoteText"/>
        <w:ind w:left="0" w:firstLine="0"/>
      </w:pPr>
      <w:r w:rsidRPr="00977786">
        <w:rPr>
          <w:rStyle w:val="FootnoteReference"/>
          <w:vertAlign w:val="baseline"/>
        </w:rPr>
        <w:footnoteRef/>
      </w:r>
      <w:r>
        <w:t xml:space="preserve"> </w:t>
      </w:r>
      <w:proofErr w:type="gramStart"/>
      <w:r>
        <w:t>Aurizon, page 64; BHP Billiton, page 28; BCA Main Report, page 79.</w:t>
      </w:r>
      <w:proofErr w:type="gramEnd"/>
    </w:p>
  </w:footnote>
  <w:footnote w:id="369">
    <w:p w14:paraId="451FCE49" w14:textId="6B851453" w:rsidR="00977786" w:rsidRDefault="00977786" w:rsidP="00CF5493">
      <w:pPr>
        <w:pStyle w:val="FootnoteText"/>
      </w:pPr>
      <w:r w:rsidRPr="00977786">
        <w:rPr>
          <w:rStyle w:val="FootnoteReference"/>
          <w:vertAlign w:val="baseline"/>
        </w:rPr>
        <w:footnoteRef/>
      </w:r>
      <w:r>
        <w:t xml:space="preserve"> </w:t>
      </w:r>
      <w:r>
        <w:rPr>
          <w:szCs w:val="18"/>
        </w:rPr>
        <w:t xml:space="preserve">Report by the National Competition Policy Review 1993, </w:t>
      </w:r>
      <w:hyperlink r:id="rId234" w:history="1">
        <w:r w:rsidRPr="00D251BD">
          <w:rPr>
            <w:rStyle w:val="Hyperlink"/>
            <w:szCs w:val="18"/>
          </w:rPr>
          <w:t>National Competition Policy</w:t>
        </w:r>
      </w:hyperlink>
      <w:r>
        <w:rPr>
          <w:rStyle w:val="Hyperlink"/>
          <w:szCs w:val="18"/>
        </w:rPr>
        <w:t xml:space="preserve">, </w:t>
      </w:r>
      <w:proofErr w:type="gramStart"/>
      <w:r>
        <w:t>page</w:t>
      </w:r>
      <w:proofErr w:type="gramEnd"/>
      <w:r>
        <w:t xml:space="preserve"> 248.</w:t>
      </w:r>
    </w:p>
  </w:footnote>
  <w:footnote w:id="370">
    <w:p w14:paraId="71106D88" w14:textId="3DDFA997" w:rsidR="00977786" w:rsidRPr="00A25908" w:rsidRDefault="00977786" w:rsidP="00862A34">
      <w:pPr>
        <w:pStyle w:val="FootnoteText"/>
        <w:rPr>
          <w:lang w:val="en-US"/>
        </w:rPr>
      </w:pPr>
      <w:r w:rsidRPr="00977786">
        <w:rPr>
          <w:rStyle w:val="FootnoteReference"/>
          <w:vertAlign w:val="baseline"/>
        </w:rPr>
        <w:footnoteRef/>
      </w:r>
      <w:r>
        <w:t xml:space="preserve"> </w:t>
      </w:r>
      <w:r>
        <w:rPr>
          <w:lang w:val="en-US"/>
        </w:rPr>
        <w:t xml:space="preserve">Productivity Commission 2013, </w:t>
      </w:r>
      <w:hyperlink r:id="rId235" w:history="1">
        <w:r w:rsidRPr="000952F3">
          <w:rPr>
            <w:rStyle w:val="Hyperlink"/>
            <w:lang w:val="en-US"/>
          </w:rPr>
          <w:t>National Access Regime</w:t>
        </w:r>
      </w:hyperlink>
      <w:r>
        <w:rPr>
          <w:lang w:val="en-US"/>
        </w:rPr>
        <w:t>, pages 7</w:t>
      </w:r>
      <w:r>
        <w:rPr>
          <w:lang w:val="en-US"/>
        </w:rPr>
        <w:noBreakHyphen/>
        <w:t>8.</w:t>
      </w:r>
    </w:p>
  </w:footnote>
  <w:footnote w:id="371">
    <w:p w14:paraId="0ABBF2BA" w14:textId="5A87F49F" w:rsidR="00977786" w:rsidRDefault="00977786">
      <w:pPr>
        <w:pStyle w:val="FootnoteText"/>
      </w:pPr>
      <w:r w:rsidRPr="00977786">
        <w:rPr>
          <w:rStyle w:val="FootnoteReference"/>
          <w:vertAlign w:val="baseline"/>
        </w:rPr>
        <w:footnoteRef/>
      </w:r>
      <w:r>
        <w:t xml:space="preserve"> BHP Billiton, page 23.</w:t>
      </w:r>
    </w:p>
  </w:footnote>
  <w:footnote w:id="372">
    <w:p w14:paraId="12241028" w14:textId="02269503" w:rsidR="00977786" w:rsidRDefault="00977786">
      <w:pPr>
        <w:pStyle w:val="FootnoteText"/>
      </w:pPr>
      <w:r w:rsidRPr="00977786">
        <w:rPr>
          <w:rStyle w:val="FootnoteReference"/>
          <w:vertAlign w:val="baseline"/>
        </w:rPr>
        <w:footnoteRef/>
      </w:r>
      <w:r>
        <w:t xml:space="preserve"> </w:t>
      </w:r>
      <w:hyperlink r:id="rId236" w:history="1">
        <w:proofErr w:type="gramStart"/>
        <w:r w:rsidRPr="00381D69">
          <w:rPr>
            <w:rStyle w:val="Hyperlink"/>
          </w:rPr>
          <w:t>ARTC Interstate Rail access undertaking 2008</w:t>
        </w:r>
      </w:hyperlink>
      <w:r>
        <w:rPr>
          <w:rStyle w:val="Hyperlink"/>
        </w:rPr>
        <w:t>.</w:t>
      </w:r>
      <w:proofErr w:type="gramEnd"/>
    </w:p>
  </w:footnote>
  <w:footnote w:id="373">
    <w:p w14:paraId="5A752FB2" w14:textId="3CEF3ADF" w:rsidR="00977786" w:rsidRDefault="00977786">
      <w:pPr>
        <w:pStyle w:val="FootnoteText"/>
      </w:pPr>
      <w:r w:rsidRPr="00977786">
        <w:rPr>
          <w:rStyle w:val="FootnoteReference"/>
          <w:vertAlign w:val="baseline"/>
        </w:rPr>
        <w:footnoteRef/>
      </w:r>
      <w:r>
        <w:t xml:space="preserve"> </w:t>
      </w:r>
      <w:hyperlink r:id="rId237" w:history="1">
        <w:proofErr w:type="gramStart"/>
        <w:r w:rsidRPr="00381D69">
          <w:rPr>
            <w:rStyle w:val="Hyperlink"/>
          </w:rPr>
          <w:t>ARTC Hunter Valley access undertaking 2011</w:t>
        </w:r>
      </w:hyperlink>
      <w:r>
        <w:rPr>
          <w:rStyle w:val="Hyperlink"/>
        </w:rPr>
        <w:t>.</w:t>
      </w:r>
      <w:proofErr w:type="gramEnd"/>
    </w:p>
  </w:footnote>
  <w:footnote w:id="374">
    <w:p w14:paraId="339E5331" w14:textId="05A0CA0C" w:rsidR="00977786" w:rsidRDefault="00977786">
      <w:pPr>
        <w:pStyle w:val="FootnoteText"/>
      </w:pPr>
      <w:r w:rsidRPr="00977786">
        <w:rPr>
          <w:rStyle w:val="FootnoteReference"/>
          <w:vertAlign w:val="baseline"/>
        </w:rPr>
        <w:footnoteRef/>
      </w:r>
      <w:r>
        <w:t xml:space="preserve"> ACCC Submission 1, page 133.</w:t>
      </w:r>
    </w:p>
  </w:footnote>
  <w:footnote w:id="375">
    <w:p w14:paraId="360351DA" w14:textId="49E1779A"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38" w:history="1">
        <w:r w:rsidRPr="000952F3">
          <w:rPr>
            <w:rStyle w:val="Hyperlink"/>
            <w:lang w:val="en-US"/>
          </w:rPr>
          <w:t>National Access Regime</w:t>
        </w:r>
      </w:hyperlink>
      <w:r>
        <w:rPr>
          <w:lang w:val="en-US"/>
        </w:rPr>
        <w:t>, pages 220</w:t>
      </w:r>
      <w:r>
        <w:rPr>
          <w:lang w:val="en-US"/>
        </w:rPr>
        <w:noBreakHyphen/>
        <w:t>221.</w:t>
      </w:r>
    </w:p>
  </w:footnote>
  <w:footnote w:id="376">
    <w:p w14:paraId="1595D956" w14:textId="1C27D5F6"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39" w:history="1">
        <w:r w:rsidRPr="000952F3">
          <w:rPr>
            <w:rStyle w:val="Hyperlink"/>
            <w:lang w:val="en-US"/>
          </w:rPr>
          <w:t>National Access Regime</w:t>
        </w:r>
      </w:hyperlink>
      <w:r>
        <w:rPr>
          <w:lang w:val="en-US"/>
        </w:rPr>
        <w:t>, pages 215.</w:t>
      </w:r>
    </w:p>
  </w:footnote>
  <w:footnote w:id="377">
    <w:p w14:paraId="3AFA0CD6" w14:textId="366A13A9" w:rsidR="00977786" w:rsidRDefault="00977786">
      <w:pPr>
        <w:pStyle w:val="FootnoteText"/>
      </w:pPr>
      <w:r w:rsidRPr="00977786">
        <w:rPr>
          <w:rStyle w:val="FootnoteReference"/>
          <w:vertAlign w:val="baseline"/>
        </w:rPr>
        <w:footnoteRef/>
      </w:r>
      <w:r>
        <w:t xml:space="preserve"> </w:t>
      </w:r>
      <w:proofErr w:type="gramStart"/>
      <w:r>
        <w:rPr>
          <w:lang w:val="en-US"/>
        </w:rPr>
        <w:t xml:space="preserve">Productivity Commission 2013, </w:t>
      </w:r>
      <w:hyperlink r:id="rId240" w:history="1">
        <w:r w:rsidRPr="000952F3">
          <w:rPr>
            <w:rStyle w:val="Hyperlink"/>
            <w:lang w:val="en-US"/>
          </w:rPr>
          <w:t>National Access Regime</w:t>
        </w:r>
      </w:hyperlink>
      <w:r>
        <w:rPr>
          <w:lang w:val="en-US"/>
        </w:rPr>
        <w:t>, pages 215</w:t>
      </w:r>
      <w:r>
        <w:rPr>
          <w:lang w:val="en-US"/>
        </w:rPr>
        <w:noBreakHyphen/>
        <w:t>216, 237</w:t>
      </w:r>
      <w:r>
        <w:rPr>
          <w:lang w:val="en-US"/>
        </w:rPr>
        <w:noBreakHyphen/>
        <w:t>240.</w:t>
      </w:r>
      <w:proofErr w:type="gramEnd"/>
    </w:p>
  </w:footnote>
  <w:footnote w:id="378">
    <w:p w14:paraId="387D351C" w14:textId="7D9DB55C"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41" w:history="1">
        <w:r w:rsidRPr="000952F3">
          <w:rPr>
            <w:rStyle w:val="Hyperlink"/>
            <w:lang w:val="en-US"/>
          </w:rPr>
          <w:t>National Access Regime</w:t>
        </w:r>
      </w:hyperlink>
      <w:r>
        <w:rPr>
          <w:lang w:val="en-US"/>
        </w:rPr>
        <w:t>, page 10.</w:t>
      </w:r>
    </w:p>
  </w:footnote>
  <w:footnote w:id="379">
    <w:p w14:paraId="00F7F760" w14:textId="00D46FDD"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42" w:history="1">
        <w:r w:rsidRPr="000952F3">
          <w:rPr>
            <w:rStyle w:val="Hyperlink"/>
            <w:lang w:val="en-US"/>
          </w:rPr>
          <w:t>National Access Regime</w:t>
        </w:r>
      </w:hyperlink>
      <w:r>
        <w:rPr>
          <w:lang w:val="en-US"/>
        </w:rPr>
        <w:t>, pages 249</w:t>
      </w:r>
      <w:r>
        <w:rPr>
          <w:lang w:val="en-US"/>
        </w:rPr>
        <w:noBreakHyphen/>
        <w:t>252.</w:t>
      </w:r>
    </w:p>
  </w:footnote>
  <w:footnote w:id="380">
    <w:p w14:paraId="78306090" w14:textId="20871E5A" w:rsidR="00977786" w:rsidRPr="007B24C8" w:rsidRDefault="00977786" w:rsidP="007A7284">
      <w:pPr>
        <w:pStyle w:val="FootnoteText"/>
        <w:rPr>
          <w:lang w:val="en-US"/>
        </w:rPr>
      </w:pPr>
      <w:r w:rsidRPr="00977786">
        <w:rPr>
          <w:rStyle w:val="FootnoteReference"/>
          <w:vertAlign w:val="baseline"/>
        </w:rPr>
        <w:footnoteRef/>
      </w:r>
      <w:r>
        <w:t xml:space="preserve"> </w:t>
      </w:r>
      <w:proofErr w:type="gramStart"/>
      <w:r w:rsidRPr="00F30F99">
        <w:rPr>
          <w:i/>
          <w:iCs/>
        </w:rPr>
        <w:t xml:space="preserve">Pilbara Infrastructure Pty Ltd v Australian Competition Tribunal </w:t>
      </w:r>
      <w:r>
        <w:rPr>
          <w:iCs/>
        </w:rPr>
        <w:t>(2012) 246 CLR 379.</w:t>
      </w:r>
      <w:proofErr w:type="gramEnd"/>
    </w:p>
  </w:footnote>
  <w:footnote w:id="381">
    <w:p w14:paraId="72F56E98" w14:textId="611BDB87" w:rsidR="00977786" w:rsidRDefault="00977786" w:rsidP="007A7284">
      <w:pPr>
        <w:pStyle w:val="FootnoteText"/>
      </w:pPr>
      <w:r w:rsidRPr="00977786">
        <w:rPr>
          <w:rStyle w:val="FootnoteReference"/>
          <w:vertAlign w:val="baseline"/>
        </w:rPr>
        <w:footnoteRef/>
      </w:r>
      <w:r>
        <w:t xml:space="preserve"> </w:t>
      </w:r>
      <w:proofErr w:type="gramStart"/>
      <w:r>
        <w:t>Ibid, at [77].</w:t>
      </w:r>
      <w:proofErr w:type="gramEnd"/>
    </w:p>
  </w:footnote>
  <w:footnote w:id="382">
    <w:p w14:paraId="4CA0A7D7" w14:textId="230F0A69" w:rsidR="00977786" w:rsidRPr="007B24C8" w:rsidRDefault="00977786" w:rsidP="007A7284">
      <w:pPr>
        <w:pStyle w:val="FootnoteText"/>
        <w:rPr>
          <w:lang w:val="en-US"/>
        </w:rPr>
      </w:pPr>
      <w:r w:rsidRPr="00977786">
        <w:rPr>
          <w:rStyle w:val="FootnoteReference"/>
          <w:vertAlign w:val="baseline"/>
        </w:rPr>
        <w:footnoteRef/>
      </w:r>
      <w:r>
        <w:t xml:space="preserve"> </w:t>
      </w:r>
      <w:proofErr w:type="gramStart"/>
      <w:r>
        <w:rPr>
          <w:lang w:val="en-US"/>
        </w:rPr>
        <w:t>Ibid, at [102].</w:t>
      </w:r>
      <w:proofErr w:type="gramEnd"/>
    </w:p>
  </w:footnote>
  <w:footnote w:id="383">
    <w:p w14:paraId="7B7CEEC1" w14:textId="617FEA7D"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43" w:history="1">
        <w:r w:rsidRPr="000952F3">
          <w:rPr>
            <w:rStyle w:val="Hyperlink"/>
            <w:lang w:val="en-US"/>
          </w:rPr>
          <w:t>National Access Regime</w:t>
        </w:r>
      </w:hyperlink>
      <w:r>
        <w:rPr>
          <w:lang w:val="en-US"/>
        </w:rPr>
        <w:t>, page 19.</w:t>
      </w:r>
    </w:p>
  </w:footnote>
  <w:footnote w:id="384">
    <w:p w14:paraId="6EEB2111" w14:textId="14BEB9EB" w:rsidR="00977786" w:rsidRDefault="00977786" w:rsidP="00896B1A">
      <w:pPr>
        <w:pStyle w:val="FootnoteText"/>
      </w:pPr>
      <w:r w:rsidRPr="00977786">
        <w:rPr>
          <w:rStyle w:val="FootnoteReference"/>
          <w:vertAlign w:val="baseline"/>
        </w:rPr>
        <w:footnoteRef/>
      </w:r>
      <w:r>
        <w:t xml:space="preserve"> </w:t>
      </w:r>
      <w:r>
        <w:rPr>
          <w:lang w:val="en-US"/>
        </w:rPr>
        <w:t xml:space="preserve">Productivity Commission 2013, </w:t>
      </w:r>
      <w:hyperlink r:id="rId244" w:history="1">
        <w:r w:rsidRPr="000952F3">
          <w:rPr>
            <w:rStyle w:val="Hyperlink"/>
            <w:lang w:val="en-US"/>
          </w:rPr>
          <w:t>National Access Regime</w:t>
        </w:r>
      </w:hyperlink>
      <w:r>
        <w:rPr>
          <w:lang w:val="en-US"/>
        </w:rPr>
        <w:t>, page 20.</w:t>
      </w:r>
    </w:p>
  </w:footnote>
  <w:footnote w:id="385">
    <w:p w14:paraId="4A53CF3A" w14:textId="4E1EFA94" w:rsidR="00977786" w:rsidRDefault="00977786" w:rsidP="007A7284">
      <w:pPr>
        <w:pStyle w:val="FootnoteText"/>
      </w:pPr>
      <w:r w:rsidRPr="00977786">
        <w:rPr>
          <w:rStyle w:val="FootnoteReference"/>
          <w:vertAlign w:val="baseline"/>
        </w:rPr>
        <w:footnoteRef/>
      </w:r>
      <w:r>
        <w:t xml:space="preserve"> Professor F J Hilmer, 2013 </w:t>
      </w:r>
      <w:r>
        <w:rPr>
          <w:i/>
        </w:rPr>
        <w:t>National Competition Policy: Coming of Age</w:t>
      </w:r>
      <w:r>
        <w:t>, Annual Baxt Lecture on Competition Policy page 22.</w:t>
      </w:r>
    </w:p>
  </w:footnote>
  <w:footnote w:id="386">
    <w:p w14:paraId="592D5955" w14:textId="38FEA244"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45" w:history="1">
        <w:r w:rsidRPr="000952F3">
          <w:rPr>
            <w:rStyle w:val="Hyperlink"/>
            <w:lang w:val="en-US"/>
          </w:rPr>
          <w:t>National Access Regime</w:t>
        </w:r>
      </w:hyperlink>
      <w:r>
        <w:rPr>
          <w:lang w:val="en-US"/>
        </w:rPr>
        <w:t>, pages 20</w:t>
      </w:r>
      <w:r>
        <w:rPr>
          <w:lang w:val="en-US"/>
        </w:rPr>
        <w:noBreakHyphen/>
        <w:t>21</w:t>
      </w:r>
    </w:p>
  </w:footnote>
  <w:footnote w:id="387">
    <w:p w14:paraId="1E25EFAC" w14:textId="22293883" w:rsidR="00977786" w:rsidRDefault="00977786">
      <w:pPr>
        <w:pStyle w:val="FootnoteText"/>
      </w:pPr>
      <w:r w:rsidRPr="00977786">
        <w:rPr>
          <w:rStyle w:val="FootnoteReference"/>
          <w:vertAlign w:val="baseline"/>
        </w:rPr>
        <w:footnoteRef/>
      </w:r>
      <w:r>
        <w:t xml:space="preserve"> </w:t>
      </w:r>
      <w:r>
        <w:rPr>
          <w:lang w:val="en-US"/>
        </w:rPr>
        <w:t xml:space="preserve">Productivity Commission 2013, </w:t>
      </w:r>
      <w:hyperlink r:id="rId246" w:history="1">
        <w:r w:rsidRPr="000952F3">
          <w:rPr>
            <w:rStyle w:val="Hyperlink"/>
            <w:lang w:val="en-US"/>
          </w:rPr>
          <w:t>National Access Regime</w:t>
        </w:r>
      </w:hyperlink>
      <w:r>
        <w:rPr>
          <w:lang w:val="en-US"/>
        </w:rPr>
        <w:t xml:space="preserve">, </w:t>
      </w:r>
      <w:r w:rsidRPr="00773FC3">
        <w:t>pages 10</w:t>
      </w:r>
      <w:r>
        <w:t>0</w:t>
      </w:r>
      <w:r>
        <w:noBreakHyphen/>
      </w:r>
      <w:r w:rsidRPr="00773FC3">
        <w:t>105</w:t>
      </w:r>
      <w:r>
        <w:t>.</w:t>
      </w:r>
    </w:p>
  </w:footnote>
  <w:footnote w:id="388">
    <w:p w14:paraId="7702A600" w14:textId="1FF97E19" w:rsidR="00977786" w:rsidRDefault="00977786" w:rsidP="007A7284">
      <w:pPr>
        <w:pStyle w:val="FootnoteText"/>
      </w:pPr>
      <w:r w:rsidRPr="00977786">
        <w:rPr>
          <w:rStyle w:val="FootnoteReference"/>
          <w:vertAlign w:val="baseline"/>
        </w:rPr>
        <w:footnoteRef/>
      </w:r>
      <w:r>
        <w:t xml:space="preserve"> </w:t>
      </w:r>
      <w:proofErr w:type="gramStart"/>
      <w:r>
        <w:rPr>
          <w:i/>
          <w:iCs/>
        </w:rPr>
        <w:t xml:space="preserve">Competition and Consumer Act 2010 </w:t>
      </w:r>
      <w:r>
        <w:t>sections 44ZZOAAA and 44ZZOAA.</w:t>
      </w:r>
      <w:proofErr w:type="gramEnd"/>
    </w:p>
  </w:footnote>
  <w:footnote w:id="389">
    <w:p w14:paraId="3BA751F3" w14:textId="0FF1BE32" w:rsidR="00977786" w:rsidRPr="0058721A" w:rsidRDefault="00977786" w:rsidP="007A7284">
      <w:pPr>
        <w:pStyle w:val="FootnoteText"/>
        <w:rPr>
          <w:iCs/>
        </w:rPr>
      </w:pPr>
      <w:r w:rsidRPr="00977786">
        <w:rPr>
          <w:rStyle w:val="FootnoteReference"/>
          <w:vertAlign w:val="baseline"/>
        </w:rPr>
        <w:footnoteRef/>
      </w:r>
      <w:r>
        <w:t xml:space="preserve"> </w:t>
      </w:r>
      <w:proofErr w:type="gramStart"/>
      <w:r w:rsidRPr="00F30F99">
        <w:rPr>
          <w:i/>
          <w:iCs/>
        </w:rPr>
        <w:t xml:space="preserve">Pilbara Infrastructure Pty Ltd v Australian Competition Tribunal </w:t>
      </w:r>
      <w:r>
        <w:rPr>
          <w:iCs/>
        </w:rPr>
        <w:t>(2012) 246 CLR 379 a</w:t>
      </w:r>
      <w:r w:rsidRPr="00F30F99">
        <w:rPr>
          <w:iCs/>
        </w:rPr>
        <w:t>t [60].</w:t>
      </w:r>
      <w:proofErr w:type="gramEnd"/>
    </w:p>
  </w:footnote>
  <w:footnote w:id="390">
    <w:p w14:paraId="108FFEEE" w14:textId="7898956A" w:rsidR="00977786" w:rsidRDefault="00977786" w:rsidP="00896B1A">
      <w:pPr>
        <w:pStyle w:val="FootnoteText"/>
      </w:pPr>
      <w:r w:rsidRPr="00977786">
        <w:rPr>
          <w:rStyle w:val="FootnoteReference"/>
          <w:vertAlign w:val="baseline"/>
        </w:rPr>
        <w:footnoteRef/>
      </w:r>
      <w:r>
        <w:t xml:space="preserve"> </w:t>
      </w:r>
      <w:r>
        <w:rPr>
          <w:lang w:val="en-US"/>
        </w:rPr>
        <w:t xml:space="preserve">Productivity Commission 2013, </w:t>
      </w:r>
      <w:hyperlink r:id="rId247" w:history="1">
        <w:r w:rsidRPr="000952F3">
          <w:rPr>
            <w:rStyle w:val="Hyperlink"/>
            <w:lang w:val="en-US"/>
          </w:rPr>
          <w:t>National Access Regime</w:t>
        </w:r>
      </w:hyperlink>
      <w:r>
        <w:rPr>
          <w:lang w:val="en-US"/>
        </w:rPr>
        <w:t xml:space="preserve">, </w:t>
      </w:r>
      <w:r w:rsidRPr="00773FC3">
        <w:t xml:space="preserve">page </w:t>
      </w:r>
      <w:r>
        <w:t>2.</w:t>
      </w:r>
    </w:p>
  </w:footnote>
  <w:footnote w:id="391">
    <w:p w14:paraId="4C38C6D6" w14:textId="52F63284" w:rsidR="00977786" w:rsidRPr="00954B49" w:rsidRDefault="00977786" w:rsidP="008D2F63">
      <w:pPr>
        <w:pStyle w:val="FootnoteText"/>
      </w:pPr>
      <w:r w:rsidRPr="00977786">
        <w:rPr>
          <w:rStyle w:val="FootnoteReference"/>
          <w:vertAlign w:val="baseline"/>
        </w:rPr>
        <w:footnoteRef/>
      </w:r>
      <w:r>
        <w:t xml:space="preserve"> </w:t>
      </w:r>
      <w:r w:rsidRPr="00A63635">
        <w:t xml:space="preserve">The last competition payments to the </w:t>
      </w:r>
      <w:r>
        <w:t>S</w:t>
      </w:r>
      <w:r w:rsidRPr="00A63635">
        <w:t xml:space="preserve">tates and </w:t>
      </w:r>
      <w:r>
        <w:t>T</w:t>
      </w:r>
      <w:r w:rsidRPr="00A63635">
        <w:t>erritories were made in 2005</w:t>
      </w:r>
      <w:r>
        <w:noBreakHyphen/>
      </w:r>
      <w:r w:rsidRPr="00A63635">
        <w:t xml:space="preserve">06. Since then, the role of the NCC has been limited to making recommendations on </w:t>
      </w:r>
      <w:r>
        <w:t>third</w:t>
      </w:r>
      <w:r>
        <w:noBreakHyphen/>
        <w:t>party</w:t>
      </w:r>
      <w:r w:rsidRPr="00A63635">
        <w:t xml:space="preserve"> access to infrastructure.</w:t>
      </w:r>
    </w:p>
  </w:footnote>
  <w:footnote w:id="392">
    <w:p w14:paraId="1806C6D7" w14:textId="73DD11CA" w:rsidR="00977786" w:rsidRDefault="00977786" w:rsidP="001C7749">
      <w:pPr>
        <w:pStyle w:val="FootnoteText"/>
      </w:pPr>
      <w:r w:rsidRPr="00977786">
        <w:rPr>
          <w:rStyle w:val="FootnoteReference"/>
          <w:vertAlign w:val="baseline"/>
        </w:rPr>
        <w:footnoteRef/>
      </w:r>
      <w:r>
        <w:t xml:space="preserve"> Productivity Commission 2005, </w:t>
      </w:r>
      <w:hyperlink r:id="rId248" w:history="1">
        <w:r w:rsidRPr="00A622D4">
          <w:rPr>
            <w:rStyle w:val="Hyperlink"/>
            <w:i/>
          </w:rPr>
          <w:t>Review of National Competition Policy Reforms</w:t>
        </w:r>
      </w:hyperlink>
      <w:r>
        <w:t>, page 127.</w:t>
      </w:r>
    </w:p>
  </w:footnote>
  <w:footnote w:id="393">
    <w:p w14:paraId="15EF8EC4" w14:textId="45176BD2" w:rsidR="00977786" w:rsidRDefault="00977786">
      <w:pPr>
        <w:pStyle w:val="FootnoteText"/>
      </w:pPr>
      <w:r w:rsidRPr="00977786">
        <w:rPr>
          <w:rStyle w:val="FootnoteReference"/>
          <w:vertAlign w:val="baseline"/>
        </w:rPr>
        <w:footnoteRef/>
      </w:r>
      <w:r>
        <w:t xml:space="preserve"> Industry Commission 1995, </w:t>
      </w:r>
      <w:r w:rsidRPr="00225293">
        <w:rPr>
          <w:i/>
        </w:rPr>
        <w:t>The Growth and Revenue Implications of Hilmer and Related Reforms: A report by the Industry Commission to the Council of Australian Governments</w:t>
      </w:r>
      <w:r>
        <w:t>.</w:t>
      </w:r>
    </w:p>
  </w:footnote>
  <w:footnote w:id="394">
    <w:p w14:paraId="2705CC22" w14:textId="2C5C4573" w:rsidR="00977786" w:rsidRDefault="00977786">
      <w:pPr>
        <w:pStyle w:val="FootnoteText"/>
      </w:pPr>
      <w:r w:rsidRPr="00977786">
        <w:rPr>
          <w:rStyle w:val="FootnoteReference"/>
          <w:vertAlign w:val="baseline"/>
        </w:rPr>
        <w:footnoteRef/>
      </w:r>
      <w:r>
        <w:t xml:space="preserve"> Office of Fair Trading 2010, </w:t>
      </w:r>
      <w:hyperlink r:id="rId249" w:history="1">
        <w:r w:rsidRPr="004A26A9">
          <w:rPr>
            <w:rStyle w:val="Hyperlink"/>
          </w:rPr>
          <w:t>Market Studies: Guidance on the OFT Approach</w:t>
        </w:r>
      </w:hyperlink>
      <w:r>
        <w:t>, page 2</w:t>
      </w:r>
    </w:p>
  </w:footnote>
  <w:footnote w:id="395">
    <w:p w14:paraId="2EE50018" w14:textId="525A5938" w:rsidR="00977786" w:rsidRDefault="00977786">
      <w:pPr>
        <w:pStyle w:val="FootnoteText"/>
      </w:pPr>
      <w:r w:rsidRPr="00977786">
        <w:rPr>
          <w:rStyle w:val="FootnoteReference"/>
          <w:vertAlign w:val="baseline"/>
        </w:rPr>
        <w:footnoteRef/>
      </w:r>
      <w:r>
        <w:t xml:space="preserve"> Ibid, pages 2</w:t>
      </w:r>
      <w:r>
        <w:noBreakHyphen/>
        <w:t>4.</w:t>
      </w:r>
    </w:p>
  </w:footnote>
  <w:footnote w:id="396">
    <w:p w14:paraId="739121FE" w14:textId="107241C1" w:rsidR="00977786" w:rsidRDefault="00977786" w:rsidP="0020129A">
      <w:pPr>
        <w:pStyle w:val="FootnoteText"/>
      </w:pPr>
      <w:r w:rsidRPr="00977786">
        <w:rPr>
          <w:rStyle w:val="FootnoteReference"/>
          <w:vertAlign w:val="baseline"/>
        </w:rPr>
        <w:footnoteRef/>
      </w:r>
      <w:r>
        <w:t xml:space="preserve"> Office of Fair </w:t>
      </w:r>
      <w:r w:rsidRPr="0020129A">
        <w:t>Trading</w:t>
      </w:r>
      <w:r>
        <w:t xml:space="preserve"> 2010, </w:t>
      </w:r>
      <w:hyperlink r:id="rId250" w:history="1">
        <w:r w:rsidRPr="004A26A9">
          <w:rPr>
            <w:rStyle w:val="Hyperlink"/>
          </w:rPr>
          <w:t>Market Studies: Guidance on the OFT Approach</w:t>
        </w:r>
      </w:hyperlink>
      <w:r>
        <w:t>, page 3.</w:t>
      </w:r>
    </w:p>
  </w:footnote>
  <w:footnote w:id="397">
    <w:p w14:paraId="02BAB331" w14:textId="103EC3BB" w:rsidR="00977786" w:rsidRPr="00242749" w:rsidRDefault="00977786" w:rsidP="00242749">
      <w:pPr>
        <w:pStyle w:val="FootnoteText"/>
      </w:pPr>
      <w:r w:rsidRPr="00977786">
        <w:rPr>
          <w:rStyle w:val="FootnoteReference"/>
          <w:vertAlign w:val="baseline"/>
        </w:rPr>
        <w:footnoteRef/>
      </w:r>
      <w:r>
        <w:t xml:space="preserve"> Competition Commission 2013, </w:t>
      </w:r>
      <w:hyperlink r:id="rId251" w:history="1">
        <w:r w:rsidRPr="00242749">
          <w:rPr>
            <w:rStyle w:val="Hyperlink"/>
          </w:rPr>
          <w:t>Guidelines for market investigations: Their role, procedures, assessment and remedies</w:t>
        </w:r>
      </w:hyperlink>
      <w:r>
        <w:t>,</w:t>
      </w:r>
      <w:r w:rsidRPr="00242749">
        <w:t xml:space="preserve"> </w:t>
      </w:r>
      <w:r>
        <w:t xml:space="preserve">page </w:t>
      </w:r>
      <w:r w:rsidRPr="00242749">
        <w:t>79</w:t>
      </w:r>
      <w:r>
        <w:t>.</w:t>
      </w:r>
    </w:p>
  </w:footnote>
  <w:footnote w:id="398">
    <w:p w14:paraId="2E8CED9F" w14:textId="2D7E127B" w:rsidR="00977786" w:rsidRDefault="00977786" w:rsidP="00153EBE">
      <w:pPr>
        <w:pStyle w:val="FootnoteText"/>
      </w:pPr>
      <w:r w:rsidRPr="00977786">
        <w:rPr>
          <w:rStyle w:val="FootnoteReference"/>
          <w:vertAlign w:val="baseline"/>
        </w:rPr>
        <w:footnoteRef/>
      </w:r>
      <w:r>
        <w:t xml:space="preserve"> Productivity Commission 2005, </w:t>
      </w:r>
      <w:hyperlink r:id="rId252" w:history="1">
        <w:r w:rsidRPr="0020129A">
          <w:rPr>
            <w:rStyle w:val="Hyperlink"/>
            <w:i/>
          </w:rPr>
          <w:t>Review of National Competition Policy Reforms</w:t>
        </w:r>
      </w:hyperlink>
      <w:r>
        <w:t>, page 152.</w:t>
      </w:r>
    </w:p>
  </w:footnote>
  <w:footnote w:id="399">
    <w:p w14:paraId="329E4678" w14:textId="185E11F4" w:rsidR="00977786" w:rsidRPr="009D426D" w:rsidRDefault="00977786" w:rsidP="00F43A43">
      <w:pPr>
        <w:pStyle w:val="FootnoteText"/>
      </w:pPr>
      <w:r w:rsidRPr="00977786">
        <w:rPr>
          <w:rStyle w:val="FootnoteReference"/>
          <w:vertAlign w:val="baseline"/>
        </w:rPr>
        <w:footnoteRef/>
      </w:r>
      <w:r w:rsidRPr="00715D15">
        <w:t xml:space="preserve"> Netherlands Competition Authority 2010, </w:t>
      </w:r>
      <w:hyperlink r:id="rId253" w:history="1">
        <w:r w:rsidRPr="0020129A">
          <w:rPr>
            <w:rStyle w:val="Hyperlink"/>
            <w:i/>
          </w:rPr>
          <w:t>Competition Enforcement and Consumer Welfare: Setting the Agenda</w:t>
        </w:r>
        <w:r w:rsidRPr="00715D15">
          <w:rPr>
            <w:rStyle w:val="Hyperlink"/>
          </w:rPr>
          <w:t xml:space="preserve"> Preamble</w:t>
        </w:r>
      </w:hyperlink>
      <w:r>
        <w:t>, page 3.</w:t>
      </w:r>
    </w:p>
  </w:footnote>
  <w:footnote w:id="400">
    <w:p w14:paraId="7D0247C6" w14:textId="444C38B5" w:rsidR="00977786" w:rsidRDefault="00977786" w:rsidP="00F43A43">
      <w:pPr>
        <w:pStyle w:val="FootnoteText"/>
      </w:pPr>
      <w:r w:rsidRPr="00977786">
        <w:rPr>
          <w:rStyle w:val="FootnoteReference"/>
          <w:vertAlign w:val="baseline"/>
        </w:rPr>
        <w:footnoteRef/>
      </w:r>
      <w:r>
        <w:t xml:space="preserve"> OECD Policy Roundtables 2008, </w:t>
      </w:r>
      <w:hyperlink r:id="rId254" w:history="1">
        <w:proofErr w:type="gramStart"/>
        <w:r w:rsidRPr="00505FD2">
          <w:rPr>
            <w:rStyle w:val="Hyperlink"/>
            <w:i/>
          </w:rPr>
          <w:t>The</w:t>
        </w:r>
        <w:proofErr w:type="gramEnd"/>
        <w:r w:rsidRPr="00505FD2">
          <w:rPr>
            <w:rStyle w:val="Hyperlink"/>
            <w:i/>
          </w:rPr>
          <w:t xml:space="preserve"> Interface between Competition and Consumer Policies</w:t>
        </w:r>
      </w:hyperlink>
      <w:r>
        <w:rPr>
          <w:rStyle w:val="Hyperlink"/>
        </w:rPr>
        <w:t>.</w:t>
      </w:r>
      <w:r>
        <w:t xml:space="preserve"> </w:t>
      </w:r>
    </w:p>
  </w:footnote>
  <w:footnote w:id="401">
    <w:p w14:paraId="5B88837E" w14:textId="439B11F2" w:rsidR="00977786" w:rsidRDefault="00977786" w:rsidP="00F43A43">
      <w:pPr>
        <w:pStyle w:val="FootnoteText"/>
      </w:pPr>
      <w:r w:rsidRPr="00977786">
        <w:rPr>
          <w:rStyle w:val="FootnoteReference"/>
          <w:vertAlign w:val="baseline"/>
        </w:rPr>
        <w:footnoteRef/>
      </w:r>
      <w:r>
        <w:t xml:space="preserve"> </w:t>
      </w:r>
      <w:hyperlink r:id="rId255" w:history="1">
        <w:proofErr w:type="gramStart"/>
        <w:r w:rsidRPr="00B41EC0">
          <w:rPr>
            <w:rStyle w:val="Hyperlink"/>
          </w:rPr>
          <w:t>Legal Services Directions 2005</w:t>
        </w:r>
      </w:hyperlink>
      <w:r>
        <w:t>.</w:t>
      </w:r>
      <w:proofErr w:type="gramEnd"/>
    </w:p>
  </w:footnote>
  <w:footnote w:id="402">
    <w:p w14:paraId="1F296FB0" w14:textId="70EF5F7D" w:rsidR="00977786" w:rsidRDefault="00977786" w:rsidP="00F43A43">
      <w:pPr>
        <w:pStyle w:val="FootnoteText"/>
      </w:pPr>
      <w:r w:rsidRPr="00977786">
        <w:rPr>
          <w:rStyle w:val="FootnoteReference"/>
          <w:vertAlign w:val="baseline"/>
        </w:rPr>
        <w:footnoteRef/>
      </w:r>
      <w:r>
        <w:t xml:space="preserve"> </w:t>
      </w:r>
      <w:proofErr w:type="gramStart"/>
      <w:r w:rsidRPr="00120A8F">
        <w:rPr>
          <w:i/>
        </w:rPr>
        <w:t>Freedom of Information Act 1982</w:t>
      </w:r>
      <w:r>
        <w:t>.</w:t>
      </w:r>
      <w:proofErr w:type="gramEnd"/>
    </w:p>
  </w:footnote>
  <w:footnote w:id="403">
    <w:p w14:paraId="13AE7088" w14:textId="584D45AC" w:rsidR="00977786" w:rsidRDefault="00977786" w:rsidP="00F43A43">
      <w:pPr>
        <w:pStyle w:val="FootnoteText"/>
      </w:pPr>
      <w:r w:rsidRPr="00977786">
        <w:rPr>
          <w:rStyle w:val="FootnoteReference"/>
          <w:vertAlign w:val="baseline"/>
        </w:rPr>
        <w:footnoteRef/>
      </w:r>
      <w:r>
        <w:t xml:space="preserve"> </w:t>
      </w:r>
      <w:proofErr w:type="gramStart"/>
      <w:r w:rsidRPr="00CA32AC">
        <w:rPr>
          <w:i/>
        </w:rPr>
        <w:t>Public Service Act 1999</w:t>
      </w:r>
      <w:r>
        <w:t>.</w:t>
      </w:r>
      <w:proofErr w:type="gramEnd"/>
      <w:r>
        <w:t xml:space="preserve"> </w:t>
      </w:r>
    </w:p>
  </w:footnote>
  <w:footnote w:id="404">
    <w:p w14:paraId="261FD0B9" w14:textId="7F1F5C0B" w:rsidR="00977786" w:rsidRDefault="00977786" w:rsidP="00F43A43">
      <w:pPr>
        <w:pStyle w:val="FootnoteText"/>
      </w:pPr>
      <w:r w:rsidRPr="00977786">
        <w:rPr>
          <w:rStyle w:val="FootnoteReference"/>
          <w:vertAlign w:val="baseline"/>
        </w:rPr>
        <w:footnoteRef/>
      </w:r>
      <w:r>
        <w:t xml:space="preserve"> See </w:t>
      </w:r>
      <w:hyperlink r:id="rId256" w:history="1">
        <w:r>
          <w:rPr>
            <w:rStyle w:val="Hyperlink"/>
          </w:rPr>
          <w:t>www.accc.gov.au/system/files/ACCC_Statement_of_expectations.pdf</w:t>
        </w:r>
      </w:hyperlink>
      <w:r>
        <w:rPr>
          <w:rStyle w:val="Hyperlink"/>
        </w:rPr>
        <w:t>.</w:t>
      </w:r>
      <w:r>
        <w:t xml:space="preserve"> </w:t>
      </w:r>
    </w:p>
  </w:footnote>
  <w:footnote w:id="405">
    <w:p w14:paraId="2D970F57" w14:textId="4F754A64" w:rsidR="00977786" w:rsidRDefault="00977786" w:rsidP="00F43A43">
      <w:pPr>
        <w:pStyle w:val="FootnoteText"/>
      </w:pPr>
      <w:r w:rsidRPr="00977786">
        <w:rPr>
          <w:rStyle w:val="FootnoteReference"/>
          <w:vertAlign w:val="baseline"/>
        </w:rPr>
        <w:footnoteRef/>
      </w:r>
      <w:r>
        <w:t xml:space="preserve"> See </w:t>
      </w:r>
      <w:hyperlink r:id="rId257" w:history="1">
        <w:r>
          <w:rPr>
            <w:rStyle w:val="Hyperlink"/>
          </w:rPr>
          <w:t>www.accc.gov.au/system/files/ACCC%20Statement%20of%20Intent%20</w:t>
        </w:r>
        <w:r>
          <w:rPr>
            <w:rStyle w:val="Hyperlink"/>
          </w:rPr>
          <w:noBreakHyphen/>
          <w:t>%2026%20June%202014.pdf</w:t>
        </w:r>
      </w:hyperlink>
      <w:r>
        <w:rPr>
          <w:rStyle w:val="Hyperlink"/>
        </w:rPr>
        <w:t>.</w:t>
      </w:r>
      <w:r>
        <w:t xml:space="preserve"> </w:t>
      </w:r>
    </w:p>
  </w:footnote>
  <w:footnote w:id="406">
    <w:p w14:paraId="1734570C" w14:textId="019CCC1D" w:rsidR="00977786" w:rsidRDefault="00977786" w:rsidP="00F43A43">
      <w:pPr>
        <w:pStyle w:val="FootnoteText"/>
      </w:pPr>
      <w:r w:rsidRPr="00977786">
        <w:rPr>
          <w:rStyle w:val="FootnoteReference"/>
          <w:vertAlign w:val="baseline"/>
        </w:rPr>
        <w:footnoteRef/>
      </w:r>
      <w:r>
        <w:t xml:space="preserve"> Mr John Dahlsen provided a confidential submission to the Review, but gave his permission for his submission to be quoted in this Draft Report.</w:t>
      </w:r>
    </w:p>
  </w:footnote>
  <w:footnote w:id="407">
    <w:p w14:paraId="4DFC240D" w14:textId="5EF853DF" w:rsidR="00977786" w:rsidRDefault="00977786" w:rsidP="00F43A43">
      <w:pPr>
        <w:pStyle w:val="FootnoteText"/>
      </w:pPr>
      <w:r w:rsidRPr="00977786">
        <w:rPr>
          <w:rStyle w:val="FootnoteReference"/>
          <w:vertAlign w:val="baseline"/>
        </w:rPr>
        <w:footnoteRef/>
      </w:r>
      <w:r>
        <w:t xml:space="preserve"> Trade Practices Act Review Committee 2003</w:t>
      </w:r>
      <w:r w:rsidRPr="0020129A">
        <w:rPr>
          <w:i/>
        </w:rPr>
        <w:t xml:space="preserve">, </w:t>
      </w:r>
      <w:hyperlink r:id="rId258" w:history="1">
        <w:r w:rsidRPr="0020129A">
          <w:rPr>
            <w:rStyle w:val="Hyperlink"/>
            <w:i/>
          </w:rPr>
          <w:t>Review of the Competition Provisions of the Trade Practices Act</w:t>
        </w:r>
      </w:hyperlink>
      <w:r>
        <w:t>, Recommendations 12.1 and 12.2, page 182.</w:t>
      </w:r>
    </w:p>
  </w:footnote>
  <w:footnote w:id="408">
    <w:p w14:paraId="5CFFE581" w14:textId="5ECB6FC7" w:rsidR="00977786" w:rsidRDefault="00977786" w:rsidP="00F43A43">
      <w:pPr>
        <w:pStyle w:val="FootnoteText"/>
      </w:pPr>
      <w:r w:rsidRPr="00977786">
        <w:rPr>
          <w:rStyle w:val="FootnoteReference"/>
          <w:vertAlign w:val="baseline"/>
        </w:rPr>
        <w:footnoteRef/>
      </w:r>
      <w:r>
        <w:t xml:space="preserve"> See </w:t>
      </w:r>
      <w:hyperlink r:id="rId259" w:history="1">
        <w:r>
          <w:rPr>
            <w:rStyle w:val="Hyperlink"/>
          </w:rPr>
          <w:t>www.accc.gov.au/regulated</w:t>
        </w:r>
        <w:r>
          <w:rPr>
            <w:rStyle w:val="Hyperlink"/>
          </w:rPr>
          <w:noBreakHyphen/>
          <w:t>infrastructure/about</w:t>
        </w:r>
        <w:r>
          <w:rPr>
            <w:rStyle w:val="Hyperlink"/>
          </w:rPr>
          <w:noBreakHyphen/>
          <w:t>regulated</w:t>
        </w:r>
        <w:r>
          <w:rPr>
            <w:rStyle w:val="Hyperlink"/>
          </w:rPr>
          <w:noBreakHyphen/>
          <w:t>infrastructure/acccs</w:t>
        </w:r>
        <w:r>
          <w:rPr>
            <w:rStyle w:val="Hyperlink"/>
          </w:rPr>
          <w:noBreakHyphen/>
          <w:t>role</w:t>
        </w:r>
        <w:r>
          <w:rPr>
            <w:rStyle w:val="Hyperlink"/>
          </w:rPr>
          <w:noBreakHyphen/>
          <w:t>in</w:t>
        </w:r>
        <w:r>
          <w:rPr>
            <w:rStyle w:val="Hyperlink"/>
          </w:rPr>
          <w:noBreakHyphen/>
          <w:t>regulated</w:t>
        </w:r>
        <w:r>
          <w:rPr>
            <w:rStyle w:val="Hyperlink"/>
          </w:rPr>
          <w:noBreakHyphen/>
          <w:t>infrastructure</w:t>
        </w:r>
      </w:hyperlink>
      <w:r>
        <w:rPr>
          <w:rStyle w:val="Hyperlink"/>
        </w:rPr>
        <w:t>.</w:t>
      </w:r>
      <w:r>
        <w:t xml:space="preserve"> </w:t>
      </w:r>
    </w:p>
  </w:footnote>
  <w:footnote w:id="409">
    <w:p w14:paraId="60147D72" w14:textId="34E104E8" w:rsidR="00977786" w:rsidRDefault="00977786" w:rsidP="00F43A43">
      <w:pPr>
        <w:pStyle w:val="FootnoteText"/>
      </w:pPr>
      <w:r w:rsidRPr="00977786">
        <w:rPr>
          <w:rStyle w:val="FootnoteReference"/>
          <w:vertAlign w:val="baseline"/>
        </w:rPr>
        <w:footnoteRef/>
      </w:r>
      <w:r>
        <w:t xml:space="preserve"> Economic Regulation Authority 2014, </w:t>
      </w:r>
      <w:hyperlink r:id="rId260" w:history="1">
        <w:r w:rsidRPr="00AB0460">
          <w:rPr>
            <w:rStyle w:val="Hyperlink"/>
          </w:rPr>
          <w:t>I</w:t>
        </w:r>
        <w:r w:rsidRPr="00834567">
          <w:rPr>
            <w:rStyle w:val="Hyperlink"/>
            <w:i/>
          </w:rPr>
          <w:t>nquiry into Microeconomic Reform in Western Australia: Final Report</w:t>
        </w:r>
      </w:hyperlink>
      <w:r>
        <w:t>.</w:t>
      </w:r>
    </w:p>
  </w:footnote>
  <w:footnote w:id="410">
    <w:p w14:paraId="14ABF3AC" w14:textId="3FC4F1D2" w:rsidR="00977786" w:rsidRDefault="00977786">
      <w:pPr>
        <w:pStyle w:val="FootnoteText"/>
      </w:pPr>
      <w:r w:rsidRPr="00977786">
        <w:rPr>
          <w:rStyle w:val="FootnoteReference"/>
          <w:vertAlign w:val="baseline"/>
        </w:rPr>
        <w:footnoteRef/>
      </w:r>
      <w:r>
        <w:t xml:space="preserve"> </w:t>
      </w:r>
      <w:r>
        <w:rPr>
          <w:lang w:val="en-US"/>
        </w:rPr>
        <w:t>Productivity Commission 2013</w:t>
      </w:r>
      <w:r w:rsidRPr="00923A4E">
        <w:rPr>
          <w:i/>
          <w:lang w:val="en-US"/>
        </w:rPr>
        <w:t xml:space="preserve">, </w:t>
      </w:r>
      <w:hyperlink r:id="rId261" w:history="1">
        <w:r w:rsidRPr="00923A4E">
          <w:rPr>
            <w:rStyle w:val="Hyperlink"/>
            <w:i/>
            <w:lang w:val="en-US"/>
          </w:rPr>
          <w:t>National Access Regime</w:t>
        </w:r>
      </w:hyperlink>
      <w:r>
        <w:t>, page 291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36F3" w14:textId="0F9089EA" w:rsidR="00977786" w:rsidRDefault="00AD530F">
    <w:pPr>
      <w:pStyle w:val="Header"/>
    </w:pPr>
    <w:r>
      <w:rPr>
        <w:noProof/>
      </w:rPr>
      <w:pict w14:anchorId="07638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0321" o:spid="_x0000_s2075" type="#_x0000_t136" style="position:absolute;margin-left:0;margin-top:0;width:399.6pt;height:239.7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186B7" w14:textId="4CFE2C1D" w:rsidR="00977786" w:rsidRPr="00A95C90" w:rsidRDefault="00AD530F" w:rsidP="00A95C90">
    <w:pPr>
      <w:pStyle w:val="Header"/>
    </w:pPr>
    <w:r>
      <w:fldChar w:fldCharType="begin"/>
    </w:r>
    <w:r>
      <w:instrText xml:space="preserve"> STYLEREF  "Heading 1"  \* MERGEFORMAT </w:instrText>
    </w:r>
    <w:r>
      <w:fldChar w:fldCharType="separate"/>
    </w:r>
    <w:r>
      <w:rPr>
        <w:noProof/>
      </w:rPr>
      <w:t>Key retail markets</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8F441" w14:textId="1CD0AC26" w:rsidR="00977786" w:rsidRPr="00BE371D" w:rsidRDefault="00AD530F" w:rsidP="00BE371D">
    <w:pPr>
      <w:pStyle w:val="Header"/>
    </w:pPr>
    <w:r>
      <w:fldChar w:fldCharType="begin"/>
    </w:r>
    <w:r>
      <w:instrText xml:space="preserve"> STYLEREF  "Heading 1"  \* MERGEFORMAT </w:instrText>
    </w:r>
    <w:r>
      <w:fldChar w:fldCharType="separate"/>
    </w:r>
    <w:r>
      <w:rPr>
        <w:noProof/>
      </w:rPr>
      <w:t>National Access Regime</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6496" w14:textId="64933CD5" w:rsidR="00977786" w:rsidRDefault="00977786" w:rsidP="000A0A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E6E9" w14:textId="294F6763" w:rsidR="00977786" w:rsidRPr="000A0A87" w:rsidRDefault="00AD530F" w:rsidP="00A8424A">
    <w:pPr>
      <w:pStyle w:val="Header"/>
    </w:pPr>
    <w:r>
      <w:fldChar w:fldCharType="begin"/>
    </w:r>
    <w:r>
      <w:instrText xml:space="preserve"> STYLEREF  "Heading 1"  \*</w:instrText>
    </w:r>
    <w:r>
      <w:instrText xml:space="preserve"> MERGEFORMAT </w:instrText>
    </w:r>
    <w:r>
      <w:fldChar w:fldCharType="separate"/>
    </w:r>
    <w:r>
      <w:rPr>
        <w:noProof/>
      </w:rPr>
      <w:t>Review of competition and regulatory decisions</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1408C" w14:textId="40D1AADA" w:rsidR="00977786" w:rsidRPr="00806FD9" w:rsidRDefault="00977786" w:rsidP="00806F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64188" w14:textId="0C60896C" w:rsidR="00977786" w:rsidRDefault="009777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A9B9" w14:textId="4BDE7B8A" w:rsidR="00977786" w:rsidRDefault="00AD530F">
    <w:pPr>
      <w:pStyle w:val="Header"/>
    </w:pPr>
    <w:r>
      <w:rPr>
        <w:noProof/>
      </w:rPr>
      <w:pict w14:anchorId="65035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0320" o:spid="_x0000_s2074" type="#_x0000_t136" style="position:absolute;margin-left:0;margin-top:0;width:399.6pt;height:239.7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0B613" w14:textId="77777777" w:rsidR="00977786" w:rsidRDefault="00AD530F">
    <w:pPr>
      <w:pStyle w:val="Header"/>
    </w:pPr>
    <w:r>
      <w:rPr>
        <w:noProof/>
      </w:rPr>
      <w:pict w14:anchorId="30627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0330" o:spid="_x0000_s2093" type="#_x0000_t136" style="position:absolute;margin-left:0;margin-top:0;width:399.6pt;height:239.7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92224" w14:textId="10D42EE8" w:rsidR="00977786" w:rsidRPr="00B12A87" w:rsidRDefault="00977786" w:rsidP="00B12A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AE64F" w14:textId="6236C6F3" w:rsidR="00977786" w:rsidRDefault="009777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33B0A" w14:textId="77777777" w:rsidR="00977786" w:rsidRPr="00EB3FDE" w:rsidRDefault="00977786" w:rsidP="00EB3FD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D0881" w14:textId="4E015456" w:rsidR="00977786" w:rsidRPr="000A0A87" w:rsidRDefault="00AD530F" w:rsidP="000A0A87">
    <w:pPr>
      <w:pStyle w:val="Header"/>
    </w:pPr>
    <w:r>
      <w:fldChar w:fldCharType="begin"/>
    </w:r>
    <w:r>
      <w:instrText xml:space="preserve"> STYLEREF  "Heading 1"  \* MERGEFORMAT </w:instrText>
    </w:r>
    <w:r>
      <w:fldChar w:fldCharType="separate"/>
    </w:r>
    <w:r>
      <w:rPr>
        <w:noProof/>
      </w:rPr>
      <w:t>Retail markets</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E879D" w14:textId="77777777" w:rsidR="00977786" w:rsidRPr="00205922" w:rsidRDefault="00977786" w:rsidP="002059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6CB1A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C9468F"/>
    <w:multiLevelType w:val="hybridMultilevel"/>
    <w:tmpl w:val="373ECD8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0F8061BC"/>
    <w:multiLevelType w:val="multilevel"/>
    <w:tmpl w:val="8EEC6C82"/>
    <w:lvl w:ilvl="0">
      <w:start w:val="1"/>
      <w:numFmt w:val="decimal"/>
      <w:pStyle w:val="Siobhan1"/>
      <w:lvlText w:val="%1."/>
      <w:lvlJc w:val="left"/>
      <w:pPr>
        <w:tabs>
          <w:tab w:val="num" w:pos="1249"/>
        </w:tabs>
        <w:ind w:left="1249" w:hanging="709"/>
      </w:pPr>
      <w:rPr>
        <w:rFonts w:hint="default"/>
        <w:b w:val="0"/>
        <w:i w:val="0"/>
      </w:rPr>
    </w:lvl>
    <w:lvl w:ilvl="1">
      <w:start w:val="1"/>
      <w:numFmt w:val="decimal"/>
      <w:pStyle w:val="Siobhan2"/>
      <w:lvlText w:val="%1.%2"/>
      <w:lvlJc w:val="left"/>
      <w:pPr>
        <w:tabs>
          <w:tab w:val="num" w:pos="709"/>
        </w:tabs>
        <w:ind w:left="709" w:hanging="709"/>
      </w:pPr>
      <w:rPr>
        <w:rFonts w:hint="default"/>
      </w:rPr>
    </w:lvl>
    <w:lvl w:ilvl="2">
      <w:start w:val="1"/>
      <w:numFmt w:val="lowerLetter"/>
      <w:pStyle w:val="Siobhan3"/>
      <w:lvlText w:val="(%3)"/>
      <w:lvlJc w:val="left"/>
      <w:pPr>
        <w:tabs>
          <w:tab w:val="num" w:pos="1418"/>
        </w:tabs>
        <w:ind w:left="1418" w:hanging="709"/>
      </w:pPr>
      <w:rPr>
        <w:rFonts w:hint="default"/>
        <w:b w:val="0"/>
      </w:rPr>
    </w:lvl>
    <w:lvl w:ilvl="3">
      <w:start w:val="1"/>
      <w:numFmt w:val="lowerRoman"/>
      <w:pStyle w:val="Siobhan4"/>
      <w:lvlText w:val="(%4)"/>
      <w:lvlJc w:val="left"/>
      <w:pPr>
        <w:tabs>
          <w:tab w:val="num" w:pos="2126"/>
        </w:tabs>
        <w:ind w:left="2126" w:hanging="708"/>
      </w:pPr>
      <w:rPr>
        <w:rFonts w:hint="default"/>
      </w:rPr>
    </w:lvl>
    <w:lvl w:ilvl="4">
      <w:start w:val="1"/>
      <w:numFmt w:val="upperLetter"/>
      <w:pStyle w:val="Siobhan5"/>
      <w:lvlText w:val="(%5)"/>
      <w:lvlJc w:val="left"/>
      <w:pPr>
        <w:tabs>
          <w:tab w:val="num" w:pos="2835"/>
        </w:tabs>
        <w:ind w:left="2835" w:hanging="709"/>
      </w:pPr>
      <w:rPr>
        <w:rFonts w:hint="default"/>
      </w:rPr>
    </w:lvl>
    <w:lvl w:ilvl="5">
      <w:start w:val="1"/>
      <w:numFmt w:val="upperRoman"/>
      <w:pStyle w:val="Siobhan6"/>
      <w:lvlText w:val="(%6)"/>
      <w:lvlJc w:val="left"/>
      <w:pPr>
        <w:tabs>
          <w:tab w:val="num" w:pos="3544"/>
        </w:tabs>
        <w:ind w:left="3544"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nsid w:val="0F8B0908"/>
    <w:multiLevelType w:val="multilevel"/>
    <w:tmpl w:val="50B6D0D0"/>
    <w:lvl w:ilvl="0">
      <w:start w:val="1"/>
      <w:numFmt w:val="bullet"/>
      <w:lvlRestart w:val="0"/>
      <w:lvlText w:val="•"/>
      <w:lvlJc w:val="left"/>
      <w:pPr>
        <w:tabs>
          <w:tab w:val="num" w:pos="566"/>
        </w:tabs>
        <w:ind w:left="566" w:hanging="566"/>
      </w:pPr>
      <w:rPr>
        <w:rFonts w:ascii="Times New Roman" w:hAnsi="Times New Roman" w:cs="Times New Roman"/>
        <w:b w:val="0"/>
        <w:i w:val="0"/>
      </w:rPr>
    </w:lvl>
    <w:lvl w:ilvl="1">
      <w:start w:val="1"/>
      <w:numFmt w:val="bullet"/>
      <w:lvlText w:val=""/>
      <w:lvlJc w:val="left"/>
      <w:pPr>
        <w:tabs>
          <w:tab w:val="num" w:pos="1134"/>
        </w:tabs>
        <w:ind w:left="1134" w:hanging="568"/>
      </w:pPr>
      <w:rPr>
        <w:rFonts w:ascii="Symbol" w:hAnsi="Symbol" w:hint="default"/>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
    <w:nsid w:val="10635D77"/>
    <w:multiLevelType w:val="hybridMultilevel"/>
    <w:tmpl w:val="CC36B076"/>
    <w:name w:val="StandardBulletedList_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6">
    <w:nsid w:val="19F7460D"/>
    <w:multiLevelType w:val="multilevel"/>
    <w:tmpl w:val="62606996"/>
    <w:lvl w:ilvl="0">
      <w:start w:val="1"/>
      <w:numFmt w:val="decimal"/>
      <w:lvlText w:val="%1."/>
      <w:lvlJc w:val="left"/>
      <w:pPr>
        <w:tabs>
          <w:tab w:val="num" w:pos="567"/>
        </w:tabs>
        <w:ind w:left="567" w:hanging="567"/>
      </w:pPr>
      <w:rPr>
        <w:rFonts w:ascii="Calibri" w:hAnsi="Calibri" w:cs="Times New Roman" w:hint="default"/>
        <w:i w:val="0"/>
      </w:rPr>
    </w:lvl>
    <w:lvl w:ilvl="1">
      <w:start w:val="1"/>
      <w:numFmt w:val="decimal"/>
      <w:lvlText w:val="%1.%2."/>
      <w:lvlJc w:val="left"/>
      <w:pPr>
        <w:tabs>
          <w:tab w:val="num" w:pos="993"/>
        </w:tabs>
        <w:ind w:left="993" w:hanging="567"/>
      </w:pPr>
      <w:rPr>
        <w:rFonts w:ascii="Calibri" w:hAnsi="Calibri" w:cs="Times New Roman" w:hint="default"/>
        <w:i w:val="0"/>
      </w:rPr>
    </w:lvl>
    <w:lvl w:ilvl="2">
      <w:start w:val="1"/>
      <w:numFmt w:val="decimal"/>
      <w:pStyle w:val="OutlineNumbered3"/>
      <w:lvlText w:val="%1.%2.%3."/>
      <w:lvlJc w:val="left"/>
      <w:pPr>
        <w:tabs>
          <w:tab w:val="num" w:pos="1701"/>
        </w:tabs>
        <w:ind w:left="1701" w:hanging="567"/>
      </w:pPr>
      <w:rPr>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F61864"/>
    <w:multiLevelType w:val="hybridMultilevel"/>
    <w:tmpl w:val="BAA0FB88"/>
    <w:lvl w:ilvl="0" w:tplc="E64CB746">
      <w:start w:val="1"/>
      <w:numFmt w:val="lowerRoman"/>
      <w:lvlText w:val="%1)"/>
      <w:lvlJc w:val="righ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8">
    <w:nsid w:val="1D904FDD"/>
    <w:multiLevelType w:val="hybridMultilevel"/>
    <w:tmpl w:val="1BE2F760"/>
    <w:lvl w:ilvl="0" w:tplc="2F2AC3AC">
      <w:start w:val="1"/>
      <w:numFmt w:val="lowerLetter"/>
      <w:lvlText w:val="(%1)"/>
      <w:lvlJc w:val="left"/>
      <w:pPr>
        <w:ind w:left="1440" w:hanging="360"/>
      </w:pPr>
      <w:rPr>
        <w:rFonts w:ascii="Arial" w:hAnsi="Arial" w:cs="Arial" w:hint="default"/>
        <w:b w:val="0"/>
        <w:i w:val="0"/>
        <w:color w:val="000000"/>
        <w:sz w:val="1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7">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244237C5"/>
    <w:multiLevelType w:val="multilevel"/>
    <w:tmpl w:val="617EB2D8"/>
    <w:lvl w:ilvl="0">
      <w:start w:val="1"/>
      <w:numFmt w:val="decimal"/>
      <w:pStyle w:val="OutlineNumbered1"/>
      <w:lvlText w:val="%1."/>
      <w:lvlJc w:val="left"/>
      <w:pPr>
        <w:tabs>
          <w:tab w:val="num" w:pos="520"/>
        </w:tabs>
        <w:ind w:left="520" w:hanging="520"/>
      </w:pPr>
      <w:rPr>
        <w:rFonts w:hint="default"/>
        <w:b w:val="0"/>
        <w:i w:val="0"/>
      </w:rPr>
    </w:lvl>
    <w:lvl w:ilvl="1">
      <w:start w:val="1"/>
      <w:numFmt w:val="decimal"/>
      <w:lvlText w:val="%1.%2."/>
      <w:lvlJc w:val="left"/>
      <w:pPr>
        <w:tabs>
          <w:tab w:val="num" w:pos="1040"/>
        </w:tabs>
        <w:ind w:left="1040" w:hanging="520"/>
      </w:pPr>
      <w:rPr>
        <w:rFonts w:hint="default"/>
        <w:b w:val="0"/>
        <w:i w:val="0"/>
      </w:rPr>
    </w:lvl>
    <w:lvl w:ilvl="2">
      <w:start w:val="1"/>
      <w:numFmt w:val="decimal"/>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nsid w:val="253B7EBB"/>
    <w:multiLevelType w:val="hybridMultilevel"/>
    <w:tmpl w:val="C2B4FD86"/>
    <w:name w:val="HeadingList22"/>
    <w:lvl w:ilvl="0" w:tplc="A53C686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7440C8B"/>
    <w:multiLevelType w:val="multilevel"/>
    <w:tmpl w:val="5308E0EC"/>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Symbol" w:hAnsi="Symbol" w:hint="default"/>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nsid w:val="2943388A"/>
    <w:multiLevelType w:val="hybridMultilevel"/>
    <w:tmpl w:val="82BA89B2"/>
    <w:name w:val="StandardBulletedList_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E3DD1"/>
    <w:multiLevelType w:val="singleLevel"/>
    <w:tmpl w:val="C99CE56A"/>
    <w:lvl w:ilvl="0">
      <w:start w:val="1"/>
      <w:numFmt w:val="decimal"/>
      <w:lvlRestart w:val="0"/>
      <w:pStyle w:val="ParaNumbering"/>
      <w:lvlText w:val="%1"/>
      <w:lvlJc w:val="left"/>
      <w:pPr>
        <w:tabs>
          <w:tab w:val="num" w:pos="720"/>
        </w:tabs>
        <w:ind w:hanging="720"/>
      </w:pPr>
      <w:rPr>
        <w:rFonts w:cs="Times New Roman" w:hint="default"/>
        <w:sz w:val="20"/>
      </w:rPr>
    </w:lvl>
  </w:abstractNum>
  <w:abstractNum w:abstractNumId="15">
    <w:nsid w:val="2D097FDD"/>
    <w:multiLevelType w:val="multilevel"/>
    <w:tmpl w:val="921014A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9976"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Numbered2"/>
      <w:lvlText w:val="%1.%2"/>
      <w:lvlJc w:val="left"/>
      <w:pPr>
        <w:tabs>
          <w:tab w:val="num" w:pos="567"/>
        </w:tabs>
        <w:ind w:left="567" w:hanging="567"/>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567"/>
        </w:tabs>
        <w:ind w:left="567" w:hanging="567"/>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6">
    <w:nsid w:val="2D665DFA"/>
    <w:multiLevelType w:val="singleLevel"/>
    <w:tmpl w:val="D7E4CFE6"/>
    <w:name w:val="OneLevelAlphaParagraphList"/>
    <w:lvl w:ilvl="0">
      <w:start w:val="1"/>
      <w:numFmt w:val="lowerLetter"/>
      <w:lvlRestart w:val="0"/>
      <w:pStyle w:val="AlphaParagraph"/>
      <w:lvlText w:val="(%1)"/>
      <w:lvlJc w:val="left"/>
      <w:pPr>
        <w:tabs>
          <w:tab w:val="num" w:pos="567"/>
        </w:tabs>
        <w:ind w:left="567" w:hanging="567"/>
      </w:pPr>
      <w:rPr>
        <w:rFonts w:ascii="Arial" w:hAnsi="Arial" w:cs="Arial"/>
        <w:b w:val="0"/>
        <w:i w:val="0"/>
        <w:sz w:val="22"/>
      </w:rPr>
    </w:lvl>
  </w:abstractNum>
  <w:abstractNum w:abstractNumId="17">
    <w:nsid w:val="34724602"/>
    <w:multiLevelType w:val="hybridMultilevel"/>
    <w:tmpl w:val="0A26BE8C"/>
    <w:lvl w:ilvl="0" w:tplc="2224100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nsid w:val="35DC7AE0"/>
    <w:multiLevelType w:val="multilevel"/>
    <w:tmpl w:val="4B709B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6AD49BF"/>
    <w:multiLevelType w:val="hybridMultilevel"/>
    <w:tmpl w:val="AF78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50247A"/>
    <w:multiLevelType w:val="multilevel"/>
    <w:tmpl w:val="3120E74C"/>
    <w:lvl w:ilvl="0">
      <w:start w:val="1"/>
      <w:numFmt w:val="bullet"/>
      <w:lvlRestart w:val="0"/>
      <w:lvlText w:val="•"/>
      <w:lvlJc w:val="left"/>
      <w:pPr>
        <w:tabs>
          <w:tab w:val="num" w:pos="566"/>
        </w:tabs>
        <w:ind w:left="566" w:hanging="566"/>
      </w:pPr>
      <w:rPr>
        <w:rFonts w:ascii="Times New Roman" w:hAnsi="Times New Roman" w:cs="Times New Roman"/>
        <w:b w:val="0"/>
        <w:i w:val="0"/>
      </w:rPr>
    </w:lvl>
    <w:lvl w:ilvl="1">
      <w:start w:val="1"/>
      <w:numFmt w:val="bullet"/>
      <w:lvlText w:val=""/>
      <w:lvlJc w:val="left"/>
      <w:pPr>
        <w:tabs>
          <w:tab w:val="num" w:pos="1134"/>
        </w:tabs>
        <w:ind w:left="1134" w:hanging="568"/>
      </w:pPr>
      <w:rPr>
        <w:rFonts w:ascii="Symbol" w:hAnsi="Symbol" w:hint="default"/>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nsid w:val="392627E3"/>
    <w:multiLevelType w:val="hybridMultilevel"/>
    <w:tmpl w:val="D17E584A"/>
    <w:lvl w:ilvl="0" w:tplc="2224100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nsid w:val="39D14C8F"/>
    <w:multiLevelType w:val="hybridMultilevel"/>
    <w:tmpl w:val="A7F05290"/>
    <w:name w:val="HeadingList2"/>
    <w:lvl w:ilvl="0" w:tplc="DAFA4FE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AB02B98"/>
    <w:multiLevelType w:val="multilevel"/>
    <w:tmpl w:val="86D03C0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B945680"/>
    <w:multiLevelType w:val="hybridMultilevel"/>
    <w:tmpl w:val="1DAA6C0A"/>
    <w:name w:val="HeadingList222"/>
    <w:lvl w:ilvl="0" w:tplc="3F0CF8E4">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214E4D"/>
    <w:multiLevelType w:val="multilevel"/>
    <w:tmpl w:val="54B07820"/>
    <w:lvl w:ilvl="0">
      <w:start w:val="1"/>
      <w:numFmt w:val="bullet"/>
      <w:lvlText w:val="•"/>
      <w:lvlJc w:val="left"/>
      <w:pPr>
        <w:tabs>
          <w:tab w:val="num" w:pos="496"/>
        </w:tabs>
        <w:ind w:left="496" w:hanging="496"/>
      </w:pPr>
      <w:rPr>
        <w:rFonts w:ascii="Times New Roman" w:hAnsi="Times New Roman" w:cs="Times New Roman"/>
      </w:rPr>
    </w:lvl>
    <w:lvl w:ilvl="1">
      <w:start w:val="1"/>
      <w:numFmt w:val="bullet"/>
      <w:lvlText w:val="–"/>
      <w:lvlJc w:val="left"/>
      <w:pPr>
        <w:tabs>
          <w:tab w:val="num" w:pos="992"/>
        </w:tabs>
        <w:ind w:left="992" w:hanging="496"/>
      </w:pPr>
      <w:rPr>
        <w:rFonts w:ascii="Times New Roman" w:hAnsi="Times New Roman" w:cs="Times New Roman"/>
      </w:rPr>
    </w:lvl>
    <w:lvl w:ilvl="2">
      <w:start w:val="1"/>
      <w:numFmt w:val="bullet"/>
      <w:lvlText w:val=":"/>
      <w:lvlJc w:val="left"/>
      <w:pPr>
        <w:tabs>
          <w:tab w:val="num" w:pos="1488"/>
        </w:tabs>
        <w:ind w:left="1488" w:hanging="496"/>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45A797E"/>
    <w:multiLevelType w:val="hybridMultilevel"/>
    <w:tmpl w:val="37807A18"/>
    <w:lvl w:ilvl="0" w:tplc="BD1A29C2">
      <w:start w:val="1"/>
      <w:numFmt w:val="bullet"/>
      <w:lvlText w:val="-"/>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45BA3516"/>
    <w:multiLevelType w:val="multilevel"/>
    <w:tmpl w:val="7EB8EEB8"/>
    <w:lvl w:ilvl="0">
      <w:start w:val="1"/>
      <w:numFmt w:val="bullet"/>
      <w:lvlRestart w:val="0"/>
      <w:lvlText w:val="•"/>
      <w:lvlJc w:val="left"/>
      <w:pPr>
        <w:tabs>
          <w:tab w:val="num" w:pos="566"/>
        </w:tabs>
        <w:ind w:left="566" w:hanging="566"/>
      </w:pPr>
      <w:rPr>
        <w:rFonts w:ascii="Times New Roman" w:hAnsi="Times New Roman" w:cs="Times New Roman"/>
        <w:b w:val="0"/>
        <w:i w:val="0"/>
      </w:rPr>
    </w:lvl>
    <w:lvl w:ilvl="1">
      <w:start w:val="1"/>
      <w:numFmt w:val="bullet"/>
      <w:lvlText w:val=""/>
      <w:lvlJc w:val="left"/>
      <w:pPr>
        <w:tabs>
          <w:tab w:val="num" w:pos="1134"/>
        </w:tabs>
        <w:ind w:left="1134" w:hanging="568"/>
      </w:pPr>
      <w:rPr>
        <w:rFonts w:ascii="Symbol" w:hAnsi="Symbol" w:hint="default"/>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9">
    <w:nsid w:val="4D410BC0"/>
    <w:multiLevelType w:val="hybridMultilevel"/>
    <w:tmpl w:val="F5B48486"/>
    <w:name w:val="StandardBulletedList_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644C35"/>
    <w:multiLevelType w:val="multilevel"/>
    <w:tmpl w:val="BC662054"/>
    <w:lvl w:ilvl="0">
      <w:start w:val="1"/>
      <w:numFmt w:val="decimal"/>
      <w:pStyle w:val="Numbering-Firstlevel"/>
      <w:lvlText w:val="%1"/>
      <w:lvlJc w:val="left"/>
      <w:pPr>
        <w:ind w:left="567" w:hanging="567"/>
      </w:pPr>
      <w:rPr>
        <w:rFonts w:hint="default"/>
      </w:rPr>
    </w:lvl>
    <w:lvl w:ilvl="1">
      <w:start w:val="1"/>
      <w:numFmt w:val="lowerLetter"/>
      <w:pStyle w:val="Numbering-Secondlevel"/>
      <w:lvlText w:val="%2."/>
      <w:lvlJc w:val="left"/>
      <w:pPr>
        <w:tabs>
          <w:tab w:val="num" w:pos="1134"/>
        </w:tabs>
        <w:ind w:left="1134" w:hanging="567"/>
      </w:pPr>
      <w:rPr>
        <w:rFonts w:asciiTheme="minorHAnsi" w:hAnsiTheme="minorHAnsi" w:cstheme="minorHAnsi" w:hint="default"/>
        <w:sz w:val="23"/>
        <w:szCs w:val="23"/>
      </w:rPr>
    </w:lvl>
    <w:lvl w:ilvl="2">
      <w:start w:val="1"/>
      <w:numFmt w:val="lowerRoman"/>
      <w:pStyle w:val="Numbering-Thirdlevel"/>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51394A87"/>
    <w:multiLevelType w:val="hybridMultilevel"/>
    <w:tmpl w:val="23641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7D01D4D"/>
    <w:multiLevelType w:val="multilevel"/>
    <w:tmpl w:val="1EE8F56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8101827"/>
    <w:multiLevelType w:val="multilevel"/>
    <w:tmpl w:val="4D0659F0"/>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4">
    <w:nsid w:val="5C061339"/>
    <w:multiLevelType w:val="hybridMultilevel"/>
    <w:tmpl w:val="C7C43D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C0D2B76"/>
    <w:multiLevelType w:val="multilevel"/>
    <w:tmpl w:val="3162DEDA"/>
    <w:lvl w:ilvl="0">
      <w:start w:val="1"/>
      <w:numFmt w:val="decimal"/>
      <w:pStyle w:val="Heading1"/>
      <w:lvlText w:val="%1"/>
      <w:lvlJc w:val="left"/>
      <w:pPr>
        <w:ind w:left="5819"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231" w:hanging="576"/>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7">
    <w:nsid w:val="63BB4E84"/>
    <w:multiLevelType w:val="hybridMultilevel"/>
    <w:tmpl w:val="E73C84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940C2C"/>
    <w:multiLevelType w:val="hybridMultilevel"/>
    <w:tmpl w:val="321E3AAA"/>
    <w:lvl w:ilvl="0" w:tplc="2F2AC3AC">
      <w:start w:val="1"/>
      <w:numFmt w:val="lowerLetter"/>
      <w:lvlText w:val="(%1)"/>
      <w:lvlJc w:val="left"/>
      <w:pPr>
        <w:ind w:left="1440" w:hanging="360"/>
      </w:pPr>
      <w:rPr>
        <w:rFonts w:ascii="Arial" w:hAnsi="Arial" w:cs="Arial" w:hint="default"/>
        <w:b w:val="0"/>
        <w:i w:val="0"/>
        <w:color w:val="000000"/>
        <w:sz w:val="1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nsid w:val="718A7BF5"/>
    <w:multiLevelType w:val="hybridMultilevel"/>
    <w:tmpl w:val="57389162"/>
    <w:lvl w:ilvl="0" w:tplc="2F2AC3AC">
      <w:start w:val="1"/>
      <w:numFmt w:val="lowerLetter"/>
      <w:lvlText w:val="(%1)"/>
      <w:lvlJc w:val="left"/>
      <w:pPr>
        <w:ind w:left="1321" w:hanging="360"/>
      </w:pPr>
      <w:rPr>
        <w:rFonts w:ascii="Arial" w:hAnsi="Arial" w:cs="Arial" w:hint="default"/>
        <w:b w:val="0"/>
        <w:i w:val="0"/>
        <w:color w:val="000000"/>
        <w:sz w:val="16"/>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start w:val="1"/>
      <w:numFmt w:val="lowerLetter"/>
      <w:lvlText w:val="%8."/>
      <w:lvlJc w:val="left"/>
      <w:pPr>
        <w:ind w:left="644" w:hanging="360"/>
      </w:pPr>
    </w:lvl>
    <w:lvl w:ilvl="8" w:tplc="0C09001B" w:tentative="1">
      <w:start w:val="1"/>
      <w:numFmt w:val="lowerRoman"/>
      <w:lvlText w:val="%9."/>
      <w:lvlJc w:val="right"/>
      <w:pPr>
        <w:ind w:left="7081" w:hanging="180"/>
      </w:pPr>
    </w:lvl>
  </w:abstractNum>
  <w:abstractNum w:abstractNumId="40">
    <w:nsid w:val="73930DDF"/>
    <w:multiLevelType w:val="multilevel"/>
    <w:tmpl w:val="E0BE932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5BE3A8C"/>
    <w:multiLevelType w:val="hybridMultilevel"/>
    <w:tmpl w:val="A614F292"/>
    <w:lvl w:ilvl="0" w:tplc="2224100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22241000">
      <w:start w:val="1"/>
      <w:numFmt w:val="lowerRoman"/>
      <w:lvlText w:val="(%6)"/>
      <w:lvlJc w:val="right"/>
      <w:pPr>
        <w:ind w:left="5760" w:hanging="180"/>
      </w:pPr>
      <w:rPr>
        <w:rFonts w:hint="default"/>
      </w:r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2">
    <w:nsid w:val="768404C5"/>
    <w:multiLevelType w:val="hybridMultilevel"/>
    <w:tmpl w:val="36523ACA"/>
    <w:name w:val="HeadingList22222"/>
    <w:lvl w:ilvl="0" w:tplc="F01E2DFE">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6933BE6"/>
    <w:multiLevelType w:val="hybridMultilevel"/>
    <w:tmpl w:val="A09E54AE"/>
    <w:name w:val="HeadingList2222"/>
    <w:lvl w:ilvl="0" w:tplc="22EC308E">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9AB6ACF"/>
    <w:multiLevelType w:val="hybridMultilevel"/>
    <w:tmpl w:val="CF184B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CB74032"/>
    <w:multiLevelType w:val="hybridMultilevel"/>
    <w:tmpl w:val="23641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7646E1"/>
    <w:multiLevelType w:val="hybridMultilevel"/>
    <w:tmpl w:val="C74A17C2"/>
    <w:lvl w:ilvl="0" w:tplc="2224100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22241000">
      <w:start w:val="1"/>
      <w:numFmt w:val="lowerRoman"/>
      <w:lvlText w:val="(%6)"/>
      <w:lvlJc w:val="right"/>
      <w:pPr>
        <w:ind w:left="5760" w:hanging="180"/>
      </w:pPr>
      <w:rPr>
        <w:rFonts w:hint="default"/>
      </w:r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11"/>
  </w:num>
  <w:num w:numId="2">
    <w:abstractNumId w:val="16"/>
  </w:num>
  <w:num w:numId="3">
    <w:abstractNumId w:val="28"/>
  </w:num>
  <w:num w:numId="4">
    <w:abstractNumId w:val="33"/>
  </w:num>
  <w:num w:numId="5">
    <w:abstractNumId w:val="5"/>
  </w:num>
  <w:num w:numId="6">
    <w:abstractNumId w:val="36"/>
  </w:num>
  <w:num w:numId="7">
    <w:abstractNumId w:val="12"/>
  </w:num>
  <w:num w:numId="8">
    <w:abstractNumId w:val="15"/>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0"/>
  </w:num>
  <w:num w:numId="13">
    <w:abstractNumId w:val="3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9"/>
  </w:num>
  <w:num w:numId="18">
    <w:abstractNumId w:val="7"/>
  </w:num>
  <w:num w:numId="19">
    <w:abstractNumId w:val="37"/>
  </w:num>
  <w:num w:numId="20">
    <w:abstractNumId w:val="25"/>
  </w:num>
  <w:num w:numId="21">
    <w:abstractNumId w:val="23"/>
  </w:num>
  <w:num w:numId="22">
    <w:abstractNumId w:val="32"/>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19"/>
  </w:num>
  <w:num w:numId="28">
    <w:abstractNumId w:val="27"/>
  </w:num>
  <w:num w:numId="29">
    <w:abstractNumId w:val="31"/>
  </w:num>
  <w:num w:numId="30">
    <w:abstractNumId w:val="1"/>
  </w:num>
  <w:num w:numId="31">
    <w:abstractNumId w:val="13"/>
  </w:num>
  <w:num w:numId="32">
    <w:abstractNumId w:val="4"/>
  </w:num>
  <w:num w:numId="33">
    <w:abstractNumId w:val="29"/>
  </w:num>
  <w:num w:numId="34">
    <w:abstractNumId w:val="2"/>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num>
  <w:num w:numId="53">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38"/>
  </w:num>
  <w:num w:numId="56">
    <w:abstractNumId w:val="8"/>
  </w:num>
  <w:num w:numId="57">
    <w:abstractNumId w:val="21"/>
  </w:num>
  <w:num w:numId="58">
    <w:abstractNumId w:val="46"/>
  </w:num>
  <w:num w:numId="59">
    <w:abstractNumId w:val="17"/>
  </w:num>
  <w:num w:numId="60">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9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13F"/>
    <w:rsid w:val="00000166"/>
    <w:rsid w:val="000001D7"/>
    <w:rsid w:val="00000513"/>
    <w:rsid w:val="00000553"/>
    <w:rsid w:val="000007AB"/>
    <w:rsid w:val="00000816"/>
    <w:rsid w:val="00000990"/>
    <w:rsid w:val="00000A14"/>
    <w:rsid w:val="00000A3F"/>
    <w:rsid w:val="00000AE5"/>
    <w:rsid w:val="00000D79"/>
    <w:rsid w:val="00000D8B"/>
    <w:rsid w:val="00000D95"/>
    <w:rsid w:val="00001024"/>
    <w:rsid w:val="00001041"/>
    <w:rsid w:val="00001573"/>
    <w:rsid w:val="00001B8B"/>
    <w:rsid w:val="00001BEA"/>
    <w:rsid w:val="000020C2"/>
    <w:rsid w:val="00002399"/>
    <w:rsid w:val="0000257D"/>
    <w:rsid w:val="00002609"/>
    <w:rsid w:val="00002A02"/>
    <w:rsid w:val="00002B74"/>
    <w:rsid w:val="00002D2B"/>
    <w:rsid w:val="000032B8"/>
    <w:rsid w:val="0000331E"/>
    <w:rsid w:val="00003411"/>
    <w:rsid w:val="00003997"/>
    <w:rsid w:val="00003AD0"/>
    <w:rsid w:val="00003DBE"/>
    <w:rsid w:val="00003E8B"/>
    <w:rsid w:val="00003ECF"/>
    <w:rsid w:val="00004075"/>
    <w:rsid w:val="0000426C"/>
    <w:rsid w:val="0000459A"/>
    <w:rsid w:val="00004635"/>
    <w:rsid w:val="00004788"/>
    <w:rsid w:val="00004852"/>
    <w:rsid w:val="00004919"/>
    <w:rsid w:val="00004C48"/>
    <w:rsid w:val="00004CB7"/>
    <w:rsid w:val="00004CCE"/>
    <w:rsid w:val="00004D0F"/>
    <w:rsid w:val="00004D24"/>
    <w:rsid w:val="00005190"/>
    <w:rsid w:val="000053C3"/>
    <w:rsid w:val="00005604"/>
    <w:rsid w:val="000057AF"/>
    <w:rsid w:val="00005840"/>
    <w:rsid w:val="00005879"/>
    <w:rsid w:val="000058EE"/>
    <w:rsid w:val="00005A4E"/>
    <w:rsid w:val="00005ADD"/>
    <w:rsid w:val="00005C87"/>
    <w:rsid w:val="00005D84"/>
    <w:rsid w:val="00005E5B"/>
    <w:rsid w:val="0000602B"/>
    <w:rsid w:val="000063F4"/>
    <w:rsid w:val="000064C2"/>
    <w:rsid w:val="00006512"/>
    <w:rsid w:val="0000653B"/>
    <w:rsid w:val="00006582"/>
    <w:rsid w:val="00006674"/>
    <w:rsid w:val="000067D6"/>
    <w:rsid w:val="0000694E"/>
    <w:rsid w:val="00006A46"/>
    <w:rsid w:val="00006DA9"/>
    <w:rsid w:val="00006F7E"/>
    <w:rsid w:val="00007069"/>
    <w:rsid w:val="000072BD"/>
    <w:rsid w:val="00007399"/>
    <w:rsid w:val="0000739F"/>
    <w:rsid w:val="00007443"/>
    <w:rsid w:val="000075D6"/>
    <w:rsid w:val="000075EC"/>
    <w:rsid w:val="00007731"/>
    <w:rsid w:val="0000775B"/>
    <w:rsid w:val="00007764"/>
    <w:rsid w:val="00007B20"/>
    <w:rsid w:val="00007C6E"/>
    <w:rsid w:val="00007FC6"/>
    <w:rsid w:val="00010082"/>
    <w:rsid w:val="000100F7"/>
    <w:rsid w:val="00010192"/>
    <w:rsid w:val="00010252"/>
    <w:rsid w:val="00010336"/>
    <w:rsid w:val="000107B7"/>
    <w:rsid w:val="00010913"/>
    <w:rsid w:val="000109B6"/>
    <w:rsid w:val="000109FD"/>
    <w:rsid w:val="00010B0C"/>
    <w:rsid w:val="00010C30"/>
    <w:rsid w:val="00010E65"/>
    <w:rsid w:val="00010E8D"/>
    <w:rsid w:val="00010FD4"/>
    <w:rsid w:val="00010FFC"/>
    <w:rsid w:val="00011006"/>
    <w:rsid w:val="0001100F"/>
    <w:rsid w:val="00011038"/>
    <w:rsid w:val="00011040"/>
    <w:rsid w:val="0001108D"/>
    <w:rsid w:val="00011153"/>
    <w:rsid w:val="000112D2"/>
    <w:rsid w:val="000113AC"/>
    <w:rsid w:val="0001164D"/>
    <w:rsid w:val="00011833"/>
    <w:rsid w:val="0001193F"/>
    <w:rsid w:val="000119D6"/>
    <w:rsid w:val="00011E8B"/>
    <w:rsid w:val="0001209F"/>
    <w:rsid w:val="000120E7"/>
    <w:rsid w:val="00012253"/>
    <w:rsid w:val="00012393"/>
    <w:rsid w:val="000123AA"/>
    <w:rsid w:val="0001262E"/>
    <w:rsid w:val="000127CF"/>
    <w:rsid w:val="0001293B"/>
    <w:rsid w:val="000129BE"/>
    <w:rsid w:val="000129FE"/>
    <w:rsid w:val="00012B2A"/>
    <w:rsid w:val="00012CC8"/>
    <w:rsid w:val="00012CD2"/>
    <w:rsid w:val="00012EB8"/>
    <w:rsid w:val="00012F1B"/>
    <w:rsid w:val="000130FF"/>
    <w:rsid w:val="000133DC"/>
    <w:rsid w:val="00013419"/>
    <w:rsid w:val="00013548"/>
    <w:rsid w:val="000135C7"/>
    <w:rsid w:val="000135F0"/>
    <w:rsid w:val="00013856"/>
    <w:rsid w:val="00013908"/>
    <w:rsid w:val="00013B19"/>
    <w:rsid w:val="00013E19"/>
    <w:rsid w:val="0001412F"/>
    <w:rsid w:val="00014151"/>
    <w:rsid w:val="0001429A"/>
    <w:rsid w:val="000142B6"/>
    <w:rsid w:val="00014402"/>
    <w:rsid w:val="00014468"/>
    <w:rsid w:val="0001465A"/>
    <w:rsid w:val="00014802"/>
    <w:rsid w:val="00014B6F"/>
    <w:rsid w:val="00014D97"/>
    <w:rsid w:val="00014FE5"/>
    <w:rsid w:val="000150B4"/>
    <w:rsid w:val="00015164"/>
    <w:rsid w:val="000151BE"/>
    <w:rsid w:val="0001531F"/>
    <w:rsid w:val="00015949"/>
    <w:rsid w:val="00015979"/>
    <w:rsid w:val="00015B0C"/>
    <w:rsid w:val="00015B5A"/>
    <w:rsid w:val="00015BB7"/>
    <w:rsid w:val="00015BC3"/>
    <w:rsid w:val="00015C38"/>
    <w:rsid w:val="00015D5A"/>
    <w:rsid w:val="00015E88"/>
    <w:rsid w:val="00015EAE"/>
    <w:rsid w:val="00015EDD"/>
    <w:rsid w:val="00015F9D"/>
    <w:rsid w:val="00015FF8"/>
    <w:rsid w:val="00016045"/>
    <w:rsid w:val="000162AC"/>
    <w:rsid w:val="000166B0"/>
    <w:rsid w:val="00016737"/>
    <w:rsid w:val="000167E0"/>
    <w:rsid w:val="000168C7"/>
    <w:rsid w:val="00016B0E"/>
    <w:rsid w:val="00016D65"/>
    <w:rsid w:val="00016E42"/>
    <w:rsid w:val="00016E8A"/>
    <w:rsid w:val="0001707B"/>
    <w:rsid w:val="000170C4"/>
    <w:rsid w:val="000170E1"/>
    <w:rsid w:val="0001720E"/>
    <w:rsid w:val="00017345"/>
    <w:rsid w:val="00017385"/>
    <w:rsid w:val="0001739A"/>
    <w:rsid w:val="00017466"/>
    <w:rsid w:val="000174AB"/>
    <w:rsid w:val="0001750F"/>
    <w:rsid w:val="000175E9"/>
    <w:rsid w:val="0001768F"/>
    <w:rsid w:val="00017BC3"/>
    <w:rsid w:val="00017FA4"/>
    <w:rsid w:val="00017FC4"/>
    <w:rsid w:val="00017FFA"/>
    <w:rsid w:val="0002012F"/>
    <w:rsid w:val="000201F0"/>
    <w:rsid w:val="0002028E"/>
    <w:rsid w:val="0002051D"/>
    <w:rsid w:val="00020526"/>
    <w:rsid w:val="0002055A"/>
    <w:rsid w:val="00020626"/>
    <w:rsid w:val="000207C0"/>
    <w:rsid w:val="000209AE"/>
    <w:rsid w:val="000209EE"/>
    <w:rsid w:val="00020D03"/>
    <w:rsid w:val="00020D12"/>
    <w:rsid w:val="00020EF9"/>
    <w:rsid w:val="00020EFF"/>
    <w:rsid w:val="0002101F"/>
    <w:rsid w:val="0002121B"/>
    <w:rsid w:val="00021575"/>
    <w:rsid w:val="00021610"/>
    <w:rsid w:val="000217D7"/>
    <w:rsid w:val="000217E5"/>
    <w:rsid w:val="00021818"/>
    <w:rsid w:val="00021AC5"/>
    <w:rsid w:val="00021AF8"/>
    <w:rsid w:val="00021CA1"/>
    <w:rsid w:val="0002202D"/>
    <w:rsid w:val="00022149"/>
    <w:rsid w:val="000225AA"/>
    <w:rsid w:val="000225AB"/>
    <w:rsid w:val="00022610"/>
    <w:rsid w:val="0002264A"/>
    <w:rsid w:val="00022683"/>
    <w:rsid w:val="000227A7"/>
    <w:rsid w:val="000227CE"/>
    <w:rsid w:val="00022F55"/>
    <w:rsid w:val="00022F85"/>
    <w:rsid w:val="000230DF"/>
    <w:rsid w:val="0002320C"/>
    <w:rsid w:val="0002324E"/>
    <w:rsid w:val="00023603"/>
    <w:rsid w:val="00023ED8"/>
    <w:rsid w:val="00023F5E"/>
    <w:rsid w:val="00023F5F"/>
    <w:rsid w:val="00023FF8"/>
    <w:rsid w:val="0002403B"/>
    <w:rsid w:val="00024097"/>
    <w:rsid w:val="00024194"/>
    <w:rsid w:val="00024449"/>
    <w:rsid w:val="000247D4"/>
    <w:rsid w:val="00024B92"/>
    <w:rsid w:val="00024CC7"/>
    <w:rsid w:val="00024D13"/>
    <w:rsid w:val="00024D15"/>
    <w:rsid w:val="00024EA2"/>
    <w:rsid w:val="00024FE9"/>
    <w:rsid w:val="00025222"/>
    <w:rsid w:val="00025231"/>
    <w:rsid w:val="000252F4"/>
    <w:rsid w:val="00025563"/>
    <w:rsid w:val="000255B5"/>
    <w:rsid w:val="00025639"/>
    <w:rsid w:val="000257CA"/>
    <w:rsid w:val="0002580C"/>
    <w:rsid w:val="000258A5"/>
    <w:rsid w:val="00025C72"/>
    <w:rsid w:val="0002606F"/>
    <w:rsid w:val="000266E9"/>
    <w:rsid w:val="00026AAD"/>
    <w:rsid w:val="00026ABC"/>
    <w:rsid w:val="00026C3E"/>
    <w:rsid w:val="00026E5E"/>
    <w:rsid w:val="00026E88"/>
    <w:rsid w:val="0002734E"/>
    <w:rsid w:val="00027A57"/>
    <w:rsid w:val="00027B26"/>
    <w:rsid w:val="00027B63"/>
    <w:rsid w:val="00027C67"/>
    <w:rsid w:val="00027C9E"/>
    <w:rsid w:val="00027EC5"/>
    <w:rsid w:val="00027F7B"/>
    <w:rsid w:val="0003016C"/>
    <w:rsid w:val="00030360"/>
    <w:rsid w:val="00030650"/>
    <w:rsid w:val="000309A4"/>
    <w:rsid w:val="00030BD2"/>
    <w:rsid w:val="00030C5C"/>
    <w:rsid w:val="00030D12"/>
    <w:rsid w:val="00030EBD"/>
    <w:rsid w:val="00030F0E"/>
    <w:rsid w:val="00030F20"/>
    <w:rsid w:val="00030FC2"/>
    <w:rsid w:val="00030FCE"/>
    <w:rsid w:val="0003106B"/>
    <w:rsid w:val="000311E7"/>
    <w:rsid w:val="000312DE"/>
    <w:rsid w:val="000312EC"/>
    <w:rsid w:val="00031354"/>
    <w:rsid w:val="000313E3"/>
    <w:rsid w:val="00031442"/>
    <w:rsid w:val="0003151A"/>
    <w:rsid w:val="000315BE"/>
    <w:rsid w:val="000316E0"/>
    <w:rsid w:val="00031854"/>
    <w:rsid w:val="00031929"/>
    <w:rsid w:val="00031976"/>
    <w:rsid w:val="00031AB2"/>
    <w:rsid w:val="00031B4A"/>
    <w:rsid w:val="00031BD0"/>
    <w:rsid w:val="00031C05"/>
    <w:rsid w:val="00031C0F"/>
    <w:rsid w:val="00031D1C"/>
    <w:rsid w:val="00031F29"/>
    <w:rsid w:val="00031F7E"/>
    <w:rsid w:val="00031FEA"/>
    <w:rsid w:val="0003204B"/>
    <w:rsid w:val="0003222D"/>
    <w:rsid w:val="000324B6"/>
    <w:rsid w:val="000324B9"/>
    <w:rsid w:val="00032582"/>
    <w:rsid w:val="000325B2"/>
    <w:rsid w:val="000326BC"/>
    <w:rsid w:val="00032779"/>
    <w:rsid w:val="0003280C"/>
    <w:rsid w:val="00032BEC"/>
    <w:rsid w:val="00032C6D"/>
    <w:rsid w:val="00032D0F"/>
    <w:rsid w:val="00033030"/>
    <w:rsid w:val="000330E4"/>
    <w:rsid w:val="0003310D"/>
    <w:rsid w:val="0003352C"/>
    <w:rsid w:val="00033535"/>
    <w:rsid w:val="00033599"/>
    <w:rsid w:val="000337D1"/>
    <w:rsid w:val="000337EF"/>
    <w:rsid w:val="00033CCB"/>
    <w:rsid w:val="00033D7C"/>
    <w:rsid w:val="00033E15"/>
    <w:rsid w:val="00033F7F"/>
    <w:rsid w:val="00033FAA"/>
    <w:rsid w:val="000340F3"/>
    <w:rsid w:val="00034165"/>
    <w:rsid w:val="0003421E"/>
    <w:rsid w:val="00034287"/>
    <w:rsid w:val="0003441C"/>
    <w:rsid w:val="000345C2"/>
    <w:rsid w:val="0003470D"/>
    <w:rsid w:val="000347C7"/>
    <w:rsid w:val="00034806"/>
    <w:rsid w:val="00034C0A"/>
    <w:rsid w:val="00034E98"/>
    <w:rsid w:val="00034EDA"/>
    <w:rsid w:val="00034FD5"/>
    <w:rsid w:val="000356EF"/>
    <w:rsid w:val="0003577D"/>
    <w:rsid w:val="00035A1D"/>
    <w:rsid w:val="00035B0D"/>
    <w:rsid w:val="00035B4C"/>
    <w:rsid w:val="00035BB8"/>
    <w:rsid w:val="00035C37"/>
    <w:rsid w:val="00035F35"/>
    <w:rsid w:val="00036035"/>
    <w:rsid w:val="00036051"/>
    <w:rsid w:val="000360EE"/>
    <w:rsid w:val="00036133"/>
    <w:rsid w:val="00036248"/>
    <w:rsid w:val="000364FC"/>
    <w:rsid w:val="000365C2"/>
    <w:rsid w:val="00036A44"/>
    <w:rsid w:val="00036C25"/>
    <w:rsid w:val="00036CD2"/>
    <w:rsid w:val="00036E23"/>
    <w:rsid w:val="00037020"/>
    <w:rsid w:val="0003712C"/>
    <w:rsid w:val="000372BE"/>
    <w:rsid w:val="0003740E"/>
    <w:rsid w:val="000375A3"/>
    <w:rsid w:val="000376F5"/>
    <w:rsid w:val="0003797C"/>
    <w:rsid w:val="00037F9F"/>
    <w:rsid w:val="0004016B"/>
    <w:rsid w:val="00040209"/>
    <w:rsid w:val="00040410"/>
    <w:rsid w:val="000405A8"/>
    <w:rsid w:val="00040652"/>
    <w:rsid w:val="000406A2"/>
    <w:rsid w:val="0004083F"/>
    <w:rsid w:val="00040986"/>
    <w:rsid w:val="000409BA"/>
    <w:rsid w:val="00040BD2"/>
    <w:rsid w:val="00040C58"/>
    <w:rsid w:val="00040CF4"/>
    <w:rsid w:val="00040FE9"/>
    <w:rsid w:val="00041091"/>
    <w:rsid w:val="00041185"/>
    <w:rsid w:val="000412C8"/>
    <w:rsid w:val="00041472"/>
    <w:rsid w:val="0004159D"/>
    <w:rsid w:val="00041653"/>
    <w:rsid w:val="00041789"/>
    <w:rsid w:val="000419EA"/>
    <w:rsid w:val="00041AE0"/>
    <w:rsid w:val="00041B53"/>
    <w:rsid w:val="00041FA8"/>
    <w:rsid w:val="00042309"/>
    <w:rsid w:val="0004264C"/>
    <w:rsid w:val="00042886"/>
    <w:rsid w:val="00042AA0"/>
    <w:rsid w:val="00042FD2"/>
    <w:rsid w:val="0004305E"/>
    <w:rsid w:val="000430BE"/>
    <w:rsid w:val="00043382"/>
    <w:rsid w:val="000436E0"/>
    <w:rsid w:val="0004381D"/>
    <w:rsid w:val="00043A5D"/>
    <w:rsid w:val="00043A87"/>
    <w:rsid w:val="00043B4B"/>
    <w:rsid w:val="00043D99"/>
    <w:rsid w:val="00043F6D"/>
    <w:rsid w:val="00043FB8"/>
    <w:rsid w:val="000440AF"/>
    <w:rsid w:val="0004430F"/>
    <w:rsid w:val="00044360"/>
    <w:rsid w:val="00044514"/>
    <w:rsid w:val="00044548"/>
    <w:rsid w:val="0004461D"/>
    <w:rsid w:val="000446E6"/>
    <w:rsid w:val="0004478D"/>
    <w:rsid w:val="00044817"/>
    <w:rsid w:val="00044819"/>
    <w:rsid w:val="0004481B"/>
    <w:rsid w:val="00044A69"/>
    <w:rsid w:val="00044C7A"/>
    <w:rsid w:val="00044D25"/>
    <w:rsid w:val="00044F4B"/>
    <w:rsid w:val="00045097"/>
    <w:rsid w:val="0004512E"/>
    <w:rsid w:val="00045402"/>
    <w:rsid w:val="000454DF"/>
    <w:rsid w:val="00045518"/>
    <w:rsid w:val="0004556B"/>
    <w:rsid w:val="00045587"/>
    <w:rsid w:val="000458C8"/>
    <w:rsid w:val="0004597A"/>
    <w:rsid w:val="00045A4F"/>
    <w:rsid w:val="00045B8B"/>
    <w:rsid w:val="00045C11"/>
    <w:rsid w:val="00045E10"/>
    <w:rsid w:val="00045EC6"/>
    <w:rsid w:val="00045F39"/>
    <w:rsid w:val="000460C2"/>
    <w:rsid w:val="00046265"/>
    <w:rsid w:val="000463A1"/>
    <w:rsid w:val="00046408"/>
    <w:rsid w:val="000464A8"/>
    <w:rsid w:val="000464F6"/>
    <w:rsid w:val="00046683"/>
    <w:rsid w:val="00046770"/>
    <w:rsid w:val="0004683E"/>
    <w:rsid w:val="00046A3D"/>
    <w:rsid w:val="00046A85"/>
    <w:rsid w:val="00046B31"/>
    <w:rsid w:val="00046BF5"/>
    <w:rsid w:val="00046C35"/>
    <w:rsid w:val="00046E15"/>
    <w:rsid w:val="000471B4"/>
    <w:rsid w:val="000471E2"/>
    <w:rsid w:val="00047202"/>
    <w:rsid w:val="00047239"/>
    <w:rsid w:val="0004739E"/>
    <w:rsid w:val="0004767A"/>
    <w:rsid w:val="00047850"/>
    <w:rsid w:val="00047A2A"/>
    <w:rsid w:val="00047A2E"/>
    <w:rsid w:val="00047A6B"/>
    <w:rsid w:val="00047AC7"/>
    <w:rsid w:val="00047B8A"/>
    <w:rsid w:val="00047C2A"/>
    <w:rsid w:val="00047CBA"/>
    <w:rsid w:val="00047E41"/>
    <w:rsid w:val="00047F0D"/>
    <w:rsid w:val="000500BB"/>
    <w:rsid w:val="00050179"/>
    <w:rsid w:val="00050262"/>
    <w:rsid w:val="000506BA"/>
    <w:rsid w:val="00050A9C"/>
    <w:rsid w:val="00050B32"/>
    <w:rsid w:val="00050C1E"/>
    <w:rsid w:val="00050FE1"/>
    <w:rsid w:val="00051322"/>
    <w:rsid w:val="00051470"/>
    <w:rsid w:val="000514CF"/>
    <w:rsid w:val="000515E7"/>
    <w:rsid w:val="000518AC"/>
    <w:rsid w:val="000519D2"/>
    <w:rsid w:val="00051A0A"/>
    <w:rsid w:val="00051B2E"/>
    <w:rsid w:val="00051BE3"/>
    <w:rsid w:val="00051BEC"/>
    <w:rsid w:val="00051D54"/>
    <w:rsid w:val="00051F5B"/>
    <w:rsid w:val="000520A3"/>
    <w:rsid w:val="00052294"/>
    <w:rsid w:val="000525CF"/>
    <w:rsid w:val="0005275A"/>
    <w:rsid w:val="00052864"/>
    <w:rsid w:val="0005287F"/>
    <w:rsid w:val="000528CE"/>
    <w:rsid w:val="00052B39"/>
    <w:rsid w:val="00052E4C"/>
    <w:rsid w:val="00052F33"/>
    <w:rsid w:val="0005306E"/>
    <w:rsid w:val="00053170"/>
    <w:rsid w:val="00053658"/>
    <w:rsid w:val="000537A5"/>
    <w:rsid w:val="00053838"/>
    <w:rsid w:val="00053951"/>
    <w:rsid w:val="00053BD6"/>
    <w:rsid w:val="00053E81"/>
    <w:rsid w:val="0005407B"/>
    <w:rsid w:val="000540A9"/>
    <w:rsid w:val="000540B4"/>
    <w:rsid w:val="000545BC"/>
    <w:rsid w:val="00054AB1"/>
    <w:rsid w:val="00054C22"/>
    <w:rsid w:val="00054E7F"/>
    <w:rsid w:val="00055023"/>
    <w:rsid w:val="00055161"/>
    <w:rsid w:val="0005522C"/>
    <w:rsid w:val="000552B1"/>
    <w:rsid w:val="000552C2"/>
    <w:rsid w:val="0005551B"/>
    <w:rsid w:val="00055B29"/>
    <w:rsid w:val="00055B5F"/>
    <w:rsid w:val="00055BA9"/>
    <w:rsid w:val="00055CFB"/>
    <w:rsid w:val="00055E75"/>
    <w:rsid w:val="00055F9E"/>
    <w:rsid w:val="000561E4"/>
    <w:rsid w:val="00056263"/>
    <w:rsid w:val="0005636A"/>
    <w:rsid w:val="00056387"/>
    <w:rsid w:val="000563E6"/>
    <w:rsid w:val="0005679E"/>
    <w:rsid w:val="00056846"/>
    <w:rsid w:val="00056C65"/>
    <w:rsid w:val="00056E36"/>
    <w:rsid w:val="00056E79"/>
    <w:rsid w:val="00056FE8"/>
    <w:rsid w:val="00057169"/>
    <w:rsid w:val="000572D1"/>
    <w:rsid w:val="00057312"/>
    <w:rsid w:val="0005752C"/>
    <w:rsid w:val="000577B5"/>
    <w:rsid w:val="00057877"/>
    <w:rsid w:val="00057AF0"/>
    <w:rsid w:val="00057C92"/>
    <w:rsid w:val="0006017E"/>
    <w:rsid w:val="000605DA"/>
    <w:rsid w:val="00060905"/>
    <w:rsid w:val="00060BF6"/>
    <w:rsid w:val="00060BF9"/>
    <w:rsid w:val="00060BFA"/>
    <w:rsid w:val="0006106F"/>
    <w:rsid w:val="0006116F"/>
    <w:rsid w:val="00061248"/>
    <w:rsid w:val="00061353"/>
    <w:rsid w:val="00061504"/>
    <w:rsid w:val="0006156A"/>
    <w:rsid w:val="00061657"/>
    <w:rsid w:val="00061932"/>
    <w:rsid w:val="00061A45"/>
    <w:rsid w:val="00061A72"/>
    <w:rsid w:val="00061B2C"/>
    <w:rsid w:val="00061D16"/>
    <w:rsid w:val="00061F98"/>
    <w:rsid w:val="0006207A"/>
    <w:rsid w:val="0006207D"/>
    <w:rsid w:val="0006219E"/>
    <w:rsid w:val="00062220"/>
    <w:rsid w:val="0006266D"/>
    <w:rsid w:val="000626EA"/>
    <w:rsid w:val="000627CB"/>
    <w:rsid w:val="00062852"/>
    <w:rsid w:val="000628BA"/>
    <w:rsid w:val="00062BD1"/>
    <w:rsid w:val="00062D5B"/>
    <w:rsid w:val="00062DD3"/>
    <w:rsid w:val="00062ECA"/>
    <w:rsid w:val="000634F5"/>
    <w:rsid w:val="000634F9"/>
    <w:rsid w:val="000635E3"/>
    <w:rsid w:val="00063B18"/>
    <w:rsid w:val="00063C09"/>
    <w:rsid w:val="00063E48"/>
    <w:rsid w:val="00063E90"/>
    <w:rsid w:val="00063E9F"/>
    <w:rsid w:val="00063FF2"/>
    <w:rsid w:val="00064036"/>
    <w:rsid w:val="000641ED"/>
    <w:rsid w:val="000645AA"/>
    <w:rsid w:val="000645F9"/>
    <w:rsid w:val="00064A89"/>
    <w:rsid w:val="00064AA5"/>
    <w:rsid w:val="00064CA4"/>
    <w:rsid w:val="00064D45"/>
    <w:rsid w:val="00064E1A"/>
    <w:rsid w:val="00065029"/>
    <w:rsid w:val="0006523E"/>
    <w:rsid w:val="000653E5"/>
    <w:rsid w:val="00065616"/>
    <w:rsid w:val="00065869"/>
    <w:rsid w:val="00065D7B"/>
    <w:rsid w:val="00065E38"/>
    <w:rsid w:val="00065E3E"/>
    <w:rsid w:val="00065E61"/>
    <w:rsid w:val="00065EC5"/>
    <w:rsid w:val="00066026"/>
    <w:rsid w:val="000662D3"/>
    <w:rsid w:val="00066394"/>
    <w:rsid w:val="000665B5"/>
    <w:rsid w:val="00066658"/>
    <w:rsid w:val="0006670C"/>
    <w:rsid w:val="00066A6D"/>
    <w:rsid w:val="00066B98"/>
    <w:rsid w:val="00066EC1"/>
    <w:rsid w:val="00067022"/>
    <w:rsid w:val="00067028"/>
    <w:rsid w:val="000670C8"/>
    <w:rsid w:val="000671E0"/>
    <w:rsid w:val="0006745D"/>
    <w:rsid w:val="00067565"/>
    <w:rsid w:val="000676EF"/>
    <w:rsid w:val="00067862"/>
    <w:rsid w:val="00067AB6"/>
    <w:rsid w:val="00067C70"/>
    <w:rsid w:val="000700E5"/>
    <w:rsid w:val="00070122"/>
    <w:rsid w:val="0007021E"/>
    <w:rsid w:val="00070353"/>
    <w:rsid w:val="000703F9"/>
    <w:rsid w:val="00070418"/>
    <w:rsid w:val="00070463"/>
    <w:rsid w:val="00070485"/>
    <w:rsid w:val="00070600"/>
    <w:rsid w:val="000709C7"/>
    <w:rsid w:val="00070A53"/>
    <w:rsid w:val="00070D2A"/>
    <w:rsid w:val="00070D40"/>
    <w:rsid w:val="00070F54"/>
    <w:rsid w:val="00070F67"/>
    <w:rsid w:val="0007105E"/>
    <w:rsid w:val="000710D2"/>
    <w:rsid w:val="0007132A"/>
    <w:rsid w:val="00071581"/>
    <w:rsid w:val="000715C3"/>
    <w:rsid w:val="00071741"/>
    <w:rsid w:val="0007176A"/>
    <w:rsid w:val="00071CDC"/>
    <w:rsid w:val="00071FC1"/>
    <w:rsid w:val="000720E1"/>
    <w:rsid w:val="000720F5"/>
    <w:rsid w:val="0007238B"/>
    <w:rsid w:val="000724B8"/>
    <w:rsid w:val="00072503"/>
    <w:rsid w:val="00072529"/>
    <w:rsid w:val="000729C9"/>
    <w:rsid w:val="00072B08"/>
    <w:rsid w:val="00072C7F"/>
    <w:rsid w:val="00072D18"/>
    <w:rsid w:val="00072D4D"/>
    <w:rsid w:val="00072D91"/>
    <w:rsid w:val="0007302B"/>
    <w:rsid w:val="00073110"/>
    <w:rsid w:val="0007312E"/>
    <w:rsid w:val="00073143"/>
    <w:rsid w:val="0007341B"/>
    <w:rsid w:val="00073685"/>
    <w:rsid w:val="000738BB"/>
    <w:rsid w:val="000738EE"/>
    <w:rsid w:val="00073923"/>
    <w:rsid w:val="00073983"/>
    <w:rsid w:val="00073B13"/>
    <w:rsid w:val="00073C70"/>
    <w:rsid w:val="00073DC3"/>
    <w:rsid w:val="0007405E"/>
    <w:rsid w:val="00074076"/>
    <w:rsid w:val="00074247"/>
    <w:rsid w:val="00074375"/>
    <w:rsid w:val="00074747"/>
    <w:rsid w:val="000749B4"/>
    <w:rsid w:val="000749BE"/>
    <w:rsid w:val="00074B58"/>
    <w:rsid w:val="00074C3D"/>
    <w:rsid w:val="00074C67"/>
    <w:rsid w:val="00074E12"/>
    <w:rsid w:val="00074F30"/>
    <w:rsid w:val="00074FEF"/>
    <w:rsid w:val="00074FFC"/>
    <w:rsid w:val="000751DB"/>
    <w:rsid w:val="000751DE"/>
    <w:rsid w:val="0007526A"/>
    <w:rsid w:val="000752DD"/>
    <w:rsid w:val="0007573D"/>
    <w:rsid w:val="00075743"/>
    <w:rsid w:val="00075A32"/>
    <w:rsid w:val="00075A9B"/>
    <w:rsid w:val="00075AA2"/>
    <w:rsid w:val="00075D6E"/>
    <w:rsid w:val="00075F60"/>
    <w:rsid w:val="00076099"/>
    <w:rsid w:val="000762BC"/>
    <w:rsid w:val="00076AAF"/>
    <w:rsid w:val="00076B50"/>
    <w:rsid w:val="00076BC5"/>
    <w:rsid w:val="00076BC6"/>
    <w:rsid w:val="00076D18"/>
    <w:rsid w:val="00076DC5"/>
    <w:rsid w:val="00077104"/>
    <w:rsid w:val="00077145"/>
    <w:rsid w:val="000773BF"/>
    <w:rsid w:val="000776CF"/>
    <w:rsid w:val="0007785F"/>
    <w:rsid w:val="00077A23"/>
    <w:rsid w:val="00077BF6"/>
    <w:rsid w:val="00077C8A"/>
    <w:rsid w:val="00077D2D"/>
    <w:rsid w:val="00077FF9"/>
    <w:rsid w:val="0008007D"/>
    <w:rsid w:val="00080824"/>
    <w:rsid w:val="00080A5A"/>
    <w:rsid w:val="00080D42"/>
    <w:rsid w:val="00080E33"/>
    <w:rsid w:val="00081198"/>
    <w:rsid w:val="000812C9"/>
    <w:rsid w:val="000813A4"/>
    <w:rsid w:val="000813D1"/>
    <w:rsid w:val="00081487"/>
    <w:rsid w:val="000819D9"/>
    <w:rsid w:val="00081A2D"/>
    <w:rsid w:val="00081AFD"/>
    <w:rsid w:val="00081B10"/>
    <w:rsid w:val="00081B90"/>
    <w:rsid w:val="00081C9F"/>
    <w:rsid w:val="00081CBC"/>
    <w:rsid w:val="00081E7C"/>
    <w:rsid w:val="00082230"/>
    <w:rsid w:val="00082462"/>
    <w:rsid w:val="0008275F"/>
    <w:rsid w:val="000827DE"/>
    <w:rsid w:val="0008310F"/>
    <w:rsid w:val="00083163"/>
    <w:rsid w:val="00083167"/>
    <w:rsid w:val="000836D3"/>
    <w:rsid w:val="00083B38"/>
    <w:rsid w:val="00083B88"/>
    <w:rsid w:val="00083C50"/>
    <w:rsid w:val="00083E99"/>
    <w:rsid w:val="00083FF0"/>
    <w:rsid w:val="00084047"/>
    <w:rsid w:val="00084059"/>
    <w:rsid w:val="00084584"/>
    <w:rsid w:val="0008468F"/>
    <w:rsid w:val="000847D6"/>
    <w:rsid w:val="00084874"/>
    <w:rsid w:val="00084A44"/>
    <w:rsid w:val="00084A5C"/>
    <w:rsid w:val="00084CD3"/>
    <w:rsid w:val="00084EC9"/>
    <w:rsid w:val="00084EE8"/>
    <w:rsid w:val="00084F0B"/>
    <w:rsid w:val="00085006"/>
    <w:rsid w:val="00085197"/>
    <w:rsid w:val="000851E0"/>
    <w:rsid w:val="00085538"/>
    <w:rsid w:val="00085A88"/>
    <w:rsid w:val="00085B1F"/>
    <w:rsid w:val="00085B28"/>
    <w:rsid w:val="00085C9B"/>
    <w:rsid w:val="00085D0D"/>
    <w:rsid w:val="00085D56"/>
    <w:rsid w:val="00085D57"/>
    <w:rsid w:val="00085E02"/>
    <w:rsid w:val="000860B1"/>
    <w:rsid w:val="00086349"/>
    <w:rsid w:val="000863E8"/>
    <w:rsid w:val="000864F4"/>
    <w:rsid w:val="00086719"/>
    <w:rsid w:val="00086795"/>
    <w:rsid w:val="0008686A"/>
    <w:rsid w:val="00086C47"/>
    <w:rsid w:val="00086E18"/>
    <w:rsid w:val="00086ED1"/>
    <w:rsid w:val="00086F96"/>
    <w:rsid w:val="00087130"/>
    <w:rsid w:val="000871F4"/>
    <w:rsid w:val="00087726"/>
    <w:rsid w:val="0008776B"/>
    <w:rsid w:val="0008785D"/>
    <w:rsid w:val="0008797A"/>
    <w:rsid w:val="00087995"/>
    <w:rsid w:val="00087AD7"/>
    <w:rsid w:val="00087D67"/>
    <w:rsid w:val="00087D7F"/>
    <w:rsid w:val="00087E0B"/>
    <w:rsid w:val="0009009B"/>
    <w:rsid w:val="00090252"/>
    <w:rsid w:val="000902BF"/>
    <w:rsid w:val="00090449"/>
    <w:rsid w:val="0009061D"/>
    <w:rsid w:val="00090700"/>
    <w:rsid w:val="000909B4"/>
    <w:rsid w:val="00090A21"/>
    <w:rsid w:val="00090AE5"/>
    <w:rsid w:val="00090B04"/>
    <w:rsid w:val="00090FA6"/>
    <w:rsid w:val="0009143D"/>
    <w:rsid w:val="0009147C"/>
    <w:rsid w:val="000915AE"/>
    <w:rsid w:val="00091633"/>
    <w:rsid w:val="0009167C"/>
    <w:rsid w:val="00091693"/>
    <w:rsid w:val="00091694"/>
    <w:rsid w:val="000918EC"/>
    <w:rsid w:val="00091B36"/>
    <w:rsid w:val="00091F16"/>
    <w:rsid w:val="00091FAF"/>
    <w:rsid w:val="00092030"/>
    <w:rsid w:val="00092073"/>
    <w:rsid w:val="0009209E"/>
    <w:rsid w:val="00092498"/>
    <w:rsid w:val="000925C7"/>
    <w:rsid w:val="000925C9"/>
    <w:rsid w:val="000929DF"/>
    <w:rsid w:val="00092B87"/>
    <w:rsid w:val="00092ECF"/>
    <w:rsid w:val="000931A5"/>
    <w:rsid w:val="00093471"/>
    <w:rsid w:val="0009373F"/>
    <w:rsid w:val="00093C81"/>
    <w:rsid w:val="00093CC7"/>
    <w:rsid w:val="00093D4D"/>
    <w:rsid w:val="00093DE8"/>
    <w:rsid w:val="00093DEF"/>
    <w:rsid w:val="00093F4F"/>
    <w:rsid w:val="00093F6E"/>
    <w:rsid w:val="0009429E"/>
    <w:rsid w:val="00094317"/>
    <w:rsid w:val="0009433D"/>
    <w:rsid w:val="000943AC"/>
    <w:rsid w:val="0009441E"/>
    <w:rsid w:val="00094FE2"/>
    <w:rsid w:val="000952A9"/>
    <w:rsid w:val="000952F3"/>
    <w:rsid w:val="0009563D"/>
    <w:rsid w:val="000956AB"/>
    <w:rsid w:val="000958AB"/>
    <w:rsid w:val="00095ABB"/>
    <w:rsid w:val="00095E4B"/>
    <w:rsid w:val="00095E94"/>
    <w:rsid w:val="00095EC4"/>
    <w:rsid w:val="00095F57"/>
    <w:rsid w:val="0009605E"/>
    <w:rsid w:val="00096132"/>
    <w:rsid w:val="0009613B"/>
    <w:rsid w:val="00096274"/>
    <w:rsid w:val="0009669F"/>
    <w:rsid w:val="00096A2C"/>
    <w:rsid w:val="00096B33"/>
    <w:rsid w:val="00096C8D"/>
    <w:rsid w:val="00096FFE"/>
    <w:rsid w:val="00097035"/>
    <w:rsid w:val="0009713F"/>
    <w:rsid w:val="0009738E"/>
    <w:rsid w:val="00097485"/>
    <w:rsid w:val="0009749D"/>
    <w:rsid w:val="00097834"/>
    <w:rsid w:val="000979F2"/>
    <w:rsid w:val="00097A43"/>
    <w:rsid w:val="000A015C"/>
    <w:rsid w:val="000A0379"/>
    <w:rsid w:val="000A047A"/>
    <w:rsid w:val="000A04D0"/>
    <w:rsid w:val="000A0539"/>
    <w:rsid w:val="000A053D"/>
    <w:rsid w:val="000A0A87"/>
    <w:rsid w:val="000A0B23"/>
    <w:rsid w:val="000A0B32"/>
    <w:rsid w:val="000A0B9A"/>
    <w:rsid w:val="000A0C7A"/>
    <w:rsid w:val="000A11E3"/>
    <w:rsid w:val="000A12AC"/>
    <w:rsid w:val="000A146D"/>
    <w:rsid w:val="000A1830"/>
    <w:rsid w:val="000A18DA"/>
    <w:rsid w:val="000A1BAF"/>
    <w:rsid w:val="000A1C14"/>
    <w:rsid w:val="000A1C48"/>
    <w:rsid w:val="000A1C79"/>
    <w:rsid w:val="000A1DF3"/>
    <w:rsid w:val="000A20FE"/>
    <w:rsid w:val="000A22A7"/>
    <w:rsid w:val="000A2528"/>
    <w:rsid w:val="000A26A7"/>
    <w:rsid w:val="000A26EE"/>
    <w:rsid w:val="000A27C1"/>
    <w:rsid w:val="000A28F1"/>
    <w:rsid w:val="000A299B"/>
    <w:rsid w:val="000A2A50"/>
    <w:rsid w:val="000A2AAF"/>
    <w:rsid w:val="000A2B25"/>
    <w:rsid w:val="000A2B82"/>
    <w:rsid w:val="000A2DBF"/>
    <w:rsid w:val="000A2DF3"/>
    <w:rsid w:val="000A2EE9"/>
    <w:rsid w:val="000A3188"/>
    <w:rsid w:val="000A32FE"/>
    <w:rsid w:val="000A3646"/>
    <w:rsid w:val="000A37A8"/>
    <w:rsid w:val="000A383B"/>
    <w:rsid w:val="000A396F"/>
    <w:rsid w:val="000A3E28"/>
    <w:rsid w:val="000A3E8F"/>
    <w:rsid w:val="000A4042"/>
    <w:rsid w:val="000A40D5"/>
    <w:rsid w:val="000A40E6"/>
    <w:rsid w:val="000A42D9"/>
    <w:rsid w:val="000A43E1"/>
    <w:rsid w:val="000A444E"/>
    <w:rsid w:val="000A4658"/>
    <w:rsid w:val="000A46E1"/>
    <w:rsid w:val="000A48C0"/>
    <w:rsid w:val="000A498C"/>
    <w:rsid w:val="000A4E15"/>
    <w:rsid w:val="000A5119"/>
    <w:rsid w:val="000A55FE"/>
    <w:rsid w:val="000A5698"/>
    <w:rsid w:val="000A58F2"/>
    <w:rsid w:val="000A598C"/>
    <w:rsid w:val="000A5E78"/>
    <w:rsid w:val="000A5ECC"/>
    <w:rsid w:val="000A5FDB"/>
    <w:rsid w:val="000A60C6"/>
    <w:rsid w:val="000A6497"/>
    <w:rsid w:val="000A651C"/>
    <w:rsid w:val="000A6968"/>
    <w:rsid w:val="000A6AD4"/>
    <w:rsid w:val="000A6CB7"/>
    <w:rsid w:val="000A6F88"/>
    <w:rsid w:val="000A7203"/>
    <w:rsid w:val="000A7280"/>
    <w:rsid w:val="000A73E0"/>
    <w:rsid w:val="000A756D"/>
    <w:rsid w:val="000A77D7"/>
    <w:rsid w:val="000A7A12"/>
    <w:rsid w:val="000A7AE3"/>
    <w:rsid w:val="000A7DA6"/>
    <w:rsid w:val="000A7DE2"/>
    <w:rsid w:val="000A7DFE"/>
    <w:rsid w:val="000B02F6"/>
    <w:rsid w:val="000B048C"/>
    <w:rsid w:val="000B04A2"/>
    <w:rsid w:val="000B06B5"/>
    <w:rsid w:val="000B0DAE"/>
    <w:rsid w:val="000B0EBE"/>
    <w:rsid w:val="000B1172"/>
    <w:rsid w:val="000B14DC"/>
    <w:rsid w:val="000B15CB"/>
    <w:rsid w:val="000B16B0"/>
    <w:rsid w:val="000B16CA"/>
    <w:rsid w:val="000B1894"/>
    <w:rsid w:val="000B18A1"/>
    <w:rsid w:val="000B1994"/>
    <w:rsid w:val="000B1A7C"/>
    <w:rsid w:val="000B1AC7"/>
    <w:rsid w:val="000B1B79"/>
    <w:rsid w:val="000B1BAD"/>
    <w:rsid w:val="000B1C16"/>
    <w:rsid w:val="000B1C60"/>
    <w:rsid w:val="000B1CDD"/>
    <w:rsid w:val="000B1DB5"/>
    <w:rsid w:val="000B1DCE"/>
    <w:rsid w:val="000B1E94"/>
    <w:rsid w:val="000B2086"/>
    <w:rsid w:val="000B2140"/>
    <w:rsid w:val="000B2176"/>
    <w:rsid w:val="000B226B"/>
    <w:rsid w:val="000B239F"/>
    <w:rsid w:val="000B23C1"/>
    <w:rsid w:val="000B263C"/>
    <w:rsid w:val="000B272A"/>
    <w:rsid w:val="000B28FB"/>
    <w:rsid w:val="000B2AF6"/>
    <w:rsid w:val="000B2C26"/>
    <w:rsid w:val="000B2CA9"/>
    <w:rsid w:val="000B3197"/>
    <w:rsid w:val="000B3364"/>
    <w:rsid w:val="000B338B"/>
    <w:rsid w:val="000B3807"/>
    <w:rsid w:val="000B38BE"/>
    <w:rsid w:val="000B3A51"/>
    <w:rsid w:val="000B3A95"/>
    <w:rsid w:val="000B3A97"/>
    <w:rsid w:val="000B3B3C"/>
    <w:rsid w:val="000B3B68"/>
    <w:rsid w:val="000B3BEC"/>
    <w:rsid w:val="000B3D8A"/>
    <w:rsid w:val="000B3F52"/>
    <w:rsid w:val="000B41B0"/>
    <w:rsid w:val="000B41F0"/>
    <w:rsid w:val="000B4349"/>
    <w:rsid w:val="000B4764"/>
    <w:rsid w:val="000B47A2"/>
    <w:rsid w:val="000B4C56"/>
    <w:rsid w:val="000B4D8C"/>
    <w:rsid w:val="000B555E"/>
    <w:rsid w:val="000B55AD"/>
    <w:rsid w:val="000B5711"/>
    <w:rsid w:val="000B5916"/>
    <w:rsid w:val="000B5A6F"/>
    <w:rsid w:val="000B5B23"/>
    <w:rsid w:val="000B5BFC"/>
    <w:rsid w:val="000B5E33"/>
    <w:rsid w:val="000B5E8E"/>
    <w:rsid w:val="000B5F26"/>
    <w:rsid w:val="000B616C"/>
    <w:rsid w:val="000B61DD"/>
    <w:rsid w:val="000B63FE"/>
    <w:rsid w:val="000B66A4"/>
    <w:rsid w:val="000B692C"/>
    <w:rsid w:val="000B696F"/>
    <w:rsid w:val="000B69D6"/>
    <w:rsid w:val="000B6AE7"/>
    <w:rsid w:val="000B6CE6"/>
    <w:rsid w:val="000B6D2D"/>
    <w:rsid w:val="000B6DC7"/>
    <w:rsid w:val="000B6E11"/>
    <w:rsid w:val="000B6F33"/>
    <w:rsid w:val="000B6FCF"/>
    <w:rsid w:val="000B716A"/>
    <w:rsid w:val="000B7205"/>
    <w:rsid w:val="000B729B"/>
    <w:rsid w:val="000B7373"/>
    <w:rsid w:val="000B74CF"/>
    <w:rsid w:val="000B7788"/>
    <w:rsid w:val="000B78EE"/>
    <w:rsid w:val="000B7D70"/>
    <w:rsid w:val="000C014E"/>
    <w:rsid w:val="000C034A"/>
    <w:rsid w:val="000C041A"/>
    <w:rsid w:val="000C0498"/>
    <w:rsid w:val="000C05C4"/>
    <w:rsid w:val="000C05E9"/>
    <w:rsid w:val="000C0863"/>
    <w:rsid w:val="000C0992"/>
    <w:rsid w:val="000C0B43"/>
    <w:rsid w:val="000C0C6B"/>
    <w:rsid w:val="000C0D9D"/>
    <w:rsid w:val="000C0E72"/>
    <w:rsid w:val="000C0E78"/>
    <w:rsid w:val="000C0F16"/>
    <w:rsid w:val="000C0F2B"/>
    <w:rsid w:val="000C0F95"/>
    <w:rsid w:val="000C16E0"/>
    <w:rsid w:val="000C170E"/>
    <w:rsid w:val="000C17C1"/>
    <w:rsid w:val="000C1832"/>
    <w:rsid w:val="000C18DD"/>
    <w:rsid w:val="000C1A13"/>
    <w:rsid w:val="000C1C63"/>
    <w:rsid w:val="000C1E0B"/>
    <w:rsid w:val="000C2058"/>
    <w:rsid w:val="000C20BD"/>
    <w:rsid w:val="000C2147"/>
    <w:rsid w:val="000C2165"/>
    <w:rsid w:val="000C22B7"/>
    <w:rsid w:val="000C238F"/>
    <w:rsid w:val="000C2576"/>
    <w:rsid w:val="000C264B"/>
    <w:rsid w:val="000C27D5"/>
    <w:rsid w:val="000C2A4D"/>
    <w:rsid w:val="000C2B37"/>
    <w:rsid w:val="000C2EBD"/>
    <w:rsid w:val="000C35D9"/>
    <w:rsid w:val="000C37B1"/>
    <w:rsid w:val="000C3A9B"/>
    <w:rsid w:val="000C3CE2"/>
    <w:rsid w:val="000C3D36"/>
    <w:rsid w:val="000C3F38"/>
    <w:rsid w:val="000C4078"/>
    <w:rsid w:val="000C4084"/>
    <w:rsid w:val="000C420F"/>
    <w:rsid w:val="000C42FA"/>
    <w:rsid w:val="000C442F"/>
    <w:rsid w:val="000C44A8"/>
    <w:rsid w:val="000C4668"/>
    <w:rsid w:val="000C4929"/>
    <w:rsid w:val="000C4A24"/>
    <w:rsid w:val="000C4C0D"/>
    <w:rsid w:val="000C4EE7"/>
    <w:rsid w:val="000C5168"/>
    <w:rsid w:val="000C51D1"/>
    <w:rsid w:val="000C5271"/>
    <w:rsid w:val="000C54CD"/>
    <w:rsid w:val="000C551A"/>
    <w:rsid w:val="000C57B7"/>
    <w:rsid w:val="000C5D28"/>
    <w:rsid w:val="000C5DB8"/>
    <w:rsid w:val="000C624B"/>
    <w:rsid w:val="000C6271"/>
    <w:rsid w:val="000C6319"/>
    <w:rsid w:val="000C66CB"/>
    <w:rsid w:val="000C6891"/>
    <w:rsid w:val="000C6B69"/>
    <w:rsid w:val="000C6CBA"/>
    <w:rsid w:val="000C6D6E"/>
    <w:rsid w:val="000C6DEF"/>
    <w:rsid w:val="000C6E9F"/>
    <w:rsid w:val="000C6FEF"/>
    <w:rsid w:val="000C7238"/>
    <w:rsid w:val="000C7677"/>
    <w:rsid w:val="000C796E"/>
    <w:rsid w:val="000C7B8D"/>
    <w:rsid w:val="000D00AC"/>
    <w:rsid w:val="000D0127"/>
    <w:rsid w:val="000D023E"/>
    <w:rsid w:val="000D035B"/>
    <w:rsid w:val="000D0437"/>
    <w:rsid w:val="000D043A"/>
    <w:rsid w:val="000D0B3A"/>
    <w:rsid w:val="000D0C3B"/>
    <w:rsid w:val="000D0DFE"/>
    <w:rsid w:val="000D0EC2"/>
    <w:rsid w:val="000D135A"/>
    <w:rsid w:val="000D144E"/>
    <w:rsid w:val="000D1499"/>
    <w:rsid w:val="000D19A8"/>
    <w:rsid w:val="000D19B3"/>
    <w:rsid w:val="000D1C56"/>
    <w:rsid w:val="000D1E19"/>
    <w:rsid w:val="000D1F55"/>
    <w:rsid w:val="000D2145"/>
    <w:rsid w:val="000D224F"/>
    <w:rsid w:val="000D23BE"/>
    <w:rsid w:val="000D250C"/>
    <w:rsid w:val="000D2560"/>
    <w:rsid w:val="000D259E"/>
    <w:rsid w:val="000D2817"/>
    <w:rsid w:val="000D2BA8"/>
    <w:rsid w:val="000D2C85"/>
    <w:rsid w:val="000D3376"/>
    <w:rsid w:val="000D390E"/>
    <w:rsid w:val="000D3E8A"/>
    <w:rsid w:val="000D3E9D"/>
    <w:rsid w:val="000D3F29"/>
    <w:rsid w:val="000D3FC4"/>
    <w:rsid w:val="000D4578"/>
    <w:rsid w:val="000D45F3"/>
    <w:rsid w:val="000D467D"/>
    <w:rsid w:val="000D47B1"/>
    <w:rsid w:val="000D47F7"/>
    <w:rsid w:val="000D4840"/>
    <w:rsid w:val="000D4921"/>
    <w:rsid w:val="000D4986"/>
    <w:rsid w:val="000D4BCF"/>
    <w:rsid w:val="000D4F9E"/>
    <w:rsid w:val="000D4FE3"/>
    <w:rsid w:val="000D5233"/>
    <w:rsid w:val="000D5354"/>
    <w:rsid w:val="000D544A"/>
    <w:rsid w:val="000D55D7"/>
    <w:rsid w:val="000D55DC"/>
    <w:rsid w:val="000D562C"/>
    <w:rsid w:val="000D5BA6"/>
    <w:rsid w:val="000D5BDA"/>
    <w:rsid w:val="000D5CDB"/>
    <w:rsid w:val="000D5F9A"/>
    <w:rsid w:val="000D5FAC"/>
    <w:rsid w:val="000D61E8"/>
    <w:rsid w:val="000D630B"/>
    <w:rsid w:val="000D649B"/>
    <w:rsid w:val="000D64CB"/>
    <w:rsid w:val="000D65B5"/>
    <w:rsid w:val="000D67C9"/>
    <w:rsid w:val="000D6D07"/>
    <w:rsid w:val="000D6D7E"/>
    <w:rsid w:val="000D7052"/>
    <w:rsid w:val="000D78EE"/>
    <w:rsid w:val="000D79BD"/>
    <w:rsid w:val="000D7A53"/>
    <w:rsid w:val="000D7C2B"/>
    <w:rsid w:val="000D7E50"/>
    <w:rsid w:val="000D7E6A"/>
    <w:rsid w:val="000D7F17"/>
    <w:rsid w:val="000E001A"/>
    <w:rsid w:val="000E02E1"/>
    <w:rsid w:val="000E0498"/>
    <w:rsid w:val="000E04D7"/>
    <w:rsid w:val="000E05B1"/>
    <w:rsid w:val="000E07B8"/>
    <w:rsid w:val="000E0877"/>
    <w:rsid w:val="000E0956"/>
    <w:rsid w:val="000E0ACA"/>
    <w:rsid w:val="000E0BA5"/>
    <w:rsid w:val="000E0CFB"/>
    <w:rsid w:val="000E0D04"/>
    <w:rsid w:val="000E1524"/>
    <w:rsid w:val="000E1880"/>
    <w:rsid w:val="000E192B"/>
    <w:rsid w:val="000E194F"/>
    <w:rsid w:val="000E1A00"/>
    <w:rsid w:val="000E1A37"/>
    <w:rsid w:val="000E1B59"/>
    <w:rsid w:val="000E1B80"/>
    <w:rsid w:val="000E1BB8"/>
    <w:rsid w:val="000E1D37"/>
    <w:rsid w:val="000E1F05"/>
    <w:rsid w:val="000E210E"/>
    <w:rsid w:val="000E21AC"/>
    <w:rsid w:val="000E21C4"/>
    <w:rsid w:val="000E22C1"/>
    <w:rsid w:val="000E237D"/>
    <w:rsid w:val="000E23F9"/>
    <w:rsid w:val="000E2490"/>
    <w:rsid w:val="000E2613"/>
    <w:rsid w:val="000E26D9"/>
    <w:rsid w:val="000E2811"/>
    <w:rsid w:val="000E2955"/>
    <w:rsid w:val="000E29C7"/>
    <w:rsid w:val="000E2A43"/>
    <w:rsid w:val="000E2CD2"/>
    <w:rsid w:val="000E2DDC"/>
    <w:rsid w:val="000E3161"/>
    <w:rsid w:val="000E3198"/>
    <w:rsid w:val="000E3335"/>
    <w:rsid w:val="000E344E"/>
    <w:rsid w:val="000E3480"/>
    <w:rsid w:val="000E3574"/>
    <w:rsid w:val="000E3583"/>
    <w:rsid w:val="000E369A"/>
    <w:rsid w:val="000E3759"/>
    <w:rsid w:val="000E3786"/>
    <w:rsid w:val="000E3AAC"/>
    <w:rsid w:val="000E3AB7"/>
    <w:rsid w:val="000E3B34"/>
    <w:rsid w:val="000E4006"/>
    <w:rsid w:val="000E4129"/>
    <w:rsid w:val="000E4268"/>
    <w:rsid w:val="000E42D1"/>
    <w:rsid w:val="000E42D6"/>
    <w:rsid w:val="000E4432"/>
    <w:rsid w:val="000E449F"/>
    <w:rsid w:val="000E44AD"/>
    <w:rsid w:val="000E4CA5"/>
    <w:rsid w:val="000E4CC7"/>
    <w:rsid w:val="000E4EE7"/>
    <w:rsid w:val="000E4FD1"/>
    <w:rsid w:val="000E52E3"/>
    <w:rsid w:val="000E541E"/>
    <w:rsid w:val="000E55B7"/>
    <w:rsid w:val="000E5828"/>
    <w:rsid w:val="000E5E8C"/>
    <w:rsid w:val="000E60C4"/>
    <w:rsid w:val="000E64C0"/>
    <w:rsid w:val="000E64C8"/>
    <w:rsid w:val="000E6B75"/>
    <w:rsid w:val="000E6C4A"/>
    <w:rsid w:val="000E6CAA"/>
    <w:rsid w:val="000E6D29"/>
    <w:rsid w:val="000E6DFC"/>
    <w:rsid w:val="000E6E14"/>
    <w:rsid w:val="000E6FAC"/>
    <w:rsid w:val="000E712D"/>
    <w:rsid w:val="000E725A"/>
    <w:rsid w:val="000E75C8"/>
    <w:rsid w:val="000E762D"/>
    <w:rsid w:val="000E76B8"/>
    <w:rsid w:val="000E76C3"/>
    <w:rsid w:val="000E7736"/>
    <w:rsid w:val="000E7840"/>
    <w:rsid w:val="000E7996"/>
    <w:rsid w:val="000E7CA7"/>
    <w:rsid w:val="000E7D6E"/>
    <w:rsid w:val="000E7FA5"/>
    <w:rsid w:val="000E7FD2"/>
    <w:rsid w:val="000F0054"/>
    <w:rsid w:val="000F031A"/>
    <w:rsid w:val="000F062D"/>
    <w:rsid w:val="000F07CB"/>
    <w:rsid w:val="000F07D9"/>
    <w:rsid w:val="000F083B"/>
    <w:rsid w:val="000F0C5F"/>
    <w:rsid w:val="000F0CD2"/>
    <w:rsid w:val="000F0EA3"/>
    <w:rsid w:val="000F0EF9"/>
    <w:rsid w:val="000F1437"/>
    <w:rsid w:val="000F16AA"/>
    <w:rsid w:val="000F16E8"/>
    <w:rsid w:val="000F197F"/>
    <w:rsid w:val="000F1DE1"/>
    <w:rsid w:val="000F1E03"/>
    <w:rsid w:val="000F1E0A"/>
    <w:rsid w:val="000F1EF3"/>
    <w:rsid w:val="000F23E3"/>
    <w:rsid w:val="000F2536"/>
    <w:rsid w:val="000F260E"/>
    <w:rsid w:val="000F266F"/>
    <w:rsid w:val="000F27B5"/>
    <w:rsid w:val="000F27F2"/>
    <w:rsid w:val="000F2B99"/>
    <w:rsid w:val="000F2DFB"/>
    <w:rsid w:val="000F2F0D"/>
    <w:rsid w:val="000F3003"/>
    <w:rsid w:val="000F322E"/>
    <w:rsid w:val="000F3692"/>
    <w:rsid w:val="000F3A44"/>
    <w:rsid w:val="000F3A8A"/>
    <w:rsid w:val="000F3AFC"/>
    <w:rsid w:val="000F3B75"/>
    <w:rsid w:val="000F3CC2"/>
    <w:rsid w:val="000F3EA7"/>
    <w:rsid w:val="000F3F56"/>
    <w:rsid w:val="000F3F67"/>
    <w:rsid w:val="000F4438"/>
    <w:rsid w:val="000F4AA6"/>
    <w:rsid w:val="000F4CE7"/>
    <w:rsid w:val="000F4D4E"/>
    <w:rsid w:val="000F5168"/>
    <w:rsid w:val="000F51A0"/>
    <w:rsid w:val="000F51E6"/>
    <w:rsid w:val="000F5299"/>
    <w:rsid w:val="000F543E"/>
    <w:rsid w:val="000F55EA"/>
    <w:rsid w:val="000F5722"/>
    <w:rsid w:val="000F5743"/>
    <w:rsid w:val="000F574F"/>
    <w:rsid w:val="000F5788"/>
    <w:rsid w:val="000F5A48"/>
    <w:rsid w:val="000F5BE4"/>
    <w:rsid w:val="000F5D14"/>
    <w:rsid w:val="000F5D67"/>
    <w:rsid w:val="000F5DC2"/>
    <w:rsid w:val="000F5EF9"/>
    <w:rsid w:val="000F6081"/>
    <w:rsid w:val="000F614A"/>
    <w:rsid w:val="000F6659"/>
    <w:rsid w:val="000F6746"/>
    <w:rsid w:val="000F680C"/>
    <w:rsid w:val="000F6858"/>
    <w:rsid w:val="000F68BE"/>
    <w:rsid w:val="000F69F7"/>
    <w:rsid w:val="000F6ACE"/>
    <w:rsid w:val="000F6CCD"/>
    <w:rsid w:val="000F6D75"/>
    <w:rsid w:val="000F6EB5"/>
    <w:rsid w:val="000F707D"/>
    <w:rsid w:val="000F7220"/>
    <w:rsid w:val="000F7623"/>
    <w:rsid w:val="000F77F4"/>
    <w:rsid w:val="000F7A21"/>
    <w:rsid w:val="000F7D21"/>
    <w:rsid w:val="000F7E2B"/>
    <w:rsid w:val="000F7E6E"/>
    <w:rsid w:val="000F7E85"/>
    <w:rsid w:val="0010022C"/>
    <w:rsid w:val="00100248"/>
    <w:rsid w:val="0010046E"/>
    <w:rsid w:val="001005EC"/>
    <w:rsid w:val="00100644"/>
    <w:rsid w:val="0010091D"/>
    <w:rsid w:val="001009D2"/>
    <w:rsid w:val="00100CD8"/>
    <w:rsid w:val="00100F10"/>
    <w:rsid w:val="00101105"/>
    <w:rsid w:val="001011E1"/>
    <w:rsid w:val="00101272"/>
    <w:rsid w:val="00101318"/>
    <w:rsid w:val="0010134E"/>
    <w:rsid w:val="00101409"/>
    <w:rsid w:val="0010168C"/>
    <w:rsid w:val="001019A6"/>
    <w:rsid w:val="001019DF"/>
    <w:rsid w:val="00101B49"/>
    <w:rsid w:val="00101B7A"/>
    <w:rsid w:val="00101CA6"/>
    <w:rsid w:val="00101D10"/>
    <w:rsid w:val="00101DD2"/>
    <w:rsid w:val="00101E41"/>
    <w:rsid w:val="00101F4E"/>
    <w:rsid w:val="00101FBE"/>
    <w:rsid w:val="001026D8"/>
    <w:rsid w:val="001028F1"/>
    <w:rsid w:val="00102971"/>
    <w:rsid w:val="00102AEC"/>
    <w:rsid w:val="00102C0B"/>
    <w:rsid w:val="00102DC5"/>
    <w:rsid w:val="00102DF8"/>
    <w:rsid w:val="0010368E"/>
    <w:rsid w:val="00103836"/>
    <w:rsid w:val="0010390F"/>
    <w:rsid w:val="00103AA7"/>
    <w:rsid w:val="00103BC8"/>
    <w:rsid w:val="00103EB7"/>
    <w:rsid w:val="00103EE9"/>
    <w:rsid w:val="0010435F"/>
    <w:rsid w:val="00104436"/>
    <w:rsid w:val="00104511"/>
    <w:rsid w:val="001048A1"/>
    <w:rsid w:val="001048D8"/>
    <w:rsid w:val="00104AFA"/>
    <w:rsid w:val="00104B18"/>
    <w:rsid w:val="00104BD3"/>
    <w:rsid w:val="00104E5B"/>
    <w:rsid w:val="00105191"/>
    <w:rsid w:val="00105271"/>
    <w:rsid w:val="0010544A"/>
    <w:rsid w:val="00105671"/>
    <w:rsid w:val="00105735"/>
    <w:rsid w:val="001059F9"/>
    <w:rsid w:val="00105A9A"/>
    <w:rsid w:val="00105CDA"/>
    <w:rsid w:val="00105F67"/>
    <w:rsid w:val="0010601D"/>
    <w:rsid w:val="001067E6"/>
    <w:rsid w:val="001067FC"/>
    <w:rsid w:val="00106849"/>
    <w:rsid w:val="00106903"/>
    <w:rsid w:val="001069E6"/>
    <w:rsid w:val="00106B7A"/>
    <w:rsid w:val="00106E31"/>
    <w:rsid w:val="00107124"/>
    <w:rsid w:val="00107127"/>
    <w:rsid w:val="001071E5"/>
    <w:rsid w:val="0010725D"/>
    <w:rsid w:val="0010739C"/>
    <w:rsid w:val="0010741D"/>
    <w:rsid w:val="00107432"/>
    <w:rsid w:val="00107527"/>
    <w:rsid w:val="00107859"/>
    <w:rsid w:val="0010796B"/>
    <w:rsid w:val="00107A55"/>
    <w:rsid w:val="00107AD8"/>
    <w:rsid w:val="00107E4C"/>
    <w:rsid w:val="001100D3"/>
    <w:rsid w:val="00110290"/>
    <w:rsid w:val="00110308"/>
    <w:rsid w:val="001104AE"/>
    <w:rsid w:val="0011067D"/>
    <w:rsid w:val="00110790"/>
    <w:rsid w:val="00110A48"/>
    <w:rsid w:val="00110C12"/>
    <w:rsid w:val="00110F67"/>
    <w:rsid w:val="001110E2"/>
    <w:rsid w:val="00111132"/>
    <w:rsid w:val="001111CD"/>
    <w:rsid w:val="0011133A"/>
    <w:rsid w:val="0011151F"/>
    <w:rsid w:val="001115F0"/>
    <w:rsid w:val="0011162F"/>
    <w:rsid w:val="0011163B"/>
    <w:rsid w:val="00111893"/>
    <w:rsid w:val="0011194F"/>
    <w:rsid w:val="0011224C"/>
    <w:rsid w:val="001125D8"/>
    <w:rsid w:val="00112648"/>
    <w:rsid w:val="001126A6"/>
    <w:rsid w:val="001126AD"/>
    <w:rsid w:val="001126DB"/>
    <w:rsid w:val="0011274A"/>
    <w:rsid w:val="0011275C"/>
    <w:rsid w:val="001127C8"/>
    <w:rsid w:val="00112901"/>
    <w:rsid w:val="00112BC5"/>
    <w:rsid w:val="00112BF3"/>
    <w:rsid w:val="00112DF7"/>
    <w:rsid w:val="00112F38"/>
    <w:rsid w:val="00112F50"/>
    <w:rsid w:val="00113011"/>
    <w:rsid w:val="00113018"/>
    <w:rsid w:val="001131DF"/>
    <w:rsid w:val="0011330D"/>
    <w:rsid w:val="00113798"/>
    <w:rsid w:val="0011381C"/>
    <w:rsid w:val="00113B91"/>
    <w:rsid w:val="00113F6C"/>
    <w:rsid w:val="001143B6"/>
    <w:rsid w:val="00114557"/>
    <w:rsid w:val="001146D2"/>
    <w:rsid w:val="001147A5"/>
    <w:rsid w:val="001148D7"/>
    <w:rsid w:val="00114B36"/>
    <w:rsid w:val="00114B39"/>
    <w:rsid w:val="00114EA7"/>
    <w:rsid w:val="00114ED6"/>
    <w:rsid w:val="00114F95"/>
    <w:rsid w:val="00115152"/>
    <w:rsid w:val="00115308"/>
    <w:rsid w:val="001153FC"/>
    <w:rsid w:val="00115617"/>
    <w:rsid w:val="00115849"/>
    <w:rsid w:val="00115965"/>
    <w:rsid w:val="001159AC"/>
    <w:rsid w:val="001159F6"/>
    <w:rsid w:val="00115A10"/>
    <w:rsid w:val="00115D3A"/>
    <w:rsid w:val="00115F0A"/>
    <w:rsid w:val="00115F2D"/>
    <w:rsid w:val="001162C0"/>
    <w:rsid w:val="001162FD"/>
    <w:rsid w:val="00116332"/>
    <w:rsid w:val="001165F2"/>
    <w:rsid w:val="00116615"/>
    <w:rsid w:val="001166D4"/>
    <w:rsid w:val="001168D1"/>
    <w:rsid w:val="00116962"/>
    <w:rsid w:val="00116CCA"/>
    <w:rsid w:val="00117329"/>
    <w:rsid w:val="00117369"/>
    <w:rsid w:val="00117377"/>
    <w:rsid w:val="00117500"/>
    <w:rsid w:val="0011756C"/>
    <w:rsid w:val="001175B5"/>
    <w:rsid w:val="001176E5"/>
    <w:rsid w:val="00117809"/>
    <w:rsid w:val="00117A53"/>
    <w:rsid w:val="00117CE3"/>
    <w:rsid w:val="00117D0C"/>
    <w:rsid w:val="00117DCA"/>
    <w:rsid w:val="00117F1B"/>
    <w:rsid w:val="00120065"/>
    <w:rsid w:val="00120083"/>
    <w:rsid w:val="001200CF"/>
    <w:rsid w:val="0012017B"/>
    <w:rsid w:val="00120465"/>
    <w:rsid w:val="001206EF"/>
    <w:rsid w:val="00120788"/>
    <w:rsid w:val="00120A2B"/>
    <w:rsid w:val="00120A8F"/>
    <w:rsid w:val="00120BE6"/>
    <w:rsid w:val="00121184"/>
    <w:rsid w:val="00121208"/>
    <w:rsid w:val="00121219"/>
    <w:rsid w:val="001214F2"/>
    <w:rsid w:val="001215DF"/>
    <w:rsid w:val="001218A4"/>
    <w:rsid w:val="0012194C"/>
    <w:rsid w:val="001219CC"/>
    <w:rsid w:val="00121AE7"/>
    <w:rsid w:val="00121DD7"/>
    <w:rsid w:val="00121E21"/>
    <w:rsid w:val="00121FAB"/>
    <w:rsid w:val="001221A4"/>
    <w:rsid w:val="001222FF"/>
    <w:rsid w:val="00122304"/>
    <w:rsid w:val="00122358"/>
    <w:rsid w:val="001223A9"/>
    <w:rsid w:val="00122663"/>
    <w:rsid w:val="001227D6"/>
    <w:rsid w:val="001229DF"/>
    <w:rsid w:val="00122B2E"/>
    <w:rsid w:val="00122BAE"/>
    <w:rsid w:val="00122C8A"/>
    <w:rsid w:val="00122ECA"/>
    <w:rsid w:val="00122EDE"/>
    <w:rsid w:val="0012309E"/>
    <w:rsid w:val="001233BE"/>
    <w:rsid w:val="001233CE"/>
    <w:rsid w:val="00123402"/>
    <w:rsid w:val="0012359C"/>
    <w:rsid w:val="001236CC"/>
    <w:rsid w:val="00123734"/>
    <w:rsid w:val="001239F4"/>
    <w:rsid w:val="00123CB8"/>
    <w:rsid w:val="0012410B"/>
    <w:rsid w:val="0012412A"/>
    <w:rsid w:val="001241F0"/>
    <w:rsid w:val="001242CF"/>
    <w:rsid w:val="00124623"/>
    <w:rsid w:val="00124641"/>
    <w:rsid w:val="001246DC"/>
    <w:rsid w:val="0012472F"/>
    <w:rsid w:val="00124891"/>
    <w:rsid w:val="001249C1"/>
    <w:rsid w:val="00124C59"/>
    <w:rsid w:val="00124D92"/>
    <w:rsid w:val="00124E9F"/>
    <w:rsid w:val="001251D5"/>
    <w:rsid w:val="001252FA"/>
    <w:rsid w:val="001257E8"/>
    <w:rsid w:val="00125881"/>
    <w:rsid w:val="00125B84"/>
    <w:rsid w:val="00125FB3"/>
    <w:rsid w:val="001262ED"/>
    <w:rsid w:val="001266E6"/>
    <w:rsid w:val="0012687F"/>
    <w:rsid w:val="00126A9F"/>
    <w:rsid w:val="00126C15"/>
    <w:rsid w:val="00126C31"/>
    <w:rsid w:val="00126C8E"/>
    <w:rsid w:val="00126FC6"/>
    <w:rsid w:val="00126FEC"/>
    <w:rsid w:val="0012723B"/>
    <w:rsid w:val="00127338"/>
    <w:rsid w:val="001273B3"/>
    <w:rsid w:val="001274C9"/>
    <w:rsid w:val="0012779A"/>
    <w:rsid w:val="001279BE"/>
    <w:rsid w:val="00127B76"/>
    <w:rsid w:val="00127CA8"/>
    <w:rsid w:val="00127F3A"/>
    <w:rsid w:val="001300A7"/>
    <w:rsid w:val="001300B4"/>
    <w:rsid w:val="00130167"/>
    <w:rsid w:val="001301AC"/>
    <w:rsid w:val="0013027C"/>
    <w:rsid w:val="00130358"/>
    <w:rsid w:val="00130363"/>
    <w:rsid w:val="00130421"/>
    <w:rsid w:val="00130510"/>
    <w:rsid w:val="0013063C"/>
    <w:rsid w:val="00130C31"/>
    <w:rsid w:val="00130D4B"/>
    <w:rsid w:val="00130D56"/>
    <w:rsid w:val="00130DE9"/>
    <w:rsid w:val="00130E56"/>
    <w:rsid w:val="00130FF6"/>
    <w:rsid w:val="00131166"/>
    <w:rsid w:val="00131283"/>
    <w:rsid w:val="0013140E"/>
    <w:rsid w:val="001316F0"/>
    <w:rsid w:val="001318E7"/>
    <w:rsid w:val="00131945"/>
    <w:rsid w:val="00131949"/>
    <w:rsid w:val="001319B5"/>
    <w:rsid w:val="00131C9F"/>
    <w:rsid w:val="00131CE6"/>
    <w:rsid w:val="00131FB0"/>
    <w:rsid w:val="00131FFF"/>
    <w:rsid w:val="001321ED"/>
    <w:rsid w:val="00132401"/>
    <w:rsid w:val="0013264B"/>
    <w:rsid w:val="00132762"/>
    <w:rsid w:val="00132873"/>
    <w:rsid w:val="00132902"/>
    <w:rsid w:val="00132A35"/>
    <w:rsid w:val="00132BE7"/>
    <w:rsid w:val="00132C56"/>
    <w:rsid w:val="00133616"/>
    <w:rsid w:val="001336E5"/>
    <w:rsid w:val="0013380C"/>
    <w:rsid w:val="0013397A"/>
    <w:rsid w:val="001339F2"/>
    <w:rsid w:val="00133CC9"/>
    <w:rsid w:val="00133D32"/>
    <w:rsid w:val="00133DA7"/>
    <w:rsid w:val="00133FA4"/>
    <w:rsid w:val="00134031"/>
    <w:rsid w:val="001341CD"/>
    <w:rsid w:val="0013426B"/>
    <w:rsid w:val="00134668"/>
    <w:rsid w:val="001346F8"/>
    <w:rsid w:val="0013473F"/>
    <w:rsid w:val="001347A4"/>
    <w:rsid w:val="00134A45"/>
    <w:rsid w:val="00134BB5"/>
    <w:rsid w:val="00134D6C"/>
    <w:rsid w:val="00134E90"/>
    <w:rsid w:val="00134F25"/>
    <w:rsid w:val="0013506E"/>
    <w:rsid w:val="001350E9"/>
    <w:rsid w:val="001350F1"/>
    <w:rsid w:val="001351C7"/>
    <w:rsid w:val="001352D0"/>
    <w:rsid w:val="0013557F"/>
    <w:rsid w:val="0013579D"/>
    <w:rsid w:val="00135872"/>
    <w:rsid w:val="00135915"/>
    <w:rsid w:val="00135A0C"/>
    <w:rsid w:val="00135A86"/>
    <w:rsid w:val="00135D63"/>
    <w:rsid w:val="00135FF2"/>
    <w:rsid w:val="00136013"/>
    <w:rsid w:val="001361A3"/>
    <w:rsid w:val="00136219"/>
    <w:rsid w:val="00136305"/>
    <w:rsid w:val="00136688"/>
    <w:rsid w:val="00136ECD"/>
    <w:rsid w:val="00136EF4"/>
    <w:rsid w:val="00136F04"/>
    <w:rsid w:val="001370D4"/>
    <w:rsid w:val="001374D3"/>
    <w:rsid w:val="001376DC"/>
    <w:rsid w:val="001376EF"/>
    <w:rsid w:val="0013791C"/>
    <w:rsid w:val="00137A00"/>
    <w:rsid w:val="00137B5B"/>
    <w:rsid w:val="00137BA7"/>
    <w:rsid w:val="00137BFA"/>
    <w:rsid w:val="00137C96"/>
    <w:rsid w:val="00137D4A"/>
    <w:rsid w:val="00137D56"/>
    <w:rsid w:val="00137DB7"/>
    <w:rsid w:val="00137FCB"/>
    <w:rsid w:val="001400DF"/>
    <w:rsid w:val="00140201"/>
    <w:rsid w:val="00140226"/>
    <w:rsid w:val="00140284"/>
    <w:rsid w:val="00140398"/>
    <w:rsid w:val="001406F1"/>
    <w:rsid w:val="001407E9"/>
    <w:rsid w:val="001407F5"/>
    <w:rsid w:val="00140A81"/>
    <w:rsid w:val="00140FF3"/>
    <w:rsid w:val="00141107"/>
    <w:rsid w:val="00141130"/>
    <w:rsid w:val="00141289"/>
    <w:rsid w:val="001413FF"/>
    <w:rsid w:val="001415A1"/>
    <w:rsid w:val="00141625"/>
    <w:rsid w:val="00141644"/>
    <w:rsid w:val="0014166A"/>
    <w:rsid w:val="00141A3B"/>
    <w:rsid w:val="00141AAA"/>
    <w:rsid w:val="00141B63"/>
    <w:rsid w:val="00141BB8"/>
    <w:rsid w:val="00141C7B"/>
    <w:rsid w:val="0014209F"/>
    <w:rsid w:val="00142277"/>
    <w:rsid w:val="00142285"/>
    <w:rsid w:val="0014229A"/>
    <w:rsid w:val="001426F0"/>
    <w:rsid w:val="001429FC"/>
    <w:rsid w:val="00142DF6"/>
    <w:rsid w:val="00142F1B"/>
    <w:rsid w:val="00142F78"/>
    <w:rsid w:val="00142FEB"/>
    <w:rsid w:val="001431E5"/>
    <w:rsid w:val="001431F3"/>
    <w:rsid w:val="001437EF"/>
    <w:rsid w:val="00143AB6"/>
    <w:rsid w:val="00143E44"/>
    <w:rsid w:val="00143ECC"/>
    <w:rsid w:val="0014421B"/>
    <w:rsid w:val="001443D4"/>
    <w:rsid w:val="001444B9"/>
    <w:rsid w:val="001446E1"/>
    <w:rsid w:val="001446EB"/>
    <w:rsid w:val="00144769"/>
    <w:rsid w:val="00144A26"/>
    <w:rsid w:val="00144F3E"/>
    <w:rsid w:val="00144FC8"/>
    <w:rsid w:val="001451C5"/>
    <w:rsid w:val="001453B7"/>
    <w:rsid w:val="001455A7"/>
    <w:rsid w:val="001456F2"/>
    <w:rsid w:val="00145986"/>
    <w:rsid w:val="00145999"/>
    <w:rsid w:val="00145A4B"/>
    <w:rsid w:val="00145CF0"/>
    <w:rsid w:val="00145DAE"/>
    <w:rsid w:val="00145E1D"/>
    <w:rsid w:val="0014608F"/>
    <w:rsid w:val="0014623A"/>
    <w:rsid w:val="00146257"/>
    <w:rsid w:val="00146288"/>
    <w:rsid w:val="00146291"/>
    <w:rsid w:val="00146399"/>
    <w:rsid w:val="001464C8"/>
    <w:rsid w:val="00146518"/>
    <w:rsid w:val="0014660E"/>
    <w:rsid w:val="00146946"/>
    <w:rsid w:val="00146D7C"/>
    <w:rsid w:val="0014701D"/>
    <w:rsid w:val="00147175"/>
    <w:rsid w:val="001476DA"/>
    <w:rsid w:val="00147741"/>
    <w:rsid w:val="001478EC"/>
    <w:rsid w:val="00147D34"/>
    <w:rsid w:val="00147F49"/>
    <w:rsid w:val="00147F4F"/>
    <w:rsid w:val="001500D2"/>
    <w:rsid w:val="00150133"/>
    <w:rsid w:val="001502F4"/>
    <w:rsid w:val="00150446"/>
    <w:rsid w:val="001509A0"/>
    <w:rsid w:val="00150BE1"/>
    <w:rsid w:val="00150C8B"/>
    <w:rsid w:val="00150E11"/>
    <w:rsid w:val="0015109E"/>
    <w:rsid w:val="001514A9"/>
    <w:rsid w:val="00151553"/>
    <w:rsid w:val="0015158D"/>
    <w:rsid w:val="00151A7B"/>
    <w:rsid w:val="00151C89"/>
    <w:rsid w:val="00151CB1"/>
    <w:rsid w:val="00151CDC"/>
    <w:rsid w:val="00151EFC"/>
    <w:rsid w:val="00151F32"/>
    <w:rsid w:val="0015234F"/>
    <w:rsid w:val="001524C1"/>
    <w:rsid w:val="00152AB7"/>
    <w:rsid w:val="00152E89"/>
    <w:rsid w:val="0015308D"/>
    <w:rsid w:val="0015332D"/>
    <w:rsid w:val="0015349F"/>
    <w:rsid w:val="001534CD"/>
    <w:rsid w:val="0015371B"/>
    <w:rsid w:val="00153983"/>
    <w:rsid w:val="001539E7"/>
    <w:rsid w:val="00153A0F"/>
    <w:rsid w:val="00153A28"/>
    <w:rsid w:val="00153CA6"/>
    <w:rsid w:val="00153CB2"/>
    <w:rsid w:val="00153D13"/>
    <w:rsid w:val="00153EBE"/>
    <w:rsid w:val="00153FE1"/>
    <w:rsid w:val="001542B0"/>
    <w:rsid w:val="0015438E"/>
    <w:rsid w:val="00154539"/>
    <w:rsid w:val="00154575"/>
    <w:rsid w:val="00154A45"/>
    <w:rsid w:val="00154CF9"/>
    <w:rsid w:val="00154EAA"/>
    <w:rsid w:val="00154FB8"/>
    <w:rsid w:val="00154FCC"/>
    <w:rsid w:val="001550E4"/>
    <w:rsid w:val="001551D0"/>
    <w:rsid w:val="001553E9"/>
    <w:rsid w:val="0015540C"/>
    <w:rsid w:val="0015557C"/>
    <w:rsid w:val="00155993"/>
    <w:rsid w:val="001559D4"/>
    <w:rsid w:val="00155C32"/>
    <w:rsid w:val="00155D32"/>
    <w:rsid w:val="00155DB5"/>
    <w:rsid w:val="00155E42"/>
    <w:rsid w:val="001561D3"/>
    <w:rsid w:val="001564AA"/>
    <w:rsid w:val="001564D5"/>
    <w:rsid w:val="001564D9"/>
    <w:rsid w:val="00156805"/>
    <w:rsid w:val="0015696E"/>
    <w:rsid w:val="00156C1E"/>
    <w:rsid w:val="00156CEE"/>
    <w:rsid w:val="00156E5E"/>
    <w:rsid w:val="00156EFF"/>
    <w:rsid w:val="00156F2F"/>
    <w:rsid w:val="00156FEA"/>
    <w:rsid w:val="00157394"/>
    <w:rsid w:val="00157891"/>
    <w:rsid w:val="001578EE"/>
    <w:rsid w:val="00157E54"/>
    <w:rsid w:val="00160084"/>
    <w:rsid w:val="001600E3"/>
    <w:rsid w:val="00160710"/>
    <w:rsid w:val="0016099C"/>
    <w:rsid w:val="001609E0"/>
    <w:rsid w:val="00160AB4"/>
    <w:rsid w:val="00160D90"/>
    <w:rsid w:val="00160D95"/>
    <w:rsid w:val="00161052"/>
    <w:rsid w:val="001610FA"/>
    <w:rsid w:val="00161142"/>
    <w:rsid w:val="001612A8"/>
    <w:rsid w:val="001613DC"/>
    <w:rsid w:val="00161519"/>
    <w:rsid w:val="001615BC"/>
    <w:rsid w:val="00161728"/>
    <w:rsid w:val="00161802"/>
    <w:rsid w:val="001619CD"/>
    <w:rsid w:val="00161C55"/>
    <w:rsid w:val="001620EB"/>
    <w:rsid w:val="001620FA"/>
    <w:rsid w:val="0016211A"/>
    <w:rsid w:val="0016211B"/>
    <w:rsid w:val="001623B9"/>
    <w:rsid w:val="00162443"/>
    <w:rsid w:val="00162550"/>
    <w:rsid w:val="0016256B"/>
    <w:rsid w:val="0016263E"/>
    <w:rsid w:val="0016267B"/>
    <w:rsid w:val="001628D9"/>
    <w:rsid w:val="00162B2B"/>
    <w:rsid w:val="00162DB4"/>
    <w:rsid w:val="00162E5A"/>
    <w:rsid w:val="00162EF8"/>
    <w:rsid w:val="00162FCD"/>
    <w:rsid w:val="00163252"/>
    <w:rsid w:val="0016325C"/>
    <w:rsid w:val="001632A9"/>
    <w:rsid w:val="00163367"/>
    <w:rsid w:val="001637FD"/>
    <w:rsid w:val="001639D6"/>
    <w:rsid w:val="00163D29"/>
    <w:rsid w:val="00163F01"/>
    <w:rsid w:val="0016415B"/>
    <w:rsid w:val="001643EC"/>
    <w:rsid w:val="00164431"/>
    <w:rsid w:val="001645A9"/>
    <w:rsid w:val="00164706"/>
    <w:rsid w:val="00164724"/>
    <w:rsid w:val="00164877"/>
    <w:rsid w:val="00164897"/>
    <w:rsid w:val="001649E6"/>
    <w:rsid w:val="00164C95"/>
    <w:rsid w:val="00164CC3"/>
    <w:rsid w:val="00164DA3"/>
    <w:rsid w:val="00164E4D"/>
    <w:rsid w:val="00164F4F"/>
    <w:rsid w:val="00165095"/>
    <w:rsid w:val="001652C8"/>
    <w:rsid w:val="001652EB"/>
    <w:rsid w:val="0016550C"/>
    <w:rsid w:val="0016552F"/>
    <w:rsid w:val="001655E4"/>
    <w:rsid w:val="001656AE"/>
    <w:rsid w:val="001656B2"/>
    <w:rsid w:val="0016595D"/>
    <w:rsid w:val="00165A84"/>
    <w:rsid w:val="00165B8D"/>
    <w:rsid w:val="00165BFB"/>
    <w:rsid w:val="0016604E"/>
    <w:rsid w:val="001661C6"/>
    <w:rsid w:val="001661F5"/>
    <w:rsid w:val="0016622C"/>
    <w:rsid w:val="001664F6"/>
    <w:rsid w:val="001665D6"/>
    <w:rsid w:val="00166939"/>
    <w:rsid w:val="00166C3B"/>
    <w:rsid w:val="00166C3D"/>
    <w:rsid w:val="00166FAB"/>
    <w:rsid w:val="0016707A"/>
    <w:rsid w:val="001670F2"/>
    <w:rsid w:val="0016722F"/>
    <w:rsid w:val="001674C8"/>
    <w:rsid w:val="001675A7"/>
    <w:rsid w:val="0016772E"/>
    <w:rsid w:val="00167776"/>
    <w:rsid w:val="00170066"/>
    <w:rsid w:val="001701F9"/>
    <w:rsid w:val="00170278"/>
    <w:rsid w:val="001702EA"/>
    <w:rsid w:val="0017062A"/>
    <w:rsid w:val="00170830"/>
    <w:rsid w:val="0017087E"/>
    <w:rsid w:val="001708CC"/>
    <w:rsid w:val="0017094D"/>
    <w:rsid w:val="0017098A"/>
    <w:rsid w:val="00170B7C"/>
    <w:rsid w:val="00170BB0"/>
    <w:rsid w:val="00170C94"/>
    <w:rsid w:val="00170CD3"/>
    <w:rsid w:val="00170D3C"/>
    <w:rsid w:val="00170D55"/>
    <w:rsid w:val="00170F16"/>
    <w:rsid w:val="00170FD0"/>
    <w:rsid w:val="001712C4"/>
    <w:rsid w:val="0017130E"/>
    <w:rsid w:val="00171410"/>
    <w:rsid w:val="001715DA"/>
    <w:rsid w:val="001715E1"/>
    <w:rsid w:val="00171764"/>
    <w:rsid w:val="00171789"/>
    <w:rsid w:val="001717EF"/>
    <w:rsid w:val="00171AA8"/>
    <w:rsid w:val="00171D8A"/>
    <w:rsid w:val="00171E6C"/>
    <w:rsid w:val="001721C8"/>
    <w:rsid w:val="0017240C"/>
    <w:rsid w:val="0017246F"/>
    <w:rsid w:val="001724CF"/>
    <w:rsid w:val="00172558"/>
    <w:rsid w:val="00172559"/>
    <w:rsid w:val="001725BB"/>
    <w:rsid w:val="001729A6"/>
    <w:rsid w:val="001729BB"/>
    <w:rsid w:val="00172CB6"/>
    <w:rsid w:val="00172CB9"/>
    <w:rsid w:val="00172CE6"/>
    <w:rsid w:val="00172D8C"/>
    <w:rsid w:val="00172F4E"/>
    <w:rsid w:val="001730B9"/>
    <w:rsid w:val="001730C5"/>
    <w:rsid w:val="00173252"/>
    <w:rsid w:val="001734CA"/>
    <w:rsid w:val="001734D1"/>
    <w:rsid w:val="0017353A"/>
    <w:rsid w:val="00173599"/>
    <w:rsid w:val="00173653"/>
    <w:rsid w:val="0017374F"/>
    <w:rsid w:val="0017382D"/>
    <w:rsid w:val="00173980"/>
    <w:rsid w:val="001739F2"/>
    <w:rsid w:val="00173B9E"/>
    <w:rsid w:val="00173CB7"/>
    <w:rsid w:val="00173D43"/>
    <w:rsid w:val="00173D7A"/>
    <w:rsid w:val="00173FBB"/>
    <w:rsid w:val="00174079"/>
    <w:rsid w:val="0017469E"/>
    <w:rsid w:val="0017472C"/>
    <w:rsid w:val="00174730"/>
    <w:rsid w:val="001749C0"/>
    <w:rsid w:val="00174D23"/>
    <w:rsid w:val="00174E77"/>
    <w:rsid w:val="00174F76"/>
    <w:rsid w:val="001750A9"/>
    <w:rsid w:val="00175169"/>
    <w:rsid w:val="00175271"/>
    <w:rsid w:val="001752A4"/>
    <w:rsid w:val="0017537A"/>
    <w:rsid w:val="001753BD"/>
    <w:rsid w:val="00175502"/>
    <w:rsid w:val="00175770"/>
    <w:rsid w:val="001758D7"/>
    <w:rsid w:val="001759C7"/>
    <w:rsid w:val="00175A6C"/>
    <w:rsid w:val="00175C73"/>
    <w:rsid w:val="00175D27"/>
    <w:rsid w:val="00175D2C"/>
    <w:rsid w:val="00175E15"/>
    <w:rsid w:val="00175FD9"/>
    <w:rsid w:val="001760EF"/>
    <w:rsid w:val="00176210"/>
    <w:rsid w:val="001764A1"/>
    <w:rsid w:val="00176507"/>
    <w:rsid w:val="0017651C"/>
    <w:rsid w:val="00176573"/>
    <w:rsid w:val="001767A7"/>
    <w:rsid w:val="001767D1"/>
    <w:rsid w:val="00176829"/>
    <w:rsid w:val="001768AC"/>
    <w:rsid w:val="001768AE"/>
    <w:rsid w:val="001768E0"/>
    <w:rsid w:val="0017699F"/>
    <w:rsid w:val="00176AA2"/>
    <w:rsid w:val="00176B22"/>
    <w:rsid w:val="00176D02"/>
    <w:rsid w:val="0017720E"/>
    <w:rsid w:val="001774B2"/>
    <w:rsid w:val="001775E5"/>
    <w:rsid w:val="0017762C"/>
    <w:rsid w:val="0017785D"/>
    <w:rsid w:val="00177B4E"/>
    <w:rsid w:val="00177BD8"/>
    <w:rsid w:val="00177C04"/>
    <w:rsid w:val="00177C8E"/>
    <w:rsid w:val="00177C93"/>
    <w:rsid w:val="00177EE9"/>
    <w:rsid w:val="00177F1B"/>
    <w:rsid w:val="00180078"/>
    <w:rsid w:val="0018024A"/>
    <w:rsid w:val="001802DB"/>
    <w:rsid w:val="001805F3"/>
    <w:rsid w:val="001809CB"/>
    <w:rsid w:val="00180AA6"/>
    <w:rsid w:val="00180D64"/>
    <w:rsid w:val="00180F3B"/>
    <w:rsid w:val="00181103"/>
    <w:rsid w:val="00181298"/>
    <w:rsid w:val="0018129E"/>
    <w:rsid w:val="001813A6"/>
    <w:rsid w:val="001813D4"/>
    <w:rsid w:val="00181402"/>
    <w:rsid w:val="0018140C"/>
    <w:rsid w:val="001817E3"/>
    <w:rsid w:val="00181AD1"/>
    <w:rsid w:val="00181AF8"/>
    <w:rsid w:val="00181BD0"/>
    <w:rsid w:val="00181E78"/>
    <w:rsid w:val="00182147"/>
    <w:rsid w:val="001822F9"/>
    <w:rsid w:val="00182330"/>
    <w:rsid w:val="00182349"/>
    <w:rsid w:val="001823A0"/>
    <w:rsid w:val="001823D5"/>
    <w:rsid w:val="0018268A"/>
    <w:rsid w:val="001829A9"/>
    <w:rsid w:val="00182CB3"/>
    <w:rsid w:val="00182CFB"/>
    <w:rsid w:val="00182DE1"/>
    <w:rsid w:val="00182F5F"/>
    <w:rsid w:val="00182F98"/>
    <w:rsid w:val="001830DD"/>
    <w:rsid w:val="0018337C"/>
    <w:rsid w:val="00183670"/>
    <w:rsid w:val="001836E8"/>
    <w:rsid w:val="001837D9"/>
    <w:rsid w:val="00183813"/>
    <w:rsid w:val="00183970"/>
    <w:rsid w:val="001839FD"/>
    <w:rsid w:val="00183AAD"/>
    <w:rsid w:val="00184038"/>
    <w:rsid w:val="00184104"/>
    <w:rsid w:val="001842AF"/>
    <w:rsid w:val="001845CA"/>
    <w:rsid w:val="0018462C"/>
    <w:rsid w:val="001847C3"/>
    <w:rsid w:val="00184BE2"/>
    <w:rsid w:val="00184CBA"/>
    <w:rsid w:val="00184CF9"/>
    <w:rsid w:val="00184DA0"/>
    <w:rsid w:val="00184DC9"/>
    <w:rsid w:val="00184F4D"/>
    <w:rsid w:val="0018500F"/>
    <w:rsid w:val="001850D7"/>
    <w:rsid w:val="001851B9"/>
    <w:rsid w:val="0018538F"/>
    <w:rsid w:val="0018556E"/>
    <w:rsid w:val="00185620"/>
    <w:rsid w:val="0018563A"/>
    <w:rsid w:val="00185853"/>
    <w:rsid w:val="00185D68"/>
    <w:rsid w:val="00185DED"/>
    <w:rsid w:val="00185E98"/>
    <w:rsid w:val="00186036"/>
    <w:rsid w:val="00186269"/>
    <w:rsid w:val="00186275"/>
    <w:rsid w:val="001864F6"/>
    <w:rsid w:val="001864FC"/>
    <w:rsid w:val="001867A9"/>
    <w:rsid w:val="0018680E"/>
    <w:rsid w:val="0018682B"/>
    <w:rsid w:val="0018689C"/>
    <w:rsid w:val="00186B17"/>
    <w:rsid w:val="00186C3E"/>
    <w:rsid w:val="00186D74"/>
    <w:rsid w:val="00186DEA"/>
    <w:rsid w:val="00186F31"/>
    <w:rsid w:val="0018717A"/>
    <w:rsid w:val="00187190"/>
    <w:rsid w:val="001872D7"/>
    <w:rsid w:val="001875E9"/>
    <w:rsid w:val="001876FE"/>
    <w:rsid w:val="0018789E"/>
    <w:rsid w:val="001878EF"/>
    <w:rsid w:val="00187B12"/>
    <w:rsid w:val="00187B1C"/>
    <w:rsid w:val="00187E8F"/>
    <w:rsid w:val="00187FE9"/>
    <w:rsid w:val="00190047"/>
    <w:rsid w:val="00190190"/>
    <w:rsid w:val="0019028E"/>
    <w:rsid w:val="00190451"/>
    <w:rsid w:val="00190454"/>
    <w:rsid w:val="0019052D"/>
    <w:rsid w:val="001908C8"/>
    <w:rsid w:val="00190977"/>
    <w:rsid w:val="00190CEB"/>
    <w:rsid w:val="0019104D"/>
    <w:rsid w:val="00191089"/>
    <w:rsid w:val="001912C6"/>
    <w:rsid w:val="001914B5"/>
    <w:rsid w:val="001914D6"/>
    <w:rsid w:val="00191635"/>
    <w:rsid w:val="001917E1"/>
    <w:rsid w:val="0019188D"/>
    <w:rsid w:val="00191999"/>
    <w:rsid w:val="00191AD8"/>
    <w:rsid w:val="00191B16"/>
    <w:rsid w:val="00191BC3"/>
    <w:rsid w:val="00191D99"/>
    <w:rsid w:val="00191E06"/>
    <w:rsid w:val="00191EE1"/>
    <w:rsid w:val="00191FFD"/>
    <w:rsid w:val="001923F4"/>
    <w:rsid w:val="001927FF"/>
    <w:rsid w:val="00192808"/>
    <w:rsid w:val="001929FD"/>
    <w:rsid w:val="00192A52"/>
    <w:rsid w:val="00192B61"/>
    <w:rsid w:val="00192D77"/>
    <w:rsid w:val="00192D8D"/>
    <w:rsid w:val="00192F58"/>
    <w:rsid w:val="0019316E"/>
    <w:rsid w:val="001932D4"/>
    <w:rsid w:val="001933A4"/>
    <w:rsid w:val="001934CC"/>
    <w:rsid w:val="0019358C"/>
    <w:rsid w:val="00193646"/>
    <w:rsid w:val="001936AF"/>
    <w:rsid w:val="0019373F"/>
    <w:rsid w:val="00193757"/>
    <w:rsid w:val="00193915"/>
    <w:rsid w:val="001939E1"/>
    <w:rsid w:val="00193A2B"/>
    <w:rsid w:val="00193AB9"/>
    <w:rsid w:val="00193AEE"/>
    <w:rsid w:val="00193C9A"/>
    <w:rsid w:val="00193EE0"/>
    <w:rsid w:val="00194003"/>
    <w:rsid w:val="001940C2"/>
    <w:rsid w:val="001941CA"/>
    <w:rsid w:val="001943F4"/>
    <w:rsid w:val="001944EC"/>
    <w:rsid w:val="00194577"/>
    <w:rsid w:val="001946A0"/>
    <w:rsid w:val="00194713"/>
    <w:rsid w:val="00194890"/>
    <w:rsid w:val="00194900"/>
    <w:rsid w:val="00194A9F"/>
    <w:rsid w:val="00194BDD"/>
    <w:rsid w:val="00194CEA"/>
    <w:rsid w:val="001950F4"/>
    <w:rsid w:val="0019510A"/>
    <w:rsid w:val="00195465"/>
    <w:rsid w:val="001954B7"/>
    <w:rsid w:val="001955B4"/>
    <w:rsid w:val="001955BC"/>
    <w:rsid w:val="001956C7"/>
    <w:rsid w:val="0019573A"/>
    <w:rsid w:val="0019579C"/>
    <w:rsid w:val="00195DA8"/>
    <w:rsid w:val="00195E33"/>
    <w:rsid w:val="00195F43"/>
    <w:rsid w:val="00196057"/>
    <w:rsid w:val="001963FC"/>
    <w:rsid w:val="0019644B"/>
    <w:rsid w:val="00196791"/>
    <w:rsid w:val="001968EE"/>
    <w:rsid w:val="001969E1"/>
    <w:rsid w:val="00196B99"/>
    <w:rsid w:val="00196D0D"/>
    <w:rsid w:val="00196D1D"/>
    <w:rsid w:val="00196E12"/>
    <w:rsid w:val="00196E46"/>
    <w:rsid w:val="00196FC9"/>
    <w:rsid w:val="001970C3"/>
    <w:rsid w:val="001972CB"/>
    <w:rsid w:val="001973A3"/>
    <w:rsid w:val="001973E2"/>
    <w:rsid w:val="00197420"/>
    <w:rsid w:val="0019756D"/>
    <w:rsid w:val="00197BCA"/>
    <w:rsid w:val="00197BFD"/>
    <w:rsid w:val="00197CF2"/>
    <w:rsid w:val="00197E8B"/>
    <w:rsid w:val="00197EB6"/>
    <w:rsid w:val="001A00DF"/>
    <w:rsid w:val="001A0276"/>
    <w:rsid w:val="001A02C4"/>
    <w:rsid w:val="001A07B6"/>
    <w:rsid w:val="001A0852"/>
    <w:rsid w:val="001A08DF"/>
    <w:rsid w:val="001A092C"/>
    <w:rsid w:val="001A0BF0"/>
    <w:rsid w:val="001A0CDE"/>
    <w:rsid w:val="001A0E01"/>
    <w:rsid w:val="001A0E50"/>
    <w:rsid w:val="001A0E99"/>
    <w:rsid w:val="001A10FE"/>
    <w:rsid w:val="001A1504"/>
    <w:rsid w:val="001A1785"/>
    <w:rsid w:val="001A193A"/>
    <w:rsid w:val="001A1D2D"/>
    <w:rsid w:val="001A2089"/>
    <w:rsid w:val="001A21B9"/>
    <w:rsid w:val="001A2267"/>
    <w:rsid w:val="001A235C"/>
    <w:rsid w:val="001A24DD"/>
    <w:rsid w:val="001A2528"/>
    <w:rsid w:val="001A2581"/>
    <w:rsid w:val="001A2910"/>
    <w:rsid w:val="001A2997"/>
    <w:rsid w:val="001A2A3A"/>
    <w:rsid w:val="001A2AEE"/>
    <w:rsid w:val="001A2C88"/>
    <w:rsid w:val="001A2CD1"/>
    <w:rsid w:val="001A2F37"/>
    <w:rsid w:val="001A3640"/>
    <w:rsid w:val="001A3976"/>
    <w:rsid w:val="001A39A1"/>
    <w:rsid w:val="001A3BE4"/>
    <w:rsid w:val="001A3BF8"/>
    <w:rsid w:val="001A3C5C"/>
    <w:rsid w:val="001A3CBC"/>
    <w:rsid w:val="001A3CE1"/>
    <w:rsid w:val="001A3E11"/>
    <w:rsid w:val="001A3FA6"/>
    <w:rsid w:val="001A446F"/>
    <w:rsid w:val="001A47BE"/>
    <w:rsid w:val="001A4D5E"/>
    <w:rsid w:val="001A4F56"/>
    <w:rsid w:val="001A503D"/>
    <w:rsid w:val="001A54E2"/>
    <w:rsid w:val="001A558C"/>
    <w:rsid w:val="001A56B7"/>
    <w:rsid w:val="001A586E"/>
    <w:rsid w:val="001A5A77"/>
    <w:rsid w:val="001A5A87"/>
    <w:rsid w:val="001A5C14"/>
    <w:rsid w:val="001A5C36"/>
    <w:rsid w:val="001A5C49"/>
    <w:rsid w:val="001A5CCE"/>
    <w:rsid w:val="001A5D75"/>
    <w:rsid w:val="001A5E69"/>
    <w:rsid w:val="001A6112"/>
    <w:rsid w:val="001A61DD"/>
    <w:rsid w:val="001A6339"/>
    <w:rsid w:val="001A641C"/>
    <w:rsid w:val="001A641E"/>
    <w:rsid w:val="001A65D5"/>
    <w:rsid w:val="001A6A67"/>
    <w:rsid w:val="001A6C48"/>
    <w:rsid w:val="001A6E48"/>
    <w:rsid w:val="001A6E95"/>
    <w:rsid w:val="001A6FE3"/>
    <w:rsid w:val="001A7117"/>
    <w:rsid w:val="001A7150"/>
    <w:rsid w:val="001A71CF"/>
    <w:rsid w:val="001A7206"/>
    <w:rsid w:val="001A73F8"/>
    <w:rsid w:val="001A756C"/>
    <w:rsid w:val="001A7601"/>
    <w:rsid w:val="001A782E"/>
    <w:rsid w:val="001A7870"/>
    <w:rsid w:val="001A7895"/>
    <w:rsid w:val="001A78A7"/>
    <w:rsid w:val="001A78D8"/>
    <w:rsid w:val="001A7B80"/>
    <w:rsid w:val="001A7D68"/>
    <w:rsid w:val="001B02E7"/>
    <w:rsid w:val="001B0686"/>
    <w:rsid w:val="001B0987"/>
    <w:rsid w:val="001B0B1F"/>
    <w:rsid w:val="001B0C1E"/>
    <w:rsid w:val="001B0C6E"/>
    <w:rsid w:val="001B107A"/>
    <w:rsid w:val="001B13F6"/>
    <w:rsid w:val="001B14EE"/>
    <w:rsid w:val="001B15BD"/>
    <w:rsid w:val="001B16D0"/>
    <w:rsid w:val="001B17B1"/>
    <w:rsid w:val="001B1AFF"/>
    <w:rsid w:val="001B1C1E"/>
    <w:rsid w:val="001B1DE2"/>
    <w:rsid w:val="001B1E28"/>
    <w:rsid w:val="001B1F72"/>
    <w:rsid w:val="001B1FE1"/>
    <w:rsid w:val="001B2183"/>
    <w:rsid w:val="001B227E"/>
    <w:rsid w:val="001B2A4A"/>
    <w:rsid w:val="001B2CBB"/>
    <w:rsid w:val="001B2CEC"/>
    <w:rsid w:val="001B2E8B"/>
    <w:rsid w:val="001B3085"/>
    <w:rsid w:val="001B3517"/>
    <w:rsid w:val="001B355D"/>
    <w:rsid w:val="001B35FD"/>
    <w:rsid w:val="001B35FF"/>
    <w:rsid w:val="001B3665"/>
    <w:rsid w:val="001B3720"/>
    <w:rsid w:val="001B3D9D"/>
    <w:rsid w:val="001B3EC7"/>
    <w:rsid w:val="001B3ECE"/>
    <w:rsid w:val="001B3F06"/>
    <w:rsid w:val="001B3FE3"/>
    <w:rsid w:val="001B4252"/>
    <w:rsid w:val="001B434D"/>
    <w:rsid w:val="001B4445"/>
    <w:rsid w:val="001B4768"/>
    <w:rsid w:val="001B4F58"/>
    <w:rsid w:val="001B501B"/>
    <w:rsid w:val="001B51B5"/>
    <w:rsid w:val="001B5515"/>
    <w:rsid w:val="001B58F9"/>
    <w:rsid w:val="001B5979"/>
    <w:rsid w:val="001B5AA2"/>
    <w:rsid w:val="001B5B0A"/>
    <w:rsid w:val="001B5CF0"/>
    <w:rsid w:val="001B5F16"/>
    <w:rsid w:val="001B5F8A"/>
    <w:rsid w:val="001B6265"/>
    <w:rsid w:val="001B62C9"/>
    <w:rsid w:val="001B63AC"/>
    <w:rsid w:val="001B6422"/>
    <w:rsid w:val="001B6538"/>
    <w:rsid w:val="001B691F"/>
    <w:rsid w:val="001B6ADA"/>
    <w:rsid w:val="001B6B05"/>
    <w:rsid w:val="001B6CBB"/>
    <w:rsid w:val="001B6CF1"/>
    <w:rsid w:val="001B7042"/>
    <w:rsid w:val="001B7083"/>
    <w:rsid w:val="001B710A"/>
    <w:rsid w:val="001B715A"/>
    <w:rsid w:val="001B72DF"/>
    <w:rsid w:val="001B73D8"/>
    <w:rsid w:val="001B749B"/>
    <w:rsid w:val="001B7506"/>
    <w:rsid w:val="001B779A"/>
    <w:rsid w:val="001B7800"/>
    <w:rsid w:val="001B7A41"/>
    <w:rsid w:val="001B7A98"/>
    <w:rsid w:val="001B7E45"/>
    <w:rsid w:val="001B7F2C"/>
    <w:rsid w:val="001B7F8C"/>
    <w:rsid w:val="001C018A"/>
    <w:rsid w:val="001C02CC"/>
    <w:rsid w:val="001C03E5"/>
    <w:rsid w:val="001C046E"/>
    <w:rsid w:val="001C0772"/>
    <w:rsid w:val="001C0B37"/>
    <w:rsid w:val="001C0D86"/>
    <w:rsid w:val="001C0DAA"/>
    <w:rsid w:val="001C130C"/>
    <w:rsid w:val="001C1375"/>
    <w:rsid w:val="001C1442"/>
    <w:rsid w:val="001C146F"/>
    <w:rsid w:val="001C15DE"/>
    <w:rsid w:val="001C168F"/>
    <w:rsid w:val="001C16F6"/>
    <w:rsid w:val="001C1878"/>
    <w:rsid w:val="001C1F32"/>
    <w:rsid w:val="001C1F57"/>
    <w:rsid w:val="001C2000"/>
    <w:rsid w:val="001C2036"/>
    <w:rsid w:val="001C228E"/>
    <w:rsid w:val="001C22AB"/>
    <w:rsid w:val="001C2400"/>
    <w:rsid w:val="001C2449"/>
    <w:rsid w:val="001C2648"/>
    <w:rsid w:val="001C275F"/>
    <w:rsid w:val="001C2AA1"/>
    <w:rsid w:val="001C2B7F"/>
    <w:rsid w:val="001C2BE1"/>
    <w:rsid w:val="001C2C6D"/>
    <w:rsid w:val="001C2C76"/>
    <w:rsid w:val="001C2E20"/>
    <w:rsid w:val="001C2F26"/>
    <w:rsid w:val="001C3282"/>
    <w:rsid w:val="001C34C1"/>
    <w:rsid w:val="001C370E"/>
    <w:rsid w:val="001C3718"/>
    <w:rsid w:val="001C3781"/>
    <w:rsid w:val="001C384F"/>
    <w:rsid w:val="001C393A"/>
    <w:rsid w:val="001C3CBE"/>
    <w:rsid w:val="001C3DAF"/>
    <w:rsid w:val="001C3E49"/>
    <w:rsid w:val="001C4233"/>
    <w:rsid w:val="001C4255"/>
    <w:rsid w:val="001C4265"/>
    <w:rsid w:val="001C4392"/>
    <w:rsid w:val="001C43F8"/>
    <w:rsid w:val="001C462A"/>
    <w:rsid w:val="001C4704"/>
    <w:rsid w:val="001C4A4E"/>
    <w:rsid w:val="001C4B01"/>
    <w:rsid w:val="001C4C43"/>
    <w:rsid w:val="001C52A7"/>
    <w:rsid w:val="001C5328"/>
    <w:rsid w:val="001C558E"/>
    <w:rsid w:val="001C56B6"/>
    <w:rsid w:val="001C5809"/>
    <w:rsid w:val="001C5A50"/>
    <w:rsid w:val="001C5A97"/>
    <w:rsid w:val="001C5D1C"/>
    <w:rsid w:val="001C5E3B"/>
    <w:rsid w:val="001C5E54"/>
    <w:rsid w:val="001C60C6"/>
    <w:rsid w:val="001C6186"/>
    <w:rsid w:val="001C623C"/>
    <w:rsid w:val="001C6246"/>
    <w:rsid w:val="001C6496"/>
    <w:rsid w:val="001C6569"/>
    <w:rsid w:val="001C67ED"/>
    <w:rsid w:val="001C6864"/>
    <w:rsid w:val="001C69F6"/>
    <w:rsid w:val="001C6A9C"/>
    <w:rsid w:val="001C6CAB"/>
    <w:rsid w:val="001C6F2A"/>
    <w:rsid w:val="001C7002"/>
    <w:rsid w:val="001C706A"/>
    <w:rsid w:val="001C70EB"/>
    <w:rsid w:val="001C7109"/>
    <w:rsid w:val="001C71E0"/>
    <w:rsid w:val="001C72D4"/>
    <w:rsid w:val="001C7677"/>
    <w:rsid w:val="001C7749"/>
    <w:rsid w:val="001C78E6"/>
    <w:rsid w:val="001C7B35"/>
    <w:rsid w:val="001C7CCA"/>
    <w:rsid w:val="001C7F77"/>
    <w:rsid w:val="001C7FB9"/>
    <w:rsid w:val="001D0199"/>
    <w:rsid w:val="001D05AA"/>
    <w:rsid w:val="001D05CB"/>
    <w:rsid w:val="001D05D8"/>
    <w:rsid w:val="001D05EE"/>
    <w:rsid w:val="001D0839"/>
    <w:rsid w:val="001D0877"/>
    <w:rsid w:val="001D0946"/>
    <w:rsid w:val="001D0977"/>
    <w:rsid w:val="001D0DD3"/>
    <w:rsid w:val="001D0E5C"/>
    <w:rsid w:val="001D0E82"/>
    <w:rsid w:val="001D0E88"/>
    <w:rsid w:val="001D0F57"/>
    <w:rsid w:val="001D13F0"/>
    <w:rsid w:val="001D1551"/>
    <w:rsid w:val="001D18F5"/>
    <w:rsid w:val="001D19D9"/>
    <w:rsid w:val="001D1B51"/>
    <w:rsid w:val="001D1B6C"/>
    <w:rsid w:val="001D1B71"/>
    <w:rsid w:val="001D1BD6"/>
    <w:rsid w:val="001D1BD9"/>
    <w:rsid w:val="001D1C00"/>
    <w:rsid w:val="001D2007"/>
    <w:rsid w:val="001D20A6"/>
    <w:rsid w:val="001D241B"/>
    <w:rsid w:val="001D2497"/>
    <w:rsid w:val="001D2729"/>
    <w:rsid w:val="001D29DD"/>
    <w:rsid w:val="001D2BCF"/>
    <w:rsid w:val="001D2C66"/>
    <w:rsid w:val="001D3155"/>
    <w:rsid w:val="001D334A"/>
    <w:rsid w:val="001D3D98"/>
    <w:rsid w:val="001D3D9E"/>
    <w:rsid w:val="001D3DBC"/>
    <w:rsid w:val="001D3E62"/>
    <w:rsid w:val="001D3E77"/>
    <w:rsid w:val="001D3F81"/>
    <w:rsid w:val="001D3FDF"/>
    <w:rsid w:val="001D409A"/>
    <w:rsid w:val="001D40BC"/>
    <w:rsid w:val="001D46BD"/>
    <w:rsid w:val="001D47B0"/>
    <w:rsid w:val="001D494E"/>
    <w:rsid w:val="001D4B63"/>
    <w:rsid w:val="001D4CC4"/>
    <w:rsid w:val="001D5261"/>
    <w:rsid w:val="001D527D"/>
    <w:rsid w:val="001D52E0"/>
    <w:rsid w:val="001D5475"/>
    <w:rsid w:val="001D552A"/>
    <w:rsid w:val="001D583D"/>
    <w:rsid w:val="001D59ED"/>
    <w:rsid w:val="001D5AFC"/>
    <w:rsid w:val="001D5D23"/>
    <w:rsid w:val="001D5E2E"/>
    <w:rsid w:val="001D5E86"/>
    <w:rsid w:val="001D5EF7"/>
    <w:rsid w:val="001D6020"/>
    <w:rsid w:val="001D6031"/>
    <w:rsid w:val="001D6156"/>
    <w:rsid w:val="001D6298"/>
    <w:rsid w:val="001D6885"/>
    <w:rsid w:val="001D6888"/>
    <w:rsid w:val="001D6927"/>
    <w:rsid w:val="001D6A08"/>
    <w:rsid w:val="001D6AB4"/>
    <w:rsid w:val="001D6ACB"/>
    <w:rsid w:val="001D6ACF"/>
    <w:rsid w:val="001D6AF4"/>
    <w:rsid w:val="001D6B01"/>
    <w:rsid w:val="001D710D"/>
    <w:rsid w:val="001D7119"/>
    <w:rsid w:val="001D72AA"/>
    <w:rsid w:val="001D7365"/>
    <w:rsid w:val="001D75E6"/>
    <w:rsid w:val="001D7765"/>
    <w:rsid w:val="001D78F3"/>
    <w:rsid w:val="001D7978"/>
    <w:rsid w:val="001D7E1D"/>
    <w:rsid w:val="001D7F80"/>
    <w:rsid w:val="001E0037"/>
    <w:rsid w:val="001E0185"/>
    <w:rsid w:val="001E01C1"/>
    <w:rsid w:val="001E042B"/>
    <w:rsid w:val="001E0440"/>
    <w:rsid w:val="001E0452"/>
    <w:rsid w:val="001E061B"/>
    <w:rsid w:val="001E06C4"/>
    <w:rsid w:val="001E0700"/>
    <w:rsid w:val="001E07A4"/>
    <w:rsid w:val="001E09E5"/>
    <w:rsid w:val="001E0D77"/>
    <w:rsid w:val="001E0D84"/>
    <w:rsid w:val="001E0DC9"/>
    <w:rsid w:val="001E0DF9"/>
    <w:rsid w:val="001E0E0A"/>
    <w:rsid w:val="001E0FB7"/>
    <w:rsid w:val="001E12C8"/>
    <w:rsid w:val="001E130B"/>
    <w:rsid w:val="001E13E1"/>
    <w:rsid w:val="001E14BC"/>
    <w:rsid w:val="001E1932"/>
    <w:rsid w:val="001E1B49"/>
    <w:rsid w:val="001E1D4A"/>
    <w:rsid w:val="001E1D7C"/>
    <w:rsid w:val="001E1EB9"/>
    <w:rsid w:val="001E21A9"/>
    <w:rsid w:val="001E225C"/>
    <w:rsid w:val="001E2339"/>
    <w:rsid w:val="001E238E"/>
    <w:rsid w:val="001E25A0"/>
    <w:rsid w:val="001E25A5"/>
    <w:rsid w:val="001E2674"/>
    <w:rsid w:val="001E26C4"/>
    <w:rsid w:val="001E27A6"/>
    <w:rsid w:val="001E2835"/>
    <w:rsid w:val="001E289D"/>
    <w:rsid w:val="001E29F6"/>
    <w:rsid w:val="001E2B4E"/>
    <w:rsid w:val="001E2D25"/>
    <w:rsid w:val="001E2DFA"/>
    <w:rsid w:val="001E2F99"/>
    <w:rsid w:val="001E30C5"/>
    <w:rsid w:val="001E3102"/>
    <w:rsid w:val="001E3246"/>
    <w:rsid w:val="001E32BA"/>
    <w:rsid w:val="001E32DC"/>
    <w:rsid w:val="001E3308"/>
    <w:rsid w:val="001E376C"/>
    <w:rsid w:val="001E3D1B"/>
    <w:rsid w:val="001E3ECB"/>
    <w:rsid w:val="001E429D"/>
    <w:rsid w:val="001E437E"/>
    <w:rsid w:val="001E4464"/>
    <w:rsid w:val="001E4695"/>
    <w:rsid w:val="001E470C"/>
    <w:rsid w:val="001E4849"/>
    <w:rsid w:val="001E4954"/>
    <w:rsid w:val="001E4B43"/>
    <w:rsid w:val="001E4D34"/>
    <w:rsid w:val="001E53BD"/>
    <w:rsid w:val="001E55E0"/>
    <w:rsid w:val="001E57A2"/>
    <w:rsid w:val="001E57CC"/>
    <w:rsid w:val="001E5B84"/>
    <w:rsid w:val="001E5CAB"/>
    <w:rsid w:val="001E5DDB"/>
    <w:rsid w:val="001E611F"/>
    <w:rsid w:val="001E6597"/>
    <w:rsid w:val="001E67F8"/>
    <w:rsid w:val="001E6E67"/>
    <w:rsid w:val="001E7085"/>
    <w:rsid w:val="001E70D3"/>
    <w:rsid w:val="001E7153"/>
    <w:rsid w:val="001E71E4"/>
    <w:rsid w:val="001E72D6"/>
    <w:rsid w:val="001E7304"/>
    <w:rsid w:val="001E749A"/>
    <w:rsid w:val="001E74B4"/>
    <w:rsid w:val="001E74B7"/>
    <w:rsid w:val="001E7704"/>
    <w:rsid w:val="001E79DA"/>
    <w:rsid w:val="001E7A64"/>
    <w:rsid w:val="001E7C70"/>
    <w:rsid w:val="001E7E33"/>
    <w:rsid w:val="001F0110"/>
    <w:rsid w:val="001F029C"/>
    <w:rsid w:val="001F031C"/>
    <w:rsid w:val="001F05C5"/>
    <w:rsid w:val="001F078A"/>
    <w:rsid w:val="001F07B2"/>
    <w:rsid w:val="001F08DB"/>
    <w:rsid w:val="001F09CD"/>
    <w:rsid w:val="001F0D76"/>
    <w:rsid w:val="001F0DE0"/>
    <w:rsid w:val="001F10CC"/>
    <w:rsid w:val="001F112E"/>
    <w:rsid w:val="001F11A9"/>
    <w:rsid w:val="001F1378"/>
    <w:rsid w:val="001F1439"/>
    <w:rsid w:val="001F1546"/>
    <w:rsid w:val="001F183B"/>
    <w:rsid w:val="001F1AA9"/>
    <w:rsid w:val="001F1BE0"/>
    <w:rsid w:val="001F1CAA"/>
    <w:rsid w:val="001F1D77"/>
    <w:rsid w:val="001F2152"/>
    <w:rsid w:val="001F21FC"/>
    <w:rsid w:val="001F26DD"/>
    <w:rsid w:val="001F2705"/>
    <w:rsid w:val="001F271E"/>
    <w:rsid w:val="001F29BB"/>
    <w:rsid w:val="001F2BA3"/>
    <w:rsid w:val="001F2E74"/>
    <w:rsid w:val="001F2F96"/>
    <w:rsid w:val="001F3047"/>
    <w:rsid w:val="001F3095"/>
    <w:rsid w:val="001F35DA"/>
    <w:rsid w:val="001F371D"/>
    <w:rsid w:val="001F37B3"/>
    <w:rsid w:val="001F3824"/>
    <w:rsid w:val="001F390A"/>
    <w:rsid w:val="001F3962"/>
    <w:rsid w:val="001F3D23"/>
    <w:rsid w:val="001F3E39"/>
    <w:rsid w:val="001F3F89"/>
    <w:rsid w:val="001F4034"/>
    <w:rsid w:val="001F41AA"/>
    <w:rsid w:val="001F4206"/>
    <w:rsid w:val="001F4276"/>
    <w:rsid w:val="001F4A29"/>
    <w:rsid w:val="001F4C72"/>
    <w:rsid w:val="001F4CB2"/>
    <w:rsid w:val="001F4D63"/>
    <w:rsid w:val="001F4EB7"/>
    <w:rsid w:val="001F4ECF"/>
    <w:rsid w:val="001F5368"/>
    <w:rsid w:val="001F55C0"/>
    <w:rsid w:val="001F5616"/>
    <w:rsid w:val="001F5917"/>
    <w:rsid w:val="001F5926"/>
    <w:rsid w:val="001F5C20"/>
    <w:rsid w:val="001F5CA9"/>
    <w:rsid w:val="001F5D0C"/>
    <w:rsid w:val="001F5D6D"/>
    <w:rsid w:val="001F5EE4"/>
    <w:rsid w:val="001F62B1"/>
    <w:rsid w:val="001F64BD"/>
    <w:rsid w:val="001F65FC"/>
    <w:rsid w:val="001F6740"/>
    <w:rsid w:val="001F678C"/>
    <w:rsid w:val="001F68A5"/>
    <w:rsid w:val="001F6ADC"/>
    <w:rsid w:val="001F6C32"/>
    <w:rsid w:val="001F6E3F"/>
    <w:rsid w:val="001F6E4F"/>
    <w:rsid w:val="001F72CE"/>
    <w:rsid w:val="001F72FA"/>
    <w:rsid w:val="001F7581"/>
    <w:rsid w:val="001F75FC"/>
    <w:rsid w:val="001F7C19"/>
    <w:rsid w:val="001F7C39"/>
    <w:rsid w:val="001F7C3A"/>
    <w:rsid w:val="001F7FCA"/>
    <w:rsid w:val="0020012C"/>
    <w:rsid w:val="002001CD"/>
    <w:rsid w:val="002001F7"/>
    <w:rsid w:val="0020041A"/>
    <w:rsid w:val="00200437"/>
    <w:rsid w:val="002004CE"/>
    <w:rsid w:val="00200601"/>
    <w:rsid w:val="0020083C"/>
    <w:rsid w:val="00200953"/>
    <w:rsid w:val="00200975"/>
    <w:rsid w:val="00200CFB"/>
    <w:rsid w:val="0020129A"/>
    <w:rsid w:val="002013FE"/>
    <w:rsid w:val="0020149B"/>
    <w:rsid w:val="002014AE"/>
    <w:rsid w:val="00201578"/>
    <w:rsid w:val="0020187E"/>
    <w:rsid w:val="0020194B"/>
    <w:rsid w:val="002019D9"/>
    <w:rsid w:val="00201AE4"/>
    <w:rsid w:val="00201B73"/>
    <w:rsid w:val="00201E2D"/>
    <w:rsid w:val="00201E6F"/>
    <w:rsid w:val="00201E9B"/>
    <w:rsid w:val="0020210C"/>
    <w:rsid w:val="00202766"/>
    <w:rsid w:val="00202882"/>
    <w:rsid w:val="00202ACA"/>
    <w:rsid w:val="00202B37"/>
    <w:rsid w:val="00202C2A"/>
    <w:rsid w:val="00202CF8"/>
    <w:rsid w:val="00202EAB"/>
    <w:rsid w:val="00202FA2"/>
    <w:rsid w:val="002030CC"/>
    <w:rsid w:val="002031DA"/>
    <w:rsid w:val="002034BF"/>
    <w:rsid w:val="002039F2"/>
    <w:rsid w:val="00203AE7"/>
    <w:rsid w:val="00203B4B"/>
    <w:rsid w:val="00203BB2"/>
    <w:rsid w:val="00203D9A"/>
    <w:rsid w:val="002044C3"/>
    <w:rsid w:val="00204761"/>
    <w:rsid w:val="0020476E"/>
    <w:rsid w:val="00204A63"/>
    <w:rsid w:val="00204B5C"/>
    <w:rsid w:val="00204CF3"/>
    <w:rsid w:val="00204CFE"/>
    <w:rsid w:val="00204EEE"/>
    <w:rsid w:val="00205191"/>
    <w:rsid w:val="002051EC"/>
    <w:rsid w:val="0020521D"/>
    <w:rsid w:val="0020543F"/>
    <w:rsid w:val="00205882"/>
    <w:rsid w:val="00205922"/>
    <w:rsid w:val="00205DD3"/>
    <w:rsid w:val="00205EA5"/>
    <w:rsid w:val="00205F7C"/>
    <w:rsid w:val="00205FEA"/>
    <w:rsid w:val="002063E4"/>
    <w:rsid w:val="002065A1"/>
    <w:rsid w:val="002065B5"/>
    <w:rsid w:val="002065C8"/>
    <w:rsid w:val="002067CF"/>
    <w:rsid w:val="00206882"/>
    <w:rsid w:val="00206999"/>
    <w:rsid w:val="00206A48"/>
    <w:rsid w:val="00206AF3"/>
    <w:rsid w:val="00206F22"/>
    <w:rsid w:val="002076CF"/>
    <w:rsid w:val="002077E7"/>
    <w:rsid w:val="00207B8A"/>
    <w:rsid w:val="00207CEC"/>
    <w:rsid w:val="00207DB1"/>
    <w:rsid w:val="00207EA8"/>
    <w:rsid w:val="00207FEA"/>
    <w:rsid w:val="002101A4"/>
    <w:rsid w:val="0021021A"/>
    <w:rsid w:val="00210353"/>
    <w:rsid w:val="0021046A"/>
    <w:rsid w:val="002107BF"/>
    <w:rsid w:val="00210827"/>
    <w:rsid w:val="00210B00"/>
    <w:rsid w:val="00210E2B"/>
    <w:rsid w:val="002110EE"/>
    <w:rsid w:val="002112FA"/>
    <w:rsid w:val="00211359"/>
    <w:rsid w:val="0021143C"/>
    <w:rsid w:val="002114E4"/>
    <w:rsid w:val="00211869"/>
    <w:rsid w:val="00211BF9"/>
    <w:rsid w:val="00211C5D"/>
    <w:rsid w:val="00211F07"/>
    <w:rsid w:val="00212048"/>
    <w:rsid w:val="0021210A"/>
    <w:rsid w:val="0021267F"/>
    <w:rsid w:val="00212856"/>
    <w:rsid w:val="0021287D"/>
    <w:rsid w:val="00212910"/>
    <w:rsid w:val="0021298A"/>
    <w:rsid w:val="00212D2E"/>
    <w:rsid w:val="00212E12"/>
    <w:rsid w:val="00212E1A"/>
    <w:rsid w:val="00212FA9"/>
    <w:rsid w:val="0021309A"/>
    <w:rsid w:val="00213284"/>
    <w:rsid w:val="002132A6"/>
    <w:rsid w:val="00213350"/>
    <w:rsid w:val="00213578"/>
    <w:rsid w:val="0021362B"/>
    <w:rsid w:val="00213851"/>
    <w:rsid w:val="00213BD2"/>
    <w:rsid w:val="00213C42"/>
    <w:rsid w:val="00213CCC"/>
    <w:rsid w:val="00213DE1"/>
    <w:rsid w:val="00213EE1"/>
    <w:rsid w:val="00213F1F"/>
    <w:rsid w:val="00213F73"/>
    <w:rsid w:val="00214122"/>
    <w:rsid w:val="0021452D"/>
    <w:rsid w:val="0021454C"/>
    <w:rsid w:val="0021467E"/>
    <w:rsid w:val="00214864"/>
    <w:rsid w:val="002149C5"/>
    <w:rsid w:val="00214D49"/>
    <w:rsid w:val="00214DDA"/>
    <w:rsid w:val="00214E03"/>
    <w:rsid w:val="0021512D"/>
    <w:rsid w:val="0021519B"/>
    <w:rsid w:val="0021524F"/>
    <w:rsid w:val="00215822"/>
    <w:rsid w:val="0021584D"/>
    <w:rsid w:val="00215AC1"/>
    <w:rsid w:val="00215AE4"/>
    <w:rsid w:val="00215F92"/>
    <w:rsid w:val="00215FC5"/>
    <w:rsid w:val="002161A1"/>
    <w:rsid w:val="002161CD"/>
    <w:rsid w:val="00216339"/>
    <w:rsid w:val="0021640E"/>
    <w:rsid w:val="002164D0"/>
    <w:rsid w:val="002165CF"/>
    <w:rsid w:val="002165D3"/>
    <w:rsid w:val="00216624"/>
    <w:rsid w:val="002167F3"/>
    <w:rsid w:val="00216A14"/>
    <w:rsid w:val="00216E29"/>
    <w:rsid w:val="00217007"/>
    <w:rsid w:val="00217015"/>
    <w:rsid w:val="002170C3"/>
    <w:rsid w:val="002174D4"/>
    <w:rsid w:val="00217607"/>
    <w:rsid w:val="002177E9"/>
    <w:rsid w:val="00217B33"/>
    <w:rsid w:val="00217C32"/>
    <w:rsid w:val="0022029D"/>
    <w:rsid w:val="002204C3"/>
    <w:rsid w:val="002205EB"/>
    <w:rsid w:val="00220830"/>
    <w:rsid w:val="0022097A"/>
    <w:rsid w:val="002209BF"/>
    <w:rsid w:val="00220A94"/>
    <w:rsid w:val="00220ACC"/>
    <w:rsid w:val="00220BB0"/>
    <w:rsid w:val="00220DB4"/>
    <w:rsid w:val="002212D5"/>
    <w:rsid w:val="002213BA"/>
    <w:rsid w:val="002214DD"/>
    <w:rsid w:val="002218FD"/>
    <w:rsid w:val="00221A0C"/>
    <w:rsid w:val="00221C9D"/>
    <w:rsid w:val="00221D12"/>
    <w:rsid w:val="00222209"/>
    <w:rsid w:val="002222A2"/>
    <w:rsid w:val="002222D5"/>
    <w:rsid w:val="002223C0"/>
    <w:rsid w:val="00222691"/>
    <w:rsid w:val="00222777"/>
    <w:rsid w:val="00222856"/>
    <w:rsid w:val="00222A49"/>
    <w:rsid w:val="00222ADE"/>
    <w:rsid w:val="00222E2A"/>
    <w:rsid w:val="0022330C"/>
    <w:rsid w:val="002235D5"/>
    <w:rsid w:val="002238DB"/>
    <w:rsid w:val="002239D9"/>
    <w:rsid w:val="00223AC5"/>
    <w:rsid w:val="00223D94"/>
    <w:rsid w:val="00223FAC"/>
    <w:rsid w:val="00224232"/>
    <w:rsid w:val="002243EC"/>
    <w:rsid w:val="002247BD"/>
    <w:rsid w:val="0022483B"/>
    <w:rsid w:val="00224A32"/>
    <w:rsid w:val="00224C50"/>
    <w:rsid w:val="00224D85"/>
    <w:rsid w:val="002250DB"/>
    <w:rsid w:val="002251B9"/>
    <w:rsid w:val="00225293"/>
    <w:rsid w:val="002252BC"/>
    <w:rsid w:val="002255A2"/>
    <w:rsid w:val="00225847"/>
    <w:rsid w:val="00225898"/>
    <w:rsid w:val="00225AF2"/>
    <w:rsid w:val="00225D29"/>
    <w:rsid w:val="00225DA6"/>
    <w:rsid w:val="00225E40"/>
    <w:rsid w:val="0022621F"/>
    <w:rsid w:val="0022632F"/>
    <w:rsid w:val="0022639F"/>
    <w:rsid w:val="002263B8"/>
    <w:rsid w:val="00226464"/>
    <w:rsid w:val="00226AC6"/>
    <w:rsid w:val="00226B1B"/>
    <w:rsid w:val="00227186"/>
    <w:rsid w:val="002276B3"/>
    <w:rsid w:val="0022780E"/>
    <w:rsid w:val="002278A9"/>
    <w:rsid w:val="0022793B"/>
    <w:rsid w:val="00227A18"/>
    <w:rsid w:val="00227BCF"/>
    <w:rsid w:val="00227E0C"/>
    <w:rsid w:val="00227F01"/>
    <w:rsid w:val="00227F46"/>
    <w:rsid w:val="00227F83"/>
    <w:rsid w:val="00227FA5"/>
    <w:rsid w:val="0023009C"/>
    <w:rsid w:val="00230244"/>
    <w:rsid w:val="00230326"/>
    <w:rsid w:val="00230564"/>
    <w:rsid w:val="002305C6"/>
    <w:rsid w:val="00230628"/>
    <w:rsid w:val="00230686"/>
    <w:rsid w:val="00230A2E"/>
    <w:rsid w:val="00230FE5"/>
    <w:rsid w:val="0023120A"/>
    <w:rsid w:val="00231273"/>
    <w:rsid w:val="002315C5"/>
    <w:rsid w:val="00231663"/>
    <w:rsid w:val="002319CE"/>
    <w:rsid w:val="00231EF4"/>
    <w:rsid w:val="0023208D"/>
    <w:rsid w:val="002323E3"/>
    <w:rsid w:val="002324CA"/>
    <w:rsid w:val="00232A4C"/>
    <w:rsid w:val="00232B17"/>
    <w:rsid w:val="00232C11"/>
    <w:rsid w:val="00232E30"/>
    <w:rsid w:val="00232E6F"/>
    <w:rsid w:val="00233055"/>
    <w:rsid w:val="00233335"/>
    <w:rsid w:val="0023334C"/>
    <w:rsid w:val="00233474"/>
    <w:rsid w:val="00233477"/>
    <w:rsid w:val="00233776"/>
    <w:rsid w:val="002337CB"/>
    <w:rsid w:val="002338DB"/>
    <w:rsid w:val="00233936"/>
    <w:rsid w:val="00233AE4"/>
    <w:rsid w:val="00233D6D"/>
    <w:rsid w:val="00233E8F"/>
    <w:rsid w:val="00234125"/>
    <w:rsid w:val="00234162"/>
    <w:rsid w:val="0023418B"/>
    <w:rsid w:val="002342F5"/>
    <w:rsid w:val="00234816"/>
    <w:rsid w:val="0023495E"/>
    <w:rsid w:val="00234981"/>
    <w:rsid w:val="00234D71"/>
    <w:rsid w:val="00234E1D"/>
    <w:rsid w:val="00234EF1"/>
    <w:rsid w:val="00235118"/>
    <w:rsid w:val="002351E0"/>
    <w:rsid w:val="00235381"/>
    <w:rsid w:val="0023557F"/>
    <w:rsid w:val="00235643"/>
    <w:rsid w:val="00235656"/>
    <w:rsid w:val="00235693"/>
    <w:rsid w:val="00235774"/>
    <w:rsid w:val="00235842"/>
    <w:rsid w:val="00235A4F"/>
    <w:rsid w:val="00235BFE"/>
    <w:rsid w:val="00235F0B"/>
    <w:rsid w:val="002360C1"/>
    <w:rsid w:val="0023611B"/>
    <w:rsid w:val="002363A3"/>
    <w:rsid w:val="002364AE"/>
    <w:rsid w:val="002364D4"/>
    <w:rsid w:val="0023650F"/>
    <w:rsid w:val="00236519"/>
    <w:rsid w:val="0023654C"/>
    <w:rsid w:val="00236A73"/>
    <w:rsid w:val="00236CA3"/>
    <w:rsid w:val="00236CBA"/>
    <w:rsid w:val="00236FBC"/>
    <w:rsid w:val="00237072"/>
    <w:rsid w:val="002370C2"/>
    <w:rsid w:val="002371CE"/>
    <w:rsid w:val="002374A1"/>
    <w:rsid w:val="002374E3"/>
    <w:rsid w:val="0023752F"/>
    <w:rsid w:val="00237691"/>
    <w:rsid w:val="0023794D"/>
    <w:rsid w:val="00237AA2"/>
    <w:rsid w:val="00237F0F"/>
    <w:rsid w:val="002401A0"/>
    <w:rsid w:val="0024029F"/>
    <w:rsid w:val="002402BD"/>
    <w:rsid w:val="002403FF"/>
    <w:rsid w:val="00240661"/>
    <w:rsid w:val="0024079D"/>
    <w:rsid w:val="002407A4"/>
    <w:rsid w:val="002407E1"/>
    <w:rsid w:val="00240A63"/>
    <w:rsid w:val="00240AAC"/>
    <w:rsid w:val="00240ACC"/>
    <w:rsid w:val="00240B5D"/>
    <w:rsid w:val="00240BE0"/>
    <w:rsid w:val="00240D4C"/>
    <w:rsid w:val="00240DF7"/>
    <w:rsid w:val="00240E83"/>
    <w:rsid w:val="00240EA9"/>
    <w:rsid w:val="00240EC9"/>
    <w:rsid w:val="002412C7"/>
    <w:rsid w:val="00241567"/>
    <w:rsid w:val="0024165B"/>
    <w:rsid w:val="00241A9F"/>
    <w:rsid w:val="00241AC4"/>
    <w:rsid w:val="00241E90"/>
    <w:rsid w:val="0024227C"/>
    <w:rsid w:val="00242534"/>
    <w:rsid w:val="00242557"/>
    <w:rsid w:val="00242625"/>
    <w:rsid w:val="00242749"/>
    <w:rsid w:val="00242920"/>
    <w:rsid w:val="002429C5"/>
    <w:rsid w:val="00242AC3"/>
    <w:rsid w:val="00242BD4"/>
    <w:rsid w:val="00242CBA"/>
    <w:rsid w:val="00242D54"/>
    <w:rsid w:val="00242DCD"/>
    <w:rsid w:val="00242F01"/>
    <w:rsid w:val="00242FAB"/>
    <w:rsid w:val="00242FC4"/>
    <w:rsid w:val="00243345"/>
    <w:rsid w:val="002434FE"/>
    <w:rsid w:val="00243543"/>
    <w:rsid w:val="00243879"/>
    <w:rsid w:val="002439A2"/>
    <w:rsid w:val="002439DE"/>
    <w:rsid w:val="00243AA5"/>
    <w:rsid w:val="00243C09"/>
    <w:rsid w:val="00243C63"/>
    <w:rsid w:val="00243C7C"/>
    <w:rsid w:val="00243CCC"/>
    <w:rsid w:val="00243F21"/>
    <w:rsid w:val="00244434"/>
    <w:rsid w:val="00244492"/>
    <w:rsid w:val="00244505"/>
    <w:rsid w:val="00244533"/>
    <w:rsid w:val="00244654"/>
    <w:rsid w:val="002447B1"/>
    <w:rsid w:val="00244865"/>
    <w:rsid w:val="00244A9B"/>
    <w:rsid w:val="00244C33"/>
    <w:rsid w:val="00244F10"/>
    <w:rsid w:val="002451BE"/>
    <w:rsid w:val="00245306"/>
    <w:rsid w:val="002459B2"/>
    <w:rsid w:val="00245AE1"/>
    <w:rsid w:val="00245C44"/>
    <w:rsid w:val="00245C4B"/>
    <w:rsid w:val="00245CA3"/>
    <w:rsid w:val="00245D81"/>
    <w:rsid w:val="00245F1F"/>
    <w:rsid w:val="002460E7"/>
    <w:rsid w:val="00246132"/>
    <w:rsid w:val="0024627B"/>
    <w:rsid w:val="00246324"/>
    <w:rsid w:val="002464C3"/>
    <w:rsid w:val="00246564"/>
    <w:rsid w:val="0024668E"/>
    <w:rsid w:val="00246D4E"/>
    <w:rsid w:val="00246D5C"/>
    <w:rsid w:val="00246E37"/>
    <w:rsid w:val="00246ED3"/>
    <w:rsid w:val="00246F0F"/>
    <w:rsid w:val="00246F8C"/>
    <w:rsid w:val="00246FDE"/>
    <w:rsid w:val="0024759C"/>
    <w:rsid w:val="002476C1"/>
    <w:rsid w:val="00247702"/>
    <w:rsid w:val="002477C0"/>
    <w:rsid w:val="00247C9D"/>
    <w:rsid w:val="00247FAF"/>
    <w:rsid w:val="0025003F"/>
    <w:rsid w:val="0025012E"/>
    <w:rsid w:val="0025025F"/>
    <w:rsid w:val="0025061C"/>
    <w:rsid w:val="00250716"/>
    <w:rsid w:val="00250732"/>
    <w:rsid w:val="00250748"/>
    <w:rsid w:val="0025094E"/>
    <w:rsid w:val="00250AA1"/>
    <w:rsid w:val="00250BA1"/>
    <w:rsid w:val="00250D1E"/>
    <w:rsid w:val="0025166A"/>
    <w:rsid w:val="002516F2"/>
    <w:rsid w:val="002518EC"/>
    <w:rsid w:val="00251907"/>
    <w:rsid w:val="00251A61"/>
    <w:rsid w:val="00251B13"/>
    <w:rsid w:val="00251B22"/>
    <w:rsid w:val="00251D43"/>
    <w:rsid w:val="00251DF8"/>
    <w:rsid w:val="00251E70"/>
    <w:rsid w:val="00251FDA"/>
    <w:rsid w:val="00251FDE"/>
    <w:rsid w:val="002521A2"/>
    <w:rsid w:val="00252284"/>
    <w:rsid w:val="002522EF"/>
    <w:rsid w:val="0025233C"/>
    <w:rsid w:val="002524F7"/>
    <w:rsid w:val="00252581"/>
    <w:rsid w:val="002525C4"/>
    <w:rsid w:val="00252670"/>
    <w:rsid w:val="00252891"/>
    <w:rsid w:val="00252976"/>
    <w:rsid w:val="00252AA4"/>
    <w:rsid w:val="00252D72"/>
    <w:rsid w:val="00253544"/>
    <w:rsid w:val="00253592"/>
    <w:rsid w:val="002537DA"/>
    <w:rsid w:val="002538F5"/>
    <w:rsid w:val="00253936"/>
    <w:rsid w:val="00253B33"/>
    <w:rsid w:val="00253D34"/>
    <w:rsid w:val="00253D67"/>
    <w:rsid w:val="00253DEA"/>
    <w:rsid w:val="002540A4"/>
    <w:rsid w:val="002540EA"/>
    <w:rsid w:val="002543B5"/>
    <w:rsid w:val="002545DC"/>
    <w:rsid w:val="002549B6"/>
    <w:rsid w:val="002549F9"/>
    <w:rsid w:val="00254ABE"/>
    <w:rsid w:val="00254B60"/>
    <w:rsid w:val="00254B79"/>
    <w:rsid w:val="00254D5D"/>
    <w:rsid w:val="002550C8"/>
    <w:rsid w:val="0025528A"/>
    <w:rsid w:val="00255291"/>
    <w:rsid w:val="002554A4"/>
    <w:rsid w:val="0025567D"/>
    <w:rsid w:val="002556B0"/>
    <w:rsid w:val="0025576B"/>
    <w:rsid w:val="002558C7"/>
    <w:rsid w:val="00255B8E"/>
    <w:rsid w:val="00255E27"/>
    <w:rsid w:val="00255E8F"/>
    <w:rsid w:val="00256062"/>
    <w:rsid w:val="002560D7"/>
    <w:rsid w:val="0025612C"/>
    <w:rsid w:val="002563F7"/>
    <w:rsid w:val="002566DF"/>
    <w:rsid w:val="002566F4"/>
    <w:rsid w:val="00256888"/>
    <w:rsid w:val="00256980"/>
    <w:rsid w:val="002569D7"/>
    <w:rsid w:val="00256DBF"/>
    <w:rsid w:val="00256FE3"/>
    <w:rsid w:val="00257029"/>
    <w:rsid w:val="0025707A"/>
    <w:rsid w:val="0025719A"/>
    <w:rsid w:val="002573BD"/>
    <w:rsid w:val="00257608"/>
    <w:rsid w:val="00257AEF"/>
    <w:rsid w:val="00257EB2"/>
    <w:rsid w:val="00257FC6"/>
    <w:rsid w:val="00260198"/>
    <w:rsid w:val="00260616"/>
    <w:rsid w:val="00260691"/>
    <w:rsid w:val="002607A3"/>
    <w:rsid w:val="00260BCB"/>
    <w:rsid w:val="00260C4D"/>
    <w:rsid w:val="00260CE0"/>
    <w:rsid w:val="00260E55"/>
    <w:rsid w:val="00260F90"/>
    <w:rsid w:val="00261109"/>
    <w:rsid w:val="002614AB"/>
    <w:rsid w:val="002614B6"/>
    <w:rsid w:val="002614C5"/>
    <w:rsid w:val="00261C21"/>
    <w:rsid w:val="0026205C"/>
    <w:rsid w:val="0026205D"/>
    <w:rsid w:val="0026216B"/>
    <w:rsid w:val="002621D8"/>
    <w:rsid w:val="002623F4"/>
    <w:rsid w:val="0026251D"/>
    <w:rsid w:val="00262547"/>
    <w:rsid w:val="00262565"/>
    <w:rsid w:val="002628CC"/>
    <w:rsid w:val="00262966"/>
    <w:rsid w:val="00262A53"/>
    <w:rsid w:val="00262B28"/>
    <w:rsid w:val="00262B3A"/>
    <w:rsid w:val="00263080"/>
    <w:rsid w:val="002632E9"/>
    <w:rsid w:val="0026332D"/>
    <w:rsid w:val="0026365A"/>
    <w:rsid w:val="00263A75"/>
    <w:rsid w:val="00263A9F"/>
    <w:rsid w:val="00263BF4"/>
    <w:rsid w:val="00263D88"/>
    <w:rsid w:val="00263E3D"/>
    <w:rsid w:val="00264206"/>
    <w:rsid w:val="0026439E"/>
    <w:rsid w:val="0026440C"/>
    <w:rsid w:val="00264837"/>
    <w:rsid w:val="00264898"/>
    <w:rsid w:val="00264B4D"/>
    <w:rsid w:val="00264D39"/>
    <w:rsid w:val="00264DA6"/>
    <w:rsid w:val="00264F4D"/>
    <w:rsid w:val="0026533D"/>
    <w:rsid w:val="0026552A"/>
    <w:rsid w:val="002655B3"/>
    <w:rsid w:val="0026576B"/>
    <w:rsid w:val="002659BD"/>
    <w:rsid w:val="0026607F"/>
    <w:rsid w:val="00266085"/>
    <w:rsid w:val="0026615F"/>
    <w:rsid w:val="002661B3"/>
    <w:rsid w:val="002661D3"/>
    <w:rsid w:val="002662B3"/>
    <w:rsid w:val="0026630C"/>
    <w:rsid w:val="002664C8"/>
    <w:rsid w:val="0026654D"/>
    <w:rsid w:val="00266896"/>
    <w:rsid w:val="0026689A"/>
    <w:rsid w:val="002668BA"/>
    <w:rsid w:val="00266940"/>
    <w:rsid w:val="0026697E"/>
    <w:rsid w:val="00266C63"/>
    <w:rsid w:val="00266F27"/>
    <w:rsid w:val="00266FE4"/>
    <w:rsid w:val="00267140"/>
    <w:rsid w:val="002674C5"/>
    <w:rsid w:val="00267668"/>
    <w:rsid w:val="002678CB"/>
    <w:rsid w:val="00267E4B"/>
    <w:rsid w:val="002700D6"/>
    <w:rsid w:val="00270403"/>
    <w:rsid w:val="002704FF"/>
    <w:rsid w:val="0027069C"/>
    <w:rsid w:val="002708D7"/>
    <w:rsid w:val="00270B47"/>
    <w:rsid w:val="00270BB3"/>
    <w:rsid w:val="00271098"/>
    <w:rsid w:val="0027111A"/>
    <w:rsid w:val="00271132"/>
    <w:rsid w:val="002711DE"/>
    <w:rsid w:val="00271227"/>
    <w:rsid w:val="002712E3"/>
    <w:rsid w:val="002713F6"/>
    <w:rsid w:val="002716FF"/>
    <w:rsid w:val="0027180C"/>
    <w:rsid w:val="002719C2"/>
    <w:rsid w:val="00271ADF"/>
    <w:rsid w:val="00271F1A"/>
    <w:rsid w:val="00271FB1"/>
    <w:rsid w:val="00271FED"/>
    <w:rsid w:val="002720E1"/>
    <w:rsid w:val="00272172"/>
    <w:rsid w:val="0027220D"/>
    <w:rsid w:val="0027256E"/>
    <w:rsid w:val="00272613"/>
    <w:rsid w:val="00272E0E"/>
    <w:rsid w:val="00272F43"/>
    <w:rsid w:val="00272F9E"/>
    <w:rsid w:val="00272FA3"/>
    <w:rsid w:val="00272FE7"/>
    <w:rsid w:val="00273302"/>
    <w:rsid w:val="00273626"/>
    <w:rsid w:val="00273724"/>
    <w:rsid w:val="0027376B"/>
    <w:rsid w:val="00273883"/>
    <w:rsid w:val="0027393C"/>
    <w:rsid w:val="00273957"/>
    <w:rsid w:val="00273A54"/>
    <w:rsid w:val="00273B08"/>
    <w:rsid w:val="00273B9E"/>
    <w:rsid w:val="00273F40"/>
    <w:rsid w:val="00274069"/>
    <w:rsid w:val="002745C6"/>
    <w:rsid w:val="00274659"/>
    <w:rsid w:val="00274A52"/>
    <w:rsid w:val="00274D93"/>
    <w:rsid w:val="0027543E"/>
    <w:rsid w:val="002754B6"/>
    <w:rsid w:val="00275B6B"/>
    <w:rsid w:val="00275D0E"/>
    <w:rsid w:val="00275EFD"/>
    <w:rsid w:val="002760E0"/>
    <w:rsid w:val="00276289"/>
    <w:rsid w:val="00276566"/>
    <w:rsid w:val="00276669"/>
    <w:rsid w:val="002766F8"/>
    <w:rsid w:val="002767DF"/>
    <w:rsid w:val="0027681E"/>
    <w:rsid w:val="00276B25"/>
    <w:rsid w:val="00276C1A"/>
    <w:rsid w:val="00276D1B"/>
    <w:rsid w:val="00276F84"/>
    <w:rsid w:val="00276FE2"/>
    <w:rsid w:val="00277047"/>
    <w:rsid w:val="00277125"/>
    <w:rsid w:val="002771EB"/>
    <w:rsid w:val="002773A1"/>
    <w:rsid w:val="002773B9"/>
    <w:rsid w:val="002773FF"/>
    <w:rsid w:val="00277470"/>
    <w:rsid w:val="00277644"/>
    <w:rsid w:val="002777D5"/>
    <w:rsid w:val="002778B3"/>
    <w:rsid w:val="002778C2"/>
    <w:rsid w:val="00277975"/>
    <w:rsid w:val="00277AA7"/>
    <w:rsid w:val="00277BA5"/>
    <w:rsid w:val="00277EA3"/>
    <w:rsid w:val="00280050"/>
    <w:rsid w:val="00280124"/>
    <w:rsid w:val="00280251"/>
    <w:rsid w:val="002804E1"/>
    <w:rsid w:val="0028056B"/>
    <w:rsid w:val="00280A4B"/>
    <w:rsid w:val="00280E71"/>
    <w:rsid w:val="00280FBB"/>
    <w:rsid w:val="002811D1"/>
    <w:rsid w:val="00281305"/>
    <w:rsid w:val="002814EC"/>
    <w:rsid w:val="00281564"/>
    <w:rsid w:val="0028163F"/>
    <w:rsid w:val="002816C6"/>
    <w:rsid w:val="00281B1E"/>
    <w:rsid w:val="00281EDD"/>
    <w:rsid w:val="0028202C"/>
    <w:rsid w:val="0028210D"/>
    <w:rsid w:val="0028214E"/>
    <w:rsid w:val="0028240B"/>
    <w:rsid w:val="00282432"/>
    <w:rsid w:val="002825D8"/>
    <w:rsid w:val="002826F7"/>
    <w:rsid w:val="00282789"/>
    <w:rsid w:val="002827B3"/>
    <w:rsid w:val="00282A01"/>
    <w:rsid w:val="00282D25"/>
    <w:rsid w:val="00282D8A"/>
    <w:rsid w:val="00282E8D"/>
    <w:rsid w:val="00282EC6"/>
    <w:rsid w:val="00282F8F"/>
    <w:rsid w:val="00282FEB"/>
    <w:rsid w:val="00283103"/>
    <w:rsid w:val="002831C1"/>
    <w:rsid w:val="002833EA"/>
    <w:rsid w:val="00283477"/>
    <w:rsid w:val="0028398D"/>
    <w:rsid w:val="00283C91"/>
    <w:rsid w:val="00283CF1"/>
    <w:rsid w:val="00283E62"/>
    <w:rsid w:val="00283F65"/>
    <w:rsid w:val="00284059"/>
    <w:rsid w:val="002842DE"/>
    <w:rsid w:val="0028435B"/>
    <w:rsid w:val="00284407"/>
    <w:rsid w:val="002844A5"/>
    <w:rsid w:val="002845BF"/>
    <w:rsid w:val="0028482D"/>
    <w:rsid w:val="00284C71"/>
    <w:rsid w:val="00284D9A"/>
    <w:rsid w:val="00284DB2"/>
    <w:rsid w:val="00284E09"/>
    <w:rsid w:val="002850B9"/>
    <w:rsid w:val="00285298"/>
    <w:rsid w:val="00285471"/>
    <w:rsid w:val="00285637"/>
    <w:rsid w:val="00285777"/>
    <w:rsid w:val="00285958"/>
    <w:rsid w:val="00285FE1"/>
    <w:rsid w:val="0028605B"/>
    <w:rsid w:val="002862F4"/>
    <w:rsid w:val="00286368"/>
    <w:rsid w:val="00286431"/>
    <w:rsid w:val="002868C6"/>
    <w:rsid w:val="002869C9"/>
    <w:rsid w:val="00286A15"/>
    <w:rsid w:val="00286C54"/>
    <w:rsid w:val="00286CEC"/>
    <w:rsid w:val="00286CFE"/>
    <w:rsid w:val="00286FB8"/>
    <w:rsid w:val="00287125"/>
    <w:rsid w:val="0028714C"/>
    <w:rsid w:val="002871BA"/>
    <w:rsid w:val="002871C0"/>
    <w:rsid w:val="00287323"/>
    <w:rsid w:val="002874F2"/>
    <w:rsid w:val="002875FE"/>
    <w:rsid w:val="00287800"/>
    <w:rsid w:val="0028786B"/>
    <w:rsid w:val="002879A4"/>
    <w:rsid w:val="00287CA4"/>
    <w:rsid w:val="00287E9A"/>
    <w:rsid w:val="00287EBA"/>
    <w:rsid w:val="00287ED0"/>
    <w:rsid w:val="002903B5"/>
    <w:rsid w:val="00290468"/>
    <w:rsid w:val="00290594"/>
    <w:rsid w:val="002906B5"/>
    <w:rsid w:val="00290837"/>
    <w:rsid w:val="00290889"/>
    <w:rsid w:val="00290914"/>
    <w:rsid w:val="00290BE6"/>
    <w:rsid w:val="00290D44"/>
    <w:rsid w:val="00290E59"/>
    <w:rsid w:val="00290E9B"/>
    <w:rsid w:val="00290EF5"/>
    <w:rsid w:val="00290FEB"/>
    <w:rsid w:val="002911BD"/>
    <w:rsid w:val="0029149E"/>
    <w:rsid w:val="002914EC"/>
    <w:rsid w:val="00291574"/>
    <w:rsid w:val="002918E2"/>
    <w:rsid w:val="00291B64"/>
    <w:rsid w:val="00291BFE"/>
    <w:rsid w:val="00291FEA"/>
    <w:rsid w:val="0029226D"/>
    <w:rsid w:val="00292791"/>
    <w:rsid w:val="002929A9"/>
    <w:rsid w:val="002929F3"/>
    <w:rsid w:val="00292DBE"/>
    <w:rsid w:val="00292F94"/>
    <w:rsid w:val="00292FC3"/>
    <w:rsid w:val="00293173"/>
    <w:rsid w:val="002931D3"/>
    <w:rsid w:val="002933B0"/>
    <w:rsid w:val="002933F2"/>
    <w:rsid w:val="00293400"/>
    <w:rsid w:val="002934D0"/>
    <w:rsid w:val="002934D9"/>
    <w:rsid w:val="002936A4"/>
    <w:rsid w:val="0029378E"/>
    <w:rsid w:val="00293795"/>
    <w:rsid w:val="00293877"/>
    <w:rsid w:val="002938D9"/>
    <w:rsid w:val="0029393A"/>
    <w:rsid w:val="00293A10"/>
    <w:rsid w:val="00293B77"/>
    <w:rsid w:val="00293BA1"/>
    <w:rsid w:val="00293D88"/>
    <w:rsid w:val="00293DDB"/>
    <w:rsid w:val="00293E24"/>
    <w:rsid w:val="00293EE0"/>
    <w:rsid w:val="0029400C"/>
    <w:rsid w:val="0029411A"/>
    <w:rsid w:val="002941CD"/>
    <w:rsid w:val="00294255"/>
    <w:rsid w:val="00294A98"/>
    <w:rsid w:val="00294BCC"/>
    <w:rsid w:val="00294E10"/>
    <w:rsid w:val="00294F00"/>
    <w:rsid w:val="002952CB"/>
    <w:rsid w:val="00295390"/>
    <w:rsid w:val="00295413"/>
    <w:rsid w:val="002954C7"/>
    <w:rsid w:val="00295803"/>
    <w:rsid w:val="00295B1B"/>
    <w:rsid w:val="00295BE9"/>
    <w:rsid w:val="00295C45"/>
    <w:rsid w:val="00295CE0"/>
    <w:rsid w:val="00295E47"/>
    <w:rsid w:val="00295ED6"/>
    <w:rsid w:val="0029615E"/>
    <w:rsid w:val="0029627A"/>
    <w:rsid w:val="002962B4"/>
    <w:rsid w:val="00296535"/>
    <w:rsid w:val="0029663C"/>
    <w:rsid w:val="002966D8"/>
    <w:rsid w:val="002968DE"/>
    <w:rsid w:val="00296B71"/>
    <w:rsid w:val="00296C88"/>
    <w:rsid w:val="00296CF6"/>
    <w:rsid w:val="00296D31"/>
    <w:rsid w:val="00296DD3"/>
    <w:rsid w:val="00296E09"/>
    <w:rsid w:val="00297012"/>
    <w:rsid w:val="0029754D"/>
    <w:rsid w:val="00297938"/>
    <w:rsid w:val="00297CD8"/>
    <w:rsid w:val="00297D1A"/>
    <w:rsid w:val="00297D27"/>
    <w:rsid w:val="00297E1E"/>
    <w:rsid w:val="00297E93"/>
    <w:rsid w:val="002A0035"/>
    <w:rsid w:val="002A0103"/>
    <w:rsid w:val="002A029D"/>
    <w:rsid w:val="002A02C2"/>
    <w:rsid w:val="002A040E"/>
    <w:rsid w:val="002A063C"/>
    <w:rsid w:val="002A086A"/>
    <w:rsid w:val="002A0880"/>
    <w:rsid w:val="002A0A00"/>
    <w:rsid w:val="002A0A72"/>
    <w:rsid w:val="002A0D6D"/>
    <w:rsid w:val="002A106F"/>
    <w:rsid w:val="002A1896"/>
    <w:rsid w:val="002A18CC"/>
    <w:rsid w:val="002A19EC"/>
    <w:rsid w:val="002A1A8B"/>
    <w:rsid w:val="002A1C2C"/>
    <w:rsid w:val="002A1CEE"/>
    <w:rsid w:val="002A1E6C"/>
    <w:rsid w:val="002A1FF6"/>
    <w:rsid w:val="002A2183"/>
    <w:rsid w:val="002A2294"/>
    <w:rsid w:val="002A2363"/>
    <w:rsid w:val="002A250A"/>
    <w:rsid w:val="002A273A"/>
    <w:rsid w:val="002A2A39"/>
    <w:rsid w:val="002A2A57"/>
    <w:rsid w:val="002A2C88"/>
    <w:rsid w:val="002A2CC3"/>
    <w:rsid w:val="002A2DFB"/>
    <w:rsid w:val="002A2ED9"/>
    <w:rsid w:val="002A2FC5"/>
    <w:rsid w:val="002A31B6"/>
    <w:rsid w:val="002A3375"/>
    <w:rsid w:val="002A3549"/>
    <w:rsid w:val="002A38F0"/>
    <w:rsid w:val="002A3AE2"/>
    <w:rsid w:val="002A3B17"/>
    <w:rsid w:val="002A3D9C"/>
    <w:rsid w:val="002A3FE8"/>
    <w:rsid w:val="002A4080"/>
    <w:rsid w:val="002A420A"/>
    <w:rsid w:val="002A453E"/>
    <w:rsid w:val="002A4806"/>
    <w:rsid w:val="002A4A18"/>
    <w:rsid w:val="002A4A19"/>
    <w:rsid w:val="002A4AFA"/>
    <w:rsid w:val="002A4B27"/>
    <w:rsid w:val="002A4B89"/>
    <w:rsid w:val="002A4E1A"/>
    <w:rsid w:val="002A50A3"/>
    <w:rsid w:val="002A5519"/>
    <w:rsid w:val="002A56E8"/>
    <w:rsid w:val="002A579C"/>
    <w:rsid w:val="002A57CD"/>
    <w:rsid w:val="002A5835"/>
    <w:rsid w:val="002A5BD6"/>
    <w:rsid w:val="002A5C4C"/>
    <w:rsid w:val="002A5C6F"/>
    <w:rsid w:val="002A5D43"/>
    <w:rsid w:val="002A5F70"/>
    <w:rsid w:val="002A5FA0"/>
    <w:rsid w:val="002A62ED"/>
    <w:rsid w:val="002A64A8"/>
    <w:rsid w:val="002A6564"/>
    <w:rsid w:val="002A65A9"/>
    <w:rsid w:val="002A6670"/>
    <w:rsid w:val="002A669B"/>
    <w:rsid w:val="002A675E"/>
    <w:rsid w:val="002A678F"/>
    <w:rsid w:val="002A6829"/>
    <w:rsid w:val="002A6913"/>
    <w:rsid w:val="002A6D97"/>
    <w:rsid w:val="002A6E2B"/>
    <w:rsid w:val="002A6EF6"/>
    <w:rsid w:val="002A6FE2"/>
    <w:rsid w:val="002A7085"/>
    <w:rsid w:val="002A737A"/>
    <w:rsid w:val="002A743E"/>
    <w:rsid w:val="002A7498"/>
    <w:rsid w:val="002A7574"/>
    <w:rsid w:val="002A7643"/>
    <w:rsid w:val="002A78B5"/>
    <w:rsid w:val="002A7937"/>
    <w:rsid w:val="002A7A6A"/>
    <w:rsid w:val="002A7BD0"/>
    <w:rsid w:val="002A7DE3"/>
    <w:rsid w:val="002B018D"/>
    <w:rsid w:val="002B01C9"/>
    <w:rsid w:val="002B0208"/>
    <w:rsid w:val="002B03A3"/>
    <w:rsid w:val="002B0537"/>
    <w:rsid w:val="002B0598"/>
    <w:rsid w:val="002B085A"/>
    <w:rsid w:val="002B09A9"/>
    <w:rsid w:val="002B0D58"/>
    <w:rsid w:val="002B0D60"/>
    <w:rsid w:val="002B0DDE"/>
    <w:rsid w:val="002B0EBD"/>
    <w:rsid w:val="002B0F8A"/>
    <w:rsid w:val="002B0FBB"/>
    <w:rsid w:val="002B1215"/>
    <w:rsid w:val="002B124A"/>
    <w:rsid w:val="002B137A"/>
    <w:rsid w:val="002B1446"/>
    <w:rsid w:val="002B1604"/>
    <w:rsid w:val="002B18FD"/>
    <w:rsid w:val="002B1ABE"/>
    <w:rsid w:val="002B1BFE"/>
    <w:rsid w:val="002B1D21"/>
    <w:rsid w:val="002B201E"/>
    <w:rsid w:val="002B2096"/>
    <w:rsid w:val="002B23E6"/>
    <w:rsid w:val="002B26AD"/>
    <w:rsid w:val="002B27AE"/>
    <w:rsid w:val="002B28CC"/>
    <w:rsid w:val="002B2A1F"/>
    <w:rsid w:val="002B2BE7"/>
    <w:rsid w:val="002B2DE8"/>
    <w:rsid w:val="002B314E"/>
    <w:rsid w:val="002B336C"/>
    <w:rsid w:val="002B33BB"/>
    <w:rsid w:val="002B34DC"/>
    <w:rsid w:val="002B37EF"/>
    <w:rsid w:val="002B3B18"/>
    <w:rsid w:val="002B3BA5"/>
    <w:rsid w:val="002B3E78"/>
    <w:rsid w:val="002B3E86"/>
    <w:rsid w:val="002B4093"/>
    <w:rsid w:val="002B40A2"/>
    <w:rsid w:val="002B413A"/>
    <w:rsid w:val="002B42B0"/>
    <w:rsid w:val="002B438F"/>
    <w:rsid w:val="002B43F5"/>
    <w:rsid w:val="002B45F4"/>
    <w:rsid w:val="002B48A5"/>
    <w:rsid w:val="002B4D52"/>
    <w:rsid w:val="002B4DBF"/>
    <w:rsid w:val="002B4F26"/>
    <w:rsid w:val="002B50EA"/>
    <w:rsid w:val="002B557A"/>
    <w:rsid w:val="002B5620"/>
    <w:rsid w:val="002B5675"/>
    <w:rsid w:val="002B5714"/>
    <w:rsid w:val="002B5728"/>
    <w:rsid w:val="002B587F"/>
    <w:rsid w:val="002B58E8"/>
    <w:rsid w:val="002B5909"/>
    <w:rsid w:val="002B5AA7"/>
    <w:rsid w:val="002B5AB0"/>
    <w:rsid w:val="002B5BFC"/>
    <w:rsid w:val="002B5C9F"/>
    <w:rsid w:val="002B5D9B"/>
    <w:rsid w:val="002B5EE9"/>
    <w:rsid w:val="002B5FA8"/>
    <w:rsid w:val="002B6086"/>
    <w:rsid w:val="002B63B6"/>
    <w:rsid w:val="002B640C"/>
    <w:rsid w:val="002B648E"/>
    <w:rsid w:val="002B65DF"/>
    <w:rsid w:val="002B65EA"/>
    <w:rsid w:val="002B6674"/>
    <w:rsid w:val="002B6685"/>
    <w:rsid w:val="002B66E5"/>
    <w:rsid w:val="002B674D"/>
    <w:rsid w:val="002B683D"/>
    <w:rsid w:val="002B6A0B"/>
    <w:rsid w:val="002B6A78"/>
    <w:rsid w:val="002B6AD9"/>
    <w:rsid w:val="002B6EF1"/>
    <w:rsid w:val="002B6EF3"/>
    <w:rsid w:val="002B6F59"/>
    <w:rsid w:val="002B7318"/>
    <w:rsid w:val="002B73EB"/>
    <w:rsid w:val="002B758B"/>
    <w:rsid w:val="002B777E"/>
    <w:rsid w:val="002B781E"/>
    <w:rsid w:val="002B7858"/>
    <w:rsid w:val="002B792D"/>
    <w:rsid w:val="002B7989"/>
    <w:rsid w:val="002B7A7E"/>
    <w:rsid w:val="002B7B3C"/>
    <w:rsid w:val="002B7CEF"/>
    <w:rsid w:val="002B7D72"/>
    <w:rsid w:val="002B7EBC"/>
    <w:rsid w:val="002C01D1"/>
    <w:rsid w:val="002C02DB"/>
    <w:rsid w:val="002C066E"/>
    <w:rsid w:val="002C0714"/>
    <w:rsid w:val="002C0892"/>
    <w:rsid w:val="002C0936"/>
    <w:rsid w:val="002C094B"/>
    <w:rsid w:val="002C0BCE"/>
    <w:rsid w:val="002C0F21"/>
    <w:rsid w:val="002C107B"/>
    <w:rsid w:val="002C114C"/>
    <w:rsid w:val="002C12D9"/>
    <w:rsid w:val="002C1498"/>
    <w:rsid w:val="002C15C7"/>
    <w:rsid w:val="002C15D1"/>
    <w:rsid w:val="002C16E2"/>
    <w:rsid w:val="002C174D"/>
    <w:rsid w:val="002C18B0"/>
    <w:rsid w:val="002C1ACE"/>
    <w:rsid w:val="002C1E4E"/>
    <w:rsid w:val="002C1EEB"/>
    <w:rsid w:val="002C1F75"/>
    <w:rsid w:val="002C21A7"/>
    <w:rsid w:val="002C21C5"/>
    <w:rsid w:val="002C24C8"/>
    <w:rsid w:val="002C27E0"/>
    <w:rsid w:val="002C2887"/>
    <w:rsid w:val="002C28D3"/>
    <w:rsid w:val="002C29D5"/>
    <w:rsid w:val="002C2A69"/>
    <w:rsid w:val="002C2BAF"/>
    <w:rsid w:val="002C2C9E"/>
    <w:rsid w:val="002C2E20"/>
    <w:rsid w:val="002C2EA2"/>
    <w:rsid w:val="002C325C"/>
    <w:rsid w:val="002C3312"/>
    <w:rsid w:val="002C37B6"/>
    <w:rsid w:val="002C3927"/>
    <w:rsid w:val="002C39AD"/>
    <w:rsid w:val="002C39EE"/>
    <w:rsid w:val="002C3A6E"/>
    <w:rsid w:val="002C3DE8"/>
    <w:rsid w:val="002C3FE7"/>
    <w:rsid w:val="002C4085"/>
    <w:rsid w:val="002C4304"/>
    <w:rsid w:val="002C44EC"/>
    <w:rsid w:val="002C45B6"/>
    <w:rsid w:val="002C473B"/>
    <w:rsid w:val="002C489B"/>
    <w:rsid w:val="002C4C3E"/>
    <w:rsid w:val="002C4C9C"/>
    <w:rsid w:val="002C4CD9"/>
    <w:rsid w:val="002C4D28"/>
    <w:rsid w:val="002C4E74"/>
    <w:rsid w:val="002C5242"/>
    <w:rsid w:val="002C52FA"/>
    <w:rsid w:val="002C53A0"/>
    <w:rsid w:val="002C5421"/>
    <w:rsid w:val="002C55FA"/>
    <w:rsid w:val="002C5680"/>
    <w:rsid w:val="002C592D"/>
    <w:rsid w:val="002C5A98"/>
    <w:rsid w:val="002C5B73"/>
    <w:rsid w:val="002C5C15"/>
    <w:rsid w:val="002C5C4B"/>
    <w:rsid w:val="002C5D5D"/>
    <w:rsid w:val="002C5EF0"/>
    <w:rsid w:val="002C63E4"/>
    <w:rsid w:val="002C6469"/>
    <w:rsid w:val="002C64A0"/>
    <w:rsid w:val="002C64C9"/>
    <w:rsid w:val="002C656D"/>
    <w:rsid w:val="002C6596"/>
    <w:rsid w:val="002C67F4"/>
    <w:rsid w:val="002C68B9"/>
    <w:rsid w:val="002C6928"/>
    <w:rsid w:val="002C6AB2"/>
    <w:rsid w:val="002C6B51"/>
    <w:rsid w:val="002C6BDC"/>
    <w:rsid w:val="002C6C1C"/>
    <w:rsid w:val="002C6C35"/>
    <w:rsid w:val="002C6CA9"/>
    <w:rsid w:val="002C6E27"/>
    <w:rsid w:val="002C721F"/>
    <w:rsid w:val="002C73BF"/>
    <w:rsid w:val="002C7416"/>
    <w:rsid w:val="002C764B"/>
    <w:rsid w:val="002C791C"/>
    <w:rsid w:val="002C7AB1"/>
    <w:rsid w:val="002C7E5B"/>
    <w:rsid w:val="002C7F00"/>
    <w:rsid w:val="002C7F77"/>
    <w:rsid w:val="002D01F5"/>
    <w:rsid w:val="002D0428"/>
    <w:rsid w:val="002D0470"/>
    <w:rsid w:val="002D048B"/>
    <w:rsid w:val="002D056C"/>
    <w:rsid w:val="002D064F"/>
    <w:rsid w:val="002D0696"/>
    <w:rsid w:val="002D074D"/>
    <w:rsid w:val="002D0762"/>
    <w:rsid w:val="002D0799"/>
    <w:rsid w:val="002D09F1"/>
    <w:rsid w:val="002D0CA8"/>
    <w:rsid w:val="002D0EBD"/>
    <w:rsid w:val="002D0F7F"/>
    <w:rsid w:val="002D1621"/>
    <w:rsid w:val="002D17D6"/>
    <w:rsid w:val="002D17E4"/>
    <w:rsid w:val="002D18DE"/>
    <w:rsid w:val="002D198F"/>
    <w:rsid w:val="002D19DE"/>
    <w:rsid w:val="002D1BBA"/>
    <w:rsid w:val="002D1CD4"/>
    <w:rsid w:val="002D1F37"/>
    <w:rsid w:val="002D207E"/>
    <w:rsid w:val="002D2114"/>
    <w:rsid w:val="002D215F"/>
    <w:rsid w:val="002D231E"/>
    <w:rsid w:val="002D257E"/>
    <w:rsid w:val="002D2673"/>
    <w:rsid w:val="002D2692"/>
    <w:rsid w:val="002D2743"/>
    <w:rsid w:val="002D2B25"/>
    <w:rsid w:val="002D2BA6"/>
    <w:rsid w:val="002D2CCB"/>
    <w:rsid w:val="002D2E95"/>
    <w:rsid w:val="002D3141"/>
    <w:rsid w:val="002D317F"/>
    <w:rsid w:val="002D32B1"/>
    <w:rsid w:val="002D32EA"/>
    <w:rsid w:val="002D3447"/>
    <w:rsid w:val="002D34B7"/>
    <w:rsid w:val="002D3547"/>
    <w:rsid w:val="002D355F"/>
    <w:rsid w:val="002D36A3"/>
    <w:rsid w:val="002D3700"/>
    <w:rsid w:val="002D39E0"/>
    <w:rsid w:val="002D39E9"/>
    <w:rsid w:val="002D3A8E"/>
    <w:rsid w:val="002D3AB2"/>
    <w:rsid w:val="002D3CC5"/>
    <w:rsid w:val="002D41F7"/>
    <w:rsid w:val="002D42BF"/>
    <w:rsid w:val="002D42E6"/>
    <w:rsid w:val="002D4362"/>
    <w:rsid w:val="002D4771"/>
    <w:rsid w:val="002D4860"/>
    <w:rsid w:val="002D4872"/>
    <w:rsid w:val="002D4B0F"/>
    <w:rsid w:val="002D4B6B"/>
    <w:rsid w:val="002D4D17"/>
    <w:rsid w:val="002D4E3C"/>
    <w:rsid w:val="002D5154"/>
    <w:rsid w:val="002D51CD"/>
    <w:rsid w:val="002D59FE"/>
    <w:rsid w:val="002D5B20"/>
    <w:rsid w:val="002D5B50"/>
    <w:rsid w:val="002D5B77"/>
    <w:rsid w:val="002D62E9"/>
    <w:rsid w:val="002D639C"/>
    <w:rsid w:val="002D6409"/>
    <w:rsid w:val="002D66B7"/>
    <w:rsid w:val="002D66BC"/>
    <w:rsid w:val="002D6712"/>
    <w:rsid w:val="002D6B47"/>
    <w:rsid w:val="002D6B8C"/>
    <w:rsid w:val="002D6C5E"/>
    <w:rsid w:val="002D6DAB"/>
    <w:rsid w:val="002D6E8A"/>
    <w:rsid w:val="002D6F8D"/>
    <w:rsid w:val="002D712E"/>
    <w:rsid w:val="002D725A"/>
    <w:rsid w:val="002D7403"/>
    <w:rsid w:val="002D7653"/>
    <w:rsid w:val="002D7801"/>
    <w:rsid w:val="002D782A"/>
    <w:rsid w:val="002D7959"/>
    <w:rsid w:val="002D7EF9"/>
    <w:rsid w:val="002D7FE9"/>
    <w:rsid w:val="002E00E4"/>
    <w:rsid w:val="002E0179"/>
    <w:rsid w:val="002E020B"/>
    <w:rsid w:val="002E02FB"/>
    <w:rsid w:val="002E0592"/>
    <w:rsid w:val="002E05AB"/>
    <w:rsid w:val="002E069F"/>
    <w:rsid w:val="002E0736"/>
    <w:rsid w:val="002E08CD"/>
    <w:rsid w:val="002E0C86"/>
    <w:rsid w:val="002E10C7"/>
    <w:rsid w:val="002E123C"/>
    <w:rsid w:val="002E1322"/>
    <w:rsid w:val="002E1387"/>
    <w:rsid w:val="002E1457"/>
    <w:rsid w:val="002E1769"/>
    <w:rsid w:val="002E17B6"/>
    <w:rsid w:val="002E1804"/>
    <w:rsid w:val="002E1819"/>
    <w:rsid w:val="002E1824"/>
    <w:rsid w:val="002E1A3B"/>
    <w:rsid w:val="002E1A76"/>
    <w:rsid w:val="002E1BC4"/>
    <w:rsid w:val="002E1BFE"/>
    <w:rsid w:val="002E1E12"/>
    <w:rsid w:val="002E1EA0"/>
    <w:rsid w:val="002E216D"/>
    <w:rsid w:val="002E2287"/>
    <w:rsid w:val="002E310E"/>
    <w:rsid w:val="002E3143"/>
    <w:rsid w:val="002E3211"/>
    <w:rsid w:val="002E35BF"/>
    <w:rsid w:val="002E35F1"/>
    <w:rsid w:val="002E386A"/>
    <w:rsid w:val="002E38E8"/>
    <w:rsid w:val="002E3913"/>
    <w:rsid w:val="002E3C3A"/>
    <w:rsid w:val="002E3EB8"/>
    <w:rsid w:val="002E432C"/>
    <w:rsid w:val="002E433A"/>
    <w:rsid w:val="002E454C"/>
    <w:rsid w:val="002E4CF6"/>
    <w:rsid w:val="002E4E72"/>
    <w:rsid w:val="002E4E96"/>
    <w:rsid w:val="002E50B5"/>
    <w:rsid w:val="002E5176"/>
    <w:rsid w:val="002E53D9"/>
    <w:rsid w:val="002E557A"/>
    <w:rsid w:val="002E5965"/>
    <w:rsid w:val="002E59FE"/>
    <w:rsid w:val="002E5C59"/>
    <w:rsid w:val="002E5D30"/>
    <w:rsid w:val="002E5E1B"/>
    <w:rsid w:val="002E61AF"/>
    <w:rsid w:val="002E6666"/>
    <w:rsid w:val="002E6A33"/>
    <w:rsid w:val="002E6C23"/>
    <w:rsid w:val="002E6FCB"/>
    <w:rsid w:val="002E7006"/>
    <w:rsid w:val="002E70F7"/>
    <w:rsid w:val="002E721F"/>
    <w:rsid w:val="002E7817"/>
    <w:rsid w:val="002E7848"/>
    <w:rsid w:val="002E7907"/>
    <w:rsid w:val="002E7948"/>
    <w:rsid w:val="002E7A29"/>
    <w:rsid w:val="002E7B28"/>
    <w:rsid w:val="002E7C3F"/>
    <w:rsid w:val="002E7CCF"/>
    <w:rsid w:val="002E7E9A"/>
    <w:rsid w:val="002E7EDA"/>
    <w:rsid w:val="002F0047"/>
    <w:rsid w:val="002F05DE"/>
    <w:rsid w:val="002F0A48"/>
    <w:rsid w:val="002F0BBB"/>
    <w:rsid w:val="002F0D1C"/>
    <w:rsid w:val="002F0EFD"/>
    <w:rsid w:val="002F0F04"/>
    <w:rsid w:val="002F1002"/>
    <w:rsid w:val="002F11DC"/>
    <w:rsid w:val="002F11E2"/>
    <w:rsid w:val="002F1300"/>
    <w:rsid w:val="002F14AF"/>
    <w:rsid w:val="002F1521"/>
    <w:rsid w:val="002F15F6"/>
    <w:rsid w:val="002F1867"/>
    <w:rsid w:val="002F18E3"/>
    <w:rsid w:val="002F1A01"/>
    <w:rsid w:val="002F1EC5"/>
    <w:rsid w:val="002F1ECA"/>
    <w:rsid w:val="002F1F53"/>
    <w:rsid w:val="002F21F9"/>
    <w:rsid w:val="002F22CB"/>
    <w:rsid w:val="002F236B"/>
    <w:rsid w:val="002F2531"/>
    <w:rsid w:val="002F260F"/>
    <w:rsid w:val="002F26BD"/>
    <w:rsid w:val="002F26C3"/>
    <w:rsid w:val="002F2907"/>
    <w:rsid w:val="002F2D82"/>
    <w:rsid w:val="002F2DED"/>
    <w:rsid w:val="002F2F52"/>
    <w:rsid w:val="002F3196"/>
    <w:rsid w:val="002F31D6"/>
    <w:rsid w:val="002F3202"/>
    <w:rsid w:val="002F3334"/>
    <w:rsid w:val="002F3452"/>
    <w:rsid w:val="002F354C"/>
    <w:rsid w:val="002F35FC"/>
    <w:rsid w:val="002F377B"/>
    <w:rsid w:val="002F37B9"/>
    <w:rsid w:val="002F383C"/>
    <w:rsid w:val="002F39A5"/>
    <w:rsid w:val="002F39D0"/>
    <w:rsid w:val="002F3A03"/>
    <w:rsid w:val="002F3B27"/>
    <w:rsid w:val="002F3C21"/>
    <w:rsid w:val="002F3D8A"/>
    <w:rsid w:val="002F3D8E"/>
    <w:rsid w:val="002F3E42"/>
    <w:rsid w:val="002F41A7"/>
    <w:rsid w:val="002F42DB"/>
    <w:rsid w:val="002F4335"/>
    <w:rsid w:val="002F44CD"/>
    <w:rsid w:val="002F4819"/>
    <w:rsid w:val="002F4A6C"/>
    <w:rsid w:val="002F4A79"/>
    <w:rsid w:val="002F4AD4"/>
    <w:rsid w:val="002F4DAC"/>
    <w:rsid w:val="002F4FB5"/>
    <w:rsid w:val="002F4FE0"/>
    <w:rsid w:val="002F5425"/>
    <w:rsid w:val="002F554E"/>
    <w:rsid w:val="002F575B"/>
    <w:rsid w:val="002F58CF"/>
    <w:rsid w:val="002F59B7"/>
    <w:rsid w:val="002F5B98"/>
    <w:rsid w:val="002F5D3B"/>
    <w:rsid w:val="002F6227"/>
    <w:rsid w:val="002F62AB"/>
    <w:rsid w:val="002F6343"/>
    <w:rsid w:val="002F6432"/>
    <w:rsid w:val="002F6788"/>
    <w:rsid w:val="002F67EA"/>
    <w:rsid w:val="002F6985"/>
    <w:rsid w:val="002F6B58"/>
    <w:rsid w:val="002F6F18"/>
    <w:rsid w:val="002F73D0"/>
    <w:rsid w:val="002F751E"/>
    <w:rsid w:val="002F7563"/>
    <w:rsid w:val="002F75A3"/>
    <w:rsid w:val="002F78E3"/>
    <w:rsid w:val="002F7E14"/>
    <w:rsid w:val="002F7EE5"/>
    <w:rsid w:val="00300105"/>
    <w:rsid w:val="00300190"/>
    <w:rsid w:val="003002AA"/>
    <w:rsid w:val="0030067F"/>
    <w:rsid w:val="0030072B"/>
    <w:rsid w:val="00300BCB"/>
    <w:rsid w:val="00300BE6"/>
    <w:rsid w:val="00300CAF"/>
    <w:rsid w:val="00300D11"/>
    <w:rsid w:val="00300F0A"/>
    <w:rsid w:val="00301414"/>
    <w:rsid w:val="00301655"/>
    <w:rsid w:val="00301985"/>
    <w:rsid w:val="00301C2B"/>
    <w:rsid w:val="00301CA8"/>
    <w:rsid w:val="00301CB1"/>
    <w:rsid w:val="00301DAD"/>
    <w:rsid w:val="00301DD6"/>
    <w:rsid w:val="00301EAF"/>
    <w:rsid w:val="00301EE0"/>
    <w:rsid w:val="00301F2A"/>
    <w:rsid w:val="00301F91"/>
    <w:rsid w:val="0030203D"/>
    <w:rsid w:val="0030206D"/>
    <w:rsid w:val="0030208E"/>
    <w:rsid w:val="003020F2"/>
    <w:rsid w:val="0030226C"/>
    <w:rsid w:val="00302409"/>
    <w:rsid w:val="00302449"/>
    <w:rsid w:val="0030247F"/>
    <w:rsid w:val="00302748"/>
    <w:rsid w:val="0030284B"/>
    <w:rsid w:val="00302AF1"/>
    <w:rsid w:val="00302BFC"/>
    <w:rsid w:val="00302C72"/>
    <w:rsid w:val="00302D8F"/>
    <w:rsid w:val="00302E6E"/>
    <w:rsid w:val="00303586"/>
    <w:rsid w:val="0030374A"/>
    <w:rsid w:val="003037A4"/>
    <w:rsid w:val="00303839"/>
    <w:rsid w:val="003038A0"/>
    <w:rsid w:val="00303AED"/>
    <w:rsid w:val="00303C33"/>
    <w:rsid w:val="00303CB6"/>
    <w:rsid w:val="00303D68"/>
    <w:rsid w:val="00303ECA"/>
    <w:rsid w:val="00303F72"/>
    <w:rsid w:val="00304032"/>
    <w:rsid w:val="0030435C"/>
    <w:rsid w:val="00304429"/>
    <w:rsid w:val="00304520"/>
    <w:rsid w:val="0030462F"/>
    <w:rsid w:val="00304667"/>
    <w:rsid w:val="003049FA"/>
    <w:rsid w:val="00304A0F"/>
    <w:rsid w:val="00304A9B"/>
    <w:rsid w:val="00304D56"/>
    <w:rsid w:val="00304EAE"/>
    <w:rsid w:val="00304F3A"/>
    <w:rsid w:val="0030500A"/>
    <w:rsid w:val="003050CB"/>
    <w:rsid w:val="003051D7"/>
    <w:rsid w:val="003051E5"/>
    <w:rsid w:val="0030534E"/>
    <w:rsid w:val="003053CA"/>
    <w:rsid w:val="00305EA8"/>
    <w:rsid w:val="0030611A"/>
    <w:rsid w:val="0030623A"/>
    <w:rsid w:val="003062B7"/>
    <w:rsid w:val="003066D1"/>
    <w:rsid w:val="003067EE"/>
    <w:rsid w:val="00306B59"/>
    <w:rsid w:val="00306E37"/>
    <w:rsid w:val="00307047"/>
    <w:rsid w:val="00307090"/>
    <w:rsid w:val="0030756F"/>
    <w:rsid w:val="0030762A"/>
    <w:rsid w:val="0030769E"/>
    <w:rsid w:val="00307773"/>
    <w:rsid w:val="0030793E"/>
    <w:rsid w:val="003079BF"/>
    <w:rsid w:val="00307A40"/>
    <w:rsid w:val="00307B93"/>
    <w:rsid w:val="00307B99"/>
    <w:rsid w:val="00307BB4"/>
    <w:rsid w:val="00307D90"/>
    <w:rsid w:val="00307F83"/>
    <w:rsid w:val="0031019D"/>
    <w:rsid w:val="0031020A"/>
    <w:rsid w:val="0031023F"/>
    <w:rsid w:val="00310271"/>
    <w:rsid w:val="00310393"/>
    <w:rsid w:val="003107F8"/>
    <w:rsid w:val="0031087D"/>
    <w:rsid w:val="00310B7A"/>
    <w:rsid w:val="00310FC6"/>
    <w:rsid w:val="00310FF7"/>
    <w:rsid w:val="003110FC"/>
    <w:rsid w:val="003112AA"/>
    <w:rsid w:val="00311372"/>
    <w:rsid w:val="00311449"/>
    <w:rsid w:val="0031172F"/>
    <w:rsid w:val="0031183F"/>
    <w:rsid w:val="00311A09"/>
    <w:rsid w:val="00311B26"/>
    <w:rsid w:val="00311CAA"/>
    <w:rsid w:val="00311EAA"/>
    <w:rsid w:val="00311F43"/>
    <w:rsid w:val="00312032"/>
    <w:rsid w:val="00312095"/>
    <w:rsid w:val="003123B6"/>
    <w:rsid w:val="0031269D"/>
    <w:rsid w:val="00312715"/>
    <w:rsid w:val="00312AD0"/>
    <w:rsid w:val="00312E92"/>
    <w:rsid w:val="003132FA"/>
    <w:rsid w:val="00313358"/>
    <w:rsid w:val="00313842"/>
    <w:rsid w:val="00313903"/>
    <w:rsid w:val="00313E95"/>
    <w:rsid w:val="00313EFD"/>
    <w:rsid w:val="003143D2"/>
    <w:rsid w:val="00314433"/>
    <w:rsid w:val="00314676"/>
    <w:rsid w:val="0031469A"/>
    <w:rsid w:val="003146AB"/>
    <w:rsid w:val="003147A0"/>
    <w:rsid w:val="0031484D"/>
    <w:rsid w:val="003149B8"/>
    <w:rsid w:val="00314B66"/>
    <w:rsid w:val="00314CB8"/>
    <w:rsid w:val="00314CDC"/>
    <w:rsid w:val="00314CFB"/>
    <w:rsid w:val="0031503F"/>
    <w:rsid w:val="00315128"/>
    <w:rsid w:val="00315179"/>
    <w:rsid w:val="00315274"/>
    <w:rsid w:val="00315533"/>
    <w:rsid w:val="0031554F"/>
    <w:rsid w:val="00315636"/>
    <w:rsid w:val="0031594B"/>
    <w:rsid w:val="00315AF9"/>
    <w:rsid w:val="00315C64"/>
    <w:rsid w:val="00315CF2"/>
    <w:rsid w:val="00315D2E"/>
    <w:rsid w:val="0031614F"/>
    <w:rsid w:val="003162DB"/>
    <w:rsid w:val="003165D0"/>
    <w:rsid w:val="003165F8"/>
    <w:rsid w:val="0031687F"/>
    <w:rsid w:val="00316DCF"/>
    <w:rsid w:val="00316EAD"/>
    <w:rsid w:val="00316ED5"/>
    <w:rsid w:val="00316EF1"/>
    <w:rsid w:val="00316FEF"/>
    <w:rsid w:val="003174E5"/>
    <w:rsid w:val="00317716"/>
    <w:rsid w:val="00317BB5"/>
    <w:rsid w:val="00317EF3"/>
    <w:rsid w:val="00320073"/>
    <w:rsid w:val="00320632"/>
    <w:rsid w:val="003207F2"/>
    <w:rsid w:val="00320803"/>
    <w:rsid w:val="00320854"/>
    <w:rsid w:val="00320B63"/>
    <w:rsid w:val="00320C00"/>
    <w:rsid w:val="00320F3C"/>
    <w:rsid w:val="0032101D"/>
    <w:rsid w:val="003210D9"/>
    <w:rsid w:val="00321423"/>
    <w:rsid w:val="00321582"/>
    <w:rsid w:val="003216E8"/>
    <w:rsid w:val="0032187E"/>
    <w:rsid w:val="00321928"/>
    <w:rsid w:val="003219E1"/>
    <w:rsid w:val="00321A25"/>
    <w:rsid w:val="00321C06"/>
    <w:rsid w:val="00321C35"/>
    <w:rsid w:val="00321F30"/>
    <w:rsid w:val="0032226C"/>
    <w:rsid w:val="00322635"/>
    <w:rsid w:val="003226AE"/>
    <w:rsid w:val="00322B3E"/>
    <w:rsid w:val="00322BD9"/>
    <w:rsid w:val="00322DE3"/>
    <w:rsid w:val="00322E5E"/>
    <w:rsid w:val="00323186"/>
    <w:rsid w:val="003233D4"/>
    <w:rsid w:val="00323F14"/>
    <w:rsid w:val="00323FD7"/>
    <w:rsid w:val="00324067"/>
    <w:rsid w:val="0032431C"/>
    <w:rsid w:val="00324487"/>
    <w:rsid w:val="0032481B"/>
    <w:rsid w:val="00324908"/>
    <w:rsid w:val="003249E5"/>
    <w:rsid w:val="00324CAE"/>
    <w:rsid w:val="00324CC1"/>
    <w:rsid w:val="00324DC2"/>
    <w:rsid w:val="00324ECA"/>
    <w:rsid w:val="00324F04"/>
    <w:rsid w:val="003256AF"/>
    <w:rsid w:val="00325832"/>
    <w:rsid w:val="00325CD6"/>
    <w:rsid w:val="00325DC2"/>
    <w:rsid w:val="00325E20"/>
    <w:rsid w:val="00325FA0"/>
    <w:rsid w:val="003261E3"/>
    <w:rsid w:val="0032628D"/>
    <w:rsid w:val="00326417"/>
    <w:rsid w:val="00326B6E"/>
    <w:rsid w:val="00326C4D"/>
    <w:rsid w:val="00326CC1"/>
    <w:rsid w:val="00326D72"/>
    <w:rsid w:val="00326F2A"/>
    <w:rsid w:val="00326F6B"/>
    <w:rsid w:val="0032725A"/>
    <w:rsid w:val="003273DB"/>
    <w:rsid w:val="00327420"/>
    <w:rsid w:val="003274B4"/>
    <w:rsid w:val="003275EC"/>
    <w:rsid w:val="00327642"/>
    <w:rsid w:val="00327778"/>
    <w:rsid w:val="0032795E"/>
    <w:rsid w:val="00327AE6"/>
    <w:rsid w:val="00327BAA"/>
    <w:rsid w:val="00327C30"/>
    <w:rsid w:val="00327D2D"/>
    <w:rsid w:val="0033007A"/>
    <w:rsid w:val="0033013B"/>
    <w:rsid w:val="00330412"/>
    <w:rsid w:val="00330427"/>
    <w:rsid w:val="003305A1"/>
    <w:rsid w:val="003306A1"/>
    <w:rsid w:val="00330AE0"/>
    <w:rsid w:val="00330E6C"/>
    <w:rsid w:val="00330EF6"/>
    <w:rsid w:val="00330FCC"/>
    <w:rsid w:val="0033102D"/>
    <w:rsid w:val="003310AC"/>
    <w:rsid w:val="0033172C"/>
    <w:rsid w:val="00331904"/>
    <w:rsid w:val="00331A08"/>
    <w:rsid w:val="00331AD0"/>
    <w:rsid w:val="00332007"/>
    <w:rsid w:val="0033226E"/>
    <w:rsid w:val="003323F6"/>
    <w:rsid w:val="00332508"/>
    <w:rsid w:val="0033255B"/>
    <w:rsid w:val="00332597"/>
    <w:rsid w:val="003325F4"/>
    <w:rsid w:val="0033305A"/>
    <w:rsid w:val="00333075"/>
    <w:rsid w:val="0033334C"/>
    <w:rsid w:val="00333644"/>
    <w:rsid w:val="00333774"/>
    <w:rsid w:val="00333A7B"/>
    <w:rsid w:val="00333B72"/>
    <w:rsid w:val="00333B9A"/>
    <w:rsid w:val="00333BB7"/>
    <w:rsid w:val="003340F4"/>
    <w:rsid w:val="00334231"/>
    <w:rsid w:val="003342DE"/>
    <w:rsid w:val="00334445"/>
    <w:rsid w:val="003344EF"/>
    <w:rsid w:val="0033452B"/>
    <w:rsid w:val="003347D3"/>
    <w:rsid w:val="00334D01"/>
    <w:rsid w:val="00334D21"/>
    <w:rsid w:val="00334DB9"/>
    <w:rsid w:val="00334E1C"/>
    <w:rsid w:val="0033511E"/>
    <w:rsid w:val="00335149"/>
    <w:rsid w:val="003351C4"/>
    <w:rsid w:val="003351F4"/>
    <w:rsid w:val="0033520A"/>
    <w:rsid w:val="0033553D"/>
    <w:rsid w:val="0033576A"/>
    <w:rsid w:val="003358CE"/>
    <w:rsid w:val="00335A31"/>
    <w:rsid w:val="00335AFD"/>
    <w:rsid w:val="00335BBE"/>
    <w:rsid w:val="00335EA2"/>
    <w:rsid w:val="00335EF0"/>
    <w:rsid w:val="00336168"/>
    <w:rsid w:val="003365E4"/>
    <w:rsid w:val="003367FA"/>
    <w:rsid w:val="003369E0"/>
    <w:rsid w:val="00336AB4"/>
    <w:rsid w:val="00336DBE"/>
    <w:rsid w:val="00336FED"/>
    <w:rsid w:val="0033708D"/>
    <w:rsid w:val="00337445"/>
    <w:rsid w:val="00337563"/>
    <w:rsid w:val="003377F6"/>
    <w:rsid w:val="0033783C"/>
    <w:rsid w:val="00337927"/>
    <w:rsid w:val="00337C79"/>
    <w:rsid w:val="003403F6"/>
    <w:rsid w:val="00340551"/>
    <w:rsid w:val="0034070D"/>
    <w:rsid w:val="00340A16"/>
    <w:rsid w:val="00340B2A"/>
    <w:rsid w:val="00340F00"/>
    <w:rsid w:val="00340F7A"/>
    <w:rsid w:val="003410BD"/>
    <w:rsid w:val="00341167"/>
    <w:rsid w:val="00341328"/>
    <w:rsid w:val="00341624"/>
    <w:rsid w:val="00341983"/>
    <w:rsid w:val="00341CCD"/>
    <w:rsid w:val="00341CFD"/>
    <w:rsid w:val="00341DDE"/>
    <w:rsid w:val="00341F62"/>
    <w:rsid w:val="00341FFE"/>
    <w:rsid w:val="00342061"/>
    <w:rsid w:val="003420E4"/>
    <w:rsid w:val="00342169"/>
    <w:rsid w:val="00342260"/>
    <w:rsid w:val="003425A1"/>
    <w:rsid w:val="00342791"/>
    <w:rsid w:val="00342795"/>
    <w:rsid w:val="0034293C"/>
    <w:rsid w:val="003429AE"/>
    <w:rsid w:val="00342A27"/>
    <w:rsid w:val="00342F47"/>
    <w:rsid w:val="00342F81"/>
    <w:rsid w:val="00342FB6"/>
    <w:rsid w:val="00343070"/>
    <w:rsid w:val="003430B8"/>
    <w:rsid w:val="00343132"/>
    <w:rsid w:val="0034358A"/>
    <w:rsid w:val="003435C5"/>
    <w:rsid w:val="00343620"/>
    <w:rsid w:val="00343742"/>
    <w:rsid w:val="00343896"/>
    <w:rsid w:val="003438B9"/>
    <w:rsid w:val="00343922"/>
    <w:rsid w:val="003439EB"/>
    <w:rsid w:val="00343A79"/>
    <w:rsid w:val="00343ADB"/>
    <w:rsid w:val="00343B29"/>
    <w:rsid w:val="00343D10"/>
    <w:rsid w:val="00343DCB"/>
    <w:rsid w:val="00343DDE"/>
    <w:rsid w:val="00343F31"/>
    <w:rsid w:val="003442EE"/>
    <w:rsid w:val="00344469"/>
    <w:rsid w:val="003446D2"/>
    <w:rsid w:val="003448E4"/>
    <w:rsid w:val="003448EF"/>
    <w:rsid w:val="00344E1A"/>
    <w:rsid w:val="0034509D"/>
    <w:rsid w:val="00345404"/>
    <w:rsid w:val="00345478"/>
    <w:rsid w:val="0034547C"/>
    <w:rsid w:val="003458C2"/>
    <w:rsid w:val="00345ACF"/>
    <w:rsid w:val="00345D07"/>
    <w:rsid w:val="00345E9A"/>
    <w:rsid w:val="00346018"/>
    <w:rsid w:val="003460C5"/>
    <w:rsid w:val="0034619B"/>
    <w:rsid w:val="003461A2"/>
    <w:rsid w:val="00346248"/>
    <w:rsid w:val="003462C7"/>
    <w:rsid w:val="0034640B"/>
    <w:rsid w:val="00346A2F"/>
    <w:rsid w:val="00346A56"/>
    <w:rsid w:val="00346D7A"/>
    <w:rsid w:val="00346DF4"/>
    <w:rsid w:val="00346F1E"/>
    <w:rsid w:val="00346F8A"/>
    <w:rsid w:val="00346FEA"/>
    <w:rsid w:val="0034739B"/>
    <w:rsid w:val="00347541"/>
    <w:rsid w:val="00347816"/>
    <w:rsid w:val="00347BEF"/>
    <w:rsid w:val="00347CA6"/>
    <w:rsid w:val="00347D7F"/>
    <w:rsid w:val="00347DF4"/>
    <w:rsid w:val="00347F7F"/>
    <w:rsid w:val="003502A4"/>
    <w:rsid w:val="0035059C"/>
    <w:rsid w:val="003506E8"/>
    <w:rsid w:val="003507D2"/>
    <w:rsid w:val="003508FF"/>
    <w:rsid w:val="003509F2"/>
    <w:rsid w:val="00350A25"/>
    <w:rsid w:val="00350C0B"/>
    <w:rsid w:val="00350CED"/>
    <w:rsid w:val="00350E2A"/>
    <w:rsid w:val="00350E85"/>
    <w:rsid w:val="00350F8D"/>
    <w:rsid w:val="00350FBE"/>
    <w:rsid w:val="0035101E"/>
    <w:rsid w:val="003511F5"/>
    <w:rsid w:val="00351263"/>
    <w:rsid w:val="0035146D"/>
    <w:rsid w:val="00351491"/>
    <w:rsid w:val="00351601"/>
    <w:rsid w:val="0035160A"/>
    <w:rsid w:val="0035160D"/>
    <w:rsid w:val="00351619"/>
    <w:rsid w:val="003516C1"/>
    <w:rsid w:val="00351746"/>
    <w:rsid w:val="0035185D"/>
    <w:rsid w:val="00351886"/>
    <w:rsid w:val="00351950"/>
    <w:rsid w:val="00351C3E"/>
    <w:rsid w:val="00351EFE"/>
    <w:rsid w:val="0035200D"/>
    <w:rsid w:val="00352015"/>
    <w:rsid w:val="00352237"/>
    <w:rsid w:val="00352495"/>
    <w:rsid w:val="003525E0"/>
    <w:rsid w:val="003529B7"/>
    <w:rsid w:val="00352AA9"/>
    <w:rsid w:val="00352AF1"/>
    <w:rsid w:val="003532F9"/>
    <w:rsid w:val="00353323"/>
    <w:rsid w:val="00353506"/>
    <w:rsid w:val="003537A5"/>
    <w:rsid w:val="00353A02"/>
    <w:rsid w:val="00353B64"/>
    <w:rsid w:val="00353C7A"/>
    <w:rsid w:val="00353F91"/>
    <w:rsid w:val="00353F97"/>
    <w:rsid w:val="00354404"/>
    <w:rsid w:val="00354682"/>
    <w:rsid w:val="00354694"/>
    <w:rsid w:val="003546C6"/>
    <w:rsid w:val="0035471B"/>
    <w:rsid w:val="003547F9"/>
    <w:rsid w:val="00354840"/>
    <w:rsid w:val="00354886"/>
    <w:rsid w:val="00354952"/>
    <w:rsid w:val="00354EC5"/>
    <w:rsid w:val="00354EEB"/>
    <w:rsid w:val="003554D4"/>
    <w:rsid w:val="0035575B"/>
    <w:rsid w:val="003557C6"/>
    <w:rsid w:val="003559A0"/>
    <w:rsid w:val="003559CF"/>
    <w:rsid w:val="003559F8"/>
    <w:rsid w:val="00356013"/>
    <w:rsid w:val="00356190"/>
    <w:rsid w:val="00356200"/>
    <w:rsid w:val="00356361"/>
    <w:rsid w:val="00356695"/>
    <w:rsid w:val="00356723"/>
    <w:rsid w:val="0035686F"/>
    <w:rsid w:val="00356A86"/>
    <w:rsid w:val="00356BD2"/>
    <w:rsid w:val="00356FE7"/>
    <w:rsid w:val="00356FFC"/>
    <w:rsid w:val="0035718A"/>
    <w:rsid w:val="00357258"/>
    <w:rsid w:val="00357274"/>
    <w:rsid w:val="003573FA"/>
    <w:rsid w:val="0035745B"/>
    <w:rsid w:val="00357541"/>
    <w:rsid w:val="003575BF"/>
    <w:rsid w:val="0035761F"/>
    <w:rsid w:val="00357795"/>
    <w:rsid w:val="003578EA"/>
    <w:rsid w:val="00357933"/>
    <w:rsid w:val="00357A32"/>
    <w:rsid w:val="00357BEE"/>
    <w:rsid w:val="00357E20"/>
    <w:rsid w:val="00357E2F"/>
    <w:rsid w:val="00357E8D"/>
    <w:rsid w:val="00357FCD"/>
    <w:rsid w:val="00360029"/>
    <w:rsid w:val="003600F6"/>
    <w:rsid w:val="0036016E"/>
    <w:rsid w:val="00360215"/>
    <w:rsid w:val="0036068F"/>
    <w:rsid w:val="00360698"/>
    <w:rsid w:val="00360915"/>
    <w:rsid w:val="00360BF1"/>
    <w:rsid w:val="00360C52"/>
    <w:rsid w:val="00360D76"/>
    <w:rsid w:val="00360DAF"/>
    <w:rsid w:val="00360FB1"/>
    <w:rsid w:val="00361021"/>
    <w:rsid w:val="00361120"/>
    <w:rsid w:val="003614FA"/>
    <w:rsid w:val="00361914"/>
    <w:rsid w:val="00361CCB"/>
    <w:rsid w:val="00361E81"/>
    <w:rsid w:val="00361ECD"/>
    <w:rsid w:val="00362065"/>
    <w:rsid w:val="00362086"/>
    <w:rsid w:val="003620D3"/>
    <w:rsid w:val="00362567"/>
    <w:rsid w:val="00362666"/>
    <w:rsid w:val="0036272F"/>
    <w:rsid w:val="003627C7"/>
    <w:rsid w:val="003628DC"/>
    <w:rsid w:val="00362982"/>
    <w:rsid w:val="00362EFF"/>
    <w:rsid w:val="00362FE7"/>
    <w:rsid w:val="003631C7"/>
    <w:rsid w:val="0036333C"/>
    <w:rsid w:val="003633E8"/>
    <w:rsid w:val="003634A9"/>
    <w:rsid w:val="00363939"/>
    <w:rsid w:val="00363AAF"/>
    <w:rsid w:val="00363AB5"/>
    <w:rsid w:val="00363C61"/>
    <w:rsid w:val="00363CAF"/>
    <w:rsid w:val="00363CCB"/>
    <w:rsid w:val="00363CF2"/>
    <w:rsid w:val="00363E1D"/>
    <w:rsid w:val="00363F00"/>
    <w:rsid w:val="00363F4A"/>
    <w:rsid w:val="00363F84"/>
    <w:rsid w:val="00364002"/>
    <w:rsid w:val="0036406F"/>
    <w:rsid w:val="00364082"/>
    <w:rsid w:val="003640B2"/>
    <w:rsid w:val="003641BF"/>
    <w:rsid w:val="00364207"/>
    <w:rsid w:val="00364341"/>
    <w:rsid w:val="00364860"/>
    <w:rsid w:val="00364882"/>
    <w:rsid w:val="00364C0D"/>
    <w:rsid w:val="00364CB5"/>
    <w:rsid w:val="00364DD2"/>
    <w:rsid w:val="00364EAD"/>
    <w:rsid w:val="0036504B"/>
    <w:rsid w:val="0036511F"/>
    <w:rsid w:val="0036523F"/>
    <w:rsid w:val="00365352"/>
    <w:rsid w:val="00365452"/>
    <w:rsid w:val="00365539"/>
    <w:rsid w:val="0036597E"/>
    <w:rsid w:val="00365B8F"/>
    <w:rsid w:val="00365DAB"/>
    <w:rsid w:val="00366116"/>
    <w:rsid w:val="003661C6"/>
    <w:rsid w:val="003662D5"/>
    <w:rsid w:val="00366390"/>
    <w:rsid w:val="003663BF"/>
    <w:rsid w:val="003664A7"/>
    <w:rsid w:val="003665AB"/>
    <w:rsid w:val="00366A92"/>
    <w:rsid w:val="00366AE6"/>
    <w:rsid w:val="00366B48"/>
    <w:rsid w:val="00366B64"/>
    <w:rsid w:val="00366C81"/>
    <w:rsid w:val="00366D2C"/>
    <w:rsid w:val="00367001"/>
    <w:rsid w:val="0036722D"/>
    <w:rsid w:val="00367411"/>
    <w:rsid w:val="003674D2"/>
    <w:rsid w:val="0036752E"/>
    <w:rsid w:val="003675F3"/>
    <w:rsid w:val="0036762B"/>
    <w:rsid w:val="00367747"/>
    <w:rsid w:val="00367925"/>
    <w:rsid w:val="00367B09"/>
    <w:rsid w:val="00367CC2"/>
    <w:rsid w:val="00367D59"/>
    <w:rsid w:val="003703C1"/>
    <w:rsid w:val="0037047A"/>
    <w:rsid w:val="00370599"/>
    <w:rsid w:val="003706EB"/>
    <w:rsid w:val="003707CD"/>
    <w:rsid w:val="00370807"/>
    <w:rsid w:val="00370907"/>
    <w:rsid w:val="003709A1"/>
    <w:rsid w:val="00370A39"/>
    <w:rsid w:val="00370C46"/>
    <w:rsid w:val="00370D07"/>
    <w:rsid w:val="00370D40"/>
    <w:rsid w:val="00370FB4"/>
    <w:rsid w:val="00370FE5"/>
    <w:rsid w:val="00371054"/>
    <w:rsid w:val="0037105A"/>
    <w:rsid w:val="00371118"/>
    <w:rsid w:val="0037112C"/>
    <w:rsid w:val="00371182"/>
    <w:rsid w:val="003714C8"/>
    <w:rsid w:val="003715D1"/>
    <w:rsid w:val="003715EA"/>
    <w:rsid w:val="0037169C"/>
    <w:rsid w:val="003717DC"/>
    <w:rsid w:val="00371A24"/>
    <w:rsid w:val="00371B6E"/>
    <w:rsid w:val="00371C49"/>
    <w:rsid w:val="00371CF9"/>
    <w:rsid w:val="003720D4"/>
    <w:rsid w:val="003722FC"/>
    <w:rsid w:val="003726FE"/>
    <w:rsid w:val="00372A83"/>
    <w:rsid w:val="00373109"/>
    <w:rsid w:val="00373123"/>
    <w:rsid w:val="0037315C"/>
    <w:rsid w:val="00373195"/>
    <w:rsid w:val="003732BF"/>
    <w:rsid w:val="00373368"/>
    <w:rsid w:val="003738F1"/>
    <w:rsid w:val="00373A84"/>
    <w:rsid w:val="00373CAE"/>
    <w:rsid w:val="00373D87"/>
    <w:rsid w:val="00373E81"/>
    <w:rsid w:val="0037404C"/>
    <w:rsid w:val="003740A7"/>
    <w:rsid w:val="003740D1"/>
    <w:rsid w:val="00374209"/>
    <w:rsid w:val="003745F1"/>
    <w:rsid w:val="003746BB"/>
    <w:rsid w:val="00374915"/>
    <w:rsid w:val="00374969"/>
    <w:rsid w:val="00374D64"/>
    <w:rsid w:val="00374D91"/>
    <w:rsid w:val="00374DB8"/>
    <w:rsid w:val="00374E77"/>
    <w:rsid w:val="00374FB2"/>
    <w:rsid w:val="00374FF4"/>
    <w:rsid w:val="00375079"/>
    <w:rsid w:val="0037548B"/>
    <w:rsid w:val="00375525"/>
    <w:rsid w:val="0037563C"/>
    <w:rsid w:val="00375699"/>
    <w:rsid w:val="0037569F"/>
    <w:rsid w:val="00375895"/>
    <w:rsid w:val="003758D0"/>
    <w:rsid w:val="003758F2"/>
    <w:rsid w:val="00375A76"/>
    <w:rsid w:val="00375A85"/>
    <w:rsid w:val="00375B8C"/>
    <w:rsid w:val="00375DC6"/>
    <w:rsid w:val="00375F8F"/>
    <w:rsid w:val="00375FF2"/>
    <w:rsid w:val="003762C0"/>
    <w:rsid w:val="003762D3"/>
    <w:rsid w:val="00376403"/>
    <w:rsid w:val="003764F6"/>
    <w:rsid w:val="003766F3"/>
    <w:rsid w:val="0037685A"/>
    <w:rsid w:val="003769A7"/>
    <w:rsid w:val="003769D3"/>
    <w:rsid w:val="00376DAB"/>
    <w:rsid w:val="00376F98"/>
    <w:rsid w:val="00376F9A"/>
    <w:rsid w:val="00377052"/>
    <w:rsid w:val="00377509"/>
    <w:rsid w:val="003776A2"/>
    <w:rsid w:val="0037779A"/>
    <w:rsid w:val="003777F1"/>
    <w:rsid w:val="00377863"/>
    <w:rsid w:val="0037786E"/>
    <w:rsid w:val="00377A31"/>
    <w:rsid w:val="00377AF9"/>
    <w:rsid w:val="00377CAA"/>
    <w:rsid w:val="00377D42"/>
    <w:rsid w:val="00377EBA"/>
    <w:rsid w:val="00377EEF"/>
    <w:rsid w:val="00377F24"/>
    <w:rsid w:val="00380095"/>
    <w:rsid w:val="003800AB"/>
    <w:rsid w:val="00380141"/>
    <w:rsid w:val="003801F4"/>
    <w:rsid w:val="00380367"/>
    <w:rsid w:val="00380453"/>
    <w:rsid w:val="0038075F"/>
    <w:rsid w:val="0038082F"/>
    <w:rsid w:val="00380BA4"/>
    <w:rsid w:val="00380C5C"/>
    <w:rsid w:val="00380C92"/>
    <w:rsid w:val="00380C96"/>
    <w:rsid w:val="00380DE4"/>
    <w:rsid w:val="003810BE"/>
    <w:rsid w:val="003810D3"/>
    <w:rsid w:val="003812E3"/>
    <w:rsid w:val="00381448"/>
    <w:rsid w:val="00381468"/>
    <w:rsid w:val="0038169E"/>
    <w:rsid w:val="00381999"/>
    <w:rsid w:val="00381A4F"/>
    <w:rsid w:val="00381A89"/>
    <w:rsid w:val="00381AB4"/>
    <w:rsid w:val="00381BF8"/>
    <w:rsid w:val="00381C21"/>
    <w:rsid w:val="00381D69"/>
    <w:rsid w:val="00381EC6"/>
    <w:rsid w:val="00382042"/>
    <w:rsid w:val="00382138"/>
    <w:rsid w:val="003821F6"/>
    <w:rsid w:val="00382375"/>
    <w:rsid w:val="003823EE"/>
    <w:rsid w:val="00382642"/>
    <w:rsid w:val="00382646"/>
    <w:rsid w:val="003826A4"/>
    <w:rsid w:val="003826DC"/>
    <w:rsid w:val="003827EB"/>
    <w:rsid w:val="00382B0A"/>
    <w:rsid w:val="00382C97"/>
    <w:rsid w:val="00382F33"/>
    <w:rsid w:val="00382FE1"/>
    <w:rsid w:val="003832FC"/>
    <w:rsid w:val="00383302"/>
    <w:rsid w:val="0038348A"/>
    <w:rsid w:val="0038366F"/>
    <w:rsid w:val="003836A2"/>
    <w:rsid w:val="00383A53"/>
    <w:rsid w:val="00383A9F"/>
    <w:rsid w:val="00383B13"/>
    <w:rsid w:val="00383B40"/>
    <w:rsid w:val="00383EE1"/>
    <w:rsid w:val="00384168"/>
    <w:rsid w:val="003841D8"/>
    <w:rsid w:val="00384202"/>
    <w:rsid w:val="0038420E"/>
    <w:rsid w:val="003848FE"/>
    <w:rsid w:val="00384A5D"/>
    <w:rsid w:val="00384AB4"/>
    <w:rsid w:val="00384BDC"/>
    <w:rsid w:val="00384C06"/>
    <w:rsid w:val="00384C15"/>
    <w:rsid w:val="00384CD0"/>
    <w:rsid w:val="00384D40"/>
    <w:rsid w:val="00384E9E"/>
    <w:rsid w:val="00385014"/>
    <w:rsid w:val="0038533A"/>
    <w:rsid w:val="00385430"/>
    <w:rsid w:val="003854E9"/>
    <w:rsid w:val="00385595"/>
    <w:rsid w:val="00385798"/>
    <w:rsid w:val="00385861"/>
    <w:rsid w:val="003858F0"/>
    <w:rsid w:val="00385A20"/>
    <w:rsid w:val="00385B42"/>
    <w:rsid w:val="00385B75"/>
    <w:rsid w:val="00385DE2"/>
    <w:rsid w:val="0038608D"/>
    <w:rsid w:val="003860F9"/>
    <w:rsid w:val="00386219"/>
    <w:rsid w:val="00386294"/>
    <w:rsid w:val="003867F4"/>
    <w:rsid w:val="003869C3"/>
    <w:rsid w:val="003869DF"/>
    <w:rsid w:val="00386A04"/>
    <w:rsid w:val="00386E18"/>
    <w:rsid w:val="0038700A"/>
    <w:rsid w:val="003872AA"/>
    <w:rsid w:val="003872E4"/>
    <w:rsid w:val="003874E4"/>
    <w:rsid w:val="00387502"/>
    <w:rsid w:val="003875F5"/>
    <w:rsid w:val="00387624"/>
    <w:rsid w:val="00387680"/>
    <w:rsid w:val="00387771"/>
    <w:rsid w:val="003877BD"/>
    <w:rsid w:val="00387835"/>
    <w:rsid w:val="00387876"/>
    <w:rsid w:val="00387BF2"/>
    <w:rsid w:val="00387EAF"/>
    <w:rsid w:val="00387F31"/>
    <w:rsid w:val="0039012D"/>
    <w:rsid w:val="00390292"/>
    <w:rsid w:val="00390512"/>
    <w:rsid w:val="0039051B"/>
    <w:rsid w:val="0039066E"/>
    <w:rsid w:val="0039071F"/>
    <w:rsid w:val="0039093F"/>
    <w:rsid w:val="00390A1F"/>
    <w:rsid w:val="00390BA5"/>
    <w:rsid w:val="00390BE7"/>
    <w:rsid w:val="00390D56"/>
    <w:rsid w:val="00390D7D"/>
    <w:rsid w:val="00390E15"/>
    <w:rsid w:val="003912A1"/>
    <w:rsid w:val="0039131B"/>
    <w:rsid w:val="00391575"/>
    <w:rsid w:val="003916D3"/>
    <w:rsid w:val="00391AC1"/>
    <w:rsid w:val="00391B44"/>
    <w:rsid w:val="00391FC0"/>
    <w:rsid w:val="0039200E"/>
    <w:rsid w:val="003920DB"/>
    <w:rsid w:val="00392241"/>
    <w:rsid w:val="00392276"/>
    <w:rsid w:val="003922FF"/>
    <w:rsid w:val="00392349"/>
    <w:rsid w:val="0039234C"/>
    <w:rsid w:val="00392423"/>
    <w:rsid w:val="00392619"/>
    <w:rsid w:val="00392632"/>
    <w:rsid w:val="003928DE"/>
    <w:rsid w:val="003929C5"/>
    <w:rsid w:val="00392A46"/>
    <w:rsid w:val="00392B2B"/>
    <w:rsid w:val="00392DD7"/>
    <w:rsid w:val="00393181"/>
    <w:rsid w:val="003931A8"/>
    <w:rsid w:val="00393624"/>
    <w:rsid w:val="003937B9"/>
    <w:rsid w:val="00393843"/>
    <w:rsid w:val="003939B8"/>
    <w:rsid w:val="00393B3B"/>
    <w:rsid w:val="00393B93"/>
    <w:rsid w:val="00393BB8"/>
    <w:rsid w:val="00393FD9"/>
    <w:rsid w:val="00394576"/>
    <w:rsid w:val="00394832"/>
    <w:rsid w:val="0039496D"/>
    <w:rsid w:val="00394BCC"/>
    <w:rsid w:val="00394C63"/>
    <w:rsid w:val="00394CC3"/>
    <w:rsid w:val="00394D80"/>
    <w:rsid w:val="00394EED"/>
    <w:rsid w:val="003951FD"/>
    <w:rsid w:val="0039534C"/>
    <w:rsid w:val="0039565D"/>
    <w:rsid w:val="00395714"/>
    <w:rsid w:val="00395805"/>
    <w:rsid w:val="0039580E"/>
    <w:rsid w:val="00395C2B"/>
    <w:rsid w:val="00395DC9"/>
    <w:rsid w:val="003960A9"/>
    <w:rsid w:val="0039611F"/>
    <w:rsid w:val="00396156"/>
    <w:rsid w:val="00396183"/>
    <w:rsid w:val="0039620B"/>
    <w:rsid w:val="00396489"/>
    <w:rsid w:val="00396539"/>
    <w:rsid w:val="003965A7"/>
    <w:rsid w:val="00396611"/>
    <w:rsid w:val="00396685"/>
    <w:rsid w:val="003968E9"/>
    <w:rsid w:val="00396B23"/>
    <w:rsid w:val="00396BD0"/>
    <w:rsid w:val="00396C9D"/>
    <w:rsid w:val="00396CF4"/>
    <w:rsid w:val="00396F35"/>
    <w:rsid w:val="00397214"/>
    <w:rsid w:val="003972AB"/>
    <w:rsid w:val="00397321"/>
    <w:rsid w:val="003977A5"/>
    <w:rsid w:val="0039788E"/>
    <w:rsid w:val="00397AC2"/>
    <w:rsid w:val="00397B77"/>
    <w:rsid w:val="00397F0C"/>
    <w:rsid w:val="003A00A5"/>
    <w:rsid w:val="003A014A"/>
    <w:rsid w:val="003A0378"/>
    <w:rsid w:val="003A04E2"/>
    <w:rsid w:val="003A0B42"/>
    <w:rsid w:val="003A0B50"/>
    <w:rsid w:val="003A0BF2"/>
    <w:rsid w:val="003A0C19"/>
    <w:rsid w:val="003A0C30"/>
    <w:rsid w:val="003A0F2F"/>
    <w:rsid w:val="003A0F88"/>
    <w:rsid w:val="003A134C"/>
    <w:rsid w:val="003A1532"/>
    <w:rsid w:val="003A1762"/>
    <w:rsid w:val="003A19DC"/>
    <w:rsid w:val="003A1DAF"/>
    <w:rsid w:val="003A207B"/>
    <w:rsid w:val="003A21BA"/>
    <w:rsid w:val="003A21CE"/>
    <w:rsid w:val="003A2273"/>
    <w:rsid w:val="003A22AB"/>
    <w:rsid w:val="003A231C"/>
    <w:rsid w:val="003A2561"/>
    <w:rsid w:val="003A2697"/>
    <w:rsid w:val="003A2994"/>
    <w:rsid w:val="003A2B21"/>
    <w:rsid w:val="003A2B22"/>
    <w:rsid w:val="003A2D7C"/>
    <w:rsid w:val="003A2E35"/>
    <w:rsid w:val="003A2F50"/>
    <w:rsid w:val="003A3179"/>
    <w:rsid w:val="003A3480"/>
    <w:rsid w:val="003A3547"/>
    <w:rsid w:val="003A371E"/>
    <w:rsid w:val="003A372B"/>
    <w:rsid w:val="003A3768"/>
    <w:rsid w:val="003A398C"/>
    <w:rsid w:val="003A39DE"/>
    <w:rsid w:val="003A3B87"/>
    <w:rsid w:val="003A3BE2"/>
    <w:rsid w:val="003A3CA8"/>
    <w:rsid w:val="003A3E79"/>
    <w:rsid w:val="003A3FC8"/>
    <w:rsid w:val="003A40B2"/>
    <w:rsid w:val="003A40C2"/>
    <w:rsid w:val="003A41DB"/>
    <w:rsid w:val="003A41DC"/>
    <w:rsid w:val="003A44C2"/>
    <w:rsid w:val="003A468B"/>
    <w:rsid w:val="003A4934"/>
    <w:rsid w:val="003A49FB"/>
    <w:rsid w:val="003A4CD9"/>
    <w:rsid w:val="003A4D0E"/>
    <w:rsid w:val="003A4D42"/>
    <w:rsid w:val="003A4E16"/>
    <w:rsid w:val="003A4E53"/>
    <w:rsid w:val="003A5110"/>
    <w:rsid w:val="003A562C"/>
    <w:rsid w:val="003A5652"/>
    <w:rsid w:val="003A5880"/>
    <w:rsid w:val="003A5D91"/>
    <w:rsid w:val="003A6115"/>
    <w:rsid w:val="003A6190"/>
    <w:rsid w:val="003A6419"/>
    <w:rsid w:val="003A655F"/>
    <w:rsid w:val="003A65DE"/>
    <w:rsid w:val="003A66F4"/>
    <w:rsid w:val="003A672B"/>
    <w:rsid w:val="003A67D1"/>
    <w:rsid w:val="003A6A1D"/>
    <w:rsid w:val="003A6C51"/>
    <w:rsid w:val="003A6D6C"/>
    <w:rsid w:val="003A6FEC"/>
    <w:rsid w:val="003A703E"/>
    <w:rsid w:val="003A723F"/>
    <w:rsid w:val="003A73D6"/>
    <w:rsid w:val="003A7419"/>
    <w:rsid w:val="003A7491"/>
    <w:rsid w:val="003A766B"/>
    <w:rsid w:val="003A76C4"/>
    <w:rsid w:val="003A78E1"/>
    <w:rsid w:val="003A7CD9"/>
    <w:rsid w:val="003A7D68"/>
    <w:rsid w:val="003A7DF2"/>
    <w:rsid w:val="003A7F05"/>
    <w:rsid w:val="003A7FE2"/>
    <w:rsid w:val="003B0086"/>
    <w:rsid w:val="003B00E8"/>
    <w:rsid w:val="003B0218"/>
    <w:rsid w:val="003B0679"/>
    <w:rsid w:val="003B08E3"/>
    <w:rsid w:val="003B09C0"/>
    <w:rsid w:val="003B09F9"/>
    <w:rsid w:val="003B0C4A"/>
    <w:rsid w:val="003B0CB0"/>
    <w:rsid w:val="003B0D44"/>
    <w:rsid w:val="003B0F7D"/>
    <w:rsid w:val="003B1044"/>
    <w:rsid w:val="003B10CB"/>
    <w:rsid w:val="003B124A"/>
    <w:rsid w:val="003B137C"/>
    <w:rsid w:val="003B1916"/>
    <w:rsid w:val="003B1A70"/>
    <w:rsid w:val="003B1FEF"/>
    <w:rsid w:val="003B21B6"/>
    <w:rsid w:val="003B237A"/>
    <w:rsid w:val="003B23DA"/>
    <w:rsid w:val="003B242D"/>
    <w:rsid w:val="003B2432"/>
    <w:rsid w:val="003B29DF"/>
    <w:rsid w:val="003B2CEC"/>
    <w:rsid w:val="003B2FE1"/>
    <w:rsid w:val="003B3127"/>
    <w:rsid w:val="003B32BC"/>
    <w:rsid w:val="003B3335"/>
    <w:rsid w:val="003B348F"/>
    <w:rsid w:val="003B34DD"/>
    <w:rsid w:val="003B3592"/>
    <w:rsid w:val="003B35C4"/>
    <w:rsid w:val="003B35E2"/>
    <w:rsid w:val="003B36CB"/>
    <w:rsid w:val="003B3B0B"/>
    <w:rsid w:val="003B3BC3"/>
    <w:rsid w:val="003B3CA4"/>
    <w:rsid w:val="003B3CAE"/>
    <w:rsid w:val="003B3DD2"/>
    <w:rsid w:val="003B3E23"/>
    <w:rsid w:val="003B40D1"/>
    <w:rsid w:val="003B4119"/>
    <w:rsid w:val="003B41DA"/>
    <w:rsid w:val="003B4208"/>
    <w:rsid w:val="003B42A2"/>
    <w:rsid w:val="003B44EE"/>
    <w:rsid w:val="003B469B"/>
    <w:rsid w:val="003B4762"/>
    <w:rsid w:val="003B4948"/>
    <w:rsid w:val="003B4C13"/>
    <w:rsid w:val="003B4E2C"/>
    <w:rsid w:val="003B506C"/>
    <w:rsid w:val="003B514F"/>
    <w:rsid w:val="003B5283"/>
    <w:rsid w:val="003B548D"/>
    <w:rsid w:val="003B55F6"/>
    <w:rsid w:val="003B5666"/>
    <w:rsid w:val="003B5704"/>
    <w:rsid w:val="003B58E4"/>
    <w:rsid w:val="003B5AA2"/>
    <w:rsid w:val="003B5AE1"/>
    <w:rsid w:val="003B5B8E"/>
    <w:rsid w:val="003B5E31"/>
    <w:rsid w:val="003B5FC3"/>
    <w:rsid w:val="003B614F"/>
    <w:rsid w:val="003B6235"/>
    <w:rsid w:val="003B6268"/>
    <w:rsid w:val="003B648D"/>
    <w:rsid w:val="003B6603"/>
    <w:rsid w:val="003B66BC"/>
    <w:rsid w:val="003B66D5"/>
    <w:rsid w:val="003B6749"/>
    <w:rsid w:val="003B6766"/>
    <w:rsid w:val="003B68A4"/>
    <w:rsid w:val="003B6954"/>
    <w:rsid w:val="003B6B2E"/>
    <w:rsid w:val="003B6B43"/>
    <w:rsid w:val="003B6BC5"/>
    <w:rsid w:val="003B7193"/>
    <w:rsid w:val="003B71C2"/>
    <w:rsid w:val="003B7313"/>
    <w:rsid w:val="003B73A0"/>
    <w:rsid w:val="003B753B"/>
    <w:rsid w:val="003B786A"/>
    <w:rsid w:val="003B7881"/>
    <w:rsid w:val="003B7A7B"/>
    <w:rsid w:val="003B7D07"/>
    <w:rsid w:val="003B7D88"/>
    <w:rsid w:val="003C0278"/>
    <w:rsid w:val="003C02DD"/>
    <w:rsid w:val="003C0339"/>
    <w:rsid w:val="003C0372"/>
    <w:rsid w:val="003C0591"/>
    <w:rsid w:val="003C05A6"/>
    <w:rsid w:val="003C05C0"/>
    <w:rsid w:val="003C0756"/>
    <w:rsid w:val="003C0B43"/>
    <w:rsid w:val="003C0CD1"/>
    <w:rsid w:val="003C0D2E"/>
    <w:rsid w:val="003C0F6E"/>
    <w:rsid w:val="003C1038"/>
    <w:rsid w:val="003C1082"/>
    <w:rsid w:val="003C14A8"/>
    <w:rsid w:val="003C150E"/>
    <w:rsid w:val="003C1767"/>
    <w:rsid w:val="003C1940"/>
    <w:rsid w:val="003C1A64"/>
    <w:rsid w:val="003C1CDB"/>
    <w:rsid w:val="003C1DBA"/>
    <w:rsid w:val="003C1DFA"/>
    <w:rsid w:val="003C1E2F"/>
    <w:rsid w:val="003C1E38"/>
    <w:rsid w:val="003C1E73"/>
    <w:rsid w:val="003C1E75"/>
    <w:rsid w:val="003C1FEF"/>
    <w:rsid w:val="003C2098"/>
    <w:rsid w:val="003C20AB"/>
    <w:rsid w:val="003C2245"/>
    <w:rsid w:val="003C225A"/>
    <w:rsid w:val="003C2724"/>
    <w:rsid w:val="003C282D"/>
    <w:rsid w:val="003C2B9D"/>
    <w:rsid w:val="003C2F36"/>
    <w:rsid w:val="003C302F"/>
    <w:rsid w:val="003C3043"/>
    <w:rsid w:val="003C327D"/>
    <w:rsid w:val="003C3577"/>
    <w:rsid w:val="003C35BF"/>
    <w:rsid w:val="003C38E9"/>
    <w:rsid w:val="003C39EB"/>
    <w:rsid w:val="003C3A33"/>
    <w:rsid w:val="003C3A89"/>
    <w:rsid w:val="003C4022"/>
    <w:rsid w:val="003C4108"/>
    <w:rsid w:val="003C421E"/>
    <w:rsid w:val="003C4259"/>
    <w:rsid w:val="003C45CE"/>
    <w:rsid w:val="003C47DA"/>
    <w:rsid w:val="003C4B2E"/>
    <w:rsid w:val="003C4DD6"/>
    <w:rsid w:val="003C4F38"/>
    <w:rsid w:val="003C4F49"/>
    <w:rsid w:val="003C510B"/>
    <w:rsid w:val="003C5174"/>
    <w:rsid w:val="003C532E"/>
    <w:rsid w:val="003C53CD"/>
    <w:rsid w:val="003C55A3"/>
    <w:rsid w:val="003C55C9"/>
    <w:rsid w:val="003C560B"/>
    <w:rsid w:val="003C587D"/>
    <w:rsid w:val="003C5915"/>
    <w:rsid w:val="003C5C2B"/>
    <w:rsid w:val="003C5DC7"/>
    <w:rsid w:val="003C5EF9"/>
    <w:rsid w:val="003C5F76"/>
    <w:rsid w:val="003C5FC9"/>
    <w:rsid w:val="003C610A"/>
    <w:rsid w:val="003C62B4"/>
    <w:rsid w:val="003C6826"/>
    <w:rsid w:val="003C68D5"/>
    <w:rsid w:val="003C697D"/>
    <w:rsid w:val="003C69EC"/>
    <w:rsid w:val="003C6B21"/>
    <w:rsid w:val="003C6BC7"/>
    <w:rsid w:val="003C6C0E"/>
    <w:rsid w:val="003C6C50"/>
    <w:rsid w:val="003C6C61"/>
    <w:rsid w:val="003C6CCC"/>
    <w:rsid w:val="003C6F82"/>
    <w:rsid w:val="003C706A"/>
    <w:rsid w:val="003C70A8"/>
    <w:rsid w:val="003C711E"/>
    <w:rsid w:val="003C7251"/>
    <w:rsid w:val="003C739C"/>
    <w:rsid w:val="003C79BB"/>
    <w:rsid w:val="003C7A9C"/>
    <w:rsid w:val="003C7DDB"/>
    <w:rsid w:val="003C7FF3"/>
    <w:rsid w:val="003D09D3"/>
    <w:rsid w:val="003D0D2C"/>
    <w:rsid w:val="003D0EA5"/>
    <w:rsid w:val="003D0FCB"/>
    <w:rsid w:val="003D1074"/>
    <w:rsid w:val="003D1134"/>
    <w:rsid w:val="003D1518"/>
    <w:rsid w:val="003D16A5"/>
    <w:rsid w:val="003D180A"/>
    <w:rsid w:val="003D18B9"/>
    <w:rsid w:val="003D1CBB"/>
    <w:rsid w:val="003D1EB9"/>
    <w:rsid w:val="003D1ED3"/>
    <w:rsid w:val="003D1EF1"/>
    <w:rsid w:val="003D1EF9"/>
    <w:rsid w:val="003D213F"/>
    <w:rsid w:val="003D2729"/>
    <w:rsid w:val="003D2873"/>
    <w:rsid w:val="003D2943"/>
    <w:rsid w:val="003D2AD4"/>
    <w:rsid w:val="003D2CB9"/>
    <w:rsid w:val="003D31A3"/>
    <w:rsid w:val="003D32A0"/>
    <w:rsid w:val="003D32D5"/>
    <w:rsid w:val="003D3443"/>
    <w:rsid w:val="003D3674"/>
    <w:rsid w:val="003D37F4"/>
    <w:rsid w:val="003D37F6"/>
    <w:rsid w:val="003D38B9"/>
    <w:rsid w:val="003D3ABC"/>
    <w:rsid w:val="003D3B29"/>
    <w:rsid w:val="003D3C04"/>
    <w:rsid w:val="003D3D13"/>
    <w:rsid w:val="003D3D3C"/>
    <w:rsid w:val="003D3E10"/>
    <w:rsid w:val="003D3E22"/>
    <w:rsid w:val="003D3E5E"/>
    <w:rsid w:val="003D3E7E"/>
    <w:rsid w:val="003D3E90"/>
    <w:rsid w:val="003D40E0"/>
    <w:rsid w:val="003D416A"/>
    <w:rsid w:val="003D45BF"/>
    <w:rsid w:val="003D46AB"/>
    <w:rsid w:val="003D470B"/>
    <w:rsid w:val="003D492C"/>
    <w:rsid w:val="003D4A59"/>
    <w:rsid w:val="003D4C67"/>
    <w:rsid w:val="003D50D9"/>
    <w:rsid w:val="003D515E"/>
    <w:rsid w:val="003D5185"/>
    <w:rsid w:val="003D5261"/>
    <w:rsid w:val="003D552B"/>
    <w:rsid w:val="003D5681"/>
    <w:rsid w:val="003D5873"/>
    <w:rsid w:val="003D58C6"/>
    <w:rsid w:val="003D59FE"/>
    <w:rsid w:val="003D5BC6"/>
    <w:rsid w:val="003D5F45"/>
    <w:rsid w:val="003D5FE4"/>
    <w:rsid w:val="003D61D9"/>
    <w:rsid w:val="003D6229"/>
    <w:rsid w:val="003D67B8"/>
    <w:rsid w:val="003D6BCA"/>
    <w:rsid w:val="003D6C4C"/>
    <w:rsid w:val="003D6C74"/>
    <w:rsid w:val="003D6CA6"/>
    <w:rsid w:val="003D6D3A"/>
    <w:rsid w:val="003D70B1"/>
    <w:rsid w:val="003D7340"/>
    <w:rsid w:val="003D765F"/>
    <w:rsid w:val="003D76C5"/>
    <w:rsid w:val="003D77EA"/>
    <w:rsid w:val="003D7938"/>
    <w:rsid w:val="003D7A24"/>
    <w:rsid w:val="003D7B10"/>
    <w:rsid w:val="003D7B90"/>
    <w:rsid w:val="003D7E8D"/>
    <w:rsid w:val="003D7F41"/>
    <w:rsid w:val="003E0420"/>
    <w:rsid w:val="003E0424"/>
    <w:rsid w:val="003E04D4"/>
    <w:rsid w:val="003E0520"/>
    <w:rsid w:val="003E056F"/>
    <w:rsid w:val="003E0771"/>
    <w:rsid w:val="003E0A1D"/>
    <w:rsid w:val="003E0F94"/>
    <w:rsid w:val="003E0F9A"/>
    <w:rsid w:val="003E11CF"/>
    <w:rsid w:val="003E126C"/>
    <w:rsid w:val="003E140D"/>
    <w:rsid w:val="003E148D"/>
    <w:rsid w:val="003E14E5"/>
    <w:rsid w:val="003E14EB"/>
    <w:rsid w:val="003E18BC"/>
    <w:rsid w:val="003E1965"/>
    <w:rsid w:val="003E1971"/>
    <w:rsid w:val="003E1D9C"/>
    <w:rsid w:val="003E1E24"/>
    <w:rsid w:val="003E2056"/>
    <w:rsid w:val="003E206A"/>
    <w:rsid w:val="003E20EE"/>
    <w:rsid w:val="003E2121"/>
    <w:rsid w:val="003E2210"/>
    <w:rsid w:val="003E2278"/>
    <w:rsid w:val="003E22D0"/>
    <w:rsid w:val="003E2307"/>
    <w:rsid w:val="003E231A"/>
    <w:rsid w:val="003E236D"/>
    <w:rsid w:val="003E2519"/>
    <w:rsid w:val="003E2856"/>
    <w:rsid w:val="003E2D02"/>
    <w:rsid w:val="003E2D8C"/>
    <w:rsid w:val="003E2DAB"/>
    <w:rsid w:val="003E2ECA"/>
    <w:rsid w:val="003E2FBF"/>
    <w:rsid w:val="003E38EB"/>
    <w:rsid w:val="003E3936"/>
    <w:rsid w:val="003E3A8A"/>
    <w:rsid w:val="003E3AFB"/>
    <w:rsid w:val="003E3C0A"/>
    <w:rsid w:val="003E3CA0"/>
    <w:rsid w:val="003E3FC3"/>
    <w:rsid w:val="003E40DA"/>
    <w:rsid w:val="003E410F"/>
    <w:rsid w:val="003E4169"/>
    <w:rsid w:val="003E467F"/>
    <w:rsid w:val="003E47B4"/>
    <w:rsid w:val="003E47F7"/>
    <w:rsid w:val="003E490A"/>
    <w:rsid w:val="003E4A2C"/>
    <w:rsid w:val="003E4E34"/>
    <w:rsid w:val="003E4FA2"/>
    <w:rsid w:val="003E4FED"/>
    <w:rsid w:val="003E52A5"/>
    <w:rsid w:val="003E5380"/>
    <w:rsid w:val="003E5B76"/>
    <w:rsid w:val="003E5BF0"/>
    <w:rsid w:val="003E5CC0"/>
    <w:rsid w:val="003E5E6E"/>
    <w:rsid w:val="003E5FCD"/>
    <w:rsid w:val="003E60CB"/>
    <w:rsid w:val="003E61D2"/>
    <w:rsid w:val="003E63EA"/>
    <w:rsid w:val="003E65AB"/>
    <w:rsid w:val="003E6694"/>
    <w:rsid w:val="003E66FD"/>
    <w:rsid w:val="003E6969"/>
    <w:rsid w:val="003E6A52"/>
    <w:rsid w:val="003E6C73"/>
    <w:rsid w:val="003E6D3F"/>
    <w:rsid w:val="003E7029"/>
    <w:rsid w:val="003E718D"/>
    <w:rsid w:val="003E727D"/>
    <w:rsid w:val="003E73C6"/>
    <w:rsid w:val="003E73CE"/>
    <w:rsid w:val="003E7498"/>
    <w:rsid w:val="003E77E6"/>
    <w:rsid w:val="003E7802"/>
    <w:rsid w:val="003E7924"/>
    <w:rsid w:val="003E79D7"/>
    <w:rsid w:val="003E7A9E"/>
    <w:rsid w:val="003E7AC0"/>
    <w:rsid w:val="003E7B12"/>
    <w:rsid w:val="003E7B44"/>
    <w:rsid w:val="003E7B65"/>
    <w:rsid w:val="003E7C7C"/>
    <w:rsid w:val="003E7CAD"/>
    <w:rsid w:val="003E7CD6"/>
    <w:rsid w:val="003E7D06"/>
    <w:rsid w:val="003E7D21"/>
    <w:rsid w:val="003E7DF6"/>
    <w:rsid w:val="003F022F"/>
    <w:rsid w:val="003F023F"/>
    <w:rsid w:val="003F0292"/>
    <w:rsid w:val="003F0298"/>
    <w:rsid w:val="003F02A6"/>
    <w:rsid w:val="003F02C4"/>
    <w:rsid w:val="003F03EC"/>
    <w:rsid w:val="003F0601"/>
    <w:rsid w:val="003F060D"/>
    <w:rsid w:val="003F073B"/>
    <w:rsid w:val="003F07F4"/>
    <w:rsid w:val="003F0852"/>
    <w:rsid w:val="003F0B58"/>
    <w:rsid w:val="003F0DA4"/>
    <w:rsid w:val="003F0F9F"/>
    <w:rsid w:val="003F100F"/>
    <w:rsid w:val="003F107A"/>
    <w:rsid w:val="003F1133"/>
    <w:rsid w:val="003F11C6"/>
    <w:rsid w:val="003F12E6"/>
    <w:rsid w:val="003F13AD"/>
    <w:rsid w:val="003F14BA"/>
    <w:rsid w:val="003F1571"/>
    <w:rsid w:val="003F172A"/>
    <w:rsid w:val="003F1747"/>
    <w:rsid w:val="003F186E"/>
    <w:rsid w:val="003F194A"/>
    <w:rsid w:val="003F1ADF"/>
    <w:rsid w:val="003F1FF1"/>
    <w:rsid w:val="003F207C"/>
    <w:rsid w:val="003F20CF"/>
    <w:rsid w:val="003F210D"/>
    <w:rsid w:val="003F21AD"/>
    <w:rsid w:val="003F21EE"/>
    <w:rsid w:val="003F2247"/>
    <w:rsid w:val="003F22CB"/>
    <w:rsid w:val="003F27FB"/>
    <w:rsid w:val="003F2885"/>
    <w:rsid w:val="003F2B97"/>
    <w:rsid w:val="003F2C99"/>
    <w:rsid w:val="003F2FA7"/>
    <w:rsid w:val="003F3117"/>
    <w:rsid w:val="003F3127"/>
    <w:rsid w:val="003F314D"/>
    <w:rsid w:val="003F3201"/>
    <w:rsid w:val="003F329E"/>
    <w:rsid w:val="003F32EF"/>
    <w:rsid w:val="003F34A6"/>
    <w:rsid w:val="003F34C3"/>
    <w:rsid w:val="003F35C3"/>
    <w:rsid w:val="003F399E"/>
    <w:rsid w:val="003F3A8C"/>
    <w:rsid w:val="003F3BC2"/>
    <w:rsid w:val="003F3BCD"/>
    <w:rsid w:val="003F4540"/>
    <w:rsid w:val="003F4628"/>
    <w:rsid w:val="003F46CB"/>
    <w:rsid w:val="003F4707"/>
    <w:rsid w:val="003F47FF"/>
    <w:rsid w:val="003F48DA"/>
    <w:rsid w:val="003F49AE"/>
    <w:rsid w:val="003F4B33"/>
    <w:rsid w:val="003F4BAD"/>
    <w:rsid w:val="003F4C47"/>
    <w:rsid w:val="003F4E5C"/>
    <w:rsid w:val="003F527C"/>
    <w:rsid w:val="003F5292"/>
    <w:rsid w:val="003F53D0"/>
    <w:rsid w:val="003F5991"/>
    <w:rsid w:val="003F5A52"/>
    <w:rsid w:val="003F5B6A"/>
    <w:rsid w:val="003F5BF4"/>
    <w:rsid w:val="003F5CEB"/>
    <w:rsid w:val="003F5D45"/>
    <w:rsid w:val="003F5DD3"/>
    <w:rsid w:val="003F5DF5"/>
    <w:rsid w:val="003F6018"/>
    <w:rsid w:val="003F60E3"/>
    <w:rsid w:val="003F6121"/>
    <w:rsid w:val="003F61EC"/>
    <w:rsid w:val="003F647C"/>
    <w:rsid w:val="003F652C"/>
    <w:rsid w:val="003F669C"/>
    <w:rsid w:val="003F681C"/>
    <w:rsid w:val="003F6893"/>
    <w:rsid w:val="003F6987"/>
    <w:rsid w:val="003F6CA4"/>
    <w:rsid w:val="003F6CB2"/>
    <w:rsid w:val="003F7007"/>
    <w:rsid w:val="003F705C"/>
    <w:rsid w:val="003F707A"/>
    <w:rsid w:val="003F71C1"/>
    <w:rsid w:val="003F744D"/>
    <w:rsid w:val="003F74F9"/>
    <w:rsid w:val="003F771E"/>
    <w:rsid w:val="003F7805"/>
    <w:rsid w:val="003F79C7"/>
    <w:rsid w:val="003F7D44"/>
    <w:rsid w:val="004000A6"/>
    <w:rsid w:val="004002AF"/>
    <w:rsid w:val="004003D5"/>
    <w:rsid w:val="00400489"/>
    <w:rsid w:val="004005C6"/>
    <w:rsid w:val="00400633"/>
    <w:rsid w:val="00400E93"/>
    <w:rsid w:val="00400EEE"/>
    <w:rsid w:val="00400FD3"/>
    <w:rsid w:val="004010F7"/>
    <w:rsid w:val="004011F7"/>
    <w:rsid w:val="00401429"/>
    <w:rsid w:val="00401448"/>
    <w:rsid w:val="004014D5"/>
    <w:rsid w:val="0040151F"/>
    <w:rsid w:val="00401609"/>
    <w:rsid w:val="00401680"/>
    <w:rsid w:val="004018A9"/>
    <w:rsid w:val="004018FC"/>
    <w:rsid w:val="00401937"/>
    <w:rsid w:val="00401C18"/>
    <w:rsid w:val="00401CEC"/>
    <w:rsid w:val="00401D72"/>
    <w:rsid w:val="00401DDD"/>
    <w:rsid w:val="00401E21"/>
    <w:rsid w:val="00401E27"/>
    <w:rsid w:val="00401F72"/>
    <w:rsid w:val="004021CB"/>
    <w:rsid w:val="00402315"/>
    <w:rsid w:val="00402388"/>
    <w:rsid w:val="00402700"/>
    <w:rsid w:val="00402749"/>
    <w:rsid w:val="00402817"/>
    <w:rsid w:val="00402924"/>
    <w:rsid w:val="00402BDE"/>
    <w:rsid w:val="00402FCA"/>
    <w:rsid w:val="0040314E"/>
    <w:rsid w:val="00403230"/>
    <w:rsid w:val="00403242"/>
    <w:rsid w:val="004032ED"/>
    <w:rsid w:val="00403340"/>
    <w:rsid w:val="0040343D"/>
    <w:rsid w:val="00403637"/>
    <w:rsid w:val="0040365E"/>
    <w:rsid w:val="00403731"/>
    <w:rsid w:val="0040380E"/>
    <w:rsid w:val="00403A05"/>
    <w:rsid w:val="00403E2C"/>
    <w:rsid w:val="00403EDC"/>
    <w:rsid w:val="00404446"/>
    <w:rsid w:val="00404497"/>
    <w:rsid w:val="0040451C"/>
    <w:rsid w:val="004046C5"/>
    <w:rsid w:val="004046CE"/>
    <w:rsid w:val="0040475B"/>
    <w:rsid w:val="004048C9"/>
    <w:rsid w:val="00404A71"/>
    <w:rsid w:val="00404A95"/>
    <w:rsid w:val="00404C22"/>
    <w:rsid w:val="00405096"/>
    <w:rsid w:val="0040548A"/>
    <w:rsid w:val="0040549F"/>
    <w:rsid w:val="00405581"/>
    <w:rsid w:val="004056D2"/>
    <w:rsid w:val="0040572F"/>
    <w:rsid w:val="00405822"/>
    <w:rsid w:val="00405A17"/>
    <w:rsid w:val="00405C5C"/>
    <w:rsid w:val="00405E92"/>
    <w:rsid w:val="00406154"/>
    <w:rsid w:val="00406410"/>
    <w:rsid w:val="00406447"/>
    <w:rsid w:val="00406687"/>
    <w:rsid w:val="00406704"/>
    <w:rsid w:val="0040675D"/>
    <w:rsid w:val="00406876"/>
    <w:rsid w:val="00406B2D"/>
    <w:rsid w:val="00406B49"/>
    <w:rsid w:val="00406C60"/>
    <w:rsid w:val="004070B5"/>
    <w:rsid w:val="004071F6"/>
    <w:rsid w:val="00407274"/>
    <w:rsid w:val="004074B6"/>
    <w:rsid w:val="00407558"/>
    <w:rsid w:val="00407637"/>
    <w:rsid w:val="004076DB"/>
    <w:rsid w:val="00407725"/>
    <w:rsid w:val="00407F1B"/>
    <w:rsid w:val="00410722"/>
    <w:rsid w:val="0041086A"/>
    <w:rsid w:val="0041087D"/>
    <w:rsid w:val="004108F3"/>
    <w:rsid w:val="004109F9"/>
    <w:rsid w:val="00410A10"/>
    <w:rsid w:val="00410A95"/>
    <w:rsid w:val="00410ACC"/>
    <w:rsid w:val="00410D41"/>
    <w:rsid w:val="00410E1E"/>
    <w:rsid w:val="004113FD"/>
    <w:rsid w:val="004114FD"/>
    <w:rsid w:val="00411554"/>
    <w:rsid w:val="0041184B"/>
    <w:rsid w:val="004118B5"/>
    <w:rsid w:val="00411910"/>
    <w:rsid w:val="00411976"/>
    <w:rsid w:val="004119F2"/>
    <w:rsid w:val="00411DA5"/>
    <w:rsid w:val="0041214F"/>
    <w:rsid w:val="004125EA"/>
    <w:rsid w:val="004126AF"/>
    <w:rsid w:val="00412755"/>
    <w:rsid w:val="004129F2"/>
    <w:rsid w:val="00412A13"/>
    <w:rsid w:val="00412A63"/>
    <w:rsid w:val="00412BB0"/>
    <w:rsid w:val="00412BF8"/>
    <w:rsid w:val="00412CA1"/>
    <w:rsid w:val="00412EF3"/>
    <w:rsid w:val="00412F68"/>
    <w:rsid w:val="00412FB4"/>
    <w:rsid w:val="004133B9"/>
    <w:rsid w:val="004135E8"/>
    <w:rsid w:val="004138DD"/>
    <w:rsid w:val="004138F3"/>
    <w:rsid w:val="00414007"/>
    <w:rsid w:val="004140C1"/>
    <w:rsid w:val="00414251"/>
    <w:rsid w:val="004143C8"/>
    <w:rsid w:val="004143CB"/>
    <w:rsid w:val="00414474"/>
    <w:rsid w:val="004144FB"/>
    <w:rsid w:val="0041452C"/>
    <w:rsid w:val="004145A7"/>
    <w:rsid w:val="00414603"/>
    <w:rsid w:val="004146E9"/>
    <w:rsid w:val="00414BE9"/>
    <w:rsid w:val="00414D49"/>
    <w:rsid w:val="00414E4E"/>
    <w:rsid w:val="00415128"/>
    <w:rsid w:val="00415262"/>
    <w:rsid w:val="00415411"/>
    <w:rsid w:val="0041559D"/>
    <w:rsid w:val="004156B7"/>
    <w:rsid w:val="004157F8"/>
    <w:rsid w:val="004159AE"/>
    <w:rsid w:val="00415BFD"/>
    <w:rsid w:val="00415CD0"/>
    <w:rsid w:val="00416009"/>
    <w:rsid w:val="00416018"/>
    <w:rsid w:val="00416095"/>
    <w:rsid w:val="004161A2"/>
    <w:rsid w:val="004164B0"/>
    <w:rsid w:val="004164C6"/>
    <w:rsid w:val="00416AC2"/>
    <w:rsid w:val="00416B71"/>
    <w:rsid w:val="00416BBE"/>
    <w:rsid w:val="00416C53"/>
    <w:rsid w:val="00416DD2"/>
    <w:rsid w:val="00416E2F"/>
    <w:rsid w:val="00416F24"/>
    <w:rsid w:val="00417012"/>
    <w:rsid w:val="004171C7"/>
    <w:rsid w:val="004171E6"/>
    <w:rsid w:val="0041726E"/>
    <w:rsid w:val="00417594"/>
    <w:rsid w:val="004175EA"/>
    <w:rsid w:val="00417885"/>
    <w:rsid w:val="004178DC"/>
    <w:rsid w:val="00417A5F"/>
    <w:rsid w:val="00417C6D"/>
    <w:rsid w:val="00417D4C"/>
    <w:rsid w:val="00417F39"/>
    <w:rsid w:val="00420007"/>
    <w:rsid w:val="0042001A"/>
    <w:rsid w:val="00420267"/>
    <w:rsid w:val="00420622"/>
    <w:rsid w:val="004206AE"/>
    <w:rsid w:val="0042098E"/>
    <w:rsid w:val="00420B1E"/>
    <w:rsid w:val="00420BE2"/>
    <w:rsid w:val="00420CED"/>
    <w:rsid w:val="00420F45"/>
    <w:rsid w:val="0042113A"/>
    <w:rsid w:val="004212BC"/>
    <w:rsid w:val="00421449"/>
    <w:rsid w:val="0042158D"/>
    <w:rsid w:val="00421697"/>
    <w:rsid w:val="0042187A"/>
    <w:rsid w:val="004218C8"/>
    <w:rsid w:val="00421BCA"/>
    <w:rsid w:val="00421DC9"/>
    <w:rsid w:val="00421E98"/>
    <w:rsid w:val="00421F2F"/>
    <w:rsid w:val="00421FD0"/>
    <w:rsid w:val="0042225E"/>
    <w:rsid w:val="0042250C"/>
    <w:rsid w:val="0042257F"/>
    <w:rsid w:val="004226F3"/>
    <w:rsid w:val="00422844"/>
    <w:rsid w:val="00422D27"/>
    <w:rsid w:val="00422F19"/>
    <w:rsid w:val="00422F1B"/>
    <w:rsid w:val="004231DA"/>
    <w:rsid w:val="004234B3"/>
    <w:rsid w:val="004235E4"/>
    <w:rsid w:val="004235EC"/>
    <w:rsid w:val="004238B7"/>
    <w:rsid w:val="0042394E"/>
    <w:rsid w:val="00423B98"/>
    <w:rsid w:val="00423BB0"/>
    <w:rsid w:val="00423BC7"/>
    <w:rsid w:val="00423DBB"/>
    <w:rsid w:val="00423E34"/>
    <w:rsid w:val="00424028"/>
    <w:rsid w:val="004241D0"/>
    <w:rsid w:val="00424B78"/>
    <w:rsid w:val="00424D30"/>
    <w:rsid w:val="00424E04"/>
    <w:rsid w:val="00424EDF"/>
    <w:rsid w:val="0042532D"/>
    <w:rsid w:val="0042533C"/>
    <w:rsid w:val="00425A03"/>
    <w:rsid w:val="00425A28"/>
    <w:rsid w:val="00425D46"/>
    <w:rsid w:val="00425D8D"/>
    <w:rsid w:val="00425E05"/>
    <w:rsid w:val="00425F72"/>
    <w:rsid w:val="00426150"/>
    <w:rsid w:val="004263CA"/>
    <w:rsid w:val="004263DD"/>
    <w:rsid w:val="004264DA"/>
    <w:rsid w:val="00426651"/>
    <w:rsid w:val="004267F9"/>
    <w:rsid w:val="00426900"/>
    <w:rsid w:val="00426951"/>
    <w:rsid w:val="0042699F"/>
    <w:rsid w:val="00426A99"/>
    <w:rsid w:val="00426B79"/>
    <w:rsid w:val="00426D29"/>
    <w:rsid w:val="00426E28"/>
    <w:rsid w:val="00426E8F"/>
    <w:rsid w:val="0042712A"/>
    <w:rsid w:val="0042724A"/>
    <w:rsid w:val="004274C8"/>
    <w:rsid w:val="00427A64"/>
    <w:rsid w:val="00427DBE"/>
    <w:rsid w:val="00430028"/>
    <w:rsid w:val="0043031E"/>
    <w:rsid w:val="00430447"/>
    <w:rsid w:val="004307E3"/>
    <w:rsid w:val="0043083E"/>
    <w:rsid w:val="00430A4A"/>
    <w:rsid w:val="00430C6F"/>
    <w:rsid w:val="00430E9F"/>
    <w:rsid w:val="00430ED2"/>
    <w:rsid w:val="00430EE8"/>
    <w:rsid w:val="00431338"/>
    <w:rsid w:val="0043135B"/>
    <w:rsid w:val="00431412"/>
    <w:rsid w:val="00431742"/>
    <w:rsid w:val="004319E8"/>
    <w:rsid w:val="00431B1F"/>
    <w:rsid w:val="00431B88"/>
    <w:rsid w:val="00431C3A"/>
    <w:rsid w:val="00431C85"/>
    <w:rsid w:val="00431D71"/>
    <w:rsid w:val="00431DF0"/>
    <w:rsid w:val="00431ED1"/>
    <w:rsid w:val="0043224A"/>
    <w:rsid w:val="0043244D"/>
    <w:rsid w:val="00432883"/>
    <w:rsid w:val="00432E80"/>
    <w:rsid w:val="00432F49"/>
    <w:rsid w:val="00433093"/>
    <w:rsid w:val="004330D8"/>
    <w:rsid w:val="00433398"/>
    <w:rsid w:val="004335F0"/>
    <w:rsid w:val="00433699"/>
    <w:rsid w:val="00433804"/>
    <w:rsid w:val="00433A0C"/>
    <w:rsid w:val="00433A62"/>
    <w:rsid w:val="00433C8F"/>
    <w:rsid w:val="00433DA0"/>
    <w:rsid w:val="00433FF8"/>
    <w:rsid w:val="00434211"/>
    <w:rsid w:val="00434275"/>
    <w:rsid w:val="004342EB"/>
    <w:rsid w:val="004344A9"/>
    <w:rsid w:val="00434570"/>
    <w:rsid w:val="00434655"/>
    <w:rsid w:val="0043466E"/>
    <w:rsid w:val="00434731"/>
    <w:rsid w:val="00434987"/>
    <w:rsid w:val="004349A4"/>
    <w:rsid w:val="00434A0D"/>
    <w:rsid w:val="00434BA7"/>
    <w:rsid w:val="00434D91"/>
    <w:rsid w:val="00434F0B"/>
    <w:rsid w:val="00434F64"/>
    <w:rsid w:val="00434F99"/>
    <w:rsid w:val="00435023"/>
    <w:rsid w:val="004352EB"/>
    <w:rsid w:val="00435401"/>
    <w:rsid w:val="00435473"/>
    <w:rsid w:val="00435678"/>
    <w:rsid w:val="004356C9"/>
    <w:rsid w:val="00435A61"/>
    <w:rsid w:val="00435A67"/>
    <w:rsid w:val="00435D6B"/>
    <w:rsid w:val="00435D77"/>
    <w:rsid w:val="00435DEF"/>
    <w:rsid w:val="00435EAC"/>
    <w:rsid w:val="00435ECE"/>
    <w:rsid w:val="00436209"/>
    <w:rsid w:val="004364ED"/>
    <w:rsid w:val="0043664A"/>
    <w:rsid w:val="00436673"/>
    <w:rsid w:val="00436684"/>
    <w:rsid w:val="004368C7"/>
    <w:rsid w:val="00436FC4"/>
    <w:rsid w:val="004370BB"/>
    <w:rsid w:val="0043728A"/>
    <w:rsid w:val="00437379"/>
    <w:rsid w:val="0043737C"/>
    <w:rsid w:val="0043756B"/>
    <w:rsid w:val="00437A1D"/>
    <w:rsid w:val="00437B24"/>
    <w:rsid w:val="00437BB3"/>
    <w:rsid w:val="00437C6D"/>
    <w:rsid w:val="00437D99"/>
    <w:rsid w:val="00437E7A"/>
    <w:rsid w:val="00437E9B"/>
    <w:rsid w:val="00437F8D"/>
    <w:rsid w:val="00437FB6"/>
    <w:rsid w:val="00440067"/>
    <w:rsid w:val="00440157"/>
    <w:rsid w:val="00440517"/>
    <w:rsid w:val="00440566"/>
    <w:rsid w:val="00440600"/>
    <w:rsid w:val="00440601"/>
    <w:rsid w:val="00440704"/>
    <w:rsid w:val="00440862"/>
    <w:rsid w:val="00440A6E"/>
    <w:rsid w:val="00440E6D"/>
    <w:rsid w:val="00440F36"/>
    <w:rsid w:val="0044102B"/>
    <w:rsid w:val="00441055"/>
    <w:rsid w:val="004416CB"/>
    <w:rsid w:val="0044170B"/>
    <w:rsid w:val="0044180C"/>
    <w:rsid w:val="00441929"/>
    <w:rsid w:val="00441A4C"/>
    <w:rsid w:val="00441D92"/>
    <w:rsid w:val="00441E69"/>
    <w:rsid w:val="00441F85"/>
    <w:rsid w:val="004420F2"/>
    <w:rsid w:val="004423F9"/>
    <w:rsid w:val="00442667"/>
    <w:rsid w:val="0044267F"/>
    <w:rsid w:val="0044275C"/>
    <w:rsid w:val="004428C4"/>
    <w:rsid w:val="00442910"/>
    <w:rsid w:val="004429AD"/>
    <w:rsid w:val="00442AE3"/>
    <w:rsid w:val="00442DEA"/>
    <w:rsid w:val="00443001"/>
    <w:rsid w:val="004431B9"/>
    <w:rsid w:val="0044336B"/>
    <w:rsid w:val="004433E7"/>
    <w:rsid w:val="004433EF"/>
    <w:rsid w:val="00443468"/>
    <w:rsid w:val="004437C5"/>
    <w:rsid w:val="00443845"/>
    <w:rsid w:val="00443A6A"/>
    <w:rsid w:val="00443B54"/>
    <w:rsid w:val="00443B5F"/>
    <w:rsid w:val="00443BA2"/>
    <w:rsid w:val="00444031"/>
    <w:rsid w:val="0044439E"/>
    <w:rsid w:val="004444AD"/>
    <w:rsid w:val="00444512"/>
    <w:rsid w:val="00444527"/>
    <w:rsid w:val="0044453C"/>
    <w:rsid w:val="004447F2"/>
    <w:rsid w:val="00444B0F"/>
    <w:rsid w:val="00444E0F"/>
    <w:rsid w:val="00444F0D"/>
    <w:rsid w:val="00444F4C"/>
    <w:rsid w:val="00445445"/>
    <w:rsid w:val="004454C9"/>
    <w:rsid w:val="00445674"/>
    <w:rsid w:val="0044590E"/>
    <w:rsid w:val="00445A3D"/>
    <w:rsid w:val="00445F0C"/>
    <w:rsid w:val="00445F67"/>
    <w:rsid w:val="0044602B"/>
    <w:rsid w:val="004461BD"/>
    <w:rsid w:val="004464BA"/>
    <w:rsid w:val="00446609"/>
    <w:rsid w:val="004466AA"/>
    <w:rsid w:val="00446751"/>
    <w:rsid w:val="00446B51"/>
    <w:rsid w:val="00446C39"/>
    <w:rsid w:val="00446F3C"/>
    <w:rsid w:val="00446F82"/>
    <w:rsid w:val="004475A5"/>
    <w:rsid w:val="004476B2"/>
    <w:rsid w:val="00447796"/>
    <w:rsid w:val="00447909"/>
    <w:rsid w:val="00447AE0"/>
    <w:rsid w:val="00447CE9"/>
    <w:rsid w:val="00447D7A"/>
    <w:rsid w:val="00447E62"/>
    <w:rsid w:val="00447EB7"/>
    <w:rsid w:val="00447ED9"/>
    <w:rsid w:val="00447FF1"/>
    <w:rsid w:val="004501B0"/>
    <w:rsid w:val="0045044E"/>
    <w:rsid w:val="004505D7"/>
    <w:rsid w:val="004505ED"/>
    <w:rsid w:val="00450606"/>
    <w:rsid w:val="0045082D"/>
    <w:rsid w:val="004508F5"/>
    <w:rsid w:val="00450C3B"/>
    <w:rsid w:val="00450E5F"/>
    <w:rsid w:val="00450F9A"/>
    <w:rsid w:val="00451102"/>
    <w:rsid w:val="0045110C"/>
    <w:rsid w:val="00451198"/>
    <w:rsid w:val="004511C9"/>
    <w:rsid w:val="0045122A"/>
    <w:rsid w:val="004517D6"/>
    <w:rsid w:val="004518EB"/>
    <w:rsid w:val="00451D32"/>
    <w:rsid w:val="00451EF7"/>
    <w:rsid w:val="00451F14"/>
    <w:rsid w:val="00452213"/>
    <w:rsid w:val="004522B3"/>
    <w:rsid w:val="004522D3"/>
    <w:rsid w:val="004522DB"/>
    <w:rsid w:val="004523F8"/>
    <w:rsid w:val="00452478"/>
    <w:rsid w:val="0045289D"/>
    <w:rsid w:val="00452ABC"/>
    <w:rsid w:val="00452B61"/>
    <w:rsid w:val="00452D1F"/>
    <w:rsid w:val="00452DE0"/>
    <w:rsid w:val="00452E77"/>
    <w:rsid w:val="00452F5F"/>
    <w:rsid w:val="00452F93"/>
    <w:rsid w:val="00453037"/>
    <w:rsid w:val="004530A0"/>
    <w:rsid w:val="0045339B"/>
    <w:rsid w:val="00453492"/>
    <w:rsid w:val="00453607"/>
    <w:rsid w:val="004537D2"/>
    <w:rsid w:val="0045384E"/>
    <w:rsid w:val="00453A4D"/>
    <w:rsid w:val="00453A8F"/>
    <w:rsid w:val="00453B4F"/>
    <w:rsid w:val="00453C92"/>
    <w:rsid w:val="00453D2B"/>
    <w:rsid w:val="00453E43"/>
    <w:rsid w:val="00453F1B"/>
    <w:rsid w:val="004540A6"/>
    <w:rsid w:val="0045411C"/>
    <w:rsid w:val="004541D0"/>
    <w:rsid w:val="0045427A"/>
    <w:rsid w:val="00454622"/>
    <w:rsid w:val="00454718"/>
    <w:rsid w:val="004547B4"/>
    <w:rsid w:val="00454918"/>
    <w:rsid w:val="0045497F"/>
    <w:rsid w:val="00454C1B"/>
    <w:rsid w:val="00454C6A"/>
    <w:rsid w:val="00454F63"/>
    <w:rsid w:val="00454F84"/>
    <w:rsid w:val="00455001"/>
    <w:rsid w:val="00455011"/>
    <w:rsid w:val="00455133"/>
    <w:rsid w:val="004551E1"/>
    <w:rsid w:val="00455207"/>
    <w:rsid w:val="004553A7"/>
    <w:rsid w:val="00455C89"/>
    <w:rsid w:val="00455F18"/>
    <w:rsid w:val="0045604E"/>
    <w:rsid w:val="004567EB"/>
    <w:rsid w:val="00456927"/>
    <w:rsid w:val="004569E9"/>
    <w:rsid w:val="00456C00"/>
    <w:rsid w:val="00456E4B"/>
    <w:rsid w:val="00456F2C"/>
    <w:rsid w:val="00456FA7"/>
    <w:rsid w:val="00457489"/>
    <w:rsid w:val="0045757D"/>
    <w:rsid w:val="00457601"/>
    <w:rsid w:val="004576D1"/>
    <w:rsid w:val="00457973"/>
    <w:rsid w:val="00457A2A"/>
    <w:rsid w:val="00457D29"/>
    <w:rsid w:val="00457DC2"/>
    <w:rsid w:val="00457FFD"/>
    <w:rsid w:val="00460382"/>
    <w:rsid w:val="00460719"/>
    <w:rsid w:val="00460739"/>
    <w:rsid w:val="00460866"/>
    <w:rsid w:val="0046090C"/>
    <w:rsid w:val="0046096D"/>
    <w:rsid w:val="004609F2"/>
    <w:rsid w:val="00460A20"/>
    <w:rsid w:val="00460BC5"/>
    <w:rsid w:val="00460C04"/>
    <w:rsid w:val="00460D80"/>
    <w:rsid w:val="00460F41"/>
    <w:rsid w:val="0046114A"/>
    <w:rsid w:val="00461358"/>
    <w:rsid w:val="00461433"/>
    <w:rsid w:val="00461494"/>
    <w:rsid w:val="0046149D"/>
    <w:rsid w:val="00461517"/>
    <w:rsid w:val="0046164B"/>
    <w:rsid w:val="0046165F"/>
    <w:rsid w:val="00461671"/>
    <w:rsid w:val="00461706"/>
    <w:rsid w:val="00461724"/>
    <w:rsid w:val="004623AA"/>
    <w:rsid w:val="004623B1"/>
    <w:rsid w:val="004625A1"/>
    <w:rsid w:val="004625C9"/>
    <w:rsid w:val="004627B7"/>
    <w:rsid w:val="004627F2"/>
    <w:rsid w:val="004628A0"/>
    <w:rsid w:val="004628D5"/>
    <w:rsid w:val="00462900"/>
    <w:rsid w:val="00462A8D"/>
    <w:rsid w:val="00462E28"/>
    <w:rsid w:val="00462EA2"/>
    <w:rsid w:val="00462FF7"/>
    <w:rsid w:val="0046309F"/>
    <w:rsid w:val="0046314C"/>
    <w:rsid w:val="004631DD"/>
    <w:rsid w:val="0046321B"/>
    <w:rsid w:val="00463431"/>
    <w:rsid w:val="0046363A"/>
    <w:rsid w:val="00463699"/>
    <w:rsid w:val="00463B1C"/>
    <w:rsid w:val="00463D1E"/>
    <w:rsid w:val="00463E3B"/>
    <w:rsid w:val="00463EAC"/>
    <w:rsid w:val="00463F7F"/>
    <w:rsid w:val="004641D0"/>
    <w:rsid w:val="00464260"/>
    <w:rsid w:val="0046432B"/>
    <w:rsid w:val="00464394"/>
    <w:rsid w:val="00464454"/>
    <w:rsid w:val="00464526"/>
    <w:rsid w:val="00464897"/>
    <w:rsid w:val="004648BF"/>
    <w:rsid w:val="00464943"/>
    <w:rsid w:val="00464A69"/>
    <w:rsid w:val="00464C31"/>
    <w:rsid w:val="00464E44"/>
    <w:rsid w:val="00464F9F"/>
    <w:rsid w:val="00465021"/>
    <w:rsid w:val="0046577E"/>
    <w:rsid w:val="004658CB"/>
    <w:rsid w:val="00465D7D"/>
    <w:rsid w:val="00466081"/>
    <w:rsid w:val="004661E9"/>
    <w:rsid w:val="004662E1"/>
    <w:rsid w:val="00466372"/>
    <w:rsid w:val="004668C1"/>
    <w:rsid w:val="004669D6"/>
    <w:rsid w:val="00466A18"/>
    <w:rsid w:val="00466BB5"/>
    <w:rsid w:val="00466DEE"/>
    <w:rsid w:val="00466E66"/>
    <w:rsid w:val="00466FDA"/>
    <w:rsid w:val="004670AA"/>
    <w:rsid w:val="004671F5"/>
    <w:rsid w:val="00467438"/>
    <w:rsid w:val="004674CA"/>
    <w:rsid w:val="00467524"/>
    <w:rsid w:val="00467778"/>
    <w:rsid w:val="004677BB"/>
    <w:rsid w:val="00467826"/>
    <w:rsid w:val="00467880"/>
    <w:rsid w:val="00467897"/>
    <w:rsid w:val="00467913"/>
    <w:rsid w:val="0046795B"/>
    <w:rsid w:val="004679C1"/>
    <w:rsid w:val="00467B4A"/>
    <w:rsid w:val="00467B51"/>
    <w:rsid w:val="00467BDD"/>
    <w:rsid w:val="00467CB8"/>
    <w:rsid w:val="00467CEB"/>
    <w:rsid w:val="00467D2E"/>
    <w:rsid w:val="00467E39"/>
    <w:rsid w:val="00467E7F"/>
    <w:rsid w:val="00467EDA"/>
    <w:rsid w:val="004703C4"/>
    <w:rsid w:val="00470495"/>
    <w:rsid w:val="00470825"/>
    <w:rsid w:val="00470849"/>
    <w:rsid w:val="00470928"/>
    <w:rsid w:val="00470A96"/>
    <w:rsid w:val="00470E9E"/>
    <w:rsid w:val="00470FD0"/>
    <w:rsid w:val="0047101B"/>
    <w:rsid w:val="0047120F"/>
    <w:rsid w:val="004712A8"/>
    <w:rsid w:val="004714E1"/>
    <w:rsid w:val="00471665"/>
    <w:rsid w:val="00471748"/>
    <w:rsid w:val="0047187E"/>
    <w:rsid w:val="00471988"/>
    <w:rsid w:val="00471C24"/>
    <w:rsid w:val="00471E2E"/>
    <w:rsid w:val="00471EF4"/>
    <w:rsid w:val="00471F77"/>
    <w:rsid w:val="00472007"/>
    <w:rsid w:val="004720F2"/>
    <w:rsid w:val="004720FC"/>
    <w:rsid w:val="00472513"/>
    <w:rsid w:val="0047262C"/>
    <w:rsid w:val="004727F6"/>
    <w:rsid w:val="00472950"/>
    <w:rsid w:val="00472957"/>
    <w:rsid w:val="0047297B"/>
    <w:rsid w:val="00472A07"/>
    <w:rsid w:val="00472B4A"/>
    <w:rsid w:val="00472C0C"/>
    <w:rsid w:val="00472C39"/>
    <w:rsid w:val="00472CD2"/>
    <w:rsid w:val="00472FBA"/>
    <w:rsid w:val="004731D8"/>
    <w:rsid w:val="00473252"/>
    <w:rsid w:val="004734A4"/>
    <w:rsid w:val="00473573"/>
    <w:rsid w:val="00473B97"/>
    <w:rsid w:val="00473E02"/>
    <w:rsid w:val="00474058"/>
    <w:rsid w:val="0047427B"/>
    <w:rsid w:val="004742E7"/>
    <w:rsid w:val="00474351"/>
    <w:rsid w:val="00474704"/>
    <w:rsid w:val="004748F1"/>
    <w:rsid w:val="004749FD"/>
    <w:rsid w:val="00474D3E"/>
    <w:rsid w:val="00474F83"/>
    <w:rsid w:val="004750AE"/>
    <w:rsid w:val="004751F1"/>
    <w:rsid w:val="00475260"/>
    <w:rsid w:val="004752F3"/>
    <w:rsid w:val="004756C5"/>
    <w:rsid w:val="0047578A"/>
    <w:rsid w:val="00475875"/>
    <w:rsid w:val="004758BD"/>
    <w:rsid w:val="00475CFF"/>
    <w:rsid w:val="00475DCF"/>
    <w:rsid w:val="00476153"/>
    <w:rsid w:val="00476510"/>
    <w:rsid w:val="0047656A"/>
    <w:rsid w:val="004765D2"/>
    <w:rsid w:val="00476633"/>
    <w:rsid w:val="004766E0"/>
    <w:rsid w:val="004767BE"/>
    <w:rsid w:val="004767D1"/>
    <w:rsid w:val="004768C6"/>
    <w:rsid w:val="00476B19"/>
    <w:rsid w:val="00476E64"/>
    <w:rsid w:val="00476F0F"/>
    <w:rsid w:val="00476FB0"/>
    <w:rsid w:val="00477037"/>
    <w:rsid w:val="00477242"/>
    <w:rsid w:val="0047730E"/>
    <w:rsid w:val="00477428"/>
    <w:rsid w:val="004776D3"/>
    <w:rsid w:val="00477702"/>
    <w:rsid w:val="00477818"/>
    <w:rsid w:val="004778E7"/>
    <w:rsid w:val="00477C3E"/>
    <w:rsid w:val="00477C7D"/>
    <w:rsid w:val="00477D76"/>
    <w:rsid w:val="00477E6D"/>
    <w:rsid w:val="00477EFB"/>
    <w:rsid w:val="00480229"/>
    <w:rsid w:val="00480268"/>
    <w:rsid w:val="004802C7"/>
    <w:rsid w:val="004802EC"/>
    <w:rsid w:val="004805DC"/>
    <w:rsid w:val="004806C1"/>
    <w:rsid w:val="00480734"/>
    <w:rsid w:val="00480841"/>
    <w:rsid w:val="00480A3C"/>
    <w:rsid w:val="00480B94"/>
    <w:rsid w:val="00480C37"/>
    <w:rsid w:val="00480DE5"/>
    <w:rsid w:val="00480EF5"/>
    <w:rsid w:val="00480F38"/>
    <w:rsid w:val="00481108"/>
    <w:rsid w:val="0048132C"/>
    <w:rsid w:val="0048136E"/>
    <w:rsid w:val="00481509"/>
    <w:rsid w:val="004815CA"/>
    <w:rsid w:val="00481949"/>
    <w:rsid w:val="00481B43"/>
    <w:rsid w:val="00481C2A"/>
    <w:rsid w:val="00481C80"/>
    <w:rsid w:val="004823CE"/>
    <w:rsid w:val="004823D7"/>
    <w:rsid w:val="004825BB"/>
    <w:rsid w:val="004825E7"/>
    <w:rsid w:val="004827EF"/>
    <w:rsid w:val="004827F8"/>
    <w:rsid w:val="00482A2D"/>
    <w:rsid w:val="00482B37"/>
    <w:rsid w:val="00482B45"/>
    <w:rsid w:val="00482C59"/>
    <w:rsid w:val="00482C83"/>
    <w:rsid w:val="00482CA9"/>
    <w:rsid w:val="00482D38"/>
    <w:rsid w:val="00482DCC"/>
    <w:rsid w:val="00483159"/>
    <w:rsid w:val="004831BA"/>
    <w:rsid w:val="00483557"/>
    <w:rsid w:val="004838C3"/>
    <w:rsid w:val="00483C08"/>
    <w:rsid w:val="00483C8A"/>
    <w:rsid w:val="00483F86"/>
    <w:rsid w:val="004843CE"/>
    <w:rsid w:val="0048462E"/>
    <w:rsid w:val="004846D0"/>
    <w:rsid w:val="0048470D"/>
    <w:rsid w:val="00484736"/>
    <w:rsid w:val="0048483D"/>
    <w:rsid w:val="00484A34"/>
    <w:rsid w:val="00484BC6"/>
    <w:rsid w:val="00484D85"/>
    <w:rsid w:val="00484E6E"/>
    <w:rsid w:val="00485057"/>
    <w:rsid w:val="004852D8"/>
    <w:rsid w:val="0048532B"/>
    <w:rsid w:val="004854B6"/>
    <w:rsid w:val="004855F0"/>
    <w:rsid w:val="0048566C"/>
    <w:rsid w:val="0048569E"/>
    <w:rsid w:val="00485A14"/>
    <w:rsid w:val="00485A53"/>
    <w:rsid w:val="00485B82"/>
    <w:rsid w:val="00485C1B"/>
    <w:rsid w:val="00485C8C"/>
    <w:rsid w:val="00485E92"/>
    <w:rsid w:val="00486519"/>
    <w:rsid w:val="00486568"/>
    <w:rsid w:val="00486570"/>
    <w:rsid w:val="004865F0"/>
    <w:rsid w:val="00486616"/>
    <w:rsid w:val="00486617"/>
    <w:rsid w:val="0048673F"/>
    <w:rsid w:val="00486908"/>
    <w:rsid w:val="00486988"/>
    <w:rsid w:val="00486AE8"/>
    <w:rsid w:val="00486BE1"/>
    <w:rsid w:val="00486C56"/>
    <w:rsid w:val="00486C99"/>
    <w:rsid w:val="00486D56"/>
    <w:rsid w:val="00486FBF"/>
    <w:rsid w:val="0048700E"/>
    <w:rsid w:val="00487154"/>
    <w:rsid w:val="004871E5"/>
    <w:rsid w:val="004873DB"/>
    <w:rsid w:val="0048741C"/>
    <w:rsid w:val="0048761E"/>
    <w:rsid w:val="0048777E"/>
    <w:rsid w:val="00487916"/>
    <w:rsid w:val="00487AD7"/>
    <w:rsid w:val="00487B52"/>
    <w:rsid w:val="00487CD6"/>
    <w:rsid w:val="00487EF7"/>
    <w:rsid w:val="00490080"/>
    <w:rsid w:val="0049015D"/>
    <w:rsid w:val="00490216"/>
    <w:rsid w:val="004902EC"/>
    <w:rsid w:val="004904AD"/>
    <w:rsid w:val="00490AD5"/>
    <w:rsid w:val="00490B9B"/>
    <w:rsid w:val="00490CF6"/>
    <w:rsid w:val="00490EAE"/>
    <w:rsid w:val="00491061"/>
    <w:rsid w:val="004910C1"/>
    <w:rsid w:val="00491476"/>
    <w:rsid w:val="0049153E"/>
    <w:rsid w:val="00491634"/>
    <w:rsid w:val="00491901"/>
    <w:rsid w:val="00491B39"/>
    <w:rsid w:val="00491BF4"/>
    <w:rsid w:val="00491C06"/>
    <w:rsid w:val="00491D78"/>
    <w:rsid w:val="00491DD4"/>
    <w:rsid w:val="00491F99"/>
    <w:rsid w:val="00492041"/>
    <w:rsid w:val="0049205A"/>
    <w:rsid w:val="004920B0"/>
    <w:rsid w:val="0049214E"/>
    <w:rsid w:val="004922ED"/>
    <w:rsid w:val="00492831"/>
    <w:rsid w:val="00492918"/>
    <w:rsid w:val="00492B22"/>
    <w:rsid w:val="00492B5C"/>
    <w:rsid w:val="00493170"/>
    <w:rsid w:val="004932D6"/>
    <w:rsid w:val="004932DB"/>
    <w:rsid w:val="00493369"/>
    <w:rsid w:val="004934C6"/>
    <w:rsid w:val="00493617"/>
    <w:rsid w:val="004939B8"/>
    <w:rsid w:val="00493A2D"/>
    <w:rsid w:val="00493B63"/>
    <w:rsid w:val="00493BFC"/>
    <w:rsid w:val="00493DEC"/>
    <w:rsid w:val="00493FF5"/>
    <w:rsid w:val="004940F3"/>
    <w:rsid w:val="004941AE"/>
    <w:rsid w:val="00494380"/>
    <w:rsid w:val="004944B8"/>
    <w:rsid w:val="004948CF"/>
    <w:rsid w:val="00494931"/>
    <w:rsid w:val="00494B63"/>
    <w:rsid w:val="00494B74"/>
    <w:rsid w:val="00494C20"/>
    <w:rsid w:val="00494C90"/>
    <w:rsid w:val="00494D69"/>
    <w:rsid w:val="00494D91"/>
    <w:rsid w:val="00494DFD"/>
    <w:rsid w:val="00494FFD"/>
    <w:rsid w:val="004953C2"/>
    <w:rsid w:val="004953EF"/>
    <w:rsid w:val="00495639"/>
    <w:rsid w:val="00495728"/>
    <w:rsid w:val="00495C47"/>
    <w:rsid w:val="00495E55"/>
    <w:rsid w:val="00495E7A"/>
    <w:rsid w:val="00496174"/>
    <w:rsid w:val="0049629C"/>
    <w:rsid w:val="004963F5"/>
    <w:rsid w:val="0049654D"/>
    <w:rsid w:val="0049656C"/>
    <w:rsid w:val="00496672"/>
    <w:rsid w:val="00496690"/>
    <w:rsid w:val="0049676B"/>
    <w:rsid w:val="00496A01"/>
    <w:rsid w:val="00496B2A"/>
    <w:rsid w:val="00496DD0"/>
    <w:rsid w:val="00496F56"/>
    <w:rsid w:val="0049705C"/>
    <w:rsid w:val="00497074"/>
    <w:rsid w:val="0049722E"/>
    <w:rsid w:val="00497293"/>
    <w:rsid w:val="004972CB"/>
    <w:rsid w:val="004973B5"/>
    <w:rsid w:val="00497447"/>
    <w:rsid w:val="0049751C"/>
    <w:rsid w:val="0049766C"/>
    <w:rsid w:val="00497756"/>
    <w:rsid w:val="00497760"/>
    <w:rsid w:val="0049784E"/>
    <w:rsid w:val="0049798D"/>
    <w:rsid w:val="0049798E"/>
    <w:rsid w:val="00497CD3"/>
    <w:rsid w:val="00497E54"/>
    <w:rsid w:val="00497F38"/>
    <w:rsid w:val="004A0056"/>
    <w:rsid w:val="004A011D"/>
    <w:rsid w:val="004A015D"/>
    <w:rsid w:val="004A01C3"/>
    <w:rsid w:val="004A02D8"/>
    <w:rsid w:val="004A03D1"/>
    <w:rsid w:val="004A0570"/>
    <w:rsid w:val="004A0BEB"/>
    <w:rsid w:val="004A0C90"/>
    <w:rsid w:val="004A0DB9"/>
    <w:rsid w:val="004A0E2B"/>
    <w:rsid w:val="004A0EE5"/>
    <w:rsid w:val="004A0FE9"/>
    <w:rsid w:val="004A10AF"/>
    <w:rsid w:val="004A10D4"/>
    <w:rsid w:val="004A1389"/>
    <w:rsid w:val="004A13C7"/>
    <w:rsid w:val="004A16BB"/>
    <w:rsid w:val="004A1773"/>
    <w:rsid w:val="004A182D"/>
    <w:rsid w:val="004A1924"/>
    <w:rsid w:val="004A1B06"/>
    <w:rsid w:val="004A1B60"/>
    <w:rsid w:val="004A1BBE"/>
    <w:rsid w:val="004A1E34"/>
    <w:rsid w:val="004A1E69"/>
    <w:rsid w:val="004A1F07"/>
    <w:rsid w:val="004A1FAF"/>
    <w:rsid w:val="004A211F"/>
    <w:rsid w:val="004A2276"/>
    <w:rsid w:val="004A26A9"/>
    <w:rsid w:val="004A278A"/>
    <w:rsid w:val="004A27ED"/>
    <w:rsid w:val="004A2929"/>
    <w:rsid w:val="004A29C4"/>
    <w:rsid w:val="004A2D9D"/>
    <w:rsid w:val="004A2E50"/>
    <w:rsid w:val="004A2E66"/>
    <w:rsid w:val="004A30B5"/>
    <w:rsid w:val="004A30ED"/>
    <w:rsid w:val="004A32BA"/>
    <w:rsid w:val="004A33BF"/>
    <w:rsid w:val="004A355B"/>
    <w:rsid w:val="004A3737"/>
    <w:rsid w:val="004A375C"/>
    <w:rsid w:val="004A388F"/>
    <w:rsid w:val="004A3962"/>
    <w:rsid w:val="004A3A59"/>
    <w:rsid w:val="004A3A6B"/>
    <w:rsid w:val="004A3C47"/>
    <w:rsid w:val="004A3E97"/>
    <w:rsid w:val="004A3FB4"/>
    <w:rsid w:val="004A40EC"/>
    <w:rsid w:val="004A439A"/>
    <w:rsid w:val="004A443B"/>
    <w:rsid w:val="004A4537"/>
    <w:rsid w:val="004A456D"/>
    <w:rsid w:val="004A4985"/>
    <w:rsid w:val="004A498E"/>
    <w:rsid w:val="004A4E13"/>
    <w:rsid w:val="004A5C4C"/>
    <w:rsid w:val="004A5C87"/>
    <w:rsid w:val="004A5DB8"/>
    <w:rsid w:val="004A5DCB"/>
    <w:rsid w:val="004A5F9B"/>
    <w:rsid w:val="004A6086"/>
    <w:rsid w:val="004A6226"/>
    <w:rsid w:val="004A623E"/>
    <w:rsid w:val="004A6439"/>
    <w:rsid w:val="004A69AC"/>
    <w:rsid w:val="004A6C6D"/>
    <w:rsid w:val="004A6E47"/>
    <w:rsid w:val="004A6E7C"/>
    <w:rsid w:val="004A6ECD"/>
    <w:rsid w:val="004A73AF"/>
    <w:rsid w:val="004A75DD"/>
    <w:rsid w:val="004A76A9"/>
    <w:rsid w:val="004A76AE"/>
    <w:rsid w:val="004A77B4"/>
    <w:rsid w:val="004A7C88"/>
    <w:rsid w:val="004A7DBD"/>
    <w:rsid w:val="004A7E53"/>
    <w:rsid w:val="004A7EB1"/>
    <w:rsid w:val="004B025C"/>
    <w:rsid w:val="004B02EB"/>
    <w:rsid w:val="004B03C1"/>
    <w:rsid w:val="004B0508"/>
    <w:rsid w:val="004B0538"/>
    <w:rsid w:val="004B069E"/>
    <w:rsid w:val="004B06AF"/>
    <w:rsid w:val="004B06CF"/>
    <w:rsid w:val="004B07E0"/>
    <w:rsid w:val="004B0AAB"/>
    <w:rsid w:val="004B0E54"/>
    <w:rsid w:val="004B0F18"/>
    <w:rsid w:val="004B0F30"/>
    <w:rsid w:val="004B1208"/>
    <w:rsid w:val="004B1492"/>
    <w:rsid w:val="004B159C"/>
    <w:rsid w:val="004B1688"/>
    <w:rsid w:val="004B16A9"/>
    <w:rsid w:val="004B1BC3"/>
    <w:rsid w:val="004B1DC0"/>
    <w:rsid w:val="004B1FDD"/>
    <w:rsid w:val="004B210D"/>
    <w:rsid w:val="004B2128"/>
    <w:rsid w:val="004B216D"/>
    <w:rsid w:val="004B22D3"/>
    <w:rsid w:val="004B2431"/>
    <w:rsid w:val="004B24A5"/>
    <w:rsid w:val="004B259D"/>
    <w:rsid w:val="004B260D"/>
    <w:rsid w:val="004B266C"/>
    <w:rsid w:val="004B2718"/>
    <w:rsid w:val="004B2909"/>
    <w:rsid w:val="004B2A20"/>
    <w:rsid w:val="004B2C85"/>
    <w:rsid w:val="004B2D45"/>
    <w:rsid w:val="004B2E40"/>
    <w:rsid w:val="004B2EDD"/>
    <w:rsid w:val="004B30A7"/>
    <w:rsid w:val="004B3319"/>
    <w:rsid w:val="004B33C0"/>
    <w:rsid w:val="004B356A"/>
    <w:rsid w:val="004B387D"/>
    <w:rsid w:val="004B3A25"/>
    <w:rsid w:val="004B3B38"/>
    <w:rsid w:val="004B3C7B"/>
    <w:rsid w:val="004B3DB8"/>
    <w:rsid w:val="004B414B"/>
    <w:rsid w:val="004B42C2"/>
    <w:rsid w:val="004B434F"/>
    <w:rsid w:val="004B43BD"/>
    <w:rsid w:val="004B4439"/>
    <w:rsid w:val="004B44C8"/>
    <w:rsid w:val="004B4566"/>
    <w:rsid w:val="004B4963"/>
    <w:rsid w:val="004B49BE"/>
    <w:rsid w:val="004B4ED5"/>
    <w:rsid w:val="004B51D0"/>
    <w:rsid w:val="004B5604"/>
    <w:rsid w:val="004B5609"/>
    <w:rsid w:val="004B5735"/>
    <w:rsid w:val="004B5C5D"/>
    <w:rsid w:val="004B6033"/>
    <w:rsid w:val="004B64C3"/>
    <w:rsid w:val="004B6676"/>
    <w:rsid w:val="004B67AA"/>
    <w:rsid w:val="004B684A"/>
    <w:rsid w:val="004B6924"/>
    <w:rsid w:val="004B6942"/>
    <w:rsid w:val="004B694F"/>
    <w:rsid w:val="004B6A1D"/>
    <w:rsid w:val="004B6A3C"/>
    <w:rsid w:val="004B6E1C"/>
    <w:rsid w:val="004B70B1"/>
    <w:rsid w:val="004B71AE"/>
    <w:rsid w:val="004B7296"/>
    <w:rsid w:val="004B730D"/>
    <w:rsid w:val="004B76A5"/>
    <w:rsid w:val="004B76D4"/>
    <w:rsid w:val="004B7719"/>
    <w:rsid w:val="004B7745"/>
    <w:rsid w:val="004B7904"/>
    <w:rsid w:val="004B79C0"/>
    <w:rsid w:val="004B7A12"/>
    <w:rsid w:val="004B7BD0"/>
    <w:rsid w:val="004B7D42"/>
    <w:rsid w:val="004C001B"/>
    <w:rsid w:val="004C00A2"/>
    <w:rsid w:val="004C0206"/>
    <w:rsid w:val="004C053D"/>
    <w:rsid w:val="004C0953"/>
    <w:rsid w:val="004C0A76"/>
    <w:rsid w:val="004C0A9B"/>
    <w:rsid w:val="004C0C47"/>
    <w:rsid w:val="004C0D7F"/>
    <w:rsid w:val="004C1117"/>
    <w:rsid w:val="004C1131"/>
    <w:rsid w:val="004C11B7"/>
    <w:rsid w:val="004C1354"/>
    <w:rsid w:val="004C139D"/>
    <w:rsid w:val="004C13D1"/>
    <w:rsid w:val="004C13FE"/>
    <w:rsid w:val="004C16A2"/>
    <w:rsid w:val="004C16D5"/>
    <w:rsid w:val="004C1774"/>
    <w:rsid w:val="004C18D8"/>
    <w:rsid w:val="004C1967"/>
    <w:rsid w:val="004C1996"/>
    <w:rsid w:val="004C19AB"/>
    <w:rsid w:val="004C1F05"/>
    <w:rsid w:val="004C1F2D"/>
    <w:rsid w:val="004C1F9D"/>
    <w:rsid w:val="004C21FD"/>
    <w:rsid w:val="004C2208"/>
    <w:rsid w:val="004C2283"/>
    <w:rsid w:val="004C2323"/>
    <w:rsid w:val="004C2634"/>
    <w:rsid w:val="004C272E"/>
    <w:rsid w:val="004C2742"/>
    <w:rsid w:val="004C29D4"/>
    <w:rsid w:val="004C2AA8"/>
    <w:rsid w:val="004C2B58"/>
    <w:rsid w:val="004C2D0A"/>
    <w:rsid w:val="004C3173"/>
    <w:rsid w:val="004C33CF"/>
    <w:rsid w:val="004C35D3"/>
    <w:rsid w:val="004C3710"/>
    <w:rsid w:val="004C3882"/>
    <w:rsid w:val="004C3895"/>
    <w:rsid w:val="004C390F"/>
    <w:rsid w:val="004C3B08"/>
    <w:rsid w:val="004C3D75"/>
    <w:rsid w:val="004C41BC"/>
    <w:rsid w:val="004C4341"/>
    <w:rsid w:val="004C4753"/>
    <w:rsid w:val="004C47C8"/>
    <w:rsid w:val="004C47F5"/>
    <w:rsid w:val="004C4890"/>
    <w:rsid w:val="004C4BBA"/>
    <w:rsid w:val="004C4C53"/>
    <w:rsid w:val="004C4D27"/>
    <w:rsid w:val="004C4E56"/>
    <w:rsid w:val="004C4E8F"/>
    <w:rsid w:val="004C51DB"/>
    <w:rsid w:val="004C534C"/>
    <w:rsid w:val="004C53AF"/>
    <w:rsid w:val="004C5400"/>
    <w:rsid w:val="004C5632"/>
    <w:rsid w:val="004C5941"/>
    <w:rsid w:val="004C5AAD"/>
    <w:rsid w:val="004C5EC5"/>
    <w:rsid w:val="004C5F2E"/>
    <w:rsid w:val="004C609F"/>
    <w:rsid w:val="004C6542"/>
    <w:rsid w:val="004C65F4"/>
    <w:rsid w:val="004C6691"/>
    <w:rsid w:val="004C675C"/>
    <w:rsid w:val="004C678A"/>
    <w:rsid w:val="004C6832"/>
    <w:rsid w:val="004C6AEA"/>
    <w:rsid w:val="004C6AFA"/>
    <w:rsid w:val="004C6B48"/>
    <w:rsid w:val="004C6D65"/>
    <w:rsid w:val="004C6E97"/>
    <w:rsid w:val="004C6F62"/>
    <w:rsid w:val="004C6F6B"/>
    <w:rsid w:val="004C7104"/>
    <w:rsid w:val="004C7105"/>
    <w:rsid w:val="004C712C"/>
    <w:rsid w:val="004C7235"/>
    <w:rsid w:val="004C7433"/>
    <w:rsid w:val="004C752D"/>
    <w:rsid w:val="004C763F"/>
    <w:rsid w:val="004C7698"/>
    <w:rsid w:val="004C774B"/>
    <w:rsid w:val="004C79C1"/>
    <w:rsid w:val="004C7A37"/>
    <w:rsid w:val="004C7C0A"/>
    <w:rsid w:val="004C7D56"/>
    <w:rsid w:val="004C7D6A"/>
    <w:rsid w:val="004C7F4B"/>
    <w:rsid w:val="004C7F99"/>
    <w:rsid w:val="004D0290"/>
    <w:rsid w:val="004D06E9"/>
    <w:rsid w:val="004D074B"/>
    <w:rsid w:val="004D0894"/>
    <w:rsid w:val="004D0A51"/>
    <w:rsid w:val="004D0CED"/>
    <w:rsid w:val="004D0F6E"/>
    <w:rsid w:val="004D11B1"/>
    <w:rsid w:val="004D1287"/>
    <w:rsid w:val="004D12AB"/>
    <w:rsid w:val="004D12DD"/>
    <w:rsid w:val="004D14BC"/>
    <w:rsid w:val="004D1723"/>
    <w:rsid w:val="004D1983"/>
    <w:rsid w:val="004D1B2D"/>
    <w:rsid w:val="004D1C5D"/>
    <w:rsid w:val="004D1E75"/>
    <w:rsid w:val="004D1FCD"/>
    <w:rsid w:val="004D1FD0"/>
    <w:rsid w:val="004D2087"/>
    <w:rsid w:val="004D217B"/>
    <w:rsid w:val="004D224D"/>
    <w:rsid w:val="004D2296"/>
    <w:rsid w:val="004D22A5"/>
    <w:rsid w:val="004D255B"/>
    <w:rsid w:val="004D2661"/>
    <w:rsid w:val="004D2701"/>
    <w:rsid w:val="004D2A5C"/>
    <w:rsid w:val="004D2C93"/>
    <w:rsid w:val="004D2E90"/>
    <w:rsid w:val="004D3115"/>
    <w:rsid w:val="004D32F8"/>
    <w:rsid w:val="004D33A5"/>
    <w:rsid w:val="004D3421"/>
    <w:rsid w:val="004D346C"/>
    <w:rsid w:val="004D360F"/>
    <w:rsid w:val="004D3707"/>
    <w:rsid w:val="004D37D2"/>
    <w:rsid w:val="004D37E7"/>
    <w:rsid w:val="004D383E"/>
    <w:rsid w:val="004D387C"/>
    <w:rsid w:val="004D41A4"/>
    <w:rsid w:val="004D4534"/>
    <w:rsid w:val="004D457E"/>
    <w:rsid w:val="004D4620"/>
    <w:rsid w:val="004D4694"/>
    <w:rsid w:val="004D4823"/>
    <w:rsid w:val="004D48D1"/>
    <w:rsid w:val="004D48F7"/>
    <w:rsid w:val="004D4AC1"/>
    <w:rsid w:val="004D4AF4"/>
    <w:rsid w:val="004D4C08"/>
    <w:rsid w:val="004D4CD6"/>
    <w:rsid w:val="004D4F2A"/>
    <w:rsid w:val="004D4FD7"/>
    <w:rsid w:val="004D52F8"/>
    <w:rsid w:val="004D5890"/>
    <w:rsid w:val="004D58FB"/>
    <w:rsid w:val="004D5A98"/>
    <w:rsid w:val="004D5F75"/>
    <w:rsid w:val="004D5FCB"/>
    <w:rsid w:val="004D608A"/>
    <w:rsid w:val="004D620D"/>
    <w:rsid w:val="004D6240"/>
    <w:rsid w:val="004D63BE"/>
    <w:rsid w:val="004D6478"/>
    <w:rsid w:val="004D66D4"/>
    <w:rsid w:val="004D6AD4"/>
    <w:rsid w:val="004D6C43"/>
    <w:rsid w:val="004D6DCB"/>
    <w:rsid w:val="004D6F08"/>
    <w:rsid w:val="004D743A"/>
    <w:rsid w:val="004D74DF"/>
    <w:rsid w:val="004D7678"/>
    <w:rsid w:val="004D7C74"/>
    <w:rsid w:val="004D7D9D"/>
    <w:rsid w:val="004D7DC8"/>
    <w:rsid w:val="004D7E3B"/>
    <w:rsid w:val="004D7F44"/>
    <w:rsid w:val="004E015D"/>
    <w:rsid w:val="004E04E3"/>
    <w:rsid w:val="004E04E8"/>
    <w:rsid w:val="004E04F2"/>
    <w:rsid w:val="004E0536"/>
    <w:rsid w:val="004E083E"/>
    <w:rsid w:val="004E086E"/>
    <w:rsid w:val="004E0A91"/>
    <w:rsid w:val="004E0BA9"/>
    <w:rsid w:val="004E0CB6"/>
    <w:rsid w:val="004E0E0E"/>
    <w:rsid w:val="004E0EC4"/>
    <w:rsid w:val="004E1084"/>
    <w:rsid w:val="004E108A"/>
    <w:rsid w:val="004E118D"/>
    <w:rsid w:val="004E13C0"/>
    <w:rsid w:val="004E13ED"/>
    <w:rsid w:val="004E19EB"/>
    <w:rsid w:val="004E19F5"/>
    <w:rsid w:val="004E1A25"/>
    <w:rsid w:val="004E1A54"/>
    <w:rsid w:val="004E1BE5"/>
    <w:rsid w:val="004E1D28"/>
    <w:rsid w:val="004E1FE4"/>
    <w:rsid w:val="004E21B3"/>
    <w:rsid w:val="004E22FF"/>
    <w:rsid w:val="004E2433"/>
    <w:rsid w:val="004E2587"/>
    <w:rsid w:val="004E25C9"/>
    <w:rsid w:val="004E25F3"/>
    <w:rsid w:val="004E264B"/>
    <w:rsid w:val="004E279E"/>
    <w:rsid w:val="004E286C"/>
    <w:rsid w:val="004E2B8C"/>
    <w:rsid w:val="004E2C0E"/>
    <w:rsid w:val="004E2C98"/>
    <w:rsid w:val="004E2F6B"/>
    <w:rsid w:val="004E3118"/>
    <w:rsid w:val="004E3325"/>
    <w:rsid w:val="004E3361"/>
    <w:rsid w:val="004E339F"/>
    <w:rsid w:val="004E3403"/>
    <w:rsid w:val="004E3774"/>
    <w:rsid w:val="004E37C4"/>
    <w:rsid w:val="004E37EC"/>
    <w:rsid w:val="004E3A29"/>
    <w:rsid w:val="004E3CE7"/>
    <w:rsid w:val="004E3D6F"/>
    <w:rsid w:val="004E3E55"/>
    <w:rsid w:val="004E3E8C"/>
    <w:rsid w:val="004E4077"/>
    <w:rsid w:val="004E422E"/>
    <w:rsid w:val="004E4455"/>
    <w:rsid w:val="004E452F"/>
    <w:rsid w:val="004E5396"/>
    <w:rsid w:val="004E5620"/>
    <w:rsid w:val="004E566F"/>
    <w:rsid w:val="004E5A86"/>
    <w:rsid w:val="004E5B62"/>
    <w:rsid w:val="004E5E01"/>
    <w:rsid w:val="004E5F7E"/>
    <w:rsid w:val="004E6122"/>
    <w:rsid w:val="004E61D7"/>
    <w:rsid w:val="004E64E2"/>
    <w:rsid w:val="004E65E9"/>
    <w:rsid w:val="004E66C0"/>
    <w:rsid w:val="004E66DB"/>
    <w:rsid w:val="004E673C"/>
    <w:rsid w:val="004E6807"/>
    <w:rsid w:val="004E6CC7"/>
    <w:rsid w:val="004E6D08"/>
    <w:rsid w:val="004E6D6A"/>
    <w:rsid w:val="004E6E46"/>
    <w:rsid w:val="004E6F1F"/>
    <w:rsid w:val="004E7401"/>
    <w:rsid w:val="004E743F"/>
    <w:rsid w:val="004E7564"/>
    <w:rsid w:val="004E7594"/>
    <w:rsid w:val="004E76F2"/>
    <w:rsid w:val="004E7954"/>
    <w:rsid w:val="004E7E9F"/>
    <w:rsid w:val="004F01EC"/>
    <w:rsid w:val="004F02D9"/>
    <w:rsid w:val="004F0601"/>
    <w:rsid w:val="004F06E4"/>
    <w:rsid w:val="004F0988"/>
    <w:rsid w:val="004F0AAC"/>
    <w:rsid w:val="004F11E4"/>
    <w:rsid w:val="004F1269"/>
    <w:rsid w:val="004F1337"/>
    <w:rsid w:val="004F137D"/>
    <w:rsid w:val="004F1450"/>
    <w:rsid w:val="004F14AA"/>
    <w:rsid w:val="004F157B"/>
    <w:rsid w:val="004F1604"/>
    <w:rsid w:val="004F174A"/>
    <w:rsid w:val="004F17FD"/>
    <w:rsid w:val="004F18A7"/>
    <w:rsid w:val="004F19EA"/>
    <w:rsid w:val="004F1C35"/>
    <w:rsid w:val="004F2004"/>
    <w:rsid w:val="004F20E6"/>
    <w:rsid w:val="004F2153"/>
    <w:rsid w:val="004F286C"/>
    <w:rsid w:val="004F2917"/>
    <w:rsid w:val="004F2A9E"/>
    <w:rsid w:val="004F2AA1"/>
    <w:rsid w:val="004F2B46"/>
    <w:rsid w:val="004F2B91"/>
    <w:rsid w:val="004F320D"/>
    <w:rsid w:val="004F3416"/>
    <w:rsid w:val="004F36BA"/>
    <w:rsid w:val="004F3AF0"/>
    <w:rsid w:val="004F3C96"/>
    <w:rsid w:val="004F3D96"/>
    <w:rsid w:val="004F3F8C"/>
    <w:rsid w:val="004F4089"/>
    <w:rsid w:val="004F4248"/>
    <w:rsid w:val="004F458B"/>
    <w:rsid w:val="004F45EA"/>
    <w:rsid w:val="004F473B"/>
    <w:rsid w:val="004F47E6"/>
    <w:rsid w:val="004F4970"/>
    <w:rsid w:val="004F497D"/>
    <w:rsid w:val="004F4980"/>
    <w:rsid w:val="004F49B5"/>
    <w:rsid w:val="004F4B94"/>
    <w:rsid w:val="004F4CEC"/>
    <w:rsid w:val="004F4D1B"/>
    <w:rsid w:val="004F4D25"/>
    <w:rsid w:val="004F4DA2"/>
    <w:rsid w:val="004F50B5"/>
    <w:rsid w:val="004F514B"/>
    <w:rsid w:val="004F515C"/>
    <w:rsid w:val="004F52D6"/>
    <w:rsid w:val="004F5310"/>
    <w:rsid w:val="004F55EE"/>
    <w:rsid w:val="004F56D3"/>
    <w:rsid w:val="004F588E"/>
    <w:rsid w:val="004F5F03"/>
    <w:rsid w:val="004F5F19"/>
    <w:rsid w:val="004F5FC2"/>
    <w:rsid w:val="004F619C"/>
    <w:rsid w:val="004F61BF"/>
    <w:rsid w:val="004F623F"/>
    <w:rsid w:val="004F634F"/>
    <w:rsid w:val="004F63E5"/>
    <w:rsid w:val="004F6448"/>
    <w:rsid w:val="004F6670"/>
    <w:rsid w:val="004F6B1F"/>
    <w:rsid w:val="004F6E52"/>
    <w:rsid w:val="004F7099"/>
    <w:rsid w:val="004F714F"/>
    <w:rsid w:val="004F7278"/>
    <w:rsid w:val="004F730B"/>
    <w:rsid w:val="004F730C"/>
    <w:rsid w:val="004F7324"/>
    <w:rsid w:val="004F73CF"/>
    <w:rsid w:val="004F73ED"/>
    <w:rsid w:val="004F75AA"/>
    <w:rsid w:val="004F75E3"/>
    <w:rsid w:val="004F7853"/>
    <w:rsid w:val="004F7A09"/>
    <w:rsid w:val="004F7C06"/>
    <w:rsid w:val="004F7CCD"/>
    <w:rsid w:val="00500006"/>
    <w:rsid w:val="005000D2"/>
    <w:rsid w:val="0050013F"/>
    <w:rsid w:val="005002E7"/>
    <w:rsid w:val="0050060F"/>
    <w:rsid w:val="00500707"/>
    <w:rsid w:val="0050087F"/>
    <w:rsid w:val="00500AF5"/>
    <w:rsid w:val="00500C56"/>
    <w:rsid w:val="00500EB0"/>
    <w:rsid w:val="00500F4D"/>
    <w:rsid w:val="00501056"/>
    <w:rsid w:val="0050126D"/>
    <w:rsid w:val="0050129F"/>
    <w:rsid w:val="005012BC"/>
    <w:rsid w:val="005012EE"/>
    <w:rsid w:val="005013CA"/>
    <w:rsid w:val="00501620"/>
    <w:rsid w:val="00501928"/>
    <w:rsid w:val="00501B57"/>
    <w:rsid w:val="00501CB1"/>
    <w:rsid w:val="00501CEA"/>
    <w:rsid w:val="00501D0F"/>
    <w:rsid w:val="00502012"/>
    <w:rsid w:val="00502345"/>
    <w:rsid w:val="005024EA"/>
    <w:rsid w:val="00502505"/>
    <w:rsid w:val="005025F1"/>
    <w:rsid w:val="005027FA"/>
    <w:rsid w:val="005028F4"/>
    <w:rsid w:val="00502976"/>
    <w:rsid w:val="00502A11"/>
    <w:rsid w:val="00502A9D"/>
    <w:rsid w:val="00502EBF"/>
    <w:rsid w:val="00502F4F"/>
    <w:rsid w:val="005030A6"/>
    <w:rsid w:val="005031FF"/>
    <w:rsid w:val="00503E0E"/>
    <w:rsid w:val="00503F24"/>
    <w:rsid w:val="00504545"/>
    <w:rsid w:val="0050470D"/>
    <w:rsid w:val="0050479C"/>
    <w:rsid w:val="005047DC"/>
    <w:rsid w:val="0050483C"/>
    <w:rsid w:val="00504959"/>
    <w:rsid w:val="00504A84"/>
    <w:rsid w:val="00504B99"/>
    <w:rsid w:val="00504C27"/>
    <w:rsid w:val="00504C7B"/>
    <w:rsid w:val="00504E27"/>
    <w:rsid w:val="00504FA7"/>
    <w:rsid w:val="00504FD5"/>
    <w:rsid w:val="005052B3"/>
    <w:rsid w:val="005053D0"/>
    <w:rsid w:val="00505486"/>
    <w:rsid w:val="00505551"/>
    <w:rsid w:val="005056A1"/>
    <w:rsid w:val="005056A7"/>
    <w:rsid w:val="005057A8"/>
    <w:rsid w:val="00505B98"/>
    <w:rsid w:val="00505B9B"/>
    <w:rsid w:val="00505CA2"/>
    <w:rsid w:val="00505E14"/>
    <w:rsid w:val="00505F54"/>
    <w:rsid w:val="00505FB0"/>
    <w:rsid w:val="00505FD2"/>
    <w:rsid w:val="00506001"/>
    <w:rsid w:val="00506042"/>
    <w:rsid w:val="005060BC"/>
    <w:rsid w:val="00506192"/>
    <w:rsid w:val="00506299"/>
    <w:rsid w:val="00506304"/>
    <w:rsid w:val="00506381"/>
    <w:rsid w:val="00506920"/>
    <w:rsid w:val="005069D3"/>
    <w:rsid w:val="00506B9A"/>
    <w:rsid w:val="00506BC2"/>
    <w:rsid w:val="00506BDF"/>
    <w:rsid w:val="00506C4D"/>
    <w:rsid w:val="00506C8B"/>
    <w:rsid w:val="00506CD4"/>
    <w:rsid w:val="00506D5A"/>
    <w:rsid w:val="00506E41"/>
    <w:rsid w:val="00506E51"/>
    <w:rsid w:val="00506F15"/>
    <w:rsid w:val="00507166"/>
    <w:rsid w:val="0050727F"/>
    <w:rsid w:val="00507773"/>
    <w:rsid w:val="00507783"/>
    <w:rsid w:val="005077FB"/>
    <w:rsid w:val="0050796C"/>
    <w:rsid w:val="00507999"/>
    <w:rsid w:val="00507D88"/>
    <w:rsid w:val="00507DA1"/>
    <w:rsid w:val="00507F29"/>
    <w:rsid w:val="0051036D"/>
    <w:rsid w:val="005103E3"/>
    <w:rsid w:val="00510582"/>
    <w:rsid w:val="00510583"/>
    <w:rsid w:val="0051086D"/>
    <w:rsid w:val="005108CD"/>
    <w:rsid w:val="00510AD4"/>
    <w:rsid w:val="00510BEB"/>
    <w:rsid w:val="00510BFC"/>
    <w:rsid w:val="00510E3A"/>
    <w:rsid w:val="00510F4C"/>
    <w:rsid w:val="00510FB4"/>
    <w:rsid w:val="00511617"/>
    <w:rsid w:val="0051178C"/>
    <w:rsid w:val="005117D9"/>
    <w:rsid w:val="0051194C"/>
    <w:rsid w:val="005119A8"/>
    <w:rsid w:val="00511A26"/>
    <w:rsid w:val="00511AD9"/>
    <w:rsid w:val="00511B6C"/>
    <w:rsid w:val="00511BE4"/>
    <w:rsid w:val="00511C11"/>
    <w:rsid w:val="00511C72"/>
    <w:rsid w:val="00511D0A"/>
    <w:rsid w:val="00511F8D"/>
    <w:rsid w:val="00511FB6"/>
    <w:rsid w:val="00512059"/>
    <w:rsid w:val="005120E1"/>
    <w:rsid w:val="00512211"/>
    <w:rsid w:val="0051228F"/>
    <w:rsid w:val="005122E2"/>
    <w:rsid w:val="005122E4"/>
    <w:rsid w:val="0051233C"/>
    <w:rsid w:val="0051235D"/>
    <w:rsid w:val="005123C3"/>
    <w:rsid w:val="005123CE"/>
    <w:rsid w:val="005123D1"/>
    <w:rsid w:val="005125B6"/>
    <w:rsid w:val="00512828"/>
    <w:rsid w:val="005128E7"/>
    <w:rsid w:val="00512970"/>
    <w:rsid w:val="00512982"/>
    <w:rsid w:val="00512E0C"/>
    <w:rsid w:val="00512EFC"/>
    <w:rsid w:val="00512F3F"/>
    <w:rsid w:val="00512FF7"/>
    <w:rsid w:val="00513279"/>
    <w:rsid w:val="005132DB"/>
    <w:rsid w:val="005132FA"/>
    <w:rsid w:val="00513AAC"/>
    <w:rsid w:val="00513ED7"/>
    <w:rsid w:val="00513F16"/>
    <w:rsid w:val="00514016"/>
    <w:rsid w:val="00514114"/>
    <w:rsid w:val="005141ED"/>
    <w:rsid w:val="0051429B"/>
    <w:rsid w:val="0051434F"/>
    <w:rsid w:val="00514466"/>
    <w:rsid w:val="005144BA"/>
    <w:rsid w:val="0051464E"/>
    <w:rsid w:val="005148CF"/>
    <w:rsid w:val="0051495A"/>
    <w:rsid w:val="00514B6F"/>
    <w:rsid w:val="00514BE7"/>
    <w:rsid w:val="00514F60"/>
    <w:rsid w:val="00514F99"/>
    <w:rsid w:val="00515431"/>
    <w:rsid w:val="00515436"/>
    <w:rsid w:val="005154F9"/>
    <w:rsid w:val="00515618"/>
    <w:rsid w:val="00515968"/>
    <w:rsid w:val="00515B00"/>
    <w:rsid w:val="00515EA9"/>
    <w:rsid w:val="00515F82"/>
    <w:rsid w:val="00516282"/>
    <w:rsid w:val="005162D0"/>
    <w:rsid w:val="005167E9"/>
    <w:rsid w:val="00516849"/>
    <w:rsid w:val="00516A6A"/>
    <w:rsid w:val="00516AF5"/>
    <w:rsid w:val="00516CA4"/>
    <w:rsid w:val="00516FFD"/>
    <w:rsid w:val="00517774"/>
    <w:rsid w:val="005178EE"/>
    <w:rsid w:val="005179B0"/>
    <w:rsid w:val="00517A61"/>
    <w:rsid w:val="00520189"/>
    <w:rsid w:val="00520339"/>
    <w:rsid w:val="005203EA"/>
    <w:rsid w:val="0052055F"/>
    <w:rsid w:val="005205E5"/>
    <w:rsid w:val="00520718"/>
    <w:rsid w:val="005208E4"/>
    <w:rsid w:val="005209D1"/>
    <w:rsid w:val="00520A27"/>
    <w:rsid w:val="00520B11"/>
    <w:rsid w:val="00521232"/>
    <w:rsid w:val="00521468"/>
    <w:rsid w:val="00521521"/>
    <w:rsid w:val="00521530"/>
    <w:rsid w:val="0052159E"/>
    <w:rsid w:val="00521753"/>
    <w:rsid w:val="005217EE"/>
    <w:rsid w:val="00521C63"/>
    <w:rsid w:val="00521DBA"/>
    <w:rsid w:val="00521E20"/>
    <w:rsid w:val="00522198"/>
    <w:rsid w:val="00522255"/>
    <w:rsid w:val="005222B8"/>
    <w:rsid w:val="005224B7"/>
    <w:rsid w:val="005225E1"/>
    <w:rsid w:val="0052268B"/>
    <w:rsid w:val="0052280F"/>
    <w:rsid w:val="00522868"/>
    <w:rsid w:val="00522C2F"/>
    <w:rsid w:val="00522CEE"/>
    <w:rsid w:val="00522D88"/>
    <w:rsid w:val="00522DEC"/>
    <w:rsid w:val="00522F0E"/>
    <w:rsid w:val="0052300F"/>
    <w:rsid w:val="0052320F"/>
    <w:rsid w:val="0052359C"/>
    <w:rsid w:val="00523682"/>
    <w:rsid w:val="005238A9"/>
    <w:rsid w:val="005238BE"/>
    <w:rsid w:val="00523996"/>
    <w:rsid w:val="00523AF2"/>
    <w:rsid w:val="00523BDC"/>
    <w:rsid w:val="00523C19"/>
    <w:rsid w:val="00523CBE"/>
    <w:rsid w:val="00523E1D"/>
    <w:rsid w:val="0052404D"/>
    <w:rsid w:val="0052440D"/>
    <w:rsid w:val="0052441A"/>
    <w:rsid w:val="0052462B"/>
    <w:rsid w:val="005246CC"/>
    <w:rsid w:val="00524711"/>
    <w:rsid w:val="0052471A"/>
    <w:rsid w:val="005248C6"/>
    <w:rsid w:val="00524CB4"/>
    <w:rsid w:val="00524D38"/>
    <w:rsid w:val="00524DE6"/>
    <w:rsid w:val="00524E4D"/>
    <w:rsid w:val="0052504F"/>
    <w:rsid w:val="005250C5"/>
    <w:rsid w:val="00525212"/>
    <w:rsid w:val="00525284"/>
    <w:rsid w:val="005253AC"/>
    <w:rsid w:val="005253AF"/>
    <w:rsid w:val="0052543A"/>
    <w:rsid w:val="0052546D"/>
    <w:rsid w:val="0052553D"/>
    <w:rsid w:val="00525B23"/>
    <w:rsid w:val="00526515"/>
    <w:rsid w:val="0052660D"/>
    <w:rsid w:val="00526681"/>
    <w:rsid w:val="005268EC"/>
    <w:rsid w:val="0052694C"/>
    <w:rsid w:val="00526B67"/>
    <w:rsid w:val="00526C5E"/>
    <w:rsid w:val="00526D55"/>
    <w:rsid w:val="00526F72"/>
    <w:rsid w:val="005270E0"/>
    <w:rsid w:val="0052716D"/>
    <w:rsid w:val="005273E2"/>
    <w:rsid w:val="005276AD"/>
    <w:rsid w:val="005277F1"/>
    <w:rsid w:val="0052784E"/>
    <w:rsid w:val="00527A41"/>
    <w:rsid w:val="00527EFF"/>
    <w:rsid w:val="00527FFA"/>
    <w:rsid w:val="0053004D"/>
    <w:rsid w:val="00530192"/>
    <w:rsid w:val="00530470"/>
    <w:rsid w:val="0053050A"/>
    <w:rsid w:val="005305A4"/>
    <w:rsid w:val="00530878"/>
    <w:rsid w:val="005308C0"/>
    <w:rsid w:val="00530A97"/>
    <w:rsid w:val="00530BAE"/>
    <w:rsid w:val="00530C29"/>
    <w:rsid w:val="00530E76"/>
    <w:rsid w:val="005311D4"/>
    <w:rsid w:val="005313BD"/>
    <w:rsid w:val="00531624"/>
    <w:rsid w:val="005319C4"/>
    <w:rsid w:val="00531C34"/>
    <w:rsid w:val="00531E6C"/>
    <w:rsid w:val="005321EE"/>
    <w:rsid w:val="0053243D"/>
    <w:rsid w:val="005326AE"/>
    <w:rsid w:val="00532A5C"/>
    <w:rsid w:val="00532A83"/>
    <w:rsid w:val="00532D12"/>
    <w:rsid w:val="00532DA6"/>
    <w:rsid w:val="00532E77"/>
    <w:rsid w:val="00533103"/>
    <w:rsid w:val="00533142"/>
    <w:rsid w:val="00533332"/>
    <w:rsid w:val="00533540"/>
    <w:rsid w:val="00533544"/>
    <w:rsid w:val="0053354E"/>
    <w:rsid w:val="00533764"/>
    <w:rsid w:val="005337E9"/>
    <w:rsid w:val="00533836"/>
    <w:rsid w:val="005338E8"/>
    <w:rsid w:val="00533AD0"/>
    <w:rsid w:val="00533C28"/>
    <w:rsid w:val="00533CCE"/>
    <w:rsid w:val="00533DCA"/>
    <w:rsid w:val="00533E49"/>
    <w:rsid w:val="00533EAB"/>
    <w:rsid w:val="00534016"/>
    <w:rsid w:val="00534190"/>
    <w:rsid w:val="005342DB"/>
    <w:rsid w:val="00534316"/>
    <w:rsid w:val="005343E9"/>
    <w:rsid w:val="00534724"/>
    <w:rsid w:val="00534839"/>
    <w:rsid w:val="005349F6"/>
    <w:rsid w:val="00534C62"/>
    <w:rsid w:val="00534CBC"/>
    <w:rsid w:val="00534CF2"/>
    <w:rsid w:val="0053512E"/>
    <w:rsid w:val="005351BE"/>
    <w:rsid w:val="005351FA"/>
    <w:rsid w:val="005352D8"/>
    <w:rsid w:val="0053531D"/>
    <w:rsid w:val="00535465"/>
    <w:rsid w:val="0053559A"/>
    <w:rsid w:val="00535B4F"/>
    <w:rsid w:val="00535C28"/>
    <w:rsid w:val="00535C45"/>
    <w:rsid w:val="00535CDC"/>
    <w:rsid w:val="00535F86"/>
    <w:rsid w:val="0053617B"/>
    <w:rsid w:val="005363F0"/>
    <w:rsid w:val="00536429"/>
    <w:rsid w:val="00536561"/>
    <w:rsid w:val="0053659E"/>
    <w:rsid w:val="0053671B"/>
    <w:rsid w:val="0053689C"/>
    <w:rsid w:val="00536A17"/>
    <w:rsid w:val="00536A76"/>
    <w:rsid w:val="00536C7D"/>
    <w:rsid w:val="00536D64"/>
    <w:rsid w:val="00536DD9"/>
    <w:rsid w:val="00536E5B"/>
    <w:rsid w:val="00537098"/>
    <w:rsid w:val="00537102"/>
    <w:rsid w:val="00537449"/>
    <w:rsid w:val="00537488"/>
    <w:rsid w:val="005374E0"/>
    <w:rsid w:val="00537567"/>
    <w:rsid w:val="00537973"/>
    <w:rsid w:val="00537A04"/>
    <w:rsid w:val="00537DC5"/>
    <w:rsid w:val="00537FB7"/>
    <w:rsid w:val="00537FCF"/>
    <w:rsid w:val="0054005C"/>
    <w:rsid w:val="0054016B"/>
    <w:rsid w:val="005401A2"/>
    <w:rsid w:val="00540558"/>
    <w:rsid w:val="005406AB"/>
    <w:rsid w:val="005409A3"/>
    <w:rsid w:val="00540A6B"/>
    <w:rsid w:val="00540B76"/>
    <w:rsid w:val="00540D11"/>
    <w:rsid w:val="00540F36"/>
    <w:rsid w:val="00541090"/>
    <w:rsid w:val="005410A9"/>
    <w:rsid w:val="005410FF"/>
    <w:rsid w:val="00541281"/>
    <w:rsid w:val="00541302"/>
    <w:rsid w:val="005414E4"/>
    <w:rsid w:val="0054166C"/>
    <w:rsid w:val="0054169C"/>
    <w:rsid w:val="00541845"/>
    <w:rsid w:val="00541890"/>
    <w:rsid w:val="00541A09"/>
    <w:rsid w:val="00541DF6"/>
    <w:rsid w:val="00541E3C"/>
    <w:rsid w:val="00541F7C"/>
    <w:rsid w:val="0054228B"/>
    <w:rsid w:val="00542297"/>
    <w:rsid w:val="0054230B"/>
    <w:rsid w:val="00542541"/>
    <w:rsid w:val="00542BDA"/>
    <w:rsid w:val="00542BE8"/>
    <w:rsid w:val="00542CA5"/>
    <w:rsid w:val="00542D95"/>
    <w:rsid w:val="00542E5C"/>
    <w:rsid w:val="005430F5"/>
    <w:rsid w:val="0054312E"/>
    <w:rsid w:val="00543470"/>
    <w:rsid w:val="005434B0"/>
    <w:rsid w:val="005434EE"/>
    <w:rsid w:val="00543554"/>
    <w:rsid w:val="00543557"/>
    <w:rsid w:val="005436A5"/>
    <w:rsid w:val="00543792"/>
    <w:rsid w:val="005437D2"/>
    <w:rsid w:val="00543805"/>
    <w:rsid w:val="00543926"/>
    <w:rsid w:val="00543959"/>
    <w:rsid w:val="00543AB1"/>
    <w:rsid w:val="00543B57"/>
    <w:rsid w:val="00543C77"/>
    <w:rsid w:val="00543D24"/>
    <w:rsid w:val="00543EB4"/>
    <w:rsid w:val="0054403D"/>
    <w:rsid w:val="005441CD"/>
    <w:rsid w:val="00544281"/>
    <w:rsid w:val="00544347"/>
    <w:rsid w:val="00544382"/>
    <w:rsid w:val="00544605"/>
    <w:rsid w:val="00544783"/>
    <w:rsid w:val="00544983"/>
    <w:rsid w:val="00544AF9"/>
    <w:rsid w:val="00544B40"/>
    <w:rsid w:val="00544B41"/>
    <w:rsid w:val="00544B84"/>
    <w:rsid w:val="00544B88"/>
    <w:rsid w:val="00544DFA"/>
    <w:rsid w:val="00544E20"/>
    <w:rsid w:val="00544E4C"/>
    <w:rsid w:val="00544F44"/>
    <w:rsid w:val="005453B1"/>
    <w:rsid w:val="0054549C"/>
    <w:rsid w:val="00545630"/>
    <w:rsid w:val="005457CB"/>
    <w:rsid w:val="00545AF5"/>
    <w:rsid w:val="00545BEC"/>
    <w:rsid w:val="00545C3D"/>
    <w:rsid w:val="00545EC4"/>
    <w:rsid w:val="005460A8"/>
    <w:rsid w:val="00546392"/>
    <w:rsid w:val="005464E9"/>
    <w:rsid w:val="005465C0"/>
    <w:rsid w:val="005466FA"/>
    <w:rsid w:val="005467E2"/>
    <w:rsid w:val="00546BCB"/>
    <w:rsid w:val="00546BE2"/>
    <w:rsid w:val="00546CB8"/>
    <w:rsid w:val="00546E22"/>
    <w:rsid w:val="00546E2F"/>
    <w:rsid w:val="005471FC"/>
    <w:rsid w:val="0054743F"/>
    <w:rsid w:val="005474C7"/>
    <w:rsid w:val="005477B8"/>
    <w:rsid w:val="005478E8"/>
    <w:rsid w:val="005479E3"/>
    <w:rsid w:val="00547A5A"/>
    <w:rsid w:val="00547C96"/>
    <w:rsid w:val="00547CFF"/>
    <w:rsid w:val="00550189"/>
    <w:rsid w:val="0055025D"/>
    <w:rsid w:val="00550265"/>
    <w:rsid w:val="005504C5"/>
    <w:rsid w:val="00550630"/>
    <w:rsid w:val="00550A0A"/>
    <w:rsid w:val="00550B25"/>
    <w:rsid w:val="00550BF0"/>
    <w:rsid w:val="00550F1F"/>
    <w:rsid w:val="00550F42"/>
    <w:rsid w:val="00551466"/>
    <w:rsid w:val="00551497"/>
    <w:rsid w:val="005514CF"/>
    <w:rsid w:val="00551649"/>
    <w:rsid w:val="00551722"/>
    <w:rsid w:val="00551AD5"/>
    <w:rsid w:val="00551E4B"/>
    <w:rsid w:val="00552259"/>
    <w:rsid w:val="0055225A"/>
    <w:rsid w:val="00552326"/>
    <w:rsid w:val="00552727"/>
    <w:rsid w:val="00552945"/>
    <w:rsid w:val="00552C98"/>
    <w:rsid w:val="00552ECA"/>
    <w:rsid w:val="00552F5A"/>
    <w:rsid w:val="00553211"/>
    <w:rsid w:val="005533C2"/>
    <w:rsid w:val="00553684"/>
    <w:rsid w:val="005538EA"/>
    <w:rsid w:val="00553A06"/>
    <w:rsid w:val="00553A3B"/>
    <w:rsid w:val="00553A8E"/>
    <w:rsid w:val="00553CD0"/>
    <w:rsid w:val="00553EC0"/>
    <w:rsid w:val="0055419C"/>
    <w:rsid w:val="00554526"/>
    <w:rsid w:val="005546D4"/>
    <w:rsid w:val="005546F7"/>
    <w:rsid w:val="0055472C"/>
    <w:rsid w:val="00554902"/>
    <w:rsid w:val="00554A9C"/>
    <w:rsid w:val="00554DB6"/>
    <w:rsid w:val="00554E1F"/>
    <w:rsid w:val="00554EEC"/>
    <w:rsid w:val="00555090"/>
    <w:rsid w:val="005551A0"/>
    <w:rsid w:val="005552AA"/>
    <w:rsid w:val="005552EA"/>
    <w:rsid w:val="00555374"/>
    <w:rsid w:val="0055544C"/>
    <w:rsid w:val="00555623"/>
    <w:rsid w:val="00555696"/>
    <w:rsid w:val="00555C58"/>
    <w:rsid w:val="00555CBC"/>
    <w:rsid w:val="00555CDC"/>
    <w:rsid w:val="00555FFF"/>
    <w:rsid w:val="00556197"/>
    <w:rsid w:val="00556225"/>
    <w:rsid w:val="005562A0"/>
    <w:rsid w:val="00556300"/>
    <w:rsid w:val="005568AA"/>
    <w:rsid w:val="00556A02"/>
    <w:rsid w:val="00556C6C"/>
    <w:rsid w:val="00556CA7"/>
    <w:rsid w:val="00556F30"/>
    <w:rsid w:val="00556F77"/>
    <w:rsid w:val="00556FD0"/>
    <w:rsid w:val="00557228"/>
    <w:rsid w:val="00557749"/>
    <w:rsid w:val="00557791"/>
    <w:rsid w:val="00557B4A"/>
    <w:rsid w:val="00557EEB"/>
    <w:rsid w:val="00557F2A"/>
    <w:rsid w:val="00557FB2"/>
    <w:rsid w:val="00560753"/>
    <w:rsid w:val="005607C2"/>
    <w:rsid w:val="0056090E"/>
    <w:rsid w:val="0056092E"/>
    <w:rsid w:val="005609A5"/>
    <w:rsid w:val="00560CCF"/>
    <w:rsid w:val="00560CEE"/>
    <w:rsid w:val="00560D7D"/>
    <w:rsid w:val="00560E24"/>
    <w:rsid w:val="00561024"/>
    <w:rsid w:val="005613FF"/>
    <w:rsid w:val="00561851"/>
    <w:rsid w:val="00561A2A"/>
    <w:rsid w:val="00561C5C"/>
    <w:rsid w:val="00561CA5"/>
    <w:rsid w:val="00561CD8"/>
    <w:rsid w:val="00561EBB"/>
    <w:rsid w:val="00561FF9"/>
    <w:rsid w:val="005620F9"/>
    <w:rsid w:val="0056211A"/>
    <w:rsid w:val="005623FF"/>
    <w:rsid w:val="005626BB"/>
    <w:rsid w:val="005628E5"/>
    <w:rsid w:val="00562955"/>
    <w:rsid w:val="005629CC"/>
    <w:rsid w:val="005629EA"/>
    <w:rsid w:val="00562BEA"/>
    <w:rsid w:val="00562CB7"/>
    <w:rsid w:val="00562F14"/>
    <w:rsid w:val="00562FFB"/>
    <w:rsid w:val="0056307A"/>
    <w:rsid w:val="00563268"/>
    <w:rsid w:val="00563317"/>
    <w:rsid w:val="00563372"/>
    <w:rsid w:val="00563387"/>
    <w:rsid w:val="005633AB"/>
    <w:rsid w:val="005634BE"/>
    <w:rsid w:val="0056351C"/>
    <w:rsid w:val="005635B5"/>
    <w:rsid w:val="00563638"/>
    <w:rsid w:val="0056373E"/>
    <w:rsid w:val="005638FD"/>
    <w:rsid w:val="005639FE"/>
    <w:rsid w:val="00563AFF"/>
    <w:rsid w:val="00563D89"/>
    <w:rsid w:val="00563DCB"/>
    <w:rsid w:val="00563E5B"/>
    <w:rsid w:val="0056406C"/>
    <w:rsid w:val="005640D1"/>
    <w:rsid w:val="00564213"/>
    <w:rsid w:val="0056437E"/>
    <w:rsid w:val="00564475"/>
    <w:rsid w:val="005646BC"/>
    <w:rsid w:val="00564722"/>
    <w:rsid w:val="00564769"/>
    <w:rsid w:val="00564875"/>
    <w:rsid w:val="0056492D"/>
    <w:rsid w:val="00565029"/>
    <w:rsid w:val="00565088"/>
    <w:rsid w:val="005650B5"/>
    <w:rsid w:val="00565456"/>
    <w:rsid w:val="00565585"/>
    <w:rsid w:val="005656C1"/>
    <w:rsid w:val="005657DC"/>
    <w:rsid w:val="0056593F"/>
    <w:rsid w:val="00565C1F"/>
    <w:rsid w:val="00565CEC"/>
    <w:rsid w:val="00565D7A"/>
    <w:rsid w:val="00565FDB"/>
    <w:rsid w:val="005660B1"/>
    <w:rsid w:val="00566210"/>
    <w:rsid w:val="00566277"/>
    <w:rsid w:val="00566346"/>
    <w:rsid w:val="005663C9"/>
    <w:rsid w:val="00566521"/>
    <w:rsid w:val="00566535"/>
    <w:rsid w:val="0056657C"/>
    <w:rsid w:val="0056681A"/>
    <w:rsid w:val="00566915"/>
    <w:rsid w:val="0056696B"/>
    <w:rsid w:val="00566A62"/>
    <w:rsid w:val="00567036"/>
    <w:rsid w:val="00567080"/>
    <w:rsid w:val="00567112"/>
    <w:rsid w:val="0056713A"/>
    <w:rsid w:val="00567422"/>
    <w:rsid w:val="00567433"/>
    <w:rsid w:val="0056770F"/>
    <w:rsid w:val="005678AD"/>
    <w:rsid w:val="00567A69"/>
    <w:rsid w:val="00567AB1"/>
    <w:rsid w:val="00567C73"/>
    <w:rsid w:val="0057001F"/>
    <w:rsid w:val="00570233"/>
    <w:rsid w:val="00570263"/>
    <w:rsid w:val="0057037C"/>
    <w:rsid w:val="00570951"/>
    <w:rsid w:val="00570AE1"/>
    <w:rsid w:val="00570BAD"/>
    <w:rsid w:val="00570E06"/>
    <w:rsid w:val="005710C0"/>
    <w:rsid w:val="0057117D"/>
    <w:rsid w:val="005711C5"/>
    <w:rsid w:val="005711F1"/>
    <w:rsid w:val="005715BF"/>
    <w:rsid w:val="0057166F"/>
    <w:rsid w:val="00571764"/>
    <w:rsid w:val="005717FD"/>
    <w:rsid w:val="0057197A"/>
    <w:rsid w:val="005719BC"/>
    <w:rsid w:val="00571A10"/>
    <w:rsid w:val="00571A2A"/>
    <w:rsid w:val="00571B4E"/>
    <w:rsid w:val="00571BCD"/>
    <w:rsid w:val="00571DAC"/>
    <w:rsid w:val="00571E1F"/>
    <w:rsid w:val="00571F1E"/>
    <w:rsid w:val="00571F4F"/>
    <w:rsid w:val="00571F76"/>
    <w:rsid w:val="0057205A"/>
    <w:rsid w:val="00572521"/>
    <w:rsid w:val="0057255A"/>
    <w:rsid w:val="005727FA"/>
    <w:rsid w:val="005729A8"/>
    <w:rsid w:val="00572A56"/>
    <w:rsid w:val="00572A5D"/>
    <w:rsid w:val="00572A84"/>
    <w:rsid w:val="00572B08"/>
    <w:rsid w:val="00572D5B"/>
    <w:rsid w:val="00573038"/>
    <w:rsid w:val="00573216"/>
    <w:rsid w:val="0057322B"/>
    <w:rsid w:val="005732F1"/>
    <w:rsid w:val="00573301"/>
    <w:rsid w:val="0057348C"/>
    <w:rsid w:val="0057376A"/>
    <w:rsid w:val="00573839"/>
    <w:rsid w:val="00573B13"/>
    <w:rsid w:val="00573BB7"/>
    <w:rsid w:val="00573C56"/>
    <w:rsid w:val="00573D57"/>
    <w:rsid w:val="00573E83"/>
    <w:rsid w:val="00573FE3"/>
    <w:rsid w:val="005740A8"/>
    <w:rsid w:val="00574399"/>
    <w:rsid w:val="00574448"/>
    <w:rsid w:val="00574B5F"/>
    <w:rsid w:val="00574B63"/>
    <w:rsid w:val="00574CF3"/>
    <w:rsid w:val="00574E2F"/>
    <w:rsid w:val="00575137"/>
    <w:rsid w:val="0057514F"/>
    <w:rsid w:val="0057516F"/>
    <w:rsid w:val="005751D7"/>
    <w:rsid w:val="0057521C"/>
    <w:rsid w:val="00575250"/>
    <w:rsid w:val="00575274"/>
    <w:rsid w:val="0057545C"/>
    <w:rsid w:val="005754C3"/>
    <w:rsid w:val="00575590"/>
    <w:rsid w:val="005755B1"/>
    <w:rsid w:val="00575692"/>
    <w:rsid w:val="00575845"/>
    <w:rsid w:val="005759DC"/>
    <w:rsid w:val="00575A09"/>
    <w:rsid w:val="00575A5A"/>
    <w:rsid w:val="00575BA5"/>
    <w:rsid w:val="00575C52"/>
    <w:rsid w:val="00575F65"/>
    <w:rsid w:val="00576019"/>
    <w:rsid w:val="00576119"/>
    <w:rsid w:val="0057612B"/>
    <w:rsid w:val="00576180"/>
    <w:rsid w:val="00576408"/>
    <w:rsid w:val="00576664"/>
    <w:rsid w:val="00576674"/>
    <w:rsid w:val="00576785"/>
    <w:rsid w:val="0057692E"/>
    <w:rsid w:val="00576938"/>
    <w:rsid w:val="00576996"/>
    <w:rsid w:val="00576B6A"/>
    <w:rsid w:val="00576C37"/>
    <w:rsid w:val="00576EC3"/>
    <w:rsid w:val="005771DC"/>
    <w:rsid w:val="0057736D"/>
    <w:rsid w:val="005774C0"/>
    <w:rsid w:val="00577625"/>
    <w:rsid w:val="0057786D"/>
    <w:rsid w:val="005778D3"/>
    <w:rsid w:val="00577AD7"/>
    <w:rsid w:val="00577BD8"/>
    <w:rsid w:val="00577CC0"/>
    <w:rsid w:val="00577D37"/>
    <w:rsid w:val="00577DEF"/>
    <w:rsid w:val="00577E3B"/>
    <w:rsid w:val="00577F30"/>
    <w:rsid w:val="0058003F"/>
    <w:rsid w:val="005800ED"/>
    <w:rsid w:val="00580336"/>
    <w:rsid w:val="005805B7"/>
    <w:rsid w:val="005807B2"/>
    <w:rsid w:val="005808D5"/>
    <w:rsid w:val="00580943"/>
    <w:rsid w:val="00580AD8"/>
    <w:rsid w:val="00580B2E"/>
    <w:rsid w:val="00580BAB"/>
    <w:rsid w:val="00580D32"/>
    <w:rsid w:val="00580D8B"/>
    <w:rsid w:val="00580FD5"/>
    <w:rsid w:val="005811C5"/>
    <w:rsid w:val="00581257"/>
    <w:rsid w:val="00581279"/>
    <w:rsid w:val="005812A8"/>
    <w:rsid w:val="00581487"/>
    <w:rsid w:val="00581561"/>
    <w:rsid w:val="00581899"/>
    <w:rsid w:val="005818AD"/>
    <w:rsid w:val="00581CD9"/>
    <w:rsid w:val="00581EA6"/>
    <w:rsid w:val="00581F50"/>
    <w:rsid w:val="0058205E"/>
    <w:rsid w:val="0058205F"/>
    <w:rsid w:val="005820B1"/>
    <w:rsid w:val="00582120"/>
    <w:rsid w:val="00582146"/>
    <w:rsid w:val="00582215"/>
    <w:rsid w:val="0058237A"/>
    <w:rsid w:val="005823F3"/>
    <w:rsid w:val="00582771"/>
    <w:rsid w:val="00582796"/>
    <w:rsid w:val="00582804"/>
    <w:rsid w:val="0058298C"/>
    <w:rsid w:val="005829CE"/>
    <w:rsid w:val="00582B83"/>
    <w:rsid w:val="00582E35"/>
    <w:rsid w:val="00582F56"/>
    <w:rsid w:val="00582FDE"/>
    <w:rsid w:val="0058303C"/>
    <w:rsid w:val="00583067"/>
    <w:rsid w:val="005830E6"/>
    <w:rsid w:val="00583321"/>
    <w:rsid w:val="005835C6"/>
    <w:rsid w:val="005836EC"/>
    <w:rsid w:val="005836FB"/>
    <w:rsid w:val="00583708"/>
    <w:rsid w:val="0058392D"/>
    <w:rsid w:val="00583A0E"/>
    <w:rsid w:val="00583B7B"/>
    <w:rsid w:val="00583C41"/>
    <w:rsid w:val="00583D1F"/>
    <w:rsid w:val="00584283"/>
    <w:rsid w:val="005842E3"/>
    <w:rsid w:val="00584339"/>
    <w:rsid w:val="00584457"/>
    <w:rsid w:val="005844ED"/>
    <w:rsid w:val="00584640"/>
    <w:rsid w:val="00584821"/>
    <w:rsid w:val="005848D1"/>
    <w:rsid w:val="0058494E"/>
    <w:rsid w:val="00584AB3"/>
    <w:rsid w:val="00584C8E"/>
    <w:rsid w:val="00584CE9"/>
    <w:rsid w:val="00584E02"/>
    <w:rsid w:val="00584F68"/>
    <w:rsid w:val="0058502B"/>
    <w:rsid w:val="0058518E"/>
    <w:rsid w:val="005851B4"/>
    <w:rsid w:val="005851E4"/>
    <w:rsid w:val="00585491"/>
    <w:rsid w:val="00585703"/>
    <w:rsid w:val="0058583A"/>
    <w:rsid w:val="00585840"/>
    <w:rsid w:val="00585AC7"/>
    <w:rsid w:val="00585B01"/>
    <w:rsid w:val="00585B4C"/>
    <w:rsid w:val="0058601D"/>
    <w:rsid w:val="00586154"/>
    <w:rsid w:val="005864B9"/>
    <w:rsid w:val="0058652B"/>
    <w:rsid w:val="00586686"/>
    <w:rsid w:val="00586885"/>
    <w:rsid w:val="005869D7"/>
    <w:rsid w:val="00586A6D"/>
    <w:rsid w:val="00586DBA"/>
    <w:rsid w:val="0058721A"/>
    <w:rsid w:val="0058725C"/>
    <w:rsid w:val="0058727C"/>
    <w:rsid w:val="005876D3"/>
    <w:rsid w:val="0058773E"/>
    <w:rsid w:val="005877AF"/>
    <w:rsid w:val="005877DE"/>
    <w:rsid w:val="005878A0"/>
    <w:rsid w:val="00587A47"/>
    <w:rsid w:val="00587E06"/>
    <w:rsid w:val="00587E1A"/>
    <w:rsid w:val="00587E38"/>
    <w:rsid w:val="00587E89"/>
    <w:rsid w:val="005900DD"/>
    <w:rsid w:val="0059033B"/>
    <w:rsid w:val="00590443"/>
    <w:rsid w:val="005906FB"/>
    <w:rsid w:val="00590956"/>
    <w:rsid w:val="005909DC"/>
    <w:rsid w:val="00590BA2"/>
    <w:rsid w:val="00590BAE"/>
    <w:rsid w:val="00591057"/>
    <w:rsid w:val="005910D6"/>
    <w:rsid w:val="00591168"/>
    <w:rsid w:val="00591340"/>
    <w:rsid w:val="005915D7"/>
    <w:rsid w:val="0059163F"/>
    <w:rsid w:val="005917B6"/>
    <w:rsid w:val="0059185C"/>
    <w:rsid w:val="005919B8"/>
    <w:rsid w:val="00591D48"/>
    <w:rsid w:val="00591E07"/>
    <w:rsid w:val="00591E77"/>
    <w:rsid w:val="00591EBD"/>
    <w:rsid w:val="00592097"/>
    <w:rsid w:val="005920FA"/>
    <w:rsid w:val="0059219C"/>
    <w:rsid w:val="005921EF"/>
    <w:rsid w:val="00592252"/>
    <w:rsid w:val="005923FF"/>
    <w:rsid w:val="00592475"/>
    <w:rsid w:val="005925D4"/>
    <w:rsid w:val="00592674"/>
    <w:rsid w:val="0059280B"/>
    <w:rsid w:val="0059282A"/>
    <w:rsid w:val="005928D2"/>
    <w:rsid w:val="00592E60"/>
    <w:rsid w:val="005930A5"/>
    <w:rsid w:val="00593173"/>
    <w:rsid w:val="005931D2"/>
    <w:rsid w:val="0059330A"/>
    <w:rsid w:val="00593491"/>
    <w:rsid w:val="005934B5"/>
    <w:rsid w:val="00593632"/>
    <w:rsid w:val="005936AC"/>
    <w:rsid w:val="005936F8"/>
    <w:rsid w:val="0059370B"/>
    <w:rsid w:val="00593726"/>
    <w:rsid w:val="005939FD"/>
    <w:rsid w:val="00593B07"/>
    <w:rsid w:val="00593CBA"/>
    <w:rsid w:val="00593F1B"/>
    <w:rsid w:val="00594468"/>
    <w:rsid w:val="00594822"/>
    <w:rsid w:val="00594906"/>
    <w:rsid w:val="00594988"/>
    <w:rsid w:val="00594C79"/>
    <w:rsid w:val="00594FA5"/>
    <w:rsid w:val="0059509A"/>
    <w:rsid w:val="00595399"/>
    <w:rsid w:val="00595486"/>
    <w:rsid w:val="00595543"/>
    <w:rsid w:val="0059560B"/>
    <w:rsid w:val="0059589B"/>
    <w:rsid w:val="00595AA5"/>
    <w:rsid w:val="00595CCE"/>
    <w:rsid w:val="00595FCA"/>
    <w:rsid w:val="00596078"/>
    <w:rsid w:val="005961B1"/>
    <w:rsid w:val="0059629B"/>
    <w:rsid w:val="005963AA"/>
    <w:rsid w:val="005964B1"/>
    <w:rsid w:val="0059671C"/>
    <w:rsid w:val="0059674B"/>
    <w:rsid w:val="00596800"/>
    <w:rsid w:val="00596821"/>
    <w:rsid w:val="00596876"/>
    <w:rsid w:val="0059688F"/>
    <w:rsid w:val="005969D1"/>
    <w:rsid w:val="00596AD0"/>
    <w:rsid w:val="00596C5D"/>
    <w:rsid w:val="00596D58"/>
    <w:rsid w:val="00596DF5"/>
    <w:rsid w:val="00596E30"/>
    <w:rsid w:val="00597853"/>
    <w:rsid w:val="00597897"/>
    <w:rsid w:val="00597B58"/>
    <w:rsid w:val="00597B97"/>
    <w:rsid w:val="00597D46"/>
    <w:rsid w:val="005A01D8"/>
    <w:rsid w:val="005A01DA"/>
    <w:rsid w:val="005A0342"/>
    <w:rsid w:val="005A04DF"/>
    <w:rsid w:val="005A0741"/>
    <w:rsid w:val="005A089C"/>
    <w:rsid w:val="005A0BFC"/>
    <w:rsid w:val="005A0E96"/>
    <w:rsid w:val="005A0FAD"/>
    <w:rsid w:val="005A1016"/>
    <w:rsid w:val="005A1044"/>
    <w:rsid w:val="005A12BE"/>
    <w:rsid w:val="005A1353"/>
    <w:rsid w:val="005A1523"/>
    <w:rsid w:val="005A1775"/>
    <w:rsid w:val="005A18B4"/>
    <w:rsid w:val="005A19C4"/>
    <w:rsid w:val="005A1C32"/>
    <w:rsid w:val="005A1C5D"/>
    <w:rsid w:val="005A1D2F"/>
    <w:rsid w:val="005A1DBC"/>
    <w:rsid w:val="005A1EC5"/>
    <w:rsid w:val="005A1FF3"/>
    <w:rsid w:val="005A20D2"/>
    <w:rsid w:val="005A2157"/>
    <w:rsid w:val="005A2400"/>
    <w:rsid w:val="005A249A"/>
    <w:rsid w:val="005A25CE"/>
    <w:rsid w:val="005A28E3"/>
    <w:rsid w:val="005A2905"/>
    <w:rsid w:val="005A2A50"/>
    <w:rsid w:val="005A2AB1"/>
    <w:rsid w:val="005A2C9A"/>
    <w:rsid w:val="005A2D9A"/>
    <w:rsid w:val="005A2E9E"/>
    <w:rsid w:val="005A2EBD"/>
    <w:rsid w:val="005A2FDE"/>
    <w:rsid w:val="005A307E"/>
    <w:rsid w:val="005A3169"/>
    <w:rsid w:val="005A334B"/>
    <w:rsid w:val="005A35C4"/>
    <w:rsid w:val="005A35F7"/>
    <w:rsid w:val="005A391B"/>
    <w:rsid w:val="005A39AC"/>
    <w:rsid w:val="005A3BA2"/>
    <w:rsid w:val="005A3D75"/>
    <w:rsid w:val="005A3E4D"/>
    <w:rsid w:val="005A3E81"/>
    <w:rsid w:val="005A3F70"/>
    <w:rsid w:val="005A41C0"/>
    <w:rsid w:val="005A41E6"/>
    <w:rsid w:val="005A4428"/>
    <w:rsid w:val="005A44D5"/>
    <w:rsid w:val="005A4551"/>
    <w:rsid w:val="005A4668"/>
    <w:rsid w:val="005A482A"/>
    <w:rsid w:val="005A4A54"/>
    <w:rsid w:val="005A4C2B"/>
    <w:rsid w:val="005A4E3F"/>
    <w:rsid w:val="005A4E5A"/>
    <w:rsid w:val="005A4F0E"/>
    <w:rsid w:val="005A502E"/>
    <w:rsid w:val="005A58C4"/>
    <w:rsid w:val="005A59AA"/>
    <w:rsid w:val="005A5AD1"/>
    <w:rsid w:val="005A5B82"/>
    <w:rsid w:val="005A5CD0"/>
    <w:rsid w:val="005A5D56"/>
    <w:rsid w:val="005A5DC6"/>
    <w:rsid w:val="005A5F3E"/>
    <w:rsid w:val="005A60B0"/>
    <w:rsid w:val="005A60E9"/>
    <w:rsid w:val="005A63F7"/>
    <w:rsid w:val="005A6467"/>
    <w:rsid w:val="005A6544"/>
    <w:rsid w:val="005A669E"/>
    <w:rsid w:val="005A70DA"/>
    <w:rsid w:val="005A71C6"/>
    <w:rsid w:val="005A726D"/>
    <w:rsid w:val="005A734F"/>
    <w:rsid w:val="005A765C"/>
    <w:rsid w:val="005A7817"/>
    <w:rsid w:val="005A783A"/>
    <w:rsid w:val="005A79DD"/>
    <w:rsid w:val="005A7AB2"/>
    <w:rsid w:val="005A7AF1"/>
    <w:rsid w:val="005A7AF4"/>
    <w:rsid w:val="005A7BB3"/>
    <w:rsid w:val="005A7DB9"/>
    <w:rsid w:val="005A7EF0"/>
    <w:rsid w:val="005B00BF"/>
    <w:rsid w:val="005B00D1"/>
    <w:rsid w:val="005B05C1"/>
    <w:rsid w:val="005B05E6"/>
    <w:rsid w:val="005B05EF"/>
    <w:rsid w:val="005B06B8"/>
    <w:rsid w:val="005B070E"/>
    <w:rsid w:val="005B088D"/>
    <w:rsid w:val="005B08E6"/>
    <w:rsid w:val="005B0BBA"/>
    <w:rsid w:val="005B0E1D"/>
    <w:rsid w:val="005B0E75"/>
    <w:rsid w:val="005B0F39"/>
    <w:rsid w:val="005B1030"/>
    <w:rsid w:val="005B161F"/>
    <w:rsid w:val="005B1628"/>
    <w:rsid w:val="005B1825"/>
    <w:rsid w:val="005B18CA"/>
    <w:rsid w:val="005B1CB8"/>
    <w:rsid w:val="005B1DED"/>
    <w:rsid w:val="005B1E29"/>
    <w:rsid w:val="005B1E83"/>
    <w:rsid w:val="005B216D"/>
    <w:rsid w:val="005B2560"/>
    <w:rsid w:val="005B2739"/>
    <w:rsid w:val="005B28E5"/>
    <w:rsid w:val="005B28F2"/>
    <w:rsid w:val="005B290D"/>
    <w:rsid w:val="005B2D5E"/>
    <w:rsid w:val="005B2DF6"/>
    <w:rsid w:val="005B2F59"/>
    <w:rsid w:val="005B2F6D"/>
    <w:rsid w:val="005B3097"/>
    <w:rsid w:val="005B31B7"/>
    <w:rsid w:val="005B32A4"/>
    <w:rsid w:val="005B32FA"/>
    <w:rsid w:val="005B3366"/>
    <w:rsid w:val="005B33F9"/>
    <w:rsid w:val="005B3469"/>
    <w:rsid w:val="005B3527"/>
    <w:rsid w:val="005B361D"/>
    <w:rsid w:val="005B3AAC"/>
    <w:rsid w:val="005B3E47"/>
    <w:rsid w:val="005B3E59"/>
    <w:rsid w:val="005B3E9D"/>
    <w:rsid w:val="005B3ECC"/>
    <w:rsid w:val="005B3F10"/>
    <w:rsid w:val="005B4152"/>
    <w:rsid w:val="005B4194"/>
    <w:rsid w:val="005B41F7"/>
    <w:rsid w:val="005B4201"/>
    <w:rsid w:val="005B4389"/>
    <w:rsid w:val="005B4446"/>
    <w:rsid w:val="005B4499"/>
    <w:rsid w:val="005B44FC"/>
    <w:rsid w:val="005B4571"/>
    <w:rsid w:val="005B465A"/>
    <w:rsid w:val="005B474E"/>
    <w:rsid w:val="005B4845"/>
    <w:rsid w:val="005B4B32"/>
    <w:rsid w:val="005B4B41"/>
    <w:rsid w:val="005B4D37"/>
    <w:rsid w:val="005B4DB7"/>
    <w:rsid w:val="005B5585"/>
    <w:rsid w:val="005B5756"/>
    <w:rsid w:val="005B5816"/>
    <w:rsid w:val="005B58D6"/>
    <w:rsid w:val="005B5A00"/>
    <w:rsid w:val="005B5A89"/>
    <w:rsid w:val="005B5B03"/>
    <w:rsid w:val="005B5E1C"/>
    <w:rsid w:val="005B6028"/>
    <w:rsid w:val="005B6066"/>
    <w:rsid w:val="005B606E"/>
    <w:rsid w:val="005B6175"/>
    <w:rsid w:val="005B6355"/>
    <w:rsid w:val="005B6559"/>
    <w:rsid w:val="005B6576"/>
    <w:rsid w:val="005B6F29"/>
    <w:rsid w:val="005B6FE8"/>
    <w:rsid w:val="005B71A9"/>
    <w:rsid w:val="005B766E"/>
    <w:rsid w:val="005B7B99"/>
    <w:rsid w:val="005B7C2E"/>
    <w:rsid w:val="005C02FD"/>
    <w:rsid w:val="005C0303"/>
    <w:rsid w:val="005C0313"/>
    <w:rsid w:val="005C0565"/>
    <w:rsid w:val="005C06B0"/>
    <w:rsid w:val="005C09C2"/>
    <w:rsid w:val="005C0B4E"/>
    <w:rsid w:val="005C0C89"/>
    <w:rsid w:val="005C0FE9"/>
    <w:rsid w:val="005C1108"/>
    <w:rsid w:val="005C167D"/>
    <w:rsid w:val="005C16B5"/>
    <w:rsid w:val="005C1BCC"/>
    <w:rsid w:val="005C1E86"/>
    <w:rsid w:val="005C1E8F"/>
    <w:rsid w:val="005C218F"/>
    <w:rsid w:val="005C21E2"/>
    <w:rsid w:val="005C22FB"/>
    <w:rsid w:val="005C2427"/>
    <w:rsid w:val="005C25EB"/>
    <w:rsid w:val="005C274C"/>
    <w:rsid w:val="005C2850"/>
    <w:rsid w:val="005C294A"/>
    <w:rsid w:val="005C2BBD"/>
    <w:rsid w:val="005C2C0A"/>
    <w:rsid w:val="005C2D11"/>
    <w:rsid w:val="005C2D9B"/>
    <w:rsid w:val="005C2FB6"/>
    <w:rsid w:val="005C3459"/>
    <w:rsid w:val="005C3727"/>
    <w:rsid w:val="005C3B7C"/>
    <w:rsid w:val="005C3E4D"/>
    <w:rsid w:val="005C412B"/>
    <w:rsid w:val="005C43C9"/>
    <w:rsid w:val="005C43D6"/>
    <w:rsid w:val="005C43E2"/>
    <w:rsid w:val="005C44AA"/>
    <w:rsid w:val="005C450A"/>
    <w:rsid w:val="005C4995"/>
    <w:rsid w:val="005C4BB3"/>
    <w:rsid w:val="005C4C40"/>
    <w:rsid w:val="005C4DD3"/>
    <w:rsid w:val="005C4F53"/>
    <w:rsid w:val="005C4F8C"/>
    <w:rsid w:val="005C519F"/>
    <w:rsid w:val="005C5234"/>
    <w:rsid w:val="005C5367"/>
    <w:rsid w:val="005C5369"/>
    <w:rsid w:val="005C5436"/>
    <w:rsid w:val="005C55FD"/>
    <w:rsid w:val="005C5706"/>
    <w:rsid w:val="005C5B88"/>
    <w:rsid w:val="005C5C44"/>
    <w:rsid w:val="005C5D8B"/>
    <w:rsid w:val="005C6007"/>
    <w:rsid w:val="005C64A9"/>
    <w:rsid w:val="005C64F0"/>
    <w:rsid w:val="005C676A"/>
    <w:rsid w:val="005C6A7D"/>
    <w:rsid w:val="005C6AAB"/>
    <w:rsid w:val="005C6CB4"/>
    <w:rsid w:val="005C6E3E"/>
    <w:rsid w:val="005C6F27"/>
    <w:rsid w:val="005C7364"/>
    <w:rsid w:val="005C738F"/>
    <w:rsid w:val="005C7535"/>
    <w:rsid w:val="005C7545"/>
    <w:rsid w:val="005C7725"/>
    <w:rsid w:val="005C7A19"/>
    <w:rsid w:val="005C7B8E"/>
    <w:rsid w:val="005C7BA7"/>
    <w:rsid w:val="005C7BD8"/>
    <w:rsid w:val="005C7CB2"/>
    <w:rsid w:val="005C7E0D"/>
    <w:rsid w:val="005D0144"/>
    <w:rsid w:val="005D025C"/>
    <w:rsid w:val="005D04C8"/>
    <w:rsid w:val="005D0E2F"/>
    <w:rsid w:val="005D0EB3"/>
    <w:rsid w:val="005D1033"/>
    <w:rsid w:val="005D1124"/>
    <w:rsid w:val="005D129E"/>
    <w:rsid w:val="005D1374"/>
    <w:rsid w:val="005D1388"/>
    <w:rsid w:val="005D1641"/>
    <w:rsid w:val="005D187D"/>
    <w:rsid w:val="005D1928"/>
    <w:rsid w:val="005D1C80"/>
    <w:rsid w:val="005D1E63"/>
    <w:rsid w:val="005D23E0"/>
    <w:rsid w:val="005D2886"/>
    <w:rsid w:val="005D2C0F"/>
    <w:rsid w:val="005D2D0C"/>
    <w:rsid w:val="005D2F0C"/>
    <w:rsid w:val="005D3049"/>
    <w:rsid w:val="005D3157"/>
    <w:rsid w:val="005D362E"/>
    <w:rsid w:val="005D3BAF"/>
    <w:rsid w:val="005D3E91"/>
    <w:rsid w:val="005D41C3"/>
    <w:rsid w:val="005D43D5"/>
    <w:rsid w:val="005D43EA"/>
    <w:rsid w:val="005D442D"/>
    <w:rsid w:val="005D4701"/>
    <w:rsid w:val="005D4877"/>
    <w:rsid w:val="005D48A5"/>
    <w:rsid w:val="005D4AC2"/>
    <w:rsid w:val="005D4B89"/>
    <w:rsid w:val="005D4BA6"/>
    <w:rsid w:val="005D4D0A"/>
    <w:rsid w:val="005D4D0E"/>
    <w:rsid w:val="005D4E27"/>
    <w:rsid w:val="005D5025"/>
    <w:rsid w:val="005D524A"/>
    <w:rsid w:val="005D5280"/>
    <w:rsid w:val="005D551C"/>
    <w:rsid w:val="005D5562"/>
    <w:rsid w:val="005D5A6A"/>
    <w:rsid w:val="005D5AAC"/>
    <w:rsid w:val="005D5F0B"/>
    <w:rsid w:val="005D625A"/>
    <w:rsid w:val="005D63BA"/>
    <w:rsid w:val="005D64B3"/>
    <w:rsid w:val="005D65FB"/>
    <w:rsid w:val="005D6828"/>
    <w:rsid w:val="005D69BE"/>
    <w:rsid w:val="005D6A41"/>
    <w:rsid w:val="005D6E9C"/>
    <w:rsid w:val="005D71AA"/>
    <w:rsid w:val="005D727A"/>
    <w:rsid w:val="005D7540"/>
    <w:rsid w:val="005D794A"/>
    <w:rsid w:val="005D7B3A"/>
    <w:rsid w:val="005D7C51"/>
    <w:rsid w:val="005D7E6E"/>
    <w:rsid w:val="005E005C"/>
    <w:rsid w:val="005E03F1"/>
    <w:rsid w:val="005E0406"/>
    <w:rsid w:val="005E046E"/>
    <w:rsid w:val="005E0795"/>
    <w:rsid w:val="005E0DEF"/>
    <w:rsid w:val="005E0E81"/>
    <w:rsid w:val="005E0F47"/>
    <w:rsid w:val="005E130F"/>
    <w:rsid w:val="005E1353"/>
    <w:rsid w:val="005E1530"/>
    <w:rsid w:val="005E1692"/>
    <w:rsid w:val="005E16CD"/>
    <w:rsid w:val="005E1CDD"/>
    <w:rsid w:val="005E1DC7"/>
    <w:rsid w:val="005E1E44"/>
    <w:rsid w:val="005E206B"/>
    <w:rsid w:val="005E2175"/>
    <w:rsid w:val="005E23AE"/>
    <w:rsid w:val="005E240D"/>
    <w:rsid w:val="005E2442"/>
    <w:rsid w:val="005E25A0"/>
    <w:rsid w:val="005E261F"/>
    <w:rsid w:val="005E2D00"/>
    <w:rsid w:val="005E2D09"/>
    <w:rsid w:val="005E2D45"/>
    <w:rsid w:val="005E2D59"/>
    <w:rsid w:val="005E2D6D"/>
    <w:rsid w:val="005E3035"/>
    <w:rsid w:val="005E3125"/>
    <w:rsid w:val="005E351B"/>
    <w:rsid w:val="005E364F"/>
    <w:rsid w:val="005E36F8"/>
    <w:rsid w:val="005E3790"/>
    <w:rsid w:val="005E39A2"/>
    <w:rsid w:val="005E3A21"/>
    <w:rsid w:val="005E3B7C"/>
    <w:rsid w:val="005E3F18"/>
    <w:rsid w:val="005E3F7D"/>
    <w:rsid w:val="005E408E"/>
    <w:rsid w:val="005E429E"/>
    <w:rsid w:val="005E433D"/>
    <w:rsid w:val="005E4481"/>
    <w:rsid w:val="005E4624"/>
    <w:rsid w:val="005E4910"/>
    <w:rsid w:val="005E49BC"/>
    <w:rsid w:val="005E49D8"/>
    <w:rsid w:val="005E4A91"/>
    <w:rsid w:val="005E4BAA"/>
    <w:rsid w:val="005E4D49"/>
    <w:rsid w:val="005E4E04"/>
    <w:rsid w:val="005E4F3E"/>
    <w:rsid w:val="005E5285"/>
    <w:rsid w:val="005E52A6"/>
    <w:rsid w:val="005E535D"/>
    <w:rsid w:val="005E5489"/>
    <w:rsid w:val="005E56D6"/>
    <w:rsid w:val="005E56F0"/>
    <w:rsid w:val="005E573F"/>
    <w:rsid w:val="005E57BD"/>
    <w:rsid w:val="005E583F"/>
    <w:rsid w:val="005E58BF"/>
    <w:rsid w:val="005E5B3B"/>
    <w:rsid w:val="005E5BCC"/>
    <w:rsid w:val="005E5F99"/>
    <w:rsid w:val="005E5FE5"/>
    <w:rsid w:val="005E609B"/>
    <w:rsid w:val="005E60B5"/>
    <w:rsid w:val="005E60CB"/>
    <w:rsid w:val="005E61AC"/>
    <w:rsid w:val="005E6296"/>
    <w:rsid w:val="005E62A3"/>
    <w:rsid w:val="005E6331"/>
    <w:rsid w:val="005E669B"/>
    <w:rsid w:val="005E68FF"/>
    <w:rsid w:val="005E6916"/>
    <w:rsid w:val="005E69A0"/>
    <w:rsid w:val="005E6A02"/>
    <w:rsid w:val="005E6C75"/>
    <w:rsid w:val="005E6EAF"/>
    <w:rsid w:val="005E6EC6"/>
    <w:rsid w:val="005E6EFA"/>
    <w:rsid w:val="005E6F45"/>
    <w:rsid w:val="005E73F7"/>
    <w:rsid w:val="005E76C1"/>
    <w:rsid w:val="005E7800"/>
    <w:rsid w:val="005E7990"/>
    <w:rsid w:val="005E7CC5"/>
    <w:rsid w:val="005E7DD6"/>
    <w:rsid w:val="005E7EB3"/>
    <w:rsid w:val="005F02A9"/>
    <w:rsid w:val="005F02C9"/>
    <w:rsid w:val="005F04E2"/>
    <w:rsid w:val="005F0500"/>
    <w:rsid w:val="005F0503"/>
    <w:rsid w:val="005F069E"/>
    <w:rsid w:val="005F085D"/>
    <w:rsid w:val="005F0933"/>
    <w:rsid w:val="005F0A4B"/>
    <w:rsid w:val="005F0BEE"/>
    <w:rsid w:val="005F1064"/>
    <w:rsid w:val="005F10EC"/>
    <w:rsid w:val="005F164D"/>
    <w:rsid w:val="005F16FB"/>
    <w:rsid w:val="005F1855"/>
    <w:rsid w:val="005F1D9E"/>
    <w:rsid w:val="005F1F7A"/>
    <w:rsid w:val="005F2245"/>
    <w:rsid w:val="005F25D3"/>
    <w:rsid w:val="005F2670"/>
    <w:rsid w:val="005F26C6"/>
    <w:rsid w:val="005F2D3D"/>
    <w:rsid w:val="005F3010"/>
    <w:rsid w:val="005F3071"/>
    <w:rsid w:val="005F318F"/>
    <w:rsid w:val="005F339D"/>
    <w:rsid w:val="005F345D"/>
    <w:rsid w:val="005F34B4"/>
    <w:rsid w:val="005F3762"/>
    <w:rsid w:val="005F38D0"/>
    <w:rsid w:val="005F3A52"/>
    <w:rsid w:val="005F3BFA"/>
    <w:rsid w:val="005F3C6C"/>
    <w:rsid w:val="005F3D46"/>
    <w:rsid w:val="005F3ED9"/>
    <w:rsid w:val="005F3F1C"/>
    <w:rsid w:val="005F428C"/>
    <w:rsid w:val="005F4367"/>
    <w:rsid w:val="005F4692"/>
    <w:rsid w:val="005F46C2"/>
    <w:rsid w:val="005F4857"/>
    <w:rsid w:val="005F48B7"/>
    <w:rsid w:val="005F4A7E"/>
    <w:rsid w:val="005F4CD1"/>
    <w:rsid w:val="005F4D6E"/>
    <w:rsid w:val="005F4E3D"/>
    <w:rsid w:val="005F4FF1"/>
    <w:rsid w:val="005F52CE"/>
    <w:rsid w:val="005F5332"/>
    <w:rsid w:val="005F5767"/>
    <w:rsid w:val="005F580E"/>
    <w:rsid w:val="005F58C1"/>
    <w:rsid w:val="005F593D"/>
    <w:rsid w:val="005F59CA"/>
    <w:rsid w:val="005F5B2E"/>
    <w:rsid w:val="005F5BDD"/>
    <w:rsid w:val="005F5EF6"/>
    <w:rsid w:val="005F6059"/>
    <w:rsid w:val="005F61B1"/>
    <w:rsid w:val="005F64D0"/>
    <w:rsid w:val="005F64FC"/>
    <w:rsid w:val="005F6788"/>
    <w:rsid w:val="005F67FF"/>
    <w:rsid w:val="005F698C"/>
    <w:rsid w:val="005F6F5E"/>
    <w:rsid w:val="005F70EA"/>
    <w:rsid w:val="005F7228"/>
    <w:rsid w:val="005F72FD"/>
    <w:rsid w:val="005F755F"/>
    <w:rsid w:val="005F7888"/>
    <w:rsid w:val="005F78AF"/>
    <w:rsid w:val="005F7997"/>
    <w:rsid w:val="005F79A8"/>
    <w:rsid w:val="005F7EA2"/>
    <w:rsid w:val="005F7EB5"/>
    <w:rsid w:val="005F7F0D"/>
    <w:rsid w:val="005F7F50"/>
    <w:rsid w:val="005F7F97"/>
    <w:rsid w:val="0060015D"/>
    <w:rsid w:val="0060023D"/>
    <w:rsid w:val="006002D8"/>
    <w:rsid w:val="00600379"/>
    <w:rsid w:val="0060049B"/>
    <w:rsid w:val="00600786"/>
    <w:rsid w:val="0060097F"/>
    <w:rsid w:val="00600CF2"/>
    <w:rsid w:val="00600DB1"/>
    <w:rsid w:val="00600EE6"/>
    <w:rsid w:val="00600F5E"/>
    <w:rsid w:val="006012DE"/>
    <w:rsid w:val="006013B2"/>
    <w:rsid w:val="00601670"/>
    <w:rsid w:val="00601686"/>
    <w:rsid w:val="006019B7"/>
    <w:rsid w:val="00601A5C"/>
    <w:rsid w:val="00601CF8"/>
    <w:rsid w:val="00601EA0"/>
    <w:rsid w:val="00601ED2"/>
    <w:rsid w:val="00601F44"/>
    <w:rsid w:val="00601F8E"/>
    <w:rsid w:val="00601FE4"/>
    <w:rsid w:val="00602051"/>
    <w:rsid w:val="006022B3"/>
    <w:rsid w:val="0060232F"/>
    <w:rsid w:val="00602330"/>
    <w:rsid w:val="00602430"/>
    <w:rsid w:val="0060250F"/>
    <w:rsid w:val="006025D7"/>
    <w:rsid w:val="00602683"/>
    <w:rsid w:val="00602723"/>
    <w:rsid w:val="00602A09"/>
    <w:rsid w:val="00602B1F"/>
    <w:rsid w:val="00602BB8"/>
    <w:rsid w:val="00602D0E"/>
    <w:rsid w:val="00602DAF"/>
    <w:rsid w:val="00602DC3"/>
    <w:rsid w:val="00603179"/>
    <w:rsid w:val="0060326D"/>
    <w:rsid w:val="00603365"/>
    <w:rsid w:val="006034C0"/>
    <w:rsid w:val="0060351E"/>
    <w:rsid w:val="006035B6"/>
    <w:rsid w:val="006037B9"/>
    <w:rsid w:val="006038B9"/>
    <w:rsid w:val="00603972"/>
    <w:rsid w:val="00603A0B"/>
    <w:rsid w:val="00603AD8"/>
    <w:rsid w:val="00603CA1"/>
    <w:rsid w:val="0060412C"/>
    <w:rsid w:val="00604189"/>
    <w:rsid w:val="006045AE"/>
    <w:rsid w:val="0060463A"/>
    <w:rsid w:val="006046BE"/>
    <w:rsid w:val="00604798"/>
    <w:rsid w:val="00604C57"/>
    <w:rsid w:val="00604DC0"/>
    <w:rsid w:val="00604E25"/>
    <w:rsid w:val="006050AF"/>
    <w:rsid w:val="00605133"/>
    <w:rsid w:val="006053E3"/>
    <w:rsid w:val="0060552C"/>
    <w:rsid w:val="006055BC"/>
    <w:rsid w:val="00605759"/>
    <w:rsid w:val="006058BC"/>
    <w:rsid w:val="00605968"/>
    <w:rsid w:val="00605B80"/>
    <w:rsid w:val="00605BCA"/>
    <w:rsid w:val="00605D06"/>
    <w:rsid w:val="00605D34"/>
    <w:rsid w:val="00605D3F"/>
    <w:rsid w:val="00605E77"/>
    <w:rsid w:val="00605F3A"/>
    <w:rsid w:val="00606363"/>
    <w:rsid w:val="006067B8"/>
    <w:rsid w:val="0060694E"/>
    <w:rsid w:val="00606A2A"/>
    <w:rsid w:val="00606C19"/>
    <w:rsid w:val="00606F12"/>
    <w:rsid w:val="00607019"/>
    <w:rsid w:val="00607029"/>
    <w:rsid w:val="006071C0"/>
    <w:rsid w:val="006071DB"/>
    <w:rsid w:val="0060722F"/>
    <w:rsid w:val="0060760F"/>
    <w:rsid w:val="00607690"/>
    <w:rsid w:val="006076C7"/>
    <w:rsid w:val="0060789F"/>
    <w:rsid w:val="00607B5C"/>
    <w:rsid w:val="00607BEE"/>
    <w:rsid w:val="00607C39"/>
    <w:rsid w:val="00607FB2"/>
    <w:rsid w:val="006103DE"/>
    <w:rsid w:val="006104B0"/>
    <w:rsid w:val="0061051D"/>
    <w:rsid w:val="006106E4"/>
    <w:rsid w:val="0061075D"/>
    <w:rsid w:val="00610998"/>
    <w:rsid w:val="006109A1"/>
    <w:rsid w:val="00610AA4"/>
    <w:rsid w:val="00610CCE"/>
    <w:rsid w:val="00610E00"/>
    <w:rsid w:val="00610E85"/>
    <w:rsid w:val="00610FFA"/>
    <w:rsid w:val="00611103"/>
    <w:rsid w:val="006113D0"/>
    <w:rsid w:val="00611606"/>
    <w:rsid w:val="00611672"/>
    <w:rsid w:val="00611770"/>
    <w:rsid w:val="00611EA9"/>
    <w:rsid w:val="0061217C"/>
    <w:rsid w:val="00612584"/>
    <w:rsid w:val="0061258B"/>
    <w:rsid w:val="00612601"/>
    <w:rsid w:val="0061260B"/>
    <w:rsid w:val="00612B83"/>
    <w:rsid w:val="00612C77"/>
    <w:rsid w:val="00612C90"/>
    <w:rsid w:val="00612D73"/>
    <w:rsid w:val="00612EB0"/>
    <w:rsid w:val="00612EBD"/>
    <w:rsid w:val="00613141"/>
    <w:rsid w:val="006131ED"/>
    <w:rsid w:val="00613233"/>
    <w:rsid w:val="006132B7"/>
    <w:rsid w:val="006134E2"/>
    <w:rsid w:val="006137A9"/>
    <w:rsid w:val="00613927"/>
    <w:rsid w:val="0061394A"/>
    <w:rsid w:val="00613A9B"/>
    <w:rsid w:val="00613DBF"/>
    <w:rsid w:val="00613E0B"/>
    <w:rsid w:val="00613EE2"/>
    <w:rsid w:val="00613EFA"/>
    <w:rsid w:val="00613F93"/>
    <w:rsid w:val="00613FD1"/>
    <w:rsid w:val="006141FA"/>
    <w:rsid w:val="00614622"/>
    <w:rsid w:val="006146B6"/>
    <w:rsid w:val="00614743"/>
    <w:rsid w:val="00614782"/>
    <w:rsid w:val="006147EF"/>
    <w:rsid w:val="006148D5"/>
    <w:rsid w:val="00614A4D"/>
    <w:rsid w:val="00614B65"/>
    <w:rsid w:val="00614C31"/>
    <w:rsid w:val="00614C41"/>
    <w:rsid w:val="00614CC0"/>
    <w:rsid w:val="00614CCF"/>
    <w:rsid w:val="00614D55"/>
    <w:rsid w:val="0061540F"/>
    <w:rsid w:val="006155AF"/>
    <w:rsid w:val="00615652"/>
    <w:rsid w:val="0061573B"/>
    <w:rsid w:val="006158DB"/>
    <w:rsid w:val="00615E8B"/>
    <w:rsid w:val="00615ECA"/>
    <w:rsid w:val="00615F97"/>
    <w:rsid w:val="006160A2"/>
    <w:rsid w:val="006160C5"/>
    <w:rsid w:val="006160ED"/>
    <w:rsid w:val="006163BC"/>
    <w:rsid w:val="00616477"/>
    <w:rsid w:val="0061650A"/>
    <w:rsid w:val="006165A0"/>
    <w:rsid w:val="006168D8"/>
    <w:rsid w:val="00616A76"/>
    <w:rsid w:val="00616AB6"/>
    <w:rsid w:val="00616D7F"/>
    <w:rsid w:val="00616DAA"/>
    <w:rsid w:val="00616F10"/>
    <w:rsid w:val="00616FA4"/>
    <w:rsid w:val="00616FD2"/>
    <w:rsid w:val="00616FEB"/>
    <w:rsid w:val="0061702D"/>
    <w:rsid w:val="00617071"/>
    <w:rsid w:val="006175B6"/>
    <w:rsid w:val="00617965"/>
    <w:rsid w:val="006179B7"/>
    <w:rsid w:val="00617B55"/>
    <w:rsid w:val="00617BE8"/>
    <w:rsid w:val="00617C40"/>
    <w:rsid w:val="00617C8E"/>
    <w:rsid w:val="00617CCB"/>
    <w:rsid w:val="00617D00"/>
    <w:rsid w:val="00620098"/>
    <w:rsid w:val="006200FC"/>
    <w:rsid w:val="00620113"/>
    <w:rsid w:val="00620154"/>
    <w:rsid w:val="006202F3"/>
    <w:rsid w:val="006205B6"/>
    <w:rsid w:val="00620940"/>
    <w:rsid w:val="00620C5F"/>
    <w:rsid w:val="00620DB5"/>
    <w:rsid w:val="00620F00"/>
    <w:rsid w:val="00620FBD"/>
    <w:rsid w:val="006211DA"/>
    <w:rsid w:val="006212EE"/>
    <w:rsid w:val="00621408"/>
    <w:rsid w:val="00621834"/>
    <w:rsid w:val="00621944"/>
    <w:rsid w:val="006219C0"/>
    <w:rsid w:val="00621A4B"/>
    <w:rsid w:val="00621B0E"/>
    <w:rsid w:val="00621DA7"/>
    <w:rsid w:val="00621F4E"/>
    <w:rsid w:val="006220A3"/>
    <w:rsid w:val="006220EC"/>
    <w:rsid w:val="0062214A"/>
    <w:rsid w:val="006223BF"/>
    <w:rsid w:val="00622430"/>
    <w:rsid w:val="0062277E"/>
    <w:rsid w:val="0062295B"/>
    <w:rsid w:val="00622B31"/>
    <w:rsid w:val="00622CEB"/>
    <w:rsid w:val="00622E46"/>
    <w:rsid w:val="00622F79"/>
    <w:rsid w:val="0062307B"/>
    <w:rsid w:val="006231BA"/>
    <w:rsid w:val="00623249"/>
    <w:rsid w:val="006233D3"/>
    <w:rsid w:val="006233EA"/>
    <w:rsid w:val="00623469"/>
    <w:rsid w:val="006234BC"/>
    <w:rsid w:val="00623730"/>
    <w:rsid w:val="0062377E"/>
    <w:rsid w:val="0062391F"/>
    <w:rsid w:val="0062399C"/>
    <w:rsid w:val="00623A4E"/>
    <w:rsid w:val="00623BB0"/>
    <w:rsid w:val="00623BF7"/>
    <w:rsid w:val="00623C86"/>
    <w:rsid w:val="00623D37"/>
    <w:rsid w:val="00623DE0"/>
    <w:rsid w:val="00623DF1"/>
    <w:rsid w:val="00623E1A"/>
    <w:rsid w:val="00623FD5"/>
    <w:rsid w:val="00623FDE"/>
    <w:rsid w:val="0062400D"/>
    <w:rsid w:val="006241D1"/>
    <w:rsid w:val="006242CE"/>
    <w:rsid w:val="006245C6"/>
    <w:rsid w:val="006246C5"/>
    <w:rsid w:val="0062473E"/>
    <w:rsid w:val="00624776"/>
    <w:rsid w:val="00624BE3"/>
    <w:rsid w:val="00624F2E"/>
    <w:rsid w:val="00625064"/>
    <w:rsid w:val="006250A2"/>
    <w:rsid w:val="0062541A"/>
    <w:rsid w:val="00625474"/>
    <w:rsid w:val="006255DE"/>
    <w:rsid w:val="0062569D"/>
    <w:rsid w:val="0062572F"/>
    <w:rsid w:val="00625872"/>
    <w:rsid w:val="006259F1"/>
    <w:rsid w:val="00625B2D"/>
    <w:rsid w:val="00625B61"/>
    <w:rsid w:val="00625CB7"/>
    <w:rsid w:val="00625DDF"/>
    <w:rsid w:val="00625EEE"/>
    <w:rsid w:val="0062610B"/>
    <w:rsid w:val="00626195"/>
    <w:rsid w:val="00626307"/>
    <w:rsid w:val="00626646"/>
    <w:rsid w:val="00626909"/>
    <w:rsid w:val="00626AC6"/>
    <w:rsid w:val="00626ADF"/>
    <w:rsid w:val="00626BC0"/>
    <w:rsid w:val="00626CDD"/>
    <w:rsid w:val="00626D4F"/>
    <w:rsid w:val="006272F5"/>
    <w:rsid w:val="0062740B"/>
    <w:rsid w:val="0062750F"/>
    <w:rsid w:val="006276C9"/>
    <w:rsid w:val="00627C88"/>
    <w:rsid w:val="00627D55"/>
    <w:rsid w:val="00627DB8"/>
    <w:rsid w:val="0063018B"/>
    <w:rsid w:val="006302D7"/>
    <w:rsid w:val="00630BE2"/>
    <w:rsid w:val="00631002"/>
    <w:rsid w:val="0063118E"/>
    <w:rsid w:val="006312C7"/>
    <w:rsid w:val="00631397"/>
    <w:rsid w:val="006313A7"/>
    <w:rsid w:val="006314F4"/>
    <w:rsid w:val="00631686"/>
    <w:rsid w:val="006316C8"/>
    <w:rsid w:val="00631739"/>
    <w:rsid w:val="00631DAA"/>
    <w:rsid w:val="00631E13"/>
    <w:rsid w:val="00631FD0"/>
    <w:rsid w:val="00632151"/>
    <w:rsid w:val="006321F8"/>
    <w:rsid w:val="00632283"/>
    <w:rsid w:val="006322C7"/>
    <w:rsid w:val="00632502"/>
    <w:rsid w:val="00632648"/>
    <w:rsid w:val="00632A91"/>
    <w:rsid w:val="00632F2E"/>
    <w:rsid w:val="00632F59"/>
    <w:rsid w:val="0063303D"/>
    <w:rsid w:val="0063333A"/>
    <w:rsid w:val="006333EE"/>
    <w:rsid w:val="0063362F"/>
    <w:rsid w:val="006337D3"/>
    <w:rsid w:val="0063389D"/>
    <w:rsid w:val="00633B80"/>
    <w:rsid w:val="00633CE6"/>
    <w:rsid w:val="006341D7"/>
    <w:rsid w:val="006342DA"/>
    <w:rsid w:val="00634500"/>
    <w:rsid w:val="00634574"/>
    <w:rsid w:val="006345A9"/>
    <w:rsid w:val="00634822"/>
    <w:rsid w:val="00634909"/>
    <w:rsid w:val="00634A39"/>
    <w:rsid w:val="00634A80"/>
    <w:rsid w:val="00634ADA"/>
    <w:rsid w:val="00634C9F"/>
    <w:rsid w:val="00634DA8"/>
    <w:rsid w:val="00634E69"/>
    <w:rsid w:val="00635122"/>
    <w:rsid w:val="006351E0"/>
    <w:rsid w:val="006352E1"/>
    <w:rsid w:val="006355EF"/>
    <w:rsid w:val="0063575E"/>
    <w:rsid w:val="00635764"/>
    <w:rsid w:val="00635792"/>
    <w:rsid w:val="00635958"/>
    <w:rsid w:val="00635C94"/>
    <w:rsid w:val="00635D45"/>
    <w:rsid w:val="00635DCD"/>
    <w:rsid w:val="00636002"/>
    <w:rsid w:val="00636101"/>
    <w:rsid w:val="006361A8"/>
    <w:rsid w:val="006361F0"/>
    <w:rsid w:val="00636253"/>
    <w:rsid w:val="00636254"/>
    <w:rsid w:val="006363D3"/>
    <w:rsid w:val="00636586"/>
    <w:rsid w:val="00636605"/>
    <w:rsid w:val="006366DC"/>
    <w:rsid w:val="0063680F"/>
    <w:rsid w:val="00636949"/>
    <w:rsid w:val="00636971"/>
    <w:rsid w:val="00636B40"/>
    <w:rsid w:val="00636C38"/>
    <w:rsid w:val="00636C4E"/>
    <w:rsid w:val="00636C93"/>
    <w:rsid w:val="00636C97"/>
    <w:rsid w:val="00636CD1"/>
    <w:rsid w:val="00636D0A"/>
    <w:rsid w:val="00636EED"/>
    <w:rsid w:val="00637090"/>
    <w:rsid w:val="0063737C"/>
    <w:rsid w:val="00637B71"/>
    <w:rsid w:val="00637C7A"/>
    <w:rsid w:val="00637E3B"/>
    <w:rsid w:val="00640174"/>
    <w:rsid w:val="006401BC"/>
    <w:rsid w:val="00640241"/>
    <w:rsid w:val="0064027A"/>
    <w:rsid w:val="006402DE"/>
    <w:rsid w:val="0064032F"/>
    <w:rsid w:val="0064034F"/>
    <w:rsid w:val="006404A5"/>
    <w:rsid w:val="0064075F"/>
    <w:rsid w:val="00640878"/>
    <w:rsid w:val="00640A4F"/>
    <w:rsid w:val="00640A97"/>
    <w:rsid w:val="00640F23"/>
    <w:rsid w:val="00640F82"/>
    <w:rsid w:val="006410C9"/>
    <w:rsid w:val="006411D0"/>
    <w:rsid w:val="0064147D"/>
    <w:rsid w:val="00641509"/>
    <w:rsid w:val="00641558"/>
    <w:rsid w:val="006416E9"/>
    <w:rsid w:val="00641949"/>
    <w:rsid w:val="0064196E"/>
    <w:rsid w:val="006419EB"/>
    <w:rsid w:val="00641A23"/>
    <w:rsid w:val="00641A63"/>
    <w:rsid w:val="0064245D"/>
    <w:rsid w:val="00642730"/>
    <w:rsid w:val="00642770"/>
    <w:rsid w:val="0064277A"/>
    <w:rsid w:val="00642A0C"/>
    <w:rsid w:val="00642B3B"/>
    <w:rsid w:val="00642B64"/>
    <w:rsid w:val="00642C05"/>
    <w:rsid w:val="00642C19"/>
    <w:rsid w:val="00642D17"/>
    <w:rsid w:val="00642FFF"/>
    <w:rsid w:val="0064305F"/>
    <w:rsid w:val="00643250"/>
    <w:rsid w:val="006432F2"/>
    <w:rsid w:val="0064333F"/>
    <w:rsid w:val="00643450"/>
    <w:rsid w:val="006434E2"/>
    <w:rsid w:val="00643A7F"/>
    <w:rsid w:val="00643A81"/>
    <w:rsid w:val="00643AED"/>
    <w:rsid w:val="00643E88"/>
    <w:rsid w:val="006442C0"/>
    <w:rsid w:val="0064430B"/>
    <w:rsid w:val="00644501"/>
    <w:rsid w:val="0064452E"/>
    <w:rsid w:val="006447BD"/>
    <w:rsid w:val="0064497E"/>
    <w:rsid w:val="00644A82"/>
    <w:rsid w:val="00644CBF"/>
    <w:rsid w:val="00644CD2"/>
    <w:rsid w:val="00644D03"/>
    <w:rsid w:val="00644F9B"/>
    <w:rsid w:val="00644FCE"/>
    <w:rsid w:val="0064503D"/>
    <w:rsid w:val="00645224"/>
    <w:rsid w:val="006452D2"/>
    <w:rsid w:val="0064531F"/>
    <w:rsid w:val="00645654"/>
    <w:rsid w:val="00645889"/>
    <w:rsid w:val="0064589A"/>
    <w:rsid w:val="00645985"/>
    <w:rsid w:val="00645B8F"/>
    <w:rsid w:val="00645CBA"/>
    <w:rsid w:val="00645EB7"/>
    <w:rsid w:val="00645F5D"/>
    <w:rsid w:val="0064609E"/>
    <w:rsid w:val="00646353"/>
    <w:rsid w:val="00646441"/>
    <w:rsid w:val="006465A1"/>
    <w:rsid w:val="0064668B"/>
    <w:rsid w:val="006466B4"/>
    <w:rsid w:val="006467E9"/>
    <w:rsid w:val="00646C72"/>
    <w:rsid w:val="00646ED3"/>
    <w:rsid w:val="006473FB"/>
    <w:rsid w:val="00647618"/>
    <w:rsid w:val="006476CC"/>
    <w:rsid w:val="00647945"/>
    <w:rsid w:val="00647AD0"/>
    <w:rsid w:val="00647C4A"/>
    <w:rsid w:val="00647D38"/>
    <w:rsid w:val="00647EC7"/>
    <w:rsid w:val="00650156"/>
    <w:rsid w:val="00650241"/>
    <w:rsid w:val="00650439"/>
    <w:rsid w:val="00650463"/>
    <w:rsid w:val="0065070A"/>
    <w:rsid w:val="00650777"/>
    <w:rsid w:val="00650780"/>
    <w:rsid w:val="006507E4"/>
    <w:rsid w:val="006508AF"/>
    <w:rsid w:val="00650A67"/>
    <w:rsid w:val="00650DBF"/>
    <w:rsid w:val="00650DF4"/>
    <w:rsid w:val="00650EDC"/>
    <w:rsid w:val="00651233"/>
    <w:rsid w:val="006512A4"/>
    <w:rsid w:val="006514B0"/>
    <w:rsid w:val="00651519"/>
    <w:rsid w:val="00651568"/>
    <w:rsid w:val="0065160F"/>
    <w:rsid w:val="0065166C"/>
    <w:rsid w:val="00651E05"/>
    <w:rsid w:val="00651F58"/>
    <w:rsid w:val="00652056"/>
    <w:rsid w:val="006520D6"/>
    <w:rsid w:val="00652178"/>
    <w:rsid w:val="00652259"/>
    <w:rsid w:val="0065226E"/>
    <w:rsid w:val="006524D0"/>
    <w:rsid w:val="00652613"/>
    <w:rsid w:val="0065261C"/>
    <w:rsid w:val="00652629"/>
    <w:rsid w:val="006527B4"/>
    <w:rsid w:val="00652959"/>
    <w:rsid w:val="00652ADC"/>
    <w:rsid w:val="00652B37"/>
    <w:rsid w:val="00652BE0"/>
    <w:rsid w:val="00652BF5"/>
    <w:rsid w:val="00652BF6"/>
    <w:rsid w:val="00652C65"/>
    <w:rsid w:val="00652E2E"/>
    <w:rsid w:val="00652EBB"/>
    <w:rsid w:val="00652ECF"/>
    <w:rsid w:val="00652EFD"/>
    <w:rsid w:val="0065302E"/>
    <w:rsid w:val="006534B0"/>
    <w:rsid w:val="00653796"/>
    <w:rsid w:val="006537D2"/>
    <w:rsid w:val="006538AC"/>
    <w:rsid w:val="00653F1B"/>
    <w:rsid w:val="006542B6"/>
    <w:rsid w:val="0065443A"/>
    <w:rsid w:val="006544E0"/>
    <w:rsid w:val="0065458F"/>
    <w:rsid w:val="00654737"/>
    <w:rsid w:val="006549A4"/>
    <w:rsid w:val="00654D6C"/>
    <w:rsid w:val="00654DCF"/>
    <w:rsid w:val="00654E37"/>
    <w:rsid w:val="00654F0C"/>
    <w:rsid w:val="00654F45"/>
    <w:rsid w:val="006550B0"/>
    <w:rsid w:val="0065515B"/>
    <w:rsid w:val="0065577E"/>
    <w:rsid w:val="00655879"/>
    <w:rsid w:val="0065592D"/>
    <w:rsid w:val="00655AB6"/>
    <w:rsid w:val="00655D19"/>
    <w:rsid w:val="00655ED4"/>
    <w:rsid w:val="00655F40"/>
    <w:rsid w:val="00656034"/>
    <w:rsid w:val="00656146"/>
    <w:rsid w:val="00656342"/>
    <w:rsid w:val="006563DB"/>
    <w:rsid w:val="00656556"/>
    <w:rsid w:val="006565B5"/>
    <w:rsid w:val="00656631"/>
    <w:rsid w:val="006568F3"/>
    <w:rsid w:val="0065692A"/>
    <w:rsid w:val="00656ACB"/>
    <w:rsid w:val="00656C25"/>
    <w:rsid w:val="00656D3D"/>
    <w:rsid w:val="00656EE3"/>
    <w:rsid w:val="00656F2A"/>
    <w:rsid w:val="00656FAA"/>
    <w:rsid w:val="00657123"/>
    <w:rsid w:val="00657243"/>
    <w:rsid w:val="00657C2E"/>
    <w:rsid w:val="00657D3B"/>
    <w:rsid w:val="00657EA1"/>
    <w:rsid w:val="00657EEA"/>
    <w:rsid w:val="00660213"/>
    <w:rsid w:val="00660400"/>
    <w:rsid w:val="0066047A"/>
    <w:rsid w:val="0066058C"/>
    <w:rsid w:val="006605BA"/>
    <w:rsid w:val="00660A8A"/>
    <w:rsid w:val="00660ADC"/>
    <w:rsid w:val="00660BCB"/>
    <w:rsid w:val="00660BDB"/>
    <w:rsid w:val="00660C07"/>
    <w:rsid w:val="00660DA0"/>
    <w:rsid w:val="00660E63"/>
    <w:rsid w:val="00660F63"/>
    <w:rsid w:val="00660F64"/>
    <w:rsid w:val="00660F6F"/>
    <w:rsid w:val="00661343"/>
    <w:rsid w:val="0066139B"/>
    <w:rsid w:val="006613E1"/>
    <w:rsid w:val="00661766"/>
    <w:rsid w:val="00661A11"/>
    <w:rsid w:val="00661A31"/>
    <w:rsid w:val="00661AE1"/>
    <w:rsid w:val="00661D7F"/>
    <w:rsid w:val="00661D88"/>
    <w:rsid w:val="00662009"/>
    <w:rsid w:val="0066214A"/>
    <w:rsid w:val="006621A6"/>
    <w:rsid w:val="00662345"/>
    <w:rsid w:val="00662513"/>
    <w:rsid w:val="00662C7B"/>
    <w:rsid w:val="00662D05"/>
    <w:rsid w:val="00662D87"/>
    <w:rsid w:val="00662E1D"/>
    <w:rsid w:val="0066306D"/>
    <w:rsid w:val="006631E6"/>
    <w:rsid w:val="0066326D"/>
    <w:rsid w:val="0066336A"/>
    <w:rsid w:val="0066362D"/>
    <w:rsid w:val="00663759"/>
    <w:rsid w:val="00663801"/>
    <w:rsid w:val="00663847"/>
    <w:rsid w:val="00663A0B"/>
    <w:rsid w:val="00663ADD"/>
    <w:rsid w:val="00663B04"/>
    <w:rsid w:val="00663D29"/>
    <w:rsid w:val="00663DC4"/>
    <w:rsid w:val="00663DFE"/>
    <w:rsid w:val="00663F93"/>
    <w:rsid w:val="006642B1"/>
    <w:rsid w:val="006644CD"/>
    <w:rsid w:val="006647ED"/>
    <w:rsid w:val="00664A4F"/>
    <w:rsid w:val="00664B2A"/>
    <w:rsid w:val="00664BCF"/>
    <w:rsid w:val="00664C5C"/>
    <w:rsid w:val="00664C80"/>
    <w:rsid w:val="0066501C"/>
    <w:rsid w:val="00665424"/>
    <w:rsid w:val="00665473"/>
    <w:rsid w:val="00665569"/>
    <w:rsid w:val="0066569E"/>
    <w:rsid w:val="0066572E"/>
    <w:rsid w:val="00665936"/>
    <w:rsid w:val="00665A5A"/>
    <w:rsid w:val="00665B9D"/>
    <w:rsid w:val="00665D5A"/>
    <w:rsid w:val="00666253"/>
    <w:rsid w:val="00666382"/>
    <w:rsid w:val="0066646B"/>
    <w:rsid w:val="00666754"/>
    <w:rsid w:val="0066686B"/>
    <w:rsid w:val="00666876"/>
    <w:rsid w:val="00666F36"/>
    <w:rsid w:val="006670CC"/>
    <w:rsid w:val="0066712E"/>
    <w:rsid w:val="0066720B"/>
    <w:rsid w:val="0066733D"/>
    <w:rsid w:val="00667669"/>
    <w:rsid w:val="0066783C"/>
    <w:rsid w:val="0066796B"/>
    <w:rsid w:val="006679AF"/>
    <w:rsid w:val="00667C78"/>
    <w:rsid w:val="00667EAC"/>
    <w:rsid w:val="00667F8D"/>
    <w:rsid w:val="0067018D"/>
    <w:rsid w:val="006701CE"/>
    <w:rsid w:val="006701E5"/>
    <w:rsid w:val="0067021D"/>
    <w:rsid w:val="006702A3"/>
    <w:rsid w:val="0067069E"/>
    <w:rsid w:val="006708A5"/>
    <w:rsid w:val="006708E0"/>
    <w:rsid w:val="00670B2E"/>
    <w:rsid w:val="00670BD5"/>
    <w:rsid w:val="00670CED"/>
    <w:rsid w:val="00670FFC"/>
    <w:rsid w:val="00671219"/>
    <w:rsid w:val="00671327"/>
    <w:rsid w:val="006713A0"/>
    <w:rsid w:val="00671458"/>
    <w:rsid w:val="006714B1"/>
    <w:rsid w:val="006714CA"/>
    <w:rsid w:val="006715FD"/>
    <w:rsid w:val="0067192B"/>
    <w:rsid w:val="00671A81"/>
    <w:rsid w:val="00671C36"/>
    <w:rsid w:val="00671F49"/>
    <w:rsid w:val="0067202C"/>
    <w:rsid w:val="00672038"/>
    <w:rsid w:val="00672391"/>
    <w:rsid w:val="00672442"/>
    <w:rsid w:val="006724CC"/>
    <w:rsid w:val="00672510"/>
    <w:rsid w:val="00672520"/>
    <w:rsid w:val="00672657"/>
    <w:rsid w:val="0067284B"/>
    <w:rsid w:val="006728EC"/>
    <w:rsid w:val="00672A60"/>
    <w:rsid w:val="00672AF9"/>
    <w:rsid w:val="006731E2"/>
    <w:rsid w:val="00673303"/>
    <w:rsid w:val="00673472"/>
    <w:rsid w:val="00673595"/>
    <w:rsid w:val="006735C3"/>
    <w:rsid w:val="0067361B"/>
    <w:rsid w:val="00673767"/>
    <w:rsid w:val="006739CF"/>
    <w:rsid w:val="00673C84"/>
    <w:rsid w:val="00674145"/>
    <w:rsid w:val="0067424C"/>
    <w:rsid w:val="006742F7"/>
    <w:rsid w:val="00674601"/>
    <w:rsid w:val="00674D0C"/>
    <w:rsid w:val="00674F96"/>
    <w:rsid w:val="00675074"/>
    <w:rsid w:val="0067525B"/>
    <w:rsid w:val="00675468"/>
    <w:rsid w:val="006754CB"/>
    <w:rsid w:val="00675543"/>
    <w:rsid w:val="00675878"/>
    <w:rsid w:val="0067588D"/>
    <w:rsid w:val="00675AC9"/>
    <w:rsid w:val="00675B30"/>
    <w:rsid w:val="00675C0C"/>
    <w:rsid w:val="00675E7B"/>
    <w:rsid w:val="00675F46"/>
    <w:rsid w:val="006762D1"/>
    <w:rsid w:val="0067642A"/>
    <w:rsid w:val="0067659D"/>
    <w:rsid w:val="00676685"/>
    <w:rsid w:val="0067675F"/>
    <w:rsid w:val="00676914"/>
    <w:rsid w:val="00676B02"/>
    <w:rsid w:val="00676C83"/>
    <w:rsid w:val="00677026"/>
    <w:rsid w:val="00677186"/>
    <w:rsid w:val="00677343"/>
    <w:rsid w:val="006775CA"/>
    <w:rsid w:val="006775D2"/>
    <w:rsid w:val="00677905"/>
    <w:rsid w:val="00677952"/>
    <w:rsid w:val="00677A18"/>
    <w:rsid w:val="00677C99"/>
    <w:rsid w:val="00677D88"/>
    <w:rsid w:val="0068006B"/>
    <w:rsid w:val="00680081"/>
    <w:rsid w:val="00680139"/>
    <w:rsid w:val="006801FD"/>
    <w:rsid w:val="006804D9"/>
    <w:rsid w:val="006805AD"/>
    <w:rsid w:val="006806B6"/>
    <w:rsid w:val="00680760"/>
    <w:rsid w:val="0068079F"/>
    <w:rsid w:val="00680878"/>
    <w:rsid w:val="00680936"/>
    <w:rsid w:val="00680A35"/>
    <w:rsid w:val="00680BA8"/>
    <w:rsid w:val="00680C88"/>
    <w:rsid w:val="00680D5B"/>
    <w:rsid w:val="00680DD5"/>
    <w:rsid w:val="00680DE1"/>
    <w:rsid w:val="00680E20"/>
    <w:rsid w:val="00680E5E"/>
    <w:rsid w:val="00680E8A"/>
    <w:rsid w:val="006810EA"/>
    <w:rsid w:val="006814D0"/>
    <w:rsid w:val="00681570"/>
    <w:rsid w:val="0068158D"/>
    <w:rsid w:val="006815AF"/>
    <w:rsid w:val="006815E3"/>
    <w:rsid w:val="0068160A"/>
    <w:rsid w:val="0068190B"/>
    <w:rsid w:val="00681AE1"/>
    <w:rsid w:val="00681AF3"/>
    <w:rsid w:val="00681B93"/>
    <w:rsid w:val="00681D69"/>
    <w:rsid w:val="00681F2A"/>
    <w:rsid w:val="00682207"/>
    <w:rsid w:val="00682397"/>
    <w:rsid w:val="00682A4B"/>
    <w:rsid w:val="00682B7B"/>
    <w:rsid w:val="00682C8B"/>
    <w:rsid w:val="00682D1F"/>
    <w:rsid w:val="00682E47"/>
    <w:rsid w:val="00682FBA"/>
    <w:rsid w:val="00683443"/>
    <w:rsid w:val="0068345B"/>
    <w:rsid w:val="00683711"/>
    <w:rsid w:val="006838C6"/>
    <w:rsid w:val="006839EF"/>
    <w:rsid w:val="00683B00"/>
    <w:rsid w:val="00683B3C"/>
    <w:rsid w:val="00683BD9"/>
    <w:rsid w:val="00683C20"/>
    <w:rsid w:val="00683C42"/>
    <w:rsid w:val="00683F3B"/>
    <w:rsid w:val="00684081"/>
    <w:rsid w:val="0068432A"/>
    <w:rsid w:val="006844FD"/>
    <w:rsid w:val="0068452B"/>
    <w:rsid w:val="006846B0"/>
    <w:rsid w:val="006847FF"/>
    <w:rsid w:val="00684AA1"/>
    <w:rsid w:val="00684D87"/>
    <w:rsid w:val="00684F58"/>
    <w:rsid w:val="00684F77"/>
    <w:rsid w:val="00685082"/>
    <w:rsid w:val="006850BD"/>
    <w:rsid w:val="00685317"/>
    <w:rsid w:val="006853BC"/>
    <w:rsid w:val="006854A4"/>
    <w:rsid w:val="006857CF"/>
    <w:rsid w:val="00685B57"/>
    <w:rsid w:val="00685B69"/>
    <w:rsid w:val="00685D36"/>
    <w:rsid w:val="00686128"/>
    <w:rsid w:val="006862F9"/>
    <w:rsid w:val="0068641E"/>
    <w:rsid w:val="00686422"/>
    <w:rsid w:val="00686499"/>
    <w:rsid w:val="0068649A"/>
    <w:rsid w:val="006866EE"/>
    <w:rsid w:val="0068680E"/>
    <w:rsid w:val="00686AFF"/>
    <w:rsid w:val="00686D9C"/>
    <w:rsid w:val="00686EEA"/>
    <w:rsid w:val="00686FC1"/>
    <w:rsid w:val="006871C6"/>
    <w:rsid w:val="0068728F"/>
    <w:rsid w:val="006874A7"/>
    <w:rsid w:val="006875D5"/>
    <w:rsid w:val="0068793D"/>
    <w:rsid w:val="00687EC2"/>
    <w:rsid w:val="00687FB0"/>
    <w:rsid w:val="0069019C"/>
    <w:rsid w:val="00690900"/>
    <w:rsid w:val="0069096F"/>
    <w:rsid w:val="00690AB2"/>
    <w:rsid w:val="00690B7C"/>
    <w:rsid w:val="00690DE7"/>
    <w:rsid w:val="00690E32"/>
    <w:rsid w:val="00690FF5"/>
    <w:rsid w:val="00691317"/>
    <w:rsid w:val="00691A1F"/>
    <w:rsid w:val="00691A2A"/>
    <w:rsid w:val="00691A84"/>
    <w:rsid w:val="00691C09"/>
    <w:rsid w:val="00691D34"/>
    <w:rsid w:val="00691D3E"/>
    <w:rsid w:val="00691F09"/>
    <w:rsid w:val="00692500"/>
    <w:rsid w:val="0069264D"/>
    <w:rsid w:val="006926FC"/>
    <w:rsid w:val="00692F3D"/>
    <w:rsid w:val="00692F45"/>
    <w:rsid w:val="00693236"/>
    <w:rsid w:val="00693799"/>
    <w:rsid w:val="006938C4"/>
    <w:rsid w:val="00693A5C"/>
    <w:rsid w:val="00693B4F"/>
    <w:rsid w:val="00693C10"/>
    <w:rsid w:val="00693C76"/>
    <w:rsid w:val="00693D00"/>
    <w:rsid w:val="00693E1B"/>
    <w:rsid w:val="006940E9"/>
    <w:rsid w:val="00694412"/>
    <w:rsid w:val="00694666"/>
    <w:rsid w:val="0069469F"/>
    <w:rsid w:val="0069471F"/>
    <w:rsid w:val="0069476B"/>
    <w:rsid w:val="00694816"/>
    <w:rsid w:val="0069481F"/>
    <w:rsid w:val="006949B9"/>
    <w:rsid w:val="00694AA1"/>
    <w:rsid w:val="00694AE0"/>
    <w:rsid w:val="00694AF5"/>
    <w:rsid w:val="00694E74"/>
    <w:rsid w:val="00694F1D"/>
    <w:rsid w:val="00695065"/>
    <w:rsid w:val="0069512A"/>
    <w:rsid w:val="006953F9"/>
    <w:rsid w:val="00695429"/>
    <w:rsid w:val="006956F2"/>
    <w:rsid w:val="0069576B"/>
    <w:rsid w:val="00695875"/>
    <w:rsid w:val="00695981"/>
    <w:rsid w:val="00695A40"/>
    <w:rsid w:val="00695AE0"/>
    <w:rsid w:val="00695D64"/>
    <w:rsid w:val="00695E16"/>
    <w:rsid w:val="00695EA5"/>
    <w:rsid w:val="006962CA"/>
    <w:rsid w:val="00696410"/>
    <w:rsid w:val="00696844"/>
    <w:rsid w:val="006968F5"/>
    <w:rsid w:val="006969A7"/>
    <w:rsid w:val="00696A9C"/>
    <w:rsid w:val="00696C58"/>
    <w:rsid w:val="00696D05"/>
    <w:rsid w:val="00696E29"/>
    <w:rsid w:val="00696E70"/>
    <w:rsid w:val="00696EA7"/>
    <w:rsid w:val="00696FBD"/>
    <w:rsid w:val="0069713B"/>
    <w:rsid w:val="00697186"/>
    <w:rsid w:val="006971A9"/>
    <w:rsid w:val="0069736B"/>
    <w:rsid w:val="006973A0"/>
    <w:rsid w:val="00697716"/>
    <w:rsid w:val="0069776E"/>
    <w:rsid w:val="0069785A"/>
    <w:rsid w:val="00697A18"/>
    <w:rsid w:val="00697A77"/>
    <w:rsid w:val="00697BB7"/>
    <w:rsid w:val="00697BD6"/>
    <w:rsid w:val="00697CD2"/>
    <w:rsid w:val="00697DAB"/>
    <w:rsid w:val="006A01A0"/>
    <w:rsid w:val="006A030E"/>
    <w:rsid w:val="006A035E"/>
    <w:rsid w:val="006A045D"/>
    <w:rsid w:val="006A05C6"/>
    <w:rsid w:val="006A0787"/>
    <w:rsid w:val="006A099F"/>
    <w:rsid w:val="006A0AEA"/>
    <w:rsid w:val="006A0B76"/>
    <w:rsid w:val="006A0CB8"/>
    <w:rsid w:val="006A0DA7"/>
    <w:rsid w:val="006A0EEE"/>
    <w:rsid w:val="006A106A"/>
    <w:rsid w:val="006A109F"/>
    <w:rsid w:val="006A1229"/>
    <w:rsid w:val="006A1479"/>
    <w:rsid w:val="006A14E1"/>
    <w:rsid w:val="006A16BE"/>
    <w:rsid w:val="006A17A5"/>
    <w:rsid w:val="006A1900"/>
    <w:rsid w:val="006A1B69"/>
    <w:rsid w:val="006A1B7F"/>
    <w:rsid w:val="006A1CFB"/>
    <w:rsid w:val="006A1DFE"/>
    <w:rsid w:val="006A1E74"/>
    <w:rsid w:val="006A23D2"/>
    <w:rsid w:val="006A2596"/>
    <w:rsid w:val="006A2989"/>
    <w:rsid w:val="006A2A7E"/>
    <w:rsid w:val="006A2C55"/>
    <w:rsid w:val="006A3141"/>
    <w:rsid w:val="006A339A"/>
    <w:rsid w:val="006A3405"/>
    <w:rsid w:val="006A3468"/>
    <w:rsid w:val="006A3491"/>
    <w:rsid w:val="006A349E"/>
    <w:rsid w:val="006A34EC"/>
    <w:rsid w:val="006A3507"/>
    <w:rsid w:val="006A35C8"/>
    <w:rsid w:val="006A35CD"/>
    <w:rsid w:val="006A37C9"/>
    <w:rsid w:val="006A3848"/>
    <w:rsid w:val="006A3CD9"/>
    <w:rsid w:val="006A3E2A"/>
    <w:rsid w:val="006A3E7D"/>
    <w:rsid w:val="006A3F1F"/>
    <w:rsid w:val="006A40D4"/>
    <w:rsid w:val="006A4266"/>
    <w:rsid w:val="006A4294"/>
    <w:rsid w:val="006A4595"/>
    <w:rsid w:val="006A46D8"/>
    <w:rsid w:val="006A48EE"/>
    <w:rsid w:val="006A49D7"/>
    <w:rsid w:val="006A4A2C"/>
    <w:rsid w:val="006A4A95"/>
    <w:rsid w:val="006A4B3E"/>
    <w:rsid w:val="006A4BD8"/>
    <w:rsid w:val="006A4D50"/>
    <w:rsid w:val="006A4D87"/>
    <w:rsid w:val="006A4FFE"/>
    <w:rsid w:val="006A506B"/>
    <w:rsid w:val="006A53C8"/>
    <w:rsid w:val="006A53DB"/>
    <w:rsid w:val="006A55DA"/>
    <w:rsid w:val="006A574F"/>
    <w:rsid w:val="006A57FA"/>
    <w:rsid w:val="006A5801"/>
    <w:rsid w:val="006A5E42"/>
    <w:rsid w:val="006A608D"/>
    <w:rsid w:val="006A60DA"/>
    <w:rsid w:val="006A6309"/>
    <w:rsid w:val="006A633F"/>
    <w:rsid w:val="006A6467"/>
    <w:rsid w:val="006A64C9"/>
    <w:rsid w:val="006A6743"/>
    <w:rsid w:val="006A674B"/>
    <w:rsid w:val="006A6F99"/>
    <w:rsid w:val="006A6FBB"/>
    <w:rsid w:val="006A7098"/>
    <w:rsid w:val="006A7110"/>
    <w:rsid w:val="006A73E1"/>
    <w:rsid w:val="006A7616"/>
    <w:rsid w:val="006A7744"/>
    <w:rsid w:val="006A785D"/>
    <w:rsid w:val="006A787E"/>
    <w:rsid w:val="006B012C"/>
    <w:rsid w:val="006B019C"/>
    <w:rsid w:val="006B02C8"/>
    <w:rsid w:val="006B031A"/>
    <w:rsid w:val="006B036B"/>
    <w:rsid w:val="006B0563"/>
    <w:rsid w:val="006B057B"/>
    <w:rsid w:val="006B0627"/>
    <w:rsid w:val="006B08AD"/>
    <w:rsid w:val="006B09DB"/>
    <w:rsid w:val="006B0AF2"/>
    <w:rsid w:val="006B0B1B"/>
    <w:rsid w:val="006B0CEF"/>
    <w:rsid w:val="006B12DC"/>
    <w:rsid w:val="006B1515"/>
    <w:rsid w:val="006B1729"/>
    <w:rsid w:val="006B1971"/>
    <w:rsid w:val="006B19F8"/>
    <w:rsid w:val="006B1A58"/>
    <w:rsid w:val="006B1AB4"/>
    <w:rsid w:val="006B1BDE"/>
    <w:rsid w:val="006B1DF3"/>
    <w:rsid w:val="006B1EC1"/>
    <w:rsid w:val="006B1FC2"/>
    <w:rsid w:val="006B20CC"/>
    <w:rsid w:val="006B210F"/>
    <w:rsid w:val="006B23F2"/>
    <w:rsid w:val="006B2525"/>
    <w:rsid w:val="006B256B"/>
    <w:rsid w:val="006B2697"/>
    <w:rsid w:val="006B283D"/>
    <w:rsid w:val="006B28F6"/>
    <w:rsid w:val="006B2B32"/>
    <w:rsid w:val="006B2B87"/>
    <w:rsid w:val="006B2C03"/>
    <w:rsid w:val="006B2D12"/>
    <w:rsid w:val="006B2DA9"/>
    <w:rsid w:val="006B2E16"/>
    <w:rsid w:val="006B2FCB"/>
    <w:rsid w:val="006B3098"/>
    <w:rsid w:val="006B30A5"/>
    <w:rsid w:val="006B30F5"/>
    <w:rsid w:val="006B3569"/>
    <w:rsid w:val="006B381B"/>
    <w:rsid w:val="006B390D"/>
    <w:rsid w:val="006B392F"/>
    <w:rsid w:val="006B3B6E"/>
    <w:rsid w:val="006B3BFF"/>
    <w:rsid w:val="006B3CBC"/>
    <w:rsid w:val="006B3D3F"/>
    <w:rsid w:val="006B3D89"/>
    <w:rsid w:val="006B3F36"/>
    <w:rsid w:val="006B405E"/>
    <w:rsid w:val="006B40E7"/>
    <w:rsid w:val="006B42BD"/>
    <w:rsid w:val="006B42D2"/>
    <w:rsid w:val="006B435B"/>
    <w:rsid w:val="006B44D1"/>
    <w:rsid w:val="006B4563"/>
    <w:rsid w:val="006B463F"/>
    <w:rsid w:val="006B48D2"/>
    <w:rsid w:val="006B4C16"/>
    <w:rsid w:val="006B4DFF"/>
    <w:rsid w:val="006B510A"/>
    <w:rsid w:val="006B5180"/>
    <w:rsid w:val="006B5404"/>
    <w:rsid w:val="006B542D"/>
    <w:rsid w:val="006B55D2"/>
    <w:rsid w:val="006B5769"/>
    <w:rsid w:val="006B5952"/>
    <w:rsid w:val="006B5B47"/>
    <w:rsid w:val="006B5F94"/>
    <w:rsid w:val="006B61E0"/>
    <w:rsid w:val="006B6244"/>
    <w:rsid w:val="006B6248"/>
    <w:rsid w:val="006B627E"/>
    <w:rsid w:val="006B62D8"/>
    <w:rsid w:val="006B6424"/>
    <w:rsid w:val="006B642E"/>
    <w:rsid w:val="006B67A5"/>
    <w:rsid w:val="006B6969"/>
    <w:rsid w:val="006B6D93"/>
    <w:rsid w:val="006B6F04"/>
    <w:rsid w:val="006B70E4"/>
    <w:rsid w:val="006B711F"/>
    <w:rsid w:val="006B72A4"/>
    <w:rsid w:val="006B733E"/>
    <w:rsid w:val="006B7760"/>
    <w:rsid w:val="006B7764"/>
    <w:rsid w:val="006B7947"/>
    <w:rsid w:val="006B7AA7"/>
    <w:rsid w:val="006B7C8F"/>
    <w:rsid w:val="006B7E85"/>
    <w:rsid w:val="006C004B"/>
    <w:rsid w:val="006C0339"/>
    <w:rsid w:val="006C04C9"/>
    <w:rsid w:val="006C07D1"/>
    <w:rsid w:val="006C08EB"/>
    <w:rsid w:val="006C09DD"/>
    <w:rsid w:val="006C0C06"/>
    <w:rsid w:val="006C0D01"/>
    <w:rsid w:val="006C10A1"/>
    <w:rsid w:val="006C1134"/>
    <w:rsid w:val="006C1182"/>
    <w:rsid w:val="006C1569"/>
    <w:rsid w:val="006C15A5"/>
    <w:rsid w:val="006C177E"/>
    <w:rsid w:val="006C1896"/>
    <w:rsid w:val="006C199C"/>
    <w:rsid w:val="006C19F4"/>
    <w:rsid w:val="006C1CA5"/>
    <w:rsid w:val="006C1DCD"/>
    <w:rsid w:val="006C1E4F"/>
    <w:rsid w:val="006C1ED5"/>
    <w:rsid w:val="006C22C7"/>
    <w:rsid w:val="006C26C9"/>
    <w:rsid w:val="006C26E0"/>
    <w:rsid w:val="006C271E"/>
    <w:rsid w:val="006C28B9"/>
    <w:rsid w:val="006C2D2D"/>
    <w:rsid w:val="006C31F5"/>
    <w:rsid w:val="006C32A1"/>
    <w:rsid w:val="006C338B"/>
    <w:rsid w:val="006C34B6"/>
    <w:rsid w:val="006C354F"/>
    <w:rsid w:val="006C3729"/>
    <w:rsid w:val="006C3791"/>
    <w:rsid w:val="006C3A17"/>
    <w:rsid w:val="006C3AB8"/>
    <w:rsid w:val="006C3B3A"/>
    <w:rsid w:val="006C3B54"/>
    <w:rsid w:val="006C3D2D"/>
    <w:rsid w:val="006C3D43"/>
    <w:rsid w:val="006C3E87"/>
    <w:rsid w:val="006C3ECE"/>
    <w:rsid w:val="006C3FE1"/>
    <w:rsid w:val="006C44F3"/>
    <w:rsid w:val="006C4717"/>
    <w:rsid w:val="006C4935"/>
    <w:rsid w:val="006C4A89"/>
    <w:rsid w:val="006C4B44"/>
    <w:rsid w:val="006C4D2C"/>
    <w:rsid w:val="006C4DFE"/>
    <w:rsid w:val="006C4F79"/>
    <w:rsid w:val="006C500B"/>
    <w:rsid w:val="006C53C0"/>
    <w:rsid w:val="006C5414"/>
    <w:rsid w:val="006C5A35"/>
    <w:rsid w:val="006C5B72"/>
    <w:rsid w:val="006C5DE7"/>
    <w:rsid w:val="006C5F3B"/>
    <w:rsid w:val="006C602D"/>
    <w:rsid w:val="006C6219"/>
    <w:rsid w:val="006C6310"/>
    <w:rsid w:val="006C641B"/>
    <w:rsid w:val="006C6643"/>
    <w:rsid w:val="006C6681"/>
    <w:rsid w:val="006C6AB8"/>
    <w:rsid w:val="006C6B2A"/>
    <w:rsid w:val="006C7078"/>
    <w:rsid w:val="006C737C"/>
    <w:rsid w:val="006C75E0"/>
    <w:rsid w:val="006C76B5"/>
    <w:rsid w:val="006C785B"/>
    <w:rsid w:val="006C799D"/>
    <w:rsid w:val="006C7B48"/>
    <w:rsid w:val="006C7BED"/>
    <w:rsid w:val="006C7E58"/>
    <w:rsid w:val="006C7F02"/>
    <w:rsid w:val="006C7F19"/>
    <w:rsid w:val="006C7FF4"/>
    <w:rsid w:val="006D0123"/>
    <w:rsid w:val="006D03E7"/>
    <w:rsid w:val="006D05B4"/>
    <w:rsid w:val="006D06DD"/>
    <w:rsid w:val="006D0736"/>
    <w:rsid w:val="006D07C4"/>
    <w:rsid w:val="006D07D1"/>
    <w:rsid w:val="006D0876"/>
    <w:rsid w:val="006D0A3B"/>
    <w:rsid w:val="006D0CCE"/>
    <w:rsid w:val="006D1293"/>
    <w:rsid w:val="006D13AB"/>
    <w:rsid w:val="006D1421"/>
    <w:rsid w:val="006D1DA4"/>
    <w:rsid w:val="006D1EC8"/>
    <w:rsid w:val="006D2144"/>
    <w:rsid w:val="006D22A1"/>
    <w:rsid w:val="006D2446"/>
    <w:rsid w:val="006D25FC"/>
    <w:rsid w:val="006D264E"/>
    <w:rsid w:val="006D2C40"/>
    <w:rsid w:val="006D2C76"/>
    <w:rsid w:val="006D2F46"/>
    <w:rsid w:val="006D3723"/>
    <w:rsid w:val="006D3755"/>
    <w:rsid w:val="006D3C4E"/>
    <w:rsid w:val="006D3F18"/>
    <w:rsid w:val="006D3FB2"/>
    <w:rsid w:val="006D3FE6"/>
    <w:rsid w:val="006D40F0"/>
    <w:rsid w:val="006D421E"/>
    <w:rsid w:val="006D446B"/>
    <w:rsid w:val="006D49FB"/>
    <w:rsid w:val="006D4D3E"/>
    <w:rsid w:val="006D4ECE"/>
    <w:rsid w:val="006D5044"/>
    <w:rsid w:val="006D510C"/>
    <w:rsid w:val="006D533A"/>
    <w:rsid w:val="006D53D8"/>
    <w:rsid w:val="006D54F3"/>
    <w:rsid w:val="006D55DE"/>
    <w:rsid w:val="006D5693"/>
    <w:rsid w:val="006D5819"/>
    <w:rsid w:val="006D59A4"/>
    <w:rsid w:val="006D5B86"/>
    <w:rsid w:val="006D5DED"/>
    <w:rsid w:val="006D61F7"/>
    <w:rsid w:val="006D6232"/>
    <w:rsid w:val="006D64CC"/>
    <w:rsid w:val="006D6551"/>
    <w:rsid w:val="006D65C2"/>
    <w:rsid w:val="006D6892"/>
    <w:rsid w:val="006D6AA9"/>
    <w:rsid w:val="006D6AC0"/>
    <w:rsid w:val="006D6C8A"/>
    <w:rsid w:val="006D6D0B"/>
    <w:rsid w:val="006D6E6D"/>
    <w:rsid w:val="006D6E9E"/>
    <w:rsid w:val="006D71DC"/>
    <w:rsid w:val="006D76AC"/>
    <w:rsid w:val="006D78C6"/>
    <w:rsid w:val="006D78F4"/>
    <w:rsid w:val="006E01B3"/>
    <w:rsid w:val="006E0690"/>
    <w:rsid w:val="006E0837"/>
    <w:rsid w:val="006E0BE6"/>
    <w:rsid w:val="006E0BEC"/>
    <w:rsid w:val="006E1073"/>
    <w:rsid w:val="006E10DF"/>
    <w:rsid w:val="006E10EE"/>
    <w:rsid w:val="006E120B"/>
    <w:rsid w:val="006E150B"/>
    <w:rsid w:val="006E1535"/>
    <w:rsid w:val="006E17A2"/>
    <w:rsid w:val="006E1885"/>
    <w:rsid w:val="006E1AF2"/>
    <w:rsid w:val="006E1B20"/>
    <w:rsid w:val="006E1C06"/>
    <w:rsid w:val="006E1C86"/>
    <w:rsid w:val="006E1D63"/>
    <w:rsid w:val="006E21B7"/>
    <w:rsid w:val="006E235E"/>
    <w:rsid w:val="006E2388"/>
    <w:rsid w:val="006E23B4"/>
    <w:rsid w:val="006E278C"/>
    <w:rsid w:val="006E2ABD"/>
    <w:rsid w:val="006E2C21"/>
    <w:rsid w:val="006E2E65"/>
    <w:rsid w:val="006E2E8F"/>
    <w:rsid w:val="006E3006"/>
    <w:rsid w:val="006E3077"/>
    <w:rsid w:val="006E3266"/>
    <w:rsid w:val="006E3459"/>
    <w:rsid w:val="006E353C"/>
    <w:rsid w:val="006E386D"/>
    <w:rsid w:val="006E3881"/>
    <w:rsid w:val="006E39CB"/>
    <w:rsid w:val="006E3B34"/>
    <w:rsid w:val="006E3B66"/>
    <w:rsid w:val="006E3C74"/>
    <w:rsid w:val="006E3E7C"/>
    <w:rsid w:val="006E3F2A"/>
    <w:rsid w:val="006E40EC"/>
    <w:rsid w:val="006E4259"/>
    <w:rsid w:val="006E4272"/>
    <w:rsid w:val="006E482F"/>
    <w:rsid w:val="006E4D10"/>
    <w:rsid w:val="006E4D1A"/>
    <w:rsid w:val="006E4EEA"/>
    <w:rsid w:val="006E4F0F"/>
    <w:rsid w:val="006E4F70"/>
    <w:rsid w:val="006E5445"/>
    <w:rsid w:val="006E54D4"/>
    <w:rsid w:val="006E5526"/>
    <w:rsid w:val="006E56A2"/>
    <w:rsid w:val="006E56C8"/>
    <w:rsid w:val="006E57D0"/>
    <w:rsid w:val="006E5CF0"/>
    <w:rsid w:val="006E5DF4"/>
    <w:rsid w:val="006E5E95"/>
    <w:rsid w:val="006E5EB6"/>
    <w:rsid w:val="006E5F27"/>
    <w:rsid w:val="006E5F95"/>
    <w:rsid w:val="006E625F"/>
    <w:rsid w:val="006E62E5"/>
    <w:rsid w:val="006E6336"/>
    <w:rsid w:val="006E64A4"/>
    <w:rsid w:val="006E6950"/>
    <w:rsid w:val="006E6A27"/>
    <w:rsid w:val="006E6A3D"/>
    <w:rsid w:val="006E6D54"/>
    <w:rsid w:val="006E7080"/>
    <w:rsid w:val="006E7111"/>
    <w:rsid w:val="006E72EA"/>
    <w:rsid w:val="006E7397"/>
    <w:rsid w:val="006E7459"/>
    <w:rsid w:val="006E7524"/>
    <w:rsid w:val="006E7A38"/>
    <w:rsid w:val="006E7CCD"/>
    <w:rsid w:val="006E7D86"/>
    <w:rsid w:val="006E7E45"/>
    <w:rsid w:val="006E7E5C"/>
    <w:rsid w:val="006F0020"/>
    <w:rsid w:val="006F0166"/>
    <w:rsid w:val="006F03E9"/>
    <w:rsid w:val="006F044B"/>
    <w:rsid w:val="006F058C"/>
    <w:rsid w:val="006F0653"/>
    <w:rsid w:val="006F07B8"/>
    <w:rsid w:val="006F0A93"/>
    <w:rsid w:val="006F0B3B"/>
    <w:rsid w:val="006F0C0F"/>
    <w:rsid w:val="006F0C78"/>
    <w:rsid w:val="006F0E57"/>
    <w:rsid w:val="006F0ECC"/>
    <w:rsid w:val="006F10BC"/>
    <w:rsid w:val="006F1447"/>
    <w:rsid w:val="006F1548"/>
    <w:rsid w:val="006F1ECB"/>
    <w:rsid w:val="006F22F3"/>
    <w:rsid w:val="006F2353"/>
    <w:rsid w:val="006F247F"/>
    <w:rsid w:val="006F2493"/>
    <w:rsid w:val="006F249B"/>
    <w:rsid w:val="006F26B5"/>
    <w:rsid w:val="006F28FE"/>
    <w:rsid w:val="006F297B"/>
    <w:rsid w:val="006F2A01"/>
    <w:rsid w:val="006F2BDD"/>
    <w:rsid w:val="006F2C3C"/>
    <w:rsid w:val="006F2D16"/>
    <w:rsid w:val="006F2D7D"/>
    <w:rsid w:val="006F2DB1"/>
    <w:rsid w:val="006F2F31"/>
    <w:rsid w:val="006F2F54"/>
    <w:rsid w:val="006F3307"/>
    <w:rsid w:val="006F35E7"/>
    <w:rsid w:val="006F368F"/>
    <w:rsid w:val="006F395C"/>
    <w:rsid w:val="006F3D2A"/>
    <w:rsid w:val="006F409B"/>
    <w:rsid w:val="006F4152"/>
    <w:rsid w:val="006F4373"/>
    <w:rsid w:val="006F43DB"/>
    <w:rsid w:val="006F4447"/>
    <w:rsid w:val="006F4510"/>
    <w:rsid w:val="006F4709"/>
    <w:rsid w:val="006F47D8"/>
    <w:rsid w:val="006F4870"/>
    <w:rsid w:val="006F4C0F"/>
    <w:rsid w:val="006F4C95"/>
    <w:rsid w:val="006F4D2A"/>
    <w:rsid w:val="006F4F54"/>
    <w:rsid w:val="006F4FC2"/>
    <w:rsid w:val="006F51FB"/>
    <w:rsid w:val="006F53E7"/>
    <w:rsid w:val="006F54D0"/>
    <w:rsid w:val="006F577E"/>
    <w:rsid w:val="006F5852"/>
    <w:rsid w:val="006F58CE"/>
    <w:rsid w:val="006F5C9F"/>
    <w:rsid w:val="006F5F8E"/>
    <w:rsid w:val="006F5FD7"/>
    <w:rsid w:val="006F62B8"/>
    <w:rsid w:val="006F6A66"/>
    <w:rsid w:val="006F6A78"/>
    <w:rsid w:val="006F6A9B"/>
    <w:rsid w:val="006F6AEF"/>
    <w:rsid w:val="006F6D75"/>
    <w:rsid w:val="006F6FC4"/>
    <w:rsid w:val="006F70D3"/>
    <w:rsid w:val="006F70DF"/>
    <w:rsid w:val="006F71EE"/>
    <w:rsid w:val="006F72B7"/>
    <w:rsid w:val="006F740B"/>
    <w:rsid w:val="006F76CC"/>
    <w:rsid w:val="006F783F"/>
    <w:rsid w:val="006F7A20"/>
    <w:rsid w:val="006F7BFE"/>
    <w:rsid w:val="006F7CF4"/>
    <w:rsid w:val="0070035B"/>
    <w:rsid w:val="007006A2"/>
    <w:rsid w:val="00700830"/>
    <w:rsid w:val="00700840"/>
    <w:rsid w:val="00700A0A"/>
    <w:rsid w:val="00700A85"/>
    <w:rsid w:val="00700AEB"/>
    <w:rsid w:val="00700B81"/>
    <w:rsid w:val="00700F1C"/>
    <w:rsid w:val="00701117"/>
    <w:rsid w:val="00701145"/>
    <w:rsid w:val="007014A0"/>
    <w:rsid w:val="007016FC"/>
    <w:rsid w:val="007018CC"/>
    <w:rsid w:val="00701BB0"/>
    <w:rsid w:val="00701C98"/>
    <w:rsid w:val="00701CB9"/>
    <w:rsid w:val="00701CBA"/>
    <w:rsid w:val="00701CE6"/>
    <w:rsid w:val="00701E07"/>
    <w:rsid w:val="00701EDA"/>
    <w:rsid w:val="00701F4A"/>
    <w:rsid w:val="00702016"/>
    <w:rsid w:val="00702329"/>
    <w:rsid w:val="007023F4"/>
    <w:rsid w:val="0070250C"/>
    <w:rsid w:val="007026FF"/>
    <w:rsid w:val="00702A24"/>
    <w:rsid w:val="00702ADE"/>
    <w:rsid w:val="00702CD9"/>
    <w:rsid w:val="00702D58"/>
    <w:rsid w:val="00702D67"/>
    <w:rsid w:val="00702F35"/>
    <w:rsid w:val="00702F87"/>
    <w:rsid w:val="007032A6"/>
    <w:rsid w:val="007032F9"/>
    <w:rsid w:val="00703418"/>
    <w:rsid w:val="00703477"/>
    <w:rsid w:val="0070362F"/>
    <w:rsid w:val="007037D4"/>
    <w:rsid w:val="00703975"/>
    <w:rsid w:val="007039C2"/>
    <w:rsid w:val="007039E7"/>
    <w:rsid w:val="00703AE1"/>
    <w:rsid w:val="00703C41"/>
    <w:rsid w:val="00703C67"/>
    <w:rsid w:val="00703E30"/>
    <w:rsid w:val="00703E41"/>
    <w:rsid w:val="00704110"/>
    <w:rsid w:val="00704631"/>
    <w:rsid w:val="00704867"/>
    <w:rsid w:val="007048C6"/>
    <w:rsid w:val="00704B75"/>
    <w:rsid w:val="00704EAD"/>
    <w:rsid w:val="0070513D"/>
    <w:rsid w:val="00705290"/>
    <w:rsid w:val="00705295"/>
    <w:rsid w:val="00705372"/>
    <w:rsid w:val="007053F1"/>
    <w:rsid w:val="00705416"/>
    <w:rsid w:val="00705718"/>
    <w:rsid w:val="0070584D"/>
    <w:rsid w:val="00705A78"/>
    <w:rsid w:val="00705B44"/>
    <w:rsid w:val="00705CBB"/>
    <w:rsid w:val="00705D05"/>
    <w:rsid w:val="00705DE6"/>
    <w:rsid w:val="00705F3D"/>
    <w:rsid w:val="00705F7C"/>
    <w:rsid w:val="00705F85"/>
    <w:rsid w:val="00705F99"/>
    <w:rsid w:val="00705F9B"/>
    <w:rsid w:val="0070603F"/>
    <w:rsid w:val="0070635E"/>
    <w:rsid w:val="00706539"/>
    <w:rsid w:val="007065B7"/>
    <w:rsid w:val="007065DA"/>
    <w:rsid w:val="00706733"/>
    <w:rsid w:val="00706805"/>
    <w:rsid w:val="00706A47"/>
    <w:rsid w:val="00706CD9"/>
    <w:rsid w:val="007070A3"/>
    <w:rsid w:val="007070AA"/>
    <w:rsid w:val="00707260"/>
    <w:rsid w:val="007076E4"/>
    <w:rsid w:val="0070770A"/>
    <w:rsid w:val="00707ABD"/>
    <w:rsid w:val="00707DA0"/>
    <w:rsid w:val="00707F9F"/>
    <w:rsid w:val="00710032"/>
    <w:rsid w:val="007100DC"/>
    <w:rsid w:val="00710151"/>
    <w:rsid w:val="00710207"/>
    <w:rsid w:val="007104DD"/>
    <w:rsid w:val="007104F1"/>
    <w:rsid w:val="00710507"/>
    <w:rsid w:val="007107F9"/>
    <w:rsid w:val="00710874"/>
    <w:rsid w:val="00710A6F"/>
    <w:rsid w:val="00710B2F"/>
    <w:rsid w:val="00710C19"/>
    <w:rsid w:val="007110C5"/>
    <w:rsid w:val="0071115D"/>
    <w:rsid w:val="0071139D"/>
    <w:rsid w:val="007113B3"/>
    <w:rsid w:val="00711571"/>
    <w:rsid w:val="0071164B"/>
    <w:rsid w:val="0071166C"/>
    <w:rsid w:val="007116D8"/>
    <w:rsid w:val="007116E4"/>
    <w:rsid w:val="0071175E"/>
    <w:rsid w:val="007118E6"/>
    <w:rsid w:val="00711AB1"/>
    <w:rsid w:val="00711AEC"/>
    <w:rsid w:val="00711B87"/>
    <w:rsid w:val="00711CC7"/>
    <w:rsid w:val="00711F78"/>
    <w:rsid w:val="0071202B"/>
    <w:rsid w:val="007120CB"/>
    <w:rsid w:val="007125E5"/>
    <w:rsid w:val="00712635"/>
    <w:rsid w:val="007127D1"/>
    <w:rsid w:val="00712925"/>
    <w:rsid w:val="00712957"/>
    <w:rsid w:val="0071296B"/>
    <w:rsid w:val="00712AF3"/>
    <w:rsid w:val="00712BD3"/>
    <w:rsid w:val="00712F83"/>
    <w:rsid w:val="00712FE9"/>
    <w:rsid w:val="007131C1"/>
    <w:rsid w:val="007134C8"/>
    <w:rsid w:val="007137FF"/>
    <w:rsid w:val="007139D0"/>
    <w:rsid w:val="00713B8D"/>
    <w:rsid w:val="00713C86"/>
    <w:rsid w:val="00713D4A"/>
    <w:rsid w:val="0071453E"/>
    <w:rsid w:val="007148DC"/>
    <w:rsid w:val="007149C9"/>
    <w:rsid w:val="00714D78"/>
    <w:rsid w:val="007150BE"/>
    <w:rsid w:val="007154F3"/>
    <w:rsid w:val="0071554A"/>
    <w:rsid w:val="007159A7"/>
    <w:rsid w:val="00715A02"/>
    <w:rsid w:val="00715B44"/>
    <w:rsid w:val="00715B83"/>
    <w:rsid w:val="00715C49"/>
    <w:rsid w:val="00715CEA"/>
    <w:rsid w:val="00715D15"/>
    <w:rsid w:val="00715F5D"/>
    <w:rsid w:val="007161C7"/>
    <w:rsid w:val="0071634D"/>
    <w:rsid w:val="00716566"/>
    <w:rsid w:val="007166D6"/>
    <w:rsid w:val="007169CF"/>
    <w:rsid w:val="00716C31"/>
    <w:rsid w:val="00716C6C"/>
    <w:rsid w:val="00716E3F"/>
    <w:rsid w:val="00716E8D"/>
    <w:rsid w:val="00716F8A"/>
    <w:rsid w:val="0071722B"/>
    <w:rsid w:val="00717559"/>
    <w:rsid w:val="007176D0"/>
    <w:rsid w:val="007178C9"/>
    <w:rsid w:val="00717977"/>
    <w:rsid w:val="00717B57"/>
    <w:rsid w:val="00717DF8"/>
    <w:rsid w:val="00717E32"/>
    <w:rsid w:val="00717F2D"/>
    <w:rsid w:val="0072024B"/>
    <w:rsid w:val="007202A7"/>
    <w:rsid w:val="0072048D"/>
    <w:rsid w:val="00720A20"/>
    <w:rsid w:val="00720A64"/>
    <w:rsid w:val="00720C50"/>
    <w:rsid w:val="00720CAA"/>
    <w:rsid w:val="00720CBE"/>
    <w:rsid w:val="00720D37"/>
    <w:rsid w:val="00720ECA"/>
    <w:rsid w:val="00720FEE"/>
    <w:rsid w:val="0072114C"/>
    <w:rsid w:val="0072135C"/>
    <w:rsid w:val="007213DD"/>
    <w:rsid w:val="007214C9"/>
    <w:rsid w:val="007215B3"/>
    <w:rsid w:val="00721B76"/>
    <w:rsid w:val="00721CAF"/>
    <w:rsid w:val="00721EC9"/>
    <w:rsid w:val="0072203C"/>
    <w:rsid w:val="0072206B"/>
    <w:rsid w:val="00722156"/>
    <w:rsid w:val="00722294"/>
    <w:rsid w:val="007222DC"/>
    <w:rsid w:val="007223BC"/>
    <w:rsid w:val="00722504"/>
    <w:rsid w:val="007226A8"/>
    <w:rsid w:val="0072276D"/>
    <w:rsid w:val="007227B3"/>
    <w:rsid w:val="007227F2"/>
    <w:rsid w:val="00722817"/>
    <w:rsid w:val="007229DD"/>
    <w:rsid w:val="00722B3C"/>
    <w:rsid w:val="00722B54"/>
    <w:rsid w:val="00722D45"/>
    <w:rsid w:val="00722D6B"/>
    <w:rsid w:val="00722DC1"/>
    <w:rsid w:val="00722E77"/>
    <w:rsid w:val="00722F10"/>
    <w:rsid w:val="00722F16"/>
    <w:rsid w:val="00722F81"/>
    <w:rsid w:val="007232E1"/>
    <w:rsid w:val="00723558"/>
    <w:rsid w:val="00723878"/>
    <w:rsid w:val="00723A28"/>
    <w:rsid w:val="00723A6A"/>
    <w:rsid w:val="00723B96"/>
    <w:rsid w:val="00723BF5"/>
    <w:rsid w:val="00723D8A"/>
    <w:rsid w:val="00723DAC"/>
    <w:rsid w:val="00723F77"/>
    <w:rsid w:val="0072402E"/>
    <w:rsid w:val="00724159"/>
    <w:rsid w:val="0072489F"/>
    <w:rsid w:val="00724ADB"/>
    <w:rsid w:val="00724AF9"/>
    <w:rsid w:val="00724C9C"/>
    <w:rsid w:val="00724D3E"/>
    <w:rsid w:val="00724D73"/>
    <w:rsid w:val="00724E43"/>
    <w:rsid w:val="00724EDE"/>
    <w:rsid w:val="00724F71"/>
    <w:rsid w:val="00725200"/>
    <w:rsid w:val="007253CA"/>
    <w:rsid w:val="0072566F"/>
    <w:rsid w:val="007256C6"/>
    <w:rsid w:val="007256D2"/>
    <w:rsid w:val="007259B2"/>
    <w:rsid w:val="007259ED"/>
    <w:rsid w:val="007259F0"/>
    <w:rsid w:val="00725A5B"/>
    <w:rsid w:val="00725D40"/>
    <w:rsid w:val="00725E39"/>
    <w:rsid w:val="0072626E"/>
    <w:rsid w:val="00726275"/>
    <w:rsid w:val="0072628D"/>
    <w:rsid w:val="007263F1"/>
    <w:rsid w:val="0072643F"/>
    <w:rsid w:val="007264D4"/>
    <w:rsid w:val="007268EF"/>
    <w:rsid w:val="00726ADB"/>
    <w:rsid w:val="00726CE3"/>
    <w:rsid w:val="00726E9E"/>
    <w:rsid w:val="00726F65"/>
    <w:rsid w:val="00726F9C"/>
    <w:rsid w:val="007271BA"/>
    <w:rsid w:val="00727314"/>
    <w:rsid w:val="00727423"/>
    <w:rsid w:val="00727626"/>
    <w:rsid w:val="00727632"/>
    <w:rsid w:val="00727A7B"/>
    <w:rsid w:val="00727E46"/>
    <w:rsid w:val="00727E6A"/>
    <w:rsid w:val="007300DA"/>
    <w:rsid w:val="00730353"/>
    <w:rsid w:val="007303E9"/>
    <w:rsid w:val="00730410"/>
    <w:rsid w:val="007305AD"/>
    <w:rsid w:val="00730907"/>
    <w:rsid w:val="0073093A"/>
    <w:rsid w:val="00730BA9"/>
    <w:rsid w:val="00730C05"/>
    <w:rsid w:val="00730D0E"/>
    <w:rsid w:val="00730D5D"/>
    <w:rsid w:val="00731043"/>
    <w:rsid w:val="007314C3"/>
    <w:rsid w:val="00731638"/>
    <w:rsid w:val="007317BC"/>
    <w:rsid w:val="007317FE"/>
    <w:rsid w:val="00731A04"/>
    <w:rsid w:val="00732177"/>
    <w:rsid w:val="007324C8"/>
    <w:rsid w:val="00732650"/>
    <w:rsid w:val="00732667"/>
    <w:rsid w:val="0073286A"/>
    <w:rsid w:val="00732983"/>
    <w:rsid w:val="007330BE"/>
    <w:rsid w:val="0073318E"/>
    <w:rsid w:val="00733213"/>
    <w:rsid w:val="00733323"/>
    <w:rsid w:val="00733355"/>
    <w:rsid w:val="007333B8"/>
    <w:rsid w:val="007333D0"/>
    <w:rsid w:val="007333DA"/>
    <w:rsid w:val="007334B1"/>
    <w:rsid w:val="007334E9"/>
    <w:rsid w:val="0073360E"/>
    <w:rsid w:val="00733627"/>
    <w:rsid w:val="007336D5"/>
    <w:rsid w:val="007337F7"/>
    <w:rsid w:val="0073381D"/>
    <w:rsid w:val="00733905"/>
    <w:rsid w:val="00733943"/>
    <w:rsid w:val="0073394D"/>
    <w:rsid w:val="00733970"/>
    <w:rsid w:val="00733974"/>
    <w:rsid w:val="007339C9"/>
    <w:rsid w:val="00733A00"/>
    <w:rsid w:val="00733A0B"/>
    <w:rsid w:val="00733A2F"/>
    <w:rsid w:val="00733C72"/>
    <w:rsid w:val="00733D1E"/>
    <w:rsid w:val="00733E4C"/>
    <w:rsid w:val="00733F62"/>
    <w:rsid w:val="00734089"/>
    <w:rsid w:val="0073445A"/>
    <w:rsid w:val="00734477"/>
    <w:rsid w:val="00734718"/>
    <w:rsid w:val="007347AC"/>
    <w:rsid w:val="0073487F"/>
    <w:rsid w:val="00734A9D"/>
    <w:rsid w:val="00734B17"/>
    <w:rsid w:val="00734DE7"/>
    <w:rsid w:val="00734E0C"/>
    <w:rsid w:val="00735146"/>
    <w:rsid w:val="007351EC"/>
    <w:rsid w:val="00735237"/>
    <w:rsid w:val="00735277"/>
    <w:rsid w:val="007352BB"/>
    <w:rsid w:val="007352BD"/>
    <w:rsid w:val="007353C7"/>
    <w:rsid w:val="007353F6"/>
    <w:rsid w:val="007353FD"/>
    <w:rsid w:val="00735471"/>
    <w:rsid w:val="0073554B"/>
    <w:rsid w:val="007356E1"/>
    <w:rsid w:val="00735723"/>
    <w:rsid w:val="0073580E"/>
    <w:rsid w:val="007358A4"/>
    <w:rsid w:val="007358CD"/>
    <w:rsid w:val="00735CBA"/>
    <w:rsid w:val="00735D0B"/>
    <w:rsid w:val="00736319"/>
    <w:rsid w:val="00736394"/>
    <w:rsid w:val="0073659F"/>
    <w:rsid w:val="007369DA"/>
    <w:rsid w:val="00736A1D"/>
    <w:rsid w:val="00736DE3"/>
    <w:rsid w:val="00736E3F"/>
    <w:rsid w:val="00737153"/>
    <w:rsid w:val="0073726A"/>
    <w:rsid w:val="00737369"/>
    <w:rsid w:val="007373D9"/>
    <w:rsid w:val="007373EF"/>
    <w:rsid w:val="00737462"/>
    <w:rsid w:val="007374CB"/>
    <w:rsid w:val="007375A2"/>
    <w:rsid w:val="0073765A"/>
    <w:rsid w:val="007376AF"/>
    <w:rsid w:val="007376B5"/>
    <w:rsid w:val="007377F0"/>
    <w:rsid w:val="007379D9"/>
    <w:rsid w:val="00737A56"/>
    <w:rsid w:val="00737B4D"/>
    <w:rsid w:val="00737C19"/>
    <w:rsid w:val="00737D01"/>
    <w:rsid w:val="00737EDA"/>
    <w:rsid w:val="00737EDD"/>
    <w:rsid w:val="00737FAD"/>
    <w:rsid w:val="00740206"/>
    <w:rsid w:val="007403CC"/>
    <w:rsid w:val="007403D7"/>
    <w:rsid w:val="007403F8"/>
    <w:rsid w:val="00740582"/>
    <w:rsid w:val="0074072E"/>
    <w:rsid w:val="007409C9"/>
    <w:rsid w:val="00740BC7"/>
    <w:rsid w:val="00740D10"/>
    <w:rsid w:val="00741099"/>
    <w:rsid w:val="0074115F"/>
    <w:rsid w:val="00741496"/>
    <w:rsid w:val="007414F6"/>
    <w:rsid w:val="00741541"/>
    <w:rsid w:val="00741552"/>
    <w:rsid w:val="00741562"/>
    <w:rsid w:val="007416C6"/>
    <w:rsid w:val="0074171A"/>
    <w:rsid w:val="0074194F"/>
    <w:rsid w:val="00741961"/>
    <w:rsid w:val="007419F3"/>
    <w:rsid w:val="00741B96"/>
    <w:rsid w:val="00741DFF"/>
    <w:rsid w:val="00741E12"/>
    <w:rsid w:val="007420CF"/>
    <w:rsid w:val="00742188"/>
    <w:rsid w:val="007422DB"/>
    <w:rsid w:val="00742455"/>
    <w:rsid w:val="007425AF"/>
    <w:rsid w:val="007425CF"/>
    <w:rsid w:val="0074265C"/>
    <w:rsid w:val="00742AC5"/>
    <w:rsid w:val="00742B5E"/>
    <w:rsid w:val="00742DAA"/>
    <w:rsid w:val="00742E2B"/>
    <w:rsid w:val="00742E80"/>
    <w:rsid w:val="0074325C"/>
    <w:rsid w:val="00743336"/>
    <w:rsid w:val="00743557"/>
    <w:rsid w:val="007435B4"/>
    <w:rsid w:val="007435BE"/>
    <w:rsid w:val="00743773"/>
    <w:rsid w:val="00743963"/>
    <w:rsid w:val="007439A3"/>
    <w:rsid w:val="00743AFA"/>
    <w:rsid w:val="00743B91"/>
    <w:rsid w:val="00743CFE"/>
    <w:rsid w:val="00744162"/>
    <w:rsid w:val="007441C7"/>
    <w:rsid w:val="00744301"/>
    <w:rsid w:val="00744922"/>
    <w:rsid w:val="0074495B"/>
    <w:rsid w:val="007449B4"/>
    <w:rsid w:val="00744A6F"/>
    <w:rsid w:val="00744D1C"/>
    <w:rsid w:val="00744DB5"/>
    <w:rsid w:val="00744FFF"/>
    <w:rsid w:val="0074546A"/>
    <w:rsid w:val="00745563"/>
    <w:rsid w:val="00745CCF"/>
    <w:rsid w:val="00745D24"/>
    <w:rsid w:val="00746811"/>
    <w:rsid w:val="00746A3C"/>
    <w:rsid w:val="00746A70"/>
    <w:rsid w:val="00746B05"/>
    <w:rsid w:val="00746B4E"/>
    <w:rsid w:val="00746BBF"/>
    <w:rsid w:val="00746CDA"/>
    <w:rsid w:val="00747012"/>
    <w:rsid w:val="00747192"/>
    <w:rsid w:val="0074774A"/>
    <w:rsid w:val="00747793"/>
    <w:rsid w:val="00747938"/>
    <w:rsid w:val="0074794F"/>
    <w:rsid w:val="00747988"/>
    <w:rsid w:val="00747A26"/>
    <w:rsid w:val="00747ADC"/>
    <w:rsid w:val="00747B6E"/>
    <w:rsid w:val="00747CC4"/>
    <w:rsid w:val="00747CCC"/>
    <w:rsid w:val="00747D42"/>
    <w:rsid w:val="00747EA3"/>
    <w:rsid w:val="00747EE7"/>
    <w:rsid w:val="00747F3E"/>
    <w:rsid w:val="00750130"/>
    <w:rsid w:val="0075038A"/>
    <w:rsid w:val="007505C8"/>
    <w:rsid w:val="007508BF"/>
    <w:rsid w:val="00750CC9"/>
    <w:rsid w:val="00750F3B"/>
    <w:rsid w:val="00751027"/>
    <w:rsid w:val="007512C2"/>
    <w:rsid w:val="007512C5"/>
    <w:rsid w:val="0075130A"/>
    <w:rsid w:val="0075156F"/>
    <w:rsid w:val="007516CA"/>
    <w:rsid w:val="00751A2D"/>
    <w:rsid w:val="00751AE5"/>
    <w:rsid w:val="00751BA8"/>
    <w:rsid w:val="00751E88"/>
    <w:rsid w:val="00751FBF"/>
    <w:rsid w:val="0075228E"/>
    <w:rsid w:val="0075230A"/>
    <w:rsid w:val="007528F8"/>
    <w:rsid w:val="007529F9"/>
    <w:rsid w:val="00752A5E"/>
    <w:rsid w:val="00752BA2"/>
    <w:rsid w:val="00752DCB"/>
    <w:rsid w:val="00752E23"/>
    <w:rsid w:val="00752E7A"/>
    <w:rsid w:val="00752EF8"/>
    <w:rsid w:val="00753168"/>
    <w:rsid w:val="007531FF"/>
    <w:rsid w:val="00753203"/>
    <w:rsid w:val="007535C0"/>
    <w:rsid w:val="007536B3"/>
    <w:rsid w:val="0075378E"/>
    <w:rsid w:val="007538A9"/>
    <w:rsid w:val="007538E1"/>
    <w:rsid w:val="00753D46"/>
    <w:rsid w:val="00753FBB"/>
    <w:rsid w:val="007542F7"/>
    <w:rsid w:val="00754332"/>
    <w:rsid w:val="00754466"/>
    <w:rsid w:val="007547A7"/>
    <w:rsid w:val="00754873"/>
    <w:rsid w:val="00754897"/>
    <w:rsid w:val="00754D3A"/>
    <w:rsid w:val="00754D58"/>
    <w:rsid w:val="00754D59"/>
    <w:rsid w:val="00754FBA"/>
    <w:rsid w:val="00755396"/>
    <w:rsid w:val="0075548C"/>
    <w:rsid w:val="0075558E"/>
    <w:rsid w:val="0075570B"/>
    <w:rsid w:val="00755723"/>
    <w:rsid w:val="00755845"/>
    <w:rsid w:val="0075586F"/>
    <w:rsid w:val="00755EA8"/>
    <w:rsid w:val="0075608C"/>
    <w:rsid w:val="007563F8"/>
    <w:rsid w:val="007567E3"/>
    <w:rsid w:val="0075690C"/>
    <w:rsid w:val="007569A0"/>
    <w:rsid w:val="00756A9D"/>
    <w:rsid w:val="00756B71"/>
    <w:rsid w:val="00756C54"/>
    <w:rsid w:val="00756CA9"/>
    <w:rsid w:val="00756CF5"/>
    <w:rsid w:val="00756DF2"/>
    <w:rsid w:val="00756FA5"/>
    <w:rsid w:val="007572A7"/>
    <w:rsid w:val="007572C4"/>
    <w:rsid w:val="007575C5"/>
    <w:rsid w:val="007576F8"/>
    <w:rsid w:val="0075777F"/>
    <w:rsid w:val="007577F3"/>
    <w:rsid w:val="007578CE"/>
    <w:rsid w:val="00757936"/>
    <w:rsid w:val="00757973"/>
    <w:rsid w:val="00757D2C"/>
    <w:rsid w:val="00757D37"/>
    <w:rsid w:val="00757E5D"/>
    <w:rsid w:val="00757E92"/>
    <w:rsid w:val="0076001B"/>
    <w:rsid w:val="0076004B"/>
    <w:rsid w:val="0076037B"/>
    <w:rsid w:val="0076079D"/>
    <w:rsid w:val="0076083E"/>
    <w:rsid w:val="00760870"/>
    <w:rsid w:val="00760960"/>
    <w:rsid w:val="00760A66"/>
    <w:rsid w:val="00760ACA"/>
    <w:rsid w:val="00760E09"/>
    <w:rsid w:val="00760E4F"/>
    <w:rsid w:val="00760EE1"/>
    <w:rsid w:val="00760EF1"/>
    <w:rsid w:val="00760FDF"/>
    <w:rsid w:val="00761030"/>
    <w:rsid w:val="007611B3"/>
    <w:rsid w:val="00761692"/>
    <w:rsid w:val="007616E4"/>
    <w:rsid w:val="0076171C"/>
    <w:rsid w:val="00761B84"/>
    <w:rsid w:val="00761BBA"/>
    <w:rsid w:val="00761CC9"/>
    <w:rsid w:val="007621DF"/>
    <w:rsid w:val="007621FF"/>
    <w:rsid w:val="00762287"/>
    <w:rsid w:val="007625E7"/>
    <w:rsid w:val="00762945"/>
    <w:rsid w:val="00762D14"/>
    <w:rsid w:val="00762E25"/>
    <w:rsid w:val="00762E6D"/>
    <w:rsid w:val="0076302C"/>
    <w:rsid w:val="0076314A"/>
    <w:rsid w:val="00763473"/>
    <w:rsid w:val="007635E5"/>
    <w:rsid w:val="00763733"/>
    <w:rsid w:val="00763773"/>
    <w:rsid w:val="00763B40"/>
    <w:rsid w:val="00763B71"/>
    <w:rsid w:val="00763C59"/>
    <w:rsid w:val="007641BC"/>
    <w:rsid w:val="0076431E"/>
    <w:rsid w:val="007643D1"/>
    <w:rsid w:val="007643F4"/>
    <w:rsid w:val="00764D27"/>
    <w:rsid w:val="00764DD1"/>
    <w:rsid w:val="0076517D"/>
    <w:rsid w:val="007652D2"/>
    <w:rsid w:val="00765498"/>
    <w:rsid w:val="007654CB"/>
    <w:rsid w:val="007654ED"/>
    <w:rsid w:val="00765602"/>
    <w:rsid w:val="007656E8"/>
    <w:rsid w:val="0076576A"/>
    <w:rsid w:val="00765B20"/>
    <w:rsid w:val="00765BBA"/>
    <w:rsid w:val="007660BD"/>
    <w:rsid w:val="007660CC"/>
    <w:rsid w:val="0076618C"/>
    <w:rsid w:val="0076626D"/>
    <w:rsid w:val="007662DB"/>
    <w:rsid w:val="0076641D"/>
    <w:rsid w:val="00766426"/>
    <w:rsid w:val="0076646C"/>
    <w:rsid w:val="0076658F"/>
    <w:rsid w:val="007667C9"/>
    <w:rsid w:val="00766E7F"/>
    <w:rsid w:val="00766F4D"/>
    <w:rsid w:val="00766FAE"/>
    <w:rsid w:val="0076703A"/>
    <w:rsid w:val="007671F5"/>
    <w:rsid w:val="00767358"/>
    <w:rsid w:val="007673B9"/>
    <w:rsid w:val="00767461"/>
    <w:rsid w:val="007674C2"/>
    <w:rsid w:val="00767669"/>
    <w:rsid w:val="007677E1"/>
    <w:rsid w:val="007677FC"/>
    <w:rsid w:val="00767945"/>
    <w:rsid w:val="00767A14"/>
    <w:rsid w:val="00767A54"/>
    <w:rsid w:val="00767B71"/>
    <w:rsid w:val="00767C82"/>
    <w:rsid w:val="00767E94"/>
    <w:rsid w:val="00767EE6"/>
    <w:rsid w:val="00770188"/>
    <w:rsid w:val="007702C7"/>
    <w:rsid w:val="007703D7"/>
    <w:rsid w:val="007703E1"/>
    <w:rsid w:val="007704F2"/>
    <w:rsid w:val="00770AED"/>
    <w:rsid w:val="00770BC3"/>
    <w:rsid w:val="00770CDC"/>
    <w:rsid w:val="00770D6D"/>
    <w:rsid w:val="00770E8E"/>
    <w:rsid w:val="007710D9"/>
    <w:rsid w:val="00771101"/>
    <w:rsid w:val="00771294"/>
    <w:rsid w:val="00771437"/>
    <w:rsid w:val="0077157B"/>
    <w:rsid w:val="007715B1"/>
    <w:rsid w:val="007719BC"/>
    <w:rsid w:val="00771ACF"/>
    <w:rsid w:val="00771CB7"/>
    <w:rsid w:val="00771FCB"/>
    <w:rsid w:val="0077217A"/>
    <w:rsid w:val="007724EA"/>
    <w:rsid w:val="00772509"/>
    <w:rsid w:val="007726A7"/>
    <w:rsid w:val="00772956"/>
    <w:rsid w:val="00772B30"/>
    <w:rsid w:val="00772E8D"/>
    <w:rsid w:val="00772FBC"/>
    <w:rsid w:val="00773138"/>
    <w:rsid w:val="0077329C"/>
    <w:rsid w:val="0077344D"/>
    <w:rsid w:val="0077362F"/>
    <w:rsid w:val="00773669"/>
    <w:rsid w:val="00773CA1"/>
    <w:rsid w:val="00773D93"/>
    <w:rsid w:val="00773DB5"/>
    <w:rsid w:val="00773E55"/>
    <w:rsid w:val="00773EC9"/>
    <w:rsid w:val="00773FC3"/>
    <w:rsid w:val="0077411B"/>
    <w:rsid w:val="0077420C"/>
    <w:rsid w:val="0077441A"/>
    <w:rsid w:val="007744E3"/>
    <w:rsid w:val="00774602"/>
    <w:rsid w:val="0077479C"/>
    <w:rsid w:val="0077495D"/>
    <w:rsid w:val="007749B5"/>
    <w:rsid w:val="007749B9"/>
    <w:rsid w:val="00774AFB"/>
    <w:rsid w:val="00774B0C"/>
    <w:rsid w:val="00774BE1"/>
    <w:rsid w:val="00774CEC"/>
    <w:rsid w:val="00774DC3"/>
    <w:rsid w:val="00775210"/>
    <w:rsid w:val="00775219"/>
    <w:rsid w:val="00775232"/>
    <w:rsid w:val="0077523B"/>
    <w:rsid w:val="00775816"/>
    <w:rsid w:val="00775A13"/>
    <w:rsid w:val="00775A72"/>
    <w:rsid w:val="00775C59"/>
    <w:rsid w:val="00775C86"/>
    <w:rsid w:val="00775EE7"/>
    <w:rsid w:val="00775F0F"/>
    <w:rsid w:val="00775F2F"/>
    <w:rsid w:val="00775FB8"/>
    <w:rsid w:val="00776258"/>
    <w:rsid w:val="00776264"/>
    <w:rsid w:val="0077638B"/>
    <w:rsid w:val="007765D9"/>
    <w:rsid w:val="007766F3"/>
    <w:rsid w:val="0077681F"/>
    <w:rsid w:val="00776842"/>
    <w:rsid w:val="007769A5"/>
    <w:rsid w:val="00776BD5"/>
    <w:rsid w:val="00776C5E"/>
    <w:rsid w:val="00776D03"/>
    <w:rsid w:val="00776EF0"/>
    <w:rsid w:val="00776F35"/>
    <w:rsid w:val="00777190"/>
    <w:rsid w:val="007771D5"/>
    <w:rsid w:val="00777300"/>
    <w:rsid w:val="007773DB"/>
    <w:rsid w:val="00777427"/>
    <w:rsid w:val="0077755D"/>
    <w:rsid w:val="00777573"/>
    <w:rsid w:val="0077761E"/>
    <w:rsid w:val="00777B8E"/>
    <w:rsid w:val="00777B98"/>
    <w:rsid w:val="00777D2F"/>
    <w:rsid w:val="00777DB9"/>
    <w:rsid w:val="0078019A"/>
    <w:rsid w:val="0078029D"/>
    <w:rsid w:val="007802F9"/>
    <w:rsid w:val="00780340"/>
    <w:rsid w:val="0078040D"/>
    <w:rsid w:val="00780649"/>
    <w:rsid w:val="007807BA"/>
    <w:rsid w:val="00780B01"/>
    <w:rsid w:val="00780B7F"/>
    <w:rsid w:val="00780D6A"/>
    <w:rsid w:val="00780DD9"/>
    <w:rsid w:val="00780E46"/>
    <w:rsid w:val="00781037"/>
    <w:rsid w:val="007810F5"/>
    <w:rsid w:val="0078114E"/>
    <w:rsid w:val="0078122B"/>
    <w:rsid w:val="007812E7"/>
    <w:rsid w:val="00781780"/>
    <w:rsid w:val="00781934"/>
    <w:rsid w:val="00781B7A"/>
    <w:rsid w:val="00781B99"/>
    <w:rsid w:val="00781DB3"/>
    <w:rsid w:val="00782284"/>
    <w:rsid w:val="007822E3"/>
    <w:rsid w:val="00782482"/>
    <w:rsid w:val="007824EE"/>
    <w:rsid w:val="00782528"/>
    <w:rsid w:val="00782A07"/>
    <w:rsid w:val="00782AF1"/>
    <w:rsid w:val="00782BD3"/>
    <w:rsid w:val="00782C69"/>
    <w:rsid w:val="00782D64"/>
    <w:rsid w:val="00783036"/>
    <w:rsid w:val="00783083"/>
    <w:rsid w:val="007830C6"/>
    <w:rsid w:val="007832C4"/>
    <w:rsid w:val="007832E2"/>
    <w:rsid w:val="0078344D"/>
    <w:rsid w:val="007834C4"/>
    <w:rsid w:val="00783697"/>
    <w:rsid w:val="00783719"/>
    <w:rsid w:val="00783739"/>
    <w:rsid w:val="0078388D"/>
    <w:rsid w:val="00783959"/>
    <w:rsid w:val="00783A78"/>
    <w:rsid w:val="00783A7D"/>
    <w:rsid w:val="00783C19"/>
    <w:rsid w:val="00783CA8"/>
    <w:rsid w:val="00783D0F"/>
    <w:rsid w:val="00783E32"/>
    <w:rsid w:val="00784213"/>
    <w:rsid w:val="0078448E"/>
    <w:rsid w:val="007844E7"/>
    <w:rsid w:val="007846B1"/>
    <w:rsid w:val="0078485C"/>
    <w:rsid w:val="00784A05"/>
    <w:rsid w:val="00784A65"/>
    <w:rsid w:val="00784BAC"/>
    <w:rsid w:val="00784C41"/>
    <w:rsid w:val="007850B7"/>
    <w:rsid w:val="007851A2"/>
    <w:rsid w:val="007853C7"/>
    <w:rsid w:val="007853FA"/>
    <w:rsid w:val="00785425"/>
    <w:rsid w:val="00785574"/>
    <w:rsid w:val="007855B4"/>
    <w:rsid w:val="00785602"/>
    <w:rsid w:val="0078582D"/>
    <w:rsid w:val="00785851"/>
    <w:rsid w:val="007858C4"/>
    <w:rsid w:val="007859F4"/>
    <w:rsid w:val="00785A65"/>
    <w:rsid w:val="00785E94"/>
    <w:rsid w:val="00785EDA"/>
    <w:rsid w:val="00786079"/>
    <w:rsid w:val="00786127"/>
    <w:rsid w:val="00786211"/>
    <w:rsid w:val="0078644E"/>
    <w:rsid w:val="00786512"/>
    <w:rsid w:val="0078662D"/>
    <w:rsid w:val="007867B3"/>
    <w:rsid w:val="007867E0"/>
    <w:rsid w:val="00786914"/>
    <w:rsid w:val="00786F1D"/>
    <w:rsid w:val="00786F4F"/>
    <w:rsid w:val="00787004"/>
    <w:rsid w:val="00787169"/>
    <w:rsid w:val="007873D6"/>
    <w:rsid w:val="00787489"/>
    <w:rsid w:val="007875F1"/>
    <w:rsid w:val="0078761F"/>
    <w:rsid w:val="007879A1"/>
    <w:rsid w:val="00787D3C"/>
    <w:rsid w:val="00787DCF"/>
    <w:rsid w:val="00787EEF"/>
    <w:rsid w:val="00787F5D"/>
    <w:rsid w:val="00787F94"/>
    <w:rsid w:val="0079023D"/>
    <w:rsid w:val="00790300"/>
    <w:rsid w:val="00790770"/>
    <w:rsid w:val="00790887"/>
    <w:rsid w:val="0079094A"/>
    <w:rsid w:val="00790F5D"/>
    <w:rsid w:val="00791492"/>
    <w:rsid w:val="0079188B"/>
    <w:rsid w:val="007918C7"/>
    <w:rsid w:val="00791B5B"/>
    <w:rsid w:val="00791CB9"/>
    <w:rsid w:val="00791D48"/>
    <w:rsid w:val="00792148"/>
    <w:rsid w:val="00792198"/>
    <w:rsid w:val="0079221E"/>
    <w:rsid w:val="007922B7"/>
    <w:rsid w:val="007922E4"/>
    <w:rsid w:val="007924C3"/>
    <w:rsid w:val="007926B6"/>
    <w:rsid w:val="007926BD"/>
    <w:rsid w:val="0079276F"/>
    <w:rsid w:val="00792783"/>
    <w:rsid w:val="007929AE"/>
    <w:rsid w:val="007929EE"/>
    <w:rsid w:val="00792B12"/>
    <w:rsid w:val="00792B1E"/>
    <w:rsid w:val="00792B89"/>
    <w:rsid w:val="00792B8B"/>
    <w:rsid w:val="00792BCA"/>
    <w:rsid w:val="00792C54"/>
    <w:rsid w:val="00792F6F"/>
    <w:rsid w:val="0079313F"/>
    <w:rsid w:val="007934C7"/>
    <w:rsid w:val="00793823"/>
    <w:rsid w:val="007939C7"/>
    <w:rsid w:val="007939C9"/>
    <w:rsid w:val="00793C53"/>
    <w:rsid w:val="00793E22"/>
    <w:rsid w:val="00793E5B"/>
    <w:rsid w:val="007940DD"/>
    <w:rsid w:val="00794107"/>
    <w:rsid w:val="007942C5"/>
    <w:rsid w:val="0079434F"/>
    <w:rsid w:val="00794397"/>
    <w:rsid w:val="0079469B"/>
    <w:rsid w:val="007946DC"/>
    <w:rsid w:val="007948B5"/>
    <w:rsid w:val="00794A31"/>
    <w:rsid w:val="00794F67"/>
    <w:rsid w:val="00794FF5"/>
    <w:rsid w:val="00795374"/>
    <w:rsid w:val="00795430"/>
    <w:rsid w:val="007954A8"/>
    <w:rsid w:val="00795579"/>
    <w:rsid w:val="00795662"/>
    <w:rsid w:val="00795BAA"/>
    <w:rsid w:val="00796095"/>
    <w:rsid w:val="007960C4"/>
    <w:rsid w:val="00796226"/>
    <w:rsid w:val="00796340"/>
    <w:rsid w:val="007963AD"/>
    <w:rsid w:val="00796489"/>
    <w:rsid w:val="00796920"/>
    <w:rsid w:val="00796CD1"/>
    <w:rsid w:val="00796D32"/>
    <w:rsid w:val="00797159"/>
    <w:rsid w:val="00797380"/>
    <w:rsid w:val="007973EF"/>
    <w:rsid w:val="007973F8"/>
    <w:rsid w:val="0079746D"/>
    <w:rsid w:val="0079774C"/>
    <w:rsid w:val="007977AE"/>
    <w:rsid w:val="00797866"/>
    <w:rsid w:val="00797A1C"/>
    <w:rsid w:val="00797B1D"/>
    <w:rsid w:val="00797C75"/>
    <w:rsid w:val="00797C83"/>
    <w:rsid w:val="007A0456"/>
    <w:rsid w:val="007A0554"/>
    <w:rsid w:val="007A0811"/>
    <w:rsid w:val="007A0A74"/>
    <w:rsid w:val="007A0DFD"/>
    <w:rsid w:val="007A104B"/>
    <w:rsid w:val="007A130E"/>
    <w:rsid w:val="007A142C"/>
    <w:rsid w:val="007A1670"/>
    <w:rsid w:val="007A172B"/>
    <w:rsid w:val="007A17FA"/>
    <w:rsid w:val="007A19FC"/>
    <w:rsid w:val="007A1FD0"/>
    <w:rsid w:val="007A2737"/>
    <w:rsid w:val="007A2861"/>
    <w:rsid w:val="007A2A20"/>
    <w:rsid w:val="007A2D1E"/>
    <w:rsid w:val="007A2E1C"/>
    <w:rsid w:val="007A30AE"/>
    <w:rsid w:val="007A33C9"/>
    <w:rsid w:val="007A3429"/>
    <w:rsid w:val="007A35F8"/>
    <w:rsid w:val="007A3692"/>
    <w:rsid w:val="007A3701"/>
    <w:rsid w:val="007A3BC9"/>
    <w:rsid w:val="007A3BED"/>
    <w:rsid w:val="007A3CCE"/>
    <w:rsid w:val="007A3D50"/>
    <w:rsid w:val="007A4133"/>
    <w:rsid w:val="007A42E7"/>
    <w:rsid w:val="007A4465"/>
    <w:rsid w:val="007A46B2"/>
    <w:rsid w:val="007A4822"/>
    <w:rsid w:val="007A4D4D"/>
    <w:rsid w:val="007A4E52"/>
    <w:rsid w:val="007A4E73"/>
    <w:rsid w:val="007A4EA7"/>
    <w:rsid w:val="007A4F99"/>
    <w:rsid w:val="007A533C"/>
    <w:rsid w:val="007A57A0"/>
    <w:rsid w:val="007A5891"/>
    <w:rsid w:val="007A5B61"/>
    <w:rsid w:val="007A5BE8"/>
    <w:rsid w:val="007A5E86"/>
    <w:rsid w:val="007A6162"/>
    <w:rsid w:val="007A61C6"/>
    <w:rsid w:val="007A63B3"/>
    <w:rsid w:val="007A63C6"/>
    <w:rsid w:val="007A642C"/>
    <w:rsid w:val="007A6696"/>
    <w:rsid w:val="007A68B3"/>
    <w:rsid w:val="007A695E"/>
    <w:rsid w:val="007A6A4E"/>
    <w:rsid w:val="007A6AF1"/>
    <w:rsid w:val="007A6AFF"/>
    <w:rsid w:val="007A6BED"/>
    <w:rsid w:val="007A6FEE"/>
    <w:rsid w:val="007A7078"/>
    <w:rsid w:val="007A7105"/>
    <w:rsid w:val="007A71C9"/>
    <w:rsid w:val="007A7284"/>
    <w:rsid w:val="007A72CF"/>
    <w:rsid w:val="007A72D8"/>
    <w:rsid w:val="007A73A4"/>
    <w:rsid w:val="007A74E5"/>
    <w:rsid w:val="007A797F"/>
    <w:rsid w:val="007A7C7C"/>
    <w:rsid w:val="007A7D06"/>
    <w:rsid w:val="007B003B"/>
    <w:rsid w:val="007B0349"/>
    <w:rsid w:val="007B058A"/>
    <w:rsid w:val="007B0734"/>
    <w:rsid w:val="007B0765"/>
    <w:rsid w:val="007B07E7"/>
    <w:rsid w:val="007B082C"/>
    <w:rsid w:val="007B0989"/>
    <w:rsid w:val="007B0A47"/>
    <w:rsid w:val="007B0A4D"/>
    <w:rsid w:val="007B0A91"/>
    <w:rsid w:val="007B0BF4"/>
    <w:rsid w:val="007B0CEF"/>
    <w:rsid w:val="007B0E55"/>
    <w:rsid w:val="007B0FFD"/>
    <w:rsid w:val="007B10B5"/>
    <w:rsid w:val="007B12B1"/>
    <w:rsid w:val="007B12DB"/>
    <w:rsid w:val="007B18AA"/>
    <w:rsid w:val="007B19A2"/>
    <w:rsid w:val="007B19B3"/>
    <w:rsid w:val="007B1BD2"/>
    <w:rsid w:val="007B1DB6"/>
    <w:rsid w:val="007B2433"/>
    <w:rsid w:val="007B2543"/>
    <w:rsid w:val="007B2774"/>
    <w:rsid w:val="007B2939"/>
    <w:rsid w:val="007B2CE4"/>
    <w:rsid w:val="007B2E1D"/>
    <w:rsid w:val="007B2ECE"/>
    <w:rsid w:val="007B2F6C"/>
    <w:rsid w:val="007B30EF"/>
    <w:rsid w:val="007B31E9"/>
    <w:rsid w:val="007B3389"/>
    <w:rsid w:val="007B39F0"/>
    <w:rsid w:val="007B3E47"/>
    <w:rsid w:val="007B3F04"/>
    <w:rsid w:val="007B426D"/>
    <w:rsid w:val="007B4749"/>
    <w:rsid w:val="007B4CBF"/>
    <w:rsid w:val="007B4D16"/>
    <w:rsid w:val="007B4D9C"/>
    <w:rsid w:val="007B4DBE"/>
    <w:rsid w:val="007B4DE9"/>
    <w:rsid w:val="007B4E79"/>
    <w:rsid w:val="007B5010"/>
    <w:rsid w:val="007B5079"/>
    <w:rsid w:val="007B5164"/>
    <w:rsid w:val="007B521C"/>
    <w:rsid w:val="007B5591"/>
    <w:rsid w:val="007B567C"/>
    <w:rsid w:val="007B5DAA"/>
    <w:rsid w:val="007B6205"/>
    <w:rsid w:val="007B649F"/>
    <w:rsid w:val="007B64D3"/>
    <w:rsid w:val="007B669F"/>
    <w:rsid w:val="007B66ED"/>
    <w:rsid w:val="007B6829"/>
    <w:rsid w:val="007B699C"/>
    <w:rsid w:val="007B6E62"/>
    <w:rsid w:val="007B6EC6"/>
    <w:rsid w:val="007B6FC3"/>
    <w:rsid w:val="007B6FC4"/>
    <w:rsid w:val="007B7612"/>
    <w:rsid w:val="007B7636"/>
    <w:rsid w:val="007B7672"/>
    <w:rsid w:val="007B7707"/>
    <w:rsid w:val="007B7743"/>
    <w:rsid w:val="007B77FE"/>
    <w:rsid w:val="007B78DF"/>
    <w:rsid w:val="007B7A76"/>
    <w:rsid w:val="007B7FBC"/>
    <w:rsid w:val="007C05F2"/>
    <w:rsid w:val="007C078A"/>
    <w:rsid w:val="007C083F"/>
    <w:rsid w:val="007C099B"/>
    <w:rsid w:val="007C0A63"/>
    <w:rsid w:val="007C0ACB"/>
    <w:rsid w:val="007C0C98"/>
    <w:rsid w:val="007C1035"/>
    <w:rsid w:val="007C1594"/>
    <w:rsid w:val="007C18CE"/>
    <w:rsid w:val="007C18FC"/>
    <w:rsid w:val="007C1A1D"/>
    <w:rsid w:val="007C1AC4"/>
    <w:rsid w:val="007C1EA5"/>
    <w:rsid w:val="007C2061"/>
    <w:rsid w:val="007C216E"/>
    <w:rsid w:val="007C21C5"/>
    <w:rsid w:val="007C259E"/>
    <w:rsid w:val="007C286F"/>
    <w:rsid w:val="007C2C6E"/>
    <w:rsid w:val="007C2C84"/>
    <w:rsid w:val="007C2CE0"/>
    <w:rsid w:val="007C2D04"/>
    <w:rsid w:val="007C2D8F"/>
    <w:rsid w:val="007C2DD8"/>
    <w:rsid w:val="007C2F34"/>
    <w:rsid w:val="007C33AF"/>
    <w:rsid w:val="007C341A"/>
    <w:rsid w:val="007C361C"/>
    <w:rsid w:val="007C3737"/>
    <w:rsid w:val="007C37AC"/>
    <w:rsid w:val="007C38FB"/>
    <w:rsid w:val="007C395B"/>
    <w:rsid w:val="007C3F66"/>
    <w:rsid w:val="007C4213"/>
    <w:rsid w:val="007C45E3"/>
    <w:rsid w:val="007C469E"/>
    <w:rsid w:val="007C46D7"/>
    <w:rsid w:val="007C4875"/>
    <w:rsid w:val="007C4B4E"/>
    <w:rsid w:val="007C4FFB"/>
    <w:rsid w:val="007C50C1"/>
    <w:rsid w:val="007C52B2"/>
    <w:rsid w:val="007C540D"/>
    <w:rsid w:val="007C548A"/>
    <w:rsid w:val="007C575A"/>
    <w:rsid w:val="007C5A88"/>
    <w:rsid w:val="007C5A8B"/>
    <w:rsid w:val="007C5F07"/>
    <w:rsid w:val="007C5F72"/>
    <w:rsid w:val="007C5F7D"/>
    <w:rsid w:val="007C614A"/>
    <w:rsid w:val="007C6371"/>
    <w:rsid w:val="007C65BF"/>
    <w:rsid w:val="007C6800"/>
    <w:rsid w:val="007C699E"/>
    <w:rsid w:val="007C6AC0"/>
    <w:rsid w:val="007C6C2E"/>
    <w:rsid w:val="007C6DAB"/>
    <w:rsid w:val="007C6FEF"/>
    <w:rsid w:val="007C7012"/>
    <w:rsid w:val="007C70AC"/>
    <w:rsid w:val="007C7664"/>
    <w:rsid w:val="007C7B8D"/>
    <w:rsid w:val="007C7D5D"/>
    <w:rsid w:val="007C7DA0"/>
    <w:rsid w:val="007C7E6B"/>
    <w:rsid w:val="007C7F35"/>
    <w:rsid w:val="007C7F7B"/>
    <w:rsid w:val="007D01D9"/>
    <w:rsid w:val="007D042B"/>
    <w:rsid w:val="007D04A7"/>
    <w:rsid w:val="007D058E"/>
    <w:rsid w:val="007D09BE"/>
    <w:rsid w:val="007D09E3"/>
    <w:rsid w:val="007D0B1F"/>
    <w:rsid w:val="007D0B5A"/>
    <w:rsid w:val="007D0BF9"/>
    <w:rsid w:val="007D0C3E"/>
    <w:rsid w:val="007D0CF7"/>
    <w:rsid w:val="007D16EF"/>
    <w:rsid w:val="007D174A"/>
    <w:rsid w:val="007D1826"/>
    <w:rsid w:val="007D1934"/>
    <w:rsid w:val="007D1A89"/>
    <w:rsid w:val="007D1AB7"/>
    <w:rsid w:val="007D1B28"/>
    <w:rsid w:val="007D1DB7"/>
    <w:rsid w:val="007D1DBC"/>
    <w:rsid w:val="007D1F49"/>
    <w:rsid w:val="007D208C"/>
    <w:rsid w:val="007D21B3"/>
    <w:rsid w:val="007D2265"/>
    <w:rsid w:val="007D2280"/>
    <w:rsid w:val="007D25AB"/>
    <w:rsid w:val="007D25CC"/>
    <w:rsid w:val="007D25CE"/>
    <w:rsid w:val="007D25D6"/>
    <w:rsid w:val="007D27B1"/>
    <w:rsid w:val="007D29F9"/>
    <w:rsid w:val="007D2A2C"/>
    <w:rsid w:val="007D2A9B"/>
    <w:rsid w:val="007D2ACF"/>
    <w:rsid w:val="007D2B2D"/>
    <w:rsid w:val="007D2E25"/>
    <w:rsid w:val="007D2E5F"/>
    <w:rsid w:val="007D3096"/>
    <w:rsid w:val="007D33A9"/>
    <w:rsid w:val="007D3607"/>
    <w:rsid w:val="007D3862"/>
    <w:rsid w:val="007D3968"/>
    <w:rsid w:val="007D3C65"/>
    <w:rsid w:val="007D3FC5"/>
    <w:rsid w:val="007D4077"/>
    <w:rsid w:val="007D41C2"/>
    <w:rsid w:val="007D4280"/>
    <w:rsid w:val="007D457F"/>
    <w:rsid w:val="007D46FF"/>
    <w:rsid w:val="007D4700"/>
    <w:rsid w:val="007D4B39"/>
    <w:rsid w:val="007D520E"/>
    <w:rsid w:val="007D5341"/>
    <w:rsid w:val="007D5357"/>
    <w:rsid w:val="007D5539"/>
    <w:rsid w:val="007D5583"/>
    <w:rsid w:val="007D5834"/>
    <w:rsid w:val="007D5868"/>
    <w:rsid w:val="007D5B2D"/>
    <w:rsid w:val="007D5B78"/>
    <w:rsid w:val="007D5D46"/>
    <w:rsid w:val="007D5D83"/>
    <w:rsid w:val="007D5E28"/>
    <w:rsid w:val="007D5EC5"/>
    <w:rsid w:val="007D5EF9"/>
    <w:rsid w:val="007D5F47"/>
    <w:rsid w:val="007D62BB"/>
    <w:rsid w:val="007D6447"/>
    <w:rsid w:val="007D65F7"/>
    <w:rsid w:val="007D6833"/>
    <w:rsid w:val="007D6A1A"/>
    <w:rsid w:val="007D6A61"/>
    <w:rsid w:val="007D6BB6"/>
    <w:rsid w:val="007D6C99"/>
    <w:rsid w:val="007D6FB9"/>
    <w:rsid w:val="007D70B0"/>
    <w:rsid w:val="007D7112"/>
    <w:rsid w:val="007D71C5"/>
    <w:rsid w:val="007D7386"/>
    <w:rsid w:val="007D7410"/>
    <w:rsid w:val="007D75A2"/>
    <w:rsid w:val="007D774D"/>
    <w:rsid w:val="007D78E5"/>
    <w:rsid w:val="007D7E8E"/>
    <w:rsid w:val="007E0161"/>
    <w:rsid w:val="007E035E"/>
    <w:rsid w:val="007E03B6"/>
    <w:rsid w:val="007E0666"/>
    <w:rsid w:val="007E0694"/>
    <w:rsid w:val="007E0695"/>
    <w:rsid w:val="007E083E"/>
    <w:rsid w:val="007E08A5"/>
    <w:rsid w:val="007E0C63"/>
    <w:rsid w:val="007E0CE0"/>
    <w:rsid w:val="007E11CF"/>
    <w:rsid w:val="007E1351"/>
    <w:rsid w:val="007E13F5"/>
    <w:rsid w:val="007E15CC"/>
    <w:rsid w:val="007E1718"/>
    <w:rsid w:val="007E180F"/>
    <w:rsid w:val="007E1BF6"/>
    <w:rsid w:val="007E2098"/>
    <w:rsid w:val="007E2164"/>
    <w:rsid w:val="007E21EB"/>
    <w:rsid w:val="007E2290"/>
    <w:rsid w:val="007E236D"/>
    <w:rsid w:val="007E2430"/>
    <w:rsid w:val="007E280A"/>
    <w:rsid w:val="007E29A2"/>
    <w:rsid w:val="007E3195"/>
    <w:rsid w:val="007E3260"/>
    <w:rsid w:val="007E33F6"/>
    <w:rsid w:val="007E3757"/>
    <w:rsid w:val="007E3781"/>
    <w:rsid w:val="007E3783"/>
    <w:rsid w:val="007E3BB7"/>
    <w:rsid w:val="007E3BD1"/>
    <w:rsid w:val="007E3C10"/>
    <w:rsid w:val="007E3D41"/>
    <w:rsid w:val="007E41F2"/>
    <w:rsid w:val="007E426B"/>
    <w:rsid w:val="007E4296"/>
    <w:rsid w:val="007E4474"/>
    <w:rsid w:val="007E45B2"/>
    <w:rsid w:val="007E4695"/>
    <w:rsid w:val="007E4A88"/>
    <w:rsid w:val="007E4CF5"/>
    <w:rsid w:val="007E51BD"/>
    <w:rsid w:val="007E5263"/>
    <w:rsid w:val="007E5445"/>
    <w:rsid w:val="007E545F"/>
    <w:rsid w:val="007E5523"/>
    <w:rsid w:val="007E56D9"/>
    <w:rsid w:val="007E5A80"/>
    <w:rsid w:val="007E5A9D"/>
    <w:rsid w:val="007E5C88"/>
    <w:rsid w:val="007E5DD2"/>
    <w:rsid w:val="007E5E1E"/>
    <w:rsid w:val="007E5F83"/>
    <w:rsid w:val="007E5F9D"/>
    <w:rsid w:val="007E61FE"/>
    <w:rsid w:val="007E620A"/>
    <w:rsid w:val="007E63E9"/>
    <w:rsid w:val="007E65FC"/>
    <w:rsid w:val="007E663A"/>
    <w:rsid w:val="007E6715"/>
    <w:rsid w:val="007E676A"/>
    <w:rsid w:val="007E6809"/>
    <w:rsid w:val="007E6878"/>
    <w:rsid w:val="007E691A"/>
    <w:rsid w:val="007E691C"/>
    <w:rsid w:val="007E691F"/>
    <w:rsid w:val="007E6961"/>
    <w:rsid w:val="007E6CA1"/>
    <w:rsid w:val="007E6CF8"/>
    <w:rsid w:val="007E6EB8"/>
    <w:rsid w:val="007E719A"/>
    <w:rsid w:val="007E71B9"/>
    <w:rsid w:val="007E7236"/>
    <w:rsid w:val="007E72BC"/>
    <w:rsid w:val="007E746B"/>
    <w:rsid w:val="007E75AE"/>
    <w:rsid w:val="007E7CC1"/>
    <w:rsid w:val="007E7DB5"/>
    <w:rsid w:val="007F0109"/>
    <w:rsid w:val="007F0160"/>
    <w:rsid w:val="007F0336"/>
    <w:rsid w:val="007F0534"/>
    <w:rsid w:val="007F05F8"/>
    <w:rsid w:val="007F0802"/>
    <w:rsid w:val="007F0AD3"/>
    <w:rsid w:val="007F0AF4"/>
    <w:rsid w:val="007F0D05"/>
    <w:rsid w:val="007F0FBC"/>
    <w:rsid w:val="007F12A0"/>
    <w:rsid w:val="007F12DB"/>
    <w:rsid w:val="007F1345"/>
    <w:rsid w:val="007F1432"/>
    <w:rsid w:val="007F16DA"/>
    <w:rsid w:val="007F1890"/>
    <w:rsid w:val="007F1C2D"/>
    <w:rsid w:val="007F1D79"/>
    <w:rsid w:val="007F1DBD"/>
    <w:rsid w:val="007F1E42"/>
    <w:rsid w:val="007F22AA"/>
    <w:rsid w:val="007F233A"/>
    <w:rsid w:val="007F2628"/>
    <w:rsid w:val="007F2669"/>
    <w:rsid w:val="007F27A5"/>
    <w:rsid w:val="007F27D4"/>
    <w:rsid w:val="007F2972"/>
    <w:rsid w:val="007F2B3A"/>
    <w:rsid w:val="007F2CA4"/>
    <w:rsid w:val="007F2CD2"/>
    <w:rsid w:val="007F2DD2"/>
    <w:rsid w:val="007F3275"/>
    <w:rsid w:val="007F3432"/>
    <w:rsid w:val="007F366C"/>
    <w:rsid w:val="007F36CE"/>
    <w:rsid w:val="007F3B1F"/>
    <w:rsid w:val="007F3C8D"/>
    <w:rsid w:val="007F3D3C"/>
    <w:rsid w:val="007F3DEF"/>
    <w:rsid w:val="007F3E47"/>
    <w:rsid w:val="007F45CC"/>
    <w:rsid w:val="007F4915"/>
    <w:rsid w:val="007F4B34"/>
    <w:rsid w:val="007F4B5C"/>
    <w:rsid w:val="007F4E5B"/>
    <w:rsid w:val="007F4FA8"/>
    <w:rsid w:val="007F5086"/>
    <w:rsid w:val="007F52C6"/>
    <w:rsid w:val="007F52EA"/>
    <w:rsid w:val="007F545F"/>
    <w:rsid w:val="007F5507"/>
    <w:rsid w:val="007F5825"/>
    <w:rsid w:val="007F58A5"/>
    <w:rsid w:val="007F58AE"/>
    <w:rsid w:val="007F5B26"/>
    <w:rsid w:val="007F5BE9"/>
    <w:rsid w:val="007F5E07"/>
    <w:rsid w:val="007F692E"/>
    <w:rsid w:val="007F69A0"/>
    <w:rsid w:val="007F69B6"/>
    <w:rsid w:val="007F6A12"/>
    <w:rsid w:val="007F6A53"/>
    <w:rsid w:val="007F6B8A"/>
    <w:rsid w:val="007F6C9C"/>
    <w:rsid w:val="007F6E4B"/>
    <w:rsid w:val="007F6EB6"/>
    <w:rsid w:val="007F6FBE"/>
    <w:rsid w:val="007F6FE6"/>
    <w:rsid w:val="007F70B3"/>
    <w:rsid w:val="007F737C"/>
    <w:rsid w:val="007F7574"/>
    <w:rsid w:val="007F7700"/>
    <w:rsid w:val="007F770E"/>
    <w:rsid w:val="007F77BA"/>
    <w:rsid w:val="007F7C5F"/>
    <w:rsid w:val="007F7C8E"/>
    <w:rsid w:val="007F7D8D"/>
    <w:rsid w:val="007F7DBD"/>
    <w:rsid w:val="007F7F08"/>
    <w:rsid w:val="0080009B"/>
    <w:rsid w:val="008001F3"/>
    <w:rsid w:val="00800277"/>
    <w:rsid w:val="00800317"/>
    <w:rsid w:val="008003B6"/>
    <w:rsid w:val="008003F6"/>
    <w:rsid w:val="00800541"/>
    <w:rsid w:val="0080068C"/>
    <w:rsid w:val="0080088D"/>
    <w:rsid w:val="00800A26"/>
    <w:rsid w:val="00800C6A"/>
    <w:rsid w:val="00800CB5"/>
    <w:rsid w:val="00800E06"/>
    <w:rsid w:val="00800F2A"/>
    <w:rsid w:val="00800F32"/>
    <w:rsid w:val="0080136E"/>
    <w:rsid w:val="00801565"/>
    <w:rsid w:val="00801728"/>
    <w:rsid w:val="00801944"/>
    <w:rsid w:val="00801980"/>
    <w:rsid w:val="00801989"/>
    <w:rsid w:val="0080198D"/>
    <w:rsid w:val="00801C8D"/>
    <w:rsid w:val="00802079"/>
    <w:rsid w:val="00802479"/>
    <w:rsid w:val="008025C8"/>
    <w:rsid w:val="00802683"/>
    <w:rsid w:val="00802870"/>
    <w:rsid w:val="008029B2"/>
    <w:rsid w:val="00802BBB"/>
    <w:rsid w:val="00802D55"/>
    <w:rsid w:val="00802E45"/>
    <w:rsid w:val="00802F53"/>
    <w:rsid w:val="00803012"/>
    <w:rsid w:val="00803193"/>
    <w:rsid w:val="008033E5"/>
    <w:rsid w:val="0080348C"/>
    <w:rsid w:val="0080360A"/>
    <w:rsid w:val="0080373D"/>
    <w:rsid w:val="00803841"/>
    <w:rsid w:val="00803DA9"/>
    <w:rsid w:val="00803E77"/>
    <w:rsid w:val="008040F1"/>
    <w:rsid w:val="008041C5"/>
    <w:rsid w:val="008041ED"/>
    <w:rsid w:val="008044EE"/>
    <w:rsid w:val="0080477D"/>
    <w:rsid w:val="008047E5"/>
    <w:rsid w:val="00804A48"/>
    <w:rsid w:val="00804C9C"/>
    <w:rsid w:val="00804E74"/>
    <w:rsid w:val="00804F30"/>
    <w:rsid w:val="008050DF"/>
    <w:rsid w:val="00805346"/>
    <w:rsid w:val="008053E6"/>
    <w:rsid w:val="00805A22"/>
    <w:rsid w:val="00805EA0"/>
    <w:rsid w:val="00806002"/>
    <w:rsid w:val="00806211"/>
    <w:rsid w:val="00806364"/>
    <w:rsid w:val="00806723"/>
    <w:rsid w:val="008067D1"/>
    <w:rsid w:val="0080681D"/>
    <w:rsid w:val="00806837"/>
    <w:rsid w:val="00806ABF"/>
    <w:rsid w:val="00806C27"/>
    <w:rsid w:val="00806E92"/>
    <w:rsid w:val="00806FD9"/>
    <w:rsid w:val="0080702C"/>
    <w:rsid w:val="00807075"/>
    <w:rsid w:val="0080745B"/>
    <w:rsid w:val="00807525"/>
    <w:rsid w:val="0080760D"/>
    <w:rsid w:val="00807613"/>
    <w:rsid w:val="008076CF"/>
    <w:rsid w:val="00807822"/>
    <w:rsid w:val="00807BFB"/>
    <w:rsid w:val="00807CFF"/>
    <w:rsid w:val="00807D33"/>
    <w:rsid w:val="00810433"/>
    <w:rsid w:val="00810B1F"/>
    <w:rsid w:val="00810C65"/>
    <w:rsid w:val="00810DD7"/>
    <w:rsid w:val="00810E31"/>
    <w:rsid w:val="00810E3F"/>
    <w:rsid w:val="00810FB2"/>
    <w:rsid w:val="00811136"/>
    <w:rsid w:val="008112D1"/>
    <w:rsid w:val="008115CA"/>
    <w:rsid w:val="00811696"/>
    <w:rsid w:val="00811745"/>
    <w:rsid w:val="0081182B"/>
    <w:rsid w:val="00811A3C"/>
    <w:rsid w:val="00811B58"/>
    <w:rsid w:val="00811C87"/>
    <w:rsid w:val="008122F5"/>
    <w:rsid w:val="00812361"/>
    <w:rsid w:val="00812535"/>
    <w:rsid w:val="008126B6"/>
    <w:rsid w:val="008128A2"/>
    <w:rsid w:val="00812A72"/>
    <w:rsid w:val="00812B95"/>
    <w:rsid w:val="00812D75"/>
    <w:rsid w:val="00812D78"/>
    <w:rsid w:val="00812FB0"/>
    <w:rsid w:val="008130AF"/>
    <w:rsid w:val="008130CD"/>
    <w:rsid w:val="008130F7"/>
    <w:rsid w:val="008132CD"/>
    <w:rsid w:val="008132E6"/>
    <w:rsid w:val="008133AF"/>
    <w:rsid w:val="0081351A"/>
    <w:rsid w:val="008135F8"/>
    <w:rsid w:val="00813692"/>
    <w:rsid w:val="00813BB4"/>
    <w:rsid w:val="00813C2A"/>
    <w:rsid w:val="0081421B"/>
    <w:rsid w:val="0081433A"/>
    <w:rsid w:val="00814368"/>
    <w:rsid w:val="008143DB"/>
    <w:rsid w:val="00814544"/>
    <w:rsid w:val="0081475D"/>
    <w:rsid w:val="00814889"/>
    <w:rsid w:val="0081492E"/>
    <w:rsid w:val="00814A0C"/>
    <w:rsid w:val="00814B3F"/>
    <w:rsid w:val="00814C1C"/>
    <w:rsid w:val="0081505E"/>
    <w:rsid w:val="00815210"/>
    <w:rsid w:val="008159AE"/>
    <w:rsid w:val="00815ABC"/>
    <w:rsid w:val="00815B97"/>
    <w:rsid w:val="00815CD9"/>
    <w:rsid w:val="00815D8B"/>
    <w:rsid w:val="00815DAF"/>
    <w:rsid w:val="00815E5F"/>
    <w:rsid w:val="00815FB2"/>
    <w:rsid w:val="0081631A"/>
    <w:rsid w:val="00816486"/>
    <w:rsid w:val="008164CD"/>
    <w:rsid w:val="0081693D"/>
    <w:rsid w:val="008169DA"/>
    <w:rsid w:val="00816A7E"/>
    <w:rsid w:val="00816D2C"/>
    <w:rsid w:val="00816D4C"/>
    <w:rsid w:val="00816D7E"/>
    <w:rsid w:val="00816E20"/>
    <w:rsid w:val="00816E25"/>
    <w:rsid w:val="0081700F"/>
    <w:rsid w:val="00817119"/>
    <w:rsid w:val="008177D2"/>
    <w:rsid w:val="008177F5"/>
    <w:rsid w:val="008179D2"/>
    <w:rsid w:val="008179F4"/>
    <w:rsid w:val="00817AAE"/>
    <w:rsid w:val="0082011E"/>
    <w:rsid w:val="00820291"/>
    <w:rsid w:val="00820361"/>
    <w:rsid w:val="0082037B"/>
    <w:rsid w:val="00820397"/>
    <w:rsid w:val="0082042C"/>
    <w:rsid w:val="008205BA"/>
    <w:rsid w:val="00820608"/>
    <w:rsid w:val="008207BC"/>
    <w:rsid w:val="008208E2"/>
    <w:rsid w:val="00820A9D"/>
    <w:rsid w:val="00821012"/>
    <w:rsid w:val="00821027"/>
    <w:rsid w:val="00821070"/>
    <w:rsid w:val="00821218"/>
    <w:rsid w:val="0082145C"/>
    <w:rsid w:val="008214B2"/>
    <w:rsid w:val="008217DE"/>
    <w:rsid w:val="008218B5"/>
    <w:rsid w:val="008219B9"/>
    <w:rsid w:val="00821CCF"/>
    <w:rsid w:val="00821ED3"/>
    <w:rsid w:val="00821F24"/>
    <w:rsid w:val="0082221B"/>
    <w:rsid w:val="0082266D"/>
    <w:rsid w:val="008226AD"/>
    <w:rsid w:val="00822729"/>
    <w:rsid w:val="008228DC"/>
    <w:rsid w:val="00822A48"/>
    <w:rsid w:val="00822B37"/>
    <w:rsid w:val="00822F0F"/>
    <w:rsid w:val="00822FE7"/>
    <w:rsid w:val="00823171"/>
    <w:rsid w:val="00823383"/>
    <w:rsid w:val="008233C8"/>
    <w:rsid w:val="0082349F"/>
    <w:rsid w:val="0082352D"/>
    <w:rsid w:val="008235F0"/>
    <w:rsid w:val="00823715"/>
    <w:rsid w:val="008237B8"/>
    <w:rsid w:val="0082389A"/>
    <w:rsid w:val="00823941"/>
    <w:rsid w:val="00823C61"/>
    <w:rsid w:val="00823C8B"/>
    <w:rsid w:val="00823E13"/>
    <w:rsid w:val="008240FA"/>
    <w:rsid w:val="00824164"/>
    <w:rsid w:val="008241BC"/>
    <w:rsid w:val="0082446C"/>
    <w:rsid w:val="0082447E"/>
    <w:rsid w:val="008246E4"/>
    <w:rsid w:val="0082481F"/>
    <w:rsid w:val="00824898"/>
    <w:rsid w:val="00824A9D"/>
    <w:rsid w:val="00824E90"/>
    <w:rsid w:val="00825069"/>
    <w:rsid w:val="00825180"/>
    <w:rsid w:val="008251C7"/>
    <w:rsid w:val="0082539B"/>
    <w:rsid w:val="00825698"/>
    <w:rsid w:val="008256A8"/>
    <w:rsid w:val="0082589F"/>
    <w:rsid w:val="00825AF7"/>
    <w:rsid w:val="00826076"/>
    <w:rsid w:val="00826090"/>
    <w:rsid w:val="008262C5"/>
    <w:rsid w:val="00826453"/>
    <w:rsid w:val="00826882"/>
    <w:rsid w:val="008268BA"/>
    <w:rsid w:val="008268D4"/>
    <w:rsid w:val="00826946"/>
    <w:rsid w:val="008269B9"/>
    <w:rsid w:val="00826A24"/>
    <w:rsid w:val="00826D86"/>
    <w:rsid w:val="00826DB3"/>
    <w:rsid w:val="00826E83"/>
    <w:rsid w:val="0082701D"/>
    <w:rsid w:val="00827466"/>
    <w:rsid w:val="0082755B"/>
    <w:rsid w:val="00827592"/>
    <w:rsid w:val="0082765D"/>
    <w:rsid w:val="00827665"/>
    <w:rsid w:val="0082780C"/>
    <w:rsid w:val="00827B87"/>
    <w:rsid w:val="00827E43"/>
    <w:rsid w:val="00827E63"/>
    <w:rsid w:val="00827ED4"/>
    <w:rsid w:val="00827FFC"/>
    <w:rsid w:val="0083015F"/>
    <w:rsid w:val="00830190"/>
    <w:rsid w:val="008302A0"/>
    <w:rsid w:val="00830366"/>
    <w:rsid w:val="00830B09"/>
    <w:rsid w:val="00830B73"/>
    <w:rsid w:val="00830C66"/>
    <w:rsid w:val="00830F5C"/>
    <w:rsid w:val="008310EE"/>
    <w:rsid w:val="00831480"/>
    <w:rsid w:val="008315A7"/>
    <w:rsid w:val="008316A8"/>
    <w:rsid w:val="008316AD"/>
    <w:rsid w:val="0083188D"/>
    <w:rsid w:val="00831A1D"/>
    <w:rsid w:val="00831A40"/>
    <w:rsid w:val="00831B06"/>
    <w:rsid w:val="00831BB7"/>
    <w:rsid w:val="00831CD7"/>
    <w:rsid w:val="00831E87"/>
    <w:rsid w:val="00831F71"/>
    <w:rsid w:val="008320A9"/>
    <w:rsid w:val="008326AC"/>
    <w:rsid w:val="00832720"/>
    <w:rsid w:val="0083283C"/>
    <w:rsid w:val="0083296F"/>
    <w:rsid w:val="00832BAD"/>
    <w:rsid w:val="00832D80"/>
    <w:rsid w:val="008330F7"/>
    <w:rsid w:val="00833189"/>
    <w:rsid w:val="008331B3"/>
    <w:rsid w:val="00833241"/>
    <w:rsid w:val="00833361"/>
    <w:rsid w:val="008334CA"/>
    <w:rsid w:val="008334F8"/>
    <w:rsid w:val="0083355D"/>
    <w:rsid w:val="008335A9"/>
    <w:rsid w:val="008336E4"/>
    <w:rsid w:val="00833867"/>
    <w:rsid w:val="00833A13"/>
    <w:rsid w:val="00833B67"/>
    <w:rsid w:val="00833BD2"/>
    <w:rsid w:val="00833CC4"/>
    <w:rsid w:val="00833D2A"/>
    <w:rsid w:val="008341EF"/>
    <w:rsid w:val="00834360"/>
    <w:rsid w:val="008344BC"/>
    <w:rsid w:val="00834567"/>
    <w:rsid w:val="008345D1"/>
    <w:rsid w:val="00834814"/>
    <w:rsid w:val="00834978"/>
    <w:rsid w:val="00834BCB"/>
    <w:rsid w:val="00834D9E"/>
    <w:rsid w:val="00834E55"/>
    <w:rsid w:val="00834EFF"/>
    <w:rsid w:val="008357DE"/>
    <w:rsid w:val="0083584D"/>
    <w:rsid w:val="00835865"/>
    <w:rsid w:val="008359E8"/>
    <w:rsid w:val="00835D47"/>
    <w:rsid w:val="00835DCF"/>
    <w:rsid w:val="00835E96"/>
    <w:rsid w:val="00836087"/>
    <w:rsid w:val="008362E3"/>
    <w:rsid w:val="00836441"/>
    <w:rsid w:val="00836544"/>
    <w:rsid w:val="0083665D"/>
    <w:rsid w:val="00836673"/>
    <w:rsid w:val="008369C0"/>
    <w:rsid w:val="00836AB9"/>
    <w:rsid w:val="00836CB9"/>
    <w:rsid w:val="00836CE1"/>
    <w:rsid w:val="00836D17"/>
    <w:rsid w:val="00836D9D"/>
    <w:rsid w:val="008370BF"/>
    <w:rsid w:val="008371D8"/>
    <w:rsid w:val="00837222"/>
    <w:rsid w:val="0083723C"/>
    <w:rsid w:val="00837336"/>
    <w:rsid w:val="0083734E"/>
    <w:rsid w:val="0083740E"/>
    <w:rsid w:val="00837497"/>
    <w:rsid w:val="008375A6"/>
    <w:rsid w:val="008375AA"/>
    <w:rsid w:val="0083795C"/>
    <w:rsid w:val="00837A56"/>
    <w:rsid w:val="00837A71"/>
    <w:rsid w:val="00837AD4"/>
    <w:rsid w:val="00837C85"/>
    <w:rsid w:val="00837DBB"/>
    <w:rsid w:val="00837E6E"/>
    <w:rsid w:val="00840012"/>
    <w:rsid w:val="0084005F"/>
    <w:rsid w:val="008400CF"/>
    <w:rsid w:val="00840291"/>
    <w:rsid w:val="00840570"/>
    <w:rsid w:val="008408EB"/>
    <w:rsid w:val="00840937"/>
    <w:rsid w:val="00840939"/>
    <w:rsid w:val="00840ACD"/>
    <w:rsid w:val="00840B90"/>
    <w:rsid w:val="00840C46"/>
    <w:rsid w:val="00840D08"/>
    <w:rsid w:val="00840E9F"/>
    <w:rsid w:val="00840EC6"/>
    <w:rsid w:val="008410C3"/>
    <w:rsid w:val="008412F5"/>
    <w:rsid w:val="00841377"/>
    <w:rsid w:val="0084139B"/>
    <w:rsid w:val="008415AD"/>
    <w:rsid w:val="00841631"/>
    <w:rsid w:val="00841B8D"/>
    <w:rsid w:val="00841C80"/>
    <w:rsid w:val="00841D7D"/>
    <w:rsid w:val="00841E74"/>
    <w:rsid w:val="00842070"/>
    <w:rsid w:val="008421D0"/>
    <w:rsid w:val="0084235D"/>
    <w:rsid w:val="00842840"/>
    <w:rsid w:val="00842B15"/>
    <w:rsid w:val="00842B59"/>
    <w:rsid w:val="00842BB3"/>
    <w:rsid w:val="00842BF2"/>
    <w:rsid w:val="00842C2F"/>
    <w:rsid w:val="00842C33"/>
    <w:rsid w:val="00842C51"/>
    <w:rsid w:val="00842C57"/>
    <w:rsid w:val="00842E1A"/>
    <w:rsid w:val="00842F6B"/>
    <w:rsid w:val="00842F80"/>
    <w:rsid w:val="008430D9"/>
    <w:rsid w:val="00843163"/>
    <w:rsid w:val="0084323B"/>
    <w:rsid w:val="00843259"/>
    <w:rsid w:val="008433D5"/>
    <w:rsid w:val="00843501"/>
    <w:rsid w:val="0084353F"/>
    <w:rsid w:val="0084357B"/>
    <w:rsid w:val="00843834"/>
    <w:rsid w:val="00843889"/>
    <w:rsid w:val="0084392E"/>
    <w:rsid w:val="00843BAA"/>
    <w:rsid w:val="00843C94"/>
    <w:rsid w:val="00843D34"/>
    <w:rsid w:val="00843D8E"/>
    <w:rsid w:val="00844354"/>
    <w:rsid w:val="00844499"/>
    <w:rsid w:val="0084465E"/>
    <w:rsid w:val="00844695"/>
    <w:rsid w:val="008448ED"/>
    <w:rsid w:val="00844AAC"/>
    <w:rsid w:val="00844BE8"/>
    <w:rsid w:val="008454B7"/>
    <w:rsid w:val="008455BA"/>
    <w:rsid w:val="0084560C"/>
    <w:rsid w:val="0084575B"/>
    <w:rsid w:val="008458DD"/>
    <w:rsid w:val="00845B26"/>
    <w:rsid w:val="00845BB3"/>
    <w:rsid w:val="00845BC5"/>
    <w:rsid w:val="00845F03"/>
    <w:rsid w:val="008460F9"/>
    <w:rsid w:val="008463B4"/>
    <w:rsid w:val="00846551"/>
    <w:rsid w:val="00846720"/>
    <w:rsid w:val="00846794"/>
    <w:rsid w:val="008467D8"/>
    <w:rsid w:val="00846841"/>
    <w:rsid w:val="00846999"/>
    <w:rsid w:val="00846A3C"/>
    <w:rsid w:val="00846A54"/>
    <w:rsid w:val="00846B13"/>
    <w:rsid w:val="00846BCA"/>
    <w:rsid w:val="00846C39"/>
    <w:rsid w:val="00846CFE"/>
    <w:rsid w:val="00847153"/>
    <w:rsid w:val="00847333"/>
    <w:rsid w:val="008473C1"/>
    <w:rsid w:val="008476CD"/>
    <w:rsid w:val="00847868"/>
    <w:rsid w:val="00847909"/>
    <w:rsid w:val="00847D33"/>
    <w:rsid w:val="00847F7A"/>
    <w:rsid w:val="00850004"/>
    <w:rsid w:val="008503BE"/>
    <w:rsid w:val="008503DE"/>
    <w:rsid w:val="0085046C"/>
    <w:rsid w:val="008508B0"/>
    <w:rsid w:val="00850970"/>
    <w:rsid w:val="008509D9"/>
    <w:rsid w:val="00850A23"/>
    <w:rsid w:val="00850AAA"/>
    <w:rsid w:val="00850B21"/>
    <w:rsid w:val="00850BD8"/>
    <w:rsid w:val="00850C11"/>
    <w:rsid w:val="00850F31"/>
    <w:rsid w:val="00850F89"/>
    <w:rsid w:val="0085121D"/>
    <w:rsid w:val="008512C8"/>
    <w:rsid w:val="008517D0"/>
    <w:rsid w:val="00851A5A"/>
    <w:rsid w:val="00851DA8"/>
    <w:rsid w:val="00851EE6"/>
    <w:rsid w:val="00851F44"/>
    <w:rsid w:val="0085204A"/>
    <w:rsid w:val="008520BD"/>
    <w:rsid w:val="0085228B"/>
    <w:rsid w:val="00852296"/>
    <w:rsid w:val="008522B4"/>
    <w:rsid w:val="008522D5"/>
    <w:rsid w:val="00852760"/>
    <w:rsid w:val="008527D7"/>
    <w:rsid w:val="00852940"/>
    <w:rsid w:val="00852C7F"/>
    <w:rsid w:val="00852D26"/>
    <w:rsid w:val="00852FF5"/>
    <w:rsid w:val="008531B7"/>
    <w:rsid w:val="008531EB"/>
    <w:rsid w:val="00853232"/>
    <w:rsid w:val="008533F9"/>
    <w:rsid w:val="00853482"/>
    <w:rsid w:val="0085352D"/>
    <w:rsid w:val="008537A9"/>
    <w:rsid w:val="00853A38"/>
    <w:rsid w:val="00853BDA"/>
    <w:rsid w:val="00853D06"/>
    <w:rsid w:val="00853E01"/>
    <w:rsid w:val="00853FCC"/>
    <w:rsid w:val="0085425C"/>
    <w:rsid w:val="0085437B"/>
    <w:rsid w:val="0085451B"/>
    <w:rsid w:val="008545AC"/>
    <w:rsid w:val="0085464C"/>
    <w:rsid w:val="00854ED3"/>
    <w:rsid w:val="00854F80"/>
    <w:rsid w:val="008550C6"/>
    <w:rsid w:val="00855146"/>
    <w:rsid w:val="0085532E"/>
    <w:rsid w:val="0085536D"/>
    <w:rsid w:val="00855452"/>
    <w:rsid w:val="0085548E"/>
    <w:rsid w:val="00855628"/>
    <w:rsid w:val="0085599D"/>
    <w:rsid w:val="008559B6"/>
    <w:rsid w:val="00855B71"/>
    <w:rsid w:val="00855CC4"/>
    <w:rsid w:val="00855D2A"/>
    <w:rsid w:val="00855F79"/>
    <w:rsid w:val="0085607C"/>
    <w:rsid w:val="0085648E"/>
    <w:rsid w:val="00856B38"/>
    <w:rsid w:val="00856C24"/>
    <w:rsid w:val="00856D4E"/>
    <w:rsid w:val="00856E81"/>
    <w:rsid w:val="00856F07"/>
    <w:rsid w:val="008571C9"/>
    <w:rsid w:val="008571F8"/>
    <w:rsid w:val="0085729D"/>
    <w:rsid w:val="008575BD"/>
    <w:rsid w:val="00857934"/>
    <w:rsid w:val="0085798B"/>
    <w:rsid w:val="00857A60"/>
    <w:rsid w:val="00857AAA"/>
    <w:rsid w:val="00857B28"/>
    <w:rsid w:val="00857C18"/>
    <w:rsid w:val="00857D77"/>
    <w:rsid w:val="00857DAA"/>
    <w:rsid w:val="00857E13"/>
    <w:rsid w:val="0086000E"/>
    <w:rsid w:val="0086019C"/>
    <w:rsid w:val="00860662"/>
    <w:rsid w:val="00860761"/>
    <w:rsid w:val="00860B81"/>
    <w:rsid w:val="00860CFC"/>
    <w:rsid w:val="00860D34"/>
    <w:rsid w:val="00860EB1"/>
    <w:rsid w:val="00861116"/>
    <w:rsid w:val="00861346"/>
    <w:rsid w:val="00861493"/>
    <w:rsid w:val="008614E4"/>
    <w:rsid w:val="008614F5"/>
    <w:rsid w:val="00861C3D"/>
    <w:rsid w:val="0086207E"/>
    <w:rsid w:val="008625DC"/>
    <w:rsid w:val="00862876"/>
    <w:rsid w:val="00862A34"/>
    <w:rsid w:val="00862CCD"/>
    <w:rsid w:val="00862FD1"/>
    <w:rsid w:val="0086349C"/>
    <w:rsid w:val="0086352A"/>
    <w:rsid w:val="00863541"/>
    <w:rsid w:val="00863606"/>
    <w:rsid w:val="008639B9"/>
    <w:rsid w:val="00863D2E"/>
    <w:rsid w:val="00863DEF"/>
    <w:rsid w:val="00863EB5"/>
    <w:rsid w:val="008647ED"/>
    <w:rsid w:val="00864A0F"/>
    <w:rsid w:val="00864A90"/>
    <w:rsid w:val="00864B11"/>
    <w:rsid w:val="00864BE4"/>
    <w:rsid w:val="00864C7A"/>
    <w:rsid w:val="00864E0A"/>
    <w:rsid w:val="00865044"/>
    <w:rsid w:val="00865167"/>
    <w:rsid w:val="0086525B"/>
    <w:rsid w:val="00865331"/>
    <w:rsid w:val="00865347"/>
    <w:rsid w:val="008653B2"/>
    <w:rsid w:val="0086541A"/>
    <w:rsid w:val="0086544B"/>
    <w:rsid w:val="00865992"/>
    <w:rsid w:val="00865AE3"/>
    <w:rsid w:val="00865B4D"/>
    <w:rsid w:val="00866075"/>
    <w:rsid w:val="00866178"/>
    <w:rsid w:val="0086631D"/>
    <w:rsid w:val="008664B7"/>
    <w:rsid w:val="0086668C"/>
    <w:rsid w:val="008666B3"/>
    <w:rsid w:val="0086671B"/>
    <w:rsid w:val="00866A60"/>
    <w:rsid w:val="00866C70"/>
    <w:rsid w:val="00866E58"/>
    <w:rsid w:val="00867100"/>
    <w:rsid w:val="0086724B"/>
    <w:rsid w:val="0086726A"/>
    <w:rsid w:val="008672E5"/>
    <w:rsid w:val="00867339"/>
    <w:rsid w:val="008673FC"/>
    <w:rsid w:val="0086761B"/>
    <w:rsid w:val="0086768C"/>
    <w:rsid w:val="00867767"/>
    <w:rsid w:val="00867897"/>
    <w:rsid w:val="00867999"/>
    <w:rsid w:val="008679FA"/>
    <w:rsid w:val="00867DB8"/>
    <w:rsid w:val="00867F28"/>
    <w:rsid w:val="0087014A"/>
    <w:rsid w:val="008701CD"/>
    <w:rsid w:val="00870638"/>
    <w:rsid w:val="008709DF"/>
    <w:rsid w:val="00870AC6"/>
    <w:rsid w:val="00870B01"/>
    <w:rsid w:val="00870C01"/>
    <w:rsid w:val="00870C1A"/>
    <w:rsid w:val="00870E3C"/>
    <w:rsid w:val="00870ED4"/>
    <w:rsid w:val="00871109"/>
    <w:rsid w:val="00871116"/>
    <w:rsid w:val="008711FB"/>
    <w:rsid w:val="008713F3"/>
    <w:rsid w:val="00871997"/>
    <w:rsid w:val="0087199A"/>
    <w:rsid w:val="00871B22"/>
    <w:rsid w:val="00871DFC"/>
    <w:rsid w:val="00871E5D"/>
    <w:rsid w:val="00871EBA"/>
    <w:rsid w:val="008722C9"/>
    <w:rsid w:val="00872311"/>
    <w:rsid w:val="00872400"/>
    <w:rsid w:val="0087240F"/>
    <w:rsid w:val="008724CA"/>
    <w:rsid w:val="008724E0"/>
    <w:rsid w:val="00872530"/>
    <w:rsid w:val="008725F3"/>
    <w:rsid w:val="00872757"/>
    <w:rsid w:val="00872765"/>
    <w:rsid w:val="008727C0"/>
    <w:rsid w:val="0087287E"/>
    <w:rsid w:val="00872C86"/>
    <w:rsid w:val="00872EE9"/>
    <w:rsid w:val="00873C74"/>
    <w:rsid w:val="008740D1"/>
    <w:rsid w:val="008746C0"/>
    <w:rsid w:val="00874743"/>
    <w:rsid w:val="00874924"/>
    <w:rsid w:val="00874B47"/>
    <w:rsid w:val="00875266"/>
    <w:rsid w:val="00875748"/>
    <w:rsid w:val="008757EB"/>
    <w:rsid w:val="008758F0"/>
    <w:rsid w:val="00875DEB"/>
    <w:rsid w:val="00876031"/>
    <w:rsid w:val="00876096"/>
    <w:rsid w:val="00876328"/>
    <w:rsid w:val="00876477"/>
    <w:rsid w:val="008764E0"/>
    <w:rsid w:val="008765F6"/>
    <w:rsid w:val="00876676"/>
    <w:rsid w:val="008768C5"/>
    <w:rsid w:val="00876C78"/>
    <w:rsid w:val="00876EAD"/>
    <w:rsid w:val="00876F08"/>
    <w:rsid w:val="00876F6C"/>
    <w:rsid w:val="00877226"/>
    <w:rsid w:val="0087736B"/>
    <w:rsid w:val="008774B8"/>
    <w:rsid w:val="00877852"/>
    <w:rsid w:val="0087797A"/>
    <w:rsid w:val="00877AC5"/>
    <w:rsid w:val="00877D47"/>
    <w:rsid w:val="00877D87"/>
    <w:rsid w:val="00877E99"/>
    <w:rsid w:val="00877FBC"/>
    <w:rsid w:val="008801D5"/>
    <w:rsid w:val="00880260"/>
    <w:rsid w:val="008802FC"/>
    <w:rsid w:val="00880AFA"/>
    <w:rsid w:val="00880C0E"/>
    <w:rsid w:val="00880CB4"/>
    <w:rsid w:val="00880E5D"/>
    <w:rsid w:val="00881048"/>
    <w:rsid w:val="0088110D"/>
    <w:rsid w:val="008811B8"/>
    <w:rsid w:val="0088127E"/>
    <w:rsid w:val="0088135C"/>
    <w:rsid w:val="0088138E"/>
    <w:rsid w:val="00881478"/>
    <w:rsid w:val="0088157F"/>
    <w:rsid w:val="008815C3"/>
    <w:rsid w:val="008815D9"/>
    <w:rsid w:val="008816B2"/>
    <w:rsid w:val="00881819"/>
    <w:rsid w:val="00881842"/>
    <w:rsid w:val="00881965"/>
    <w:rsid w:val="00881A48"/>
    <w:rsid w:val="00881CDE"/>
    <w:rsid w:val="00881E37"/>
    <w:rsid w:val="0088215C"/>
    <w:rsid w:val="00882484"/>
    <w:rsid w:val="00882556"/>
    <w:rsid w:val="0088255A"/>
    <w:rsid w:val="008825B3"/>
    <w:rsid w:val="008825F6"/>
    <w:rsid w:val="00882640"/>
    <w:rsid w:val="00882BA3"/>
    <w:rsid w:val="00882BF1"/>
    <w:rsid w:val="00882BF6"/>
    <w:rsid w:val="00882D65"/>
    <w:rsid w:val="00882FB3"/>
    <w:rsid w:val="0088328A"/>
    <w:rsid w:val="00883310"/>
    <w:rsid w:val="0088347B"/>
    <w:rsid w:val="00883511"/>
    <w:rsid w:val="008836CA"/>
    <w:rsid w:val="0088388F"/>
    <w:rsid w:val="00883B7F"/>
    <w:rsid w:val="00883DD1"/>
    <w:rsid w:val="00883FB4"/>
    <w:rsid w:val="00884106"/>
    <w:rsid w:val="008843CF"/>
    <w:rsid w:val="00884427"/>
    <w:rsid w:val="00884476"/>
    <w:rsid w:val="0088460B"/>
    <w:rsid w:val="008846D4"/>
    <w:rsid w:val="008846E7"/>
    <w:rsid w:val="00884810"/>
    <w:rsid w:val="0088484A"/>
    <w:rsid w:val="0088488C"/>
    <w:rsid w:val="00884A88"/>
    <w:rsid w:val="00884CA3"/>
    <w:rsid w:val="00884E8D"/>
    <w:rsid w:val="00885024"/>
    <w:rsid w:val="008850E5"/>
    <w:rsid w:val="008851A0"/>
    <w:rsid w:val="00885258"/>
    <w:rsid w:val="00885549"/>
    <w:rsid w:val="008855D2"/>
    <w:rsid w:val="008855FB"/>
    <w:rsid w:val="00885886"/>
    <w:rsid w:val="00885CD1"/>
    <w:rsid w:val="00885DD0"/>
    <w:rsid w:val="00885E18"/>
    <w:rsid w:val="00886072"/>
    <w:rsid w:val="008861C0"/>
    <w:rsid w:val="00886333"/>
    <w:rsid w:val="008863CE"/>
    <w:rsid w:val="00886487"/>
    <w:rsid w:val="008865B8"/>
    <w:rsid w:val="008866A4"/>
    <w:rsid w:val="0088674D"/>
    <w:rsid w:val="008867FE"/>
    <w:rsid w:val="00886986"/>
    <w:rsid w:val="008869B1"/>
    <w:rsid w:val="00886ACE"/>
    <w:rsid w:val="00886BD8"/>
    <w:rsid w:val="00886C63"/>
    <w:rsid w:val="00886DFB"/>
    <w:rsid w:val="00886F06"/>
    <w:rsid w:val="008872A2"/>
    <w:rsid w:val="008873A2"/>
    <w:rsid w:val="00887558"/>
    <w:rsid w:val="0088757C"/>
    <w:rsid w:val="00887670"/>
    <w:rsid w:val="008877B3"/>
    <w:rsid w:val="0088784B"/>
    <w:rsid w:val="008878EE"/>
    <w:rsid w:val="00887959"/>
    <w:rsid w:val="00887C4F"/>
    <w:rsid w:val="00887D1C"/>
    <w:rsid w:val="00887D64"/>
    <w:rsid w:val="00887E7C"/>
    <w:rsid w:val="00887FDB"/>
    <w:rsid w:val="008901CA"/>
    <w:rsid w:val="008901F6"/>
    <w:rsid w:val="00890853"/>
    <w:rsid w:val="008908F7"/>
    <w:rsid w:val="00890B7D"/>
    <w:rsid w:val="00890B80"/>
    <w:rsid w:val="00890EA4"/>
    <w:rsid w:val="0089118C"/>
    <w:rsid w:val="008913F6"/>
    <w:rsid w:val="00891421"/>
    <w:rsid w:val="00891514"/>
    <w:rsid w:val="008915DB"/>
    <w:rsid w:val="0089169E"/>
    <w:rsid w:val="00891916"/>
    <w:rsid w:val="008919F6"/>
    <w:rsid w:val="00891A8D"/>
    <w:rsid w:val="00891B48"/>
    <w:rsid w:val="00892093"/>
    <w:rsid w:val="00892147"/>
    <w:rsid w:val="008921C7"/>
    <w:rsid w:val="008922F3"/>
    <w:rsid w:val="008923C5"/>
    <w:rsid w:val="008923D0"/>
    <w:rsid w:val="00892513"/>
    <w:rsid w:val="008927BC"/>
    <w:rsid w:val="00892957"/>
    <w:rsid w:val="00892EC0"/>
    <w:rsid w:val="0089304B"/>
    <w:rsid w:val="008931AC"/>
    <w:rsid w:val="0089325B"/>
    <w:rsid w:val="008932D3"/>
    <w:rsid w:val="008933C4"/>
    <w:rsid w:val="008933D6"/>
    <w:rsid w:val="0089368C"/>
    <w:rsid w:val="0089368D"/>
    <w:rsid w:val="00893790"/>
    <w:rsid w:val="008938ED"/>
    <w:rsid w:val="00893979"/>
    <w:rsid w:val="00893BE6"/>
    <w:rsid w:val="00893C5D"/>
    <w:rsid w:val="00893EE9"/>
    <w:rsid w:val="008943CE"/>
    <w:rsid w:val="0089452C"/>
    <w:rsid w:val="0089458A"/>
    <w:rsid w:val="008945E8"/>
    <w:rsid w:val="008948EA"/>
    <w:rsid w:val="00894AE3"/>
    <w:rsid w:val="00894D97"/>
    <w:rsid w:val="00894F54"/>
    <w:rsid w:val="008950BB"/>
    <w:rsid w:val="008950FF"/>
    <w:rsid w:val="0089578F"/>
    <w:rsid w:val="00895811"/>
    <w:rsid w:val="008958E3"/>
    <w:rsid w:val="008959EA"/>
    <w:rsid w:val="00895B7E"/>
    <w:rsid w:val="00895B88"/>
    <w:rsid w:val="00895F91"/>
    <w:rsid w:val="00895FDC"/>
    <w:rsid w:val="008961A7"/>
    <w:rsid w:val="0089621C"/>
    <w:rsid w:val="00896226"/>
    <w:rsid w:val="00896303"/>
    <w:rsid w:val="00896470"/>
    <w:rsid w:val="00896637"/>
    <w:rsid w:val="008967F9"/>
    <w:rsid w:val="0089684D"/>
    <w:rsid w:val="00896964"/>
    <w:rsid w:val="00896A68"/>
    <w:rsid w:val="00896B1A"/>
    <w:rsid w:val="00896DD9"/>
    <w:rsid w:val="00896DF2"/>
    <w:rsid w:val="00896ED3"/>
    <w:rsid w:val="00897008"/>
    <w:rsid w:val="008971A3"/>
    <w:rsid w:val="008971D8"/>
    <w:rsid w:val="00897353"/>
    <w:rsid w:val="00897857"/>
    <w:rsid w:val="00897949"/>
    <w:rsid w:val="008979BC"/>
    <w:rsid w:val="00897AB5"/>
    <w:rsid w:val="00897CC6"/>
    <w:rsid w:val="00897DF0"/>
    <w:rsid w:val="00897E46"/>
    <w:rsid w:val="008A04DB"/>
    <w:rsid w:val="008A04F0"/>
    <w:rsid w:val="008A057D"/>
    <w:rsid w:val="008A0D37"/>
    <w:rsid w:val="008A0DA4"/>
    <w:rsid w:val="008A0EB3"/>
    <w:rsid w:val="008A1514"/>
    <w:rsid w:val="008A15AF"/>
    <w:rsid w:val="008A1729"/>
    <w:rsid w:val="008A17B1"/>
    <w:rsid w:val="008A17BF"/>
    <w:rsid w:val="008A1A80"/>
    <w:rsid w:val="008A1B13"/>
    <w:rsid w:val="008A1E11"/>
    <w:rsid w:val="008A2073"/>
    <w:rsid w:val="008A237C"/>
    <w:rsid w:val="008A2580"/>
    <w:rsid w:val="008A26CC"/>
    <w:rsid w:val="008A2A37"/>
    <w:rsid w:val="008A2C09"/>
    <w:rsid w:val="008A2D3C"/>
    <w:rsid w:val="008A3209"/>
    <w:rsid w:val="008A33D9"/>
    <w:rsid w:val="008A33F4"/>
    <w:rsid w:val="008A3455"/>
    <w:rsid w:val="008A348B"/>
    <w:rsid w:val="008A3524"/>
    <w:rsid w:val="008A39ED"/>
    <w:rsid w:val="008A3B27"/>
    <w:rsid w:val="008A3EF3"/>
    <w:rsid w:val="008A3FBF"/>
    <w:rsid w:val="008A4091"/>
    <w:rsid w:val="008A46F5"/>
    <w:rsid w:val="008A47B4"/>
    <w:rsid w:val="008A48C7"/>
    <w:rsid w:val="008A4C7D"/>
    <w:rsid w:val="008A4E71"/>
    <w:rsid w:val="008A4EBC"/>
    <w:rsid w:val="008A4F3D"/>
    <w:rsid w:val="008A514A"/>
    <w:rsid w:val="008A5289"/>
    <w:rsid w:val="008A552E"/>
    <w:rsid w:val="008A56BC"/>
    <w:rsid w:val="008A56E0"/>
    <w:rsid w:val="008A57DE"/>
    <w:rsid w:val="008A5936"/>
    <w:rsid w:val="008A59BB"/>
    <w:rsid w:val="008A5A7D"/>
    <w:rsid w:val="008A5E17"/>
    <w:rsid w:val="008A5F0F"/>
    <w:rsid w:val="008A6439"/>
    <w:rsid w:val="008A6824"/>
    <w:rsid w:val="008A6831"/>
    <w:rsid w:val="008A69D7"/>
    <w:rsid w:val="008A69E9"/>
    <w:rsid w:val="008A6AC0"/>
    <w:rsid w:val="008A6B7D"/>
    <w:rsid w:val="008A6BED"/>
    <w:rsid w:val="008A6C14"/>
    <w:rsid w:val="008A6C7F"/>
    <w:rsid w:val="008A6D5E"/>
    <w:rsid w:val="008A6DB0"/>
    <w:rsid w:val="008A6DCE"/>
    <w:rsid w:val="008A6E6D"/>
    <w:rsid w:val="008A6EBC"/>
    <w:rsid w:val="008A6F13"/>
    <w:rsid w:val="008A7145"/>
    <w:rsid w:val="008A7320"/>
    <w:rsid w:val="008A7330"/>
    <w:rsid w:val="008A7385"/>
    <w:rsid w:val="008A744B"/>
    <w:rsid w:val="008A7535"/>
    <w:rsid w:val="008A765D"/>
    <w:rsid w:val="008A795B"/>
    <w:rsid w:val="008A79BC"/>
    <w:rsid w:val="008A7E98"/>
    <w:rsid w:val="008A7EA7"/>
    <w:rsid w:val="008B00A2"/>
    <w:rsid w:val="008B02F9"/>
    <w:rsid w:val="008B0352"/>
    <w:rsid w:val="008B0356"/>
    <w:rsid w:val="008B037A"/>
    <w:rsid w:val="008B038D"/>
    <w:rsid w:val="008B0679"/>
    <w:rsid w:val="008B0753"/>
    <w:rsid w:val="008B0933"/>
    <w:rsid w:val="008B09AC"/>
    <w:rsid w:val="008B0B99"/>
    <w:rsid w:val="008B0BCB"/>
    <w:rsid w:val="008B0E96"/>
    <w:rsid w:val="008B1002"/>
    <w:rsid w:val="008B1020"/>
    <w:rsid w:val="008B13DA"/>
    <w:rsid w:val="008B13ED"/>
    <w:rsid w:val="008B1427"/>
    <w:rsid w:val="008B1547"/>
    <w:rsid w:val="008B1686"/>
    <w:rsid w:val="008B1ABC"/>
    <w:rsid w:val="008B1AED"/>
    <w:rsid w:val="008B21ED"/>
    <w:rsid w:val="008B26D5"/>
    <w:rsid w:val="008B27CD"/>
    <w:rsid w:val="008B2854"/>
    <w:rsid w:val="008B28BC"/>
    <w:rsid w:val="008B296E"/>
    <w:rsid w:val="008B2D8F"/>
    <w:rsid w:val="008B2D97"/>
    <w:rsid w:val="008B2FF0"/>
    <w:rsid w:val="008B2FF9"/>
    <w:rsid w:val="008B345D"/>
    <w:rsid w:val="008B371B"/>
    <w:rsid w:val="008B3810"/>
    <w:rsid w:val="008B38E0"/>
    <w:rsid w:val="008B39A1"/>
    <w:rsid w:val="008B39CE"/>
    <w:rsid w:val="008B3A18"/>
    <w:rsid w:val="008B3CA3"/>
    <w:rsid w:val="008B3F31"/>
    <w:rsid w:val="008B3F97"/>
    <w:rsid w:val="008B4022"/>
    <w:rsid w:val="008B4052"/>
    <w:rsid w:val="008B4088"/>
    <w:rsid w:val="008B42A8"/>
    <w:rsid w:val="008B4889"/>
    <w:rsid w:val="008B497E"/>
    <w:rsid w:val="008B4ABD"/>
    <w:rsid w:val="008B4E0B"/>
    <w:rsid w:val="008B4F10"/>
    <w:rsid w:val="008B4F7A"/>
    <w:rsid w:val="008B4FC7"/>
    <w:rsid w:val="008B502C"/>
    <w:rsid w:val="008B5342"/>
    <w:rsid w:val="008B5519"/>
    <w:rsid w:val="008B56DC"/>
    <w:rsid w:val="008B575A"/>
    <w:rsid w:val="008B58E4"/>
    <w:rsid w:val="008B59DC"/>
    <w:rsid w:val="008B59DF"/>
    <w:rsid w:val="008B59ED"/>
    <w:rsid w:val="008B5A1E"/>
    <w:rsid w:val="008B5AA7"/>
    <w:rsid w:val="008B5B2A"/>
    <w:rsid w:val="008B5D8E"/>
    <w:rsid w:val="008B5DEA"/>
    <w:rsid w:val="008B62F8"/>
    <w:rsid w:val="008B6356"/>
    <w:rsid w:val="008B6626"/>
    <w:rsid w:val="008B6687"/>
    <w:rsid w:val="008B66C6"/>
    <w:rsid w:val="008B6721"/>
    <w:rsid w:val="008B6835"/>
    <w:rsid w:val="008B69A2"/>
    <w:rsid w:val="008B69FA"/>
    <w:rsid w:val="008B6A40"/>
    <w:rsid w:val="008B6A71"/>
    <w:rsid w:val="008B6AB8"/>
    <w:rsid w:val="008B6D59"/>
    <w:rsid w:val="008B6E04"/>
    <w:rsid w:val="008B7185"/>
    <w:rsid w:val="008B7211"/>
    <w:rsid w:val="008B74E2"/>
    <w:rsid w:val="008B7550"/>
    <w:rsid w:val="008B7568"/>
    <w:rsid w:val="008B7592"/>
    <w:rsid w:val="008B7648"/>
    <w:rsid w:val="008B7662"/>
    <w:rsid w:val="008B77DE"/>
    <w:rsid w:val="008B79DB"/>
    <w:rsid w:val="008B7F9D"/>
    <w:rsid w:val="008C021E"/>
    <w:rsid w:val="008C029F"/>
    <w:rsid w:val="008C0315"/>
    <w:rsid w:val="008C0482"/>
    <w:rsid w:val="008C04B0"/>
    <w:rsid w:val="008C0711"/>
    <w:rsid w:val="008C08A7"/>
    <w:rsid w:val="008C08C0"/>
    <w:rsid w:val="008C0979"/>
    <w:rsid w:val="008C0B4F"/>
    <w:rsid w:val="008C1293"/>
    <w:rsid w:val="008C161C"/>
    <w:rsid w:val="008C1921"/>
    <w:rsid w:val="008C1963"/>
    <w:rsid w:val="008C1BD2"/>
    <w:rsid w:val="008C1BE8"/>
    <w:rsid w:val="008C1C7C"/>
    <w:rsid w:val="008C2410"/>
    <w:rsid w:val="008C2686"/>
    <w:rsid w:val="008C271F"/>
    <w:rsid w:val="008C2738"/>
    <w:rsid w:val="008C27CB"/>
    <w:rsid w:val="008C281E"/>
    <w:rsid w:val="008C2A4E"/>
    <w:rsid w:val="008C2DC9"/>
    <w:rsid w:val="008C302A"/>
    <w:rsid w:val="008C31BC"/>
    <w:rsid w:val="008C3490"/>
    <w:rsid w:val="008C3543"/>
    <w:rsid w:val="008C356B"/>
    <w:rsid w:val="008C35B6"/>
    <w:rsid w:val="008C35DA"/>
    <w:rsid w:val="008C371F"/>
    <w:rsid w:val="008C389D"/>
    <w:rsid w:val="008C3A6F"/>
    <w:rsid w:val="008C3ADF"/>
    <w:rsid w:val="008C3DEC"/>
    <w:rsid w:val="008C3F2A"/>
    <w:rsid w:val="008C3F51"/>
    <w:rsid w:val="008C3FC6"/>
    <w:rsid w:val="008C4728"/>
    <w:rsid w:val="008C4884"/>
    <w:rsid w:val="008C4972"/>
    <w:rsid w:val="008C499A"/>
    <w:rsid w:val="008C4A8C"/>
    <w:rsid w:val="008C4E5B"/>
    <w:rsid w:val="008C4E98"/>
    <w:rsid w:val="008C4FF3"/>
    <w:rsid w:val="008C5000"/>
    <w:rsid w:val="008C500D"/>
    <w:rsid w:val="008C534C"/>
    <w:rsid w:val="008C53BC"/>
    <w:rsid w:val="008C53FE"/>
    <w:rsid w:val="008C5417"/>
    <w:rsid w:val="008C5742"/>
    <w:rsid w:val="008C59A0"/>
    <w:rsid w:val="008C5CA8"/>
    <w:rsid w:val="008C5E08"/>
    <w:rsid w:val="008C5F84"/>
    <w:rsid w:val="008C5FB5"/>
    <w:rsid w:val="008C613A"/>
    <w:rsid w:val="008C62EA"/>
    <w:rsid w:val="008C6432"/>
    <w:rsid w:val="008C64DA"/>
    <w:rsid w:val="008C6714"/>
    <w:rsid w:val="008C673F"/>
    <w:rsid w:val="008C6A3C"/>
    <w:rsid w:val="008C6C4D"/>
    <w:rsid w:val="008C6C87"/>
    <w:rsid w:val="008C6DEA"/>
    <w:rsid w:val="008C6F01"/>
    <w:rsid w:val="008C6FCD"/>
    <w:rsid w:val="008C7212"/>
    <w:rsid w:val="008C73D0"/>
    <w:rsid w:val="008C74D5"/>
    <w:rsid w:val="008C753E"/>
    <w:rsid w:val="008C77E8"/>
    <w:rsid w:val="008C7A1A"/>
    <w:rsid w:val="008C7AC6"/>
    <w:rsid w:val="008C7C1B"/>
    <w:rsid w:val="008C7D09"/>
    <w:rsid w:val="008C7D42"/>
    <w:rsid w:val="008C7DBF"/>
    <w:rsid w:val="008D038F"/>
    <w:rsid w:val="008D067A"/>
    <w:rsid w:val="008D069B"/>
    <w:rsid w:val="008D0948"/>
    <w:rsid w:val="008D0E4C"/>
    <w:rsid w:val="008D0EA8"/>
    <w:rsid w:val="008D0FA2"/>
    <w:rsid w:val="008D110C"/>
    <w:rsid w:val="008D124B"/>
    <w:rsid w:val="008D1519"/>
    <w:rsid w:val="008D1638"/>
    <w:rsid w:val="008D1658"/>
    <w:rsid w:val="008D1844"/>
    <w:rsid w:val="008D1B8F"/>
    <w:rsid w:val="008D1C69"/>
    <w:rsid w:val="008D2307"/>
    <w:rsid w:val="008D24A3"/>
    <w:rsid w:val="008D25CC"/>
    <w:rsid w:val="008D2721"/>
    <w:rsid w:val="008D2758"/>
    <w:rsid w:val="008D2763"/>
    <w:rsid w:val="008D2832"/>
    <w:rsid w:val="008D283F"/>
    <w:rsid w:val="008D2AA1"/>
    <w:rsid w:val="008D2BC8"/>
    <w:rsid w:val="008D2CB8"/>
    <w:rsid w:val="008D2E76"/>
    <w:rsid w:val="008D2E8B"/>
    <w:rsid w:val="008D2F63"/>
    <w:rsid w:val="008D30A0"/>
    <w:rsid w:val="008D31FD"/>
    <w:rsid w:val="008D32F3"/>
    <w:rsid w:val="008D33E0"/>
    <w:rsid w:val="008D34D1"/>
    <w:rsid w:val="008D34D4"/>
    <w:rsid w:val="008D358D"/>
    <w:rsid w:val="008D3C17"/>
    <w:rsid w:val="008D3F25"/>
    <w:rsid w:val="008D3F80"/>
    <w:rsid w:val="008D403D"/>
    <w:rsid w:val="008D4063"/>
    <w:rsid w:val="008D4160"/>
    <w:rsid w:val="008D419C"/>
    <w:rsid w:val="008D41AE"/>
    <w:rsid w:val="008D4359"/>
    <w:rsid w:val="008D43F8"/>
    <w:rsid w:val="008D451A"/>
    <w:rsid w:val="008D481B"/>
    <w:rsid w:val="008D4E8C"/>
    <w:rsid w:val="008D5150"/>
    <w:rsid w:val="008D5289"/>
    <w:rsid w:val="008D58B1"/>
    <w:rsid w:val="008D5928"/>
    <w:rsid w:val="008D592C"/>
    <w:rsid w:val="008D5B5F"/>
    <w:rsid w:val="008D5CFC"/>
    <w:rsid w:val="008D5DF4"/>
    <w:rsid w:val="008D5EEF"/>
    <w:rsid w:val="008D5F92"/>
    <w:rsid w:val="008D632E"/>
    <w:rsid w:val="008D647B"/>
    <w:rsid w:val="008D647F"/>
    <w:rsid w:val="008D6825"/>
    <w:rsid w:val="008D687E"/>
    <w:rsid w:val="008D6B40"/>
    <w:rsid w:val="008D6C89"/>
    <w:rsid w:val="008D6D1D"/>
    <w:rsid w:val="008D6DDF"/>
    <w:rsid w:val="008D7153"/>
    <w:rsid w:val="008D71D5"/>
    <w:rsid w:val="008D72A1"/>
    <w:rsid w:val="008D750B"/>
    <w:rsid w:val="008D7679"/>
    <w:rsid w:val="008D7741"/>
    <w:rsid w:val="008D78B7"/>
    <w:rsid w:val="008D7A32"/>
    <w:rsid w:val="008D7CF7"/>
    <w:rsid w:val="008D7D15"/>
    <w:rsid w:val="008E0150"/>
    <w:rsid w:val="008E024C"/>
    <w:rsid w:val="008E02D3"/>
    <w:rsid w:val="008E036C"/>
    <w:rsid w:val="008E03C5"/>
    <w:rsid w:val="008E0601"/>
    <w:rsid w:val="008E065B"/>
    <w:rsid w:val="008E0705"/>
    <w:rsid w:val="008E0722"/>
    <w:rsid w:val="008E0CC4"/>
    <w:rsid w:val="008E0CEA"/>
    <w:rsid w:val="008E0DB7"/>
    <w:rsid w:val="008E14E3"/>
    <w:rsid w:val="008E15E9"/>
    <w:rsid w:val="008E1845"/>
    <w:rsid w:val="008E18E4"/>
    <w:rsid w:val="008E1957"/>
    <w:rsid w:val="008E1C66"/>
    <w:rsid w:val="008E1CC5"/>
    <w:rsid w:val="008E1DEB"/>
    <w:rsid w:val="008E1E18"/>
    <w:rsid w:val="008E1FFA"/>
    <w:rsid w:val="008E2025"/>
    <w:rsid w:val="008E2032"/>
    <w:rsid w:val="008E206E"/>
    <w:rsid w:val="008E213C"/>
    <w:rsid w:val="008E21E8"/>
    <w:rsid w:val="008E24C4"/>
    <w:rsid w:val="008E24C8"/>
    <w:rsid w:val="008E279E"/>
    <w:rsid w:val="008E2ABB"/>
    <w:rsid w:val="008E2C78"/>
    <w:rsid w:val="008E2D6D"/>
    <w:rsid w:val="008E2FD8"/>
    <w:rsid w:val="008E3134"/>
    <w:rsid w:val="008E33AB"/>
    <w:rsid w:val="008E3472"/>
    <w:rsid w:val="008E34BF"/>
    <w:rsid w:val="008E34D9"/>
    <w:rsid w:val="008E35DC"/>
    <w:rsid w:val="008E36D8"/>
    <w:rsid w:val="008E3B84"/>
    <w:rsid w:val="008E3C5B"/>
    <w:rsid w:val="008E3CD7"/>
    <w:rsid w:val="008E401F"/>
    <w:rsid w:val="008E416A"/>
    <w:rsid w:val="008E41C7"/>
    <w:rsid w:val="008E41D8"/>
    <w:rsid w:val="008E441C"/>
    <w:rsid w:val="008E4425"/>
    <w:rsid w:val="008E449E"/>
    <w:rsid w:val="008E44AB"/>
    <w:rsid w:val="008E47CF"/>
    <w:rsid w:val="008E48AD"/>
    <w:rsid w:val="008E48F3"/>
    <w:rsid w:val="008E4933"/>
    <w:rsid w:val="008E49D1"/>
    <w:rsid w:val="008E4A0B"/>
    <w:rsid w:val="008E4B6B"/>
    <w:rsid w:val="008E4BB0"/>
    <w:rsid w:val="008E4C5D"/>
    <w:rsid w:val="008E4C62"/>
    <w:rsid w:val="008E4EB0"/>
    <w:rsid w:val="008E5075"/>
    <w:rsid w:val="008E571B"/>
    <w:rsid w:val="008E59C4"/>
    <w:rsid w:val="008E5B28"/>
    <w:rsid w:val="008E5D91"/>
    <w:rsid w:val="008E5DC6"/>
    <w:rsid w:val="008E5DEA"/>
    <w:rsid w:val="008E63CF"/>
    <w:rsid w:val="008E6541"/>
    <w:rsid w:val="008E6D13"/>
    <w:rsid w:val="008E6E18"/>
    <w:rsid w:val="008E6E9D"/>
    <w:rsid w:val="008E6EF9"/>
    <w:rsid w:val="008E7004"/>
    <w:rsid w:val="008E70E6"/>
    <w:rsid w:val="008E7129"/>
    <w:rsid w:val="008E731E"/>
    <w:rsid w:val="008E758E"/>
    <w:rsid w:val="008E762D"/>
    <w:rsid w:val="008E763A"/>
    <w:rsid w:val="008E77DA"/>
    <w:rsid w:val="008E7A5B"/>
    <w:rsid w:val="008E7A7C"/>
    <w:rsid w:val="008E7F51"/>
    <w:rsid w:val="008F0069"/>
    <w:rsid w:val="008F01BB"/>
    <w:rsid w:val="008F0383"/>
    <w:rsid w:val="008F04F6"/>
    <w:rsid w:val="008F05B6"/>
    <w:rsid w:val="008F07D2"/>
    <w:rsid w:val="008F099D"/>
    <w:rsid w:val="008F0BAA"/>
    <w:rsid w:val="008F0E35"/>
    <w:rsid w:val="008F1123"/>
    <w:rsid w:val="008F1189"/>
    <w:rsid w:val="008F140D"/>
    <w:rsid w:val="008F15E8"/>
    <w:rsid w:val="008F1710"/>
    <w:rsid w:val="008F1B32"/>
    <w:rsid w:val="008F1B43"/>
    <w:rsid w:val="008F1BDD"/>
    <w:rsid w:val="008F1DD6"/>
    <w:rsid w:val="008F205A"/>
    <w:rsid w:val="008F20C1"/>
    <w:rsid w:val="008F223F"/>
    <w:rsid w:val="008F2316"/>
    <w:rsid w:val="008F2340"/>
    <w:rsid w:val="008F2623"/>
    <w:rsid w:val="008F262F"/>
    <w:rsid w:val="008F26A1"/>
    <w:rsid w:val="008F26D1"/>
    <w:rsid w:val="008F2A98"/>
    <w:rsid w:val="008F2A9B"/>
    <w:rsid w:val="008F2AA9"/>
    <w:rsid w:val="008F2CEE"/>
    <w:rsid w:val="008F2F16"/>
    <w:rsid w:val="008F2F2E"/>
    <w:rsid w:val="008F3234"/>
    <w:rsid w:val="008F3317"/>
    <w:rsid w:val="008F33F9"/>
    <w:rsid w:val="008F34E7"/>
    <w:rsid w:val="008F384C"/>
    <w:rsid w:val="008F38FD"/>
    <w:rsid w:val="008F3968"/>
    <w:rsid w:val="008F3B5C"/>
    <w:rsid w:val="008F3C74"/>
    <w:rsid w:val="008F3C8F"/>
    <w:rsid w:val="008F3E37"/>
    <w:rsid w:val="008F3EE4"/>
    <w:rsid w:val="008F3FFD"/>
    <w:rsid w:val="008F40E6"/>
    <w:rsid w:val="008F42CC"/>
    <w:rsid w:val="008F434B"/>
    <w:rsid w:val="008F43EC"/>
    <w:rsid w:val="008F44C8"/>
    <w:rsid w:val="008F4615"/>
    <w:rsid w:val="008F47A2"/>
    <w:rsid w:val="008F4893"/>
    <w:rsid w:val="008F4A6E"/>
    <w:rsid w:val="008F4CBD"/>
    <w:rsid w:val="008F4DAC"/>
    <w:rsid w:val="008F4E00"/>
    <w:rsid w:val="008F4F59"/>
    <w:rsid w:val="008F50FF"/>
    <w:rsid w:val="008F522A"/>
    <w:rsid w:val="008F55CB"/>
    <w:rsid w:val="008F56A9"/>
    <w:rsid w:val="008F578F"/>
    <w:rsid w:val="008F57AA"/>
    <w:rsid w:val="008F5875"/>
    <w:rsid w:val="008F593B"/>
    <w:rsid w:val="008F5A85"/>
    <w:rsid w:val="008F5BC6"/>
    <w:rsid w:val="008F5C07"/>
    <w:rsid w:val="008F5CDD"/>
    <w:rsid w:val="008F5F93"/>
    <w:rsid w:val="008F5FD5"/>
    <w:rsid w:val="008F603D"/>
    <w:rsid w:val="008F613C"/>
    <w:rsid w:val="008F631C"/>
    <w:rsid w:val="008F6660"/>
    <w:rsid w:val="008F67D6"/>
    <w:rsid w:val="008F681B"/>
    <w:rsid w:val="008F68A2"/>
    <w:rsid w:val="008F6C6C"/>
    <w:rsid w:val="008F6DA8"/>
    <w:rsid w:val="008F6DF2"/>
    <w:rsid w:val="008F6F7E"/>
    <w:rsid w:val="008F6FB0"/>
    <w:rsid w:val="008F70E8"/>
    <w:rsid w:val="008F72C5"/>
    <w:rsid w:val="008F737E"/>
    <w:rsid w:val="008F75E0"/>
    <w:rsid w:val="008F761F"/>
    <w:rsid w:val="008F7DF7"/>
    <w:rsid w:val="0090011E"/>
    <w:rsid w:val="009006AB"/>
    <w:rsid w:val="009007BC"/>
    <w:rsid w:val="00900811"/>
    <w:rsid w:val="0090088E"/>
    <w:rsid w:val="00900AD1"/>
    <w:rsid w:val="00900BE9"/>
    <w:rsid w:val="00900BF7"/>
    <w:rsid w:val="00900C4A"/>
    <w:rsid w:val="00901048"/>
    <w:rsid w:val="00901085"/>
    <w:rsid w:val="009011E0"/>
    <w:rsid w:val="0090123B"/>
    <w:rsid w:val="0090129D"/>
    <w:rsid w:val="00901445"/>
    <w:rsid w:val="00901B6F"/>
    <w:rsid w:val="00901F32"/>
    <w:rsid w:val="0090232A"/>
    <w:rsid w:val="009023D7"/>
    <w:rsid w:val="009025C5"/>
    <w:rsid w:val="009025D5"/>
    <w:rsid w:val="009027B8"/>
    <w:rsid w:val="009027E8"/>
    <w:rsid w:val="00902914"/>
    <w:rsid w:val="00902B57"/>
    <w:rsid w:val="00902BFD"/>
    <w:rsid w:val="00902CD6"/>
    <w:rsid w:val="00902ED9"/>
    <w:rsid w:val="00902F58"/>
    <w:rsid w:val="0090307F"/>
    <w:rsid w:val="009032A7"/>
    <w:rsid w:val="0090334C"/>
    <w:rsid w:val="00903787"/>
    <w:rsid w:val="00903A1F"/>
    <w:rsid w:val="00903BDF"/>
    <w:rsid w:val="00903CBC"/>
    <w:rsid w:val="00903FAD"/>
    <w:rsid w:val="00903FB8"/>
    <w:rsid w:val="00903FED"/>
    <w:rsid w:val="00904135"/>
    <w:rsid w:val="009041B6"/>
    <w:rsid w:val="0090429E"/>
    <w:rsid w:val="009042EA"/>
    <w:rsid w:val="0090444A"/>
    <w:rsid w:val="00904696"/>
    <w:rsid w:val="009046BE"/>
    <w:rsid w:val="00904747"/>
    <w:rsid w:val="00904AF9"/>
    <w:rsid w:val="00904C35"/>
    <w:rsid w:val="00904CEC"/>
    <w:rsid w:val="00904F74"/>
    <w:rsid w:val="0090501C"/>
    <w:rsid w:val="009051DD"/>
    <w:rsid w:val="0090521C"/>
    <w:rsid w:val="0090523B"/>
    <w:rsid w:val="0090537E"/>
    <w:rsid w:val="009053E8"/>
    <w:rsid w:val="00905489"/>
    <w:rsid w:val="00905501"/>
    <w:rsid w:val="0090552E"/>
    <w:rsid w:val="009056F6"/>
    <w:rsid w:val="0090583E"/>
    <w:rsid w:val="009059B9"/>
    <w:rsid w:val="00905B07"/>
    <w:rsid w:val="00905B37"/>
    <w:rsid w:val="00905BA1"/>
    <w:rsid w:val="00905C39"/>
    <w:rsid w:val="00905DC0"/>
    <w:rsid w:val="00905E08"/>
    <w:rsid w:val="00905E0C"/>
    <w:rsid w:val="00906361"/>
    <w:rsid w:val="009067E8"/>
    <w:rsid w:val="009068A1"/>
    <w:rsid w:val="00906AF2"/>
    <w:rsid w:val="00906FB6"/>
    <w:rsid w:val="00906FF7"/>
    <w:rsid w:val="009071CB"/>
    <w:rsid w:val="009074E4"/>
    <w:rsid w:val="00907687"/>
    <w:rsid w:val="00907820"/>
    <w:rsid w:val="00907A18"/>
    <w:rsid w:val="00907EB0"/>
    <w:rsid w:val="009100B5"/>
    <w:rsid w:val="00910367"/>
    <w:rsid w:val="00910623"/>
    <w:rsid w:val="009107BE"/>
    <w:rsid w:val="00910C0E"/>
    <w:rsid w:val="00910C53"/>
    <w:rsid w:val="00910D80"/>
    <w:rsid w:val="00910DE6"/>
    <w:rsid w:val="0091118F"/>
    <w:rsid w:val="00911312"/>
    <w:rsid w:val="009114FB"/>
    <w:rsid w:val="009117F7"/>
    <w:rsid w:val="009118DC"/>
    <w:rsid w:val="009119B5"/>
    <w:rsid w:val="00911BC3"/>
    <w:rsid w:val="00911CC4"/>
    <w:rsid w:val="009122DD"/>
    <w:rsid w:val="0091241E"/>
    <w:rsid w:val="009124AA"/>
    <w:rsid w:val="009125C9"/>
    <w:rsid w:val="00912869"/>
    <w:rsid w:val="00912992"/>
    <w:rsid w:val="009129A4"/>
    <w:rsid w:val="00912B20"/>
    <w:rsid w:val="00912B3D"/>
    <w:rsid w:val="00912B63"/>
    <w:rsid w:val="00912CDF"/>
    <w:rsid w:val="00912D84"/>
    <w:rsid w:val="00912ED5"/>
    <w:rsid w:val="00913094"/>
    <w:rsid w:val="00913183"/>
    <w:rsid w:val="009138AA"/>
    <w:rsid w:val="009138F0"/>
    <w:rsid w:val="00913962"/>
    <w:rsid w:val="00913B8C"/>
    <w:rsid w:val="00913DD1"/>
    <w:rsid w:val="00914195"/>
    <w:rsid w:val="0091424C"/>
    <w:rsid w:val="00914337"/>
    <w:rsid w:val="009146CE"/>
    <w:rsid w:val="00914CAE"/>
    <w:rsid w:val="00914E53"/>
    <w:rsid w:val="00915259"/>
    <w:rsid w:val="00915363"/>
    <w:rsid w:val="009157BF"/>
    <w:rsid w:val="00915835"/>
    <w:rsid w:val="009158E2"/>
    <w:rsid w:val="0091592E"/>
    <w:rsid w:val="00915972"/>
    <w:rsid w:val="00915984"/>
    <w:rsid w:val="009159C9"/>
    <w:rsid w:val="009159FB"/>
    <w:rsid w:val="00915B71"/>
    <w:rsid w:val="00916306"/>
    <w:rsid w:val="0091633C"/>
    <w:rsid w:val="009164AA"/>
    <w:rsid w:val="00916527"/>
    <w:rsid w:val="0091658D"/>
    <w:rsid w:val="009169FE"/>
    <w:rsid w:val="00916A8C"/>
    <w:rsid w:val="00916AA2"/>
    <w:rsid w:val="00916AAD"/>
    <w:rsid w:val="00916D9D"/>
    <w:rsid w:val="00916E71"/>
    <w:rsid w:val="00916ECC"/>
    <w:rsid w:val="00916EE9"/>
    <w:rsid w:val="00916EF7"/>
    <w:rsid w:val="00917135"/>
    <w:rsid w:val="0091748A"/>
    <w:rsid w:val="009179FD"/>
    <w:rsid w:val="00917A02"/>
    <w:rsid w:val="00917D92"/>
    <w:rsid w:val="00920423"/>
    <w:rsid w:val="00920878"/>
    <w:rsid w:val="00920ACF"/>
    <w:rsid w:val="00920B14"/>
    <w:rsid w:val="00920B21"/>
    <w:rsid w:val="00920C87"/>
    <w:rsid w:val="00920C97"/>
    <w:rsid w:val="00920D54"/>
    <w:rsid w:val="00920DA5"/>
    <w:rsid w:val="00920DA8"/>
    <w:rsid w:val="00920E9E"/>
    <w:rsid w:val="00920EE4"/>
    <w:rsid w:val="00920FAF"/>
    <w:rsid w:val="00921334"/>
    <w:rsid w:val="00921376"/>
    <w:rsid w:val="0092154B"/>
    <w:rsid w:val="009215B8"/>
    <w:rsid w:val="009215F2"/>
    <w:rsid w:val="00921898"/>
    <w:rsid w:val="00921B0C"/>
    <w:rsid w:val="00921B35"/>
    <w:rsid w:val="00921EC5"/>
    <w:rsid w:val="009225B8"/>
    <w:rsid w:val="009226DB"/>
    <w:rsid w:val="009226E1"/>
    <w:rsid w:val="00922867"/>
    <w:rsid w:val="0092289A"/>
    <w:rsid w:val="00922A66"/>
    <w:rsid w:val="00922B55"/>
    <w:rsid w:val="00922B78"/>
    <w:rsid w:val="00922D63"/>
    <w:rsid w:val="00922DF9"/>
    <w:rsid w:val="00922F97"/>
    <w:rsid w:val="00922FCD"/>
    <w:rsid w:val="009230AA"/>
    <w:rsid w:val="009230EE"/>
    <w:rsid w:val="009234B2"/>
    <w:rsid w:val="0092367D"/>
    <w:rsid w:val="00923747"/>
    <w:rsid w:val="00923757"/>
    <w:rsid w:val="00923860"/>
    <w:rsid w:val="009238E9"/>
    <w:rsid w:val="00923978"/>
    <w:rsid w:val="00923A12"/>
    <w:rsid w:val="00923A4E"/>
    <w:rsid w:val="00923A5B"/>
    <w:rsid w:val="00923F2D"/>
    <w:rsid w:val="00923FB3"/>
    <w:rsid w:val="0092409D"/>
    <w:rsid w:val="009240BB"/>
    <w:rsid w:val="0092454B"/>
    <w:rsid w:val="00924664"/>
    <w:rsid w:val="00924931"/>
    <w:rsid w:val="0092498F"/>
    <w:rsid w:val="00924C37"/>
    <w:rsid w:val="00924C82"/>
    <w:rsid w:val="00924CB1"/>
    <w:rsid w:val="00924CFA"/>
    <w:rsid w:val="00924D75"/>
    <w:rsid w:val="00924DD4"/>
    <w:rsid w:val="009250E9"/>
    <w:rsid w:val="00925107"/>
    <w:rsid w:val="00925436"/>
    <w:rsid w:val="0092545D"/>
    <w:rsid w:val="00925546"/>
    <w:rsid w:val="00925758"/>
    <w:rsid w:val="009259E8"/>
    <w:rsid w:val="00925A7E"/>
    <w:rsid w:val="00925C24"/>
    <w:rsid w:val="00925D8B"/>
    <w:rsid w:val="00925E76"/>
    <w:rsid w:val="00925EDE"/>
    <w:rsid w:val="00926047"/>
    <w:rsid w:val="00926390"/>
    <w:rsid w:val="00926435"/>
    <w:rsid w:val="0092653C"/>
    <w:rsid w:val="009265D0"/>
    <w:rsid w:val="00926726"/>
    <w:rsid w:val="00926A43"/>
    <w:rsid w:val="00926B43"/>
    <w:rsid w:val="00926D3F"/>
    <w:rsid w:val="00926DD1"/>
    <w:rsid w:val="00926EF9"/>
    <w:rsid w:val="00926F0F"/>
    <w:rsid w:val="00927077"/>
    <w:rsid w:val="0092724A"/>
    <w:rsid w:val="009272C2"/>
    <w:rsid w:val="00927340"/>
    <w:rsid w:val="00927354"/>
    <w:rsid w:val="00927628"/>
    <w:rsid w:val="00927716"/>
    <w:rsid w:val="0092777C"/>
    <w:rsid w:val="0092783F"/>
    <w:rsid w:val="00927A23"/>
    <w:rsid w:val="00927C16"/>
    <w:rsid w:val="00927CD0"/>
    <w:rsid w:val="00927FB8"/>
    <w:rsid w:val="00930147"/>
    <w:rsid w:val="00930261"/>
    <w:rsid w:val="00930280"/>
    <w:rsid w:val="00930421"/>
    <w:rsid w:val="00930604"/>
    <w:rsid w:val="0093074A"/>
    <w:rsid w:val="00930756"/>
    <w:rsid w:val="009307EE"/>
    <w:rsid w:val="00930867"/>
    <w:rsid w:val="00930ADD"/>
    <w:rsid w:val="00930BE1"/>
    <w:rsid w:val="00930E1F"/>
    <w:rsid w:val="0093103B"/>
    <w:rsid w:val="0093110C"/>
    <w:rsid w:val="009311AE"/>
    <w:rsid w:val="009316E3"/>
    <w:rsid w:val="0093191E"/>
    <w:rsid w:val="00931BE3"/>
    <w:rsid w:val="00931BEF"/>
    <w:rsid w:val="00931DC3"/>
    <w:rsid w:val="00931EAD"/>
    <w:rsid w:val="00931F9F"/>
    <w:rsid w:val="009320FA"/>
    <w:rsid w:val="00932424"/>
    <w:rsid w:val="00932538"/>
    <w:rsid w:val="00932D1B"/>
    <w:rsid w:val="00932EC7"/>
    <w:rsid w:val="00932FD8"/>
    <w:rsid w:val="0093310C"/>
    <w:rsid w:val="00933164"/>
    <w:rsid w:val="009332E9"/>
    <w:rsid w:val="009332FE"/>
    <w:rsid w:val="00933340"/>
    <w:rsid w:val="00933A8F"/>
    <w:rsid w:val="00933E68"/>
    <w:rsid w:val="0093401E"/>
    <w:rsid w:val="00934053"/>
    <w:rsid w:val="00934068"/>
    <w:rsid w:val="00934283"/>
    <w:rsid w:val="009342B3"/>
    <w:rsid w:val="009342E6"/>
    <w:rsid w:val="00934369"/>
    <w:rsid w:val="009346C4"/>
    <w:rsid w:val="00934813"/>
    <w:rsid w:val="009348C0"/>
    <w:rsid w:val="00934910"/>
    <w:rsid w:val="0093495F"/>
    <w:rsid w:val="00934A0B"/>
    <w:rsid w:val="00934C67"/>
    <w:rsid w:val="00934C87"/>
    <w:rsid w:val="00934F5C"/>
    <w:rsid w:val="009352E0"/>
    <w:rsid w:val="00935621"/>
    <w:rsid w:val="00935624"/>
    <w:rsid w:val="00935686"/>
    <w:rsid w:val="00935953"/>
    <w:rsid w:val="00935992"/>
    <w:rsid w:val="00935D68"/>
    <w:rsid w:val="00935EC9"/>
    <w:rsid w:val="009363EE"/>
    <w:rsid w:val="00936493"/>
    <w:rsid w:val="00936748"/>
    <w:rsid w:val="0093682D"/>
    <w:rsid w:val="009368EB"/>
    <w:rsid w:val="00936A47"/>
    <w:rsid w:val="00936BB6"/>
    <w:rsid w:val="00936BD5"/>
    <w:rsid w:val="00936C6F"/>
    <w:rsid w:val="00936EDE"/>
    <w:rsid w:val="0093700D"/>
    <w:rsid w:val="009371D0"/>
    <w:rsid w:val="00937246"/>
    <w:rsid w:val="009373DA"/>
    <w:rsid w:val="0093746E"/>
    <w:rsid w:val="009374F0"/>
    <w:rsid w:val="0093754E"/>
    <w:rsid w:val="00937679"/>
    <w:rsid w:val="009376D2"/>
    <w:rsid w:val="00937B56"/>
    <w:rsid w:val="00937CE8"/>
    <w:rsid w:val="00937D33"/>
    <w:rsid w:val="00937DDB"/>
    <w:rsid w:val="00937DFC"/>
    <w:rsid w:val="00937FAD"/>
    <w:rsid w:val="0094026C"/>
    <w:rsid w:val="0094052E"/>
    <w:rsid w:val="00940599"/>
    <w:rsid w:val="0094059B"/>
    <w:rsid w:val="00940606"/>
    <w:rsid w:val="0094071B"/>
    <w:rsid w:val="00940BAB"/>
    <w:rsid w:val="00940DE8"/>
    <w:rsid w:val="009410F4"/>
    <w:rsid w:val="009416B4"/>
    <w:rsid w:val="009417C0"/>
    <w:rsid w:val="00941873"/>
    <w:rsid w:val="009419E5"/>
    <w:rsid w:val="00941F4F"/>
    <w:rsid w:val="00941FC0"/>
    <w:rsid w:val="009420DE"/>
    <w:rsid w:val="009421D7"/>
    <w:rsid w:val="009422C3"/>
    <w:rsid w:val="0094239A"/>
    <w:rsid w:val="00942526"/>
    <w:rsid w:val="0094263C"/>
    <w:rsid w:val="00942D2D"/>
    <w:rsid w:val="00942DDA"/>
    <w:rsid w:val="009432E3"/>
    <w:rsid w:val="00943385"/>
    <w:rsid w:val="009436F0"/>
    <w:rsid w:val="00943B8B"/>
    <w:rsid w:val="00943B90"/>
    <w:rsid w:val="00943DAA"/>
    <w:rsid w:val="00943DBE"/>
    <w:rsid w:val="00943EA4"/>
    <w:rsid w:val="00943FA8"/>
    <w:rsid w:val="00944087"/>
    <w:rsid w:val="00944112"/>
    <w:rsid w:val="0094423D"/>
    <w:rsid w:val="009444BF"/>
    <w:rsid w:val="00944C23"/>
    <w:rsid w:val="00944EAA"/>
    <w:rsid w:val="00944EBB"/>
    <w:rsid w:val="00944F31"/>
    <w:rsid w:val="00944F68"/>
    <w:rsid w:val="00945156"/>
    <w:rsid w:val="00945385"/>
    <w:rsid w:val="00945737"/>
    <w:rsid w:val="00945785"/>
    <w:rsid w:val="009458D6"/>
    <w:rsid w:val="00945A82"/>
    <w:rsid w:val="00945DF2"/>
    <w:rsid w:val="00945EFB"/>
    <w:rsid w:val="00946188"/>
    <w:rsid w:val="009461A1"/>
    <w:rsid w:val="00946204"/>
    <w:rsid w:val="009463FA"/>
    <w:rsid w:val="00946620"/>
    <w:rsid w:val="009466DC"/>
    <w:rsid w:val="00946798"/>
    <w:rsid w:val="0094694A"/>
    <w:rsid w:val="00946A88"/>
    <w:rsid w:val="00946B22"/>
    <w:rsid w:val="00946F4E"/>
    <w:rsid w:val="00947214"/>
    <w:rsid w:val="0094734B"/>
    <w:rsid w:val="009473A5"/>
    <w:rsid w:val="00947851"/>
    <w:rsid w:val="009478E4"/>
    <w:rsid w:val="00947A2B"/>
    <w:rsid w:val="00947F63"/>
    <w:rsid w:val="00950189"/>
    <w:rsid w:val="00950210"/>
    <w:rsid w:val="00950295"/>
    <w:rsid w:val="009506EE"/>
    <w:rsid w:val="0095082B"/>
    <w:rsid w:val="00950866"/>
    <w:rsid w:val="00950A31"/>
    <w:rsid w:val="00950D2C"/>
    <w:rsid w:val="00951147"/>
    <w:rsid w:val="00951419"/>
    <w:rsid w:val="009516D9"/>
    <w:rsid w:val="00951918"/>
    <w:rsid w:val="00951957"/>
    <w:rsid w:val="00951C52"/>
    <w:rsid w:val="00951D10"/>
    <w:rsid w:val="00951DDF"/>
    <w:rsid w:val="0095202D"/>
    <w:rsid w:val="0095221C"/>
    <w:rsid w:val="0095233E"/>
    <w:rsid w:val="009523BD"/>
    <w:rsid w:val="0095243F"/>
    <w:rsid w:val="0095257B"/>
    <w:rsid w:val="00952798"/>
    <w:rsid w:val="0095286D"/>
    <w:rsid w:val="00952A56"/>
    <w:rsid w:val="00952A57"/>
    <w:rsid w:val="00952B2C"/>
    <w:rsid w:val="00952BC3"/>
    <w:rsid w:val="00952C79"/>
    <w:rsid w:val="00952D72"/>
    <w:rsid w:val="00953377"/>
    <w:rsid w:val="009533ED"/>
    <w:rsid w:val="00953610"/>
    <w:rsid w:val="0095399F"/>
    <w:rsid w:val="009539B1"/>
    <w:rsid w:val="00953A02"/>
    <w:rsid w:val="00953C5F"/>
    <w:rsid w:val="00953C7C"/>
    <w:rsid w:val="00953F02"/>
    <w:rsid w:val="0095406E"/>
    <w:rsid w:val="009541D8"/>
    <w:rsid w:val="00954247"/>
    <w:rsid w:val="00954332"/>
    <w:rsid w:val="009544DF"/>
    <w:rsid w:val="0095457B"/>
    <w:rsid w:val="00954666"/>
    <w:rsid w:val="0095472D"/>
    <w:rsid w:val="00954A4C"/>
    <w:rsid w:val="00954B49"/>
    <w:rsid w:val="00954B56"/>
    <w:rsid w:val="00954E2F"/>
    <w:rsid w:val="00954ECF"/>
    <w:rsid w:val="009553DB"/>
    <w:rsid w:val="00955443"/>
    <w:rsid w:val="0095569D"/>
    <w:rsid w:val="00955703"/>
    <w:rsid w:val="0095573B"/>
    <w:rsid w:val="00955890"/>
    <w:rsid w:val="00955AAB"/>
    <w:rsid w:val="00955C0A"/>
    <w:rsid w:val="00955C6F"/>
    <w:rsid w:val="00955DD1"/>
    <w:rsid w:val="0095604C"/>
    <w:rsid w:val="009560BD"/>
    <w:rsid w:val="00956202"/>
    <w:rsid w:val="00956488"/>
    <w:rsid w:val="00956560"/>
    <w:rsid w:val="009566FD"/>
    <w:rsid w:val="009567D4"/>
    <w:rsid w:val="00956950"/>
    <w:rsid w:val="00956987"/>
    <w:rsid w:val="00956A88"/>
    <w:rsid w:val="00956CA5"/>
    <w:rsid w:val="00956CEE"/>
    <w:rsid w:val="00956DE0"/>
    <w:rsid w:val="00956EFF"/>
    <w:rsid w:val="0095710E"/>
    <w:rsid w:val="009571A7"/>
    <w:rsid w:val="009572E0"/>
    <w:rsid w:val="00957598"/>
    <w:rsid w:val="00957670"/>
    <w:rsid w:val="009576F9"/>
    <w:rsid w:val="00957862"/>
    <w:rsid w:val="00957893"/>
    <w:rsid w:val="0095795E"/>
    <w:rsid w:val="009601F8"/>
    <w:rsid w:val="0096021E"/>
    <w:rsid w:val="00960453"/>
    <w:rsid w:val="00960568"/>
    <w:rsid w:val="0096057D"/>
    <w:rsid w:val="0096068D"/>
    <w:rsid w:val="009609A0"/>
    <w:rsid w:val="00960D05"/>
    <w:rsid w:val="00960D25"/>
    <w:rsid w:val="00960D58"/>
    <w:rsid w:val="00960DCB"/>
    <w:rsid w:val="00960DD9"/>
    <w:rsid w:val="00960FDA"/>
    <w:rsid w:val="00961079"/>
    <w:rsid w:val="00961114"/>
    <w:rsid w:val="00961580"/>
    <w:rsid w:val="009618B7"/>
    <w:rsid w:val="00961E73"/>
    <w:rsid w:val="00962060"/>
    <w:rsid w:val="0096213A"/>
    <w:rsid w:val="00962346"/>
    <w:rsid w:val="009624C5"/>
    <w:rsid w:val="00962818"/>
    <w:rsid w:val="009629E0"/>
    <w:rsid w:val="00962A1F"/>
    <w:rsid w:val="00962AD5"/>
    <w:rsid w:val="00962B31"/>
    <w:rsid w:val="00962C1D"/>
    <w:rsid w:val="00962F67"/>
    <w:rsid w:val="00962FAC"/>
    <w:rsid w:val="009630D7"/>
    <w:rsid w:val="009630D8"/>
    <w:rsid w:val="009630EF"/>
    <w:rsid w:val="009631C2"/>
    <w:rsid w:val="00963910"/>
    <w:rsid w:val="00963960"/>
    <w:rsid w:val="00963B32"/>
    <w:rsid w:val="00963C75"/>
    <w:rsid w:val="00963FD8"/>
    <w:rsid w:val="009640ED"/>
    <w:rsid w:val="009643C4"/>
    <w:rsid w:val="0096449C"/>
    <w:rsid w:val="00964616"/>
    <w:rsid w:val="0096473B"/>
    <w:rsid w:val="00964EDE"/>
    <w:rsid w:val="00964FF0"/>
    <w:rsid w:val="00965099"/>
    <w:rsid w:val="009650E3"/>
    <w:rsid w:val="009654AE"/>
    <w:rsid w:val="00965564"/>
    <w:rsid w:val="00965623"/>
    <w:rsid w:val="009656D2"/>
    <w:rsid w:val="009656D7"/>
    <w:rsid w:val="009656FE"/>
    <w:rsid w:val="00965C91"/>
    <w:rsid w:val="00965F96"/>
    <w:rsid w:val="00965FD2"/>
    <w:rsid w:val="009662D9"/>
    <w:rsid w:val="009662F4"/>
    <w:rsid w:val="0096635B"/>
    <w:rsid w:val="009664A1"/>
    <w:rsid w:val="009664D7"/>
    <w:rsid w:val="00966559"/>
    <w:rsid w:val="0096675F"/>
    <w:rsid w:val="00966970"/>
    <w:rsid w:val="00966A1C"/>
    <w:rsid w:val="00966B8E"/>
    <w:rsid w:val="00966E49"/>
    <w:rsid w:val="00966F4B"/>
    <w:rsid w:val="00966FD4"/>
    <w:rsid w:val="00967052"/>
    <w:rsid w:val="009670B2"/>
    <w:rsid w:val="0096735A"/>
    <w:rsid w:val="00967550"/>
    <w:rsid w:val="00967693"/>
    <w:rsid w:val="00967790"/>
    <w:rsid w:val="00967BA0"/>
    <w:rsid w:val="00967BC7"/>
    <w:rsid w:val="00967C53"/>
    <w:rsid w:val="00967EAC"/>
    <w:rsid w:val="0097031B"/>
    <w:rsid w:val="0097042C"/>
    <w:rsid w:val="00970540"/>
    <w:rsid w:val="009706BD"/>
    <w:rsid w:val="00970734"/>
    <w:rsid w:val="009707F1"/>
    <w:rsid w:val="00970B7E"/>
    <w:rsid w:val="00970E50"/>
    <w:rsid w:val="00970E96"/>
    <w:rsid w:val="00971253"/>
    <w:rsid w:val="00971325"/>
    <w:rsid w:val="0097146D"/>
    <w:rsid w:val="009719BD"/>
    <w:rsid w:val="00971BB7"/>
    <w:rsid w:val="00971CEE"/>
    <w:rsid w:val="00971DEA"/>
    <w:rsid w:val="00971EB2"/>
    <w:rsid w:val="0097208E"/>
    <w:rsid w:val="00972175"/>
    <w:rsid w:val="0097232C"/>
    <w:rsid w:val="009724DC"/>
    <w:rsid w:val="00972619"/>
    <w:rsid w:val="0097296B"/>
    <w:rsid w:val="009729FA"/>
    <w:rsid w:val="00972E6A"/>
    <w:rsid w:val="0097309D"/>
    <w:rsid w:val="009730A6"/>
    <w:rsid w:val="009731D3"/>
    <w:rsid w:val="0097332F"/>
    <w:rsid w:val="00973394"/>
    <w:rsid w:val="009733C2"/>
    <w:rsid w:val="009737B5"/>
    <w:rsid w:val="0097386C"/>
    <w:rsid w:val="00973A5E"/>
    <w:rsid w:val="00973B30"/>
    <w:rsid w:val="00973C3A"/>
    <w:rsid w:val="00973F0E"/>
    <w:rsid w:val="00973F8A"/>
    <w:rsid w:val="009741C7"/>
    <w:rsid w:val="009743EF"/>
    <w:rsid w:val="00974618"/>
    <w:rsid w:val="00974CF6"/>
    <w:rsid w:val="00974DCB"/>
    <w:rsid w:val="00974E68"/>
    <w:rsid w:val="00974EF2"/>
    <w:rsid w:val="00974FC4"/>
    <w:rsid w:val="00975100"/>
    <w:rsid w:val="009751E6"/>
    <w:rsid w:val="009756F0"/>
    <w:rsid w:val="00975A1B"/>
    <w:rsid w:val="00976056"/>
    <w:rsid w:val="0097610E"/>
    <w:rsid w:val="00976510"/>
    <w:rsid w:val="009767E1"/>
    <w:rsid w:val="00976DC0"/>
    <w:rsid w:val="00976EBC"/>
    <w:rsid w:val="00976ED3"/>
    <w:rsid w:val="0097713A"/>
    <w:rsid w:val="00977185"/>
    <w:rsid w:val="00977486"/>
    <w:rsid w:val="009774E1"/>
    <w:rsid w:val="00977786"/>
    <w:rsid w:val="009779A8"/>
    <w:rsid w:val="009779E0"/>
    <w:rsid w:val="00977A93"/>
    <w:rsid w:val="00977B24"/>
    <w:rsid w:val="0098012E"/>
    <w:rsid w:val="0098024A"/>
    <w:rsid w:val="00980567"/>
    <w:rsid w:val="00980578"/>
    <w:rsid w:val="009807D3"/>
    <w:rsid w:val="00980AD2"/>
    <w:rsid w:val="00980F4E"/>
    <w:rsid w:val="00981144"/>
    <w:rsid w:val="00981231"/>
    <w:rsid w:val="0098129B"/>
    <w:rsid w:val="009814E8"/>
    <w:rsid w:val="00981690"/>
    <w:rsid w:val="009816DB"/>
    <w:rsid w:val="0098186A"/>
    <w:rsid w:val="00981E5F"/>
    <w:rsid w:val="00981E9B"/>
    <w:rsid w:val="009821A4"/>
    <w:rsid w:val="0098244E"/>
    <w:rsid w:val="00982805"/>
    <w:rsid w:val="009828EA"/>
    <w:rsid w:val="009828F6"/>
    <w:rsid w:val="009829E1"/>
    <w:rsid w:val="00982BA9"/>
    <w:rsid w:val="00982BD0"/>
    <w:rsid w:val="00982D23"/>
    <w:rsid w:val="00982E34"/>
    <w:rsid w:val="009830DA"/>
    <w:rsid w:val="009833AB"/>
    <w:rsid w:val="009833AD"/>
    <w:rsid w:val="00983560"/>
    <w:rsid w:val="009835FA"/>
    <w:rsid w:val="00983639"/>
    <w:rsid w:val="00983919"/>
    <w:rsid w:val="00983A20"/>
    <w:rsid w:val="00983A59"/>
    <w:rsid w:val="00983A61"/>
    <w:rsid w:val="00983E4B"/>
    <w:rsid w:val="00984076"/>
    <w:rsid w:val="009844C7"/>
    <w:rsid w:val="009845F3"/>
    <w:rsid w:val="009849EC"/>
    <w:rsid w:val="00984E5A"/>
    <w:rsid w:val="00984FF1"/>
    <w:rsid w:val="00985028"/>
    <w:rsid w:val="00985150"/>
    <w:rsid w:val="0098576F"/>
    <w:rsid w:val="0098577D"/>
    <w:rsid w:val="00985842"/>
    <w:rsid w:val="00985C3F"/>
    <w:rsid w:val="00985C8E"/>
    <w:rsid w:val="00985CEC"/>
    <w:rsid w:val="00985EAD"/>
    <w:rsid w:val="009860D6"/>
    <w:rsid w:val="00986103"/>
    <w:rsid w:val="0098616A"/>
    <w:rsid w:val="00986382"/>
    <w:rsid w:val="0098641A"/>
    <w:rsid w:val="009866AF"/>
    <w:rsid w:val="00986920"/>
    <w:rsid w:val="009872BD"/>
    <w:rsid w:val="009872E3"/>
    <w:rsid w:val="0098732C"/>
    <w:rsid w:val="00987437"/>
    <w:rsid w:val="009875D0"/>
    <w:rsid w:val="0098767A"/>
    <w:rsid w:val="009876CF"/>
    <w:rsid w:val="0098776B"/>
    <w:rsid w:val="0098779A"/>
    <w:rsid w:val="009879E6"/>
    <w:rsid w:val="00987A8C"/>
    <w:rsid w:val="00987ACF"/>
    <w:rsid w:val="00987D11"/>
    <w:rsid w:val="00987D4C"/>
    <w:rsid w:val="00987D68"/>
    <w:rsid w:val="00987E8C"/>
    <w:rsid w:val="00987ECA"/>
    <w:rsid w:val="00987FEE"/>
    <w:rsid w:val="00990299"/>
    <w:rsid w:val="0099029E"/>
    <w:rsid w:val="00990314"/>
    <w:rsid w:val="00990363"/>
    <w:rsid w:val="00990728"/>
    <w:rsid w:val="00990792"/>
    <w:rsid w:val="009908EF"/>
    <w:rsid w:val="0099094B"/>
    <w:rsid w:val="00990A63"/>
    <w:rsid w:val="00990B1B"/>
    <w:rsid w:val="00990B61"/>
    <w:rsid w:val="00990B7B"/>
    <w:rsid w:val="00990E8C"/>
    <w:rsid w:val="00990F1D"/>
    <w:rsid w:val="00991028"/>
    <w:rsid w:val="00991072"/>
    <w:rsid w:val="00991376"/>
    <w:rsid w:val="009914D7"/>
    <w:rsid w:val="00991955"/>
    <w:rsid w:val="0099198A"/>
    <w:rsid w:val="00991A7F"/>
    <w:rsid w:val="00991EFC"/>
    <w:rsid w:val="00991EFE"/>
    <w:rsid w:val="00991F52"/>
    <w:rsid w:val="00991FE4"/>
    <w:rsid w:val="0099243B"/>
    <w:rsid w:val="009926D9"/>
    <w:rsid w:val="00992700"/>
    <w:rsid w:val="009929F1"/>
    <w:rsid w:val="00992BFB"/>
    <w:rsid w:val="00992C16"/>
    <w:rsid w:val="00992C2B"/>
    <w:rsid w:val="00992DF5"/>
    <w:rsid w:val="00992FD1"/>
    <w:rsid w:val="009935DD"/>
    <w:rsid w:val="0099379C"/>
    <w:rsid w:val="00993B71"/>
    <w:rsid w:val="00993BA0"/>
    <w:rsid w:val="00993BC7"/>
    <w:rsid w:val="00994312"/>
    <w:rsid w:val="0099446A"/>
    <w:rsid w:val="009944CD"/>
    <w:rsid w:val="0099454D"/>
    <w:rsid w:val="00994550"/>
    <w:rsid w:val="0099463D"/>
    <w:rsid w:val="009946D9"/>
    <w:rsid w:val="009946DE"/>
    <w:rsid w:val="009947A0"/>
    <w:rsid w:val="00994B37"/>
    <w:rsid w:val="00994C35"/>
    <w:rsid w:val="00994D54"/>
    <w:rsid w:val="00994D7E"/>
    <w:rsid w:val="00994FCF"/>
    <w:rsid w:val="0099511C"/>
    <w:rsid w:val="00995204"/>
    <w:rsid w:val="009952D8"/>
    <w:rsid w:val="0099539C"/>
    <w:rsid w:val="009953D6"/>
    <w:rsid w:val="0099543D"/>
    <w:rsid w:val="0099553B"/>
    <w:rsid w:val="009955B3"/>
    <w:rsid w:val="009956AB"/>
    <w:rsid w:val="009956FB"/>
    <w:rsid w:val="0099588E"/>
    <w:rsid w:val="009958A2"/>
    <w:rsid w:val="00995967"/>
    <w:rsid w:val="009959DD"/>
    <w:rsid w:val="009959E5"/>
    <w:rsid w:val="00995AD0"/>
    <w:rsid w:val="00995B3E"/>
    <w:rsid w:val="00995C8F"/>
    <w:rsid w:val="00995CFD"/>
    <w:rsid w:val="00995DE9"/>
    <w:rsid w:val="0099603D"/>
    <w:rsid w:val="009965BE"/>
    <w:rsid w:val="009966BA"/>
    <w:rsid w:val="00996711"/>
    <w:rsid w:val="00996797"/>
    <w:rsid w:val="00996835"/>
    <w:rsid w:val="00996878"/>
    <w:rsid w:val="00996890"/>
    <w:rsid w:val="009968D8"/>
    <w:rsid w:val="00996C00"/>
    <w:rsid w:val="00996DD1"/>
    <w:rsid w:val="00997085"/>
    <w:rsid w:val="00997806"/>
    <w:rsid w:val="00997D53"/>
    <w:rsid w:val="00997DEE"/>
    <w:rsid w:val="009A0028"/>
    <w:rsid w:val="009A0435"/>
    <w:rsid w:val="009A053A"/>
    <w:rsid w:val="009A0672"/>
    <w:rsid w:val="009A0B51"/>
    <w:rsid w:val="009A0B7F"/>
    <w:rsid w:val="009A0C97"/>
    <w:rsid w:val="009A0DC4"/>
    <w:rsid w:val="009A0F25"/>
    <w:rsid w:val="009A1032"/>
    <w:rsid w:val="009A11B0"/>
    <w:rsid w:val="009A11EE"/>
    <w:rsid w:val="009A1307"/>
    <w:rsid w:val="009A1329"/>
    <w:rsid w:val="009A1623"/>
    <w:rsid w:val="009A1641"/>
    <w:rsid w:val="009A1772"/>
    <w:rsid w:val="009A1A23"/>
    <w:rsid w:val="009A1C21"/>
    <w:rsid w:val="009A1CA4"/>
    <w:rsid w:val="009A1CAC"/>
    <w:rsid w:val="009A1D6D"/>
    <w:rsid w:val="009A2092"/>
    <w:rsid w:val="009A20BC"/>
    <w:rsid w:val="009A2325"/>
    <w:rsid w:val="009A24AE"/>
    <w:rsid w:val="009A253B"/>
    <w:rsid w:val="009A2563"/>
    <w:rsid w:val="009A258F"/>
    <w:rsid w:val="009A25F7"/>
    <w:rsid w:val="009A262C"/>
    <w:rsid w:val="009A272F"/>
    <w:rsid w:val="009A2779"/>
    <w:rsid w:val="009A27E0"/>
    <w:rsid w:val="009A29D7"/>
    <w:rsid w:val="009A2B5B"/>
    <w:rsid w:val="009A2B62"/>
    <w:rsid w:val="009A2D30"/>
    <w:rsid w:val="009A2E35"/>
    <w:rsid w:val="009A2F37"/>
    <w:rsid w:val="009A3227"/>
    <w:rsid w:val="009A34F1"/>
    <w:rsid w:val="009A35FE"/>
    <w:rsid w:val="009A36FE"/>
    <w:rsid w:val="009A3734"/>
    <w:rsid w:val="009A3896"/>
    <w:rsid w:val="009A3C16"/>
    <w:rsid w:val="009A3C29"/>
    <w:rsid w:val="009A3D24"/>
    <w:rsid w:val="009A3D26"/>
    <w:rsid w:val="009A3D42"/>
    <w:rsid w:val="009A422D"/>
    <w:rsid w:val="009A43CD"/>
    <w:rsid w:val="009A4569"/>
    <w:rsid w:val="009A4699"/>
    <w:rsid w:val="009A47ED"/>
    <w:rsid w:val="009A4965"/>
    <w:rsid w:val="009A49A9"/>
    <w:rsid w:val="009A4A15"/>
    <w:rsid w:val="009A4CDD"/>
    <w:rsid w:val="009A4DA3"/>
    <w:rsid w:val="009A4F00"/>
    <w:rsid w:val="009A5021"/>
    <w:rsid w:val="009A5053"/>
    <w:rsid w:val="009A505D"/>
    <w:rsid w:val="009A5362"/>
    <w:rsid w:val="009A54FF"/>
    <w:rsid w:val="009A5798"/>
    <w:rsid w:val="009A5B85"/>
    <w:rsid w:val="009A5BF9"/>
    <w:rsid w:val="009A6084"/>
    <w:rsid w:val="009A65BE"/>
    <w:rsid w:val="009A663C"/>
    <w:rsid w:val="009A67C3"/>
    <w:rsid w:val="009A67DA"/>
    <w:rsid w:val="009A687F"/>
    <w:rsid w:val="009A6AEE"/>
    <w:rsid w:val="009A6E34"/>
    <w:rsid w:val="009A6E80"/>
    <w:rsid w:val="009A720D"/>
    <w:rsid w:val="009A720E"/>
    <w:rsid w:val="009A73C8"/>
    <w:rsid w:val="009A7821"/>
    <w:rsid w:val="009A7A96"/>
    <w:rsid w:val="009A7CEE"/>
    <w:rsid w:val="009B01DF"/>
    <w:rsid w:val="009B033C"/>
    <w:rsid w:val="009B0526"/>
    <w:rsid w:val="009B057F"/>
    <w:rsid w:val="009B05AF"/>
    <w:rsid w:val="009B0763"/>
    <w:rsid w:val="009B08CE"/>
    <w:rsid w:val="009B0B96"/>
    <w:rsid w:val="009B0B9D"/>
    <w:rsid w:val="009B0C5D"/>
    <w:rsid w:val="009B0C78"/>
    <w:rsid w:val="009B110D"/>
    <w:rsid w:val="009B1204"/>
    <w:rsid w:val="009B16EE"/>
    <w:rsid w:val="009B1936"/>
    <w:rsid w:val="009B1AE9"/>
    <w:rsid w:val="009B1D94"/>
    <w:rsid w:val="009B1E7D"/>
    <w:rsid w:val="009B20F5"/>
    <w:rsid w:val="009B21BC"/>
    <w:rsid w:val="009B2225"/>
    <w:rsid w:val="009B227B"/>
    <w:rsid w:val="009B2335"/>
    <w:rsid w:val="009B2401"/>
    <w:rsid w:val="009B24CC"/>
    <w:rsid w:val="009B2503"/>
    <w:rsid w:val="009B259B"/>
    <w:rsid w:val="009B2683"/>
    <w:rsid w:val="009B2754"/>
    <w:rsid w:val="009B2808"/>
    <w:rsid w:val="009B2AB1"/>
    <w:rsid w:val="009B2B43"/>
    <w:rsid w:val="009B2B67"/>
    <w:rsid w:val="009B3031"/>
    <w:rsid w:val="009B336C"/>
    <w:rsid w:val="009B35C4"/>
    <w:rsid w:val="009B3766"/>
    <w:rsid w:val="009B39C1"/>
    <w:rsid w:val="009B3B8C"/>
    <w:rsid w:val="009B3D62"/>
    <w:rsid w:val="009B3F76"/>
    <w:rsid w:val="009B3FD3"/>
    <w:rsid w:val="009B4323"/>
    <w:rsid w:val="009B4351"/>
    <w:rsid w:val="009B4392"/>
    <w:rsid w:val="009B440F"/>
    <w:rsid w:val="009B4423"/>
    <w:rsid w:val="009B455C"/>
    <w:rsid w:val="009B48E5"/>
    <w:rsid w:val="009B4BF3"/>
    <w:rsid w:val="009B4C03"/>
    <w:rsid w:val="009B4C16"/>
    <w:rsid w:val="009B4CA9"/>
    <w:rsid w:val="009B4E73"/>
    <w:rsid w:val="009B4ED8"/>
    <w:rsid w:val="009B4FA7"/>
    <w:rsid w:val="009B5526"/>
    <w:rsid w:val="009B58A0"/>
    <w:rsid w:val="009B5990"/>
    <w:rsid w:val="009B5B0E"/>
    <w:rsid w:val="009B5B2F"/>
    <w:rsid w:val="009B5CAE"/>
    <w:rsid w:val="009B6016"/>
    <w:rsid w:val="009B60B4"/>
    <w:rsid w:val="009B6215"/>
    <w:rsid w:val="009B6286"/>
    <w:rsid w:val="009B642C"/>
    <w:rsid w:val="009B643A"/>
    <w:rsid w:val="009B64F6"/>
    <w:rsid w:val="009B6A8A"/>
    <w:rsid w:val="009B6A93"/>
    <w:rsid w:val="009B6BC9"/>
    <w:rsid w:val="009B6C13"/>
    <w:rsid w:val="009B6E0F"/>
    <w:rsid w:val="009B6F27"/>
    <w:rsid w:val="009B7130"/>
    <w:rsid w:val="009B714E"/>
    <w:rsid w:val="009B7464"/>
    <w:rsid w:val="009B74AE"/>
    <w:rsid w:val="009B7915"/>
    <w:rsid w:val="009B7EF1"/>
    <w:rsid w:val="009C003F"/>
    <w:rsid w:val="009C01F1"/>
    <w:rsid w:val="009C0505"/>
    <w:rsid w:val="009C052F"/>
    <w:rsid w:val="009C0613"/>
    <w:rsid w:val="009C0625"/>
    <w:rsid w:val="009C062B"/>
    <w:rsid w:val="009C06C0"/>
    <w:rsid w:val="009C06E0"/>
    <w:rsid w:val="009C0E25"/>
    <w:rsid w:val="009C0F22"/>
    <w:rsid w:val="009C0F6C"/>
    <w:rsid w:val="009C1194"/>
    <w:rsid w:val="009C13E4"/>
    <w:rsid w:val="009C1428"/>
    <w:rsid w:val="009C1ACF"/>
    <w:rsid w:val="009C1B6E"/>
    <w:rsid w:val="009C1C4C"/>
    <w:rsid w:val="009C1CC5"/>
    <w:rsid w:val="009C23BB"/>
    <w:rsid w:val="009C23BD"/>
    <w:rsid w:val="009C23FA"/>
    <w:rsid w:val="009C2569"/>
    <w:rsid w:val="009C265C"/>
    <w:rsid w:val="009C26BF"/>
    <w:rsid w:val="009C27BA"/>
    <w:rsid w:val="009C296A"/>
    <w:rsid w:val="009C2971"/>
    <w:rsid w:val="009C2B7C"/>
    <w:rsid w:val="009C2C0E"/>
    <w:rsid w:val="009C2CB1"/>
    <w:rsid w:val="009C2F0F"/>
    <w:rsid w:val="009C2F82"/>
    <w:rsid w:val="009C2F8D"/>
    <w:rsid w:val="009C30B4"/>
    <w:rsid w:val="009C3234"/>
    <w:rsid w:val="009C33A4"/>
    <w:rsid w:val="009C342F"/>
    <w:rsid w:val="009C36CB"/>
    <w:rsid w:val="009C36DE"/>
    <w:rsid w:val="009C3B6D"/>
    <w:rsid w:val="009C3B99"/>
    <w:rsid w:val="009C3C94"/>
    <w:rsid w:val="009C3DD8"/>
    <w:rsid w:val="009C406F"/>
    <w:rsid w:val="009C4086"/>
    <w:rsid w:val="009C41B4"/>
    <w:rsid w:val="009C483B"/>
    <w:rsid w:val="009C4A87"/>
    <w:rsid w:val="009C4C5E"/>
    <w:rsid w:val="009C4FDE"/>
    <w:rsid w:val="009C50B0"/>
    <w:rsid w:val="009C51D3"/>
    <w:rsid w:val="009C5458"/>
    <w:rsid w:val="009C546B"/>
    <w:rsid w:val="009C5497"/>
    <w:rsid w:val="009C5539"/>
    <w:rsid w:val="009C57AD"/>
    <w:rsid w:val="009C57C2"/>
    <w:rsid w:val="009C5945"/>
    <w:rsid w:val="009C5B31"/>
    <w:rsid w:val="009C5BF8"/>
    <w:rsid w:val="009C6194"/>
    <w:rsid w:val="009C6430"/>
    <w:rsid w:val="009C68D2"/>
    <w:rsid w:val="009C6D33"/>
    <w:rsid w:val="009C6D38"/>
    <w:rsid w:val="009C7041"/>
    <w:rsid w:val="009C707C"/>
    <w:rsid w:val="009C719A"/>
    <w:rsid w:val="009C73BC"/>
    <w:rsid w:val="009C750E"/>
    <w:rsid w:val="009C75E4"/>
    <w:rsid w:val="009C777D"/>
    <w:rsid w:val="009C7A7E"/>
    <w:rsid w:val="009C7A8A"/>
    <w:rsid w:val="009C7B74"/>
    <w:rsid w:val="009C7C5C"/>
    <w:rsid w:val="009C7C78"/>
    <w:rsid w:val="009C7D97"/>
    <w:rsid w:val="009D01CD"/>
    <w:rsid w:val="009D029E"/>
    <w:rsid w:val="009D047F"/>
    <w:rsid w:val="009D0765"/>
    <w:rsid w:val="009D0836"/>
    <w:rsid w:val="009D0B6B"/>
    <w:rsid w:val="009D0C2C"/>
    <w:rsid w:val="009D0C67"/>
    <w:rsid w:val="009D0E15"/>
    <w:rsid w:val="009D104D"/>
    <w:rsid w:val="009D11D2"/>
    <w:rsid w:val="009D125A"/>
    <w:rsid w:val="009D1386"/>
    <w:rsid w:val="009D164F"/>
    <w:rsid w:val="009D18EF"/>
    <w:rsid w:val="009D1947"/>
    <w:rsid w:val="009D1A18"/>
    <w:rsid w:val="009D1BED"/>
    <w:rsid w:val="009D1C0C"/>
    <w:rsid w:val="009D1D41"/>
    <w:rsid w:val="009D211B"/>
    <w:rsid w:val="009D2248"/>
    <w:rsid w:val="009D23F8"/>
    <w:rsid w:val="009D2433"/>
    <w:rsid w:val="009D253F"/>
    <w:rsid w:val="009D2591"/>
    <w:rsid w:val="009D2792"/>
    <w:rsid w:val="009D28CC"/>
    <w:rsid w:val="009D2AA0"/>
    <w:rsid w:val="009D2AD5"/>
    <w:rsid w:val="009D2EFB"/>
    <w:rsid w:val="009D32CE"/>
    <w:rsid w:val="009D3302"/>
    <w:rsid w:val="009D3617"/>
    <w:rsid w:val="009D373D"/>
    <w:rsid w:val="009D3884"/>
    <w:rsid w:val="009D3A54"/>
    <w:rsid w:val="009D3F61"/>
    <w:rsid w:val="009D40D6"/>
    <w:rsid w:val="009D411F"/>
    <w:rsid w:val="009D41CE"/>
    <w:rsid w:val="009D426D"/>
    <w:rsid w:val="009D4595"/>
    <w:rsid w:val="009D472C"/>
    <w:rsid w:val="009D4A3C"/>
    <w:rsid w:val="009D4B3B"/>
    <w:rsid w:val="009D4BD7"/>
    <w:rsid w:val="009D4C37"/>
    <w:rsid w:val="009D4D55"/>
    <w:rsid w:val="009D5029"/>
    <w:rsid w:val="009D51A4"/>
    <w:rsid w:val="009D5224"/>
    <w:rsid w:val="009D5251"/>
    <w:rsid w:val="009D5464"/>
    <w:rsid w:val="009D55C9"/>
    <w:rsid w:val="009D5601"/>
    <w:rsid w:val="009D5662"/>
    <w:rsid w:val="009D5664"/>
    <w:rsid w:val="009D576A"/>
    <w:rsid w:val="009D581D"/>
    <w:rsid w:val="009D5912"/>
    <w:rsid w:val="009D59CE"/>
    <w:rsid w:val="009D5BF3"/>
    <w:rsid w:val="009D5D00"/>
    <w:rsid w:val="009D5EEF"/>
    <w:rsid w:val="009D5EFC"/>
    <w:rsid w:val="009D5F1E"/>
    <w:rsid w:val="009D5F9E"/>
    <w:rsid w:val="009D5FE4"/>
    <w:rsid w:val="009D61BF"/>
    <w:rsid w:val="009D6360"/>
    <w:rsid w:val="009D64DC"/>
    <w:rsid w:val="009D650B"/>
    <w:rsid w:val="009D685C"/>
    <w:rsid w:val="009D6BA7"/>
    <w:rsid w:val="009D6C76"/>
    <w:rsid w:val="009D6E57"/>
    <w:rsid w:val="009D6F31"/>
    <w:rsid w:val="009D71D3"/>
    <w:rsid w:val="009D735A"/>
    <w:rsid w:val="009D73B5"/>
    <w:rsid w:val="009D75F7"/>
    <w:rsid w:val="009D763D"/>
    <w:rsid w:val="009D7B6B"/>
    <w:rsid w:val="009D7D10"/>
    <w:rsid w:val="009D7D6D"/>
    <w:rsid w:val="009D7DDC"/>
    <w:rsid w:val="009E0066"/>
    <w:rsid w:val="009E009F"/>
    <w:rsid w:val="009E00F8"/>
    <w:rsid w:val="009E035D"/>
    <w:rsid w:val="009E0AD5"/>
    <w:rsid w:val="009E0C12"/>
    <w:rsid w:val="009E0E1B"/>
    <w:rsid w:val="009E0F1A"/>
    <w:rsid w:val="009E1109"/>
    <w:rsid w:val="009E1194"/>
    <w:rsid w:val="009E147E"/>
    <w:rsid w:val="009E1646"/>
    <w:rsid w:val="009E168D"/>
    <w:rsid w:val="009E180D"/>
    <w:rsid w:val="009E1859"/>
    <w:rsid w:val="009E18D4"/>
    <w:rsid w:val="009E18F3"/>
    <w:rsid w:val="009E1A0C"/>
    <w:rsid w:val="009E1A11"/>
    <w:rsid w:val="009E1ACF"/>
    <w:rsid w:val="009E1E6D"/>
    <w:rsid w:val="009E20A3"/>
    <w:rsid w:val="009E20C2"/>
    <w:rsid w:val="009E2648"/>
    <w:rsid w:val="009E26E2"/>
    <w:rsid w:val="009E2824"/>
    <w:rsid w:val="009E2894"/>
    <w:rsid w:val="009E29BF"/>
    <w:rsid w:val="009E2BCD"/>
    <w:rsid w:val="009E2BF9"/>
    <w:rsid w:val="009E2D7D"/>
    <w:rsid w:val="009E2D9D"/>
    <w:rsid w:val="009E2DF6"/>
    <w:rsid w:val="009E3063"/>
    <w:rsid w:val="009E317B"/>
    <w:rsid w:val="009E3228"/>
    <w:rsid w:val="009E3416"/>
    <w:rsid w:val="009E348F"/>
    <w:rsid w:val="009E34EF"/>
    <w:rsid w:val="009E3716"/>
    <w:rsid w:val="009E3B2D"/>
    <w:rsid w:val="009E3C2C"/>
    <w:rsid w:val="009E3DC2"/>
    <w:rsid w:val="009E3E28"/>
    <w:rsid w:val="009E3E30"/>
    <w:rsid w:val="009E3FC2"/>
    <w:rsid w:val="009E4143"/>
    <w:rsid w:val="009E428E"/>
    <w:rsid w:val="009E45AB"/>
    <w:rsid w:val="009E460C"/>
    <w:rsid w:val="009E466D"/>
    <w:rsid w:val="009E488C"/>
    <w:rsid w:val="009E4990"/>
    <w:rsid w:val="009E4A83"/>
    <w:rsid w:val="009E4CE2"/>
    <w:rsid w:val="009E4EEC"/>
    <w:rsid w:val="009E51F5"/>
    <w:rsid w:val="009E53AC"/>
    <w:rsid w:val="009E53BD"/>
    <w:rsid w:val="009E549E"/>
    <w:rsid w:val="009E54A8"/>
    <w:rsid w:val="009E54AD"/>
    <w:rsid w:val="009E553A"/>
    <w:rsid w:val="009E555B"/>
    <w:rsid w:val="009E57E4"/>
    <w:rsid w:val="009E5823"/>
    <w:rsid w:val="009E5989"/>
    <w:rsid w:val="009E5A4B"/>
    <w:rsid w:val="009E5C38"/>
    <w:rsid w:val="009E5EA1"/>
    <w:rsid w:val="009E64D2"/>
    <w:rsid w:val="009E664C"/>
    <w:rsid w:val="009E66A4"/>
    <w:rsid w:val="009E6877"/>
    <w:rsid w:val="009E6A14"/>
    <w:rsid w:val="009E6AA5"/>
    <w:rsid w:val="009E6B0B"/>
    <w:rsid w:val="009E6D8F"/>
    <w:rsid w:val="009E6DC6"/>
    <w:rsid w:val="009E6F6D"/>
    <w:rsid w:val="009E717C"/>
    <w:rsid w:val="009E7190"/>
    <w:rsid w:val="009E7218"/>
    <w:rsid w:val="009E7219"/>
    <w:rsid w:val="009E73A4"/>
    <w:rsid w:val="009E7483"/>
    <w:rsid w:val="009E77F9"/>
    <w:rsid w:val="009E783B"/>
    <w:rsid w:val="009E7BB1"/>
    <w:rsid w:val="009E7BE4"/>
    <w:rsid w:val="009E7EDA"/>
    <w:rsid w:val="009E7FE7"/>
    <w:rsid w:val="009F0040"/>
    <w:rsid w:val="009F00C1"/>
    <w:rsid w:val="009F0672"/>
    <w:rsid w:val="009F06B0"/>
    <w:rsid w:val="009F07BE"/>
    <w:rsid w:val="009F0865"/>
    <w:rsid w:val="009F08A9"/>
    <w:rsid w:val="009F0954"/>
    <w:rsid w:val="009F0A8B"/>
    <w:rsid w:val="009F0A8D"/>
    <w:rsid w:val="009F0BA6"/>
    <w:rsid w:val="009F0C44"/>
    <w:rsid w:val="009F0D75"/>
    <w:rsid w:val="009F0F88"/>
    <w:rsid w:val="009F10B1"/>
    <w:rsid w:val="009F10FA"/>
    <w:rsid w:val="009F11A5"/>
    <w:rsid w:val="009F11A8"/>
    <w:rsid w:val="009F1327"/>
    <w:rsid w:val="009F13B6"/>
    <w:rsid w:val="009F13E6"/>
    <w:rsid w:val="009F150D"/>
    <w:rsid w:val="009F15AA"/>
    <w:rsid w:val="009F15D9"/>
    <w:rsid w:val="009F16C4"/>
    <w:rsid w:val="009F177E"/>
    <w:rsid w:val="009F1CC0"/>
    <w:rsid w:val="009F1CE9"/>
    <w:rsid w:val="009F1DC8"/>
    <w:rsid w:val="009F1DDA"/>
    <w:rsid w:val="009F21E9"/>
    <w:rsid w:val="009F24DC"/>
    <w:rsid w:val="009F2517"/>
    <w:rsid w:val="009F25B4"/>
    <w:rsid w:val="009F26B4"/>
    <w:rsid w:val="009F27AF"/>
    <w:rsid w:val="009F2A8B"/>
    <w:rsid w:val="009F2B55"/>
    <w:rsid w:val="009F32E8"/>
    <w:rsid w:val="009F3493"/>
    <w:rsid w:val="009F34C5"/>
    <w:rsid w:val="009F34FD"/>
    <w:rsid w:val="009F3581"/>
    <w:rsid w:val="009F36B6"/>
    <w:rsid w:val="009F3731"/>
    <w:rsid w:val="009F3943"/>
    <w:rsid w:val="009F3A45"/>
    <w:rsid w:val="009F3B09"/>
    <w:rsid w:val="009F3CB9"/>
    <w:rsid w:val="009F3DBE"/>
    <w:rsid w:val="009F3E8F"/>
    <w:rsid w:val="009F41DC"/>
    <w:rsid w:val="009F423A"/>
    <w:rsid w:val="009F449A"/>
    <w:rsid w:val="009F44F5"/>
    <w:rsid w:val="009F467B"/>
    <w:rsid w:val="009F46A7"/>
    <w:rsid w:val="009F48A4"/>
    <w:rsid w:val="009F4AD0"/>
    <w:rsid w:val="009F4D8D"/>
    <w:rsid w:val="009F4DDF"/>
    <w:rsid w:val="009F4E37"/>
    <w:rsid w:val="009F4F85"/>
    <w:rsid w:val="009F5026"/>
    <w:rsid w:val="009F51E3"/>
    <w:rsid w:val="009F5274"/>
    <w:rsid w:val="009F52CB"/>
    <w:rsid w:val="009F54A2"/>
    <w:rsid w:val="009F564E"/>
    <w:rsid w:val="009F568C"/>
    <w:rsid w:val="009F577C"/>
    <w:rsid w:val="009F577E"/>
    <w:rsid w:val="009F588C"/>
    <w:rsid w:val="009F5A5A"/>
    <w:rsid w:val="009F5AE5"/>
    <w:rsid w:val="009F5DFC"/>
    <w:rsid w:val="009F5E01"/>
    <w:rsid w:val="009F5EED"/>
    <w:rsid w:val="009F663D"/>
    <w:rsid w:val="009F67D0"/>
    <w:rsid w:val="009F67D1"/>
    <w:rsid w:val="009F6D0B"/>
    <w:rsid w:val="009F6D54"/>
    <w:rsid w:val="009F6F13"/>
    <w:rsid w:val="009F6F9A"/>
    <w:rsid w:val="009F6FC5"/>
    <w:rsid w:val="009F7016"/>
    <w:rsid w:val="009F720B"/>
    <w:rsid w:val="009F733A"/>
    <w:rsid w:val="009F7402"/>
    <w:rsid w:val="009F7429"/>
    <w:rsid w:val="009F76A7"/>
    <w:rsid w:val="009F775D"/>
    <w:rsid w:val="009F776A"/>
    <w:rsid w:val="009F7B48"/>
    <w:rsid w:val="009F7B57"/>
    <w:rsid w:val="009F7CE8"/>
    <w:rsid w:val="009F7D72"/>
    <w:rsid w:val="009F7DAF"/>
    <w:rsid w:val="009F7ED4"/>
    <w:rsid w:val="00A001D8"/>
    <w:rsid w:val="00A003CA"/>
    <w:rsid w:val="00A00454"/>
    <w:rsid w:val="00A0054A"/>
    <w:rsid w:val="00A00630"/>
    <w:rsid w:val="00A00832"/>
    <w:rsid w:val="00A0091E"/>
    <w:rsid w:val="00A00A45"/>
    <w:rsid w:val="00A00A91"/>
    <w:rsid w:val="00A00E6C"/>
    <w:rsid w:val="00A00F15"/>
    <w:rsid w:val="00A0107F"/>
    <w:rsid w:val="00A01223"/>
    <w:rsid w:val="00A015B1"/>
    <w:rsid w:val="00A01889"/>
    <w:rsid w:val="00A01906"/>
    <w:rsid w:val="00A01937"/>
    <w:rsid w:val="00A01977"/>
    <w:rsid w:val="00A01981"/>
    <w:rsid w:val="00A019BB"/>
    <w:rsid w:val="00A01A23"/>
    <w:rsid w:val="00A01D9B"/>
    <w:rsid w:val="00A01F3C"/>
    <w:rsid w:val="00A01F3D"/>
    <w:rsid w:val="00A020E4"/>
    <w:rsid w:val="00A02172"/>
    <w:rsid w:val="00A02304"/>
    <w:rsid w:val="00A026AD"/>
    <w:rsid w:val="00A026EA"/>
    <w:rsid w:val="00A028F6"/>
    <w:rsid w:val="00A02CEC"/>
    <w:rsid w:val="00A02DF8"/>
    <w:rsid w:val="00A02FC9"/>
    <w:rsid w:val="00A03208"/>
    <w:rsid w:val="00A0326E"/>
    <w:rsid w:val="00A0346E"/>
    <w:rsid w:val="00A0357B"/>
    <w:rsid w:val="00A036D2"/>
    <w:rsid w:val="00A03763"/>
    <w:rsid w:val="00A03992"/>
    <w:rsid w:val="00A03A17"/>
    <w:rsid w:val="00A03D7C"/>
    <w:rsid w:val="00A04412"/>
    <w:rsid w:val="00A04D29"/>
    <w:rsid w:val="00A04E2E"/>
    <w:rsid w:val="00A0500C"/>
    <w:rsid w:val="00A0504B"/>
    <w:rsid w:val="00A050A0"/>
    <w:rsid w:val="00A0548C"/>
    <w:rsid w:val="00A055DE"/>
    <w:rsid w:val="00A05677"/>
    <w:rsid w:val="00A058F8"/>
    <w:rsid w:val="00A05945"/>
    <w:rsid w:val="00A05A07"/>
    <w:rsid w:val="00A05B91"/>
    <w:rsid w:val="00A05F1D"/>
    <w:rsid w:val="00A060CD"/>
    <w:rsid w:val="00A062BF"/>
    <w:rsid w:val="00A06403"/>
    <w:rsid w:val="00A0665A"/>
    <w:rsid w:val="00A067F2"/>
    <w:rsid w:val="00A06A2E"/>
    <w:rsid w:val="00A06BD5"/>
    <w:rsid w:val="00A06BEE"/>
    <w:rsid w:val="00A06D37"/>
    <w:rsid w:val="00A06DC5"/>
    <w:rsid w:val="00A0721F"/>
    <w:rsid w:val="00A072B3"/>
    <w:rsid w:val="00A07423"/>
    <w:rsid w:val="00A0748E"/>
    <w:rsid w:val="00A07493"/>
    <w:rsid w:val="00A078D2"/>
    <w:rsid w:val="00A079DE"/>
    <w:rsid w:val="00A07A74"/>
    <w:rsid w:val="00A07BEA"/>
    <w:rsid w:val="00A100A9"/>
    <w:rsid w:val="00A101F8"/>
    <w:rsid w:val="00A10437"/>
    <w:rsid w:val="00A1043D"/>
    <w:rsid w:val="00A1046A"/>
    <w:rsid w:val="00A1069E"/>
    <w:rsid w:val="00A106CC"/>
    <w:rsid w:val="00A1085A"/>
    <w:rsid w:val="00A10A8E"/>
    <w:rsid w:val="00A10B24"/>
    <w:rsid w:val="00A10B49"/>
    <w:rsid w:val="00A10C22"/>
    <w:rsid w:val="00A11039"/>
    <w:rsid w:val="00A11135"/>
    <w:rsid w:val="00A113C8"/>
    <w:rsid w:val="00A11412"/>
    <w:rsid w:val="00A1158C"/>
    <w:rsid w:val="00A11687"/>
    <w:rsid w:val="00A119BF"/>
    <w:rsid w:val="00A11ABB"/>
    <w:rsid w:val="00A11AC9"/>
    <w:rsid w:val="00A11BC3"/>
    <w:rsid w:val="00A11CEE"/>
    <w:rsid w:val="00A11E77"/>
    <w:rsid w:val="00A11F04"/>
    <w:rsid w:val="00A11F08"/>
    <w:rsid w:val="00A11F18"/>
    <w:rsid w:val="00A12015"/>
    <w:rsid w:val="00A12128"/>
    <w:rsid w:val="00A1223D"/>
    <w:rsid w:val="00A1223E"/>
    <w:rsid w:val="00A12409"/>
    <w:rsid w:val="00A12959"/>
    <w:rsid w:val="00A12A84"/>
    <w:rsid w:val="00A12BA7"/>
    <w:rsid w:val="00A12BB1"/>
    <w:rsid w:val="00A12C9A"/>
    <w:rsid w:val="00A12CB8"/>
    <w:rsid w:val="00A12E59"/>
    <w:rsid w:val="00A13158"/>
    <w:rsid w:val="00A1321B"/>
    <w:rsid w:val="00A13651"/>
    <w:rsid w:val="00A136AF"/>
    <w:rsid w:val="00A136F5"/>
    <w:rsid w:val="00A1375B"/>
    <w:rsid w:val="00A138D0"/>
    <w:rsid w:val="00A13A34"/>
    <w:rsid w:val="00A13AB9"/>
    <w:rsid w:val="00A13C1A"/>
    <w:rsid w:val="00A13E0A"/>
    <w:rsid w:val="00A1409A"/>
    <w:rsid w:val="00A14106"/>
    <w:rsid w:val="00A14325"/>
    <w:rsid w:val="00A148AB"/>
    <w:rsid w:val="00A14A32"/>
    <w:rsid w:val="00A14BC7"/>
    <w:rsid w:val="00A14EBD"/>
    <w:rsid w:val="00A14F31"/>
    <w:rsid w:val="00A15399"/>
    <w:rsid w:val="00A1560A"/>
    <w:rsid w:val="00A1561A"/>
    <w:rsid w:val="00A1569B"/>
    <w:rsid w:val="00A15701"/>
    <w:rsid w:val="00A15765"/>
    <w:rsid w:val="00A1599A"/>
    <w:rsid w:val="00A15A2E"/>
    <w:rsid w:val="00A15A59"/>
    <w:rsid w:val="00A15AB2"/>
    <w:rsid w:val="00A15D89"/>
    <w:rsid w:val="00A15F4C"/>
    <w:rsid w:val="00A1618C"/>
    <w:rsid w:val="00A161C6"/>
    <w:rsid w:val="00A16267"/>
    <w:rsid w:val="00A162F8"/>
    <w:rsid w:val="00A16805"/>
    <w:rsid w:val="00A16A17"/>
    <w:rsid w:val="00A16AE0"/>
    <w:rsid w:val="00A16BAB"/>
    <w:rsid w:val="00A16BD0"/>
    <w:rsid w:val="00A16C23"/>
    <w:rsid w:val="00A16DAD"/>
    <w:rsid w:val="00A16EE2"/>
    <w:rsid w:val="00A17115"/>
    <w:rsid w:val="00A173DF"/>
    <w:rsid w:val="00A17515"/>
    <w:rsid w:val="00A17527"/>
    <w:rsid w:val="00A17898"/>
    <w:rsid w:val="00A17D4E"/>
    <w:rsid w:val="00A17ED8"/>
    <w:rsid w:val="00A17EF9"/>
    <w:rsid w:val="00A17F52"/>
    <w:rsid w:val="00A17FD4"/>
    <w:rsid w:val="00A17FF0"/>
    <w:rsid w:val="00A17FF8"/>
    <w:rsid w:val="00A20096"/>
    <w:rsid w:val="00A20131"/>
    <w:rsid w:val="00A2020A"/>
    <w:rsid w:val="00A20284"/>
    <w:rsid w:val="00A204EE"/>
    <w:rsid w:val="00A2064C"/>
    <w:rsid w:val="00A206AB"/>
    <w:rsid w:val="00A206EF"/>
    <w:rsid w:val="00A20E09"/>
    <w:rsid w:val="00A20E70"/>
    <w:rsid w:val="00A21237"/>
    <w:rsid w:val="00A21424"/>
    <w:rsid w:val="00A214FB"/>
    <w:rsid w:val="00A217A0"/>
    <w:rsid w:val="00A217E2"/>
    <w:rsid w:val="00A21847"/>
    <w:rsid w:val="00A21A6A"/>
    <w:rsid w:val="00A21ACF"/>
    <w:rsid w:val="00A21C47"/>
    <w:rsid w:val="00A21D9B"/>
    <w:rsid w:val="00A21F3F"/>
    <w:rsid w:val="00A22185"/>
    <w:rsid w:val="00A22289"/>
    <w:rsid w:val="00A2237F"/>
    <w:rsid w:val="00A2260B"/>
    <w:rsid w:val="00A226A6"/>
    <w:rsid w:val="00A228C0"/>
    <w:rsid w:val="00A229B3"/>
    <w:rsid w:val="00A22AA7"/>
    <w:rsid w:val="00A22DC2"/>
    <w:rsid w:val="00A22E47"/>
    <w:rsid w:val="00A22F40"/>
    <w:rsid w:val="00A2304A"/>
    <w:rsid w:val="00A23070"/>
    <w:rsid w:val="00A231CA"/>
    <w:rsid w:val="00A23469"/>
    <w:rsid w:val="00A23927"/>
    <w:rsid w:val="00A23965"/>
    <w:rsid w:val="00A23C21"/>
    <w:rsid w:val="00A23E44"/>
    <w:rsid w:val="00A2421F"/>
    <w:rsid w:val="00A24300"/>
    <w:rsid w:val="00A243BE"/>
    <w:rsid w:val="00A24462"/>
    <w:rsid w:val="00A245BD"/>
    <w:rsid w:val="00A245DF"/>
    <w:rsid w:val="00A2477F"/>
    <w:rsid w:val="00A2494B"/>
    <w:rsid w:val="00A24975"/>
    <w:rsid w:val="00A24996"/>
    <w:rsid w:val="00A24A23"/>
    <w:rsid w:val="00A24A27"/>
    <w:rsid w:val="00A24B87"/>
    <w:rsid w:val="00A24C8E"/>
    <w:rsid w:val="00A24D29"/>
    <w:rsid w:val="00A24ECD"/>
    <w:rsid w:val="00A24F73"/>
    <w:rsid w:val="00A24F93"/>
    <w:rsid w:val="00A254CB"/>
    <w:rsid w:val="00A25697"/>
    <w:rsid w:val="00A2577D"/>
    <w:rsid w:val="00A25966"/>
    <w:rsid w:val="00A259F1"/>
    <w:rsid w:val="00A25E1B"/>
    <w:rsid w:val="00A25E77"/>
    <w:rsid w:val="00A26246"/>
    <w:rsid w:val="00A262CA"/>
    <w:rsid w:val="00A264C5"/>
    <w:rsid w:val="00A2650F"/>
    <w:rsid w:val="00A268B2"/>
    <w:rsid w:val="00A26A3B"/>
    <w:rsid w:val="00A26B5B"/>
    <w:rsid w:val="00A26D5B"/>
    <w:rsid w:val="00A26DFA"/>
    <w:rsid w:val="00A26E45"/>
    <w:rsid w:val="00A26EA7"/>
    <w:rsid w:val="00A2720D"/>
    <w:rsid w:val="00A273D9"/>
    <w:rsid w:val="00A273DE"/>
    <w:rsid w:val="00A27556"/>
    <w:rsid w:val="00A27561"/>
    <w:rsid w:val="00A277D4"/>
    <w:rsid w:val="00A27829"/>
    <w:rsid w:val="00A279AB"/>
    <w:rsid w:val="00A27EF5"/>
    <w:rsid w:val="00A3026E"/>
    <w:rsid w:val="00A302CE"/>
    <w:rsid w:val="00A303CE"/>
    <w:rsid w:val="00A3045E"/>
    <w:rsid w:val="00A30462"/>
    <w:rsid w:val="00A3052B"/>
    <w:rsid w:val="00A3068E"/>
    <w:rsid w:val="00A3069A"/>
    <w:rsid w:val="00A30A14"/>
    <w:rsid w:val="00A30B44"/>
    <w:rsid w:val="00A30BB9"/>
    <w:rsid w:val="00A30CE4"/>
    <w:rsid w:val="00A30D36"/>
    <w:rsid w:val="00A30DBF"/>
    <w:rsid w:val="00A30EC5"/>
    <w:rsid w:val="00A30F33"/>
    <w:rsid w:val="00A31424"/>
    <w:rsid w:val="00A31493"/>
    <w:rsid w:val="00A3163B"/>
    <w:rsid w:val="00A3173E"/>
    <w:rsid w:val="00A31763"/>
    <w:rsid w:val="00A31A5D"/>
    <w:rsid w:val="00A31DC5"/>
    <w:rsid w:val="00A320F3"/>
    <w:rsid w:val="00A32363"/>
    <w:rsid w:val="00A32385"/>
    <w:rsid w:val="00A32A5C"/>
    <w:rsid w:val="00A32A85"/>
    <w:rsid w:val="00A32A8D"/>
    <w:rsid w:val="00A32AD9"/>
    <w:rsid w:val="00A32B25"/>
    <w:rsid w:val="00A32E80"/>
    <w:rsid w:val="00A3315D"/>
    <w:rsid w:val="00A33169"/>
    <w:rsid w:val="00A33250"/>
    <w:rsid w:val="00A33556"/>
    <w:rsid w:val="00A338BD"/>
    <w:rsid w:val="00A33A4E"/>
    <w:rsid w:val="00A33B18"/>
    <w:rsid w:val="00A33BCC"/>
    <w:rsid w:val="00A33CA1"/>
    <w:rsid w:val="00A33DDA"/>
    <w:rsid w:val="00A33E40"/>
    <w:rsid w:val="00A343F4"/>
    <w:rsid w:val="00A34639"/>
    <w:rsid w:val="00A346AD"/>
    <w:rsid w:val="00A347F3"/>
    <w:rsid w:val="00A34BCB"/>
    <w:rsid w:val="00A34C70"/>
    <w:rsid w:val="00A34CA0"/>
    <w:rsid w:val="00A34DF3"/>
    <w:rsid w:val="00A34E49"/>
    <w:rsid w:val="00A34ED8"/>
    <w:rsid w:val="00A35236"/>
    <w:rsid w:val="00A352A0"/>
    <w:rsid w:val="00A352C1"/>
    <w:rsid w:val="00A3530C"/>
    <w:rsid w:val="00A3569C"/>
    <w:rsid w:val="00A356F4"/>
    <w:rsid w:val="00A357FC"/>
    <w:rsid w:val="00A35918"/>
    <w:rsid w:val="00A35AB1"/>
    <w:rsid w:val="00A35D54"/>
    <w:rsid w:val="00A35EB0"/>
    <w:rsid w:val="00A35F1E"/>
    <w:rsid w:val="00A3616C"/>
    <w:rsid w:val="00A363AF"/>
    <w:rsid w:val="00A364A6"/>
    <w:rsid w:val="00A36520"/>
    <w:rsid w:val="00A36833"/>
    <w:rsid w:val="00A36A0B"/>
    <w:rsid w:val="00A36A4F"/>
    <w:rsid w:val="00A36A5A"/>
    <w:rsid w:val="00A36C6A"/>
    <w:rsid w:val="00A36D1D"/>
    <w:rsid w:val="00A36D8C"/>
    <w:rsid w:val="00A36DBA"/>
    <w:rsid w:val="00A3723B"/>
    <w:rsid w:val="00A3768C"/>
    <w:rsid w:val="00A37A3E"/>
    <w:rsid w:val="00A37C25"/>
    <w:rsid w:val="00A37DD9"/>
    <w:rsid w:val="00A40003"/>
    <w:rsid w:val="00A40102"/>
    <w:rsid w:val="00A40113"/>
    <w:rsid w:val="00A4038D"/>
    <w:rsid w:val="00A40395"/>
    <w:rsid w:val="00A40677"/>
    <w:rsid w:val="00A40C00"/>
    <w:rsid w:val="00A40CF0"/>
    <w:rsid w:val="00A40FEE"/>
    <w:rsid w:val="00A41185"/>
    <w:rsid w:val="00A411D3"/>
    <w:rsid w:val="00A4121E"/>
    <w:rsid w:val="00A41245"/>
    <w:rsid w:val="00A41306"/>
    <w:rsid w:val="00A41417"/>
    <w:rsid w:val="00A415D6"/>
    <w:rsid w:val="00A4174B"/>
    <w:rsid w:val="00A418AA"/>
    <w:rsid w:val="00A41B6B"/>
    <w:rsid w:val="00A41BAE"/>
    <w:rsid w:val="00A41FD0"/>
    <w:rsid w:val="00A42187"/>
    <w:rsid w:val="00A4224B"/>
    <w:rsid w:val="00A4235C"/>
    <w:rsid w:val="00A425D3"/>
    <w:rsid w:val="00A426CF"/>
    <w:rsid w:val="00A426EE"/>
    <w:rsid w:val="00A4271C"/>
    <w:rsid w:val="00A4275A"/>
    <w:rsid w:val="00A42768"/>
    <w:rsid w:val="00A42854"/>
    <w:rsid w:val="00A42975"/>
    <w:rsid w:val="00A433CD"/>
    <w:rsid w:val="00A43566"/>
    <w:rsid w:val="00A438AF"/>
    <w:rsid w:val="00A438F7"/>
    <w:rsid w:val="00A43AFE"/>
    <w:rsid w:val="00A43B0D"/>
    <w:rsid w:val="00A43B0E"/>
    <w:rsid w:val="00A43B46"/>
    <w:rsid w:val="00A43FCE"/>
    <w:rsid w:val="00A44217"/>
    <w:rsid w:val="00A442CD"/>
    <w:rsid w:val="00A442EC"/>
    <w:rsid w:val="00A4430C"/>
    <w:rsid w:val="00A44328"/>
    <w:rsid w:val="00A4441D"/>
    <w:rsid w:val="00A44441"/>
    <w:rsid w:val="00A446AE"/>
    <w:rsid w:val="00A44840"/>
    <w:rsid w:val="00A44A36"/>
    <w:rsid w:val="00A45150"/>
    <w:rsid w:val="00A451DD"/>
    <w:rsid w:val="00A45321"/>
    <w:rsid w:val="00A453C3"/>
    <w:rsid w:val="00A4550C"/>
    <w:rsid w:val="00A45AEE"/>
    <w:rsid w:val="00A45D7B"/>
    <w:rsid w:val="00A45E2C"/>
    <w:rsid w:val="00A45F11"/>
    <w:rsid w:val="00A46029"/>
    <w:rsid w:val="00A460E0"/>
    <w:rsid w:val="00A46470"/>
    <w:rsid w:val="00A465D0"/>
    <w:rsid w:val="00A46695"/>
    <w:rsid w:val="00A46831"/>
    <w:rsid w:val="00A46869"/>
    <w:rsid w:val="00A46AC7"/>
    <w:rsid w:val="00A46B43"/>
    <w:rsid w:val="00A46FA9"/>
    <w:rsid w:val="00A46FC9"/>
    <w:rsid w:val="00A46FEF"/>
    <w:rsid w:val="00A470D0"/>
    <w:rsid w:val="00A47692"/>
    <w:rsid w:val="00A47990"/>
    <w:rsid w:val="00A479DE"/>
    <w:rsid w:val="00A500E8"/>
    <w:rsid w:val="00A50162"/>
    <w:rsid w:val="00A50227"/>
    <w:rsid w:val="00A503F9"/>
    <w:rsid w:val="00A50411"/>
    <w:rsid w:val="00A50432"/>
    <w:rsid w:val="00A5045F"/>
    <w:rsid w:val="00A505D6"/>
    <w:rsid w:val="00A50623"/>
    <w:rsid w:val="00A50633"/>
    <w:rsid w:val="00A50724"/>
    <w:rsid w:val="00A50900"/>
    <w:rsid w:val="00A50950"/>
    <w:rsid w:val="00A50C9A"/>
    <w:rsid w:val="00A50D77"/>
    <w:rsid w:val="00A50F53"/>
    <w:rsid w:val="00A50F83"/>
    <w:rsid w:val="00A5101A"/>
    <w:rsid w:val="00A51065"/>
    <w:rsid w:val="00A512C8"/>
    <w:rsid w:val="00A51375"/>
    <w:rsid w:val="00A51446"/>
    <w:rsid w:val="00A515B7"/>
    <w:rsid w:val="00A51643"/>
    <w:rsid w:val="00A5172B"/>
    <w:rsid w:val="00A51794"/>
    <w:rsid w:val="00A51A27"/>
    <w:rsid w:val="00A51C09"/>
    <w:rsid w:val="00A51D80"/>
    <w:rsid w:val="00A51E28"/>
    <w:rsid w:val="00A51EC5"/>
    <w:rsid w:val="00A51FF1"/>
    <w:rsid w:val="00A5208E"/>
    <w:rsid w:val="00A521EE"/>
    <w:rsid w:val="00A5241B"/>
    <w:rsid w:val="00A524FB"/>
    <w:rsid w:val="00A52582"/>
    <w:rsid w:val="00A52711"/>
    <w:rsid w:val="00A5295B"/>
    <w:rsid w:val="00A52AA2"/>
    <w:rsid w:val="00A530F3"/>
    <w:rsid w:val="00A53375"/>
    <w:rsid w:val="00A538F4"/>
    <w:rsid w:val="00A538F9"/>
    <w:rsid w:val="00A53ACB"/>
    <w:rsid w:val="00A53C57"/>
    <w:rsid w:val="00A53CBF"/>
    <w:rsid w:val="00A53FB4"/>
    <w:rsid w:val="00A542AF"/>
    <w:rsid w:val="00A545A6"/>
    <w:rsid w:val="00A54649"/>
    <w:rsid w:val="00A54653"/>
    <w:rsid w:val="00A546F2"/>
    <w:rsid w:val="00A54928"/>
    <w:rsid w:val="00A549B1"/>
    <w:rsid w:val="00A551A1"/>
    <w:rsid w:val="00A5526E"/>
    <w:rsid w:val="00A5535F"/>
    <w:rsid w:val="00A5581F"/>
    <w:rsid w:val="00A559E3"/>
    <w:rsid w:val="00A55A61"/>
    <w:rsid w:val="00A56098"/>
    <w:rsid w:val="00A562C9"/>
    <w:rsid w:val="00A563C4"/>
    <w:rsid w:val="00A56434"/>
    <w:rsid w:val="00A56474"/>
    <w:rsid w:val="00A564E9"/>
    <w:rsid w:val="00A5683F"/>
    <w:rsid w:val="00A568A5"/>
    <w:rsid w:val="00A56AC9"/>
    <w:rsid w:val="00A56E89"/>
    <w:rsid w:val="00A5715F"/>
    <w:rsid w:val="00A57355"/>
    <w:rsid w:val="00A577B2"/>
    <w:rsid w:val="00A577C5"/>
    <w:rsid w:val="00A579F9"/>
    <w:rsid w:val="00A57AED"/>
    <w:rsid w:val="00A57D85"/>
    <w:rsid w:val="00A57FF5"/>
    <w:rsid w:val="00A60068"/>
    <w:rsid w:val="00A600A9"/>
    <w:rsid w:val="00A60449"/>
    <w:rsid w:val="00A6053D"/>
    <w:rsid w:val="00A606F0"/>
    <w:rsid w:val="00A60932"/>
    <w:rsid w:val="00A609EE"/>
    <w:rsid w:val="00A60D7F"/>
    <w:rsid w:val="00A60EAF"/>
    <w:rsid w:val="00A60F95"/>
    <w:rsid w:val="00A61250"/>
    <w:rsid w:val="00A61290"/>
    <w:rsid w:val="00A613D3"/>
    <w:rsid w:val="00A61615"/>
    <w:rsid w:val="00A61658"/>
    <w:rsid w:val="00A6165C"/>
    <w:rsid w:val="00A616E1"/>
    <w:rsid w:val="00A617AA"/>
    <w:rsid w:val="00A618FA"/>
    <w:rsid w:val="00A61B46"/>
    <w:rsid w:val="00A61C79"/>
    <w:rsid w:val="00A61FB9"/>
    <w:rsid w:val="00A6209F"/>
    <w:rsid w:val="00A6210F"/>
    <w:rsid w:val="00A6211E"/>
    <w:rsid w:val="00A622D4"/>
    <w:rsid w:val="00A624A4"/>
    <w:rsid w:val="00A62531"/>
    <w:rsid w:val="00A6257C"/>
    <w:rsid w:val="00A625AA"/>
    <w:rsid w:val="00A625F6"/>
    <w:rsid w:val="00A62758"/>
    <w:rsid w:val="00A62B8F"/>
    <w:rsid w:val="00A62C97"/>
    <w:rsid w:val="00A62F5D"/>
    <w:rsid w:val="00A62F6C"/>
    <w:rsid w:val="00A63166"/>
    <w:rsid w:val="00A63635"/>
    <w:rsid w:val="00A6363C"/>
    <w:rsid w:val="00A636BE"/>
    <w:rsid w:val="00A6385D"/>
    <w:rsid w:val="00A63930"/>
    <w:rsid w:val="00A63AA9"/>
    <w:rsid w:val="00A63AAF"/>
    <w:rsid w:val="00A63D2D"/>
    <w:rsid w:val="00A63ED5"/>
    <w:rsid w:val="00A6417A"/>
    <w:rsid w:val="00A643E0"/>
    <w:rsid w:val="00A64568"/>
    <w:rsid w:val="00A64677"/>
    <w:rsid w:val="00A64A04"/>
    <w:rsid w:val="00A64A0F"/>
    <w:rsid w:val="00A64C79"/>
    <w:rsid w:val="00A64D54"/>
    <w:rsid w:val="00A65054"/>
    <w:rsid w:val="00A650FC"/>
    <w:rsid w:val="00A65148"/>
    <w:rsid w:val="00A65219"/>
    <w:rsid w:val="00A652D8"/>
    <w:rsid w:val="00A6563F"/>
    <w:rsid w:val="00A658B6"/>
    <w:rsid w:val="00A65F85"/>
    <w:rsid w:val="00A65FD8"/>
    <w:rsid w:val="00A6664D"/>
    <w:rsid w:val="00A66668"/>
    <w:rsid w:val="00A66798"/>
    <w:rsid w:val="00A667F4"/>
    <w:rsid w:val="00A669C2"/>
    <w:rsid w:val="00A66B50"/>
    <w:rsid w:val="00A66BAA"/>
    <w:rsid w:val="00A66C9D"/>
    <w:rsid w:val="00A67135"/>
    <w:rsid w:val="00A67202"/>
    <w:rsid w:val="00A6727D"/>
    <w:rsid w:val="00A673B2"/>
    <w:rsid w:val="00A67AA3"/>
    <w:rsid w:val="00A67BB0"/>
    <w:rsid w:val="00A67C14"/>
    <w:rsid w:val="00A67D3A"/>
    <w:rsid w:val="00A67D54"/>
    <w:rsid w:val="00A67DC8"/>
    <w:rsid w:val="00A67F8E"/>
    <w:rsid w:val="00A700DF"/>
    <w:rsid w:val="00A703F4"/>
    <w:rsid w:val="00A707DC"/>
    <w:rsid w:val="00A7099E"/>
    <w:rsid w:val="00A70B22"/>
    <w:rsid w:val="00A70CCB"/>
    <w:rsid w:val="00A70D38"/>
    <w:rsid w:val="00A70E29"/>
    <w:rsid w:val="00A70E58"/>
    <w:rsid w:val="00A70F75"/>
    <w:rsid w:val="00A70FBA"/>
    <w:rsid w:val="00A70FC8"/>
    <w:rsid w:val="00A7115E"/>
    <w:rsid w:val="00A71B24"/>
    <w:rsid w:val="00A71B5C"/>
    <w:rsid w:val="00A71BA8"/>
    <w:rsid w:val="00A71BFC"/>
    <w:rsid w:val="00A71D7E"/>
    <w:rsid w:val="00A71F2E"/>
    <w:rsid w:val="00A720EF"/>
    <w:rsid w:val="00A721E6"/>
    <w:rsid w:val="00A7225E"/>
    <w:rsid w:val="00A72536"/>
    <w:rsid w:val="00A7275C"/>
    <w:rsid w:val="00A727BB"/>
    <w:rsid w:val="00A72803"/>
    <w:rsid w:val="00A72B05"/>
    <w:rsid w:val="00A72B8C"/>
    <w:rsid w:val="00A72C5F"/>
    <w:rsid w:val="00A730A2"/>
    <w:rsid w:val="00A7378A"/>
    <w:rsid w:val="00A738A3"/>
    <w:rsid w:val="00A73C43"/>
    <w:rsid w:val="00A73CB5"/>
    <w:rsid w:val="00A73D09"/>
    <w:rsid w:val="00A73F90"/>
    <w:rsid w:val="00A74063"/>
    <w:rsid w:val="00A741C2"/>
    <w:rsid w:val="00A74280"/>
    <w:rsid w:val="00A74398"/>
    <w:rsid w:val="00A74563"/>
    <w:rsid w:val="00A745FC"/>
    <w:rsid w:val="00A74827"/>
    <w:rsid w:val="00A74B3C"/>
    <w:rsid w:val="00A74BB1"/>
    <w:rsid w:val="00A74CB5"/>
    <w:rsid w:val="00A74FA0"/>
    <w:rsid w:val="00A75086"/>
    <w:rsid w:val="00A75747"/>
    <w:rsid w:val="00A75B17"/>
    <w:rsid w:val="00A75BB4"/>
    <w:rsid w:val="00A75BE1"/>
    <w:rsid w:val="00A75D35"/>
    <w:rsid w:val="00A75D56"/>
    <w:rsid w:val="00A75D7C"/>
    <w:rsid w:val="00A75DE2"/>
    <w:rsid w:val="00A75F26"/>
    <w:rsid w:val="00A760AA"/>
    <w:rsid w:val="00A76240"/>
    <w:rsid w:val="00A762BC"/>
    <w:rsid w:val="00A7641A"/>
    <w:rsid w:val="00A76584"/>
    <w:rsid w:val="00A76A15"/>
    <w:rsid w:val="00A76A5E"/>
    <w:rsid w:val="00A76D42"/>
    <w:rsid w:val="00A771C4"/>
    <w:rsid w:val="00A7745A"/>
    <w:rsid w:val="00A774F7"/>
    <w:rsid w:val="00A77527"/>
    <w:rsid w:val="00A77563"/>
    <w:rsid w:val="00A77595"/>
    <w:rsid w:val="00A77685"/>
    <w:rsid w:val="00A77841"/>
    <w:rsid w:val="00A77973"/>
    <w:rsid w:val="00A779D0"/>
    <w:rsid w:val="00A77A82"/>
    <w:rsid w:val="00A77AE8"/>
    <w:rsid w:val="00A77B55"/>
    <w:rsid w:val="00A77D64"/>
    <w:rsid w:val="00A800F7"/>
    <w:rsid w:val="00A804A8"/>
    <w:rsid w:val="00A804E2"/>
    <w:rsid w:val="00A80527"/>
    <w:rsid w:val="00A805F7"/>
    <w:rsid w:val="00A80C08"/>
    <w:rsid w:val="00A80E85"/>
    <w:rsid w:val="00A811D1"/>
    <w:rsid w:val="00A812FB"/>
    <w:rsid w:val="00A817D8"/>
    <w:rsid w:val="00A81974"/>
    <w:rsid w:val="00A81A74"/>
    <w:rsid w:val="00A81A95"/>
    <w:rsid w:val="00A81BCD"/>
    <w:rsid w:val="00A81CA6"/>
    <w:rsid w:val="00A81CB1"/>
    <w:rsid w:val="00A81EA9"/>
    <w:rsid w:val="00A81EEC"/>
    <w:rsid w:val="00A82067"/>
    <w:rsid w:val="00A82128"/>
    <w:rsid w:val="00A82199"/>
    <w:rsid w:val="00A821D1"/>
    <w:rsid w:val="00A82671"/>
    <w:rsid w:val="00A82698"/>
    <w:rsid w:val="00A826F5"/>
    <w:rsid w:val="00A82942"/>
    <w:rsid w:val="00A82A27"/>
    <w:rsid w:val="00A82B9D"/>
    <w:rsid w:val="00A82BF3"/>
    <w:rsid w:val="00A82C00"/>
    <w:rsid w:val="00A82CFB"/>
    <w:rsid w:val="00A82D6C"/>
    <w:rsid w:val="00A82DE0"/>
    <w:rsid w:val="00A82EDA"/>
    <w:rsid w:val="00A82F17"/>
    <w:rsid w:val="00A831B7"/>
    <w:rsid w:val="00A83244"/>
    <w:rsid w:val="00A832BE"/>
    <w:rsid w:val="00A832DB"/>
    <w:rsid w:val="00A8351C"/>
    <w:rsid w:val="00A835A1"/>
    <w:rsid w:val="00A835A5"/>
    <w:rsid w:val="00A835BE"/>
    <w:rsid w:val="00A83ED0"/>
    <w:rsid w:val="00A83F0D"/>
    <w:rsid w:val="00A83FEA"/>
    <w:rsid w:val="00A8400A"/>
    <w:rsid w:val="00A8424A"/>
    <w:rsid w:val="00A8431E"/>
    <w:rsid w:val="00A8437B"/>
    <w:rsid w:val="00A843B9"/>
    <w:rsid w:val="00A845FC"/>
    <w:rsid w:val="00A84876"/>
    <w:rsid w:val="00A84886"/>
    <w:rsid w:val="00A8494F"/>
    <w:rsid w:val="00A849AE"/>
    <w:rsid w:val="00A84BF8"/>
    <w:rsid w:val="00A84CB2"/>
    <w:rsid w:val="00A85044"/>
    <w:rsid w:val="00A85076"/>
    <w:rsid w:val="00A850A7"/>
    <w:rsid w:val="00A850E0"/>
    <w:rsid w:val="00A85470"/>
    <w:rsid w:val="00A85588"/>
    <w:rsid w:val="00A856F0"/>
    <w:rsid w:val="00A85A1A"/>
    <w:rsid w:val="00A85CDB"/>
    <w:rsid w:val="00A85E41"/>
    <w:rsid w:val="00A85F63"/>
    <w:rsid w:val="00A8612E"/>
    <w:rsid w:val="00A861EF"/>
    <w:rsid w:val="00A86315"/>
    <w:rsid w:val="00A8657E"/>
    <w:rsid w:val="00A8667E"/>
    <w:rsid w:val="00A867B0"/>
    <w:rsid w:val="00A868DB"/>
    <w:rsid w:val="00A8694C"/>
    <w:rsid w:val="00A86A1F"/>
    <w:rsid w:val="00A86AF6"/>
    <w:rsid w:val="00A86EFA"/>
    <w:rsid w:val="00A86F04"/>
    <w:rsid w:val="00A86F98"/>
    <w:rsid w:val="00A8703A"/>
    <w:rsid w:val="00A874DD"/>
    <w:rsid w:val="00A87566"/>
    <w:rsid w:val="00A87A78"/>
    <w:rsid w:val="00A87D6B"/>
    <w:rsid w:val="00A87E0D"/>
    <w:rsid w:val="00A87E63"/>
    <w:rsid w:val="00A9008A"/>
    <w:rsid w:val="00A900AA"/>
    <w:rsid w:val="00A90204"/>
    <w:rsid w:val="00A9029A"/>
    <w:rsid w:val="00A902D5"/>
    <w:rsid w:val="00A90309"/>
    <w:rsid w:val="00A904CA"/>
    <w:rsid w:val="00A904CD"/>
    <w:rsid w:val="00A904F0"/>
    <w:rsid w:val="00A907FB"/>
    <w:rsid w:val="00A90802"/>
    <w:rsid w:val="00A90804"/>
    <w:rsid w:val="00A90B65"/>
    <w:rsid w:val="00A90DF5"/>
    <w:rsid w:val="00A90EA7"/>
    <w:rsid w:val="00A90F2E"/>
    <w:rsid w:val="00A911CF"/>
    <w:rsid w:val="00A91281"/>
    <w:rsid w:val="00A91531"/>
    <w:rsid w:val="00A919CF"/>
    <w:rsid w:val="00A91BD5"/>
    <w:rsid w:val="00A91BF6"/>
    <w:rsid w:val="00A91DD8"/>
    <w:rsid w:val="00A9208F"/>
    <w:rsid w:val="00A9211B"/>
    <w:rsid w:val="00A92410"/>
    <w:rsid w:val="00A9268B"/>
    <w:rsid w:val="00A92736"/>
    <w:rsid w:val="00A92A0F"/>
    <w:rsid w:val="00A92ADD"/>
    <w:rsid w:val="00A92AE9"/>
    <w:rsid w:val="00A92C3D"/>
    <w:rsid w:val="00A92E4A"/>
    <w:rsid w:val="00A92F1C"/>
    <w:rsid w:val="00A9304D"/>
    <w:rsid w:val="00A9316A"/>
    <w:rsid w:val="00A93265"/>
    <w:rsid w:val="00A933CB"/>
    <w:rsid w:val="00A935D1"/>
    <w:rsid w:val="00A9373D"/>
    <w:rsid w:val="00A938CE"/>
    <w:rsid w:val="00A93909"/>
    <w:rsid w:val="00A93A84"/>
    <w:rsid w:val="00A93FAE"/>
    <w:rsid w:val="00A94091"/>
    <w:rsid w:val="00A941F7"/>
    <w:rsid w:val="00A94200"/>
    <w:rsid w:val="00A94211"/>
    <w:rsid w:val="00A9422D"/>
    <w:rsid w:val="00A94302"/>
    <w:rsid w:val="00A946F4"/>
    <w:rsid w:val="00A947B7"/>
    <w:rsid w:val="00A94DA6"/>
    <w:rsid w:val="00A94EBF"/>
    <w:rsid w:val="00A950CD"/>
    <w:rsid w:val="00A95390"/>
    <w:rsid w:val="00A9547E"/>
    <w:rsid w:val="00A954FE"/>
    <w:rsid w:val="00A95584"/>
    <w:rsid w:val="00A95687"/>
    <w:rsid w:val="00A9575F"/>
    <w:rsid w:val="00A957CA"/>
    <w:rsid w:val="00A95C4E"/>
    <w:rsid w:val="00A95C90"/>
    <w:rsid w:val="00A95DA4"/>
    <w:rsid w:val="00A95F2E"/>
    <w:rsid w:val="00A96149"/>
    <w:rsid w:val="00A96215"/>
    <w:rsid w:val="00A96D81"/>
    <w:rsid w:val="00A970A9"/>
    <w:rsid w:val="00A9730C"/>
    <w:rsid w:val="00A97522"/>
    <w:rsid w:val="00A9761C"/>
    <w:rsid w:val="00A977B4"/>
    <w:rsid w:val="00A97926"/>
    <w:rsid w:val="00A97941"/>
    <w:rsid w:val="00A97943"/>
    <w:rsid w:val="00AA024C"/>
    <w:rsid w:val="00AA0279"/>
    <w:rsid w:val="00AA0314"/>
    <w:rsid w:val="00AA0569"/>
    <w:rsid w:val="00AA079D"/>
    <w:rsid w:val="00AA095A"/>
    <w:rsid w:val="00AA0CD4"/>
    <w:rsid w:val="00AA0D93"/>
    <w:rsid w:val="00AA0EB3"/>
    <w:rsid w:val="00AA0FDD"/>
    <w:rsid w:val="00AA101F"/>
    <w:rsid w:val="00AA104C"/>
    <w:rsid w:val="00AA1260"/>
    <w:rsid w:val="00AA127F"/>
    <w:rsid w:val="00AA1417"/>
    <w:rsid w:val="00AA1772"/>
    <w:rsid w:val="00AA180C"/>
    <w:rsid w:val="00AA1877"/>
    <w:rsid w:val="00AA1D1A"/>
    <w:rsid w:val="00AA1E7F"/>
    <w:rsid w:val="00AA1F87"/>
    <w:rsid w:val="00AA2824"/>
    <w:rsid w:val="00AA2B9F"/>
    <w:rsid w:val="00AA2D5B"/>
    <w:rsid w:val="00AA2DE2"/>
    <w:rsid w:val="00AA3146"/>
    <w:rsid w:val="00AA32D7"/>
    <w:rsid w:val="00AA3514"/>
    <w:rsid w:val="00AA3709"/>
    <w:rsid w:val="00AA380B"/>
    <w:rsid w:val="00AA39B6"/>
    <w:rsid w:val="00AA3A5F"/>
    <w:rsid w:val="00AA3ADE"/>
    <w:rsid w:val="00AA3CDD"/>
    <w:rsid w:val="00AA3F62"/>
    <w:rsid w:val="00AA4403"/>
    <w:rsid w:val="00AA4636"/>
    <w:rsid w:val="00AA4806"/>
    <w:rsid w:val="00AA4DB6"/>
    <w:rsid w:val="00AA4E8C"/>
    <w:rsid w:val="00AA511C"/>
    <w:rsid w:val="00AA5124"/>
    <w:rsid w:val="00AA53F1"/>
    <w:rsid w:val="00AA543D"/>
    <w:rsid w:val="00AA577F"/>
    <w:rsid w:val="00AA5780"/>
    <w:rsid w:val="00AA5893"/>
    <w:rsid w:val="00AA5953"/>
    <w:rsid w:val="00AA59DA"/>
    <w:rsid w:val="00AA5A2A"/>
    <w:rsid w:val="00AA5D20"/>
    <w:rsid w:val="00AA5ECF"/>
    <w:rsid w:val="00AA62F9"/>
    <w:rsid w:val="00AA64BC"/>
    <w:rsid w:val="00AA6576"/>
    <w:rsid w:val="00AA67C5"/>
    <w:rsid w:val="00AA68FE"/>
    <w:rsid w:val="00AA69A2"/>
    <w:rsid w:val="00AA6CEB"/>
    <w:rsid w:val="00AA6DAF"/>
    <w:rsid w:val="00AA7111"/>
    <w:rsid w:val="00AA73A5"/>
    <w:rsid w:val="00AA73FD"/>
    <w:rsid w:val="00AA7457"/>
    <w:rsid w:val="00AA756D"/>
    <w:rsid w:val="00AA75FF"/>
    <w:rsid w:val="00AA767B"/>
    <w:rsid w:val="00AA7795"/>
    <w:rsid w:val="00AA7BF0"/>
    <w:rsid w:val="00AA7EAC"/>
    <w:rsid w:val="00AB012B"/>
    <w:rsid w:val="00AB012E"/>
    <w:rsid w:val="00AB02D0"/>
    <w:rsid w:val="00AB0392"/>
    <w:rsid w:val="00AB0460"/>
    <w:rsid w:val="00AB04D2"/>
    <w:rsid w:val="00AB0766"/>
    <w:rsid w:val="00AB0A0E"/>
    <w:rsid w:val="00AB0D8B"/>
    <w:rsid w:val="00AB0F5D"/>
    <w:rsid w:val="00AB11B3"/>
    <w:rsid w:val="00AB11F3"/>
    <w:rsid w:val="00AB128A"/>
    <w:rsid w:val="00AB1489"/>
    <w:rsid w:val="00AB1728"/>
    <w:rsid w:val="00AB1742"/>
    <w:rsid w:val="00AB1764"/>
    <w:rsid w:val="00AB1890"/>
    <w:rsid w:val="00AB1937"/>
    <w:rsid w:val="00AB1B21"/>
    <w:rsid w:val="00AB1B79"/>
    <w:rsid w:val="00AB1BE1"/>
    <w:rsid w:val="00AB20D6"/>
    <w:rsid w:val="00AB21F7"/>
    <w:rsid w:val="00AB2222"/>
    <w:rsid w:val="00AB235F"/>
    <w:rsid w:val="00AB23CD"/>
    <w:rsid w:val="00AB254F"/>
    <w:rsid w:val="00AB26CF"/>
    <w:rsid w:val="00AB2789"/>
    <w:rsid w:val="00AB286E"/>
    <w:rsid w:val="00AB288A"/>
    <w:rsid w:val="00AB288B"/>
    <w:rsid w:val="00AB29C7"/>
    <w:rsid w:val="00AB2A8F"/>
    <w:rsid w:val="00AB2C8C"/>
    <w:rsid w:val="00AB2F85"/>
    <w:rsid w:val="00AB30AD"/>
    <w:rsid w:val="00AB3169"/>
    <w:rsid w:val="00AB31E3"/>
    <w:rsid w:val="00AB31FA"/>
    <w:rsid w:val="00AB3247"/>
    <w:rsid w:val="00AB336F"/>
    <w:rsid w:val="00AB33D0"/>
    <w:rsid w:val="00AB38F6"/>
    <w:rsid w:val="00AB3928"/>
    <w:rsid w:val="00AB3A14"/>
    <w:rsid w:val="00AB3B3B"/>
    <w:rsid w:val="00AB3CBD"/>
    <w:rsid w:val="00AB3DB3"/>
    <w:rsid w:val="00AB3E31"/>
    <w:rsid w:val="00AB4201"/>
    <w:rsid w:val="00AB455D"/>
    <w:rsid w:val="00AB45F0"/>
    <w:rsid w:val="00AB4733"/>
    <w:rsid w:val="00AB47B3"/>
    <w:rsid w:val="00AB4A99"/>
    <w:rsid w:val="00AB4A9D"/>
    <w:rsid w:val="00AB4B89"/>
    <w:rsid w:val="00AB4BE8"/>
    <w:rsid w:val="00AB55A9"/>
    <w:rsid w:val="00AB59B9"/>
    <w:rsid w:val="00AB5C08"/>
    <w:rsid w:val="00AB5CCD"/>
    <w:rsid w:val="00AB5FBB"/>
    <w:rsid w:val="00AB6180"/>
    <w:rsid w:val="00AB6267"/>
    <w:rsid w:val="00AB6654"/>
    <w:rsid w:val="00AB6902"/>
    <w:rsid w:val="00AB6A1D"/>
    <w:rsid w:val="00AB6AE7"/>
    <w:rsid w:val="00AB6CA4"/>
    <w:rsid w:val="00AB6CB6"/>
    <w:rsid w:val="00AB72A1"/>
    <w:rsid w:val="00AB762F"/>
    <w:rsid w:val="00AB7CDB"/>
    <w:rsid w:val="00AB7E70"/>
    <w:rsid w:val="00AB7E7B"/>
    <w:rsid w:val="00AB7F78"/>
    <w:rsid w:val="00AC0044"/>
    <w:rsid w:val="00AC0186"/>
    <w:rsid w:val="00AC0269"/>
    <w:rsid w:val="00AC02CD"/>
    <w:rsid w:val="00AC0489"/>
    <w:rsid w:val="00AC0581"/>
    <w:rsid w:val="00AC05AF"/>
    <w:rsid w:val="00AC0987"/>
    <w:rsid w:val="00AC0A9F"/>
    <w:rsid w:val="00AC0B0F"/>
    <w:rsid w:val="00AC0B7C"/>
    <w:rsid w:val="00AC0B92"/>
    <w:rsid w:val="00AC0CB1"/>
    <w:rsid w:val="00AC0D05"/>
    <w:rsid w:val="00AC1000"/>
    <w:rsid w:val="00AC1158"/>
    <w:rsid w:val="00AC115E"/>
    <w:rsid w:val="00AC122F"/>
    <w:rsid w:val="00AC12A8"/>
    <w:rsid w:val="00AC15FF"/>
    <w:rsid w:val="00AC1671"/>
    <w:rsid w:val="00AC175A"/>
    <w:rsid w:val="00AC1C43"/>
    <w:rsid w:val="00AC1C7E"/>
    <w:rsid w:val="00AC1EA2"/>
    <w:rsid w:val="00AC214D"/>
    <w:rsid w:val="00AC220D"/>
    <w:rsid w:val="00AC2317"/>
    <w:rsid w:val="00AC23C0"/>
    <w:rsid w:val="00AC25D9"/>
    <w:rsid w:val="00AC263A"/>
    <w:rsid w:val="00AC2649"/>
    <w:rsid w:val="00AC27B4"/>
    <w:rsid w:val="00AC2922"/>
    <w:rsid w:val="00AC2960"/>
    <w:rsid w:val="00AC29CC"/>
    <w:rsid w:val="00AC29F7"/>
    <w:rsid w:val="00AC2E14"/>
    <w:rsid w:val="00AC31C3"/>
    <w:rsid w:val="00AC385B"/>
    <w:rsid w:val="00AC3B20"/>
    <w:rsid w:val="00AC3E16"/>
    <w:rsid w:val="00AC40A5"/>
    <w:rsid w:val="00AC411A"/>
    <w:rsid w:val="00AC41C4"/>
    <w:rsid w:val="00AC4374"/>
    <w:rsid w:val="00AC467E"/>
    <w:rsid w:val="00AC469E"/>
    <w:rsid w:val="00AC46B9"/>
    <w:rsid w:val="00AC4780"/>
    <w:rsid w:val="00AC49EF"/>
    <w:rsid w:val="00AC4C29"/>
    <w:rsid w:val="00AC4E51"/>
    <w:rsid w:val="00AC4E7A"/>
    <w:rsid w:val="00AC4E87"/>
    <w:rsid w:val="00AC502B"/>
    <w:rsid w:val="00AC50C5"/>
    <w:rsid w:val="00AC521D"/>
    <w:rsid w:val="00AC5379"/>
    <w:rsid w:val="00AC555F"/>
    <w:rsid w:val="00AC5886"/>
    <w:rsid w:val="00AC5B65"/>
    <w:rsid w:val="00AC5D74"/>
    <w:rsid w:val="00AC5DF4"/>
    <w:rsid w:val="00AC5E15"/>
    <w:rsid w:val="00AC5E87"/>
    <w:rsid w:val="00AC6072"/>
    <w:rsid w:val="00AC6111"/>
    <w:rsid w:val="00AC61B9"/>
    <w:rsid w:val="00AC6255"/>
    <w:rsid w:val="00AC63B2"/>
    <w:rsid w:val="00AC63BC"/>
    <w:rsid w:val="00AC6424"/>
    <w:rsid w:val="00AC658B"/>
    <w:rsid w:val="00AC6620"/>
    <w:rsid w:val="00AC6B9A"/>
    <w:rsid w:val="00AC6BA5"/>
    <w:rsid w:val="00AC6D53"/>
    <w:rsid w:val="00AC7336"/>
    <w:rsid w:val="00AC73C2"/>
    <w:rsid w:val="00AC75A0"/>
    <w:rsid w:val="00AC76CC"/>
    <w:rsid w:val="00AC76EE"/>
    <w:rsid w:val="00AC7709"/>
    <w:rsid w:val="00AC7841"/>
    <w:rsid w:val="00AC7968"/>
    <w:rsid w:val="00AC7973"/>
    <w:rsid w:val="00AC79F8"/>
    <w:rsid w:val="00AC7A2A"/>
    <w:rsid w:val="00AC7B36"/>
    <w:rsid w:val="00AC7BC5"/>
    <w:rsid w:val="00AC7CB9"/>
    <w:rsid w:val="00AC7D12"/>
    <w:rsid w:val="00AD00AE"/>
    <w:rsid w:val="00AD0150"/>
    <w:rsid w:val="00AD017D"/>
    <w:rsid w:val="00AD07CC"/>
    <w:rsid w:val="00AD082E"/>
    <w:rsid w:val="00AD0969"/>
    <w:rsid w:val="00AD0AA5"/>
    <w:rsid w:val="00AD0ADA"/>
    <w:rsid w:val="00AD0D21"/>
    <w:rsid w:val="00AD0D82"/>
    <w:rsid w:val="00AD0E00"/>
    <w:rsid w:val="00AD1066"/>
    <w:rsid w:val="00AD1280"/>
    <w:rsid w:val="00AD12D2"/>
    <w:rsid w:val="00AD14B8"/>
    <w:rsid w:val="00AD15C3"/>
    <w:rsid w:val="00AD15F0"/>
    <w:rsid w:val="00AD1621"/>
    <w:rsid w:val="00AD171C"/>
    <w:rsid w:val="00AD192B"/>
    <w:rsid w:val="00AD192D"/>
    <w:rsid w:val="00AD1AF1"/>
    <w:rsid w:val="00AD1B70"/>
    <w:rsid w:val="00AD1CA0"/>
    <w:rsid w:val="00AD1DFD"/>
    <w:rsid w:val="00AD1EE2"/>
    <w:rsid w:val="00AD1EF5"/>
    <w:rsid w:val="00AD21FB"/>
    <w:rsid w:val="00AD2280"/>
    <w:rsid w:val="00AD2657"/>
    <w:rsid w:val="00AD28C7"/>
    <w:rsid w:val="00AD2B4A"/>
    <w:rsid w:val="00AD2B5D"/>
    <w:rsid w:val="00AD2BDD"/>
    <w:rsid w:val="00AD2FA9"/>
    <w:rsid w:val="00AD30D9"/>
    <w:rsid w:val="00AD3494"/>
    <w:rsid w:val="00AD3548"/>
    <w:rsid w:val="00AD37C3"/>
    <w:rsid w:val="00AD3AAD"/>
    <w:rsid w:val="00AD3BC3"/>
    <w:rsid w:val="00AD3D2B"/>
    <w:rsid w:val="00AD4068"/>
    <w:rsid w:val="00AD40BD"/>
    <w:rsid w:val="00AD41FA"/>
    <w:rsid w:val="00AD430B"/>
    <w:rsid w:val="00AD4657"/>
    <w:rsid w:val="00AD46AD"/>
    <w:rsid w:val="00AD46D2"/>
    <w:rsid w:val="00AD48F7"/>
    <w:rsid w:val="00AD4958"/>
    <w:rsid w:val="00AD4971"/>
    <w:rsid w:val="00AD4B64"/>
    <w:rsid w:val="00AD4DED"/>
    <w:rsid w:val="00AD5117"/>
    <w:rsid w:val="00AD52A6"/>
    <w:rsid w:val="00AD530F"/>
    <w:rsid w:val="00AD5423"/>
    <w:rsid w:val="00AD545D"/>
    <w:rsid w:val="00AD56BA"/>
    <w:rsid w:val="00AD5894"/>
    <w:rsid w:val="00AD58A2"/>
    <w:rsid w:val="00AD5BDD"/>
    <w:rsid w:val="00AD5D24"/>
    <w:rsid w:val="00AD5D72"/>
    <w:rsid w:val="00AD5F19"/>
    <w:rsid w:val="00AD5F95"/>
    <w:rsid w:val="00AD6000"/>
    <w:rsid w:val="00AD60B3"/>
    <w:rsid w:val="00AD6123"/>
    <w:rsid w:val="00AD6440"/>
    <w:rsid w:val="00AD68EF"/>
    <w:rsid w:val="00AD690B"/>
    <w:rsid w:val="00AD6916"/>
    <w:rsid w:val="00AD6949"/>
    <w:rsid w:val="00AD6ACF"/>
    <w:rsid w:val="00AD70AF"/>
    <w:rsid w:val="00AD71DA"/>
    <w:rsid w:val="00AD7586"/>
    <w:rsid w:val="00AD7771"/>
    <w:rsid w:val="00AD7820"/>
    <w:rsid w:val="00AD7CDB"/>
    <w:rsid w:val="00AD7D60"/>
    <w:rsid w:val="00AE0034"/>
    <w:rsid w:val="00AE00F8"/>
    <w:rsid w:val="00AE014F"/>
    <w:rsid w:val="00AE0330"/>
    <w:rsid w:val="00AE045A"/>
    <w:rsid w:val="00AE04CD"/>
    <w:rsid w:val="00AE0642"/>
    <w:rsid w:val="00AE0655"/>
    <w:rsid w:val="00AE08AB"/>
    <w:rsid w:val="00AE09A6"/>
    <w:rsid w:val="00AE0BCD"/>
    <w:rsid w:val="00AE0BD8"/>
    <w:rsid w:val="00AE0F30"/>
    <w:rsid w:val="00AE116E"/>
    <w:rsid w:val="00AE1187"/>
    <w:rsid w:val="00AE1285"/>
    <w:rsid w:val="00AE14A5"/>
    <w:rsid w:val="00AE1658"/>
    <w:rsid w:val="00AE16F0"/>
    <w:rsid w:val="00AE176A"/>
    <w:rsid w:val="00AE180A"/>
    <w:rsid w:val="00AE18C2"/>
    <w:rsid w:val="00AE192C"/>
    <w:rsid w:val="00AE1C5A"/>
    <w:rsid w:val="00AE1D7D"/>
    <w:rsid w:val="00AE1DC2"/>
    <w:rsid w:val="00AE1E24"/>
    <w:rsid w:val="00AE1FA4"/>
    <w:rsid w:val="00AE1FCC"/>
    <w:rsid w:val="00AE2080"/>
    <w:rsid w:val="00AE2197"/>
    <w:rsid w:val="00AE23C3"/>
    <w:rsid w:val="00AE24BF"/>
    <w:rsid w:val="00AE24EF"/>
    <w:rsid w:val="00AE2954"/>
    <w:rsid w:val="00AE29EC"/>
    <w:rsid w:val="00AE2ACB"/>
    <w:rsid w:val="00AE2ACD"/>
    <w:rsid w:val="00AE3066"/>
    <w:rsid w:val="00AE31A2"/>
    <w:rsid w:val="00AE3237"/>
    <w:rsid w:val="00AE3462"/>
    <w:rsid w:val="00AE347B"/>
    <w:rsid w:val="00AE351C"/>
    <w:rsid w:val="00AE35E4"/>
    <w:rsid w:val="00AE35EA"/>
    <w:rsid w:val="00AE36C5"/>
    <w:rsid w:val="00AE3999"/>
    <w:rsid w:val="00AE39F5"/>
    <w:rsid w:val="00AE3BCA"/>
    <w:rsid w:val="00AE3E19"/>
    <w:rsid w:val="00AE3E1E"/>
    <w:rsid w:val="00AE3FB0"/>
    <w:rsid w:val="00AE4249"/>
    <w:rsid w:val="00AE448B"/>
    <w:rsid w:val="00AE4625"/>
    <w:rsid w:val="00AE47F3"/>
    <w:rsid w:val="00AE4AE8"/>
    <w:rsid w:val="00AE4C71"/>
    <w:rsid w:val="00AE4E84"/>
    <w:rsid w:val="00AE5338"/>
    <w:rsid w:val="00AE5535"/>
    <w:rsid w:val="00AE55A0"/>
    <w:rsid w:val="00AE5E52"/>
    <w:rsid w:val="00AE5FB2"/>
    <w:rsid w:val="00AE605C"/>
    <w:rsid w:val="00AE6652"/>
    <w:rsid w:val="00AE668B"/>
    <w:rsid w:val="00AE6851"/>
    <w:rsid w:val="00AE6949"/>
    <w:rsid w:val="00AE69A9"/>
    <w:rsid w:val="00AE6C4E"/>
    <w:rsid w:val="00AE6E53"/>
    <w:rsid w:val="00AE6E73"/>
    <w:rsid w:val="00AE739B"/>
    <w:rsid w:val="00AE73A1"/>
    <w:rsid w:val="00AE742A"/>
    <w:rsid w:val="00AE74F2"/>
    <w:rsid w:val="00AE7544"/>
    <w:rsid w:val="00AE7A21"/>
    <w:rsid w:val="00AE7BBF"/>
    <w:rsid w:val="00AE7CA8"/>
    <w:rsid w:val="00AF0069"/>
    <w:rsid w:val="00AF045F"/>
    <w:rsid w:val="00AF04B1"/>
    <w:rsid w:val="00AF055D"/>
    <w:rsid w:val="00AF069F"/>
    <w:rsid w:val="00AF0B6F"/>
    <w:rsid w:val="00AF0BF5"/>
    <w:rsid w:val="00AF0DC0"/>
    <w:rsid w:val="00AF0EBA"/>
    <w:rsid w:val="00AF1129"/>
    <w:rsid w:val="00AF14F5"/>
    <w:rsid w:val="00AF15E9"/>
    <w:rsid w:val="00AF164B"/>
    <w:rsid w:val="00AF1730"/>
    <w:rsid w:val="00AF1B98"/>
    <w:rsid w:val="00AF1E64"/>
    <w:rsid w:val="00AF208F"/>
    <w:rsid w:val="00AF20C9"/>
    <w:rsid w:val="00AF210D"/>
    <w:rsid w:val="00AF217E"/>
    <w:rsid w:val="00AF2326"/>
    <w:rsid w:val="00AF2433"/>
    <w:rsid w:val="00AF26EB"/>
    <w:rsid w:val="00AF275F"/>
    <w:rsid w:val="00AF281D"/>
    <w:rsid w:val="00AF292C"/>
    <w:rsid w:val="00AF2963"/>
    <w:rsid w:val="00AF29E1"/>
    <w:rsid w:val="00AF2A42"/>
    <w:rsid w:val="00AF2D74"/>
    <w:rsid w:val="00AF2DF9"/>
    <w:rsid w:val="00AF31FB"/>
    <w:rsid w:val="00AF3267"/>
    <w:rsid w:val="00AF34A7"/>
    <w:rsid w:val="00AF350D"/>
    <w:rsid w:val="00AF3828"/>
    <w:rsid w:val="00AF39F9"/>
    <w:rsid w:val="00AF3B09"/>
    <w:rsid w:val="00AF3D9F"/>
    <w:rsid w:val="00AF3E23"/>
    <w:rsid w:val="00AF3FAA"/>
    <w:rsid w:val="00AF4053"/>
    <w:rsid w:val="00AF4077"/>
    <w:rsid w:val="00AF4165"/>
    <w:rsid w:val="00AF4382"/>
    <w:rsid w:val="00AF4552"/>
    <w:rsid w:val="00AF4560"/>
    <w:rsid w:val="00AF4C9B"/>
    <w:rsid w:val="00AF4ED4"/>
    <w:rsid w:val="00AF50E0"/>
    <w:rsid w:val="00AF5142"/>
    <w:rsid w:val="00AF51FF"/>
    <w:rsid w:val="00AF52A7"/>
    <w:rsid w:val="00AF532F"/>
    <w:rsid w:val="00AF5413"/>
    <w:rsid w:val="00AF5536"/>
    <w:rsid w:val="00AF56D0"/>
    <w:rsid w:val="00AF58CE"/>
    <w:rsid w:val="00AF5BB2"/>
    <w:rsid w:val="00AF5BBE"/>
    <w:rsid w:val="00AF5EFB"/>
    <w:rsid w:val="00AF607D"/>
    <w:rsid w:val="00AF650F"/>
    <w:rsid w:val="00AF65A7"/>
    <w:rsid w:val="00AF65C1"/>
    <w:rsid w:val="00AF6626"/>
    <w:rsid w:val="00AF68B0"/>
    <w:rsid w:val="00AF722F"/>
    <w:rsid w:val="00AF754B"/>
    <w:rsid w:val="00AF759D"/>
    <w:rsid w:val="00AF7876"/>
    <w:rsid w:val="00AF78BA"/>
    <w:rsid w:val="00B0011A"/>
    <w:rsid w:val="00B002D2"/>
    <w:rsid w:val="00B004B4"/>
    <w:rsid w:val="00B004F6"/>
    <w:rsid w:val="00B007F7"/>
    <w:rsid w:val="00B0089C"/>
    <w:rsid w:val="00B00C55"/>
    <w:rsid w:val="00B00C5C"/>
    <w:rsid w:val="00B00D34"/>
    <w:rsid w:val="00B01096"/>
    <w:rsid w:val="00B012D0"/>
    <w:rsid w:val="00B013EA"/>
    <w:rsid w:val="00B01421"/>
    <w:rsid w:val="00B014A8"/>
    <w:rsid w:val="00B015B8"/>
    <w:rsid w:val="00B015C5"/>
    <w:rsid w:val="00B017E3"/>
    <w:rsid w:val="00B019D2"/>
    <w:rsid w:val="00B01A23"/>
    <w:rsid w:val="00B01C4C"/>
    <w:rsid w:val="00B01C6F"/>
    <w:rsid w:val="00B01DE3"/>
    <w:rsid w:val="00B020AA"/>
    <w:rsid w:val="00B020C7"/>
    <w:rsid w:val="00B02198"/>
    <w:rsid w:val="00B023A4"/>
    <w:rsid w:val="00B0286C"/>
    <w:rsid w:val="00B028E7"/>
    <w:rsid w:val="00B02947"/>
    <w:rsid w:val="00B02B2D"/>
    <w:rsid w:val="00B02C17"/>
    <w:rsid w:val="00B02E61"/>
    <w:rsid w:val="00B03108"/>
    <w:rsid w:val="00B03143"/>
    <w:rsid w:val="00B032F5"/>
    <w:rsid w:val="00B03304"/>
    <w:rsid w:val="00B033A8"/>
    <w:rsid w:val="00B035AD"/>
    <w:rsid w:val="00B035B2"/>
    <w:rsid w:val="00B03657"/>
    <w:rsid w:val="00B0379C"/>
    <w:rsid w:val="00B03807"/>
    <w:rsid w:val="00B03865"/>
    <w:rsid w:val="00B03D51"/>
    <w:rsid w:val="00B03F4B"/>
    <w:rsid w:val="00B04316"/>
    <w:rsid w:val="00B04441"/>
    <w:rsid w:val="00B04599"/>
    <w:rsid w:val="00B04732"/>
    <w:rsid w:val="00B04CA2"/>
    <w:rsid w:val="00B04E1D"/>
    <w:rsid w:val="00B050A2"/>
    <w:rsid w:val="00B051B3"/>
    <w:rsid w:val="00B051B4"/>
    <w:rsid w:val="00B051C1"/>
    <w:rsid w:val="00B05416"/>
    <w:rsid w:val="00B05693"/>
    <w:rsid w:val="00B0577D"/>
    <w:rsid w:val="00B0582E"/>
    <w:rsid w:val="00B0584F"/>
    <w:rsid w:val="00B05E75"/>
    <w:rsid w:val="00B06056"/>
    <w:rsid w:val="00B06110"/>
    <w:rsid w:val="00B061C9"/>
    <w:rsid w:val="00B06262"/>
    <w:rsid w:val="00B06378"/>
    <w:rsid w:val="00B0648E"/>
    <w:rsid w:val="00B064C3"/>
    <w:rsid w:val="00B06C36"/>
    <w:rsid w:val="00B06D3F"/>
    <w:rsid w:val="00B06F0E"/>
    <w:rsid w:val="00B071F2"/>
    <w:rsid w:val="00B07285"/>
    <w:rsid w:val="00B0729B"/>
    <w:rsid w:val="00B072A3"/>
    <w:rsid w:val="00B075C3"/>
    <w:rsid w:val="00B07632"/>
    <w:rsid w:val="00B07757"/>
    <w:rsid w:val="00B0788F"/>
    <w:rsid w:val="00B078D0"/>
    <w:rsid w:val="00B079BE"/>
    <w:rsid w:val="00B07A84"/>
    <w:rsid w:val="00B07C2C"/>
    <w:rsid w:val="00B07D19"/>
    <w:rsid w:val="00B07DF5"/>
    <w:rsid w:val="00B07E76"/>
    <w:rsid w:val="00B07F02"/>
    <w:rsid w:val="00B10079"/>
    <w:rsid w:val="00B102A4"/>
    <w:rsid w:val="00B10451"/>
    <w:rsid w:val="00B104ED"/>
    <w:rsid w:val="00B1061D"/>
    <w:rsid w:val="00B106CA"/>
    <w:rsid w:val="00B10791"/>
    <w:rsid w:val="00B10963"/>
    <w:rsid w:val="00B10A7B"/>
    <w:rsid w:val="00B10B04"/>
    <w:rsid w:val="00B10C8B"/>
    <w:rsid w:val="00B10D33"/>
    <w:rsid w:val="00B10D37"/>
    <w:rsid w:val="00B10DCB"/>
    <w:rsid w:val="00B10DEC"/>
    <w:rsid w:val="00B10E21"/>
    <w:rsid w:val="00B111FC"/>
    <w:rsid w:val="00B113AF"/>
    <w:rsid w:val="00B11647"/>
    <w:rsid w:val="00B11AFB"/>
    <w:rsid w:val="00B11C19"/>
    <w:rsid w:val="00B11C30"/>
    <w:rsid w:val="00B11E3C"/>
    <w:rsid w:val="00B11E8E"/>
    <w:rsid w:val="00B11FCB"/>
    <w:rsid w:val="00B120DC"/>
    <w:rsid w:val="00B121A4"/>
    <w:rsid w:val="00B12261"/>
    <w:rsid w:val="00B123C5"/>
    <w:rsid w:val="00B12438"/>
    <w:rsid w:val="00B126F4"/>
    <w:rsid w:val="00B12A2D"/>
    <w:rsid w:val="00B12A87"/>
    <w:rsid w:val="00B12AE8"/>
    <w:rsid w:val="00B12D46"/>
    <w:rsid w:val="00B12DD9"/>
    <w:rsid w:val="00B12E2B"/>
    <w:rsid w:val="00B13241"/>
    <w:rsid w:val="00B133B6"/>
    <w:rsid w:val="00B133FE"/>
    <w:rsid w:val="00B1371E"/>
    <w:rsid w:val="00B1372D"/>
    <w:rsid w:val="00B13972"/>
    <w:rsid w:val="00B13E95"/>
    <w:rsid w:val="00B13FB5"/>
    <w:rsid w:val="00B140B9"/>
    <w:rsid w:val="00B14114"/>
    <w:rsid w:val="00B1411F"/>
    <w:rsid w:val="00B14282"/>
    <w:rsid w:val="00B143B2"/>
    <w:rsid w:val="00B146FF"/>
    <w:rsid w:val="00B14BA8"/>
    <w:rsid w:val="00B14CAC"/>
    <w:rsid w:val="00B14ECE"/>
    <w:rsid w:val="00B150BD"/>
    <w:rsid w:val="00B15334"/>
    <w:rsid w:val="00B153B9"/>
    <w:rsid w:val="00B15502"/>
    <w:rsid w:val="00B155FD"/>
    <w:rsid w:val="00B15C08"/>
    <w:rsid w:val="00B15D64"/>
    <w:rsid w:val="00B15F33"/>
    <w:rsid w:val="00B16280"/>
    <w:rsid w:val="00B16456"/>
    <w:rsid w:val="00B16474"/>
    <w:rsid w:val="00B164A3"/>
    <w:rsid w:val="00B1687E"/>
    <w:rsid w:val="00B168D1"/>
    <w:rsid w:val="00B1696C"/>
    <w:rsid w:val="00B169A5"/>
    <w:rsid w:val="00B169EC"/>
    <w:rsid w:val="00B16DAB"/>
    <w:rsid w:val="00B16E1B"/>
    <w:rsid w:val="00B16E82"/>
    <w:rsid w:val="00B16F43"/>
    <w:rsid w:val="00B1719A"/>
    <w:rsid w:val="00B172CB"/>
    <w:rsid w:val="00B174B9"/>
    <w:rsid w:val="00B175D6"/>
    <w:rsid w:val="00B177F5"/>
    <w:rsid w:val="00B1785A"/>
    <w:rsid w:val="00B1785F"/>
    <w:rsid w:val="00B17867"/>
    <w:rsid w:val="00B17AAA"/>
    <w:rsid w:val="00B17D06"/>
    <w:rsid w:val="00B17F2F"/>
    <w:rsid w:val="00B20183"/>
    <w:rsid w:val="00B204B6"/>
    <w:rsid w:val="00B204D4"/>
    <w:rsid w:val="00B207EF"/>
    <w:rsid w:val="00B20B3F"/>
    <w:rsid w:val="00B20D13"/>
    <w:rsid w:val="00B20F60"/>
    <w:rsid w:val="00B20FA6"/>
    <w:rsid w:val="00B21035"/>
    <w:rsid w:val="00B2105E"/>
    <w:rsid w:val="00B21114"/>
    <w:rsid w:val="00B2128E"/>
    <w:rsid w:val="00B214A6"/>
    <w:rsid w:val="00B215BA"/>
    <w:rsid w:val="00B21680"/>
    <w:rsid w:val="00B216ED"/>
    <w:rsid w:val="00B218D9"/>
    <w:rsid w:val="00B21B9F"/>
    <w:rsid w:val="00B21D56"/>
    <w:rsid w:val="00B21D75"/>
    <w:rsid w:val="00B21E1B"/>
    <w:rsid w:val="00B22058"/>
    <w:rsid w:val="00B221F5"/>
    <w:rsid w:val="00B222C3"/>
    <w:rsid w:val="00B22445"/>
    <w:rsid w:val="00B224A3"/>
    <w:rsid w:val="00B22672"/>
    <w:rsid w:val="00B22752"/>
    <w:rsid w:val="00B227B9"/>
    <w:rsid w:val="00B22976"/>
    <w:rsid w:val="00B22A03"/>
    <w:rsid w:val="00B22A3B"/>
    <w:rsid w:val="00B22A46"/>
    <w:rsid w:val="00B22D1F"/>
    <w:rsid w:val="00B22D35"/>
    <w:rsid w:val="00B22ED9"/>
    <w:rsid w:val="00B22FBB"/>
    <w:rsid w:val="00B232D3"/>
    <w:rsid w:val="00B23491"/>
    <w:rsid w:val="00B23997"/>
    <w:rsid w:val="00B23A9C"/>
    <w:rsid w:val="00B23C25"/>
    <w:rsid w:val="00B23E76"/>
    <w:rsid w:val="00B23F69"/>
    <w:rsid w:val="00B23F8E"/>
    <w:rsid w:val="00B240C6"/>
    <w:rsid w:val="00B2418A"/>
    <w:rsid w:val="00B243B5"/>
    <w:rsid w:val="00B244CA"/>
    <w:rsid w:val="00B2470D"/>
    <w:rsid w:val="00B24D37"/>
    <w:rsid w:val="00B24D6B"/>
    <w:rsid w:val="00B24E83"/>
    <w:rsid w:val="00B24F5E"/>
    <w:rsid w:val="00B25220"/>
    <w:rsid w:val="00B2542E"/>
    <w:rsid w:val="00B2561E"/>
    <w:rsid w:val="00B2585A"/>
    <w:rsid w:val="00B258C1"/>
    <w:rsid w:val="00B258F3"/>
    <w:rsid w:val="00B25975"/>
    <w:rsid w:val="00B259C3"/>
    <w:rsid w:val="00B25C52"/>
    <w:rsid w:val="00B25C69"/>
    <w:rsid w:val="00B25F77"/>
    <w:rsid w:val="00B25F83"/>
    <w:rsid w:val="00B25FE0"/>
    <w:rsid w:val="00B263F0"/>
    <w:rsid w:val="00B265D4"/>
    <w:rsid w:val="00B2676D"/>
    <w:rsid w:val="00B26822"/>
    <w:rsid w:val="00B2689E"/>
    <w:rsid w:val="00B26A8F"/>
    <w:rsid w:val="00B26BDE"/>
    <w:rsid w:val="00B26D49"/>
    <w:rsid w:val="00B274ED"/>
    <w:rsid w:val="00B278D5"/>
    <w:rsid w:val="00B27988"/>
    <w:rsid w:val="00B27BCA"/>
    <w:rsid w:val="00B27C5A"/>
    <w:rsid w:val="00B27F0C"/>
    <w:rsid w:val="00B27F18"/>
    <w:rsid w:val="00B27F2F"/>
    <w:rsid w:val="00B3047A"/>
    <w:rsid w:val="00B30558"/>
    <w:rsid w:val="00B30718"/>
    <w:rsid w:val="00B30782"/>
    <w:rsid w:val="00B30B0D"/>
    <w:rsid w:val="00B30BC1"/>
    <w:rsid w:val="00B30CB5"/>
    <w:rsid w:val="00B30E4F"/>
    <w:rsid w:val="00B30FF3"/>
    <w:rsid w:val="00B31555"/>
    <w:rsid w:val="00B317A0"/>
    <w:rsid w:val="00B31990"/>
    <w:rsid w:val="00B31EDA"/>
    <w:rsid w:val="00B31F7E"/>
    <w:rsid w:val="00B32028"/>
    <w:rsid w:val="00B32127"/>
    <w:rsid w:val="00B3222C"/>
    <w:rsid w:val="00B32353"/>
    <w:rsid w:val="00B32581"/>
    <w:rsid w:val="00B32824"/>
    <w:rsid w:val="00B328D7"/>
    <w:rsid w:val="00B3292A"/>
    <w:rsid w:val="00B32F78"/>
    <w:rsid w:val="00B330B3"/>
    <w:rsid w:val="00B330BA"/>
    <w:rsid w:val="00B331F8"/>
    <w:rsid w:val="00B332C3"/>
    <w:rsid w:val="00B332CE"/>
    <w:rsid w:val="00B3346B"/>
    <w:rsid w:val="00B3347A"/>
    <w:rsid w:val="00B336DF"/>
    <w:rsid w:val="00B3399D"/>
    <w:rsid w:val="00B33A5A"/>
    <w:rsid w:val="00B33BD9"/>
    <w:rsid w:val="00B33BE6"/>
    <w:rsid w:val="00B343A3"/>
    <w:rsid w:val="00B34406"/>
    <w:rsid w:val="00B34475"/>
    <w:rsid w:val="00B344B2"/>
    <w:rsid w:val="00B34591"/>
    <w:rsid w:val="00B345D5"/>
    <w:rsid w:val="00B347D9"/>
    <w:rsid w:val="00B34876"/>
    <w:rsid w:val="00B348D8"/>
    <w:rsid w:val="00B348F2"/>
    <w:rsid w:val="00B349DF"/>
    <w:rsid w:val="00B34B65"/>
    <w:rsid w:val="00B34BF3"/>
    <w:rsid w:val="00B34DCA"/>
    <w:rsid w:val="00B34EE2"/>
    <w:rsid w:val="00B353E6"/>
    <w:rsid w:val="00B35504"/>
    <w:rsid w:val="00B35594"/>
    <w:rsid w:val="00B355F1"/>
    <w:rsid w:val="00B3565A"/>
    <w:rsid w:val="00B358D4"/>
    <w:rsid w:val="00B35C83"/>
    <w:rsid w:val="00B35D0C"/>
    <w:rsid w:val="00B35DAC"/>
    <w:rsid w:val="00B35E6E"/>
    <w:rsid w:val="00B360D1"/>
    <w:rsid w:val="00B361D1"/>
    <w:rsid w:val="00B36365"/>
    <w:rsid w:val="00B3695F"/>
    <w:rsid w:val="00B36C02"/>
    <w:rsid w:val="00B37113"/>
    <w:rsid w:val="00B37193"/>
    <w:rsid w:val="00B37244"/>
    <w:rsid w:val="00B373AB"/>
    <w:rsid w:val="00B375F0"/>
    <w:rsid w:val="00B37673"/>
    <w:rsid w:val="00B377B3"/>
    <w:rsid w:val="00B37819"/>
    <w:rsid w:val="00B37A34"/>
    <w:rsid w:val="00B37B7F"/>
    <w:rsid w:val="00B37B86"/>
    <w:rsid w:val="00B37C26"/>
    <w:rsid w:val="00B37D4A"/>
    <w:rsid w:val="00B37DB1"/>
    <w:rsid w:val="00B37DCF"/>
    <w:rsid w:val="00B40278"/>
    <w:rsid w:val="00B402D6"/>
    <w:rsid w:val="00B405B6"/>
    <w:rsid w:val="00B406B0"/>
    <w:rsid w:val="00B40789"/>
    <w:rsid w:val="00B40877"/>
    <w:rsid w:val="00B40959"/>
    <w:rsid w:val="00B40ABE"/>
    <w:rsid w:val="00B40AE5"/>
    <w:rsid w:val="00B40B22"/>
    <w:rsid w:val="00B40CD1"/>
    <w:rsid w:val="00B40D93"/>
    <w:rsid w:val="00B40DAC"/>
    <w:rsid w:val="00B40F5A"/>
    <w:rsid w:val="00B40F8B"/>
    <w:rsid w:val="00B40FD7"/>
    <w:rsid w:val="00B41100"/>
    <w:rsid w:val="00B4117E"/>
    <w:rsid w:val="00B41474"/>
    <w:rsid w:val="00B41884"/>
    <w:rsid w:val="00B419F4"/>
    <w:rsid w:val="00B41A9E"/>
    <w:rsid w:val="00B41BBB"/>
    <w:rsid w:val="00B41EC0"/>
    <w:rsid w:val="00B420B1"/>
    <w:rsid w:val="00B422A3"/>
    <w:rsid w:val="00B422AC"/>
    <w:rsid w:val="00B42356"/>
    <w:rsid w:val="00B42502"/>
    <w:rsid w:val="00B425C0"/>
    <w:rsid w:val="00B4260E"/>
    <w:rsid w:val="00B427EA"/>
    <w:rsid w:val="00B42868"/>
    <w:rsid w:val="00B42B74"/>
    <w:rsid w:val="00B42C20"/>
    <w:rsid w:val="00B42C89"/>
    <w:rsid w:val="00B431DD"/>
    <w:rsid w:val="00B435FC"/>
    <w:rsid w:val="00B43814"/>
    <w:rsid w:val="00B4383A"/>
    <w:rsid w:val="00B43935"/>
    <w:rsid w:val="00B43C9F"/>
    <w:rsid w:val="00B43CF2"/>
    <w:rsid w:val="00B44059"/>
    <w:rsid w:val="00B44219"/>
    <w:rsid w:val="00B442D5"/>
    <w:rsid w:val="00B444F8"/>
    <w:rsid w:val="00B44B66"/>
    <w:rsid w:val="00B44BED"/>
    <w:rsid w:val="00B44C55"/>
    <w:rsid w:val="00B44D5D"/>
    <w:rsid w:val="00B4509B"/>
    <w:rsid w:val="00B4535A"/>
    <w:rsid w:val="00B4536E"/>
    <w:rsid w:val="00B45500"/>
    <w:rsid w:val="00B45738"/>
    <w:rsid w:val="00B45781"/>
    <w:rsid w:val="00B4589D"/>
    <w:rsid w:val="00B45B98"/>
    <w:rsid w:val="00B45BFF"/>
    <w:rsid w:val="00B45CFF"/>
    <w:rsid w:val="00B45D60"/>
    <w:rsid w:val="00B45F6C"/>
    <w:rsid w:val="00B46654"/>
    <w:rsid w:val="00B4680E"/>
    <w:rsid w:val="00B469A7"/>
    <w:rsid w:val="00B46AF5"/>
    <w:rsid w:val="00B46BD6"/>
    <w:rsid w:val="00B46C2B"/>
    <w:rsid w:val="00B46FEA"/>
    <w:rsid w:val="00B46FF8"/>
    <w:rsid w:val="00B4756F"/>
    <w:rsid w:val="00B4796F"/>
    <w:rsid w:val="00B479BC"/>
    <w:rsid w:val="00B47B4A"/>
    <w:rsid w:val="00B47C9A"/>
    <w:rsid w:val="00B47DBA"/>
    <w:rsid w:val="00B47EF5"/>
    <w:rsid w:val="00B47F1C"/>
    <w:rsid w:val="00B500F1"/>
    <w:rsid w:val="00B50112"/>
    <w:rsid w:val="00B5013F"/>
    <w:rsid w:val="00B502C9"/>
    <w:rsid w:val="00B5037F"/>
    <w:rsid w:val="00B503EB"/>
    <w:rsid w:val="00B50636"/>
    <w:rsid w:val="00B5088C"/>
    <w:rsid w:val="00B509AB"/>
    <w:rsid w:val="00B50C6E"/>
    <w:rsid w:val="00B50D90"/>
    <w:rsid w:val="00B50F82"/>
    <w:rsid w:val="00B511FA"/>
    <w:rsid w:val="00B514E5"/>
    <w:rsid w:val="00B51559"/>
    <w:rsid w:val="00B51885"/>
    <w:rsid w:val="00B51C46"/>
    <w:rsid w:val="00B51C5F"/>
    <w:rsid w:val="00B51D02"/>
    <w:rsid w:val="00B51D87"/>
    <w:rsid w:val="00B51E46"/>
    <w:rsid w:val="00B51E84"/>
    <w:rsid w:val="00B51EB5"/>
    <w:rsid w:val="00B51FDB"/>
    <w:rsid w:val="00B520F3"/>
    <w:rsid w:val="00B5226F"/>
    <w:rsid w:val="00B523C0"/>
    <w:rsid w:val="00B52670"/>
    <w:rsid w:val="00B526CD"/>
    <w:rsid w:val="00B5294F"/>
    <w:rsid w:val="00B529EF"/>
    <w:rsid w:val="00B52AAE"/>
    <w:rsid w:val="00B52AE8"/>
    <w:rsid w:val="00B52CBB"/>
    <w:rsid w:val="00B52EB5"/>
    <w:rsid w:val="00B530D4"/>
    <w:rsid w:val="00B531CD"/>
    <w:rsid w:val="00B53342"/>
    <w:rsid w:val="00B5343F"/>
    <w:rsid w:val="00B53B7A"/>
    <w:rsid w:val="00B53EC3"/>
    <w:rsid w:val="00B53EF8"/>
    <w:rsid w:val="00B5408A"/>
    <w:rsid w:val="00B542C6"/>
    <w:rsid w:val="00B542C7"/>
    <w:rsid w:val="00B548F0"/>
    <w:rsid w:val="00B54AE2"/>
    <w:rsid w:val="00B54B10"/>
    <w:rsid w:val="00B54B9B"/>
    <w:rsid w:val="00B54E82"/>
    <w:rsid w:val="00B54FB7"/>
    <w:rsid w:val="00B5529E"/>
    <w:rsid w:val="00B552D7"/>
    <w:rsid w:val="00B5567F"/>
    <w:rsid w:val="00B55979"/>
    <w:rsid w:val="00B559DA"/>
    <w:rsid w:val="00B55BCB"/>
    <w:rsid w:val="00B55D18"/>
    <w:rsid w:val="00B55D45"/>
    <w:rsid w:val="00B55FB0"/>
    <w:rsid w:val="00B561D5"/>
    <w:rsid w:val="00B56311"/>
    <w:rsid w:val="00B56733"/>
    <w:rsid w:val="00B56879"/>
    <w:rsid w:val="00B56B32"/>
    <w:rsid w:val="00B56C22"/>
    <w:rsid w:val="00B56D0E"/>
    <w:rsid w:val="00B56F2C"/>
    <w:rsid w:val="00B56FD0"/>
    <w:rsid w:val="00B57209"/>
    <w:rsid w:val="00B572D6"/>
    <w:rsid w:val="00B5742A"/>
    <w:rsid w:val="00B5771B"/>
    <w:rsid w:val="00B57746"/>
    <w:rsid w:val="00B57BB2"/>
    <w:rsid w:val="00B57C36"/>
    <w:rsid w:val="00B57C3D"/>
    <w:rsid w:val="00B57CE8"/>
    <w:rsid w:val="00B57D4D"/>
    <w:rsid w:val="00B6009A"/>
    <w:rsid w:val="00B601C9"/>
    <w:rsid w:val="00B6026E"/>
    <w:rsid w:val="00B60477"/>
    <w:rsid w:val="00B605E2"/>
    <w:rsid w:val="00B60A79"/>
    <w:rsid w:val="00B60B05"/>
    <w:rsid w:val="00B60E16"/>
    <w:rsid w:val="00B60F8B"/>
    <w:rsid w:val="00B61138"/>
    <w:rsid w:val="00B6118C"/>
    <w:rsid w:val="00B611ED"/>
    <w:rsid w:val="00B61275"/>
    <w:rsid w:val="00B6135D"/>
    <w:rsid w:val="00B617F1"/>
    <w:rsid w:val="00B61871"/>
    <w:rsid w:val="00B618E3"/>
    <w:rsid w:val="00B619B7"/>
    <w:rsid w:val="00B61D73"/>
    <w:rsid w:val="00B61E6E"/>
    <w:rsid w:val="00B61EE6"/>
    <w:rsid w:val="00B61F79"/>
    <w:rsid w:val="00B61FB6"/>
    <w:rsid w:val="00B62181"/>
    <w:rsid w:val="00B621EB"/>
    <w:rsid w:val="00B62257"/>
    <w:rsid w:val="00B623A7"/>
    <w:rsid w:val="00B62489"/>
    <w:rsid w:val="00B628C3"/>
    <w:rsid w:val="00B62AB0"/>
    <w:rsid w:val="00B62C63"/>
    <w:rsid w:val="00B62CAC"/>
    <w:rsid w:val="00B62F35"/>
    <w:rsid w:val="00B6313D"/>
    <w:rsid w:val="00B6326E"/>
    <w:rsid w:val="00B634CA"/>
    <w:rsid w:val="00B63689"/>
    <w:rsid w:val="00B636BC"/>
    <w:rsid w:val="00B638E9"/>
    <w:rsid w:val="00B639F6"/>
    <w:rsid w:val="00B63B83"/>
    <w:rsid w:val="00B63E22"/>
    <w:rsid w:val="00B63E73"/>
    <w:rsid w:val="00B64120"/>
    <w:rsid w:val="00B64146"/>
    <w:rsid w:val="00B641F3"/>
    <w:rsid w:val="00B6426D"/>
    <w:rsid w:val="00B643F5"/>
    <w:rsid w:val="00B647F1"/>
    <w:rsid w:val="00B64951"/>
    <w:rsid w:val="00B6498E"/>
    <w:rsid w:val="00B64B5E"/>
    <w:rsid w:val="00B64DF6"/>
    <w:rsid w:val="00B64E43"/>
    <w:rsid w:val="00B64E75"/>
    <w:rsid w:val="00B64EE3"/>
    <w:rsid w:val="00B64EE7"/>
    <w:rsid w:val="00B6525F"/>
    <w:rsid w:val="00B652D7"/>
    <w:rsid w:val="00B65422"/>
    <w:rsid w:val="00B65423"/>
    <w:rsid w:val="00B6543E"/>
    <w:rsid w:val="00B654A0"/>
    <w:rsid w:val="00B65523"/>
    <w:rsid w:val="00B656E2"/>
    <w:rsid w:val="00B65729"/>
    <w:rsid w:val="00B65822"/>
    <w:rsid w:val="00B65B87"/>
    <w:rsid w:val="00B65CF9"/>
    <w:rsid w:val="00B66045"/>
    <w:rsid w:val="00B660E2"/>
    <w:rsid w:val="00B66170"/>
    <w:rsid w:val="00B661F0"/>
    <w:rsid w:val="00B66289"/>
    <w:rsid w:val="00B662B3"/>
    <w:rsid w:val="00B66718"/>
    <w:rsid w:val="00B66A1E"/>
    <w:rsid w:val="00B66AE3"/>
    <w:rsid w:val="00B66BBE"/>
    <w:rsid w:val="00B66F5B"/>
    <w:rsid w:val="00B671F9"/>
    <w:rsid w:val="00B6731C"/>
    <w:rsid w:val="00B67339"/>
    <w:rsid w:val="00B675C5"/>
    <w:rsid w:val="00B67B04"/>
    <w:rsid w:val="00B67C85"/>
    <w:rsid w:val="00B67E4E"/>
    <w:rsid w:val="00B70093"/>
    <w:rsid w:val="00B70149"/>
    <w:rsid w:val="00B701AA"/>
    <w:rsid w:val="00B701FA"/>
    <w:rsid w:val="00B70276"/>
    <w:rsid w:val="00B70343"/>
    <w:rsid w:val="00B70418"/>
    <w:rsid w:val="00B70519"/>
    <w:rsid w:val="00B7053F"/>
    <w:rsid w:val="00B70612"/>
    <w:rsid w:val="00B707F4"/>
    <w:rsid w:val="00B708F4"/>
    <w:rsid w:val="00B7091A"/>
    <w:rsid w:val="00B7092A"/>
    <w:rsid w:val="00B70C76"/>
    <w:rsid w:val="00B70E67"/>
    <w:rsid w:val="00B70F57"/>
    <w:rsid w:val="00B7102D"/>
    <w:rsid w:val="00B71067"/>
    <w:rsid w:val="00B712E0"/>
    <w:rsid w:val="00B717F6"/>
    <w:rsid w:val="00B719BB"/>
    <w:rsid w:val="00B719D7"/>
    <w:rsid w:val="00B71A65"/>
    <w:rsid w:val="00B71B2C"/>
    <w:rsid w:val="00B71CBE"/>
    <w:rsid w:val="00B71D4A"/>
    <w:rsid w:val="00B7200F"/>
    <w:rsid w:val="00B720CE"/>
    <w:rsid w:val="00B72110"/>
    <w:rsid w:val="00B7235E"/>
    <w:rsid w:val="00B72552"/>
    <w:rsid w:val="00B7294B"/>
    <w:rsid w:val="00B72CCE"/>
    <w:rsid w:val="00B72E54"/>
    <w:rsid w:val="00B731CA"/>
    <w:rsid w:val="00B731EE"/>
    <w:rsid w:val="00B73281"/>
    <w:rsid w:val="00B7330F"/>
    <w:rsid w:val="00B73320"/>
    <w:rsid w:val="00B73367"/>
    <w:rsid w:val="00B73B02"/>
    <w:rsid w:val="00B73E35"/>
    <w:rsid w:val="00B73EB6"/>
    <w:rsid w:val="00B73FFE"/>
    <w:rsid w:val="00B7418A"/>
    <w:rsid w:val="00B74196"/>
    <w:rsid w:val="00B7428B"/>
    <w:rsid w:val="00B742D1"/>
    <w:rsid w:val="00B7440B"/>
    <w:rsid w:val="00B744F1"/>
    <w:rsid w:val="00B74631"/>
    <w:rsid w:val="00B74AE1"/>
    <w:rsid w:val="00B74BE0"/>
    <w:rsid w:val="00B74CC9"/>
    <w:rsid w:val="00B7530B"/>
    <w:rsid w:val="00B75485"/>
    <w:rsid w:val="00B75770"/>
    <w:rsid w:val="00B75A97"/>
    <w:rsid w:val="00B75AB2"/>
    <w:rsid w:val="00B75D3C"/>
    <w:rsid w:val="00B75DE8"/>
    <w:rsid w:val="00B75DF1"/>
    <w:rsid w:val="00B75E5D"/>
    <w:rsid w:val="00B75E79"/>
    <w:rsid w:val="00B75E97"/>
    <w:rsid w:val="00B76093"/>
    <w:rsid w:val="00B760E8"/>
    <w:rsid w:val="00B76186"/>
    <w:rsid w:val="00B761B2"/>
    <w:rsid w:val="00B7628C"/>
    <w:rsid w:val="00B76305"/>
    <w:rsid w:val="00B76414"/>
    <w:rsid w:val="00B76490"/>
    <w:rsid w:val="00B7682D"/>
    <w:rsid w:val="00B7688F"/>
    <w:rsid w:val="00B76C8D"/>
    <w:rsid w:val="00B76CE5"/>
    <w:rsid w:val="00B76DA8"/>
    <w:rsid w:val="00B76F28"/>
    <w:rsid w:val="00B76FA6"/>
    <w:rsid w:val="00B77086"/>
    <w:rsid w:val="00B77175"/>
    <w:rsid w:val="00B77266"/>
    <w:rsid w:val="00B774AF"/>
    <w:rsid w:val="00B77657"/>
    <w:rsid w:val="00B7773A"/>
    <w:rsid w:val="00B77852"/>
    <w:rsid w:val="00B77DE9"/>
    <w:rsid w:val="00B77E43"/>
    <w:rsid w:val="00B77E74"/>
    <w:rsid w:val="00B77F13"/>
    <w:rsid w:val="00B800D3"/>
    <w:rsid w:val="00B8031F"/>
    <w:rsid w:val="00B803DF"/>
    <w:rsid w:val="00B8041A"/>
    <w:rsid w:val="00B804D4"/>
    <w:rsid w:val="00B8061A"/>
    <w:rsid w:val="00B8068F"/>
    <w:rsid w:val="00B80BAA"/>
    <w:rsid w:val="00B80C4A"/>
    <w:rsid w:val="00B80E93"/>
    <w:rsid w:val="00B80F41"/>
    <w:rsid w:val="00B81363"/>
    <w:rsid w:val="00B81368"/>
    <w:rsid w:val="00B815C2"/>
    <w:rsid w:val="00B815DD"/>
    <w:rsid w:val="00B816EC"/>
    <w:rsid w:val="00B8171F"/>
    <w:rsid w:val="00B81870"/>
    <w:rsid w:val="00B81A04"/>
    <w:rsid w:val="00B81ADB"/>
    <w:rsid w:val="00B81E2D"/>
    <w:rsid w:val="00B81F57"/>
    <w:rsid w:val="00B81F86"/>
    <w:rsid w:val="00B822F9"/>
    <w:rsid w:val="00B8234A"/>
    <w:rsid w:val="00B82398"/>
    <w:rsid w:val="00B82514"/>
    <w:rsid w:val="00B825F5"/>
    <w:rsid w:val="00B827FB"/>
    <w:rsid w:val="00B82ADD"/>
    <w:rsid w:val="00B82D78"/>
    <w:rsid w:val="00B82DDC"/>
    <w:rsid w:val="00B82ECD"/>
    <w:rsid w:val="00B82ED1"/>
    <w:rsid w:val="00B83171"/>
    <w:rsid w:val="00B8358A"/>
    <w:rsid w:val="00B83622"/>
    <w:rsid w:val="00B8385B"/>
    <w:rsid w:val="00B839AB"/>
    <w:rsid w:val="00B83A4A"/>
    <w:rsid w:val="00B83A6B"/>
    <w:rsid w:val="00B83C3E"/>
    <w:rsid w:val="00B83C5F"/>
    <w:rsid w:val="00B83CE1"/>
    <w:rsid w:val="00B83D39"/>
    <w:rsid w:val="00B83EB0"/>
    <w:rsid w:val="00B83F6A"/>
    <w:rsid w:val="00B8440F"/>
    <w:rsid w:val="00B844A8"/>
    <w:rsid w:val="00B8454F"/>
    <w:rsid w:val="00B8456A"/>
    <w:rsid w:val="00B8457A"/>
    <w:rsid w:val="00B84628"/>
    <w:rsid w:val="00B84AD6"/>
    <w:rsid w:val="00B84B0B"/>
    <w:rsid w:val="00B84C96"/>
    <w:rsid w:val="00B84DD6"/>
    <w:rsid w:val="00B84EA7"/>
    <w:rsid w:val="00B84F1D"/>
    <w:rsid w:val="00B85042"/>
    <w:rsid w:val="00B85060"/>
    <w:rsid w:val="00B85062"/>
    <w:rsid w:val="00B85151"/>
    <w:rsid w:val="00B851CA"/>
    <w:rsid w:val="00B854B0"/>
    <w:rsid w:val="00B85558"/>
    <w:rsid w:val="00B85A52"/>
    <w:rsid w:val="00B85C98"/>
    <w:rsid w:val="00B85CEF"/>
    <w:rsid w:val="00B85E58"/>
    <w:rsid w:val="00B85EA0"/>
    <w:rsid w:val="00B85EC5"/>
    <w:rsid w:val="00B85EC7"/>
    <w:rsid w:val="00B86134"/>
    <w:rsid w:val="00B862C8"/>
    <w:rsid w:val="00B86333"/>
    <w:rsid w:val="00B8671D"/>
    <w:rsid w:val="00B86844"/>
    <w:rsid w:val="00B86AA9"/>
    <w:rsid w:val="00B86DBD"/>
    <w:rsid w:val="00B86E22"/>
    <w:rsid w:val="00B8710D"/>
    <w:rsid w:val="00B87143"/>
    <w:rsid w:val="00B87173"/>
    <w:rsid w:val="00B87256"/>
    <w:rsid w:val="00B872DF"/>
    <w:rsid w:val="00B873A0"/>
    <w:rsid w:val="00B87457"/>
    <w:rsid w:val="00B876A2"/>
    <w:rsid w:val="00B87A5B"/>
    <w:rsid w:val="00B87BE3"/>
    <w:rsid w:val="00B87BF3"/>
    <w:rsid w:val="00B87CD2"/>
    <w:rsid w:val="00B87E18"/>
    <w:rsid w:val="00B87FC3"/>
    <w:rsid w:val="00B9008F"/>
    <w:rsid w:val="00B9047C"/>
    <w:rsid w:val="00B90539"/>
    <w:rsid w:val="00B905F7"/>
    <w:rsid w:val="00B90A46"/>
    <w:rsid w:val="00B90B30"/>
    <w:rsid w:val="00B90C13"/>
    <w:rsid w:val="00B90E8F"/>
    <w:rsid w:val="00B90FF0"/>
    <w:rsid w:val="00B9108F"/>
    <w:rsid w:val="00B911E1"/>
    <w:rsid w:val="00B9164D"/>
    <w:rsid w:val="00B91ACC"/>
    <w:rsid w:val="00B91C3A"/>
    <w:rsid w:val="00B91C77"/>
    <w:rsid w:val="00B91DCB"/>
    <w:rsid w:val="00B921E3"/>
    <w:rsid w:val="00B9220A"/>
    <w:rsid w:val="00B923D6"/>
    <w:rsid w:val="00B92697"/>
    <w:rsid w:val="00B9274C"/>
    <w:rsid w:val="00B92783"/>
    <w:rsid w:val="00B92794"/>
    <w:rsid w:val="00B927BA"/>
    <w:rsid w:val="00B928E3"/>
    <w:rsid w:val="00B928E9"/>
    <w:rsid w:val="00B92A33"/>
    <w:rsid w:val="00B92CC3"/>
    <w:rsid w:val="00B92D64"/>
    <w:rsid w:val="00B92EDE"/>
    <w:rsid w:val="00B93056"/>
    <w:rsid w:val="00B931C9"/>
    <w:rsid w:val="00B9320C"/>
    <w:rsid w:val="00B93281"/>
    <w:rsid w:val="00B93367"/>
    <w:rsid w:val="00B936C1"/>
    <w:rsid w:val="00B93738"/>
    <w:rsid w:val="00B938DF"/>
    <w:rsid w:val="00B93A0B"/>
    <w:rsid w:val="00B93A6E"/>
    <w:rsid w:val="00B93CF2"/>
    <w:rsid w:val="00B93D73"/>
    <w:rsid w:val="00B93D8D"/>
    <w:rsid w:val="00B944DF"/>
    <w:rsid w:val="00B94769"/>
    <w:rsid w:val="00B94793"/>
    <w:rsid w:val="00B949C0"/>
    <w:rsid w:val="00B949FA"/>
    <w:rsid w:val="00B94B1E"/>
    <w:rsid w:val="00B94B52"/>
    <w:rsid w:val="00B951CC"/>
    <w:rsid w:val="00B955A5"/>
    <w:rsid w:val="00B955E1"/>
    <w:rsid w:val="00B956B3"/>
    <w:rsid w:val="00B958F3"/>
    <w:rsid w:val="00B95932"/>
    <w:rsid w:val="00B95B43"/>
    <w:rsid w:val="00B95CD7"/>
    <w:rsid w:val="00B95CF9"/>
    <w:rsid w:val="00B95D70"/>
    <w:rsid w:val="00B961B9"/>
    <w:rsid w:val="00B962BF"/>
    <w:rsid w:val="00B96640"/>
    <w:rsid w:val="00B967A8"/>
    <w:rsid w:val="00B96EFD"/>
    <w:rsid w:val="00B9710C"/>
    <w:rsid w:val="00B972A3"/>
    <w:rsid w:val="00B9741D"/>
    <w:rsid w:val="00B9777E"/>
    <w:rsid w:val="00B977F8"/>
    <w:rsid w:val="00B9787C"/>
    <w:rsid w:val="00B97B89"/>
    <w:rsid w:val="00B97B9C"/>
    <w:rsid w:val="00B97C08"/>
    <w:rsid w:val="00B97C2E"/>
    <w:rsid w:val="00B97CA0"/>
    <w:rsid w:val="00B97D53"/>
    <w:rsid w:val="00B97FA8"/>
    <w:rsid w:val="00BA01F4"/>
    <w:rsid w:val="00BA0237"/>
    <w:rsid w:val="00BA023D"/>
    <w:rsid w:val="00BA0690"/>
    <w:rsid w:val="00BA07DD"/>
    <w:rsid w:val="00BA0D6D"/>
    <w:rsid w:val="00BA100C"/>
    <w:rsid w:val="00BA1041"/>
    <w:rsid w:val="00BA1252"/>
    <w:rsid w:val="00BA12EF"/>
    <w:rsid w:val="00BA1332"/>
    <w:rsid w:val="00BA1386"/>
    <w:rsid w:val="00BA1398"/>
    <w:rsid w:val="00BA13BD"/>
    <w:rsid w:val="00BA1402"/>
    <w:rsid w:val="00BA15E8"/>
    <w:rsid w:val="00BA1698"/>
    <w:rsid w:val="00BA18F7"/>
    <w:rsid w:val="00BA1D7F"/>
    <w:rsid w:val="00BA2086"/>
    <w:rsid w:val="00BA2141"/>
    <w:rsid w:val="00BA2306"/>
    <w:rsid w:val="00BA24A3"/>
    <w:rsid w:val="00BA2827"/>
    <w:rsid w:val="00BA286B"/>
    <w:rsid w:val="00BA2BC5"/>
    <w:rsid w:val="00BA2BE9"/>
    <w:rsid w:val="00BA2E62"/>
    <w:rsid w:val="00BA2F43"/>
    <w:rsid w:val="00BA3247"/>
    <w:rsid w:val="00BA3365"/>
    <w:rsid w:val="00BA33DD"/>
    <w:rsid w:val="00BA3568"/>
    <w:rsid w:val="00BA389C"/>
    <w:rsid w:val="00BA3965"/>
    <w:rsid w:val="00BA3A6F"/>
    <w:rsid w:val="00BA3A98"/>
    <w:rsid w:val="00BA3CFD"/>
    <w:rsid w:val="00BA45E7"/>
    <w:rsid w:val="00BA4656"/>
    <w:rsid w:val="00BA4704"/>
    <w:rsid w:val="00BA4971"/>
    <w:rsid w:val="00BA4A21"/>
    <w:rsid w:val="00BA4B53"/>
    <w:rsid w:val="00BA4EF7"/>
    <w:rsid w:val="00BA505F"/>
    <w:rsid w:val="00BA50C3"/>
    <w:rsid w:val="00BA566D"/>
    <w:rsid w:val="00BA5A33"/>
    <w:rsid w:val="00BA5C0D"/>
    <w:rsid w:val="00BA5DC4"/>
    <w:rsid w:val="00BA5E28"/>
    <w:rsid w:val="00BA6031"/>
    <w:rsid w:val="00BA607D"/>
    <w:rsid w:val="00BA6101"/>
    <w:rsid w:val="00BA6552"/>
    <w:rsid w:val="00BA65C3"/>
    <w:rsid w:val="00BA67A0"/>
    <w:rsid w:val="00BA699E"/>
    <w:rsid w:val="00BA69B5"/>
    <w:rsid w:val="00BA69D7"/>
    <w:rsid w:val="00BA6D37"/>
    <w:rsid w:val="00BA6E14"/>
    <w:rsid w:val="00BA70A2"/>
    <w:rsid w:val="00BA711E"/>
    <w:rsid w:val="00BA713C"/>
    <w:rsid w:val="00BA71A7"/>
    <w:rsid w:val="00BA71B5"/>
    <w:rsid w:val="00BA7225"/>
    <w:rsid w:val="00BA73A7"/>
    <w:rsid w:val="00BA73C9"/>
    <w:rsid w:val="00BA73EE"/>
    <w:rsid w:val="00BA777A"/>
    <w:rsid w:val="00BA787B"/>
    <w:rsid w:val="00BA793A"/>
    <w:rsid w:val="00BA7BFC"/>
    <w:rsid w:val="00BA7E6C"/>
    <w:rsid w:val="00BA7F96"/>
    <w:rsid w:val="00BB0125"/>
    <w:rsid w:val="00BB035A"/>
    <w:rsid w:val="00BB049C"/>
    <w:rsid w:val="00BB070A"/>
    <w:rsid w:val="00BB07CF"/>
    <w:rsid w:val="00BB0AE1"/>
    <w:rsid w:val="00BB0C92"/>
    <w:rsid w:val="00BB0DAA"/>
    <w:rsid w:val="00BB1084"/>
    <w:rsid w:val="00BB125C"/>
    <w:rsid w:val="00BB1346"/>
    <w:rsid w:val="00BB1553"/>
    <w:rsid w:val="00BB169E"/>
    <w:rsid w:val="00BB16EB"/>
    <w:rsid w:val="00BB171C"/>
    <w:rsid w:val="00BB18DE"/>
    <w:rsid w:val="00BB195E"/>
    <w:rsid w:val="00BB1A2F"/>
    <w:rsid w:val="00BB1BCC"/>
    <w:rsid w:val="00BB1C96"/>
    <w:rsid w:val="00BB1D49"/>
    <w:rsid w:val="00BB1E06"/>
    <w:rsid w:val="00BB2065"/>
    <w:rsid w:val="00BB2110"/>
    <w:rsid w:val="00BB212A"/>
    <w:rsid w:val="00BB2270"/>
    <w:rsid w:val="00BB2353"/>
    <w:rsid w:val="00BB2415"/>
    <w:rsid w:val="00BB288B"/>
    <w:rsid w:val="00BB298D"/>
    <w:rsid w:val="00BB2B46"/>
    <w:rsid w:val="00BB2C1E"/>
    <w:rsid w:val="00BB2CD6"/>
    <w:rsid w:val="00BB2D5C"/>
    <w:rsid w:val="00BB2DC4"/>
    <w:rsid w:val="00BB30D6"/>
    <w:rsid w:val="00BB30EE"/>
    <w:rsid w:val="00BB31C7"/>
    <w:rsid w:val="00BB3214"/>
    <w:rsid w:val="00BB32A0"/>
    <w:rsid w:val="00BB332A"/>
    <w:rsid w:val="00BB339D"/>
    <w:rsid w:val="00BB3525"/>
    <w:rsid w:val="00BB3611"/>
    <w:rsid w:val="00BB3732"/>
    <w:rsid w:val="00BB38CD"/>
    <w:rsid w:val="00BB3922"/>
    <w:rsid w:val="00BB3B5A"/>
    <w:rsid w:val="00BB3B79"/>
    <w:rsid w:val="00BB3BB5"/>
    <w:rsid w:val="00BB3D29"/>
    <w:rsid w:val="00BB3F36"/>
    <w:rsid w:val="00BB4226"/>
    <w:rsid w:val="00BB4350"/>
    <w:rsid w:val="00BB43A5"/>
    <w:rsid w:val="00BB4500"/>
    <w:rsid w:val="00BB460B"/>
    <w:rsid w:val="00BB4C20"/>
    <w:rsid w:val="00BB4F0D"/>
    <w:rsid w:val="00BB505A"/>
    <w:rsid w:val="00BB50C5"/>
    <w:rsid w:val="00BB51D8"/>
    <w:rsid w:val="00BB545E"/>
    <w:rsid w:val="00BB5578"/>
    <w:rsid w:val="00BB5628"/>
    <w:rsid w:val="00BB57BC"/>
    <w:rsid w:val="00BB5B54"/>
    <w:rsid w:val="00BB5DD0"/>
    <w:rsid w:val="00BB5E28"/>
    <w:rsid w:val="00BB5F41"/>
    <w:rsid w:val="00BB5F50"/>
    <w:rsid w:val="00BB5F56"/>
    <w:rsid w:val="00BB625F"/>
    <w:rsid w:val="00BB6371"/>
    <w:rsid w:val="00BB65AB"/>
    <w:rsid w:val="00BB6905"/>
    <w:rsid w:val="00BB6A71"/>
    <w:rsid w:val="00BB6BEB"/>
    <w:rsid w:val="00BB6D26"/>
    <w:rsid w:val="00BB6D67"/>
    <w:rsid w:val="00BB6F13"/>
    <w:rsid w:val="00BB6F43"/>
    <w:rsid w:val="00BB728A"/>
    <w:rsid w:val="00BB7399"/>
    <w:rsid w:val="00BB744D"/>
    <w:rsid w:val="00BB74E9"/>
    <w:rsid w:val="00BB78C8"/>
    <w:rsid w:val="00BB7943"/>
    <w:rsid w:val="00BB7A21"/>
    <w:rsid w:val="00BB7B21"/>
    <w:rsid w:val="00BB7FC3"/>
    <w:rsid w:val="00BB7FED"/>
    <w:rsid w:val="00BC0422"/>
    <w:rsid w:val="00BC045A"/>
    <w:rsid w:val="00BC0477"/>
    <w:rsid w:val="00BC04D6"/>
    <w:rsid w:val="00BC04EE"/>
    <w:rsid w:val="00BC0529"/>
    <w:rsid w:val="00BC0967"/>
    <w:rsid w:val="00BC0A1C"/>
    <w:rsid w:val="00BC0EAC"/>
    <w:rsid w:val="00BC0EC2"/>
    <w:rsid w:val="00BC1172"/>
    <w:rsid w:val="00BC14BC"/>
    <w:rsid w:val="00BC14DF"/>
    <w:rsid w:val="00BC1723"/>
    <w:rsid w:val="00BC18EE"/>
    <w:rsid w:val="00BC18F2"/>
    <w:rsid w:val="00BC1B11"/>
    <w:rsid w:val="00BC1BB6"/>
    <w:rsid w:val="00BC1C23"/>
    <w:rsid w:val="00BC1C7A"/>
    <w:rsid w:val="00BC1DDF"/>
    <w:rsid w:val="00BC23AA"/>
    <w:rsid w:val="00BC2586"/>
    <w:rsid w:val="00BC268D"/>
    <w:rsid w:val="00BC2690"/>
    <w:rsid w:val="00BC2C1C"/>
    <w:rsid w:val="00BC2EBB"/>
    <w:rsid w:val="00BC3275"/>
    <w:rsid w:val="00BC35AD"/>
    <w:rsid w:val="00BC36E2"/>
    <w:rsid w:val="00BC37B5"/>
    <w:rsid w:val="00BC3840"/>
    <w:rsid w:val="00BC395A"/>
    <w:rsid w:val="00BC3C32"/>
    <w:rsid w:val="00BC3C71"/>
    <w:rsid w:val="00BC3C7C"/>
    <w:rsid w:val="00BC3D25"/>
    <w:rsid w:val="00BC3D4D"/>
    <w:rsid w:val="00BC3D73"/>
    <w:rsid w:val="00BC3DAC"/>
    <w:rsid w:val="00BC3E39"/>
    <w:rsid w:val="00BC3E82"/>
    <w:rsid w:val="00BC4053"/>
    <w:rsid w:val="00BC4153"/>
    <w:rsid w:val="00BC4382"/>
    <w:rsid w:val="00BC4640"/>
    <w:rsid w:val="00BC47E4"/>
    <w:rsid w:val="00BC4899"/>
    <w:rsid w:val="00BC48C4"/>
    <w:rsid w:val="00BC4A4E"/>
    <w:rsid w:val="00BC4A91"/>
    <w:rsid w:val="00BC4B00"/>
    <w:rsid w:val="00BC4B34"/>
    <w:rsid w:val="00BC4FB1"/>
    <w:rsid w:val="00BC4FC9"/>
    <w:rsid w:val="00BC502E"/>
    <w:rsid w:val="00BC5143"/>
    <w:rsid w:val="00BC5151"/>
    <w:rsid w:val="00BC5167"/>
    <w:rsid w:val="00BC5183"/>
    <w:rsid w:val="00BC52BF"/>
    <w:rsid w:val="00BC5458"/>
    <w:rsid w:val="00BC5564"/>
    <w:rsid w:val="00BC560C"/>
    <w:rsid w:val="00BC563E"/>
    <w:rsid w:val="00BC56D0"/>
    <w:rsid w:val="00BC5701"/>
    <w:rsid w:val="00BC57AE"/>
    <w:rsid w:val="00BC57B4"/>
    <w:rsid w:val="00BC57EC"/>
    <w:rsid w:val="00BC5A8A"/>
    <w:rsid w:val="00BC5ABB"/>
    <w:rsid w:val="00BC5ADB"/>
    <w:rsid w:val="00BC5BE4"/>
    <w:rsid w:val="00BC5E40"/>
    <w:rsid w:val="00BC65EC"/>
    <w:rsid w:val="00BC66E3"/>
    <w:rsid w:val="00BC672A"/>
    <w:rsid w:val="00BC6891"/>
    <w:rsid w:val="00BC6A77"/>
    <w:rsid w:val="00BC6E09"/>
    <w:rsid w:val="00BC6EB9"/>
    <w:rsid w:val="00BC705A"/>
    <w:rsid w:val="00BC70F0"/>
    <w:rsid w:val="00BC71EC"/>
    <w:rsid w:val="00BC71F0"/>
    <w:rsid w:val="00BC7A97"/>
    <w:rsid w:val="00BC7BFA"/>
    <w:rsid w:val="00BC7C82"/>
    <w:rsid w:val="00BD01EC"/>
    <w:rsid w:val="00BD0286"/>
    <w:rsid w:val="00BD086E"/>
    <w:rsid w:val="00BD08DE"/>
    <w:rsid w:val="00BD091F"/>
    <w:rsid w:val="00BD092C"/>
    <w:rsid w:val="00BD0E08"/>
    <w:rsid w:val="00BD1376"/>
    <w:rsid w:val="00BD15C3"/>
    <w:rsid w:val="00BD19D2"/>
    <w:rsid w:val="00BD1C04"/>
    <w:rsid w:val="00BD1C23"/>
    <w:rsid w:val="00BD1CCB"/>
    <w:rsid w:val="00BD1CCF"/>
    <w:rsid w:val="00BD1EB7"/>
    <w:rsid w:val="00BD1EDD"/>
    <w:rsid w:val="00BD1F25"/>
    <w:rsid w:val="00BD1F7B"/>
    <w:rsid w:val="00BD1F8F"/>
    <w:rsid w:val="00BD21E4"/>
    <w:rsid w:val="00BD258E"/>
    <w:rsid w:val="00BD25CE"/>
    <w:rsid w:val="00BD2C25"/>
    <w:rsid w:val="00BD2C7B"/>
    <w:rsid w:val="00BD2D02"/>
    <w:rsid w:val="00BD2EA4"/>
    <w:rsid w:val="00BD2FCF"/>
    <w:rsid w:val="00BD3039"/>
    <w:rsid w:val="00BD3105"/>
    <w:rsid w:val="00BD32F3"/>
    <w:rsid w:val="00BD3315"/>
    <w:rsid w:val="00BD336A"/>
    <w:rsid w:val="00BD348A"/>
    <w:rsid w:val="00BD3FF9"/>
    <w:rsid w:val="00BD40FF"/>
    <w:rsid w:val="00BD43C4"/>
    <w:rsid w:val="00BD450B"/>
    <w:rsid w:val="00BD459C"/>
    <w:rsid w:val="00BD4734"/>
    <w:rsid w:val="00BD47C3"/>
    <w:rsid w:val="00BD4C72"/>
    <w:rsid w:val="00BD5004"/>
    <w:rsid w:val="00BD54C9"/>
    <w:rsid w:val="00BD563C"/>
    <w:rsid w:val="00BD5863"/>
    <w:rsid w:val="00BD5AE5"/>
    <w:rsid w:val="00BD5B40"/>
    <w:rsid w:val="00BD5D17"/>
    <w:rsid w:val="00BD5D67"/>
    <w:rsid w:val="00BD5DC4"/>
    <w:rsid w:val="00BD5FBA"/>
    <w:rsid w:val="00BD603E"/>
    <w:rsid w:val="00BD60B0"/>
    <w:rsid w:val="00BD60F3"/>
    <w:rsid w:val="00BD6139"/>
    <w:rsid w:val="00BD617A"/>
    <w:rsid w:val="00BD6424"/>
    <w:rsid w:val="00BD678A"/>
    <w:rsid w:val="00BD68DC"/>
    <w:rsid w:val="00BD6952"/>
    <w:rsid w:val="00BD69BE"/>
    <w:rsid w:val="00BD6E7B"/>
    <w:rsid w:val="00BD6E81"/>
    <w:rsid w:val="00BD7178"/>
    <w:rsid w:val="00BD73A9"/>
    <w:rsid w:val="00BD7601"/>
    <w:rsid w:val="00BD76D2"/>
    <w:rsid w:val="00BD7949"/>
    <w:rsid w:val="00BD7A52"/>
    <w:rsid w:val="00BD7C3E"/>
    <w:rsid w:val="00BD7D7D"/>
    <w:rsid w:val="00BD7F99"/>
    <w:rsid w:val="00BE007A"/>
    <w:rsid w:val="00BE008E"/>
    <w:rsid w:val="00BE0135"/>
    <w:rsid w:val="00BE0187"/>
    <w:rsid w:val="00BE037E"/>
    <w:rsid w:val="00BE0519"/>
    <w:rsid w:val="00BE054F"/>
    <w:rsid w:val="00BE057C"/>
    <w:rsid w:val="00BE0AC4"/>
    <w:rsid w:val="00BE0B26"/>
    <w:rsid w:val="00BE0B29"/>
    <w:rsid w:val="00BE0B31"/>
    <w:rsid w:val="00BE0B9A"/>
    <w:rsid w:val="00BE0BC7"/>
    <w:rsid w:val="00BE0D27"/>
    <w:rsid w:val="00BE0DE2"/>
    <w:rsid w:val="00BE0DE9"/>
    <w:rsid w:val="00BE0E41"/>
    <w:rsid w:val="00BE0EA1"/>
    <w:rsid w:val="00BE0ECF"/>
    <w:rsid w:val="00BE101F"/>
    <w:rsid w:val="00BE107C"/>
    <w:rsid w:val="00BE10EE"/>
    <w:rsid w:val="00BE11F2"/>
    <w:rsid w:val="00BE1207"/>
    <w:rsid w:val="00BE1288"/>
    <w:rsid w:val="00BE1354"/>
    <w:rsid w:val="00BE1358"/>
    <w:rsid w:val="00BE1881"/>
    <w:rsid w:val="00BE1C3D"/>
    <w:rsid w:val="00BE1FA1"/>
    <w:rsid w:val="00BE2215"/>
    <w:rsid w:val="00BE23E4"/>
    <w:rsid w:val="00BE2418"/>
    <w:rsid w:val="00BE2628"/>
    <w:rsid w:val="00BE2659"/>
    <w:rsid w:val="00BE2CCB"/>
    <w:rsid w:val="00BE2D51"/>
    <w:rsid w:val="00BE32DB"/>
    <w:rsid w:val="00BE33CA"/>
    <w:rsid w:val="00BE359D"/>
    <w:rsid w:val="00BE36FD"/>
    <w:rsid w:val="00BE371D"/>
    <w:rsid w:val="00BE38E4"/>
    <w:rsid w:val="00BE39C6"/>
    <w:rsid w:val="00BE3BD3"/>
    <w:rsid w:val="00BE3EB8"/>
    <w:rsid w:val="00BE3F4D"/>
    <w:rsid w:val="00BE3FC3"/>
    <w:rsid w:val="00BE408F"/>
    <w:rsid w:val="00BE4299"/>
    <w:rsid w:val="00BE42E2"/>
    <w:rsid w:val="00BE4312"/>
    <w:rsid w:val="00BE4429"/>
    <w:rsid w:val="00BE4469"/>
    <w:rsid w:val="00BE4D3C"/>
    <w:rsid w:val="00BE4DB3"/>
    <w:rsid w:val="00BE4DE3"/>
    <w:rsid w:val="00BE5147"/>
    <w:rsid w:val="00BE5315"/>
    <w:rsid w:val="00BE5597"/>
    <w:rsid w:val="00BE598B"/>
    <w:rsid w:val="00BE5A24"/>
    <w:rsid w:val="00BE5A8C"/>
    <w:rsid w:val="00BE5ACC"/>
    <w:rsid w:val="00BE5D63"/>
    <w:rsid w:val="00BE5EA0"/>
    <w:rsid w:val="00BE5F82"/>
    <w:rsid w:val="00BE62F4"/>
    <w:rsid w:val="00BE6366"/>
    <w:rsid w:val="00BE65A5"/>
    <w:rsid w:val="00BE65B3"/>
    <w:rsid w:val="00BE69F6"/>
    <w:rsid w:val="00BE6AA1"/>
    <w:rsid w:val="00BE6E11"/>
    <w:rsid w:val="00BE70A7"/>
    <w:rsid w:val="00BE7130"/>
    <w:rsid w:val="00BE7269"/>
    <w:rsid w:val="00BE72BA"/>
    <w:rsid w:val="00BE7326"/>
    <w:rsid w:val="00BE7365"/>
    <w:rsid w:val="00BE7450"/>
    <w:rsid w:val="00BE751A"/>
    <w:rsid w:val="00BE7836"/>
    <w:rsid w:val="00BE7BA6"/>
    <w:rsid w:val="00BF03D6"/>
    <w:rsid w:val="00BF0511"/>
    <w:rsid w:val="00BF065A"/>
    <w:rsid w:val="00BF06B8"/>
    <w:rsid w:val="00BF0721"/>
    <w:rsid w:val="00BF07F5"/>
    <w:rsid w:val="00BF0800"/>
    <w:rsid w:val="00BF0EEE"/>
    <w:rsid w:val="00BF0F73"/>
    <w:rsid w:val="00BF12E2"/>
    <w:rsid w:val="00BF1318"/>
    <w:rsid w:val="00BF1319"/>
    <w:rsid w:val="00BF1442"/>
    <w:rsid w:val="00BF1483"/>
    <w:rsid w:val="00BF1565"/>
    <w:rsid w:val="00BF159C"/>
    <w:rsid w:val="00BF15E2"/>
    <w:rsid w:val="00BF174F"/>
    <w:rsid w:val="00BF1761"/>
    <w:rsid w:val="00BF1801"/>
    <w:rsid w:val="00BF180A"/>
    <w:rsid w:val="00BF19C6"/>
    <w:rsid w:val="00BF1B0E"/>
    <w:rsid w:val="00BF1B60"/>
    <w:rsid w:val="00BF1BB9"/>
    <w:rsid w:val="00BF1DAD"/>
    <w:rsid w:val="00BF1EE4"/>
    <w:rsid w:val="00BF239C"/>
    <w:rsid w:val="00BF239E"/>
    <w:rsid w:val="00BF2617"/>
    <w:rsid w:val="00BF27EE"/>
    <w:rsid w:val="00BF2840"/>
    <w:rsid w:val="00BF2F4C"/>
    <w:rsid w:val="00BF33D8"/>
    <w:rsid w:val="00BF36CC"/>
    <w:rsid w:val="00BF36EE"/>
    <w:rsid w:val="00BF3702"/>
    <w:rsid w:val="00BF37EA"/>
    <w:rsid w:val="00BF39FA"/>
    <w:rsid w:val="00BF39FE"/>
    <w:rsid w:val="00BF3B39"/>
    <w:rsid w:val="00BF3DB7"/>
    <w:rsid w:val="00BF3E1B"/>
    <w:rsid w:val="00BF3FAD"/>
    <w:rsid w:val="00BF3FB9"/>
    <w:rsid w:val="00BF41B8"/>
    <w:rsid w:val="00BF424D"/>
    <w:rsid w:val="00BF4344"/>
    <w:rsid w:val="00BF44B4"/>
    <w:rsid w:val="00BF45A5"/>
    <w:rsid w:val="00BF45B1"/>
    <w:rsid w:val="00BF48FD"/>
    <w:rsid w:val="00BF4A27"/>
    <w:rsid w:val="00BF4B16"/>
    <w:rsid w:val="00BF4B52"/>
    <w:rsid w:val="00BF4D82"/>
    <w:rsid w:val="00BF4DEC"/>
    <w:rsid w:val="00BF5321"/>
    <w:rsid w:val="00BF54F9"/>
    <w:rsid w:val="00BF5526"/>
    <w:rsid w:val="00BF562E"/>
    <w:rsid w:val="00BF593F"/>
    <w:rsid w:val="00BF5CF2"/>
    <w:rsid w:val="00BF5D5F"/>
    <w:rsid w:val="00BF5DB8"/>
    <w:rsid w:val="00BF5EF7"/>
    <w:rsid w:val="00BF60B9"/>
    <w:rsid w:val="00BF61CE"/>
    <w:rsid w:val="00BF63D4"/>
    <w:rsid w:val="00BF6450"/>
    <w:rsid w:val="00BF659C"/>
    <w:rsid w:val="00BF65FE"/>
    <w:rsid w:val="00BF6626"/>
    <w:rsid w:val="00BF66B0"/>
    <w:rsid w:val="00BF6800"/>
    <w:rsid w:val="00BF688F"/>
    <w:rsid w:val="00BF6A95"/>
    <w:rsid w:val="00BF6AEB"/>
    <w:rsid w:val="00BF6B9F"/>
    <w:rsid w:val="00BF6C0C"/>
    <w:rsid w:val="00BF6DDD"/>
    <w:rsid w:val="00BF6F25"/>
    <w:rsid w:val="00BF6FE2"/>
    <w:rsid w:val="00BF715B"/>
    <w:rsid w:val="00BF7352"/>
    <w:rsid w:val="00BF7595"/>
    <w:rsid w:val="00BF7702"/>
    <w:rsid w:val="00BF7859"/>
    <w:rsid w:val="00BF7AEE"/>
    <w:rsid w:val="00BF7B6E"/>
    <w:rsid w:val="00BF7C4E"/>
    <w:rsid w:val="00BF7C8E"/>
    <w:rsid w:val="00BF7E83"/>
    <w:rsid w:val="00BF7E8F"/>
    <w:rsid w:val="00BF7E98"/>
    <w:rsid w:val="00BF7F23"/>
    <w:rsid w:val="00C00563"/>
    <w:rsid w:val="00C005A2"/>
    <w:rsid w:val="00C0062A"/>
    <w:rsid w:val="00C009F8"/>
    <w:rsid w:val="00C00D64"/>
    <w:rsid w:val="00C00DFC"/>
    <w:rsid w:val="00C01001"/>
    <w:rsid w:val="00C01128"/>
    <w:rsid w:val="00C01170"/>
    <w:rsid w:val="00C011DC"/>
    <w:rsid w:val="00C0120D"/>
    <w:rsid w:val="00C012AA"/>
    <w:rsid w:val="00C01557"/>
    <w:rsid w:val="00C0193F"/>
    <w:rsid w:val="00C01DBE"/>
    <w:rsid w:val="00C01E13"/>
    <w:rsid w:val="00C01F5A"/>
    <w:rsid w:val="00C0205F"/>
    <w:rsid w:val="00C0222D"/>
    <w:rsid w:val="00C02582"/>
    <w:rsid w:val="00C02B7A"/>
    <w:rsid w:val="00C02CB1"/>
    <w:rsid w:val="00C02E5C"/>
    <w:rsid w:val="00C02F46"/>
    <w:rsid w:val="00C035F6"/>
    <w:rsid w:val="00C03664"/>
    <w:rsid w:val="00C03F6E"/>
    <w:rsid w:val="00C040C4"/>
    <w:rsid w:val="00C04163"/>
    <w:rsid w:val="00C041AB"/>
    <w:rsid w:val="00C042B7"/>
    <w:rsid w:val="00C042D7"/>
    <w:rsid w:val="00C04535"/>
    <w:rsid w:val="00C04541"/>
    <w:rsid w:val="00C047F3"/>
    <w:rsid w:val="00C049B5"/>
    <w:rsid w:val="00C04A39"/>
    <w:rsid w:val="00C04A6D"/>
    <w:rsid w:val="00C04D36"/>
    <w:rsid w:val="00C04DF6"/>
    <w:rsid w:val="00C05041"/>
    <w:rsid w:val="00C05186"/>
    <w:rsid w:val="00C051EE"/>
    <w:rsid w:val="00C05222"/>
    <w:rsid w:val="00C0524C"/>
    <w:rsid w:val="00C0525E"/>
    <w:rsid w:val="00C05551"/>
    <w:rsid w:val="00C0571C"/>
    <w:rsid w:val="00C058A7"/>
    <w:rsid w:val="00C05A42"/>
    <w:rsid w:val="00C05AB3"/>
    <w:rsid w:val="00C05B40"/>
    <w:rsid w:val="00C05B9D"/>
    <w:rsid w:val="00C05D14"/>
    <w:rsid w:val="00C05DED"/>
    <w:rsid w:val="00C05E4C"/>
    <w:rsid w:val="00C05E74"/>
    <w:rsid w:val="00C05FA7"/>
    <w:rsid w:val="00C0602E"/>
    <w:rsid w:val="00C0617D"/>
    <w:rsid w:val="00C06464"/>
    <w:rsid w:val="00C067CE"/>
    <w:rsid w:val="00C0684B"/>
    <w:rsid w:val="00C06D79"/>
    <w:rsid w:val="00C06E00"/>
    <w:rsid w:val="00C06F2D"/>
    <w:rsid w:val="00C06F9A"/>
    <w:rsid w:val="00C07008"/>
    <w:rsid w:val="00C0702C"/>
    <w:rsid w:val="00C070AA"/>
    <w:rsid w:val="00C074CC"/>
    <w:rsid w:val="00C0756A"/>
    <w:rsid w:val="00C07675"/>
    <w:rsid w:val="00C07786"/>
    <w:rsid w:val="00C0779C"/>
    <w:rsid w:val="00C078BD"/>
    <w:rsid w:val="00C07976"/>
    <w:rsid w:val="00C0797F"/>
    <w:rsid w:val="00C07A59"/>
    <w:rsid w:val="00C07A83"/>
    <w:rsid w:val="00C07BEB"/>
    <w:rsid w:val="00C07C4C"/>
    <w:rsid w:val="00C07E09"/>
    <w:rsid w:val="00C07E34"/>
    <w:rsid w:val="00C100C5"/>
    <w:rsid w:val="00C101BD"/>
    <w:rsid w:val="00C10204"/>
    <w:rsid w:val="00C1020E"/>
    <w:rsid w:val="00C10216"/>
    <w:rsid w:val="00C10334"/>
    <w:rsid w:val="00C1048C"/>
    <w:rsid w:val="00C106B2"/>
    <w:rsid w:val="00C107E3"/>
    <w:rsid w:val="00C1084C"/>
    <w:rsid w:val="00C108BF"/>
    <w:rsid w:val="00C10915"/>
    <w:rsid w:val="00C10F44"/>
    <w:rsid w:val="00C111AA"/>
    <w:rsid w:val="00C111D6"/>
    <w:rsid w:val="00C11314"/>
    <w:rsid w:val="00C11380"/>
    <w:rsid w:val="00C118E1"/>
    <w:rsid w:val="00C11A3F"/>
    <w:rsid w:val="00C11A57"/>
    <w:rsid w:val="00C11DDC"/>
    <w:rsid w:val="00C11E13"/>
    <w:rsid w:val="00C11EDB"/>
    <w:rsid w:val="00C121BB"/>
    <w:rsid w:val="00C122D4"/>
    <w:rsid w:val="00C123E0"/>
    <w:rsid w:val="00C12439"/>
    <w:rsid w:val="00C1275D"/>
    <w:rsid w:val="00C12775"/>
    <w:rsid w:val="00C12920"/>
    <w:rsid w:val="00C12B0D"/>
    <w:rsid w:val="00C12B2F"/>
    <w:rsid w:val="00C12B8C"/>
    <w:rsid w:val="00C12C77"/>
    <w:rsid w:val="00C12D1F"/>
    <w:rsid w:val="00C12F2A"/>
    <w:rsid w:val="00C13007"/>
    <w:rsid w:val="00C130B7"/>
    <w:rsid w:val="00C131DB"/>
    <w:rsid w:val="00C132C2"/>
    <w:rsid w:val="00C1340A"/>
    <w:rsid w:val="00C134BE"/>
    <w:rsid w:val="00C13675"/>
    <w:rsid w:val="00C13846"/>
    <w:rsid w:val="00C13919"/>
    <w:rsid w:val="00C13B91"/>
    <w:rsid w:val="00C13D07"/>
    <w:rsid w:val="00C1409A"/>
    <w:rsid w:val="00C141D5"/>
    <w:rsid w:val="00C142C8"/>
    <w:rsid w:val="00C143F4"/>
    <w:rsid w:val="00C14598"/>
    <w:rsid w:val="00C14870"/>
    <w:rsid w:val="00C14A6E"/>
    <w:rsid w:val="00C14B55"/>
    <w:rsid w:val="00C14B63"/>
    <w:rsid w:val="00C15252"/>
    <w:rsid w:val="00C15429"/>
    <w:rsid w:val="00C15779"/>
    <w:rsid w:val="00C1597A"/>
    <w:rsid w:val="00C15AAF"/>
    <w:rsid w:val="00C15F6F"/>
    <w:rsid w:val="00C163AA"/>
    <w:rsid w:val="00C1659E"/>
    <w:rsid w:val="00C16679"/>
    <w:rsid w:val="00C16902"/>
    <w:rsid w:val="00C16949"/>
    <w:rsid w:val="00C169D1"/>
    <w:rsid w:val="00C16E2D"/>
    <w:rsid w:val="00C1707E"/>
    <w:rsid w:val="00C17088"/>
    <w:rsid w:val="00C17DFE"/>
    <w:rsid w:val="00C17E9A"/>
    <w:rsid w:val="00C20071"/>
    <w:rsid w:val="00C20258"/>
    <w:rsid w:val="00C2028F"/>
    <w:rsid w:val="00C203A5"/>
    <w:rsid w:val="00C2040A"/>
    <w:rsid w:val="00C20419"/>
    <w:rsid w:val="00C207A5"/>
    <w:rsid w:val="00C208EC"/>
    <w:rsid w:val="00C20B52"/>
    <w:rsid w:val="00C20CFB"/>
    <w:rsid w:val="00C20F17"/>
    <w:rsid w:val="00C21195"/>
    <w:rsid w:val="00C2127C"/>
    <w:rsid w:val="00C213B0"/>
    <w:rsid w:val="00C215C6"/>
    <w:rsid w:val="00C2165D"/>
    <w:rsid w:val="00C2167C"/>
    <w:rsid w:val="00C216C5"/>
    <w:rsid w:val="00C21843"/>
    <w:rsid w:val="00C21870"/>
    <w:rsid w:val="00C219C0"/>
    <w:rsid w:val="00C219C9"/>
    <w:rsid w:val="00C21AB7"/>
    <w:rsid w:val="00C21BB4"/>
    <w:rsid w:val="00C21BBD"/>
    <w:rsid w:val="00C21C5F"/>
    <w:rsid w:val="00C21FE7"/>
    <w:rsid w:val="00C22072"/>
    <w:rsid w:val="00C22215"/>
    <w:rsid w:val="00C2231D"/>
    <w:rsid w:val="00C22703"/>
    <w:rsid w:val="00C228FE"/>
    <w:rsid w:val="00C229D0"/>
    <w:rsid w:val="00C22A69"/>
    <w:rsid w:val="00C22B69"/>
    <w:rsid w:val="00C22CC2"/>
    <w:rsid w:val="00C22F04"/>
    <w:rsid w:val="00C22F87"/>
    <w:rsid w:val="00C2318F"/>
    <w:rsid w:val="00C23360"/>
    <w:rsid w:val="00C2358C"/>
    <w:rsid w:val="00C238AB"/>
    <w:rsid w:val="00C238AF"/>
    <w:rsid w:val="00C23A43"/>
    <w:rsid w:val="00C23A80"/>
    <w:rsid w:val="00C23A8A"/>
    <w:rsid w:val="00C23C53"/>
    <w:rsid w:val="00C23EAF"/>
    <w:rsid w:val="00C23EFF"/>
    <w:rsid w:val="00C24117"/>
    <w:rsid w:val="00C2417D"/>
    <w:rsid w:val="00C242C9"/>
    <w:rsid w:val="00C242D4"/>
    <w:rsid w:val="00C243E2"/>
    <w:rsid w:val="00C24475"/>
    <w:rsid w:val="00C2452F"/>
    <w:rsid w:val="00C245F4"/>
    <w:rsid w:val="00C24665"/>
    <w:rsid w:val="00C246E7"/>
    <w:rsid w:val="00C24853"/>
    <w:rsid w:val="00C24874"/>
    <w:rsid w:val="00C248FC"/>
    <w:rsid w:val="00C24FD7"/>
    <w:rsid w:val="00C24FFE"/>
    <w:rsid w:val="00C2507B"/>
    <w:rsid w:val="00C2514E"/>
    <w:rsid w:val="00C2528E"/>
    <w:rsid w:val="00C253D1"/>
    <w:rsid w:val="00C25585"/>
    <w:rsid w:val="00C255DC"/>
    <w:rsid w:val="00C25655"/>
    <w:rsid w:val="00C25833"/>
    <w:rsid w:val="00C2594F"/>
    <w:rsid w:val="00C2596F"/>
    <w:rsid w:val="00C25D05"/>
    <w:rsid w:val="00C25D9F"/>
    <w:rsid w:val="00C25DF5"/>
    <w:rsid w:val="00C25E15"/>
    <w:rsid w:val="00C26092"/>
    <w:rsid w:val="00C26226"/>
    <w:rsid w:val="00C263BA"/>
    <w:rsid w:val="00C26725"/>
    <w:rsid w:val="00C26808"/>
    <w:rsid w:val="00C26AC2"/>
    <w:rsid w:val="00C26C00"/>
    <w:rsid w:val="00C26C99"/>
    <w:rsid w:val="00C26E67"/>
    <w:rsid w:val="00C26FA5"/>
    <w:rsid w:val="00C27077"/>
    <w:rsid w:val="00C27088"/>
    <w:rsid w:val="00C27332"/>
    <w:rsid w:val="00C27616"/>
    <w:rsid w:val="00C27617"/>
    <w:rsid w:val="00C27638"/>
    <w:rsid w:val="00C27659"/>
    <w:rsid w:val="00C27996"/>
    <w:rsid w:val="00C27A50"/>
    <w:rsid w:val="00C27EA5"/>
    <w:rsid w:val="00C27F2F"/>
    <w:rsid w:val="00C3048D"/>
    <w:rsid w:val="00C30536"/>
    <w:rsid w:val="00C30579"/>
    <w:rsid w:val="00C30664"/>
    <w:rsid w:val="00C306A6"/>
    <w:rsid w:val="00C3089B"/>
    <w:rsid w:val="00C3098D"/>
    <w:rsid w:val="00C30C70"/>
    <w:rsid w:val="00C30E89"/>
    <w:rsid w:val="00C30F08"/>
    <w:rsid w:val="00C30F2B"/>
    <w:rsid w:val="00C30F41"/>
    <w:rsid w:val="00C3125C"/>
    <w:rsid w:val="00C3150C"/>
    <w:rsid w:val="00C3156C"/>
    <w:rsid w:val="00C3158B"/>
    <w:rsid w:val="00C3174F"/>
    <w:rsid w:val="00C317AA"/>
    <w:rsid w:val="00C31814"/>
    <w:rsid w:val="00C3189B"/>
    <w:rsid w:val="00C31945"/>
    <w:rsid w:val="00C31F1A"/>
    <w:rsid w:val="00C31F1D"/>
    <w:rsid w:val="00C320C8"/>
    <w:rsid w:val="00C3229B"/>
    <w:rsid w:val="00C326B5"/>
    <w:rsid w:val="00C32720"/>
    <w:rsid w:val="00C32867"/>
    <w:rsid w:val="00C3289E"/>
    <w:rsid w:val="00C32C48"/>
    <w:rsid w:val="00C32CD8"/>
    <w:rsid w:val="00C32FAE"/>
    <w:rsid w:val="00C33173"/>
    <w:rsid w:val="00C3377E"/>
    <w:rsid w:val="00C33A1B"/>
    <w:rsid w:val="00C33BAF"/>
    <w:rsid w:val="00C33D31"/>
    <w:rsid w:val="00C33E78"/>
    <w:rsid w:val="00C340FE"/>
    <w:rsid w:val="00C3415A"/>
    <w:rsid w:val="00C34251"/>
    <w:rsid w:val="00C342B2"/>
    <w:rsid w:val="00C34346"/>
    <w:rsid w:val="00C34569"/>
    <w:rsid w:val="00C346A2"/>
    <w:rsid w:val="00C346C3"/>
    <w:rsid w:val="00C346E9"/>
    <w:rsid w:val="00C346F9"/>
    <w:rsid w:val="00C3490C"/>
    <w:rsid w:val="00C34916"/>
    <w:rsid w:val="00C34B96"/>
    <w:rsid w:val="00C34BB8"/>
    <w:rsid w:val="00C34CFA"/>
    <w:rsid w:val="00C34D67"/>
    <w:rsid w:val="00C35096"/>
    <w:rsid w:val="00C351CB"/>
    <w:rsid w:val="00C352A7"/>
    <w:rsid w:val="00C35315"/>
    <w:rsid w:val="00C354BA"/>
    <w:rsid w:val="00C3559C"/>
    <w:rsid w:val="00C35636"/>
    <w:rsid w:val="00C35A5B"/>
    <w:rsid w:val="00C3609D"/>
    <w:rsid w:val="00C361E9"/>
    <w:rsid w:val="00C3620A"/>
    <w:rsid w:val="00C364EE"/>
    <w:rsid w:val="00C365DC"/>
    <w:rsid w:val="00C369C6"/>
    <w:rsid w:val="00C36E35"/>
    <w:rsid w:val="00C36E76"/>
    <w:rsid w:val="00C374F9"/>
    <w:rsid w:val="00C37570"/>
    <w:rsid w:val="00C3782F"/>
    <w:rsid w:val="00C37A56"/>
    <w:rsid w:val="00C37AA8"/>
    <w:rsid w:val="00C37AB0"/>
    <w:rsid w:val="00C37B8D"/>
    <w:rsid w:val="00C37D54"/>
    <w:rsid w:val="00C37E42"/>
    <w:rsid w:val="00C37E9E"/>
    <w:rsid w:val="00C400BE"/>
    <w:rsid w:val="00C400DD"/>
    <w:rsid w:val="00C402DE"/>
    <w:rsid w:val="00C403CF"/>
    <w:rsid w:val="00C4057A"/>
    <w:rsid w:val="00C4069F"/>
    <w:rsid w:val="00C406CB"/>
    <w:rsid w:val="00C407FA"/>
    <w:rsid w:val="00C409D7"/>
    <w:rsid w:val="00C40AF5"/>
    <w:rsid w:val="00C40BBF"/>
    <w:rsid w:val="00C40C27"/>
    <w:rsid w:val="00C40C3C"/>
    <w:rsid w:val="00C40CEF"/>
    <w:rsid w:val="00C40CFC"/>
    <w:rsid w:val="00C40E05"/>
    <w:rsid w:val="00C41052"/>
    <w:rsid w:val="00C41188"/>
    <w:rsid w:val="00C412EB"/>
    <w:rsid w:val="00C41786"/>
    <w:rsid w:val="00C4183C"/>
    <w:rsid w:val="00C41906"/>
    <w:rsid w:val="00C41D71"/>
    <w:rsid w:val="00C41F8A"/>
    <w:rsid w:val="00C41FB9"/>
    <w:rsid w:val="00C421B7"/>
    <w:rsid w:val="00C421F0"/>
    <w:rsid w:val="00C423F0"/>
    <w:rsid w:val="00C424AA"/>
    <w:rsid w:val="00C42685"/>
    <w:rsid w:val="00C428BA"/>
    <w:rsid w:val="00C4293D"/>
    <w:rsid w:val="00C42D7F"/>
    <w:rsid w:val="00C4332C"/>
    <w:rsid w:val="00C43503"/>
    <w:rsid w:val="00C4358E"/>
    <w:rsid w:val="00C435DD"/>
    <w:rsid w:val="00C43739"/>
    <w:rsid w:val="00C43ABF"/>
    <w:rsid w:val="00C43B1C"/>
    <w:rsid w:val="00C43B54"/>
    <w:rsid w:val="00C43B92"/>
    <w:rsid w:val="00C43B93"/>
    <w:rsid w:val="00C43EAD"/>
    <w:rsid w:val="00C43F13"/>
    <w:rsid w:val="00C43FD8"/>
    <w:rsid w:val="00C4409C"/>
    <w:rsid w:val="00C441DC"/>
    <w:rsid w:val="00C445FB"/>
    <w:rsid w:val="00C44748"/>
    <w:rsid w:val="00C4485A"/>
    <w:rsid w:val="00C448F9"/>
    <w:rsid w:val="00C4493C"/>
    <w:rsid w:val="00C44AA0"/>
    <w:rsid w:val="00C44F17"/>
    <w:rsid w:val="00C450E9"/>
    <w:rsid w:val="00C45167"/>
    <w:rsid w:val="00C451DE"/>
    <w:rsid w:val="00C452F9"/>
    <w:rsid w:val="00C4547B"/>
    <w:rsid w:val="00C4547D"/>
    <w:rsid w:val="00C454E2"/>
    <w:rsid w:val="00C45739"/>
    <w:rsid w:val="00C458D9"/>
    <w:rsid w:val="00C459CF"/>
    <w:rsid w:val="00C45A8B"/>
    <w:rsid w:val="00C45AED"/>
    <w:rsid w:val="00C45F3F"/>
    <w:rsid w:val="00C45FF2"/>
    <w:rsid w:val="00C46120"/>
    <w:rsid w:val="00C46121"/>
    <w:rsid w:val="00C4636B"/>
    <w:rsid w:val="00C463B1"/>
    <w:rsid w:val="00C464C8"/>
    <w:rsid w:val="00C4663F"/>
    <w:rsid w:val="00C466C6"/>
    <w:rsid w:val="00C46705"/>
    <w:rsid w:val="00C46B52"/>
    <w:rsid w:val="00C46C6C"/>
    <w:rsid w:val="00C46CDF"/>
    <w:rsid w:val="00C46E7E"/>
    <w:rsid w:val="00C46ED1"/>
    <w:rsid w:val="00C470A6"/>
    <w:rsid w:val="00C47144"/>
    <w:rsid w:val="00C472C1"/>
    <w:rsid w:val="00C47303"/>
    <w:rsid w:val="00C47613"/>
    <w:rsid w:val="00C47847"/>
    <w:rsid w:val="00C47B3B"/>
    <w:rsid w:val="00C47EC6"/>
    <w:rsid w:val="00C47F4A"/>
    <w:rsid w:val="00C47F76"/>
    <w:rsid w:val="00C50127"/>
    <w:rsid w:val="00C50192"/>
    <w:rsid w:val="00C503FE"/>
    <w:rsid w:val="00C504A4"/>
    <w:rsid w:val="00C50631"/>
    <w:rsid w:val="00C508C4"/>
    <w:rsid w:val="00C50976"/>
    <w:rsid w:val="00C50CE1"/>
    <w:rsid w:val="00C50FDC"/>
    <w:rsid w:val="00C5100F"/>
    <w:rsid w:val="00C514CC"/>
    <w:rsid w:val="00C517EC"/>
    <w:rsid w:val="00C51A4E"/>
    <w:rsid w:val="00C51A8D"/>
    <w:rsid w:val="00C51AF3"/>
    <w:rsid w:val="00C52121"/>
    <w:rsid w:val="00C5223A"/>
    <w:rsid w:val="00C52441"/>
    <w:rsid w:val="00C52501"/>
    <w:rsid w:val="00C5250F"/>
    <w:rsid w:val="00C5257D"/>
    <w:rsid w:val="00C52681"/>
    <w:rsid w:val="00C526E1"/>
    <w:rsid w:val="00C5278E"/>
    <w:rsid w:val="00C527B1"/>
    <w:rsid w:val="00C52ABF"/>
    <w:rsid w:val="00C52B1D"/>
    <w:rsid w:val="00C52C76"/>
    <w:rsid w:val="00C531A7"/>
    <w:rsid w:val="00C5345B"/>
    <w:rsid w:val="00C53898"/>
    <w:rsid w:val="00C538EE"/>
    <w:rsid w:val="00C53C05"/>
    <w:rsid w:val="00C53D5A"/>
    <w:rsid w:val="00C53E1A"/>
    <w:rsid w:val="00C542CE"/>
    <w:rsid w:val="00C54315"/>
    <w:rsid w:val="00C54430"/>
    <w:rsid w:val="00C54452"/>
    <w:rsid w:val="00C5449A"/>
    <w:rsid w:val="00C545F0"/>
    <w:rsid w:val="00C54645"/>
    <w:rsid w:val="00C5496E"/>
    <w:rsid w:val="00C54ABB"/>
    <w:rsid w:val="00C54B41"/>
    <w:rsid w:val="00C55097"/>
    <w:rsid w:val="00C55518"/>
    <w:rsid w:val="00C555D9"/>
    <w:rsid w:val="00C55AA9"/>
    <w:rsid w:val="00C55AB7"/>
    <w:rsid w:val="00C55B9B"/>
    <w:rsid w:val="00C55C29"/>
    <w:rsid w:val="00C55F5C"/>
    <w:rsid w:val="00C56010"/>
    <w:rsid w:val="00C5612A"/>
    <w:rsid w:val="00C562D9"/>
    <w:rsid w:val="00C56364"/>
    <w:rsid w:val="00C56438"/>
    <w:rsid w:val="00C5674D"/>
    <w:rsid w:val="00C5679A"/>
    <w:rsid w:val="00C56809"/>
    <w:rsid w:val="00C5699E"/>
    <w:rsid w:val="00C56DE6"/>
    <w:rsid w:val="00C56EE5"/>
    <w:rsid w:val="00C56F3F"/>
    <w:rsid w:val="00C570BD"/>
    <w:rsid w:val="00C57278"/>
    <w:rsid w:val="00C572F0"/>
    <w:rsid w:val="00C573F7"/>
    <w:rsid w:val="00C576E3"/>
    <w:rsid w:val="00C5776D"/>
    <w:rsid w:val="00C57A76"/>
    <w:rsid w:val="00C57B11"/>
    <w:rsid w:val="00C57B41"/>
    <w:rsid w:val="00C57E1C"/>
    <w:rsid w:val="00C57E9A"/>
    <w:rsid w:val="00C57ED5"/>
    <w:rsid w:val="00C57F8C"/>
    <w:rsid w:val="00C60238"/>
    <w:rsid w:val="00C60463"/>
    <w:rsid w:val="00C605E1"/>
    <w:rsid w:val="00C60612"/>
    <w:rsid w:val="00C6066A"/>
    <w:rsid w:val="00C60789"/>
    <w:rsid w:val="00C6099C"/>
    <w:rsid w:val="00C60A5C"/>
    <w:rsid w:val="00C60AAC"/>
    <w:rsid w:val="00C60B65"/>
    <w:rsid w:val="00C60E40"/>
    <w:rsid w:val="00C60F9C"/>
    <w:rsid w:val="00C610DF"/>
    <w:rsid w:val="00C6139D"/>
    <w:rsid w:val="00C6149B"/>
    <w:rsid w:val="00C614CA"/>
    <w:rsid w:val="00C6151D"/>
    <w:rsid w:val="00C61659"/>
    <w:rsid w:val="00C61676"/>
    <w:rsid w:val="00C61A27"/>
    <w:rsid w:val="00C61B17"/>
    <w:rsid w:val="00C61BE2"/>
    <w:rsid w:val="00C61D22"/>
    <w:rsid w:val="00C61DCF"/>
    <w:rsid w:val="00C61ED5"/>
    <w:rsid w:val="00C61FAF"/>
    <w:rsid w:val="00C62017"/>
    <w:rsid w:val="00C620AD"/>
    <w:rsid w:val="00C621E7"/>
    <w:rsid w:val="00C622C8"/>
    <w:rsid w:val="00C62547"/>
    <w:rsid w:val="00C626B4"/>
    <w:rsid w:val="00C6270B"/>
    <w:rsid w:val="00C627EC"/>
    <w:rsid w:val="00C62865"/>
    <w:rsid w:val="00C628EF"/>
    <w:rsid w:val="00C62BEA"/>
    <w:rsid w:val="00C62EA0"/>
    <w:rsid w:val="00C62FA2"/>
    <w:rsid w:val="00C630A3"/>
    <w:rsid w:val="00C6339F"/>
    <w:rsid w:val="00C633B6"/>
    <w:rsid w:val="00C63418"/>
    <w:rsid w:val="00C6347C"/>
    <w:rsid w:val="00C63596"/>
    <w:rsid w:val="00C63676"/>
    <w:rsid w:val="00C63693"/>
    <w:rsid w:val="00C6382E"/>
    <w:rsid w:val="00C63C57"/>
    <w:rsid w:val="00C641E2"/>
    <w:rsid w:val="00C64A6C"/>
    <w:rsid w:val="00C64AF7"/>
    <w:rsid w:val="00C64B09"/>
    <w:rsid w:val="00C64B8B"/>
    <w:rsid w:val="00C64C6A"/>
    <w:rsid w:val="00C64E27"/>
    <w:rsid w:val="00C64EA6"/>
    <w:rsid w:val="00C6515A"/>
    <w:rsid w:val="00C651FA"/>
    <w:rsid w:val="00C6534B"/>
    <w:rsid w:val="00C653A1"/>
    <w:rsid w:val="00C653E5"/>
    <w:rsid w:val="00C65500"/>
    <w:rsid w:val="00C65524"/>
    <w:rsid w:val="00C65547"/>
    <w:rsid w:val="00C656A8"/>
    <w:rsid w:val="00C65822"/>
    <w:rsid w:val="00C65DCD"/>
    <w:rsid w:val="00C65E02"/>
    <w:rsid w:val="00C65F4C"/>
    <w:rsid w:val="00C664EE"/>
    <w:rsid w:val="00C666A8"/>
    <w:rsid w:val="00C6678B"/>
    <w:rsid w:val="00C6698C"/>
    <w:rsid w:val="00C66B57"/>
    <w:rsid w:val="00C66C1D"/>
    <w:rsid w:val="00C66C21"/>
    <w:rsid w:val="00C66C79"/>
    <w:rsid w:val="00C66FE3"/>
    <w:rsid w:val="00C6711C"/>
    <w:rsid w:val="00C67614"/>
    <w:rsid w:val="00C67619"/>
    <w:rsid w:val="00C6771D"/>
    <w:rsid w:val="00C67721"/>
    <w:rsid w:val="00C67807"/>
    <w:rsid w:val="00C67862"/>
    <w:rsid w:val="00C67867"/>
    <w:rsid w:val="00C6793B"/>
    <w:rsid w:val="00C67B04"/>
    <w:rsid w:val="00C67B5B"/>
    <w:rsid w:val="00C67DE4"/>
    <w:rsid w:val="00C70059"/>
    <w:rsid w:val="00C7038C"/>
    <w:rsid w:val="00C70564"/>
    <w:rsid w:val="00C70936"/>
    <w:rsid w:val="00C7094A"/>
    <w:rsid w:val="00C70AF3"/>
    <w:rsid w:val="00C70B6C"/>
    <w:rsid w:val="00C70CA9"/>
    <w:rsid w:val="00C70FB9"/>
    <w:rsid w:val="00C7143E"/>
    <w:rsid w:val="00C7147B"/>
    <w:rsid w:val="00C71730"/>
    <w:rsid w:val="00C71794"/>
    <w:rsid w:val="00C7181D"/>
    <w:rsid w:val="00C71997"/>
    <w:rsid w:val="00C719B2"/>
    <w:rsid w:val="00C71B95"/>
    <w:rsid w:val="00C71D6B"/>
    <w:rsid w:val="00C71DCE"/>
    <w:rsid w:val="00C71E99"/>
    <w:rsid w:val="00C71EEE"/>
    <w:rsid w:val="00C7231A"/>
    <w:rsid w:val="00C724DD"/>
    <w:rsid w:val="00C7263D"/>
    <w:rsid w:val="00C72719"/>
    <w:rsid w:val="00C72755"/>
    <w:rsid w:val="00C72AEB"/>
    <w:rsid w:val="00C72C59"/>
    <w:rsid w:val="00C72CF3"/>
    <w:rsid w:val="00C72D19"/>
    <w:rsid w:val="00C72E4C"/>
    <w:rsid w:val="00C7336C"/>
    <w:rsid w:val="00C73517"/>
    <w:rsid w:val="00C735BC"/>
    <w:rsid w:val="00C73620"/>
    <w:rsid w:val="00C736EC"/>
    <w:rsid w:val="00C73780"/>
    <w:rsid w:val="00C73793"/>
    <w:rsid w:val="00C73994"/>
    <w:rsid w:val="00C73A29"/>
    <w:rsid w:val="00C73C9B"/>
    <w:rsid w:val="00C73DDF"/>
    <w:rsid w:val="00C73FA4"/>
    <w:rsid w:val="00C74104"/>
    <w:rsid w:val="00C7429B"/>
    <w:rsid w:val="00C74330"/>
    <w:rsid w:val="00C743CD"/>
    <w:rsid w:val="00C743F1"/>
    <w:rsid w:val="00C74450"/>
    <w:rsid w:val="00C744D6"/>
    <w:rsid w:val="00C744DF"/>
    <w:rsid w:val="00C7451E"/>
    <w:rsid w:val="00C7472C"/>
    <w:rsid w:val="00C74B26"/>
    <w:rsid w:val="00C74D8F"/>
    <w:rsid w:val="00C74DF8"/>
    <w:rsid w:val="00C74E19"/>
    <w:rsid w:val="00C74E52"/>
    <w:rsid w:val="00C75006"/>
    <w:rsid w:val="00C751C3"/>
    <w:rsid w:val="00C752F2"/>
    <w:rsid w:val="00C7545A"/>
    <w:rsid w:val="00C754E6"/>
    <w:rsid w:val="00C75545"/>
    <w:rsid w:val="00C756D8"/>
    <w:rsid w:val="00C757F0"/>
    <w:rsid w:val="00C758DD"/>
    <w:rsid w:val="00C75996"/>
    <w:rsid w:val="00C75AE2"/>
    <w:rsid w:val="00C75B83"/>
    <w:rsid w:val="00C75C37"/>
    <w:rsid w:val="00C75DF8"/>
    <w:rsid w:val="00C760AD"/>
    <w:rsid w:val="00C7610A"/>
    <w:rsid w:val="00C76115"/>
    <w:rsid w:val="00C76348"/>
    <w:rsid w:val="00C7651C"/>
    <w:rsid w:val="00C76851"/>
    <w:rsid w:val="00C768CD"/>
    <w:rsid w:val="00C76932"/>
    <w:rsid w:val="00C76B11"/>
    <w:rsid w:val="00C76B21"/>
    <w:rsid w:val="00C76C9F"/>
    <w:rsid w:val="00C76CF5"/>
    <w:rsid w:val="00C76D98"/>
    <w:rsid w:val="00C76DDC"/>
    <w:rsid w:val="00C76DEC"/>
    <w:rsid w:val="00C76EB3"/>
    <w:rsid w:val="00C77183"/>
    <w:rsid w:val="00C77304"/>
    <w:rsid w:val="00C77353"/>
    <w:rsid w:val="00C773B6"/>
    <w:rsid w:val="00C776E4"/>
    <w:rsid w:val="00C777BC"/>
    <w:rsid w:val="00C7782B"/>
    <w:rsid w:val="00C77873"/>
    <w:rsid w:val="00C77902"/>
    <w:rsid w:val="00C77A00"/>
    <w:rsid w:val="00C77F51"/>
    <w:rsid w:val="00C80306"/>
    <w:rsid w:val="00C807B6"/>
    <w:rsid w:val="00C80875"/>
    <w:rsid w:val="00C808A3"/>
    <w:rsid w:val="00C809A1"/>
    <w:rsid w:val="00C80D87"/>
    <w:rsid w:val="00C80F21"/>
    <w:rsid w:val="00C80F90"/>
    <w:rsid w:val="00C80F93"/>
    <w:rsid w:val="00C80FFA"/>
    <w:rsid w:val="00C8104F"/>
    <w:rsid w:val="00C812B8"/>
    <w:rsid w:val="00C812CE"/>
    <w:rsid w:val="00C81332"/>
    <w:rsid w:val="00C81354"/>
    <w:rsid w:val="00C815E4"/>
    <w:rsid w:val="00C81603"/>
    <w:rsid w:val="00C81643"/>
    <w:rsid w:val="00C817A0"/>
    <w:rsid w:val="00C81833"/>
    <w:rsid w:val="00C820E4"/>
    <w:rsid w:val="00C82504"/>
    <w:rsid w:val="00C82681"/>
    <w:rsid w:val="00C82A1B"/>
    <w:rsid w:val="00C82A2C"/>
    <w:rsid w:val="00C82D7C"/>
    <w:rsid w:val="00C82E57"/>
    <w:rsid w:val="00C830D7"/>
    <w:rsid w:val="00C8322E"/>
    <w:rsid w:val="00C833BC"/>
    <w:rsid w:val="00C833F2"/>
    <w:rsid w:val="00C834CE"/>
    <w:rsid w:val="00C83642"/>
    <w:rsid w:val="00C83705"/>
    <w:rsid w:val="00C837F6"/>
    <w:rsid w:val="00C83AD6"/>
    <w:rsid w:val="00C83B04"/>
    <w:rsid w:val="00C83BFA"/>
    <w:rsid w:val="00C83D34"/>
    <w:rsid w:val="00C83F06"/>
    <w:rsid w:val="00C8406D"/>
    <w:rsid w:val="00C842E0"/>
    <w:rsid w:val="00C845C6"/>
    <w:rsid w:val="00C847D6"/>
    <w:rsid w:val="00C84E82"/>
    <w:rsid w:val="00C84F06"/>
    <w:rsid w:val="00C852B4"/>
    <w:rsid w:val="00C853A6"/>
    <w:rsid w:val="00C859CF"/>
    <w:rsid w:val="00C85A98"/>
    <w:rsid w:val="00C85BD8"/>
    <w:rsid w:val="00C85DDE"/>
    <w:rsid w:val="00C8616A"/>
    <w:rsid w:val="00C86341"/>
    <w:rsid w:val="00C863DB"/>
    <w:rsid w:val="00C86543"/>
    <w:rsid w:val="00C865F3"/>
    <w:rsid w:val="00C86796"/>
    <w:rsid w:val="00C867F6"/>
    <w:rsid w:val="00C869C5"/>
    <w:rsid w:val="00C86A9E"/>
    <w:rsid w:val="00C86AA4"/>
    <w:rsid w:val="00C86B14"/>
    <w:rsid w:val="00C86B2D"/>
    <w:rsid w:val="00C86BCE"/>
    <w:rsid w:val="00C86D0B"/>
    <w:rsid w:val="00C87159"/>
    <w:rsid w:val="00C87240"/>
    <w:rsid w:val="00C87254"/>
    <w:rsid w:val="00C872CD"/>
    <w:rsid w:val="00C872F7"/>
    <w:rsid w:val="00C87518"/>
    <w:rsid w:val="00C877B6"/>
    <w:rsid w:val="00C878F2"/>
    <w:rsid w:val="00C87965"/>
    <w:rsid w:val="00C87B33"/>
    <w:rsid w:val="00C87C60"/>
    <w:rsid w:val="00C87CA8"/>
    <w:rsid w:val="00C87DD9"/>
    <w:rsid w:val="00C87E28"/>
    <w:rsid w:val="00C87ED3"/>
    <w:rsid w:val="00C87FFD"/>
    <w:rsid w:val="00C90030"/>
    <w:rsid w:val="00C90342"/>
    <w:rsid w:val="00C9046A"/>
    <w:rsid w:val="00C909FE"/>
    <w:rsid w:val="00C90D53"/>
    <w:rsid w:val="00C90FFF"/>
    <w:rsid w:val="00C91169"/>
    <w:rsid w:val="00C912E2"/>
    <w:rsid w:val="00C91448"/>
    <w:rsid w:val="00C916FD"/>
    <w:rsid w:val="00C918A0"/>
    <w:rsid w:val="00C91B41"/>
    <w:rsid w:val="00C91BA0"/>
    <w:rsid w:val="00C91BDC"/>
    <w:rsid w:val="00C91C75"/>
    <w:rsid w:val="00C91C93"/>
    <w:rsid w:val="00C91D6D"/>
    <w:rsid w:val="00C92062"/>
    <w:rsid w:val="00C92352"/>
    <w:rsid w:val="00C9266C"/>
    <w:rsid w:val="00C92996"/>
    <w:rsid w:val="00C92A2F"/>
    <w:rsid w:val="00C92BD7"/>
    <w:rsid w:val="00C92CE3"/>
    <w:rsid w:val="00C92E4E"/>
    <w:rsid w:val="00C92F36"/>
    <w:rsid w:val="00C930EC"/>
    <w:rsid w:val="00C931EC"/>
    <w:rsid w:val="00C9328F"/>
    <w:rsid w:val="00C933CB"/>
    <w:rsid w:val="00C935F3"/>
    <w:rsid w:val="00C9360B"/>
    <w:rsid w:val="00C936E0"/>
    <w:rsid w:val="00C9372C"/>
    <w:rsid w:val="00C93CA9"/>
    <w:rsid w:val="00C93DFF"/>
    <w:rsid w:val="00C9418B"/>
    <w:rsid w:val="00C941B6"/>
    <w:rsid w:val="00C945DE"/>
    <w:rsid w:val="00C94781"/>
    <w:rsid w:val="00C94802"/>
    <w:rsid w:val="00C94933"/>
    <w:rsid w:val="00C94A6F"/>
    <w:rsid w:val="00C94BD5"/>
    <w:rsid w:val="00C94EE4"/>
    <w:rsid w:val="00C94F19"/>
    <w:rsid w:val="00C95388"/>
    <w:rsid w:val="00C956FA"/>
    <w:rsid w:val="00C9574F"/>
    <w:rsid w:val="00C9583F"/>
    <w:rsid w:val="00C95A13"/>
    <w:rsid w:val="00C95A38"/>
    <w:rsid w:val="00C95C4B"/>
    <w:rsid w:val="00C95FED"/>
    <w:rsid w:val="00C960D5"/>
    <w:rsid w:val="00C961D2"/>
    <w:rsid w:val="00C962B1"/>
    <w:rsid w:val="00C963FE"/>
    <w:rsid w:val="00C96422"/>
    <w:rsid w:val="00C96725"/>
    <w:rsid w:val="00C9675D"/>
    <w:rsid w:val="00C967CC"/>
    <w:rsid w:val="00C96BBF"/>
    <w:rsid w:val="00C96ECA"/>
    <w:rsid w:val="00C96FBF"/>
    <w:rsid w:val="00C96FD4"/>
    <w:rsid w:val="00C971D3"/>
    <w:rsid w:val="00C971D5"/>
    <w:rsid w:val="00C97397"/>
    <w:rsid w:val="00C973DF"/>
    <w:rsid w:val="00C978B8"/>
    <w:rsid w:val="00C97BB8"/>
    <w:rsid w:val="00C97BE7"/>
    <w:rsid w:val="00C97CFC"/>
    <w:rsid w:val="00C97DD5"/>
    <w:rsid w:val="00C97DD6"/>
    <w:rsid w:val="00C97EC2"/>
    <w:rsid w:val="00C97FC0"/>
    <w:rsid w:val="00C97FF5"/>
    <w:rsid w:val="00CA0124"/>
    <w:rsid w:val="00CA0322"/>
    <w:rsid w:val="00CA04D0"/>
    <w:rsid w:val="00CA06FE"/>
    <w:rsid w:val="00CA07B4"/>
    <w:rsid w:val="00CA07F5"/>
    <w:rsid w:val="00CA0AEC"/>
    <w:rsid w:val="00CA0BF5"/>
    <w:rsid w:val="00CA0F18"/>
    <w:rsid w:val="00CA0F57"/>
    <w:rsid w:val="00CA14E7"/>
    <w:rsid w:val="00CA1571"/>
    <w:rsid w:val="00CA1631"/>
    <w:rsid w:val="00CA1776"/>
    <w:rsid w:val="00CA1851"/>
    <w:rsid w:val="00CA1A0F"/>
    <w:rsid w:val="00CA1B4B"/>
    <w:rsid w:val="00CA1B7B"/>
    <w:rsid w:val="00CA209D"/>
    <w:rsid w:val="00CA215A"/>
    <w:rsid w:val="00CA239D"/>
    <w:rsid w:val="00CA23BD"/>
    <w:rsid w:val="00CA2588"/>
    <w:rsid w:val="00CA285F"/>
    <w:rsid w:val="00CA2962"/>
    <w:rsid w:val="00CA297B"/>
    <w:rsid w:val="00CA2CEB"/>
    <w:rsid w:val="00CA2FD5"/>
    <w:rsid w:val="00CA30A8"/>
    <w:rsid w:val="00CA322B"/>
    <w:rsid w:val="00CA3282"/>
    <w:rsid w:val="00CA32AC"/>
    <w:rsid w:val="00CA3527"/>
    <w:rsid w:val="00CA3581"/>
    <w:rsid w:val="00CA3615"/>
    <w:rsid w:val="00CA3901"/>
    <w:rsid w:val="00CA39BF"/>
    <w:rsid w:val="00CA39EB"/>
    <w:rsid w:val="00CA3B7F"/>
    <w:rsid w:val="00CA3BAA"/>
    <w:rsid w:val="00CA3C34"/>
    <w:rsid w:val="00CA3E9A"/>
    <w:rsid w:val="00CA406C"/>
    <w:rsid w:val="00CA40F0"/>
    <w:rsid w:val="00CA41AA"/>
    <w:rsid w:val="00CA41B1"/>
    <w:rsid w:val="00CA41B2"/>
    <w:rsid w:val="00CA430B"/>
    <w:rsid w:val="00CA439C"/>
    <w:rsid w:val="00CA447F"/>
    <w:rsid w:val="00CA4A25"/>
    <w:rsid w:val="00CA4A93"/>
    <w:rsid w:val="00CA4AB2"/>
    <w:rsid w:val="00CA4F6A"/>
    <w:rsid w:val="00CA53DB"/>
    <w:rsid w:val="00CA555D"/>
    <w:rsid w:val="00CA5597"/>
    <w:rsid w:val="00CA55CD"/>
    <w:rsid w:val="00CA56CD"/>
    <w:rsid w:val="00CA576B"/>
    <w:rsid w:val="00CA5868"/>
    <w:rsid w:val="00CA5905"/>
    <w:rsid w:val="00CA5C7D"/>
    <w:rsid w:val="00CA5CF4"/>
    <w:rsid w:val="00CA6365"/>
    <w:rsid w:val="00CA6426"/>
    <w:rsid w:val="00CA6568"/>
    <w:rsid w:val="00CA671B"/>
    <w:rsid w:val="00CA68E2"/>
    <w:rsid w:val="00CA6B58"/>
    <w:rsid w:val="00CA6BD8"/>
    <w:rsid w:val="00CA714F"/>
    <w:rsid w:val="00CA76D2"/>
    <w:rsid w:val="00CA7801"/>
    <w:rsid w:val="00CA78B1"/>
    <w:rsid w:val="00CA7C8A"/>
    <w:rsid w:val="00CB0091"/>
    <w:rsid w:val="00CB04BB"/>
    <w:rsid w:val="00CB04FF"/>
    <w:rsid w:val="00CB05A7"/>
    <w:rsid w:val="00CB05CC"/>
    <w:rsid w:val="00CB07BD"/>
    <w:rsid w:val="00CB0940"/>
    <w:rsid w:val="00CB0E80"/>
    <w:rsid w:val="00CB1122"/>
    <w:rsid w:val="00CB1160"/>
    <w:rsid w:val="00CB120F"/>
    <w:rsid w:val="00CB122F"/>
    <w:rsid w:val="00CB1418"/>
    <w:rsid w:val="00CB1539"/>
    <w:rsid w:val="00CB1653"/>
    <w:rsid w:val="00CB1865"/>
    <w:rsid w:val="00CB18C6"/>
    <w:rsid w:val="00CB198E"/>
    <w:rsid w:val="00CB1A1A"/>
    <w:rsid w:val="00CB1AC9"/>
    <w:rsid w:val="00CB1E42"/>
    <w:rsid w:val="00CB1E5F"/>
    <w:rsid w:val="00CB1F39"/>
    <w:rsid w:val="00CB20A7"/>
    <w:rsid w:val="00CB2113"/>
    <w:rsid w:val="00CB21A3"/>
    <w:rsid w:val="00CB2227"/>
    <w:rsid w:val="00CB2254"/>
    <w:rsid w:val="00CB23E6"/>
    <w:rsid w:val="00CB24CD"/>
    <w:rsid w:val="00CB289D"/>
    <w:rsid w:val="00CB2979"/>
    <w:rsid w:val="00CB2AE6"/>
    <w:rsid w:val="00CB2B3B"/>
    <w:rsid w:val="00CB2B6A"/>
    <w:rsid w:val="00CB3168"/>
    <w:rsid w:val="00CB322A"/>
    <w:rsid w:val="00CB3307"/>
    <w:rsid w:val="00CB3914"/>
    <w:rsid w:val="00CB39AE"/>
    <w:rsid w:val="00CB3A85"/>
    <w:rsid w:val="00CB3C3F"/>
    <w:rsid w:val="00CB3D82"/>
    <w:rsid w:val="00CB4092"/>
    <w:rsid w:val="00CB4352"/>
    <w:rsid w:val="00CB45DF"/>
    <w:rsid w:val="00CB45F9"/>
    <w:rsid w:val="00CB47E7"/>
    <w:rsid w:val="00CB4804"/>
    <w:rsid w:val="00CB4969"/>
    <w:rsid w:val="00CB496D"/>
    <w:rsid w:val="00CB4A1D"/>
    <w:rsid w:val="00CB4ADB"/>
    <w:rsid w:val="00CB4AED"/>
    <w:rsid w:val="00CB4B92"/>
    <w:rsid w:val="00CB4C5A"/>
    <w:rsid w:val="00CB4C91"/>
    <w:rsid w:val="00CB4E55"/>
    <w:rsid w:val="00CB4E94"/>
    <w:rsid w:val="00CB5167"/>
    <w:rsid w:val="00CB52CE"/>
    <w:rsid w:val="00CB54E1"/>
    <w:rsid w:val="00CB54EF"/>
    <w:rsid w:val="00CB5813"/>
    <w:rsid w:val="00CB5884"/>
    <w:rsid w:val="00CB5C22"/>
    <w:rsid w:val="00CB5D6F"/>
    <w:rsid w:val="00CB5DE5"/>
    <w:rsid w:val="00CB6348"/>
    <w:rsid w:val="00CB63E9"/>
    <w:rsid w:val="00CB6406"/>
    <w:rsid w:val="00CB64EA"/>
    <w:rsid w:val="00CB64EF"/>
    <w:rsid w:val="00CB6640"/>
    <w:rsid w:val="00CB669B"/>
    <w:rsid w:val="00CB66C9"/>
    <w:rsid w:val="00CB6A8F"/>
    <w:rsid w:val="00CB6A9B"/>
    <w:rsid w:val="00CB6C3D"/>
    <w:rsid w:val="00CB6D8F"/>
    <w:rsid w:val="00CB6DED"/>
    <w:rsid w:val="00CB7048"/>
    <w:rsid w:val="00CB719A"/>
    <w:rsid w:val="00CB76D7"/>
    <w:rsid w:val="00CB77E1"/>
    <w:rsid w:val="00CB77F6"/>
    <w:rsid w:val="00CB78EE"/>
    <w:rsid w:val="00CB79D6"/>
    <w:rsid w:val="00CB7CC4"/>
    <w:rsid w:val="00CB7CDE"/>
    <w:rsid w:val="00CB7D65"/>
    <w:rsid w:val="00CB7E32"/>
    <w:rsid w:val="00CB7E3D"/>
    <w:rsid w:val="00CB7F09"/>
    <w:rsid w:val="00CC04DC"/>
    <w:rsid w:val="00CC04EB"/>
    <w:rsid w:val="00CC065E"/>
    <w:rsid w:val="00CC0781"/>
    <w:rsid w:val="00CC0983"/>
    <w:rsid w:val="00CC0994"/>
    <w:rsid w:val="00CC0D0E"/>
    <w:rsid w:val="00CC0D19"/>
    <w:rsid w:val="00CC0F73"/>
    <w:rsid w:val="00CC1098"/>
    <w:rsid w:val="00CC118D"/>
    <w:rsid w:val="00CC1353"/>
    <w:rsid w:val="00CC157A"/>
    <w:rsid w:val="00CC168E"/>
    <w:rsid w:val="00CC1BA8"/>
    <w:rsid w:val="00CC1C3F"/>
    <w:rsid w:val="00CC1EAC"/>
    <w:rsid w:val="00CC1F23"/>
    <w:rsid w:val="00CC1F31"/>
    <w:rsid w:val="00CC20F2"/>
    <w:rsid w:val="00CC2376"/>
    <w:rsid w:val="00CC251D"/>
    <w:rsid w:val="00CC271A"/>
    <w:rsid w:val="00CC2F78"/>
    <w:rsid w:val="00CC2FC1"/>
    <w:rsid w:val="00CC30E6"/>
    <w:rsid w:val="00CC31AF"/>
    <w:rsid w:val="00CC34B1"/>
    <w:rsid w:val="00CC34DC"/>
    <w:rsid w:val="00CC36FF"/>
    <w:rsid w:val="00CC3883"/>
    <w:rsid w:val="00CC38D6"/>
    <w:rsid w:val="00CC3983"/>
    <w:rsid w:val="00CC3B68"/>
    <w:rsid w:val="00CC3E24"/>
    <w:rsid w:val="00CC3F14"/>
    <w:rsid w:val="00CC40CD"/>
    <w:rsid w:val="00CC41B2"/>
    <w:rsid w:val="00CC4385"/>
    <w:rsid w:val="00CC4739"/>
    <w:rsid w:val="00CC492F"/>
    <w:rsid w:val="00CC495B"/>
    <w:rsid w:val="00CC4A93"/>
    <w:rsid w:val="00CC4AD3"/>
    <w:rsid w:val="00CC4B14"/>
    <w:rsid w:val="00CC4BEB"/>
    <w:rsid w:val="00CC4C45"/>
    <w:rsid w:val="00CC4D25"/>
    <w:rsid w:val="00CC4D89"/>
    <w:rsid w:val="00CC50FC"/>
    <w:rsid w:val="00CC51EE"/>
    <w:rsid w:val="00CC54D7"/>
    <w:rsid w:val="00CC55A8"/>
    <w:rsid w:val="00CC5745"/>
    <w:rsid w:val="00CC5BD5"/>
    <w:rsid w:val="00CC5D64"/>
    <w:rsid w:val="00CC5F99"/>
    <w:rsid w:val="00CC60AB"/>
    <w:rsid w:val="00CC61F5"/>
    <w:rsid w:val="00CC6681"/>
    <w:rsid w:val="00CC66D2"/>
    <w:rsid w:val="00CC6A0E"/>
    <w:rsid w:val="00CC6CB6"/>
    <w:rsid w:val="00CC714F"/>
    <w:rsid w:val="00CC7195"/>
    <w:rsid w:val="00CC7274"/>
    <w:rsid w:val="00CC7610"/>
    <w:rsid w:val="00CC7998"/>
    <w:rsid w:val="00CC7F45"/>
    <w:rsid w:val="00CD002D"/>
    <w:rsid w:val="00CD0129"/>
    <w:rsid w:val="00CD01E8"/>
    <w:rsid w:val="00CD0305"/>
    <w:rsid w:val="00CD03E7"/>
    <w:rsid w:val="00CD0439"/>
    <w:rsid w:val="00CD073A"/>
    <w:rsid w:val="00CD086F"/>
    <w:rsid w:val="00CD0E76"/>
    <w:rsid w:val="00CD0F0C"/>
    <w:rsid w:val="00CD0FC8"/>
    <w:rsid w:val="00CD158F"/>
    <w:rsid w:val="00CD184B"/>
    <w:rsid w:val="00CD1B5C"/>
    <w:rsid w:val="00CD1B6E"/>
    <w:rsid w:val="00CD22BF"/>
    <w:rsid w:val="00CD22FD"/>
    <w:rsid w:val="00CD23F3"/>
    <w:rsid w:val="00CD23F5"/>
    <w:rsid w:val="00CD26B5"/>
    <w:rsid w:val="00CD26BA"/>
    <w:rsid w:val="00CD26CB"/>
    <w:rsid w:val="00CD29A2"/>
    <w:rsid w:val="00CD2A78"/>
    <w:rsid w:val="00CD2EFF"/>
    <w:rsid w:val="00CD2FA4"/>
    <w:rsid w:val="00CD3419"/>
    <w:rsid w:val="00CD34DA"/>
    <w:rsid w:val="00CD38A2"/>
    <w:rsid w:val="00CD38DC"/>
    <w:rsid w:val="00CD399D"/>
    <w:rsid w:val="00CD3B2C"/>
    <w:rsid w:val="00CD3C7D"/>
    <w:rsid w:val="00CD3D67"/>
    <w:rsid w:val="00CD3E60"/>
    <w:rsid w:val="00CD3F03"/>
    <w:rsid w:val="00CD4200"/>
    <w:rsid w:val="00CD42F2"/>
    <w:rsid w:val="00CD43EA"/>
    <w:rsid w:val="00CD492C"/>
    <w:rsid w:val="00CD4B2B"/>
    <w:rsid w:val="00CD4E1C"/>
    <w:rsid w:val="00CD50E6"/>
    <w:rsid w:val="00CD5178"/>
    <w:rsid w:val="00CD51EA"/>
    <w:rsid w:val="00CD54D9"/>
    <w:rsid w:val="00CD5625"/>
    <w:rsid w:val="00CD5675"/>
    <w:rsid w:val="00CD580F"/>
    <w:rsid w:val="00CD5861"/>
    <w:rsid w:val="00CD591C"/>
    <w:rsid w:val="00CD5C5A"/>
    <w:rsid w:val="00CD5D6A"/>
    <w:rsid w:val="00CD5E8E"/>
    <w:rsid w:val="00CD5F47"/>
    <w:rsid w:val="00CD62A6"/>
    <w:rsid w:val="00CD6332"/>
    <w:rsid w:val="00CD6571"/>
    <w:rsid w:val="00CD68EB"/>
    <w:rsid w:val="00CD6901"/>
    <w:rsid w:val="00CD6EB7"/>
    <w:rsid w:val="00CD6F41"/>
    <w:rsid w:val="00CD7021"/>
    <w:rsid w:val="00CD71B4"/>
    <w:rsid w:val="00CD71DB"/>
    <w:rsid w:val="00CD72F7"/>
    <w:rsid w:val="00CD73AA"/>
    <w:rsid w:val="00CD74F4"/>
    <w:rsid w:val="00CD75BB"/>
    <w:rsid w:val="00CD7A68"/>
    <w:rsid w:val="00CD7BAE"/>
    <w:rsid w:val="00CD7FD8"/>
    <w:rsid w:val="00CE0086"/>
    <w:rsid w:val="00CE02E2"/>
    <w:rsid w:val="00CE02EA"/>
    <w:rsid w:val="00CE0810"/>
    <w:rsid w:val="00CE093A"/>
    <w:rsid w:val="00CE0A38"/>
    <w:rsid w:val="00CE0A9E"/>
    <w:rsid w:val="00CE0AD6"/>
    <w:rsid w:val="00CE0B5A"/>
    <w:rsid w:val="00CE0DF3"/>
    <w:rsid w:val="00CE0F0A"/>
    <w:rsid w:val="00CE1244"/>
    <w:rsid w:val="00CE1886"/>
    <w:rsid w:val="00CE18F0"/>
    <w:rsid w:val="00CE196D"/>
    <w:rsid w:val="00CE19C7"/>
    <w:rsid w:val="00CE1A03"/>
    <w:rsid w:val="00CE1BFC"/>
    <w:rsid w:val="00CE207F"/>
    <w:rsid w:val="00CE23AA"/>
    <w:rsid w:val="00CE23B4"/>
    <w:rsid w:val="00CE2567"/>
    <w:rsid w:val="00CE269C"/>
    <w:rsid w:val="00CE26BE"/>
    <w:rsid w:val="00CE26DF"/>
    <w:rsid w:val="00CE2A3F"/>
    <w:rsid w:val="00CE2B29"/>
    <w:rsid w:val="00CE2B31"/>
    <w:rsid w:val="00CE2DA2"/>
    <w:rsid w:val="00CE3048"/>
    <w:rsid w:val="00CE3086"/>
    <w:rsid w:val="00CE3129"/>
    <w:rsid w:val="00CE312D"/>
    <w:rsid w:val="00CE35A9"/>
    <w:rsid w:val="00CE3760"/>
    <w:rsid w:val="00CE3A8B"/>
    <w:rsid w:val="00CE3CF6"/>
    <w:rsid w:val="00CE3EC4"/>
    <w:rsid w:val="00CE4020"/>
    <w:rsid w:val="00CE404D"/>
    <w:rsid w:val="00CE4455"/>
    <w:rsid w:val="00CE4C04"/>
    <w:rsid w:val="00CE4D7C"/>
    <w:rsid w:val="00CE4E26"/>
    <w:rsid w:val="00CE4F93"/>
    <w:rsid w:val="00CE50C5"/>
    <w:rsid w:val="00CE5176"/>
    <w:rsid w:val="00CE5340"/>
    <w:rsid w:val="00CE5365"/>
    <w:rsid w:val="00CE580A"/>
    <w:rsid w:val="00CE58BD"/>
    <w:rsid w:val="00CE5973"/>
    <w:rsid w:val="00CE5B86"/>
    <w:rsid w:val="00CE5C5D"/>
    <w:rsid w:val="00CE5D06"/>
    <w:rsid w:val="00CE5E39"/>
    <w:rsid w:val="00CE5F23"/>
    <w:rsid w:val="00CE5FCC"/>
    <w:rsid w:val="00CE611B"/>
    <w:rsid w:val="00CE629A"/>
    <w:rsid w:val="00CE63C9"/>
    <w:rsid w:val="00CE644B"/>
    <w:rsid w:val="00CE6459"/>
    <w:rsid w:val="00CE68F2"/>
    <w:rsid w:val="00CE6919"/>
    <w:rsid w:val="00CE6BF8"/>
    <w:rsid w:val="00CE6C78"/>
    <w:rsid w:val="00CE6CB6"/>
    <w:rsid w:val="00CE6E2B"/>
    <w:rsid w:val="00CE70AF"/>
    <w:rsid w:val="00CE715F"/>
    <w:rsid w:val="00CE71FD"/>
    <w:rsid w:val="00CE762E"/>
    <w:rsid w:val="00CE778B"/>
    <w:rsid w:val="00CE7ADB"/>
    <w:rsid w:val="00CE7B29"/>
    <w:rsid w:val="00CE7D1B"/>
    <w:rsid w:val="00CE7E3A"/>
    <w:rsid w:val="00CE7EBE"/>
    <w:rsid w:val="00CF0162"/>
    <w:rsid w:val="00CF06A4"/>
    <w:rsid w:val="00CF07BE"/>
    <w:rsid w:val="00CF07EE"/>
    <w:rsid w:val="00CF0977"/>
    <w:rsid w:val="00CF0C11"/>
    <w:rsid w:val="00CF0E48"/>
    <w:rsid w:val="00CF0F04"/>
    <w:rsid w:val="00CF0F8C"/>
    <w:rsid w:val="00CF102C"/>
    <w:rsid w:val="00CF1052"/>
    <w:rsid w:val="00CF108F"/>
    <w:rsid w:val="00CF181A"/>
    <w:rsid w:val="00CF1861"/>
    <w:rsid w:val="00CF1A19"/>
    <w:rsid w:val="00CF1BC5"/>
    <w:rsid w:val="00CF1C32"/>
    <w:rsid w:val="00CF1C9A"/>
    <w:rsid w:val="00CF212E"/>
    <w:rsid w:val="00CF2175"/>
    <w:rsid w:val="00CF2199"/>
    <w:rsid w:val="00CF2215"/>
    <w:rsid w:val="00CF2427"/>
    <w:rsid w:val="00CF25F8"/>
    <w:rsid w:val="00CF27DE"/>
    <w:rsid w:val="00CF291B"/>
    <w:rsid w:val="00CF298C"/>
    <w:rsid w:val="00CF2B9D"/>
    <w:rsid w:val="00CF2DEA"/>
    <w:rsid w:val="00CF3006"/>
    <w:rsid w:val="00CF31C8"/>
    <w:rsid w:val="00CF3490"/>
    <w:rsid w:val="00CF380C"/>
    <w:rsid w:val="00CF383C"/>
    <w:rsid w:val="00CF3A4D"/>
    <w:rsid w:val="00CF3E7F"/>
    <w:rsid w:val="00CF3EB4"/>
    <w:rsid w:val="00CF3F3C"/>
    <w:rsid w:val="00CF465B"/>
    <w:rsid w:val="00CF4667"/>
    <w:rsid w:val="00CF477E"/>
    <w:rsid w:val="00CF48F2"/>
    <w:rsid w:val="00CF4941"/>
    <w:rsid w:val="00CF4C89"/>
    <w:rsid w:val="00CF4FE0"/>
    <w:rsid w:val="00CF5017"/>
    <w:rsid w:val="00CF51C3"/>
    <w:rsid w:val="00CF5318"/>
    <w:rsid w:val="00CF5493"/>
    <w:rsid w:val="00CF5917"/>
    <w:rsid w:val="00CF5A88"/>
    <w:rsid w:val="00CF5AE6"/>
    <w:rsid w:val="00CF5B05"/>
    <w:rsid w:val="00CF5BF7"/>
    <w:rsid w:val="00CF5C11"/>
    <w:rsid w:val="00CF62E5"/>
    <w:rsid w:val="00CF6388"/>
    <w:rsid w:val="00CF6784"/>
    <w:rsid w:val="00CF67CF"/>
    <w:rsid w:val="00CF687A"/>
    <w:rsid w:val="00CF6AAE"/>
    <w:rsid w:val="00CF6AF0"/>
    <w:rsid w:val="00CF6B92"/>
    <w:rsid w:val="00CF6C4F"/>
    <w:rsid w:val="00CF6CB1"/>
    <w:rsid w:val="00CF6CE9"/>
    <w:rsid w:val="00CF711D"/>
    <w:rsid w:val="00CF7624"/>
    <w:rsid w:val="00CF7692"/>
    <w:rsid w:val="00CF7779"/>
    <w:rsid w:val="00CF7915"/>
    <w:rsid w:val="00CF79CB"/>
    <w:rsid w:val="00CF7A7A"/>
    <w:rsid w:val="00CF7B2D"/>
    <w:rsid w:val="00CF7BA8"/>
    <w:rsid w:val="00CF7BFC"/>
    <w:rsid w:val="00CF7C45"/>
    <w:rsid w:val="00CF7EBA"/>
    <w:rsid w:val="00D0003E"/>
    <w:rsid w:val="00D00340"/>
    <w:rsid w:val="00D0038B"/>
    <w:rsid w:val="00D003D4"/>
    <w:rsid w:val="00D004EF"/>
    <w:rsid w:val="00D0072F"/>
    <w:rsid w:val="00D00950"/>
    <w:rsid w:val="00D00C13"/>
    <w:rsid w:val="00D00C44"/>
    <w:rsid w:val="00D00CEE"/>
    <w:rsid w:val="00D010AC"/>
    <w:rsid w:val="00D01114"/>
    <w:rsid w:val="00D011A1"/>
    <w:rsid w:val="00D018EA"/>
    <w:rsid w:val="00D01BC2"/>
    <w:rsid w:val="00D01BFA"/>
    <w:rsid w:val="00D01C44"/>
    <w:rsid w:val="00D01C62"/>
    <w:rsid w:val="00D01D87"/>
    <w:rsid w:val="00D01DDC"/>
    <w:rsid w:val="00D01F17"/>
    <w:rsid w:val="00D01F27"/>
    <w:rsid w:val="00D0206F"/>
    <w:rsid w:val="00D02174"/>
    <w:rsid w:val="00D02208"/>
    <w:rsid w:val="00D02593"/>
    <w:rsid w:val="00D025D5"/>
    <w:rsid w:val="00D02753"/>
    <w:rsid w:val="00D028B1"/>
    <w:rsid w:val="00D02966"/>
    <w:rsid w:val="00D02A18"/>
    <w:rsid w:val="00D02D2F"/>
    <w:rsid w:val="00D02F6D"/>
    <w:rsid w:val="00D0305E"/>
    <w:rsid w:val="00D03164"/>
    <w:rsid w:val="00D03180"/>
    <w:rsid w:val="00D0343B"/>
    <w:rsid w:val="00D03528"/>
    <w:rsid w:val="00D0355D"/>
    <w:rsid w:val="00D0365B"/>
    <w:rsid w:val="00D03B4B"/>
    <w:rsid w:val="00D03EAE"/>
    <w:rsid w:val="00D03FD5"/>
    <w:rsid w:val="00D0407D"/>
    <w:rsid w:val="00D04127"/>
    <w:rsid w:val="00D04174"/>
    <w:rsid w:val="00D041F4"/>
    <w:rsid w:val="00D042D0"/>
    <w:rsid w:val="00D044EE"/>
    <w:rsid w:val="00D04557"/>
    <w:rsid w:val="00D04727"/>
    <w:rsid w:val="00D0494A"/>
    <w:rsid w:val="00D04963"/>
    <w:rsid w:val="00D04E00"/>
    <w:rsid w:val="00D04E9C"/>
    <w:rsid w:val="00D04F59"/>
    <w:rsid w:val="00D04FCC"/>
    <w:rsid w:val="00D05149"/>
    <w:rsid w:val="00D0526A"/>
    <w:rsid w:val="00D0530F"/>
    <w:rsid w:val="00D055C6"/>
    <w:rsid w:val="00D05678"/>
    <w:rsid w:val="00D056B7"/>
    <w:rsid w:val="00D05945"/>
    <w:rsid w:val="00D05B9E"/>
    <w:rsid w:val="00D05C6F"/>
    <w:rsid w:val="00D05D07"/>
    <w:rsid w:val="00D05D60"/>
    <w:rsid w:val="00D05D65"/>
    <w:rsid w:val="00D05F2C"/>
    <w:rsid w:val="00D06035"/>
    <w:rsid w:val="00D06467"/>
    <w:rsid w:val="00D0673E"/>
    <w:rsid w:val="00D068A7"/>
    <w:rsid w:val="00D0690C"/>
    <w:rsid w:val="00D06EBB"/>
    <w:rsid w:val="00D070C4"/>
    <w:rsid w:val="00D07426"/>
    <w:rsid w:val="00D074BB"/>
    <w:rsid w:val="00D07573"/>
    <w:rsid w:val="00D07733"/>
    <w:rsid w:val="00D07739"/>
    <w:rsid w:val="00D0797A"/>
    <w:rsid w:val="00D07C5C"/>
    <w:rsid w:val="00D07F65"/>
    <w:rsid w:val="00D102C8"/>
    <w:rsid w:val="00D10470"/>
    <w:rsid w:val="00D10564"/>
    <w:rsid w:val="00D105F1"/>
    <w:rsid w:val="00D105F4"/>
    <w:rsid w:val="00D1067C"/>
    <w:rsid w:val="00D106AE"/>
    <w:rsid w:val="00D10891"/>
    <w:rsid w:val="00D10EA6"/>
    <w:rsid w:val="00D10FFB"/>
    <w:rsid w:val="00D111A3"/>
    <w:rsid w:val="00D11422"/>
    <w:rsid w:val="00D11438"/>
    <w:rsid w:val="00D11CBF"/>
    <w:rsid w:val="00D11E70"/>
    <w:rsid w:val="00D11E81"/>
    <w:rsid w:val="00D120F3"/>
    <w:rsid w:val="00D12110"/>
    <w:rsid w:val="00D1279D"/>
    <w:rsid w:val="00D127AC"/>
    <w:rsid w:val="00D127D3"/>
    <w:rsid w:val="00D128B1"/>
    <w:rsid w:val="00D12A0E"/>
    <w:rsid w:val="00D12AA8"/>
    <w:rsid w:val="00D12ABC"/>
    <w:rsid w:val="00D12BC5"/>
    <w:rsid w:val="00D12BCC"/>
    <w:rsid w:val="00D12F84"/>
    <w:rsid w:val="00D134EE"/>
    <w:rsid w:val="00D13647"/>
    <w:rsid w:val="00D13708"/>
    <w:rsid w:val="00D1373C"/>
    <w:rsid w:val="00D13BA9"/>
    <w:rsid w:val="00D13D6C"/>
    <w:rsid w:val="00D13EF8"/>
    <w:rsid w:val="00D14128"/>
    <w:rsid w:val="00D1415B"/>
    <w:rsid w:val="00D14388"/>
    <w:rsid w:val="00D144D8"/>
    <w:rsid w:val="00D145DA"/>
    <w:rsid w:val="00D147B4"/>
    <w:rsid w:val="00D149E8"/>
    <w:rsid w:val="00D14B27"/>
    <w:rsid w:val="00D15170"/>
    <w:rsid w:val="00D151A1"/>
    <w:rsid w:val="00D15316"/>
    <w:rsid w:val="00D15582"/>
    <w:rsid w:val="00D155DD"/>
    <w:rsid w:val="00D156B1"/>
    <w:rsid w:val="00D15937"/>
    <w:rsid w:val="00D1593D"/>
    <w:rsid w:val="00D15A12"/>
    <w:rsid w:val="00D15A96"/>
    <w:rsid w:val="00D15AAA"/>
    <w:rsid w:val="00D15B8A"/>
    <w:rsid w:val="00D15E13"/>
    <w:rsid w:val="00D15F56"/>
    <w:rsid w:val="00D1606D"/>
    <w:rsid w:val="00D1650C"/>
    <w:rsid w:val="00D16A8B"/>
    <w:rsid w:val="00D16B96"/>
    <w:rsid w:val="00D16C1C"/>
    <w:rsid w:val="00D16C22"/>
    <w:rsid w:val="00D16CD7"/>
    <w:rsid w:val="00D16DD5"/>
    <w:rsid w:val="00D16E28"/>
    <w:rsid w:val="00D170D9"/>
    <w:rsid w:val="00D17206"/>
    <w:rsid w:val="00D17458"/>
    <w:rsid w:val="00D17648"/>
    <w:rsid w:val="00D176CE"/>
    <w:rsid w:val="00D17725"/>
    <w:rsid w:val="00D17781"/>
    <w:rsid w:val="00D178D7"/>
    <w:rsid w:val="00D178E9"/>
    <w:rsid w:val="00D20799"/>
    <w:rsid w:val="00D20A4E"/>
    <w:rsid w:val="00D20D77"/>
    <w:rsid w:val="00D2114E"/>
    <w:rsid w:val="00D21234"/>
    <w:rsid w:val="00D21917"/>
    <w:rsid w:val="00D21A7F"/>
    <w:rsid w:val="00D21B63"/>
    <w:rsid w:val="00D21C9A"/>
    <w:rsid w:val="00D21CD8"/>
    <w:rsid w:val="00D21D5D"/>
    <w:rsid w:val="00D21E7D"/>
    <w:rsid w:val="00D220C5"/>
    <w:rsid w:val="00D22348"/>
    <w:rsid w:val="00D2236A"/>
    <w:rsid w:val="00D223B3"/>
    <w:rsid w:val="00D2242B"/>
    <w:rsid w:val="00D2260B"/>
    <w:rsid w:val="00D226CF"/>
    <w:rsid w:val="00D2276E"/>
    <w:rsid w:val="00D22890"/>
    <w:rsid w:val="00D22E2D"/>
    <w:rsid w:val="00D22FD6"/>
    <w:rsid w:val="00D23092"/>
    <w:rsid w:val="00D2325E"/>
    <w:rsid w:val="00D2329A"/>
    <w:rsid w:val="00D23322"/>
    <w:rsid w:val="00D23541"/>
    <w:rsid w:val="00D23AAC"/>
    <w:rsid w:val="00D23AB1"/>
    <w:rsid w:val="00D23AD1"/>
    <w:rsid w:val="00D23B0B"/>
    <w:rsid w:val="00D23C6D"/>
    <w:rsid w:val="00D23CBC"/>
    <w:rsid w:val="00D23E6A"/>
    <w:rsid w:val="00D24200"/>
    <w:rsid w:val="00D242E3"/>
    <w:rsid w:val="00D24614"/>
    <w:rsid w:val="00D248FC"/>
    <w:rsid w:val="00D25038"/>
    <w:rsid w:val="00D25092"/>
    <w:rsid w:val="00D251BD"/>
    <w:rsid w:val="00D25296"/>
    <w:rsid w:val="00D252B5"/>
    <w:rsid w:val="00D25423"/>
    <w:rsid w:val="00D25462"/>
    <w:rsid w:val="00D254E6"/>
    <w:rsid w:val="00D255BD"/>
    <w:rsid w:val="00D2561E"/>
    <w:rsid w:val="00D2575B"/>
    <w:rsid w:val="00D25A63"/>
    <w:rsid w:val="00D25ADA"/>
    <w:rsid w:val="00D25E44"/>
    <w:rsid w:val="00D260D6"/>
    <w:rsid w:val="00D262E9"/>
    <w:rsid w:val="00D2634B"/>
    <w:rsid w:val="00D263F7"/>
    <w:rsid w:val="00D26464"/>
    <w:rsid w:val="00D26480"/>
    <w:rsid w:val="00D264DE"/>
    <w:rsid w:val="00D266ED"/>
    <w:rsid w:val="00D267CE"/>
    <w:rsid w:val="00D268A8"/>
    <w:rsid w:val="00D26D74"/>
    <w:rsid w:val="00D26EDD"/>
    <w:rsid w:val="00D26F1D"/>
    <w:rsid w:val="00D27236"/>
    <w:rsid w:val="00D273A9"/>
    <w:rsid w:val="00D2793B"/>
    <w:rsid w:val="00D27E0C"/>
    <w:rsid w:val="00D27E6A"/>
    <w:rsid w:val="00D30021"/>
    <w:rsid w:val="00D300B9"/>
    <w:rsid w:val="00D3030F"/>
    <w:rsid w:val="00D303E2"/>
    <w:rsid w:val="00D30536"/>
    <w:rsid w:val="00D305D0"/>
    <w:rsid w:val="00D30615"/>
    <w:rsid w:val="00D30889"/>
    <w:rsid w:val="00D30B1C"/>
    <w:rsid w:val="00D30CA8"/>
    <w:rsid w:val="00D30CFB"/>
    <w:rsid w:val="00D30FF1"/>
    <w:rsid w:val="00D31080"/>
    <w:rsid w:val="00D31617"/>
    <w:rsid w:val="00D31767"/>
    <w:rsid w:val="00D31A54"/>
    <w:rsid w:val="00D31B48"/>
    <w:rsid w:val="00D31BF9"/>
    <w:rsid w:val="00D31D5D"/>
    <w:rsid w:val="00D31D6D"/>
    <w:rsid w:val="00D31DEE"/>
    <w:rsid w:val="00D32110"/>
    <w:rsid w:val="00D322E1"/>
    <w:rsid w:val="00D3232F"/>
    <w:rsid w:val="00D326E1"/>
    <w:rsid w:val="00D3271D"/>
    <w:rsid w:val="00D3299A"/>
    <w:rsid w:val="00D32E0C"/>
    <w:rsid w:val="00D32E67"/>
    <w:rsid w:val="00D3314A"/>
    <w:rsid w:val="00D33306"/>
    <w:rsid w:val="00D335A4"/>
    <w:rsid w:val="00D335AC"/>
    <w:rsid w:val="00D33605"/>
    <w:rsid w:val="00D33719"/>
    <w:rsid w:val="00D33928"/>
    <w:rsid w:val="00D339BD"/>
    <w:rsid w:val="00D33C11"/>
    <w:rsid w:val="00D33C38"/>
    <w:rsid w:val="00D33C9A"/>
    <w:rsid w:val="00D33D49"/>
    <w:rsid w:val="00D33FAD"/>
    <w:rsid w:val="00D344C4"/>
    <w:rsid w:val="00D347E7"/>
    <w:rsid w:val="00D34BB6"/>
    <w:rsid w:val="00D34C41"/>
    <w:rsid w:val="00D34EE8"/>
    <w:rsid w:val="00D350E7"/>
    <w:rsid w:val="00D35275"/>
    <w:rsid w:val="00D35326"/>
    <w:rsid w:val="00D354A3"/>
    <w:rsid w:val="00D354F0"/>
    <w:rsid w:val="00D3568E"/>
    <w:rsid w:val="00D35AD1"/>
    <w:rsid w:val="00D35B58"/>
    <w:rsid w:val="00D35B5F"/>
    <w:rsid w:val="00D35EB2"/>
    <w:rsid w:val="00D36009"/>
    <w:rsid w:val="00D360BF"/>
    <w:rsid w:val="00D36251"/>
    <w:rsid w:val="00D36260"/>
    <w:rsid w:val="00D36309"/>
    <w:rsid w:val="00D3639A"/>
    <w:rsid w:val="00D363D7"/>
    <w:rsid w:val="00D364A5"/>
    <w:rsid w:val="00D36522"/>
    <w:rsid w:val="00D36576"/>
    <w:rsid w:val="00D36792"/>
    <w:rsid w:val="00D3679E"/>
    <w:rsid w:val="00D368F0"/>
    <w:rsid w:val="00D36919"/>
    <w:rsid w:val="00D36CB0"/>
    <w:rsid w:val="00D36D38"/>
    <w:rsid w:val="00D36E9F"/>
    <w:rsid w:val="00D37086"/>
    <w:rsid w:val="00D37108"/>
    <w:rsid w:val="00D37180"/>
    <w:rsid w:val="00D3727A"/>
    <w:rsid w:val="00D372B2"/>
    <w:rsid w:val="00D3747F"/>
    <w:rsid w:val="00D374B8"/>
    <w:rsid w:val="00D374F7"/>
    <w:rsid w:val="00D3750D"/>
    <w:rsid w:val="00D37688"/>
    <w:rsid w:val="00D37780"/>
    <w:rsid w:val="00D37785"/>
    <w:rsid w:val="00D378D2"/>
    <w:rsid w:val="00D37938"/>
    <w:rsid w:val="00D37970"/>
    <w:rsid w:val="00D37A81"/>
    <w:rsid w:val="00D37B5E"/>
    <w:rsid w:val="00D37B6A"/>
    <w:rsid w:val="00D37BC8"/>
    <w:rsid w:val="00D37D88"/>
    <w:rsid w:val="00D37DD7"/>
    <w:rsid w:val="00D37E11"/>
    <w:rsid w:val="00D37F07"/>
    <w:rsid w:val="00D400E0"/>
    <w:rsid w:val="00D402C4"/>
    <w:rsid w:val="00D4046C"/>
    <w:rsid w:val="00D404C2"/>
    <w:rsid w:val="00D405AE"/>
    <w:rsid w:val="00D4068B"/>
    <w:rsid w:val="00D40AA1"/>
    <w:rsid w:val="00D40B92"/>
    <w:rsid w:val="00D40C18"/>
    <w:rsid w:val="00D40CF8"/>
    <w:rsid w:val="00D40DD7"/>
    <w:rsid w:val="00D41052"/>
    <w:rsid w:val="00D41519"/>
    <w:rsid w:val="00D41795"/>
    <w:rsid w:val="00D41CDB"/>
    <w:rsid w:val="00D4218E"/>
    <w:rsid w:val="00D42542"/>
    <w:rsid w:val="00D426BC"/>
    <w:rsid w:val="00D42851"/>
    <w:rsid w:val="00D42988"/>
    <w:rsid w:val="00D429EA"/>
    <w:rsid w:val="00D42E4A"/>
    <w:rsid w:val="00D42F25"/>
    <w:rsid w:val="00D4300A"/>
    <w:rsid w:val="00D4314A"/>
    <w:rsid w:val="00D4341A"/>
    <w:rsid w:val="00D43705"/>
    <w:rsid w:val="00D43818"/>
    <w:rsid w:val="00D43A42"/>
    <w:rsid w:val="00D43C15"/>
    <w:rsid w:val="00D43CE4"/>
    <w:rsid w:val="00D44243"/>
    <w:rsid w:val="00D4424F"/>
    <w:rsid w:val="00D44711"/>
    <w:rsid w:val="00D447B6"/>
    <w:rsid w:val="00D4480D"/>
    <w:rsid w:val="00D4492E"/>
    <w:rsid w:val="00D44B87"/>
    <w:rsid w:val="00D44FC5"/>
    <w:rsid w:val="00D4504F"/>
    <w:rsid w:val="00D451C3"/>
    <w:rsid w:val="00D45414"/>
    <w:rsid w:val="00D456A7"/>
    <w:rsid w:val="00D457F1"/>
    <w:rsid w:val="00D4595B"/>
    <w:rsid w:val="00D45996"/>
    <w:rsid w:val="00D459BA"/>
    <w:rsid w:val="00D45BD7"/>
    <w:rsid w:val="00D461C7"/>
    <w:rsid w:val="00D461CF"/>
    <w:rsid w:val="00D46226"/>
    <w:rsid w:val="00D462B8"/>
    <w:rsid w:val="00D46339"/>
    <w:rsid w:val="00D4695F"/>
    <w:rsid w:val="00D46BED"/>
    <w:rsid w:val="00D46C57"/>
    <w:rsid w:val="00D46F18"/>
    <w:rsid w:val="00D4725F"/>
    <w:rsid w:val="00D472E1"/>
    <w:rsid w:val="00D47379"/>
    <w:rsid w:val="00D476F6"/>
    <w:rsid w:val="00D47751"/>
    <w:rsid w:val="00D478CF"/>
    <w:rsid w:val="00D479C8"/>
    <w:rsid w:val="00D47A56"/>
    <w:rsid w:val="00D47AA7"/>
    <w:rsid w:val="00D47AE1"/>
    <w:rsid w:val="00D47B49"/>
    <w:rsid w:val="00D47C28"/>
    <w:rsid w:val="00D501F0"/>
    <w:rsid w:val="00D5021E"/>
    <w:rsid w:val="00D502A5"/>
    <w:rsid w:val="00D5036F"/>
    <w:rsid w:val="00D50804"/>
    <w:rsid w:val="00D50811"/>
    <w:rsid w:val="00D50823"/>
    <w:rsid w:val="00D508B1"/>
    <w:rsid w:val="00D509BF"/>
    <w:rsid w:val="00D50BF4"/>
    <w:rsid w:val="00D50C34"/>
    <w:rsid w:val="00D50DB1"/>
    <w:rsid w:val="00D50F11"/>
    <w:rsid w:val="00D50F73"/>
    <w:rsid w:val="00D5107C"/>
    <w:rsid w:val="00D517D0"/>
    <w:rsid w:val="00D51838"/>
    <w:rsid w:val="00D51BB3"/>
    <w:rsid w:val="00D51BDD"/>
    <w:rsid w:val="00D51D0E"/>
    <w:rsid w:val="00D51E29"/>
    <w:rsid w:val="00D5211E"/>
    <w:rsid w:val="00D521A0"/>
    <w:rsid w:val="00D521D4"/>
    <w:rsid w:val="00D523ED"/>
    <w:rsid w:val="00D52947"/>
    <w:rsid w:val="00D52C1B"/>
    <w:rsid w:val="00D5310F"/>
    <w:rsid w:val="00D53170"/>
    <w:rsid w:val="00D5323C"/>
    <w:rsid w:val="00D5326C"/>
    <w:rsid w:val="00D535A2"/>
    <w:rsid w:val="00D53715"/>
    <w:rsid w:val="00D53805"/>
    <w:rsid w:val="00D53863"/>
    <w:rsid w:val="00D538B9"/>
    <w:rsid w:val="00D53A77"/>
    <w:rsid w:val="00D53B2C"/>
    <w:rsid w:val="00D53D72"/>
    <w:rsid w:val="00D53DC0"/>
    <w:rsid w:val="00D53DEE"/>
    <w:rsid w:val="00D540DB"/>
    <w:rsid w:val="00D54183"/>
    <w:rsid w:val="00D541C9"/>
    <w:rsid w:val="00D5432D"/>
    <w:rsid w:val="00D543AF"/>
    <w:rsid w:val="00D543F9"/>
    <w:rsid w:val="00D54433"/>
    <w:rsid w:val="00D54516"/>
    <w:rsid w:val="00D54BBB"/>
    <w:rsid w:val="00D54DC1"/>
    <w:rsid w:val="00D55038"/>
    <w:rsid w:val="00D55082"/>
    <w:rsid w:val="00D55093"/>
    <w:rsid w:val="00D55139"/>
    <w:rsid w:val="00D552FB"/>
    <w:rsid w:val="00D5549D"/>
    <w:rsid w:val="00D55588"/>
    <w:rsid w:val="00D555A5"/>
    <w:rsid w:val="00D556AB"/>
    <w:rsid w:val="00D55801"/>
    <w:rsid w:val="00D559C8"/>
    <w:rsid w:val="00D55C24"/>
    <w:rsid w:val="00D55D34"/>
    <w:rsid w:val="00D5609A"/>
    <w:rsid w:val="00D5622F"/>
    <w:rsid w:val="00D56294"/>
    <w:rsid w:val="00D565FF"/>
    <w:rsid w:val="00D567F0"/>
    <w:rsid w:val="00D56A41"/>
    <w:rsid w:val="00D56AA5"/>
    <w:rsid w:val="00D56C65"/>
    <w:rsid w:val="00D56DEA"/>
    <w:rsid w:val="00D56F24"/>
    <w:rsid w:val="00D570C4"/>
    <w:rsid w:val="00D570C6"/>
    <w:rsid w:val="00D57130"/>
    <w:rsid w:val="00D5715A"/>
    <w:rsid w:val="00D5718E"/>
    <w:rsid w:val="00D57250"/>
    <w:rsid w:val="00D57476"/>
    <w:rsid w:val="00D574F3"/>
    <w:rsid w:val="00D5776C"/>
    <w:rsid w:val="00D57917"/>
    <w:rsid w:val="00D5795F"/>
    <w:rsid w:val="00D579DD"/>
    <w:rsid w:val="00D57A71"/>
    <w:rsid w:val="00D57B15"/>
    <w:rsid w:val="00D57B7C"/>
    <w:rsid w:val="00D57B8F"/>
    <w:rsid w:val="00D57C3B"/>
    <w:rsid w:val="00D57CD3"/>
    <w:rsid w:val="00D57DE8"/>
    <w:rsid w:val="00D57F77"/>
    <w:rsid w:val="00D60073"/>
    <w:rsid w:val="00D6026F"/>
    <w:rsid w:val="00D603CA"/>
    <w:rsid w:val="00D603D8"/>
    <w:rsid w:val="00D60425"/>
    <w:rsid w:val="00D60565"/>
    <w:rsid w:val="00D606F7"/>
    <w:rsid w:val="00D607A3"/>
    <w:rsid w:val="00D607E9"/>
    <w:rsid w:val="00D60858"/>
    <w:rsid w:val="00D609EA"/>
    <w:rsid w:val="00D60A1B"/>
    <w:rsid w:val="00D60AC8"/>
    <w:rsid w:val="00D60AF5"/>
    <w:rsid w:val="00D60C98"/>
    <w:rsid w:val="00D60CD8"/>
    <w:rsid w:val="00D60D85"/>
    <w:rsid w:val="00D60F42"/>
    <w:rsid w:val="00D61049"/>
    <w:rsid w:val="00D611B4"/>
    <w:rsid w:val="00D61648"/>
    <w:rsid w:val="00D616DD"/>
    <w:rsid w:val="00D6194E"/>
    <w:rsid w:val="00D61C62"/>
    <w:rsid w:val="00D61CC3"/>
    <w:rsid w:val="00D61CE0"/>
    <w:rsid w:val="00D61D4B"/>
    <w:rsid w:val="00D61DBE"/>
    <w:rsid w:val="00D61F93"/>
    <w:rsid w:val="00D6217B"/>
    <w:rsid w:val="00D621A2"/>
    <w:rsid w:val="00D6226D"/>
    <w:rsid w:val="00D62464"/>
    <w:rsid w:val="00D625AC"/>
    <w:rsid w:val="00D625C1"/>
    <w:rsid w:val="00D6269E"/>
    <w:rsid w:val="00D6281E"/>
    <w:rsid w:val="00D62B4B"/>
    <w:rsid w:val="00D62DA1"/>
    <w:rsid w:val="00D62E51"/>
    <w:rsid w:val="00D62E64"/>
    <w:rsid w:val="00D62E80"/>
    <w:rsid w:val="00D62F6B"/>
    <w:rsid w:val="00D6309E"/>
    <w:rsid w:val="00D63189"/>
    <w:rsid w:val="00D63299"/>
    <w:rsid w:val="00D63348"/>
    <w:rsid w:val="00D63678"/>
    <w:rsid w:val="00D6380C"/>
    <w:rsid w:val="00D63985"/>
    <w:rsid w:val="00D63A3B"/>
    <w:rsid w:val="00D63C05"/>
    <w:rsid w:val="00D63D21"/>
    <w:rsid w:val="00D640A2"/>
    <w:rsid w:val="00D643DD"/>
    <w:rsid w:val="00D647E3"/>
    <w:rsid w:val="00D64A4D"/>
    <w:rsid w:val="00D64AAD"/>
    <w:rsid w:val="00D64B83"/>
    <w:rsid w:val="00D64CEE"/>
    <w:rsid w:val="00D65040"/>
    <w:rsid w:val="00D651FD"/>
    <w:rsid w:val="00D652A2"/>
    <w:rsid w:val="00D652D3"/>
    <w:rsid w:val="00D6547E"/>
    <w:rsid w:val="00D656C3"/>
    <w:rsid w:val="00D6573E"/>
    <w:rsid w:val="00D65775"/>
    <w:rsid w:val="00D6593B"/>
    <w:rsid w:val="00D65977"/>
    <w:rsid w:val="00D65CD3"/>
    <w:rsid w:val="00D65DB8"/>
    <w:rsid w:val="00D66160"/>
    <w:rsid w:val="00D661F2"/>
    <w:rsid w:val="00D663E7"/>
    <w:rsid w:val="00D663F7"/>
    <w:rsid w:val="00D66587"/>
    <w:rsid w:val="00D6662A"/>
    <w:rsid w:val="00D66998"/>
    <w:rsid w:val="00D66A1B"/>
    <w:rsid w:val="00D66A1D"/>
    <w:rsid w:val="00D66A24"/>
    <w:rsid w:val="00D66ACC"/>
    <w:rsid w:val="00D66F94"/>
    <w:rsid w:val="00D6713C"/>
    <w:rsid w:val="00D67338"/>
    <w:rsid w:val="00D6733E"/>
    <w:rsid w:val="00D67765"/>
    <w:rsid w:val="00D6777A"/>
    <w:rsid w:val="00D67932"/>
    <w:rsid w:val="00D6799E"/>
    <w:rsid w:val="00D67C41"/>
    <w:rsid w:val="00D67D42"/>
    <w:rsid w:val="00D70008"/>
    <w:rsid w:val="00D70124"/>
    <w:rsid w:val="00D70365"/>
    <w:rsid w:val="00D7039E"/>
    <w:rsid w:val="00D7060C"/>
    <w:rsid w:val="00D706C9"/>
    <w:rsid w:val="00D707DC"/>
    <w:rsid w:val="00D7088A"/>
    <w:rsid w:val="00D7097A"/>
    <w:rsid w:val="00D70B7C"/>
    <w:rsid w:val="00D70C73"/>
    <w:rsid w:val="00D70CAA"/>
    <w:rsid w:val="00D70E10"/>
    <w:rsid w:val="00D70F14"/>
    <w:rsid w:val="00D70FDF"/>
    <w:rsid w:val="00D71118"/>
    <w:rsid w:val="00D711B7"/>
    <w:rsid w:val="00D71243"/>
    <w:rsid w:val="00D712C5"/>
    <w:rsid w:val="00D713EF"/>
    <w:rsid w:val="00D71403"/>
    <w:rsid w:val="00D71404"/>
    <w:rsid w:val="00D71445"/>
    <w:rsid w:val="00D716DF"/>
    <w:rsid w:val="00D718C5"/>
    <w:rsid w:val="00D71A38"/>
    <w:rsid w:val="00D71A43"/>
    <w:rsid w:val="00D71CD2"/>
    <w:rsid w:val="00D720FF"/>
    <w:rsid w:val="00D7221D"/>
    <w:rsid w:val="00D72262"/>
    <w:rsid w:val="00D723D7"/>
    <w:rsid w:val="00D72471"/>
    <w:rsid w:val="00D7258C"/>
    <w:rsid w:val="00D727A1"/>
    <w:rsid w:val="00D72817"/>
    <w:rsid w:val="00D72C37"/>
    <w:rsid w:val="00D72CCB"/>
    <w:rsid w:val="00D72E40"/>
    <w:rsid w:val="00D72F36"/>
    <w:rsid w:val="00D7316C"/>
    <w:rsid w:val="00D73500"/>
    <w:rsid w:val="00D736C8"/>
    <w:rsid w:val="00D737E9"/>
    <w:rsid w:val="00D7380F"/>
    <w:rsid w:val="00D73825"/>
    <w:rsid w:val="00D738BF"/>
    <w:rsid w:val="00D73AC4"/>
    <w:rsid w:val="00D73D83"/>
    <w:rsid w:val="00D7417A"/>
    <w:rsid w:val="00D742C2"/>
    <w:rsid w:val="00D742FE"/>
    <w:rsid w:val="00D744DF"/>
    <w:rsid w:val="00D74749"/>
    <w:rsid w:val="00D74787"/>
    <w:rsid w:val="00D74A63"/>
    <w:rsid w:val="00D74B93"/>
    <w:rsid w:val="00D74BC5"/>
    <w:rsid w:val="00D74EE4"/>
    <w:rsid w:val="00D750A2"/>
    <w:rsid w:val="00D755DC"/>
    <w:rsid w:val="00D756F6"/>
    <w:rsid w:val="00D758E7"/>
    <w:rsid w:val="00D75961"/>
    <w:rsid w:val="00D759D7"/>
    <w:rsid w:val="00D75BA9"/>
    <w:rsid w:val="00D75D3F"/>
    <w:rsid w:val="00D75D45"/>
    <w:rsid w:val="00D760E4"/>
    <w:rsid w:val="00D762A2"/>
    <w:rsid w:val="00D762C5"/>
    <w:rsid w:val="00D763C8"/>
    <w:rsid w:val="00D7648B"/>
    <w:rsid w:val="00D76516"/>
    <w:rsid w:val="00D76920"/>
    <w:rsid w:val="00D76D98"/>
    <w:rsid w:val="00D76E4A"/>
    <w:rsid w:val="00D76F49"/>
    <w:rsid w:val="00D77191"/>
    <w:rsid w:val="00D7739E"/>
    <w:rsid w:val="00D774D7"/>
    <w:rsid w:val="00D774EF"/>
    <w:rsid w:val="00D778CC"/>
    <w:rsid w:val="00D779DA"/>
    <w:rsid w:val="00D77A74"/>
    <w:rsid w:val="00D77E91"/>
    <w:rsid w:val="00D77EDB"/>
    <w:rsid w:val="00D8019C"/>
    <w:rsid w:val="00D802D8"/>
    <w:rsid w:val="00D8042F"/>
    <w:rsid w:val="00D8051B"/>
    <w:rsid w:val="00D805AB"/>
    <w:rsid w:val="00D805C5"/>
    <w:rsid w:val="00D805D3"/>
    <w:rsid w:val="00D80857"/>
    <w:rsid w:val="00D808A1"/>
    <w:rsid w:val="00D80A59"/>
    <w:rsid w:val="00D80B31"/>
    <w:rsid w:val="00D80B6B"/>
    <w:rsid w:val="00D80BA9"/>
    <w:rsid w:val="00D811FB"/>
    <w:rsid w:val="00D813E5"/>
    <w:rsid w:val="00D81476"/>
    <w:rsid w:val="00D81566"/>
    <w:rsid w:val="00D816D5"/>
    <w:rsid w:val="00D81752"/>
    <w:rsid w:val="00D817C5"/>
    <w:rsid w:val="00D81A9A"/>
    <w:rsid w:val="00D81D7A"/>
    <w:rsid w:val="00D81D80"/>
    <w:rsid w:val="00D81DB7"/>
    <w:rsid w:val="00D81F50"/>
    <w:rsid w:val="00D820E5"/>
    <w:rsid w:val="00D821DB"/>
    <w:rsid w:val="00D8225F"/>
    <w:rsid w:val="00D822FA"/>
    <w:rsid w:val="00D823A9"/>
    <w:rsid w:val="00D82404"/>
    <w:rsid w:val="00D82584"/>
    <w:rsid w:val="00D82601"/>
    <w:rsid w:val="00D82655"/>
    <w:rsid w:val="00D8284D"/>
    <w:rsid w:val="00D828B3"/>
    <w:rsid w:val="00D82A94"/>
    <w:rsid w:val="00D82C18"/>
    <w:rsid w:val="00D82CF7"/>
    <w:rsid w:val="00D82E67"/>
    <w:rsid w:val="00D83507"/>
    <w:rsid w:val="00D83567"/>
    <w:rsid w:val="00D83638"/>
    <w:rsid w:val="00D8366D"/>
    <w:rsid w:val="00D838A3"/>
    <w:rsid w:val="00D83BBD"/>
    <w:rsid w:val="00D83BFD"/>
    <w:rsid w:val="00D83E56"/>
    <w:rsid w:val="00D83F9A"/>
    <w:rsid w:val="00D84062"/>
    <w:rsid w:val="00D840D2"/>
    <w:rsid w:val="00D84152"/>
    <w:rsid w:val="00D841B9"/>
    <w:rsid w:val="00D841E7"/>
    <w:rsid w:val="00D84250"/>
    <w:rsid w:val="00D84575"/>
    <w:rsid w:val="00D84669"/>
    <w:rsid w:val="00D84676"/>
    <w:rsid w:val="00D846C3"/>
    <w:rsid w:val="00D846EC"/>
    <w:rsid w:val="00D84A04"/>
    <w:rsid w:val="00D84B23"/>
    <w:rsid w:val="00D84C21"/>
    <w:rsid w:val="00D84CC3"/>
    <w:rsid w:val="00D84CDE"/>
    <w:rsid w:val="00D84E9A"/>
    <w:rsid w:val="00D85044"/>
    <w:rsid w:val="00D85227"/>
    <w:rsid w:val="00D85364"/>
    <w:rsid w:val="00D85420"/>
    <w:rsid w:val="00D8551F"/>
    <w:rsid w:val="00D856C0"/>
    <w:rsid w:val="00D85A1B"/>
    <w:rsid w:val="00D85CED"/>
    <w:rsid w:val="00D8637A"/>
    <w:rsid w:val="00D86C32"/>
    <w:rsid w:val="00D86CB5"/>
    <w:rsid w:val="00D86E20"/>
    <w:rsid w:val="00D86E98"/>
    <w:rsid w:val="00D86EBC"/>
    <w:rsid w:val="00D86EDA"/>
    <w:rsid w:val="00D86EEE"/>
    <w:rsid w:val="00D86F27"/>
    <w:rsid w:val="00D87216"/>
    <w:rsid w:val="00D87303"/>
    <w:rsid w:val="00D87327"/>
    <w:rsid w:val="00D87330"/>
    <w:rsid w:val="00D874B6"/>
    <w:rsid w:val="00D87998"/>
    <w:rsid w:val="00D879FA"/>
    <w:rsid w:val="00D87A1C"/>
    <w:rsid w:val="00D87A2B"/>
    <w:rsid w:val="00D87ADA"/>
    <w:rsid w:val="00D87C64"/>
    <w:rsid w:val="00D90632"/>
    <w:rsid w:val="00D90671"/>
    <w:rsid w:val="00D906CD"/>
    <w:rsid w:val="00D908CC"/>
    <w:rsid w:val="00D9093E"/>
    <w:rsid w:val="00D90969"/>
    <w:rsid w:val="00D90E3E"/>
    <w:rsid w:val="00D90F5A"/>
    <w:rsid w:val="00D9127A"/>
    <w:rsid w:val="00D91398"/>
    <w:rsid w:val="00D9144A"/>
    <w:rsid w:val="00D915AE"/>
    <w:rsid w:val="00D91797"/>
    <w:rsid w:val="00D91B6C"/>
    <w:rsid w:val="00D91C87"/>
    <w:rsid w:val="00D91CC6"/>
    <w:rsid w:val="00D91F33"/>
    <w:rsid w:val="00D92116"/>
    <w:rsid w:val="00D9214E"/>
    <w:rsid w:val="00D9226D"/>
    <w:rsid w:val="00D92287"/>
    <w:rsid w:val="00D92534"/>
    <w:rsid w:val="00D926C5"/>
    <w:rsid w:val="00D927F7"/>
    <w:rsid w:val="00D92934"/>
    <w:rsid w:val="00D92B2A"/>
    <w:rsid w:val="00D92F11"/>
    <w:rsid w:val="00D92F15"/>
    <w:rsid w:val="00D92F1C"/>
    <w:rsid w:val="00D931F5"/>
    <w:rsid w:val="00D931F6"/>
    <w:rsid w:val="00D9321A"/>
    <w:rsid w:val="00D933DD"/>
    <w:rsid w:val="00D933E6"/>
    <w:rsid w:val="00D93520"/>
    <w:rsid w:val="00D9379D"/>
    <w:rsid w:val="00D938C3"/>
    <w:rsid w:val="00D93985"/>
    <w:rsid w:val="00D9398E"/>
    <w:rsid w:val="00D93EC2"/>
    <w:rsid w:val="00D943BE"/>
    <w:rsid w:val="00D943C3"/>
    <w:rsid w:val="00D94455"/>
    <w:rsid w:val="00D94723"/>
    <w:rsid w:val="00D94783"/>
    <w:rsid w:val="00D949AF"/>
    <w:rsid w:val="00D94B6D"/>
    <w:rsid w:val="00D94DB3"/>
    <w:rsid w:val="00D94E06"/>
    <w:rsid w:val="00D9507C"/>
    <w:rsid w:val="00D950D7"/>
    <w:rsid w:val="00D950D8"/>
    <w:rsid w:val="00D95111"/>
    <w:rsid w:val="00D95142"/>
    <w:rsid w:val="00D95422"/>
    <w:rsid w:val="00D9551F"/>
    <w:rsid w:val="00D955AB"/>
    <w:rsid w:val="00D9563D"/>
    <w:rsid w:val="00D9568A"/>
    <w:rsid w:val="00D9576A"/>
    <w:rsid w:val="00D9581F"/>
    <w:rsid w:val="00D95C51"/>
    <w:rsid w:val="00D95E80"/>
    <w:rsid w:val="00D95FA3"/>
    <w:rsid w:val="00D95FE9"/>
    <w:rsid w:val="00D9608F"/>
    <w:rsid w:val="00D96661"/>
    <w:rsid w:val="00D966DB"/>
    <w:rsid w:val="00D96777"/>
    <w:rsid w:val="00D96804"/>
    <w:rsid w:val="00D9696C"/>
    <w:rsid w:val="00D969B3"/>
    <w:rsid w:val="00D96A79"/>
    <w:rsid w:val="00D96DCA"/>
    <w:rsid w:val="00D97005"/>
    <w:rsid w:val="00D971C0"/>
    <w:rsid w:val="00D9730D"/>
    <w:rsid w:val="00DA0069"/>
    <w:rsid w:val="00DA013D"/>
    <w:rsid w:val="00DA0156"/>
    <w:rsid w:val="00DA021A"/>
    <w:rsid w:val="00DA049E"/>
    <w:rsid w:val="00DA080C"/>
    <w:rsid w:val="00DA0A0F"/>
    <w:rsid w:val="00DA0A60"/>
    <w:rsid w:val="00DA0AFD"/>
    <w:rsid w:val="00DA0D3B"/>
    <w:rsid w:val="00DA0ED0"/>
    <w:rsid w:val="00DA10EA"/>
    <w:rsid w:val="00DA13CF"/>
    <w:rsid w:val="00DA15A6"/>
    <w:rsid w:val="00DA177F"/>
    <w:rsid w:val="00DA1AB1"/>
    <w:rsid w:val="00DA1B8B"/>
    <w:rsid w:val="00DA1C9D"/>
    <w:rsid w:val="00DA1F59"/>
    <w:rsid w:val="00DA1F86"/>
    <w:rsid w:val="00DA2374"/>
    <w:rsid w:val="00DA23C2"/>
    <w:rsid w:val="00DA2432"/>
    <w:rsid w:val="00DA26AF"/>
    <w:rsid w:val="00DA27A4"/>
    <w:rsid w:val="00DA28D7"/>
    <w:rsid w:val="00DA2A62"/>
    <w:rsid w:val="00DA2D13"/>
    <w:rsid w:val="00DA2FBC"/>
    <w:rsid w:val="00DA308E"/>
    <w:rsid w:val="00DA3200"/>
    <w:rsid w:val="00DA330F"/>
    <w:rsid w:val="00DA3380"/>
    <w:rsid w:val="00DA342A"/>
    <w:rsid w:val="00DA34AA"/>
    <w:rsid w:val="00DA358B"/>
    <w:rsid w:val="00DA35D3"/>
    <w:rsid w:val="00DA36D5"/>
    <w:rsid w:val="00DA3856"/>
    <w:rsid w:val="00DA3A7D"/>
    <w:rsid w:val="00DA3D04"/>
    <w:rsid w:val="00DA3D3A"/>
    <w:rsid w:val="00DA41A3"/>
    <w:rsid w:val="00DA41C9"/>
    <w:rsid w:val="00DA454E"/>
    <w:rsid w:val="00DA49BB"/>
    <w:rsid w:val="00DA4A23"/>
    <w:rsid w:val="00DA4BDA"/>
    <w:rsid w:val="00DA4D7C"/>
    <w:rsid w:val="00DA4EA0"/>
    <w:rsid w:val="00DA4F6E"/>
    <w:rsid w:val="00DA4F9E"/>
    <w:rsid w:val="00DA5197"/>
    <w:rsid w:val="00DA5364"/>
    <w:rsid w:val="00DA5478"/>
    <w:rsid w:val="00DA557A"/>
    <w:rsid w:val="00DA569C"/>
    <w:rsid w:val="00DA5769"/>
    <w:rsid w:val="00DA57AA"/>
    <w:rsid w:val="00DA5850"/>
    <w:rsid w:val="00DA5902"/>
    <w:rsid w:val="00DA5986"/>
    <w:rsid w:val="00DA59B5"/>
    <w:rsid w:val="00DA5B7B"/>
    <w:rsid w:val="00DA5E2A"/>
    <w:rsid w:val="00DA5E5C"/>
    <w:rsid w:val="00DA5EFC"/>
    <w:rsid w:val="00DA5F3A"/>
    <w:rsid w:val="00DA5F79"/>
    <w:rsid w:val="00DA5FB5"/>
    <w:rsid w:val="00DA603F"/>
    <w:rsid w:val="00DA609E"/>
    <w:rsid w:val="00DA60EE"/>
    <w:rsid w:val="00DA6128"/>
    <w:rsid w:val="00DA623B"/>
    <w:rsid w:val="00DA656E"/>
    <w:rsid w:val="00DA6954"/>
    <w:rsid w:val="00DA6AA9"/>
    <w:rsid w:val="00DA7080"/>
    <w:rsid w:val="00DA70BB"/>
    <w:rsid w:val="00DA7997"/>
    <w:rsid w:val="00DA7A4A"/>
    <w:rsid w:val="00DA7E1A"/>
    <w:rsid w:val="00DA7FD3"/>
    <w:rsid w:val="00DA7FDD"/>
    <w:rsid w:val="00DB0083"/>
    <w:rsid w:val="00DB012D"/>
    <w:rsid w:val="00DB02DF"/>
    <w:rsid w:val="00DB0323"/>
    <w:rsid w:val="00DB03CD"/>
    <w:rsid w:val="00DB0436"/>
    <w:rsid w:val="00DB0626"/>
    <w:rsid w:val="00DB08B2"/>
    <w:rsid w:val="00DB0B98"/>
    <w:rsid w:val="00DB0CB2"/>
    <w:rsid w:val="00DB0CE3"/>
    <w:rsid w:val="00DB124C"/>
    <w:rsid w:val="00DB152F"/>
    <w:rsid w:val="00DB17A8"/>
    <w:rsid w:val="00DB1A5E"/>
    <w:rsid w:val="00DB1B21"/>
    <w:rsid w:val="00DB230A"/>
    <w:rsid w:val="00DB243A"/>
    <w:rsid w:val="00DB252A"/>
    <w:rsid w:val="00DB28F3"/>
    <w:rsid w:val="00DB2BC4"/>
    <w:rsid w:val="00DB2C92"/>
    <w:rsid w:val="00DB2CFD"/>
    <w:rsid w:val="00DB2D67"/>
    <w:rsid w:val="00DB2FCA"/>
    <w:rsid w:val="00DB3015"/>
    <w:rsid w:val="00DB30D6"/>
    <w:rsid w:val="00DB3176"/>
    <w:rsid w:val="00DB3215"/>
    <w:rsid w:val="00DB3262"/>
    <w:rsid w:val="00DB3270"/>
    <w:rsid w:val="00DB32BE"/>
    <w:rsid w:val="00DB353F"/>
    <w:rsid w:val="00DB390F"/>
    <w:rsid w:val="00DB3A43"/>
    <w:rsid w:val="00DB3C00"/>
    <w:rsid w:val="00DB3DA6"/>
    <w:rsid w:val="00DB3DFC"/>
    <w:rsid w:val="00DB3E58"/>
    <w:rsid w:val="00DB4021"/>
    <w:rsid w:val="00DB4070"/>
    <w:rsid w:val="00DB444C"/>
    <w:rsid w:val="00DB4674"/>
    <w:rsid w:val="00DB49A3"/>
    <w:rsid w:val="00DB4B23"/>
    <w:rsid w:val="00DB4C66"/>
    <w:rsid w:val="00DB4D17"/>
    <w:rsid w:val="00DB4E5B"/>
    <w:rsid w:val="00DB4ECC"/>
    <w:rsid w:val="00DB4F62"/>
    <w:rsid w:val="00DB4FF8"/>
    <w:rsid w:val="00DB5138"/>
    <w:rsid w:val="00DB513C"/>
    <w:rsid w:val="00DB5372"/>
    <w:rsid w:val="00DB54A4"/>
    <w:rsid w:val="00DB54F0"/>
    <w:rsid w:val="00DB5544"/>
    <w:rsid w:val="00DB5643"/>
    <w:rsid w:val="00DB584A"/>
    <w:rsid w:val="00DB58D7"/>
    <w:rsid w:val="00DB5A92"/>
    <w:rsid w:val="00DB5B15"/>
    <w:rsid w:val="00DB5CF2"/>
    <w:rsid w:val="00DB5EA2"/>
    <w:rsid w:val="00DB5EA7"/>
    <w:rsid w:val="00DB5EBB"/>
    <w:rsid w:val="00DB5EC3"/>
    <w:rsid w:val="00DB5FB8"/>
    <w:rsid w:val="00DB61AF"/>
    <w:rsid w:val="00DB6310"/>
    <w:rsid w:val="00DB645B"/>
    <w:rsid w:val="00DB655F"/>
    <w:rsid w:val="00DB6858"/>
    <w:rsid w:val="00DB6AB3"/>
    <w:rsid w:val="00DB6B0F"/>
    <w:rsid w:val="00DB6B5C"/>
    <w:rsid w:val="00DB6B97"/>
    <w:rsid w:val="00DB6BF7"/>
    <w:rsid w:val="00DB6C95"/>
    <w:rsid w:val="00DB6D34"/>
    <w:rsid w:val="00DB6D8E"/>
    <w:rsid w:val="00DB6F1A"/>
    <w:rsid w:val="00DB6FE9"/>
    <w:rsid w:val="00DB70A6"/>
    <w:rsid w:val="00DB7473"/>
    <w:rsid w:val="00DB76CA"/>
    <w:rsid w:val="00DB7AAE"/>
    <w:rsid w:val="00DB7AF4"/>
    <w:rsid w:val="00DB7BA8"/>
    <w:rsid w:val="00DB7BC7"/>
    <w:rsid w:val="00DB7BEC"/>
    <w:rsid w:val="00DB7C3E"/>
    <w:rsid w:val="00DB7D07"/>
    <w:rsid w:val="00DB7E36"/>
    <w:rsid w:val="00DB7FDA"/>
    <w:rsid w:val="00DC012D"/>
    <w:rsid w:val="00DC031F"/>
    <w:rsid w:val="00DC042C"/>
    <w:rsid w:val="00DC0478"/>
    <w:rsid w:val="00DC0A4B"/>
    <w:rsid w:val="00DC1094"/>
    <w:rsid w:val="00DC12CB"/>
    <w:rsid w:val="00DC1343"/>
    <w:rsid w:val="00DC136F"/>
    <w:rsid w:val="00DC150D"/>
    <w:rsid w:val="00DC15B3"/>
    <w:rsid w:val="00DC1743"/>
    <w:rsid w:val="00DC1908"/>
    <w:rsid w:val="00DC1AF9"/>
    <w:rsid w:val="00DC1BB0"/>
    <w:rsid w:val="00DC1CC7"/>
    <w:rsid w:val="00DC1F25"/>
    <w:rsid w:val="00DC200E"/>
    <w:rsid w:val="00DC2321"/>
    <w:rsid w:val="00DC23AC"/>
    <w:rsid w:val="00DC2714"/>
    <w:rsid w:val="00DC281F"/>
    <w:rsid w:val="00DC2878"/>
    <w:rsid w:val="00DC2989"/>
    <w:rsid w:val="00DC2A0D"/>
    <w:rsid w:val="00DC2B15"/>
    <w:rsid w:val="00DC2F51"/>
    <w:rsid w:val="00DC3347"/>
    <w:rsid w:val="00DC34E7"/>
    <w:rsid w:val="00DC390C"/>
    <w:rsid w:val="00DC413E"/>
    <w:rsid w:val="00DC4237"/>
    <w:rsid w:val="00DC4388"/>
    <w:rsid w:val="00DC4404"/>
    <w:rsid w:val="00DC465F"/>
    <w:rsid w:val="00DC4768"/>
    <w:rsid w:val="00DC4781"/>
    <w:rsid w:val="00DC492C"/>
    <w:rsid w:val="00DC4A1C"/>
    <w:rsid w:val="00DC4E6B"/>
    <w:rsid w:val="00DC4ECA"/>
    <w:rsid w:val="00DC4F34"/>
    <w:rsid w:val="00DC4FCB"/>
    <w:rsid w:val="00DC50C9"/>
    <w:rsid w:val="00DC51D7"/>
    <w:rsid w:val="00DC52CB"/>
    <w:rsid w:val="00DC5392"/>
    <w:rsid w:val="00DC5409"/>
    <w:rsid w:val="00DC5473"/>
    <w:rsid w:val="00DC574A"/>
    <w:rsid w:val="00DC58FB"/>
    <w:rsid w:val="00DC5B93"/>
    <w:rsid w:val="00DC5CB7"/>
    <w:rsid w:val="00DC60DF"/>
    <w:rsid w:val="00DC6230"/>
    <w:rsid w:val="00DC6A2E"/>
    <w:rsid w:val="00DC701D"/>
    <w:rsid w:val="00DC7418"/>
    <w:rsid w:val="00DC7436"/>
    <w:rsid w:val="00DC7533"/>
    <w:rsid w:val="00DC7611"/>
    <w:rsid w:val="00DC76EF"/>
    <w:rsid w:val="00DC77FE"/>
    <w:rsid w:val="00DC79DD"/>
    <w:rsid w:val="00DC7A1D"/>
    <w:rsid w:val="00DC7F81"/>
    <w:rsid w:val="00DC7F8E"/>
    <w:rsid w:val="00DD00D0"/>
    <w:rsid w:val="00DD0102"/>
    <w:rsid w:val="00DD014F"/>
    <w:rsid w:val="00DD017E"/>
    <w:rsid w:val="00DD01CF"/>
    <w:rsid w:val="00DD02B2"/>
    <w:rsid w:val="00DD0339"/>
    <w:rsid w:val="00DD092A"/>
    <w:rsid w:val="00DD0957"/>
    <w:rsid w:val="00DD0989"/>
    <w:rsid w:val="00DD098E"/>
    <w:rsid w:val="00DD0999"/>
    <w:rsid w:val="00DD0C30"/>
    <w:rsid w:val="00DD11F4"/>
    <w:rsid w:val="00DD1278"/>
    <w:rsid w:val="00DD13CF"/>
    <w:rsid w:val="00DD1583"/>
    <w:rsid w:val="00DD18FE"/>
    <w:rsid w:val="00DD1A4D"/>
    <w:rsid w:val="00DD1A60"/>
    <w:rsid w:val="00DD1BB0"/>
    <w:rsid w:val="00DD1CE4"/>
    <w:rsid w:val="00DD1F2E"/>
    <w:rsid w:val="00DD20C7"/>
    <w:rsid w:val="00DD225C"/>
    <w:rsid w:val="00DD23D0"/>
    <w:rsid w:val="00DD2639"/>
    <w:rsid w:val="00DD2695"/>
    <w:rsid w:val="00DD28D0"/>
    <w:rsid w:val="00DD2ECD"/>
    <w:rsid w:val="00DD2FE1"/>
    <w:rsid w:val="00DD30B8"/>
    <w:rsid w:val="00DD3584"/>
    <w:rsid w:val="00DD3787"/>
    <w:rsid w:val="00DD37FB"/>
    <w:rsid w:val="00DD3B41"/>
    <w:rsid w:val="00DD3EC6"/>
    <w:rsid w:val="00DD42DA"/>
    <w:rsid w:val="00DD438C"/>
    <w:rsid w:val="00DD45EF"/>
    <w:rsid w:val="00DD46C8"/>
    <w:rsid w:val="00DD4958"/>
    <w:rsid w:val="00DD4B8E"/>
    <w:rsid w:val="00DD4C79"/>
    <w:rsid w:val="00DD4F0B"/>
    <w:rsid w:val="00DD4FEE"/>
    <w:rsid w:val="00DD519B"/>
    <w:rsid w:val="00DD5232"/>
    <w:rsid w:val="00DD542A"/>
    <w:rsid w:val="00DD54F8"/>
    <w:rsid w:val="00DD5997"/>
    <w:rsid w:val="00DD5D26"/>
    <w:rsid w:val="00DD5D2F"/>
    <w:rsid w:val="00DD5F23"/>
    <w:rsid w:val="00DD6149"/>
    <w:rsid w:val="00DD64A0"/>
    <w:rsid w:val="00DD66C9"/>
    <w:rsid w:val="00DD6909"/>
    <w:rsid w:val="00DD6928"/>
    <w:rsid w:val="00DD707F"/>
    <w:rsid w:val="00DD70CC"/>
    <w:rsid w:val="00DD7284"/>
    <w:rsid w:val="00DD7289"/>
    <w:rsid w:val="00DD749D"/>
    <w:rsid w:val="00DD7871"/>
    <w:rsid w:val="00DD7A6D"/>
    <w:rsid w:val="00DD7D9D"/>
    <w:rsid w:val="00DD7DA3"/>
    <w:rsid w:val="00DD7DDC"/>
    <w:rsid w:val="00DD7F3F"/>
    <w:rsid w:val="00DE00E1"/>
    <w:rsid w:val="00DE0132"/>
    <w:rsid w:val="00DE03CC"/>
    <w:rsid w:val="00DE0539"/>
    <w:rsid w:val="00DE0688"/>
    <w:rsid w:val="00DE0872"/>
    <w:rsid w:val="00DE08B0"/>
    <w:rsid w:val="00DE0916"/>
    <w:rsid w:val="00DE0982"/>
    <w:rsid w:val="00DE0C3E"/>
    <w:rsid w:val="00DE1177"/>
    <w:rsid w:val="00DE11BF"/>
    <w:rsid w:val="00DE123D"/>
    <w:rsid w:val="00DE1348"/>
    <w:rsid w:val="00DE18CC"/>
    <w:rsid w:val="00DE1941"/>
    <w:rsid w:val="00DE1B95"/>
    <w:rsid w:val="00DE1C33"/>
    <w:rsid w:val="00DE2111"/>
    <w:rsid w:val="00DE21D2"/>
    <w:rsid w:val="00DE2346"/>
    <w:rsid w:val="00DE2597"/>
    <w:rsid w:val="00DE274E"/>
    <w:rsid w:val="00DE29B3"/>
    <w:rsid w:val="00DE2B40"/>
    <w:rsid w:val="00DE2BB4"/>
    <w:rsid w:val="00DE2BB9"/>
    <w:rsid w:val="00DE2DB9"/>
    <w:rsid w:val="00DE2DF1"/>
    <w:rsid w:val="00DE2FC1"/>
    <w:rsid w:val="00DE301A"/>
    <w:rsid w:val="00DE30C1"/>
    <w:rsid w:val="00DE3323"/>
    <w:rsid w:val="00DE33D2"/>
    <w:rsid w:val="00DE33F7"/>
    <w:rsid w:val="00DE3673"/>
    <w:rsid w:val="00DE3696"/>
    <w:rsid w:val="00DE3846"/>
    <w:rsid w:val="00DE3CB6"/>
    <w:rsid w:val="00DE4141"/>
    <w:rsid w:val="00DE418E"/>
    <w:rsid w:val="00DE41A3"/>
    <w:rsid w:val="00DE4588"/>
    <w:rsid w:val="00DE467B"/>
    <w:rsid w:val="00DE46BD"/>
    <w:rsid w:val="00DE4911"/>
    <w:rsid w:val="00DE49F5"/>
    <w:rsid w:val="00DE4A09"/>
    <w:rsid w:val="00DE4AAD"/>
    <w:rsid w:val="00DE4AC7"/>
    <w:rsid w:val="00DE4C47"/>
    <w:rsid w:val="00DE4E00"/>
    <w:rsid w:val="00DE4E11"/>
    <w:rsid w:val="00DE4EFB"/>
    <w:rsid w:val="00DE4F67"/>
    <w:rsid w:val="00DE4FA2"/>
    <w:rsid w:val="00DE5183"/>
    <w:rsid w:val="00DE558B"/>
    <w:rsid w:val="00DE562B"/>
    <w:rsid w:val="00DE56AE"/>
    <w:rsid w:val="00DE5A49"/>
    <w:rsid w:val="00DE5B10"/>
    <w:rsid w:val="00DE601E"/>
    <w:rsid w:val="00DE6233"/>
    <w:rsid w:val="00DE633D"/>
    <w:rsid w:val="00DE67EB"/>
    <w:rsid w:val="00DE68E5"/>
    <w:rsid w:val="00DE693D"/>
    <w:rsid w:val="00DE6BFF"/>
    <w:rsid w:val="00DE72C9"/>
    <w:rsid w:val="00DE7444"/>
    <w:rsid w:val="00DE7627"/>
    <w:rsid w:val="00DE7690"/>
    <w:rsid w:val="00DE7A6A"/>
    <w:rsid w:val="00DE7B3E"/>
    <w:rsid w:val="00DE7BB5"/>
    <w:rsid w:val="00DE7DA7"/>
    <w:rsid w:val="00DE7EA3"/>
    <w:rsid w:val="00DE7F95"/>
    <w:rsid w:val="00DF00C7"/>
    <w:rsid w:val="00DF0511"/>
    <w:rsid w:val="00DF05BE"/>
    <w:rsid w:val="00DF05DE"/>
    <w:rsid w:val="00DF07D5"/>
    <w:rsid w:val="00DF0AA5"/>
    <w:rsid w:val="00DF0AD0"/>
    <w:rsid w:val="00DF1093"/>
    <w:rsid w:val="00DF114F"/>
    <w:rsid w:val="00DF1315"/>
    <w:rsid w:val="00DF15E7"/>
    <w:rsid w:val="00DF16ED"/>
    <w:rsid w:val="00DF18C9"/>
    <w:rsid w:val="00DF195A"/>
    <w:rsid w:val="00DF19B1"/>
    <w:rsid w:val="00DF19B5"/>
    <w:rsid w:val="00DF1A2C"/>
    <w:rsid w:val="00DF1B22"/>
    <w:rsid w:val="00DF1B58"/>
    <w:rsid w:val="00DF1CC7"/>
    <w:rsid w:val="00DF2073"/>
    <w:rsid w:val="00DF20A2"/>
    <w:rsid w:val="00DF246C"/>
    <w:rsid w:val="00DF26F4"/>
    <w:rsid w:val="00DF2785"/>
    <w:rsid w:val="00DF285B"/>
    <w:rsid w:val="00DF28B9"/>
    <w:rsid w:val="00DF2C24"/>
    <w:rsid w:val="00DF2C40"/>
    <w:rsid w:val="00DF2DFD"/>
    <w:rsid w:val="00DF2FF0"/>
    <w:rsid w:val="00DF3014"/>
    <w:rsid w:val="00DF3235"/>
    <w:rsid w:val="00DF32B3"/>
    <w:rsid w:val="00DF32E9"/>
    <w:rsid w:val="00DF333E"/>
    <w:rsid w:val="00DF3452"/>
    <w:rsid w:val="00DF34CE"/>
    <w:rsid w:val="00DF35DF"/>
    <w:rsid w:val="00DF3877"/>
    <w:rsid w:val="00DF387F"/>
    <w:rsid w:val="00DF3ADA"/>
    <w:rsid w:val="00DF3EFC"/>
    <w:rsid w:val="00DF41D4"/>
    <w:rsid w:val="00DF42AD"/>
    <w:rsid w:val="00DF42C0"/>
    <w:rsid w:val="00DF42FD"/>
    <w:rsid w:val="00DF440C"/>
    <w:rsid w:val="00DF44D3"/>
    <w:rsid w:val="00DF465F"/>
    <w:rsid w:val="00DF4AFA"/>
    <w:rsid w:val="00DF4CB6"/>
    <w:rsid w:val="00DF4D09"/>
    <w:rsid w:val="00DF533A"/>
    <w:rsid w:val="00DF5419"/>
    <w:rsid w:val="00DF5483"/>
    <w:rsid w:val="00DF5500"/>
    <w:rsid w:val="00DF555A"/>
    <w:rsid w:val="00DF5572"/>
    <w:rsid w:val="00DF5985"/>
    <w:rsid w:val="00DF5D0A"/>
    <w:rsid w:val="00DF5D23"/>
    <w:rsid w:val="00DF5DA4"/>
    <w:rsid w:val="00DF5E9B"/>
    <w:rsid w:val="00DF62BC"/>
    <w:rsid w:val="00DF66D8"/>
    <w:rsid w:val="00DF6734"/>
    <w:rsid w:val="00DF6AA6"/>
    <w:rsid w:val="00DF6ABC"/>
    <w:rsid w:val="00DF6BCF"/>
    <w:rsid w:val="00DF6C88"/>
    <w:rsid w:val="00DF6CE5"/>
    <w:rsid w:val="00DF6DBC"/>
    <w:rsid w:val="00DF70AC"/>
    <w:rsid w:val="00DF71FC"/>
    <w:rsid w:val="00DF73F7"/>
    <w:rsid w:val="00DF7463"/>
    <w:rsid w:val="00DF7646"/>
    <w:rsid w:val="00DF76CF"/>
    <w:rsid w:val="00DF7895"/>
    <w:rsid w:val="00DF78AA"/>
    <w:rsid w:val="00DF78B6"/>
    <w:rsid w:val="00DF7AC6"/>
    <w:rsid w:val="00DF7B5F"/>
    <w:rsid w:val="00DF7C47"/>
    <w:rsid w:val="00DF7C7E"/>
    <w:rsid w:val="00DF7CB7"/>
    <w:rsid w:val="00DF7EDE"/>
    <w:rsid w:val="00E00365"/>
    <w:rsid w:val="00E0043C"/>
    <w:rsid w:val="00E00530"/>
    <w:rsid w:val="00E00674"/>
    <w:rsid w:val="00E00710"/>
    <w:rsid w:val="00E00806"/>
    <w:rsid w:val="00E0081A"/>
    <w:rsid w:val="00E00C8B"/>
    <w:rsid w:val="00E00DC2"/>
    <w:rsid w:val="00E015EA"/>
    <w:rsid w:val="00E01673"/>
    <w:rsid w:val="00E01699"/>
    <w:rsid w:val="00E0178C"/>
    <w:rsid w:val="00E01843"/>
    <w:rsid w:val="00E0196D"/>
    <w:rsid w:val="00E01B36"/>
    <w:rsid w:val="00E01C85"/>
    <w:rsid w:val="00E01F5E"/>
    <w:rsid w:val="00E02054"/>
    <w:rsid w:val="00E02128"/>
    <w:rsid w:val="00E021DC"/>
    <w:rsid w:val="00E0224A"/>
    <w:rsid w:val="00E02AD9"/>
    <w:rsid w:val="00E02B8A"/>
    <w:rsid w:val="00E02C56"/>
    <w:rsid w:val="00E02E82"/>
    <w:rsid w:val="00E034E5"/>
    <w:rsid w:val="00E035E7"/>
    <w:rsid w:val="00E037B0"/>
    <w:rsid w:val="00E03A1C"/>
    <w:rsid w:val="00E03D10"/>
    <w:rsid w:val="00E03D29"/>
    <w:rsid w:val="00E03D3A"/>
    <w:rsid w:val="00E03D8B"/>
    <w:rsid w:val="00E03E2F"/>
    <w:rsid w:val="00E03FE1"/>
    <w:rsid w:val="00E040FE"/>
    <w:rsid w:val="00E0416B"/>
    <w:rsid w:val="00E04520"/>
    <w:rsid w:val="00E04541"/>
    <w:rsid w:val="00E04571"/>
    <w:rsid w:val="00E045B5"/>
    <w:rsid w:val="00E046BF"/>
    <w:rsid w:val="00E04B55"/>
    <w:rsid w:val="00E04C17"/>
    <w:rsid w:val="00E04DEF"/>
    <w:rsid w:val="00E05024"/>
    <w:rsid w:val="00E05068"/>
    <w:rsid w:val="00E050F7"/>
    <w:rsid w:val="00E0514A"/>
    <w:rsid w:val="00E0519C"/>
    <w:rsid w:val="00E05574"/>
    <w:rsid w:val="00E058CA"/>
    <w:rsid w:val="00E05A63"/>
    <w:rsid w:val="00E05B3F"/>
    <w:rsid w:val="00E05B49"/>
    <w:rsid w:val="00E05C46"/>
    <w:rsid w:val="00E05C49"/>
    <w:rsid w:val="00E05E46"/>
    <w:rsid w:val="00E05F29"/>
    <w:rsid w:val="00E0612D"/>
    <w:rsid w:val="00E061EE"/>
    <w:rsid w:val="00E0638D"/>
    <w:rsid w:val="00E0639C"/>
    <w:rsid w:val="00E064A3"/>
    <w:rsid w:val="00E064AC"/>
    <w:rsid w:val="00E065A1"/>
    <w:rsid w:val="00E0688E"/>
    <w:rsid w:val="00E06C01"/>
    <w:rsid w:val="00E06D0E"/>
    <w:rsid w:val="00E06D21"/>
    <w:rsid w:val="00E06E39"/>
    <w:rsid w:val="00E06F7E"/>
    <w:rsid w:val="00E070BB"/>
    <w:rsid w:val="00E072DC"/>
    <w:rsid w:val="00E07378"/>
    <w:rsid w:val="00E0739C"/>
    <w:rsid w:val="00E073A1"/>
    <w:rsid w:val="00E07647"/>
    <w:rsid w:val="00E07766"/>
    <w:rsid w:val="00E07793"/>
    <w:rsid w:val="00E077B6"/>
    <w:rsid w:val="00E078A0"/>
    <w:rsid w:val="00E07913"/>
    <w:rsid w:val="00E079D3"/>
    <w:rsid w:val="00E07D4F"/>
    <w:rsid w:val="00E07DF8"/>
    <w:rsid w:val="00E07E91"/>
    <w:rsid w:val="00E07F0B"/>
    <w:rsid w:val="00E107C9"/>
    <w:rsid w:val="00E10E55"/>
    <w:rsid w:val="00E10F8E"/>
    <w:rsid w:val="00E11381"/>
    <w:rsid w:val="00E11516"/>
    <w:rsid w:val="00E11566"/>
    <w:rsid w:val="00E1185F"/>
    <w:rsid w:val="00E11901"/>
    <w:rsid w:val="00E11A26"/>
    <w:rsid w:val="00E11A38"/>
    <w:rsid w:val="00E11E15"/>
    <w:rsid w:val="00E120D5"/>
    <w:rsid w:val="00E12114"/>
    <w:rsid w:val="00E1234F"/>
    <w:rsid w:val="00E12403"/>
    <w:rsid w:val="00E12492"/>
    <w:rsid w:val="00E124A6"/>
    <w:rsid w:val="00E12AD3"/>
    <w:rsid w:val="00E12FE1"/>
    <w:rsid w:val="00E1302E"/>
    <w:rsid w:val="00E1322E"/>
    <w:rsid w:val="00E133E3"/>
    <w:rsid w:val="00E135FA"/>
    <w:rsid w:val="00E13600"/>
    <w:rsid w:val="00E13660"/>
    <w:rsid w:val="00E136A2"/>
    <w:rsid w:val="00E137EA"/>
    <w:rsid w:val="00E1381F"/>
    <w:rsid w:val="00E13899"/>
    <w:rsid w:val="00E139F6"/>
    <w:rsid w:val="00E13AE0"/>
    <w:rsid w:val="00E13D09"/>
    <w:rsid w:val="00E13DCA"/>
    <w:rsid w:val="00E13E51"/>
    <w:rsid w:val="00E13E8B"/>
    <w:rsid w:val="00E13F4A"/>
    <w:rsid w:val="00E14055"/>
    <w:rsid w:val="00E1411F"/>
    <w:rsid w:val="00E144CE"/>
    <w:rsid w:val="00E144F1"/>
    <w:rsid w:val="00E14571"/>
    <w:rsid w:val="00E14614"/>
    <w:rsid w:val="00E14738"/>
    <w:rsid w:val="00E14AD4"/>
    <w:rsid w:val="00E14B0D"/>
    <w:rsid w:val="00E14B54"/>
    <w:rsid w:val="00E14BA3"/>
    <w:rsid w:val="00E14BC0"/>
    <w:rsid w:val="00E14D98"/>
    <w:rsid w:val="00E151E7"/>
    <w:rsid w:val="00E153E6"/>
    <w:rsid w:val="00E154C6"/>
    <w:rsid w:val="00E15509"/>
    <w:rsid w:val="00E155F4"/>
    <w:rsid w:val="00E156B7"/>
    <w:rsid w:val="00E1578E"/>
    <w:rsid w:val="00E15B5A"/>
    <w:rsid w:val="00E15D1C"/>
    <w:rsid w:val="00E15FF3"/>
    <w:rsid w:val="00E162E8"/>
    <w:rsid w:val="00E16498"/>
    <w:rsid w:val="00E1693F"/>
    <w:rsid w:val="00E16A31"/>
    <w:rsid w:val="00E16B4D"/>
    <w:rsid w:val="00E16B5A"/>
    <w:rsid w:val="00E16BAE"/>
    <w:rsid w:val="00E16CC9"/>
    <w:rsid w:val="00E16D18"/>
    <w:rsid w:val="00E16D6C"/>
    <w:rsid w:val="00E16D87"/>
    <w:rsid w:val="00E171C7"/>
    <w:rsid w:val="00E172A8"/>
    <w:rsid w:val="00E17319"/>
    <w:rsid w:val="00E17615"/>
    <w:rsid w:val="00E176C5"/>
    <w:rsid w:val="00E1775E"/>
    <w:rsid w:val="00E1776F"/>
    <w:rsid w:val="00E178D8"/>
    <w:rsid w:val="00E1792C"/>
    <w:rsid w:val="00E179EA"/>
    <w:rsid w:val="00E17A0F"/>
    <w:rsid w:val="00E17C74"/>
    <w:rsid w:val="00E17E6D"/>
    <w:rsid w:val="00E20117"/>
    <w:rsid w:val="00E20118"/>
    <w:rsid w:val="00E201C3"/>
    <w:rsid w:val="00E206AB"/>
    <w:rsid w:val="00E206C8"/>
    <w:rsid w:val="00E20B61"/>
    <w:rsid w:val="00E20D0E"/>
    <w:rsid w:val="00E20F61"/>
    <w:rsid w:val="00E210AC"/>
    <w:rsid w:val="00E215C6"/>
    <w:rsid w:val="00E21E72"/>
    <w:rsid w:val="00E21EBA"/>
    <w:rsid w:val="00E21EBC"/>
    <w:rsid w:val="00E21EDF"/>
    <w:rsid w:val="00E220BE"/>
    <w:rsid w:val="00E22156"/>
    <w:rsid w:val="00E22324"/>
    <w:rsid w:val="00E2243A"/>
    <w:rsid w:val="00E224CA"/>
    <w:rsid w:val="00E2287F"/>
    <w:rsid w:val="00E22964"/>
    <w:rsid w:val="00E22A66"/>
    <w:rsid w:val="00E22B70"/>
    <w:rsid w:val="00E22D57"/>
    <w:rsid w:val="00E22E94"/>
    <w:rsid w:val="00E230D2"/>
    <w:rsid w:val="00E232BE"/>
    <w:rsid w:val="00E23815"/>
    <w:rsid w:val="00E23F85"/>
    <w:rsid w:val="00E240F9"/>
    <w:rsid w:val="00E2427A"/>
    <w:rsid w:val="00E245AE"/>
    <w:rsid w:val="00E24602"/>
    <w:rsid w:val="00E246FD"/>
    <w:rsid w:val="00E24B57"/>
    <w:rsid w:val="00E25341"/>
    <w:rsid w:val="00E253F9"/>
    <w:rsid w:val="00E254CD"/>
    <w:rsid w:val="00E254D2"/>
    <w:rsid w:val="00E2554D"/>
    <w:rsid w:val="00E2558C"/>
    <w:rsid w:val="00E25618"/>
    <w:rsid w:val="00E2561F"/>
    <w:rsid w:val="00E257D9"/>
    <w:rsid w:val="00E25835"/>
    <w:rsid w:val="00E25848"/>
    <w:rsid w:val="00E25924"/>
    <w:rsid w:val="00E25952"/>
    <w:rsid w:val="00E25959"/>
    <w:rsid w:val="00E25D0A"/>
    <w:rsid w:val="00E25FA1"/>
    <w:rsid w:val="00E26051"/>
    <w:rsid w:val="00E26072"/>
    <w:rsid w:val="00E26084"/>
    <w:rsid w:val="00E2620D"/>
    <w:rsid w:val="00E26228"/>
    <w:rsid w:val="00E26550"/>
    <w:rsid w:val="00E26635"/>
    <w:rsid w:val="00E266D5"/>
    <w:rsid w:val="00E267C9"/>
    <w:rsid w:val="00E268B6"/>
    <w:rsid w:val="00E269C9"/>
    <w:rsid w:val="00E26D0D"/>
    <w:rsid w:val="00E26F67"/>
    <w:rsid w:val="00E27316"/>
    <w:rsid w:val="00E2757C"/>
    <w:rsid w:val="00E279A3"/>
    <w:rsid w:val="00E27C8F"/>
    <w:rsid w:val="00E27FE4"/>
    <w:rsid w:val="00E30555"/>
    <w:rsid w:val="00E30708"/>
    <w:rsid w:val="00E30764"/>
    <w:rsid w:val="00E3077E"/>
    <w:rsid w:val="00E307AE"/>
    <w:rsid w:val="00E30803"/>
    <w:rsid w:val="00E3084B"/>
    <w:rsid w:val="00E30AA5"/>
    <w:rsid w:val="00E30B0D"/>
    <w:rsid w:val="00E30BA5"/>
    <w:rsid w:val="00E30C38"/>
    <w:rsid w:val="00E30D0F"/>
    <w:rsid w:val="00E30E80"/>
    <w:rsid w:val="00E30EBF"/>
    <w:rsid w:val="00E3126E"/>
    <w:rsid w:val="00E31365"/>
    <w:rsid w:val="00E313F0"/>
    <w:rsid w:val="00E31460"/>
    <w:rsid w:val="00E3151D"/>
    <w:rsid w:val="00E31728"/>
    <w:rsid w:val="00E3181E"/>
    <w:rsid w:val="00E31AC2"/>
    <w:rsid w:val="00E31ACF"/>
    <w:rsid w:val="00E31FFF"/>
    <w:rsid w:val="00E32110"/>
    <w:rsid w:val="00E32295"/>
    <w:rsid w:val="00E322DA"/>
    <w:rsid w:val="00E32532"/>
    <w:rsid w:val="00E32563"/>
    <w:rsid w:val="00E3287E"/>
    <w:rsid w:val="00E32E06"/>
    <w:rsid w:val="00E32E57"/>
    <w:rsid w:val="00E32FBD"/>
    <w:rsid w:val="00E333C6"/>
    <w:rsid w:val="00E334B2"/>
    <w:rsid w:val="00E33679"/>
    <w:rsid w:val="00E33803"/>
    <w:rsid w:val="00E33815"/>
    <w:rsid w:val="00E33B9E"/>
    <w:rsid w:val="00E33E42"/>
    <w:rsid w:val="00E33F21"/>
    <w:rsid w:val="00E33FC4"/>
    <w:rsid w:val="00E3404B"/>
    <w:rsid w:val="00E343F4"/>
    <w:rsid w:val="00E3443B"/>
    <w:rsid w:val="00E34633"/>
    <w:rsid w:val="00E349E3"/>
    <w:rsid w:val="00E34B11"/>
    <w:rsid w:val="00E34BE7"/>
    <w:rsid w:val="00E34E82"/>
    <w:rsid w:val="00E34F1C"/>
    <w:rsid w:val="00E35265"/>
    <w:rsid w:val="00E35368"/>
    <w:rsid w:val="00E35696"/>
    <w:rsid w:val="00E356D2"/>
    <w:rsid w:val="00E356F8"/>
    <w:rsid w:val="00E35766"/>
    <w:rsid w:val="00E35841"/>
    <w:rsid w:val="00E358AF"/>
    <w:rsid w:val="00E359A2"/>
    <w:rsid w:val="00E35ABD"/>
    <w:rsid w:val="00E35B46"/>
    <w:rsid w:val="00E35F79"/>
    <w:rsid w:val="00E363B8"/>
    <w:rsid w:val="00E36794"/>
    <w:rsid w:val="00E36B3B"/>
    <w:rsid w:val="00E36C47"/>
    <w:rsid w:val="00E36E38"/>
    <w:rsid w:val="00E36ED7"/>
    <w:rsid w:val="00E3709D"/>
    <w:rsid w:val="00E37112"/>
    <w:rsid w:val="00E37265"/>
    <w:rsid w:val="00E3739A"/>
    <w:rsid w:val="00E37512"/>
    <w:rsid w:val="00E3772D"/>
    <w:rsid w:val="00E37992"/>
    <w:rsid w:val="00E37A3B"/>
    <w:rsid w:val="00E37D60"/>
    <w:rsid w:val="00E37DFF"/>
    <w:rsid w:val="00E40094"/>
    <w:rsid w:val="00E4019E"/>
    <w:rsid w:val="00E40497"/>
    <w:rsid w:val="00E40626"/>
    <w:rsid w:val="00E406CD"/>
    <w:rsid w:val="00E407FA"/>
    <w:rsid w:val="00E40987"/>
    <w:rsid w:val="00E409A0"/>
    <w:rsid w:val="00E40CDC"/>
    <w:rsid w:val="00E40D02"/>
    <w:rsid w:val="00E40FEB"/>
    <w:rsid w:val="00E41196"/>
    <w:rsid w:val="00E411D3"/>
    <w:rsid w:val="00E411E2"/>
    <w:rsid w:val="00E411F1"/>
    <w:rsid w:val="00E4124C"/>
    <w:rsid w:val="00E417D9"/>
    <w:rsid w:val="00E41990"/>
    <w:rsid w:val="00E41B8B"/>
    <w:rsid w:val="00E41D49"/>
    <w:rsid w:val="00E41F54"/>
    <w:rsid w:val="00E41FD3"/>
    <w:rsid w:val="00E421B4"/>
    <w:rsid w:val="00E424E0"/>
    <w:rsid w:val="00E4253F"/>
    <w:rsid w:val="00E42617"/>
    <w:rsid w:val="00E42BC6"/>
    <w:rsid w:val="00E42EBC"/>
    <w:rsid w:val="00E42F9E"/>
    <w:rsid w:val="00E430BB"/>
    <w:rsid w:val="00E43117"/>
    <w:rsid w:val="00E43166"/>
    <w:rsid w:val="00E4342B"/>
    <w:rsid w:val="00E4362A"/>
    <w:rsid w:val="00E43733"/>
    <w:rsid w:val="00E43E29"/>
    <w:rsid w:val="00E43E74"/>
    <w:rsid w:val="00E43F08"/>
    <w:rsid w:val="00E43FE3"/>
    <w:rsid w:val="00E44574"/>
    <w:rsid w:val="00E449EF"/>
    <w:rsid w:val="00E44B9A"/>
    <w:rsid w:val="00E44BF3"/>
    <w:rsid w:val="00E44CED"/>
    <w:rsid w:val="00E44DD2"/>
    <w:rsid w:val="00E44E70"/>
    <w:rsid w:val="00E44E73"/>
    <w:rsid w:val="00E44EC6"/>
    <w:rsid w:val="00E44F46"/>
    <w:rsid w:val="00E44FAD"/>
    <w:rsid w:val="00E45077"/>
    <w:rsid w:val="00E451EB"/>
    <w:rsid w:val="00E452D7"/>
    <w:rsid w:val="00E45436"/>
    <w:rsid w:val="00E45815"/>
    <w:rsid w:val="00E45892"/>
    <w:rsid w:val="00E459F3"/>
    <w:rsid w:val="00E45A41"/>
    <w:rsid w:val="00E45ABB"/>
    <w:rsid w:val="00E45B63"/>
    <w:rsid w:val="00E45E7C"/>
    <w:rsid w:val="00E45FE9"/>
    <w:rsid w:val="00E460B2"/>
    <w:rsid w:val="00E46162"/>
    <w:rsid w:val="00E463F8"/>
    <w:rsid w:val="00E46431"/>
    <w:rsid w:val="00E46672"/>
    <w:rsid w:val="00E467CF"/>
    <w:rsid w:val="00E469DE"/>
    <w:rsid w:val="00E46A46"/>
    <w:rsid w:val="00E46D1F"/>
    <w:rsid w:val="00E46E04"/>
    <w:rsid w:val="00E47196"/>
    <w:rsid w:val="00E472AD"/>
    <w:rsid w:val="00E473EE"/>
    <w:rsid w:val="00E473FB"/>
    <w:rsid w:val="00E477C3"/>
    <w:rsid w:val="00E47AE0"/>
    <w:rsid w:val="00E47B09"/>
    <w:rsid w:val="00E47CE4"/>
    <w:rsid w:val="00E47DC3"/>
    <w:rsid w:val="00E47E82"/>
    <w:rsid w:val="00E50262"/>
    <w:rsid w:val="00E50827"/>
    <w:rsid w:val="00E50AE0"/>
    <w:rsid w:val="00E50D46"/>
    <w:rsid w:val="00E50E38"/>
    <w:rsid w:val="00E50E7D"/>
    <w:rsid w:val="00E50EE7"/>
    <w:rsid w:val="00E51012"/>
    <w:rsid w:val="00E5108C"/>
    <w:rsid w:val="00E510E5"/>
    <w:rsid w:val="00E51777"/>
    <w:rsid w:val="00E517C8"/>
    <w:rsid w:val="00E5188A"/>
    <w:rsid w:val="00E5196A"/>
    <w:rsid w:val="00E51AB6"/>
    <w:rsid w:val="00E51B01"/>
    <w:rsid w:val="00E51D61"/>
    <w:rsid w:val="00E51DFC"/>
    <w:rsid w:val="00E51E50"/>
    <w:rsid w:val="00E51F1A"/>
    <w:rsid w:val="00E52088"/>
    <w:rsid w:val="00E521AB"/>
    <w:rsid w:val="00E52259"/>
    <w:rsid w:val="00E52307"/>
    <w:rsid w:val="00E52729"/>
    <w:rsid w:val="00E52772"/>
    <w:rsid w:val="00E52910"/>
    <w:rsid w:val="00E5297F"/>
    <w:rsid w:val="00E52BC8"/>
    <w:rsid w:val="00E52CC0"/>
    <w:rsid w:val="00E52D40"/>
    <w:rsid w:val="00E52F03"/>
    <w:rsid w:val="00E52F4C"/>
    <w:rsid w:val="00E53101"/>
    <w:rsid w:val="00E53126"/>
    <w:rsid w:val="00E5314C"/>
    <w:rsid w:val="00E53278"/>
    <w:rsid w:val="00E533D1"/>
    <w:rsid w:val="00E533E5"/>
    <w:rsid w:val="00E53677"/>
    <w:rsid w:val="00E537AE"/>
    <w:rsid w:val="00E539EF"/>
    <w:rsid w:val="00E53BB0"/>
    <w:rsid w:val="00E53E57"/>
    <w:rsid w:val="00E53F19"/>
    <w:rsid w:val="00E54064"/>
    <w:rsid w:val="00E54217"/>
    <w:rsid w:val="00E5421F"/>
    <w:rsid w:val="00E542B4"/>
    <w:rsid w:val="00E543AD"/>
    <w:rsid w:val="00E54860"/>
    <w:rsid w:val="00E549BF"/>
    <w:rsid w:val="00E549F2"/>
    <w:rsid w:val="00E54A72"/>
    <w:rsid w:val="00E54AD5"/>
    <w:rsid w:val="00E54EA0"/>
    <w:rsid w:val="00E55044"/>
    <w:rsid w:val="00E55454"/>
    <w:rsid w:val="00E554A3"/>
    <w:rsid w:val="00E554C9"/>
    <w:rsid w:val="00E55660"/>
    <w:rsid w:val="00E557B3"/>
    <w:rsid w:val="00E557D6"/>
    <w:rsid w:val="00E55882"/>
    <w:rsid w:val="00E55884"/>
    <w:rsid w:val="00E55C59"/>
    <w:rsid w:val="00E55D54"/>
    <w:rsid w:val="00E55DA3"/>
    <w:rsid w:val="00E55F8A"/>
    <w:rsid w:val="00E55FA0"/>
    <w:rsid w:val="00E5600C"/>
    <w:rsid w:val="00E56183"/>
    <w:rsid w:val="00E561B3"/>
    <w:rsid w:val="00E5623D"/>
    <w:rsid w:val="00E56320"/>
    <w:rsid w:val="00E5633D"/>
    <w:rsid w:val="00E5642A"/>
    <w:rsid w:val="00E565B9"/>
    <w:rsid w:val="00E56651"/>
    <w:rsid w:val="00E566A6"/>
    <w:rsid w:val="00E566BB"/>
    <w:rsid w:val="00E567E1"/>
    <w:rsid w:val="00E56A06"/>
    <w:rsid w:val="00E56F95"/>
    <w:rsid w:val="00E57000"/>
    <w:rsid w:val="00E57021"/>
    <w:rsid w:val="00E5708B"/>
    <w:rsid w:val="00E571F7"/>
    <w:rsid w:val="00E57383"/>
    <w:rsid w:val="00E57420"/>
    <w:rsid w:val="00E57589"/>
    <w:rsid w:val="00E577AA"/>
    <w:rsid w:val="00E57808"/>
    <w:rsid w:val="00E57AC6"/>
    <w:rsid w:val="00E57B6B"/>
    <w:rsid w:val="00E57DD2"/>
    <w:rsid w:val="00E57E8A"/>
    <w:rsid w:val="00E60299"/>
    <w:rsid w:val="00E602FF"/>
    <w:rsid w:val="00E603E6"/>
    <w:rsid w:val="00E603EA"/>
    <w:rsid w:val="00E60442"/>
    <w:rsid w:val="00E6053E"/>
    <w:rsid w:val="00E60630"/>
    <w:rsid w:val="00E607A5"/>
    <w:rsid w:val="00E60ABA"/>
    <w:rsid w:val="00E60B5C"/>
    <w:rsid w:val="00E60B91"/>
    <w:rsid w:val="00E6145A"/>
    <w:rsid w:val="00E615D5"/>
    <w:rsid w:val="00E61A3C"/>
    <w:rsid w:val="00E61ADC"/>
    <w:rsid w:val="00E61CE5"/>
    <w:rsid w:val="00E62487"/>
    <w:rsid w:val="00E626C0"/>
    <w:rsid w:val="00E62D75"/>
    <w:rsid w:val="00E62DD5"/>
    <w:rsid w:val="00E6302A"/>
    <w:rsid w:val="00E63102"/>
    <w:rsid w:val="00E63374"/>
    <w:rsid w:val="00E63513"/>
    <w:rsid w:val="00E6359B"/>
    <w:rsid w:val="00E63732"/>
    <w:rsid w:val="00E63746"/>
    <w:rsid w:val="00E63CB1"/>
    <w:rsid w:val="00E63CF4"/>
    <w:rsid w:val="00E63D94"/>
    <w:rsid w:val="00E63E80"/>
    <w:rsid w:val="00E64266"/>
    <w:rsid w:val="00E642B2"/>
    <w:rsid w:val="00E6442B"/>
    <w:rsid w:val="00E6456F"/>
    <w:rsid w:val="00E645D3"/>
    <w:rsid w:val="00E649C0"/>
    <w:rsid w:val="00E649E8"/>
    <w:rsid w:val="00E64E56"/>
    <w:rsid w:val="00E64EF4"/>
    <w:rsid w:val="00E64F16"/>
    <w:rsid w:val="00E65395"/>
    <w:rsid w:val="00E6558B"/>
    <w:rsid w:val="00E6562F"/>
    <w:rsid w:val="00E65C1B"/>
    <w:rsid w:val="00E65C44"/>
    <w:rsid w:val="00E65CC8"/>
    <w:rsid w:val="00E65E4A"/>
    <w:rsid w:val="00E65F2F"/>
    <w:rsid w:val="00E662E3"/>
    <w:rsid w:val="00E663C4"/>
    <w:rsid w:val="00E667DF"/>
    <w:rsid w:val="00E668F3"/>
    <w:rsid w:val="00E669AA"/>
    <w:rsid w:val="00E66A20"/>
    <w:rsid w:val="00E66DBA"/>
    <w:rsid w:val="00E67229"/>
    <w:rsid w:val="00E672C0"/>
    <w:rsid w:val="00E67356"/>
    <w:rsid w:val="00E67383"/>
    <w:rsid w:val="00E67552"/>
    <w:rsid w:val="00E67601"/>
    <w:rsid w:val="00E676B1"/>
    <w:rsid w:val="00E676B3"/>
    <w:rsid w:val="00E6778F"/>
    <w:rsid w:val="00E67A81"/>
    <w:rsid w:val="00E67A8D"/>
    <w:rsid w:val="00E67B0A"/>
    <w:rsid w:val="00E70316"/>
    <w:rsid w:val="00E70534"/>
    <w:rsid w:val="00E7073A"/>
    <w:rsid w:val="00E709F3"/>
    <w:rsid w:val="00E70B70"/>
    <w:rsid w:val="00E70C61"/>
    <w:rsid w:val="00E70D79"/>
    <w:rsid w:val="00E71013"/>
    <w:rsid w:val="00E71121"/>
    <w:rsid w:val="00E7138C"/>
    <w:rsid w:val="00E71578"/>
    <w:rsid w:val="00E71862"/>
    <w:rsid w:val="00E718AD"/>
    <w:rsid w:val="00E71A81"/>
    <w:rsid w:val="00E71B91"/>
    <w:rsid w:val="00E71D5D"/>
    <w:rsid w:val="00E71E9B"/>
    <w:rsid w:val="00E71F1A"/>
    <w:rsid w:val="00E7201C"/>
    <w:rsid w:val="00E7208D"/>
    <w:rsid w:val="00E72660"/>
    <w:rsid w:val="00E72911"/>
    <w:rsid w:val="00E7295C"/>
    <w:rsid w:val="00E729EB"/>
    <w:rsid w:val="00E72A4C"/>
    <w:rsid w:val="00E72C48"/>
    <w:rsid w:val="00E72D02"/>
    <w:rsid w:val="00E72D40"/>
    <w:rsid w:val="00E72EE9"/>
    <w:rsid w:val="00E72F6D"/>
    <w:rsid w:val="00E72F7A"/>
    <w:rsid w:val="00E72FDA"/>
    <w:rsid w:val="00E7328C"/>
    <w:rsid w:val="00E73370"/>
    <w:rsid w:val="00E73797"/>
    <w:rsid w:val="00E73AD5"/>
    <w:rsid w:val="00E73B35"/>
    <w:rsid w:val="00E73B88"/>
    <w:rsid w:val="00E73DA9"/>
    <w:rsid w:val="00E73F31"/>
    <w:rsid w:val="00E73F56"/>
    <w:rsid w:val="00E73FA1"/>
    <w:rsid w:val="00E741DB"/>
    <w:rsid w:val="00E74B07"/>
    <w:rsid w:val="00E74C86"/>
    <w:rsid w:val="00E750F9"/>
    <w:rsid w:val="00E751B2"/>
    <w:rsid w:val="00E751D7"/>
    <w:rsid w:val="00E753CA"/>
    <w:rsid w:val="00E75449"/>
    <w:rsid w:val="00E7547C"/>
    <w:rsid w:val="00E75569"/>
    <w:rsid w:val="00E75966"/>
    <w:rsid w:val="00E75975"/>
    <w:rsid w:val="00E75C97"/>
    <w:rsid w:val="00E75E40"/>
    <w:rsid w:val="00E75EF7"/>
    <w:rsid w:val="00E75F81"/>
    <w:rsid w:val="00E75FCE"/>
    <w:rsid w:val="00E76410"/>
    <w:rsid w:val="00E7644E"/>
    <w:rsid w:val="00E7656A"/>
    <w:rsid w:val="00E76AD1"/>
    <w:rsid w:val="00E76F19"/>
    <w:rsid w:val="00E77285"/>
    <w:rsid w:val="00E773E2"/>
    <w:rsid w:val="00E7768F"/>
    <w:rsid w:val="00E778BF"/>
    <w:rsid w:val="00E779F4"/>
    <w:rsid w:val="00E77B49"/>
    <w:rsid w:val="00E77EBD"/>
    <w:rsid w:val="00E77ECD"/>
    <w:rsid w:val="00E77F31"/>
    <w:rsid w:val="00E8013A"/>
    <w:rsid w:val="00E801FC"/>
    <w:rsid w:val="00E8038A"/>
    <w:rsid w:val="00E8074F"/>
    <w:rsid w:val="00E8087D"/>
    <w:rsid w:val="00E808E0"/>
    <w:rsid w:val="00E80981"/>
    <w:rsid w:val="00E809FB"/>
    <w:rsid w:val="00E80CC6"/>
    <w:rsid w:val="00E80F94"/>
    <w:rsid w:val="00E80FEC"/>
    <w:rsid w:val="00E81284"/>
    <w:rsid w:val="00E81395"/>
    <w:rsid w:val="00E8162A"/>
    <w:rsid w:val="00E816C6"/>
    <w:rsid w:val="00E81810"/>
    <w:rsid w:val="00E81A9F"/>
    <w:rsid w:val="00E81C35"/>
    <w:rsid w:val="00E81C46"/>
    <w:rsid w:val="00E81DCF"/>
    <w:rsid w:val="00E82021"/>
    <w:rsid w:val="00E82106"/>
    <w:rsid w:val="00E8226D"/>
    <w:rsid w:val="00E82305"/>
    <w:rsid w:val="00E823FE"/>
    <w:rsid w:val="00E824D2"/>
    <w:rsid w:val="00E8267B"/>
    <w:rsid w:val="00E826F0"/>
    <w:rsid w:val="00E827B1"/>
    <w:rsid w:val="00E82891"/>
    <w:rsid w:val="00E829C8"/>
    <w:rsid w:val="00E82AB3"/>
    <w:rsid w:val="00E82F98"/>
    <w:rsid w:val="00E83065"/>
    <w:rsid w:val="00E8321F"/>
    <w:rsid w:val="00E832D6"/>
    <w:rsid w:val="00E8357C"/>
    <w:rsid w:val="00E835AD"/>
    <w:rsid w:val="00E83627"/>
    <w:rsid w:val="00E83719"/>
    <w:rsid w:val="00E838ED"/>
    <w:rsid w:val="00E839B8"/>
    <w:rsid w:val="00E83CE3"/>
    <w:rsid w:val="00E83D9E"/>
    <w:rsid w:val="00E83EB3"/>
    <w:rsid w:val="00E84389"/>
    <w:rsid w:val="00E8441D"/>
    <w:rsid w:val="00E845D1"/>
    <w:rsid w:val="00E845E1"/>
    <w:rsid w:val="00E84675"/>
    <w:rsid w:val="00E8468E"/>
    <w:rsid w:val="00E846C3"/>
    <w:rsid w:val="00E848A4"/>
    <w:rsid w:val="00E849BE"/>
    <w:rsid w:val="00E84AB6"/>
    <w:rsid w:val="00E84AF6"/>
    <w:rsid w:val="00E84CC3"/>
    <w:rsid w:val="00E84E0A"/>
    <w:rsid w:val="00E84F6B"/>
    <w:rsid w:val="00E85435"/>
    <w:rsid w:val="00E854A0"/>
    <w:rsid w:val="00E855A7"/>
    <w:rsid w:val="00E8588B"/>
    <w:rsid w:val="00E858DA"/>
    <w:rsid w:val="00E858FA"/>
    <w:rsid w:val="00E85A1F"/>
    <w:rsid w:val="00E85CA2"/>
    <w:rsid w:val="00E85DA2"/>
    <w:rsid w:val="00E86C53"/>
    <w:rsid w:val="00E86E24"/>
    <w:rsid w:val="00E87041"/>
    <w:rsid w:val="00E87550"/>
    <w:rsid w:val="00E87604"/>
    <w:rsid w:val="00E87731"/>
    <w:rsid w:val="00E8776F"/>
    <w:rsid w:val="00E87860"/>
    <w:rsid w:val="00E87A4B"/>
    <w:rsid w:val="00E87BA4"/>
    <w:rsid w:val="00E87BBF"/>
    <w:rsid w:val="00E87D5D"/>
    <w:rsid w:val="00E87EA6"/>
    <w:rsid w:val="00E90173"/>
    <w:rsid w:val="00E901BF"/>
    <w:rsid w:val="00E90797"/>
    <w:rsid w:val="00E90A39"/>
    <w:rsid w:val="00E90AFC"/>
    <w:rsid w:val="00E90B08"/>
    <w:rsid w:val="00E90B37"/>
    <w:rsid w:val="00E90C00"/>
    <w:rsid w:val="00E90E0B"/>
    <w:rsid w:val="00E90E74"/>
    <w:rsid w:val="00E90E7A"/>
    <w:rsid w:val="00E911B1"/>
    <w:rsid w:val="00E911ED"/>
    <w:rsid w:val="00E91347"/>
    <w:rsid w:val="00E91380"/>
    <w:rsid w:val="00E9149D"/>
    <w:rsid w:val="00E916E1"/>
    <w:rsid w:val="00E916EA"/>
    <w:rsid w:val="00E918A8"/>
    <w:rsid w:val="00E91AC0"/>
    <w:rsid w:val="00E91AF3"/>
    <w:rsid w:val="00E91C1E"/>
    <w:rsid w:val="00E91F33"/>
    <w:rsid w:val="00E9205F"/>
    <w:rsid w:val="00E9217D"/>
    <w:rsid w:val="00E92216"/>
    <w:rsid w:val="00E9239F"/>
    <w:rsid w:val="00E923AF"/>
    <w:rsid w:val="00E92618"/>
    <w:rsid w:val="00E927B1"/>
    <w:rsid w:val="00E92879"/>
    <w:rsid w:val="00E92894"/>
    <w:rsid w:val="00E92936"/>
    <w:rsid w:val="00E929AD"/>
    <w:rsid w:val="00E92A5F"/>
    <w:rsid w:val="00E92B0C"/>
    <w:rsid w:val="00E92BB6"/>
    <w:rsid w:val="00E930C0"/>
    <w:rsid w:val="00E9315B"/>
    <w:rsid w:val="00E93204"/>
    <w:rsid w:val="00E932A0"/>
    <w:rsid w:val="00E9334A"/>
    <w:rsid w:val="00E93364"/>
    <w:rsid w:val="00E93460"/>
    <w:rsid w:val="00E93488"/>
    <w:rsid w:val="00E9358E"/>
    <w:rsid w:val="00E9361C"/>
    <w:rsid w:val="00E93B0A"/>
    <w:rsid w:val="00E93C35"/>
    <w:rsid w:val="00E93CC3"/>
    <w:rsid w:val="00E93E49"/>
    <w:rsid w:val="00E941AA"/>
    <w:rsid w:val="00E945A3"/>
    <w:rsid w:val="00E947AA"/>
    <w:rsid w:val="00E94966"/>
    <w:rsid w:val="00E94A4D"/>
    <w:rsid w:val="00E94A5A"/>
    <w:rsid w:val="00E94B87"/>
    <w:rsid w:val="00E94C86"/>
    <w:rsid w:val="00E94E6E"/>
    <w:rsid w:val="00E94FB4"/>
    <w:rsid w:val="00E950C8"/>
    <w:rsid w:val="00E953D8"/>
    <w:rsid w:val="00E953FC"/>
    <w:rsid w:val="00E95672"/>
    <w:rsid w:val="00E956D9"/>
    <w:rsid w:val="00E9593F"/>
    <w:rsid w:val="00E9598D"/>
    <w:rsid w:val="00E95A84"/>
    <w:rsid w:val="00E95B24"/>
    <w:rsid w:val="00E95CE2"/>
    <w:rsid w:val="00E962C9"/>
    <w:rsid w:val="00E963A5"/>
    <w:rsid w:val="00E96401"/>
    <w:rsid w:val="00E965C4"/>
    <w:rsid w:val="00E96727"/>
    <w:rsid w:val="00E969FA"/>
    <w:rsid w:val="00E96E68"/>
    <w:rsid w:val="00E971A3"/>
    <w:rsid w:val="00E97798"/>
    <w:rsid w:val="00E97BB0"/>
    <w:rsid w:val="00E97C68"/>
    <w:rsid w:val="00E97CDC"/>
    <w:rsid w:val="00E97F5B"/>
    <w:rsid w:val="00EA0153"/>
    <w:rsid w:val="00EA0533"/>
    <w:rsid w:val="00EA0585"/>
    <w:rsid w:val="00EA07D4"/>
    <w:rsid w:val="00EA0A2D"/>
    <w:rsid w:val="00EA0ACC"/>
    <w:rsid w:val="00EA0B2D"/>
    <w:rsid w:val="00EA0B7F"/>
    <w:rsid w:val="00EA0C34"/>
    <w:rsid w:val="00EA0DD0"/>
    <w:rsid w:val="00EA0E05"/>
    <w:rsid w:val="00EA0E2D"/>
    <w:rsid w:val="00EA0FE2"/>
    <w:rsid w:val="00EA109A"/>
    <w:rsid w:val="00EA1606"/>
    <w:rsid w:val="00EA1682"/>
    <w:rsid w:val="00EA1799"/>
    <w:rsid w:val="00EA1EE9"/>
    <w:rsid w:val="00EA2042"/>
    <w:rsid w:val="00EA21C0"/>
    <w:rsid w:val="00EA2264"/>
    <w:rsid w:val="00EA23DB"/>
    <w:rsid w:val="00EA23F0"/>
    <w:rsid w:val="00EA2550"/>
    <w:rsid w:val="00EA25BF"/>
    <w:rsid w:val="00EA274F"/>
    <w:rsid w:val="00EA29FE"/>
    <w:rsid w:val="00EA2A51"/>
    <w:rsid w:val="00EA2AF8"/>
    <w:rsid w:val="00EA2B93"/>
    <w:rsid w:val="00EA2FEB"/>
    <w:rsid w:val="00EA3081"/>
    <w:rsid w:val="00EA349C"/>
    <w:rsid w:val="00EA34AA"/>
    <w:rsid w:val="00EA34BE"/>
    <w:rsid w:val="00EA35D1"/>
    <w:rsid w:val="00EA3917"/>
    <w:rsid w:val="00EA3992"/>
    <w:rsid w:val="00EA39BF"/>
    <w:rsid w:val="00EA3B99"/>
    <w:rsid w:val="00EA3D22"/>
    <w:rsid w:val="00EA3F02"/>
    <w:rsid w:val="00EA3F07"/>
    <w:rsid w:val="00EA3F83"/>
    <w:rsid w:val="00EA4037"/>
    <w:rsid w:val="00EA407F"/>
    <w:rsid w:val="00EA42F9"/>
    <w:rsid w:val="00EA4585"/>
    <w:rsid w:val="00EA475C"/>
    <w:rsid w:val="00EA47F9"/>
    <w:rsid w:val="00EA4895"/>
    <w:rsid w:val="00EA4964"/>
    <w:rsid w:val="00EA49BC"/>
    <w:rsid w:val="00EA4A31"/>
    <w:rsid w:val="00EA4A60"/>
    <w:rsid w:val="00EA4B2F"/>
    <w:rsid w:val="00EA4B49"/>
    <w:rsid w:val="00EA4C69"/>
    <w:rsid w:val="00EA4D87"/>
    <w:rsid w:val="00EA4EDC"/>
    <w:rsid w:val="00EA5034"/>
    <w:rsid w:val="00EA5243"/>
    <w:rsid w:val="00EA5480"/>
    <w:rsid w:val="00EA5A15"/>
    <w:rsid w:val="00EA5B1F"/>
    <w:rsid w:val="00EA5E69"/>
    <w:rsid w:val="00EA5E9D"/>
    <w:rsid w:val="00EA64C0"/>
    <w:rsid w:val="00EA66C5"/>
    <w:rsid w:val="00EA6922"/>
    <w:rsid w:val="00EA692A"/>
    <w:rsid w:val="00EA6AE9"/>
    <w:rsid w:val="00EA6E9C"/>
    <w:rsid w:val="00EA6EEA"/>
    <w:rsid w:val="00EA6F4E"/>
    <w:rsid w:val="00EA70B9"/>
    <w:rsid w:val="00EA7152"/>
    <w:rsid w:val="00EA7436"/>
    <w:rsid w:val="00EA75A4"/>
    <w:rsid w:val="00EA77F7"/>
    <w:rsid w:val="00EA7AEE"/>
    <w:rsid w:val="00EA7B64"/>
    <w:rsid w:val="00EA7B6B"/>
    <w:rsid w:val="00EA7F94"/>
    <w:rsid w:val="00EB01D7"/>
    <w:rsid w:val="00EB04AA"/>
    <w:rsid w:val="00EB0619"/>
    <w:rsid w:val="00EB0678"/>
    <w:rsid w:val="00EB0736"/>
    <w:rsid w:val="00EB0D3A"/>
    <w:rsid w:val="00EB0F72"/>
    <w:rsid w:val="00EB1013"/>
    <w:rsid w:val="00EB1016"/>
    <w:rsid w:val="00EB102D"/>
    <w:rsid w:val="00EB10BF"/>
    <w:rsid w:val="00EB141B"/>
    <w:rsid w:val="00EB1610"/>
    <w:rsid w:val="00EB19E1"/>
    <w:rsid w:val="00EB1A63"/>
    <w:rsid w:val="00EB1A96"/>
    <w:rsid w:val="00EB1CE0"/>
    <w:rsid w:val="00EB1F6B"/>
    <w:rsid w:val="00EB1F90"/>
    <w:rsid w:val="00EB21B5"/>
    <w:rsid w:val="00EB21EE"/>
    <w:rsid w:val="00EB2249"/>
    <w:rsid w:val="00EB23AC"/>
    <w:rsid w:val="00EB2437"/>
    <w:rsid w:val="00EB25F8"/>
    <w:rsid w:val="00EB287D"/>
    <w:rsid w:val="00EB290E"/>
    <w:rsid w:val="00EB2A00"/>
    <w:rsid w:val="00EB2B3C"/>
    <w:rsid w:val="00EB2C84"/>
    <w:rsid w:val="00EB2D50"/>
    <w:rsid w:val="00EB2FA1"/>
    <w:rsid w:val="00EB3180"/>
    <w:rsid w:val="00EB3197"/>
    <w:rsid w:val="00EB3372"/>
    <w:rsid w:val="00EB346D"/>
    <w:rsid w:val="00EB34B1"/>
    <w:rsid w:val="00EB35AE"/>
    <w:rsid w:val="00EB3989"/>
    <w:rsid w:val="00EB3A40"/>
    <w:rsid w:val="00EB3B8C"/>
    <w:rsid w:val="00EB3BA4"/>
    <w:rsid w:val="00EB3DFB"/>
    <w:rsid w:val="00EB3FB8"/>
    <w:rsid w:val="00EB3FDE"/>
    <w:rsid w:val="00EB409F"/>
    <w:rsid w:val="00EB4285"/>
    <w:rsid w:val="00EB445F"/>
    <w:rsid w:val="00EB4595"/>
    <w:rsid w:val="00EB470A"/>
    <w:rsid w:val="00EB47C7"/>
    <w:rsid w:val="00EB47ED"/>
    <w:rsid w:val="00EB49D7"/>
    <w:rsid w:val="00EB4A12"/>
    <w:rsid w:val="00EB4C79"/>
    <w:rsid w:val="00EB4F42"/>
    <w:rsid w:val="00EB54E2"/>
    <w:rsid w:val="00EB55D3"/>
    <w:rsid w:val="00EB570E"/>
    <w:rsid w:val="00EB5786"/>
    <w:rsid w:val="00EB57E0"/>
    <w:rsid w:val="00EB5B0E"/>
    <w:rsid w:val="00EB5B75"/>
    <w:rsid w:val="00EB5C89"/>
    <w:rsid w:val="00EB5E06"/>
    <w:rsid w:val="00EB5F27"/>
    <w:rsid w:val="00EB60FC"/>
    <w:rsid w:val="00EB6115"/>
    <w:rsid w:val="00EB6122"/>
    <w:rsid w:val="00EB63F0"/>
    <w:rsid w:val="00EB64DE"/>
    <w:rsid w:val="00EB6508"/>
    <w:rsid w:val="00EB65E8"/>
    <w:rsid w:val="00EB6673"/>
    <w:rsid w:val="00EB67F3"/>
    <w:rsid w:val="00EB680F"/>
    <w:rsid w:val="00EB6C63"/>
    <w:rsid w:val="00EB6F16"/>
    <w:rsid w:val="00EB6FA6"/>
    <w:rsid w:val="00EB6FEB"/>
    <w:rsid w:val="00EB7120"/>
    <w:rsid w:val="00EB729F"/>
    <w:rsid w:val="00EB74EE"/>
    <w:rsid w:val="00EB75A7"/>
    <w:rsid w:val="00EB7718"/>
    <w:rsid w:val="00EB79DE"/>
    <w:rsid w:val="00EB7ED8"/>
    <w:rsid w:val="00EB7FD2"/>
    <w:rsid w:val="00EC0021"/>
    <w:rsid w:val="00EC0029"/>
    <w:rsid w:val="00EC0057"/>
    <w:rsid w:val="00EC0084"/>
    <w:rsid w:val="00EC00D1"/>
    <w:rsid w:val="00EC0114"/>
    <w:rsid w:val="00EC0765"/>
    <w:rsid w:val="00EC09B1"/>
    <w:rsid w:val="00EC0AC0"/>
    <w:rsid w:val="00EC0D1B"/>
    <w:rsid w:val="00EC0DAC"/>
    <w:rsid w:val="00EC105A"/>
    <w:rsid w:val="00EC10CF"/>
    <w:rsid w:val="00EC13D8"/>
    <w:rsid w:val="00EC16D2"/>
    <w:rsid w:val="00EC182A"/>
    <w:rsid w:val="00EC1860"/>
    <w:rsid w:val="00EC1972"/>
    <w:rsid w:val="00EC1973"/>
    <w:rsid w:val="00EC19D0"/>
    <w:rsid w:val="00EC1B87"/>
    <w:rsid w:val="00EC1C0C"/>
    <w:rsid w:val="00EC1C9E"/>
    <w:rsid w:val="00EC1D7A"/>
    <w:rsid w:val="00EC1DAE"/>
    <w:rsid w:val="00EC1F1A"/>
    <w:rsid w:val="00EC1F35"/>
    <w:rsid w:val="00EC235D"/>
    <w:rsid w:val="00EC237D"/>
    <w:rsid w:val="00EC244D"/>
    <w:rsid w:val="00EC24FF"/>
    <w:rsid w:val="00EC2591"/>
    <w:rsid w:val="00EC25C6"/>
    <w:rsid w:val="00EC26F6"/>
    <w:rsid w:val="00EC2AED"/>
    <w:rsid w:val="00EC2D45"/>
    <w:rsid w:val="00EC3072"/>
    <w:rsid w:val="00EC324B"/>
    <w:rsid w:val="00EC32C0"/>
    <w:rsid w:val="00EC33A7"/>
    <w:rsid w:val="00EC3731"/>
    <w:rsid w:val="00EC3979"/>
    <w:rsid w:val="00EC3A20"/>
    <w:rsid w:val="00EC3B25"/>
    <w:rsid w:val="00EC3B55"/>
    <w:rsid w:val="00EC3E22"/>
    <w:rsid w:val="00EC3F95"/>
    <w:rsid w:val="00EC40E7"/>
    <w:rsid w:val="00EC42EA"/>
    <w:rsid w:val="00EC4B04"/>
    <w:rsid w:val="00EC4B6D"/>
    <w:rsid w:val="00EC4BB1"/>
    <w:rsid w:val="00EC4D08"/>
    <w:rsid w:val="00EC4D76"/>
    <w:rsid w:val="00EC4F0B"/>
    <w:rsid w:val="00EC51D8"/>
    <w:rsid w:val="00EC522B"/>
    <w:rsid w:val="00EC536E"/>
    <w:rsid w:val="00EC53D3"/>
    <w:rsid w:val="00EC543A"/>
    <w:rsid w:val="00EC547A"/>
    <w:rsid w:val="00EC54B9"/>
    <w:rsid w:val="00EC5619"/>
    <w:rsid w:val="00EC5626"/>
    <w:rsid w:val="00EC5A3A"/>
    <w:rsid w:val="00EC5B57"/>
    <w:rsid w:val="00EC5B8F"/>
    <w:rsid w:val="00EC5C5E"/>
    <w:rsid w:val="00EC5C77"/>
    <w:rsid w:val="00EC5EEA"/>
    <w:rsid w:val="00EC60A2"/>
    <w:rsid w:val="00EC60FB"/>
    <w:rsid w:val="00EC65F2"/>
    <w:rsid w:val="00EC66E2"/>
    <w:rsid w:val="00EC6785"/>
    <w:rsid w:val="00EC6B29"/>
    <w:rsid w:val="00EC6B38"/>
    <w:rsid w:val="00EC6BD5"/>
    <w:rsid w:val="00EC701F"/>
    <w:rsid w:val="00EC70F6"/>
    <w:rsid w:val="00EC715A"/>
    <w:rsid w:val="00EC71C2"/>
    <w:rsid w:val="00EC7225"/>
    <w:rsid w:val="00EC7312"/>
    <w:rsid w:val="00EC73E0"/>
    <w:rsid w:val="00EC7669"/>
    <w:rsid w:val="00EC76C3"/>
    <w:rsid w:val="00EC785D"/>
    <w:rsid w:val="00EC7889"/>
    <w:rsid w:val="00EC7891"/>
    <w:rsid w:val="00EC78B5"/>
    <w:rsid w:val="00EC78C7"/>
    <w:rsid w:val="00EC7B37"/>
    <w:rsid w:val="00EC7B77"/>
    <w:rsid w:val="00EC7BB9"/>
    <w:rsid w:val="00EC7D43"/>
    <w:rsid w:val="00EC7FD0"/>
    <w:rsid w:val="00ED038A"/>
    <w:rsid w:val="00ED03B6"/>
    <w:rsid w:val="00ED05DF"/>
    <w:rsid w:val="00ED065F"/>
    <w:rsid w:val="00ED06AF"/>
    <w:rsid w:val="00ED08A0"/>
    <w:rsid w:val="00ED0BD7"/>
    <w:rsid w:val="00ED0DDF"/>
    <w:rsid w:val="00ED0DF9"/>
    <w:rsid w:val="00ED0F67"/>
    <w:rsid w:val="00ED1012"/>
    <w:rsid w:val="00ED11E1"/>
    <w:rsid w:val="00ED13E3"/>
    <w:rsid w:val="00ED140E"/>
    <w:rsid w:val="00ED14F7"/>
    <w:rsid w:val="00ED1537"/>
    <w:rsid w:val="00ED1906"/>
    <w:rsid w:val="00ED1945"/>
    <w:rsid w:val="00ED19B0"/>
    <w:rsid w:val="00ED1AB8"/>
    <w:rsid w:val="00ED1EC3"/>
    <w:rsid w:val="00ED20DF"/>
    <w:rsid w:val="00ED23B9"/>
    <w:rsid w:val="00ED28ED"/>
    <w:rsid w:val="00ED29AF"/>
    <w:rsid w:val="00ED29D9"/>
    <w:rsid w:val="00ED2A18"/>
    <w:rsid w:val="00ED2CA3"/>
    <w:rsid w:val="00ED2DA1"/>
    <w:rsid w:val="00ED2DF1"/>
    <w:rsid w:val="00ED2EBD"/>
    <w:rsid w:val="00ED2FA4"/>
    <w:rsid w:val="00ED2FC0"/>
    <w:rsid w:val="00ED32CB"/>
    <w:rsid w:val="00ED37EF"/>
    <w:rsid w:val="00ED3847"/>
    <w:rsid w:val="00ED3C3F"/>
    <w:rsid w:val="00ED3E4A"/>
    <w:rsid w:val="00ED3E54"/>
    <w:rsid w:val="00ED3E75"/>
    <w:rsid w:val="00ED3EE4"/>
    <w:rsid w:val="00ED3EFE"/>
    <w:rsid w:val="00ED3FDC"/>
    <w:rsid w:val="00ED40E8"/>
    <w:rsid w:val="00ED47B7"/>
    <w:rsid w:val="00ED48B7"/>
    <w:rsid w:val="00ED4A30"/>
    <w:rsid w:val="00ED4BA5"/>
    <w:rsid w:val="00ED4CFC"/>
    <w:rsid w:val="00ED4F85"/>
    <w:rsid w:val="00ED56B7"/>
    <w:rsid w:val="00ED5786"/>
    <w:rsid w:val="00ED59BF"/>
    <w:rsid w:val="00ED5A61"/>
    <w:rsid w:val="00ED5E68"/>
    <w:rsid w:val="00ED5ED8"/>
    <w:rsid w:val="00ED5EE0"/>
    <w:rsid w:val="00ED5FA7"/>
    <w:rsid w:val="00ED60A3"/>
    <w:rsid w:val="00ED60BD"/>
    <w:rsid w:val="00ED62B0"/>
    <w:rsid w:val="00ED6354"/>
    <w:rsid w:val="00ED63B7"/>
    <w:rsid w:val="00ED66A2"/>
    <w:rsid w:val="00ED67EE"/>
    <w:rsid w:val="00ED68B3"/>
    <w:rsid w:val="00ED6946"/>
    <w:rsid w:val="00ED6964"/>
    <w:rsid w:val="00ED6A13"/>
    <w:rsid w:val="00ED6CC4"/>
    <w:rsid w:val="00ED6EB6"/>
    <w:rsid w:val="00ED6FCA"/>
    <w:rsid w:val="00ED7260"/>
    <w:rsid w:val="00ED74FD"/>
    <w:rsid w:val="00ED7598"/>
    <w:rsid w:val="00ED765D"/>
    <w:rsid w:val="00ED7DDB"/>
    <w:rsid w:val="00EE00E8"/>
    <w:rsid w:val="00EE0178"/>
    <w:rsid w:val="00EE02C5"/>
    <w:rsid w:val="00EE0380"/>
    <w:rsid w:val="00EE0A8F"/>
    <w:rsid w:val="00EE0AB5"/>
    <w:rsid w:val="00EE0B10"/>
    <w:rsid w:val="00EE0C16"/>
    <w:rsid w:val="00EE0D03"/>
    <w:rsid w:val="00EE0D88"/>
    <w:rsid w:val="00EE0DF8"/>
    <w:rsid w:val="00EE0FE0"/>
    <w:rsid w:val="00EE15EA"/>
    <w:rsid w:val="00EE17C2"/>
    <w:rsid w:val="00EE1918"/>
    <w:rsid w:val="00EE1971"/>
    <w:rsid w:val="00EE1A9B"/>
    <w:rsid w:val="00EE1C29"/>
    <w:rsid w:val="00EE1DA5"/>
    <w:rsid w:val="00EE21D0"/>
    <w:rsid w:val="00EE21FE"/>
    <w:rsid w:val="00EE2363"/>
    <w:rsid w:val="00EE237D"/>
    <w:rsid w:val="00EE2F40"/>
    <w:rsid w:val="00EE31C7"/>
    <w:rsid w:val="00EE31F9"/>
    <w:rsid w:val="00EE320D"/>
    <w:rsid w:val="00EE3292"/>
    <w:rsid w:val="00EE3520"/>
    <w:rsid w:val="00EE35D5"/>
    <w:rsid w:val="00EE382A"/>
    <w:rsid w:val="00EE38ED"/>
    <w:rsid w:val="00EE38F5"/>
    <w:rsid w:val="00EE39E8"/>
    <w:rsid w:val="00EE3C66"/>
    <w:rsid w:val="00EE3E33"/>
    <w:rsid w:val="00EE3E7E"/>
    <w:rsid w:val="00EE4015"/>
    <w:rsid w:val="00EE4046"/>
    <w:rsid w:val="00EE44E8"/>
    <w:rsid w:val="00EE461B"/>
    <w:rsid w:val="00EE46C8"/>
    <w:rsid w:val="00EE46FC"/>
    <w:rsid w:val="00EE47F8"/>
    <w:rsid w:val="00EE4889"/>
    <w:rsid w:val="00EE492C"/>
    <w:rsid w:val="00EE4C63"/>
    <w:rsid w:val="00EE4CF2"/>
    <w:rsid w:val="00EE4FAC"/>
    <w:rsid w:val="00EE4FAE"/>
    <w:rsid w:val="00EE5001"/>
    <w:rsid w:val="00EE5109"/>
    <w:rsid w:val="00EE532E"/>
    <w:rsid w:val="00EE53B9"/>
    <w:rsid w:val="00EE5586"/>
    <w:rsid w:val="00EE558C"/>
    <w:rsid w:val="00EE55CF"/>
    <w:rsid w:val="00EE55F0"/>
    <w:rsid w:val="00EE589F"/>
    <w:rsid w:val="00EE58C3"/>
    <w:rsid w:val="00EE5F2B"/>
    <w:rsid w:val="00EE5F92"/>
    <w:rsid w:val="00EE60DF"/>
    <w:rsid w:val="00EE6158"/>
    <w:rsid w:val="00EE615A"/>
    <w:rsid w:val="00EE6611"/>
    <w:rsid w:val="00EE663B"/>
    <w:rsid w:val="00EE6B58"/>
    <w:rsid w:val="00EE6B62"/>
    <w:rsid w:val="00EE6E43"/>
    <w:rsid w:val="00EE6ED7"/>
    <w:rsid w:val="00EE6FC5"/>
    <w:rsid w:val="00EE7177"/>
    <w:rsid w:val="00EE71D8"/>
    <w:rsid w:val="00EE7314"/>
    <w:rsid w:val="00EE748B"/>
    <w:rsid w:val="00EE74E0"/>
    <w:rsid w:val="00EE7658"/>
    <w:rsid w:val="00EE776C"/>
    <w:rsid w:val="00EE7873"/>
    <w:rsid w:val="00EE78BF"/>
    <w:rsid w:val="00EE7A06"/>
    <w:rsid w:val="00EE7EC6"/>
    <w:rsid w:val="00EE7F29"/>
    <w:rsid w:val="00EE7F75"/>
    <w:rsid w:val="00EF00DD"/>
    <w:rsid w:val="00EF030D"/>
    <w:rsid w:val="00EF0475"/>
    <w:rsid w:val="00EF0550"/>
    <w:rsid w:val="00EF0869"/>
    <w:rsid w:val="00EF0986"/>
    <w:rsid w:val="00EF0E4D"/>
    <w:rsid w:val="00EF0E6E"/>
    <w:rsid w:val="00EF0F40"/>
    <w:rsid w:val="00EF0FC6"/>
    <w:rsid w:val="00EF10C8"/>
    <w:rsid w:val="00EF1122"/>
    <w:rsid w:val="00EF14C8"/>
    <w:rsid w:val="00EF14E5"/>
    <w:rsid w:val="00EF155D"/>
    <w:rsid w:val="00EF18B2"/>
    <w:rsid w:val="00EF1978"/>
    <w:rsid w:val="00EF1B09"/>
    <w:rsid w:val="00EF1BB6"/>
    <w:rsid w:val="00EF1CB9"/>
    <w:rsid w:val="00EF1E09"/>
    <w:rsid w:val="00EF1F6D"/>
    <w:rsid w:val="00EF20EE"/>
    <w:rsid w:val="00EF2532"/>
    <w:rsid w:val="00EF2851"/>
    <w:rsid w:val="00EF299E"/>
    <w:rsid w:val="00EF2A3B"/>
    <w:rsid w:val="00EF2ACF"/>
    <w:rsid w:val="00EF2B54"/>
    <w:rsid w:val="00EF3129"/>
    <w:rsid w:val="00EF35A8"/>
    <w:rsid w:val="00EF35E7"/>
    <w:rsid w:val="00EF392F"/>
    <w:rsid w:val="00EF39DC"/>
    <w:rsid w:val="00EF3CC9"/>
    <w:rsid w:val="00EF3D47"/>
    <w:rsid w:val="00EF3EED"/>
    <w:rsid w:val="00EF40DD"/>
    <w:rsid w:val="00EF415F"/>
    <w:rsid w:val="00EF4855"/>
    <w:rsid w:val="00EF4927"/>
    <w:rsid w:val="00EF4A48"/>
    <w:rsid w:val="00EF4A7A"/>
    <w:rsid w:val="00EF4C56"/>
    <w:rsid w:val="00EF4FC6"/>
    <w:rsid w:val="00EF5032"/>
    <w:rsid w:val="00EF516B"/>
    <w:rsid w:val="00EF52C4"/>
    <w:rsid w:val="00EF5426"/>
    <w:rsid w:val="00EF553B"/>
    <w:rsid w:val="00EF5694"/>
    <w:rsid w:val="00EF586C"/>
    <w:rsid w:val="00EF597E"/>
    <w:rsid w:val="00EF5BEA"/>
    <w:rsid w:val="00EF5C37"/>
    <w:rsid w:val="00EF5D83"/>
    <w:rsid w:val="00EF6156"/>
    <w:rsid w:val="00EF6250"/>
    <w:rsid w:val="00EF6498"/>
    <w:rsid w:val="00EF64C3"/>
    <w:rsid w:val="00EF664E"/>
    <w:rsid w:val="00EF68D4"/>
    <w:rsid w:val="00EF6968"/>
    <w:rsid w:val="00EF7072"/>
    <w:rsid w:val="00EF717E"/>
    <w:rsid w:val="00EF722C"/>
    <w:rsid w:val="00EF746B"/>
    <w:rsid w:val="00EF753D"/>
    <w:rsid w:val="00EF75E8"/>
    <w:rsid w:val="00EF78EE"/>
    <w:rsid w:val="00EF79D1"/>
    <w:rsid w:val="00EF7A38"/>
    <w:rsid w:val="00EF7B37"/>
    <w:rsid w:val="00EF7B89"/>
    <w:rsid w:val="00EF7C1C"/>
    <w:rsid w:val="00EF7C3D"/>
    <w:rsid w:val="00EF7C94"/>
    <w:rsid w:val="00EF7D4E"/>
    <w:rsid w:val="00EF7DA8"/>
    <w:rsid w:val="00EF7EA6"/>
    <w:rsid w:val="00F0023A"/>
    <w:rsid w:val="00F00334"/>
    <w:rsid w:val="00F003B1"/>
    <w:rsid w:val="00F00476"/>
    <w:rsid w:val="00F005C6"/>
    <w:rsid w:val="00F00AD4"/>
    <w:rsid w:val="00F00B8D"/>
    <w:rsid w:val="00F00CBE"/>
    <w:rsid w:val="00F00E53"/>
    <w:rsid w:val="00F0105B"/>
    <w:rsid w:val="00F0107F"/>
    <w:rsid w:val="00F01103"/>
    <w:rsid w:val="00F0118A"/>
    <w:rsid w:val="00F011C5"/>
    <w:rsid w:val="00F01241"/>
    <w:rsid w:val="00F01339"/>
    <w:rsid w:val="00F0140B"/>
    <w:rsid w:val="00F01471"/>
    <w:rsid w:val="00F01485"/>
    <w:rsid w:val="00F015EA"/>
    <w:rsid w:val="00F0160A"/>
    <w:rsid w:val="00F01886"/>
    <w:rsid w:val="00F01AF6"/>
    <w:rsid w:val="00F01B39"/>
    <w:rsid w:val="00F01C09"/>
    <w:rsid w:val="00F01C0F"/>
    <w:rsid w:val="00F01C20"/>
    <w:rsid w:val="00F01D75"/>
    <w:rsid w:val="00F028D0"/>
    <w:rsid w:val="00F02912"/>
    <w:rsid w:val="00F02EA7"/>
    <w:rsid w:val="00F02FA0"/>
    <w:rsid w:val="00F0308B"/>
    <w:rsid w:val="00F03388"/>
    <w:rsid w:val="00F0345B"/>
    <w:rsid w:val="00F03679"/>
    <w:rsid w:val="00F0397E"/>
    <w:rsid w:val="00F03A9D"/>
    <w:rsid w:val="00F03F0B"/>
    <w:rsid w:val="00F0440B"/>
    <w:rsid w:val="00F0455F"/>
    <w:rsid w:val="00F0464E"/>
    <w:rsid w:val="00F04708"/>
    <w:rsid w:val="00F047BC"/>
    <w:rsid w:val="00F04803"/>
    <w:rsid w:val="00F048E1"/>
    <w:rsid w:val="00F049F4"/>
    <w:rsid w:val="00F04D13"/>
    <w:rsid w:val="00F04DBA"/>
    <w:rsid w:val="00F04E95"/>
    <w:rsid w:val="00F04EB7"/>
    <w:rsid w:val="00F0500C"/>
    <w:rsid w:val="00F054F0"/>
    <w:rsid w:val="00F05536"/>
    <w:rsid w:val="00F05560"/>
    <w:rsid w:val="00F055F0"/>
    <w:rsid w:val="00F05667"/>
    <w:rsid w:val="00F05703"/>
    <w:rsid w:val="00F05A3E"/>
    <w:rsid w:val="00F05B93"/>
    <w:rsid w:val="00F05D72"/>
    <w:rsid w:val="00F05E05"/>
    <w:rsid w:val="00F05E8A"/>
    <w:rsid w:val="00F05ED3"/>
    <w:rsid w:val="00F05EFD"/>
    <w:rsid w:val="00F06080"/>
    <w:rsid w:val="00F060EE"/>
    <w:rsid w:val="00F06771"/>
    <w:rsid w:val="00F067EC"/>
    <w:rsid w:val="00F06812"/>
    <w:rsid w:val="00F068BE"/>
    <w:rsid w:val="00F06DA3"/>
    <w:rsid w:val="00F06ED4"/>
    <w:rsid w:val="00F06F48"/>
    <w:rsid w:val="00F06FFA"/>
    <w:rsid w:val="00F07239"/>
    <w:rsid w:val="00F072CA"/>
    <w:rsid w:val="00F072CE"/>
    <w:rsid w:val="00F074BB"/>
    <w:rsid w:val="00F075F7"/>
    <w:rsid w:val="00F07656"/>
    <w:rsid w:val="00F0777D"/>
    <w:rsid w:val="00F07BE7"/>
    <w:rsid w:val="00F07C86"/>
    <w:rsid w:val="00F07CE7"/>
    <w:rsid w:val="00F07F98"/>
    <w:rsid w:val="00F10273"/>
    <w:rsid w:val="00F103DA"/>
    <w:rsid w:val="00F10A07"/>
    <w:rsid w:val="00F10A65"/>
    <w:rsid w:val="00F10ADA"/>
    <w:rsid w:val="00F10AF9"/>
    <w:rsid w:val="00F10C84"/>
    <w:rsid w:val="00F10F3F"/>
    <w:rsid w:val="00F10F66"/>
    <w:rsid w:val="00F110DA"/>
    <w:rsid w:val="00F1132F"/>
    <w:rsid w:val="00F114CD"/>
    <w:rsid w:val="00F11687"/>
    <w:rsid w:val="00F118EF"/>
    <w:rsid w:val="00F11944"/>
    <w:rsid w:val="00F11C1F"/>
    <w:rsid w:val="00F11DA9"/>
    <w:rsid w:val="00F11EE5"/>
    <w:rsid w:val="00F12005"/>
    <w:rsid w:val="00F120C0"/>
    <w:rsid w:val="00F12241"/>
    <w:rsid w:val="00F123C5"/>
    <w:rsid w:val="00F12873"/>
    <w:rsid w:val="00F12B76"/>
    <w:rsid w:val="00F12C17"/>
    <w:rsid w:val="00F12CBF"/>
    <w:rsid w:val="00F12D91"/>
    <w:rsid w:val="00F12E9E"/>
    <w:rsid w:val="00F12FD6"/>
    <w:rsid w:val="00F133B0"/>
    <w:rsid w:val="00F133DC"/>
    <w:rsid w:val="00F13406"/>
    <w:rsid w:val="00F134AC"/>
    <w:rsid w:val="00F13545"/>
    <w:rsid w:val="00F1355C"/>
    <w:rsid w:val="00F135CF"/>
    <w:rsid w:val="00F1393B"/>
    <w:rsid w:val="00F13A10"/>
    <w:rsid w:val="00F13A3F"/>
    <w:rsid w:val="00F13A8D"/>
    <w:rsid w:val="00F13AB5"/>
    <w:rsid w:val="00F13BB8"/>
    <w:rsid w:val="00F13C94"/>
    <w:rsid w:val="00F13D44"/>
    <w:rsid w:val="00F13D7E"/>
    <w:rsid w:val="00F13EBE"/>
    <w:rsid w:val="00F14006"/>
    <w:rsid w:val="00F14084"/>
    <w:rsid w:val="00F140BA"/>
    <w:rsid w:val="00F14567"/>
    <w:rsid w:val="00F147CF"/>
    <w:rsid w:val="00F148BF"/>
    <w:rsid w:val="00F149D1"/>
    <w:rsid w:val="00F14A3A"/>
    <w:rsid w:val="00F14A7E"/>
    <w:rsid w:val="00F14B2C"/>
    <w:rsid w:val="00F14B41"/>
    <w:rsid w:val="00F14E40"/>
    <w:rsid w:val="00F14FF4"/>
    <w:rsid w:val="00F15099"/>
    <w:rsid w:val="00F1522D"/>
    <w:rsid w:val="00F152A5"/>
    <w:rsid w:val="00F152E4"/>
    <w:rsid w:val="00F1533E"/>
    <w:rsid w:val="00F1569A"/>
    <w:rsid w:val="00F1581C"/>
    <w:rsid w:val="00F15A8B"/>
    <w:rsid w:val="00F15B5E"/>
    <w:rsid w:val="00F15EE2"/>
    <w:rsid w:val="00F16061"/>
    <w:rsid w:val="00F1622B"/>
    <w:rsid w:val="00F16674"/>
    <w:rsid w:val="00F167CA"/>
    <w:rsid w:val="00F16B2B"/>
    <w:rsid w:val="00F17030"/>
    <w:rsid w:val="00F171D5"/>
    <w:rsid w:val="00F1742D"/>
    <w:rsid w:val="00F175C7"/>
    <w:rsid w:val="00F176DA"/>
    <w:rsid w:val="00F178AA"/>
    <w:rsid w:val="00F17BA6"/>
    <w:rsid w:val="00F17E21"/>
    <w:rsid w:val="00F17ED5"/>
    <w:rsid w:val="00F200BE"/>
    <w:rsid w:val="00F2027C"/>
    <w:rsid w:val="00F203B1"/>
    <w:rsid w:val="00F2061F"/>
    <w:rsid w:val="00F208A4"/>
    <w:rsid w:val="00F20C88"/>
    <w:rsid w:val="00F21B26"/>
    <w:rsid w:val="00F21BEB"/>
    <w:rsid w:val="00F21E89"/>
    <w:rsid w:val="00F21F7D"/>
    <w:rsid w:val="00F2214C"/>
    <w:rsid w:val="00F225B4"/>
    <w:rsid w:val="00F229BC"/>
    <w:rsid w:val="00F229FA"/>
    <w:rsid w:val="00F22B87"/>
    <w:rsid w:val="00F22CDF"/>
    <w:rsid w:val="00F236DA"/>
    <w:rsid w:val="00F23AEE"/>
    <w:rsid w:val="00F23B23"/>
    <w:rsid w:val="00F23C66"/>
    <w:rsid w:val="00F241EF"/>
    <w:rsid w:val="00F243BA"/>
    <w:rsid w:val="00F24448"/>
    <w:rsid w:val="00F2460D"/>
    <w:rsid w:val="00F24646"/>
    <w:rsid w:val="00F246D4"/>
    <w:rsid w:val="00F246FB"/>
    <w:rsid w:val="00F24742"/>
    <w:rsid w:val="00F24940"/>
    <w:rsid w:val="00F24D51"/>
    <w:rsid w:val="00F25080"/>
    <w:rsid w:val="00F25279"/>
    <w:rsid w:val="00F254D9"/>
    <w:rsid w:val="00F254EA"/>
    <w:rsid w:val="00F25878"/>
    <w:rsid w:val="00F25AD1"/>
    <w:rsid w:val="00F25B3E"/>
    <w:rsid w:val="00F25CD7"/>
    <w:rsid w:val="00F25CFB"/>
    <w:rsid w:val="00F25E86"/>
    <w:rsid w:val="00F25FEE"/>
    <w:rsid w:val="00F26095"/>
    <w:rsid w:val="00F261EF"/>
    <w:rsid w:val="00F26497"/>
    <w:rsid w:val="00F264E4"/>
    <w:rsid w:val="00F26619"/>
    <w:rsid w:val="00F26683"/>
    <w:rsid w:val="00F268A5"/>
    <w:rsid w:val="00F26BD8"/>
    <w:rsid w:val="00F26BEC"/>
    <w:rsid w:val="00F26F2C"/>
    <w:rsid w:val="00F271D0"/>
    <w:rsid w:val="00F274B7"/>
    <w:rsid w:val="00F276C4"/>
    <w:rsid w:val="00F277D1"/>
    <w:rsid w:val="00F2780D"/>
    <w:rsid w:val="00F278A4"/>
    <w:rsid w:val="00F279A5"/>
    <w:rsid w:val="00F27D29"/>
    <w:rsid w:val="00F27E40"/>
    <w:rsid w:val="00F30058"/>
    <w:rsid w:val="00F3032D"/>
    <w:rsid w:val="00F30408"/>
    <w:rsid w:val="00F306BE"/>
    <w:rsid w:val="00F30805"/>
    <w:rsid w:val="00F30C3E"/>
    <w:rsid w:val="00F30E21"/>
    <w:rsid w:val="00F30E29"/>
    <w:rsid w:val="00F30F91"/>
    <w:rsid w:val="00F31006"/>
    <w:rsid w:val="00F31252"/>
    <w:rsid w:val="00F31330"/>
    <w:rsid w:val="00F314FB"/>
    <w:rsid w:val="00F3152B"/>
    <w:rsid w:val="00F3169C"/>
    <w:rsid w:val="00F316AE"/>
    <w:rsid w:val="00F316CC"/>
    <w:rsid w:val="00F31EAE"/>
    <w:rsid w:val="00F31EEB"/>
    <w:rsid w:val="00F31F72"/>
    <w:rsid w:val="00F31FF5"/>
    <w:rsid w:val="00F32338"/>
    <w:rsid w:val="00F325CA"/>
    <w:rsid w:val="00F3264A"/>
    <w:rsid w:val="00F326E3"/>
    <w:rsid w:val="00F327CB"/>
    <w:rsid w:val="00F328EB"/>
    <w:rsid w:val="00F32E79"/>
    <w:rsid w:val="00F3302B"/>
    <w:rsid w:val="00F335F5"/>
    <w:rsid w:val="00F33925"/>
    <w:rsid w:val="00F33ACE"/>
    <w:rsid w:val="00F33C9E"/>
    <w:rsid w:val="00F33DCE"/>
    <w:rsid w:val="00F33E42"/>
    <w:rsid w:val="00F33EF7"/>
    <w:rsid w:val="00F33F36"/>
    <w:rsid w:val="00F3401B"/>
    <w:rsid w:val="00F3426F"/>
    <w:rsid w:val="00F3432C"/>
    <w:rsid w:val="00F343A9"/>
    <w:rsid w:val="00F34424"/>
    <w:rsid w:val="00F346A0"/>
    <w:rsid w:val="00F3471B"/>
    <w:rsid w:val="00F34838"/>
    <w:rsid w:val="00F34AD2"/>
    <w:rsid w:val="00F34FFD"/>
    <w:rsid w:val="00F351A5"/>
    <w:rsid w:val="00F35375"/>
    <w:rsid w:val="00F35671"/>
    <w:rsid w:val="00F357D1"/>
    <w:rsid w:val="00F35BFC"/>
    <w:rsid w:val="00F35C39"/>
    <w:rsid w:val="00F35CBC"/>
    <w:rsid w:val="00F35E9D"/>
    <w:rsid w:val="00F36268"/>
    <w:rsid w:val="00F36608"/>
    <w:rsid w:val="00F36657"/>
    <w:rsid w:val="00F36804"/>
    <w:rsid w:val="00F36862"/>
    <w:rsid w:val="00F3689F"/>
    <w:rsid w:val="00F3695C"/>
    <w:rsid w:val="00F36ACD"/>
    <w:rsid w:val="00F36AE8"/>
    <w:rsid w:val="00F36C8E"/>
    <w:rsid w:val="00F370AE"/>
    <w:rsid w:val="00F371B9"/>
    <w:rsid w:val="00F371E9"/>
    <w:rsid w:val="00F373DB"/>
    <w:rsid w:val="00F374CB"/>
    <w:rsid w:val="00F3754F"/>
    <w:rsid w:val="00F37595"/>
    <w:rsid w:val="00F3767C"/>
    <w:rsid w:val="00F378D6"/>
    <w:rsid w:val="00F37CBE"/>
    <w:rsid w:val="00F37D12"/>
    <w:rsid w:val="00F37D43"/>
    <w:rsid w:val="00F37D9C"/>
    <w:rsid w:val="00F37F27"/>
    <w:rsid w:val="00F40039"/>
    <w:rsid w:val="00F4010F"/>
    <w:rsid w:val="00F4016F"/>
    <w:rsid w:val="00F40213"/>
    <w:rsid w:val="00F403A6"/>
    <w:rsid w:val="00F403AB"/>
    <w:rsid w:val="00F4044A"/>
    <w:rsid w:val="00F405AA"/>
    <w:rsid w:val="00F40813"/>
    <w:rsid w:val="00F409BD"/>
    <w:rsid w:val="00F409E9"/>
    <w:rsid w:val="00F409FF"/>
    <w:rsid w:val="00F40BA0"/>
    <w:rsid w:val="00F40C29"/>
    <w:rsid w:val="00F4121D"/>
    <w:rsid w:val="00F4139E"/>
    <w:rsid w:val="00F415C2"/>
    <w:rsid w:val="00F4183B"/>
    <w:rsid w:val="00F41AB7"/>
    <w:rsid w:val="00F41B75"/>
    <w:rsid w:val="00F41BB1"/>
    <w:rsid w:val="00F41DDF"/>
    <w:rsid w:val="00F41E9A"/>
    <w:rsid w:val="00F41EB0"/>
    <w:rsid w:val="00F41F8E"/>
    <w:rsid w:val="00F4209E"/>
    <w:rsid w:val="00F42283"/>
    <w:rsid w:val="00F424ED"/>
    <w:rsid w:val="00F424EF"/>
    <w:rsid w:val="00F42662"/>
    <w:rsid w:val="00F429D4"/>
    <w:rsid w:val="00F42D3C"/>
    <w:rsid w:val="00F430E3"/>
    <w:rsid w:val="00F430F5"/>
    <w:rsid w:val="00F4315D"/>
    <w:rsid w:val="00F43376"/>
    <w:rsid w:val="00F436BD"/>
    <w:rsid w:val="00F43A43"/>
    <w:rsid w:val="00F43AD5"/>
    <w:rsid w:val="00F43C1B"/>
    <w:rsid w:val="00F43C30"/>
    <w:rsid w:val="00F43D95"/>
    <w:rsid w:val="00F43ECB"/>
    <w:rsid w:val="00F440E1"/>
    <w:rsid w:val="00F4444A"/>
    <w:rsid w:val="00F44459"/>
    <w:rsid w:val="00F44808"/>
    <w:rsid w:val="00F4488A"/>
    <w:rsid w:val="00F44959"/>
    <w:rsid w:val="00F449EC"/>
    <w:rsid w:val="00F44B7F"/>
    <w:rsid w:val="00F44D0E"/>
    <w:rsid w:val="00F44D2F"/>
    <w:rsid w:val="00F44DA5"/>
    <w:rsid w:val="00F45165"/>
    <w:rsid w:val="00F452F6"/>
    <w:rsid w:val="00F4558B"/>
    <w:rsid w:val="00F45729"/>
    <w:rsid w:val="00F45756"/>
    <w:rsid w:val="00F4579C"/>
    <w:rsid w:val="00F45985"/>
    <w:rsid w:val="00F45B43"/>
    <w:rsid w:val="00F45C71"/>
    <w:rsid w:val="00F45DC6"/>
    <w:rsid w:val="00F45EA5"/>
    <w:rsid w:val="00F45EC3"/>
    <w:rsid w:val="00F45ECA"/>
    <w:rsid w:val="00F46001"/>
    <w:rsid w:val="00F4605F"/>
    <w:rsid w:val="00F460DD"/>
    <w:rsid w:val="00F46102"/>
    <w:rsid w:val="00F4613E"/>
    <w:rsid w:val="00F462DB"/>
    <w:rsid w:val="00F46966"/>
    <w:rsid w:val="00F469BD"/>
    <w:rsid w:val="00F46ACE"/>
    <w:rsid w:val="00F47090"/>
    <w:rsid w:val="00F47113"/>
    <w:rsid w:val="00F4712B"/>
    <w:rsid w:val="00F47170"/>
    <w:rsid w:val="00F47248"/>
    <w:rsid w:val="00F47321"/>
    <w:rsid w:val="00F47543"/>
    <w:rsid w:val="00F47568"/>
    <w:rsid w:val="00F47665"/>
    <w:rsid w:val="00F477B9"/>
    <w:rsid w:val="00F479C5"/>
    <w:rsid w:val="00F47AE6"/>
    <w:rsid w:val="00F47E19"/>
    <w:rsid w:val="00F47E80"/>
    <w:rsid w:val="00F47F0E"/>
    <w:rsid w:val="00F47F15"/>
    <w:rsid w:val="00F5007D"/>
    <w:rsid w:val="00F502C5"/>
    <w:rsid w:val="00F50410"/>
    <w:rsid w:val="00F505C5"/>
    <w:rsid w:val="00F505F0"/>
    <w:rsid w:val="00F50603"/>
    <w:rsid w:val="00F50746"/>
    <w:rsid w:val="00F508DC"/>
    <w:rsid w:val="00F50ACC"/>
    <w:rsid w:val="00F50D42"/>
    <w:rsid w:val="00F510E6"/>
    <w:rsid w:val="00F511A7"/>
    <w:rsid w:val="00F5134E"/>
    <w:rsid w:val="00F51718"/>
    <w:rsid w:val="00F518A4"/>
    <w:rsid w:val="00F51A29"/>
    <w:rsid w:val="00F51D19"/>
    <w:rsid w:val="00F51DEF"/>
    <w:rsid w:val="00F51EDD"/>
    <w:rsid w:val="00F51F4F"/>
    <w:rsid w:val="00F521CB"/>
    <w:rsid w:val="00F521F6"/>
    <w:rsid w:val="00F52859"/>
    <w:rsid w:val="00F52B24"/>
    <w:rsid w:val="00F52BAF"/>
    <w:rsid w:val="00F52DC4"/>
    <w:rsid w:val="00F52E7E"/>
    <w:rsid w:val="00F52EAB"/>
    <w:rsid w:val="00F52FDE"/>
    <w:rsid w:val="00F5322C"/>
    <w:rsid w:val="00F534BD"/>
    <w:rsid w:val="00F536A7"/>
    <w:rsid w:val="00F537EB"/>
    <w:rsid w:val="00F5385A"/>
    <w:rsid w:val="00F538A9"/>
    <w:rsid w:val="00F53A23"/>
    <w:rsid w:val="00F53AC7"/>
    <w:rsid w:val="00F53ADA"/>
    <w:rsid w:val="00F53CF8"/>
    <w:rsid w:val="00F53DAE"/>
    <w:rsid w:val="00F53E85"/>
    <w:rsid w:val="00F53FDB"/>
    <w:rsid w:val="00F540B0"/>
    <w:rsid w:val="00F54481"/>
    <w:rsid w:val="00F544A1"/>
    <w:rsid w:val="00F5464C"/>
    <w:rsid w:val="00F54719"/>
    <w:rsid w:val="00F549B9"/>
    <w:rsid w:val="00F549C5"/>
    <w:rsid w:val="00F54A63"/>
    <w:rsid w:val="00F54B06"/>
    <w:rsid w:val="00F54C6F"/>
    <w:rsid w:val="00F5501D"/>
    <w:rsid w:val="00F551E2"/>
    <w:rsid w:val="00F55211"/>
    <w:rsid w:val="00F554E7"/>
    <w:rsid w:val="00F55554"/>
    <w:rsid w:val="00F5596F"/>
    <w:rsid w:val="00F559AD"/>
    <w:rsid w:val="00F559B5"/>
    <w:rsid w:val="00F55ADF"/>
    <w:rsid w:val="00F55FC8"/>
    <w:rsid w:val="00F560EB"/>
    <w:rsid w:val="00F564D3"/>
    <w:rsid w:val="00F5651B"/>
    <w:rsid w:val="00F5665F"/>
    <w:rsid w:val="00F56725"/>
    <w:rsid w:val="00F5675C"/>
    <w:rsid w:val="00F568C7"/>
    <w:rsid w:val="00F56D34"/>
    <w:rsid w:val="00F56E3C"/>
    <w:rsid w:val="00F5713C"/>
    <w:rsid w:val="00F575FB"/>
    <w:rsid w:val="00F5771D"/>
    <w:rsid w:val="00F5788A"/>
    <w:rsid w:val="00F579B0"/>
    <w:rsid w:val="00F57A1E"/>
    <w:rsid w:val="00F57B3C"/>
    <w:rsid w:val="00F57BC0"/>
    <w:rsid w:val="00F57E06"/>
    <w:rsid w:val="00F601B5"/>
    <w:rsid w:val="00F6026A"/>
    <w:rsid w:val="00F603AC"/>
    <w:rsid w:val="00F603D5"/>
    <w:rsid w:val="00F60495"/>
    <w:rsid w:val="00F6082B"/>
    <w:rsid w:val="00F60946"/>
    <w:rsid w:val="00F60A38"/>
    <w:rsid w:val="00F60AFA"/>
    <w:rsid w:val="00F60C19"/>
    <w:rsid w:val="00F60C73"/>
    <w:rsid w:val="00F60C92"/>
    <w:rsid w:val="00F60D0A"/>
    <w:rsid w:val="00F61050"/>
    <w:rsid w:val="00F61138"/>
    <w:rsid w:val="00F61260"/>
    <w:rsid w:val="00F612C6"/>
    <w:rsid w:val="00F61814"/>
    <w:rsid w:val="00F62115"/>
    <w:rsid w:val="00F622A4"/>
    <w:rsid w:val="00F623CB"/>
    <w:rsid w:val="00F623EC"/>
    <w:rsid w:val="00F624CD"/>
    <w:rsid w:val="00F624F9"/>
    <w:rsid w:val="00F625D0"/>
    <w:rsid w:val="00F626AC"/>
    <w:rsid w:val="00F626F4"/>
    <w:rsid w:val="00F627CC"/>
    <w:rsid w:val="00F62872"/>
    <w:rsid w:val="00F62AE1"/>
    <w:rsid w:val="00F62AE7"/>
    <w:rsid w:val="00F62C33"/>
    <w:rsid w:val="00F62E1D"/>
    <w:rsid w:val="00F62FEF"/>
    <w:rsid w:val="00F6316B"/>
    <w:rsid w:val="00F6327C"/>
    <w:rsid w:val="00F63318"/>
    <w:rsid w:val="00F6338F"/>
    <w:rsid w:val="00F63426"/>
    <w:rsid w:val="00F636F5"/>
    <w:rsid w:val="00F637D2"/>
    <w:rsid w:val="00F63BC3"/>
    <w:rsid w:val="00F63CBA"/>
    <w:rsid w:val="00F63E3B"/>
    <w:rsid w:val="00F64164"/>
    <w:rsid w:val="00F6461A"/>
    <w:rsid w:val="00F64831"/>
    <w:rsid w:val="00F64895"/>
    <w:rsid w:val="00F648A5"/>
    <w:rsid w:val="00F64CD0"/>
    <w:rsid w:val="00F64D99"/>
    <w:rsid w:val="00F64F31"/>
    <w:rsid w:val="00F64F9A"/>
    <w:rsid w:val="00F6514F"/>
    <w:rsid w:val="00F65278"/>
    <w:rsid w:val="00F65637"/>
    <w:rsid w:val="00F658A5"/>
    <w:rsid w:val="00F65A3A"/>
    <w:rsid w:val="00F65A5E"/>
    <w:rsid w:val="00F65DE8"/>
    <w:rsid w:val="00F65E55"/>
    <w:rsid w:val="00F662D6"/>
    <w:rsid w:val="00F663E3"/>
    <w:rsid w:val="00F66528"/>
    <w:rsid w:val="00F6659A"/>
    <w:rsid w:val="00F666E2"/>
    <w:rsid w:val="00F66F6D"/>
    <w:rsid w:val="00F670B7"/>
    <w:rsid w:val="00F67554"/>
    <w:rsid w:val="00F675AF"/>
    <w:rsid w:val="00F676A4"/>
    <w:rsid w:val="00F6791D"/>
    <w:rsid w:val="00F67B31"/>
    <w:rsid w:val="00F67B42"/>
    <w:rsid w:val="00F67D5F"/>
    <w:rsid w:val="00F67D74"/>
    <w:rsid w:val="00F7006F"/>
    <w:rsid w:val="00F702CB"/>
    <w:rsid w:val="00F70374"/>
    <w:rsid w:val="00F70385"/>
    <w:rsid w:val="00F703C6"/>
    <w:rsid w:val="00F70558"/>
    <w:rsid w:val="00F7060D"/>
    <w:rsid w:val="00F706BA"/>
    <w:rsid w:val="00F708A6"/>
    <w:rsid w:val="00F70E53"/>
    <w:rsid w:val="00F71003"/>
    <w:rsid w:val="00F710C1"/>
    <w:rsid w:val="00F71285"/>
    <w:rsid w:val="00F71636"/>
    <w:rsid w:val="00F717C7"/>
    <w:rsid w:val="00F71A03"/>
    <w:rsid w:val="00F71EA4"/>
    <w:rsid w:val="00F71F99"/>
    <w:rsid w:val="00F721CB"/>
    <w:rsid w:val="00F7232E"/>
    <w:rsid w:val="00F7244B"/>
    <w:rsid w:val="00F72485"/>
    <w:rsid w:val="00F72525"/>
    <w:rsid w:val="00F7266B"/>
    <w:rsid w:val="00F7290A"/>
    <w:rsid w:val="00F72B7E"/>
    <w:rsid w:val="00F72DA6"/>
    <w:rsid w:val="00F72ED5"/>
    <w:rsid w:val="00F72FED"/>
    <w:rsid w:val="00F7307A"/>
    <w:rsid w:val="00F730C0"/>
    <w:rsid w:val="00F730E7"/>
    <w:rsid w:val="00F7328A"/>
    <w:rsid w:val="00F73300"/>
    <w:rsid w:val="00F734CD"/>
    <w:rsid w:val="00F734FC"/>
    <w:rsid w:val="00F7370D"/>
    <w:rsid w:val="00F73718"/>
    <w:rsid w:val="00F73772"/>
    <w:rsid w:val="00F738B9"/>
    <w:rsid w:val="00F73AAE"/>
    <w:rsid w:val="00F73C11"/>
    <w:rsid w:val="00F73DB1"/>
    <w:rsid w:val="00F73EA5"/>
    <w:rsid w:val="00F740F2"/>
    <w:rsid w:val="00F74764"/>
    <w:rsid w:val="00F748A2"/>
    <w:rsid w:val="00F74BE2"/>
    <w:rsid w:val="00F74C24"/>
    <w:rsid w:val="00F74D0A"/>
    <w:rsid w:val="00F74E1A"/>
    <w:rsid w:val="00F74E5C"/>
    <w:rsid w:val="00F74FB2"/>
    <w:rsid w:val="00F74FCF"/>
    <w:rsid w:val="00F751B1"/>
    <w:rsid w:val="00F751D4"/>
    <w:rsid w:val="00F75234"/>
    <w:rsid w:val="00F75345"/>
    <w:rsid w:val="00F756A3"/>
    <w:rsid w:val="00F75AEB"/>
    <w:rsid w:val="00F760CE"/>
    <w:rsid w:val="00F76231"/>
    <w:rsid w:val="00F76265"/>
    <w:rsid w:val="00F762C1"/>
    <w:rsid w:val="00F763E1"/>
    <w:rsid w:val="00F76498"/>
    <w:rsid w:val="00F764F5"/>
    <w:rsid w:val="00F76596"/>
    <w:rsid w:val="00F765A5"/>
    <w:rsid w:val="00F766A3"/>
    <w:rsid w:val="00F767E2"/>
    <w:rsid w:val="00F76864"/>
    <w:rsid w:val="00F768F1"/>
    <w:rsid w:val="00F76969"/>
    <w:rsid w:val="00F76AC4"/>
    <w:rsid w:val="00F76CDF"/>
    <w:rsid w:val="00F76E5E"/>
    <w:rsid w:val="00F76E87"/>
    <w:rsid w:val="00F76FA0"/>
    <w:rsid w:val="00F77332"/>
    <w:rsid w:val="00F77415"/>
    <w:rsid w:val="00F774EA"/>
    <w:rsid w:val="00F7756B"/>
    <w:rsid w:val="00F775E7"/>
    <w:rsid w:val="00F77789"/>
    <w:rsid w:val="00F77804"/>
    <w:rsid w:val="00F77877"/>
    <w:rsid w:val="00F77958"/>
    <w:rsid w:val="00F77A3E"/>
    <w:rsid w:val="00F77F7E"/>
    <w:rsid w:val="00F80198"/>
    <w:rsid w:val="00F802AB"/>
    <w:rsid w:val="00F803D8"/>
    <w:rsid w:val="00F805C3"/>
    <w:rsid w:val="00F80F82"/>
    <w:rsid w:val="00F81072"/>
    <w:rsid w:val="00F811B8"/>
    <w:rsid w:val="00F8158F"/>
    <w:rsid w:val="00F815A6"/>
    <w:rsid w:val="00F81722"/>
    <w:rsid w:val="00F81831"/>
    <w:rsid w:val="00F81931"/>
    <w:rsid w:val="00F81A1F"/>
    <w:rsid w:val="00F81AFC"/>
    <w:rsid w:val="00F81B1A"/>
    <w:rsid w:val="00F81D41"/>
    <w:rsid w:val="00F81E20"/>
    <w:rsid w:val="00F81F86"/>
    <w:rsid w:val="00F8203C"/>
    <w:rsid w:val="00F82097"/>
    <w:rsid w:val="00F82174"/>
    <w:rsid w:val="00F823CE"/>
    <w:rsid w:val="00F824ED"/>
    <w:rsid w:val="00F8262D"/>
    <w:rsid w:val="00F8271C"/>
    <w:rsid w:val="00F82749"/>
    <w:rsid w:val="00F82A41"/>
    <w:rsid w:val="00F82ECF"/>
    <w:rsid w:val="00F8315C"/>
    <w:rsid w:val="00F831A1"/>
    <w:rsid w:val="00F832F1"/>
    <w:rsid w:val="00F8354D"/>
    <w:rsid w:val="00F835AE"/>
    <w:rsid w:val="00F837A2"/>
    <w:rsid w:val="00F838F7"/>
    <w:rsid w:val="00F83A5D"/>
    <w:rsid w:val="00F83AA2"/>
    <w:rsid w:val="00F83BD3"/>
    <w:rsid w:val="00F83E04"/>
    <w:rsid w:val="00F83F97"/>
    <w:rsid w:val="00F84135"/>
    <w:rsid w:val="00F84439"/>
    <w:rsid w:val="00F84534"/>
    <w:rsid w:val="00F84596"/>
    <w:rsid w:val="00F845C5"/>
    <w:rsid w:val="00F846DE"/>
    <w:rsid w:val="00F848C9"/>
    <w:rsid w:val="00F84B4F"/>
    <w:rsid w:val="00F84B86"/>
    <w:rsid w:val="00F84CBD"/>
    <w:rsid w:val="00F84FA3"/>
    <w:rsid w:val="00F85195"/>
    <w:rsid w:val="00F851D1"/>
    <w:rsid w:val="00F853BF"/>
    <w:rsid w:val="00F854AE"/>
    <w:rsid w:val="00F855DF"/>
    <w:rsid w:val="00F85607"/>
    <w:rsid w:val="00F856BB"/>
    <w:rsid w:val="00F85901"/>
    <w:rsid w:val="00F85933"/>
    <w:rsid w:val="00F85A1C"/>
    <w:rsid w:val="00F85A8F"/>
    <w:rsid w:val="00F85BB4"/>
    <w:rsid w:val="00F85FD1"/>
    <w:rsid w:val="00F8607B"/>
    <w:rsid w:val="00F86292"/>
    <w:rsid w:val="00F86419"/>
    <w:rsid w:val="00F86453"/>
    <w:rsid w:val="00F864AB"/>
    <w:rsid w:val="00F86623"/>
    <w:rsid w:val="00F8665F"/>
    <w:rsid w:val="00F86717"/>
    <w:rsid w:val="00F86A96"/>
    <w:rsid w:val="00F86AE9"/>
    <w:rsid w:val="00F86C21"/>
    <w:rsid w:val="00F86CD8"/>
    <w:rsid w:val="00F86FB5"/>
    <w:rsid w:val="00F87029"/>
    <w:rsid w:val="00F8716B"/>
    <w:rsid w:val="00F87244"/>
    <w:rsid w:val="00F8725A"/>
    <w:rsid w:val="00F8739D"/>
    <w:rsid w:val="00F874F0"/>
    <w:rsid w:val="00F8764F"/>
    <w:rsid w:val="00F876E8"/>
    <w:rsid w:val="00F877E0"/>
    <w:rsid w:val="00F877FB"/>
    <w:rsid w:val="00F877FD"/>
    <w:rsid w:val="00F87805"/>
    <w:rsid w:val="00F878E1"/>
    <w:rsid w:val="00F87BE8"/>
    <w:rsid w:val="00F87C92"/>
    <w:rsid w:val="00F87D19"/>
    <w:rsid w:val="00F87D5B"/>
    <w:rsid w:val="00F87D92"/>
    <w:rsid w:val="00F90069"/>
    <w:rsid w:val="00F900D8"/>
    <w:rsid w:val="00F90135"/>
    <w:rsid w:val="00F902E4"/>
    <w:rsid w:val="00F903D9"/>
    <w:rsid w:val="00F90622"/>
    <w:rsid w:val="00F90B18"/>
    <w:rsid w:val="00F90BA5"/>
    <w:rsid w:val="00F90DAF"/>
    <w:rsid w:val="00F90EBF"/>
    <w:rsid w:val="00F90FCB"/>
    <w:rsid w:val="00F91010"/>
    <w:rsid w:val="00F91096"/>
    <w:rsid w:val="00F911C1"/>
    <w:rsid w:val="00F9125D"/>
    <w:rsid w:val="00F916CF"/>
    <w:rsid w:val="00F9173E"/>
    <w:rsid w:val="00F91836"/>
    <w:rsid w:val="00F91983"/>
    <w:rsid w:val="00F919B7"/>
    <w:rsid w:val="00F91B57"/>
    <w:rsid w:val="00F91C08"/>
    <w:rsid w:val="00F91C29"/>
    <w:rsid w:val="00F92014"/>
    <w:rsid w:val="00F920B9"/>
    <w:rsid w:val="00F92967"/>
    <w:rsid w:val="00F92ACB"/>
    <w:rsid w:val="00F92DE2"/>
    <w:rsid w:val="00F92E05"/>
    <w:rsid w:val="00F9309E"/>
    <w:rsid w:val="00F93468"/>
    <w:rsid w:val="00F934B2"/>
    <w:rsid w:val="00F9354B"/>
    <w:rsid w:val="00F93629"/>
    <w:rsid w:val="00F936DE"/>
    <w:rsid w:val="00F93767"/>
    <w:rsid w:val="00F93830"/>
    <w:rsid w:val="00F93915"/>
    <w:rsid w:val="00F93943"/>
    <w:rsid w:val="00F93B87"/>
    <w:rsid w:val="00F93CAD"/>
    <w:rsid w:val="00F9418C"/>
    <w:rsid w:val="00F944C7"/>
    <w:rsid w:val="00F94554"/>
    <w:rsid w:val="00F946C5"/>
    <w:rsid w:val="00F94931"/>
    <w:rsid w:val="00F94DB7"/>
    <w:rsid w:val="00F94F35"/>
    <w:rsid w:val="00F95035"/>
    <w:rsid w:val="00F950F5"/>
    <w:rsid w:val="00F9522A"/>
    <w:rsid w:val="00F95448"/>
    <w:rsid w:val="00F95502"/>
    <w:rsid w:val="00F9564F"/>
    <w:rsid w:val="00F9576F"/>
    <w:rsid w:val="00F95A27"/>
    <w:rsid w:val="00F95B7F"/>
    <w:rsid w:val="00F95D9E"/>
    <w:rsid w:val="00F95EBC"/>
    <w:rsid w:val="00F95F4B"/>
    <w:rsid w:val="00F95F9D"/>
    <w:rsid w:val="00F96079"/>
    <w:rsid w:val="00F96384"/>
    <w:rsid w:val="00F963E3"/>
    <w:rsid w:val="00F964F1"/>
    <w:rsid w:val="00F96584"/>
    <w:rsid w:val="00F9690B"/>
    <w:rsid w:val="00F96A11"/>
    <w:rsid w:val="00F96C39"/>
    <w:rsid w:val="00F96E4A"/>
    <w:rsid w:val="00F9701C"/>
    <w:rsid w:val="00F97078"/>
    <w:rsid w:val="00F976B3"/>
    <w:rsid w:val="00F976CB"/>
    <w:rsid w:val="00F9773B"/>
    <w:rsid w:val="00F97934"/>
    <w:rsid w:val="00F97BC9"/>
    <w:rsid w:val="00F97E8E"/>
    <w:rsid w:val="00F97EFA"/>
    <w:rsid w:val="00FA0221"/>
    <w:rsid w:val="00FA0312"/>
    <w:rsid w:val="00FA056A"/>
    <w:rsid w:val="00FA068A"/>
    <w:rsid w:val="00FA09B5"/>
    <w:rsid w:val="00FA0B68"/>
    <w:rsid w:val="00FA0BAD"/>
    <w:rsid w:val="00FA0E56"/>
    <w:rsid w:val="00FA111A"/>
    <w:rsid w:val="00FA1169"/>
    <w:rsid w:val="00FA144D"/>
    <w:rsid w:val="00FA14BD"/>
    <w:rsid w:val="00FA17C7"/>
    <w:rsid w:val="00FA192D"/>
    <w:rsid w:val="00FA1A00"/>
    <w:rsid w:val="00FA1C51"/>
    <w:rsid w:val="00FA1D58"/>
    <w:rsid w:val="00FA1EE1"/>
    <w:rsid w:val="00FA2409"/>
    <w:rsid w:val="00FA24DD"/>
    <w:rsid w:val="00FA27D1"/>
    <w:rsid w:val="00FA2905"/>
    <w:rsid w:val="00FA2918"/>
    <w:rsid w:val="00FA2974"/>
    <w:rsid w:val="00FA2BDD"/>
    <w:rsid w:val="00FA2E69"/>
    <w:rsid w:val="00FA33D8"/>
    <w:rsid w:val="00FA33E4"/>
    <w:rsid w:val="00FA341B"/>
    <w:rsid w:val="00FA35E8"/>
    <w:rsid w:val="00FA3D31"/>
    <w:rsid w:val="00FA3D34"/>
    <w:rsid w:val="00FA3E34"/>
    <w:rsid w:val="00FA3E62"/>
    <w:rsid w:val="00FA41D3"/>
    <w:rsid w:val="00FA4A07"/>
    <w:rsid w:val="00FA4B1F"/>
    <w:rsid w:val="00FA4EBE"/>
    <w:rsid w:val="00FA4F01"/>
    <w:rsid w:val="00FA4F8C"/>
    <w:rsid w:val="00FA5368"/>
    <w:rsid w:val="00FA539A"/>
    <w:rsid w:val="00FA5537"/>
    <w:rsid w:val="00FA55FE"/>
    <w:rsid w:val="00FA56D9"/>
    <w:rsid w:val="00FA57DF"/>
    <w:rsid w:val="00FA5A3C"/>
    <w:rsid w:val="00FA5A4B"/>
    <w:rsid w:val="00FA5ABC"/>
    <w:rsid w:val="00FA5B17"/>
    <w:rsid w:val="00FA5CF8"/>
    <w:rsid w:val="00FA5D3B"/>
    <w:rsid w:val="00FA5DCB"/>
    <w:rsid w:val="00FA6037"/>
    <w:rsid w:val="00FA619C"/>
    <w:rsid w:val="00FA62D5"/>
    <w:rsid w:val="00FA638A"/>
    <w:rsid w:val="00FA644E"/>
    <w:rsid w:val="00FA6557"/>
    <w:rsid w:val="00FA6577"/>
    <w:rsid w:val="00FA6A27"/>
    <w:rsid w:val="00FA6E07"/>
    <w:rsid w:val="00FA6F52"/>
    <w:rsid w:val="00FA6F5E"/>
    <w:rsid w:val="00FA6FCB"/>
    <w:rsid w:val="00FA704A"/>
    <w:rsid w:val="00FA74E3"/>
    <w:rsid w:val="00FA7680"/>
    <w:rsid w:val="00FA7838"/>
    <w:rsid w:val="00FA792A"/>
    <w:rsid w:val="00FA7D76"/>
    <w:rsid w:val="00FA7DCD"/>
    <w:rsid w:val="00FA7E2F"/>
    <w:rsid w:val="00FB0109"/>
    <w:rsid w:val="00FB0361"/>
    <w:rsid w:val="00FB045A"/>
    <w:rsid w:val="00FB049A"/>
    <w:rsid w:val="00FB051D"/>
    <w:rsid w:val="00FB0774"/>
    <w:rsid w:val="00FB084C"/>
    <w:rsid w:val="00FB09E4"/>
    <w:rsid w:val="00FB0A3F"/>
    <w:rsid w:val="00FB0AB7"/>
    <w:rsid w:val="00FB0BF3"/>
    <w:rsid w:val="00FB0CBD"/>
    <w:rsid w:val="00FB0D18"/>
    <w:rsid w:val="00FB0D98"/>
    <w:rsid w:val="00FB129D"/>
    <w:rsid w:val="00FB133A"/>
    <w:rsid w:val="00FB15FA"/>
    <w:rsid w:val="00FB1819"/>
    <w:rsid w:val="00FB194A"/>
    <w:rsid w:val="00FB19E0"/>
    <w:rsid w:val="00FB1A74"/>
    <w:rsid w:val="00FB1B3F"/>
    <w:rsid w:val="00FB1B81"/>
    <w:rsid w:val="00FB1D67"/>
    <w:rsid w:val="00FB1DD8"/>
    <w:rsid w:val="00FB1E2A"/>
    <w:rsid w:val="00FB1E99"/>
    <w:rsid w:val="00FB1FB1"/>
    <w:rsid w:val="00FB2021"/>
    <w:rsid w:val="00FB2072"/>
    <w:rsid w:val="00FB20C1"/>
    <w:rsid w:val="00FB21E2"/>
    <w:rsid w:val="00FB253B"/>
    <w:rsid w:val="00FB2674"/>
    <w:rsid w:val="00FB26D0"/>
    <w:rsid w:val="00FB2722"/>
    <w:rsid w:val="00FB276F"/>
    <w:rsid w:val="00FB28C5"/>
    <w:rsid w:val="00FB28F5"/>
    <w:rsid w:val="00FB2940"/>
    <w:rsid w:val="00FB29C8"/>
    <w:rsid w:val="00FB29FA"/>
    <w:rsid w:val="00FB2E94"/>
    <w:rsid w:val="00FB3102"/>
    <w:rsid w:val="00FB31E5"/>
    <w:rsid w:val="00FB324E"/>
    <w:rsid w:val="00FB32B8"/>
    <w:rsid w:val="00FB335A"/>
    <w:rsid w:val="00FB3374"/>
    <w:rsid w:val="00FB338D"/>
    <w:rsid w:val="00FB34F3"/>
    <w:rsid w:val="00FB3747"/>
    <w:rsid w:val="00FB3994"/>
    <w:rsid w:val="00FB3A83"/>
    <w:rsid w:val="00FB3C01"/>
    <w:rsid w:val="00FB3D5D"/>
    <w:rsid w:val="00FB3F5B"/>
    <w:rsid w:val="00FB3FA0"/>
    <w:rsid w:val="00FB40C2"/>
    <w:rsid w:val="00FB4160"/>
    <w:rsid w:val="00FB4316"/>
    <w:rsid w:val="00FB45BC"/>
    <w:rsid w:val="00FB478F"/>
    <w:rsid w:val="00FB4810"/>
    <w:rsid w:val="00FB4E1A"/>
    <w:rsid w:val="00FB4FCE"/>
    <w:rsid w:val="00FB5077"/>
    <w:rsid w:val="00FB54FF"/>
    <w:rsid w:val="00FB55D0"/>
    <w:rsid w:val="00FB5634"/>
    <w:rsid w:val="00FB566F"/>
    <w:rsid w:val="00FB5685"/>
    <w:rsid w:val="00FB56A1"/>
    <w:rsid w:val="00FB5DEE"/>
    <w:rsid w:val="00FB5DF4"/>
    <w:rsid w:val="00FB5F38"/>
    <w:rsid w:val="00FB61F7"/>
    <w:rsid w:val="00FB63EE"/>
    <w:rsid w:val="00FB6413"/>
    <w:rsid w:val="00FB64EE"/>
    <w:rsid w:val="00FB6622"/>
    <w:rsid w:val="00FB66D9"/>
    <w:rsid w:val="00FB6781"/>
    <w:rsid w:val="00FB67FD"/>
    <w:rsid w:val="00FB6822"/>
    <w:rsid w:val="00FB697E"/>
    <w:rsid w:val="00FB6ACC"/>
    <w:rsid w:val="00FB6AD5"/>
    <w:rsid w:val="00FB6C0E"/>
    <w:rsid w:val="00FB6F3B"/>
    <w:rsid w:val="00FB6FEA"/>
    <w:rsid w:val="00FB701C"/>
    <w:rsid w:val="00FB71AE"/>
    <w:rsid w:val="00FB7208"/>
    <w:rsid w:val="00FB772C"/>
    <w:rsid w:val="00FB778B"/>
    <w:rsid w:val="00FB7817"/>
    <w:rsid w:val="00FB78F7"/>
    <w:rsid w:val="00FB79AA"/>
    <w:rsid w:val="00FB79B7"/>
    <w:rsid w:val="00FB7A86"/>
    <w:rsid w:val="00FB7A8D"/>
    <w:rsid w:val="00FC0093"/>
    <w:rsid w:val="00FC0272"/>
    <w:rsid w:val="00FC0439"/>
    <w:rsid w:val="00FC0509"/>
    <w:rsid w:val="00FC0582"/>
    <w:rsid w:val="00FC06B7"/>
    <w:rsid w:val="00FC06D9"/>
    <w:rsid w:val="00FC0A4C"/>
    <w:rsid w:val="00FC0B0F"/>
    <w:rsid w:val="00FC0B5E"/>
    <w:rsid w:val="00FC0BED"/>
    <w:rsid w:val="00FC0BEF"/>
    <w:rsid w:val="00FC0D78"/>
    <w:rsid w:val="00FC0F2A"/>
    <w:rsid w:val="00FC1212"/>
    <w:rsid w:val="00FC1274"/>
    <w:rsid w:val="00FC12D7"/>
    <w:rsid w:val="00FC1377"/>
    <w:rsid w:val="00FC1463"/>
    <w:rsid w:val="00FC1492"/>
    <w:rsid w:val="00FC149F"/>
    <w:rsid w:val="00FC167C"/>
    <w:rsid w:val="00FC1816"/>
    <w:rsid w:val="00FC1B64"/>
    <w:rsid w:val="00FC2177"/>
    <w:rsid w:val="00FC21C3"/>
    <w:rsid w:val="00FC22F5"/>
    <w:rsid w:val="00FC2433"/>
    <w:rsid w:val="00FC257A"/>
    <w:rsid w:val="00FC25C6"/>
    <w:rsid w:val="00FC2606"/>
    <w:rsid w:val="00FC2710"/>
    <w:rsid w:val="00FC27A3"/>
    <w:rsid w:val="00FC27FA"/>
    <w:rsid w:val="00FC28C7"/>
    <w:rsid w:val="00FC32CA"/>
    <w:rsid w:val="00FC33FF"/>
    <w:rsid w:val="00FC35B7"/>
    <w:rsid w:val="00FC390F"/>
    <w:rsid w:val="00FC393E"/>
    <w:rsid w:val="00FC3A90"/>
    <w:rsid w:val="00FC3B5D"/>
    <w:rsid w:val="00FC4098"/>
    <w:rsid w:val="00FC40CA"/>
    <w:rsid w:val="00FC41E9"/>
    <w:rsid w:val="00FC4334"/>
    <w:rsid w:val="00FC4375"/>
    <w:rsid w:val="00FC48D9"/>
    <w:rsid w:val="00FC4B8D"/>
    <w:rsid w:val="00FC4F2F"/>
    <w:rsid w:val="00FC536A"/>
    <w:rsid w:val="00FC55CF"/>
    <w:rsid w:val="00FC5639"/>
    <w:rsid w:val="00FC5673"/>
    <w:rsid w:val="00FC584D"/>
    <w:rsid w:val="00FC5A63"/>
    <w:rsid w:val="00FC5DE7"/>
    <w:rsid w:val="00FC5EBA"/>
    <w:rsid w:val="00FC5F94"/>
    <w:rsid w:val="00FC606B"/>
    <w:rsid w:val="00FC6117"/>
    <w:rsid w:val="00FC6194"/>
    <w:rsid w:val="00FC620A"/>
    <w:rsid w:val="00FC62BC"/>
    <w:rsid w:val="00FC6378"/>
    <w:rsid w:val="00FC6493"/>
    <w:rsid w:val="00FC65F1"/>
    <w:rsid w:val="00FC6761"/>
    <w:rsid w:val="00FC67AA"/>
    <w:rsid w:val="00FC6A37"/>
    <w:rsid w:val="00FC6A8F"/>
    <w:rsid w:val="00FC6B2B"/>
    <w:rsid w:val="00FC6B5F"/>
    <w:rsid w:val="00FC6EAC"/>
    <w:rsid w:val="00FC7017"/>
    <w:rsid w:val="00FC7208"/>
    <w:rsid w:val="00FC731F"/>
    <w:rsid w:val="00FC746A"/>
    <w:rsid w:val="00FC764C"/>
    <w:rsid w:val="00FC76F9"/>
    <w:rsid w:val="00FC781B"/>
    <w:rsid w:val="00FC787F"/>
    <w:rsid w:val="00FC78B2"/>
    <w:rsid w:val="00FC7B3B"/>
    <w:rsid w:val="00FC7F5B"/>
    <w:rsid w:val="00FD0133"/>
    <w:rsid w:val="00FD034D"/>
    <w:rsid w:val="00FD04A0"/>
    <w:rsid w:val="00FD0506"/>
    <w:rsid w:val="00FD08E5"/>
    <w:rsid w:val="00FD0916"/>
    <w:rsid w:val="00FD0958"/>
    <w:rsid w:val="00FD0975"/>
    <w:rsid w:val="00FD0976"/>
    <w:rsid w:val="00FD0A15"/>
    <w:rsid w:val="00FD0CD0"/>
    <w:rsid w:val="00FD10D7"/>
    <w:rsid w:val="00FD120D"/>
    <w:rsid w:val="00FD13E5"/>
    <w:rsid w:val="00FD152A"/>
    <w:rsid w:val="00FD1562"/>
    <w:rsid w:val="00FD17CE"/>
    <w:rsid w:val="00FD183F"/>
    <w:rsid w:val="00FD1AD1"/>
    <w:rsid w:val="00FD1C24"/>
    <w:rsid w:val="00FD1C48"/>
    <w:rsid w:val="00FD1FC1"/>
    <w:rsid w:val="00FD21B8"/>
    <w:rsid w:val="00FD238C"/>
    <w:rsid w:val="00FD2874"/>
    <w:rsid w:val="00FD2AAE"/>
    <w:rsid w:val="00FD2AC4"/>
    <w:rsid w:val="00FD2AF6"/>
    <w:rsid w:val="00FD2DCE"/>
    <w:rsid w:val="00FD2FD9"/>
    <w:rsid w:val="00FD31CE"/>
    <w:rsid w:val="00FD3304"/>
    <w:rsid w:val="00FD3509"/>
    <w:rsid w:val="00FD38C9"/>
    <w:rsid w:val="00FD3A57"/>
    <w:rsid w:val="00FD3B4C"/>
    <w:rsid w:val="00FD3BC8"/>
    <w:rsid w:val="00FD3C02"/>
    <w:rsid w:val="00FD3D81"/>
    <w:rsid w:val="00FD41CC"/>
    <w:rsid w:val="00FD4319"/>
    <w:rsid w:val="00FD4478"/>
    <w:rsid w:val="00FD44A2"/>
    <w:rsid w:val="00FD451A"/>
    <w:rsid w:val="00FD4550"/>
    <w:rsid w:val="00FD4700"/>
    <w:rsid w:val="00FD4950"/>
    <w:rsid w:val="00FD50EF"/>
    <w:rsid w:val="00FD521E"/>
    <w:rsid w:val="00FD53D9"/>
    <w:rsid w:val="00FD5490"/>
    <w:rsid w:val="00FD54DA"/>
    <w:rsid w:val="00FD5E77"/>
    <w:rsid w:val="00FD5FDD"/>
    <w:rsid w:val="00FD61B6"/>
    <w:rsid w:val="00FD6335"/>
    <w:rsid w:val="00FD6341"/>
    <w:rsid w:val="00FD6354"/>
    <w:rsid w:val="00FD6603"/>
    <w:rsid w:val="00FD66A0"/>
    <w:rsid w:val="00FD66DF"/>
    <w:rsid w:val="00FD688B"/>
    <w:rsid w:val="00FD6D33"/>
    <w:rsid w:val="00FD6DFE"/>
    <w:rsid w:val="00FD6ECB"/>
    <w:rsid w:val="00FD725D"/>
    <w:rsid w:val="00FD7271"/>
    <w:rsid w:val="00FD72D2"/>
    <w:rsid w:val="00FD754A"/>
    <w:rsid w:val="00FD75BD"/>
    <w:rsid w:val="00FD788D"/>
    <w:rsid w:val="00FD78ED"/>
    <w:rsid w:val="00FD7C1D"/>
    <w:rsid w:val="00FD7C6B"/>
    <w:rsid w:val="00FE001C"/>
    <w:rsid w:val="00FE0048"/>
    <w:rsid w:val="00FE018F"/>
    <w:rsid w:val="00FE02B9"/>
    <w:rsid w:val="00FE02FA"/>
    <w:rsid w:val="00FE0357"/>
    <w:rsid w:val="00FE048B"/>
    <w:rsid w:val="00FE04C6"/>
    <w:rsid w:val="00FE050F"/>
    <w:rsid w:val="00FE0570"/>
    <w:rsid w:val="00FE060F"/>
    <w:rsid w:val="00FE067B"/>
    <w:rsid w:val="00FE0990"/>
    <w:rsid w:val="00FE09EE"/>
    <w:rsid w:val="00FE0A3B"/>
    <w:rsid w:val="00FE0BA6"/>
    <w:rsid w:val="00FE0C79"/>
    <w:rsid w:val="00FE0CC6"/>
    <w:rsid w:val="00FE0E61"/>
    <w:rsid w:val="00FE0EBB"/>
    <w:rsid w:val="00FE130F"/>
    <w:rsid w:val="00FE1337"/>
    <w:rsid w:val="00FE1693"/>
    <w:rsid w:val="00FE176A"/>
    <w:rsid w:val="00FE1788"/>
    <w:rsid w:val="00FE17B5"/>
    <w:rsid w:val="00FE1847"/>
    <w:rsid w:val="00FE1879"/>
    <w:rsid w:val="00FE1B5A"/>
    <w:rsid w:val="00FE1B88"/>
    <w:rsid w:val="00FE1C68"/>
    <w:rsid w:val="00FE23AD"/>
    <w:rsid w:val="00FE23F9"/>
    <w:rsid w:val="00FE257B"/>
    <w:rsid w:val="00FE2602"/>
    <w:rsid w:val="00FE262F"/>
    <w:rsid w:val="00FE292C"/>
    <w:rsid w:val="00FE2A6E"/>
    <w:rsid w:val="00FE2ECB"/>
    <w:rsid w:val="00FE2FBD"/>
    <w:rsid w:val="00FE32AC"/>
    <w:rsid w:val="00FE347D"/>
    <w:rsid w:val="00FE3508"/>
    <w:rsid w:val="00FE3655"/>
    <w:rsid w:val="00FE374D"/>
    <w:rsid w:val="00FE37B7"/>
    <w:rsid w:val="00FE3957"/>
    <w:rsid w:val="00FE3C8D"/>
    <w:rsid w:val="00FE3CB6"/>
    <w:rsid w:val="00FE3D38"/>
    <w:rsid w:val="00FE3D90"/>
    <w:rsid w:val="00FE3DDD"/>
    <w:rsid w:val="00FE3EE5"/>
    <w:rsid w:val="00FE3F0A"/>
    <w:rsid w:val="00FE4084"/>
    <w:rsid w:val="00FE42DA"/>
    <w:rsid w:val="00FE4735"/>
    <w:rsid w:val="00FE4840"/>
    <w:rsid w:val="00FE4964"/>
    <w:rsid w:val="00FE50DD"/>
    <w:rsid w:val="00FE52DC"/>
    <w:rsid w:val="00FE5379"/>
    <w:rsid w:val="00FE591F"/>
    <w:rsid w:val="00FE5B82"/>
    <w:rsid w:val="00FE5BA6"/>
    <w:rsid w:val="00FE5CA9"/>
    <w:rsid w:val="00FE5D23"/>
    <w:rsid w:val="00FE5E01"/>
    <w:rsid w:val="00FE6200"/>
    <w:rsid w:val="00FE63C5"/>
    <w:rsid w:val="00FE655E"/>
    <w:rsid w:val="00FE674C"/>
    <w:rsid w:val="00FE6766"/>
    <w:rsid w:val="00FE6B17"/>
    <w:rsid w:val="00FE6C5D"/>
    <w:rsid w:val="00FE6C75"/>
    <w:rsid w:val="00FE6D8C"/>
    <w:rsid w:val="00FE6E5F"/>
    <w:rsid w:val="00FE6FCA"/>
    <w:rsid w:val="00FE715A"/>
    <w:rsid w:val="00FE7188"/>
    <w:rsid w:val="00FE71A7"/>
    <w:rsid w:val="00FE72AE"/>
    <w:rsid w:val="00FE72D7"/>
    <w:rsid w:val="00FE7733"/>
    <w:rsid w:val="00FE7A24"/>
    <w:rsid w:val="00FE7A6C"/>
    <w:rsid w:val="00FE7CD3"/>
    <w:rsid w:val="00FE7D2C"/>
    <w:rsid w:val="00FE7E37"/>
    <w:rsid w:val="00FF02E6"/>
    <w:rsid w:val="00FF037F"/>
    <w:rsid w:val="00FF03E3"/>
    <w:rsid w:val="00FF0479"/>
    <w:rsid w:val="00FF0694"/>
    <w:rsid w:val="00FF06A5"/>
    <w:rsid w:val="00FF08F6"/>
    <w:rsid w:val="00FF0D13"/>
    <w:rsid w:val="00FF0E26"/>
    <w:rsid w:val="00FF0EE3"/>
    <w:rsid w:val="00FF0F8E"/>
    <w:rsid w:val="00FF0FD4"/>
    <w:rsid w:val="00FF0FF8"/>
    <w:rsid w:val="00FF12A4"/>
    <w:rsid w:val="00FF14C6"/>
    <w:rsid w:val="00FF153E"/>
    <w:rsid w:val="00FF19B9"/>
    <w:rsid w:val="00FF19FB"/>
    <w:rsid w:val="00FF1BBD"/>
    <w:rsid w:val="00FF1D3B"/>
    <w:rsid w:val="00FF1E4A"/>
    <w:rsid w:val="00FF1E5B"/>
    <w:rsid w:val="00FF1F6B"/>
    <w:rsid w:val="00FF2017"/>
    <w:rsid w:val="00FF213F"/>
    <w:rsid w:val="00FF2172"/>
    <w:rsid w:val="00FF21C2"/>
    <w:rsid w:val="00FF2243"/>
    <w:rsid w:val="00FF2369"/>
    <w:rsid w:val="00FF25F3"/>
    <w:rsid w:val="00FF263E"/>
    <w:rsid w:val="00FF2655"/>
    <w:rsid w:val="00FF266E"/>
    <w:rsid w:val="00FF27C0"/>
    <w:rsid w:val="00FF27DB"/>
    <w:rsid w:val="00FF27FE"/>
    <w:rsid w:val="00FF2927"/>
    <w:rsid w:val="00FF29C3"/>
    <w:rsid w:val="00FF2BC4"/>
    <w:rsid w:val="00FF2D26"/>
    <w:rsid w:val="00FF3118"/>
    <w:rsid w:val="00FF3172"/>
    <w:rsid w:val="00FF31C3"/>
    <w:rsid w:val="00FF32FE"/>
    <w:rsid w:val="00FF349A"/>
    <w:rsid w:val="00FF3675"/>
    <w:rsid w:val="00FF386D"/>
    <w:rsid w:val="00FF3C1A"/>
    <w:rsid w:val="00FF3DA2"/>
    <w:rsid w:val="00FF4063"/>
    <w:rsid w:val="00FF40BF"/>
    <w:rsid w:val="00FF40E0"/>
    <w:rsid w:val="00FF4123"/>
    <w:rsid w:val="00FF4272"/>
    <w:rsid w:val="00FF4451"/>
    <w:rsid w:val="00FF453D"/>
    <w:rsid w:val="00FF459D"/>
    <w:rsid w:val="00FF46D6"/>
    <w:rsid w:val="00FF498D"/>
    <w:rsid w:val="00FF4B2F"/>
    <w:rsid w:val="00FF4F01"/>
    <w:rsid w:val="00FF53B8"/>
    <w:rsid w:val="00FF547E"/>
    <w:rsid w:val="00FF5529"/>
    <w:rsid w:val="00FF567E"/>
    <w:rsid w:val="00FF5836"/>
    <w:rsid w:val="00FF584F"/>
    <w:rsid w:val="00FF5922"/>
    <w:rsid w:val="00FF5D1A"/>
    <w:rsid w:val="00FF5DE0"/>
    <w:rsid w:val="00FF5DFF"/>
    <w:rsid w:val="00FF5F45"/>
    <w:rsid w:val="00FF5FBC"/>
    <w:rsid w:val="00FF6654"/>
    <w:rsid w:val="00FF6899"/>
    <w:rsid w:val="00FF68FB"/>
    <w:rsid w:val="00FF6A95"/>
    <w:rsid w:val="00FF6AC0"/>
    <w:rsid w:val="00FF6AE5"/>
    <w:rsid w:val="00FF6C10"/>
    <w:rsid w:val="00FF6D5A"/>
    <w:rsid w:val="00FF6F96"/>
    <w:rsid w:val="00FF70FF"/>
    <w:rsid w:val="00FF71F9"/>
    <w:rsid w:val="00FF72F1"/>
    <w:rsid w:val="00FF731E"/>
    <w:rsid w:val="00FF73D1"/>
    <w:rsid w:val="00FF7480"/>
    <w:rsid w:val="00FF7646"/>
    <w:rsid w:val="00FF77A5"/>
    <w:rsid w:val="00FF77E2"/>
    <w:rsid w:val="00FF7858"/>
    <w:rsid w:val="00FF7B02"/>
    <w:rsid w:val="00FF7C05"/>
    <w:rsid w:val="00FF7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2F83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envelope address" w:semiHidden="1" w:unhideWhenUsed="1"/>
    <w:lsdException w:name="envelope return" w:semiHidden="1" w:unhideWhenUsed="1"/>
    <w:lsdException w:name="line number" w:semiHidden="1" w:unhideWhenUsed="1"/>
    <w:lsdException w:name="page number" w:uiPriority="99"/>
    <w:lsdException w:name="List" w:semiHidden="1" w:unhideWhenUsed="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uiPriority="99"/>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Default Paragraph Font" w:uiPriority="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uiPriority="1"/>
    <w:lsdException w:name="Subtitle" w:qFormat="1"/>
    <w:lsdException w:name="Body Text First Indent" w:semiHidden="1" w:unhideWhenUsed="1"/>
    <w:lsdException w:name="Body Text First Indent 2" w:semiHidden="1" w:unhideWhenUsed="1"/>
    <w:lsdException w:name="Note Heading" w:uiPriority="2"/>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semiHidden="1"/>
    <w:lsdException w:name="Emphasis" w:semiHidden="1" w:uiPriority="20" w:unhideWhenUsed="1" w:qFormat="1"/>
    <w:lsdException w:name="E-mail Signature" w:semiHidden="1" w:unhideWhenUsed="1"/>
    <w:lsdException w:name="Normal (Web)" w:semiHidden="1" w:uiPriority="99"/>
    <w:lsdException w:name="HTML Acronym" w:semiHidden="1"/>
    <w:lsdException w:name="HTML Address" w:semiHidden="1"/>
    <w:lsdException w:name="HTML Cite" w:semiHidden="1" w:uiPriority="99"/>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14F"/>
    <w:pPr>
      <w:spacing w:before="120" w:after="240"/>
    </w:pPr>
    <w:rPr>
      <w:rFonts w:asciiTheme="minorHAnsi" w:hAnsiTheme="minorHAnsi"/>
      <w:color w:val="000000"/>
      <w:sz w:val="22"/>
    </w:rPr>
  </w:style>
  <w:style w:type="paragraph" w:styleId="Heading1">
    <w:name w:val="heading 1"/>
    <w:basedOn w:val="HeadingBase"/>
    <w:next w:val="Normal"/>
    <w:link w:val="Heading1Char"/>
    <w:qFormat/>
    <w:rsid w:val="00392423"/>
    <w:pPr>
      <w:numPr>
        <w:numId w:val="15"/>
      </w:numPr>
      <w:spacing w:before="240" w:after="360"/>
      <w:outlineLvl w:val="0"/>
    </w:pPr>
    <w:rPr>
      <w:rFonts w:cs="Arial"/>
      <w:bCs/>
      <w:smallCaps/>
      <w:kern w:val="32"/>
      <w:sz w:val="40"/>
      <w:szCs w:val="36"/>
    </w:rPr>
  </w:style>
  <w:style w:type="paragraph" w:styleId="Heading2">
    <w:name w:val="heading 2"/>
    <w:basedOn w:val="HeadingBase"/>
    <w:next w:val="Normal"/>
    <w:link w:val="Heading2Char"/>
    <w:qFormat/>
    <w:rsid w:val="00472CD2"/>
    <w:pPr>
      <w:numPr>
        <w:ilvl w:val="1"/>
        <w:numId w:val="15"/>
      </w:numPr>
      <w:spacing w:before="360" w:after="180"/>
      <w:outlineLvl w:val="1"/>
    </w:pPr>
    <w:rPr>
      <w:rFonts w:cs="Arial"/>
      <w:bCs/>
      <w:iCs/>
      <w:smallCaps/>
      <w:color w:val="009976" w:themeColor="accent1"/>
      <w:sz w:val="32"/>
      <w:szCs w:val="28"/>
      <w:lang w:val="en"/>
    </w:rPr>
  </w:style>
  <w:style w:type="paragraph" w:styleId="Heading3">
    <w:name w:val="heading 3"/>
    <w:basedOn w:val="HeadingBase"/>
    <w:next w:val="Normal"/>
    <w:link w:val="Heading3Char"/>
    <w:qFormat/>
    <w:rsid w:val="00FB084C"/>
    <w:pPr>
      <w:spacing w:before="240" w:after="120"/>
      <w:outlineLvl w:val="2"/>
    </w:pPr>
    <w:rPr>
      <w:rFonts w:cs="Arial"/>
      <w:b/>
      <w:bCs/>
      <w:sz w:val="28"/>
      <w:szCs w:val="26"/>
    </w:rPr>
  </w:style>
  <w:style w:type="paragraph" w:styleId="Heading4">
    <w:name w:val="heading 4"/>
    <w:basedOn w:val="HeadingBase"/>
    <w:next w:val="Normal"/>
    <w:link w:val="Heading4Char"/>
    <w:unhideWhenUsed/>
    <w:qFormat/>
    <w:rsid w:val="009E3B2D"/>
    <w:pPr>
      <w:spacing w:before="120" w:after="240"/>
      <w:ind w:left="864" w:hanging="864"/>
      <w:outlineLvl w:val="3"/>
    </w:pPr>
    <w:rPr>
      <w:bCs/>
      <w:sz w:val="26"/>
      <w:szCs w:val="22"/>
    </w:rPr>
  </w:style>
  <w:style w:type="paragraph" w:styleId="Heading5">
    <w:name w:val="heading 5"/>
    <w:basedOn w:val="HeadingBase"/>
    <w:next w:val="Normal"/>
    <w:link w:val="Heading5Char"/>
    <w:unhideWhenUsed/>
    <w:rsid w:val="00AC6072"/>
    <w:pPr>
      <w:numPr>
        <w:ilvl w:val="4"/>
        <w:numId w:val="10"/>
      </w:numPr>
      <w:spacing w:after="120"/>
      <w:outlineLvl w:val="4"/>
    </w:pPr>
    <w:rPr>
      <w:b/>
      <w:bCs/>
      <w:iCs/>
      <w:sz w:val="24"/>
    </w:rPr>
  </w:style>
  <w:style w:type="paragraph" w:styleId="Heading6">
    <w:name w:val="heading 6"/>
    <w:basedOn w:val="HeadingBase"/>
    <w:next w:val="Normal"/>
    <w:rsid w:val="00AC6072"/>
    <w:pPr>
      <w:numPr>
        <w:ilvl w:val="5"/>
        <w:numId w:val="10"/>
      </w:numPr>
      <w:spacing w:after="120"/>
      <w:outlineLvl w:val="5"/>
    </w:pPr>
    <w:rPr>
      <w:bCs/>
      <w:sz w:val="22"/>
      <w:szCs w:val="22"/>
    </w:rPr>
  </w:style>
  <w:style w:type="paragraph" w:styleId="Heading7">
    <w:name w:val="heading 7"/>
    <w:basedOn w:val="HeadingBase"/>
    <w:next w:val="Normal"/>
    <w:link w:val="Heading7Char"/>
    <w:semiHidden/>
    <w:rsid w:val="00AC6072"/>
    <w:pPr>
      <w:numPr>
        <w:ilvl w:val="6"/>
        <w:numId w:val="10"/>
      </w:numPr>
      <w:spacing w:after="120"/>
      <w:outlineLvl w:val="6"/>
    </w:pPr>
    <w:rPr>
      <w:szCs w:val="24"/>
    </w:rPr>
  </w:style>
  <w:style w:type="paragraph" w:styleId="Heading8">
    <w:name w:val="heading 8"/>
    <w:basedOn w:val="HeadingBase"/>
    <w:next w:val="Normal"/>
    <w:semiHidden/>
    <w:rsid w:val="00AC6072"/>
    <w:pPr>
      <w:numPr>
        <w:ilvl w:val="7"/>
        <w:numId w:val="10"/>
      </w:numPr>
      <w:spacing w:before="60" w:after="60"/>
      <w:jc w:val="center"/>
      <w:outlineLvl w:val="7"/>
    </w:pPr>
    <w:rPr>
      <w:iCs/>
      <w:smallCaps/>
      <w:sz w:val="22"/>
      <w:szCs w:val="24"/>
    </w:rPr>
  </w:style>
  <w:style w:type="paragraph" w:styleId="Heading9">
    <w:name w:val="heading 9"/>
    <w:basedOn w:val="HeadingBase"/>
    <w:next w:val="Normal"/>
    <w:semiHidden/>
    <w:rsid w:val="00AC6072"/>
    <w:pPr>
      <w:numPr>
        <w:ilvl w:val="8"/>
        <w:numId w:val="10"/>
      </w:num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AC6072"/>
    <w:pPr>
      <w:spacing w:before="0" w:after="0"/>
    </w:pPr>
  </w:style>
  <w:style w:type="character" w:styleId="Hyperlink">
    <w:name w:val="Hyperlink"/>
    <w:basedOn w:val="DefaultParagraphFont"/>
    <w:uiPriority w:val="99"/>
    <w:unhideWhenUsed/>
    <w:rsid w:val="00AC6072"/>
    <w:rPr>
      <w:color w:val="129391" w:themeColor="accent2"/>
      <w:u w:val="none"/>
    </w:rPr>
  </w:style>
  <w:style w:type="character" w:customStyle="1" w:styleId="BoldandItalic">
    <w:name w:val="Bold and Italic"/>
    <w:basedOn w:val="DefaultParagraphFont"/>
    <w:rsid w:val="00AC6072"/>
    <w:rPr>
      <w:rFonts w:ascii="Calibri" w:hAnsi="Calibri"/>
      <w:b/>
      <w:i/>
    </w:rPr>
  </w:style>
  <w:style w:type="table" w:styleId="TableGrid">
    <w:name w:val="Table Grid"/>
    <w:basedOn w:val="TableNormal"/>
    <w:rsid w:val="00AC6072"/>
    <w:pPr>
      <w:spacing w:after="240" w:line="260" w:lineRule="exact"/>
      <w:jc w:val="both"/>
    </w:pPr>
    <w:tblPr/>
    <w:tcPr>
      <w:shd w:val="clear" w:color="auto" w:fill="E6E6E6"/>
    </w:tcPr>
  </w:style>
  <w:style w:type="paragraph" w:customStyle="1" w:styleId="TableColumnHeadingBase">
    <w:name w:val="Table Column Heading Base"/>
    <w:basedOn w:val="Normal"/>
    <w:uiPriority w:val="1"/>
    <w:unhideWhenUsed/>
    <w:rsid w:val="00AC6072"/>
    <w:pPr>
      <w:spacing w:before="40" w:after="40"/>
    </w:pPr>
    <w:rPr>
      <w:b/>
      <w:color w:val="009976"/>
      <w:sz w:val="16"/>
    </w:rPr>
  </w:style>
  <w:style w:type="paragraph" w:styleId="FootnoteText">
    <w:name w:val="footnote text"/>
    <w:basedOn w:val="Normal"/>
    <w:link w:val="FootnoteTextChar"/>
    <w:uiPriority w:val="99"/>
    <w:unhideWhenUsed/>
    <w:rsid w:val="00271F1A"/>
    <w:pPr>
      <w:tabs>
        <w:tab w:val="left" w:pos="284"/>
      </w:tabs>
      <w:spacing w:before="60" w:after="0"/>
      <w:ind w:left="284" w:hanging="284"/>
    </w:pPr>
    <w:rPr>
      <w:sz w:val="18"/>
    </w:rPr>
  </w:style>
  <w:style w:type="paragraph" w:customStyle="1" w:styleId="Bullet">
    <w:name w:val="Bullet"/>
    <w:basedOn w:val="Normal"/>
    <w:link w:val="BulletChar"/>
    <w:qFormat/>
    <w:rsid w:val="00271F1A"/>
    <w:pPr>
      <w:numPr>
        <w:numId w:val="24"/>
      </w:numPr>
      <w:spacing w:after="120"/>
    </w:pPr>
  </w:style>
  <w:style w:type="paragraph" w:customStyle="1" w:styleId="Dash">
    <w:name w:val="Dash"/>
    <w:basedOn w:val="Normal"/>
    <w:link w:val="DashChar"/>
    <w:rsid w:val="00AC6072"/>
    <w:pPr>
      <w:numPr>
        <w:ilvl w:val="1"/>
        <w:numId w:val="24"/>
      </w:numPr>
    </w:pPr>
  </w:style>
  <w:style w:type="paragraph" w:customStyle="1" w:styleId="DoubleDot">
    <w:name w:val="Double Dot"/>
    <w:basedOn w:val="Normal"/>
    <w:link w:val="DoubleDotChar"/>
    <w:rsid w:val="00AC6072"/>
    <w:pPr>
      <w:numPr>
        <w:ilvl w:val="2"/>
        <w:numId w:val="24"/>
      </w:numPr>
      <w:tabs>
        <w:tab w:val="clear" w:pos="1700"/>
        <w:tab w:val="num" w:pos="360"/>
      </w:tabs>
    </w:pPr>
  </w:style>
  <w:style w:type="paragraph" w:customStyle="1" w:styleId="OutlineNumbered1">
    <w:name w:val="Outline Numbered 1"/>
    <w:basedOn w:val="Normal"/>
    <w:link w:val="OutlineNumbered1Char"/>
    <w:rsid w:val="00AC6072"/>
    <w:pPr>
      <w:numPr>
        <w:numId w:val="9"/>
      </w:numPr>
      <w:spacing w:before="0" w:line="280" w:lineRule="exact"/>
      <w:jc w:val="both"/>
    </w:pPr>
  </w:style>
  <w:style w:type="paragraph" w:customStyle="1" w:styleId="OutlineNumbered2">
    <w:name w:val="Outline Numbered 2"/>
    <w:basedOn w:val="Normal"/>
    <w:link w:val="OutlineNumbered2Char"/>
    <w:qFormat/>
    <w:rsid w:val="00AC6072"/>
    <w:pPr>
      <w:numPr>
        <w:ilvl w:val="1"/>
        <w:numId w:val="8"/>
      </w:numPr>
      <w:spacing w:before="0" w:line="280" w:lineRule="exact"/>
      <w:jc w:val="both"/>
    </w:pPr>
  </w:style>
  <w:style w:type="paragraph" w:customStyle="1" w:styleId="OutlineNumbered3">
    <w:name w:val="Outline Numbered 3"/>
    <w:basedOn w:val="Normal"/>
    <w:link w:val="OutlineNumbered3Char"/>
    <w:rsid w:val="003C70A8"/>
    <w:pPr>
      <w:numPr>
        <w:ilvl w:val="2"/>
        <w:numId w:val="14"/>
      </w:numPr>
      <w:spacing w:before="0" w:after="120"/>
    </w:pPr>
  </w:style>
  <w:style w:type="paragraph" w:customStyle="1" w:styleId="AlphaParagraph">
    <w:name w:val="Alpha Paragraph"/>
    <w:basedOn w:val="Normal"/>
    <w:uiPriority w:val="1"/>
    <w:rsid w:val="00AC6072"/>
    <w:pPr>
      <w:numPr>
        <w:numId w:val="2"/>
      </w:numPr>
    </w:pPr>
  </w:style>
  <w:style w:type="paragraph" w:customStyle="1" w:styleId="HeadingBase">
    <w:name w:val="Heading Base"/>
    <w:next w:val="Normal"/>
    <w:rsid w:val="00AC6072"/>
    <w:pPr>
      <w:keepNext/>
    </w:pPr>
    <w:rPr>
      <w:rFonts w:ascii="Calibri" w:hAnsi="Calibri"/>
      <w:color w:val="009976"/>
    </w:rPr>
  </w:style>
  <w:style w:type="paragraph" w:customStyle="1" w:styleId="AppendixHeading">
    <w:name w:val="Appendix Heading"/>
    <w:basedOn w:val="HeadingBase"/>
    <w:next w:val="Normal"/>
    <w:rsid w:val="00AC6072"/>
    <w:pPr>
      <w:spacing w:before="720" w:after="360"/>
      <w:outlineLvl w:val="0"/>
    </w:pPr>
    <w:rPr>
      <w:b/>
      <w:smallCaps/>
      <w:sz w:val="36"/>
      <w:szCs w:val="36"/>
    </w:rPr>
  </w:style>
  <w:style w:type="character" w:customStyle="1" w:styleId="Bold">
    <w:name w:val="Bold"/>
    <w:basedOn w:val="DefaultParagraphFont"/>
    <w:rsid w:val="00AC6072"/>
    <w:rPr>
      <w:b/>
    </w:rPr>
  </w:style>
  <w:style w:type="paragraph" w:customStyle="1" w:styleId="BoxHeading">
    <w:name w:val="Box Heading"/>
    <w:basedOn w:val="HeadingBase"/>
    <w:next w:val="BoxText"/>
    <w:unhideWhenUsed/>
    <w:rsid w:val="00AC6072"/>
    <w:pPr>
      <w:spacing w:before="240" w:after="120"/>
    </w:pPr>
    <w:rPr>
      <w:b/>
      <w:sz w:val="22"/>
    </w:rPr>
  </w:style>
  <w:style w:type="paragraph" w:customStyle="1" w:styleId="BoxTextBase">
    <w:name w:val="Box Text Base"/>
    <w:basedOn w:val="Normal"/>
    <w:unhideWhenUsed/>
    <w:rsid w:val="00AC6072"/>
  </w:style>
  <w:style w:type="paragraph" w:customStyle="1" w:styleId="ChartandTableFootnoteAlpha">
    <w:name w:val="Chart and Table Footnote Alpha"/>
    <w:rsid w:val="00AC6072"/>
    <w:pPr>
      <w:numPr>
        <w:numId w:val="3"/>
      </w:numPr>
      <w:tabs>
        <w:tab w:val="clear" w:pos="283"/>
        <w:tab w:val="num" w:pos="360"/>
      </w:tabs>
      <w:ind w:left="0" w:firstLine="0"/>
      <w:jc w:val="both"/>
    </w:pPr>
    <w:rPr>
      <w:rFonts w:ascii="Arial" w:hAnsi="Arial"/>
      <w:color w:val="000000"/>
      <w:sz w:val="16"/>
      <w:szCs w:val="16"/>
    </w:rPr>
  </w:style>
  <w:style w:type="paragraph" w:customStyle="1" w:styleId="ChartGraphic">
    <w:name w:val="Chart Graphic"/>
    <w:basedOn w:val="HeadingBase"/>
    <w:next w:val="Normal"/>
    <w:rsid w:val="00AC6072"/>
    <w:pPr>
      <w:jc w:val="center"/>
    </w:pPr>
  </w:style>
  <w:style w:type="paragraph" w:customStyle="1" w:styleId="ChartMainHeading">
    <w:name w:val="Chart Main Heading"/>
    <w:basedOn w:val="HeadingBase"/>
    <w:next w:val="ChartGraphic"/>
    <w:rsid w:val="00AC6072"/>
    <w:pPr>
      <w:spacing w:after="20"/>
      <w:jc w:val="center"/>
    </w:pPr>
    <w:rPr>
      <w:b/>
      <w:sz w:val="22"/>
    </w:rPr>
  </w:style>
  <w:style w:type="paragraph" w:customStyle="1" w:styleId="ChartorTableNote">
    <w:name w:val="Chart or Table Note"/>
    <w:next w:val="Normal"/>
    <w:rsid w:val="00AC6072"/>
    <w:pPr>
      <w:jc w:val="both"/>
    </w:pPr>
    <w:rPr>
      <w:rFonts w:ascii="Arial" w:hAnsi="Arial"/>
      <w:color w:val="000000"/>
      <w:sz w:val="16"/>
    </w:rPr>
  </w:style>
  <w:style w:type="paragraph" w:customStyle="1" w:styleId="ChartSecondHeading">
    <w:name w:val="Chart Second Heading"/>
    <w:basedOn w:val="HeadingBase"/>
    <w:next w:val="ChartGraphic"/>
    <w:rsid w:val="00AC6072"/>
    <w:pPr>
      <w:spacing w:after="20"/>
      <w:jc w:val="center"/>
    </w:pPr>
  </w:style>
  <w:style w:type="paragraph" w:customStyle="1" w:styleId="Classification">
    <w:name w:val="Classification"/>
    <w:basedOn w:val="HeadingBase"/>
    <w:next w:val="Footer"/>
    <w:semiHidden/>
    <w:rsid w:val="00AC6072"/>
    <w:pPr>
      <w:spacing w:after="120"/>
      <w:jc w:val="center"/>
    </w:pPr>
    <w:rPr>
      <w:b/>
      <w:smallCaps/>
    </w:rPr>
  </w:style>
  <w:style w:type="paragraph" w:styleId="Footer">
    <w:name w:val="footer"/>
    <w:basedOn w:val="HeadingBase"/>
    <w:link w:val="FooterChar"/>
    <w:uiPriority w:val="99"/>
    <w:unhideWhenUsed/>
    <w:rsid w:val="00AC6072"/>
    <w:pPr>
      <w:jc w:val="right"/>
    </w:pPr>
  </w:style>
  <w:style w:type="paragraph" w:customStyle="1" w:styleId="ContentsHeading">
    <w:name w:val="Contents Heading"/>
    <w:basedOn w:val="HeadingBase"/>
    <w:next w:val="Normal"/>
    <w:uiPriority w:val="2"/>
    <w:rsid w:val="00AC6072"/>
    <w:pPr>
      <w:spacing w:after="360"/>
      <w:jc w:val="center"/>
    </w:pPr>
    <w:rPr>
      <w:smallCaps/>
      <w:sz w:val="40"/>
      <w:szCs w:val="36"/>
    </w:rPr>
  </w:style>
  <w:style w:type="paragraph" w:customStyle="1" w:styleId="CoverTitleMain">
    <w:name w:val="Cover Title Main"/>
    <w:basedOn w:val="HeadingBase"/>
    <w:next w:val="Normal"/>
    <w:uiPriority w:val="2"/>
    <w:rsid w:val="00AC6072"/>
    <w:pPr>
      <w:spacing w:after="480"/>
    </w:pPr>
    <w:rPr>
      <w:b/>
      <w:sz w:val="48"/>
    </w:rPr>
  </w:style>
  <w:style w:type="paragraph" w:customStyle="1" w:styleId="CoverTitleSub">
    <w:name w:val="Cover Title Sub"/>
    <w:basedOn w:val="HeadingBase"/>
    <w:uiPriority w:val="2"/>
    <w:rsid w:val="00AC6072"/>
    <w:pPr>
      <w:pBdr>
        <w:top w:val="single" w:sz="4" w:space="1" w:color="009976"/>
      </w:pBdr>
      <w:spacing w:after="360"/>
      <w:jc w:val="right"/>
    </w:pPr>
    <w:rPr>
      <w:sz w:val="36"/>
    </w:rPr>
  </w:style>
  <w:style w:type="paragraph" w:customStyle="1" w:styleId="FooterCentered">
    <w:name w:val="Footer Centered"/>
    <w:basedOn w:val="Footer"/>
    <w:unhideWhenUsed/>
    <w:rsid w:val="00AC6072"/>
    <w:pPr>
      <w:jc w:val="center"/>
    </w:pPr>
  </w:style>
  <w:style w:type="paragraph" w:customStyle="1" w:styleId="FooterEven">
    <w:name w:val="Footer Even"/>
    <w:basedOn w:val="Footer"/>
    <w:unhideWhenUsed/>
    <w:rsid w:val="00AC6072"/>
    <w:pPr>
      <w:pBdr>
        <w:top w:val="single" w:sz="2" w:space="1" w:color="009976" w:themeColor="accent1"/>
      </w:pBdr>
      <w:jc w:val="left"/>
    </w:pPr>
  </w:style>
  <w:style w:type="paragraph" w:customStyle="1" w:styleId="FooterOdd">
    <w:name w:val="Footer Odd"/>
    <w:basedOn w:val="Footer"/>
    <w:unhideWhenUsed/>
    <w:rsid w:val="00AC6072"/>
    <w:pPr>
      <w:pBdr>
        <w:top w:val="single" w:sz="2" w:space="1" w:color="009976" w:themeColor="accent1"/>
      </w:pBdr>
    </w:pPr>
  </w:style>
  <w:style w:type="character" w:customStyle="1" w:styleId="FramedFooter">
    <w:name w:val="Framed Footer"/>
    <w:semiHidden/>
    <w:rsid w:val="00AC6072"/>
    <w:rPr>
      <w:rFonts w:ascii="Arial" w:hAnsi="Arial"/>
      <w:color w:val="009976" w:themeColor="accent1"/>
      <w:sz w:val="18"/>
    </w:rPr>
  </w:style>
  <w:style w:type="character" w:customStyle="1" w:styleId="FramedHeader">
    <w:name w:val="Framed Header"/>
    <w:basedOn w:val="DefaultParagraphFont"/>
    <w:rsid w:val="00AC6072"/>
    <w:rPr>
      <w:rFonts w:ascii="Arial" w:hAnsi="Arial"/>
      <w:dstrike w:val="0"/>
      <w:color w:val="009976" w:themeColor="accent1"/>
      <w:sz w:val="18"/>
      <w:vertAlign w:val="baseline"/>
    </w:rPr>
  </w:style>
  <w:style w:type="paragraph" w:styleId="Header">
    <w:name w:val="header"/>
    <w:basedOn w:val="HeadingBase"/>
    <w:link w:val="HeaderChar"/>
    <w:rsid w:val="00AC6072"/>
    <w:rPr>
      <w:sz w:val="18"/>
    </w:rPr>
  </w:style>
  <w:style w:type="paragraph" w:customStyle="1" w:styleId="HeaderEven">
    <w:name w:val="Header Even"/>
    <w:basedOn w:val="Header"/>
    <w:rsid w:val="00AC6072"/>
  </w:style>
  <w:style w:type="paragraph" w:customStyle="1" w:styleId="HeaderOdd">
    <w:name w:val="Header Odd"/>
    <w:basedOn w:val="Header"/>
    <w:rsid w:val="00AC6072"/>
    <w:pPr>
      <w:jc w:val="right"/>
    </w:pPr>
  </w:style>
  <w:style w:type="paragraph" w:styleId="NormalIndent">
    <w:name w:val="Normal Indent"/>
    <w:basedOn w:val="Normal"/>
    <w:semiHidden/>
    <w:rsid w:val="00AC6072"/>
    <w:pPr>
      <w:ind w:left="567"/>
    </w:pPr>
    <w:rPr>
      <w:i/>
    </w:rPr>
  </w:style>
  <w:style w:type="paragraph" w:customStyle="1" w:styleId="RecommendationHeading">
    <w:name w:val="Recommendation Heading"/>
    <w:basedOn w:val="HeadingBase"/>
    <w:next w:val="RecommendationText"/>
    <w:qFormat/>
    <w:rsid w:val="00AC6072"/>
    <w:pPr>
      <w:spacing w:before="120" w:after="120"/>
    </w:pPr>
    <w:rPr>
      <w:b/>
      <w:color w:val="009976" w:themeColor="accent1"/>
      <w:sz w:val="24"/>
    </w:rPr>
  </w:style>
  <w:style w:type="paragraph" w:customStyle="1" w:styleId="RecommendationTextBase">
    <w:name w:val="Recommendation Text Base"/>
    <w:basedOn w:val="Normal"/>
    <w:rsid w:val="00AC6072"/>
    <w:pPr>
      <w:spacing w:after="120"/>
    </w:pPr>
  </w:style>
  <w:style w:type="paragraph" w:customStyle="1" w:styleId="RecommendationText">
    <w:name w:val="Recommendation Text"/>
    <w:basedOn w:val="RecommendationTextBase"/>
    <w:qFormat/>
    <w:rsid w:val="00AC6072"/>
  </w:style>
  <w:style w:type="paragraph" w:customStyle="1" w:styleId="TableTextBase">
    <w:name w:val="Table Text Base"/>
    <w:uiPriority w:val="1"/>
    <w:unhideWhenUsed/>
    <w:rsid w:val="00AC6072"/>
    <w:pPr>
      <w:spacing w:before="40" w:after="40"/>
    </w:pPr>
    <w:rPr>
      <w:rFonts w:asciiTheme="minorHAnsi" w:hAnsiTheme="minorHAnsi"/>
      <w:color w:val="000000"/>
      <w:sz w:val="16"/>
    </w:rPr>
  </w:style>
  <w:style w:type="paragraph" w:customStyle="1" w:styleId="TableColumnHeadingCentred">
    <w:name w:val="Table Column Heading Centred"/>
    <w:basedOn w:val="TableColumnHeadingBase"/>
    <w:uiPriority w:val="1"/>
    <w:unhideWhenUsed/>
    <w:rsid w:val="00AC6072"/>
    <w:pPr>
      <w:jc w:val="center"/>
    </w:pPr>
  </w:style>
  <w:style w:type="paragraph" w:customStyle="1" w:styleId="TableColumnHeadingLeft">
    <w:name w:val="Table Column Heading Left"/>
    <w:basedOn w:val="TableColumnHeadingBase"/>
    <w:uiPriority w:val="1"/>
    <w:unhideWhenUsed/>
    <w:rsid w:val="00A24996"/>
    <w:pPr>
      <w:spacing w:before="120" w:after="120"/>
    </w:pPr>
    <w:rPr>
      <w:sz w:val="22"/>
    </w:rPr>
  </w:style>
  <w:style w:type="paragraph" w:customStyle="1" w:styleId="TableColumnHeadingRight">
    <w:name w:val="Table Column Heading Right"/>
    <w:basedOn w:val="TableColumnHeadingBase"/>
    <w:uiPriority w:val="1"/>
    <w:unhideWhenUsed/>
    <w:rsid w:val="00AC6072"/>
    <w:pPr>
      <w:jc w:val="right"/>
    </w:pPr>
  </w:style>
  <w:style w:type="paragraph" w:customStyle="1" w:styleId="TableGraphic">
    <w:name w:val="Table Graphic"/>
    <w:basedOn w:val="HeadingBase"/>
    <w:next w:val="Normal"/>
    <w:rsid w:val="00AC6072"/>
  </w:style>
  <w:style w:type="paragraph" w:customStyle="1" w:styleId="TableMainHeading">
    <w:name w:val="Table Main Heading"/>
    <w:basedOn w:val="HeadingBase"/>
    <w:next w:val="TableGraphic"/>
    <w:uiPriority w:val="1"/>
    <w:unhideWhenUsed/>
    <w:rsid w:val="00AC6072"/>
    <w:pPr>
      <w:spacing w:after="20"/>
    </w:pPr>
    <w:rPr>
      <w:b/>
      <w:sz w:val="22"/>
    </w:rPr>
  </w:style>
  <w:style w:type="paragraph" w:customStyle="1" w:styleId="TableMainHeadingContd">
    <w:name w:val="Table Main Heading Contd"/>
    <w:basedOn w:val="HeadingBase"/>
    <w:next w:val="TableGraphic"/>
    <w:uiPriority w:val="1"/>
    <w:unhideWhenUsed/>
    <w:rsid w:val="00AC6072"/>
    <w:pPr>
      <w:pageBreakBefore/>
      <w:spacing w:after="20"/>
    </w:pPr>
    <w:rPr>
      <w:b/>
      <w:sz w:val="22"/>
    </w:rPr>
  </w:style>
  <w:style w:type="paragraph" w:customStyle="1" w:styleId="TableSecondHeading">
    <w:name w:val="Table Second Heading"/>
    <w:basedOn w:val="HeadingBase"/>
    <w:next w:val="TableGraphic"/>
    <w:uiPriority w:val="1"/>
    <w:unhideWhenUsed/>
    <w:rsid w:val="00AC6072"/>
    <w:pPr>
      <w:spacing w:after="20"/>
    </w:pPr>
  </w:style>
  <w:style w:type="paragraph" w:customStyle="1" w:styleId="TableTextCentered">
    <w:name w:val="Table Text Centered"/>
    <w:basedOn w:val="TableTextBase"/>
    <w:uiPriority w:val="1"/>
    <w:unhideWhenUsed/>
    <w:rsid w:val="00AC6072"/>
    <w:pPr>
      <w:jc w:val="center"/>
    </w:pPr>
  </w:style>
  <w:style w:type="paragraph" w:customStyle="1" w:styleId="TableTextIndented">
    <w:name w:val="Table Text Indented"/>
    <w:basedOn w:val="TableTextBase"/>
    <w:uiPriority w:val="1"/>
    <w:unhideWhenUsed/>
    <w:rsid w:val="00AC6072"/>
    <w:pPr>
      <w:ind w:left="284"/>
    </w:pPr>
  </w:style>
  <w:style w:type="paragraph" w:customStyle="1" w:styleId="TableTextLeft">
    <w:name w:val="Table Text Left"/>
    <w:basedOn w:val="TableTextBase"/>
    <w:uiPriority w:val="1"/>
    <w:unhideWhenUsed/>
    <w:rsid w:val="00B95932"/>
    <w:pPr>
      <w:spacing w:after="120"/>
    </w:pPr>
    <w:rPr>
      <w:sz w:val="20"/>
    </w:rPr>
  </w:style>
  <w:style w:type="paragraph" w:customStyle="1" w:styleId="TableTextRight">
    <w:name w:val="Table Text Right"/>
    <w:basedOn w:val="TableTextBase"/>
    <w:uiPriority w:val="1"/>
    <w:unhideWhenUsed/>
    <w:rsid w:val="00AC6072"/>
    <w:pPr>
      <w:jc w:val="right"/>
    </w:pPr>
  </w:style>
  <w:style w:type="paragraph" w:styleId="TOC1">
    <w:name w:val="toc 1"/>
    <w:basedOn w:val="HeadingBase"/>
    <w:next w:val="Normal"/>
    <w:uiPriority w:val="39"/>
    <w:rsid w:val="0083734E"/>
    <w:pPr>
      <w:tabs>
        <w:tab w:val="left" w:pos="284"/>
        <w:tab w:val="left" w:pos="567"/>
        <w:tab w:val="right" w:leader="dot" w:pos="9072"/>
      </w:tabs>
      <w:spacing w:before="180" w:after="60"/>
      <w:ind w:left="284" w:right="851" w:hanging="284"/>
    </w:pPr>
    <w:rPr>
      <w:b/>
      <w:caps/>
      <w:sz w:val="24"/>
      <w:szCs w:val="22"/>
    </w:rPr>
  </w:style>
  <w:style w:type="paragraph" w:styleId="TOC2">
    <w:name w:val="toc 2"/>
    <w:basedOn w:val="HeadingBase"/>
    <w:next w:val="Normal"/>
    <w:uiPriority w:val="39"/>
    <w:rsid w:val="0083734E"/>
    <w:pPr>
      <w:keepNext w:val="0"/>
      <w:tabs>
        <w:tab w:val="left" w:pos="851"/>
        <w:tab w:val="right" w:leader="dot" w:pos="9072"/>
      </w:tabs>
      <w:spacing w:before="40" w:after="20"/>
    </w:pPr>
    <w:rPr>
      <w:sz w:val="22"/>
    </w:rPr>
  </w:style>
  <w:style w:type="paragraph" w:styleId="TOC3">
    <w:name w:val="toc 3"/>
    <w:basedOn w:val="Normal"/>
    <w:next w:val="Normal"/>
    <w:uiPriority w:val="39"/>
    <w:unhideWhenUsed/>
    <w:rsid w:val="0083734E"/>
    <w:pPr>
      <w:tabs>
        <w:tab w:val="right" w:leader="dot" w:pos="9072"/>
      </w:tabs>
      <w:spacing w:before="20" w:after="0"/>
      <w:ind w:right="851"/>
    </w:pPr>
    <w:rPr>
      <w:color w:val="009976"/>
    </w:rPr>
  </w:style>
  <w:style w:type="paragraph" w:styleId="TOC4">
    <w:name w:val="toc 4"/>
    <w:basedOn w:val="Normal"/>
    <w:next w:val="Normal"/>
    <w:uiPriority w:val="39"/>
    <w:unhideWhenUsed/>
    <w:rsid w:val="00AC6072"/>
    <w:pPr>
      <w:tabs>
        <w:tab w:val="right" w:leader="dot" w:pos="9072"/>
      </w:tabs>
      <w:spacing w:after="0"/>
      <w:ind w:left="284" w:right="851"/>
    </w:pPr>
  </w:style>
  <w:style w:type="character" w:customStyle="1" w:styleId="italic">
    <w:name w:val="italic"/>
    <w:basedOn w:val="DefaultParagraphFont"/>
    <w:unhideWhenUsed/>
    <w:rsid w:val="00AC6072"/>
    <w:rPr>
      <w:i/>
    </w:rPr>
  </w:style>
  <w:style w:type="paragraph" w:customStyle="1" w:styleId="OneLevelNumberedParagraph">
    <w:name w:val="One Level Numbered Paragraph"/>
    <w:basedOn w:val="Normal"/>
    <w:semiHidden/>
    <w:rsid w:val="00AC6072"/>
    <w:pPr>
      <w:numPr>
        <w:numId w:val="5"/>
      </w:numPr>
    </w:pPr>
  </w:style>
  <w:style w:type="paragraph" w:customStyle="1" w:styleId="BoxText">
    <w:name w:val="Box Text"/>
    <w:basedOn w:val="BoxTextBase"/>
    <w:unhideWhenUsed/>
    <w:rsid w:val="00AC6072"/>
    <w:pPr>
      <w:spacing w:after="120"/>
    </w:pPr>
  </w:style>
  <w:style w:type="paragraph" w:customStyle="1" w:styleId="BoxBullet">
    <w:name w:val="Box Bullet"/>
    <w:basedOn w:val="BoxTextBase"/>
    <w:unhideWhenUsed/>
    <w:rsid w:val="00E5196A"/>
    <w:pPr>
      <w:keepLines/>
      <w:numPr>
        <w:numId w:val="4"/>
      </w:numPr>
      <w:tabs>
        <w:tab w:val="clear" w:pos="566"/>
        <w:tab w:val="num" w:pos="459"/>
      </w:tabs>
      <w:spacing w:after="120"/>
      <w:ind w:left="459" w:hanging="459"/>
    </w:pPr>
    <w:rPr>
      <w:lang w:val="en"/>
    </w:rPr>
  </w:style>
  <w:style w:type="paragraph" w:customStyle="1" w:styleId="BoxDash">
    <w:name w:val="Box Dash"/>
    <w:basedOn w:val="Normal"/>
    <w:unhideWhenUsed/>
    <w:rsid w:val="00AC6072"/>
    <w:pPr>
      <w:numPr>
        <w:ilvl w:val="1"/>
        <w:numId w:val="4"/>
      </w:numPr>
    </w:pPr>
  </w:style>
  <w:style w:type="paragraph" w:customStyle="1" w:styleId="BoxDoubleDot">
    <w:name w:val="Box Double Dot"/>
    <w:basedOn w:val="BoxTextBase"/>
    <w:unhideWhenUsed/>
    <w:rsid w:val="00AC6072"/>
    <w:pPr>
      <w:numPr>
        <w:ilvl w:val="2"/>
        <w:numId w:val="4"/>
      </w:numPr>
    </w:pPr>
  </w:style>
  <w:style w:type="paragraph" w:customStyle="1" w:styleId="RecommendationBullet">
    <w:name w:val="Recommendation Bullet"/>
    <w:basedOn w:val="RecommendationTextBase"/>
    <w:rsid w:val="00AC6072"/>
    <w:pPr>
      <w:numPr>
        <w:numId w:val="6"/>
      </w:numPr>
    </w:pPr>
  </w:style>
  <w:style w:type="paragraph" w:customStyle="1" w:styleId="RecommendationDash">
    <w:name w:val="Recommendation Dash"/>
    <w:basedOn w:val="RecommendationTextBase"/>
    <w:rsid w:val="00AC6072"/>
    <w:pPr>
      <w:numPr>
        <w:ilvl w:val="1"/>
        <w:numId w:val="6"/>
      </w:numPr>
    </w:pPr>
  </w:style>
  <w:style w:type="paragraph" w:customStyle="1" w:styleId="RecommendationDoubleDot">
    <w:name w:val="Recommendation Double Dot"/>
    <w:basedOn w:val="RecommendationTextBase"/>
    <w:rsid w:val="00AC6072"/>
    <w:pPr>
      <w:numPr>
        <w:ilvl w:val="2"/>
        <w:numId w:val="6"/>
      </w:numPr>
    </w:pPr>
  </w:style>
  <w:style w:type="character" w:styleId="FollowedHyperlink">
    <w:name w:val="FollowedHyperlink"/>
    <w:basedOn w:val="DefaultParagraphFont"/>
    <w:unhideWhenUsed/>
    <w:rsid w:val="00AC6072"/>
    <w:rPr>
      <w:color w:val="auto"/>
      <w:u w:val="none"/>
    </w:rPr>
  </w:style>
  <w:style w:type="paragraph" w:customStyle="1" w:styleId="Heading1NotNumbered">
    <w:name w:val="Heading 1 Not Numbered"/>
    <w:basedOn w:val="HeadingBase"/>
    <w:next w:val="Normal"/>
    <w:qFormat/>
    <w:rsid w:val="009A1C21"/>
    <w:pPr>
      <w:spacing w:before="480" w:after="300"/>
      <w:outlineLvl w:val="0"/>
    </w:pPr>
    <w:rPr>
      <w:smallCaps/>
      <w:sz w:val="40"/>
      <w:szCs w:val="36"/>
    </w:rPr>
  </w:style>
  <w:style w:type="paragraph" w:customStyle="1" w:styleId="Heading2NotNumbered">
    <w:name w:val="Heading 2 Not Numbered"/>
    <w:basedOn w:val="HeadingBase"/>
    <w:next w:val="Normal"/>
    <w:qFormat/>
    <w:rsid w:val="00AC4C29"/>
    <w:pPr>
      <w:spacing w:before="360" w:after="180"/>
      <w:outlineLvl w:val="1"/>
    </w:pPr>
    <w:rPr>
      <w:sz w:val="30"/>
      <w:szCs w:val="28"/>
    </w:rPr>
  </w:style>
  <w:style w:type="paragraph" w:customStyle="1" w:styleId="Heading3NotNumbered">
    <w:name w:val="Heading 3 Not Numbered"/>
    <w:basedOn w:val="HeadingBase"/>
    <w:next w:val="Normal"/>
    <w:rsid w:val="009A1C21"/>
    <w:pPr>
      <w:spacing w:before="240" w:after="120"/>
      <w:outlineLvl w:val="2"/>
    </w:pPr>
    <w:rPr>
      <w:sz w:val="28"/>
      <w:szCs w:val="26"/>
    </w:rPr>
  </w:style>
  <w:style w:type="paragraph" w:customStyle="1" w:styleId="Heading4NotNumbered">
    <w:name w:val="Heading 4 Not Numbered"/>
    <w:basedOn w:val="HeadingBase"/>
    <w:unhideWhenUsed/>
    <w:rsid w:val="009A1C21"/>
    <w:pPr>
      <w:spacing w:before="120" w:after="120"/>
      <w:outlineLvl w:val="3"/>
    </w:pPr>
    <w:rPr>
      <w:b/>
      <w:sz w:val="26"/>
    </w:rPr>
  </w:style>
  <w:style w:type="paragraph" w:styleId="BalloonText">
    <w:name w:val="Balloon Text"/>
    <w:basedOn w:val="Normal"/>
    <w:semiHidden/>
    <w:rsid w:val="00AC6072"/>
    <w:rPr>
      <w:rFonts w:ascii="Tahoma" w:hAnsi="Tahoma" w:cs="Tahoma"/>
      <w:sz w:val="16"/>
      <w:szCs w:val="16"/>
    </w:rPr>
  </w:style>
  <w:style w:type="paragraph" w:styleId="Caption">
    <w:name w:val="caption"/>
    <w:basedOn w:val="Normal"/>
    <w:next w:val="Normal"/>
    <w:rsid w:val="00AC6072"/>
    <w:rPr>
      <w:b/>
      <w:bCs/>
    </w:rPr>
  </w:style>
  <w:style w:type="character" w:styleId="CommentReference">
    <w:name w:val="annotation reference"/>
    <w:basedOn w:val="DefaultParagraphFont"/>
    <w:semiHidden/>
    <w:rsid w:val="00AC6072"/>
    <w:rPr>
      <w:sz w:val="16"/>
      <w:szCs w:val="16"/>
    </w:rPr>
  </w:style>
  <w:style w:type="paragraph" w:styleId="CommentText">
    <w:name w:val="annotation text"/>
    <w:basedOn w:val="Normal"/>
    <w:link w:val="CommentTextChar"/>
    <w:rsid w:val="00AC6072"/>
  </w:style>
  <w:style w:type="paragraph" w:styleId="CommentSubject">
    <w:name w:val="annotation subject"/>
    <w:basedOn w:val="CommentText"/>
    <w:next w:val="CommentText"/>
    <w:link w:val="CommentSubjectChar"/>
    <w:semiHidden/>
    <w:rsid w:val="00AC6072"/>
    <w:rPr>
      <w:b/>
      <w:bCs/>
    </w:rPr>
  </w:style>
  <w:style w:type="paragraph" w:styleId="DocumentMap">
    <w:name w:val="Document Map"/>
    <w:basedOn w:val="Normal"/>
    <w:semiHidden/>
    <w:rsid w:val="00AC6072"/>
    <w:pPr>
      <w:shd w:val="clear" w:color="auto" w:fill="000080"/>
    </w:pPr>
    <w:rPr>
      <w:rFonts w:ascii="Tahoma" w:hAnsi="Tahoma" w:cs="Tahoma"/>
    </w:rPr>
  </w:style>
  <w:style w:type="character" w:styleId="EndnoteReference">
    <w:name w:val="endnote reference"/>
    <w:basedOn w:val="DefaultParagraphFont"/>
    <w:semiHidden/>
    <w:rsid w:val="00AC6072"/>
    <w:rPr>
      <w:vertAlign w:val="superscript"/>
    </w:rPr>
  </w:style>
  <w:style w:type="paragraph" w:styleId="EndnoteText">
    <w:name w:val="endnote text"/>
    <w:basedOn w:val="Normal"/>
    <w:semiHidden/>
    <w:rsid w:val="00AC6072"/>
  </w:style>
  <w:style w:type="character" w:styleId="FootnoteReference">
    <w:name w:val="footnote reference"/>
    <w:aliases w:val="(NECG) Footnote Reference"/>
    <w:basedOn w:val="DefaultParagraphFont"/>
    <w:unhideWhenUsed/>
    <w:rsid w:val="00AC6072"/>
    <w:rPr>
      <w:vertAlign w:val="superscript"/>
    </w:rPr>
  </w:style>
  <w:style w:type="paragraph" w:styleId="Index1">
    <w:name w:val="index 1"/>
    <w:basedOn w:val="Normal"/>
    <w:next w:val="Normal"/>
    <w:autoRedefine/>
    <w:semiHidden/>
    <w:rsid w:val="00AC6072"/>
    <w:pPr>
      <w:ind w:left="200" w:hanging="200"/>
    </w:pPr>
  </w:style>
  <w:style w:type="paragraph" w:styleId="Index2">
    <w:name w:val="index 2"/>
    <w:basedOn w:val="Normal"/>
    <w:next w:val="Normal"/>
    <w:autoRedefine/>
    <w:semiHidden/>
    <w:rsid w:val="00AC6072"/>
    <w:pPr>
      <w:ind w:left="400" w:hanging="200"/>
    </w:pPr>
  </w:style>
  <w:style w:type="paragraph" w:styleId="Index3">
    <w:name w:val="index 3"/>
    <w:basedOn w:val="Normal"/>
    <w:next w:val="Normal"/>
    <w:autoRedefine/>
    <w:semiHidden/>
    <w:rsid w:val="00AC6072"/>
    <w:pPr>
      <w:ind w:left="600" w:hanging="200"/>
    </w:pPr>
  </w:style>
  <w:style w:type="paragraph" w:styleId="Index4">
    <w:name w:val="index 4"/>
    <w:basedOn w:val="Normal"/>
    <w:next w:val="Normal"/>
    <w:autoRedefine/>
    <w:semiHidden/>
    <w:rsid w:val="00AC6072"/>
    <w:pPr>
      <w:ind w:left="800" w:hanging="200"/>
    </w:pPr>
  </w:style>
  <w:style w:type="paragraph" w:styleId="Index5">
    <w:name w:val="index 5"/>
    <w:basedOn w:val="Normal"/>
    <w:next w:val="Normal"/>
    <w:autoRedefine/>
    <w:semiHidden/>
    <w:rsid w:val="00AC6072"/>
    <w:pPr>
      <w:ind w:left="1000" w:hanging="200"/>
    </w:pPr>
  </w:style>
  <w:style w:type="paragraph" w:styleId="Index6">
    <w:name w:val="index 6"/>
    <w:basedOn w:val="Normal"/>
    <w:next w:val="Normal"/>
    <w:autoRedefine/>
    <w:semiHidden/>
    <w:rsid w:val="00AC6072"/>
    <w:pPr>
      <w:ind w:left="1200" w:hanging="200"/>
    </w:pPr>
  </w:style>
  <w:style w:type="paragraph" w:styleId="Index7">
    <w:name w:val="index 7"/>
    <w:basedOn w:val="Normal"/>
    <w:next w:val="Normal"/>
    <w:autoRedefine/>
    <w:semiHidden/>
    <w:rsid w:val="00AC6072"/>
    <w:pPr>
      <w:ind w:left="1400" w:hanging="200"/>
    </w:pPr>
  </w:style>
  <w:style w:type="paragraph" w:styleId="Index8">
    <w:name w:val="index 8"/>
    <w:basedOn w:val="Normal"/>
    <w:next w:val="Normal"/>
    <w:autoRedefine/>
    <w:semiHidden/>
    <w:rsid w:val="00AC6072"/>
    <w:pPr>
      <w:ind w:left="1600" w:hanging="200"/>
    </w:pPr>
  </w:style>
  <w:style w:type="paragraph" w:styleId="Index9">
    <w:name w:val="index 9"/>
    <w:basedOn w:val="Normal"/>
    <w:next w:val="Normal"/>
    <w:autoRedefine/>
    <w:semiHidden/>
    <w:rsid w:val="00AC6072"/>
    <w:pPr>
      <w:ind w:left="1800" w:hanging="200"/>
    </w:pPr>
  </w:style>
  <w:style w:type="paragraph" w:styleId="IndexHeading">
    <w:name w:val="index heading"/>
    <w:basedOn w:val="Normal"/>
    <w:next w:val="Index1"/>
    <w:semiHidden/>
    <w:rsid w:val="00AC6072"/>
    <w:rPr>
      <w:rFonts w:cs="Arial"/>
      <w:b/>
      <w:bCs/>
    </w:rPr>
  </w:style>
  <w:style w:type="paragraph" w:styleId="MacroText">
    <w:name w:val="macro"/>
    <w:semiHidden/>
    <w:rsid w:val="00AC6072"/>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semiHidden/>
    <w:rsid w:val="00AC6072"/>
    <w:pPr>
      <w:ind w:left="200" w:hanging="200"/>
    </w:pPr>
  </w:style>
  <w:style w:type="paragraph" w:styleId="TableofFigures">
    <w:name w:val="table of figures"/>
    <w:basedOn w:val="Normal"/>
    <w:next w:val="Normal"/>
    <w:semiHidden/>
    <w:rsid w:val="00AC6072"/>
  </w:style>
  <w:style w:type="paragraph" w:styleId="TOAHeading">
    <w:name w:val="toa heading"/>
    <w:basedOn w:val="Normal"/>
    <w:next w:val="Normal"/>
    <w:semiHidden/>
    <w:rsid w:val="00AC6072"/>
    <w:rPr>
      <w:rFonts w:cs="Arial"/>
      <w:b/>
      <w:bCs/>
      <w:sz w:val="24"/>
      <w:szCs w:val="24"/>
    </w:rPr>
  </w:style>
  <w:style w:type="paragraph" w:styleId="TOC5">
    <w:name w:val="toc 5"/>
    <w:basedOn w:val="PartHeading"/>
    <w:next w:val="Normal"/>
    <w:autoRedefine/>
    <w:uiPriority w:val="39"/>
    <w:rsid w:val="00AC6072"/>
    <w:pPr>
      <w:ind w:left="800"/>
    </w:pPr>
  </w:style>
  <w:style w:type="paragraph" w:styleId="TOC6">
    <w:name w:val="toc 6"/>
    <w:basedOn w:val="SubpartHeading"/>
    <w:next w:val="Normal"/>
    <w:autoRedefine/>
    <w:uiPriority w:val="39"/>
    <w:rsid w:val="00AC6072"/>
    <w:pPr>
      <w:ind w:left="1000"/>
    </w:pPr>
  </w:style>
  <w:style w:type="paragraph" w:styleId="TOC7">
    <w:name w:val="toc 7"/>
    <w:basedOn w:val="Heading1"/>
    <w:next w:val="Normal"/>
    <w:autoRedefine/>
    <w:uiPriority w:val="39"/>
    <w:rsid w:val="00AC6072"/>
    <w:pPr>
      <w:ind w:left="1200"/>
    </w:pPr>
  </w:style>
  <w:style w:type="paragraph" w:styleId="TOC8">
    <w:name w:val="toc 8"/>
    <w:basedOn w:val="RecommendationHeading"/>
    <w:next w:val="Normal"/>
    <w:autoRedefine/>
    <w:uiPriority w:val="39"/>
    <w:rsid w:val="00734718"/>
    <w:rPr>
      <w:b w:val="0"/>
      <w:sz w:val="22"/>
    </w:rPr>
  </w:style>
  <w:style w:type="paragraph" w:styleId="TOC9">
    <w:name w:val="toc 9"/>
    <w:basedOn w:val="Keyfindingtext"/>
    <w:next w:val="Normal"/>
    <w:autoRedefine/>
    <w:uiPriority w:val="39"/>
    <w:rsid w:val="00734718"/>
  </w:style>
  <w:style w:type="paragraph" w:customStyle="1" w:styleId="Heading5NotNumbered">
    <w:name w:val="Heading 5 Not Numbered"/>
    <w:basedOn w:val="HeadingBase"/>
    <w:unhideWhenUsed/>
    <w:qFormat/>
    <w:rsid w:val="009E3B2D"/>
    <w:pPr>
      <w:spacing w:after="120"/>
      <w:outlineLvl w:val="4"/>
    </w:pPr>
    <w:rPr>
      <w:i/>
      <w:sz w:val="24"/>
    </w:rPr>
  </w:style>
  <w:style w:type="table" w:customStyle="1" w:styleId="OptionsTable">
    <w:name w:val="Options Table"/>
    <w:basedOn w:val="TableNormal"/>
    <w:rsid w:val="00AC6072"/>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AC6072"/>
    <w:pPr>
      <w:numPr>
        <w:numId w:val="7"/>
      </w:numPr>
    </w:pPr>
  </w:style>
  <w:style w:type="paragraph" w:customStyle="1" w:styleId="OutlineNumbered4">
    <w:name w:val="Outline Numbered 4"/>
    <w:basedOn w:val="Normal"/>
    <w:rsid w:val="00AC6072"/>
    <w:pPr>
      <w:spacing w:before="0" w:line="280" w:lineRule="exact"/>
      <w:jc w:val="both"/>
    </w:pPr>
  </w:style>
  <w:style w:type="paragraph" w:customStyle="1" w:styleId="OutlineNumbered5">
    <w:name w:val="Outline Numbered 5"/>
    <w:basedOn w:val="Normal"/>
    <w:rsid w:val="00AC6072"/>
    <w:pPr>
      <w:numPr>
        <w:ilvl w:val="4"/>
        <w:numId w:val="9"/>
      </w:numPr>
      <w:spacing w:before="0" w:line="280" w:lineRule="exact"/>
      <w:jc w:val="both"/>
    </w:pPr>
  </w:style>
  <w:style w:type="paragraph" w:customStyle="1" w:styleId="Crest">
    <w:name w:val="Crest"/>
    <w:basedOn w:val="Header"/>
    <w:uiPriority w:val="2"/>
    <w:rsid w:val="00AC6072"/>
    <w:pPr>
      <w:spacing w:after="480"/>
      <w:jc w:val="right"/>
    </w:pPr>
  </w:style>
  <w:style w:type="character" w:customStyle="1" w:styleId="SingleParagraphChar">
    <w:name w:val="Single Paragraph Char"/>
    <w:basedOn w:val="DefaultParagraphFont"/>
    <w:link w:val="SingleParagraph"/>
    <w:rsid w:val="00AC6072"/>
    <w:rPr>
      <w:rFonts w:asciiTheme="minorHAnsi" w:hAnsiTheme="minorHAnsi"/>
      <w:color w:val="000000"/>
      <w:sz w:val="22"/>
    </w:rPr>
  </w:style>
  <w:style w:type="character" w:customStyle="1" w:styleId="Heading5Char">
    <w:name w:val="Heading 5 Char"/>
    <w:basedOn w:val="DefaultParagraphFont"/>
    <w:link w:val="Heading5"/>
    <w:rsid w:val="00AC6072"/>
    <w:rPr>
      <w:rFonts w:ascii="Calibri" w:hAnsi="Calibri"/>
      <w:b/>
      <w:bCs/>
      <w:iCs/>
      <w:color w:val="009976"/>
      <w:sz w:val="24"/>
    </w:rPr>
  </w:style>
  <w:style w:type="character" w:customStyle="1" w:styleId="Heading4Char">
    <w:name w:val="Heading 4 Char"/>
    <w:basedOn w:val="DefaultParagraphFont"/>
    <w:link w:val="Heading4"/>
    <w:rsid w:val="009E3B2D"/>
    <w:rPr>
      <w:rFonts w:ascii="Calibri" w:hAnsi="Calibri"/>
      <w:bCs/>
      <w:color w:val="009976"/>
      <w:sz w:val="26"/>
      <w:szCs w:val="22"/>
    </w:rPr>
  </w:style>
  <w:style w:type="character" w:customStyle="1" w:styleId="A5">
    <w:name w:val="A5"/>
    <w:uiPriority w:val="99"/>
    <w:rsid w:val="00AC6072"/>
    <w:rPr>
      <w:rFonts w:cs="Swiss 721 BT"/>
      <w:color w:val="000000"/>
      <w:sz w:val="20"/>
      <w:szCs w:val="20"/>
    </w:rPr>
  </w:style>
  <w:style w:type="character" w:customStyle="1" w:styleId="FooterChar">
    <w:name w:val="Footer Char"/>
    <w:link w:val="Footer"/>
    <w:uiPriority w:val="99"/>
    <w:rsid w:val="00AC6072"/>
    <w:rPr>
      <w:rFonts w:ascii="Calibri" w:hAnsi="Calibri"/>
      <w:color w:val="009976"/>
    </w:rPr>
  </w:style>
  <w:style w:type="paragraph" w:customStyle="1" w:styleId="SecurityClassificationFooter">
    <w:name w:val="Security Classification Footer"/>
    <w:link w:val="SecurityClassificationFooterChar"/>
    <w:semiHidden/>
    <w:rsid w:val="00AC6072"/>
    <w:pPr>
      <w:spacing w:before="60" w:after="240" w:line="276" w:lineRule="auto"/>
      <w:jc w:val="center"/>
    </w:pPr>
    <w:rPr>
      <w:b/>
      <w:caps/>
      <w:color w:val="009976"/>
      <w:sz w:val="24"/>
    </w:rPr>
  </w:style>
  <w:style w:type="character" w:customStyle="1" w:styleId="SecurityClassificationFooterChar">
    <w:name w:val="Security Classification Footer Char"/>
    <w:link w:val="SecurityClassificationFooter"/>
    <w:semiHidden/>
    <w:rsid w:val="00686EEA"/>
    <w:rPr>
      <w:b/>
      <w:caps/>
      <w:color w:val="009976"/>
      <w:sz w:val="24"/>
    </w:rPr>
  </w:style>
  <w:style w:type="paragraph" w:customStyle="1" w:styleId="MinuteNumber">
    <w:name w:val="Minute Number"/>
    <w:basedOn w:val="Header"/>
    <w:uiPriority w:val="2"/>
    <w:rsid w:val="00AC6072"/>
    <w:pPr>
      <w:keepNext w:val="0"/>
      <w:pBdr>
        <w:bottom w:val="double" w:sz="6" w:space="6" w:color="auto"/>
      </w:pBdr>
      <w:tabs>
        <w:tab w:val="right" w:pos="8222"/>
      </w:tabs>
      <w:spacing w:before="120" w:after="120"/>
      <w:jc w:val="right"/>
    </w:pPr>
    <w:rPr>
      <w:rFonts w:ascii="Times New Roman" w:hAnsi="Times New Roman"/>
      <w:color w:val="auto"/>
      <w:kern w:val="16"/>
      <w:sz w:val="24"/>
      <w:szCs w:val="24"/>
    </w:rPr>
  </w:style>
  <w:style w:type="paragraph" w:customStyle="1" w:styleId="QABoxHeading">
    <w:name w:val="QA Box Heading"/>
    <w:basedOn w:val="BoxHeading"/>
    <w:rsid w:val="00AC6072"/>
    <w:pPr>
      <w:spacing w:before="120"/>
    </w:pPr>
    <w:rPr>
      <w:b w:val="0"/>
      <w:sz w:val="24"/>
    </w:rPr>
  </w:style>
  <w:style w:type="paragraph" w:customStyle="1" w:styleId="QAText">
    <w:name w:val="QA Text"/>
    <w:basedOn w:val="Normal"/>
    <w:rsid w:val="00AC6072"/>
    <w:pPr>
      <w:spacing w:after="120"/>
    </w:pPr>
  </w:style>
  <w:style w:type="paragraph" w:customStyle="1" w:styleId="Copyrightheadings">
    <w:name w:val="Copyright headings"/>
    <w:basedOn w:val="HeadingBase"/>
    <w:uiPriority w:val="2"/>
    <w:rsid w:val="00AC6072"/>
    <w:pPr>
      <w:spacing w:after="80"/>
    </w:pPr>
    <w:rPr>
      <w:b/>
      <w:color w:val="000000" w:themeColor="text1"/>
      <w:sz w:val="22"/>
    </w:rPr>
  </w:style>
  <w:style w:type="paragraph" w:customStyle="1" w:styleId="Quotes">
    <w:name w:val="Quotes"/>
    <w:basedOn w:val="Normal"/>
    <w:qFormat/>
    <w:rsid w:val="00271F1A"/>
    <w:pPr>
      <w:ind w:left="567" w:right="425"/>
    </w:pPr>
    <w:rPr>
      <w:color w:val="595959" w:themeColor="text1" w:themeTint="A6"/>
    </w:rPr>
  </w:style>
  <w:style w:type="paragraph" w:customStyle="1" w:styleId="Keyfindingheading">
    <w:name w:val="Key finding heading"/>
    <w:basedOn w:val="RecommendationHeading"/>
    <w:qFormat/>
    <w:rsid w:val="00AC6072"/>
  </w:style>
  <w:style w:type="paragraph" w:customStyle="1" w:styleId="Keyfindingtext">
    <w:name w:val="Key finding text"/>
    <w:basedOn w:val="BoxText"/>
    <w:qFormat/>
    <w:rsid w:val="00AC6072"/>
  </w:style>
  <w:style w:type="paragraph" w:customStyle="1" w:styleId="Smallbusinessboxheading">
    <w:name w:val="Small business box heading"/>
    <w:basedOn w:val="RecommendationHeading"/>
    <w:qFormat/>
    <w:rsid w:val="00AC6072"/>
  </w:style>
  <w:style w:type="paragraph" w:customStyle="1" w:styleId="Smallbusinessboxtext">
    <w:name w:val="Small business box text"/>
    <w:basedOn w:val="BoxText"/>
    <w:qFormat/>
    <w:rsid w:val="00AC6072"/>
  </w:style>
  <w:style w:type="paragraph" w:styleId="ListParagraph">
    <w:name w:val="List Paragraph"/>
    <w:basedOn w:val="Normal"/>
    <w:uiPriority w:val="34"/>
    <w:qFormat/>
    <w:rsid w:val="00AC6072"/>
    <w:pPr>
      <w:ind w:left="720"/>
      <w:contextualSpacing/>
    </w:pPr>
  </w:style>
  <w:style w:type="paragraph" w:customStyle="1" w:styleId="Numberedpara1">
    <w:name w:val="Numbered para 1"/>
    <w:basedOn w:val="ListParagraph"/>
    <w:rsid w:val="00882FB3"/>
    <w:pPr>
      <w:ind w:left="425" w:hanging="425"/>
      <w:contextualSpacing w:val="0"/>
    </w:pPr>
  </w:style>
  <w:style w:type="paragraph" w:customStyle="1" w:styleId="Numberedpara2">
    <w:name w:val="Numbered para 2"/>
    <w:basedOn w:val="Numberedpara1"/>
    <w:rsid w:val="00882FB3"/>
  </w:style>
  <w:style w:type="paragraph" w:customStyle="1" w:styleId="Numberedpara3">
    <w:name w:val="Numbered para 3"/>
    <w:basedOn w:val="ListParagraph"/>
    <w:rsid w:val="00882FB3"/>
    <w:pPr>
      <w:ind w:left="425" w:hanging="425"/>
      <w:contextualSpacing w:val="0"/>
    </w:pPr>
  </w:style>
  <w:style w:type="paragraph" w:customStyle="1" w:styleId="Numberedpara4">
    <w:name w:val="Numbered para 4"/>
    <w:basedOn w:val="Numberedpara1"/>
    <w:rsid w:val="00882FB3"/>
  </w:style>
  <w:style w:type="paragraph" w:customStyle="1" w:styleId="Numberedpara5">
    <w:name w:val="Numbered para 5"/>
    <w:basedOn w:val="Numberedpara1"/>
    <w:rsid w:val="00882FB3"/>
  </w:style>
  <w:style w:type="character" w:customStyle="1" w:styleId="BulletChar">
    <w:name w:val="Bullet Char"/>
    <w:basedOn w:val="DefaultParagraphFont"/>
    <w:link w:val="Bullet"/>
    <w:rsid w:val="00271F1A"/>
    <w:rPr>
      <w:rFonts w:asciiTheme="minorHAnsi" w:hAnsiTheme="minorHAnsi"/>
      <w:color w:val="000000"/>
      <w:sz w:val="22"/>
    </w:rPr>
  </w:style>
  <w:style w:type="character" w:customStyle="1" w:styleId="FootnoteTextChar">
    <w:name w:val="Footnote Text Char"/>
    <w:basedOn w:val="DefaultParagraphFont"/>
    <w:link w:val="FootnoteText"/>
    <w:uiPriority w:val="99"/>
    <w:rsid w:val="00271F1A"/>
    <w:rPr>
      <w:rFonts w:asciiTheme="minorHAnsi" w:hAnsiTheme="minorHAnsi"/>
      <w:color w:val="000000"/>
      <w:sz w:val="18"/>
    </w:rPr>
  </w:style>
  <w:style w:type="character" w:customStyle="1" w:styleId="DashChar">
    <w:name w:val="Dash Char"/>
    <w:basedOn w:val="DefaultParagraphFont"/>
    <w:link w:val="Dash"/>
    <w:rsid w:val="00FB129D"/>
    <w:rPr>
      <w:rFonts w:asciiTheme="minorHAnsi" w:hAnsiTheme="minorHAnsi"/>
      <w:color w:val="000000"/>
      <w:sz w:val="22"/>
    </w:rPr>
  </w:style>
  <w:style w:type="character" w:customStyle="1" w:styleId="OutlineNumbered2Char">
    <w:name w:val="Outline Numbered 2 Char"/>
    <w:link w:val="OutlineNumbered2"/>
    <w:rsid w:val="00A85470"/>
    <w:rPr>
      <w:rFonts w:asciiTheme="minorHAnsi" w:hAnsiTheme="minorHAnsi"/>
      <w:color w:val="000000"/>
      <w:sz w:val="22"/>
    </w:rPr>
  </w:style>
  <w:style w:type="paragraph" w:customStyle="1" w:styleId="Default">
    <w:name w:val="Default"/>
    <w:rsid w:val="00FB129D"/>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rsid w:val="009D28CC"/>
    <w:pPr>
      <w:spacing w:before="0" w:after="0"/>
    </w:pPr>
    <w:rPr>
      <w:rFonts w:ascii="Consolas" w:hAnsi="Consolas" w:cs="Consolas"/>
      <w:sz w:val="21"/>
      <w:szCs w:val="21"/>
    </w:rPr>
  </w:style>
  <w:style w:type="character" w:customStyle="1" w:styleId="PlainTextChar">
    <w:name w:val="Plain Text Char"/>
    <w:basedOn w:val="DefaultParagraphFont"/>
    <w:link w:val="PlainText"/>
    <w:rsid w:val="009D28CC"/>
    <w:rPr>
      <w:rFonts w:ascii="Consolas" w:hAnsi="Consolas" w:cs="Consolas"/>
      <w:color w:val="000000"/>
      <w:sz w:val="21"/>
      <w:szCs w:val="21"/>
    </w:rPr>
  </w:style>
  <w:style w:type="character" w:customStyle="1" w:styleId="DoubleDotChar">
    <w:name w:val="Double Dot Char"/>
    <w:basedOn w:val="DefaultParagraphFont"/>
    <w:link w:val="DoubleDot"/>
    <w:rsid w:val="00F45EA5"/>
    <w:rPr>
      <w:rFonts w:asciiTheme="minorHAnsi" w:hAnsiTheme="minorHAnsi"/>
      <w:color w:val="000000"/>
      <w:sz w:val="22"/>
    </w:rPr>
  </w:style>
  <w:style w:type="paragraph" w:customStyle="1" w:styleId="ChartHeading">
    <w:name w:val="Chart Heading"/>
    <w:basedOn w:val="Normal"/>
    <w:next w:val="Chartgraphic0"/>
    <w:uiPriority w:val="99"/>
    <w:rsid w:val="007A3CCE"/>
    <w:pPr>
      <w:keepNext/>
      <w:autoSpaceDE w:val="0"/>
      <w:autoSpaceDN w:val="0"/>
      <w:spacing w:after="0" w:line="280" w:lineRule="exact"/>
      <w:jc w:val="center"/>
    </w:pPr>
    <w:rPr>
      <w:rFonts w:ascii="Century Gothic" w:eastAsiaTheme="minorEastAsia" w:hAnsi="Century Gothic" w:cs="Century Gothic"/>
      <w:color w:val="000080"/>
      <w:szCs w:val="22"/>
      <w:lang w:val="en-US"/>
    </w:rPr>
  </w:style>
  <w:style w:type="paragraph" w:customStyle="1" w:styleId="SingleParagraph0">
    <w:name w:val="SingleParagraph"/>
    <w:basedOn w:val="Normal"/>
    <w:next w:val="Normal"/>
    <w:uiPriority w:val="99"/>
    <w:rsid w:val="007A3CCE"/>
    <w:pPr>
      <w:autoSpaceDE w:val="0"/>
      <w:autoSpaceDN w:val="0"/>
      <w:spacing w:before="0"/>
      <w:jc w:val="both"/>
    </w:pPr>
    <w:rPr>
      <w:rFonts w:ascii="Book Antiqua" w:eastAsiaTheme="minorEastAsia" w:hAnsi="Book Antiqua" w:cs="Book Antiqua"/>
      <w:szCs w:val="22"/>
    </w:rPr>
  </w:style>
  <w:style w:type="character" w:customStyle="1" w:styleId="HeaderChar">
    <w:name w:val="Header Char"/>
    <w:basedOn w:val="DefaultParagraphFont"/>
    <w:link w:val="Header"/>
    <w:rsid w:val="007A3CCE"/>
    <w:rPr>
      <w:rFonts w:ascii="Calibri" w:hAnsi="Calibri"/>
      <w:color w:val="009976"/>
      <w:sz w:val="18"/>
    </w:rPr>
  </w:style>
  <w:style w:type="character" w:styleId="PageNumber">
    <w:name w:val="page number"/>
    <w:basedOn w:val="DefaultParagraphFont"/>
    <w:uiPriority w:val="99"/>
    <w:rsid w:val="007A3CCE"/>
    <w:rPr>
      <w:rFonts w:ascii="Century Gothic" w:hAnsi="Century Gothic" w:cs="Century Gothic"/>
      <w:sz w:val="18"/>
      <w:szCs w:val="18"/>
    </w:rPr>
  </w:style>
  <w:style w:type="paragraph" w:customStyle="1" w:styleId="Chartgraphic0">
    <w:name w:val="Chart graphic"/>
    <w:basedOn w:val="Normal"/>
    <w:next w:val="Normal"/>
    <w:uiPriority w:val="99"/>
    <w:rsid w:val="007A3CCE"/>
    <w:pPr>
      <w:autoSpaceDE w:val="0"/>
      <w:autoSpaceDN w:val="0"/>
      <w:spacing w:before="0" w:after="20"/>
      <w:jc w:val="center"/>
    </w:pPr>
    <w:rPr>
      <w:rFonts w:ascii="Book Antiqua" w:eastAsiaTheme="minorEastAsia" w:hAnsi="Book Antiqua" w:cs="Book Antiqua"/>
      <w:szCs w:val="22"/>
    </w:rPr>
  </w:style>
  <w:style w:type="paragraph" w:styleId="BodyText2">
    <w:name w:val="Body Text 2"/>
    <w:basedOn w:val="Normal"/>
    <w:link w:val="BodyText2Char"/>
    <w:uiPriority w:val="99"/>
    <w:rsid w:val="007A3CCE"/>
    <w:pPr>
      <w:autoSpaceDE w:val="0"/>
      <w:autoSpaceDN w:val="0"/>
      <w:spacing w:before="0" w:line="280" w:lineRule="exact"/>
      <w:ind w:left="284"/>
      <w:jc w:val="both"/>
    </w:pPr>
    <w:rPr>
      <w:rFonts w:ascii="Book Antiqua" w:eastAsiaTheme="minorEastAsia" w:hAnsi="Book Antiqua" w:cs="Book Antiqua"/>
      <w:sz w:val="20"/>
    </w:rPr>
  </w:style>
  <w:style w:type="character" w:customStyle="1" w:styleId="BodyText2Char">
    <w:name w:val="Body Text 2 Char"/>
    <w:basedOn w:val="DefaultParagraphFont"/>
    <w:link w:val="BodyText2"/>
    <w:uiPriority w:val="99"/>
    <w:rsid w:val="007A3CCE"/>
    <w:rPr>
      <w:rFonts w:ascii="Book Antiqua" w:eastAsiaTheme="minorEastAsia" w:hAnsi="Book Antiqua" w:cs="Book Antiqua"/>
      <w:color w:val="000000"/>
    </w:rPr>
  </w:style>
  <w:style w:type="paragraph" w:styleId="BodyText3">
    <w:name w:val="Body Text 3"/>
    <w:basedOn w:val="Normal"/>
    <w:link w:val="BodyText3Char"/>
    <w:uiPriority w:val="99"/>
    <w:rsid w:val="007A3CCE"/>
    <w:pPr>
      <w:autoSpaceDE w:val="0"/>
      <w:autoSpaceDN w:val="0"/>
      <w:spacing w:before="0" w:line="280" w:lineRule="exact"/>
      <w:jc w:val="both"/>
    </w:pPr>
    <w:rPr>
      <w:rFonts w:ascii="Book Antiqua" w:eastAsiaTheme="minorEastAsia" w:hAnsi="Book Antiqua" w:cs="Book Antiqua"/>
      <w:b/>
      <w:bCs/>
      <w:szCs w:val="22"/>
    </w:rPr>
  </w:style>
  <w:style w:type="character" w:customStyle="1" w:styleId="BodyText3Char">
    <w:name w:val="Body Text 3 Char"/>
    <w:basedOn w:val="DefaultParagraphFont"/>
    <w:link w:val="BodyText3"/>
    <w:uiPriority w:val="99"/>
    <w:rsid w:val="007A3CCE"/>
    <w:rPr>
      <w:rFonts w:ascii="Book Antiqua" w:eastAsiaTheme="minorEastAsia" w:hAnsi="Book Antiqua" w:cs="Book Antiqua"/>
      <w:b/>
      <w:bCs/>
      <w:color w:val="000000"/>
      <w:sz w:val="22"/>
      <w:szCs w:val="22"/>
    </w:rPr>
  </w:style>
  <w:style w:type="paragraph" w:customStyle="1" w:styleId="RecommendNo">
    <w:name w:val="RecommendNo"/>
    <w:basedOn w:val="Normal"/>
    <w:uiPriority w:val="99"/>
    <w:rsid w:val="007A3CCE"/>
    <w:pPr>
      <w:tabs>
        <w:tab w:val="num" w:pos="567"/>
      </w:tabs>
      <w:autoSpaceDE w:val="0"/>
      <w:autoSpaceDN w:val="0"/>
      <w:spacing w:before="0" w:line="280" w:lineRule="exact"/>
      <w:ind w:left="567" w:hanging="567"/>
      <w:jc w:val="both"/>
    </w:pPr>
    <w:rPr>
      <w:rFonts w:ascii="Palatino" w:eastAsiaTheme="minorEastAsia" w:hAnsi="Palatino" w:cs="Palatino"/>
      <w:b/>
      <w:bCs/>
      <w:color w:val="000080"/>
      <w:szCs w:val="22"/>
      <w:lang w:val="en-US"/>
    </w:rPr>
  </w:style>
  <w:style w:type="paragraph" w:styleId="Revision">
    <w:name w:val="Revision"/>
    <w:hidden/>
    <w:uiPriority w:val="99"/>
    <w:semiHidden/>
    <w:rsid w:val="000537A5"/>
    <w:rPr>
      <w:rFonts w:asciiTheme="minorHAnsi" w:hAnsiTheme="minorHAnsi"/>
      <w:color w:val="000000"/>
      <w:sz w:val="22"/>
    </w:rPr>
  </w:style>
  <w:style w:type="table" w:customStyle="1" w:styleId="TableGrid1">
    <w:name w:val="Table Grid1"/>
    <w:basedOn w:val="TableNormal"/>
    <w:next w:val="TableGrid"/>
    <w:rsid w:val="00DA59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607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ommendation">
    <w:name w:val="Recommendation"/>
    <w:basedOn w:val="Normal"/>
    <w:rsid w:val="00CF1A19"/>
    <w:pPr>
      <w:spacing w:after="200"/>
    </w:pPr>
    <w:rPr>
      <w:rFonts w:ascii="Times New Roman" w:hAnsi="Times New Roman"/>
      <w:b/>
      <w:color w:val="auto"/>
      <w:sz w:val="24"/>
    </w:rPr>
  </w:style>
  <w:style w:type="paragraph" w:styleId="Quote">
    <w:name w:val="Quote"/>
    <w:basedOn w:val="Normal"/>
    <w:next w:val="Normal"/>
    <w:link w:val="QuoteChar"/>
    <w:uiPriority w:val="29"/>
    <w:rsid w:val="002C2E20"/>
    <w:pPr>
      <w:spacing w:before="0" w:line="280" w:lineRule="exact"/>
      <w:jc w:val="both"/>
    </w:pPr>
    <w:rPr>
      <w:i/>
      <w:iCs/>
      <w:color w:val="000000" w:themeColor="text1"/>
    </w:rPr>
  </w:style>
  <w:style w:type="character" w:customStyle="1" w:styleId="QuoteChar">
    <w:name w:val="Quote Char"/>
    <w:basedOn w:val="DefaultParagraphFont"/>
    <w:link w:val="Quote"/>
    <w:uiPriority w:val="29"/>
    <w:rsid w:val="002C2E20"/>
    <w:rPr>
      <w:rFonts w:asciiTheme="minorHAnsi" w:hAnsiTheme="minorHAnsi"/>
      <w:i/>
      <w:iCs/>
      <w:color w:val="000000" w:themeColor="text1"/>
      <w:sz w:val="22"/>
    </w:rPr>
  </w:style>
  <w:style w:type="character" w:customStyle="1" w:styleId="CommentSubjectChar">
    <w:name w:val="Comment Subject Char"/>
    <w:basedOn w:val="DefaultParagraphFont"/>
    <w:link w:val="CommentSubject"/>
    <w:semiHidden/>
    <w:rsid w:val="00693C10"/>
    <w:rPr>
      <w:rFonts w:asciiTheme="minorHAnsi" w:hAnsiTheme="minorHAnsi"/>
      <w:b/>
      <w:bCs/>
      <w:color w:val="000000"/>
      <w:sz w:val="22"/>
    </w:rPr>
  </w:style>
  <w:style w:type="paragraph" w:styleId="NormalWeb">
    <w:name w:val="Normal (Web)"/>
    <w:basedOn w:val="Normal"/>
    <w:uiPriority w:val="99"/>
    <w:unhideWhenUsed/>
    <w:rsid w:val="00117500"/>
    <w:pPr>
      <w:spacing w:before="240" w:line="312" w:lineRule="auto"/>
    </w:pPr>
    <w:rPr>
      <w:rFonts w:ascii="Times New Roman" w:hAnsi="Times New Roman"/>
      <w:color w:val="auto"/>
      <w:sz w:val="24"/>
      <w:szCs w:val="24"/>
    </w:rPr>
  </w:style>
  <w:style w:type="character" w:styleId="IntenseEmphasis">
    <w:name w:val="Intense Emphasis"/>
    <w:basedOn w:val="DefaultParagraphFont"/>
    <w:uiPriority w:val="21"/>
    <w:qFormat/>
    <w:rsid w:val="002D18DE"/>
    <w:rPr>
      <w:b/>
      <w:bCs/>
      <w:i/>
      <w:iCs/>
      <w:color w:val="009976" w:themeColor="accent1"/>
    </w:rPr>
  </w:style>
  <w:style w:type="paragraph" w:styleId="Subtitle">
    <w:name w:val="Subtitle"/>
    <w:basedOn w:val="Normal"/>
    <w:next w:val="Normal"/>
    <w:link w:val="SubtitleChar"/>
    <w:qFormat/>
    <w:rsid w:val="00BD5B40"/>
    <w:pPr>
      <w:numPr>
        <w:ilvl w:val="1"/>
      </w:numPr>
      <w:spacing w:before="0" w:line="280" w:lineRule="exact"/>
      <w:jc w:val="both"/>
    </w:pPr>
    <w:rPr>
      <w:rFonts w:asciiTheme="majorHAnsi" w:eastAsiaTheme="majorEastAsia" w:hAnsiTheme="majorHAnsi" w:cstheme="majorBidi"/>
      <w:i/>
      <w:iCs/>
      <w:color w:val="009976" w:themeColor="accent1"/>
      <w:spacing w:val="15"/>
      <w:sz w:val="24"/>
      <w:szCs w:val="24"/>
    </w:rPr>
  </w:style>
  <w:style w:type="character" w:customStyle="1" w:styleId="SubtitleChar">
    <w:name w:val="Subtitle Char"/>
    <w:basedOn w:val="DefaultParagraphFont"/>
    <w:link w:val="Subtitle"/>
    <w:rsid w:val="00BD5B40"/>
    <w:rPr>
      <w:rFonts w:asciiTheme="majorHAnsi" w:eastAsiaTheme="majorEastAsia" w:hAnsiTheme="majorHAnsi" w:cstheme="majorBidi"/>
      <w:i/>
      <w:iCs/>
      <w:color w:val="009976" w:themeColor="accent1"/>
      <w:spacing w:val="15"/>
      <w:sz w:val="24"/>
      <w:szCs w:val="24"/>
    </w:rPr>
  </w:style>
  <w:style w:type="character" w:styleId="BookTitle">
    <w:name w:val="Book Title"/>
    <w:basedOn w:val="DefaultParagraphFont"/>
    <w:uiPriority w:val="33"/>
    <w:qFormat/>
    <w:rsid w:val="00BD5B40"/>
    <w:rPr>
      <w:b/>
      <w:bCs/>
      <w:smallCaps/>
      <w:spacing w:val="5"/>
    </w:rPr>
  </w:style>
  <w:style w:type="paragraph" w:styleId="HTMLPreformatted">
    <w:name w:val="HTML Preformatted"/>
    <w:basedOn w:val="Normal"/>
    <w:link w:val="HTMLPreformattedChar"/>
    <w:semiHidden/>
    <w:rsid w:val="00591168"/>
    <w:pPr>
      <w:spacing w:before="0" w:after="0"/>
    </w:pPr>
    <w:rPr>
      <w:rFonts w:ascii="Consolas" w:hAnsi="Consolas" w:cs="Consolas"/>
      <w:sz w:val="20"/>
    </w:rPr>
  </w:style>
  <w:style w:type="character" w:customStyle="1" w:styleId="HTMLPreformattedChar">
    <w:name w:val="HTML Preformatted Char"/>
    <w:basedOn w:val="DefaultParagraphFont"/>
    <w:link w:val="HTMLPreformatted"/>
    <w:semiHidden/>
    <w:rsid w:val="00591168"/>
    <w:rPr>
      <w:rFonts w:ascii="Consolas" w:hAnsi="Consolas" w:cs="Consolas"/>
      <w:color w:val="000000"/>
    </w:rPr>
  </w:style>
  <w:style w:type="character" w:customStyle="1" w:styleId="st1">
    <w:name w:val="st1"/>
    <w:semiHidden/>
    <w:rsid w:val="00E35ABD"/>
  </w:style>
  <w:style w:type="character" w:customStyle="1" w:styleId="CommentTextChar">
    <w:name w:val="Comment Text Char"/>
    <w:link w:val="CommentText"/>
    <w:rsid w:val="003420E4"/>
    <w:rPr>
      <w:rFonts w:asciiTheme="minorHAnsi" w:hAnsiTheme="minorHAnsi"/>
      <w:color w:val="000000"/>
      <w:sz w:val="22"/>
    </w:rPr>
  </w:style>
  <w:style w:type="character" w:styleId="HTMLCite">
    <w:name w:val="HTML Cite"/>
    <w:basedOn w:val="DefaultParagraphFont"/>
    <w:uiPriority w:val="99"/>
    <w:semiHidden/>
    <w:unhideWhenUsed/>
    <w:rsid w:val="004A29C4"/>
    <w:rPr>
      <w:i/>
      <w:iCs/>
    </w:rPr>
  </w:style>
  <w:style w:type="paragraph" w:customStyle="1" w:styleId="ParaNumbering">
    <w:name w:val="ParaNumbering"/>
    <w:basedOn w:val="Normal"/>
    <w:uiPriority w:val="99"/>
    <w:rsid w:val="004A29C4"/>
    <w:pPr>
      <w:numPr>
        <w:numId w:val="11"/>
      </w:numPr>
      <w:spacing w:before="180" w:after="180" w:line="360" w:lineRule="auto"/>
      <w:jc w:val="both"/>
    </w:pPr>
    <w:rPr>
      <w:rFonts w:ascii="Times New Roman" w:eastAsia="Batang" w:hAnsi="Times New Roman"/>
      <w:color w:val="auto"/>
      <w:sz w:val="24"/>
      <w:lang w:eastAsia="en-US"/>
    </w:rPr>
  </w:style>
  <w:style w:type="paragraph" w:customStyle="1" w:styleId="MediaNeutralStyle">
    <w:name w:val="Media Neutral Style"/>
    <w:basedOn w:val="Normal"/>
    <w:next w:val="Normal"/>
    <w:uiPriority w:val="99"/>
    <w:semiHidden/>
    <w:rsid w:val="004A29C4"/>
    <w:pPr>
      <w:spacing w:before="20" w:after="20" w:line="360" w:lineRule="auto"/>
      <w:jc w:val="center"/>
    </w:pPr>
    <w:rPr>
      <w:rFonts w:ascii="Times New Roman" w:eastAsia="Batang" w:hAnsi="Times New Roman"/>
      <w:b/>
      <w:color w:val="auto"/>
      <w:sz w:val="26"/>
      <w:lang w:eastAsia="en-US"/>
    </w:rPr>
  </w:style>
  <w:style w:type="paragraph" w:styleId="ListBullet3">
    <w:name w:val="List Bullet 3"/>
    <w:basedOn w:val="Normal"/>
    <w:uiPriority w:val="99"/>
    <w:semiHidden/>
    <w:rsid w:val="004A29C4"/>
    <w:pPr>
      <w:tabs>
        <w:tab w:val="num" w:pos="926"/>
      </w:tabs>
      <w:spacing w:before="0" w:after="0" w:line="360" w:lineRule="auto"/>
      <w:ind w:left="926" w:hanging="360"/>
      <w:jc w:val="both"/>
    </w:pPr>
    <w:rPr>
      <w:rFonts w:ascii="Times New Roman" w:eastAsia="Batang" w:hAnsi="Times New Roman"/>
      <w:color w:val="auto"/>
      <w:sz w:val="24"/>
      <w:lang w:eastAsia="en-US"/>
    </w:rPr>
  </w:style>
  <w:style w:type="paragraph" w:customStyle="1" w:styleId="SecurityClassificationHeader">
    <w:name w:val="Security Classification Header"/>
    <w:link w:val="SecurityClassificationHeaderChar"/>
    <w:semiHidden/>
    <w:rsid w:val="00B70093"/>
    <w:pPr>
      <w:spacing w:before="240" w:after="60" w:line="276" w:lineRule="auto"/>
      <w:jc w:val="center"/>
    </w:pPr>
    <w:rPr>
      <w:rFonts w:ascii="Calibri" w:eastAsiaTheme="minorHAnsi" w:hAnsi="Calibri"/>
      <w:b/>
      <w:caps/>
      <w:color w:val="009976"/>
      <w:sz w:val="24"/>
      <w:szCs w:val="22"/>
      <w:lang w:eastAsia="en-US"/>
    </w:rPr>
  </w:style>
  <w:style w:type="character" w:customStyle="1" w:styleId="SecurityClassificationHeaderChar">
    <w:name w:val="Security Classification Header Char"/>
    <w:basedOn w:val="HeaderChar"/>
    <w:link w:val="SecurityClassificationHeader"/>
    <w:semiHidden/>
    <w:rsid w:val="00686EEA"/>
    <w:rPr>
      <w:rFonts w:ascii="Calibri" w:eastAsiaTheme="minorHAnsi" w:hAnsi="Calibri"/>
      <w:b/>
      <w:caps/>
      <w:color w:val="009976"/>
      <w:sz w:val="24"/>
      <w:szCs w:val="22"/>
      <w:lang w:eastAsia="en-US"/>
    </w:rPr>
  </w:style>
  <w:style w:type="paragraph" w:customStyle="1" w:styleId="FigureTitle">
    <w:name w:val="Figure Title"/>
    <w:basedOn w:val="Caption"/>
    <w:next w:val="Subtitle"/>
    <w:rsid w:val="008A765D"/>
    <w:pPr>
      <w:keepNext/>
      <w:keepLines/>
      <w:spacing w:before="360" w:after="80" w:line="280" w:lineRule="exact"/>
      <w:ind w:left="1474" w:hanging="1474"/>
    </w:pPr>
    <w:rPr>
      <w:rFonts w:ascii="Arial" w:hAnsi="Arial"/>
      <w:bCs w:val="0"/>
      <w:color w:val="auto"/>
      <w:sz w:val="26"/>
      <w:szCs w:val="24"/>
    </w:rPr>
  </w:style>
  <w:style w:type="character" w:customStyle="1" w:styleId="st">
    <w:name w:val="st"/>
    <w:basedOn w:val="DefaultParagraphFont"/>
    <w:semiHidden/>
    <w:rsid w:val="00581CD9"/>
  </w:style>
  <w:style w:type="paragraph" w:customStyle="1" w:styleId="Normal1linespace">
    <w:name w:val="Normal1linespace"/>
    <w:basedOn w:val="Normal"/>
    <w:uiPriority w:val="99"/>
    <w:semiHidden/>
    <w:rsid w:val="00EB445F"/>
    <w:pPr>
      <w:spacing w:before="0" w:after="0"/>
      <w:jc w:val="both"/>
    </w:pPr>
    <w:rPr>
      <w:rFonts w:ascii="Times New Roman" w:eastAsia="Batang" w:hAnsi="Times New Roman"/>
      <w:color w:val="auto"/>
      <w:sz w:val="24"/>
      <w:lang w:eastAsia="en-US"/>
    </w:rPr>
  </w:style>
  <w:style w:type="character" w:styleId="Emphasis">
    <w:name w:val="Emphasis"/>
    <w:basedOn w:val="DefaultParagraphFont"/>
    <w:uiPriority w:val="20"/>
    <w:qFormat/>
    <w:rsid w:val="00550630"/>
    <w:rPr>
      <w:i/>
      <w:iCs/>
    </w:rPr>
  </w:style>
  <w:style w:type="paragraph" w:styleId="ListBullet">
    <w:name w:val="List Bullet"/>
    <w:basedOn w:val="Normal"/>
    <w:semiHidden/>
    <w:rsid w:val="00F763E1"/>
    <w:pPr>
      <w:numPr>
        <w:numId w:val="12"/>
      </w:numPr>
      <w:contextualSpacing/>
    </w:pPr>
  </w:style>
  <w:style w:type="character" w:customStyle="1" w:styleId="A10">
    <w:name w:val="A10"/>
    <w:uiPriority w:val="99"/>
    <w:rsid w:val="00F763E1"/>
    <w:rPr>
      <w:rFonts w:ascii="Century Gothic" w:hAnsi="Century Gothic" w:cs="Century Gothic"/>
      <w:color w:val="000000"/>
    </w:rPr>
  </w:style>
  <w:style w:type="paragraph" w:customStyle="1" w:styleId="Numbering-Firstlevel">
    <w:name w:val="Numbering - First level"/>
    <w:basedOn w:val="Normal"/>
    <w:qFormat/>
    <w:rsid w:val="00B243B5"/>
    <w:pPr>
      <w:keepLines/>
      <w:numPr>
        <w:numId w:val="13"/>
      </w:numPr>
      <w:tabs>
        <w:tab w:val="left" w:pos="567"/>
      </w:tabs>
      <w:spacing w:before="0" w:after="220"/>
      <w:jc w:val="both"/>
    </w:pPr>
    <w:rPr>
      <w:rFonts w:ascii="Arial" w:hAnsi="Arial"/>
      <w:color w:val="auto"/>
      <w:szCs w:val="22"/>
      <w:lang w:val="en-GB" w:eastAsia="en-GB"/>
    </w:rPr>
  </w:style>
  <w:style w:type="paragraph" w:customStyle="1" w:styleId="Numbering-Secondlevel">
    <w:name w:val="Numbering - Second level"/>
    <w:basedOn w:val="Normal"/>
    <w:qFormat/>
    <w:rsid w:val="00B243B5"/>
    <w:pPr>
      <w:keepLines/>
      <w:numPr>
        <w:ilvl w:val="1"/>
        <w:numId w:val="13"/>
      </w:numPr>
      <w:spacing w:before="0" w:after="120"/>
      <w:jc w:val="both"/>
    </w:pPr>
    <w:rPr>
      <w:rFonts w:ascii="Arial" w:hAnsi="Arial"/>
      <w:color w:val="auto"/>
      <w:szCs w:val="22"/>
      <w:lang w:val="en-GB" w:eastAsia="en-GB"/>
    </w:rPr>
  </w:style>
  <w:style w:type="paragraph" w:customStyle="1" w:styleId="Numbering-Thirdlevel">
    <w:name w:val="Numbering - Third level"/>
    <w:basedOn w:val="Normal"/>
    <w:qFormat/>
    <w:rsid w:val="00B243B5"/>
    <w:pPr>
      <w:keepLines/>
      <w:numPr>
        <w:ilvl w:val="2"/>
        <w:numId w:val="13"/>
      </w:numPr>
      <w:spacing w:before="0" w:after="120"/>
      <w:jc w:val="both"/>
    </w:pPr>
    <w:rPr>
      <w:rFonts w:ascii="Arial" w:hAnsi="Arial"/>
      <w:color w:val="auto"/>
      <w:szCs w:val="22"/>
      <w:lang w:val="en-GB" w:eastAsia="en-GB"/>
    </w:rPr>
  </w:style>
  <w:style w:type="character" w:customStyle="1" w:styleId="Heading3Char">
    <w:name w:val="Heading 3 Char"/>
    <w:basedOn w:val="DefaultParagraphFont"/>
    <w:link w:val="Heading3"/>
    <w:rsid w:val="00FB084C"/>
    <w:rPr>
      <w:rFonts w:ascii="Calibri" w:hAnsi="Calibri" w:cs="Arial"/>
      <w:b/>
      <w:bCs/>
      <w:color w:val="009976"/>
      <w:sz w:val="28"/>
      <w:szCs w:val="26"/>
    </w:rPr>
  </w:style>
  <w:style w:type="character" w:customStyle="1" w:styleId="OutlineNumbered1Char">
    <w:name w:val="Outline Numbered 1 Char"/>
    <w:link w:val="OutlineNumbered1"/>
    <w:rsid w:val="00830B73"/>
    <w:rPr>
      <w:rFonts w:asciiTheme="minorHAnsi" w:hAnsiTheme="minorHAnsi"/>
      <w:color w:val="000000"/>
      <w:sz w:val="22"/>
    </w:rPr>
  </w:style>
  <w:style w:type="character" w:customStyle="1" w:styleId="OutlineNumbered3Char">
    <w:name w:val="Outline Numbered 3 Char"/>
    <w:link w:val="OutlineNumbered3"/>
    <w:rsid w:val="003C70A8"/>
    <w:rPr>
      <w:rFonts w:asciiTheme="minorHAnsi" w:hAnsiTheme="minorHAnsi"/>
      <w:color w:val="000000"/>
      <w:sz w:val="22"/>
    </w:rPr>
  </w:style>
  <w:style w:type="character" w:customStyle="1" w:styleId="firstword1">
    <w:name w:val="firstword1"/>
    <w:basedOn w:val="DefaultParagraphFont"/>
    <w:rsid w:val="00A24B87"/>
    <w:rPr>
      <w:color w:val="8D1D3F"/>
    </w:rPr>
  </w:style>
  <w:style w:type="character" w:customStyle="1" w:styleId="Heading7Char">
    <w:name w:val="Heading 7 Char"/>
    <w:basedOn w:val="DefaultParagraphFont"/>
    <w:link w:val="Heading7"/>
    <w:semiHidden/>
    <w:rsid w:val="00D57476"/>
    <w:rPr>
      <w:rFonts w:ascii="Calibri" w:hAnsi="Calibri"/>
      <w:color w:val="009976"/>
      <w:szCs w:val="24"/>
    </w:rPr>
  </w:style>
  <w:style w:type="paragraph" w:customStyle="1" w:styleId="PartHeading">
    <w:name w:val="Part Heading"/>
    <w:basedOn w:val="Heading1"/>
    <w:next w:val="Normal"/>
    <w:qFormat/>
    <w:rsid w:val="009E1A11"/>
    <w:pPr>
      <w:numPr>
        <w:numId w:val="0"/>
      </w:numPr>
    </w:pPr>
    <w:rPr>
      <w:color w:val="auto"/>
      <w:sz w:val="44"/>
    </w:rPr>
  </w:style>
  <w:style w:type="paragraph" w:customStyle="1" w:styleId="SubpartHeading">
    <w:name w:val="Subpart Heading"/>
    <w:basedOn w:val="Heading1"/>
    <w:qFormat/>
    <w:rsid w:val="008B4E0B"/>
    <w:pPr>
      <w:numPr>
        <w:numId w:val="0"/>
      </w:numPr>
    </w:pPr>
    <w:rPr>
      <w:color w:val="auto"/>
    </w:rPr>
  </w:style>
  <w:style w:type="character" w:customStyle="1" w:styleId="A1">
    <w:name w:val="A1"/>
    <w:uiPriority w:val="99"/>
    <w:rsid w:val="00A136F5"/>
    <w:rPr>
      <w:rFonts w:cs="ITC Garamond"/>
      <w:color w:val="000000"/>
      <w:sz w:val="26"/>
      <w:szCs w:val="26"/>
    </w:rPr>
  </w:style>
  <w:style w:type="character" w:customStyle="1" w:styleId="Heading1Char">
    <w:name w:val="Heading 1 Char"/>
    <w:basedOn w:val="DefaultParagraphFont"/>
    <w:link w:val="Heading1"/>
    <w:rsid w:val="00392423"/>
    <w:rPr>
      <w:rFonts w:ascii="Calibri" w:hAnsi="Calibri" w:cs="Arial"/>
      <w:bCs/>
      <w:smallCaps/>
      <w:color w:val="009976"/>
      <w:kern w:val="32"/>
      <w:sz w:val="40"/>
      <w:szCs w:val="36"/>
    </w:rPr>
  </w:style>
  <w:style w:type="character" w:customStyle="1" w:styleId="emphasis-61">
    <w:name w:val="emphasis-61"/>
    <w:basedOn w:val="DefaultParagraphFont"/>
    <w:rsid w:val="00C242C9"/>
    <w:rPr>
      <w:b w:val="0"/>
      <w:bCs w:val="0"/>
      <w:i/>
      <w:iCs/>
    </w:rPr>
  </w:style>
  <w:style w:type="paragraph" w:styleId="BodyText">
    <w:name w:val="Body Text"/>
    <w:basedOn w:val="Normal"/>
    <w:link w:val="BodyTextChar"/>
    <w:semiHidden/>
    <w:unhideWhenUsed/>
    <w:rsid w:val="002D34B7"/>
    <w:pPr>
      <w:spacing w:after="120"/>
    </w:pPr>
  </w:style>
  <w:style w:type="character" w:customStyle="1" w:styleId="BodyTextChar">
    <w:name w:val="Body Text Char"/>
    <w:basedOn w:val="DefaultParagraphFont"/>
    <w:link w:val="BodyText"/>
    <w:semiHidden/>
    <w:rsid w:val="002D34B7"/>
    <w:rPr>
      <w:rFonts w:asciiTheme="minorHAnsi" w:hAnsiTheme="minorHAnsi"/>
      <w:color w:val="000000"/>
      <w:sz w:val="22"/>
    </w:rPr>
  </w:style>
  <w:style w:type="character" w:customStyle="1" w:styleId="A2">
    <w:name w:val="A2"/>
    <w:uiPriority w:val="99"/>
    <w:rsid w:val="00544E4C"/>
    <w:rPr>
      <w:color w:val="000000"/>
      <w:sz w:val="21"/>
      <w:szCs w:val="21"/>
    </w:rPr>
  </w:style>
  <w:style w:type="table" w:styleId="TableColorful1">
    <w:name w:val="Table Colorful 1"/>
    <w:basedOn w:val="TableNormal"/>
    <w:rsid w:val="004A443B"/>
    <w:rPr>
      <w:rFonts w:ascii="Arial Narrow" w:eastAsia="SimSun" w:hAnsi="Arial Narrow" w:cs="Angsana New"/>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Boxheading2">
    <w:name w:val="Box heading 2"/>
    <w:basedOn w:val="BoxTextBase"/>
    <w:next w:val="BoxText"/>
    <w:qFormat/>
    <w:rsid w:val="00E826F0"/>
    <w:pPr>
      <w:spacing w:after="120"/>
    </w:pPr>
    <w:rPr>
      <w:b/>
    </w:rPr>
  </w:style>
  <w:style w:type="paragraph" w:styleId="HTMLAddress">
    <w:name w:val="HTML Address"/>
    <w:basedOn w:val="Normal"/>
    <w:link w:val="HTMLAddressChar"/>
    <w:semiHidden/>
    <w:rsid w:val="009100B5"/>
    <w:rPr>
      <w:i/>
      <w:iCs/>
    </w:rPr>
  </w:style>
  <w:style w:type="character" w:customStyle="1" w:styleId="HTMLAddressChar">
    <w:name w:val="HTML Address Char"/>
    <w:basedOn w:val="DefaultParagraphFont"/>
    <w:link w:val="HTMLAddress"/>
    <w:semiHidden/>
    <w:rsid w:val="009100B5"/>
    <w:rPr>
      <w:rFonts w:asciiTheme="minorHAnsi" w:hAnsiTheme="minorHAnsi"/>
      <w:i/>
      <w:iCs/>
      <w:color w:val="000000"/>
      <w:sz w:val="22"/>
    </w:rPr>
  </w:style>
  <w:style w:type="paragraph" w:customStyle="1" w:styleId="Siobhan1">
    <w:name w:val="Siobhan 1"/>
    <w:basedOn w:val="Normal"/>
    <w:uiPriority w:val="99"/>
    <w:semiHidden/>
    <w:rsid w:val="00E73F56"/>
    <w:pPr>
      <w:numPr>
        <w:numId w:val="34"/>
      </w:numPr>
      <w:spacing w:before="0"/>
      <w:outlineLvl w:val="0"/>
    </w:pPr>
    <w:rPr>
      <w:rFonts w:ascii="Times New Roman" w:eastAsia="SimSun" w:hAnsi="Times New Roman"/>
      <w:color w:val="auto"/>
      <w:sz w:val="24"/>
      <w:szCs w:val="24"/>
      <w:lang w:eastAsia="zh-CN" w:bidi="th-TH"/>
    </w:rPr>
  </w:style>
  <w:style w:type="paragraph" w:customStyle="1" w:styleId="Siobhan2">
    <w:name w:val="Siobhan 2"/>
    <w:basedOn w:val="Normal"/>
    <w:semiHidden/>
    <w:rsid w:val="00E73F56"/>
    <w:pPr>
      <w:numPr>
        <w:ilvl w:val="1"/>
        <w:numId w:val="34"/>
      </w:numPr>
      <w:spacing w:before="0"/>
      <w:outlineLvl w:val="1"/>
    </w:pPr>
    <w:rPr>
      <w:rFonts w:ascii="Times New Roman" w:eastAsia="SimSun" w:hAnsi="Times New Roman"/>
      <w:color w:val="auto"/>
      <w:sz w:val="24"/>
      <w:szCs w:val="24"/>
      <w:lang w:eastAsia="zh-CN" w:bidi="th-TH"/>
    </w:rPr>
  </w:style>
  <w:style w:type="paragraph" w:customStyle="1" w:styleId="Siobhan3">
    <w:name w:val="Siobhan 3"/>
    <w:basedOn w:val="Normal"/>
    <w:semiHidden/>
    <w:rsid w:val="00E73F56"/>
    <w:pPr>
      <w:numPr>
        <w:ilvl w:val="2"/>
        <w:numId w:val="34"/>
      </w:numPr>
      <w:spacing w:before="0"/>
      <w:outlineLvl w:val="2"/>
    </w:pPr>
    <w:rPr>
      <w:rFonts w:ascii="Times New Roman" w:eastAsia="SimSun" w:hAnsi="Times New Roman"/>
      <w:color w:val="auto"/>
      <w:sz w:val="24"/>
      <w:szCs w:val="24"/>
      <w:lang w:eastAsia="zh-CN" w:bidi="th-TH"/>
    </w:rPr>
  </w:style>
  <w:style w:type="paragraph" w:customStyle="1" w:styleId="Siobhan4">
    <w:name w:val="Siobhan 4"/>
    <w:basedOn w:val="Normal"/>
    <w:semiHidden/>
    <w:rsid w:val="00E73F56"/>
    <w:pPr>
      <w:numPr>
        <w:ilvl w:val="3"/>
        <w:numId w:val="34"/>
      </w:numPr>
      <w:spacing w:before="0"/>
      <w:outlineLvl w:val="3"/>
    </w:pPr>
    <w:rPr>
      <w:rFonts w:ascii="Times New Roman" w:eastAsia="SimSun" w:hAnsi="Times New Roman"/>
      <w:color w:val="auto"/>
      <w:sz w:val="24"/>
      <w:szCs w:val="24"/>
      <w:lang w:eastAsia="zh-CN" w:bidi="th-TH"/>
    </w:rPr>
  </w:style>
  <w:style w:type="paragraph" w:customStyle="1" w:styleId="Siobhan5">
    <w:name w:val="Siobhan 5"/>
    <w:basedOn w:val="Normal"/>
    <w:semiHidden/>
    <w:qFormat/>
    <w:rsid w:val="00E73F56"/>
    <w:pPr>
      <w:numPr>
        <w:ilvl w:val="4"/>
        <w:numId w:val="34"/>
      </w:numPr>
      <w:spacing w:before="0"/>
      <w:outlineLvl w:val="4"/>
    </w:pPr>
    <w:rPr>
      <w:rFonts w:ascii="Times New Roman" w:eastAsia="SimSun" w:hAnsi="Times New Roman"/>
      <w:color w:val="auto"/>
      <w:sz w:val="24"/>
      <w:szCs w:val="24"/>
      <w:lang w:eastAsia="zh-CN" w:bidi="th-TH"/>
    </w:rPr>
  </w:style>
  <w:style w:type="paragraph" w:customStyle="1" w:styleId="Siobhan6">
    <w:name w:val="Siobhan 6"/>
    <w:basedOn w:val="Normal"/>
    <w:uiPriority w:val="99"/>
    <w:semiHidden/>
    <w:qFormat/>
    <w:rsid w:val="00E73F56"/>
    <w:pPr>
      <w:numPr>
        <w:ilvl w:val="5"/>
        <w:numId w:val="34"/>
      </w:numPr>
      <w:spacing w:before="0"/>
      <w:outlineLvl w:val="5"/>
    </w:pPr>
    <w:rPr>
      <w:rFonts w:ascii="Times New Roman" w:eastAsia="SimSun" w:hAnsi="Times New Roman"/>
      <w:color w:val="auto"/>
      <w:sz w:val="24"/>
      <w:szCs w:val="24"/>
      <w:lang w:eastAsia="zh-CN" w:bidi="th-TH"/>
    </w:rPr>
  </w:style>
  <w:style w:type="character" w:customStyle="1" w:styleId="Heading2Char">
    <w:name w:val="Heading 2 Char"/>
    <w:basedOn w:val="DefaultParagraphFont"/>
    <w:link w:val="Heading2"/>
    <w:rsid w:val="00402BDE"/>
    <w:rPr>
      <w:rFonts w:ascii="Calibri" w:hAnsi="Calibri" w:cs="Arial"/>
      <w:bCs/>
      <w:iCs/>
      <w:smallCaps/>
      <w:color w:val="009976" w:themeColor="accent1"/>
      <w:sz w:val="32"/>
      <w:szCs w:val="28"/>
      <w:lang w:val="en"/>
    </w:rPr>
  </w:style>
  <w:style w:type="character" w:customStyle="1" w:styleId="Links">
    <w:name w:val="Links"/>
    <w:basedOn w:val="DefaultParagraphFont"/>
    <w:uiPriority w:val="1"/>
    <w:qFormat/>
    <w:rsid w:val="00882BF6"/>
    <w:rPr>
      <w:color w:val="129391" w:themeColor="accent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envelope address" w:semiHidden="1" w:unhideWhenUsed="1"/>
    <w:lsdException w:name="envelope return" w:semiHidden="1" w:unhideWhenUsed="1"/>
    <w:lsdException w:name="line number" w:semiHidden="1" w:unhideWhenUsed="1"/>
    <w:lsdException w:name="page number" w:uiPriority="99"/>
    <w:lsdException w:name="List" w:semiHidden="1" w:unhideWhenUsed="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uiPriority="99"/>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Default Paragraph Font" w:uiPriority="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uiPriority="1"/>
    <w:lsdException w:name="Subtitle" w:qFormat="1"/>
    <w:lsdException w:name="Body Text First Indent" w:semiHidden="1" w:unhideWhenUsed="1"/>
    <w:lsdException w:name="Body Text First Indent 2" w:semiHidden="1" w:unhideWhenUsed="1"/>
    <w:lsdException w:name="Note Heading" w:uiPriority="2"/>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semiHidden="1"/>
    <w:lsdException w:name="Emphasis" w:semiHidden="1" w:uiPriority="20" w:unhideWhenUsed="1" w:qFormat="1"/>
    <w:lsdException w:name="E-mail Signature" w:semiHidden="1" w:unhideWhenUsed="1"/>
    <w:lsdException w:name="Normal (Web)" w:semiHidden="1" w:uiPriority="99"/>
    <w:lsdException w:name="HTML Acronym" w:semiHidden="1"/>
    <w:lsdException w:name="HTML Address" w:semiHidden="1"/>
    <w:lsdException w:name="HTML Cite" w:semiHidden="1" w:uiPriority="99"/>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14F"/>
    <w:pPr>
      <w:spacing w:before="120" w:after="240"/>
    </w:pPr>
    <w:rPr>
      <w:rFonts w:asciiTheme="minorHAnsi" w:hAnsiTheme="minorHAnsi"/>
      <w:color w:val="000000"/>
      <w:sz w:val="22"/>
    </w:rPr>
  </w:style>
  <w:style w:type="paragraph" w:styleId="Heading1">
    <w:name w:val="heading 1"/>
    <w:basedOn w:val="HeadingBase"/>
    <w:next w:val="Normal"/>
    <w:link w:val="Heading1Char"/>
    <w:qFormat/>
    <w:rsid w:val="00392423"/>
    <w:pPr>
      <w:numPr>
        <w:numId w:val="15"/>
      </w:numPr>
      <w:spacing w:before="240" w:after="360"/>
      <w:outlineLvl w:val="0"/>
    </w:pPr>
    <w:rPr>
      <w:rFonts w:cs="Arial"/>
      <w:bCs/>
      <w:smallCaps/>
      <w:kern w:val="32"/>
      <w:sz w:val="40"/>
      <w:szCs w:val="36"/>
    </w:rPr>
  </w:style>
  <w:style w:type="paragraph" w:styleId="Heading2">
    <w:name w:val="heading 2"/>
    <w:basedOn w:val="HeadingBase"/>
    <w:next w:val="Normal"/>
    <w:link w:val="Heading2Char"/>
    <w:qFormat/>
    <w:rsid w:val="00472CD2"/>
    <w:pPr>
      <w:numPr>
        <w:ilvl w:val="1"/>
        <w:numId w:val="15"/>
      </w:numPr>
      <w:spacing w:before="360" w:after="180"/>
      <w:outlineLvl w:val="1"/>
    </w:pPr>
    <w:rPr>
      <w:rFonts w:cs="Arial"/>
      <w:bCs/>
      <w:iCs/>
      <w:smallCaps/>
      <w:color w:val="009976" w:themeColor="accent1"/>
      <w:sz w:val="32"/>
      <w:szCs w:val="28"/>
      <w:lang w:val="en"/>
    </w:rPr>
  </w:style>
  <w:style w:type="paragraph" w:styleId="Heading3">
    <w:name w:val="heading 3"/>
    <w:basedOn w:val="HeadingBase"/>
    <w:next w:val="Normal"/>
    <w:link w:val="Heading3Char"/>
    <w:qFormat/>
    <w:rsid w:val="00FB084C"/>
    <w:pPr>
      <w:spacing w:before="240" w:after="120"/>
      <w:outlineLvl w:val="2"/>
    </w:pPr>
    <w:rPr>
      <w:rFonts w:cs="Arial"/>
      <w:b/>
      <w:bCs/>
      <w:sz w:val="28"/>
      <w:szCs w:val="26"/>
    </w:rPr>
  </w:style>
  <w:style w:type="paragraph" w:styleId="Heading4">
    <w:name w:val="heading 4"/>
    <w:basedOn w:val="HeadingBase"/>
    <w:next w:val="Normal"/>
    <w:link w:val="Heading4Char"/>
    <w:unhideWhenUsed/>
    <w:qFormat/>
    <w:rsid w:val="009E3B2D"/>
    <w:pPr>
      <w:spacing w:before="120" w:after="240"/>
      <w:ind w:left="864" w:hanging="864"/>
      <w:outlineLvl w:val="3"/>
    </w:pPr>
    <w:rPr>
      <w:bCs/>
      <w:sz w:val="26"/>
      <w:szCs w:val="22"/>
    </w:rPr>
  </w:style>
  <w:style w:type="paragraph" w:styleId="Heading5">
    <w:name w:val="heading 5"/>
    <w:basedOn w:val="HeadingBase"/>
    <w:next w:val="Normal"/>
    <w:link w:val="Heading5Char"/>
    <w:unhideWhenUsed/>
    <w:rsid w:val="00AC6072"/>
    <w:pPr>
      <w:numPr>
        <w:ilvl w:val="4"/>
        <w:numId w:val="10"/>
      </w:numPr>
      <w:spacing w:after="120"/>
      <w:outlineLvl w:val="4"/>
    </w:pPr>
    <w:rPr>
      <w:b/>
      <w:bCs/>
      <w:iCs/>
      <w:sz w:val="24"/>
    </w:rPr>
  </w:style>
  <w:style w:type="paragraph" w:styleId="Heading6">
    <w:name w:val="heading 6"/>
    <w:basedOn w:val="HeadingBase"/>
    <w:next w:val="Normal"/>
    <w:rsid w:val="00AC6072"/>
    <w:pPr>
      <w:numPr>
        <w:ilvl w:val="5"/>
        <w:numId w:val="10"/>
      </w:numPr>
      <w:spacing w:after="120"/>
      <w:outlineLvl w:val="5"/>
    </w:pPr>
    <w:rPr>
      <w:bCs/>
      <w:sz w:val="22"/>
      <w:szCs w:val="22"/>
    </w:rPr>
  </w:style>
  <w:style w:type="paragraph" w:styleId="Heading7">
    <w:name w:val="heading 7"/>
    <w:basedOn w:val="HeadingBase"/>
    <w:next w:val="Normal"/>
    <w:link w:val="Heading7Char"/>
    <w:semiHidden/>
    <w:rsid w:val="00AC6072"/>
    <w:pPr>
      <w:numPr>
        <w:ilvl w:val="6"/>
        <w:numId w:val="10"/>
      </w:numPr>
      <w:spacing w:after="120"/>
      <w:outlineLvl w:val="6"/>
    </w:pPr>
    <w:rPr>
      <w:szCs w:val="24"/>
    </w:rPr>
  </w:style>
  <w:style w:type="paragraph" w:styleId="Heading8">
    <w:name w:val="heading 8"/>
    <w:basedOn w:val="HeadingBase"/>
    <w:next w:val="Normal"/>
    <w:semiHidden/>
    <w:rsid w:val="00AC6072"/>
    <w:pPr>
      <w:numPr>
        <w:ilvl w:val="7"/>
        <w:numId w:val="10"/>
      </w:numPr>
      <w:spacing w:before="60" w:after="60"/>
      <w:jc w:val="center"/>
      <w:outlineLvl w:val="7"/>
    </w:pPr>
    <w:rPr>
      <w:iCs/>
      <w:smallCaps/>
      <w:sz w:val="22"/>
      <w:szCs w:val="24"/>
    </w:rPr>
  </w:style>
  <w:style w:type="paragraph" w:styleId="Heading9">
    <w:name w:val="heading 9"/>
    <w:basedOn w:val="HeadingBase"/>
    <w:next w:val="Normal"/>
    <w:semiHidden/>
    <w:rsid w:val="00AC6072"/>
    <w:pPr>
      <w:numPr>
        <w:ilvl w:val="8"/>
        <w:numId w:val="10"/>
      </w:num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AC6072"/>
    <w:pPr>
      <w:spacing w:before="0" w:after="0"/>
    </w:pPr>
  </w:style>
  <w:style w:type="character" w:styleId="Hyperlink">
    <w:name w:val="Hyperlink"/>
    <w:basedOn w:val="DefaultParagraphFont"/>
    <w:uiPriority w:val="99"/>
    <w:unhideWhenUsed/>
    <w:rsid w:val="00AC6072"/>
    <w:rPr>
      <w:color w:val="129391" w:themeColor="accent2"/>
      <w:u w:val="none"/>
    </w:rPr>
  </w:style>
  <w:style w:type="character" w:customStyle="1" w:styleId="BoldandItalic">
    <w:name w:val="Bold and Italic"/>
    <w:basedOn w:val="DefaultParagraphFont"/>
    <w:rsid w:val="00AC6072"/>
    <w:rPr>
      <w:rFonts w:ascii="Calibri" w:hAnsi="Calibri"/>
      <w:b/>
      <w:i/>
    </w:rPr>
  </w:style>
  <w:style w:type="table" w:styleId="TableGrid">
    <w:name w:val="Table Grid"/>
    <w:basedOn w:val="TableNormal"/>
    <w:rsid w:val="00AC6072"/>
    <w:pPr>
      <w:spacing w:after="240" w:line="260" w:lineRule="exact"/>
      <w:jc w:val="both"/>
    </w:pPr>
    <w:tblPr/>
    <w:tcPr>
      <w:shd w:val="clear" w:color="auto" w:fill="E6E6E6"/>
    </w:tcPr>
  </w:style>
  <w:style w:type="paragraph" w:customStyle="1" w:styleId="TableColumnHeadingBase">
    <w:name w:val="Table Column Heading Base"/>
    <w:basedOn w:val="Normal"/>
    <w:uiPriority w:val="1"/>
    <w:unhideWhenUsed/>
    <w:rsid w:val="00AC6072"/>
    <w:pPr>
      <w:spacing w:before="40" w:after="40"/>
    </w:pPr>
    <w:rPr>
      <w:b/>
      <w:color w:val="009976"/>
      <w:sz w:val="16"/>
    </w:rPr>
  </w:style>
  <w:style w:type="paragraph" w:styleId="FootnoteText">
    <w:name w:val="footnote text"/>
    <w:basedOn w:val="Normal"/>
    <w:link w:val="FootnoteTextChar"/>
    <w:uiPriority w:val="99"/>
    <w:unhideWhenUsed/>
    <w:rsid w:val="00271F1A"/>
    <w:pPr>
      <w:tabs>
        <w:tab w:val="left" w:pos="284"/>
      </w:tabs>
      <w:spacing w:before="60" w:after="0"/>
      <w:ind w:left="284" w:hanging="284"/>
    </w:pPr>
    <w:rPr>
      <w:sz w:val="18"/>
    </w:rPr>
  </w:style>
  <w:style w:type="paragraph" w:customStyle="1" w:styleId="Bullet">
    <w:name w:val="Bullet"/>
    <w:basedOn w:val="Normal"/>
    <w:link w:val="BulletChar"/>
    <w:qFormat/>
    <w:rsid w:val="00271F1A"/>
    <w:pPr>
      <w:numPr>
        <w:numId w:val="24"/>
      </w:numPr>
      <w:spacing w:after="120"/>
    </w:pPr>
  </w:style>
  <w:style w:type="paragraph" w:customStyle="1" w:styleId="Dash">
    <w:name w:val="Dash"/>
    <w:basedOn w:val="Normal"/>
    <w:link w:val="DashChar"/>
    <w:rsid w:val="00AC6072"/>
    <w:pPr>
      <w:numPr>
        <w:ilvl w:val="1"/>
        <w:numId w:val="24"/>
      </w:numPr>
    </w:pPr>
  </w:style>
  <w:style w:type="paragraph" w:customStyle="1" w:styleId="DoubleDot">
    <w:name w:val="Double Dot"/>
    <w:basedOn w:val="Normal"/>
    <w:link w:val="DoubleDotChar"/>
    <w:rsid w:val="00AC6072"/>
    <w:pPr>
      <w:numPr>
        <w:ilvl w:val="2"/>
        <w:numId w:val="24"/>
      </w:numPr>
      <w:tabs>
        <w:tab w:val="clear" w:pos="1700"/>
        <w:tab w:val="num" w:pos="360"/>
      </w:tabs>
    </w:pPr>
  </w:style>
  <w:style w:type="paragraph" w:customStyle="1" w:styleId="OutlineNumbered1">
    <w:name w:val="Outline Numbered 1"/>
    <w:basedOn w:val="Normal"/>
    <w:link w:val="OutlineNumbered1Char"/>
    <w:rsid w:val="00AC6072"/>
    <w:pPr>
      <w:numPr>
        <w:numId w:val="9"/>
      </w:numPr>
      <w:spacing w:before="0" w:line="280" w:lineRule="exact"/>
      <w:jc w:val="both"/>
    </w:pPr>
  </w:style>
  <w:style w:type="paragraph" w:customStyle="1" w:styleId="OutlineNumbered2">
    <w:name w:val="Outline Numbered 2"/>
    <w:basedOn w:val="Normal"/>
    <w:link w:val="OutlineNumbered2Char"/>
    <w:qFormat/>
    <w:rsid w:val="00AC6072"/>
    <w:pPr>
      <w:numPr>
        <w:ilvl w:val="1"/>
        <w:numId w:val="8"/>
      </w:numPr>
      <w:spacing w:before="0" w:line="280" w:lineRule="exact"/>
      <w:jc w:val="both"/>
    </w:pPr>
  </w:style>
  <w:style w:type="paragraph" w:customStyle="1" w:styleId="OutlineNumbered3">
    <w:name w:val="Outline Numbered 3"/>
    <w:basedOn w:val="Normal"/>
    <w:link w:val="OutlineNumbered3Char"/>
    <w:rsid w:val="003C70A8"/>
    <w:pPr>
      <w:numPr>
        <w:ilvl w:val="2"/>
        <w:numId w:val="14"/>
      </w:numPr>
      <w:spacing w:before="0" w:after="120"/>
    </w:pPr>
  </w:style>
  <w:style w:type="paragraph" w:customStyle="1" w:styleId="AlphaParagraph">
    <w:name w:val="Alpha Paragraph"/>
    <w:basedOn w:val="Normal"/>
    <w:uiPriority w:val="1"/>
    <w:rsid w:val="00AC6072"/>
    <w:pPr>
      <w:numPr>
        <w:numId w:val="2"/>
      </w:numPr>
    </w:pPr>
  </w:style>
  <w:style w:type="paragraph" w:customStyle="1" w:styleId="HeadingBase">
    <w:name w:val="Heading Base"/>
    <w:next w:val="Normal"/>
    <w:rsid w:val="00AC6072"/>
    <w:pPr>
      <w:keepNext/>
    </w:pPr>
    <w:rPr>
      <w:rFonts w:ascii="Calibri" w:hAnsi="Calibri"/>
      <w:color w:val="009976"/>
    </w:rPr>
  </w:style>
  <w:style w:type="paragraph" w:customStyle="1" w:styleId="AppendixHeading">
    <w:name w:val="Appendix Heading"/>
    <w:basedOn w:val="HeadingBase"/>
    <w:next w:val="Normal"/>
    <w:rsid w:val="00AC6072"/>
    <w:pPr>
      <w:spacing w:before="720" w:after="360"/>
      <w:outlineLvl w:val="0"/>
    </w:pPr>
    <w:rPr>
      <w:b/>
      <w:smallCaps/>
      <w:sz w:val="36"/>
      <w:szCs w:val="36"/>
    </w:rPr>
  </w:style>
  <w:style w:type="character" w:customStyle="1" w:styleId="Bold">
    <w:name w:val="Bold"/>
    <w:basedOn w:val="DefaultParagraphFont"/>
    <w:rsid w:val="00AC6072"/>
    <w:rPr>
      <w:b/>
    </w:rPr>
  </w:style>
  <w:style w:type="paragraph" w:customStyle="1" w:styleId="BoxHeading">
    <w:name w:val="Box Heading"/>
    <w:basedOn w:val="HeadingBase"/>
    <w:next w:val="BoxText"/>
    <w:unhideWhenUsed/>
    <w:rsid w:val="00AC6072"/>
    <w:pPr>
      <w:spacing w:before="240" w:after="120"/>
    </w:pPr>
    <w:rPr>
      <w:b/>
      <w:sz w:val="22"/>
    </w:rPr>
  </w:style>
  <w:style w:type="paragraph" w:customStyle="1" w:styleId="BoxTextBase">
    <w:name w:val="Box Text Base"/>
    <w:basedOn w:val="Normal"/>
    <w:unhideWhenUsed/>
    <w:rsid w:val="00AC6072"/>
  </w:style>
  <w:style w:type="paragraph" w:customStyle="1" w:styleId="ChartandTableFootnoteAlpha">
    <w:name w:val="Chart and Table Footnote Alpha"/>
    <w:rsid w:val="00AC6072"/>
    <w:pPr>
      <w:numPr>
        <w:numId w:val="3"/>
      </w:numPr>
      <w:tabs>
        <w:tab w:val="clear" w:pos="283"/>
        <w:tab w:val="num" w:pos="360"/>
      </w:tabs>
      <w:ind w:left="0" w:firstLine="0"/>
      <w:jc w:val="both"/>
    </w:pPr>
    <w:rPr>
      <w:rFonts w:ascii="Arial" w:hAnsi="Arial"/>
      <w:color w:val="000000"/>
      <w:sz w:val="16"/>
      <w:szCs w:val="16"/>
    </w:rPr>
  </w:style>
  <w:style w:type="paragraph" w:customStyle="1" w:styleId="ChartGraphic">
    <w:name w:val="Chart Graphic"/>
    <w:basedOn w:val="HeadingBase"/>
    <w:next w:val="Normal"/>
    <w:rsid w:val="00AC6072"/>
    <w:pPr>
      <w:jc w:val="center"/>
    </w:pPr>
  </w:style>
  <w:style w:type="paragraph" w:customStyle="1" w:styleId="ChartMainHeading">
    <w:name w:val="Chart Main Heading"/>
    <w:basedOn w:val="HeadingBase"/>
    <w:next w:val="ChartGraphic"/>
    <w:rsid w:val="00AC6072"/>
    <w:pPr>
      <w:spacing w:after="20"/>
      <w:jc w:val="center"/>
    </w:pPr>
    <w:rPr>
      <w:b/>
      <w:sz w:val="22"/>
    </w:rPr>
  </w:style>
  <w:style w:type="paragraph" w:customStyle="1" w:styleId="ChartorTableNote">
    <w:name w:val="Chart or Table Note"/>
    <w:next w:val="Normal"/>
    <w:rsid w:val="00AC6072"/>
    <w:pPr>
      <w:jc w:val="both"/>
    </w:pPr>
    <w:rPr>
      <w:rFonts w:ascii="Arial" w:hAnsi="Arial"/>
      <w:color w:val="000000"/>
      <w:sz w:val="16"/>
    </w:rPr>
  </w:style>
  <w:style w:type="paragraph" w:customStyle="1" w:styleId="ChartSecondHeading">
    <w:name w:val="Chart Second Heading"/>
    <w:basedOn w:val="HeadingBase"/>
    <w:next w:val="ChartGraphic"/>
    <w:rsid w:val="00AC6072"/>
    <w:pPr>
      <w:spacing w:after="20"/>
      <w:jc w:val="center"/>
    </w:pPr>
  </w:style>
  <w:style w:type="paragraph" w:customStyle="1" w:styleId="Classification">
    <w:name w:val="Classification"/>
    <w:basedOn w:val="HeadingBase"/>
    <w:next w:val="Footer"/>
    <w:semiHidden/>
    <w:rsid w:val="00AC6072"/>
    <w:pPr>
      <w:spacing w:after="120"/>
      <w:jc w:val="center"/>
    </w:pPr>
    <w:rPr>
      <w:b/>
      <w:smallCaps/>
    </w:rPr>
  </w:style>
  <w:style w:type="paragraph" w:styleId="Footer">
    <w:name w:val="footer"/>
    <w:basedOn w:val="HeadingBase"/>
    <w:link w:val="FooterChar"/>
    <w:uiPriority w:val="99"/>
    <w:unhideWhenUsed/>
    <w:rsid w:val="00AC6072"/>
    <w:pPr>
      <w:jc w:val="right"/>
    </w:pPr>
  </w:style>
  <w:style w:type="paragraph" w:customStyle="1" w:styleId="ContentsHeading">
    <w:name w:val="Contents Heading"/>
    <w:basedOn w:val="HeadingBase"/>
    <w:next w:val="Normal"/>
    <w:uiPriority w:val="2"/>
    <w:rsid w:val="00AC6072"/>
    <w:pPr>
      <w:spacing w:after="360"/>
      <w:jc w:val="center"/>
    </w:pPr>
    <w:rPr>
      <w:smallCaps/>
      <w:sz w:val="40"/>
      <w:szCs w:val="36"/>
    </w:rPr>
  </w:style>
  <w:style w:type="paragraph" w:customStyle="1" w:styleId="CoverTitleMain">
    <w:name w:val="Cover Title Main"/>
    <w:basedOn w:val="HeadingBase"/>
    <w:next w:val="Normal"/>
    <w:uiPriority w:val="2"/>
    <w:rsid w:val="00AC6072"/>
    <w:pPr>
      <w:spacing w:after="480"/>
    </w:pPr>
    <w:rPr>
      <w:b/>
      <w:sz w:val="48"/>
    </w:rPr>
  </w:style>
  <w:style w:type="paragraph" w:customStyle="1" w:styleId="CoverTitleSub">
    <w:name w:val="Cover Title Sub"/>
    <w:basedOn w:val="HeadingBase"/>
    <w:uiPriority w:val="2"/>
    <w:rsid w:val="00AC6072"/>
    <w:pPr>
      <w:pBdr>
        <w:top w:val="single" w:sz="4" w:space="1" w:color="009976"/>
      </w:pBdr>
      <w:spacing w:after="360"/>
      <w:jc w:val="right"/>
    </w:pPr>
    <w:rPr>
      <w:sz w:val="36"/>
    </w:rPr>
  </w:style>
  <w:style w:type="paragraph" w:customStyle="1" w:styleId="FooterCentered">
    <w:name w:val="Footer Centered"/>
    <w:basedOn w:val="Footer"/>
    <w:unhideWhenUsed/>
    <w:rsid w:val="00AC6072"/>
    <w:pPr>
      <w:jc w:val="center"/>
    </w:pPr>
  </w:style>
  <w:style w:type="paragraph" w:customStyle="1" w:styleId="FooterEven">
    <w:name w:val="Footer Even"/>
    <w:basedOn w:val="Footer"/>
    <w:unhideWhenUsed/>
    <w:rsid w:val="00AC6072"/>
    <w:pPr>
      <w:pBdr>
        <w:top w:val="single" w:sz="2" w:space="1" w:color="009976" w:themeColor="accent1"/>
      </w:pBdr>
      <w:jc w:val="left"/>
    </w:pPr>
  </w:style>
  <w:style w:type="paragraph" w:customStyle="1" w:styleId="FooterOdd">
    <w:name w:val="Footer Odd"/>
    <w:basedOn w:val="Footer"/>
    <w:unhideWhenUsed/>
    <w:rsid w:val="00AC6072"/>
    <w:pPr>
      <w:pBdr>
        <w:top w:val="single" w:sz="2" w:space="1" w:color="009976" w:themeColor="accent1"/>
      </w:pBdr>
    </w:pPr>
  </w:style>
  <w:style w:type="character" w:customStyle="1" w:styleId="FramedFooter">
    <w:name w:val="Framed Footer"/>
    <w:semiHidden/>
    <w:rsid w:val="00AC6072"/>
    <w:rPr>
      <w:rFonts w:ascii="Arial" w:hAnsi="Arial"/>
      <w:color w:val="009976" w:themeColor="accent1"/>
      <w:sz w:val="18"/>
    </w:rPr>
  </w:style>
  <w:style w:type="character" w:customStyle="1" w:styleId="FramedHeader">
    <w:name w:val="Framed Header"/>
    <w:basedOn w:val="DefaultParagraphFont"/>
    <w:rsid w:val="00AC6072"/>
    <w:rPr>
      <w:rFonts w:ascii="Arial" w:hAnsi="Arial"/>
      <w:dstrike w:val="0"/>
      <w:color w:val="009976" w:themeColor="accent1"/>
      <w:sz w:val="18"/>
      <w:vertAlign w:val="baseline"/>
    </w:rPr>
  </w:style>
  <w:style w:type="paragraph" w:styleId="Header">
    <w:name w:val="header"/>
    <w:basedOn w:val="HeadingBase"/>
    <w:link w:val="HeaderChar"/>
    <w:rsid w:val="00AC6072"/>
    <w:rPr>
      <w:sz w:val="18"/>
    </w:rPr>
  </w:style>
  <w:style w:type="paragraph" w:customStyle="1" w:styleId="HeaderEven">
    <w:name w:val="Header Even"/>
    <w:basedOn w:val="Header"/>
    <w:rsid w:val="00AC6072"/>
  </w:style>
  <w:style w:type="paragraph" w:customStyle="1" w:styleId="HeaderOdd">
    <w:name w:val="Header Odd"/>
    <w:basedOn w:val="Header"/>
    <w:rsid w:val="00AC6072"/>
    <w:pPr>
      <w:jc w:val="right"/>
    </w:pPr>
  </w:style>
  <w:style w:type="paragraph" w:styleId="NormalIndent">
    <w:name w:val="Normal Indent"/>
    <w:basedOn w:val="Normal"/>
    <w:semiHidden/>
    <w:rsid w:val="00AC6072"/>
    <w:pPr>
      <w:ind w:left="567"/>
    </w:pPr>
    <w:rPr>
      <w:i/>
    </w:rPr>
  </w:style>
  <w:style w:type="paragraph" w:customStyle="1" w:styleId="RecommendationHeading">
    <w:name w:val="Recommendation Heading"/>
    <w:basedOn w:val="HeadingBase"/>
    <w:next w:val="RecommendationText"/>
    <w:qFormat/>
    <w:rsid w:val="00AC6072"/>
    <w:pPr>
      <w:spacing w:before="120" w:after="120"/>
    </w:pPr>
    <w:rPr>
      <w:b/>
      <w:color w:val="009976" w:themeColor="accent1"/>
      <w:sz w:val="24"/>
    </w:rPr>
  </w:style>
  <w:style w:type="paragraph" w:customStyle="1" w:styleId="RecommendationTextBase">
    <w:name w:val="Recommendation Text Base"/>
    <w:basedOn w:val="Normal"/>
    <w:rsid w:val="00AC6072"/>
    <w:pPr>
      <w:spacing w:after="120"/>
    </w:pPr>
  </w:style>
  <w:style w:type="paragraph" w:customStyle="1" w:styleId="RecommendationText">
    <w:name w:val="Recommendation Text"/>
    <w:basedOn w:val="RecommendationTextBase"/>
    <w:qFormat/>
    <w:rsid w:val="00AC6072"/>
  </w:style>
  <w:style w:type="paragraph" w:customStyle="1" w:styleId="TableTextBase">
    <w:name w:val="Table Text Base"/>
    <w:uiPriority w:val="1"/>
    <w:unhideWhenUsed/>
    <w:rsid w:val="00AC6072"/>
    <w:pPr>
      <w:spacing w:before="40" w:after="40"/>
    </w:pPr>
    <w:rPr>
      <w:rFonts w:asciiTheme="minorHAnsi" w:hAnsiTheme="minorHAnsi"/>
      <w:color w:val="000000"/>
      <w:sz w:val="16"/>
    </w:rPr>
  </w:style>
  <w:style w:type="paragraph" w:customStyle="1" w:styleId="TableColumnHeadingCentred">
    <w:name w:val="Table Column Heading Centred"/>
    <w:basedOn w:val="TableColumnHeadingBase"/>
    <w:uiPriority w:val="1"/>
    <w:unhideWhenUsed/>
    <w:rsid w:val="00AC6072"/>
    <w:pPr>
      <w:jc w:val="center"/>
    </w:pPr>
  </w:style>
  <w:style w:type="paragraph" w:customStyle="1" w:styleId="TableColumnHeadingLeft">
    <w:name w:val="Table Column Heading Left"/>
    <w:basedOn w:val="TableColumnHeadingBase"/>
    <w:uiPriority w:val="1"/>
    <w:unhideWhenUsed/>
    <w:rsid w:val="00A24996"/>
    <w:pPr>
      <w:spacing w:before="120" w:after="120"/>
    </w:pPr>
    <w:rPr>
      <w:sz w:val="22"/>
    </w:rPr>
  </w:style>
  <w:style w:type="paragraph" w:customStyle="1" w:styleId="TableColumnHeadingRight">
    <w:name w:val="Table Column Heading Right"/>
    <w:basedOn w:val="TableColumnHeadingBase"/>
    <w:uiPriority w:val="1"/>
    <w:unhideWhenUsed/>
    <w:rsid w:val="00AC6072"/>
    <w:pPr>
      <w:jc w:val="right"/>
    </w:pPr>
  </w:style>
  <w:style w:type="paragraph" w:customStyle="1" w:styleId="TableGraphic">
    <w:name w:val="Table Graphic"/>
    <w:basedOn w:val="HeadingBase"/>
    <w:next w:val="Normal"/>
    <w:rsid w:val="00AC6072"/>
  </w:style>
  <w:style w:type="paragraph" w:customStyle="1" w:styleId="TableMainHeading">
    <w:name w:val="Table Main Heading"/>
    <w:basedOn w:val="HeadingBase"/>
    <w:next w:val="TableGraphic"/>
    <w:uiPriority w:val="1"/>
    <w:unhideWhenUsed/>
    <w:rsid w:val="00AC6072"/>
    <w:pPr>
      <w:spacing w:after="20"/>
    </w:pPr>
    <w:rPr>
      <w:b/>
      <w:sz w:val="22"/>
    </w:rPr>
  </w:style>
  <w:style w:type="paragraph" w:customStyle="1" w:styleId="TableMainHeadingContd">
    <w:name w:val="Table Main Heading Contd"/>
    <w:basedOn w:val="HeadingBase"/>
    <w:next w:val="TableGraphic"/>
    <w:uiPriority w:val="1"/>
    <w:unhideWhenUsed/>
    <w:rsid w:val="00AC6072"/>
    <w:pPr>
      <w:pageBreakBefore/>
      <w:spacing w:after="20"/>
    </w:pPr>
    <w:rPr>
      <w:b/>
      <w:sz w:val="22"/>
    </w:rPr>
  </w:style>
  <w:style w:type="paragraph" w:customStyle="1" w:styleId="TableSecondHeading">
    <w:name w:val="Table Second Heading"/>
    <w:basedOn w:val="HeadingBase"/>
    <w:next w:val="TableGraphic"/>
    <w:uiPriority w:val="1"/>
    <w:unhideWhenUsed/>
    <w:rsid w:val="00AC6072"/>
    <w:pPr>
      <w:spacing w:after="20"/>
    </w:pPr>
  </w:style>
  <w:style w:type="paragraph" w:customStyle="1" w:styleId="TableTextCentered">
    <w:name w:val="Table Text Centered"/>
    <w:basedOn w:val="TableTextBase"/>
    <w:uiPriority w:val="1"/>
    <w:unhideWhenUsed/>
    <w:rsid w:val="00AC6072"/>
    <w:pPr>
      <w:jc w:val="center"/>
    </w:pPr>
  </w:style>
  <w:style w:type="paragraph" w:customStyle="1" w:styleId="TableTextIndented">
    <w:name w:val="Table Text Indented"/>
    <w:basedOn w:val="TableTextBase"/>
    <w:uiPriority w:val="1"/>
    <w:unhideWhenUsed/>
    <w:rsid w:val="00AC6072"/>
    <w:pPr>
      <w:ind w:left="284"/>
    </w:pPr>
  </w:style>
  <w:style w:type="paragraph" w:customStyle="1" w:styleId="TableTextLeft">
    <w:name w:val="Table Text Left"/>
    <w:basedOn w:val="TableTextBase"/>
    <w:uiPriority w:val="1"/>
    <w:unhideWhenUsed/>
    <w:rsid w:val="00B95932"/>
    <w:pPr>
      <w:spacing w:after="120"/>
    </w:pPr>
    <w:rPr>
      <w:sz w:val="20"/>
    </w:rPr>
  </w:style>
  <w:style w:type="paragraph" w:customStyle="1" w:styleId="TableTextRight">
    <w:name w:val="Table Text Right"/>
    <w:basedOn w:val="TableTextBase"/>
    <w:uiPriority w:val="1"/>
    <w:unhideWhenUsed/>
    <w:rsid w:val="00AC6072"/>
    <w:pPr>
      <w:jc w:val="right"/>
    </w:pPr>
  </w:style>
  <w:style w:type="paragraph" w:styleId="TOC1">
    <w:name w:val="toc 1"/>
    <w:basedOn w:val="HeadingBase"/>
    <w:next w:val="Normal"/>
    <w:uiPriority w:val="39"/>
    <w:rsid w:val="0083734E"/>
    <w:pPr>
      <w:tabs>
        <w:tab w:val="left" w:pos="284"/>
        <w:tab w:val="left" w:pos="567"/>
        <w:tab w:val="right" w:leader="dot" w:pos="9072"/>
      </w:tabs>
      <w:spacing w:before="180" w:after="60"/>
      <w:ind w:left="284" w:right="851" w:hanging="284"/>
    </w:pPr>
    <w:rPr>
      <w:b/>
      <w:caps/>
      <w:sz w:val="24"/>
      <w:szCs w:val="22"/>
    </w:rPr>
  </w:style>
  <w:style w:type="paragraph" w:styleId="TOC2">
    <w:name w:val="toc 2"/>
    <w:basedOn w:val="HeadingBase"/>
    <w:next w:val="Normal"/>
    <w:uiPriority w:val="39"/>
    <w:rsid w:val="0083734E"/>
    <w:pPr>
      <w:keepNext w:val="0"/>
      <w:tabs>
        <w:tab w:val="left" w:pos="851"/>
        <w:tab w:val="right" w:leader="dot" w:pos="9072"/>
      </w:tabs>
      <w:spacing w:before="40" w:after="20"/>
    </w:pPr>
    <w:rPr>
      <w:sz w:val="22"/>
    </w:rPr>
  </w:style>
  <w:style w:type="paragraph" w:styleId="TOC3">
    <w:name w:val="toc 3"/>
    <w:basedOn w:val="Normal"/>
    <w:next w:val="Normal"/>
    <w:uiPriority w:val="39"/>
    <w:unhideWhenUsed/>
    <w:rsid w:val="0083734E"/>
    <w:pPr>
      <w:tabs>
        <w:tab w:val="right" w:leader="dot" w:pos="9072"/>
      </w:tabs>
      <w:spacing w:before="20" w:after="0"/>
      <w:ind w:right="851"/>
    </w:pPr>
    <w:rPr>
      <w:color w:val="009976"/>
    </w:rPr>
  </w:style>
  <w:style w:type="paragraph" w:styleId="TOC4">
    <w:name w:val="toc 4"/>
    <w:basedOn w:val="Normal"/>
    <w:next w:val="Normal"/>
    <w:uiPriority w:val="39"/>
    <w:unhideWhenUsed/>
    <w:rsid w:val="00AC6072"/>
    <w:pPr>
      <w:tabs>
        <w:tab w:val="right" w:leader="dot" w:pos="9072"/>
      </w:tabs>
      <w:spacing w:after="0"/>
      <w:ind w:left="284" w:right="851"/>
    </w:pPr>
  </w:style>
  <w:style w:type="character" w:customStyle="1" w:styleId="italic">
    <w:name w:val="italic"/>
    <w:basedOn w:val="DefaultParagraphFont"/>
    <w:unhideWhenUsed/>
    <w:rsid w:val="00AC6072"/>
    <w:rPr>
      <w:i/>
    </w:rPr>
  </w:style>
  <w:style w:type="paragraph" w:customStyle="1" w:styleId="OneLevelNumberedParagraph">
    <w:name w:val="One Level Numbered Paragraph"/>
    <w:basedOn w:val="Normal"/>
    <w:semiHidden/>
    <w:rsid w:val="00AC6072"/>
    <w:pPr>
      <w:numPr>
        <w:numId w:val="5"/>
      </w:numPr>
    </w:pPr>
  </w:style>
  <w:style w:type="paragraph" w:customStyle="1" w:styleId="BoxText">
    <w:name w:val="Box Text"/>
    <w:basedOn w:val="BoxTextBase"/>
    <w:unhideWhenUsed/>
    <w:rsid w:val="00AC6072"/>
    <w:pPr>
      <w:spacing w:after="120"/>
    </w:pPr>
  </w:style>
  <w:style w:type="paragraph" w:customStyle="1" w:styleId="BoxBullet">
    <w:name w:val="Box Bullet"/>
    <w:basedOn w:val="BoxTextBase"/>
    <w:unhideWhenUsed/>
    <w:rsid w:val="00E5196A"/>
    <w:pPr>
      <w:keepLines/>
      <w:numPr>
        <w:numId w:val="4"/>
      </w:numPr>
      <w:tabs>
        <w:tab w:val="clear" w:pos="566"/>
        <w:tab w:val="num" w:pos="459"/>
      </w:tabs>
      <w:spacing w:after="120"/>
      <w:ind w:left="459" w:hanging="459"/>
    </w:pPr>
    <w:rPr>
      <w:lang w:val="en"/>
    </w:rPr>
  </w:style>
  <w:style w:type="paragraph" w:customStyle="1" w:styleId="BoxDash">
    <w:name w:val="Box Dash"/>
    <w:basedOn w:val="Normal"/>
    <w:unhideWhenUsed/>
    <w:rsid w:val="00AC6072"/>
    <w:pPr>
      <w:numPr>
        <w:ilvl w:val="1"/>
        <w:numId w:val="4"/>
      </w:numPr>
    </w:pPr>
  </w:style>
  <w:style w:type="paragraph" w:customStyle="1" w:styleId="BoxDoubleDot">
    <w:name w:val="Box Double Dot"/>
    <w:basedOn w:val="BoxTextBase"/>
    <w:unhideWhenUsed/>
    <w:rsid w:val="00AC6072"/>
    <w:pPr>
      <w:numPr>
        <w:ilvl w:val="2"/>
        <w:numId w:val="4"/>
      </w:numPr>
    </w:pPr>
  </w:style>
  <w:style w:type="paragraph" w:customStyle="1" w:styleId="RecommendationBullet">
    <w:name w:val="Recommendation Bullet"/>
    <w:basedOn w:val="RecommendationTextBase"/>
    <w:rsid w:val="00AC6072"/>
    <w:pPr>
      <w:numPr>
        <w:numId w:val="6"/>
      </w:numPr>
    </w:pPr>
  </w:style>
  <w:style w:type="paragraph" w:customStyle="1" w:styleId="RecommendationDash">
    <w:name w:val="Recommendation Dash"/>
    <w:basedOn w:val="RecommendationTextBase"/>
    <w:rsid w:val="00AC6072"/>
    <w:pPr>
      <w:numPr>
        <w:ilvl w:val="1"/>
        <w:numId w:val="6"/>
      </w:numPr>
    </w:pPr>
  </w:style>
  <w:style w:type="paragraph" w:customStyle="1" w:styleId="RecommendationDoubleDot">
    <w:name w:val="Recommendation Double Dot"/>
    <w:basedOn w:val="RecommendationTextBase"/>
    <w:rsid w:val="00AC6072"/>
    <w:pPr>
      <w:numPr>
        <w:ilvl w:val="2"/>
        <w:numId w:val="6"/>
      </w:numPr>
    </w:pPr>
  </w:style>
  <w:style w:type="character" w:styleId="FollowedHyperlink">
    <w:name w:val="FollowedHyperlink"/>
    <w:basedOn w:val="DefaultParagraphFont"/>
    <w:unhideWhenUsed/>
    <w:rsid w:val="00AC6072"/>
    <w:rPr>
      <w:color w:val="auto"/>
      <w:u w:val="none"/>
    </w:rPr>
  </w:style>
  <w:style w:type="paragraph" w:customStyle="1" w:styleId="Heading1NotNumbered">
    <w:name w:val="Heading 1 Not Numbered"/>
    <w:basedOn w:val="HeadingBase"/>
    <w:next w:val="Normal"/>
    <w:qFormat/>
    <w:rsid w:val="009A1C21"/>
    <w:pPr>
      <w:spacing w:before="480" w:after="300"/>
      <w:outlineLvl w:val="0"/>
    </w:pPr>
    <w:rPr>
      <w:smallCaps/>
      <w:sz w:val="40"/>
      <w:szCs w:val="36"/>
    </w:rPr>
  </w:style>
  <w:style w:type="paragraph" w:customStyle="1" w:styleId="Heading2NotNumbered">
    <w:name w:val="Heading 2 Not Numbered"/>
    <w:basedOn w:val="HeadingBase"/>
    <w:next w:val="Normal"/>
    <w:qFormat/>
    <w:rsid w:val="00AC4C29"/>
    <w:pPr>
      <w:spacing w:before="360" w:after="180"/>
      <w:outlineLvl w:val="1"/>
    </w:pPr>
    <w:rPr>
      <w:sz w:val="30"/>
      <w:szCs w:val="28"/>
    </w:rPr>
  </w:style>
  <w:style w:type="paragraph" w:customStyle="1" w:styleId="Heading3NotNumbered">
    <w:name w:val="Heading 3 Not Numbered"/>
    <w:basedOn w:val="HeadingBase"/>
    <w:next w:val="Normal"/>
    <w:rsid w:val="009A1C21"/>
    <w:pPr>
      <w:spacing w:before="240" w:after="120"/>
      <w:outlineLvl w:val="2"/>
    </w:pPr>
    <w:rPr>
      <w:sz w:val="28"/>
      <w:szCs w:val="26"/>
    </w:rPr>
  </w:style>
  <w:style w:type="paragraph" w:customStyle="1" w:styleId="Heading4NotNumbered">
    <w:name w:val="Heading 4 Not Numbered"/>
    <w:basedOn w:val="HeadingBase"/>
    <w:unhideWhenUsed/>
    <w:rsid w:val="009A1C21"/>
    <w:pPr>
      <w:spacing w:before="120" w:after="120"/>
      <w:outlineLvl w:val="3"/>
    </w:pPr>
    <w:rPr>
      <w:b/>
      <w:sz w:val="26"/>
    </w:rPr>
  </w:style>
  <w:style w:type="paragraph" w:styleId="BalloonText">
    <w:name w:val="Balloon Text"/>
    <w:basedOn w:val="Normal"/>
    <w:semiHidden/>
    <w:rsid w:val="00AC6072"/>
    <w:rPr>
      <w:rFonts w:ascii="Tahoma" w:hAnsi="Tahoma" w:cs="Tahoma"/>
      <w:sz w:val="16"/>
      <w:szCs w:val="16"/>
    </w:rPr>
  </w:style>
  <w:style w:type="paragraph" w:styleId="Caption">
    <w:name w:val="caption"/>
    <w:basedOn w:val="Normal"/>
    <w:next w:val="Normal"/>
    <w:rsid w:val="00AC6072"/>
    <w:rPr>
      <w:b/>
      <w:bCs/>
    </w:rPr>
  </w:style>
  <w:style w:type="character" w:styleId="CommentReference">
    <w:name w:val="annotation reference"/>
    <w:basedOn w:val="DefaultParagraphFont"/>
    <w:semiHidden/>
    <w:rsid w:val="00AC6072"/>
    <w:rPr>
      <w:sz w:val="16"/>
      <w:szCs w:val="16"/>
    </w:rPr>
  </w:style>
  <w:style w:type="paragraph" w:styleId="CommentText">
    <w:name w:val="annotation text"/>
    <w:basedOn w:val="Normal"/>
    <w:link w:val="CommentTextChar"/>
    <w:rsid w:val="00AC6072"/>
  </w:style>
  <w:style w:type="paragraph" w:styleId="CommentSubject">
    <w:name w:val="annotation subject"/>
    <w:basedOn w:val="CommentText"/>
    <w:next w:val="CommentText"/>
    <w:link w:val="CommentSubjectChar"/>
    <w:semiHidden/>
    <w:rsid w:val="00AC6072"/>
    <w:rPr>
      <w:b/>
      <w:bCs/>
    </w:rPr>
  </w:style>
  <w:style w:type="paragraph" w:styleId="DocumentMap">
    <w:name w:val="Document Map"/>
    <w:basedOn w:val="Normal"/>
    <w:semiHidden/>
    <w:rsid w:val="00AC6072"/>
    <w:pPr>
      <w:shd w:val="clear" w:color="auto" w:fill="000080"/>
    </w:pPr>
    <w:rPr>
      <w:rFonts w:ascii="Tahoma" w:hAnsi="Tahoma" w:cs="Tahoma"/>
    </w:rPr>
  </w:style>
  <w:style w:type="character" w:styleId="EndnoteReference">
    <w:name w:val="endnote reference"/>
    <w:basedOn w:val="DefaultParagraphFont"/>
    <w:semiHidden/>
    <w:rsid w:val="00AC6072"/>
    <w:rPr>
      <w:vertAlign w:val="superscript"/>
    </w:rPr>
  </w:style>
  <w:style w:type="paragraph" w:styleId="EndnoteText">
    <w:name w:val="endnote text"/>
    <w:basedOn w:val="Normal"/>
    <w:semiHidden/>
    <w:rsid w:val="00AC6072"/>
  </w:style>
  <w:style w:type="character" w:styleId="FootnoteReference">
    <w:name w:val="footnote reference"/>
    <w:aliases w:val="(NECG) Footnote Reference"/>
    <w:basedOn w:val="DefaultParagraphFont"/>
    <w:unhideWhenUsed/>
    <w:rsid w:val="00AC6072"/>
    <w:rPr>
      <w:vertAlign w:val="superscript"/>
    </w:rPr>
  </w:style>
  <w:style w:type="paragraph" w:styleId="Index1">
    <w:name w:val="index 1"/>
    <w:basedOn w:val="Normal"/>
    <w:next w:val="Normal"/>
    <w:autoRedefine/>
    <w:semiHidden/>
    <w:rsid w:val="00AC6072"/>
    <w:pPr>
      <w:ind w:left="200" w:hanging="200"/>
    </w:pPr>
  </w:style>
  <w:style w:type="paragraph" w:styleId="Index2">
    <w:name w:val="index 2"/>
    <w:basedOn w:val="Normal"/>
    <w:next w:val="Normal"/>
    <w:autoRedefine/>
    <w:semiHidden/>
    <w:rsid w:val="00AC6072"/>
    <w:pPr>
      <w:ind w:left="400" w:hanging="200"/>
    </w:pPr>
  </w:style>
  <w:style w:type="paragraph" w:styleId="Index3">
    <w:name w:val="index 3"/>
    <w:basedOn w:val="Normal"/>
    <w:next w:val="Normal"/>
    <w:autoRedefine/>
    <w:semiHidden/>
    <w:rsid w:val="00AC6072"/>
    <w:pPr>
      <w:ind w:left="600" w:hanging="200"/>
    </w:pPr>
  </w:style>
  <w:style w:type="paragraph" w:styleId="Index4">
    <w:name w:val="index 4"/>
    <w:basedOn w:val="Normal"/>
    <w:next w:val="Normal"/>
    <w:autoRedefine/>
    <w:semiHidden/>
    <w:rsid w:val="00AC6072"/>
    <w:pPr>
      <w:ind w:left="800" w:hanging="200"/>
    </w:pPr>
  </w:style>
  <w:style w:type="paragraph" w:styleId="Index5">
    <w:name w:val="index 5"/>
    <w:basedOn w:val="Normal"/>
    <w:next w:val="Normal"/>
    <w:autoRedefine/>
    <w:semiHidden/>
    <w:rsid w:val="00AC6072"/>
    <w:pPr>
      <w:ind w:left="1000" w:hanging="200"/>
    </w:pPr>
  </w:style>
  <w:style w:type="paragraph" w:styleId="Index6">
    <w:name w:val="index 6"/>
    <w:basedOn w:val="Normal"/>
    <w:next w:val="Normal"/>
    <w:autoRedefine/>
    <w:semiHidden/>
    <w:rsid w:val="00AC6072"/>
    <w:pPr>
      <w:ind w:left="1200" w:hanging="200"/>
    </w:pPr>
  </w:style>
  <w:style w:type="paragraph" w:styleId="Index7">
    <w:name w:val="index 7"/>
    <w:basedOn w:val="Normal"/>
    <w:next w:val="Normal"/>
    <w:autoRedefine/>
    <w:semiHidden/>
    <w:rsid w:val="00AC6072"/>
    <w:pPr>
      <w:ind w:left="1400" w:hanging="200"/>
    </w:pPr>
  </w:style>
  <w:style w:type="paragraph" w:styleId="Index8">
    <w:name w:val="index 8"/>
    <w:basedOn w:val="Normal"/>
    <w:next w:val="Normal"/>
    <w:autoRedefine/>
    <w:semiHidden/>
    <w:rsid w:val="00AC6072"/>
    <w:pPr>
      <w:ind w:left="1600" w:hanging="200"/>
    </w:pPr>
  </w:style>
  <w:style w:type="paragraph" w:styleId="Index9">
    <w:name w:val="index 9"/>
    <w:basedOn w:val="Normal"/>
    <w:next w:val="Normal"/>
    <w:autoRedefine/>
    <w:semiHidden/>
    <w:rsid w:val="00AC6072"/>
    <w:pPr>
      <w:ind w:left="1800" w:hanging="200"/>
    </w:pPr>
  </w:style>
  <w:style w:type="paragraph" w:styleId="IndexHeading">
    <w:name w:val="index heading"/>
    <w:basedOn w:val="Normal"/>
    <w:next w:val="Index1"/>
    <w:semiHidden/>
    <w:rsid w:val="00AC6072"/>
    <w:rPr>
      <w:rFonts w:cs="Arial"/>
      <w:b/>
      <w:bCs/>
    </w:rPr>
  </w:style>
  <w:style w:type="paragraph" w:styleId="MacroText">
    <w:name w:val="macro"/>
    <w:semiHidden/>
    <w:rsid w:val="00AC6072"/>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semiHidden/>
    <w:rsid w:val="00AC6072"/>
    <w:pPr>
      <w:ind w:left="200" w:hanging="200"/>
    </w:pPr>
  </w:style>
  <w:style w:type="paragraph" w:styleId="TableofFigures">
    <w:name w:val="table of figures"/>
    <w:basedOn w:val="Normal"/>
    <w:next w:val="Normal"/>
    <w:semiHidden/>
    <w:rsid w:val="00AC6072"/>
  </w:style>
  <w:style w:type="paragraph" w:styleId="TOAHeading">
    <w:name w:val="toa heading"/>
    <w:basedOn w:val="Normal"/>
    <w:next w:val="Normal"/>
    <w:semiHidden/>
    <w:rsid w:val="00AC6072"/>
    <w:rPr>
      <w:rFonts w:cs="Arial"/>
      <w:b/>
      <w:bCs/>
      <w:sz w:val="24"/>
      <w:szCs w:val="24"/>
    </w:rPr>
  </w:style>
  <w:style w:type="paragraph" w:styleId="TOC5">
    <w:name w:val="toc 5"/>
    <w:basedOn w:val="PartHeading"/>
    <w:next w:val="Normal"/>
    <w:autoRedefine/>
    <w:uiPriority w:val="39"/>
    <w:rsid w:val="00AC6072"/>
    <w:pPr>
      <w:ind w:left="800"/>
    </w:pPr>
  </w:style>
  <w:style w:type="paragraph" w:styleId="TOC6">
    <w:name w:val="toc 6"/>
    <w:basedOn w:val="SubpartHeading"/>
    <w:next w:val="Normal"/>
    <w:autoRedefine/>
    <w:uiPriority w:val="39"/>
    <w:rsid w:val="00AC6072"/>
    <w:pPr>
      <w:ind w:left="1000"/>
    </w:pPr>
  </w:style>
  <w:style w:type="paragraph" w:styleId="TOC7">
    <w:name w:val="toc 7"/>
    <w:basedOn w:val="Heading1"/>
    <w:next w:val="Normal"/>
    <w:autoRedefine/>
    <w:uiPriority w:val="39"/>
    <w:rsid w:val="00AC6072"/>
    <w:pPr>
      <w:ind w:left="1200"/>
    </w:pPr>
  </w:style>
  <w:style w:type="paragraph" w:styleId="TOC8">
    <w:name w:val="toc 8"/>
    <w:basedOn w:val="RecommendationHeading"/>
    <w:next w:val="Normal"/>
    <w:autoRedefine/>
    <w:uiPriority w:val="39"/>
    <w:rsid w:val="00734718"/>
    <w:rPr>
      <w:b w:val="0"/>
      <w:sz w:val="22"/>
    </w:rPr>
  </w:style>
  <w:style w:type="paragraph" w:styleId="TOC9">
    <w:name w:val="toc 9"/>
    <w:basedOn w:val="Keyfindingtext"/>
    <w:next w:val="Normal"/>
    <w:autoRedefine/>
    <w:uiPriority w:val="39"/>
    <w:rsid w:val="00734718"/>
  </w:style>
  <w:style w:type="paragraph" w:customStyle="1" w:styleId="Heading5NotNumbered">
    <w:name w:val="Heading 5 Not Numbered"/>
    <w:basedOn w:val="HeadingBase"/>
    <w:unhideWhenUsed/>
    <w:qFormat/>
    <w:rsid w:val="009E3B2D"/>
    <w:pPr>
      <w:spacing w:after="120"/>
      <w:outlineLvl w:val="4"/>
    </w:pPr>
    <w:rPr>
      <w:i/>
      <w:sz w:val="24"/>
    </w:rPr>
  </w:style>
  <w:style w:type="table" w:customStyle="1" w:styleId="OptionsTable">
    <w:name w:val="Options Table"/>
    <w:basedOn w:val="TableNormal"/>
    <w:rsid w:val="00AC6072"/>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AC6072"/>
    <w:pPr>
      <w:numPr>
        <w:numId w:val="7"/>
      </w:numPr>
    </w:pPr>
  </w:style>
  <w:style w:type="paragraph" w:customStyle="1" w:styleId="OutlineNumbered4">
    <w:name w:val="Outline Numbered 4"/>
    <w:basedOn w:val="Normal"/>
    <w:rsid w:val="00AC6072"/>
    <w:pPr>
      <w:spacing w:before="0" w:line="280" w:lineRule="exact"/>
      <w:jc w:val="both"/>
    </w:pPr>
  </w:style>
  <w:style w:type="paragraph" w:customStyle="1" w:styleId="OutlineNumbered5">
    <w:name w:val="Outline Numbered 5"/>
    <w:basedOn w:val="Normal"/>
    <w:rsid w:val="00AC6072"/>
    <w:pPr>
      <w:numPr>
        <w:ilvl w:val="4"/>
        <w:numId w:val="9"/>
      </w:numPr>
      <w:spacing w:before="0" w:line="280" w:lineRule="exact"/>
      <w:jc w:val="both"/>
    </w:pPr>
  </w:style>
  <w:style w:type="paragraph" w:customStyle="1" w:styleId="Crest">
    <w:name w:val="Crest"/>
    <w:basedOn w:val="Header"/>
    <w:uiPriority w:val="2"/>
    <w:rsid w:val="00AC6072"/>
    <w:pPr>
      <w:spacing w:after="480"/>
      <w:jc w:val="right"/>
    </w:pPr>
  </w:style>
  <w:style w:type="character" w:customStyle="1" w:styleId="SingleParagraphChar">
    <w:name w:val="Single Paragraph Char"/>
    <w:basedOn w:val="DefaultParagraphFont"/>
    <w:link w:val="SingleParagraph"/>
    <w:rsid w:val="00AC6072"/>
    <w:rPr>
      <w:rFonts w:asciiTheme="minorHAnsi" w:hAnsiTheme="minorHAnsi"/>
      <w:color w:val="000000"/>
      <w:sz w:val="22"/>
    </w:rPr>
  </w:style>
  <w:style w:type="character" w:customStyle="1" w:styleId="Heading5Char">
    <w:name w:val="Heading 5 Char"/>
    <w:basedOn w:val="DefaultParagraphFont"/>
    <w:link w:val="Heading5"/>
    <w:rsid w:val="00AC6072"/>
    <w:rPr>
      <w:rFonts w:ascii="Calibri" w:hAnsi="Calibri"/>
      <w:b/>
      <w:bCs/>
      <w:iCs/>
      <w:color w:val="009976"/>
      <w:sz w:val="24"/>
    </w:rPr>
  </w:style>
  <w:style w:type="character" w:customStyle="1" w:styleId="Heading4Char">
    <w:name w:val="Heading 4 Char"/>
    <w:basedOn w:val="DefaultParagraphFont"/>
    <w:link w:val="Heading4"/>
    <w:rsid w:val="009E3B2D"/>
    <w:rPr>
      <w:rFonts w:ascii="Calibri" w:hAnsi="Calibri"/>
      <w:bCs/>
      <w:color w:val="009976"/>
      <w:sz w:val="26"/>
      <w:szCs w:val="22"/>
    </w:rPr>
  </w:style>
  <w:style w:type="character" w:customStyle="1" w:styleId="A5">
    <w:name w:val="A5"/>
    <w:uiPriority w:val="99"/>
    <w:rsid w:val="00AC6072"/>
    <w:rPr>
      <w:rFonts w:cs="Swiss 721 BT"/>
      <w:color w:val="000000"/>
      <w:sz w:val="20"/>
      <w:szCs w:val="20"/>
    </w:rPr>
  </w:style>
  <w:style w:type="character" w:customStyle="1" w:styleId="FooterChar">
    <w:name w:val="Footer Char"/>
    <w:link w:val="Footer"/>
    <w:uiPriority w:val="99"/>
    <w:rsid w:val="00AC6072"/>
    <w:rPr>
      <w:rFonts w:ascii="Calibri" w:hAnsi="Calibri"/>
      <w:color w:val="009976"/>
    </w:rPr>
  </w:style>
  <w:style w:type="paragraph" w:customStyle="1" w:styleId="SecurityClassificationFooter">
    <w:name w:val="Security Classification Footer"/>
    <w:link w:val="SecurityClassificationFooterChar"/>
    <w:semiHidden/>
    <w:rsid w:val="00AC6072"/>
    <w:pPr>
      <w:spacing w:before="60" w:after="240" w:line="276" w:lineRule="auto"/>
      <w:jc w:val="center"/>
    </w:pPr>
    <w:rPr>
      <w:b/>
      <w:caps/>
      <w:color w:val="009976"/>
      <w:sz w:val="24"/>
    </w:rPr>
  </w:style>
  <w:style w:type="character" w:customStyle="1" w:styleId="SecurityClassificationFooterChar">
    <w:name w:val="Security Classification Footer Char"/>
    <w:link w:val="SecurityClassificationFooter"/>
    <w:semiHidden/>
    <w:rsid w:val="00686EEA"/>
    <w:rPr>
      <w:b/>
      <w:caps/>
      <w:color w:val="009976"/>
      <w:sz w:val="24"/>
    </w:rPr>
  </w:style>
  <w:style w:type="paragraph" w:customStyle="1" w:styleId="MinuteNumber">
    <w:name w:val="Minute Number"/>
    <w:basedOn w:val="Header"/>
    <w:uiPriority w:val="2"/>
    <w:rsid w:val="00AC6072"/>
    <w:pPr>
      <w:keepNext w:val="0"/>
      <w:pBdr>
        <w:bottom w:val="double" w:sz="6" w:space="6" w:color="auto"/>
      </w:pBdr>
      <w:tabs>
        <w:tab w:val="right" w:pos="8222"/>
      </w:tabs>
      <w:spacing w:before="120" w:after="120"/>
      <w:jc w:val="right"/>
    </w:pPr>
    <w:rPr>
      <w:rFonts w:ascii="Times New Roman" w:hAnsi="Times New Roman"/>
      <w:color w:val="auto"/>
      <w:kern w:val="16"/>
      <w:sz w:val="24"/>
      <w:szCs w:val="24"/>
    </w:rPr>
  </w:style>
  <w:style w:type="paragraph" w:customStyle="1" w:styleId="QABoxHeading">
    <w:name w:val="QA Box Heading"/>
    <w:basedOn w:val="BoxHeading"/>
    <w:rsid w:val="00AC6072"/>
    <w:pPr>
      <w:spacing w:before="120"/>
    </w:pPr>
    <w:rPr>
      <w:b w:val="0"/>
      <w:sz w:val="24"/>
    </w:rPr>
  </w:style>
  <w:style w:type="paragraph" w:customStyle="1" w:styleId="QAText">
    <w:name w:val="QA Text"/>
    <w:basedOn w:val="Normal"/>
    <w:rsid w:val="00AC6072"/>
    <w:pPr>
      <w:spacing w:after="120"/>
    </w:pPr>
  </w:style>
  <w:style w:type="paragraph" w:customStyle="1" w:styleId="Copyrightheadings">
    <w:name w:val="Copyright headings"/>
    <w:basedOn w:val="HeadingBase"/>
    <w:uiPriority w:val="2"/>
    <w:rsid w:val="00AC6072"/>
    <w:pPr>
      <w:spacing w:after="80"/>
    </w:pPr>
    <w:rPr>
      <w:b/>
      <w:color w:val="000000" w:themeColor="text1"/>
      <w:sz w:val="22"/>
    </w:rPr>
  </w:style>
  <w:style w:type="paragraph" w:customStyle="1" w:styleId="Quotes">
    <w:name w:val="Quotes"/>
    <w:basedOn w:val="Normal"/>
    <w:qFormat/>
    <w:rsid w:val="00271F1A"/>
    <w:pPr>
      <w:ind w:left="567" w:right="425"/>
    </w:pPr>
    <w:rPr>
      <w:color w:val="595959" w:themeColor="text1" w:themeTint="A6"/>
    </w:rPr>
  </w:style>
  <w:style w:type="paragraph" w:customStyle="1" w:styleId="Keyfindingheading">
    <w:name w:val="Key finding heading"/>
    <w:basedOn w:val="RecommendationHeading"/>
    <w:qFormat/>
    <w:rsid w:val="00AC6072"/>
  </w:style>
  <w:style w:type="paragraph" w:customStyle="1" w:styleId="Keyfindingtext">
    <w:name w:val="Key finding text"/>
    <w:basedOn w:val="BoxText"/>
    <w:qFormat/>
    <w:rsid w:val="00AC6072"/>
  </w:style>
  <w:style w:type="paragraph" w:customStyle="1" w:styleId="Smallbusinessboxheading">
    <w:name w:val="Small business box heading"/>
    <w:basedOn w:val="RecommendationHeading"/>
    <w:qFormat/>
    <w:rsid w:val="00AC6072"/>
  </w:style>
  <w:style w:type="paragraph" w:customStyle="1" w:styleId="Smallbusinessboxtext">
    <w:name w:val="Small business box text"/>
    <w:basedOn w:val="BoxText"/>
    <w:qFormat/>
    <w:rsid w:val="00AC6072"/>
  </w:style>
  <w:style w:type="paragraph" w:styleId="ListParagraph">
    <w:name w:val="List Paragraph"/>
    <w:basedOn w:val="Normal"/>
    <w:uiPriority w:val="34"/>
    <w:qFormat/>
    <w:rsid w:val="00AC6072"/>
    <w:pPr>
      <w:ind w:left="720"/>
      <w:contextualSpacing/>
    </w:pPr>
  </w:style>
  <w:style w:type="paragraph" w:customStyle="1" w:styleId="Numberedpara1">
    <w:name w:val="Numbered para 1"/>
    <w:basedOn w:val="ListParagraph"/>
    <w:rsid w:val="00882FB3"/>
    <w:pPr>
      <w:ind w:left="425" w:hanging="425"/>
      <w:contextualSpacing w:val="0"/>
    </w:pPr>
  </w:style>
  <w:style w:type="paragraph" w:customStyle="1" w:styleId="Numberedpara2">
    <w:name w:val="Numbered para 2"/>
    <w:basedOn w:val="Numberedpara1"/>
    <w:rsid w:val="00882FB3"/>
  </w:style>
  <w:style w:type="paragraph" w:customStyle="1" w:styleId="Numberedpara3">
    <w:name w:val="Numbered para 3"/>
    <w:basedOn w:val="ListParagraph"/>
    <w:rsid w:val="00882FB3"/>
    <w:pPr>
      <w:ind w:left="425" w:hanging="425"/>
      <w:contextualSpacing w:val="0"/>
    </w:pPr>
  </w:style>
  <w:style w:type="paragraph" w:customStyle="1" w:styleId="Numberedpara4">
    <w:name w:val="Numbered para 4"/>
    <w:basedOn w:val="Numberedpara1"/>
    <w:rsid w:val="00882FB3"/>
  </w:style>
  <w:style w:type="paragraph" w:customStyle="1" w:styleId="Numberedpara5">
    <w:name w:val="Numbered para 5"/>
    <w:basedOn w:val="Numberedpara1"/>
    <w:rsid w:val="00882FB3"/>
  </w:style>
  <w:style w:type="character" w:customStyle="1" w:styleId="BulletChar">
    <w:name w:val="Bullet Char"/>
    <w:basedOn w:val="DefaultParagraphFont"/>
    <w:link w:val="Bullet"/>
    <w:rsid w:val="00271F1A"/>
    <w:rPr>
      <w:rFonts w:asciiTheme="minorHAnsi" w:hAnsiTheme="minorHAnsi"/>
      <w:color w:val="000000"/>
      <w:sz w:val="22"/>
    </w:rPr>
  </w:style>
  <w:style w:type="character" w:customStyle="1" w:styleId="FootnoteTextChar">
    <w:name w:val="Footnote Text Char"/>
    <w:basedOn w:val="DefaultParagraphFont"/>
    <w:link w:val="FootnoteText"/>
    <w:uiPriority w:val="99"/>
    <w:rsid w:val="00271F1A"/>
    <w:rPr>
      <w:rFonts w:asciiTheme="minorHAnsi" w:hAnsiTheme="minorHAnsi"/>
      <w:color w:val="000000"/>
      <w:sz w:val="18"/>
    </w:rPr>
  </w:style>
  <w:style w:type="character" w:customStyle="1" w:styleId="DashChar">
    <w:name w:val="Dash Char"/>
    <w:basedOn w:val="DefaultParagraphFont"/>
    <w:link w:val="Dash"/>
    <w:rsid w:val="00FB129D"/>
    <w:rPr>
      <w:rFonts w:asciiTheme="minorHAnsi" w:hAnsiTheme="minorHAnsi"/>
      <w:color w:val="000000"/>
      <w:sz w:val="22"/>
    </w:rPr>
  </w:style>
  <w:style w:type="character" w:customStyle="1" w:styleId="OutlineNumbered2Char">
    <w:name w:val="Outline Numbered 2 Char"/>
    <w:link w:val="OutlineNumbered2"/>
    <w:rsid w:val="00A85470"/>
    <w:rPr>
      <w:rFonts w:asciiTheme="minorHAnsi" w:hAnsiTheme="minorHAnsi"/>
      <w:color w:val="000000"/>
      <w:sz w:val="22"/>
    </w:rPr>
  </w:style>
  <w:style w:type="paragraph" w:customStyle="1" w:styleId="Default">
    <w:name w:val="Default"/>
    <w:rsid w:val="00FB129D"/>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rsid w:val="009D28CC"/>
    <w:pPr>
      <w:spacing w:before="0" w:after="0"/>
    </w:pPr>
    <w:rPr>
      <w:rFonts w:ascii="Consolas" w:hAnsi="Consolas" w:cs="Consolas"/>
      <w:sz w:val="21"/>
      <w:szCs w:val="21"/>
    </w:rPr>
  </w:style>
  <w:style w:type="character" w:customStyle="1" w:styleId="PlainTextChar">
    <w:name w:val="Plain Text Char"/>
    <w:basedOn w:val="DefaultParagraphFont"/>
    <w:link w:val="PlainText"/>
    <w:rsid w:val="009D28CC"/>
    <w:rPr>
      <w:rFonts w:ascii="Consolas" w:hAnsi="Consolas" w:cs="Consolas"/>
      <w:color w:val="000000"/>
      <w:sz w:val="21"/>
      <w:szCs w:val="21"/>
    </w:rPr>
  </w:style>
  <w:style w:type="character" w:customStyle="1" w:styleId="DoubleDotChar">
    <w:name w:val="Double Dot Char"/>
    <w:basedOn w:val="DefaultParagraphFont"/>
    <w:link w:val="DoubleDot"/>
    <w:rsid w:val="00F45EA5"/>
    <w:rPr>
      <w:rFonts w:asciiTheme="minorHAnsi" w:hAnsiTheme="minorHAnsi"/>
      <w:color w:val="000000"/>
      <w:sz w:val="22"/>
    </w:rPr>
  </w:style>
  <w:style w:type="paragraph" w:customStyle="1" w:styleId="ChartHeading">
    <w:name w:val="Chart Heading"/>
    <w:basedOn w:val="Normal"/>
    <w:next w:val="Chartgraphic0"/>
    <w:uiPriority w:val="99"/>
    <w:rsid w:val="007A3CCE"/>
    <w:pPr>
      <w:keepNext/>
      <w:autoSpaceDE w:val="0"/>
      <w:autoSpaceDN w:val="0"/>
      <w:spacing w:after="0" w:line="280" w:lineRule="exact"/>
      <w:jc w:val="center"/>
    </w:pPr>
    <w:rPr>
      <w:rFonts w:ascii="Century Gothic" w:eastAsiaTheme="minorEastAsia" w:hAnsi="Century Gothic" w:cs="Century Gothic"/>
      <w:color w:val="000080"/>
      <w:szCs w:val="22"/>
      <w:lang w:val="en-US"/>
    </w:rPr>
  </w:style>
  <w:style w:type="paragraph" w:customStyle="1" w:styleId="SingleParagraph0">
    <w:name w:val="SingleParagraph"/>
    <w:basedOn w:val="Normal"/>
    <w:next w:val="Normal"/>
    <w:uiPriority w:val="99"/>
    <w:rsid w:val="007A3CCE"/>
    <w:pPr>
      <w:autoSpaceDE w:val="0"/>
      <w:autoSpaceDN w:val="0"/>
      <w:spacing w:before="0"/>
      <w:jc w:val="both"/>
    </w:pPr>
    <w:rPr>
      <w:rFonts w:ascii="Book Antiqua" w:eastAsiaTheme="minorEastAsia" w:hAnsi="Book Antiqua" w:cs="Book Antiqua"/>
      <w:szCs w:val="22"/>
    </w:rPr>
  </w:style>
  <w:style w:type="character" w:customStyle="1" w:styleId="HeaderChar">
    <w:name w:val="Header Char"/>
    <w:basedOn w:val="DefaultParagraphFont"/>
    <w:link w:val="Header"/>
    <w:rsid w:val="007A3CCE"/>
    <w:rPr>
      <w:rFonts w:ascii="Calibri" w:hAnsi="Calibri"/>
      <w:color w:val="009976"/>
      <w:sz w:val="18"/>
    </w:rPr>
  </w:style>
  <w:style w:type="character" w:styleId="PageNumber">
    <w:name w:val="page number"/>
    <w:basedOn w:val="DefaultParagraphFont"/>
    <w:uiPriority w:val="99"/>
    <w:rsid w:val="007A3CCE"/>
    <w:rPr>
      <w:rFonts w:ascii="Century Gothic" w:hAnsi="Century Gothic" w:cs="Century Gothic"/>
      <w:sz w:val="18"/>
      <w:szCs w:val="18"/>
    </w:rPr>
  </w:style>
  <w:style w:type="paragraph" w:customStyle="1" w:styleId="Chartgraphic0">
    <w:name w:val="Chart graphic"/>
    <w:basedOn w:val="Normal"/>
    <w:next w:val="Normal"/>
    <w:uiPriority w:val="99"/>
    <w:rsid w:val="007A3CCE"/>
    <w:pPr>
      <w:autoSpaceDE w:val="0"/>
      <w:autoSpaceDN w:val="0"/>
      <w:spacing w:before="0" w:after="20"/>
      <w:jc w:val="center"/>
    </w:pPr>
    <w:rPr>
      <w:rFonts w:ascii="Book Antiqua" w:eastAsiaTheme="minorEastAsia" w:hAnsi="Book Antiqua" w:cs="Book Antiqua"/>
      <w:szCs w:val="22"/>
    </w:rPr>
  </w:style>
  <w:style w:type="paragraph" w:styleId="BodyText2">
    <w:name w:val="Body Text 2"/>
    <w:basedOn w:val="Normal"/>
    <w:link w:val="BodyText2Char"/>
    <w:uiPriority w:val="99"/>
    <w:rsid w:val="007A3CCE"/>
    <w:pPr>
      <w:autoSpaceDE w:val="0"/>
      <w:autoSpaceDN w:val="0"/>
      <w:spacing w:before="0" w:line="280" w:lineRule="exact"/>
      <w:ind w:left="284"/>
      <w:jc w:val="both"/>
    </w:pPr>
    <w:rPr>
      <w:rFonts w:ascii="Book Antiqua" w:eastAsiaTheme="minorEastAsia" w:hAnsi="Book Antiqua" w:cs="Book Antiqua"/>
      <w:sz w:val="20"/>
    </w:rPr>
  </w:style>
  <w:style w:type="character" w:customStyle="1" w:styleId="BodyText2Char">
    <w:name w:val="Body Text 2 Char"/>
    <w:basedOn w:val="DefaultParagraphFont"/>
    <w:link w:val="BodyText2"/>
    <w:uiPriority w:val="99"/>
    <w:rsid w:val="007A3CCE"/>
    <w:rPr>
      <w:rFonts w:ascii="Book Antiqua" w:eastAsiaTheme="minorEastAsia" w:hAnsi="Book Antiqua" w:cs="Book Antiqua"/>
      <w:color w:val="000000"/>
    </w:rPr>
  </w:style>
  <w:style w:type="paragraph" w:styleId="BodyText3">
    <w:name w:val="Body Text 3"/>
    <w:basedOn w:val="Normal"/>
    <w:link w:val="BodyText3Char"/>
    <w:uiPriority w:val="99"/>
    <w:rsid w:val="007A3CCE"/>
    <w:pPr>
      <w:autoSpaceDE w:val="0"/>
      <w:autoSpaceDN w:val="0"/>
      <w:spacing w:before="0" w:line="280" w:lineRule="exact"/>
      <w:jc w:val="both"/>
    </w:pPr>
    <w:rPr>
      <w:rFonts w:ascii="Book Antiqua" w:eastAsiaTheme="minorEastAsia" w:hAnsi="Book Antiqua" w:cs="Book Antiqua"/>
      <w:b/>
      <w:bCs/>
      <w:szCs w:val="22"/>
    </w:rPr>
  </w:style>
  <w:style w:type="character" w:customStyle="1" w:styleId="BodyText3Char">
    <w:name w:val="Body Text 3 Char"/>
    <w:basedOn w:val="DefaultParagraphFont"/>
    <w:link w:val="BodyText3"/>
    <w:uiPriority w:val="99"/>
    <w:rsid w:val="007A3CCE"/>
    <w:rPr>
      <w:rFonts w:ascii="Book Antiqua" w:eastAsiaTheme="minorEastAsia" w:hAnsi="Book Antiqua" w:cs="Book Antiqua"/>
      <w:b/>
      <w:bCs/>
      <w:color w:val="000000"/>
      <w:sz w:val="22"/>
      <w:szCs w:val="22"/>
    </w:rPr>
  </w:style>
  <w:style w:type="paragraph" w:customStyle="1" w:styleId="RecommendNo">
    <w:name w:val="RecommendNo"/>
    <w:basedOn w:val="Normal"/>
    <w:uiPriority w:val="99"/>
    <w:rsid w:val="007A3CCE"/>
    <w:pPr>
      <w:tabs>
        <w:tab w:val="num" w:pos="567"/>
      </w:tabs>
      <w:autoSpaceDE w:val="0"/>
      <w:autoSpaceDN w:val="0"/>
      <w:spacing w:before="0" w:line="280" w:lineRule="exact"/>
      <w:ind w:left="567" w:hanging="567"/>
      <w:jc w:val="both"/>
    </w:pPr>
    <w:rPr>
      <w:rFonts w:ascii="Palatino" w:eastAsiaTheme="minorEastAsia" w:hAnsi="Palatino" w:cs="Palatino"/>
      <w:b/>
      <w:bCs/>
      <w:color w:val="000080"/>
      <w:szCs w:val="22"/>
      <w:lang w:val="en-US"/>
    </w:rPr>
  </w:style>
  <w:style w:type="paragraph" w:styleId="Revision">
    <w:name w:val="Revision"/>
    <w:hidden/>
    <w:uiPriority w:val="99"/>
    <w:semiHidden/>
    <w:rsid w:val="000537A5"/>
    <w:rPr>
      <w:rFonts w:asciiTheme="minorHAnsi" w:hAnsiTheme="minorHAnsi"/>
      <w:color w:val="000000"/>
      <w:sz w:val="22"/>
    </w:rPr>
  </w:style>
  <w:style w:type="table" w:customStyle="1" w:styleId="TableGrid1">
    <w:name w:val="Table Grid1"/>
    <w:basedOn w:val="TableNormal"/>
    <w:next w:val="TableGrid"/>
    <w:rsid w:val="00DA59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607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ommendation">
    <w:name w:val="Recommendation"/>
    <w:basedOn w:val="Normal"/>
    <w:rsid w:val="00CF1A19"/>
    <w:pPr>
      <w:spacing w:after="200"/>
    </w:pPr>
    <w:rPr>
      <w:rFonts w:ascii="Times New Roman" w:hAnsi="Times New Roman"/>
      <w:b/>
      <w:color w:val="auto"/>
      <w:sz w:val="24"/>
    </w:rPr>
  </w:style>
  <w:style w:type="paragraph" w:styleId="Quote">
    <w:name w:val="Quote"/>
    <w:basedOn w:val="Normal"/>
    <w:next w:val="Normal"/>
    <w:link w:val="QuoteChar"/>
    <w:uiPriority w:val="29"/>
    <w:rsid w:val="002C2E20"/>
    <w:pPr>
      <w:spacing w:before="0" w:line="280" w:lineRule="exact"/>
      <w:jc w:val="both"/>
    </w:pPr>
    <w:rPr>
      <w:i/>
      <w:iCs/>
      <w:color w:val="000000" w:themeColor="text1"/>
    </w:rPr>
  </w:style>
  <w:style w:type="character" w:customStyle="1" w:styleId="QuoteChar">
    <w:name w:val="Quote Char"/>
    <w:basedOn w:val="DefaultParagraphFont"/>
    <w:link w:val="Quote"/>
    <w:uiPriority w:val="29"/>
    <w:rsid w:val="002C2E20"/>
    <w:rPr>
      <w:rFonts w:asciiTheme="minorHAnsi" w:hAnsiTheme="minorHAnsi"/>
      <w:i/>
      <w:iCs/>
      <w:color w:val="000000" w:themeColor="text1"/>
      <w:sz w:val="22"/>
    </w:rPr>
  </w:style>
  <w:style w:type="character" w:customStyle="1" w:styleId="CommentSubjectChar">
    <w:name w:val="Comment Subject Char"/>
    <w:basedOn w:val="DefaultParagraphFont"/>
    <w:link w:val="CommentSubject"/>
    <w:semiHidden/>
    <w:rsid w:val="00693C10"/>
    <w:rPr>
      <w:rFonts w:asciiTheme="minorHAnsi" w:hAnsiTheme="minorHAnsi"/>
      <w:b/>
      <w:bCs/>
      <w:color w:val="000000"/>
      <w:sz w:val="22"/>
    </w:rPr>
  </w:style>
  <w:style w:type="paragraph" w:styleId="NormalWeb">
    <w:name w:val="Normal (Web)"/>
    <w:basedOn w:val="Normal"/>
    <w:uiPriority w:val="99"/>
    <w:unhideWhenUsed/>
    <w:rsid w:val="00117500"/>
    <w:pPr>
      <w:spacing w:before="240" w:line="312" w:lineRule="auto"/>
    </w:pPr>
    <w:rPr>
      <w:rFonts w:ascii="Times New Roman" w:hAnsi="Times New Roman"/>
      <w:color w:val="auto"/>
      <w:sz w:val="24"/>
      <w:szCs w:val="24"/>
    </w:rPr>
  </w:style>
  <w:style w:type="character" w:styleId="IntenseEmphasis">
    <w:name w:val="Intense Emphasis"/>
    <w:basedOn w:val="DefaultParagraphFont"/>
    <w:uiPriority w:val="21"/>
    <w:qFormat/>
    <w:rsid w:val="002D18DE"/>
    <w:rPr>
      <w:b/>
      <w:bCs/>
      <w:i/>
      <w:iCs/>
      <w:color w:val="009976" w:themeColor="accent1"/>
    </w:rPr>
  </w:style>
  <w:style w:type="paragraph" w:styleId="Subtitle">
    <w:name w:val="Subtitle"/>
    <w:basedOn w:val="Normal"/>
    <w:next w:val="Normal"/>
    <w:link w:val="SubtitleChar"/>
    <w:qFormat/>
    <w:rsid w:val="00BD5B40"/>
    <w:pPr>
      <w:numPr>
        <w:ilvl w:val="1"/>
      </w:numPr>
      <w:spacing w:before="0" w:line="280" w:lineRule="exact"/>
      <w:jc w:val="both"/>
    </w:pPr>
    <w:rPr>
      <w:rFonts w:asciiTheme="majorHAnsi" w:eastAsiaTheme="majorEastAsia" w:hAnsiTheme="majorHAnsi" w:cstheme="majorBidi"/>
      <w:i/>
      <w:iCs/>
      <w:color w:val="009976" w:themeColor="accent1"/>
      <w:spacing w:val="15"/>
      <w:sz w:val="24"/>
      <w:szCs w:val="24"/>
    </w:rPr>
  </w:style>
  <w:style w:type="character" w:customStyle="1" w:styleId="SubtitleChar">
    <w:name w:val="Subtitle Char"/>
    <w:basedOn w:val="DefaultParagraphFont"/>
    <w:link w:val="Subtitle"/>
    <w:rsid w:val="00BD5B40"/>
    <w:rPr>
      <w:rFonts w:asciiTheme="majorHAnsi" w:eastAsiaTheme="majorEastAsia" w:hAnsiTheme="majorHAnsi" w:cstheme="majorBidi"/>
      <w:i/>
      <w:iCs/>
      <w:color w:val="009976" w:themeColor="accent1"/>
      <w:spacing w:val="15"/>
      <w:sz w:val="24"/>
      <w:szCs w:val="24"/>
    </w:rPr>
  </w:style>
  <w:style w:type="character" w:styleId="BookTitle">
    <w:name w:val="Book Title"/>
    <w:basedOn w:val="DefaultParagraphFont"/>
    <w:uiPriority w:val="33"/>
    <w:qFormat/>
    <w:rsid w:val="00BD5B40"/>
    <w:rPr>
      <w:b/>
      <w:bCs/>
      <w:smallCaps/>
      <w:spacing w:val="5"/>
    </w:rPr>
  </w:style>
  <w:style w:type="paragraph" w:styleId="HTMLPreformatted">
    <w:name w:val="HTML Preformatted"/>
    <w:basedOn w:val="Normal"/>
    <w:link w:val="HTMLPreformattedChar"/>
    <w:semiHidden/>
    <w:rsid w:val="00591168"/>
    <w:pPr>
      <w:spacing w:before="0" w:after="0"/>
    </w:pPr>
    <w:rPr>
      <w:rFonts w:ascii="Consolas" w:hAnsi="Consolas" w:cs="Consolas"/>
      <w:sz w:val="20"/>
    </w:rPr>
  </w:style>
  <w:style w:type="character" w:customStyle="1" w:styleId="HTMLPreformattedChar">
    <w:name w:val="HTML Preformatted Char"/>
    <w:basedOn w:val="DefaultParagraphFont"/>
    <w:link w:val="HTMLPreformatted"/>
    <w:semiHidden/>
    <w:rsid w:val="00591168"/>
    <w:rPr>
      <w:rFonts w:ascii="Consolas" w:hAnsi="Consolas" w:cs="Consolas"/>
      <w:color w:val="000000"/>
    </w:rPr>
  </w:style>
  <w:style w:type="character" w:customStyle="1" w:styleId="st1">
    <w:name w:val="st1"/>
    <w:semiHidden/>
    <w:rsid w:val="00E35ABD"/>
  </w:style>
  <w:style w:type="character" w:customStyle="1" w:styleId="CommentTextChar">
    <w:name w:val="Comment Text Char"/>
    <w:link w:val="CommentText"/>
    <w:rsid w:val="003420E4"/>
    <w:rPr>
      <w:rFonts w:asciiTheme="minorHAnsi" w:hAnsiTheme="minorHAnsi"/>
      <w:color w:val="000000"/>
      <w:sz w:val="22"/>
    </w:rPr>
  </w:style>
  <w:style w:type="character" w:styleId="HTMLCite">
    <w:name w:val="HTML Cite"/>
    <w:basedOn w:val="DefaultParagraphFont"/>
    <w:uiPriority w:val="99"/>
    <w:semiHidden/>
    <w:unhideWhenUsed/>
    <w:rsid w:val="004A29C4"/>
    <w:rPr>
      <w:i/>
      <w:iCs/>
    </w:rPr>
  </w:style>
  <w:style w:type="paragraph" w:customStyle="1" w:styleId="ParaNumbering">
    <w:name w:val="ParaNumbering"/>
    <w:basedOn w:val="Normal"/>
    <w:uiPriority w:val="99"/>
    <w:rsid w:val="004A29C4"/>
    <w:pPr>
      <w:numPr>
        <w:numId w:val="11"/>
      </w:numPr>
      <w:spacing w:before="180" w:after="180" w:line="360" w:lineRule="auto"/>
      <w:jc w:val="both"/>
    </w:pPr>
    <w:rPr>
      <w:rFonts w:ascii="Times New Roman" w:eastAsia="Batang" w:hAnsi="Times New Roman"/>
      <w:color w:val="auto"/>
      <w:sz w:val="24"/>
      <w:lang w:eastAsia="en-US"/>
    </w:rPr>
  </w:style>
  <w:style w:type="paragraph" w:customStyle="1" w:styleId="MediaNeutralStyle">
    <w:name w:val="Media Neutral Style"/>
    <w:basedOn w:val="Normal"/>
    <w:next w:val="Normal"/>
    <w:uiPriority w:val="99"/>
    <w:semiHidden/>
    <w:rsid w:val="004A29C4"/>
    <w:pPr>
      <w:spacing w:before="20" w:after="20" w:line="360" w:lineRule="auto"/>
      <w:jc w:val="center"/>
    </w:pPr>
    <w:rPr>
      <w:rFonts w:ascii="Times New Roman" w:eastAsia="Batang" w:hAnsi="Times New Roman"/>
      <w:b/>
      <w:color w:val="auto"/>
      <w:sz w:val="26"/>
      <w:lang w:eastAsia="en-US"/>
    </w:rPr>
  </w:style>
  <w:style w:type="paragraph" w:styleId="ListBullet3">
    <w:name w:val="List Bullet 3"/>
    <w:basedOn w:val="Normal"/>
    <w:uiPriority w:val="99"/>
    <w:semiHidden/>
    <w:rsid w:val="004A29C4"/>
    <w:pPr>
      <w:tabs>
        <w:tab w:val="num" w:pos="926"/>
      </w:tabs>
      <w:spacing w:before="0" w:after="0" w:line="360" w:lineRule="auto"/>
      <w:ind w:left="926" w:hanging="360"/>
      <w:jc w:val="both"/>
    </w:pPr>
    <w:rPr>
      <w:rFonts w:ascii="Times New Roman" w:eastAsia="Batang" w:hAnsi="Times New Roman"/>
      <w:color w:val="auto"/>
      <w:sz w:val="24"/>
      <w:lang w:eastAsia="en-US"/>
    </w:rPr>
  </w:style>
  <w:style w:type="paragraph" w:customStyle="1" w:styleId="SecurityClassificationHeader">
    <w:name w:val="Security Classification Header"/>
    <w:link w:val="SecurityClassificationHeaderChar"/>
    <w:semiHidden/>
    <w:rsid w:val="00B70093"/>
    <w:pPr>
      <w:spacing w:before="240" w:after="60" w:line="276" w:lineRule="auto"/>
      <w:jc w:val="center"/>
    </w:pPr>
    <w:rPr>
      <w:rFonts w:ascii="Calibri" w:eastAsiaTheme="minorHAnsi" w:hAnsi="Calibri"/>
      <w:b/>
      <w:caps/>
      <w:color w:val="009976"/>
      <w:sz w:val="24"/>
      <w:szCs w:val="22"/>
      <w:lang w:eastAsia="en-US"/>
    </w:rPr>
  </w:style>
  <w:style w:type="character" w:customStyle="1" w:styleId="SecurityClassificationHeaderChar">
    <w:name w:val="Security Classification Header Char"/>
    <w:basedOn w:val="HeaderChar"/>
    <w:link w:val="SecurityClassificationHeader"/>
    <w:semiHidden/>
    <w:rsid w:val="00686EEA"/>
    <w:rPr>
      <w:rFonts w:ascii="Calibri" w:eastAsiaTheme="minorHAnsi" w:hAnsi="Calibri"/>
      <w:b/>
      <w:caps/>
      <w:color w:val="009976"/>
      <w:sz w:val="24"/>
      <w:szCs w:val="22"/>
      <w:lang w:eastAsia="en-US"/>
    </w:rPr>
  </w:style>
  <w:style w:type="paragraph" w:customStyle="1" w:styleId="FigureTitle">
    <w:name w:val="Figure Title"/>
    <w:basedOn w:val="Caption"/>
    <w:next w:val="Subtitle"/>
    <w:rsid w:val="008A765D"/>
    <w:pPr>
      <w:keepNext/>
      <w:keepLines/>
      <w:spacing w:before="360" w:after="80" w:line="280" w:lineRule="exact"/>
      <w:ind w:left="1474" w:hanging="1474"/>
    </w:pPr>
    <w:rPr>
      <w:rFonts w:ascii="Arial" w:hAnsi="Arial"/>
      <w:bCs w:val="0"/>
      <w:color w:val="auto"/>
      <w:sz w:val="26"/>
      <w:szCs w:val="24"/>
    </w:rPr>
  </w:style>
  <w:style w:type="character" w:customStyle="1" w:styleId="st">
    <w:name w:val="st"/>
    <w:basedOn w:val="DefaultParagraphFont"/>
    <w:semiHidden/>
    <w:rsid w:val="00581CD9"/>
  </w:style>
  <w:style w:type="paragraph" w:customStyle="1" w:styleId="Normal1linespace">
    <w:name w:val="Normal1linespace"/>
    <w:basedOn w:val="Normal"/>
    <w:uiPriority w:val="99"/>
    <w:semiHidden/>
    <w:rsid w:val="00EB445F"/>
    <w:pPr>
      <w:spacing w:before="0" w:after="0"/>
      <w:jc w:val="both"/>
    </w:pPr>
    <w:rPr>
      <w:rFonts w:ascii="Times New Roman" w:eastAsia="Batang" w:hAnsi="Times New Roman"/>
      <w:color w:val="auto"/>
      <w:sz w:val="24"/>
      <w:lang w:eastAsia="en-US"/>
    </w:rPr>
  </w:style>
  <w:style w:type="character" w:styleId="Emphasis">
    <w:name w:val="Emphasis"/>
    <w:basedOn w:val="DefaultParagraphFont"/>
    <w:uiPriority w:val="20"/>
    <w:qFormat/>
    <w:rsid w:val="00550630"/>
    <w:rPr>
      <w:i/>
      <w:iCs/>
    </w:rPr>
  </w:style>
  <w:style w:type="paragraph" w:styleId="ListBullet">
    <w:name w:val="List Bullet"/>
    <w:basedOn w:val="Normal"/>
    <w:semiHidden/>
    <w:rsid w:val="00F763E1"/>
    <w:pPr>
      <w:numPr>
        <w:numId w:val="12"/>
      </w:numPr>
      <w:contextualSpacing/>
    </w:pPr>
  </w:style>
  <w:style w:type="character" w:customStyle="1" w:styleId="A10">
    <w:name w:val="A10"/>
    <w:uiPriority w:val="99"/>
    <w:rsid w:val="00F763E1"/>
    <w:rPr>
      <w:rFonts w:ascii="Century Gothic" w:hAnsi="Century Gothic" w:cs="Century Gothic"/>
      <w:color w:val="000000"/>
    </w:rPr>
  </w:style>
  <w:style w:type="paragraph" w:customStyle="1" w:styleId="Numbering-Firstlevel">
    <w:name w:val="Numbering - First level"/>
    <w:basedOn w:val="Normal"/>
    <w:qFormat/>
    <w:rsid w:val="00B243B5"/>
    <w:pPr>
      <w:keepLines/>
      <w:numPr>
        <w:numId w:val="13"/>
      </w:numPr>
      <w:tabs>
        <w:tab w:val="left" w:pos="567"/>
      </w:tabs>
      <w:spacing w:before="0" w:after="220"/>
      <w:jc w:val="both"/>
    </w:pPr>
    <w:rPr>
      <w:rFonts w:ascii="Arial" w:hAnsi="Arial"/>
      <w:color w:val="auto"/>
      <w:szCs w:val="22"/>
      <w:lang w:val="en-GB" w:eastAsia="en-GB"/>
    </w:rPr>
  </w:style>
  <w:style w:type="paragraph" w:customStyle="1" w:styleId="Numbering-Secondlevel">
    <w:name w:val="Numbering - Second level"/>
    <w:basedOn w:val="Normal"/>
    <w:qFormat/>
    <w:rsid w:val="00B243B5"/>
    <w:pPr>
      <w:keepLines/>
      <w:numPr>
        <w:ilvl w:val="1"/>
        <w:numId w:val="13"/>
      </w:numPr>
      <w:spacing w:before="0" w:after="120"/>
      <w:jc w:val="both"/>
    </w:pPr>
    <w:rPr>
      <w:rFonts w:ascii="Arial" w:hAnsi="Arial"/>
      <w:color w:val="auto"/>
      <w:szCs w:val="22"/>
      <w:lang w:val="en-GB" w:eastAsia="en-GB"/>
    </w:rPr>
  </w:style>
  <w:style w:type="paragraph" w:customStyle="1" w:styleId="Numbering-Thirdlevel">
    <w:name w:val="Numbering - Third level"/>
    <w:basedOn w:val="Normal"/>
    <w:qFormat/>
    <w:rsid w:val="00B243B5"/>
    <w:pPr>
      <w:keepLines/>
      <w:numPr>
        <w:ilvl w:val="2"/>
        <w:numId w:val="13"/>
      </w:numPr>
      <w:spacing w:before="0" w:after="120"/>
      <w:jc w:val="both"/>
    </w:pPr>
    <w:rPr>
      <w:rFonts w:ascii="Arial" w:hAnsi="Arial"/>
      <w:color w:val="auto"/>
      <w:szCs w:val="22"/>
      <w:lang w:val="en-GB" w:eastAsia="en-GB"/>
    </w:rPr>
  </w:style>
  <w:style w:type="character" w:customStyle="1" w:styleId="Heading3Char">
    <w:name w:val="Heading 3 Char"/>
    <w:basedOn w:val="DefaultParagraphFont"/>
    <w:link w:val="Heading3"/>
    <w:rsid w:val="00FB084C"/>
    <w:rPr>
      <w:rFonts w:ascii="Calibri" w:hAnsi="Calibri" w:cs="Arial"/>
      <w:b/>
      <w:bCs/>
      <w:color w:val="009976"/>
      <w:sz w:val="28"/>
      <w:szCs w:val="26"/>
    </w:rPr>
  </w:style>
  <w:style w:type="character" w:customStyle="1" w:styleId="OutlineNumbered1Char">
    <w:name w:val="Outline Numbered 1 Char"/>
    <w:link w:val="OutlineNumbered1"/>
    <w:rsid w:val="00830B73"/>
    <w:rPr>
      <w:rFonts w:asciiTheme="minorHAnsi" w:hAnsiTheme="minorHAnsi"/>
      <w:color w:val="000000"/>
      <w:sz w:val="22"/>
    </w:rPr>
  </w:style>
  <w:style w:type="character" w:customStyle="1" w:styleId="OutlineNumbered3Char">
    <w:name w:val="Outline Numbered 3 Char"/>
    <w:link w:val="OutlineNumbered3"/>
    <w:rsid w:val="003C70A8"/>
    <w:rPr>
      <w:rFonts w:asciiTheme="minorHAnsi" w:hAnsiTheme="minorHAnsi"/>
      <w:color w:val="000000"/>
      <w:sz w:val="22"/>
    </w:rPr>
  </w:style>
  <w:style w:type="character" w:customStyle="1" w:styleId="firstword1">
    <w:name w:val="firstword1"/>
    <w:basedOn w:val="DefaultParagraphFont"/>
    <w:rsid w:val="00A24B87"/>
    <w:rPr>
      <w:color w:val="8D1D3F"/>
    </w:rPr>
  </w:style>
  <w:style w:type="character" w:customStyle="1" w:styleId="Heading7Char">
    <w:name w:val="Heading 7 Char"/>
    <w:basedOn w:val="DefaultParagraphFont"/>
    <w:link w:val="Heading7"/>
    <w:semiHidden/>
    <w:rsid w:val="00D57476"/>
    <w:rPr>
      <w:rFonts w:ascii="Calibri" w:hAnsi="Calibri"/>
      <w:color w:val="009976"/>
      <w:szCs w:val="24"/>
    </w:rPr>
  </w:style>
  <w:style w:type="paragraph" w:customStyle="1" w:styleId="PartHeading">
    <w:name w:val="Part Heading"/>
    <w:basedOn w:val="Heading1"/>
    <w:next w:val="Normal"/>
    <w:qFormat/>
    <w:rsid w:val="009E1A11"/>
    <w:pPr>
      <w:numPr>
        <w:numId w:val="0"/>
      </w:numPr>
    </w:pPr>
    <w:rPr>
      <w:color w:val="auto"/>
      <w:sz w:val="44"/>
    </w:rPr>
  </w:style>
  <w:style w:type="paragraph" w:customStyle="1" w:styleId="SubpartHeading">
    <w:name w:val="Subpart Heading"/>
    <w:basedOn w:val="Heading1"/>
    <w:qFormat/>
    <w:rsid w:val="008B4E0B"/>
    <w:pPr>
      <w:numPr>
        <w:numId w:val="0"/>
      </w:numPr>
    </w:pPr>
    <w:rPr>
      <w:color w:val="auto"/>
    </w:rPr>
  </w:style>
  <w:style w:type="character" w:customStyle="1" w:styleId="A1">
    <w:name w:val="A1"/>
    <w:uiPriority w:val="99"/>
    <w:rsid w:val="00A136F5"/>
    <w:rPr>
      <w:rFonts w:cs="ITC Garamond"/>
      <w:color w:val="000000"/>
      <w:sz w:val="26"/>
      <w:szCs w:val="26"/>
    </w:rPr>
  </w:style>
  <w:style w:type="character" w:customStyle="1" w:styleId="Heading1Char">
    <w:name w:val="Heading 1 Char"/>
    <w:basedOn w:val="DefaultParagraphFont"/>
    <w:link w:val="Heading1"/>
    <w:rsid w:val="00392423"/>
    <w:rPr>
      <w:rFonts w:ascii="Calibri" w:hAnsi="Calibri" w:cs="Arial"/>
      <w:bCs/>
      <w:smallCaps/>
      <w:color w:val="009976"/>
      <w:kern w:val="32"/>
      <w:sz w:val="40"/>
      <w:szCs w:val="36"/>
    </w:rPr>
  </w:style>
  <w:style w:type="character" w:customStyle="1" w:styleId="emphasis-61">
    <w:name w:val="emphasis-61"/>
    <w:basedOn w:val="DefaultParagraphFont"/>
    <w:rsid w:val="00C242C9"/>
    <w:rPr>
      <w:b w:val="0"/>
      <w:bCs w:val="0"/>
      <w:i/>
      <w:iCs/>
    </w:rPr>
  </w:style>
  <w:style w:type="paragraph" w:styleId="BodyText">
    <w:name w:val="Body Text"/>
    <w:basedOn w:val="Normal"/>
    <w:link w:val="BodyTextChar"/>
    <w:semiHidden/>
    <w:unhideWhenUsed/>
    <w:rsid w:val="002D34B7"/>
    <w:pPr>
      <w:spacing w:after="120"/>
    </w:pPr>
  </w:style>
  <w:style w:type="character" w:customStyle="1" w:styleId="BodyTextChar">
    <w:name w:val="Body Text Char"/>
    <w:basedOn w:val="DefaultParagraphFont"/>
    <w:link w:val="BodyText"/>
    <w:semiHidden/>
    <w:rsid w:val="002D34B7"/>
    <w:rPr>
      <w:rFonts w:asciiTheme="minorHAnsi" w:hAnsiTheme="minorHAnsi"/>
      <w:color w:val="000000"/>
      <w:sz w:val="22"/>
    </w:rPr>
  </w:style>
  <w:style w:type="character" w:customStyle="1" w:styleId="A2">
    <w:name w:val="A2"/>
    <w:uiPriority w:val="99"/>
    <w:rsid w:val="00544E4C"/>
    <w:rPr>
      <w:color w:val="000000"/>
      <w:sz w:val="21"/>
      <w:szCs w:val="21"/>
    </w:rPr>
  </w:style>
  <w:style w:type="table" w:styleId="TableColorful1">
    <w:name w:val="Table Colorful 1"/>
    <w:basedOn w:val="TableNormal"/>
    <w:rsid w:val="004A443B"/>
    <w:rPr>
      <w:rFonts w:ascii="Arial Narrow" w:eastAsia="SimSun" w:hAnsi="Arial Narrow" w:cs="Angsana New"/>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Boxheading2">
    <w:name w:val="Box heading 2"/>
    <w:basedOn w:val="BoxTextBase"/>
    <w:next w:val="BoxText"/>
    <w:qFormat/>
    <w:rsid w:val="00E826F0"/>
    <w:pPr>
      <w:spacing w:after="120"/>
    </w:pPr>
    <w:rPr>
      <w:b/>
    </w:rPr>
  </w:style>
  <w:style w:type="paragraph" w:styleId="HTMLAddress">
    <w:name w:val="HTML Address"/>
    <w:basedOn w:val="Normal"/>
    <w:link w:val="HTMLAddressChar"/>
    <w:semiHidden/>
    <w:rsid w:val="009100B5"/>
    <w:rPr>
      <w:i/>
      <w:iCs/>
    </w:rPr>
  </w:style>
  <w:style w:type="character" w:customStyle="1" w:styleId="HTMLAddressChar">
    <w:name w:val="HTML Address Char"/>
    <w:basedOn w:val="DefaultParagraphFont"/>
    <w:link w:val="HTMLAddress"/>
    <w:semiHidden/>
    <w:rsid w:val="009100B5"/>
    <w:rPr>
      <w:rFonts w:asciiTheme="minorHAnsi" w:hAnsiTheme="minorHAnsi"/>
      <w:i/>
      <w:iCs/>
      <w:color w:val="000000"/>
      <w:sz w:val="22"/>
    </w:rPr>
  </w:style>
  <w:style w:type="paragraph" w:customStyle="1" w:styleId="Siobhan1">
    <w:name w:val="Siobhan 1"/>
    <w:basedOn w:val="Normal"/>
    <w:uiPriority w:val="99"/>
    <w:semiHidden/>
    <w:rsid w:val="00E73F56"/>
    <w:pPr>
      <w:numPr>
        <w:numId w:val="34"/>
      </w:numPr>
      <w:spacing w:before="0"/>
      <w:outlineLvl w:val="0"/>
    </w:pPr>
    <w:rPr>
      <w:rFonts w:ascii="Times New Roman" w:eastAsia="SimSun" w:hAnsi="Times New Roman"/>
      <w:color w:val="auto"/>
      <w:sz w:val="24"/>
      <w:szCs w:val="24"/>
      <w:lang w:eastAsia="zh-CN" w:bidi="th-TH"/>
    </w:rPr>
  </w:style>
  <w:style w:type="paragraph" w:customStyle="1" w:styleId="Siobhan2">
    <w:name w:val="Siobhan 2"/>
    <w:basedOn w:val="Normal"/>
    <w:semiHidden/>
    <w:rsid w:val="00E73F56"/>
    <w:pPr>
      <w:numPr>
        <w:ilvl w:val="1"/>
        <w:numId w:val="34"/>
      </w:numPr>
      <w:spacing w:before="0"/>
      <w:outlineLvl w:val="1"/>
    </w:pPr>
    <w:rPr>
      <w:rFonts w:ascii="Times New Roman" w:eastAsia="SimSun" w:hAnsi="Times New Roman"/>
      <w:color w:val="auto"/>
      <w:sz w:val="24"/>
      <w:szCs w:val="24"/>
      <w:lang w:eastAsia="zh-CN" w:bidi="th-TH"/>
    </w:rPr>
  </w:style>
  <w:style w:type="paragraph" w:customStyle="1" w:styleId="Siobhan3">
    <w:name w:val="Siobhan 3"/>
    <w:basedOn w:val="Normal"/>
    <w:semiHidden/>
    <w:rsid w:val="00E73F56"/>
    <w:pPr>
      <w:numPr>
        <w:ilvl w:val="2"/>
        <w:numId w:val="34"/>
      </w:numPr>
      <w:spacing w:before="0"/>
      <w:outlineLvl w:val="2"/>
    </w:pPr>
    <w:rPr>
      <w:rFonts w:ascii="Times New Roman" w:eastAsia="SimSun" w:hAnsi="Times New Roman"/>
      <w:color w:val="auto"/>
      <w:sz w:val="24"/>
      <w:szCs w:val="24"/>
      <w:lang w:eastAsia="zh-CN" w:bidi="th-TH"/>
    </w:rPr>
  </w:style>
  <w:style w:type="paragraph" w:customStyle="1" w:styleId="Siobhan4">
    <w:name w:val="Siobhan 4"/>
    <w:basedOn w:val="Normal"/>
    <w:semiHidden/>
    <w:rsid w:val="00E73F56"/>
    <w:pPr>
      <w:numPr>
        <w:ilvl w:val="3"/>
        <w:numId w:val="34"/>
      </w:numPr>
      <w:spacing w:before="0"/>
      <w:outlineLvl w:val="3"/>
    </w:pPr>
    <w:rPr>
      <w:rFonts w:ascii="Times New Roman" w:eastAsia="SimSun" w:hAnsi="Times New Roman"/>
      <w:color w:val="auto"/>
      <w:sz w:val="24"/>
      <w:szCs w:val="24"/>
      <w:lang w:eastAsia="zh-CN" w:bidi="th-TH"/>
    </w:rPr>
  </w:style>
  <w:style w:type="paragraph" w:customStyle="1" w:styleId="Siobhan5">
    <w:name w:val="Siobhan 5"/>
    <w:basedOn w:val="Normal"/>
    <w:semiHidden/>
    <w:qFormat/>
    <w:rsid w:val="00E73F56"/>
    <w:pPr>
      <w:numPr>
        <w:ilvl w:val="4"/>
        <w:numId w:val="34"/>
      </w:numPr>
      <w:spacing w:before="0"/>
      <w:outlineLvl w:val="4"/>
    </w:pPr>
    <w:rPr>
      <w:rFonts w:ascii="Times New Roman" w:eastAsia="SimSun" w:hAnsi="Times New Roman"/>
      <w:color w:val="auto"/>
      <w:sz w:val="24"/>
      <w:szCs w:val="24"/>
      <w:lang w:eastAsia="zh-CN" w:bidi="th-TH"/>
    </w:rPr>
  </w:style>
  <w:style w:type="paragraph" w:customStyle="1" w:styleId="Siobhan6">
    <w:name w:val="Siobhan 6"/>
    <w:basedOn w:val="Normal"/>
    <w:uiPriority w:val="99"/>
    <w:semiHidden/>
    <w:qFormat/>
    <w:rsid w:val="00E73F56"/>
    <w:pPr>
      <w:numPr>
        <w:ilvl w:val="5"/>
        <w:numId w:val="34"/>
      </w:numPr>
      <w:spacing w:before="0"/>
      <w:outlineLvl w:val="5"/>
    </w:pPr>
    <w:rPr>
      <w:rFonts w:ascii="Times New Roman" w:eastAsia="SimSun" w:hAnsi="Times New Roman"/>
      <w:color w:val="auto"/>
      <w:sz w:val="24"/>
      <w:szCs w:val="24"/>
      <w:lang w:eastAsia="zh-CN" w:bidi="th-TH"/>
    </w:rPr>
  </w:style>
  <w:style w:type="character" w:customStyle="1" w:styleId="Heading2Char">
    <w:name w:val="Heading 2 Char"/>
    <w:basedOn w:val="DefaultParagraphFont"/>
    <w:link w:val="Heading2"/>
    <w:rsid w:val="00402BDE"/>
    <w:rPr>
      <w:rFonts w:ascii="Calibri" w:hAnsi="Calibri" w:cs="Arial"/>
      <w:bCs/>
      <w:iCs/>
      <w:smallCaps/>
      <w:color w:val="009976" w:themeColor="accent1"/>
      <w:sz w:val="32"/>
      <w:szCs w:val="28"/>
      <w:lang w:val="en"/>
    </w:rPr>
  </w:style>
  <w:style w:type="character" w:customStyle="1" w:styleId="Links">
    <w:name w:val="Links"/>
    <w:basedOn w:val="DefaultParagraphFont"/>
    <w:uiPriority w:val="1"/>
    <w:qFormat/>
    <w:rsid w:val="00882BF6"/>
    <w:rPr>
      <w:color w:val="12939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310">
      <w:bodyDiv w:val="1"/>
      <w:marLeft w:val="0"/>
      <w:marRight w:val="0"/>
      <w:marTop w:val="0"/>
      <w:marBottom w:val="0"/>
      <w:divBdr>
        <w:top w:val="none" w:sz="0" w:space="0" w:color="auto"/>
        <w:left w:val="none" w:sz="0" w:space="0" w:color="auto"/>
        <w:bottom w:val="none" w:sz="0" w:space="0" w:color="auto"/>
        <w:right w:val="none" w:sz="0" w:space="0" w:color="auto"/>
      </w:divBdr>
    </w:div>
    <w:div w:id="47731602">
      <w:bodyDiv w:val="1"/>
      <w:marLeft w:val="0"/>
      <w:marRight w:val="0"/>
      <w:marTop w:val="0"/>
      <w:marBottom w:val="0"/>
      <w:divBdr>
        <w:top w:val="none" w:sz="0" w:space="0" w:color="auto"/>
        <w:left w:val="none" w:sz="0" w:space="0" w:color="auto"/>
        <w:bottom w:val="none" w:sz="0" w:space="0" w:color="auto"/>
        <w:right w:val="none" w:sz="0" w:space="0" w:color="auto"/>
      </w:divBdr>
      <w:divsChild>
        <w:div w:id="1307784402">
          <w:marLeft w:val="0"/>
          <w:marRight w:val="0"/>
          <w:marTop w:val="0"/>
          <w:marBottom w:val="0"/>
          <w:divBdr>
            <w:top w:val="none" w:sz="0" w:space="0" w:color="auto"/>
            <w:left w:val="none" w:sz="0" w:space="0" w:color="auto"/>
            <w:bottom w:val="none" w:sz="0" w:space="0" w:color="auto"/>
            <w:right w:val="none" w:sz="0" w:space="0" w:color="auto"/>
          </w:divBdr>
        </w:div>
      </w:divsChild>
    </w:div>
    <w:div w:id="116339298">
      <w:bodyDiv w:val="1"/>
      <w:marLeft w:val="0"/>
      <w:marRight w:val="0"/>
      <w:marTop w:val="0"/>
      <w:marBottom w:val="0"/>
      <w:divBdr>
        <w:top w:val="none" w:sz="0" w:space="0" w:color="auto"/>
        <w:left w:val="none" w:sz="0" w:space="0" w:color="auto"/>
        <w:bottom w:val="none" w:sz="0" w:space="0" w:color="auto"/>
        <w:right w:val="none" w:sz="0" w:space="0" w:color="auto"/>
      </w:divBdr>
      <w:divsChild>
        <w:div w:id="907039746">
          <w:marLeft w:val="446"/>
          <w:marRight w:val="0"/>
          <w:marTop w:val="336"/>
          <w:marBottom w:val="0"/>
          <w:divBdr>
            <w:top w:val="none" w:sz="0" w:space="0" w:color="auto"/>
            <w:left w:val="none" w:sz="0" w:space="0" w:color="auto"/>
            <w:bottom w:val="none" w:sz="0" w:space="0" w:color="auto"/>
            <w:right w:val="none" w:sz="0" w:space="0" w:color="auto"/>
          </w:divBdr>
        </w:div>
        <w:div w:id="1340237815">
          <w:marLeft w:val="446"/>
          <w:marRight w:val="0"/>
          <w:marTop w:val="336"/>
          <w:marBottom w:val="0"/>
          <w:divBdr>
            <w:top w:val="none" w:sz="0" w:space="0" w:color="auto"/>
            <w:left w:val="none" w:sz="0" w:space="0" w:color="auto"/>
            <w:bottom w:val="none" w:sz="0" w:space="0" w:color="auto"/>
            <w:right w:val="none" w:sz="0" w:space="0" w:color="auto"/>
          </w:divBdr>
        </w:div>
        <w:div w:id="1850488984">
          <w:marLeft w:val="446"/>
          <w:marRight w:val="0"/>
          <w:marTop w:val="336"/>
          <w:marBottom w:val="0"/>
          <w:divBdr>
            <w:top w:val="none" w:sz="0" w:space="0" w:color="auto"/>
            <w:left w:val="none" w:sz="0" w:space="0" w:color="auto"/>
            <w:bottom w:val="none" w:sz="0" w:space="0" w:color="auto"/>
            <w:right w:val="none" w:sz="0" w:space="0" w:color="auto"/>
          </w:divBdr>
        </w:div>
        <w:div w:id="2130663984">
          <w:marLeft w:val="446"/>
          <w:marRight w:val="0"/>
          <w:marTop w:val="336"/>
          <w:marBottom w:val="0"/>
          <w:divBdr>
            <w:top w:val="none" w:sz="0" w:space="0" w:color="auto"/>
            <w:left w:val="none" w:sz="0" w:space="0" w:color="auto"/>
            <w:bottom w:val="none" w:sz="0" w:space="0" w:color="auto"/>
            <w:right w:val="none" w:sz="0" w:space="0" w:color="auto"/>
          </w:divBdr>
        </w:div>
      </w:divsChild>
    </w:div>
    <w:div w:id="122501860">
      <w:bodyDiv w:val="1"/>
      <w:marLeft w:val="0"/>
      <w:marRight w:val="0"/>
      <w:marTop w:val="0"/>
      <w:marBottom w:val="0"/>
      <w:divBdr>
        <w:top w:val="none" w:sz="0" w:space="0" w:color="auto"/>
        <w:left w:val="none" w:sz="0" w:space="0" w:color="auto"/>
        <w:bottom w:val="none" w:sz="0" w:space="0" w:color="auto"/>
        <w:right w:val="none" w:sz="0" w:space="0" w:color="auto"/>
      </w:divBdr>
      <w:divsChild>
        <w:div w:id="10307172">
          <w:marLeft w:val="446"/>
          <w:marRight w:val="0"/>
          <w:marTop w:val="288"/>
          <w:marBottom w:val="0"/>
          <w:divBdr>
            <w:top w:val="none" w:sz="0" w:space="0" w:color="auto"/>
            <w:left w:val="none" w:sz="0" w:space="0" w:color="auto"/>
            <w:bottom w:val="none" w:sz="0" w:space="0" w:color="auto"/>
            <w:right w:val="none" w:sz="0" w:space="0" w:color="auto"/>
          </w:divBdr>
        </w:div>
        <w:div w:id="71777594">
          <w:marLeft w:val="446"/>
          <w:marRight w:val="0"/>
          <w:marTop w:val="288"/>
          <w:marBottom w:val="0"/>
          <w:divBdr>
            <w:top w:val="none" w:sz="0" w:space="0" w:color="auto"/>
            <w:left w:val="none" w:sz="0" w:space="0" w:color="auto"/>
            <w:bottom w:val="none" w:sz="0" w:space="0" w:color="auto"/>
            <w:right w:val="none" w:sz="0" w:space="0" w:color="auto"/>
          </w:divBdr>
        </w:div>
        <w:div w:id="260335537">
          <w:marLeft w:val="446"/>
          <w:marRight w:val="0"/>
          <w:marTop w:val="288"/>
          <w:marBottom w:val="0"/>
          <w:divBdr>
            <w:top w:val="none" w:sz="0" w:space="0" w:color="auto"/>
            <w:left w:val="none" w:sz="0" w:space="0" w:color="auto"/>
            <w:bottom w:val="none" w:sz="0" w:space="0" w:color="auto"/>
            <w:right w:val="none" w:sz="0" w:space="0" w:color="auto"/>
          </w:divBdr>
        </w:div>
        <w:div w:id="1429888306">
          <w:marLeft w:val="446"/>
          <w:marRight w:val="0"/>
          <w:marTop w:val="288"/>
          <w:marBottom w:val="0"/>
          <w:divBdr>
            <w:top w:val="none" w:sz="0" w:space="0" w:color="auto"/>
            <w:left w:val="none" w:sz="0" w:space="0" w:color="auto"/>
            <w:bottom w:val="none" w:sz="0" w:space="0" w:color="auto"/>
            <w:right w:val="none" w:sz="0" w:space="0" w:color="auto"/>
          </w:divBdr>
        </w:div>
        <w:div w:id="1488134399">
          <w:marLeft w:val="446"/>
          <w:marRight w:val="0"/>
          <w:marTop w:val="288"/>
          <w:marBottom w:val="0"/>
          <w:divBdr>
            <w:top w:val="none" w:sz="0" w:space="0" w:color="auto"/>
            <w:left w:val="none" w:sz="0" w:space="0" w:color="auto"/>
            <w:bottom w:val="none" w:sz="0" w:space="0" w:color="auto"/>
            <w:right w:val="none" w:sz="0" w:space="0" w:color="auto"/>
          </w:divBdr>
        </w:div>
      </w:divsChild>
    </w:div>
    <w:div w:id="131334863">
      <w:bodyDiv w:val="1"/>
      <w:marLeft w:val="0"/>
      <w:marRight w:val="0"/>
      <w:marTop w:val="0"/>
      <w:marBottom w:val="0"/>
      <w:divBdr>
        <w:top w:val="none" w:sz="0" w:space="0" w:color="auto"/>
        <w:left w:val="none" w:sz="0" w:space="0" w:color="auto"/>
        <w:bottom w:val="none" w:sz="0" w:space="0" w:color="auto"/>
        <w:right w:val="none" w:sz="0" w:space="0" w:color="auto"/>
      </w:divBdr>
    </w:div>
    <w:div w:id="144130576">
      <w:bodyDiv w:val="1"/>
      <w:marLeft w:val="0"/>
      <w:marRight w:val="0"/>
      <w:marTop w:val="0"/>
      <w:marBottom w:val="0"/>
      <w:divBdr>
        <w:top w:val="none" w:sz="0" w:space="0" w:color="auto"/>
        <w:left w:val="none" w:sz="0" w:space="0" w:color="auto"/>
        <w:bottom w:val="none" w:sz="0" w:space="0" w:color="auto"/>
        <w:right w:val="none" w:sz="0" w:space="0" w:color="auto"/>
      </w:divBdr>
    </w:div>
    <w:div w:id="173226688">
      <w:bodyDiv w:val="1"/>
      <w:marLeft w:val="0"/>
      <w:marRight w:val="0"/>
      <w:marTop w:val="0"/>
      <w:marBottom w:val="0"/>
      <w:divBdr>
        <w:top w:val="none" w:sz="0" w:space="0" w:color="auto"/>
        <w:left w:val="none" w:sz="0" w:space="0" w:color="auto"/>
        <w:bottom w:val="none" w:sz="0" w:space="0" w:color="auto"/>
        <w:right w:val="none" w:sz="0" w:space="0" w:color="auto"/>
      </w:divBdr>
    </w:div>
    <w:div w:id="183060114">
      <w:bodyDiv w:val="1"/>
      <w:marLeft w:val="0"/>
      <w:marRight w:val="0"/>
      <w:marTop w:val="0"/>
      <w:marBottom w:val="0"/>
      <w:divBdr>
        <w:top w:val="none" w:sz="0" w:space="0" w:color="auto"/>
        <w:left w:val="none" w:sz="0" w:space="0" w:color="auto"/>
        <w:bottom w:val="none" w:sz="0" w:space="0" w:color="auto"/>
        <w:right w:val="none" w:sz="0" w:space="0" w:color="auto"/>
      </w:divBdr>
    </w:div>
    <w:div w:id="186526598">
      <w:bodyDiv w:val="1"/>
      <w:marLeft w:val="0"/>
      <w:marRight w:val="0"/>
      <w:marTop w:val="0"/>
      <w:marBottom w:val="0"/>
      <w:divBdr>
        <w:top w:val="none" w:sz="0" w:space="0" w:color="auto"/>
        <w:left w:val="none" w:sz="0" w:space="0" w:color="auto"/>
        <w:bottom w:val="none" w:sz="0" w:space="0" w:color="auto"/>
        <w:right w:val="none" w:sz="0" w:space="0" w:color="auto"/>
      </w:divBdr>
    </w:div>
    <w:div w:id="189614273">
      <w:bodyDiv w:val="1"/>
      <w:marLeft w:val="0"/>
      <w:marRight w:val="0"/>
      <w:marTop w:val="0"/>
      <w:marBottom w:val="0"/>
      <w:divBdr>
        <w:top w:val="none" w:sz="0" w:space="0" w:color="auto"/>
        <w:left w:val="none" w:sz="0" w:space="0" w:color="auto"/>
        <w:bottom w:val="none" w:sz="0" w:space="0" w:color="auto"/>
        <w:right w:val="none" w:sz="0" w:space="0" w:color="auto"/>
      </w:divBdr>
      <w:divsChild>
        <w:div w:id="265428877">
          <w:marLeft w:val="0"/>
          <w:marRight w:val="0"/>
          <w:marTop w:val="0"/>
          <w:marBottom w:val="0"/>
          <w:divBdr>
            <w:top w:val="none" w:sz="0" w:space="0" w:color="auto"/>
            <w:left w:val="none" w:sz="0" w:space="0" w:color="auto"/>
            <w:bottom w:val="none" w:sz="0" w:space="0" w:color="auto"/>
            <w:right w:val="none" w:sz="0" w:space="0" w:color="auto"/>
          </w:divBdr>
        </w:div>
      </w:divsChild>
    </w:div>
    <w:div w:id="214511794">
      <w:bodyDiv w:val="1"/>
      <w:marLeft w:val="0"/>
      <w:marRight w:val="0"/>
      <w:marTop w:val="0"/>
      <w:marBottom w:val="0"/>
      <w:divBdr>
        <w:top w:val="none" w:sz="0" w:space="0" w:color="auto"/>
        <w:left w:val="none" w:sz="0" w:space="0" w:color="auto"/>
        <w:bottom w:val="none" w:sz="0" w:space="0" w:color="auto"/>
        <w:right w:val="none" w:sz="0" w:space="0" w:color="auto"/>
      </w:divBdr>
    </w:div>
    <w:div w:id="223957284">
      <w:bodyDiv w:val="1"/>
      <w:marLeft w:val="0"/>
      <w:marRight w:val="0"/>
      <w:marTop w:val="0"/>
      <w:marBottom w:val="0"/>
      <w:divBdr>
        <w:top w:val="none" w:sz="0" w:space="0" w:color="auto"/>
        <w:left w:val="none" w:sz="0" w:space="0" w:color="auto"/>
        <w:bottom w:val="none" w:sz="0" w:space="0" w:color="auto"/>
        <w:right w:val="none" w:sz="0" w:space="0" w:color="auto"/>
      </w:divBdr>
    </w:div>
    <w:div w:id="320546058">
      <w:bodyDiv w:val="1"/>
      <w:marLeft w:val="0"/>
      <w:marRight w:val="0"/>
      <w:marTop w:val="0"/>
      <w:marBottom w:val="0"/>
      <w:divBdr>
        <w:top w:val="none" w:sz="0" w:space="0" w:color="auto"/>
        <w:left w:val="none" w:sz="0" w:space="0" w:color="auto"/>
        <w:bottom w:val="none" w:sz="0" w:space="0" w:color="auto"/>
        <w:right w:val="none" w:sz="0" w:space="0" w:color="auto"/>
      </w:divBdr>
    </w:div>
    <w:div w:id="342821116">
      <w:bodyDiv w:val="1"/>
      <w:marLeft w:val="0"/>
      <w:marRight w:val="0"/>
      <w:marTop w:val="0"/>
      <w:marBottom w:val="0"/>
      <w:divBdr>
        <w:top w:val="none" w:sz="0" w:space="0" w:color="auto"/>
        <w:left w:val="none" w:sz="0" w:space="0" w:color="auto"/>
        <w:bottom w:val="none" w:sz="0" w:space="0" w:color="auto"/>
        <w:right w:val="none" w:sz="0" w:space="0" w:color="auto"/>
      </w:divBdr>
    </w:div>
    <w:div w:id="378165182">
      <w:bodyDiv w:val="1"/>
      <w:marLeft w:val="0"/>
      <w:marRight w:val="0"/>
      <w:marTop w:val="0"/>
      <w:marBottom w:val="0"/>
      <w:divBdr>
        <w:top w:val="none" w:sz="0" w:space="0" w:color="auto"/>
        <w:left w:val="none" w:sz="0" w:space="0" w:color="auto"/>
        <w:bottom w:val="none" w:sz="0" w:space="0" w:color="auto"/>
        <w:right w:val="none" w:sz="0" w:space="0" w:color="auto"/>
      </w:divBdr>
    </w:div>
    <w:div w:id="406151017">
      <w:bodyDiv w:val="1"/>
      <w:marLeft w:val="0"/>
      <w:marRight w:val="0"/>
      <w:marTop w:val="0"/>
      <w:marBottom w:val="0"/>
      <w:divBdr>
        <w:top w:val="none" w:sz="0" w:space="0" w:color="auto"/>
        <w:left w:val="none" w:sz="0" w:space="0" w:color="auto"/>
        <w:bottom w:val="none" w:sz="0" w:space="0" w:color="auto"/>
        <w:right w:val="none" w:sz="0" w:space="0" w:color="auto"/>
      </w:divBdr>
    </w:div>
    <w:div w:id="417097625">
      <w:bodyDiv w:val="1"/>
      <w:marLeft w:val="0"/>
      <w:marRight w:val="0"/>
      <w:marTop w:val="0"/>
      <w:marBottom w:val="0"/>
      <w:divBdr>
        <w:top w:val="none" w:sz="0" w:space="0" w:color="auto"/>
        <w:left w:val="none" w:sz="0" w:space="0" w:color="auto"/>
        <w:bottom w:val="none" w:sz="0" w:space="0" w:color="auto"/>
        <w:right w:val="none" w:sz="0" w:space="0" w:color="auto"/>
      </w:divBdr>
      <w:divsChild>
        <w:div w:id="1369338065">
          <w:marLeft w:val="0"/>
          <w:marRight w:val="0"/>
          <w:marTop w:val="0"/>
          <w:marBottom w:val="0"/>
          <w:divBdr>
            <w:top w:val="single" w:sz="48" w:space="23" w:color="004A7F"/>
            <w:left w:val="none" w:sz="0" w:space="0" w:color="auto"/>
            <w:bottom w:val="single" w:sz="48" w:space="0" w:color="004A7F"/>
            <w:right w:val="none" w:sz="0" w:space="0" w:color="auto"/>
          </w:divBdr>
          <w:divsChild>
            <w:div w:id="300623290">
              <w:marLeft w:val="-225"/>
              <w:marRight w:val="-225"/>
              <w:marTop w:val="0"/>
              <w:marBottom w:val="0"/>
              <w:divBdr>
                <w:top w:val="none" w:sz="0" w:space="0" w:color="auto"/>
                <w:left w:val="none" w:sz="0" w:space="0" w:color="auto"/>
                <w:bottom w:val="none" w:sz="0" w:space="0" w:color="auto"/>
                <w:right w:val="none" w:sz="0" w:space="0" w:color="auto"/>
              </w:divBdr>
              <w:divsChild>
                <w:div w:id="1524245570">
                  <w:marLeft w:val="0"/>
                  <w:marRight w:val="0"/>
                  <w:marTop w:val="0"/>
                  <w:marBottom w:val="0"/>
                  <w:divBdr>
                    <w:top w:val="none" w:sz="0" w:space="0" w:color="auto"/>
                    <w:left w:val="none" w:sz="0" w:space="0" w:color="auto"/>
                    <w:bottom w:val="none" w:sz="0" w:space="0" w:color="auto"/>
                    <w:right w:val="none" w:sz="0" w:space="0" w:color="auto"/>
                  </w:divBdr>
                  <w:divsChild>
                    <w:div w:id="17856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
    <w:div w:id="430322158">
      <w:bodyDiv w:val="1"/>
      <w:marLeft w:val="0"/>
      <w:marRight w:val="0"/>
      <w:marTop w:val="0"/>
      <w:marBottom w:val="0"/>
      <w:divBdr>
        <w:top w:val="none" w:sz="0" w:space="0" w:color="auto"/>
        <w:left w:val="none" w:sz="0" w:space="0" w:color="auto"/>
        <w:bottom w:val="none" w:sz="0" w:space="0" w:color="auto"/>
        <w:right w:val="none" w:sz="0" w:space="0" w:color="auto"/>
      </w:divBdr>
    </w:div>
    <w:div w:id="433013129">
      <w:bodyDiv w:val="1"/>
      <w:marLeft w:val="0"/>
      <w:marRight w:val="0"/>
      <w:marTop w:val="0"/>
      <w:marBottom w:val="0"/>
      <w:divBdr>
        <w:top w:val="none" w:sz="0" w:space="0" w:color="auto"/>
        <w:left w:val="none" w:sz="0" w:space="0" w:color="auto"/>
        <w:bottom w:val="none" w:sz="0" w:space="0" w:color="auto"/>
        <w:right w:val="none" w:sz="0" w:space="0" w:color="auto"/>
      </w:divBdr>
      <w:divsChild>
        <w:div w:id="1538927166">
          <w:marLeft w:val="0"/>
          <w:marRight w:val="0"/>
          <w:marTop w:val="0"/>
          <w:marBottom w:val="0"/>
          <w:divBdr>
            <w:top w:val="none" w:sz="0" w:space="0" w:color="auto"/>
            <w:left w:val="none" w:sz="0" w:space="0" w:color="auto"/>
            <w:bottom w:val="none" w:sz="0" w:space="0" w:color="auto"/>
            <w:right w:val="none" w:sz="0" w:space="0" w:color="auto"/>
          </w:divBdr>
          <w:divsChild>
            <w:div w:id="1219516374">
              <w:marLeft w:val="0"/>
              <w:marRight w:val="0"/>
              <w:marTop w:val="0"/>
              <w:marBottom w:val="0"/>
              <w:divBdr>
                <w:top w:val="none" w:sz="0" w:space="0" w:color="auto"/>
                <w:left w:val="none" w:sz="0" w:space="0" w:color="auto"/>
                <w:bottom w:val="none" w:sz="0" w:space="0" w:color="auto"/>
                <w:right w:val="none" w:sz="0" w:space="0" w:color="auto"/>
              </w:divBdr>
              <w:divsChild>
                <w:div w:id="958293821">
                  <w:marLeft w:val="0"/>
                  <w:marRight w:val="0"/>
                  <w:marTop w:val="0"/>
                  <w:marBottom w:val="150"/>
                  <w:divBdr>
                    <w:top w:val="none" w:sz="0" w:space="0" w:color="auto"/>
                    <w:left w:val="none" w:sz="0" w:space="0" w:color="auto"/>
                    <w:bottom w:val="none" w:sz="0" w:space="0" w:color="auto"/>
                    <w:right w:val="none" w:sz="0" w:space="0" w:color="auto"/>
                  </w:divBdr>
                  <w:divsChild>
                    <w:div w:id="2011642432">
                      <w:marLeft w:val="0"/>
                      <w:marRight w:val="0"/>
                      <w:marTop w:val="0"/>
                      <w:marBottom w:val="0"/>
                      <w:divBdr>
                        <w:top w:val="none" w:sz="0" w:space="0" w:color="auto"/>
                        <w:left w:val="none" w:sz="0" w:space="0" w:color="auto"/>
                        <w:bottom w:val="none" w:sz="0" w:space="0" w:color="auto"/>
                        <w:right w:val="none" w:sz="0" w:space="0" w:color="auto"/>
                      </w:divBdr>
                      <w:divsChild>
                        <w:div w:id="1977099893">
                          <w:marLeft w:val="0"/>
                          <w:marRight w:val="0"/>
                          <w:marTop w:val="0"/>
                          <w:marBottom w:val="0"/>
                          <w:divBdr>
                            <w:top w:val="single" w:sz="6" w:space="6" w:color="C0C0C0"/>
                            <w:left w:val="single" w:sz="6" w:space="6" w:color="C0C0C0"/>
                            <w:bottom w:val="single" w:sz="6" w:space="4" w:color="C0C0C0"/>
                            <w:right w:val="single" w:sz="6" w:space="4" w:color="C0C0C0"/>
                          </w:divBdr>
                          <w:divsChild>
                            <w:div w:id="851183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94332">
      <w:bodyDiv w:val="1"/>
      <w:marLeft w:val="0"/>
      <w:marRight w:val="0"/>
      <w:marTop w:val="0"/>
      <w:marBottom w:val="0"/>
      <w:divBdr>
        <w:top w:val="none" w:sz="0" w:space="0" w:color="auto"/>
        <w:left w:val="none" w:sz="0" w:space="0" w:color="auto"/>
        <w:bottom w:val="none" w:sz="0" w:space="0" w:color="auto"/>
        <w:right w:val="none" w:sz="0" w:space="0" w:color="auto"/>
      </w:divBdr>
    </w:div>
    <w:div w:id="461772386">
      <w:bodyDiv w:val="1"/>
      <w:marLeft w:val="0"/>
      <w:marRight w:val="0"/>
      <w:marTop w:val="0"/>
      <w:marBottom w:val="0"/>
      <w:divBdr>
        <w:top w:val="none" w:sz="0" w:space="0" w:color="auto"/>
        <w:left w:val="none" w:sz="0" w:space="0" w:color="auto"/>
        <w:bottom w:val="none" w:sz="0" w:space="0" w:color="auto"/>
        <w:right w:val="none" w:sz="0" w:space="0" w:color="auto"/>
      </w:divBdr>
    </w:div>
    <w:div w:id="468935852">
      <w:bodyDiv w:val="1"/>
      <w:marLeft w:val="0"/>
      <w:marRight w:val="0"/>
      <w:marTop w:val="0"/>
      <w:marBottom w:val="0"/>
      <w:divBdr>
        <w:top w:val="none" w:sz="0" w:space="0" w:color="auto"/>
        <w:left w:val="none" w:sz="0" w:space="0" w:color="auto"/>
        <w:bottom w:val="none" w:sz="0" w:space="0" w:color="auto"/>
        <w:right w:val="none" w:sz="0" w:space="0" w:color="auto"/>
      </w:divBdr>
    </w:div>
    <w:div w:id="504824474">
      <w:bodyDiv w:val="1"/>
      <w:marLeft w:val="0"/>
      <w:marRight w:val="0"/>
      <w:marTop w:val="0"/>
      <w:marBottom w:val="0"/>
      <w:divBdr>
        <w:top w:val="none" w:sz="0" w:space="0" w:color="auto"/>
        <w:left w:val="none" w:sz="0" w:space="0" w:color="auto"/>
        <w:bottom w:val="none" w:sz="0" w:space="0" w:color="auto"/>
        <w:right w:val="none" w:sz="0" w:space="0" w:color="auto"/>
      </w:divBdr>
      <w:divsChild>
        <w:div w:id="1669792655">
          <w:marLeft w:val="0"/>
          <w:marRight w:val="0"/>
          <w:marTop w:val="0"/>
          <w:marBottom w:val="0"/>
          <w:divBdr>
            <w:top w:val="none" w:sz="0" w:space="0" w:color="auto"/>
            <w:left w:val="none" w:sz="0" w:space="0" w:color="auto"/>
            <w:bottom w:val="none" w:sz="0" w:space="0" w:color="auto"/>
            <w:right w:val="none" w:sz="0" w:space="0" w:color="auto"/>
          </w:divBdr>
          <w:divsChild>
            <w:div w:id="946280699">
              <w:marLeft w:val="0"/>
              <w:marRight w:val="0"/>
              <w:marTop w:val="0"/>
              <w:marBottom w:val="0"/>
              <w:divBdr>
                <w:top w:val="none" w:sz="0" w:space="0" w:color="auto"/>
                <w:left w:val="none" w:sz="0" w:space="0" w:color="auto"/>
                <w:bottom w:val="none" w:sz="0" w:space="0" w:color="auto"/>
                <w:right w:val="none" w:sz="0" w:space="0" w:color="auto"/>
              </w:divBdr>
              <w:divsChild>
                <w:div w:id="942032098">
                  <w:marLeft w:val="0"/>
                  <w:marRight w:val="0"/>
                  <w:marTop w:val="0"/>
                  <w:marBottom w:val="150"/>
                  <w:divBdr>
                    <w:top w:val="none" w:sz="0" w:space="0" w:color="auto"/>
                    <w:left w:val="none" w:sz="0" w:space="0" w:color="auto"/>
                    <w:bottom w:val="none" w:sz="0" w:space="0" w:color="auto"/>
                    <w:right w:val="none" w:sz="0" w:space="0" w:color="auto"/>
                  </w:divBdr>
                  <w:divsChild>
                    <w:div w:id="25915271">
                      <w:marLeft w:val="0"/>
                      <w:marRight w:val="0"/>
                      <w:marTop w:val="0"/>
                      <w:marBottom w:val="0"/>
                      <w:divBdr>
                        <w:top w:val="none" w:sz="0" w:space="0" w:color="auto"/>
                        <w:left w:val="none" w:sz="0" w:space="0" w:color="auto"/>
                        <w:bottom w:val="none" w:sz="0" w:space="0" w:color="auto"/>
                        <w:right w:val="none" w:sz="0" w:space="0" w:color="auto"/>
                      </w:divBdr>
                      <w:divsChild>
                        <w:div w:id="8458898">
                          <w:marLeft w:val="0"/>
                          <w:marRight w:val="0"/>
                          <w:marTop w:val="0"/>
                          <w:marBottom w:val="0"/>
                          <w:divBdr>
                            <w:top w:val="single" w:sz="6" w:space="6" w:color="C0C0C0"/>
                            <w:left w:val="single" w:sz="6" w:space="6" w:color="C0C0C0"/>
                            <w:bottom w:val="single" w:sz="6" w:space="4" w:color="C0C0C0"/>
                            <w:right w:val="single" w:sz="6" w:space="4" w:color="C0C0C0"/>
                          </w:divBdr>
                        </w:div>
                      </w:divsChild>
                    </w:div>
                  </w:divsChild>
                </w:div>
              </w:divsChild>
            </w:div>
          </w:divsChild>
        </w:div>
      </w:divsChild>
    </w:div>
    <w:div w:id="512955454">
      <w:bodyDiv w:val="1"/>
      <w:marLeft w:val="0"/>
      <w:marRight w:val="0"/>
      <w:marTop w:val="0"/>
      <w:marBottom w:val="0"/>
      <w:divBdr>
        <w:top w:val="none" w:sz="0" w:space="0" w:color="auto"/>
        <w:left w:val="none" w:sz="0" w:space="0" w:color="auto"/>
        <w:bottom w:val="none" w:sz="0" w:space="0" w:color="auto"/>
        <w:right w:val="none" w:sz="0" w:space="0" w:color="auto"/>
      </w:divBdr>
    </w:div>
    <w:div w:id="526868008">
      <w:bodyDiv w:val="1"/>
      <w:marLeft w:val="0"/>
      <w:marRight w:val="0"/>
      <w:marTop w:val="0"/>
      <w:marBottom w:val="0"/>
      <w:divBdr>
        <w:top w:val="none" w:sz="0" w:space="0" w:color="auto"/>
        <w:left w:val="none" w:sz="0" w:space="0" w:color="auto"/>
        <w:bottom w:val="none" w:sz="0" w:space="0" w:color="auto"/>
        <w:right w:val="none" w:sz="0" w:space="0" w:color="auto"/>
      </w:divBdr>
    </w:div>
    <w:div w:id="548568939">
      <w:bodyDiv w:val="1"/>
      <w:marLeft w:val="0"/>
      <w:marRight w:val="0"/>
      <w:marTop w:val="0"/>
      <w:marBottom w:val="0"/>
      <w:divBdr>
        <w:top w:val="none" w:sz="0" w:space="0" w:color="auto"/>
        <w:left w:val="none" w:sz="0" w:space="0" w:color="auto"/>
        <w:bottom w:val="none" w:sz="0" w:space="0" w:color="auto"/>
        <w:right w:val="none" w:sz="0" w:space="0" w:color="auto"/>
      </w:divBdr>
    </w:div>
    <w:div w:id="563565686">
      <w:bodyDiv w:val="1"/>
      <w:marLeft w:val="0"/>
      <w:marRight w:val="0"/>
      <w:marTop w:val="0"/>
      <w:marBottom w:val="0"/>
      <w:divBdr>
        <w:top w:val="none" w:sz="0" w:space="0" w:color="auto"/>
        <w:left w:val="none" w:sz="0" w:space="0" w:color="auto"/>
        <w:bottom w:val="none" w:sz="0" w:space="0" w:color="auto"/>
        <w:right w:val="none" w:sz="0" w:space="0" w:color="auto"/>
      </w:divBdr>
    </w:div>
    <w:div w:id="571161985">
      <w:bodyDiv w:val="1"/>
      <w:marLeft w:val="0"/>
      <w:marRight w:val="0"/>
      <w:marTop w:val="0"/>
      <w:marBottom w:val="0"/>
      <w:divBdr>
        <w:top w:val="none" w:sz="0" w:space="0" w:color="auto"/>
        <w:left w:val="none" w:sz="0" w:space="0" w:color="auto"/>
        <w:bottom w:val="none" w:sz="0" w:space="0" w:color="auto"/>
        <w:right w:val="none" w:sz="0" w:space="0" w:color="auto"/>
      </w:divBdr>
    </w:div>
    <w:div w:id="603612889">
      <w:bodyDiv w:val="1"/>
      <w:marLeft w:val="0"/>
      <w:marRight w:val="0"/>
      <w:marTop w:val="0"/>
      <w:marBottom w:val="0"/>
      <w:divBdr>
        <w:top w:val="none" w:sz="0" w:space="0" w:color="auto"/>
        <w:left w:val="none" w:sz="0" w:space="0" w:color="auto"/>
        <w:bottom w:val="none" w:sz="0" w:space="0" w:color="auto"/>
        <w:right w:val="none" w:sz="0" w:space="0" w:color="auto"/>
      </w:divBdr>
    </w:div>
    <w:div w:id="634869431">
      <w:bodyDiv w:val="1"/>
      <w:marLeft w:val="0"/>
      <w:marRight w:val="0"/>
      <w:marTop w:val="0"/>
      <w:marBottom w:val="0"/>
      <w:divBdr>
        <w:top w:val="none" w:sz="0" w:space="0" w:color="auto"/>
        <w:left w:val="none" w:sz="0" w:space="0" w:color="auto"/>
        <w:bottom w:val="none" w:sz="0" w:space="0" w:color="auto"/>
        <w:right w:val="none" w:sz="0" w:space="0" w:color="auto"/>
      </w:divBdr>
    </w:div>
    <w:div w:id="677270871">
      <w:bodyDiv w:val="1"/>
      <w:marLeft w:val="0"/>
      <w:marRight w:val="0"/>
      <w:marTop w:val="0"/>
      <w:marBottom w:val="0"/>
      <w:divBdr>
        <w:top w:val="none" w:sz="0" w:space="0" w:color="auto"/>
        <w:left w:val="none" w:sz="0" w:space="0" w:color="auto"/>
        <w:bottom w:val="none" w:sz="0" w:space="0" w:color="auto"/>
        <w:right w:val="none" w:sz="0" w:space="0" w:color="auto"/>
      </w:divBdr>
      <w:divsChild>
        <w:div w:id="943221278">
          <w:marLeft w:val="0"/>
          <w:marRight w:val="0"/>
          <w:marTop w:val="0"/>
          <w:marBottom w:val="0"/>
          <w:divBdr>
            <w:top w:val="none" w:sz="0" w:space="0" w:color="auto"/>
            <w:left w:val="none" w:sz="0" w:space="0" w:color="auto"/>
            <w:bottom w:val="none" w:sz="0" w:space="0" w:color="auto"/>
            <w:right w:val="none" w:sz="0" w:space="0" w:color="auto"/>
          </w:divBdr>
          <w:divsChild>
            <w:div w:id="1895502874">
              <w:marLeft w:val="0"/>
              <w:marRight w:val="0"/>
              <w:marTop w:val="0"/>
              <w:marBottom w:val="0"/>
              <w:divBdr>
                <w:top w:val="none" w:sz="0" w:space="0" w:color="auto"/>
                <w:left w:val="none" w:sz="0" w:space="0" w:color="auto"/>
                <w:bottom w:val="none" w:sz="0" w:space="0" w:color="auto"/>
                <w:right w:val="none" w:sz="0" w:space="0" w:color="auto"/>
              </w:divBdr>
              <w:divsChild>
                <w:div w:id="697387660">
                  <w:marLeft w:val="0"/>
                  <w:marRight w:val="0"/>
                  <w:marTop w:val="0"/>
                  <w:marBottom w:val="150"/>
                  <w:divBdr>
                    <w:top w:val="none" w:sz="0" w:space="0" w:color="auto"/>
                    <w:left w:val="none" w:sz="0" w:space="0" w:color="auto"/>
                    <w:bottom w:val="none" w:sz="0" w:space="0" w:color="auto"/>
                    <w:right w:val="none" w:sz="0" w:space="0" w:color="auto"/>
                  </w:divBdr>
                  <w:divsChild>
                    <w:div w:id="13918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41176">
      <w:bodyDiv w:val="1"/>
      <w:marLeft w:val="0"/>
      <w:marRight w:val="0"/>
      <w:marTop w:val="0"/>
      <w:marBottom w:val="0"/>
      <w:divBdr>
        <w:top w:val="none" w:sz="0" w:space="0" w:color="auto"/>
        <w:left w:val="none" w:sz="0" w:space="0" w:color="auto"/>
        <w:bottom w:val="none" w:sz="0" w:space="0" w:color="auto"/>
        <w:right w:val="none" w:sz="0" w:space="0" w:color="auto"/>
      </w:divBdr>
    </w:div>
    <w:div w:id="745999817">
      <w:bodyDiv w:val="1"/>
      <w:marLeft w:val="0"/>
      <w:marRight w:val="0"/>
      <w:marTop w:val="0"/>
      <w:marBottom w:val="0"/>
      <w:divBdr>
        <w:top w:val="none" w:sz="0" w:space="0" w:color="auto"/>
        <w:left w:val="none" w:sz="0" w:space="0" w:color="auto"/>
        <w:bottom w:val="none" w:sz="0" w:space="0" w:color="auto"/>
        <w:right w:val="none" w:sz="0" w:space="0" w:color="auto"/>
      </w:divBdr>
    </w:div>
    <w:div w:id="770707661">
      <w:bodyDiv w:val="1"/>
      <w:marLeft w:val="0"/>
      <w:marRight w:val="0"/>
      <w:marTop w:val="0"/>
      <w:marBottom w:val="0"/>
      <w:divBdr>
        <w:top w:val="none" w:sz="0" w:space="0" w:color="auto"/>
        <w:left w:val="none" w:sz="0" w:space="0" w:color="auto"/>
        <w:bottom w:val="none" w:sz="0" w:space="0" w:color="auto"/>
        <w:right w:val="none" w:sz="0" w:space="0" w:color="auto"/>
      </w:divBdr>
      <w:divsChild>
        <w:div w:id="1737314598">
          <w:marLeft w:val="0"/>
          <w:marRight w:val="0"/>
          <w:marTop w:val="0"/>
          <w:marBottom w:val="0"/>
          <w:divBdr>
            <w:top w:val="none" w:sz="0" w:space="0" w:color="auto"/>
            <w:left w:val="none" w:sz="0" w:space="0" w:color="auto"/>
            <w:bottom w:val="none" w:sz="0" w:space="0" w:color="auto"/>
            <w:right w:val="none" w:sz="0" w:space="0" w:color="auto"/>
          </w:divBdr>
          <w:divsChild>
            <w:div w:id="1133595846">
              <w:marLeft w:val="0"/>
              <w:marRight w:val="0"/>
              <w:marTop w:val="0"/>
              <w:marBottom w:val="0"/>
              <w:divBdr>
                <w:top w:val="none" w:sz="0" w:space="0" w:color="auto"/>
                <w:left w:val="none" w:sz="0" w:space="0" w:color="auto"/>
                <w:bottom w:val="none" w:sz="0" w:space="0" w:color="auto"/>
                <w:right w:val="none" w:sz="0" w:space="0" w:color="auto"/>
              </w:divBdr>
              <w:divsChild>
                <w:div w:id="2064675760">
                  <w:marLeft w:val="0"/>
                  <w:marRight w:val="0"/>
                  <w:marTop w:val="0"/>
                  <w:marBottom w:val="0"/>
                  <w:divBdr>
                    <w:top w:val="none" w:sz="0" w:space="0" w:color="auto"/>
                    <w:left w:val="none" w:sz="0" w:space="0" w:color="auto"/>
                    <w:bottom w:val="none" w:sz="0" w:space="0" w:color="auto"/>
                    <w:right w:val="none" w:sz="0" w:space="0" w:color="auto"/>
                  </w:divBdr>
                  <w:divsChild>
                    <w:div w:id="65803732">
                      <w:marLeft w:val="0"/>
                      <w:marRight w:val="0"/>
                      <w:marTop w:val="0"/>
                      <w:marBottom w:val="0"/>
                      <w:divBdr>
                        <w:top w:val="single" w:sz="6" w:space="0" w:color="DCD9D9"/>
                        <w:left w:val="single" w:sz="6" w:space="0" w:color="DCD9D9"/>
                        <w:bottom w:val="single" w:sz="2" w:space="0" w:color="DCD9D9"/>
                        <w:right w:val="single" w:sz="6" w:space="0" w:color="DCD9D9"/>
                      </w:divBdr>
                      <w:divsChild>
                        <w:div w:id="512182634">
                          <w:marLeft w:val="0"/>
                          <w:marRight w:val="-100"/>
                          <w:marTop w:val="450"/>
                          <w:marBottom w:val="0"/>
                          <w:divBdr>
                            <w:top w:val="none" w:sz="0" w:space="0" w:color="auto"/>
                            <w:left w:val="none" w:sz="0" w:space="0" w:color="auto"/>
                            <w:bottom w:val="none" w:sz="0" w:space="0" w:color="auto"/>
                            <w:right w:val="none" w:sz="0" w:space="0" w:color="auto"/>
                          </w:divBdr>
                          <w:divsChild>
                            <w:div w:id="433208165">
                              <w:marLeft w:val="0"/>
                              <w:marRight w:val="0"/>
                              <w:marTop w:val="0"/>
                              <w:marBottom w:val="0"/>
                              <w:divBdr>
                                <w:top w:val="none" w:sz="0" w:space="0" w:color="auto"/>
                                <w:left w:val="none" w:sz="0" w:space="0" w:color="auto"/>
                                <w:bottom w:val="none" w:sz="0" w:space="0" w:color="auto"/>
                                <w:right w:val="none" w:sz="0" w:space="0" w:color="auto"/>
                              </w:divBdr>
                              <w:divsChild>
                                <w:div w:id="1640110506">
                                  <w:marLeft w:val="0"/>
                                  <w:marRight w:val="0"/>
                                  <w:marTop w:val="0"/>
                                  <w:marBottom w:val="0"/>
                                  <w:divBdr>
                                    <w:top w:val="none" w:sz="0" w:space="0" w:color="auto"/>
                                    <w:left w:val="none" w:sz="0" w:space="0" w:color="auto"/>
                                    <w:bottom w:val="none" w:sz="0" w:space="0" w:color="auto"/>
                                    <w:right w:val="none" w:sz="0" w:space="0" w:color="auto"/>
                                  </w:divBdr>
                                  <w:divsChild>
                                    <w:div w:id="955479521">
                                      <w:marLeft w:val="0"/>
                                      <w:marRight w:val="0"/>
                                      <w:marTop w:val="0"/>
                                      <w:marBottom w:val="0"/>
                                      <w:divBdr>
                                        <w:top w:val="none" w:sz="0" w:space="0" w:color="auto"/>
                                        <w:left w:val="none" w:sz="0" w:space="0" w:color="auto"/>
                                        <w:bottom w:val="none" w:sz="0" w:space="0" w:color="auto"/>
                                        <w:right w:val="none" w:sz="0" w:space="0" w:color="auto"/>
                                      </w:divBdr>
                                      <w:divsChild>
                                        <w:div w:id="1855723139">
                                          <w:marLeft w:val="0"/>
                                          <w:marRight w:val="0"/>
                                          <w:marTop w:val="0"/>
                                          <w:marBottom w:val="360"/>
                                          <w:divBdr>
                                            <w:top w:val="none" w:sz="0" w:space="0" w:color="auto"/>
                                            <w:left w:val="none" w:sz="0" w:space="0" w:color="auto"/>
                                            <w:bottom w:val="none" w:sz="0" w:space="0" w:color="auto"/>
                                            <w:right w:val="none" w:sz="0" w:space="0" w:color="auto"/>
                                          </w:divBdr>
                                          <w:divsChild>
                                            <w:div w:id="146943522">
                                              <w:marLeft w:val="0"/>
                                              <w:marRight w:val="0"/>
                                              <w:marTop w:val="0"/>
                                              <w:marBottom w:val="0"/>
                                              <w:divBdr>
                                                <w:top w:val="none" w:sz="0" w:space="0" w:color="auto"/>
                                                <w:left w:val="none" w:sz="0" w:space="0" w:color="auto"/>
                                                <w:bottom w:val="none" w:sz="0" w:space="0" w:color="auto"/>
                                                <w:right w:val="none" w:sz="0" w:space="0" w:color="auto"/>
                                              </w:divBdr>
                                              <w:divsChild>
                                                <w:div w:id="350759749">
                                                  <w:marLeft w:val="0"/>
                                                  <w:marRight w:val="0"/>
                                                  <w:marTop w:val="0"/>
                                                  <w:marBottom w:val="0"/>
                                                  <w:divBdr>
                                                    <w:top w:val="none" w:sz="0" w:space="0" w:color="auto"/>
                                                    <w:left w:val="none" w:sz="0" w:space="0" w:color="auto"/>
                                                    <w:bottom w:val="none" w:sz="0" w:space="0" w:color="auto"/>
                                                    <w:right w:val="none" w:sz="0" w:space="0" w:color="auto"/>
                                                  </w:divBdr>
                                                  <w:divsChild>
                                                    <w:div w:id="561522217">
                                                      <w:marLeft w:val="0"/>
                                                      <w:marRight w:val="0"/>
                                                      <w:marTop w:val="0"/>
                                                      <w:marBottom w:val="0"/>
                                                      <w:divBdr>
                                                        <w:top w:val="none" w:sz="0" w:space="0" w:color="auto"/>
                                                        <w:left w:val="none" w:sz="0" w:space="0" w:color="auto"/>
                                                        <w:bottom w:val="none" w:sz="0" w:space="0" w:color="auto"/>
                                                        <w:right w:val="none" w:sz="0" w:space="0" w:color="auto"/>
                                                      </w:divBdr>
                                                      <w:divsChild>
                                                        <w:div w:id="564149048">
                                                          <w:marLeft w:val="0"/>
                                                          <w:marRight w:val="0"/>
                                                          <w:marTop w:val="0"/>
                                                          <w:marBottom w:val="0"/>
                                                          <w:divBdr>
                                                            <w:top w:val="none" w:sz="0" w:space="0" w:color="auto"/>
                                                            <w:left w:val="none" w:sz="0" w:space="0" w:color="auto"/>
                                                            <w:bottom w:val="none" w:sz="0" w:space="0" w:color="auto"/>
                                                            <w:right w:val="none" w:sz="0" w:space="0" w:color="auto"/>
                                                          </w:divBdr>
                                                          <w:divsChild>
                                                            <w:div w:id="15742176">
                                                              <w:marLeft w:val="0"/>
                                                              <w:marRight w:val="0"/>
                                                              <w:marTop w:val="0"/>
                                                              <w:marBottom w:val="0"/>
                                                              <w:divBdr>
                                                                <w:top w:val="none" w:sz="0" w:space="0" w:color="auto"/>
                                                                <w:left w:val="none" w:sz="0" w:space="0" w:color="auto"/>
                                                                <w:bottom w:val="none" w:sz="0" w:space="0" w:color="auto"/>
                                                                <w:right w:val="none" w:sz="0" w:space="0" w:color="auto"/>
                                                              </w:divBdr>
                                                              <w:divsChild>
                                                                <w:div w:id="647057851">
                                                                  <w:marLeft w:val="0"/>
                                                                  <w:marRight w:val="0"/>
                                                                  <w:marTop w:val="0"/>
                                                                  <w:marBottom w:val="0"/>
                                                                  <w:divBdr>
                                                                    <w:top w:val="none" w:sz="0" w:space="0" w:color="auto"/>
                                                                    <w:left w:val="none" w:sz="0" w:space="0" w:color="auto"/>
                                                                    <w:bottom w:val="none" w:sz="0" w:space="0" w:color="auto"/>
                                                                    <w:right w:val="none" w:sz="0" w:space="0" w:color="auto"/>
                                                                  </w:divBdr>
                                                                  <w:divsChild>
                                                                    <w:div w:id="296184951">
                                                                      <w:marLeft w:val="0"/>
                                                                      <w:marRight w:val="0"/>
                                                                      <w:marTop w:val="0"/>
                                                                      <w:marBottom w:val="0"/>
                                                                      <w:divBdr>
                                                                        <w:top w:val="none" w:sz="0" w:space="0" w:color="auto"/>
                                                                        <w:left w:val="none" w:sz="0" w:space="0" w:color="auto"/>
                                                                        <w:bottom w:val="none" w:sz="0" w:space="0" w:color="auto"/>
                                                                        <w:right w:val="none" w:sz="0" w:space="0" w:color="auto"/>
                                                                      </w:divBdr>
                                                                      <w:divsChild>
                                                                        <w:div w:id="236402836">
                                                                          <w:marLeft w:val="0"/>
                                                                          <w:marRight w:val="0"/>
                                                                          <w:marTop w:val="0"/>
                                                                          <w:marBottom w:val="0"/>
                                                                          <w:divBdr>
                                                                            <w:top w:val="none" w:sz="0" w:space="0" w:color="auto"/>
                                                                            <w:left w:val="none" w:sz="0" w:space="0" w:color="auto"/>
                                                                            <w:bottom w:val="none" w:sz="0" w:space="0" w:color="auto"/>
                                                                            <w:right w:val="none" w:sz="0" w:space="0" w:color="auto"/>
                                                                          </w:divBdr>
                                                                          <w:divsChild>
                                                                            <w:div w:id="1669357225">
                                                                              <w:marLeft w:val="0"/>
                                                                              <w:marRight w:val="0"/>
                                                                              <w:marTop w:val="0"/>
                                                                              <w:marBottom w:val="0"/>
                                                                              <w:divBdr>
                                                                                <w:top w:val="none" w:sz="0" w:space="0" w:color="auto"/>
                                                                                <w:left w:val="none" w:sz="0" w:space="0" w:color="auto"/>
                                                                                <w:bottom w:val="none" w:sz="0" w:space="0" w:color="auto"/>
                                                                                <w:right w:val="none" w:sz="0" w:space="0" w:color="auto"/>
                                                                              </w:divBdr>
                                                                            </w:div>
                                                                          </w:divsChild>
                                                                        </w:div>
                                                                        <w:div w:id="1133056224">
                                                                          <w:marLeft w:val="0"/>
                                                                          <w:marRight w:val="0"/>
                                                                          <w:marTop w:val="0"/>
                                                                          <w:marBottom w:val="0"/>
                                                                          <w:divBdr>
                                                                            <w:top w:val="none" w:sz="0" w:space="0" w:color="auto"/>
                                                                            <w:left w:val="none" w:sz="0" w:space="0" w:color="auto"/>
                                                                            <w:bottom w:val="none" w:sz="0" w:space="0" w:color="auto"/>
                                                                            <w:right w:val="none" w:sz="0" w:space="0" w:color="auto"/>
                                                                          </w:divBdr>
                                                                        </w:div>
                                                                      </w:divsChild>
                                                                    </w:div>
                                                                    <w:div w:id="939602288">
                                                                      <w:marLeft w:val="0"/>
                                                                      <w:marRight w:val="0"/>
                                                                      <w:marTop w:val="0"/>
                                                                      <w:marBottom w:val="0"/>
                                                                      <w:divBdr>
                                                                        <w:top w:val="none" w:sz="0" w:space="0" w:color="auto"/>
                                                                        <w:left w:val="none" w:sz="0" w:space="0" w:color="auto"/>
                                                                        <w:bottom w:val="none" w:sz="0" w:space="0" w:color="auto"/>
                                                                        <w:right w:val="none" w:sz="0" w:space="0" w:color="auto"/>
                                                                      </w:divBdr>
                                                                      <w:divsChild>
                                                                        <w:div w:id="301889883">
                                                                          <w:marLeft w:val="0"/>
                                                                          <w:marRight w:val="0"/>
                                                                          <w:marTop w:val="0"/>
                                                                          <w:marBottom w:val="0"/>
                                                                          <w:divBdr>
                                                                            <w:top w:val="none" w:sz="0" w:space="0" w:color="auto"/>
                                                                            <w:left w:val="none" w:sz="0" w:space="0" w:color="auto"/>
                                                                            <w:bottom w:val="none" w:sz="0" w:space="0" w:color="auto"/>
                                                                            <w:right w:val="none" w:sz="0" w:space="0" w:color="auto"/>
                                                                          </w:divBdr>
                                                                          <w:divsChild>
                                                                            <w:div w:id="270942209">
                                                                              <w:marLeft w:val="0"/>
                                                                              <w:marRight w:val="0"/>
                                                                              <w:marTop w:val="0"/>
                                                                              <w:marBottom w:val="0"/>
                                                                              <w:divBdr>
                                                                                <w:top w:val="none" w:sz="0" w:space="0" w:color="auto"/>
                                                                                <w:left w:val="none" w:sz="0" w:space="0" w:color="auto"/>
                                                                                <w:bottom w:val="none" w:sz="0" w:space="0" w:color="auto"/>
                                                                                <w:right w:val="none" w:sz="0" w:space="0" w:color="auto"/>
                                                                              </w:divBdr>
                                                                            </w:div>
                                                                          </w:divsChild>
                                                                        </w:div>
                                                                        <w:div w:id="7997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7103">
                                                              <w:marLeft w:val="0"/>
                                                              <w:marRight w:val="0"/>
                                                              <w:marTop w:val="0"/>
                                                              <w:marBottom w:val="0"/>
                                                              <w:divBdr>
                                                                <w:top w:val="none" w:sz="0" w:space="0" w:color="auto"/>
                                                                <w:left w:val="none" w:sz="0" w:space="0" w:color="auto"/>
                                                                <w:bottom w:val="none" w:sz="0" w:space="0" w:color="auto"/>
                                                                <w:right w:val="none" w:sz="0" w:space="0" w:color="auto"/>
                                                              </w:divBdr>
                                                              <w:divsChild>
                                                                <w:div w:id="1840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907">
                                                          <w:marLeft w:val="0"/>
                                                          <w:marRight w:val="0"/>
                                                          <w:marTop w:val="0"/>
                                                          <w:marBottom w:val="0"/>
                                                          <w:divBdr>
                                                            <w:top w:val="none" w:sz="0" w:space="0" w:color="auto"/>
                                                            <w:left w:val="none" w:sz="0" w:space="0" w:color="auto"/>
                                                            <w:bottom w:val="none" w:sz="0" w:space="0" w:color="auto"/>
                                                            <w:right w:val="none" w:sz="0" w:space="0" w:color="auto"/>
                                                          </w:divBdr>
                                                          <w:divsChild>
                                                            <w:div w:id="1585916529">
                                                              <w:marLeft w:val="0"/>
                                                              <w:marRight w:val="0"/>
                                                              <w:marTop w:val="0"/>
                                                              <w:marBottom w:val="0"/>
                                                              <w:divBdr>
                                                                <w:top w:val="none" w:sz="0" w:space="0" w:color="auto"/>
                                                                <w:left w:val="none" w:sz="0" w:space="0" w:color="auto"/>
                                                                <w:bottom w:val="none" w:sz="0" w:space="0" w:color="auto"/>
                                                                <w:right w:val="none" w:sz="0" w:space="0" w:color="auto"/>
                                                              </w:divBdr>
                                                              <w:divsChild>
                                                                <w:div w:id="19260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6026094">
      <w:bodyDiv w:val="1"/>
      <w:marLeft w:val="0"/>
      <w:marRight w:val="0"/>
      <w:marTop w:val="0"/>
      <w:marBottom w:val="0"/>
      <w:divBdr>
        <w:top w:val="none" w:sz="0" w:space="0" w:color="auto"/>
        <w:left w:val="none" w:sz="0" w:space="0" w:color="auto"/>
        <w:bottom w:val="none" w:sz="0" w:space="0" w:color="auto"/>
        <w:right w:val="none" w:sz="0" w:space="0" w:color="auto"/>
      </w:divBdr>
      <w:divsChild>
        <w:div w:id="860554508">
          <w:marLeft w:val="0"/>
          <w:marRight w:val="0"/>
          <w:marTop w:val="0"/>
          <w:marBottom w:val="0"/>
          <w:divBdr>
            <w:top w:val="none" w:sz="0" w:space="0" w:color="auto"/>
            <w:left w:val="none" w:sz="0" w:space="0" w:color="auto"/>
            <w:bottom w:val="none" w:sz="0" w:space="0" w:color="auto"/>
            <w:right w:val="none" w:sz="0" w:space="0" w:color="auto"/>
          </w:divBdr>
          <w:divsChild>
            <w:div w:id="882788642">
              <w:marLeft w:val="0"/>
              <w:marRight w:val="0"/>
              <w:marTop w:val="0"/>
              <w:marBottom w:val="0"/>
              <w:divBdr>
                <w:top w:val="none" w:sz="0" w:space="0" w:color="auto"/>
                <w:left w:val="none" w:sz="0" w:space="0" w:color="auto"/>
                <w:bottom w:val="none" w:sz="0" w:space="0" w:color="auto"/>
                <w:right w:val="none" w:sz="0" w:space="0" w:color="auto"/>
              </w:divBdr>
              <w:divsChild>
                <w:div w:id="888498648">
                  <w:marLeft w:val="0"/>
                  <w:marRight w:val="0"/>
                  <w:marTop w:val="0"/>
                  <w:marBottom w:val="0"/>
                  <w:divBdr>
                    <w:top w:val="none" w:sz="0" w:space="0" w:color="auto"/>
                    <w:left w:val="none" w:sz="0" w:space="0" w:color="auto"/>
                    <w:bottom w:val="none" w:sz="0" w:space="0" w:color="auto"/>
                    <w:right w:val="none" w:sz="0" w:space="0" w:color="auto"/>
                  </w:divBdr>
                  <w:divsChild>
                    <w:div w:id="1605454708">
                      <w:marLeft w:val="0"/>
                      <w:marRight w:val="0"/>
                      <w:marTop w:val="0"/>
                      <w:marBottom w:val="0"/>
                      <w:divBdr>
                        <w:top w:val="none" w:sz="0" w:space="0" w:color="auto"/>
                        <w:left w:val="none" w:sz="0" w:space="0" w:color="auto"/>
                        <w:bottom w:val="none" w:sz="0" w:space="0" w:color="auto"/>
                        <w:right w:val="none" w:sz="0" w:space="0" w:color="auto"/>
                      </w:divBdr>
                      <w:divsChild>
                        <w:div w:id="2122335669">
                          <w:marLeft w:val="0"/>
                          <w:marRight w:val="0"/>
                          <w:marTop w:val="0"/>
                          <w:marBottom w:val="0"/>
                          <w:divBdr>
                            <w:top w:val="none" w:sz="0" w:space="0" w:color="auto"/>
                            <w:left w:val="none" w:sz="0" w:space="0" w:color="auto"/>
                            <w:bottom w:val="none" w:sz="0" w:space="0" w:color="auto"/>
                            <w:right w:val="none" w:sz="0" w:space="0" w:color="auto"/>
                          </w:divBdr>
                          <w:divsChild>
                            <w:div w:id="1151752718">
                              <w:marLeft w:val="0"/>
                              <w:marRight w:val="0"/>
                              <w:marTop w:val="0"/>
                              <w:marBottom w:val="0"/>
                              <w:divBdr>
                                <w:top w:val="none" w:sz="0" w:space="0" w:color="auto"/>
                                <w:left w:val="none" w:sz="0" w:space="0" w:color="auto"/>
                                <w:bottom w:val="none" w:sz="0" w:space="0" w:color="auto"/>
                                <w:right w:val="none" w:sz="0" w:space="0" w:color="auto"/>
                              </w:divBdr>
                              <w:divsChild>
                                <w:div w:id="1195537995">
                                  <w:marLeft w:val="0"/>
                                  <w:marRight w:val="0"/>
                                  <w:marTop w:val="0"/>
                                  <w:marBottom w:val="0"/>
                                  <w:divBdr>
                                    <w:top w:val="none" w:sz="0" w:space="0" w:color="auto"/>
                                    <w:left w:val="none" w:sz="0" w:space="0" w:color="auto"/>
                                    <w:bottom w:val="none" w:sz="0" w:space="0" w:color="auto"/>
                                    <w:right w:val="none" w:sz="0" w:space="0" w:color="auto"/>
                                  </w:divBdr>
                                  <w:divsChild>
                                    <w:div w:id="20225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078379">
      <w:bodyDiv w:val="1"/>
      <w:marLeft w:val="0"/>
      <w:marRight w:val="0"/>
      <w:marTop w:val="0"/>
      <w:marBottom w:val="0"/>
      <w:divBdr>
        <w:top w:val="none" w:sz="0" w:space="0" w:color="auto"/>
        <w:left w:val="none" w:sz="0" w:space="0" w:color="auto"/>
        <w:bottom w:val="none" w:sz="0" w:space="0" w:color="auto"/>
        <w:right w:val="none" w:sz="0" w:space="0" w:color="auto"/>
      </w:divBdr>
    </w:div>
    <w:div w:id="820583300">
      <w:bodyDiv w:val="1"/>
      <w:marLeft w:val="0"/>
      <w:marRight w:val="0"/>
      <w:marTop w:val="0"/>
      <w:marBottom w:val="0"/>
      <w:divBdr>
        <w:top w:val="none" w:sz="0" w:space="0" w:color="auto"/>
        <w:left w:val="none" w:sz="0" w:space="0" w:color="auto"/>
        <w:bottom w:val="none" w:sz="0" w:space="0" w:color="auto"/>
        <w:right w:val="none" w:sz="0" w:space="0" w:color="auto"/>
      </w:divBdr>
    </w:div>
    <w:div w:id="821385216">
      <w:bodyDiv w:val="1"/>
      <w:marLeft w:val="0"/>
      <w:marRight w:val="0"/>
      <w:marTop w:val="0"/>
      <w:marBottom w:val="0"/>
      <w:divBdr>
        <w:top w:val="none" w:sz="0" w:space="0" w:color="auto"/>
        <w:left w:val="none" w:sz="0" w:space="0" w:color="auto"/>
        <w:bottom w:val="none" w:sz="0" w:space="0" w:color="auto"/>
        <w:right w:val="none" w:sz="0" w:space="0" w:color="auto"/>
      </w:divBdr>
    </w:div>
    <w:div w:id="852719449">
      <w:bodyDiv w:val="1"/>
      <w:marLeft w:val="0"/>
      <w:marRight w:val="0"/>
      <w:marTop w:val="0"/>
      <w:marBottom w:val="0"/>
      <w:divBdr>
        <w:top w:val="none" w:sz="0" w:space="0" w:color="auto"/>
        <w:left w:val="none" w:sz="0" w:space="0" w:color="auto"/>
        <w:bottom w:val="none" w:sz="0" w:space="0" w:color="auto"/>
        <w:right w:val="none" w:sz="0" w:space="0" w:color="auto"/>
      </w:divBdr>
    </w:div>
    <w:div w:id="860357738">
      <w:bodyDiv w:val="1"/>
      <w:marLeft w:val="0"/>
      <w:marRight w:val="0"/>
      <w:marTop w:val="0"/>
      <w:marBottom w:val="0"/>
      <w:divBdr>
        <w:top w:val="none" w:sz="0" w:space="0" w:color="auto"/>
        <w:left w:val="none" w:sz="0" w:space="0" w:color="auto"/>
        <w:bottom w:val="none" w:sz="0" w:space="0" w:color="auto"/>
        <w:right w:val="none" w:sz="0" w:space="0" w:color="auto"/>
      </w:divBdr>
    </w:div>
    <w:div w:id="860977445">
      <w:bodyDiv w:val="1"/>
      <w:marLeft w:val="0"/>
      <w:marRight w:val="0"/>
      <w:marTop w:val="0"/>
      <w:marBottom w:val="0"/>
      <w:divBdr>
        <w:top w:val="none" w:sz="0" w:space="0" w:color="auto"/>
        <w:left w:val="none" w:sz="0" w:space="0" w:color="auto"/>
        <w:bottom w:val="none" w:sz="0" w:space="0" w:color="auto"/>
        <w:right w:val="none" w:sz="0" w:space="0" w:color="auto"/>
      </w:divBdr>
      <w:divsChild>
        <w:div w:id="152379385">
          <w:marLeft w:val="0"/>
          <w:marRight w:val="0"/>
          <w:marTop w:val="0"/>
          <w:marBottom w:val="0"/>
          <w:divBdr>
            <w:top w:val="none" w:sz="0" w:space="0" w:color="auto"/>
            <w:left w:val="none" w:sz="0" w:space="0" w:color="auto"/>
            <w:bottom w:val="none" w:sz="0" w:space="0" w:color="auto"/>
            <w:right w:val="none" w:sz="0" w:space="0" w:color="auto"/>
          </w:divBdr>
          <w:divsChild>
            <w:div w:id="1176457252">
              <w:marLeft w:val="0"/>
              <w:marRight w:val="0"/>
              <w:marTop w:val="0"/>
              <w:marBottom w:val="0"/>
              <w:divBdr>
                <w:top w:val="none" w:sz="0" w:space="0" w:color="auto"/>
                <w:left w:val="none" w:sz="0" w:space="0" w:color="auto"/>
                <w:bottom w:val="none" w:sz="0" w:space="0" w:color="auto"/>
                <w:right w:val="none" w:sz="0" w:space="0" w:color="auto"/>
              </w:divBdr>
              <w:divsChild>
                <w:div w:id="207960183">
                  <w:marLeft w:val="0"/>
                  <w:marRight w:val="0"/>
                  <w:marTop w:val="105"/>
                  <w:marBottom w:val="0"/>
                  <w:divBdr>
                    <w:top w:val="none" w:sz="0" w:space="0" w:color="auto"/>
                    <w:left w:val="none" w:sz="0" w:space="0" w:color="auto"/>
                    <w:bottom w:val="none" w:sz="0" w:space="0" w:color="auto"/>
                    <w:right w:val="none" w:sz="0" w:space="0" w:color="auto"/>
                  </w:divBdr>
                  <w:divsChild>
                    <w:div w:id="961695513">
                      <w:marLeft w:val="450"/>
                      <w:marRight w:val="225"/>
                      <w:marTop w:val="0"/>
                      <w:marBottom w:val="0"/>
                      <w:divBdr>
                        <w:top w:val="none" w:sz="0" w:space="0" w:color="auto"/>
                        <w:left w:val="none" w:sz="0" w:space="0" w:color="auto"/>
                        <w:bottom w:val="none" w:sz="0" w:space="0" w:color="auto"/>
                        <w:right w:val="none" w:sz="0" w:space="0" w:color="auto"/>
                      </w:divBdr>
                      <w:divsChild>
                        <w:div w:id="80029303">
                          <w:marLeft w:val="0"/>
                          <w:marRight w:val="0"/>
                          <w:marTop w:val="0"/>
                          <w:marBottom w:val="600"/>
                          <w:divBdr>
                            <w:top w:val="single" w:sz="6" w:space="0" w:color="314664"/>
                            <w:left w:val="single" w:sz="6" w:space="0" w:color="314664"/>
                            <w:bottom w:val="single" w:sz="6" w:space="0" w:color="314664"/>
                            <w:right w:val="single" w:sz="6" w:space="0" w:color="314664"/>
                          </w:divBdr>
                          <w:divsChild>
                            <w:div w:id="637883491">
                              <w:marLeft w:val="0"/>
                              <w:marRight w:val="0"/>
                              <w:marTop w:val="0"/>
                              <w:marBottom w:val="0"/>
                              <w:divBdr>
                                <w:top w:val="none" w:sz="0" w:space="0" w:color="auto"/>
                                <w:left w:val="none" w:sz="0" w:space="0" w:color="auto"/>
                                <w:bottom w:val="none" w:sz="0" w:space="0" w:color="auto"/>
                                <w:right w:val="none" w:sz="0" w:space="0" w:color="auto"/>
                              </w:divBdr>
                              <w:divsChild>
                                <w:div w:id="491415377">
                                  <w:marLeft w:val="0"/>
                                  <w:marRight w:val="0"/>
                                  <w:marTop w:val="0"/>
                                  <w:marBottom w:val="0"/>
                                  <w:divBdr>
                                    <w:top w:val="none" w:sz="0" w:space="0" w:color="auto"/>
                                    <w:left w:val="none" w:sz="0" w:space="0" w:color="auto"/>
                                    <w:bottom w:val="none" w:sz="0" w:space="0" w:color="auto"/>
                                    <w:right w:val="none" w:sz="0" w:space="0" w:color="auto"/>
                                  </w:divBdr>
                                  <w:divsChild>
                                    <w:div w:id="1287153652">
                                      <w:marLeft w:val="0"/>
                                      <w:marRight w:val="0"/>
                                      <w:marTop w:val="0"/>
                                      <w:marBottom w:val="0"/>
                                      <w:divBdr>
                                        <w:top w:val="none" w:sz="0" w:space="0" w:color="auto"/>
                                        <w:left w:val="none" w:sz="0" w:space="0" w:color="auto"/>
                                        <w:bottom w:val="none" w:sz="0" w:space="0" w:color="auto"/>
                                        <w:right w:val="none" w:sz="0" w:space="0" w:color="auto"/>
                                      </w:divBdr>
                                      <w:divsChild>
                                        <w:div w:id="1949970878">
                                          <w:marLeft w:val="0"/>
                                          <w:marRight w:val="0"/>
                                          <w:marTop w:val="0"/>
                                          <w:marBottom w:val="0"/>
                                          <w:divBdr>
                                            <w:top w:val="none" w:sz="0" w:space="0" w:color="auto"/>
                                            <w:left w:val="none" w:sz="0" w:space="0" w:color="auto"/>
                                            <w:bottom w:val="none" w:sz="0" w:space="0" w:color="auto"/>
                                            <w:right w:val="none" w:sz="0" w:space="0" w:color="auto"/>
                                          </w:divBdr>
                                          <w:divsChild>
                                            <w:div w:id="888491036">
                                              <w:marLeft w:val="0"/>
                                              <w:marRight w:val="0"/>
                                              <w:marTop w:val="0"/>
                                              <w:marBottom w:val="0"/>
                                              <w:divBdr>
                                                <w:top w:val="none" w:sz="0" w:space="0" w:color="auto"/>
                                                <w:left w:val="none" w:sz="0" w:space="0" w:color="auto"/>
                                                <w:bottom w:val="none" w:sz="0" w:space="0" w:color="auto"/>
                                                <w:right w:val="none" w:sz="0" w:space="0" w:color="auto"/>
                                              </w:divBdr>
                                              <w:divsChild>
                                                <w:div w:id="23334517">
                                                  <w:marLeft w:val="0"/>
                                                  <w:marRight w:val="0"/>
                                                  <w:marTop w:val="0"/>
                                                  <w:marBottom w:val="0"/>
                                                  <w:divBdr>
                                                    <w:top w:val="none" w:sz="0" w:space="0" w:color="auto"/>
                                                    <w:left w:val="none" w:sz="0" w:space="0" w:color="auto"/>
                                                    <w:bottom w:val="none" w:sz="0" w:space="0" w:color="auto"/>
                                                    <w:right w:val="none" w:sz="0" w:space="0" w:color="auto"/>
                                                  </w:divBdr>
                                                  <w:divsChild>
                                                    <w:div w:id="1450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258901">
      <w:bodyDiv w:val="1"/>
      <w:marLeft w:val="0"/>
      <w:marRight w:val="0"/>
      <w:marTop w:val="0"/>
      <w:marBottom w:val="0"/>
      <w:divBdr>
        <w:top w:val="none" w:sz="0" w:space="0" w:color="auto"/>
        <w:left w:val="none" w:sz="0" w:space="0" w:color="auto"/>
        <w:bottom w:val="none" w:sz="0" w:space="0" w:color="auto"/>
        <w:right w:val="none" w:sz="0" w:space="0" w:color="auto"/>
      </w:divBdr>
    </w:div>
    <w:div w:id="896933787">
      <w:bodyDiv w:val="1"/>
      <w:marLeft w:val="0"/>
      <w:marRight w:val="0"/>
      <w:marTop w:val="0"/>
      <w:marBottom w:val="0"/>
      <w:divBdr>
        <w:top w:val="none" w:sz="0" w:space="0" w:color="auto"/>
        <w:left w:val="none" w:sz="0" w:space="0" w:color="auto"/>
        <w:bottom w:val="none" w:sz="0" w:space="0" w:color="auto"/>
        <w:right w:val="none" w:sz="0" w:space="0" w:color="auto"/>
      </w:divBdr>
    </w:div>
    <w:div w:id="918947044">
      <w:bodyDiv w:val="1"/>
      <w:marLeft w:val="0"/>
      <w:marRight w:val="0"/>
      <w:marTop w:val="0"/>
      <w:marBottom w:val="0"/>
      <w:divBdr>
        <w:top w:val="none" w:sz="0" w:space="0" w:color="auto"/>
        <w:left w:val="none" w:sz="0" w:space="0" w:color="auto"/>
        <w:bottom w:val="none" w:sz="0" w:space="0" w:color="auto"/>
        <w:right w:val="none" w:sz="0" w:space="0" w:color="auto"/>
      </w:divBdr>
    </w:div>
    <w:div w:id="922450633">
      <w:bodyDiv w:val="1"/>
      <w:marLeft w:val="0"/>
      <w:marRight w:val="0"/>
      <w:marTop w:val="0"/>
      <w:marBottom w:val="0"/>
      <w:divBdr>
        <w:top w:val="none" w:sz="0" w:space="0" w:color="auto"/>
        <w:left w:val="none" w:sz="0" w:space="0" w:color="auto"/>
        <w:bottom w:val="none" w:sz="0" w:space="0" w:color="auto"/>
        <w:right w:val="none" w:sz="0" w:space="0" w:color="auto"/>
      </w:divBdr>
    </w:div>
    <w:div w:id="923882564">
      <w:bodyDiv w:val="1"/>
      <w:marLeft w:val="0"/>
      <w:marRight w:val="0"/>
      <w:marTop w:val="0"/>
      <w:marBottom w:val="0"/>
      <w:divBdr>
        <w:top w:val="none" w:sz="0" w:space="0" w:color="auto"/>
        <w:left w:val="none" w:sz="0" w:space="0" w:color="auto"/>
        <w:bottom w:val="none" w:sz="0" w:space="0" w:color="auto"/>
        <w:right w:val="none" w:sz="0" w:space="0" w:color="auto"/>
      </w:divBdr>
    </w:div>
    <w:div w:id="946043549">
      <w:bodyDiv w:val="1"/>
      <w:marLeft w:val="0"/>
      <w:marRight w:val="0"/>
      <w:marTop w:val="0"/>
      <w:marBottom w:val="0"/>
      <w:divBdr>
        <w:top w:val="none" w:sz="0" w:space="0" w:color="auto"/>
        <w:left w:val="none" w:sz="0" w:space="0" w:color="auto"/>
        <w:bottom w:val="none" w:sz="0" w:space="0" w:color="auto"/>
        <w:right w:val="none" w:sz="0" w:space="0" w:color="auto"/>
      </w:divBdr>
    </w:div>
    <w:div w:id="947926673">
      <w:bodyDiv w:val="1"/>
      <w:marLeft w:val="0"/>
      <w:marRight w:val="0"/>
      <w:marTop w:val="0"/>
      <w:marBottom w:val="0"/>
      <w:divBdr>
        <w:top w:val="none" w:sz="0" w:space="0" w:color="auto"/>
        <w:left w:val="none" w:sz="0" w:space="0" w:color="auto"/>
        <w:bottom w:val="none" w:sz="0" w:space="0" w:color="auto"/>
        <w:right w:val="none" w:sz="0" w:space="0" w:color="auto"/>
      </w:divBdr>
    </w:div>
    <w:div w:id="969819386">
      <w:bodyDiv w:val="1"/>
      <w:marLeft w:val="0"/>
      <w:marRight w:val="0"/>
      <w:marTop w:val="0"/>
      <w:marBottom w:val="0"/>
      <w:divBdr>
        <w:top w:val="none" w:sz="0" w:space="0" w:color="auto"/>
        <w:left w:val="none" w:sz="0" w:space="0" w:color="auto"/>
        <w:bottom w:val="none" w:sz="0" w:space="0" w:color="auto"/>
        <w:right w:val="none" w:sz="0" w:space="0" w:color="auto"/>
      </w:divBdr>
    </w:div>
    <w:div w:id="974289129">
      <w:bodyDiv w:val="1"/>
      <w:marLeft w:val="0"/>
      <w:marRight w:val="0"/>
      <w:marTop w:val="0"/>
      <w:marBottom w:val="0"/>
      <w:divBdr>
        <w:top w:val="none" w:sz="0" w:space="0" w:color="auto"/>
        <w:left w:val="none" w:sz="0" w:space="0" w:color="auto"/>
        <w:bottom w:val="none" w:sz="0" w:space="0" w:color="auto"/>
        <w:right w:val="none" w:sz="0" w:space="0" w:color="auto"/>
      </w:divBdr>
    </w:div>
    <w:div w:id="979531920">
      <w:bodyDiv w:val="1"/>
      <w:marLeft w:val="0"/>
      <w:marRight w:val="0"/>
      <w:marTop w:val="0"/>
      <w:marBottom w:val="0"/>
      <w:divBdr>
        <w:top w:val="none" w:sz="0" w:space="0" w:color="auto"/>
        <w:left w:val="none" w:sz="0" w:space="0" w:color="auto"/>
        <w:bottom w:val="none" w:sz="0" w:space="0" w:color="auto"/>
        <w:right w:val="none" w:sz="0" w:space="0" w:color="auto"/>
      </w:divBdr>
    </w:div>
    <w:div w:id="986015605">
      <w:bodyDiv w:val="1"/>
      <w:marLeft w:val="0"/>
      <w:marRight w:val="0"/>
      <w:marTop w:val="0"/>
      <w:marBottom w:val="0"/>
      <w:divBdr>
        <w:top w:val="none" w:sz="0" w:space="0" w:color="auto"/>
        <w:left w:val="none" w:sz="0" w:space="0" w:color="auto"/>
        <w:bottom w:val="none" w:sz="0" w:space="0" w:color="auto"/>
        <w:right w:val="none" w:sz="0" w:space="0" w:color="auto"/>
      </w:divBdr>
    </w:div>
    <w:div w:id="1038355810">
      <w:bodyDiv w:val="1"/>
      <w:marLeft w:val="0"/>
      <w:marRight w:val="0"/>
      <w:marTop w:val="0"/>
      <w:marBottom w:val="0"/>
      <w:divBdr>
        <w:top w:val="none" w:sz="0" w:space="0" w:color="auto"/>
        <w:left w:val="none" w:sz="0" w:space="0" w:color="auto"/>
        <w:bottom w:val="none" w:sz="0" w:space="0" w:color="auto"/>
        <w:right w:val="none" w:sz="0" w:space="0" w:color="auto"/>
      </w:divBdr>
    </w:div>
    <w:div w:id="1042903139">
      <w:bodyDiv w:val="1"/>
      <w:marLeft w:val="0"/>
      <w:marRight w:val="0"/>
      <w:marTop w:val="0"/>
      <w:marBottom w:val="0"/>
      <w:divBdr>
        <w:top w:val="none" w:sz="0" w:space="0" w:color="auto"/>
        <w:left w:val="none" w:sz="0" w:space="0" w:color="auto"/>
        <w:bottom w:val="none" w:sz="0" w:space="0" w:color="auto"/>
        <w:right w:val="none" w:sz="0" w:space="0" w:color="auto"/>
      </w:divBdr>
      <w:divsChild>
        <w:div w:id="1644847219">
          <w:marLeft w:val="0"/>
          <w:marRight w:val="0"/>
          <w:marTop w:val="0"/>
          <w:marBottom w:val="0"/>
          <w:divBdr>
            <w:top w:val="none" w:sz="0" w:space="0" w:color="auto"/>
            <w:left w:val="none" w:sz="0" w:space="0" w:color="auto"/>
            <w:bottom w:val="none" w:sz="0" w:space="0" w:color="auto"/>
            <w:right w:val="none" w:sz="0" w:space="0" w:color="auto"/>
          </w:divBdr>
          <w:divsChild>
            <w:div w:id="1816530570">
              <w:marLeft w:val="0"/>
              <w:marRight w:val="0"/>
              <w:marTop w:val="0"/>
              <w:marBottom w:val="0"/>
              <w:divBdr>
                <w:top w:val="none" w:sz="0" w:space="0" w:color="auto"/>
                <w:left w:val="none" w:sz="0" w:space="0" w:color="auto"/>
                <w:bottom w:val="none" w:sz="0" w:space="0" w:color="auto"/>
                <w:right w:val="none" w:sz="0" w:space="0" w:color="auto"/>
              </w:divBdr>
              <w:divsChild>
                <w:div w:id="1997147607">
                  <w:marLeft w:val="0"/>
                  <w:marRight w:val="0"/>
                  <w:marTop w:val="0"/>
                  <w:marBottom w:val="0"/>
                  <w:divBdr>
                    <w:top w:val="none" w:sz="0" w:space="0" w:color="auto"/>
                    <w:left w:val="none" w:sz="0" w:space="0" w:color="auto"/>
                    <w:bottom w:val="none" w:sz="0" w:space="0" w:color="auto"/>
                    <w:right w:val="none" w:sz="0" w:space="0" w:color="auto"/>
                  </w:divBdr>
                  <w:divsChild>
                    <w:div w:id="1405949970">
                      <w:marLeft w:val="0"/>
                      <w:marRight w:val="0"/>
                      <w:marTop w:val="0"/>
                      <w:marBottom w:val="0"/>
                      <w:divBdr>
                        <w:top w:val="single" w:sz="6" w:space="0" w:color="DCD9D9"/>
                        <w:left w:val="single" w:sz="6" w:space="0" w:color="DCD9D9"/>
                        <w:bottom w:val="single" w:sz="2" w:space="0" w:color="DCD9D9"/>
                        <w:right w:val="single" w:sz="6" w:space="0" w:color="DCD9D9"/>
                      </w:divBdr>
                      <w:divsChild>
                        <w:div w:id="1548754935">
                          <w:marLeft w:val="0"/>
                          <w:marRight w:val="-100"/>
                          <w:marTop w:val="450"/>
                          <w:marBottom w:val="0"/>
                          <w:divBdr>
                            <w:top w:val="none" w:sz="0" w:space="0" w:color="auto"/>
                            <w:left w:val="none" w:sz="0" w:space="0" w:color="auto"/>
                            <w:bottom w:val="none" w:sz="0" w:space="0" w:color="auto"/>
                            <w:right w:val="none" w:sz="0" w:space="0" w:color="auto"/>
                          </w:divBdr>
                          <w:divsChild>
                            <w:div w:id="350300899">
                              <w:marLeft w:val="0"/>
                              <w:marRight w:val="0"/>
                              <w:marTop w:val="0"/>
                              <w:marBottom w:val="0"/>
                              <w:divBdr>
                                <w:top w:val="none" w:sz="0" w:space="0" w:color="auto"/>
                                <w:left w:val="none" w:sz="0" w:space="0" w:color="auto"/>
                                <w:bottom w:val="none" w:sz="0" w:space="0" w:color="auto"/>
                                <w:right w:val="none" w:sz="0" w:space="0" w:color="auto"/>
                              </w:divBdr>
                              <w:divsChild>
                                <w:div w:id="1517036524">
                                  <w:marLeft w:val="0"/>
                                  <w:marRight w:val="0"/>
                                  <w:marTop w:val="0"/>
                                  <w:marBottom w:val="0"/>
                                  <w:divBdr>
                                    <w:top w:val="none" w:sz="0" w:space="0" w:color="auto"/>
                                    <w:left w:val="none" w:sz="0" w:space="0" w:color="auto"/>
                                    <w:bottom w:val="none" w:sz="0" w:space="0" w:color="auto"/>
                                    <w:right w:val="none" w:sz="0" w:space="0" w:color="auto"/>
                                  </w:divBdr>
                                  <w:divsChild>
                                    <w:div w:id="1928072812">
                                      <w:marLeft w:val="0"/>
                                      <w:marRight w:val="0"/>
                                      <w:marTop w:val="0"/>
                                      <w:marBottom w:val="0"/>
                                      <w:divBdr>
                                        <w:top w:val="none" w:sz="0" w:space="0" w:color="auto"/>
                                        <w:left w:val="none" w:sz="0" w:space="0" w:color="auto"/>
                                        <w:bottom w:val="none" w:sz="0" w:space="0" w:color="auto"/>
                                        <w:right w:val="none" w:sz="0" w:space="0" w:color="auto"/>
                                      </w:divBdr>
                                      <w:divsChild>
                                        <w:div w:id="1762099078">
                                          <w:marLeft w:val="0"/>
                                          <w:marRight w:val="0"/>
                                          <w:marTop w:val="0"/>
                                          <w:marBottom w:val="360"/>
                                          <w:divBdr>
                                            <w:top w:val="none" w:sz="0" w:space="0" w:color="auto"/>
                                            <w:left w:val="none" w:sz="0" w:space="0" w:color="auto"/>
                                            <w:bottom w:val="none" w:sz="0" w:space="0" w:color="auto"/>
                                            <w:right w:val="none" w:sz="0" w:space="0" w:color="auto"/>
                                          </w:divBdr>
                                          <w:divsChild>
                                            <w:div w:id="224997852">
                                              <w:marLeft w:val="0"/>
                                              <w:marRight w:val="0"/>
                                              <w:marTop w:val="0"/>
                                              <w:marBottom w:val="0"/>
                                              <w:divBdr>
                                                <w:top w:val="none" w:sz="0" w:space="0" w:color="auto"/>
                                                <w:left w:val="none" w:sz="0" w:space="0" w:color="auto"/>
                                                <w:bottom w:val="none" w:sz="0" w:space="0" w:color="auto"/>
                                                <w:right w:val="none" w:sz="0" w:space="0" w:color="auto"/>
                                              </w:divBdr>
                                              <w:divsChild>
                                                <w:div w:id="32117104">
                                                  <w:marLeft w:val="0"/>
                                                  <w:marRight w:val="0"/>
                                                  <w:marTop w:val="0"/>
                                                  <w:marBottom w:val="0"/>
                                                  <w:divBdr>
                                                    <w:top w:val="none" w:sz="0" w:space="0" w:color="auto"/>
                                                    <w:left w:val="none" w:sz="0" w:space="0" w:color="auto"/>
                                                    <w:bottom w:val="none" w:sz="0" w:space="0" w:color="auto"/>
                                                    <w:right w:val="none" w:sz="0" w:space="0" w:color="auto"/>
                                                  </w:divBdr>
                                                  <w:divsChild>
                                                    <w:div w:id="1171334223">
                                                      <w:marLeft w:val="0"/>
                                                      <w:marRight w:val="0"/>
                                                      <w:marTop w:val="0"/>
                                                      <w:marBottom w:val="0"/>
                                                      <w:divBdr>
                                                        <w:top w:val="none" w:sz="0" w:space="0" w:color="auto"/>
                                                        <w:left w:val="none" w:sz="0" w:space="0" w:color="auto"/>
                                                        <w:bottom w:val="none" w:sz="0" w:space="0" w:color="auto"/>
                                                        <w:right w:val="none" w:sz="0" w:space="0" w:color="auto"/>
                                                      </w:divBdr>
                                                      <w:divsChild>
                                                        <w:div w:id="1855460609">
                                                          <w:marLeft w:val="0"/>
                                                          <w:marRight w:val="0"/>
                                                          <w:marTop w:val="0"/>
                                                          <w:marBottom w:val="0"/>
                                                          <w:divBdr>
                                                            <w:top w:val="none" w:sz="0" w:space="0" w:color="auto"/>
                                                            <w:left w:val="none" w:sz="0" w:space="0" w:color="auto"/>
                                                            <w:bottom w:val="none" w:sz="0" w:space="0" w:color="auto"/>
                                                            <w:right w:val="none" w:sz="0" w:space="0" w:color="auto"/>
                                                          </w:divBdr>
                                                          <w:divsChild>
                                                            <w:div w:id="1001271422">
                                                              <w:marLeft w:val="0"/>
                                                              <w:marRight w:val="0"/>
                                                              <w:marTop w:val="0"/>
                                                              <w:marBottom w:val="0"/>
                                                              <w:divBdr>
                                                                <w:top w:val="none" w:sz="0" w:space="0" w:color="auto"/>
                                                                <w:left w:val="none" w:sz="0" w:space="0" w:color="auto"/>
                                                                <w:bottom w:val="none" w:sz="0" w:space="0" w:color="auto"/>
                                                                <w:right w:val="none" w:sz="0" w:space="0" w:color="auto"/>
                                                              </w:divBdr>
                                                              <w:divsChild>
                                                                <w:div w:id="8258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905103">
      <w:bodyDiv w:val="1"/>
      <w:marLeft w:val="0"/>
      <w:marRight w:val="0"/>
      <w:marTop w:val="0"/>
      <w:marBottom w:val="0"/>
      <w:divBdr>
        <w:top w:val="none" w:sz="0" w:space="0" w:color="auto"/>
        <w:left w:val="none" w:sz="0" w:space="0" w:color="auto"/>
        <w:bottom w:val="none" w:sz="0" w:space="0" w:color="auto"/>
        <w:right w:val="none" w:sz="0" w:space="0" w:color="auto"/>
      </w:divBdr>
    </w:div>
    <w:div w:id="1075131764">
      <w:bodyDiv w:val="1"/>
      <w:marLeft w:val="0"/>
      <w:marRight w:val="0"/>
      <w:marTop w:val="0"/>
      <w:marBottom w:val="0"/>
      <w:divBdr>
        <w:top w:val="none" w:sz="0" w:space="0" w:color="auto"/>
        <w:left w:val="none" w:sz="0" w:space="0" w:color="auto"/>
        <w:bottom w:val="none" w:sz="0" w:space="0" w:color="auto"/>
        <w:right w:val="none" w:sz="0" w:space="0" w:color="auto"/>
      </w:divBdr>
    </w:div>
    <w:div w:id="1113784951">
      <w:bodyDiv w:val="1"/>
      <w:marLeft w:val="0"/>
      <w:marRight w:val="0"/>
      <w:marTop w:val="0"/>
      <w:marBottom w:val="0"/>
      <w:divBdr>
        <w:top w:val="none" w:sz="0" w:space="0" w:color="auto"/>
        <w:left w:val="none" w:sz="0" w:space="0" w:color="auto"/>
        <w:bottom w:val="none" w:sz="0" w:space="0" w:color="auto"/>
        <w:right w:val="none" w:sz="0" w:space="0" w:color="auto"/>
      </w:divBdr>
    </w:div>
    <w:div w:id="1145662967">
      <w:bodyDiv w:val="1"/>
      <w:marLeft w:val="0"/>
      <w:marRight w:val="0"/>
      <w:marTop w:val="0"/>
      <w:marBottom w:val="0"/>
      <w:divBdr>
        <w:top w:val="none" w:sz="0" w:space="0" w:color="auto"/>
        <w:left w:val="none" w:sz="0" w:space="0" w:color="auto"/>
        <w:bottom w:val="none" w:sz="0" w:space="0" w:color="auto"/>
        <w:right w:val="none" w:sz="0" w:space="0" w:color="auto"/>
      </w:divBdr>
      <w:divsChild>
        <w:div w:id="419837347">
          <w:marLeft w:val="0"/>
          <w:marRight w:val="0"/>
          <w:marTop w:val="0"/>
          <w:marBottom w:val="0"/>
          <w:divBdr>
            <w:top w:val="none" w:sz="0" w:space="0" w:color="auto"/>
            <w:left w:val="none" w:sz="0" w:space="0" w:color="auto"/>
            <w:bottom w:val="none" w:sz="0" w:space="0" w:color="auto"/>
            <w:right w:val="none" w:sz="0" w:space="0" w:color="auto"/>
          </w:divBdr>
          <w:divsChild>
            <w:div w:id="192765796">
              <w:marLeft w:val="0"/>
              <w:marRight w:val="0"/>
              <w:marTop w:val="0"/>
              <w:marBottom w:val="0"/>
              <w:divBdr>
                <w:top w:val="none" w:sz="0" w:space="0" w:color="auto"/>
                <w:left w:val="none" w:sz="0" w:space="0" w:color="auto"/>
                <w:bottom w:val="none" w:sz="0" w:space="0" w:color="auto"/>
                <w:right w:val="none" w:sz="0" w:space="0" w:color="auto"/>
              </w:divBdr>
              <w:divsChild>
                <w:div w:id="302080187">
                  <w:marLeft w:val="0"/>
                  <w:marRight w:val="0"/>
                  <w:marTop w:val="0"/>
                  <w:marBottom w:val="0"/>
                  <w:divBdr>
                    <w:top w:val="none" w:sz="0" w:space="0" w:color="auto"/>
                    <w:left w:val="none" w:sz="0" w:space="0" w:color="auto"/>
                    <w:bottom w:val="none" w:sz="0" w:space="0" w:color="auto"/>
                    <w:right w:val="none" w:sz="0" w:space="0" w:color="auto"/>
                  </w:divBdr>
                  <w:divsChild>
                    <w:div w:id="1920020701">
                      <w:marLeft w:val="0"/>
                      <w:marRight w:val="0"/>
                      <w:marTop w:val="0"/>
                      <w:marBottom w:val="0"/>
                      <w:divBdr>
                        <w:top w:val="none" w:sz="0" w:space="0" w:color="auto"/>
                        <w:left w:val="none" w:sz="0" w:space="0" w:color="auto"/>
                        <w:bottom w:val="none" w:sz="0" w:space="0" w:color="auto"/>
                        <w:right w:val="none" w:sz="0" w:space="0" w:color="auto"/>
                      </w:divBdr>
                      <w:divsChild>
                        <w:div w:id="1006907962">
                          <w:marLeft w:val="0"/>
                          <w:marRight w:val="0"/>
                          <w:marTop w:val="0"/>
                          <w:marBottom w:val="0"/>
                          <w:divBdr>
                            <w:top w:val="single" w:sz="6" w:space="0" w:color="828282"/>
                            <w:left w:val="single" w:sz="6" w:space="0" w:color="828282"/>
                            <w:bottom w:val="single" w:sz="6" w:space="0" w:color="828282"/>
                            <w:right w:val="single" w:sz="6" w:space="0" w:color="828282"/>
                          </w:divBdr>
                          <w:divsChild>
                            <w:div w:id="991719820">
                              <w:marLeft w:val="0"/>
                              <w:marRight w:val="0"/>
                              <w:marTop w:val="0"/>
                              <w:marBottom w:val="0"/>
                              <w:divBdr>
                                <w:top w:val="none" w:sz="0" w:space="0" w:color="auto"/>
                                <w:left w:val="none" w:sz="0" w:space="0" w:color="auto"/>
                                <w:bottom w:val="none" w:sz="0" w:space="0" w:color="auto"/>
                                <w:right w:val="none" w:sz="0" w:space="0" w:color="auto"/>
                              </w:divBdr>
                              <w:divsChild>
                                <w:div w:id="1328939944">
                                  <w:marLeft w:val="0"/>
                                  <w:marRight w:val="0"/>
                                  <w:marTop w:val="0"/>
                                  <w:marBottom w:val="0"/>
                                  <w:divBdr>
                                    <w:top w:val="none" w:sz="0" w:space="0" w:color="auto"/>
                                    <w:left w:val="none" w:sz="0" w:space="0" w:color="auto"/>
                                    <w:bottom w:val="none" w:sz="0" w:space="0" w:color="auto"/>
                                    <w:right w:val="none" w:sz="0" w:space="0" w:color="auto"/>
                                  </w:divBdr>
                                  <w:divsChild>
                                    <w:div w:id="1324044071">
                                      <w:marLeft w:val="0"/>
                                      <w:marRight w:val="0"/>
                                      <w:marTop w:val="0"/>
                                      <w:marBottom w:val="0"/>
                                      <w:divBdr>
                                        <w:top w:val="none" w:sz="0" w:space="0" w:color="auto"/>
                                        <w:left w:val="none" w:sz="0" w:space="0" w:color="auto"/>
                                        <w:bottom w:val="none" w:sz="0" w:space="0" w:color="auto"/>
                                        <w:right w:val="none" w:sz="0" w:space="0" w:color="auto"/>
                                      </w:divBdr>
                                      <w:divsChild>
                                        <w:div w:id="881596680">
                                          <w:marLeft w:val="0"/>
                                          <w:marRight w:val="0"/>
                                          <w:marTop w:val="0"/>
                                          <w:marBottom w:val="0"/>
                                          <w:divBdr>
                                            <w:top w:val="none" w:sz="0" w:space="0" w:color="auto"/>
                                            <w:left w:val="none" w:sz="0" w:space="0" w:color="auto"/>
                                            <w:bottom w:val="none" w:sz="0" w:space="0" w:color="auto"/>
                                            <w:right w:val="none" w:sz="0" w:space="0" w:color="auto"/>
                                          </w:divBdr>
                                          <w:divsChild>
                                            <w:div w:id="363677726">
                                              <w:marLeft w:val="0"/>
                                              <w:marRight w:val="0"/>
                                              <w:marTop w:val="0"/>
                                              <w:marBottom w:val="0"/>
                                              <w:divBdr>
                                                <w:top w:val="none" w:sz="0" w:space="0" w:color="auto"/>
                                                <w:left w:val="none" w:sz="0" w:space="0" w:color="auto"/>
                                                <w:bottom w:val="none" w:sz="0" w:space="0" w:color="auto"/>
                                                <w:right w:val="none" w:sz="0" w:space="0" w:color="auto"/>
                                              </w:divBdr>
                                              <w:divsChild>
                                                <w:div w:id="5378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494485">
      <w:bodyDiv w:val="1"/>
      <w:marLeft w:val="0"/>
      <w:marRight w:val="0"/>
      <w:marTop w:val="0"/>
      <w:marBottom w:val="0"/>
      <w:divBdr>
        <w:top w:val="none" w:sz="0" w:space="0" w:color="auto"/>
        <w:left w:val="none" w:sz="0" w:space="0" w:color="auto"/>
        <w:bottom w:val="none" w:sz="0" w:space="0" w:color="auto"/>
        <w:right w:val="none" w:sz="0" w:space="0" w:color="auto"/>
      </w:divBdr>
    </w:div>
    <w:div w:id="1201630148">
      <w:bodyDiv w:val="1"/>
      <w:marLeft w:val="0"/>
      <w:marRight w:val="0"/>
      <w:marTop w:val="0"/>
      <w:marBottom w:val="0"/>
      <w:divBdr>
        <w:top w:val="none" w:sz="0" w:space="0" w:color="auto"/>
        <w:left w:val="none" w:sz="0" w:space="0" w:color="auto"/>
        <w:bottom w:val="none" w:sz="0" w:space="0" w:color="auto"/>
        <w:right w:val="none" w:sz="0" w:space="0" w:color="auto"/>
      </w:divBdr>
    </w:div>
    <w:div w:id="1202791097">
      <w:bodyDiv w:val="1"/>
      <w:marLeft w:val="0"/>
      <w:marRight w:val="0"/>
      <w:marTop w:val="0"/>
      <w:marBottom w:val="0"/>
      <w:divBdr>
        <w:top w:val="none" w:sz="0" w:space="0" w:color="auto"/>
        <w:left w:val="none" w:sz="0" w:space="0" w:color="auto"/>
        <w:bottom w:val="none" w:sz="0" w:space="0" w:color="auto"/>
        <w:right w:val="none" w:sz="0" w:space="0" w:color="auto"/>
      </w:divBdr>
    </w:div>
    <w:div w:id="1214779683">
      <w:bodyDiv w:val="1"/>
      <w:marLeft w:val="0"/>
      <w:marRight w:val="0"/>
      <w:marTop w:val="0"/>
      <w:marBottom w:val="0"/>
      <w:divBdr>
        <w:top w:val="none" w:sz="0" w:space="0" w:color="auto"/>
        <w:left w:val="none" w:sz="0" w:space="0" w:color="auto"/>
        <w:bottom w:val="none" w:sz="0" w:space="0" w:color="auto"/>
        <w:right w:val="none" w:sz="0" w:space="0" w:color="auto"/>
      </w:divBdr>
    </w:div>
    <w:div w:id="1218660806">
      <w:bodyDiv w:val="1"/>
      <w:marLeft w:val="0"/>
      <w:marRight w:val="0"/>
      <w:marTop w:val="0"/>
      <w:marBottom w:val="0"/>
      <w:divBdr>
        <w:top w:val="none" w:sz="0" w:space="0" w:color="auto"/>
        <w:left w:val="none" w:sz="0" w:space="0" w:color="auto"/>
        <w:bottom w:val="none" w:sz="0" w:space="0" w:color="auto"/>
        <w:right w:val="none" w:sz="0" w:space="0" w:color="auto"/>
      </w:divBdr>
      <w:divsChild>
        <w:div w:id="1096094253">
          <w:marLeft w:val="0"/>
          <w:marRight w:val="0"/>
          <w:marTop w:val="0"/>
          <w:marBottom w:val="0"/>
          <w:divBdr>
            <w:top w:val="none" w:sz="0" w:space="0" w:color="auto"/>
            <w:left w:val="none" w:sz="0" w:space="0" w:color="auto"/>
            <w:bottom w:val="none" w:sz="0" w:space="0" w:color="auto"/>
            <w:right w:val="none" w:sz="0" w:space="0" w:color="auto"/>
          </w:divBdr>
          <w:divsChild>
            <w:div w:id="695228958">
              <w:marLeft w:val="0"/>
              <w:marRight w:val="0"/>
              <w:marTop w:val="0"/>
              <w:marBottom w:val="0"/>
              <w:divBdr>
                <w:top w:val="none" w:sz="0" w:space="0" w:color="auto"/>
                <w:left w:val="none" w:sz="0" w:space="0" w:color="auto"/>
                <w:bottom w:val="none" w:sz="0" w:space="0" w:color="auto"/>
                <w:right w:val="none" w:sz="0" w:space="0" w:color="auto"/>
              </w:divBdr>
              <w:divsChild>
                <w:div w:id="1797019241">
                  <w:marLeft w:val="0"/>
                  <w:marRight w:val="0"/>
                  <w:marTop w:val="0"/>
                  <w:marBottom w:val="0"/>
                  <w:divBdr>
                    <w:top w:val="none" w:sz="0" w:space="0" w:color="auto"/>
                    <w:left w:val="none" w:sz="0" w:space="0" w:color="auto"/>
                    <w:bottom w:val="none" w:sz="0" w:space="0" w:color="auto"/>
                    <w:right w:val="none" w:sz="0" w:space="0" w:color="auto"/>
                  </w:divBdr>
                  <w:divsChild>
                    <w:div w:id="1391659235">
                      <w:marLeft w:val="0"/>
                      <w:marRight w:val="0"/>
                      <w:marTop w:val="0"/>
                      <w:marBottom w:val="0"/>
                      <w:divBdr>
                        <w:top w:val="none" w:sz="0" w:space="0" w:color="auto"/>
                        <w:left w:val="none" w:sz="0" w:space="0" w:color="auto"/>
                        <w:bottom w:val="none" w:sz="0" w:space="0" w:color="auto"/>
                        <w:right w:val="none" w:sz="0" w:space="0" w:color="auto"/>
                      </w:divBdr>
                      <w:divsChild>
                        <w:div w:id="913005363">
                          <w:marLeft w:val="0"/>
                          <w:marRight w:val="0"/>
                          <w:marTop w:val="0"/>
                          <w:marBottom w:val="0"/>
                          <w:divBdr>
                            <w:top w:val="none" w:sz="0" w:space="0" w:color="auto"/>
                            <w:left w:val="none" w:sz="0" w:space="0" w:color="auto"/>
                            <w:bottom w:val="none" w:sz="0" w:space="0" w:color="auto"/>
                            <w:right w:val="none" w:sz="0" w:space="0" w:color="auto"/>
                          </w:divBdr>
                          <w:divsChild>
                            <w:div w:id="642613188">
                              <w:marLeft w:val="0"/>
                              <w:marRight w:val="0"/>
                              <w:marTop w:val="0"/>
                              <w:marBottom w:val="0"/>
                              <w:divBdr>
                                <w:top w:val="none" w:sz="0" w:space="0" w:color="auto"/>
                                <w:left w:val="none" w:sz="0" w:space="0" w:color="auto"/>
                                <w:bottom w:val="none" w:sz="0" w:space="0" w:color="auto"/>
                                <w:right w:val="none" w:sz="0" w:space="0" w:color="auto"/>
                              </w:divBdr>
                              <w:divsChild>
                                <w:div w:id="1347249947">
                                  <w:marLeft w:val="0"/>
                                  <w:marRight w:val="0"/>
                                  <w:marTop w:val="0"/>
                                  <w:marBottom w:val="0"/>
                                  <w:divBdr>
                                    <w:top w:val="none" w:sz="0" w:space="0" w:color="auto"/>
                                    <w:left w:val="none" w:sz="0" w:space="0" w:color="auto"/>
                                    <w:bottom w:val="none" w:sz="0" w:space="0" w:color="auto"/>
                                    <w:right w:val="none" w:sz="0" w:space="0" w:color="auto"/>
                                  </w:divBdr>
                                  <w:divsChild>
                                    <w:div w:id="2079399296">
                                      <w:marLeft w:val="240"/>
                                      <w:marRight w:val="240"/>
                                      <w:marTop w:val="240"/>
                                      <w:marBottom w:val="0"/>
                                      <w:divBdr>
                                        <w:top w:val="none" w:sz="0" w:space="0" w:color="auto"/>
                                        <w:left w:val="none" w:sz="0" w:space="0" w:color="auto"/>
                                        <w:bottom w:val="none" w:sz="0" w:space="0" w:color="auto"/>
                                        <w:right w:val="none" w:sz="0" w:space="0" w:color="auto"/>
                                      </w:divBdr>
                                      <w:divsChild>
                                        <w:div w:id="709845169">
                                          <w:marLeft w:val="0"/>
                                          <w:marRight w:val="0"/>
                                          <w:marTop w:val="0"/>
                                          <w:marBottom w:val="0"/>
                                          <w:divBdr>
                                            <w:top w:val="none" w:sz="0" w:space="0" w:color="auto"/>
                                            <w:left w:val="none" w:sz="0" w:space="0" w:color="auto"/>
                                            <w:bottom w:val="none" w:sz="0" w:space="0" w:color="auto"/>
                                            <w:right w:val="none" w:sz="0" w:space="0" w:color="auto"/>
                                          </w:divBdr>
                                          <w:divsChild>
                                            <w:div w:id="20090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103397">
      <w:bodyDiv w:val="1"/>
      <w:marLeft w:val="0"/>
      <w:marRight w:val="0"/>
      <w:marTop w:val="0"/>
      <w:marBottom w:val="0"/>
      <w:divBdr>
        <w:top w:val="none" w:sz="0" w:space="0" w:color="auto"/>
        <w:left w:val="none" w:sz="0" w:space="0" w:color="auto"/>
        <w:bottom w:val="none" w:sz="0" w:space="0" w:color="auto"/>
        <w:right w:val="none" w:sz="0" w:space="0" w:color="auto"/>
      </w:divBdr>
    </w:div>
    <w:div w:id="1259365152">
      <w:bodyDiv w:val="1"/>
      <w:marLeft w:val="0"/>
      <w:marRight w:val="0"/>
      <w:marTop w:val="0"/>
      <w:marBottom w:val="0"/>
      <w:divBdr>
        <w:top w:val="none" w:sz="0" w:space="0" w:color="auto"/>
        <w:left w:val="none" w:sz="0" w:space="0" w:color="auto"/>
        <w:bottom w:val="none" w:sz="0" w:space="0" w:color="auto"/>
        <w:right w:val="none" w:sz="0" w:space="0" w:color="auto"/>
      </w:divBdr>
      <w:divsChild>
        <w:div w:id="107741589">
          <w:marLeft w:val="0"/>
          <w:marRight w:val="0"/>
          <w:marTop w:val="0"/>
          <w:marBottom w:val="0"/>
          <w:divBdr>
            <w:top w:val="none" w:sz="0" w:space="0" w:color="auto"/>
            <w:left w:val="none" w:sz="0" w:space="0" w:color="auto"/>
            <w:bottom w:val="none" w:sz="0" w:space="0" w:color="auto"/>
            <w:right w:val="none" w:sz="0" w:space="0" w:color="auto"/>
          </w:divBdr>
          <w:divsChild>
            <w:div w:id="567620188">
              <w:marLeft w:val="0"/>
              <w:marRight w:val="0"/>
              <w:marTop w:val="0"/>
              <w:marBottom w:val="0"/>
              <w:divBdr>
                <w:top w:val="none" w:sz="0" w:space="0" w:color="auto"/>
                <w:left w:val="none" w:sz="0" w:space="0" w:color="auto"/>
                <w:bottom w:val="none" w:sz="0" w:space="0" w:color="auto"/>
                <w:right w:val="none" w:sz="0" w:space="0" w:color="auto"/>
              </w:divBdr>
              <w:divsChild>
                <w:div w:id="660276288">
                  <w:marLeft w:val="0"/>
                  <w:marRight w:val="0"/>
                  <w:marTop w:val="0"/>
                  <w:marBottom w:val="0"/>
                  <w:divBdr>
                    <w:top w:val="none" w:sz="0" w:space="0" w:color="auto"/>
                    <w:left w:val="none" w:sz="0" w:space="0" w:color="auto"/>
                    <w:bottom w:val="none" w:sz="0" w:space="0" w:color="auto"/>
                    <w:right w:val="none" w:sz="0" w:space="0" w:color="auto"/>
                  </w:divBdr>
                  <w:divsChild>
                    <w:div w:id="375736736">
                      <w:marLeft w:val="0"/>
                      <w:marRight w:val="0"/>
                      <w:marTop w:val="0"/>
                      <w:marBottom w:val="0"/>
                      <w:divBdr>
                        <w:top w:val="single" w:sz="6" w:space="0" w:color="DCD9D9"/>
                        <w:left w:val="single" w:sz="6" w:space="0" w:color="DCD9D9"/>
                        <w:bottom w:val="single" w:sz="2" w:space="0" w:color="DCD9D9"/>
                        <w:right w:val="single" w:sz="6" w:space="0" w:color="DCD9D9"/>
                      </w:divBdr>
                      <w:divsChild>
                        <w:div w:id="653875807">
                          <w:marLeft w:val="0"/>
                          <w:marRight w:val="-100"/>
                          <w:marTop w:val="450"/>
                          <w:marBottom w:val="0"/>
                          <w:divBdr>
                            <w:top w:val="none" w:sz="0" w:space="0" w:color="auto"/>
                            <w:left w:val="none" w:sz="0" w:space="0" w:color="auto"/>
                            <w:bottom w:val="none" w:sz="0" w:space="0" w:color="auto"/>
                            <w:right w:val="none" w:sz="0" w:space="0" w:color="auto"/>
                          </w:divBdr>
                          <w:divsChild>
                            <w:div w:id="1580479679">
                              <w:marLeft w:val="0"/>
                              <w:marRight w:val="0"/>
                              <w:marTop w:val="0"/>
                              <w:marBottom w:val="0"/>
                              <w:divBdr>
                                <w:top w:val="none" w:sz="0" w:space="0" w:color="auto"/>
                                <w:left w:val="none" w:sz="0" w:space="0" w:color="auto"/>
                                <w:bottom w:val="none" w:sz="0" w:space="0" w:color="auto"/>
                                <w:right w:val="none" w:sz="0" w:space="0" w:color="auto"/>
                              </w:divBdr>
                              <w:divsChild>
                                <w:div w:id="1509101408">
                                  <w:marLeft w:val="0"/>
                                  <w:marRight w:val="0"/>
                                  <w:marTop w:val="0"/>
                                  <w:marBottom w:val="0"/>
                                  <w:divBdr>
                                    <w:top w:val="none" w:sz="0" w:space="0" w:color="auto"/>
                                    <w:left w:val="none" w:sz="0" w:space="0" w:color="auto"/>
                                    <w:bottom w:val="none" w:sz="0" w:space="0" w:color="auto"/>
                                    <w:right w:val="none" w:sz="0" w:space="0" w:color="auto"/>
                                  </w:divBdr>
                                  <w:divsChild>
                                    <w:div w:id="2073308833">
                                      <w:marLeft w:val="0"/>
                                      <w:marRight w:val="0"/>
                                      <w:marTop w:val="0"/>
                                      <w:marBottom w:val="0"/>
                                      <w:divBdr>
                                        <w:top w:val="none" w:sz="0" w:space="0" w:color="auto"/>
                                        <w:left w:val="none" w:sz="0" w:space="0" w:color="auto"/>
                                        <w:bottom w:val="none" w:sz="0" w:space="0" w:color="auto"/>
                                        <w:right w:val="none" w:sz="0" w:space="0" w:color="auto"/>
                                      </w:divBdr>
                                      <w:divsChild>
                                        <w:div w:id="1420254451">
                                          <w:marLeft w:val="0"/>
                                          <w:marRight w:val="0"/>
                                          <w:marTop w:val="0"/>
                                          <w:marBottom w:val="360"/>
                                          <w:divBdr>
                                            <w:top w:val="none" w:sz="0" w:space="0" w:color="auto"/>
                                            <w:left w:val="none" w:sz="0" w:space="0" w:color="auto"/>
                                            <w:bottom w:val="none" w:sz="0" w:space="0" w:color="auto"/>
                                            <w:right w:val="none" w:sz="0" w:space="0" w:color="auto"/>
                                          </w:divBdr>
                                          <w:divsChild>
                                            <w:div w:id="719982642">
                                              <w:marLeft w:val="0"/>
                                              <w:marRight w:val="0"/>
                                              <w:marTop w:val="0"/>
                                              <w:marBottom w:val="0"/>
                                              <w:divBdr>
                                                <w:top w:val="none" w:sz="0" w:space="0" w:color="auto"/>
                                                <w:left w:val="none" w:sz="0" w:space="0" w:color="auto"/>
                                                <w:bottom w:val="none" w:sz="0" w:space="0" w:color="auto"/>
                                                <w:right w:val="none" w:sz="0" w:space="0" w:color="auto"/>
                                              </w:divBdr>
                                              <w:divsChild>
                                                <w:div w:id="1657295071">
                                                  <w:marLeft w:val="0"/>
                                                  <w:marRight w:val="0"/>
                                                  <w:marTop w:val="0"/>
                                                  <w:marBottom w:val="0"/>
                                                  <w:divBdr>
                                                    <w:top w:val="none" w:sz="0" w:space="0" w:color="auto"/>
                                                    <w:left w:val="none" w:sz="0" w:space="0" w:color="auto"/>
                                                    <w:bottom w:val="none" w:sz="0" w:space="0" w:color="auto"/>
                                                    <w:right w:val="none" w:sz="0" w:space="0" w:color="auto"/>
                                                  </w:divBdr>
                                                  <w:divsChild>
                                                    <w:div w:id="1422680820">
                                                      <w:marLeft w:val="0"/>
                                                      <w:marRight w:val="0"/>
                                                      <w:marTop w:val="0"/>
                                                      <w:marBottom w:val="0"/>
                                                      <w:divBdr>
                                                        <w:top w:val="none" w:sz="0" w:space="0" w:color="auto"/>
                                                        <w:left w:val="none" w:sz="0" w:space="0" w:color="auto"/>
                                                        <w:bottom w:val="none" w:sz="0" w:space="0" w:color="auto"/>
                                                        <w:right w:val="none" w:sz="0" w:space="0" w:color="auto"/>
                                                      </w:divBdr>
                                                      <w:divsChild>
                                                        <w:div w:id="1549217978">
                                                          <w:marLeft w:val="0"/>
                                                          <w:marRight w:val="0"/>
                                                          <w:marTop w:val="0"/>
                                                          <w:marBottom w:val="0"/>
                                                          <w:divBdr>
                                                            <w:top w:val="none" w:sz="0" w:space="0" w:color="auto"/>
                                                            <w:left w:val="none" w:sz="0" w:space="0" w:color="auto"/>
                                                            <w:bottom w:val="none" w:sz="0" w:space="0" w:color="auto"/>
                                                            <w:right w:val="none" w:sz="0" w:space="0" w:color="auto"/>
                                                          </w:divBdr>
                                                          <w:divsChild>
                                                            <w:div w:id="2112890558">
                                                              <w:marLeft w:val="0"/>
                                                              <w:marRight w:val="0"/>
                                                              <w:marTop w:val="0"/>
                                                              <w:marBottom w:val="0"/>
                                                              <w:divBdr>
                                                                <w:top w:val="none" w:sz="0" w:space="0" w:color="auto"/>
                                                                <w:left w:val="none" w:sz="0" w:space="0" w:color="auto"/>
                                                                <w:bottom w:val="none" w:sz="0" w:space="0" w:color="auto"/>
                                                                <w:right w:val="none" w:sz="0" w:space="0" w:color="auto"/>
                                                              </w:divBdr>
                                                              <w:divsChild>
                                                                <w:div w:id="781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284305">
      <w:bodyDiv w:val="1"/>
      <w:marLeft w:val="0"/>
      <w:marRight w:val="0"/>
      <w:marTop w:val="0"/>
      <w:marBottom w:val="0"/>
      <w:divBdr>
        <w:top w:val="none" w:sz="0" w:space="0" w:color="auto"/>
        <w:left w:val="none" w:sz="0" w:space="0" w:color="auto"/>
        <w:bottom w:val="none" w:sz="0" w:space="0" w:color="auto"/>
        <w:right w:val="none" w:sz="0" w:space="0" w:color="auto"/>
      </w:divBdr>
      <w:divsChild>
        <w:div w:id="1190069534">
          <w:marLeft w:val="0"/>
          <w:marRight w:val="0"/>
          <w:marTop w:val="0"/>
          <w:marBottom w:val="0"/>
          <w:divBdr>
            <w:top w:val="none" w:sz="0" w:space="0" w:color="auto"/>
            <w:left w:val="none" w:sz="0" w:space="0" w:color="auto"/>
            <w:bottom w:val="none" w:sz="0" w:space="0" w:color="auto"/>
            <w:right w:val="none" w:sz="0" w:space="0" w:color="auto"/>
          </w:divBdr>
          <w:divsChild>
            <w:div w:id="5651569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7393665">
      <w:bodyDiv w:val="1"/>
      <w:marLeft w:val="0"/>
      <w:marRight w:val="0"/>
      <w:marTop w:val="0"/>
      <w:marBottom w:val="0"/>
      <w:divBdr>
        <w:top w:val="none" w:sz="0" w:space="0" w:color="auto"/>
        <w:left w:val="none" w:sz="0" w:space="0" w:color="auto"/>
        <w:bottom w:val="none" w:sz="0" w:space="0" w:color="auto"/>
        <w:right w:val="none" w:sz="0" w:space="0" w:color="auto"/>
      </w:divBdr>
      <w:divsChild>
        <w:div w:id="76904495">
          <w:marLeft w:val="446"/>
          <w:marRight w:val="0"/>
          <w:marTop w:val="336"/>
          <w:marBottom w:val="0"/>
          <w:divBdr>
            <w:top w:val="none" w:sz="0" w:space="0" w:color="auto"/>
            <w:left w:val="none" w:sz="0" w:space="0" w:color="auto"/>
            <w:bottom w:val="none" w:sz="0" w:space="0" w:color="auto"/>
            <w:right w:val="none" w:sz="0" w:space="0" w:color="auto"/>
          </w:divBdr>
        </w:div>
        <w:div w:id="694960553">
          <w:marLeft w:val="446"/>
          <w:marRight w:val="0"/>
          <w:marTop w:val="336"/>
          <w:marBottom w:val="0"/>
          <w:divBdr>
            <w:top w:val="none" w:sz="0" w:space="0" w:color="auto"/>
            <w:left w:val="none" w:sz="0" w:space="0" w:color="auto"/>
            <w:bottom w:val="none" w:sz="0" w:space="0" w:color="auto"/>
            <w:right w:val="none" w:sz="0" w:space="0" w:color="auto"/>
          </w:divBdr>
        </w:div>
        <w:div w:id="968170203">
          <w:marLeft w:val="446"/>
          <w:marRight w:val="0"/>
          <w:marTop w:val="336"/>
          <w:marBottom w:val="0"/>
          <w:divBdr>
            <w:top w:val="none" w:sz="0" w:space="0" w:color="auto"/>
            <w:left w:val="none" w:sz="0" w:space="0" w:color="auto"/>
            <w:bottom w:val="none" w:sz="0" w:space="0" w:color="auto"/>
            <w:right w:val="none" w:sz="0" w:space="0" w:color="auto"/>
          </w:divBdr>
        </w:div>
        <w:div w:id="1253465561">
          <w:marLeft w:val="446"/>
          <w:marRight w:val="0"/>
          <w:marTop w:val="336"/>
          <w:marBottom w:val="0"/>
          <w:divBdr>
            <w:top w:val="none" w:sz="0" w:space="0" w:color="auto"/>
            <w:left w:val="none" w:sz="0" w:space="0" w:color="auto"/>
            <w:bottom w:val="none" w:sz="0" w:space="0" w:color="auto"/>
            <w:right w:val="none" w:sz="0" w:space="0" w:color="auto"/>
          </w:divBdr>
        </w:div>
        <w:div w:id="2082676833">
          <w:marLeft w:val="446"/>
          <w:marRight w:val="0"/>
          <w:marTop w:val="336"/>
          <w:marBottom w:val="0"/>
          <w:divBdr>
            <w:top w:val="none" w:sz="0" w:space="0" w:color="auto"/>
            <w:left w:val="none" w:sz="0" w:space="0" w:color="auto"/>
            <w:bottom w:val="none" w:sz="0" w:space="0" w:color="auto"/>
            <w:right w:val="none" w:sz="0" w:space="0" w:color="auto"/>
          </w:divBdr>
        </w:div>
      </w:divsChild>
    </w:div>
    <w:div w:id="1338851776">
      <w:bodyDiv w:val="1"/>
      <w:marLeft w:val="0"/>
      <w:marRight w:val="0"/>
      <w:marTop w:val="0"/>
      <w:marBottom w:val="0"/>
      <w:divBdr>
        <w:top w:val="none" w:sz="0" w:space="0" w:color="auto"/>
        <w:left w:val="none" w:sz="0" w:space="0" w:color="auto"/>
        <w:bottom w:val="none" w:sz="0" w:space="0" w:color="auto"/>
        <w:right w:val="none" w:sz="0" w:space="0" w:color="auto"/>
      </w:divBdr>
      <w:divsChild>
        <w:div w:id="155076716">
          <w:marLeft w:val="446"/>
          <w:marRight w:val="0"/>
          <w:marTop w:val="336"/>
          <w:marBottom w:val="0"/>
          <w:divBdr>
            <w:top w:val="none" w:sz="0" w:space="0" w:color="auto"/>
            <w:left w:val="none" w:sz="0" w:space="0" w:color="auto"/>
            <w:bottom w:val="none" w:sz="0" w:space="0" w:color="auto"/>
            <w:right w:val="none" w:sz="0" w:space="0" w:color="auto"/>
          </w:divBdr>
        </w:div>
        <w:div w:id="727995640">
          <w:marLeft w:val="446"/>
          <w:marRight w:val="0"/>
          <w:marTop w:val="336"/>
          <w:marBottom w:val="0"/>
          <w:divBdr>
            <w:top w:val="none" w:sz="0" w:space="0" w:color="auto"/>
            <w:left w:val="none" w:sz="0" w:space="0" w:color="auto"/>
            <w:bottom w:val="none" w:sz="0" w:space="0" w:color="auto"/>
            <w:right w:val="none" w:sz="0" w:space="0" w:color="auto"/>
          </w:divBdr>
        </w:div>
        <w:div w:id="858422627">
          <w:marLeft w:val="446"/>
          <w:marRight w:val="0"/>
          <w:marTop w:val="336"/>
          <w:marBottom w:val="0"/>
          <w:divBdr>
            <w:top w:val="none" w:sz="0" w:space="0" w:color="auto"/>
            <w:left w:val="none" w:sz="0" w:space="0" w:color="auto"/>
            <w:bottom w:val="none" w:sz="0" w:space="0" w:color="auto"/>
            <w:right w:val="none" w:sz="0" w:space="0" w:color="auto"/>
          </w:divBdr>
        </w:div>
        <w:div w:id="1120757194">
          <w:marLeft w:val="446"/>
          <w:marRight w:val="0"/>
          <w:marTop w:val="336"/>
          <w:marBottom w:val="0"/>
          <w:divBdr>
            <w:top w:val="none" w:sz="0" w:space="0" w:color="auto"/>
            <w:left w:val="none" w:sz="0" w:space="0" w:color="auto"/>
            <w:bottom w:val="none" w:sz="0" w:space="0" w:color="auto"/>
            <w:right w:val="none" w:sz="0" w:space="0" w:color="auto"/>
          </w:divBdr>
        </w:div>
        <w:div w:id="1653607254">
          <w:marLeft w:val="446"/>
          <w:marRight w:val="0"/>
          <w:marTop w:val="336"/>
          <w:marBottom w:val="0"/>
          <w:divBdr>
            <w:top w:val="none" w:sz="0" w:space="0" w:color="auto"/>
            <w:left w:val="none" w:sz="0" w:space="0" w:color="auto"/>
            <w:bottom w:val="none" w:sz="0" w:space="0" w:color="auto"/>
            <w:right w:val="none" w:sz="0" w:space="0" w:color="auto"/>
          </w:divBdr>
        </w:div>
      </w:divsChild>
    </w:div>
    <w:div w:id="1340356358">
      <w:bodyDiv w:val="1"/>
      <w:marLeft w:val="0"/>
      <w:marRight w:val="0"/>
      <w:marTop w:val="0"/>
      <w:marBottom w:val="0"/>
      <w:divBdr>
        <w:top w:val="none" w:sz="0" w:space="0" w:color="auto"/>
        <w:left w:val="none" w:sz="0" w:space="0" w:color="auto"/>
        <w:bottom w:val="none" w:sz="0" w:space="0" w:color="auto"/>
        <w:right w:val="none" w:sz="0" w:space="0" w:color="auto"/>
      </w:divBdr>
    </w:div>
    <w:div w:id="1360427601">
      <w:bodyDiv w:val="1"/>
      <w:marLeft w:val="2"/>
      <w:marRight w:val="2"/>
      <w:marTop w:val="0"/>
      <w:marBottom w:val="0"/>
      <w:divBdr>
        <w:top w:val="none" w:sz="0" w:space="0" w:color="auto"/>
        <w:left w:val="none" w:sz="0" w:space="0" w:color="auto"/>
        <w:bottom w:val="none" w:sz="0" w:space="0" w:color="auto"/>
        <w:right w:val="none" w:sz="0" w:space="0" w:color="auto"/>
      </w:divBdr>
    </w:div>
    <w:div w:id="1375234385">
      <w:bodyDiv w:val="1"/>
      <w:marLeft w:val="0"/>
      <w:marRight w:val="0"/>
      <w:marTop w:val="0"/>
      <w:marBottom w:val="0"/>
      <w:divBdr>
        <w:top w:val="none" w:sz="0" w:space="0" w:color="auto"/>
        <w:left w:val="none" w:sz="0" w:space="0" w:color="auto"/>
        <w:bottom w:val="none" w:sz="0" w:space="0" w:color="auto"/>
        <w:right w:val="none" w:sz="0" w:space="0" w:color="auto"/>
      </w:divBdr>
      <w:divsChild>
        <w:div w:id="1689017366">
          <w:marLeft w:val="0"/>
          <w:marRight w:val="0"/>
          <w:marTop w:val="0"/>
          <w:marBottom w:val="0"/>
          <w:divBdr>
            <w:top w:val="none" w:sz="0" w:space="0" w:color="auto"/>
            <w:left w:val="none" w:sz="0" w:space="0" w:color="auto"/>
            <w:bottom w:val="none" w:sz="0" w:space="0" w:color="auto"/>
            <w:right w:val="none" w:sz="0" w:space="0" w:color="auto"/>
          </w:divBdr>
        </w:div>
      </w:divsChild>
    </w:div>
    <w:div w:id="1395473416">
      <w:bodyDiv w:val="1"/>
      <w:marLeft w:val="0"/>
      <w:marRight w:val="0"/>
      <w:marTop w:val="0"/>
      <w:marBottom w:val="0"/>
      <w:divBdr>
        <w:top w:val="none" w:sz="0" w:space="0" w:color="auto"/>
        <w:left w:val="none" w:sz="0" w:space="0" w:color="auto"/>
        <w:bottom w:val="none" w:sz="0" w:space="0" w:color="auto"/>
        <w:right w:val="none" w:sz="0" w:space="0" w:color="auto"/>
      </w:divBdr>
    </w:div>
    <w:div w:id="1426653858">
      <w:bodyDiv w:val="1"/>
      <w:marLeft w:val="0"/>
      <w:marRight w:val="0"/>
      <w:marTop w:val="0"/>
      <w:marBottom w:val="0"/>
      <w:divBdr>
        <w:top w:val="none" w:sz="0" w:space="0" w:color="auto"/>
        <w:left w:val="none" w:sz="0" w:space="0" w:color="auto"/>
        <w:bottom w:val="none" w:sz="0" w:space="0" w:color="auto"/>
        <w:right w:val="none" w:sz="0" w:space="0" w:color="auto"/>
      </w:divBdr>
    </w:div>
    <w:div w:id="1453207278">
      <w:bodyDiv w:val="1"/>
      <w:marLeft w:val="0"/>
      <w:marRight w:val="0"/>
      <w:marTop w:val="0"/>
      <w:marBottom w:val="0"/>
      <w:divBdr>
        <w:top w:val="none" w:sz="0" w:space="0" w:color="auto"/>
        <w:left w:val="none" w:sz="0" w:space="0" w:color="auto"/>
        <w:bottom w:val="none" w:sz="0" w:space="0" w:color="auto"/>
        <w:right w:val="none" w:sz="0" w:space="0" w:color="auto"/>
      </w:divBdr>
    </w:div>
    <w:div w:id="1456175748">
      <w:bodyDiv w:val="1"/>
      <w:marLeft w:val="0"/>
      <w:marRight w:val="0"/>
      <w:marTop w:val="0"/>
      <w:marBottom w:val="0"/>
      <w:divBdr>
        <w:top w:val="none" w:sz="0" w:space="0" w:color="auto"/>
        <w:left w:val="none" w:sz="0" w:space="0" w:color="auto"/>
        <w:bottom w:val="none" w:sz="0" w:space="0" w:color="auto"/>
        <w:right w:val="none" w:sz="0" w:space="0" w:color="auto"/>
      </w:divBdr>
    </w:div>
    <w:div w:id="1465466661">
      <w:bodyDiv w:val="1"/>
      <w:marLeft w:val="0"/>
      <w:marRight w:val="0"/>
      <w:marTop w:val="0"/>
      <w:marBottom w:val="0"/>
      <w:divBdr>
        <w:top w:val="none" w:sz="0" w:space="0" w:color="auto"/>
        <w:left w:val="none" w:sz="0" w:space="0" w:color="auto"/>
        <w:bottom w:val="none" w:sz="0" w:space="0" w:color="auto"/>
        <w:right w:val="none" w:sz="0" w:space="0" w:color="auto"/>
      </w:divBdr>
    </w:div>
    <w:div w:id="1483698626">
      <w:bodyDiv w:val="1"/>
      <w:marLeft w:val="0"/>
      <w:marRight w:val="0"/>
      <w:marTop w:val="0"/>
      <w:marBottom w:val="0"/>
      <w:divBdr>
        <w:top w:val="none" w:sz="0" w:space="0" w:color="auto"/>
        <w:left w:val="none" w:sz="0" w:space="0" w:color="auto"/>
        <w:bottom w:val="none" w:sz="0" w:space="0" w:color="auto"/>
        <w:right w:val="none" w:sz="0" w:space="0" w:color="auto"/>
      </w:divBdr>
    </w:div>
    <w:div w:id="1484422528">
      <w:bodyDiv w:val="1"/>
      <w:marLeft w:val="0"/>
      <w:marRight w:val="0"/>
      <w:marTop w:val="0"/>
      <w:marBottom w:val="0"/>
      <w:divBdr>
        <w:top w:val="none" w:sz="0" w:space="0" w:color="auto"/>
        <w:left w:val="none" w:sz="0" w:space="0" w:color="auto"/>
        <w:bottom w:val="none" w:sz="0" w:space="0" w:color="auto"/>
        <w:right w:val="none" w:sz="0" w:space="0" w:color="auto"/>
      </w:divBdr>
    </w:div>
    <w:div w:id="1517114796">
      <w:bodyDiv w:val="1"/>
      <w:marLeft w:val="0"/>
      <w:marRight w:val="0"/>
      <w:marTop w:val="0"/>
      <w:marBottom w:val="0"/>
      <w:divBdr>
        <w:top w:val="none" w:sz="0" w:space="0" w:color="auto"/>
        <w:left w:val="none" w:sz="0" w:space="0" w:color="auto"/>
        <w:bottom w:val="none" w:sz="0" w:space="0" w:color="auto"/>
        <w:right w:val="none" w:sz="0" w:space="0" w:color="auto"/>
      </w:divBdr>
      <w:divsChild>
        <w:div w:id="941763045">
          <w:marLeft w:val="0"/>
          <w:marRight w:val="0"/>
          <w:marTop w:val="0"/>
          <w:marBottom w:val="0"/>
          <w:divBdr>
            <w:top w:val="none" w:sz="0" w:space="0" w:color="auto"/>
            <w:left w:val="none" w:sz="0" w:space="0" w:color="auto"/>
            <w:bottom w:val="none" w:sz="0" w:space="0" w:color="auto"/>
            <w:right w:val="none" w:sz="0" w:space="0" w:color="auto"/>
          </w:divBdr>
          <w:divsChild>
            <w:div w:id="485322044">
              <w:marLeft w:val="0"/>
              <w:marRight w:val="0"/>
              <w:marTop w:val="0"/>
              <w:marBottom w:val="0"/>
              <w:divBdr>
                <w:top w:val="none" w:sz="0" w:space="0" w:color="auto"/>
                <w:left w:val="none" w:sz="0" w:space="0" w:color="auto"/>
                <w:bottom w:val="none" w:sz="0" w:space="0" w:color="auto"/>
                <w:right w:val="none" w:sz="0" w:space="0" w:color="auto"/>
              </w:divBdr>
              <w:divsChild>
                <w:div w:id="1537279150">
                  <w:marLeft w:val="0"/>
                  <w:marRight w:val="0"/>
                  <w:marTop w:val="0"/>
                  <w:marBottom w:val="0"/>
                  <w:divBdr>
                    <w:top w:val="none" w:sz="0" w:space="0" w:color="auto"/>
                    <w:left w:val="none" w:sz="0" w:space="0" w:color="auto"/>
                    <w:bottom w:val="none" w:sz="0" w:space="0" w:color="auto"/>
                    <w:right w:val="none" w:sz="0" w:space="0" w:color="auto"/>
                  </w:divBdr>
                  <w:divsChild>
                    <w:div w:id="1723482919">
                      <w:marLeft w:val="0"/>
                      <w:marRight w:val="0"/>
                      <w:marTop w:val="0"/>
                      <w:marBottom w:val="0"/>
                      <w:divBdr>
                        <w:top w:val="none" w:sz="0" w:space="0" w:color="auto"/>
                        <w:left w:val="none" w:sz="0" w:space="0" w:color="auto"/>
                        <w:bottom w:val="none" w:sz="0" w:space="0" w:color="auto"/>
                        <w:right w:val="none" w:sz="0" w:space="0" w:color="auto"/>
                      </w:divBdr>
                      <w:divsChild>
                        <w:div w:id="1429814285">
                          <w:marLeft w:val="0"/>
                          <w:marRight w:val="0"/>
                          <w:marTop w:val="0"/>
                          <w:marBottom w:val="0"/>
                          <w:divBdr>
                            <w:top w:val="none" w:sz="0" w:space="0" w:color="auto"/>
                            <w:left w:val="none" w:sz="0" w:space="0" w:color="auto"/>
                            <w:bottom w:val="none" w:sz="0" w:space="0" w:color="auto"/>
                            <w:right w:val="none" w:sz="0" w:space="0" w:color="auto"/>
                          </w:divBdr>
                          <w:divsChild>
                            <w:div w:id="1358462490">
                              <w:marLeft w:val="0"/>
                              <w:marRight w:val="0"/>
                              <w:marTop w:val="0"/>
                              <w:marBottom w:val="0"/>
                              <w:divBdr>
                                <w:top w:val="none" w:sz="0" w:space="0" w:color="auto"/>
                                <w:left w:val="none" w:sz="0" w:space="0" w:color="auto"/>
                                <w:bottom w:val="none" w:sz="0" w:space="0" w:color="auto"/>
                                <w:right w:val="none" w:sz="0" w:space="0" w:color="auto"/>
                              </w:divBdr>
                              <w:divsChild>
                                <w:div w:id="19533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1465">
      <w:bodyDiv w:val="1"/>
      <w:marLeft w:val="0"/>
      <w:marRight w:val="0"/>
      <w:marTop w:val="0"/>
      <w:marBottom w:val="0"/>
      <w:divBdr>
        <w:top w:val="none" w:sz="0" w:space="0" w:color="auto"/>
        <w:left w:val="none" w:sz="0" w:space="0" w:color="auto"/>
        <w:bottom w:val="none" w:sz="0" w:space="0" w:color="auto"/>
        <w:right w:val="none" w:sz="0" w:space="0" w:color="auto"/>
      </w:divBdr>
    </w:div>
    <w:div w:id="1534803843">
      <w:bodyDiv w:val="1"/>
      <w:marLeft w:val="0"/>
      <w:marRight w:val="0"/>
      <w:marTop w:val="0"/>
      <w:marBottom w:val="0"/>
      <w:divBdr>
        <w:top w:val="none" w:sz="0" w:space="0" w:color="auto"/>
        <w:left w:val="none" w:sz="0" w:space="0" w:color="auto"/>
        <w:bottom w:val="none" w:sz="0" w:space="0" w:color="auto"/>
        <w:right w:val="none" w:sz="0" w:space="0" w:color="auto"/>
      </w:divBdr>
    </w:div>
    <w:div w:id="1559318617">
      <w:bodyDiv w:val="1"/>
      <w:marLeft w:val="0"/>
      <w:marRight w:val="0"/>
      <w:marTop w:val="0"/>
      <w:marBottom w:val="0"/>
      <w:divBdr>
        <w:top w:val="none" w:sz="0" w:space="0" w:color="auto"/>
        <w:left w:val="none" w:sz="0" w:space="0" w:color="auto"/>
        <w:bottom w:val="none" w:sz="0" w:space="0" w:color="auto"/>
        <w:right w:val="none" w:sz="0" w:space="0" w:color="auto"/>
      </w:divBdr>
    </w:div>
    <w:div w:id="1561211453">
      <w:bodyDiv w:val="1"/>
      <w:marLeft w:val="0"/>
      <w:marRight w:val="0"/>
      <w:marTop w:val="0"/>
      <w:marBottom w:val="0"/>
      <w:divBdr>
        <w:top w:val="none" w:sz="0" w:space="0" w:color="auto"/>
        <w:left w:val="none" w:sz="0" w:space="0" w:color="auto"/>
        <w:bottom w:val="none" w:sz="0" w:space="0" w:color="auto"/>
        <w:right w:val="none" w:sz="0" w:space="0" w:color="auto"/>
      </w:divBdr>
      <w:divsChild>
        <w:div w:id="147750334">
          <w:marLeft w:val="720"/>
          <w:marRight w:val="0"/>
          <w:marTop w:val="0"/>
          <w:marBottom w:val="0"/>
          <w:divBdr>
            <w:top w:val="none" w:sz="0" w:space="0" w:color="auto"/>
            <w:left w:val="none" w:sz="0" w:space="0" w:color="auto"/>
            <w:bottom w:val="none" w:sz="0" w:space="0" w:color="auto"/>
            <w:right w:val="none" w:sz="0" w:space="0" w:color="auto"/>
          </w:divBdr>
        </w:div>
        <w:div w:id="373621442">
          <w:marLeft w:val="1440"/>
          <w:marRight w:val="0"/>
          <w:marTop w:val="0"/>
          <w:marBottom w:val="0"/>
          <w:divBdr>
            <w:top w:val="none" w:sz="0" w:space="0" w:color="auto"/>
            <w:left w:val="none" w:sz="0" w:space="0" w:color="auto"/>
            <w:bottom w:val="none" w:sz="0" w:space="0" w:color="auto"/>
            <w:right w:val="none" w:sz="0" w:space="0" w:color="auto"/>
          </w:divBdr>
        </w:div>
        <w:div w:id="1708405121">
          <w:marLeft w:val="1440"/>
          <w:marRight w:val="0"/>
          <w:marTop w:val="0"/>
          <w:marBottom w:val="0"/>
          <w:divBdr>
            <w:top w:val="none" w:sz="0" w:space="0" w:color="auto"/>
            <w:left w:val="none" w:sz="0" w:space="0" w:color="auto"/>
            <w:bottom w:val="none" w:sz="0" w:space="0" w:color="auto"/>
            <w:right w:val="none" w:sz="0" w:space="0" w:color="auto"/>
          </w:divBdr>
        </w:div>
      </w:divsChild>
    </w:div>
    <w:div w:id="1577322187">
      <w:bodyDiv w:val="1"/>
      <w:marLeft w:val="0"/>
      <w:marRight w:val="0"/>
      <w:marTop w:val="0"/>
      <w:marBottom w:val="0"/>
      <w:divBdr>
        <w:top w:val="none" w:sz="0" w:space="0" w:color="auto"/>
        <w:left w:val="none" w:sz="0" w:space="0" w:color="auto"/>
        <w:bottom w:val="none" w:sz="0" w:space="0" w:color="auto"/>
        <w:right w:val="none" w:sz="0" w:space="0" w:color="auto"/>
      </w:divBdr>
    </w:div>
    <w:div w:id="1598438056">
      <w:bodyDiv w:val="1"/>
      <w:marLeft w:val="0"/>
      <w:marRight w:val="0"/>
      <w:marTop w:val="0"/>
      <w:marBottom w:val="0"/>
      <w:divBdr>
        <w:top w:val="none" w:sz="0" w:space="0" w:color="auto"/>
        <w:left w:val="none" w:sz="0" w:space="0" w:color="auto"/>
        <w:bottom w:val="none" w:sz="0" w:space="0" w:color="auto"/>
        <w:right w:val="none" w:sz="0" w:space="0" w:color="auto"/>
      </w:divBdr>
      <w:divsChild>
        <w:div w:id="477501040">
          <w:marLeft w:val="0"/>
          <w:marRight w:val="0"/>
          <w:marTop w:val="0"/>
          <w:marBottom w:val="0"/>
          <w:divBdr>
            <w:top w:val="none" w:sz="0" w:space="0" w:color="auto"/>
            <w:left w:val="none" w:sz="0" w:space="0" w:color="auto"/>
            <w:bottom w:val="none" w:sz="0" w:space="0" w:color="auto"/>
            <w:right w:val="none" w:sz="0" w:space="0" w:color="auto"/>
          </w:divBdr>
          <w:divsChild>
            <w:div w:id="812060714">
              <w:marLeft w:val="0"/>
              <w:marRight w:val="0"/>
              <w:marTop w:val="0"/>
              <w:marBottom w:val="0"/>
              <w:divBdr>
                <w:top w:val="none" w:sz="0" w:space="0" w:color="auto"/>
                <w:left w:val="none" w:sz="0" w:space="0" w:color="auto"/>
                <w:bottom w:val="none" w:sz="0" w:space="0" w:color="auto"/>
                <w:right w:val="none" w:sz="0" w:space="0" w:color="auto"/>
              </w:divBdr>
              <w:divsChild>
                <w:div w:id="920142570">
                  <w:marLeft w:val="0"/>
                  <w:marRight w:val="0"/>
                  <w:marTop w:val="0"/>
                  <w:marBottom w:val="150"/>
                  <w:divBdr>
                    <w:top w:val="none" w:sz="0" w:space="0" w:color="auto"/>
                    <w:left w:val="none" w:sz="0" w:space="0" w:color="auto"/>
                    <w:bottom w:val="none" w:sz="0" w:space="0" w:color="auto"/>
                    <w:right w:val="none" w:sz="0" w:space="0" w:color="auto"/>
                  </w:divBdr>
                  <w:divsChild>
                    <w:div w:id="12958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7306">
      <w:bodyDiv w:val="1"/>
      <w:marLeft w:val="0"/>
      <w:marRight w:val="0"/>
      <w:marTop w:val="0"/>
      <w:marBottom w:val="0"/>
      <w:divBdr>
        <w:top w:val="none" w:sz="0" w:space="0" w:color="auto"/>
        <w:left w:val="none" w:sz="0" w:space="0" w:color="auto"/>
        <w:bottom w:val="none" w:sz="0" w:space="0" w:color="auto"/>
        <w:right w:val="none" w:sz="0" w:space="0" w:color="auto"/>
      </w:divBdr>
    </w:div>
    <w:div w:id="1640571378">
      <w:bodyDiv w:val="1"/>
      <w:marLeft w:val="0"/>
      <w:marRight w:val="0"/>
      <w:marTop w:val="0"/>
      <w:marBottom w:val="0"/>
      <w:divBdr>
        <w:top w:val="none" w:sz="0" w:space="0" w:color="auto"/>
        <w:left w:val="none" w:sz="0" w:space="0" w:color="auto"/>
        <w:bottom w:val="none" w:sz="0" w:space="0" w:color="auto"/>
        <w:right w:val="none" w:sz="0" w:space="0" w:color="auto"/>
      </w:divBdr>
    </w:div>
    <w:div w:id="1659654627">
      <w:bodyDiv w:val="1"/>
      <w:marLeft w:val="0"/>
      <w:marRight w:val="0"/>
      <w:marTop w:val="0"/>
      <w:marBottom w:val="0"/>
      <w:divBdr>
        <w:top w:val="none" w:sz="0" w:space="0" w:color="auto"/>
        <w:left w:val="none" w:sz="0" w:space="0" w:color="auto"/>
        <w:bottom w:val="none" w:sz="0" w:space="0" w:color="auto"/>
        <w:right w:val="none" w:sz="0" w:space="0" w:color="auto"/>
      </w:divBdr>
      <w:divsChild>
        <w:div w:id="591546172">
          <w:marLeft w:val="0"/>
          <w:marRight w:val="0"/>
          <w:marTop w:val="0"/>
          <w:marBottom w:val="0"/>
          <w:divBdr>
            <w:top w:val="none" w:sz="0" w:space="0" w:color="auto"/>
            <w:left w:val="none" w:sz="0" w:space="0" w:color="auto"/>
            <w:bottom w:val="none" w:sz="0" w:space="0" w:color="auto"/>
            <w:right w:val="none" w:sz="0" w:space="0" w:color="auto"/>
          </w:divBdr>
          <w:divsChild>
            <w:div w:id="641080786">
              <w:marLeft w:val="0"/>
              <w:marRight w:val="0"/>
              <w:marTop w:val="0"/>
              <w:marBottom w:val="0"/>
              <w:divBdr>
                <w:top w:val="none" w:sz="0" w:space="0" w:color="auto"/>
                <w:left w:val="none" w:sz="0" w:space="0" w:color="auto"/>
                <w:bottom w:val="none" w:sz="0" w:space="0" w:color="auto"/>
                <w:right w:val="none" w:sz="0" w:space="0" w:color="auto"/>
              </w:divBdr>
              <w:divsChild>
                <w:div w:id="450784982">
                  <w:marLeft w:val="0"/>
                  <w:marRight w:val="0"/>
                  <w:marTop w:val="0"/>
                  <w:marBottom w:val="0"/>
                  <w:divBdr>
                    <w:top w:val="none" w:sz="0" w:space="0" w:color="auto"/>
                    <w:left w:val="none" w:sz="0" w:space="0" w:color="auto"/>
                    <w:bottom w:val="none" w:sz="0" w:space="0" w:color="auto"/>
                    <w:right w:val="none" w:sz="0" w:space="0" w:color="auto"/>
                  </w:divBdr>
                  <w:divsChild>
                    <w:div w:id="1512601702">
                      <w:marLeft w:val="0"/>
                      <w:marRight w:val="0"/>
                      <w:marTop w:val="0"/>
                      <w:marBottom w:val="0"/>
                      <w:divBdr>
                        <w:top w:val="single" w:sz="6" w:space="0" w:color="DCD9D9"/>
                        <w:left w:val="single" w:sz="6" w:space="0" w:color="DCD9D9"/>
                        <w:bottom w:val="single" w:sz="2" w:space="0" w:color="DCD9D9"/>
                        <w:right w:val="single" w:sz="6" w:space="0" w:color="DCD9D9"/>
                      </w:divBdr>
                      <w:divsChild>
                        <w:div w:id="2120297467">
                          <w:marLeft w:val="0"/>
                          <w:marRight w:val="-100"/>
                          <w:marTop w:val="450"/>
                          <w:marBottom w:val="0"/>
                          <w:divBdr>
                            <w:top w:val="none" w:sz="0" w:space="0" w:color="auto"/>
                            <w:left w:val="none" w:sz="0" w:space="0" w:color="auto"/>
                            <w:bottom w:val="none" w:sz="0" w:space="0" w:color="auto"/>
                            <w:right w:val="none" w:sz="0" w:space="0" w:color="auto"/>
                          </w:divBdr>
                          <w:divsChild>
                            <w:div w:id="860515118">
                              <w:marLeft w:val="0"/>
                              <w:marRight w:val="0"/>
                              <w:marTop w:val="0"/>
                              <w:marBottom w:val="0"/>
                              <w:divBdr>
                                <w:top w:val="none" w:sz="0" w:space="0" w:color="auto"/>
                                <w:left w:val="none" w:sz="0" w:space="0" w:color="auto"/>
                                <w:bottom w:val="none" w:sz="0" w:space="0" w:color="auto"/>
                                <w:right w:val="none" w:sz="0" w:space="0" w:color="auto"/>
                              </w:divBdr>
                              <w:divsChild>
                                <w:div w:id="932323915">
                                  <w:marLeft w:val="0"/>
                                  <w:marRight w:val="0"/>
                                  <w:marTop w:val="0"/>
                                  <w:marBottom w:val="0"/>
                                  <w:divBdr>
                                    <w:top w:val="none" w:sz="0" w:space="0" w:color="auto"/>
                                    <w:left w:val="none" w:sz="0" w:space="0" w:color="auto"/>
                                    <w:bottom w:val="none" w:sz="0" w:space="0" w:color="auto"/>
                                    <w:right w:val="none" w:sz="0" w:space="0" w:color="auto"/>
                                  </w:divBdr>
                                  <w:divsChild>
                                    <w:div w:id="1639412982">
                                      <w:marLeft w:val="0"/>
                                      <w:marRight w:val="0"/>
                                      <w:marTop w:val="0"/>
                                      <w:marBottom w:val="0"/>
                                      <w:divBdr>
                                        <w:top w:val="none" w:sz="0" w:space="0" w:color="auto"/>
                                        <w:left w:val="none" w:sz="0" w:space="0" w:color="auto"/>
                                        <w:bottom w:val="none" w:sz="0" w:space="0" w:color="auto"/>
                                        <w:right w:val="none" w:sz="0" w:space="0" w:color="auto"/>
                                      </w:divBdr>
                                      <w:divsChild>
                                        <w:div w:id="2039813487">
                                          <w:marLeft w:val="0"/>
                                          <w:marRight w:val="0"/>
                                          <w:marTop w:val="0"/>
                                          <w:marBottom w:val="360"/>
                                          <w:divBdr>
                                            <w:top w:val="none" w:sz="0" w:space="0" w:color="auto"/>
                                            <w:left w:val="none" w:sz="0" w:space="0" w:color="auto"/>
                                            <w:bottom w:val="none" w:sz="0" w:space="0" w:color="auto"/>
                                            <w:right w:val="none" w:sz="0" w:space="0" w:color="auto"/>
                                          </w:divBdr>
                                          <w:divsChild>
                                            <w:div w:id="394398931">
                                              <w:marLeft w:val="0"/>
                                              <w:marRight w:val="0"/>
                                              <w:marTop w:val="0"/>
                                              <w:marBottom w:val="0"/>
                                              <w:divBdr>
                                                <w:top w:val="none" w:sz="0" w:space="0" w:color="auto"/>
                                                <w:left w:val="none" w:sz="0" w:space="0" w:color="auto"/>
                                                <w:bottom w:val="none" w:sz="0" w:space="0" w:color="auto"/>
                                                <w:right w:val="none" w:sz="0" w:space="0" w:color="auto"/>
                                              </w:divBdr>
                                              <w:divsChild>
                                                <w:div w:id="2081366759">
                                                  <w:marLeft w:val="0"/>
                                                  <w:marRight w:val="0"/>
                                                  <w:marTop w:val="0"/>
                                                  <w:marBottom w:val="0"/>
                                                  <w:divBdr>
                                                    <w:top w:val="none" w:sz="0" w:space="0" w:color="auto"/>
                                                    <w:left w:val="none" w:sz="0" w:space="0" w:color="auto"/>
                                                    <w:bottom w:val="none" w:sz="0" w:space="0" w:color="auto"/>
                                                    <w:right w:val="none" w:sz="0" w:space="0" w:color="auto"/>
                                                  </w:divBdr>
                                                  <w:divsChild>
                                                    <w:div w:id="1111632655">
                                                      <w:marLeft w:val="0"/>
                                                      <w:marRight w:val="0"/>
                                                      <w:marTop w:val="0"/>
                                                      <w:marBottom w:val="0"/>
                                                      <w:divBdr>
                                                        <w:top w:val="none" w:sz="0" w:space="0" w:color="auto"/>
                                                        <w:left w:val="none" w:sz="0" w:space="0" w:color="auto"/>
                                                        <w:bottom w:val="none" w:sz="0" w:space="0" w:color="auto"/>
                                                        <w:right w:val="none" w:sz="0" w:space="0" w:color="auto"/>
                                                      </w:divBdr>
                                                      <w:divsChild>
                                                        <w:div w:id="1847399517">
                                                          <w:marLeft w:val="0"/>
                                                          <w:marRight w:val="0"/>
                                                          <w:marTop w:val="0"/>
                                                          <w:marBottom w:val="0"/>
                                                          <w:divBdr>
                                                            <w:top w:val="none" w:sz="0" w:space="0" w:color="auto"/>
                                                            <w:left w:val="none" w:sz="0" w:space="0" w:color="auto"/>
                                                            <w:bottom w:val="none" w:sz="0" w:space="0" w:color="auto"/>
                                                            <w:right w:val="none" w:sz="0" w:space="0" w:color="auto"/>
                                                          </w:divBdr>
                                                          <w:divsChild>
                                                            <w:div w:id="708843865">
                                                              <w:marLeft w:val="0"/>
                                                              <w:marRight w:val="0"/>
                                                              <w:marTop w:val="0"/>
                                                              <w:marBottom w:val="0"/>
                                                              <w:divBdr>
                                                                <w:top w:val="none" w:sz="0" w:space="0" w:color="auto"/>
                                                                <w:left w:val="none" w:sz="0" w:space="0" w:color="auto"/>
                                                                <w:bottom w:val="none" w:sz="0" w:space="0" w:color="auto"/>
                                                                <w:right w:val="none" w:sz="0" w:space="0" w:color="auto"/>
                                                              </w:divBdr>
                                                              <w:divsChild>
                                                                <w:div w:id="4951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9724294">
      <w:bodyDiv w:val="1"/>
      <w:marLeft w:val="0"/>
      <w:marRight w:val="0"/>
      <w:marTop w:val="0"/>
      <w:marBottom w:val="0"/>
      <w:divBdr>
        <w:top w:val="none" w:sz="0" w:space="0" w:color="auto"/>
        <w:left w:val="none" w:sz="0" w:space="0" w:color="auto"/>
        <w:bottom w:val="none" w:sz="0" w:space="0" w:color="auto"/>
        <w:right w:val="none" w:sz="0" w:space="0" w:color="auto"/>
      </w:divBdr>
    </w:div>
    <w:div w:id="1740207679">
      <w:bodyDiv w:val="1"/>
      <w:marLeft w:val="0"/>
      <w:marRight w:val="0"/>
      <w:marTop w:val="0"/>
      <w:marBottom w:val="0"/>
      <w:divBdr>
        <w:top w:val="none" w:sz="0" w:space="0" w:color="auto"/>
        <w:left w:val="none" w:sz="0" w:space="0" w:color="auto"/>
        <w:bottom w:val="none" w:sz="0" w:space="0" w:color="auto"/>
        <w:right w:val="none" w:sz="0" w:space="0" w:color="auto"/>
      </w:divBdr>
    </w:div>
    <w:div w:id="1766535495">
      <w:bodyDiv w:val="1"/>
      <w:marLeft w:val="0"/>
      <w:marRight w:val="0"/>
      <w:marTop w:val="0"/>
      <w:marBottom w:val="0"/>
      <w:divBdr>
        <w:top w:val="none" w:sz="0" w:space="0" w:color="auto"/>
        <w:left w:val="none" w:sz="0" w:space="0" w:color="auto"/>
        <w:bottom w:val="none" w:sz="0" w:space="0" w:color="auto"/>
        <w:right w:val="none" w:sz="0" w:space="0" w:color="auto"/>
      </w:divBdr>
      <w:divsChild>
        <w:div w:id="125871439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782189063">
      <w:bodyDiv w:val="1"/>
      <w:marLeft w:val="0"/>
      <w:marRight w:val="0"/>
      <w:marTop w:val="0"/>
      <w:marBottom w:val="0"/>
      <w:divBdr>
        <w:top w:val="none" w:sz="0" w:space="0" w:color="auto"/>
        <w:left w:val="none" w:sz="0" w:space="0" w:color="auto"/>
        <w:bottom w:val="none" w:sz="0" w:space="0" w:color="auto"/>
        <w:right w:val="none" w:sz="0" w:space="0" w:color="auto"/>
      </w:divBdr>
    </w:div>
    <w:div w:id="1790860279">
      <w:bodyDiv w:val="1"/>
      <w:marLeft w:val="0"/>
      <w:marRight w:val="0"/>
      <w:marTop w:val="0"/>
      <w:marBottom w:val="0"/>
      <w:divBdr>
        <w:top w:val="none" w:sz="0" w:space="0" w:color="auto"/>
        <w:left w:val="none" w:sz="0" w:space="0" w:color="auto"/>
        <w:bottom w:val="none" w:sz="0" w:space="0" w:color="auto"/>
        <w:right w:val="none" w:sz="0" w:space="0" w:color="auto"/>
      </w:divBdr>
    </w:div>
    <w:div w:id="1793019338">
      <w:bodyDiv w:val="1"/>
      <w:marLeft w:val="0"/>
      <w:marRight w:val="0"/>
      <w:marTop w:val="0"/>
      <w:marBottom w:val="0"/>
      <w:divBdr>
        <w:top w:val="none" w:sz="0" w:space="0" w:color="auto"/>
        <w:left w:val="none" w:sz="0" w:space="0" w:color="auto"/>
        <w:bottom w:val="none" w:sz="0" w:space="0" w:color="auto"/>
        <w:right w:val="none" w:sz="0" w:space="0" w:color="auto"/>
      </w:divBdr>
    </w:div>
    <w:div w:id="1837572173">
      <w:bodyDiv w:val="1"/>
      <w:marLeft w:val="0"/>
      <w:marRight w:val="0"/>
      <w:marTop w:val="0"/>
      <w:marBottom w:val="0"/>
      <w:divBdr>
        <w:top w:val="none" w:sz="0" w:space="0" w:color="auto"/>
        <w:left w:val="none" w:sz="0" w:space="0" w:color="auto"/>
        <w:bottom w:val="none" w:sz="0" w:space="0" w:color="auto"/>
        <w:right w:val="none" w:sz="0" w:space="0" w:color="auto"/>
      </w:divBdr>
      <w:divsChild>
        <w:div w:id="1295134226">
          <w:marLeft w:val="446"/>
          <w:marRight w:val="0"/>
          <w:marTop w:val="288"/>
          <w:marBottom w:val="0"/>
          <w:divBdr>
            <w:top w:val="none" w:sz="0" w:space="0" w:color="auto"/>
            <w:left w:val="none" w:sz="0" w:space="0" w:color="auto"/>
            <w:bottom w:val="none" w:sz="0" w:space="0" w:color="auto"/>
            <w:right w:val="none" w:sz="0" w:space="0" w:color="auto"/>
          </w:divBdr>
        </w:div>
      </w:divsChild>
    </w:div>
    <w:div w:id="1838493059">
      <w:bodyDiv w:val="1"/>
      <w:marLeft w:val="0"/>
      <w:marRight w:val="0"/>
      <w:marTop w:val="0"/>
      <w:marBottom w:val="0"/>
      <w:divBdr>
        <w:top w:val="none" w:sz="0" w:space="0" w:color="auto"/>
        <w:left w:val="none" w:sz="0" w:space="0" w:color="auto"/>
        <w:bottom w:val="none" w:sz="0" w:space="0" w:color="auto"/>
        <w:right w:val="none" w:sz="0" w:space="0" w:color="auto"/>
      </w:divBdr>
    </w:div>
    <w:div w:id="1867476374">
      <w:bodyDiv w:val="1"/>
      <w:marLeft w:val="0"/>
      <w:marRight w:val="0"/>
      <w:marTop w:val="0"/>
      <w:marBottom w:val="0"/>
      <w:divBdr>
        <w:top w:val="none" w:sz="0" w:space="0" w:color="auto"/>
        <w:left w:val="none" w:sz="0" w:space="0" w:color="auto"/>
        <w:bottom w:val="none" w:sz="0" w:space="0" w:color="auto"/>
        <w:right w:val="none" w:sz="0" w:space="0" w:color="auto"/>
      </w:divBdr>
    </w:div>
    <w:div w:id="1870338949">
      <w:bodyDiv w:val="1"/>
      <w:marLeft w:val="0"/>
      <w:marRight w:val="0"/>
      <w:marTop w:val="0"/>
      <w:marBottom w:val="0"/>
      <w:divBdr>
        <w:top w:val="none" w:sz="0" w:space="0" w:color="auto"/>
        <w:left w:val="none" w:sz="0" w:space="0" w:color="auto"/>
        <w:bottom w:val="none" w:sz="0" w:space="0" w:color="auto"/>
        <w:right w:val="none" w:sz="0" w:space="0" w:color="auto"/>
      </w:divBdr>
    </w:div>
    <w:div w:id="1874536899">
      <w:bodyDiv w:val="1"/>
      <w:marLeft w:val="0"/>
      <w:marRight w:val="0"/>
      <w:marTop w:val="0"/>
      <w:marBottom w:val="0"/>
      <w:divBdr>
        <w:top w:val="none" w:sz="0" w:space="0" w:color="auto"/>
        <w:left w:val="none" w:sz="0" w:space="0" w:color="auto"/>
        <w:bottom w:val="none" w:sz="0" w:space="0" w:color="auto"/>
        <w:right w:val="none" w:sz="0" w:space="0" w:color="auto"/>
      </w:divBdr>
    </w:div>
    <w:div w:id="1915823404">
      <w:bodyDiv w:val="1"/>
      <w:marLeft w:val="0"/>
      <w:marRight w:val="0"/>
      <w:marTop w:val="0"/>
      <w:marBottom w:val="0"/>
      <w:divBdr>
        <w:top w:val="none" w:sz="0" w:space="0" w:color="auto"/>
        <w:left w:val="none" w:sz="0" w:space="0" w:color="auto"/>
        <w:bottom w:val="none" w:sz="0" w:space="0" w:color="auto"/>
        <w:right w:val="none" w:sz="0" w:space="0" w:color="auto"/>
      </w:divBdr>
    </w:div>
    <w:div w:id="1965966487">
      <w:bodyDiv w:val="1"/>
      <w:marLeft w:val="0"/>
      <w:marRight w:val="0"/>
      <w:marTop w:val="0"/>
      <w:marBottom w:val="0"/>
      <w:divBdr>
        <w:top w:val="none" w:sz="0" w:space="0" w:color="auto"/>
        <w:left w:val="none" w:sz="0" w:space="0" w:color="auto"/>
        <w:bottom w:val="none" w:sz="0" w:space="0" w:color="auto"/>
        <w:right w:val="none" w:sz="0" w:space="0" w:color="auto"/>
      </w:divBdr>
      <w:divsChild>
        <w:div w:id="858397961">
          <w:marLeft w:val="0"/>
          <w:marRight w:val="0"/>
          <w:marTop w:val="0"/>
          <w:marBottom w:val="0"/>
          <w:divBdr>
            <w:top w:val="none" w:sz="0" w:space="0" w:color="auto"/>
            <w:left w:val="none" w:sz="0" w:space="0" w:color="auto"/>
            <w:bottom w:val="none" w:sz="0" w:space="0" w:color="auto"/>
            <w:right w:val="none" w:sz="0" w:space="0" w:color="auto"/>
          </w:divBdr>
          <w:divsChild>
            <w:div w:id="594705745">
              <w:marLeft w:val="0"/>
              <w:marRight w:val="0"/>
              <w:marTop w:val="0"/>
              <w:marBottom w:val="0"/>
              <w:divBdr>
                <w:top w:val="none" w:sz="0" w:space="0" w:color="auto"/>
                <w:left w:val="none" w:sz="0" w:space="0" w:color="auto"/>
                <w:bottom w:val="none" w:sz="0" w:space="0" w:color="auto"/>
                <w:right w:val="none" w:sz="0" w:space="0" w:color="auto"/>
              </w:divBdr>
              <w:divsChild>
                <w:div w:id="1835797032">
                  <w:marLeft w:val="0"/>
                  <w:marRight w:val="0"/>
                  <w:marTop w:val="0"/>
                  <w:marBottom w:val="0"/>
                  <w:divBdr>
                    <w:top w:val="none" w:sz="0" w:space="0" w:color="auto"/>
                    <w:left w:val="none" w:sz="0" w:space="0" w:color="auto"/>
                    <w:bottom w:val="none" w:sz="0" w:space="0" w:color="auto"/>
                    <w:right w:val="none" w:sz="0" w:space="0" w:color="auto"/>
                  </w:divBdr>
                  <w:divsChild>
                    <w:div w:id="1273518523">
                      <w:marLeft w:val="0"/>
                      <w:marRight w:val="0"/>
                      <w:marTop w:val="0"/>
                      <w:marBottom w:val="0"/>
                      <w:divBdr>
                        <w:top w:val="none" w:sz="0" w:space="0" w:color="auto"/>
                        <w:left w:val="none" w:sz="0" w:space="0" w:color="auto"/>
                        <w:bottom w:val="none" w:sz="0" w:space="0" w:color="auto"/>
                        <w:right w:val="none" w:sz="0" w:space="0" w:color="auto"/>
                      </w:divBdr>
                      <w:divsChild>
                        <w:div w:id="1511332020">
                          <w:marLeft w:val="0"/>
                          <w:marRight w:val="0"/>
                          <w:marTop w:val="0"/>
                          <w:marBottom w:val="0"/>
                          <w:divBdr>
                            <w:top w:val="none" w:sz="0" w:space="0" w:color="auto"/>
                            <w:left w:val="none" w:sz="0" w:space="0" w:color="auto"/>
                            <w:bottom w:val="none" w:sz="0" w:space="0" w:color="auto"/>
                            <w:right w:val="none" w:sz="0" w:space="0" w:color="auto"/>
                          </w:divBdr>
                          <w:divsChild>
                            <w:div w:id="181432070">
                              <w:marLeft w:val="0"/>
                              <w:marRight w:val="0"/>
                              <w:marTop w:val="0"/>
                              <w:marBottom w:val="0"/>
                              <w:divBdr>
                                <w:top w:val="none" w:sz="0" w:space="0" w:color="auto"/>
                                <w:left w:val="none" w:sz="0" w:space="0" w:color="auto"/>
                                <w:bottom w:val="none" w:sz="0" w:space="0" w:color="auto"/>
                                <w:right w:val="none" w:sz="0" w:space="0" w:color="auto"/>
                              </w:divBdr>
                              <w:divsChild>
                                <w:div w:id="1187406618">
                                  <w:marLeft w:val="0"/>
                                  <w:marRight w:val="0"/>
                                  <w:marTop w:val="0"/>
                                  <w:marBottom w:val="0"/>
                                  <w:divBdr>
                                    <w:top w:val="none" w:sz="0" w:space="0" w:color="auto"/>
                                    <w:left w:val="none" w:sz="0" w:space="0" w:color="auto"/>
                                    <w:bottom w:val="none" w:sz="0" w:space="0" w:color="auto"/>
                                    <w:right w:val="none" w:sz="0" w:space="0" w:color="auto"/>
                                  </w:divBdr>
                                  <w:divsChild>
                                    <w:div w:id="1089544663">
                                      <w:marLeft w:val="0"/>
                                      <w:marRight w:val="0"/>
                                      <w:marTop w:val="0"/>
                                      <w:marBottom w:val="0"/>
                                      <w:divBdr>
                                        <w:top w:val="none" w:sz="0" w:space="0" w:color="auto"/>
                                        <w:left w:val="none" w:sz="0" w:space="0" w:color="auto"/>
                                        <w:bottom w:val="none" w:sz="0" w:space="0" w:color="auto"/>
                                        <w:right w:val="none" w:sz="0" w:space="0" w:color="auto"/>
                                      </w:divBdr>
                                      <w:divsChild>
                                        <w:div w:id="1402950437">
                                          <w:marLeft w:val="0"/>
                                          <w:marRight w:val="0"/>
                                          <w:marTop w:val="0"/>
                                          <w:marBottom w:val="0"/>
                                          <w:divBdr>
                                            <w:top w:val="none" w:sz="0" w:space="0" w:color="auto"/>
                                            <w:left w:val="none" w:sz="0" w:space="0" w:color="auto"/>
                                            <w:bottom w:val="none" w:sz="0" w:space="0" w:color="auto"/>
                                            <w:right w:val="none" w:sz="0" w:space="0" w:color="auto"/>
                                          </w:divBdr>
                                          <w:divsChild>
                                            <w:div w:id="90708522">
                                              <w:marLeft w:val="0"/>
                                              <w:marRight w:val="0"/>
                                              <w:marTop w:val="0"/>
                                              <w:marBottom w:val="0"/>
                                              <w:divBdr>
                                                <w:top w:val="none" w:sz="0" w:space="0" w:color="auto"/>
                                                <w:left w:val="none" w:sz="0" w:space="0" w:color="auto"/>
                                                <w:bottom w:val="none" w:sz="0" w:space="0" w:color="auto"/>
                                                <w:right w:val="none" w:sz="0" w:space="0" w:color="auto"/>
                                              </w:divBdr>
                                              <w:divsChild>
                                                <w:div w:id="1545094212">
                                                  <w:marLeft w:val="0"/>
                                                  <w:marRight w:val="0"/>
                                                  <w:marTop w:val="0"/>
                                                  <w:marBottom w:val="0"/>
                                                  <w:divBdr>
                                                    <w:top w:val="none" w:sz="0" w:space="0" w:color="auto"/>
                                                    <w:left w:val="none" w:sz="0" w:space="0" w:color="auto"/>
                                                    <w:bottom w:val="none" w:sz="0" w:space="0" w:color="auto"/>
                                                    <w:right w:val="none" w:sz="0" w:space="0" w:color="auto"/>
                                                  </w:divBdr>
                                                  <w:divsChild>
                                                    <w:div w:id="7857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471007">
      <w:bodyDiv w:val="1"/>
      <w:marLeft w:val="0"/>
      <w:marRight w:val="0"/>
      <w:marTop w:val="0"/>
      <w:marBottom w:val="0"/>
      <w:divBdr>
        <w:top w:val="none" w:sz="0" w:space="0" w:color="auto"/>
        <w:left w:val="none" w:sz="0" w:space="0" w:color="auto"/>
        <w:bottom w:val="none" w:sz="0" w:space="0" w:color="auto"/>
        <w:right w:val="none" w:sz="0" w:space="0" w:color="auto"/>
      </w:divBdr>
      <w:divsChild>
        <w:div w:id="137260823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990862433">
      <w:bodyDiv w:val="1"/>
      <w:marLeft w:val="0"/>
      <w:marRight w:val="0"/>
      <w:marTop w:val="0"/>
      <w:marBottom w:val="0"/>
      <w:divBdr>
        <w:top w:val="none" w:sz="0" w:space="0" w:color="auto"/>
        <w:left w:val="none" w:sz="0" w:space="0" w:color="auto"/>
        <w:bottom w:val="none" w:sz="0" w:space="0" w:color="auto"/>
        <w:right w:val="none" w:sz="0" w:space="0" w:color="auto"/>
      </w:divBdr>
    </w:div>
    <w:div w:id="1992319638">
      <w:bodyDiv w:val="1"/>
      <w:marLeft w:val="0"/>
      <w:marRight w:val="0"/>
      <w:marTop w:val="0"/>
      <w:marBottom w:val="0"/>
      <w:divBdr>
        <w:top w:val="none" w:sz="0" w:space="0" w:color="auto"/>
        <w:left w:val="none" w:sz="0" w:space="0" w:color="auto"/>
        <w:bottom w:val="none" w:sz="0" w:space="0" w:color="auto"/>
        <w:right w:val="none" w:sz="0" w:space="0" w:color="auto"/>
      </w:divBdr>
      <w:divsChild>
        <w:div w:id="2042825859">
          <w:marLeft w:val="0"/>
          <w:marRight w:val="0"/>
          <w:marTop w:val="0"/>
          <w:marBottom w:val="0"/>
          <w:divBdr>
            <w:top w:val="none" w:sz="0" w:space="0" w:color="auto"/>
            <w:left w:val="none" w:sz="0" w:space="0" w:color="auto"/>
            <w:bottom w:val="none" w:sz="0" w:space="0" w:color="auto"/>
            <w:right w:val="none" w:sz="0" w:space="0" w:color="auto"/>
          </w:divBdr>
          <w:divsChild>
            <w:div w:id="754279321">
              <w:marLeft w:val="0"/>
              <w:marRight w:val="0"/>
              <w:marTop w:val="0"/>
              <w:marBottom w:val="0"/>
              <w:divBdr>
                <w:top w:val="none" w:sz="0" w:space="0" w:color="auto"/>
                <w:left w:val="none" w:sz="0" w:space="0" w:color="auto"/>
                <w:bottom w:val="none" w:sz="0" w:space="0" w:color="auto"/>
                <w:right w:val="none" w:sz="0" w:space="0" w:color="auto"/>
              </w:divBdr>
              <w:divsChild>
                <w:div w:id="688604690">
                  <w:marLeft w:val="0"/>
                  <w:marRight w:val="0"/>
                  <w:marTop w:val="0"/>
                  <w:marBottom w:val="0"/>
                  <w:divBdr>
                    <w:top w:val="none" w:sz="0" w:space="0" w:color="auto"/>
                    <w:left w:val="none" w:sz="0" w:space="0" w:color="auto"/>
                    <w:bottom w:val="none" w:sz="0" w:space="0" w:color="auto"/>
                    <w:right w:val="none" w:sz="0" w:space="0" w:color="auto"/>
                  </w:divBdr>
                  <w:divsChild>
                    <w:div w:id="944851427">
                      <w:marLeft w:val="0"/>
                      <w:marRight w:val="0"/>
                      <w:marTop w:val="0"/>
                      <w:marBottom w:val="0"/>
                      <w:divBdr>
                        <w:top w:val="single" w:sz="6" w:space="0" w:color="DCD9D9"/>
                        <w:left w:val="single" w:sz="6" w:space="0" w:color="DCD9D9"/>
                        <w:bottom w:val="single" w:sz="2" w:space="0" w:color="DCD9D9"/>
                        <w:right w:val="single" w:sz="6" w:space="0" w:color="DCD9D9"/>
                      </w:divBdr>
                      <w:divsChild>
                        <w:div w:id="264464726">
                          <w:marLeft w:val="0"/>
                          <w:marRight w:val="-100"/>
                          <w:marTop w:val="450"/>
                          <w:marBottom w:val="0"/>
                          <w:divBdr>
                            <w:top w:val="none" w:sz="0" w:space="0" w:color="auto"/>
                            <w:left w:val="none" w:sz="0" w:space="0" w:color="auto"/>
                            <w:bottom w:val="none" w:sz="0" w:space="0" w:color="auto"/>
                            <w:right w:val="none" w:sz="0" w:space="0" w:color="auto"/>
                          </w:divBdr>
                          <w:divsChild>
                            <w:div w:id="1530335644">
                              <w:marLeft w:val="0"/>
                              <w:marRight w:val="0"/>
                              <w:marTop w:val="0"/>
                              <w:marBottom w:val="0"/>
                              <w:divBdr>
                                <w:top w:val="none" w:sz="0" w:space="0" w:color="auto"/>
                                <w:left w:val="none" w:sz="0" w:space="0" w:color="auto"/>
                                <w:bottom w:val="none" w:sz="0" w:space="0" w:color="auto"/>
                                <w:right w:val="none" w:sz="0" w:space="0" w:color="auto"/>
                              </w:divBdr>
                              <w:divsChild>
                                <w:div w:id="1904820">
                                  <w:marLeft w:val="0"/>
                                  <w:marRight w:val="0"/>
                                  <w:marTop w:val="0"/>
                                  <w:marBottom w:val="0"/>
                                  <w:divBdr>
                                    <w:top w:val="none" w:sz="0" w:space="0" w:color="auto"/>
                                    <w:left w:val="none" w:sz="0" w:space="0" w:color="auto"/>
                                    <w:bottom w:val="none" w:sz="0" w:space="0" w:color="auto"/>
                                    <w:right w:val="none" w:sz="0" w:space="0" w:color="auto"/>
                                  </w:divBdr>
                                  <w:divsChild>
                                    <w:div w:id="2098674081">
                                      <w:marLeft w:val="0"/>
                                      <w:marRight w:val="0"/>
                                      <w:marTop w:val="0"/>
                                      <w:marBottom w:val="0"/>
                                      <w:divBdr>
                                        <w:top w:val="none" w:sz="0" w:space="0" w:color="auto"/>
                                        <w:left w:val="none" w:sz="0" w:space="0" w:color="auto"/>
                                        <w:bottom w:val="none" w:sz="0" w:space="0" w:color="auto"/>
                                        <w:right w:val="none" w:sz="0" w:space="0" w:color="auto"/>
                                      </w:divBdr>
                                      <w:divsChild>
                                        <w:div w:id="658732797">
                                          <w:marLeft w:val="0"/>
                                          <w:marRight w:val="0"/>
                                          <w:marTop w:val="0"/>
                                          <w:marBottom w:val="360"/>
                                          <w:divBdr>
                                            <w:top w:val="none" w:sz="0" w:space="0" w:color="auto"/>
                                            <w:left w:val="none" w:sz="0" w:space="0" w:color="auto"/>
                                            <w:bottom w:val="none" w:sz="0" w:space="0" w:color="auto"/>
                                            <w:right w:val="none" w:sz="0" w:space="0" w:color="auto"/>
                                          </w:divBdr>
                                          <w:divsChild>
                                            <w:div w:id="2075346800">
                                              <w:marLeft w:val="0"/>
                                              <w:marRight w:val="0"/>
                                              <w:marTop w:val="0"/>
                                              <w:marBottom w:val="0"/>
                                              <w:divBdr>
                                                <w:top w:val="none" w:sz="0" w:space="0" w:color="auto"/>
                                                <w:left w:val="none" w:sz="0" w:space="0" w:color="auto"/>
                                                <w:bottom w:val="none" w:sz="0" w:space="0" w:color="auto"/>
                                                <w:right w:val="none" w:sz="0" w:space="0" w:color="auto"/>
                                              </w:divBdr>
                                              <w:divsChild>
                                                <w:div w:id="176121603">
                                                  <w:marLeft w:val="0"/>
                                                  <w:marRight w:val="0"/>
                                                  <w:marTop w:val="0"/>
                                                  <w:marBottom w:val="0"/>
                                                  <w:divBdr>
                                                    <w:top w:val="none" w:sz="0" w:space="0" w:color="auto"/>
                                                    <w:left w:val="none" w:sz="0" w:space="0" w:color="auto"/>
                                                    <w:bottom w:val="none" w:sz="0" w:space="0" w:color="auto"/>
                                                    <w:right w:val="none" w:sz="0" w:space="0" w:color="auto"/>
                                                  </w:divBdr>
                                                  <w:divsChild>
                                                    <w:div w:id="1641693636">
                                                      <w:marLeft w:val="0"/>
                                                      <w:marRight w:val="0"/>
                                                      <w:marTop w:val="0"/>
                                                      <w:marBottom w:val="0"/>
                                                      <w:divBdr>
                                                        <w:top w:val="none" w:sz="0" w:space="0" w:color="auto"/>
                                                        <w:left w:val="none" w:sz="0" w:space="0" w:color="auto"/>
                                                        <w:bottom w:val="none" w:sz="0" w:space="0" w:color="auto"/>
                                                        <w:right w:val="none" w:sz="0" w:space="0" w:color="auto"/>
                                                      </w:divBdr>
                                                      <w:divsChild>
                                                        <w:div w:id="1042367682">
                                                          <w:marLeft w:val="0"/>
                                                          <w:marRight w:val="0"/>
                                                          <w:marTop w:val="0"/>
                                                          <w:marBottom w:val="0"/>
                                                          <w:divBdr>
                                                            <w:top w:val="none" w:sz="0" w:space="0" w:color="auto"/>
                                                            <w:left w:val="none" w:sz="0" w:space="0" w:color="auto"/>
                                                            <w:bottom w:val="none" w:sz="0" w:space="0" w:color="auto"/>
                                                            <w:right w:val="none" w:sz="0" w:space="0" w:color="auto"/>
                                                          </w:divBdr>
                                                          <w:divsChild>
                                                            <w:div w:id="155079204">
                                                              <w:marLeft w:val="0"/>
                                                              <w:marRight w:val="0"/>
                                                              <w:marTop w:val="0"/>
                                                              <w:marBottom w:val="0"/>
                                                              <w:divBdr>
                                                                <w:top w:val="none" w:sz="0" w:space="0" w:color="auto"/>
                                                                <w:left w:val="none" w:sz="0" w:space="0" w:color="auto"/>
                                                                <w:bottom w:val="none" w:sz="0" w:space="0" w:color="auto"/>
                                                                <w:right w:val="none" w:sz="0" w:space="0" w:color="auto"/>
                                                              </w:divBdr>
                                                              <w:divsChild>
                                                                <w:div w:id="16140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308088">
      <w:bodyDiv w:val="1"/>
      <w:marLeft w:val="0"/>
      <w:marRight w:val="0"/>
      <w:marTop w:val="0"/>
      <w:marBottom w:val="0"/>
      <w:divBdr>
        <w:top w:val="none" w:sz="0" w:space="0" w:color="auto"/>
        <w:left w:val="none" w:sz="0" w:space="0" w:color="auto"/>
        <w:bottom w:val="none" w:sz="0" w:space="0" w:color="auto"/>
        <w:right w:val="none" w:sz="0" w:space="0" w:color="auto"/>
      </w:divBdr>
    </w:div>
    <w:div w:id="2000694801">
      <w:bodyDiv w:val="1"/>
      <w:marLeft w:val="0"/>
      <w:marRight w:val="0"/>
      <w:marTop w:val="0"/>
      <w:marBottom w:val="0"/>
      <w:divBdr>
        <w:top w:val="none" w:sz="0" w:space="0" w:color="auto"/>
        <w:left w:val="none" w:sz="0" w:space="0" w:color="auto"/>
        <w:bottom w:val="none" w:sz="0" w:space="0" w:color="auto"/>
        <w:right w:val="none" w:sz="0" w:space="0" w:color="auto"/>
      </w:divBdr>
    </w:div>
    <w:div w:id="2005279478">
      <w:bodyDiv w:val="1"/>
      <w:marLeft w:val="0"/>
      <w:marRight w:val="0"/>
      <w:marTop w:val="0"/>
      <w:marBottom w:val="0"/>
      <w:divBdr>
        <w:top w:val="none" w:sz="0" w:space="0" w:color="auto"/>
        <w:left w:val="none" w:sz="0" w:space="0" w:color="auto"/>
        <w:bottom w:val="none" w:sz="0" w:space="0" w:color="auto"/>
        <w:right w:val="none" w:sz="0" w:space="0" w:color="auto"/>
      </w:divBdr>
    </w:div>
    <w:div w:id="2030792063">
      <w:bodyDiv w:val="1"/>
      <w:marLeft w:val="0"/>
      <w:marRight w:val="0"/>
      <w:marTop w:val="0"/>
      <w:marBottom w:val="0"/>
      <w:divBdr>
        <w:top w:val="none" w:sz="0" w:space="0" w:color="auto"/>
        <w:left w:val="none" w:sz="0" w:space="0" w:color="auto"/>
        <w:bottom w:val="none" w:sz="0" w:space="0" w:color="auto"/>
        <w:right w:val="none" w:sz="0" w:space="0" w:color="auto"/>
      </w:divBdr>
    </w:div>
    <w:div w:id="2042824044">
      <w:bodyDiv w:val="1"/>
      <w:marLeft w:val="0"/>
      <w:marRight w:val="0"/>
      <w:marTop w:val="0"/>
      <w:marBottom w:val="0"/>
      <w:divBdr>
        <w:top w:val="none" w:sz="0" w:space="0" w:color="auto"/>
        <w:left w:val="none" w:sz="0" w:space="0" w:color="auto"/>
        <w:bottom w:val="none" w:sz="0" w:space="0" w:color="auto"/>
        <w:right w:val="none" w:sz="0" w:space="0" w:color="auto"/>
      </w:divBdr>
      <w:divsChild>
        <w:div w:id="953486460">
          <w:marLeft w:val="0"/>
          <w:marRight w:val="0"/>
          <w:marTop w:val="0"/>
          <w:marBottom w:val="0"/>
          <w:divBdr>
            <w:top w:val="none" w:sz="0" w:space="0" w:color="auto"/>
            <w:left w:val="none" w:sz="0" w:space="0" w:color="auto"/>
            <w:bottom w:val="none" w:sz="0" w:space="0" w:color="auto"/>
            <w:right w:val="none" w:sz="0" w:space="0" w:color="auto"/>
          </w:divBdr>
          <w:divsChild>
            <w:div w:id="593173284">
              <w:marLeft w:val="0"/>
              <w:marRight w:val="0"/>
              <w:marTop w:val="0"/>
              <w:marBottom w:val="0"/>
              <w:divBdr>
                <w:top w:val="none" w:sz="0" w:space="0" w:color="auto"/>
                <w:left w:val="none" w:sz="0" w:space="0" w:color="auto"/>
                <w:bottom w:val="none" w:sz="0" w:space="0" w:color="auto"/>
                <w:right w:val="none" w:sz="0" w:space="0" w:color="auto"/>
              </w:divBdr>
              <w:divsChild>
                <w:div w:id="208886778">
                  <w:marLeft w:val="0"/>
                  <w:marRight w:val="0"/>
                  <w:marTop w:val="0"/>
                  <w:marBottom w:val="150"/>
                  <w:divBdr>
                    <w:top w:val="none" w:sz="0" w:space="0" w:color="auto"/>
                    <w:left w:val="none" w:sz="0" w:space="0" w:color="auto"/>
                    <w:bottom w:val="none" w:sz="0" w:space="0" w:color="auto"/>
                    <w:right w:val="none" w:sz="0" w:space="0" w:color="auto"/>
                  </w:divBdr>
                  <w:divsChild>
                    <w:div w:id="2100368496">
                      <w:marLeft w:val="0"/>
                      <w:marRight w:val="0"/>
                      <w:marTop w:val="0"/>
                      <w:marBottom w:val="0"/>
                      <w:divBdr>
                        <w:top w:val="none" w:sz="0" w:space="0" w:color="auto"/>
                        <w:left w:val="none" w:sz="0" w:space="0" w:color="auto"/>
                        <w:bottom w:val="none" w:sz="0" w:space="0" w:color="auto"/>
                        <w:right w:val="none" w:sz="0" w:space="0" w:color="auto"/>
                      </w:divBdr>
                      <w:divsChild>
                        <w:div w:id="1031491316">
                          <w:marLeft w:val="0"/>
                          <w:marRight w:val="0"/>
                          <w:marTop w:val="0"/>
                          <w:marBottom w:val="0"/>
                          <w:divBdr>
                            <w:top w:val="single" w:sz="6" w:space="6" w:color="C0C0C0"/>
                            <w:left w:val="single" w:sz="6" w:space="6" w:color="C0C0C0"/>
                            <w:bottom w:val="single" w:sz="6" w:space="4" w:color="C0C0C0"/>
                            <w:right w:val="single" w:sz="6" w:space="4" w:color="C0C0C0"/>
                          </w:divBdr>
                          <w:divsChild>
                            <w:div w:id="54546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794985">
      <w:bodyDiv w:val="1"/>
      <w:marLeft w:val="0"/>
      <w:marRight w:val="0"/>
      <w:marTop w:val="0"/>
      <w:marBottom w:val="0"/>
      <w:divBdr>
        <w:top w:val="none" w:sz="0" w:space="0" w:color="auto"/>
        <w:left w:val="none" w:sz="0" w:space="0" w:color="auto"/>
        <w:bottom w:val="none" w:sz="0" w:space="0" w:color="auto"/>
        <w:right w:val="none" w:sz="0" w:space="0" w:color="auto"/>
      </w:divBdr>
    </w:div>
    <w:div w:id="2122407712">
      <w:bodyDiv w:val="1"/>
      <w:marLeft w:val="0"/>
      <w:marRight w:val="0"/>
      <w:marTop w:val="0"/>
      <w:marBottom w:val="0"/>
      <w:divBdr>
        <w:top w:val="none" w:sz="0" w:space="0" w:color="auto"/>
        <w:left w:val="none" w:sz="0" w:space="0" w:color="auto"/>
        <w:bottom w:val="none" w:sz="0" w:space="0" w:color="auto"/>
        <w:right w:val="none" w:sz="0" w:space="0" w:color="auto"/>
      </w:divBdr>
    </w:div>
    <w:div w:id="2126387765">
      <w:bodyDiv w:val="1"/>
      <w:marLeft w:val="0"/>
      <w:marRight w:val="0"/>
      <w:marTop w:val="0"/>
      <w:marBottom w:val="0"/>
      <w:divBdr>
        <w:top w:val="none" w:sz="0" w:space="0" w:color="auto"/>
        <w:left w:val="none" w:sz="0" w:space="0" w:color="auto"/>
        <w:bottom w:val="none" w:sz="0" w:space="0" w:color="auto"/>
        <w:right w:val="none" w:sz="0" w:space="0" w:color="auto"/>
      </w:divBdr>
    </w:div>
    <w:div w:id="2133818875">
      <w:bodyDiv w:val="1"/>
      <w:marLeft w:val="0"/>
      <w:marRight w:val="0"/>
      <w:marTop w:val="0"/>
      <w:marBottom w:val="0"/>
      <w:divBdr>
        <w:top w:val="none" w:sz="0" w:space="0" w:color="auto"/>
        <w:left w:val="none" w:sz="0" w:space="0" w:color="auto"/>
        <w:bottom w:val="none" w:sz="0" w:space="0" w:color="auto"/>
        <w:right w:val="none" w:sz="0" w:space="0" w:color="auto"/>
      </w:divBdr>
    </w:div>
    <w:div w:id="2135516535">
      <w:bodyDiv w:val="1"/>
      <w:marLeft w:val="0"/>
      <w:marRight w:val="0"/>
      <w:marTop w:val="0"/>
      <w:marBottom w:val="0"/>
      <w:divBdr>
        <w:top w:val="none" w:sz="0" w:space="0" w:color="auto"/>
        <w:left w:val="none" w:sz="0" w:space="0" w:color="auto"/>
        <w:bottom w:val="none" w:sz="0" w:space="0" w:color="auto"/>
        <w:right w:val="none" w:sz="0" w:space="0" w:color="auto"/>
      </w:divBdr>
      <w:divsChild>
        <w:div w:id="174379016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120"/>
              <w:marRight w:val="120"/>
              <w:marTop w:val="0"/>
              <w:marBottom w:val="0"/>
              <w:divBdr>
                <w:top w:val="none" w:sz="0" w:space="0" w:color="auto"/>
                <w:left w:val="none" w:sz="0" w:space="0" w:color="auto"/>
                <w:bottom w:val="none" w:sz="0" w:space="0" w:color="auto"/>
                <w:right w:val="none" w:sz="0" w:space="0" w:color="auto"/>
              </w:divBdr>
              <w:divsChild>
                <w:div w:id="1723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creativecommons.org/licenses/by/3.0/au/legalcode" TargetMode="External"/><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hyperlink" Target="mailto:medialiaison@treasury.gov.au" TargetMode="External"/><Relationship Id="rId34" Type="http://schemas.openxmlformats.org/officeDocument/2006/relationships/image" Target="media/image4.jpeg"/><Relationship Id="rId42" Type="http://schemas.openxmlformats.org/officeDocument/2006/relationships/image" Target="media/image6.emf"/><Relationship Id="rId47" Type="http://schemas.openxmlformats.org/officeDocument/2006/relationships/image" Target="media/image8.emf"/><Relationship Id="rId50" Type="http://schemas.openxmlformats.org/officeDocument/2006/relationships/hyperlink" Target="http://www.euromonitor.com/grocery-retailers-in-switzerland/report" TargetMode="External"/><Relationship Id="rId55" Type="http://schemas.openxmlformats.org/officeDocument/2006/relationships/image" Target="media/image11.emf"/><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itsanhonour.gov.au" TargetMode="External"/><Relationship Id="rId29" Type="http://schemas.openxmlformats.org/officeDocument/2006/relationships/header" Target="header6.xml"/><Relationship Id="rId41" Type="http://schemas.openxmlformats.org/officeDocument/2006/relationships/header" Target="header8.xml"/><Relationship Id="rId54" Type="http://schemas.openxmlformats.org/officeDocument/2006/relationships/header" Target="header11.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www.competitionpolicyreview.gov.au" TargetMode="Externa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0.xml"/><Relationship Id="rId53" Type="http://schemas.openxmlformats.org/officeDocument/2006/relationships/image" Target="media/image10.emf"/><Relationship Id="rId58" Type="http://schemas.openxmlformats.org/officeDocument/2006/relationships/image" Target="cid:image003.png@01CF7522.834D8FF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5.emf"/><Relationship Id="rId49" Type="http://schemas.openxmlformats.org/officeDocument/2006/relationships/hyperlink" Target="http://theconversation.com/factcheck-is-our-grocery-market-one-of-the-most-concentrated-in-the-world-16520" TargetMode="External"/><Relationship Id="rId57" Type="http://schemas.openxmlformats.org/officeDocument/2006/relationships/image" Target="media/image12.png"/><Relationship Id="rId61"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yperlink" Target="http://creativecommons.org/licenses/by/3.0/au/deed.en" TargetMode="External"/><Relationship Id="rId31" Type="http://schemas.openxmlformats.org/officeDocument/2006/relationships/hyperlink" Target="http://www.competitionpolicyreview.gov.au" TargetMode="External"/><Relationship Id="rId44" Type="http://schemas.openxmlformats.org/officeDocument/2006/relationships/footer" Target="footer9.xml"/><Relationship Id="rId52" Type="http://schemas.openxmlformats.org/officeDocument/2006/relationships/oleObject" Target="embeddings/oleObject1.bin"/><Relationship Id="rId60" Type="http://schemas.openxmlformats.org/officeDocument/2006/relationships/hyperlink" Target="http://www.competitionpolicyreview.gov.au/issuespaper/submiss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yperlink" Target="http://www.competitionpolicyreview.gov.au" TargetMode="External"/><Relationship Id="rId35" Type="http://schemas.openxmlformats.org/officeDocument/2006/relationships/footer" Target="footer5.xml"/><Relationship Id="rId43" Type="http://schemas.openxmlformats.org/officeDocument/2006/relationships/header" Target="header9.xml"/><Relationship Id="rId48" Type="http://schemas.openxmlformats.org/officeDocument/2006/relationships/hyperlink" Target="http://www.accc.gov.au/system/files/Grocery%20inquiry%20report%20-%20July%202008.pdf" TargetMode="External"/><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creativecommons.org/licenses/by/3.0/au/deed.en" TargetMode="External"/><Relationship Id="rId25" Type="http://schemas.openxmlformats.org/officeDocument/2006/relationships/header" Target="header3.xml"/><Relationship Id="rId33" Type="http://schemas.openxmlformats.org/officeDocument/2006/relationships/hyperlink" Target="http://www.competitionpolicyreview.gov.au/submissions/" TargetMode="External"/><Relationship Id="rId38" Type="http://schemas.openxmlformats.org/officeDocument/2006/relationships/footer" Target="footer6.xml"/><Relationship Id="rId46" Type="http://schemas.openxmlformats.org/officeDocument/2006/relationships/image" Target="media/image7.emf"/><Relationship Id="rId59" Type="http://schemas.openxmlformats.org/officeDocument/2006/relationships/header" Target="header13.xml"/></Relationships>
</file>

<file path=word/_rels/footnotes.xml.rels><?xml version="1.0" encoding="UTF-8" standalone="yes"?>
<Relationships xmlns="http://schemas.openxmlformats.org/package/2006/relationships"><Relationship Id="rId117" Type="http://schemas.openxmlformats.org/officeDocument/2006/relationships/hyperlink" Target="http://www.taxiindustryinquiry.vic.gov.au/final-report-customers-first" TargetMode="External"/><Relationship Id="rId21" Type="http://schemas.openxmlformats.org/officeDocument/2006/relationships/hyperlink" Target="http://www.dpmc.gov.au/deregulation/obpr/proposal/coag_requirements/coag-guidance.cfm" TargetMode="External"/><Relationship Id="rId42" Type="http://schemas.openxmlformats.org/officeDocument/2006/relationships/hyperlink" Target="http://www.pc.gov.au/__data/assets/pdf_file/0004/90265/books.pdf" TargetMode="External"/><Relationship Id="rId63" Type="http://schemas.openxmlformats.org/officeDocument/2006/relationships/hyperlink" Target="http://www.standards.org.au/InternationalEngagement/Pages/default.aspx" TargetMode="External"/><Relationship Id="rId84" Type="http://schemas.openxmlformats.org/officeDocument/2006/relationships/hyperlink" Target="http://data.daff.gov.au/data/warehouse/9aap/2014/apgpfd9abp_20140220/AgProdGrthPstRfmFtrOppsv1.0.0.pdf" TargetMode="External"/><Relationship Id="rId138" Type="http://schemas.openxmlformats.org/officeDocument/2006/relationships/hyperlink" Target="https://www.gov.uk/government/uploads/system/uploads/attachment_data/file/255288/OpenPublicServices-WhitePaper.pdf" TargetMode="External"/><Relationship Id="rId159" Type="http://schemas.openxmlformats.org/officeDocument/2006/relationships/hyperlink" Target="http://vcoss.org.au/documents/2013/05/Service-Sector-Reform-Reflections-on-the-consultations-May-2013.pdf" TargetMode="External"/><Relationship Id="rId170" Type="http://schemas.openxmlformats.org/officeDocument/2006/relationships/hyperlink" Target="http://www.oecd.org/daf/ca/50250955.pdf" TargetMode="External"/><Relationship Id="rId191" Type="http://schemas.openxmlformats.org/officeDocument/2006/relationships/hyperlink" Target="http://tpareview.treasury.gov.au/content/report.asp" TargetMode="External"/><Relationship Id="rId205" Type="http://schemas.openxmlformats.org/officeDocument/2006/relationships/hyperlink" Target="http://www.comlaw.gov.au/Details/C2010C00623/Html/Volume_1" TargetMode="External"/><Relationship Id="rId226" Type="http://schemas.openxmlformats.org/officeDocument/2006/relationships/hyperlink" Target="http://www.sasbc.sa.gov.au/dispute_resolution/overview" TargetMode="External"/><Relationship Id="rId247" Type="http://schemas.openxmlformats.org/officeDocument/2006/relationships/hyperlink" Target="http://www.pc.gov.au/projects/inquiry/access-regime/report" TargetMode="External"/><Relationship Id="rId107" Type="http://schemas.openxmlformats.org/officeDocument/2006/relationships/hyperlink" Target="http://www.infrastructureaustralia.gov.au/publications/files/COAG_National_Ports_Strategy.pdf" TargetMode="External"/><Relationship Id="rId11" Type="http://schemas.openxmlformats.org/officeDocument/2006/relationships/hyperlink" Target="http://ncp.ncc.gov.au/docs/PIAg-001.pdf" TargetMode="External"/><Relationship Id="rId32" Type="http://schemas.openxmlformats.org/officeDocument/2006/relationships/hyperlink" Target="http://www.pc.gov.au/__data/assets/pdf_file/0016/46033/ncp.pdf" TargetMode="External"/><Relationship Id="rId53" Type="http://schemas.openxmlformats.org/officeDocument/2006/relationships/hyperlink" Target="https://www.accc.gov.au/system/files/Grocery%20inquiry%20report%20-%20July%202008.pdf" TargetMode="External"/><Relationship Id="rId74" Type="http://schemas.openxmlformats.org/officeDocument/2006/relationships/hyperlink" Target="http://www.communications.gov.au/__data/assets/pdf_file/0017/233513/Control_Background_Paper.pdf" TargetMode="External"/><Relationship Id="rId128" Type="http://schemas.openxmlformats.org/officeDocument/2006/relationships/hyperlink" Target="https://www.gov.uk/government/uploads/system/uploads/attachment_data/file/255288/OpenPublicServices-WhitePaper.pdf" TargetMode="External"/><Relationship Id="rId149" Type="http://schemas.openxmlformats.org/officeDocument/2006/relationships/hyperlink" Target="http://www.pc.gov.au/__data/assets/pdf_file/0020/54902/sub043.pdf" TargetMode="External"/><Relationship Id="rId5" Type="http://schemas.openxmlformats.org/officeDocument/2006/relationships/hyperlink" Target="http://archive.treasury.gov.au/igr/igr2010/report/pdf/IGR_2010.pdf" TargetMode="External"/><Relationship Id="rId95" Type="http://schemas.openxmlformats.org/officeDocument/2006/relationships/hyperlink" Target="http://www.aemc.gov.au/getattachment/fe3d2519-026d-4f01-bdd4-d65ddfae51c3/2013-Residential-Electricity-Price-Trends-Final-Re.aspx" TargetMode="External"/><Relationship Id="rId160" Type="http://schemas.openxmlformats.org/officeDocument/2006/relationships/hyperlink" Target="http://www.oecd.org/daf/ca/corporategovernanceofstate-ownedenterprises/50302961.pdf" TargetMode="External"/><Relationship Id="rId181" Type="http://schemas.openxmlformats.org/officeDocument/2006/relationships/hyperlink" Target="http://www.acapma.com.au/articles/fuel-industry--not-drowning--waving.html" TargetMode="External"/><Relationship Id="rId216" Type="http://schemas.openxmlformats.org/officeDocument/2006/relationships/hyperlink" Target="http://www.accc.gov.au/media-release/updated-immunity-policy-to-uncover-cartel-conduct" TargetMode="External"/><Relationship Id="rId237" Type="http://schemas.openxmlformats.org/officeDocument/2006/relationships/hyperlink" Target="https://www.accc.gov.au/regulated-infrastructure/rail/hunter-valley-access-undertaking-2011" TargetMode="External"/><Relationship Id="rId258" Type="http://schemas.openxmlformats.org/officeDocument/2006/relationships/hyperlink" Target="http://tpareview.treasury.gov.au/content/report.asp" TargetMode="External"/><Relationship Id="rId22" Type="http://schemas.openxmlformats.org/officeDocument/2006/relationships/hyperlink" Target="http://www.dpmc.gov.au/deregulation/obpr/proposal/coag_requirements/index.cfm" TargetMode="External"/><Relationship Id="rId43" Type="http://schemas.openxmlformats.org/officeDocument/2006/relationships/hyperlink" Target="http://www.pc.gov.au/__data/assets/pdf_file/0004/90265/books.pdf" TargetMode="External"/><Relationship Id="rId64" Type="http://schemas.openxmlformats.org/officeDocument/2006/relationships/hyperlink" Target="http://www.wto.org/english/docs_e/legal_e/17-tbt_e.htm" TargetMode="External"/><Relationship Id="rId118" Type="http://schemas.openxmlformats.org/officeDocument/2006/relationships/hyperlink" Target="http://www.taxi.vic.gov.au/taxi-reform/about-taxi-and-hire-car-reforms" TargetMode="External"/><Relationship Id="rId139" Type="http://schemas.openxmlformats.org/officeDocument/2006/relationships/hyperlink" Target="http://www.pc.gov.au/__data/assets/pdf_file/0019/132346/rogs-2014-volumee-health.pdf" TargetMode="External"/><Relationship Id="rId85" Type="http://schemas.openxmlformats.org/officeDocument/2006/relationships/hyperlink" Target="http://www.rmbnsw.org.au/?page=about" TargetMode="External"/><Relationship Id="rId150" Type="http://schemas.openxmlformats.org/officeDocument/2006/relationships/hyperlink" Target="http://www.ncbi.nlm.nih.gov/pmc/articles/PMC2349795/pdf/bmj00524-0008.pdf" TargetMode="External"/><Relationship Id="rId171" Type="http://schemas.openxmlformats.org/officeDocument/2006/relationships/hyperlink" Target="http://thestateofcompetition.com.au/wp-content/uploads/2013/09/TSoC-Issue-13-competitive-neutrality.pdf" TargetMode="External"/><Relationship Id="rId192" Type="http://schemas.openxmlformats.org/officeDocument/2006/relationships/hyperlink" Target="http://ncp.ncc.gov.au/docs/National%20Competition%20Policy%20Review%20report,%20The%20Hilmer%20Report,%20August%201993.pdf" TargetMode="External"/><Relationship Id="rId206" Type="http://schemas.openxmlformats.org/officeDocument/2006/relationships/hyperlink" Target="http://archive.treasury.gov.au/documents/1744/PDF/unconscionable_conduct_report.pdf" TargetMode="External"/><Relationship Id="rId227" Type="http://schemas.openxmlformats.org/officeDocument/2006/relationships/hyperlink" Target="http://www.smallbusiness.nsw.gov.au/solving-problems/commercial-dispute-resolution" TargetMode="External"/><Relationship Id="rId248" Type="http://schemas.openxmlformats.org/officeDocument/2006/relationships/hyperlink" Target="http://www.pc.gov.au/__data/assets/pdf_file/0016/46033/ncp.pdf" TargetMode="External"/><Relationship Id="rId12" Type="http://schemas.openxmlformats.org/officeDocument/2006/relationships/hyperlink" Target="http://www.pc.gov.au/__data/assets/pdf_file/0016/46033/ncp.pdf" TargetMode="External"/><Relationship Id="rId33" Type="http://schemas.openxmlformats.org/officeDocument/2006/relationships/hyperlink" Target="http://www.aph.gov.au/parliamentary_business/committees/house_of_representatives_committees?url=ic/itpricing/report.htm" TargetMode="External"/><Relationship Id="rId108" Type="http://schemas.openxmlformats.org/officeDocument/2006/relationships/hyperlink" Target="https://www.infrastructure.gov.au/maritime/business/coastal_trading/review/files/Options_Paper_Approaches_to_regulating_coastal_shipping_in_Australia.pdf" TargetMode="External"/><Relationship Id="rId129" Type="http://schemas.openxmlformats.org/officeDocument/2006/relationships/hyperlink" Target="http://www.treasury.nsw.gov.au/site_plan/social_benefit_bonds" TargetMode="External"/><Relationship Id="rId54" Type="http://schemas.openxmlformats.org/officeDocument/2006/relationships/hyperlink" Target="https://www.accc.gov.au/publications/report-of-the-accc-inquiry-into-the-competitiveness-of-retail-prices-for-standard-groceries-july-2008" TargetMode="External"/><Relationship Id="rId75" Type="http://schemas.openxmlformats.org/officeDocument/2006/relationships/hyperlink" Target="http://www.minister.communications.gov.au/malcolm_turnbull/news/spectrum_reform_to_drive_future_innovation_and_productivity" TargetMode="External"/><Relationship Id="rId96" Type="http://schemas.openxmlformats.org/officeDocument/2006/relationships/hyperlink" Target="http://www.industry.gov.au/Energy/EnergyMarkets/Documents/EasternAustralianDomesticGasMarketStudy.pdf" TargetMode="External"/><Relationship Id="rId140" Type="http://schemas.openxmlformats.org/officeDocument/2006/relationships/hyperlink" Target="http://www.pc.gov.au/__data/assets/pdf_file/0015/93030/hospitals-report.pdf" TargetMode="External"/><Relationship Id="rId161" Type="http://schemas.openxmlformats.org/officeDocument/2006/relationships/hyperlink" Target="http://ncp.ncc.gov.au/docs/Competition%20Principles%20Agreement,%2011%20April%201995%20as%20amended%202007.pdf" TargetMode="External"/><Relationship Id="rId182" Type="http://schemas.openxmlformats.org/officeDocument/2006/relationships/hyperlink" Target="http://www.austlii.edu.au/au/legis/cth/num_act/tplaa1992341/" TargetMode="External"/><Relationship Id="rId217" Type="http://schemas.openxmlformats.org/officeDocument/2006/relationships/hyperlink" Target="https://www.accc.gov.au/publications/petrol-prices-and-australian-consumers-report-of-the-accc-inquiry-into-the-price-of-unleaded-petrol" TargetMode="External"/><Relationship Id="rId1" Type="http://schemas.openxmlformats.org/officeDocument/2006/relationships/hyperlink" Target="http://www.pc.gov.au/__data/assets/pdf_file/0004/7663/cs20050601.pdf" TargetMode="External"/><Relationship Id="rId6" Type="http://schemas.openxmlformats.org/officeDocument/2006/relationships/hyperlink" Target="http://ncp.ncc.gov.au/docs/National%20Competition%20Policy%20Review%20report,%20The%20Hilmer%20Report,%20August%201993.pdf" TargetMode="External"/><Relationship Id="rId212" Type="http://schemas.openxmlformats.org/officeDocument/2006/relationships/hyperlink" Target="http://www.treasury.gov.au/ConsultationsandReviews/Consultations/2014/Franchising-Code" TargetMode="External"/><Relationship Id="rId233" Type="http://schemas.openxmlformats.org/officeDocument/2006/relationships/hyperlink" Target="http://www.pc.gov.au/projects/inquiry/access-regime/report" TargetMode="External"/><Relationship Id="rId238" Type="http://schemas.openxmlformats.org/officeDocument/2006/relationships/hyperlink" Target="http://www.pc.gov.au/projects/inquiry/access-regime/report" TargetMode="External"/><Relationship Id="rId254" Type="http://schemas.openxmlformats.org/officeDocument/2006/relationships/hyperlink" Target="http://www.oecd.org/regreform/sectors/40898016.pdf" TargetMode="External"/><Relationship Id="rId259" Type="http://schemas.openxmlformats.org/officeDocument/2006/relationships/hyperlink" Target="http://www.accc.gov.au/regulated-infrastructure/about-regulated-infrastructure/acccs-role-in-regulated-infrastructure" TargetMode="External"/><Relationship Id="rId23" Type="http://schemas.openxmlformats.org/officeDocument/2006/relationships/hyperlink" Target="http://www.pc.gov.au/__data/assets/pdf_file/0020/134642/20140307-competition.pdf" TargetMode="External"/><Relationship Id="rId28" Type="http://schemas.openxmlformats.org/officeDocument/2006/relationships/hyperlink" Target="http://www.pc.gov.au/__data/assets/pdf_file/0016/123901/trade-assistance-review-2011-12.pdf" TargetMode="External"/><Relationship Id="rId49" Type="http://schemas.openxmlformats.org/officeDocument/2006/relationships/hyperlink" Target="http://ncp.ncc.gov.au/docs/2003%20assessment%20volume%202.pdf" TargetMode="External"/><Relationship Id="rId114" Type="http://schemas.openxmlformats.org/officeDocument/2006/relationships/hyperlink" Target="http://ncc.gov.au/images/uploads/PIAn05-001.pdf" TargetMode="External"/><Relationship Id="rId119" Type="http://schemas.openxmlformats.org/officeDocument/2006/relationships/hyperlink" Target="http://archive.treasury.gov.au/igr/igr2010/report/pdf/IGR_2010.pdf" TargetMode="External"/><Relationship Id="rId44" Type="http://schemas.openxmlformats.org/officeDocument/2006/relationships/hyperlink" Target="http://www.pc.gov.au/__data/assets/pdf_file/0019/113761/retail-industry.pdf" TargetMode="External"/><Relationship Id="rId60" Type="http://schemas.openxmlformats.org/officeDocument/2006/relationships/hyperlink" Target="http://www.google.com.au/url?sa=t&amp;rct=j&amp;q=&amp;esrc=s&amp;frm=1&amp;source=web&amp;cd=1&amp;cad=rja&amp;uact=8&amp;ved=0CBwQFjAA&amp;url=http%3A%2F%2Fwww.ipart.nsw.gov.au%2Ffiles%2F460b2cb5-f267-4a9a-aae1-a0fa00ae83b3%2FConsultants_Report_-_PWC_-_A_best_practice_approach_to_designing_and_reviewing_licensing_schemes_%25E2%2580%2593_guidance_material_-_Draft_-_October_2012.pdf&amp;ei=iWLtU77QN47l8AW9vIHABg&amp;usg=AFQjCNEEvwJ4KdhVHYBPDDUfnh2EdHBs3w" TargetMode="External"/><Relationship Id="rId65" Type="http://schemas.openxmlformats.org/officeDocument/2006/relationships/hyperlink" Target="http://www.pc.gov.au/projects/inquiry/automotive/report" TargetMode="External"/><Relationship Id="rId81" Type="http://schemas.openxmlformats.org/officeDocument/2006/relationships/hyperlink" Target="http://www.accc.gov.au/media-release/smash-repairers/insurance-issues-paper-published" TargetMode="External"/><Relationship Id="rId86" Type="http://schemas.openxmlformats.org/officeDocument/2006/relationships/hyperlink" Target="http://data.daff.gov.au/data/warehouse/9aap/2014/apgpfd9abp_20140220/AgProdGrthPstRfmFtrOppsv1.0.0.pdf" TargetMode="External"/><Relationship Id="rId130" Type="http://schemas.openxmlformats.org/officeDocument/2006/relationships/hyperlink" Target="http://www.oecd-ilibrary.org/docserver/download/5jz0v4zzbcmv.pdf?expires=1409718152&amp;id=id&amp;accname=guest&amp;checksum=C21BFB9702B6E780EECD9433C2C8E437" TargetMode="External"/><Relationship Id="rId135" Type="http://schemas.openxmlformats.org/officeDocument/2006/relationships/hyperlink" Target="http://www.ndis.gov.au/" TargetMode="External"/><Relationship Id="rId151" Type="http://schemas.openxmlformats.org/officeDocument/2006/relationships/hyperlink" Target="http://www.erawa.com.au/cproot/12778/2/Final%20Report%20-%20Inquiry%20into%20Microeconomic%20Reform%20in%20Western%20Australia.PDF" TargetMode="External"/><Relationship Id="rId156" Type="http://schemas.openxmlformats.org/officeDocument/2006/relationships/hyperlink" Target="http://www.sahealth.sa.gov.au/wps/wcm/connect/public+content/sa+health+internet/health+reform/the+new+royal+adelaide+hospital/public+private+partnership+and+the+new+royal+adelaide+hospital" TargetMode="External"/><Relationship Id="rId177" Type="http://schemas.openxmlformats.org/officeDocument/2006/relationships/hyperlink" Target="http://www.procurepoint.nsw.gov.au/sites/default/files/documents/4pprocurement-print-v291112.pdf" TargetMode="External"/><Relationship Id="rId198" Type="http://schemas.openxmlformats.org/officeDocument/2006/relationships/hyperlink" Target="http://www.aph.gov.au/Parliamentary_Business/Committees/Senate/Economics/Completed_inquiries/2008-10/blacktown_amendment_09/index" TargetMode="External"/><Relationship Id="rId172" Type="http://schemas.openxmlformats.org/officeDocument/2006/relationships/hyperlink" Target="http://www.oecd.org/daf/ca/corporategovernanceofstate-ownedenterprises/50302961.pdf" TargetMode="External"/><Relationship Id="rId193" Type="http://schemas.openxmlformats.org/officeDocument/2006/relationships/hyperlink" Target="http://tpareview.treasury.gov.au/content/report.asp" TargetMode="External"/><Relationship Id="rId202" Type="http://schemas.openxmlformats.org/officeDocument/2006/relationships/hyperlink" Target="http://www.australiancompetitionlaw.org/reports/pdf/swanson1976.pdf" TargetMode="External"/><Relationship Id="rId207" Type="http://schemas.openxmlformats.org/officeDocument/2006/relationships/hyperlink" Target="http://www.austlii.edu.au/au/legis/cth/bill/caclab2011467/" TargetMode="External"/><Relationship Id="rId223" Type="http://schemas.openxmlformats.org/officeDocument/2006/relationships/hyperlink" Target="http://transtasman-review.pc.gov.au/study/final-report-0" TargetMode="External"/><Relationship Id="rId228" Type="http://schemas.openxmlformats.org/officeDocument/2006/relationships/hyperlink" Target="http://tpareview.treasury.gov.au/content/report.asp" TargetMode="External"/><Relationship Id="rId244" Type="http://schemas.openxmlformats.org/officeDocument/2006/relationships/hyperlink" Target="http://www.pc.gov.au/projects/inquiry/access-regime/report" TargetMode="External"/><Relationship Id="rId249" Type="http://schemas.openxmlformats.org/officeDocument/2006/relationships/hyperlink" Target="https://www.gov.uk/government/uploads/system/uploads/attachment_data/file/284421/oft519.pdf" TargetMode="External"/><Relationship Id="rId13" Type="http://schemas.openxmlformats.org/officeDocument/2006/relationships/hyperlink" Target="https://www.coag.gov.au/node/52" TargetMode="External"/><Relationship Id="rId18" Type="http://schemas.openxmlformats.org/officeDocument/2006/relationships/hyperlink" Target="http://www.pc.gov.au/projects/inquiry/national-competition-policy" TargetMode="External"/><Relationship Id="rId39" Type="http://schemas.openxmlformats.org/officeDocument/2006/relationships/hyperlink" Target="http://www.pc.gov.au/__data/assets/pdf_file/0016/123901/trade-assistance-review-2011-12.pdf" TargetMode="External"/><Relationship Id="rId109" Type="http://schemas.openxmlformats.org/officeDocument/2006/relationships/hyperlink" Target="http://www.truck.net.au/industry-resources/future-strategy-road-supply-and-charging-australia" TargetMode="External"/><Relationship Id="rId260" Type="http://schemas.openxmlformats.org/officeDocument/2006/relationships/hyperlink" Target="http://www.erawa.com.au/cproot/12778/2/Final%20Report%20-%20Inquiry%20into%20Microeconomic%20Reform%20in%20Western%20Australia.PDF" TargetMode="External"/><Relationship Id="rId34" Type="http://schemas.openxmlformats.org/officeDocument/2006/relationships/hyperlink" Target="http://www.alrc.gov.au/publications/copyright-report-122" TargetMode="External"/><Relationship Id="rId50" Type="http://schemas.openxmlformats.org/officeDocument/2006/relationships/hyperlink" Target="http://ncp.ncc.gov.au/docs/2005%20assessment.pdf" TargetMode="External"/><Relationship Id="rId55" Type="http://schemas.openxmlformats.org/officeDocument/2006/relationships/hyperlink" Target="http://www.pc.gov.au/__data/assets/pdf_file/0019/113761/retail-industry.pdf" TargetMode="External"/><Relationship Id="rId76" Type="http://schemas.openxmlformats.org/officeDocument/2006/relationships/hyperlink" Target="http://www.pc.gov.au/__data/assets/pdf_file/0010/95680/gambling-report-volume1.pdf" TargetMode="External"/><Relationship Id="rId97" Type="http://schemas.openxmlformats.org/officeDocument/2006/relationships/hyperlink" Target="http://www.energyandresources.vic.gov.au/__data/assets/pdf_file/0008/205469/Victorian-Gas-Market-Taskforce-Final-Report-October-2013.pdf" TargetMode="External"/><Relationship Id="rId104" Type="http://schemas.openxmlformats.org/officeDocument/2006/relationships/hyperlink" Target="http://www.pc.gov.au/__data/assets/pdf_file/0016/46033/ncp.pdf" TargetMode="External"/><Relationship Id="rId120" Type="http://schemas.openxmlformats.org/officeDocument/2006/relationships/hyperlink" Target="http://www.pc.gov.au/__data/assets/pdf_file/0007/118564/local-government-volume1.pdf" TargetMode="External"/><Relationship Id="rId125" Type="http://schemas.openxmlformats.org/officeDocument/2006/relationships/hyperlink" Target="http://www.pc.gov.au/__data/assets/pdf_file/0012/111270/disability-support-volume1.pdf" TargetMode="External"/><Relationship Id="rId141" Type="http://schemas.openxmlformats.org/officeDocument/2006/relationships/hyperlink" Target="http://www.pc.gov.au/__data/assets/pdf_file/0008/138383/childcare-draft.pdf" TargetMode="External"/><Relationship Id="rId146" Type="http://schemas.openxmlformats.org/officeDocument/2006/relationships/hyperlink" Target="http://www.pc.gov.au/__data/assets/pdf_file/0003/94548/not-for-profit-report.pdf" TargetMode="External"/><Relationship Id="rId167" Type="http://schemas.openxmlformats.org/officeDocument/2006/relationships/hyperlink" Target="http://ncp.ncc.gov.au/docs/PIReCn-001.pdf" TargetMode="External"/><Relationship Id="rId188" Type="http://schemas.openxmlformats.org/officeDocument/2006/relationships/hyperlink" Target="https://www.accc.gov.au/publications/report-of-the-accc-inquiry-into-the-competitiveness-of-retail-prices-for-standard-groceries-july-2008" TargetMode="External"/><Relationship Id="rId7" Type="http://schemas.openxmlformats.org/officeDocument/2006/relationships/hyperlink" Target="http://archive.treasury.gov.au/igr/igr2010/report/pdf/IGR_2010.pdf" TargetMode="External"/><Relationship Id="rId71" Type="http://schemas.openxmlformats.org/officeDocument/2006/relationships/hyperlink" Target="http://business.nab.com.au/nab-online-retail-sales-index-in-depth-report-january-2010-january-2012-387/" TargetMode="External"/><Relationship Id="rId92" Type="http://schemas.openxmlformats.org/officeDocument/2006/relationships/hyperlink" Target="http://pc.gov.au/projects/inquiry/urban-water/report" TargetMode="External"/><Relationship Id="rId162" Type="http://schemas.openxmlformats.org/officeDocument/2006/relationships/hyperlink" Target="http://www.pc.gov.au/agcnco/competitive-neutrality" TargetMode="External"/><Relationship Id="rId183" Type="http://schemas.openxmlformats.org/officeDocument/2006/relationships/hyperlink" Target="https://www.accc.gov.au/publications/accc-aer-annual-report/accc-aer-annual-report-2012-13" TargetMode="External"/><Relationship Id="rId213" Type="http://schemas.openxmlformats.org/officeDocument/2006/relationships/hyperlink" Target="http://tpareview.treasury.gov.au/content/report.asp" TargetMode="External"/><Relationship Id="rId218" Type="http://schemas.openxmlformats.org/officeDocument/2006/relationships/hyperlink" Target="http://www.abc.net.au/radionational/programs/breakfast/accc-warns-banks-about-price-signalling/2988116" TargetMode="External"/><Relationship Id="rId234" Type="http://schemas.openxmlformats.org/officeDocument/2006/relationships/hyperlink" Target="http://ncp.ncc.gov.au/docs/National%20Competition%20Policy%20Review%20report,%20The%20Hilmer%20Report,%20August%201993.pdf" TargetMode="External"/><Relationship Id="rId239" Type="http://schemas.openxmlformats.org/officeDocument/2006/relationships/hyperlink" Target="http://www.pc.gov.au/projects/inquiry/access-regime/report" TargetMode="External"/><Relationship Id="rId2" Type="http://schemas.openxmlformats.org/officeDocument/2006/relationships/hyperlink" Target="http://ncp.ncc.gov.au/docs/OINcpIm-002.pdf" TargetMode="External"/><Relationship Id="rId29" Type="http://schemas.openxmlformats.org/officeDocument/2006/relationships/hyperlink" Target="http://www.nber.org/papers/w17773.pdf" TargetMode="External"/><Relationship Id="rId250" Type="http://schemas.openxmlformats.org/officeDocument/2006/relationships/hyperlink" Target="https://www.gov.uk/government/uploads/system/uploads/attachment_data/file/284421/oft519.pdf" TargetMode="External"/><Relationship Id="rId255" Type="http://schemas.openxmlformats.org/officeDocument/2006/relationships/hyperlink" Target="http://www.comlaw.gov.au/Details/F2006L00320" TargetMode="External"/><Relationship Id="rId24" Type="http://schemas.openxmlformats.org/officeDocument/2006/relationships/hyperlink" Target="http://www.ipaustralia.gov.au/understanding-intellectual-property/what-is-ip/" TargetMode="External"/><Relationship Id="rId40" Type="http://schemas.openxmlformats.org/officeDocument/2006/relationships/hyperlink" Target="http://www.pc.gov.au/__data/assets/pdf_file/0010/104203/trade-agreements-report.pdf" TargetMode="External"/><Relationship Id="rId45" Type="http://schemas.openxmlformats.org/officeDocument/2006/relationships/hyperlink" Target="http://www.pc.gov.au/__data/assets/pdf_file/0019/113761/retail-industry.pdf" TargetMode="External"/><Relationship Id="rId66" Type="http://schemas.openxmlformats.org/officeDocument/2006/relationships/hyperlink" Target="http://ncp.ncc.gov.au/docs/2005%20assessment.pdf" TargetMode="External"/><Relationship Id="rId87" Type="http://schemas.openxmlformats.org/officeDocument/2006/relationships/hyperlink" Target="http://www.pmc.wa.gov.au/" TargetMode="External"/><Relationship Id="rId110" Type="http://schemas.openxmlformats.org/officeDocument/2006/relationships/hyperlink" Target="http://www.bitre.gov.au/publications/2007/files/wp_071.pdf" TargetMode="External"/><Relationship Id="rId115" Type="http://schemas.openxmlformats.org/officeDocument/2006/relationships/hyperlink" Target="http://www.taxibrokersrus.com.au/" TargetMode="External"/><Relationship Id="rId131" Type="http://schemas.openxmlformats.org/officeDocument/2006/relationships/hyperlink" Target="http://www.civitas.org.uk/pdf/SwedishLessons.pdf" TargetMode="External"/><Relationship Id="rId136" Type="http://schemas.openxmlformats.org/officeDocument/2006/relationships/hyperlink" Target="http://www.dss.gov.au/our-responsibilities/ageing-and-aged-care/aged-care-reform/reforms-by-topic/home-care" TargetMode="External"/><Relationship Id="rId157" Type="http://schemas.openxmlformats.org/officeDocument/2006/relationships/hyperlink" Target="http://www.mentalhealth.wa.gov.au/Libraries/pdf_docs/MyWay-Factsheet_3.sflb.ashx" TargetMode="External"/><Relationship Id="rId178" Type="http://schemas.openxmlformats.org/officeDocument/2006/relationships/hyperlink" Target="http://www.accc.gov.au/system/files/Grocery%20inquiry%20report%20-%20July%202008.pdf" TargetMode="External"/><Relationship Id="rId61" Type="http://schemas.openxmlformats.org/officeDocument/2006/relationships/hyperlink" Target="http://ncc.gov.au/images/uploads/CIMe00-008.pdf" TargetMode="External"/><Relationship Id="rId82" Type="http://schemas.openxmlformats.org/officeDocument/2006/relationships/hyperlink" Target="http://www.pc.gov.au/__data/assets/pdf_file/0016/46033/ncp.pdf" TargetMode="External"/><Relationship Id="rId152" Type="http://schemas.openxmlformats.org/officeDocument/2006/relationships/hyperlink" Target="http://www.pc.gov.au/__data/assets/pdf_file/0003/137280/infrastructure-volume1.pdf" TargetMode="External"/><Relationship Id="rId173" Type="http://schemas.openxmlformats.org/officeDocument/2006/relationships/hyperlink" Target="http://www.oecd.org/daf/ca/50250955.pdf" TargetMode="External"/><Relationship Id="rId194" Type="http://schemas.openxmlformats.org/officeDocument/2006/relationships/hyperlink" Target="http://www.australiancompetitionlaw.org/reports/pdf/cooney1991.pdf" TargetMode="External"/><Relationship Id="rId199" Type="http://schemas.openxmlformats.org/officeDocument/2006/relationships/hyperlink" Target="http://www.budget.gc.ca/2014/docs/plan/ch3-4-eng.html" TargetMode="External"/><Relationship Id="rId203" Type="http://schemas.openxmlformats.org/officeDocument/2006/relationships/hyperlink" Target="http://www.austlii.edu.au/au/legis/cth/num_act/tpra1986252/" TargetMode="External"/><Relationship Id="rId208" Type="http://schemas.openxmlformats.org/officeDocument/2006/relationships/hyperlink" Target="http://www.austlii.edu.au/au/legis/cth/consol_act/caca2010265/s130.html" TargetMode="External"/><Relationship Id="rId229" Type="http://schemas.openxmlformats.org/officeDocument/2006/relationships/hyperlink" Target="http://www.google.com.au/url?sa=t&amp;rct=j&amp;q=&amp;esrc=s&amp;frm=1&amp;source=web&amp;cd=1&amp;cad=rja&amp;uact=8&amp;ved=0CB0QFjAA&amp;url=http%3A%2F%2Fwww.accc.gov.au%2Fsystem%2Ffiles%2FSection%2520155%2520of%2520the%2520Trade%2520Practices%2520Act_0.doc&amp;ei=A7kYVLCAJZXq8AXf9YDoCQ&amp;usg=AFQjCNERmSzP62bzfV-iviZO3gmAv3um1w" TargetMode="External"/><Relationship Id="rId19" Type="http://schemas.openxmlformats.org/officeDocument/2006/relationships/hyperlink" Target="https://www.coag.gov.au/node/52" TargetMode="External"/><Relationship Id="rId224" Type="http://schemas.openxmlformats.org/officeDocument/2006/relationships/hyperlink" Target="http://ministers.treasury.gov.au/DisplayDocs.aspx?doc=pressreleases/2006/081.htm&amp;pageID=003&amp;min=phc&amp;Year=2006&amp;DocType=0" TargetMode="External"/><Relationship Id="rId240" Type="http://schemas.openxmlformats.org/officeDocument/2006/relationships/hyperlink" Target="http://www.pc.gov.au/projects/inquiry/access-regime/report" TargetMode="External"/><Relationship Id="rId245" Type="http://schemas.openxmlformats.org/officeDocument/2006/relationships/hyperlink" Target="http://www.pc.gov.au/projects/inquiry/access-regime/report" TargetMode="External"/><Relationship Id="rId261" Type="http://schemas.openxmlformats.org/officeDocument/2006/relationships/hyperlink" Target="http://www.pc.gov.au/projects/inquiry/access-regime/report" TargetMode="External"/><Relationship Id="rId14" Type="http://schemas.openxmlformats.org/officeDocument/2006/relationships/hyperlink" Target="http://ncp.ncc.gov.au/docs/2005%20assessment.pdf" TargetMode="External"/><Relationship Id="rId30" Type="http://schemas.openxmlformats.org/officeDocument/2006/relationships/hyperlink" Target="http://www.alrc.gov.au/sites/default/files/subs/165._org_accc.pdf" TargetMode="External"/><Relationship Id="rId35" Type="http://schemas.openxmlformats.org/officeDocument/2006/relationships/hyperlink" Target="http://ncp.ncc.gov.au/docs/National%20Competition%20Policy%20Review%20report,%20The%20Hilmer%20Report,%20August%201993.pdf" TargetMode="External"/><Relationship Id="rId56" Type="http://schemas.openxmlformats.org/officeDocument/2006/relationships/hyperlink" Target="http://www.pc.gov.au/__data/assets/pdf_file/0003/108840/planning-volume1.pdf" TargetMode="External"/><Relationship Id="rId77" Type="http://schemas.openxmlformats.org/officeDocument/2006/relationships/hyperlink" Target="http://www.ncoa.gov.au/report/docs/phase_one_report.pdf" TargetMode="External"/><Relationship Id="rId100" Type="http://schemas.openxmlformats.org/officeDocument/2006/relationships/hyperlink" Target="http://www.infrastructureaustralia.gov.au/coag/files/2013/2013_IA_COAG_Report_National_Infrastructure_Plan_LR.pdf" TargetMode="External"/><Relationship Id="rId105" Type="http://schemas.openxmlformats.org/officeDocument/2006/relationships/hyperlink" Target="https://www.hvccc.com.au/AboutUs/Pages/History.aspx" TargetMode="External"/><Relationship Id="rId126" Type="http://schemas.openxmlformats.org/officeDocument/2006/relationships/hyperlink" Target="http://www.pc.gov.au/__data/assets/pdf_file/0012/111270/disability-support-volume1.pdf" TargetMode="External"/><Relationship Id="rId147" Type="http://schemas.openxmlformats.org/officeDocument/2006/relationships/hyperlink" Target="http://bccm.coop/policy-agenda/research/public-service-co-operatives-mutuals-white-paper/" TargetMode="External"/><Relationship Id="rId168" Type="http://schemas.openxmlformats.org/officeDocument/2006/relationships/hyperlink" Target="http://www.oecd.org/daf/ca/corporategovernanceofstate-ownedenterprises/50302961.pdf" TargetMode="External"/><Relationship Id="rId8" Type="http://schemas.openxmlformats.org/officeDocument/2006/relationships/hyperlink" Target="http://www.pc.gov.au/__data/assets/pdf_file/0016/46033/ncp.pdf" TargetMode="External"/><Relationship Id="rId51" Type="http://schemas.openxmlformats.org/officeDocument/2006/relationships/hyperlink" Target="https://www.accc.gov.au/system/files/Grocery%20inquiry%20report%20-%20July%202008.pdf" TargetMode="External"/><Relationship Id="rId72" Type="http://schemas.openxmlformats.org/officeDocument/2006/relationships/hyperlink" Target="http://business.nab.com.au/wp-content/uploads/2014/07/nab-online-retail-sales-index-2014-06.pdf" TargetMode="External"/><Relationship Id="rId93" Type="http://schemas.openxmlformats.org/officeDocument/2006/relationships/hyperlink" Target="https://www.hvccc.com.au/AboutUs/Pages/History.aspx" TargetMode="External"/><Relationship Id="rId98" Type="http://schemas.openxmlformats.org/officeDocument/2006/relationships/hyperlink" Target="http://pc.gov.au/projects/inquiry/urban-water/report" TargetMode="External"/><Relationship Id="rId121" Type="http://schemas.openxmlformats.org/officeDocument/2006/relationships/hyperlink" Target="http://www.ndis.gov.au/sites/default/files/media/mac_access_requirements.pdf" TargetMode="External"/><Relationship Id="rId142" Type="http://schemas.openxmlformats.org/officeDocument/2006/relationships/hyperlink" Target="http://www.pc.gov.au/__data/assets/pdf_file/0017/132362/rogs-2014-volumef-community-services.pdf" TargetMode="External"/><Relationship Id="rId163" Type="http://schemas.openxmlformats.org/officeDocument/2006/relationships/hyperlink" Target="http://www.finance.gov.au/sites/default/files/AGCN_guide_v4_0.pdf" TargetMode="External"/><Relationship Id="rId184" Type="http://schemas.openxmlformats.org/officeDocument/2006/relationships/hyperlink" Target="http://tpareview.treasury.gov.au/content/report.asp" TargetMode="External"/><Relationship Id="rId189" Type="http://schemas.openxmlformats.org/officeDocument/2006/relationships/hyperlink" Target="http://tpareview.treasury.gov.au/content/report.asp" TargetMode="External"/><Relationship Id="rId219" Type="http://schemas.openxmlformats.org/officeDocument/2006/relationships/hyperlink" Target="http://ncp.ncc.gov.au/docs/National%20Competition%20Policy%20Review%20report,%20The%20Hilmer%20Report,%20August%201993.pdf" TargetMode="External"/><Relationship Id="rId3" Type="http://schemas.openxmlformats.org/officeDocument/2006/relationships/hyperlink" Target="http://www.oecd.org/eco/growth/Shifting%20gear.pdf" TargetMode="External"/><Relationship Id="rId214" Type="http://schemas.openxmlformats.org/officeDocument/2006/relationships/hyperlink" Target="http://acts.oecd.org/Instruments/ShowInstrumentView.aspx?InstrumentID=193&amp;InstrumentPID=189&amp;Lang=en&amp;Book=False" TargetMode="External"/><Relationship Id="rId230" Type="http://schemas.openxmlformats.org/officeDocument/2006/relationships/hyperlink" Target="http://ncc.gov.au/images/uploads/Access_to_Monopoly_Infrastructure_in_Australia.pdf" TargetMode="External"/><Relationship Id="rId235" Type="http://schemas.openxmlformats.org/officeDocument/2006/relationships/hyperlink" Target="http://www.pc.gov.au/projects/inquiry/access-regime/report" TargetMode="External"/><Relationship Id="rId251" Type="http://schemas.openxmlformats.org/officeDocument/2006/relationships/hyperlink" Target="http://tweb/sites/cssg/project/cprs/policy/DRAFT%20Draft%20Report/Guidelines%20for%20market%20investigations:%20Their%20role,%20procedures,%20assessment%20and%20remedies" TargetMode="External"/><Relationship Id="rId256" Type="http://schemas.openxmlformats.org/officeDocument/2006/relationships/hyperlink" Target="http://www.accc.gov.au/system/files/ACCC_Statement_of_expectations.pdf" TargetMode="External"/><Relationship Id="rId25" Type="http://schemas.openxmlformats.org/officeDocument/2006/relationships/hyperlink" Target="http://www.pc.gov.au/__data/assets/pdf_file/0016/123901/trade-assistance-review-2011-12.pdf" TargetMode="External"/><Relationship Id="rId46" Type="http://schemas.openxmlformats.org/officeDocument/2006/relationships/hyperlink" Target="http://www.pc.gov.au/__data/assets/pdf_file/0020/135218/automotive.pdf" TargetMode="External"/><Relationship Id="rId67" Type="http://schemas.openxmlformats.org/officeDocument/2006/relationships/hyperlink" Target="http://www.pc.gov.au/__data/assets/pdf_file/0019/113761/retail-industry.pdf" TargetMode="External"/><Relationship Id="rId116" Type="http://schemas.openxmlformats.org/officeDocument/2006/relationships/hyperlink" Target="http://pc.gov.au/research/commissionresearch?a=7571" TargetMode="External"/><Relationship Id="rId137" Type="http://schemas.openxmlformats.org/officeDocument/2006/relationships/hyperlink" Target="http://www.nswbusinesschamber.com.au/NSWBC/media/Misc/Policy%20Documents/120615_Contestability-Paper.pdf" TargetMode="External"/><Relationship Id="rId158" Type="http://schemas.openxmlformats.org/officeDocument/2006/relationships/hyperlink" Target="http://www.pc.gov.au/__data/assets/pdf_file/0018/54333/jobnetwork.pdf" TargetMode="External"/><Relationship Id="rId20" Type="http://schemas.openxmlformats.org/officeDocument/2006/relationships/hyperlink" Target="http://www.pc.gov.au/__data/assets/pdf_file/0007/118564/local-government-volume1.pdf" TargetMode="External"/><Relationship Id="rId41" Type="http://schemas.openxmlformats.org/officeDocument/2006/relationships/hyperlink" Target="http://www.pc.gov.au/__data/assets/pdf_file/0019/113761/retail-industry.pdf" TargetMode="External"/><Relationship Id="rId62" Type="http://schemas.openxmlformats.org/officeDocument/2006/relationships/hyperlink" Target="http://www.standards.org.au/StandardsDevelopment/What_is_a_Standard/Pages/Net-Benefit.aspx" TargetMode="External"/><Relationship Id="rId83" Type="http://schemas.openxmlformats.org/officeDocument/2006/relationships/hyperlink" Target="http://www.ncp.ncc.gov.au/docs/2003%20assessment.pdf" TargetMode="External"/><Relationship Id="rId88" Type="http://schemas.openxmlformats.org/officeDocument/2006/relationships/hyperlink" Target="http://www.erawa.com.au/cproot/12778/2/Final%20Report%20-%20Inquiry%20into%20Microeconomic%20Reform%20in%20Western%20Australia.PDF" TargetMode="External"/><Relationship Id="rId111" Type="http://schemas.openxmlformats.org/officeDocument/2006/relationships/hyperlink" Target="http://www.pc.gov.au/projects/inquiry/infrastructure" TargetMode="External"/><Relationship Id="rId132" Type="http://schemas.openxmlformats.org/officeDocument/2006/relationships/hyperlink" Target="http://www.nhs.uk/choiceinthenhs/yourchoices/consultant-choice/pages/consultant-data.aspx" TargetMode="External"/><Relationship Id="rId153" Type="http://schemas.openxmlformats.org/officeDocument/2006/relationships/hyperlink" Target="http://www.pc.gov.au/__data/assets/pdf_file/0003/137280/infrastructure-volume1.pdf" TargetMode="External"/><Relationship Id="rId174" Type="http://schemas.openxmlformats.org/officeDocument/2006/relationships/hyperlink" Target="http://ncp.ncc.gov.au/docs/PIReCn-001.pdf" TargetMode="External"/><Relationship Id="rId179" Type="http://schemas.openxmlformats.org/officeDocument/2006/relationships/hyperlink" Target="https://www.accc.gov.au/publications/petrol-prices-and-australian-consumers-report-of-the-accc-inquiry-into-the-price-of-unleaded-petrol" TargetMode="External"/><Relationship Id="rId195" Type="http://schemas.openxmlformats.org/officeDocument/2006/relationships/hyperlink" Target="http://www.australiancompetitionlaw.org/reports/pdf/swanson1976.pdf" TargetMode="External"/><Relationship Id="rId209" Type="http://schemas.openxmlformats.org/officeDocument/2006/relationships/hyperlink" Target="http://parlinfo.aph.gov.au/parlInfo/search/display/display.w3p;query=Id%3A%22chamber%2Fhansardr%2F1997-09-30%2F0048%22" TargetMode="External"/><Relationship Id="rId190" Type="http://schemas.openxmlformats.org/officeDocument/2006/relationships/hyperlink" Target="http://www.oecd.org/daf/competition/abuse/2379408.pdf" TargetMode="External"/><Relationship Id="rId204" Type="http://schemas.openxmlformats.org/officeDocument/2006/relationships/hyperlink" Target="http://www.comlaw.gov.au/Details/C2010C00623/Html/Volume_1" TargetMode="External"/><Relationship Id="rId220" Type="http://schemas.openxmlformats.org/officeDocument/2006/relationships/hyperlink" Target="http://tpareview.treasury.gov.au/content/report.asp" TargetMode="External"/><Relationship Id="rId225" Type="http://schemas.openxmlformats.org/officeDocument/2006/relationships/hyperlink" Target="http://www.australiancompetitionlaw.org/reports/pdf/swanson1976.pdf" TargetMode="External"/><Relationship Id="rId241" Type="http://schemas.openxmlformats.org/officeDocument/2006/relationships/hyperlink" Target="http://www.pc.gov.au/projects/inquiry/access-regime/report" TargetMode="External"/><Relationship Id="rId246" Type="http://schemas.openxmlformats.org/officeDocument/2006/relationships/hyperlink" Target="http://www.pc.gov.au/projects/inquiry/access-regime/report" TargetMode="External"/><Relationship Id="rId15" Type="http://schemas.openxmlformats.org/officeDocument/2006/relationships/hyperlink" Target="http://www.accc.gov.au/about-us/australian-competition-consumer-commission/legislation/exceptions-under-commonwealth-state-territory-legislation" TargetMode="External"/><Relationship Id="rId36" Type="http://schemas.openxmlformats.org/officeDocument/2006/relationships/hyperlink" Target="http://ncp.ncc.gov.au/docs/LESe-001.pdf" TargetMode="External"/><Relationship Id="rId57" Type="http://schemas.openxmlformats.org/officeDocument/2006/relationships/hyperlink" Target="http://www.pc.gov.au/__data/assets/pdf_file/0020/137243/retail-trade-interim.pdf" TargetMode="External"/><Relationship Id="rId106" Type="http://schemas.openxmlformats.org/officeDocument/2006/relationships/hyperlink" Target="https://www.accc.gov.au/publications/container-stevedoring-monitoring-report/container-stevedoring-monitoring-report-no15" TargetMode="External"/><Relationship Id="rId127" Type="http://schemas.openxmlformats.org/officeDocument/2006/relationships/hyperlink" Target="http://www.bsl.org.au/pdfs/LaragyNaughtin_increasing_choice_aged_care.pdf" TargetMode="External"/><Relationship Id="rId10" Type="http://schemas.openxmlformats.org/officeDocument/2006/relationships/hyperlink" Target="http://pmtranscripts.dpmc.gov.au/transcripts/00008270.pdf" TargetMode="External"/><Relationship Id="rId31" Type="http://schemas.openxmlformats.org/officeDocument/2006/relationships/hyperlink" Target="http://www.alrc.gov.au/sites/default/files/subs/165._org_accc.pdf" TargetMode="External"/><Relationship Id="rId52" Type="http://schemas.openxmlformats.org/officeDocument/2006/relationships/hyperlink" Target="https://www.accc.gov.au/publications/report-of-the-accc-inquiry-into-the-competitiveness-of-retail-prices-for-standard-groceries-july-2008" TargetMode="External"/><Relationship Id="rId73" Type="http://schemas.openxmlformats.org/officeDocument/2006/relationships/hyperlink" Target="http://business.nab.com.au/wp-content/uploads/2014/07/nab-online-retail-sales-index-2014-06.pdf" TargetMode="External"/><Relationship Id="rId78" Type="http://schemas.openxmlformats.org/officeDocument/2006/relationships/hyperlink" Target="http://phiac.gov.au/wp-content/uploads/2012/08/survey-report-Dec-2013.pdf" TargetMode="External"/><Relationship Id="rId94" Type="http://schemas.openxmlformats.org/officeDocument/2006/relationships/hyperlink" Target="http://www.coag.gov.au/node/481" TargetMode="External"/><Relationship Id="rId99" Type="http://schemas.openxmlformats.org/officeDocument/2006/relationships/hyperlink" Target="http://archive.nwc.gov.au/library/topic/pricing/review-of-pricing-reform-in-the-australian-water-sector" TargetMode="External"/><Relationship Id="rId101" Type="http://schemas.openxmlformats.org/officeDocument/2006/relationships/hyperlink" Target="https://www.gov.uk/government/uploads/system/uploads/attachment_data/file/43392/12-1283-midata-government-response-to-2012-consultation.pdf" TargetMode="External"/><Relationship Id="rId122" Type="http://schemas.openxmlformats.org/officeDocument/2006/relationships/hyperlink" Target="http://www.aph.gov.au/parliamentary_business/committees/house_of_representatives_committees?url=efpa/ncp/ncpindex.htm" TargetMode="External"/><Relationship Id="rId143" Type="http://schemas.openxmlformats.org/officeDocument/2006/relationships/hyperlink" Target="http://www.pc.gov.au/__data/assets/pdf_file/0016/132325/rogs-2014-volumec-justice.pdf" TargetMode="External"/><Relationship Id="rId148" Type="http://schemas.openxmlformats.org/officeDocument/2006/relationships/hyperlink" Target="http://www.pc.gov.au/__data/assets/pdf_file/0003/94548/not-for-profit-report.pdf" TargetMode="External"/><Relationship Id="rId164" Type="http://schemas.openxmlformats.org/officeDocument/2006/relationships/hyperlink" Target="http://www.oecd.org/daf/ca/50250955.pdf" TargetMode="External"/><Relationship Id="rId169" Type="http://schemas.openxmlformats.org/officeDocument/2006/relationships/hyperlink" Target="http://www.oecd-ilibrary.org/docserver/download/5kg9xfgjdhg6.pdf?expires=1409869887&amp;id=id&amp;accname=guest&amp;checksum=19F7988433B7074F1EA079EED94E1856" TargetMode="External"/><Relationship Id="rId185" Type="http://schemas.openxmlformats.org/officeDocument/2006/relationships/hyperlink" Target="http://kkozak.wz.cz/Porter.pdf" TargetMode="External"/><Relationship Id="rId4" Type="http://schemas.openxmlformats.org/officeDocument/2006/relationships/hyperlink" Target="http://www.pc.gov.au/__data/assets/pdf_file/0003/129747/ageing-australia-overview.pdf" TargetMode="External"/><Relationship Id="rId9" Type="http://schemas.openxmlformats.org/officeDocument/2006/relationships/hyperlink" Target="http://www.ncoa.gov.au/report/docs/phase_one_report.pdf" TargetMode="External"/><Relationship Id="rId180" Type="http://schemas.openxmlformats.org/officeDocument/2006/relationships/hyperlink" Target="http://www.accc.gov.au/system/files/Monitoring%20of%20the%20Australian%20petroleum%20industry.pdf" TargetMode="External"/><Relationship Id="rId210" Type="http://schemas.openxmlformats.org/officeDocument/2006/relationships/hyperlink" Target="http://parlinfo.aph.gov.au/parlInfo/search/display/display.w3p;query=Id%3A%22chamber%2Fhansardr%2F2009-06-24%2F0078%22" TargetMode="External"/><Relationship Id="rId215" Type="http://schemas.openxmlformats.org/officeDocument/2006/relationships/hyperlink" Target="https://www.accc.gov.au/publications/accc-immunity-cooperation-policy-for-cartel-conduct" TargetMode="External"/><Relationship Id="rId236" Type="http://schemas.openxmlformats.org/officeDocument/2006/relationships/hyperlink" Target="https://www.accc.gov.au/regulated-infrastructure/rail/interstate-rail-access-undertaking-2008" TargetMode="External"/><Relationship Id="rId257" Type="http://schemas.openxmlformats.org/officeDocument/2006/relationships/hyperlink" Target="http://www.accc.gov.au/system/files/ACCC%20Statement%20of%20Intent%20-%2026%20June%202014.pdf" TargetMode="External"/><Relationship Id="rId26" Type="http://schemas.openxmlformats.org/officeDocument/2006/relationships/hyperlink" Target="http://scholarship.law.duke.edu/cgi/viewcontent.cgi?article=1362&amp;context=dlj" TargetMode="External"/><Relationship Id="rId231" Type="http://schemas.openxmlformats.org/officeDocument/2006/relationships/hyperlink" Target="http://archive.coag.gov.au/coag_meeting_outcomes/2006-02-10/docs/attachments_a-h.pdf" TargetMode="External"/><Relationship Id="rId252" Type="http://schemas.openxmlformats.org/officeDocument/2006/relationships/hyperlink" Target="http://www.pc.gov.au/__data/assets/pdf_file/0016/46033/ncp.pdf" TargetMode="External"/><Relationship Id="rId47" Type="http://schemas.openxmlformats.org/officeDocument/2006/relationships/hyperlink" Target="http://www.pc.gov.au/__data/assets/pdf_file/0019/113761/retail-industry.pdf" TargetMode="External"/><Relationship Id="rId68" Type="http://schemas.openxmlformats.org/officeDocument/2006/relationships/hyperlink" Target="http://www.qca.org.au/getattachment/e2ea18a2-9751-49a9-9d96-5a27906ee7af/Final-Report.aspx" TargetMode="External"/><Relationship Id="rId89" Type="http://schemas.openxmlformats.org/officeDocument/2006/relationships/hyperlink" Target="http://www.infrastructure.gov.au/aviation/international/bilateral_system.aspx" TargetMode="External"/><Relationship Id="rId112" Type="http://schemas.openxmlformats.org/officeDocument/2006/relationships/hyperlink" Target="http://www.infrastructure.org.au/Content/RoadPricing.aspx" TargetMode="External"/><Relationship Id="rId133" Type="http://schemas.openxmlformats.org/officeDocument/2006/relationships/hyperlink" Target="http://www.myschool.edu.au/" TargetMode="External"/><Relationship Id="rId154" Type="http://schemas.openxmlformats.org/officeDocument/2006/relationships/hyperlink" Target="http://www.joondaluphealthcampus.com.au/News/wa-health-minister-unveils-major-expansion.aspx" TargetMode="External"/><Relationship Id="rId175" Type="http://schemas.openxmlformats.org/officeDocument/2006/relationships/hyperlink" Target="http://www.smallbusiness.wa.gov.au/tender-process/" TargetMode="External"/><Relationship Id="rId196" Type="http://schemas.openxmlformats.org/officeDocument/2006/relationships/hyperlink" Target="http://www.australiancompetitionlaw.org/reports/pdf/bluntreport1979.pdf" TargetMode="External"/><Relationship Id="rId200" Type="http://schemas.openxmlformats.org/officeDocument/2006/relationships/hyperlink" Target="http://www.aph.gov.au/Parliamentary_Business/Committees/House_of_Representatives_Committees?url=ic/" TargetMode="External"/><Relationship Id="rId16" Type="http://schemas.openxmlformats.org/officeDocument/2006/relationships/hyperlink" Target="https://www.g20.org/sites/default/files/g20_resources/library/How%20can%20competition%20contribute%20to%20the%20G-20%20commitment%20to%20raise%20GDP%20by%20at%20least%202%25.pdf" TargetMode="External"/><Relationship Id="rId221" Type="http://schemas.openxmlformats.org/officeDocument/2006/relationships/hyperlink" Target="http://www.pc.gov.au/projects/inquiry/partx-trade-practices-act/docs/report" TargetMode="External"/><Relationship Id="rId242" Type="http://schemas.openxmlformats.org/officeDocument/2006/relationships/hyperlink" Target="http://www.pc.gov.au/projects/inquiry/access-regime/report" TargetMode="External"/><Relationship Id="rId37" Type="http://schemas.openxmlformats.org/officeDocument/2006/relationships/hyperlink" Target="http://www.alrc.gov.au/sites/default/files/subs/165._org_accc.pdf" TargetMode="External"/><Relationship Id="rId58" Type="http://schemas.openxmlformats.org/officeDocument/2006/relationships/hyperlink" Target="http://www.abs.gov.au/socialtrends" TargetMode="External"/><Relationship Id="rId79" Type="http://schemas.openxmlformats.org/officeDocument/2006/relationships/hyperlink" Target="http://www.ncoa.gov.au/report/docs/phase_one_report.pdf" TargetMode="External"/><Relationship Id="rId102" Type="http://schemas.openxmlformats.org/officeDocument/2006/relationships/hyperlink" Target="http://greenbuttondata.org/" TargetMode="External"/><Relationship Id="rId123" Type="http://schemas.openxmlformats.org/officeDocument/2006/relationships/hyperlink" Target="http://www.ndis.gov.au/about-us/functions-ndia-including-decision-making-powers" TargetMode="External"/><Relationship Id="rId144" Type="http://schemas.openxmlformats.org/officeDocument/2006/relationships/hyperlink" Target="http://www.roymorgan.com/findings/5531-image-of-professions-2014-201404110537" TargetMode="External"/><Relationship Id="rId90" Type="http://schemas.openxmlformats.org/officeDocument/2006/relationships/hyperlink" Target="http://www.infrastructure.gov.au/aviation/international/bilateral_system.aspx" TargetMode="External"/><Relationship Id="rId165" Type="http://schemas.openxmlformats.org/officeDocument/2006/relationships/hyperlink" Target="http://www.dtf.vic.gov.au/files/1bf2df12-3245-4583-af48-a1cd00adff92/CompetitiveNeutralityPolicy-Sep2012.pdf" TargetMode="External"/><Relationship Id="rId186" Type="http://schemas.openxmlformats.org/officeDocument/2006/relationships/hyperlink" Target="http://www.pc.gov.au/projects/study/business-costs/dairy-manufacturing/interim" TargetMode="External"/><Relationship Id="rId211" Type="http://schemas.openxmlformats.org/officeDocument/2006/relationships/hyperlink" Target="http://www.treasury.gov.au/ConsultationsandReviews/Consultations/2014/Small-Business-and-Unfair-Contract-Terms" TargetMode="External"/><Relationship Id="rId232" Type="http://schemas.openxmlformats.org/officeDocument/2006/relationships/hyperlink" Target="http://ncp.ncc.gov.au/docs/Competition%20Principles%20Agreement,%2011%20April%201995%20as%20amended%202007.pdf" TargetMode="External"/><Relationship Id="rId253" Type="http://schemas.openxmlformats.org/officeDocument/2006/relationships/hyperlink" Target="http://www.internationalcompetitionnetwork.org/uploads/library/doc857.pdf" TargetMode="External"/><Relationship Id="rId27" Type="http://schemas.openxmlformats.org/officeDocument/2006/relationships/hyperlink" Target="http://www.biginnovationcentre.com/Assets/Docs/Reports/3D%20printing%20paper_FINAL_15%20Oct.pdf" TargetMode="External"/><Relationship Id="rId48" Type="http://schemas.openxmlformats.org/officeDocument/2006/relationships/hyperlink" Target="http://registers.accc.gov.au/content/index.phtml/itemId/717314/fromItemId/729974" TargetMode="External"/><Relationship Id="rId69" Type="http://schemas.openxmlformats.org/officeDocument/2006/relationships/hyperlink" Target="http://www.parliament.wa.gov.au/WebCMS/WebCMS.nsf/resources/file-tp---final-report-mer-inquiry/$file/Final%20report%20MER%20Inquiry%20-%20Public%20Version.pdf" TargetMode="External"/><Relationship Id="rId113" Type="http://schemas.openxmlformats.org/officeDocument/2006/relationships/hyperlink" Target="http://ptv.vic.gov.au/assets/RailFranchsingOverview.pdf" TargetMode="External"/><Relationship Id="rId134" Type="http://schemas.openxmlformats.org/officeDocument/2006/relationships/hyperlink" Target="https://www.gov.uk/government/uploads/system/uploads/attachment_data/file/80070/Barriers_to_choice_review_0.pdf" TargetMode="External"/><Relationship Id="rId80" Type="http://schemas.openxmlformats.org/officeDocument/2006/relationships/hyperlink" Target="https://www.accc.gov.au/system/files/Report%20to%20Senate%20-%20Private%20Health%20Insurance%202010%20-%2011.pdf" TargetMode="External"/><Relationship Id="rId155" Type="http://schemas.openxmlformats.org/officeDocument/2006/relationships/hyperlink" Target="http://www.infrastructure.org.au/DisplayFile.aspx?FileID=918" TargetMode="External"/><Relationship Id="rId176" Type="http://schemas.openxmlformats.org/officeDocument/2006/relationships/hyperlink" Target="http://www.mondaq.com/australia/x/313044/Contract+Law/Outcomebased+contracting+is+on+the+up+Whos+doing+it+why+and+what+you+need+to+know+about+it" TargetMode="External"/><Relationship Id="rId197" Type="http://schemas.openxmlformats.org/officeDocument/2006/relationships/hyperlink" Target="http://tpareview.treasury.gov.au/content/report.asp" TargetMode="External"/><Relationship Id="rId201" Type="http://schemas.openxmlformats.org/officeDocument/2006/relationships/hyperlink" Target="http://www.aph.gov.au/Parliamentary_Business/Committees/House_of_Representatives_Committees?url=ic/itpricing/report.htm" TargetMode="External"/><Relationship Id="rId222" Type="http://schemas.openxmlformats.org/officeDocument/2006/relationships/hyperlink" Target="http://www.pc.gov.au/projects/inquiry/shipping/docs/report" TargetMode="External"/><Relationship Id="rId243" Type="http://schemas.openxmlformats.org/officeDocument/2006/relationships/hyperlink" Target="http://www.pc.gov.au/projects/inquiry/access-regime/report" TargetMode="External"/><Relationship Id="rId17" Type="http://schemas.openxmlformats.org/officeDocument/2006/relationships/hyperlink" Target="http://ncp.ncc.gov.au/docs/2005%20assessment.pdf" TargetMode="External"/><Relationship Id="rId38" Type="http://schemas.openxmlformats.org/officeDocument/2006/relationships/hyperlink" Target="http://www.pc.gov.au/__data/assets/pdf_file/0016/123901/trade-assistance-review-2011-12.pdf" TargetMode="External"/><Relationship Id="rId59" Type="http://schemas.openxmlformats.org/officeDocument/2006/relationships/hyperlink" Target="http://www.pc.gov.au/__data/assets/pdf_file/0008/138383/childcare-draft.pdf" TargetMode="External"/><Relationship Id="rId103" Type="http://schemas.openxmlformats.org/officeDocument/2006/relationships/hyperlink" Target="http://www.pc.gov.au/projects/inquiry/airport-regulation/report" TargetMode="External"/><Relationship Id="rId124" Type="http://schemas.openxmlformats.org/officeDocument/2006/relationships/hyperlink" Target="http://www.pc.gov.au/__data/assets/pdf_file/0012/111270/disability-support-volume1.pdf" TargetMode="External"/><Relationship Id="rId70" Type="http://schemas.openxmlformats.org/officeDocument/2006/relationships/hyperlink" Target="http://ncp.ncc.gov.au/docs/SA%20shop_trading_report%202006-07%20review.pdf" TargetMode="External"/><Relationship Id="rId91" Type="http://schemas.openxmlformats.org/officeDocument/2006/relationships/hyperlink" Target="http://www.pc.gov.au/__data/assets/pdf_file/0020/21872/airserv.pdf" TargetMode="External"/><Relationship Id="rId145" Type="http://schemas.openxmlformats.org/officeDocument/2006/relationships/hyperlink" Target="http://static.squarespace.com/static/52045752e4b0330b6437dade/t/53914920e4b0b6fb01558bd6/1402030368396/PSMs_GreenPaper_FinalV1.pdf" TargetMode="External"/><Relationship Id="rId166" Type="http://schemas.openxmlformats.org/officeDocument/2006/relationships/hyperlink" Target="http://www.finance.gov.au/sites/default/files/AGCN_guide_v4_0.pdf" TargetMode="External"/><Relationship Id="rId187" Type="http://schemas.openxmlformats.org/officeDocument/2006/relationships/hyperlink" Target="http://archive.treasury.gov.au/contentitem.asp?ContentID=1409&amp;Nav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PRS%20Report.dotm" TargetMode="External"/></Relationships>
</file>

<file path=word/theme/theme1.xml><?xml version="1.0" encoding="utf-8"?>
<a:theme xmlns:a="http://schemas.openxmlformats.org/drawingml/2006/main" name="Office Theme">
  <a:themeElements>
    <a:clrScheme name="CPRS Colours">
      <a:dk1>
        <a:sysClr val="windowText" lastClr="000000"/>
      </a:dk1>
      <a:lt1>
        <a:sysClr val="window" lastClr="FFFFFF"/>
      </a:lt1>
      <a:dk2>
        <a:srgbClr val="1F497D"/>
      </a:dk2>
      <a:lt2>
        <a:srgbClr val="EEECE1"/>
      </a:lt2>
      <a:accent1>
        <a:srgbClr val="009976"/>
      </a:accent1>
      <a:accent2>
        <a:srgbClr val="129391"/>
      </a:accent2>
      <a:accent3>
        <a:srgbClr val="51C3AC"/>
      </a:accent3>
      <a:accent4>
        <a:srgbClr val="93D7C5"/>
      </a:accent4>
      <a:accent5>
        <a:srgbClr val="CCEBE2"/>
      </a:accent5>
      <a:accent6>
        <a:srgbClr val="E5F5E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neral Content" ma:contentTypeID="0x010100E726210826AA43828690450C811EB923009CA11FFD1E014DF4B1FA162D0F611298002A71EE1C09B68E42B3EAAD747B78513A" ma:contentTypeVersion="0" ma:contentTypeDescription="If you are creating a Word, PowerPoint or Excel document use the options available in the drop down list; for all other documents leave the content type as General Content." ma:contentTypeScope="" ma:versionID="9173379caaeec9ca393a2d4a50933445">
  <xsd:schema xmlns:xsd="http://www.w3.org/2001/XMLSchema" xmlns:xs="http://www.w3.org/2001/XMLSchema" xmlns:p="http://schemas.microsoft.com/office/2006/metadata/properties" xmlns:ns2="378b04f6-f261-4499-b462-41ddd755ff66" targetNamespace="http://schemas.microsoft.com/office/2006/metadata/properties" ma:root="true" ma:fieldsID="8a11561648e9abec6a159d8f51b2bafd" ns2:_="">
    <xsd:import namespace="378b04f6-f261-4499-b462-41ddd755ff6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b04f6-f261-4499-b462-41ddd755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78b04f6-f261-4499-b462-41ddd755ff66">2014CSSG-729-78</_dlc_DocId>
    <_dlc_DocIdUrl xmlns="378b04f6-f261-4499-b462-41ddd755ff66">
      <Url>http://tweb/sites/cssg/project/cprs/_layouts/DocIdRedir.aspx?ID=2014CSSG-729-78</Url>
      <Description>2014CSSG-729-78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68E81-2B2D-47A2-8CBF-4B0BF58A66B4}">
  <ds:schemaRefs>
    <ds:schemaRef ds:uri="http://schemas.microsoft.com/sharepoint/v3/contenttype/forms"/>
  </ds:schemaRefs>
</ds:datastoreItem>
</file>

<file path=customXml/itemProps2.xml><?xml version="1.0" encoding="utf-8"?>
<ds:datastoreItem xmlns:ds="http://schemas.openxmlformats.org/officeDocument/2006/customXml" ds:itemID="{2EB8DA6A-2891-413A-97E9-1CD6449B3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b04f6-f261-4499-b462-41ddd755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0D36F3-B791-4BC0-B514-AECE373A137B}">
  <ds:schemaRefs>
    <ds:schemaRef ds:uri="http://schemas.microsoft.com/office/infopath/2007/PartnerControls"/>
    <ds:schemaRef ds:uri="http://www.w3.org/XML/1998/namespace"/>
    <ds:schemaRef ds:uri="http://schemas.microsoft.com/office/2006/documentManagement/types"/>
    <ds:schemaRef ds:uri="http://purl.org/dc/terms/"/>
    <ds:schemaRef ds:uri="http://schemas.microsoft.com/office/2006/metadata/properties"/>
    <ds:schemaRef ds:uri="378b04f6-f261-4499-b462-41ddd755ff66"/>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D9856AFB-87B8-4292-8FD0-4B4A5F86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CPRS Report.dotm</Template>
  <TotalTime>4</TotalTime>
  <Pages>313</Pages>
  <Words>119818</Words>
  <Characters>678584</Characters>
  <Application>Microsoft Office Word</Application>
  <DocSecurity>0</DocSecurity>
  <Lines>10743</Lines>
  <Paragraphs>4003</Paragraphs>
  <ScaleCrop>false</ScaleCrop>
  <HeadingPairs>
    <vt:vector size="2" baseType="variant">
      <vt:variant>
        <vt:lpstr>Title</vt:lpstr>
      </vt:variant>
      <vt:variant>
        <vt:i4>1</vt:i4>
      </vt:variant>
    </vt:vector>
  </HeadingPairs>
  <TitlesOfParts>
    <vt:vector size="1" baseType="lpstr">
      <vt:lpstr>Competition Policy Review Draft Report</vt:lpstr>
    </vt:vector>
  </TitlesOfParts>
  <Company>The Treasury</Company>
  <LinksUpToDate>false</LinksUpToDate>
  <CharactersWithSpaces>795960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Policy Review Draft Report</dc:title>
  <dc:subject>Review of competition policy in Australia - draft report</dc:subject>
  <dc:creator>Competition Policy Review Secretariat</dc:creator>
  <cp:lastModifiedBy>Keogh, Vicky</cp:lastModifiedBy>
  <cp:revision>4</cp:revision>
  <cp:lastPrinted>2014-09-21T22:23:00Z</cp:lastPrinted>
  <dcterms:created xsi:type="dcterms:W3CDTF">2014-09-21T22:23:00Z</dcterms:created>
  <dcterms:modified xsi:type="dcterms:W3CDTF">2014-09-21T23:35:00Z</dcterms:modified>
</cp:coreProperties>
</file>