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5FA41" w14:textId="77777777" w:rsidR="00D72BEA" w:rsidRPr="009A58E7" w:rsidRDefault="00355F3E" w:rsidP="002861E4">
      <w:pPr>
        <w:rPr>
          <w:rFonts w:ascii="Arial Narrow" w:hAnsi="Arial Narrow"/>
          <w:noProof/>
          <w:color w:val="484E41"/>
        </w:rPr>
      </w:pPr>
      <w:bookmarkStart w:id="0" w:name="_GoBack"/>
      <w:bookmarkEnd w:id="0"/>
      <w:r>
        <w:rPr>
          <w:noProof/>
          <w:color w:val="484E41"/>
        </w:rPr>
        <w:drawing>
          <wp:anchor distT="0" distB="0" distL="114300" distR="114300" simplePos="0" relativeHeight="251657728" behindDoc="1" locked="0" layoutInCell="1" allowOverlap="1" wp14:anchorId="7E3C233F" wp14:editId="54C4410C">
            <wp:simplePos x="0" y="0"/>
            <wp:positionH relativeFrom="page">
              <wp:align>left</wp:align>
            </wp:positionH>
            <wp:positionV relativeFrom="paragraph">
              <wp:posOffset>-2321560</wp:posOffset>
            </wp:positionV>
            <wp:extent cx="7757160" cy="10751820"/>
            <wp:effectExtent l="0" t="0" r="0" b="0"/>
            <wp:wrapNone/>
            <wp:docPr id="4" name="Picture 9" descr="NO099_Submission 01B front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099_Submission 01B front v2"/>
                    <pic:cNvPicPr>
                      <a:picLocks noChangeAspect="1" noChangeArrowheads="1"/>
                    </pic:cNvPicPr>
                  </pic:nvPicPr>
                  <pic:blipFill>
                    <a:blip r:embed="rId15" cstate="print"/>
                    <a:srcRect/>
                    <a:stretch>
                      <a:fillRect/>
                    </a:stretch>
                  </pic:blipFill>
                  <pic:spPr bwMode="auto">
                    <a:xfrm>
                      <a:off x="0" y="0"/>
                      <a:ext cx="7757160" cy="10751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3E8A92" w14:textId="77777777" w:rsidR="00D72BEA" w:rsidRPr="009A58E7" w:rsidRDefault="00D72BEA" w:rsidP="002861E4">
      <w:pPr>
        <w:rPr>
          <w:rFonts w:ascii="Arial Narrow" w:hAnsi="Arial Narrow"/>
          <w:color w:val="484E41"/>
        </w:rPr>
      </w:pPr>
    </w:p>
    <w:p w14:paraId="7456DFB9" w14:textId="77777777" w:rsidR="00D72BEA" w:rsidRPr="009A58E7" w:rsidRDefault="00D72BEA" w:rsidP="002861E4">
      <w:pPr>
        <w:rPr>
          <w:rFonts w:ascii="Arial Narrow" w:hAnsi="Arial Narrow"/>
          <w:color w:val="484E41"/>
        </w:rPr>
        <w:sectPr w:rsidR="00D72BEA" w:rsidRPr="009A58E7" w:rsidSect="00D72BEA">
          <w:pgSz w:w="11899" w:h="16838"/>
          <w:pgMar w:top="1733" w:right="1440" w:bottom="2845" w:left="1440" w:header="1440" w:footer="2552" w:gutter="0"/>
          <w:cols w:space="720"/>
          <w:docGrid w:linePitch="360"/>
        </w:sectPr>
      </w:pPr>
    </w:p>
    <w:p w14:paraId="43D1B07F" w14:textId="443689BF" w:rsidR="00D46E6B" w:rsidRDefault="00A33205">
      <w:pPr>
        <w:rPr>
          <w:rFonts w:ascii="Arial" w:hAnsi="Arial" w:cs="Arial"/>
          <w:b/>
          <w:bCs/>
          <w:color w:val="E06C08"/>
          <w:sz w:val="28"/>
          <w:szCs w:val="28"/>
          <w:lang w:val="en-GB"/>
        </w:rPr>
      </w:pPr>
      <w:bookmarkStart w:id="1" w:name="_Toc314836482"/>
      <w:bookmarkStart w:id="2" w:name="_Toc314836662"/>
      <w:r>
        <w:rPr>
          <w:noProof/>
          <w:color w:val="484E41"/>
        </w:rPr>
        <w:lastRenderedPageBreak/>
        <mc:AlternateContent>
          <mc:Choice Requires="wps">
            <w:drawing>
              <wp:anchor distT="0" distB="0" distL="114935" distR="114935" simplePos="0" relativeHeight="251660800" behindDoc="0" locked="0" layoutInCell="1" allowOverlap="1" wp14:anchorId="68643B92" wp14:editId="14F1C8D6">
                <wp:simplePos x="0" y="0"/>
                <wp:positionH relativeFrom="column">
                  <wp:posOffset>1872615</wp:posOffset>
                </wp:positionH>
                <wp:positionV relativeFrom="paragraph">
                  <wp:posOffset>6755764</wp:posOffset>
                </wp:positionV>
                <wp:extent cx="4389120" cy="185356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853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00BF9" w14:textId="6A0E47EC" w:rsidR="008542A0" w:rsidRDefault="008542A0" w:rsidP="004F7FB5">
                            <w:pPr>
                              <w:jc w:val="right"/>
                              <w:rPr>
                                <w:rFonts w:ascii="Century Gothic" w:hAnsi="Century Gothic" w:cs="Century Gothic"/>
                                <w:color w:val="000000"/>
                                <w:sz w:val="24"/>
                                <w:szCs w:val="24"/>
                              </w:rPr>
                            </w:pPr>
                          </w:p>
                          <w:p w14:paraId="0CFB6E44" w14:textId="7164FE78" w:rsidR="008542A0" w:rsidRPr="00D84EE4" w:rsidRDefault="001D7C64" w:rsidP="004F7FB5">
                            <w:pPr>
                              <w:jc w:val="right"/>
                              <w:rPr>
                                <w:rFonts w:ascii="Century Gothic" w:hAnsi="Century Gothic" w:cs="Century Gothic"/>
                                <w:b/>
                                <w:bCs/>
                                <w:color w:val="000000"/>
                                <w:sz w:val="24"/>
                                <w:szCs w:val="24"/>
                              </w:rPr>
                            </w:pPr>
                            <w:r>
                              <w:rPr>
                                <w:rFonts w:ascii="Century Gothic" w:hAnsi="Century Gothic" w:cs="Century Gothic"/>
                                <w:color w:val="000000"/>
                                <w:sz w:val="24"/>
                                <w:szCs w:val="24"/>
                              </w:rPr>
                              <w:t>1</w:t>
                            </w:r>
                            <w:r w:rsidR="005B673B">
                              <w:rPr>
                                <w:rFonts w:ascii="Century Gothic" w:hAnsi="Century Gothic" w:cs="Century Gothic"/>
                                <w:color w:val="000000"/>
                                <w:sz w:val="24"/>
                                <w:szCs w:val="24"/>
                              </w:rPr>
                              <w:t>5</w:t>
                            </w:r>
                            <w:r>
                              <w:rPr>
                                <w:rFonts w:ascii="Century Gothic" w:hAnsi="Century Gothic" w:cs="Century Gothic"/>
                                <w:color w:val="000000"/>
                                <w:sz w:val="24"/>
                                <w:szCs w:val="24"/>
                              </w:rPr>
                              <w:t xml:space="preserve"> </w:t>
                            </w:r>
                            <w:r w:rsidR="005B673B">
                              <w:rPr>
                                <w:rFonts w:ascii="Century Gothic" w:hAnsi="Century Gothic" w:cs="Century Gothic"/>
                                <w:color w:val="000000"/>
                                <w:sz w:val="24"/>
                                <w:szCs w:val="24"/>
                              </w:rPr>
                              <w:t>March 2017</w:t>
                            </w:r>
                          </w:p>
                          <w:p w14:paraId="24C1E160" w14:textId="77777777" w:rsidR="008542A0" w:rsidRDefault="008542A0" w:rsidP="004F7FB5">
                            <w:pPr>
                              <w:jc w:val="right"/>
                              <w:rPr>
                                <w:rFonts w:ascii="Century Gothic" w:hAnsi="Century Gothic" w:cs="Century Gothic"/>
                                <w:b/>
                                <w:bCs/>
                                <w:color w:val="000000"/>
                                <w:sz w:val="44"/>
                                <w:szCs w:val="44"/>
                              </w:rPr>
                            </w:pPr>
                          </w:p>
                          <w:p w14:paraId="3CEFDBF8" w14:textId="77777777" w:rsidR="008542A0" w:rsidRDefault="008542A0" w:rsidP="004F7FB5">
                            <w:pPr>
                              <w:jc w:val="right"/>
                              <w:rPr>
                                <w:rFonts w:ascii="Arial Bold" w:hAnsi="Arial Bol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45pt;margin-top:531.95pt;width:345.6pt;height:145.9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" stroked="f">
                <v:fill opacity="0"/>
                <v:textbox inset="0,0,0,0">
                  <w:txbxContent>
                    <w:p w14:paraId="5B100BF9" w14:textId="6A0E47EC" w:rsidR="008542A0" w:rsidRDefault="008542A0" w:rsidP="004F7FB5">
                      <w:pPr>
                        <w:jc w:val="right"/>
                        <w:rPr>
                          <w:rFonts w:ascii="Century Gothic" w:hAnsi="Century Gothic" w:cs="Century Gothic"/>
                          <w:color w:val="000000"/>
                          <w:sz w:val="24"/>
                          <w:szCs w:val="24"/>
                        </w:rPr>
                      </w:pPr>
                    </w:p>
                    <w:p w14:paraId="0CFB6E44" w14:textId="7164FE78" w:rsidR="008542A0" w:rsidRPr="00D84EE4" w:rsidRDefault="001D7C64" w:rsidP="004F7FB5">
                      <w:pPr>
                        <w:jc w:val="right"/>
                        <w:rPr>
                          <w:rFonts w:ascii="Century Gothic" w:hAnsi="Century Gothic" w:cs="Century Gothic"/>
                          <w:b/>
                          <w:bCs/>
                          <w:color w:val="000000"/>
                          <w:sz w:val="24"/>
                          <w:szCs w:val="24"/>
                        </w:rPr>
                      </w:pPr>
                      <w:r>
                        <w:rPr>
                          <w:rFonts w:ascii="Century Gothic" w:hAnsi="Century Gothic" w:cs="Century Gothic"/>
                          <w:color w:val="000000"/>
                          <w:sz w:val="24"/>
                          <w:szCs w:val="24"/>
                        </w:rPr>
                        <w:t>1</w:t>
                      </w:r>
                      <w:r w:rsidR="005B673B">
                        <w:rPr>
                          <w:rFonts w:ascii="Century Gothic" w:hAnsi="Century Gothic" w:cs="Century Gothic"/>
                          <w:color w:val="000000"/>
                          <w:sz w:val="24"/>
                          <w:szCs w:val="24"/>
                        </w:rPr>
                        <w:t>5</w:t>
                      </w:r>
                      <w:r>
                        <w:rPr>
                          <w:rFonts w:ascii="Century Gothic" w:hAnsi="Century Gothic" w:cs="Century Gothic"/>
                          <w:color w:val="000000"/>
                          <w:sz w:val="24"/>
                          <w:szCs w:val="24"/>
                        </w:rPr>
                        <w:t xml:space="preserve"> </w:t>
                      </w:r>
                      <w:r w:rsidR="005B673B">
                        <w:rPr>
                          <w:rFonts w:ascii="Century Gothic" w:hAnsi="Century Gothic" w:cs="Century Gothic"/>
                          <w:color w:val="000000"/>
                          <w:sz w:val="24"/>
                          <w:szCs w:val="24"/>
                        </w:rPr>
                        <w:t>March 2017</w:t>
                      </w:r>
                    </w:p>
                    <w:p w14:paraId="24C1E160" w14:textId="77777777" w:rsidR="008542A0" w:rsidRDefault="008542A0" w:rsidP="004F7FB5">
                      <w:pPr>
                        <w:jc w:val="right"/>
                        <w:rPr>
                          <w:rFonts w:ascii="Century Gothic" w:hAnsi="Century Gothic" w:cs="Century Gothic"/>
                          <w:b/>
                          <w:bCs/>
                          <w:color w:val="000000"/>
                          <w:sz w:val="44"/>
                          <w:szCs w:val="44"/>
                        </w:rPr>
                      </w:pPr>
                    </w:p>
                    <w:p w14:paraId="3CEFDBF8" w14:textId="77777777" w:rsidR="008542A0" w:rsidRDefault="008542A0" w:rsidP="004F7FB5">
                      <w:pPr>
                        <w:jc w:val="right"/>
                        <w:rPr>
                          <w:rFonts w:ascii="Arial Bold" w:hAnsi="Arial Bold"/>
                        </w:rPr>
                      </w:pPr>
                    </w:p>
                  </w:txbxContent>
                </v:textbox>
              </v:shape>
            </w:pict>
          </mc:Fallback>
        </mc:AlternateContent>
      </w:r>
      <w:r w:rsidR="007B4DC1">
        <w:rPr>
          <w:noProof/>
          <w:color w:val="484E41"/>
        </w:rPr>
        <mc:AlternateContent>
          <mc:Choice Requires="wps">
            <w:drawing>
              <wp:anchor distT="0" distB="0" distL="114935" distR="114935" simplePos="0" relativeHeight="251656704" behindDoc="0" locked="0" layoutInCell="1" allowOverlap="1" wp14:anchorId="66CF6EE4" wp14:editId="7B4F457E">
                <wp:simplePos x="0" y="0"/>
                <wp:positionH relativeFrom="column">
                  <wp:posOffset>-1070610</wp:posOffset>
                </wp:positionH>
                <wp:positionV relativeFrom="paragraph">
                  <wp:posOffset>4298315</wp:posOffset>
                </wp:positionV>
                <wp:extent cx="7400925" cy="2219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2219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99DB1" w14:textId="77777777" w:rsidR="008542A0" w:rsidRPr="00064398" w:rsidRDefault="008542A0" w:rsidP="00D72BEA">
                            <w:pPr>
                              <w:jc w:val="right"/>
                              <w:rPr>
                                <w:rFonts w:ascii="Arial" w:hAnsi="Arial"/>
                                <w:color w:val="484E41"/>
                              </w:rPr>
                            </w:pPr>
                            <w:r w:rsidRPr="00064398">
                              <w:rPr>
                                <w:rFonts w:ascii="Arial" w:hAnsi="Arial"/>
                                <w:color w:val="484E41"/>
                              </w:rPr>
                              <w:t>The Institute of Public Accountants</w:t>
                            </w:r>
                          </w:p>
                          <w:p w14:paraId="2C635DE7" w14:textId="77777777" w:rsidR="008542A0" w:rsidRPr="00C67223" w:rsidRDefault="008542A0" w:rsidP="00D72BEA">
                            <w:pPr>
                              <w:jc w:val="right"/>
                            </w:pPr>
                          </w:p>
                          <w:p w14:paraId="7B162F25" w14:textId="77777777" w:rsidR="008542A0" w:rsidRPr="004F7FB5" w:rsidRDefault="008542A0" w:rsidP="004F7FB5">
                            <w:pPr>
                              <w:autoSpaceDE w:val="0"/>
                              <w:autoSpaceDN w:val="0"/>
                              <w:adjustRightInd w:val="0"/>
                              <w:rPr>
                                <w:rFonts w:ascii="Century Gothic" w:hAnsi="Century Gothic" w:cs="Century Gothic"/>
                                <w:color w:val="000000"/>
                              </w:rPr>
                            </w:pPr>
                          </w:p>
                          <w:p w14:paraId="1D1BA28B" w14:textId="1E50A120" w:rsidR="008542A0" w:rsidRPr="00A33205" w:rsidRDefault="008542A0" w:rsidP="00A33205">
                            <w:pPr>
                              <w:jc w:val="right"/>
                              <w:rPr>
                                <w:rFonts w:ascii="Century Gothic" w:hAnsi="Century Gothic" w:cs="Century Gothic"/>
                                <w:b/>
                                <w:bCs/>
                                <w:color w:val="E36C0A" w:themeColor="accent6" w:themeShade="BF"/>
                                <w:sz w:val="44"/>
                                <w:szCs w:val="44"/>
                              </w:rPr>
                            </w:pPr>
                            <w:r w:rsidRPr="000D114C">
                              <w:rPr>
                                <w:rFonts w:ascii="Century Gothic" w:hAnsi="Century Gothic" w:cs="Century Gothic"/>
                                <w:color w:val="E36C0A" w:themeColor="accent6" w:themeShade="BF"/>
                              </w:rPr>
                              <w:t xml:space="preserve"> </w:t>
                            </w:r>
                            <w:r w:rsidR="005B673B" w:rsidRPr="005B673B">
                              <w:rPr>
                                <w:rFonts w:ascii="Century Gothic" w:hAnsi="Century Gothic" w:cs="Century Gothic"/>
                                <w:b/>
                                <w:bCs/>
                                <w:color w:val="E36C0A" w:themeColor="accent6" w:themeShade="BF"/>
                                <w:sz w:val="44"/>
                                <w:szCs w:val="44"/>
                              </w:rPr>
                              <w:t>Design and Distribution Obligations and Product Intervention Power</w:t>
                            </w:r>
                          </w:p>
                          <w:p w14:paraId="48376AF7" w14:textId="77777777" w:rsidR="008542A0" w:rsidRDefault="008542A0" w:rsidP="004F7FB5">
                            <w:pPr>
                              <w:jc w:val="right"/>
                              <w:rPr>
                                <w:rFonts w:ascii="Century Gothic" w:hAnsi="Century Gothic" w:cs="Century Gothic"/>
                                <w:b/>
                                <w:bCs/>
                                <w:color w:val="000000"/>
                                <w:sz w:val="44"/>
                                <w:szCs w:val="44"/>
                              </w:rPr>
                            </w:pPr>
                          </w:p>
                          <w:p w14:paraId="110F4F9D" w14:textId="77777777" w:rsidR="008542A0" w:rsidRDefault="008542A0" w:rsidP="004F7FB5">
                            <w:pPr>
                              <w:jc w:val="right"/>
                              <w:rPr>
                                <w:rFonts w:ascii="Arial Bold" w:hAnsi="Arial Bol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84.3pt;margin-top:338.45pt;width:582.75pt;height:174.7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" stroked="f">
                <v:fill opacity="0"/>
                <v:textbox inset="0,0,0,0">
                  <w:txbxContent>
                    <w:p w14:paraId="3B399DB1" w14:textId="77777777" w:rsidR="008542A0" w:rsidRPr="00064398" w:rsidRDefault="008542A0" w:rsidP="00D72BEA">
                      <w:pPr>
                        <w:jc w:val="right"/>
                        <w:rPr>
                          <w:rFonts w:ascii="Arial" w:hAnsi="Arial"/>
                          <w:color w:val="484E41"/>
                        </w:rPr>
                      </w:pPr>
                      <w:r w:rsidRPr="00064398">
                        <w:rPr>
                          <w:rFonts w:ascii="Arial" w:hAnsi="Arial"/>
                          <w:color w:val="484E41"/>
                        </w:rPr>
                        <w:t>The Institute of Public Accountants</w:t>
                      </w:r>
                    </w:p>
                    <w:p w14:paraId="2C635DE7" w14:textId="77777777" w:rsidR="008542A0" w:rsidRPr="00C67223" w:rsidRDefault="008542A0" w:rsidP="00D72BEA">
                      <w:pPr>
                        <w:jc w:val="right"/>
                      </w:pPr>
                    </w:p>
                    <w:p w14:paraId="7B162F25" w14:textId="77777777" w:rsidR="008542A0" w:rsidRPr="004F7FB5" w:rsidRDefault="008542A0" w:rsidP="004F7FB5">
                      <w:pPr>
                        <w:autoSpaceDE w:val="0"/>
                        <w:autoSpaceDN w:val="0"/>
                        <w:adjustRightInd w:val="0"/>
                        <w:rPr>
                          <w:rFonts w:ascii="Century Gothic" w:hAnsi="Century Gothic" w:cs="Century Gothic"/>
                          <w:color w:val="000000"/>
                        </w:rPr>
                      </w:pPr>
                    </w:p>
                    <w:p w14:paraId="1D1BA28B" w14:textId="1E50A120" w:rsidR="008542A0" w:rsidRPr="00A33205" w:rsidRDefault="008542A0" w:rsidP="00A33205">
                      <w:pPr>
                        <w:jc w:val="right"/>
                        <w:rPr>
                          <w:rFonts w:ascii="Century Gothic" w:hAnsi="Century Gothic" w:cs="Century Gothic"/>
                          <w:b/>
                          <w:bCs/>
                          <w:color w:val="E36C0A" w:themeColor="accent6" w:themeShade="BF"/>
                          <w:sz w:val="44"/>
                          <w:szCs w:val="44"/>
                        </w:rPr>
                      </w:pPr>
                      <w:r w:rsidRPr="000D114C">
                        <w:rPr>
                          <w:rFonts w:ascii="Century Gothic" w:hAnsi="Century Gothic" w:cs="Century Gothic"/>
                          <w:color w:val="E36C0A" w:themeColor="accent6" w:themeShade="BF"/>
                        </w:rPr>
                        <w:t xml:space="preserve"> </w:t>
                      </w:r>
                      <w:r w:rsidR="005B673B" w:rsidRPr="005B673B">
                        <w:rPr>
                          <w:rFonts w:ascii="Century Gothic" w:hAnsi="Century Gothic" w:cs="Century Gothic"/>
                          <w:b/>
                          <w:bCs/>
                          <w:color w:val="E36C0A" w:themeColor="accent6" w:themeShade="BF"/>
                          <w:sz w:val="44"/>
                          <w:szCs w:val="44"/>
                        </w:rPr>
                        <w:t>Design and Distribution Obligations and Product Intervention Power</w:t>
                      </w:r>
                    </w:p>
                    <w:p w14:paraId="48376AF7" w14:textId="77777777" w:rsidR="008542A0" w:rsidRDefault="008542A0" w:rsidP="004F7FB5">
                      <w:pPr>
                        <w:jc w:val="right"/>
                        <w:rPr>
                          <w:rFonts w:ascii="Century Gothic" w:hAnsi="Century Gothic" w:cs="Century Gothic"/>
                          <w:b/>
                          <w:bCs/>
                          <w:color w:val="000000"/>
                          <w:sz w:val="44"/>
                          <w:szCs w:val="44"/>
                        </w:rPr>
                      </w:pPr>
                    </w:p>
                    <w:p w14:paraId="110F4F9D" w14:textId="77777777" w:rsidR="008542A0" w:rsidRDefault="008542A0" w:rsidP="004F7FB5">
                      <w:pPr>
                        <w:jc w:val="right"/>
                        <w:rPr>
                          <w:rFonts w:ascii="Arial Bold" w:hAnsi="Arial Bold"/>
                        </w:rPr>
                      </w:pPr>
                    </w:p>
                  </w:txbxContent>
                </v:textbox>
              </v:shape>
            </w:pict>
          </mc:Fallback>
        </mc:AlternateContent>
      </w:r>
      <w:r w:rsidR="004F7FB5">
        <w:rPr>
          <w:noProof/>
          <w:color w:val="484E41"/>
        </w:rPr>
        <w:drawing>
          <wp:anchor distT="0" distB="0" distL="114300" distR="114300" simplePos="0" relativeHeight="251658752" behindDoc="0" locked="0" layoutInCell="1" allowOverlap="1" wp14:anchorId="1CFF2801" wp14:editId="03AE6511">
            <wp:simplePos x="0" y="0"/>
            <wp:positionH relativeFrom="column">
              <wp:posOffset>3004185</wp:posOffset>
            </wp:positionH>
            <wp:positionV relativeFrom="page">
              <wp:posOffset>9555480</wp:posOffset>
            </wp:positionV>
            <wp:extent cx="3110865" cy="869950"/>
            <wp:effectExtent l="0" t="0" r="0" b="6350"/>
            <wp:wrapTight wrapText="bothSides">
              <wp:wrapPolygon edited="0">
                <wp:start x="0" y="0"/>
                <wp:lineTo x="0" y="21285"/>
                <wp:lineTo x="21428" y="21285"/>
                <wp:lineTo x="21428" y="0"/>
                <wp:lineTo x="0" y="0"/>
              </wp:wrapPolygon>
            </wp:wrapTight>
            <wp:docPr id="5" name="Picture 10" descr="NO023_IPACrestfull_wTAG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023_IPACrestfull_wTAG_PMS"/>
                    <pic:cNvPicPr>
                      <a:picLocks noChangeAspect="1" noChangeArrowheads="1"/>
                    </pic:cNvPicPr>
                  </pic:nvPicPr>
                  <pic:blipFill>
                    <a:blip r:embed="rId16" cstate="print"/>
                    <a:srcRect/>
                    <a:stretch>
                      <a:fillRect/>
                    </a:stretch>
                  </pic:blipFill>
                  <pic:spPr bwMode="auto">
                    <a:xfrm>
                      <a:off x="0" y="0"/>
                      <a:ext cx="3110865" cy="869950"/>
                    </a:xfrm>
                    <a:prstGeom prst="rect">
                      <a:avLst/>
                    </a:prstGeom>
                    <a:noFill/>
                    <a:ln w="9525">
                      <a:noFill/>
                      <a:miter lim="800000"/>
                      <a:headEnd/>
                      <a:tailEnd/>
                    </a:ln>
                  </pic:spPr>
                </pic:pic>
              </a:graphicData>
            </a:graphic>
          </wp:anchor>
        </w:drawing>
      </w:r>
      <w:r w:rsidR="00D46E6B">
        <w:br w:type="page"/>
      </w:r>
    </w:p>
    <w:p w14:paraId="545ECA49" w14:textId="2823BA35" w:rsidR="007F790D" w:rsidRPr="00412991" w:rsidRDefault="007F790D" w:rsidP="007F790D">
      <w:pPr>
        <w:pStyle w:val="Heading1"/>
        <w:rPr>
          <w:rFonts w:asciiTheme="minorHAnsi" w:hAnsiTheme="minorHAnsi"/>
          <w:sz w:val="36"/>
          <w:szCs w:val="36"/>
        </w:rPr>
      </w:pPr>
      <w:bookmarkStart w:id="3" w:name="_Toc314836483"/>
      <w:bookmarkStart w:id="4" w:name="_Toc314836663"/>
      <w:bookmarkStart w:id="5" w:name="_Toc397553210"/>
      <w:bookmarkEnd w:id="1"/>
      <w:bookmarkEnd w:id="2"/>
      <w:r w:rsidRPr="00412991">
        <w:rPr>
          <w:rFonts w:asciiTheme="minorHAnsi" w:hAnsiTheme="minorHAnsi"/>
          <w:sz w:val="36"/>
          <w:szCs w:val="36"/>
        </w:rPr>
        <w:lastRenderedPageBreak/>
        <w:t xml:space="preserve">IPA - Deakin </w:t>
      </w:r>
      <w:r w:rsidR="00412991">
        <w:rPr>
          <w:rFonts w:asciiTheme="minorHAnsi" w:hAnsiTheme="minorHAnsi"/>
          <w:sz w:val="36"/>
          <w:szCs w:val="36"/>
        </w:rPr>
        <w:t xml:space="preserve">University </w:t>
      </w:r>
      <w:r w:rsidRPr="00412991">
        <w:rPr>
          <w:rFonts w:asciiTheme="minorHAnsi" w:hAnsiTheme="minorHAnsi"/>
          <w:sz w:val="36"/>
          <w:szCs w:val="36"/>
        </w:rPr>
        <w:t xml:space="preserve">SME Research </w:t>
      </w:r>
      <w:r w:rsidR="008E67A7" w:rsidRPr="00412991">
        <w:rPr>
          <w:rFonts w:asciiTheme="minorHAnsi" w:hAnsiTheme="minorHAnsi"/>
          <w:sz w:val="36"/>
          <w:szCs w:val="36"/>
        </w:rPr>
        <w:t>Centre</w:t>
      </w:r>
    </w:p>
    <w:p w14:paraId="53834190" w14:textId="77777777" w:rsidR="007F790D" w:rsidRPr="00412991" w:rsidRDefault="007F790D" w:rsidP="007F790D">
      <w:pPr>
        <w:autoSpaceDE w:val="0"/>
        <w:autoSpaceDN w:val="0"/>
        <w:adjustRightInd w:val="0"/>
        <w:spacing w:after="0" w:line="240" w:lineRule="auto"/>
        <w:rPr>
          <w:rFonts w:cs="Futura-Book"/>
          <w:sz w:val="22"/>
          <w:szCs w:val="22"/>
        </w:rPr>
      </w:pPr>
    </w:p>
    <w:p w14:paraId="6D77127E" w14:textId="77777777" w:rsidR="007F790D" w:rsidRPr="00412991" w:rsidRDefault="007F790D" w:rsidP="007F790D">
      <w:pPr>
        <w:autoSpaceDE w:val="0"/>
        <w:autoSpaceDN w:val="0"/>
        <w:adjustRightInd w:val="0"/>
        <w:spacing w:after="0" w:line="240" w:lineRule="auto"/>
        <w:rPr>
          <w:rFonts w:cs="Futura-Light"/>
          <w:sz w:val="22"/>
          <w:szCs w:val="22"/>
        </w:rPr>
      </w:pPr>
    </w:p>
    <w:p w14:paraId="0C0D5C2B" w14:textId="3DF93F61" w:rsidR="007F790D" w:rsidRPr="00412991" w:rsidRDefault="007F790D" w:rsidP="007F790D">
      <w:pPr>
        <w:autoSpaceDE w:val="0"/>
        <w:autoSpaceDN w:val="0"/>
        <w:adjustRightInd w:val="0"/>
        <w:spacing w:after="0" w:line="240" w:lineRule="auto"/>
        <w:rPr>
          <w:rFonts w:cs="Futura-Light"/>
          <w:sz w:val="22"/>
          <w:szCs w:val="22"/>
        </w:rPr>
      </w:pPr>
      <w:r w:rsidRPr="00412991">
        <w:rPr>
          <w:rFonts w:cs="Futura-Light"/>
          <w:sz w:val="22"/>
          <w:szCs w:val="22"/>
        </w:rPr>
        <w:t xml:space="preserve">The Institute of Public Accountants (IPA) is one of the three legally recognised professional accounting bodies in Australia. The IPA has been in operation for over 90 years and has grown rapidly in recent years to represent more than </w:t>
      </w:r>
      <w:r w:rsidR="007B77FE" w:rsidRPr="00412991">
        <w:rPr>
          <w:rFonts w:cs="Futura-Light"/>
          <w:sz w:val="22"/>
          <w:szCs w:val="22"/>
        </w:rPr>
        <w:t>3</w:t>
      </w:r>
      <w:r w:rsidRPr="00412991">
        <w:rPr>
          <w:rFonts w:cs="Futura-Light"/>
          <w:sz w:val="22"/>
          <w:szCs w:val="22"/>
        </w:rPr>
        <w:t xml:space="preserve">5,000 members and students in Australia and in more than </w:t>
      </w:r>
      <w:r w:rsidR="007B77FE" w:rsidRPr="00412991">
        <w:rPr>
          <w:rFonts w:cs="Futura-Light"/>
          <w:sz w:val="22"/>
          <w:szCs w:val="22"/>
        </w:rPr>
        <w:t>80</w:t>
      </w:r>
      <w:r w:rsidRPr="00412991">
        <w:rPr>
          <w:rFonts w:cs="Futura-Light"/>
          <w:sz w:val="22"/>
          <w:szCs w:val="22"/>
        </w:rPr>
        <w:t xml:space="preserve"> countries. The IPA has offices around Australia and in </w:t>
      </w:r>
      <w:r w:rsidR="007B77FE" w:rsidRPr="00412991">
        <w:rPr>
          <w:rFonts w:cs="Futura-Light"/>
          <w:sz w:val="22"/>
          <w:szCs w:val="22"/>
        </w:rPr>
        <w:t xml:space="preserve">London, </w:t>
      </w:r>
      <w:r w:rsidRPr="00412991">
        <w:rPr>
          <w:rFonts w:cs="Futura-Light"/>
          <w:sz w:val="22"/>
          <w:szCs w:val="22"/>
        </w:rPr>
        <w:t xml:space="preserve">Beijing, Shanghai, Guangzhou and Kuala Lumpur. It also has a range of partnerships with other global accounting bodies. The IPA is a full member of the International Federation of Accountants and has almost 4,000 individual accounting practices in its network, generating in excess of $2.1 billion in accounting services fees annually. The IPA’s unique proposition is that it is for </w:t>
      </w:r>
      <w:r w:rsidRPr="00412991">
        <w:rPr>
          <w:rFonts w:cs="Futura-LightOblique"/>
          <w:i/>
          <w:iCs/>
          <w:sz w:val="22"/>
          <w:szCs w:val="22"/>
        </w:rPr>
        <w:t>small business</w:t>
      </w:r>
      <w:r w:rsidRPr="00412991">
        <w:rPr>
          <w:rFonts w:cs="Futura-Light"/>
          <w:sz w:val="22"/>
          <w:szCs w:val="22"/>
        </w:rPr>
        <w:t xml:space="preserve">; providing personal, practical and valued services to its members and their clients/employers. More than 75 per cent of IPA members work directly in or with small business every day. The IPA has a proud record of innovation and was recognised in 2012 by </w:t>
      </w:r>
      <w:r w:rsidRPr="00412991">
        <w:rPr>
          <w:rFonts w:cs="Futura-LightOblique"/>
          <w:i/>
          <w:iCs/>
          <w:sz w:val="22"/>
          <w:szCs w:val="22"/>
        </w:rPr>
        <w:t xml:space="preserve">BRW </w:t>
      </w:r>
      <w:r w:rsidRPr="00412991">
        <w:rPr>
          <w:rFonts w:cs="Futura-Light"/>
          <w:sz w:val="22"/>
          <w:szCs w:val="22"/>
        </w:rPr>
        <w:t>as one of Australia’s top 20 most innovative companies.</w:t>
      </w:r>
    </w:p>
    <w:p w14:paraId="7795A2C7" w14:textId="77777777" w:rsidR="007F790D" w:rsidRPr="00412991" w:rsidRDefault="007F790D" w:rsidP="007F790D">
      <w:pPr>
        <w:autoSpaceDE w:val="0"/>
        <w:autoSpaceDN w:val="0"/>
        <w:adjustRightInd w:val="0"/>
        <w:spacing w:after="0" w:line="240" w:lineRule="auto"/>
        <w:rPr>
          <w:rFonts w:cs="Futura-Light"/>
          <w:sz w:val="22"/>
          <w:szCs w:val="22"/>
        </w:rPr>
      </w:pPr>
    </w:p>
    <w:p w14:paraId="42929F3C" w14:textId="3C793239" w:rsidR="007F790D" w:rsidRPr="00412991" w:rsidRDefault="007F790D" w:rsidP="007F790D">
      <w:pPr>
        <w:autoSpaceDE w:val="0"/>
        <w:autoSpaceDN w:val="0"/>
        <w:adjustRightInd w:val="0"/>
        <w:spacing w:after="0" w:line="240" w:lineRule="auto"/>
        <w:rPr>
          <w:rFonts w:cs="Futura-Light"/>
          <w:sz w:val="22"/>
          <w:szCs w:val="22"/>
        </w:rPr>
      </w:pPr>
      <w:r w:rsidRPr="00412991">
        <w:rPr>
          <w:rFonts w:cs="Futura-Light"/>
          <w:sz w:val="22"/>
          <w:szCs w:val="22"/>
        </w:rPr>
        <w:t>In 2013, the IPA partnered with Deakin University to form the IPA Deakin SME Research</w:t>
      </w:r>
      <w:r w:rsidR="008E67A7" w:rsidRPr="00412991">
        <w:rPr>
          <w:rFonts w:cs="Futura-Light"/>
          <w:sz w:val="22"/>
          <w:szCs w:val="22"/>
        </w:rPr>
        <w:t xml:space="preserve"> Partnership, </w:t>
      </w:r>
      <w:r w:rsidRPr="00412991">
        <w:rPr>
          <w:rFonts w:cs="Futura-Light"/>
          <w:sz w:val="22"/>
          <w:szCs w:val="22"/>
        </w:rPr>
        <w:t xml:space="preserve">a first in Australia. </w:t>
      </w:r>
      <w:r w:rsidR="008E67A7" w:rsidRPr="00412991">
        <w:rPr>
          <w:rFonts w:cs="Futura-Light"/>
          <w:sz w:val="22"/>
          <w:szCs w:val="22"/>
        </w:rPr>
        <w:t xml:space="preserve">This partnership has grown and evolved into the IPA assisting Deakin University in establishing the IPA-Deakin SME Research Centre. </w:t>
      </w:r>
      <w:r w:rsidRPr="00412991">
        <w:rPr>
          <w:rFonts w:cs="Futura-Light"/>
          <w:sz w:val="22"/>
          <w:szCs w:val="22"/>
        </w:rPr>
        <w:t xml:space="preserve">The goal of the </w:t>
      </w:r>
      <w:r w:rsidR="008E67A7" w:rsidRPr="00412991">
        <w:rPr>
          <w:rFonts w:cs="Futura-Light"/>
          <w:sz w:val="22"/>
          <w:szCs w:val="22"/>
        </w:rPr>
        <w:t>Centre</w:t>
      </w:r>
      <w:r w:rsidRPr="00412991">
        <w:rPr>
          <w:rFonts w:cs="Futura-Light"/>
          <w:sz w:val="22"/>
          <w:szCs w:val="22"/>
        </w:rPr>
        <w:t xml:space="preserve"> is to bring together practitioner insights with cutting edge SME academic research, to provide informed comment for substantive policy development. </w:t>
      </w:r>
    </w:p>
    <w:p w14:paraId="0DF38CDA" w14:textId="77777777" w:rsidR="007F790D" w:rsidRPr="00412991" w:rsidRDefault="007F790D" w:rsidP="007F790D">
      <w:pPr>
        <w:autoSpaceDE w:val="0"/>
        <w:autoSpaceDN w:val="0"/>
        <w:adjustRightInd w:val="0"/>
        <w:spacing w:after="0" w:line="240" w:lineRule="auto"/>
        <w:rPr>
          <w:rFonts w:cs="Futura-Light"/>
          <w:sz w:val="22"/>
          <w:szCs w:val="22"/>
        </w:rPr>
      </w:pPr>
    </w:p>
    <w:p w14:paraId="536F48AF" w14:textId="02B6FD64" w:rsidR="007F790D" w:rsidRPr="00412991" w:rsidRDefault="007F790D" w:rsidP="007F790D">
      <w:pPr>
        <w:autoSpaceDE w:val="0"/>
        <w:autoSpaceDN w:val="0"/>
        <w:adjustRightInd w:val="0"/>
        <w:spacing w:after="0" w:line="240" w:lineRule="auto"/>
        <w:rPr>
          <w:rFonts w:cs="Futura-Light"/>
          <w:sz w:val="22"/>
          <w:szCs w:val="22"/>
        </w:rPr>
      </w:pPr>
      <w:r w:rsidRPr="00412991">
        <w:rPr>
          <w:rFonts w:cs="Futura-Light"/>
          <w:sz w:val="22"/>
          <w:szCs w:val="22"/>
        </w:rPr>
        <w:t xml:space="preserve">The IPA Deakin SME Research </w:t>
      </w:r>
      <w:r w:rsidR="001D7C64" w:rsidRPr="00412991">
        <w:rPr>
          <w:rFonts w:cs="Futura-Light"/>
          <w:sz w:val="22"/>
          <w:szCs w:val="22"/>
        </w:rPr>
        <w:t>Centre</w:t>
      </w:r>
      <w:r w:rsidRPr="00412991">
        <w:rPr>
          <w:rFonts w:cs="Futura-Light"/>
          <w:sz w:val="22"/>
          <w:szCs w:val="22"/>
        </w:rPr>
        <w:t xml:space="preserve"> comprises:</w:t>
      </w:r>
    </w:p>
    <w:p w14:paraId="6F4431F8" w14:textId="77777777" w:rsidR="007F790D" w:rsidRPr="00412991" w:rsidRDefault="007F790D" w:rsidP="007F790D">
      <w:pPr>
        <w:autoSpaceDE w:val="0"/>
        <w:autoSpaceDN w:val="0"/>
        <w:adjustRightInd w:val="0"/>
        <w:spacing w:after="0" w:line="240" w:lineRule="auto"/>
        <w:rPr>
          <w:rFonts w:cs="Futura-Light"/>
          <w:sz w:val="22"/>
          <w:szCs w:val="22"/>
        </w:rPr>
      </w:pPr>
    </w:p>
    <w:p w14:paraId="263DF37A" w14:textId="77777777" w:rsidR="007F790D" w:rsidRPr="00412991" w:rsidRDefault="007F790D" w:rsidP="007F790D">
      <w:pPr>
        <w:autoSpaceDE w:val="0"/>
        <w:autoSpaceDN w:val="0"/>
        <w:adjustRightInd w:val="0"/>
        <w:spacing w:after="0" w:line="240" w:lineRule="auto"/>
        <w:rPr>
          <w:rFonts w:cs="Futura-Light"/>
          <w:sz w:val="22"/>
          <w:szCs w:val="22"/>
        </w:rPr>
      </w:pPr>
      <w:r w:rsidRPr="00412991">
        <w:rPr>
          <w:rFonts w:cs="Futura-Light"/>
          <w:sz w:val="22"/>
          <w:szCs w:val="22"/>
        </w:rPr>
        <w:t>Chair Andrew Conway FIPA</w:t>
      </w:r>
    </w:p>
    <w:p w14:paraId="31B256E1" w14:textId="77777777" w:rsidR="007F790D" w:rsidRPr="00412991" w:rsidRDefault="007F790D" w:rsidP="007F790D">
      <w:pPr>
        <w:autoSpaceDE w:val="0"/>
        <w:autoSpaceDN w:val="0"/>
        <w:adjustRightInd w:val="0"/>
        <w:spacing w:after="0" w:line="240" w:lineRule="auto"/>
        <w:rPr>
          <w:rFonts w:cs="Futura-Book"/>
          <w:b/>
          <w:sz w:val="22"/>
          <w:szCs w:val="22"/>
        </w:rPr>
      </w:pPr>
      <w:r w:rsidRPr="00412991">
        <w:rPr>
          <w:rFonts w:cs="Futura-Book"/>
          <w:b/>
          <w:sz w:val="22"/>
          <w:szCs w:val="22"/>
        </w:rPr>
        <w:t xml:space="preserve">(Chief Executive of the IPA and Professor of Accounting </w:t>
      </w:r>
      <w:r w:rsidRPr="00412991">
        <w:rPr>
          <w:rFonts w:cs="Futura-BookOblique"/>
          <w:b/>
          <w:i/>
          <w:iCs/>
          <w:sz w:val="22"/>
          <w:szCs w:val="22"/>
        </w:rPr>
        <w:t xml:space="preserve">honoris causa </w:t>
      </w:r>
      <w:r w:rsidRPr="00412991">
        <w:rPr>
          <w:rFonts w:cs="Futura-Book"/>
          <w:b/>
          <w:sz w:val="22"/>
          <w:szCs w:val="22"/>
        </w:rPr>
        <w:t>Shanghai</w:t>
      </w:r>
    </w:p>
    <w:p w14:paraId="21BBBB20" w14:textId="77777777" w:rsidR="007F790D" w:rsidRPr="00412991" w:rsidRDefault="007F790D" w:rsidP="007F790D">
      <w:pPr>
        <w:autoSpaceDE w:val="0"/>
        <w:autoSpaceDN w:val="0"/>
        <w:adjustRightInd w:val="0"/>
        <w:spacing w:after="0" w:line="240" w:lineRule="auto"/>
        <w:rPr>
          <w:rFonts w:cs="Futura-Book"/>
          <w:sz w:val="22"/>
          <w:szCs w:val="22"/>
        </w:rPr>
      </w:pPr>
      <w:r w:rsidRPr="00412991">
        <w:rPr>
          <w:rFonts w:cs="Futura-Book"/>
          <w:b/>
          <w:sz w:val="22"/>
          <w:szCs w:val="22"/>
        </w:rPr>
        <w:t>University of Finance and Economics)</w:t>
      </w:r>
    </w:p>
    <w:p w14:paraId="3A0675BE" w14:textId="77777777" w:rsidR="007F790D" w:rsidRPr="00412991" w:rsidRDefault="007F790D" w:rsidP="007F790D">
      <w:pPr>
        <w:autoSpaceDE w:val="0"/>
        <w:autoSpaceDN w:val="0"/>
        <w:adjustRightInd w:val="0"/>
        <w:spacing w:after="0" w:line="240" w:lineRule="auto"/>
        <w:rPr>
          <w:rFonts w:cs="Futura-Light"/>
          <w:sz w:val="22"/>
          <w:szCs w:val="22"/>
        </w:rPr>
      </w:pPr>
    </w:p>
    <w:p w14:paraId="1721F104" w14:textId="77777777" w:rsidR="001D7C64" w:rsidRPr="00412991" w:rsidRDefault="001D7C64" w:rsidP="001D7C64">
      <w:pPr>
        <w:autoSpaceDE w:val="0"/>
        <w:autoSpaceDN w:val="0"/>
        <w:adjustRightInd w:val="0"/>
        <w:spacing w:after="0" w:line="240" w:lineRule="auto"/>
        <w:rPr>
          <w:rFonts w:cs="Futura-Light"/>
          <w:sz w:val="22"/>
          <w:szCs w:val="22"/>
        </w:rPr>
      </w:pPr>
      <w:r w:rsidRPr="00412991">
        <w:rPr>
          <w:rFonts w:cs="Futura-Light"/>
          <w:sz w:val="22"/>
          <w:szCs w:val="22"/>
        </w:rPr>
        <w:t>Mr Tony Greco FIPA</w:t>
      </w:r>
    </w:p>
    <w:p w14:paraId="0C27DDC1" w14:textId="1E014C00" w:rsidR="001D7C64" w:rsidRPr="00412991" w:rsidRDefault="007B77FE" w:rsidP="001D7C64">
      <w:pPr>
        <w:autoSpaceDE w:val="0"/>
        <w:autoSpaceDN w:val="0"/>
        <w:adjustRightInd w:val="0"/>
        <w:spacing w:after="0" w:line="240" w:lineRule="auto"/>
        <w:rPr>
          <w:rFonts w:cs="Futura-Book"/>
          <w:b/>
          <w:sz w:val="22"/>
          <w:szCs w:val="22"/>
        </w:rPr>
      </w:pPr>
      <w:r w:rsidRPr="00412991">
        <w:rPr>
          <w:rFonts w:cs="Futura-Book"/>
          <w:b/>
          <w:sz w:val="22"/>
          <w:szCs w:val="22"/>
        </w:rPr>
        <w:t>(</w:t>
      </w:r>
      <w:r w:rsidR="001D7C64" w:rsidRPr="00412991">
        <w:rPr>
          <w:rFonts w:cs="Futura-Book"/>
          <w:b/>
          <w:sz w:val="22"/>
          <w:szCs w:val="22"/>
        </w:rPr>
        <w:t>IPA General Manager Technical Policy)</w:t>
      </w:r>
    </w:p>
    <w:p w14:paraId="7072EA89" w14:textId="77777777" w:rsidR="001D7C64" w:rsidRPr="00412991" w:rsidRDefault="001D7C64" w:rsidP="001D7C64">
      <w:pPr>
        <w:autoSpaceDE w:val="0"/>
        <w:autoSpaceDN w:val="0"/>
        <w:adjustRightInd w:val="0"/>
        <w:spacing w:after="0" w:line="240" w:lineRule="auto"/>
        <w:rPr>
          <w:rFonts w:cs="Futura-Light"/>
          <w:sz w:val="22"/>
          <w:szCs w:val="22"/>
        </w:rPr>
      </w:pPr>
    </w:p>
    <w:p w14:paraId="5DA39231" w14:textId="77777777" w:rsidR="001D7C64" w:rsidRPr="00412991" w:rsidRDefault="001D7C64" w:rsidP="001D7C64">
      <w:pPr>
        <w:autoSpaceDE w:val="0"/>
        <w:autoSpaceDN w:val="0"/>
        <w:adjustRightInd w:val="0"/>
        <w:spacing w:after="0" w:line="240" w:lineRule="auto"/>
        <w:rPr>
          <w:rFonts w:cs="Futura-Light"/>
          <w:sz w:val="22"/>
          <w:szCs w:val="22"/>
        </w:rPr>
      </w:pPr>
      <w:r w:rsidRPr="00412991">
        <w:rPr>
          <w:rFonts w:cs="Futura-Light"/>
          <w:sz w:val="22"/>
          <w:szCs w:val="22"/>
        </w:rPr>
        <w:t>Ms Vicki Stylianou</w:t>
      </w:r>
    </w:p>
    <w:p w14:paraId="672C4F92" w14:textId="52268649" w:rsidR="001D7C64" w:rsidRPr="00412991" w:rsidRDefault="001D7C64" w:rsidP="001D7C64">
      <w:pPr>
        <w:autoSpaceDE w:val="0"/>
        <w:autoSpaceDN w:val="0"/>
        <w:adjustRightInd w:val="0"/>
        <w:spacing w:after="0" w:line="240" w:lineRule="auto"/>
        <w:rPr>
          <w:rFonts w:cs="Futura-Book"/>
          <w:b/>
          <w:sz w:val="22"/>
          <w:szCs w:val="22"/>
        </w:rPr>
      </w:pPr>
      <w:r w:rsidRPr="00412991">
        <w:rPr>
          <w:rFonts w:cs="Futura-Book"/>
          <w:b/>
          <w:sz w:val="22"/>
          <w:szCs w:val="22"/>
        </w:rPr>
        <w:t>(IPA Executive General Manager, Advocacy &amp; Technical)</w:t>
      </w:r>
    </w:p>
    <w:p w14:paraId="29F571DA" w14:textId="77777777" w:rsidR="001D7C64" w:rsidRPr="00412991" w:rsidRDefault="001D7C64" w:rsidP="007F790D">
      <w:pPr>
        <w:autoSpaceDE w:val="0"/>
        <w:autoSpaceDN w:val="0"/>
        <w:adjustRightInd w:val="0"/>
        <w:spacing w:after="0" w:line="240" w:lineRule="auto"/>
        <w:rPr>
          <w:rFonts w:cs="Futura-Light"/>
          <w:sz w:val="22"/>
          <w:szCs w:val="22"/>
        </w:rPr>
      </w:pPr>
    </w:p>
    <w:p w14:paraId="24DFDFEE" w14:textId="77777777" w:rsidR="007F790D" w:rsidRPr="00412991" w:rsidRDefault="007F790D" w:rsidP="007F790D">
      <w:pPr>
        <w:autoSpaceDE w:val="0"/>
        <w:autoSpaceDN w:val="0"/>
        <w:adjustRightInd w:val="0"/>
        <w:spacing w:after="0" w:line="240" w:lineRule="auto"/>
        <w:rPr>
          <w:rFonts w:cs="Futura-Light"/>
          <w:sz w:val="22"/>
          <w:szCs w:val="22"/>
        </w:rPr>
      </w:pPr>
      <w:r w:rsidRPr="00412991">
        <w:rPr>
          <w:rFonts w:cs="Futura-Light"/>
          <w:sz w:val="22"/>
          <w:szCs w:val="22"/>
        </w:rPr>
        <w:t>Professor Peter Carey</w:t>
      </w:r>
    </w:p>
    <w:p w14:paraId="3B9E6223" w14:textId="77777777" w:rsidR="007F790D" w:rsidRPr="00412991" w:rsidRDefault="007F790D" w:rsidP="007F790D">
      <w:pPr>
        <w:autoSpaceDE w:val="0"/>
        <w:autoSpaceDN w:val="0"/>
        <w:adjustRightInd w:val="0"/>
        <w:spacing w:after="0" w:line="240" w:lineRule="auto"/>
        <w:rPr>
          <w:rFonts w:cs="Futura-Book"/>
          <w:b/>
          <w:sz w:val="22"/>
          <w:szCs w:val="22"/>
        </w:rPr>
      </w:pPr>
      <w:r w:rsidRPr="00412991">
        <w:rPr>
          <w:rFonts w:cs="Futura-Book"/>
          <w:b/>
          <w:sz w:val="22"/>
          <w:szCs w:val="22"/>
        </w:rPr>
        <w:t>(Head, Department of Accounting, Deakin Business School)</w:t>
      </w:r>
    </w:p>
    <w:p w14:paraId="4627A6CA" w14:textId="77777777" w:rsidR="007F790D" w:rsidRPr="00412991" w:rsidRDefault="007F790D" w:rsidP="007F790D">
      <w:pPr>
        <w:autoSpaceDE w:val="0"/>
        <w:autoSpaceDN w:val="0"/>
        <w:adjustRightInd w:val="0"/>
        <w:spacing w:after="0" w:line="240" w:lineRule="auto"/>
        <w:rPr>
          <w:rFonts w:cs="Futura-Light"/>
          <w:sz w:val="22"/>
          <w:szCs w:val="22"/>
        </w:rPr>
      </w:pPr>
    </w:p>
    <w:p w14:paraId="7A36778F" w14:textId="77777777" w:rsidR="007F790D" w:rsidRPr="00412991" w:rsidRDefault="007F790D" w:rsidP="007F790D">
      <w:pPr>
        <w:autoSpaceDE w:val="0"/>
        <w:autoSpaceDN w:val="0"/>
        <w:adjustRightInd w:val="0"/>
        <w:spacing w:after="0" w:line="240" w:lineRule="auto"/>
        <w:rPr>
          <w:rFonts w:cs="Futura-Light"/>
          <w:sz w:val="22"/>
          <w:szCs w:val="22"/>
        </w:rPr>
      </w:pPr>
      <w:r w:rsidRPr="00412991">
        <w:rPr>
          <w:rFonts w:cs="Futura-Light"/>
          <w:sz w:val="22"/>
          <w:szCs w:val="22"/>
        </w:rPr>
        <w:t>Professor Barry Cooper</w:t>
      </w:r>
    </w:p>
    <w:p w14:paraId="1695A389" w14:textId="77777777" w:rsidR="007F790D" w:rsidRPr="00412991" w:rsidRDefault="007F790D" w:rsidP="007F790D">
      <w:pPr>
        <w:autoSpaceDE w:val="0"/>
        <w:autoSpaceDN w:val="0"/>
        <w:adjustRightInd w:val="0"/>
        <w:spacing w:after="0" w:line="240" w:lineRule="auto"/>
        <w:rPr>
          <w:rFonts w:cs="Futura-Book"/>
          <w:b/>
          <w:sz w:val="22"/>
          <w:szCs w:val="22"/>
        </w:rPr>
      </w:pPr>
      <w:r w:rsidRPr="00412991">
        <w:rPr>
          <w:rFonts w:cs="Futura-Book"/>
          <w:b/>
          <w:sz w:val="22"/>
          <w:szCs w:val="22"/>
        </w:rPr>
        <w:t>(Associate Dean, Deakin Business School)</w:t>
      </w:r>
    </w:p>
    <w:p w14:paraId="05AF788B" w14:textId="77777777" w:rsidR="007F790D" w:rsidRPr="00412991" w:rsidRDefault="007F790D" w:rsidP="007F790D">
      <w:pPr>
        <w:autoSpaceDE w:val="0"/>
        <w:autoSpaceDN w:val="0"/>
        <w:adjustRightInd w:val="0"/>
        <w:spacing w:after="0" w:line="240" w:lineRule="auto"/>
        <w:rPr>
          <w:rFonts w:cs="Futura-Light"/>
          <w:sz w:val="22"/>
          <w:szCs w:val="22"/>
        </w:rPr>
      </w:pPr>
    </w:p>
    <w:p w14:paraId="4B5CA370" w14:textId="77777777" w:rsidR="001D7C64" w:rsidRPr="00412991" w:rsidRDefault="001D7C64" w:rsidP="001D7C64">
      <w:pPr>
        <w:autoSpaceDE w:val="0"/>
        <w:autoSpaceDN w:val="0"/>
        <w:adjustRightInd w:val="0"/>
        <w:spacing w:after="0" w:line="240" w:lineRule="auto"/>
        <w:rPr>
          <w:rFonts w:cs="Futura-Light"/>
          <w:sz w:val="22"/>
          <w:szCs w:val="22"/>
        </w:rPr>
      </w:pPr>
      <w:r w:rsidRPr="00412991">
        <w:rPr>
          <w:rFonts w:cs="Futura-Light"/>
          <w:sz w:val="22"/>
          <w:szCs w:val="22"/>
        </w:rPr>
        <w:t>Prof George Tanewski</w:t>
      </w:r>
    </w:p>
    <w:p w14:paraId="3BF6D747" w14:textId="77777777" w:rsidR="001D7C64" w:rsidRPr="00412991" w:rsidRDefault="001D7C64" w:rsidP="001D7C64">
      <w:pPr>
        <w:rPr>
          <w:rFonts w:cs="Futura-Book"/>
          <w:b/>
          <w:sz w:val="22"/>
          <w:szCs w:val="22"/>
        </w:rPr>
      </w:pPr>
      <w:r w:rsidRPr="00412991">
        <w:rPr>
          <w:rFonts w:cs="Futura-Book"/>
          <w:b/>
          <w:sz w:val="22"/>
          <w:szCs w:val="22"/>
        </w:rPr>
        <w:t>(Deakin Business School)</w:t>
      </w:r>
    </w:p>
    <w:p w14:paraId="40E44FCB" w14:textId="77777777" w:rsidR="001D7C64" w:rsidRPr="00412991" w:rsidRDefault="001D7C64" w:rsidP="001D7C64">
      <w:pPr>
        <w:autoSpaceDE w:val="0"/>
        <w:autoSpaceDN w:val="0"/>
        <w:adjustRightInd w:val="0"/>
        <w:spacing w:after="0" w:line="240" w:lineRule="auto"/>
        <w:rPr>
          <w:rFonts w:cs="Futura-Light"/>
          <w:sz w:val="22"/>
          <w:szCs w:val="22"/>
        </w:rPr>
      </w:pPr>
    </w:p>
    <w:p w14:paraId="38526D60" w14:textId="77777777" w:rsidR="007F790D" w:rsidRPr="00412991" w:rsidRDefault="007F790D" w:rsidP="007F790D">
      <w:pPr>
        <w:autoSpaceDE w:val="0"/>
        <w:autoSpaceDN w:val="0"/>
        <w:adjustRightInd w:val="0"/>
        <w:spacing w:after="0" w:line="240" w:lineRule="auto"/>
        <w:rPr>
          <w:rFonts w:cs="Futura-Light"/>
          <w:sz w:val="22"/>
          <w:szCs w:val="22"/>
        </w:rPr>
      </w:pPr>
    </w:p>
    <w:p w14:paraId="65596BA2" w14:textId="77777777" w:rsidR="007F790D" w:rsidRPr="00412991" w:rsidRDefault="007F790D" w:rsidP="007F790D">
      <w:pPr>
        <w:autoSpaceDE w:val="0"/>
        <w:autoSpaceDN w:val="0"/>
        <w:adjustRightInd w:val="0"/>
        <w:spacing w:after="0" w:line="240" w:lineRule="auto"/>
        <w:rPr>
          <w:rFonts w:cs="Futura-Light"/>
          <w:sz w:val="22"/>
          <w:szCs w:val="22"/>
        </w:rPr>
      </w:pPr>
    </w:p>
    <w:p w14:paraId="5129EA49" w14:textId="2534537F" w:rsidR="007F790D" w:rsidRPr="00412991" w:rsidRDefault="0080229E" w:rsidP="007F790D">
      <w:pPr>
        <w:rPr>
          <w:rFonts w:cs="Futura-Book"/>
          <w:b/>
          <w:sz w:val="22"/>
          <w:szCs w:val="22"/>
        </w:rPr>
      </w:pPr>
      <w:r w:rsidRPr="00412991">
        <w:rPr>
          <w:rFonts w:cs="Futura-Book"/>
          <w:b/>
          <w:sz w:val="22"/>
          <w:szCs w:val="22"/>
        </w:rPr>
        <w:t xml:space="preserve">'This report was prepared by </w:t>
      </w:r>
      <w:r w:rsidR="005B673B" w:rsidRPr="00412991">
        <w:rPr>
          <w:rFonts w:cs="Futura-Book"/>
          <w:b/>
          <w:sz w:val="22"/>
          <w:szCs w:val="22"/>
        </w:rPr>
        <w:t>Victor Borg</w:t>
      </w:r>
      <w:r w:rsidR="001D7C64" w:rsidRPr="00412991">
        <w:rPr>
          <w:rFonts w:cs="Futura-Book"/>
          <w:b/>
          <w:sz w:val="22"/>
          <w:szCs w:val="22"/>
        </w:rPr>
        <w:t xml:space="preserve"> and </w:t>
      </w:r>
      <w:r w:rsidRPr="00412991">
        <w:rPr>
          <w:rFonts w:cs="Futura-Book"/>
          <w:b/>
          <w:sz w:val="22"/>
          <w:szCs w:val="22"/>
        </w:rPr>
        <w:t xml:space="preserve">Professor </w:t>
      </w:r>
      <w:r w:rsidR="001D7C64" w:rsidRPr="00412991">
        <w:rPr>
          <w:rFonts w:cs="Futura-Book"/>
          <w:b/>
          <w:sz w:val="22"/>
          <w:szCs w:val="22"/>
        </w:rPr>
        <w:t>George Tanewski</w:t>
      </w:r>
      <w:r w:rsidRPr="00412991">
        <w:rPr>
          <w:rFonts w:cs="Futura-Book"/>
          <w:b/>
          <w:sz w:val="22"/>
          <w:szCs w:val="22"/>
        </w:rPr>
        <w:t xml:space="preserve">, </w:t>
      </w:r>
      <w:r w:rsidR="001D7C64" w:rsidRPr="00412991">
        <w:rPr>
          <w:rFonts w:cs="Futura-Book"/>
          <w:b/>
          <w:sz w:val="22"/>
          <w:szCs w:val="22"/>
        </w:rPr>
        <w:t xml:space="preserve">Deakin Business School, </w:t>
      </w:r>
      <w:r w:rsidRPr="00412991">
        <w:rPr>
          <w:rFonts w:cs="Futura-Book"/>
          <w:b/>
          <w:sz w:val="22"/>
          <w:szCs w:val="22"/>
        </w:rPr>
        <w:t xml:space="preserve">Deakin University, on behalf of the IPA-Deakin SME Research </w:t>
      </w:r>
      <w:r w:rsidR="001D7C64" w:rsidRPr="00412991">
        <w:rPr>
          <w:rFonts w:cs="Futura-Book"/>
          <w:b/>
          <w:sz w:val="22"/>
          <w:szCs w:val="22"/>
        </w:rPr>
        <w:t>Centre</w:t>
      </w:r>
      <w:r w:rsidRPr="00412991">
        <w:rPr>
          <w:rFonts w:cs="Futura-Book"/>
          <w:b/>
          <w:sz w:val="22"/>
          <w:szCs w:val="22"/>
        </w:rPr>
        <w:t>.</w:t>
      </w:r>
    </w:p>
    <w:p w14:paraId="500DCA43" w14:textId="70A3E8E0" w:rsidR="007F790D" w:rsidRPr="00412991" w:rsidRDefault="005B673B" w:rsidP="007F790D">
      <w:pPr>
        <w:rPr>
          <w:rFonts w:cs="Futura-Book"/>
          <w:b/>
          <w:sz w:val="22"/>
          <w:szCs w:val="22"/>
        </w:rPr>
      </w:pPr>
      <w:r w:rsidRPr="00412991">
        <w:rPr>
          <w:rFonts w:cs="Futura-Light"/>
          <w:b/>
          <w:sz w:val="22"/>
          <w:szCs w:val="22"/>
        </w:rPr>
        <w:t>Copyright © 2017</w:t>
      </w:r>
      <w:r w:rsidR="007F790D" w:rsidRPr="00412991">
        <w:rPr>
          <w:rFonts w:cs="Futura-Light"/>
          <w:b/>
          <w:sz w:val="22"/>
          <w:szCs w:val="22"/>
        </w:rPr>
        <w:t xml:space="preserve"> Institute of Public Accountants and Deakin University</w:t>
      </w:r>
    </w:p>
    <w:p w14:paraId="01FBF7F4" w14:textId="77777777" w:rsidR="0080229E" w:rsidRPr="009A3C95" w:rsidRDefault="0080229E" w:rsidP="0080229E">
      <w:pPr>
        <w:pStyle w:val="Heading1"/>
        <w:rPr>
          <w:rFonts w:ascii="Arial" w:hAnsi="Arial" w:cs="Arial"/>
          <w:b/>
          <w:sz w:val="28"/>
          <w:szCs w:val="28"/>
        </w:rPr>
      </w:pPr>
      <w:r w:rsidRPr="009A3C95">
        <w:rPr>
          <w:rFonts w:ascii="Arial" w:hAnsi="Arial" w:cs="Arial"/>
          <w:b/>
          <w:sz w:val="28"/>
          <w:szCs w:val="28"/>
        </w:rPr>
        <w:lastRenderedPageBreak/>
        <w:t>Table of Contents</w:t>
      </w:r>
    </w:p>
    <w:p w14:paraId="3A64015D" w14:textId="77777777" w:rsidR="0080229E" w:rsidRDefault="0080229E" w:rsidP="0080229E">
      <w:pPr>
        <w:pStyle w:val="TOC1"/>
      </w:pPr>
    </w:p>
    <w:p w14:paraId="5B538126" w14:textId="0AEE371A" w:rsidR="0080229E" w:rsidRDefault="0080229E" w:rsidP="001D7C64">
      <w:r>
        <w:rPr>
          <w:rFonts w:ascii="Book Antiqua" w:hAnsi="Book Antiqua" w:cs="Book Antiqua"/>
          <w:color w:val="000000"/>
          <w:sz w:val="20"/>
          <w:szCs w:val="20"/>
        </w:rPr>
        <w:fldChar w:fldCharType="begin"/>
      </w:r>
      <w:r>
        <w:rPr>
          <w:rFonts w:ascii="Book Antiqua" w:hAnsi="Book Antiqua" w:cs="Book Antiqua"/>
          <w:color w:val="000000"/>
        </w:rPr>
        <w:instrText xml:space="preserve"> TOC \h \z \t "IPA Heading,1" </w:instrText>
      </w:r>
      <w:r>
        <w:rPr>
          <w:rFonts w:ascii="Book Antiqua" w:hAnsi="Book Antiqua" w:cs="Book Antiqua"/>
          <w:color w:val="000000"/>
          <w:sz w:val="20"/>
          <w:szCs w:val="20"/>
        </w:rPr>
        <w:fldChar w:fldCharType="separate"/>
      </w:r>
    </w:p>
    <w:p w14:paraId="2D8E8591" w14:textId="5111131A" w:rsidR="0080229E" w:rsidRPr="009C5C53" w:rsidRDefault="00E4668E" w:rsidP="0080229E">
      <w:pPr>
        <w:pStyle w:val="ListParagraph"/>
        <w:numPr>
          <w:ilvl w:val="0"/>
          <w:numId w:val="26"/>
        </w:numPr>
        <w:rPr>
          <w:rFonts w:ascii="Arial" w:hAnsi="Arial" w:cs="Arial"/>
          <w:sz w:val="22"/>
          <w:szCs w:val="22"/>
        </w:rPr>
      </w:pPr>
      <w:r w:rsidRPr="009C5C53">
        <w:rPr>
          <w:rFonts w:ascii="Arial" w:hAnsi="Arial" w:cs="Arial"/>
          <w:sz w:val="22"/>
          <w:szCs w:val="22"/>
        </w:rPr>
        <w:t>Letter</w:t>
      </w:r>
      <w:r w:rsidR="00D46647" w:rsidRPr="009C5C53">
        <w:rPr>
          <w:rFonts w:ascii="Arial" w:hAnsi="Arial" w:cs="Arial"/>
          <w:sz w:val="22"/>
          <w:szCs w:val="22"/>
        </w:rPr>
        <w:tab/>
      </w:r>
      <w:r w:rsidR="00D46647" w:rsidRPr="009C5C53">
        <w:rPr>
          <w:rFonts w:ascii="Arial" w:hAnsi="Arial" w:cs="Arial"/>
          <w:sz w:val="22"/>
          <w:szCs w:val="22"/>
        </w:rPr>
        <w:tab/>
      </w:r>
      <w:r w:rsidR="00D46647" w:rsidRPr="009C5C53">
        <w:rPr>
          <w:rFonts w:ascii="Arial" w:hAnsi="Arial" w:cs="Arial"/>
          <w:sz w:val="22"/>
          <w:szCs w:val="22"/>
        </w:rPr>
        <w:tab/>
      </w:r>
      <w:r w:rsidR="00D46647" w:rsidRPr="009C5C53">
        <w:rPr>
          <w:rFonts w:ascii="Arial" w:hAnsi="Arial" w:cs="Arial"/>
          <w:sz w:val="22"/>
          <w:szCs w:val="22"/>
        </w:rPr>
        <w:tab/>
      </w:r>
      <w:r w:rsidR="00D46647" w:rsidRPr="009C5C53">
        <w:rPr>
          <w:rFonts w:ascii="Arial" w:hAnsi="Arial" w:cs="Arial"/>
          <w:sz w:val="22"/>
          <w:szCs w:val="22"/>
        </w:rPr>
        <w:tab/>
      </w:r>
      <w:r w:rsidR="00D46647" w:rsidRPr="009C5C53">
        <w:rPr>
          <w:rFonts w:ascii="Arial" w:hAnsi="Arial" w:cs="Arial"/>
          <w:sz w:val="22"/>
          <w:szCs w:val="22"/>
        </w:rPr>
        <w:tab/>
      </w:r>
      <w:r w:rsidR="0080229E" w:rsidRPr="009C5C53">
        <w:rPr>
          <w:rFonts w:ascii="Arial" w:hAnsi="Arial" w:cs="Arial"/>
          <w:sz w:val="22"/>
          <w:szCs w:val="22"/>
        </w:rPr>
        <w:tab/>
      </w:r>
      <w:r w:rsidR="0080229E" w:rsidRPr="009C5C53">
        <w:rPr>
          <w:rFonts w:ascii="Arial" w:hAnsi="Arial" w:cs="Arial"/>
          <w:sz w:val="22"/>
          <w:szCs w:val="22"/>
        </w:rPr>
        <w:tab/>
      </w:r>
      <w:r w:rsidR="0080229E" w:rsidRPr="009C5C53">
        <w:rPr>
          <w:rFonts w:ascii="Arial" w:hAnsi="Arial" w:cs="Arial"/>
          <w:sz w:val="22"/>
          <w:szCs w:val="22"/>
        </w:rPr>
        <w:tab/>
      </w:r>
      <w:r w:rsidR="0080229E" w:rsidRPr="009C5C53">
        <w:rPr>
          <w:rFonts w:ascii="Arial" w:hAnsi="Arial" w:cs="Arial"/>
          <w:sz w:val="22"/>
          <w:szCs w:val="22"/>
        </w:rPr>
        <w:tab/>
      </w:r>
      <w:r w:rsidR="0024353F" w:rsidRPr="009C5C53">
        <w:rPr>
          <w:rFonts w:ascii="Arial" w:hAnsi="Arial" w:cs="Arial"/>
          <w:sz w:val="22"/>
          <w:szCs w:val="22"/>
        </w:rPr>
        <w:t>4</w:t>
      </w:r>
    </w:p>
    <w:p w14:paraId="4FA6E1B1" w14:textId="77777777" w:rsidR="0080229E" w:rsidRPr="009C5C53" w:rsidRDefault="0080229E" w:rsidP="0080229E">
      <w:pPr>
        <w:pStyle w:val="ListParagraph"/>
        <w:rPr>
          <w:rFonts w:ascii="Arial" w:hAnsi="Arial" w:cs="Arial"/>
          <w:sz w:val="22"/>
          <w:szCs w:val="22"/>
        </w:rPr>
      </w:pPr>
    </w:p>
    <w:p w14:paraId="502D3138" w14:textId="4578BBFC" w:rsidR="0080229E" w:rsidRPr="009C5C53" w:rsidRDefault="00D46647" w:rsidP="0080229E">
      <w:pPr>
        <w:pStyle w:val="ListParagraph"/>
        <w:numPr>
          <w:ilvl w:val="0"/>
          <w:numId w:val="26"/>
        </w:numPr>
        <w:rPr>
          <w:rFonts w:ascii="Arial" w:hAnsi="Arial" w:cs="Arial"/>
          <w:sz w:val="22"/>
          <w:szCs w:val="22"/>
        </w:rPr>
      </w:pPr>
      <w:r w:rsidRPr="009C5C53">
        <w:rPr>
          <w:rFonts w:ascii="Arial" w:hAnsi="Arial" w:cs="Arial"/>
          <w:sz w:val="22"/>
          <w:szCs w:val="22"/>
        </w:rPr>
        <w:t>Responses to the "Range of Products Covered by the Measures"</w:t>
      </w:r>
      <w:r w:rsidR="00E4668E" w:rsidRPr="009C5C53">
        <w:rPr>
          <w:rFonts w:ascii="Arial" w:hAnsi="Arial" w:cs="Arial"/>
          <w:sz w:val="22"/>
          <w:szCs w:val="22"/>
        </w:rPr>
        <w:t xml:space="preserve"> </w:t>
      </w:r>
      <w:r w:rsidR="00E4668E" w:rsidRPr="009C5C53">
        <w:rPr>
          <w:rFonts w:ascii="Arial" w:hAnsi="Arial" w:cs="Arial"/>
          <w:sz w:val="22"/>
          <w:szCs w:val="22"/>
        </w:rPr>
        <w:tab/>
      </w:r>
      <w:r w:rsidR="00E4668E" w:rsidRPr="009C5C53">
        <w:rPr>
          <w:rFonts w:ascii="Arial" w:hAnsi="Arial" w:cs="Arial"/>
          <w:sz w:val="22"/>
          <w:szCs w:val="22"/>
        </w:rPr>
        <w:tab/>
      </w:r>
      <w:r w:rsidR="00072532">
        <w:rPr>
          <w:rFonts w:ascii="Arial" w:hAnsi="Arial" w:cs="Arial"/>
          <w:sz w:val="22"/>
          <w:szCs w:val="22"/>
        </w:rPr>
        <w:t>6</w:t>
      </w:r>
    </w:p>
    <w:p w14:paraId="6455B405" w14:textId="4DAD1D55" w:rsidR="0080229E" w:rsidRPr="009C5C53" w:rsidRDefault="0080229E" w:rsidP="00E4668E">
      <w:pPr>
        <w:ind w:left="720" w:hanging="345"/>
        <w:rPr>
          <w:rFonts w:ascii="Arial" w:hAnsi="Arial" w:cs="Arial"/>
          <w:sz w:val="22"/>
          <w:szCs w:val="22"/>
        </w:rPr>
      </w:pPr>
      <w:r w:rsidRPr="009C5C53">
        <w:rPr>
          <w:rFonts w:ascii="Arial" w:hAnsi="Arial" w:cs="Arial"/>
          <w:sz w:val="22"/>
          <w:szCs w:val="22"/>
        </w:rPr>
        <w:t>3.</w:t>
      </w:r>
      <w:r w:rsidRPr="009C5C53">
        <w:rPr>
          <w:rFonts w:ascii="Arial" w:hAnsi="Arial" w:cs="Arial"/>
          <w:sz w:val="22"/>
          <w:szCs w:val="22"/>
        </w:rPr>
        <w:tab/>
      </w:r>
      <w:r w:rsidR="00D46647" w:rsidRPr="009C5C53">
        <w:rPr>
          <w:rFonts w:ascii="Arial" w:hAnsi="Arial" w:cs="Arial"/>
          <w:sz w:val="22"/>
          <w:szCs w:val="22"/>
        </w:rPr>
        <w:t xml:space="preserve">Responses to the "Design and Distribution Obligations"  </w:t>
      </w:r>
      <w:r w:rsidRPr="009C5C53">
        <w:rPr>
          <w:rFonts w:ascii="Arial" w:hAnsi="Arial" w:cs="Arial"/>
          <w:sz w:val="22"/>
          <w:szCs w:val="22"/>
        </w:rPr>
        <w:tab/>
      </w:r>
      <w:r w:rsidR="00D46647" w:rsidRPr="009C5C53">
        <w:rPr>
          <w:rFonts w:ascii="Arial" w:hAnsi="Arial" w:cs="Arial"/>
          <w:sz w:val="22"/>
          <w:szCs w:val="22"/>
        </w:rPr>
        <w:tab/>
      </w:r>
      <w:r w:rsidR="00D46647" w:rsidRPr="009C5C53">
        <w:rPr>
          <w:rFonts w:ascii="Arial" w:hAnsi="Arial" w:cs="Arial"/>
          <w:sz w:val="22"/>
          <w:szCs w:val="22"/>
        </w:rPr>
        <w:tab/>
      </w:r>
      <w:r w:rsidR="002E2E31">
        <w:rPr>
          <w:rFonts w:ascii="Arial" w:hAnsi="Arial" w:cs="Arial"/>
          <w:sz w:val="22"/>
          <w:szCs w:val="22"/>
        </w:rPr>
        <w:t>7</w:t>
      </w:r>
    </w:p>
    <w:p w14:paraId="6B130553" w14:textId="300520DC" w:rsidR="0080229E" w:rsidRPr="009C5C53" w:rsidRDefault="0080229E" w:rsidP="00D46647">
      <w:pPr>
        <w:rPr>
          <w:rFonts w:ascii="Arial" w:hAnsi="Arial" w:cs="Arial"/>
          <w:sz w:val="22"/>
          <w:szCs w:val="22"/>
        </w:rPr>
      </w:pPr>
      <w:r w:rsidRPr="009C5C53">
        <w:rPr>
          <w:rFonts w:ascii="Arial" w:hAnsi="Arial" w:cs="Arial"/>
          <w:sz w:val="22"/>
          <w:szCs w:val="22"/>
        </w:rPr>
        <w:t xml:space="preserve">      4. </w:t>
      </w:r>
      <w:r w:rsidRPr="009C5C53">
        <w:rPr>
          <w:rFonts w:ascii="Arial" w:hAnsi="Arial" w:cs="Arial"/>
          <w:sz w:val="22"/>
          <w:szCs w:val="22"/>
        </w:rPr>
        <w:tab/>
      </w:r>
      <w:r w:rsidR="00D46647" w:rsidRPr="009C5C53">
        <w:rPr>
          <w:rFonts w:ascii="Arial" w:hAnsi="Arial" w:cs="Arial"/>
          <w:sz w:val="22"/>
          <w:szCs w:val="22"/>
        </w:rPr>
        <w:t xml:space="preserve">Responses to </w:t>
      </w:r>
      <w:r w:rsidR="009C5C53" w:rsidRPr="009C5C53">
        <w:rPr>
          <w:rFonts w:ascii="Arial" w:hAnsi="Arial" w:cs="Arial"/>
          <w:sz w:val="22"/>
          <w:szCs w:val="22"/>
        </w:rPr>
        <w:t>the</w:t>
      </w:r>
      <w:r w:rsidR="00D46647" w:rsidRPr="009C5C53">
        <w:rPr>
          <w:rFonts w:ascii="Arial" w:hAnsi="Arial" w:cs="Arial"/>
          <w:sz w:val="22"/>
          <w:szCs w:val="22"/>
        </w:rPr>
        <w:t xml:space="preserve"> "Product Intervention Power"                 </w:t>
      </w:r>
      <w:r w:rsidR="009C5C53" w:rsidRPr="009C5C53">
        <w:rPr>
          <w:rFonts w:ascii="Arial" w:hAnsi="Arial" w:cs="Arial"/>
          <w:sz w:val="22"/>
          <w:szCs w:val="22"/>
        </w:rPr>
        <w:tab/>
      </w:r>
      <w:r w:rsidR="009C5C53" w:rsidRPr="009C5C53">
        <w:rPr>
          <w:rFonts w:ascii="Arial" w:hAnsi="Arial" w:cs="Arial"/>
          <w:sz w:val="22"/>
          <w:szCs w:val="22"/>
        </w:rPr>
        <w:tab/>
      </w:r>
      <w:r w:rsidR="009C5C53" w:rsidRPr="009C5C53">
        <w:rPr>
          <w:rFonts w:ascii="Arial" w:hAnsi="Arial" w:cs="Arial"/>
          <w:sz w:val="22"/>
          <w:szCs w:val="22"/>
        </w:rPr>
        <w:tab/>
      </w:r>
      <w:r w:rsidR="002059CF">
        <w:rPr>
          <w:rFonts w:ascii="Arial" w:hAnsi="Arial" w:cs="Arial"/>
          <w:sz w:val="22"/>
          <w:szCs w:val="22"/>
        </w:rPr>
        <w:t>1</w:t>
      </w:r>
      <w:r w:rsidR="002E2E31">
        <w:rPr>
          <w:rFonts w:ascii="Arial" w:hAnsi="Arial" w:cs="Arial"/>
          <w:sz w:val="22"/>
          <w:szCs w:val="22"/>
        </w:rPr>
        <w:t>5</w:t>
      </w:r>
    </w:p>
    <w:p w14:paraId="06257343" w14:textId="2008CABA" w:rsidR="001F76B3" w:rsidRPr="009C5C53" w:rsidRDefault="001F76B3" w:rsidP="001F76B3">
      <w:pPr>
        <w:rPr>
          <w:rFonts w:ascii="Arial" w:hAnsi="Arial" w:cs="Arial"/>
          <w:sz w:val="22"/>
          <w:szCs w:val="22"/>
        </w:rPr>
      </w:pPr>
      <w:r w:rsidRPr="009C5C53">
        <w:rPr>
          <w:rFonts w:ascii="Arial" w:hAnsi="Arial" w:cs="Arial"/>
          <w:sz w:val="22"/>
          <w:szCs w:val="22"/>
        </w:rPr>
        <w:t xml:space="preserve">      5. </w:t>
      </w:r>
      <w:r w:rsidRPr="009C5C53">
        <w:rPr>
          <w:rFonts w:ascii="Arial" w:hAnsi="Arial" w:cs="Arial"/>
          <w:sz w:val="22"/>
          <w:szCs w:val="22"/>
        </w:rPr>
        <w:tab/>
      </w:r>
      <w:r w:rsidR="00D46647" w:rsidRPr="009C5C53">
        <w:rPr>
          <w:rFonts w:ascii="Arial" w:hAnsi="Arial" w:cs="Arial"/>
          <w:sz w:val="22"/>
          <w:szCs w:val="22"/>
        </w:rPr>
        <w:t>Responses to "Enforcement and Consumer</w:t>
      </w:r>
      <w:r w:rsidR="00755845" w:rsidRPr="009C5C53">
        <w:rPr>
          <w:rFonts w:ascii="Arial" w:hAnsi="Arial" w:cs="Arial"/>
          <w:sz w:val="22"/>
          <w:szCs w:val="22"/>
        </w:rPr>
        <w:t xml:space="preserve"> Redress" </w:t>
      </w:r>
      <w:r w:rsidR="00D46647" w:rsidRPr="009C5C53">
        <w:rPr>
          <w:rFonts w:ascii="Arial" w:hAnsi="Arial" w:cs="Arial"/>
          <w:sz w:val="22"/>
          <w:szCs w:val="22"/>
        </w:rPr>
        <w:t xml:space="preserve"> </w:t>
      </w:r>
      <w:r w:rsidR="009C5C53" w:rsidRPr="009C5C53">
        <w:rPr>
          <w:rFonts w:ascii="Arial" w:hAnsi="Arial" w:cs="Arial"/>
          <w:sz w:val="22"/>
          <w:szCs w:val="22"/>
        </w:rPr>
        <w:tab/>
      </w:r>
      <w:r w:rsidR="009C5C53" w:rsidRPr="009C5C53">
        <w:rPr>
          <w:rFonts w:ascii="Arial" w:hAnsi="Arial" w:cs="Arial"/>
          <w:sz w:val="22"/>
          <w:szCs w:val="22"/>
        </w:rPr>
        <w:tab/>
      </w:r>
      <w:r w:rsidR="009C5C53">
        <w:rPr>
          <w:rFonts w:ascii="Arial" w:hAnsi="Arial" w:cs="Arial"/>
          <w:sz w:val="22"/>
          <w:szCs w:val="22"/>
        </w:rPr>
        <w:tab/>
      </w:r>
      <w:r w:rsidR="00986085">
        <w:rPr>
          <w:rFonts w:ascii="Arial" w:hAnsi="Arial" w:cs="Arial"/>
          <w:sz w:val="22"/>
          <w:szCs w:val="22"/>
        </w:rPr>
        <w:t>1</w:t>
      </w:r>
      <w:r w:rsidR="002E2E31">
        <w:rPr>
          <w:rFonts w:ascii="Arial" w:hAnsi="Arial" w:cs="Arial"/>
          <w:sz w:val="22"/>
          <w:szCs w:val="22"/>
        </w:rPr>
        <w:t>9</w:t>
      </w:r>
    </w:p>
    <w:p w14:paraId="154AEC86" w14:textId="096EDCFE" w:rsidR="001F76B3" w:rsidRPr="007C593F" w:rsidRDefault="001F76B3" w:rsidP="001F76B3">
      <w:pPr>
        <w:rPr>
          <w:sz w:val="24"/>
          <w:szCs w:val="24"/>
        </w:rPr>
      </w:pPr>
      <w:r>
        <w:t xml:space="preserve">     </w:t>
      </w:r>
    </w:p>
    <w:p w14:paraId="07DADD13" w14:textId="77777777" w:rsidR="0080229E" w:rsidRDefault="0080229E" w:rsidP="0080229E">
      <w:pPr>
        <w:pStyle w:val="ListParagraph"/>
      </w:pPr>
    </w:p>
    <w:p w14:paraId="725FD9F2" w14:textId="77777777" w:rsidR="0080229E" w:rsidRDefault="0080229E" w:rsidP="0080229E"/>
    <w:p w14:paraId="62391405" w14:textId="77777777" w:rsidR="0080229E" w:rsidRDefault="0080229E" w:rsidP="0080229E">
      <w:pPr>
        <w:pStyle w:val="ListParagraph"/>
      </w:pPr>
    </w:p>
    <w:p w14:paraId="42C1EE71" w14:textId="77777777" w:rsidR="0080229E" w:rsidRDefault="0080229E" w:rsidP="0080229E"/>
    <w:p w14:paraId="24E52ABC" w14:textId="77777777" w:rsidR="0080229E" w:rsidRPr="007C593F" w:rsidRDefault="0080229E" w:rsidP="0080229E"/>
    <w:p w14:paraId="06A5454B" w14:textId="77777777" w:rsidR="0080229E" w:rsidRPr="007C593F" w:rsidRDefault="0080229E" w:rsidP="0080229E"/>
    <w:p w14:paraId="0D5FFD4E" w14:textId="77777777" w:rsidR="0080229E" w:rsidRDefault="0080229E" w:rsidP="0080229E">
      <w:pPr>
        <w:rPr>
          <w:rFonts w:ascii="Book Antiqua" w:hAnsi="Book Antiqua" w:cs="Book Antiqua"/>
          <w:color w:val="000000"/>
        </w:rPr>
      </w:pPr>
      <w:r>
        <w:rPr>
          <w:rFonts w:ascii="Book Antiqua" w:hAnsi="Book Antiqua" w:cs="Book Antiqua"/>
          <w:color w:val="000000"/>
        </w:rPr>
        <w:fldChar w:fldCharType="end"/>
      </w:r>
      <w:r>
        <w:rPr>
          <w:rFonts w:ascii="Book Antiqua" w:hAnsi="Book Antiqua" w:cs="Book Antiqua"/>
          <w:color w:val="000000"/>
        </w:rPr>
        <w:br w:type="page"/>
      </w:r>
    </w:p>
    <w:bookmarkEnd w:id="3"/>
    <w:bookmarkEnd w:id="4"/>
    <w:bookmarkEnd w:id="5"/>
    <w:p w14:paraId="410DE96B" w14:textId="77777777" w:rsidR="00353CDE" w:rsidRDefault="005B673B" w:rsidP="00107BFD">
      <w:pPr>
        <w:spacing w:after="0" w:line="360" w:lineRule="auto"/>
        <w:rPr>
          <w:rFonts w:ascii="Arial" w:hAnsi="Arial" w:cs="Arial"/>
        </w:rPr>
      </w:pPr>
      <w:r w:rsidRPr="007369E2">
        <w:rPr>
          <w:rFonts w:ascii="Arial" w:hAnsi="Arial" w:cs="Arial"/>
        </w:rPr>
        <w:lastRenderedPageBreak/>
        <w:t xml:space="preserve">Financial Services Unit </w:t>
      </w:r>
    </w:p>
    <w:p w14:paraId="4DC97895" w14:textId="4DC07FB1" w:rsidR="005B673B" w:rsidRDefault="005B673B" w:rsidP="00107BFD">
      <w:pPr>
        <w:spacing w:after="0" w:line="360" w:lineRule="auto"/>
        <w:rPr>
          <w:rFonts w:ascii="Arial" w:hAnsi="Arial" w:cs="Arial"/>
        </w:rPr>
      </w:pPr>
      <w:r w:rsidRPr="007369E2">
        <w:rPr>
          <w:rFonts w:ascii="Arial" w:hAnsi="Arial" w:cs="Arial"/>
        </w:rPr>
        <w:t xml:space="preserve">Financial System Division </w:t>
      </w:r>
    </w:p>
    <w:p w14:paraId="4523BF86" w14:textId="77777777" w:rsidR="005B673B" w:rsidRDefault="005B673B" w:rsidP="00107BFD">
      <w:pPr>
        <w:spacing w:after="0" w:line="360" w:lineRule="auto"/>
        <w:rPr>
          <w:rFonts w:ascii="Arial" w:hAnsi="Arial" w:cs="Arial"/>
        </w:rPr>
      </w:pPr>
      <w:r w:rsidRPr="007369E2">
        <w:rPr>
          <w:rFonts w:ascii="Arial" w:hAnsi="Arial" w:cs="Arial"/>
        </w:rPr>
        <w:t xml:space="preserve">The Treasury </w:t>
      </w:r>
    </w:p>
    <w:p w14:paraId="077757E4" w14:textId="77777777" w:rsidR="005B673B" w:rsidRDefault="005B673B" w:rsidP="00107BFD">
      <w:pPr>
        <w:spacing w:after="0" w:line="360" w:lineRule="auto"/>
        <w:rPr>
          <w:rFonts w:ascii="Arial" w:hAnsi="Arial" w:cs="Arial"/>
        </w:rPr>
      </w:pPr>
      <w:r w:rsidRPr="007369E2">
        <w:rPr>
          <w:rFonts w:ascii="Arial" w:hAnsi="Arial" w:cs="Arial"/>
        </w:rPr>
        <w:t xml:space="preserve">Langton Crescent </w:t>
      </w:r>
    </w:p>
    <w:p w14:paraId="08738200" w14:textId="77777777" w:rsidR="005B673B" w:rsidRPr="007369E2" w:rsidRDefault="005B673B" w:rsidP="00107BFD">
      <w:pPr>
        <w:spacing w:after="0" w:line="360" w:lineRule="auto"/>
        <w:rPr>
          <w:rFonts w:ascii="Arial" w:hAnsi="Arial" w:cs="Arial"/>
        </w:rPr>
      </w:pPr>
      <w:r w:rsidRPr="007369E2">
        <w:rPr>
          <w:rFonts w:ascii="Arial" w:hAnsi="Arial" w:cs="Arial"/>
        </w:rPr>
        <w:t xml:space="preserve">PARKES ACT 2600 </w:t>
      </w:r>
    </w:p>
    <w:p w14:paraId="524EE801" w14:textId="77777777" w:rsidR="005B673B" w:rsidRDefault="005B673B" w:rsidP="00107BFD">
      <w:pPr>
        <w:spacing w:after="0" w:line="360" w:lineRule="auto"/>
        <w:rPr>
          <w:b/>
          <w:bCs/>
          <w:color w:val="006AB5"/>
        </w:rPr>
      </w:pPr>
      <w:r w:rsidRPr="007369E2">
        <w:rPr>
          <w:rFonts w:ascii="Arial" w:hAnsi="Arial" w:cs="Arial"/>
        </w:rPr>
        <w:t xml:space="preserve">Email: </w:t>
      </w:r>
      <w:hyperlink r:id="rId17" w:history="1">
        <w:r w:rsidRPr="003F6D7E">
          <w:rPr>
            <w:rStyle w:val="Hyperlink"/>
            <w:b/>
            <w:bCs/>
          </w:rPr>
          <w:t>ProductRegulation@treasury.gov.au</w:t>
        </w:r>
      </w:hyperlink>
    </w:p>
    <w:p w14:paraId="38275C6F" w14:textId="77777777" w:rsidR="005B673B" w:rsidRDefault="005B673B" w:rsidP="00107BFD">
      <w:pPr>
        <w:spacing w:after="0" w:line="360" w:lineRule="auto"/>
        <w:rPr>
          <w:rFonts w:ascii="Arial" w:hAnsi="Arial" w:cs="Arial"/>
        </w:rPr>
      </w:pPr>
    </w:p>
    <w:p w14:paraId="5911E1A5" w14:textId="33617821" w:rsidR="005B673B" w:rsidRPr="007369E2" w:rsidRDefault="005B673B" w:rsidP="00107BFD">
      <w:pPr>
        <w:spacing w:after="0" w:line="360" w:lineRule="auto"/>
        <w:rPr>
          <w:rFonts w:ascii="Arial" w:hAnsi="Arial" w:cs="Arial"/>
        </w:rPr>
      </w:pPr>
      <w:r w:rsidRPr="007369E2">
        <w:rPr>
          <w:rFonts w:ascii="Arial" w:hAnsi="Arial" w:cs="Arial"/>
        </w:rPr>
        <w:t xml:space="preserve">Dear </w:t>
      </w:r>
      <w:r w:rsidR="007B77FE">
        <w:rPr>
          <w:rFonts w:ascii="Arial" w:hAnsi="Arial" w:cs="Arial"/>
        </w:rPr>
        <w:t xml:space="preserve">Sir/Madam </w:t>
      </w:r>
    </w:p>
    <w:p w14:paraId="1E0A502F" w14:textId="77777777" w:rsidR="005B673B" w:rsidRDefault="005B673B" w:rsidP="00107BFD">
      <w:pPr>
        <w:spacing w:after="0" w:line="360" w:lineRule="auto"/>
        <w:rPr>
          <w:rFonts w:ascii="Arial" w:hAnsi="Arial" w:cs="Arial"/>
        </w:rPr>
      </w:pPr>
    </w:p>
    <w:p w14:paraId="0CB2DB5E" w14:textId="3D4A682C" w:rsidR="005B673B" w:rsidRPr="007369E2" w:rsidRDefault="005B673B" w:rsidP="00107BFD">
      <w:pPr>
        <w:spacing w:after="0" w:line="360" w:lineRule="auto"/>
        <w:rPr>
          <w:rFonts w:ascii="Arial" w:hAnsi="Arial" w:cs="Arial"/>
          <w:b/>
        </w:rPr>
      </w:pPr>
      <w:r w:rsidRPr="007369E2">
        <w:rPr>
          <w:rFonts w:ascii="Arial" w:hAnsi="Arial" w:cs="Arial"/>
          <w:b/>
        </w:rPr>
        <w:t>Design and Distribution Obligations and Product Intervention Power</w:t>
      </w:r>
    </w:p>
    <w:p w14:paraId="449652C8" w14:textId="77777777" w:rsidR="005B673B" w:rsidRDefault="005B673B" w:rsidP="00107BFD">
      <w:pPr>
        <w:spacing w:after="0" w:line="360" w:lineRule="auto"/>
        <w:rPr>
          <w:rFonts w:ascii="Arial" w:hAnsi="Arial" w:cs="Arial"/>
        </w:rPr>
      </w:pPr>
    </w:p>
    <w:p w14:paraId="55F28DE2" w14:textId="77777777" w:rsidR="005B673B" w:rsidRPr="007369E2" w:rsidRDefault="005B673B" w:rsidP="00107BFD">
      <w:pPr>
        <w:spacing w:after="0" w:line="360" w:lineRule="auto"/>
        <w:rPr>
          <w:rFonts w:ascii="Arial" w:hAnsi="Arial" w:cs="Arial"/>
          <w:b/>
        </w:rPr>
      </w:pPr>
      <w:r w:rsidRPr="007369E2">
        <w:rPr>
          <w:rFonts w:ascii="Arial" w:hAnsi="Arial" w:cs="Arial"/>
          <w:b/>
        </w:rPr>
        <w:t>Introductory comments</w:t>
      </w:r>
    </w:p>
    <w:p w14:paraId="5539FF07" w14:textId="5D2AE653" w:rsidR="005B673B" w:rsidRDefault="005B673B" w:rsidP="00107BFD">
      <w:pPr>
        <w:spacing w:after="0" w:line="360" w:lineRule="auto"/>
        <w:rPr>
          <w:rFonts w:ascii="Arial" w:hAnsi="Arial" w:cs="Arial"/>
        </w:rPr>
      </w:pPr>
      <w:r w:rsidRPr="007369E2">
        <w:rPr>
          <w:rFonts w:ascii="Arial" w:hAnsi="Arial" w:cs="Arial"/>
        </w:rPr>
        <w:t xml:space="preserve">The Institute of Public Accountants (IPA) is delighted to provide commentary on the current </w:t>
      </w:r>
      <w:r>
        <w:rPr>
          <w:rFonts w:ascii="Arial" w:hAnsi="Arial" w:cs="Arial"/>
        </w:rPr>
        <w:t>proposals</w:t>
      </w:r>
      <w:r w:rsidRPr="007369E2">
        <w:rPr>
          <w:rFonts w:ascii="Arial" w:hAnsi="Arial" w:cs="Arial"/>
        </w:rPr>
        <w:t xml:space="preserve"> paper: </w:t>
      </w:r>
      <w:r>
        <w:rPr>
          <w:rFonts w:ascii="Arial" w:hAnsi="Arial" w:cs="Arial"/>
        </w:rPr>
        <w:t>“</w:t>
      </w:r>
      <w:r w:rsidRPr="007369E2">
        <w:rPr>
          <w:rFonts w:ascii="Arial" w:hAnsi="Arial" w:cs="Arial"/>
        </w:rPr>
        <w:t>Design and Distribution Obligations and Product Intervention Power</w:t>
      </w:r>
      <w:r>
        <w:rPr>
          <w:rFonts w:ascii="Arial" w:hAnsi="Arial" w:cs="Arial"/>
        </w:rPr>
        <w:t>”.</w:t>
      </w:r>
    </w:p>
    <w:p w14:paraId="51D2F896" w14:textId="77777777" w:rsidR="007B77FE" w:rsidRPr="007369E2" w:rsidRDefault="007B77FE" w:rsidP="00107BFD">
      <w:pPr>
        <w:spacing w:after="0" w:line="360" w:lineRule="auto"/>
        <w:rPr>
          <w:rFonts w:ascii="Arial" w:hAnsi="Arial" w:cs="Arial"/>
        </w:rPr>
      </w:pPr>
    </w:p>
    <w:p w14:paraId="2CF986E9" w14:textId="77777777" w:rsidR="005B673B" w:rsidRDefault="005B673B" w:rsidP="00107BFD">
      <w:pPr>
        <w:spacing w:after="0" w:line="360" w:lineRule="auto"/>
        <w:rPr>
          <w:rFonts w:ascii="Arial" w:hAnsi="Arial" w:cs="Arial"/>
        </w:rPr>
      </w:pPr>
      <w:r w:rsidRPr="007369E2">
        <w:rPr>
          <w:rFonts w:ascii="Arial" w:hAnsi="Arial" w:cs="Arial"/>
        </w:rPr>
        <w:t>The IPA is a professional accounting body with members that are recognised for their practical, hands-on skills and broad understanding of the total business environment.  Representing a membership of more than 35,000 individuals in Australia and in more than 80 countries, our members and student members are working across a broad range of professional employment and practice, including; industry, commerce, government, academia and private practice. More than 75 per cent of our members work in or with small business and SMEs and are recognised as the trusted advisers to these sectors.</w:t>
      </w:r>
    </w:p>
    <w:p w14:paraId="259764B1" w14:textId="77777777" w:rsidR="007B77FE" w:rsidRPr="007369E2" w:rsidRDefault="007B77FE" w:rsidP="00107BFD">
      <w:pPr>
        <w:spacing w:after="0" w:line="360" w:lineRule="auto"/>
        <w:rPr>
          <w:rFonts w:ascii="Arial" w:hAnsi="Arial" w:cs="Arial"/>
        </w:rPr>
      </w:pPr>
    </w:p>
    <w:p w14:paraId="7BB96A8A" w14:textId="31102BC4" w:rsidR="005B673B" w:rsidRDefault="005B673B" w:rsidP="00107BFD">
      <w:pPr>
        <w:spacing w:after="0" w:line="360" w:lineRule="auto"/>
        <w:rPr>
          <w:rFonts w:ascii="Arial" w:hAnsi="Arial" w:cs="Arial"/>
        </w:rPr>
      </w:pPr>
      <w:r w:rsidRPr="007369E2">
        <w:rPr>
          <w:rFonts w:ascii="Arial" w:hAnsi="Arial" w:cs="Arial"/>
        </w:rPr>
        <w:t xml:space="preserve">The IPA at the outset commends the </w:t>
      </w:r>
      <w:r w:rsidR="007B77FE">
        <w:rPr>
          <w:rFonts w:ascii="Arial" w:hAnsi="Arial" w:cs="Arial"/>
        </w:rPr>
        <w:t>G</w:t>
      </w:r>
      <w:r w:rsidRPr="007369E2">
        <w:rPr>
          <w:rFonts w:ascii="Arial" w:hAnsi="Arial" w:cs="Arial"/>
        </w:rPr>
        <w:t xml:space="preserve">overnment for taking the initiative to consult on this issue. </w:t>
      </w:r>
      <w:r>
        <w:rPr>
          <w:rFonts w:ascii="Arial" w:hAnsi="Arial" w:cs="Arial"/>
        </w:rPr>
        <w:t xml:space="preserve">The Proposals Paper </w:t>
      </w:r>
      <w:r w:rsidRPr="00F3556B">
        <w:rPr>
          <w:rFonts w:ascii="Arial" w:hAnsi="Arial" w:cs="Arial"/>
          <w:i/>
        </w:rPr>
        <w:t>‘Design and Distribution Obligations and Product Intervention Power’</w:t>
      </w:r>
      <w:r>
        <w:rPr>
          <w:rFonts w:ascii="Arial" w:hAnsi="Arial" w:cs="Arial"/>
        </w:rPr>
        <w:t xml:space="preserve"> published and circulated by the Commonwealth of Australia, December 2016 (‘the Proposal”) seeks answers to thirty-four (34) questions dealing with legislative reform proposals to improve financial industry practice and regulation in four key areas:</w:t>
      </w:r>
    </w:p>
    <w:p w14:paraId="13391E6E" w14:textId="46942374" w:rsidR="005B673B" w:rsidRPr="0085767E" w:rsidRDefault="005B673B" w:rsidP="00107BFD">
      <w:pPr>
        <w:pStyle w:val="ListParagraph"/>
        <w:numPr>
          <w:ilvl w:val="0"/>
          <w:numId w:val="35"/>
        </w:numPr>
        <w:spacing w:after="0" w:line="360" w:lineRule="auto"/>
        <w:ind w:left="426" w:hanging="426"/>
        <w:rPr>
          <w:rFonts w:ascii="Arial" w:hAnsi="Arial" w:cs="Arial"/>
        </w:rPr>
      </w:pPr>
      <w:r>
        <w:rPr>
          <w:rFonts w:ascii="Arial" w:hAnsi="Arial" w:cs="Arial"/>
        </w:rPr>
        <w:t>The r</w:t>
      </w:r>
      <w:r w:rsidRPr="0085767E">
        <w:rPr>
          <w:rFonts w:ascii="Arial" w:hAnsi="Arial" w:cs="Arial"/>
        </w:rPr>
        <w:t xml:space="preserve">ange </w:t>
      </w:r>
      <w:r>
        <w:rPr>
          <w:rFonts w:ascii="Arial" w:hAnsi="Arial" w:cs="Arial"/>
        </w:rPr>
        <w:t>of financial products covered by the measure</w:t>
      </w:r>
      <w:r w:rsidR="007B77FE">
        <w:rPr>
          <w:rFonts w:ascii="Arial" w:hAnsi="Arial" w:cs="Arial"/>
        </w:rPr>
        <w:t>;</w:t>
      </w:r>
      <w:r>
        <w:rPr>
          <w:rFonts w:ascii="Arial" w:hAnsi="Arial" w:cs="Arial"/>
        </w:rPr>
        <w:t xml:space="preserve"> </w:t>
      </w:r>
    </w:p>
    <w:p w14:paraId="115123D3" w14:textId="59861CCA" w:rsidR="005B673B" w:rsidRPr="0085767E" w:rsidRDefault="005B673B" w:rsidP="00107BFD">
      <w:pPr>
        <w:pStyle w:val="ListParagraph"/>
        <w:numPr>
          <w:ilvl w:val="0"/>
          <w:numId w:val="35"/>
        </w:numPr>
        <w:spacing w:after="0" w:line="360" w:lineRule="auto"/>
        <w:ind w:left="426" w:hanging="426"/>
        <w:rPr>
          <w:rFonts w:ascii="Arial" w:hAnsi="Arial" w:cs="Arial"/>
        </w:rPr>
      </w:pPr>
      <w:r>
        <w:rPr>
          <w:rFonts w:ascii="Arial" w:hAnsi="Arial" w:cs="Arial"/>
        </w:rPr>
        <w:t>The design and d</w:t>
      </w:r>
      <w:r w:rsidRPr="0085767E">
        <w:rPr>
          <w:rFonts w:ascii="Arial" w:hAnsi="Arial" w:cs="Arial"/>
        </w:rPr>
        <w:t>istribution obligations</w:t>
      </w:r>
      <w:r>
        <w:rPr>
          <w:rFonts w:ascii="Arial" w:hAnsi="Arial" w:cs="Arial"/>
        </w:rPr>
        <w:t xml:space="preserve"> of issuers and distributors of financial products</w:t>
      </w:r>
      <w:r w:rsidR="007B77FE">
        <w:rPr>
          <w:rFonts w:ascii="Arial" w:hAnsi="Arial" w:cs="Arial"/>
        </w:rPr>
        <w:t>;</w:t>
      </w:r>
    </w:p>
    <w:p w14:paraId="70D82287" w14:textId="15370E81" w:rsidR="005B673B" w:rsidRPr="0085767E" w:rsidRDefault="005B673B" w:rsidP="00107BFD">
      <w:pPr>
        <w:pStyle w:val="ListParagraph"/>
        <w:numPr>
          <w:ilvl w:val="0"/>
          <w:numId w:val="35"/>
        </w:numPr>
        <w:spacing w:after="0" w:line="360" w:lineRule="auto"/>
        <w:ind w:left="426" w:hanging="426"/>
        <w:rPr>
          <w:rFonts w:ascii="Arial" w:hAnsi="Arial" w:cs="Arial"/>
        </w:rPr>
      </w:pPr>
      <w:r>
        <w:rPr>
          <w:rFonts w:ascii="Arial" w:hAnsi="Arial" w:cs="Arial"/>
        </w:rPr>
        <w:t>Granting ASIC the power to intervene in matters involving the issue and distribution of financial products</w:t>
      </w:r>
      <w:r w:rsidR="007B77FE">
        <w:rPr>
          <w:rFonts w:ascii="Arial" w:hAnsi="Arial" w:cs="Arial"/>
        </w:rPr>
        <w:t>;</w:t>
      </w:r>
      <w:r>
        <w:rPr>
          <w:rFonts w:ascii="Arial" w:hAnsi="Arial" w:cs="Arial"/>
        </w:rPr>
        <w:t xml:space="preserve"> and</w:t>
      </w:r>
    </w:p>
    <w:p w14:paraId="2EB17CD2" w14:textId="77777777" w:rsidR="005B673B" w:rsidRPr="0085767E" w:rsidRDefault="005B673B" w:rsidP="00107BFD">
      <w:pPr>
        <w:pStyle w:val="ListParagraph"/>
        <w:numPr>
          <w:ilvl w:val="0"/>
          <w:numId w:val="35"/>
        </w:numPr>
        <w:spacing w:after="0" w:line="360" w:lineRule="auto"/>
        <w:ind w:left="426" w:hanging="426"/>
        <w:rPr>
          <w:rFonts w:ascii="Arial" w:hAnsi="Arial" w:cs="Arial"/>
        </w:rPr>
      </w:pPr>
      <w:r w:rsidRPr="0085767E">
        <w:rPr>
          <w:rFonts w:ascii="Arial" w:hAnsi="Arial" w:cs="Arial"/>
        </w:rPr>
        <w:t>Enf</w:t>
      </w:r>
      <w:r>
        <w:rPr>
          <w:rFonts w:ascii="Arial" w:hAnsi="Arial" w:cs="Arial"/>
        </w:rPr>
        <w:t>orcement of legislative proposals and consumer r</w:t>
      </w:r>
      <w:r w:rsidRPr="0085767E">
        <w:rPr>
          <w:rFonts w:ascii="Arial" w:hAnsi="Arial" w:cs="Arial"/>
        </w:rPr>
        <w:t>edress</w:t>
      </w:r>
      <w:r>
        <w:rPr>
          <w:rFonts w:ascii="Arial" w:hAnsi="Arial" w:cs="Arial"/>
        </w:rPr>
        <w:t xml:space="preserve"> arising from breaches of the design and distribution obligations and contravention of interventions.</w:t>
      </w:r>
    </w:p>
    <w:p w14:paraId="7C3439AF" w14:textId="77777777" w:rsidR="007B77FE" w:rsidRDefault="007B77FE" w:rsidP="00107BFD">
      <w:pPr>
        <w:spacing w:after="0" w:line="360" w:lineRule="auto"/>
        <w:rPr>
          <w:rFonts w:ascii="Arial" w:hAnsi="Arial" w:cs="Arial"/>
        </w:rPr>
      </w:pPr>
    </w:p>
    <w:p w14:paraId="6A0E4DCB" w14:textId="359D1CA0" w:rsidR="005B673B" w:rsidRDefault="00353CDE" w:rsidP="00107BFD">
      <w:pPr>
        <w:spacing w:after="0" w:line="360" w:lineRule="auto"/>
        <w:rPr>
          <w:rFonts w:ascii="Arial" w:hAnsi="Arial" w:cs="Arial"/>
        </w:rPr>
      </w:pPr>
      <w:r>
        <w:rPr>
          <w:rFonts w:ascii="Arial" w:hAnsi="Arial" w:cs="Arial"/>
        </w:rPr>
        <w:t>The IPA’s r</w:t>
      </w:r>
      <w:r w:rsidR="005B673B">
        <w:rPr>
          <w:rFonts w:ascii="Arial" w:hAnsi="Arial" w:cs="Arial"/>
        </w:rPr>
        <w:t xml:space="preserve">esponses appear in italics below </w:t>
      </w:r>
      <w:r w:rsidR="00A766B5">
        <w:rPr>
          <w:rFonts w:ascii="Arial" w:hAnsi="Arial" w:cs="Arial"/>
        </w:rPr>
        <w:t xml:space="preserve">to </w:t>
      </w:r>
      <w:r w:rsidR="005B673B">
        <w:rPr>
          <w:rFonts w:ascii="Arial" w:hAnsi="Arial" w:cs="Arial"/>
        </w:rPr>
        <w:t xml:space="preserve">the </w:t>
      </w:r>
      <w:r w:rsidR="00A766B5">
        <w:rPr>
          <w:rFonts w:ascii="Arial" w:hAnsi="Arial" w:cs="Arial"/>
        </w:rPr>
        <w:t>q</w:t>
      </w:r>
      <w:r w:rsidR="005B673B">
        <w:rPr>
          <w:rFonts w:ascii="Arial" w:hAnsi="Arial" w:cs="Arial"/>
        </w:rPr>
        <w:t>uestions raised by the Proposal.</w:t>
      </w:r>
    </w:p>
    <w:p w14:paraId="4F9D133C" w14:textId="77777777" w:rsidR="003E79AE" w:rsidRDefault="003E79AE" w:rsidP="00107BFD">
      <w:pPr>
        <w:spacing w:after="0" w:line="360" w:lineRule="auto"/>
        <w:rPr>
          <w:rFonts w:ascii="Arial" w:hAnsi="Arial" w:cs="Arial"/>
        </w:rPr>
      </w:pPr>
    </w:p>
    <w:p w14:paraId="57F7C095" w14:textId="74A02211" w:rsidR="003E79AE" w:rsidRDefault="003E79AE" w:rsidP="00107BFD">
      <w:pPr>
        <w:spacing w:after="0" w:line="360" w:lineRule="auto"/>
        <w:rPr>
          <w:rFonts w:ascii="Arial" w:hAnsi="Arial" w:cs="Arial"/>
        </w:rPr>
      </w:pPr>
      <w:r>
        <w:rPr>
          <w:rFonts w:ascii="Arial" w:hAnsi="Arial" w:cs="Arial"/>
        </w:rPr>
        <w:t xml:space="preserve">If you wish to discuss our submission in further detail then please don’t hesitate to contact Vicki Stylianou at either </w:t>
      </w:r>
      <w:hyperlink r:id="rId18" w:history="1">
        <w:r w:rsidRPr="00A6425D">
          <w:rPr>
            <w:rStyle w:val="Hyperlink"/>
            <w:rFonts w:ascii="Arial" w:hAnsi="Arial" w:cs="Arial"/>
          </w:rPr>
          <w:t>vicki.stylianou@publicaccountants.org.au</w:t>
        </w:r>
      </w:hyperlink>
      <w:r>
        <w:rPr>
          <w:rFonts w:ascii="Arial" w:hAnsi="Arial" w:cs="Arial"/>
        </w:rPr>
        <w:t xml:space="preserve"> or on mob. 0419 942 733.</w:t>
      </w:r>
    </w:p>
    <w:p w14:paraId="28EFF546" w14:textId="77777777" w:rsidR="003E79AE" w:rsidRDefault="003E79AE" w:rsidP="00107BFD">
      <w:pPr>
        <w:spacing w:after="0" w:line="360" w:lineRule="auto"/>
        <w:rPr>
          <w:rFonts w:ascii="Arial" w:hAnsi="Arial" w:cs="Arial"/>
        </w:rPr>
      </w:pPr>
    </w:p>
    <w:p w14:paraId="18A13E59" w14:textId="73FDADE1" w:rsidR="003E79AE" w:rsidRDefault="003E79AE" w:rsidP="00107BFD">
      <w:pPr>
        <w:spacing w:after="0" w:line="360" w:lineRule="auto"/>
        <w:rPr>
          <w:rFonts w:ascii="Arial" w:hAnsi="Arial" w:cs="Arial"/>
        </w:rPr>
      </w:pPr>
      <w:r>
        <w:rPr>
          <w:rFonts w:ascii="Arial" w:hAnsi="Arial" w:cs="Arial"/>
        </w:rPr>
        <w:t xml:space="preserve">Yours faithfully </w:t>
      </w:r>
    </w:p>
    <w:p w14:paraId="7CE18D7B" w14:textId="77777777" w:rsidR="003E79AE" w:rsidRDefault="003E79AE" w:rsidP="00107BFD">
      <w:pPr>
        <w:spacing w:after="0" w:line="360" w:lineRule="auto"/>
        <w:rPr>
          <w:rFonts w:ascii="Arial" w:hAnsi="Arial" w:cs="Arial"/>
        </w:rPr>
      </w:pPr>
    </w:p>
    <w:p w14:paraId="660476DD" w14:textId="46B804D7" w:rsidR="003E79AE" w:rsidRDefault="00072532" w:rsidP="00107BFD">
      <w:pPr>
        <w:spacing w:after="0" w:line="360" w:lineRule="auto"/>
        <w:rPr>
          <w:rFonts w:ascii="Arial" w:hAnsi="Arial" w:cs="Arial"/>
        </w:rPr>
      </w:pPr>
      <w:r w:rsidRPr="00072532">
        <w:rPr>
          <w:rFonts w:ascii="Arial" w:hAnsi="Arial" w:cs="Arial"/>
          <w:noProof/>
        </w:rPr>
        <w:drawing>
          <wp:inline distT="0" distB="0" distL="0" distR="0" wp14:anchorId="4D1B14F4" wp14:editId="3617CC35">
            <wp:extent cx="2095500" cy="647700"/>
            <wp:effectExtent l="0" t="0" r="0" b="0"/>
            <wp:docPr id="1" name="Picture 1" descr="C:\Users\vicki.stylianou\Desktop\Vicki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stylianou\Desktop\VickiS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p w14:paraId="5450EC4D" w14:textId="77777777" w:rsidR="003E79AE" w:rsidRDefault="003E79AE" w:rsidP="00107BFD">
      <w:pPr>
        <w:spacing w:after="0" w:line="360" w:lineRule="auto"/>
        <w:rPr>
          <w:rFonts w:ascii="Arial" w:hAnsi="Arial" w:cs="Arial"/>
        </w:rPr>
      </w:pPr>
    </w:p>
    <w:p w14:paraId="3F863504" w14:textId="6FA7263E" w:rsidR="003E79AE" w:rsidRDefault="003E79AE" w:rsidP="00107BFD">
      <w:pPr>
        <w:spacing w:after="0" w:line="360" w:lineRule="auto"/>
        <w:rPr>
          <w:rFonts w:ascii="Arial" w:hAnsi="Arial" w:cs="Arial"/>
        </w:rPr>
      </w:pPr>
      <w:r>
        <w:rPr>
          <w:rFonts w:ascii="Arial" w:hAnsi="Arial" w:cs="Arial"/>
        </w:rPr>
        <w:t>Vicki Stylianou</w:t>
      </w:r>
    </w:p>
    <w:p w14:paraId="1AACBBA3" w14:textId="296F0D03" w:rsidR="003E79AE" w:rsidRDefault="003E79AE" w:rsidP="00107BFD">
      <w:pPr>
        <w:spacing w:after="0" w:line="360" w:lineRule="auto"/>
        <w:rPr>
          <w:rFonts w:ascii="Arial" w:hAnsi="Arial" w:cs="Arial"/>
        </w:rPr>
      </w:pPr>
      <w:r>
        <w:rPr>
          <w:rFonts w:ascii="Arial" w:hAnsi="Arial" w:cs="Arial"/>
        </w:rPr>
        <w:t xml:space="preserve">Executive General Manager, Advocacy &amp; Technical </w:t>
      </w:r>
    </w:p>
    <w:p w14:paraId="7A73040B" w14:textId="2452FF0A" w:rsidR="003E79AE" w:rsidRDefault="003E79AE" w:rsidP="00107BFD">
      <w:pPr>
        <w:spacing w:after="0" w:line="360" w:lineRule="auto"/>
        <w:rPr>
          <w:rFonts w:ascii="Arial" w:hAnsi="Arial" w:cs="Arial"/>
        </w:rPr>
      </w:pPr>
      <w:r>
        <w:rPr>
          <w:rFonts w:ascii="Arial" w:hAnsi="Arial" w:cs="Arial"/>
        </w:rPr>
        <w:t xml:space="preserve">Institute of Public Accountants </w:t>
      </w:r>
    </w:p>
    <w:p w14:paraId="6325DCAC" w14:textId="77777777" w:rsidR="00353CDE" w:rsidRDefault="00353CDE" w:rsidP="00107BFD">
      <w:pPr>
        <w:spacing w:after="0" w:line="360" w:lineRule="auto"/>
        <w:rPr>
          <w:rFonts w:ascii="Arial" w:hAnsi="Arial" w:cs="Arial"/>
        </w:rPr>
      </w:pPr>
    </w:p>
    <w:p w14:paraId="3E8FA14E" w14:textId="3E47D4FF" w:rsidR="003E79AE" w:rsidRDefault="003E79AE">
      <w:pPr>
        <w:rPr>
          <w:rFonts w:ascii="Arial" w:hAnsi="Arial" w:cs="Arial"/>
        </w:rPr>
      </w:pPr>
      <w:r>
        <w:rPr>
          <w:rFonts w:ascii="Arial" w:hAnsi="Arial" w:cs="Arial"/>
        </w:rPr>
        <w:br w:type="page"/>
      </w:r>
    </w:p>
    <w:p w14:paraId="64C306FD" w14:textId="77777777" w:rsidR="00353CDE" w:rsidRDefault="00353CDE" w:rsidP="00107BFD">
      <w:pPr>
        <w:spacing w:after="0" w:line="360" w:lineRule="auto"/>
        <w:rPr>
          <w:rFonts w:ascii="Arial" w:hAnsi="Arial" w:cs="Arial"/>
        </w:rPr>
      </w:pPr>
    </w:p>
    <w:p w14:paraId="2E43A59F" w14:textId="360B2BFD" w:rsidR="005B673B" w:rsidRPr="00D46647" w:rsidRDefault="005B673B" w:rsidP="007B77FE">
      <w:pPr>
        <w:pStyle w:val="ListParagraph"/>
        <w:numPr>
          <w:ilvl w:val="0"/>
          <w:numId w:val="37"/>
        </w:numPr>
        <w:shd w:val="clear" w:color="auto" w:fill="D9D9D9" w:themeFill="background1" w:themeFillShade="D9"/>
        <w:spacing w:after="0" w:line="360" w:lineRule="auto"/>
        <w:rPr>
          <w:rFonts w:ascii="Arial" w:hAnsi="Arial" w:cs="Arial"/>
          <w:b/>
        </w:rPr>
      </w:pPr>
      <w:r w:rsidRPr="00D46647">
        <w:rPr>
          <w:rFonts w:ascii="Arial" w:hAnsi="Arial" w:cs="Arial"/>
          <w:b/>
        </w:rPr>
        <w:t>Range Of Products Covered by the Measures</w:t>
      </w:r>
    </w:p>
    <w:p w14:paraId="49ED7951" w14:textId="77777777" w:rsidR="00107BFD" w:rsidRDefault="00107BFD" w:rsidP="00107BFD">
      <w:pPr>
        <w:pStyle w:val="Default"/>
        <w:spacing w:after="0" w:line="360" w:lineRule="auto"/>
        <w:rPr>
          <w:rFonts w:ascii="Arial" w:hAnsi="Arial" w:cs="Arial"/>
          <w:b/>
          <w:bCs/>
          <w:color w:val="auto"/>
          <w:sz w:val="22"/>
          <w:szCs w:val="22"/>
        </w:rPr>
      </w:pPr>
    </w:p>
    <w:p w14:paraId="45970833" w14:textId="77777777" w:rsidR="005B673B" w:rsidRDefault="005B673B" w:rsidP="00107BFD">
      <w:pPr>
        <w:pStyle w:val="Default"/>
        <w:spacing w:after="0" w:line="360" w:lineRule="auto"/>
        <w:rPr>
          <w:rFonts w:ascii="Arial" w:hAnsi="Arial" w:cs="Arial"/>
          <w:b/>
          <w:bCs/>
          <w:color w:val="auto"/>
          <w:sz w:val="22"/>
          <w:szCs w:val="22"/>
        </w:rPr>
      </w:pPr>
      <w:r w:rsidRPr="009F1309">
        <w:rPr>
          <w:rFonts w:ascii="Arial" w:hAnsi="Arial" w:cs="Arial"/>
          <w:b/>
          <w:bCs/>
          <w:color w:val="auto"/>
          <w:sz w:val="22"/>
          <w:szCs w:val="22"/>
        </w:rPr>
        <w:t>Questions and Res</w:t>
      </w:r>
      <w:r>
        <w:rPr>
          <w:rFonts w:ascii="Arial" w:hAnsi="Arial" w:cs="Arial"/>
          <w:b/>
          <w:bCs/>
          <w:color w:val="auto"/>
          <w:sz w:val="22"/>
          <w:szCs w:val="22"/>
        </w:rPr>
        <w:t>p</w:t>
      </w:r>
      <w:r w:rsidRPr="009F1309">
        <w:rPr>
          <w:rFonts w:ascii="Arial" w:hAnsi="Arial" w:cs="Arial"/>
          <w:b/>
          <w:bCs/>
          <w:color w:val="auto"/>
          <w:sz w:val="22"/>
          <w:szCs w:val="22"/>
        </w:rPr>
        <w:t>onses</w:t>
      </w:r>
    </w:p>
    <w:p w14:paraId="4E225C07"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Pr>
          <w:rFonts w:ascii="Arial" w:hAnsi="Arial" w:cs="Arial"/>
          <w:sz w:val="22"/>
          <w:szCs w:val="22"/>
        </w:rPr>
        <w:t xml:space="preserve">1. </w:t>
      </w:r>
      <w:r w:rsidRPr="00FB7579">
        <w:rPr>
          <w:rFonts w:ascii="Arial" w:hAnsi="Arial" w:cs="Arial"/>
          <w:sz w:val="22"/>
          <w:szCs w:val="22"/>
        </w:rPr>
        <w:t xml:space="preserve">Do you agree with all financial products except for ordinary shares being subject to both the design and distribution obligations and the product intervention power? Are there any financial products where the existing level of consumer protections means they should be excluded from the measures (for example, default (MySuper) or mass-customised (comprehensive income products for retirement) superannuation products)? </w:t>
      </w:r>
    </w:p>
    <w:p w14:paraId="30C6D2C8" w14:textId="77777777" w:rsidR="00353CDE" w:rsidRDefault="00353CDE" w:rsidP="00107BFD">
      <w:pPr>
        <w:pStyle w:val="Default"/>
        <w:spacing w:after="0" w:line="360" w:lineRule="auto"/>
        <w:rPr>
          <w:rFonts w:ascii="Arial" w:hAnsi="Arial" w:cs="Arial"/>
          <w:i/>
          <w:sz w:val="22"/>
          <w:szCs w:val="22"/>
        </w:rPr>
      </w:pPr>
    </w:p>
    <w:p w14:paraId="58973DC4" w14:textId="7A95F212" w:rsidR="005B673B" w:rsidRDefault="005B673B" w:rsidP="00107BFD">
      <w:pPr>
        <w:pStyle w:val="Default"/>
        <w:spacing w:after="0" w:line="360" w:lineRule="auto"/>
        <w:rPr>
          <w:rFonts w:ascii="Arial" w:hAnsi="Arial" w:cs="Arial"/>
          <w:i/>
          <w:sz w:val="22"/>
          <w:szCs w:val="22"/>
        </w:rPr>
      </w:pPr>
      <w:r w:rsidRPr="006B40E3">
        <w:rPr>
          <w:rFonts w:ascii="Arial" w:hAnsi="Arial" w:cs="Arial"/>
          <w:i/>
          <w:sz w:val="22"/>
          <w:szCs w:val="22"/>
        </w:rPr>
        <w:t xml:space="preserve">Response: We agree </w:t>
      </w:r>
      <w:r>
        <w:rPr>
          <w:rFonts w:ascii="Arial" w:hAnsi="Arial" w:cs="Arial"/>
          <w:i/>
          <w:sz w:val="22"/>
          <w:szCs w:val="22"/>
        </w:rPr>
        <w:t>that</w:t>
      </w:r>
      <w:r w:rsidRPr="006B40E3">
        <w:rPr>
          <w:rFonts w:ascii="Arial" w:hAnsi="Arial" w:cs="Arial"/>
          <w:i/>
          <w:sz w:val="22"/>
          <w:szCs w:val="22"/>
        </w:rPr>
        <w:t xml:space="preserve"> all financial products except for ordinary shares </w:t>
      </w:r>
      <w:r>
        <w:rPr>
          <w:rFonts w:ascii="Arial" w:hAnsi="Arial" w:cs="Arial"/>
          <w:i/>
          <w:sz w:val="22"/>
          <w:szCs w:val="22"/>
        </w:rPr>
        <w:t xml:space="preserve">should be </w:t>
      </w:r>
      <w:r w:rsidRPr="006B40E3">
        <w:rPr>
          <w:rFonts w:ascii="Arial" w:hAnsi="Arial" w:cs="Arial"/>
          <w:i/>
          <w:sz w:val="22"/>
          <w:szCs w:val="22"/>
        </w:rPr>
        <w:t>subject to both the design and distribution obligations and the product intervention power</w:t>
      </w:r>
      <w:r>
        <w:rPr>
          <w:rFonts w:ascii="Arial" w:hAnsi="Arial" w:cs="Arial"/>
          <w:i/>
          <w:sz w:val="22"/>
          <w:szCs w:val="22"/>
        </w:rPr>
        <w:t xml:space="preserve">. </w:t>
      </w:r>
      <w:r w:rsidRPr="006B40E3">
        <w:rPr>
          <w:rFonts w:ascii="Arial" w:hAnsi="Arial" w:cs="Arial"/>
          <w:i/>
          <w:sz w:val="22"/>
          <w:szCs w:val="22"/>
        </w:rPr>
        <w:t>We believe that financial products</w:t>
      </w:r>
      <w:r w:rsidR="00353CDE">
        <w:rPr>
          <w:rFonts w:ascii="Arial" w:hAnsi="Arial" w:cs="Arial"/>
          <w:i/>
          <w:sz w:val="22"/>
          <w:szCs w:val="22"/>
        </w:rPr>
        <w:t>,</w:t>
      </w:r>
      <w:r w:rsidRPr="006B40E3">
        <w:rPr>
          <w:rFonts w:ascii="Arial" w:hAnsi="Arial" w:cs="Arial"/>
          <w:i/>
          <w:sz w:val="22"/>
          <w:szCs w:val="22"/>
        </w:rPr>
        <w:t xml:space="preserve"> which reflect complex design and/or distribution features</w:t>
      </w:r>
      <w:r w:rsidR="00353CDE">
        <w:rPr>
          <w:rFonts w:ascii="Arial" w:hAnsi="Arial" w:cs="Arial"/>
          <w:i/>
          <w:sz w:val="22"/>
          <w:szCs w:val="22"/>
        </w:rPr>
        <w:t>,</w:t>
      </w:r>
      <w:r w:rsidRPr="006B40E3">
        <w:rPr>
          <w:rFonts w:ascii="Arial" w:hAnsi="Arial" w:cs="Arial"/>
          <w:i/>
          <w:sz w:val="22"/>
          <w:szCs w:val="22"/>
        </w:rPr>
        <w:t xml:space="preserve"> should not be excluded from the proposed measures even if these products are mass-customised (mass-produced).  The Government needs to provide guidance</w:t>
      </w:r>
      <w:r>
        <w:rPr>
          <w:rFonts w:ascii="Arial" w:hAnsi="Arial" w:cs="Arial"/>
          <w:i/>
          <w:sz w:val="22"/>
          <w:szCs w:val="22"/>
        </w:rPr>
        <w:t>,</w:t>
      </w:r>
      <w:r w:rsidRPr="006B40E3">
        <w:rPr>
          <w:rFonts w:ascii="Arial" w:hAnsi="Arial" w:cs="Arial"/>
          <w:i/>
          <w:sz w:val="22"/>
          <w:szCs w:val="22"/>
        </w:rPr>
        <w:t xml:space="preserve"> </w:t>
      </w:r>
      <w:r>
        <w:rPr>
          <w:rFonts w:ascii="Arial" w:hAnsi="Arial" w:cs="Arial"/>
          <w:i/>
          <w:sz w:val="22"/>
          <w:szCs w:val="22"/>
        </w:rPr>
        <w:t>similar to guidance offered by Australian Financial Markets Association (AFMA</w:t>
      </w:r>
      <w:r>
        <w:rPr>
          <w:rStyle w:val="FootnoteReference"/>
          <w:rFonts w:ascii="Arial" w:hAnsi="Arial" w:cs="Arial"/>
          <w:i/>
          <w:sz w:val="22"/>
          <w:szCs w:val="22"/>
        </w:rPr>
        <w:footnoteReference w:id="1"/>
      </w:r>
      <w:r>
        <w:rPr>
          <w:rFonts w:ascii="Arial" w:hAnsi="Arial" w:cs="Arial"/>
          <w:i/>
          <w:sz w:val="22"/>
          <w:szCs w:val="22"/>
        </w:rPr>
        <w:t xml:space="preserve">), </w:t>
      </w:r>
      <w:r w:rsidRPr="006B40E3">
        <w:rPr>
          <w:rFonts w:ascii="Arial" w:hAnsi="Arial" w:cs="Arial"/>
          <w:i/>
          <w:sz w:val="22"/>
          <w:szCs w:val="22"/>
        </w:rPr>
        <w:t xml:space="preserve">about what constitutes good design </w:t>
      </w:r>
      <w:r>
        <w:rPr>
          <w:rFonts w:ascii="Arial" w:hAnsi="Arial" w:cs="Arial"/>
          <w:i/>
          <w:sz w:val="22"/>
          <w:szCs w:val="22"/>
        </w:rPr>
        <w:t xml:space="preserve">and distribution principles </w:t>
      </w:r>
      <w:r w:rsidRPr="006B40E3">
        <w:rPr>
          <w:rFonts w:ascii="Arial" w:hAnsi="Arial" w:cs="Arial"/>
          <w:i/>
          <w:sz w:val="22"/>
          <w:szCs w:val="22"/>
        </w:rPr>
        <w:t xml:space="preserve">in order to comply with the </w:t>
      </w:r>
      <w:r>
        <w:rPr>
          <w:rFonts w:ascii="Arial" w:hAnsi="Arial" w:cs="Arial"/>
          <w:i/>
          <w:sz w:val="22"/>
          <w:szCs w:val="22"/>
        </w:rPr>
        <w:t xml:space="preserve">spirit of the law as well as </w:t>
      </w:r>
      <w:r w:rsidRPr="006B40E3">
        <w:rPr>
          <w:rFonts w:ascii="Arial" w:hAnsi="Arial" w:cs="Arial"/>
          <w:i/>
          <w:sz w:val="22"/>
          <w:szCs w:val="22"/>
        </w:rPr>
        <w:t xml:space="preserve">proposed rules. Design principles should clearly identify product features which are critical to distributor and consumer understanding. To that extent, the Government should issue guidance in the form of ‘principles of good financial product design’ or similar. Good design underpins the quality of innovation, mitigates disputes and maximises consumer satisfaction. </w:t>
      </w:r>
    </w:p>
    <w:p w14:paraId="2833E342" w14:textId="77777777" w:rsidR="002059CF" w:rsidRDefault="002059CF" w:rsidP="00107BFD">
      <w:pPr>
        <w:pStyle w:val="Default"/>
        <w:spacing w:after="0" w:line="360" w:lineRule="auto"/>
        <w:rPr>
          <w:rFonts w:ascii="Arial" w:hAnsi="Arial" w:cs="Arial"/>
          <w:i/>
          <w:sz w:val="22"/>
          <w:szCs w:val="22"/>
        </w:rPr>
      </w:pPr>
    </w:p>
    <w:p w14:paraId="3D296F74" w14:textId="77777777"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 xml:space="preserve">The Government should also be mindful of developments in financial product innovation when considering financial product design and distribution principles. One particular innovation emerging from the European Union and the US Bilateral Horizon 2020 program which may find its way into Australia, is the development of equity and debt financial instruments (products) specifically designed by issuers to support industry innovation by SMEs (Small and Medium Enterprises) </w:t>
      </w:r>
      <w:r>
        <w:rPr>
          <w:rStyle w:val="FootnoteReference"/>
          <w:rFonts w:ascii="Arial" w:hAnsi="Arial" w:cs="Arial"/>
          <w:i/>
          <w:sz w:val="22"/>
          <w:szCs w:val="22"/>
        </w:rPr>
        <w:footnoteReference w:id="2"/>
      </w:r>
      <w:r>
        <w:rPr>
          <w:rFonts w:ascii="Arial" w:hAnsi="Arial" w:cs="Arial"/>
          <w:i/>
          <w:sz w:val="22"/>
          <w:szCs w:val="22"/>
        </w:rPr>
        <w:t xml:space="preserve">. </w:t>
      </w:r>
    </w:p>
    <w:p w14:paraId="69A23184" w14:textId="77777777" w:rsidR="002059CF" w:rsidRDefault="002059CF" w:rsidP="00107BFD">
      <w:pPr>
        <w:pStyle w:val="Default"/>
        <w:spacing w:after="0" w:line="360" w:lineRule="auto"/>
        <w:rPr>
          <w:rFonts w:ascii="Arial" w:hAnsi="Arial" w:cs="Arial"/>
          <w:i/>
          <w:sz w:val="22"/>
          <w:szCs w:val="22"/>
        </w:rPr>
      </w:pPr>
    </w:p>
    <w:p w14:paraId="79A59A84" w14:textId="602E6404"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 xml:space="preserve">If a similar innovation was to </w:t>
      </w:r>
      <w:r w:rsidR="00353CDE">
        <w:rPr>
          <w:rFonts w:ascii="Arial" w:hAnsi="Arial" w:cs="Arial"/>
          <w:i/>
          <w:sz w:val="22"/>
          <w:szCs w:val="22"/>
        </w:rPr>
        <w:t xml:space="preserve">be </w:t>
      </w:r>
      <w:r>
        <w:rPr>
          <w:rFonts w:ascii="Arial" w:hAnsi="Arial" w:cs="Arial"/>
          <w:i/>
          <w:sz w:val="22"/>
          <w:szCs w:val="22"/>
        </w:rPr>
        <w:t>develop</w:t>
      </w:r>
      <w:r w:rsidR="00353CDE">
        <w:rPr>
          <w:rFonts w:ascii="Arial" w:hAnsi="Arial" w:cs="Arial"/>
          <w:i/>
          <w:sz w:val="22"/>
          <w:szCs w:val="22"/>
        </w:rPr>
        <w:t>ed</w:t>
      </w:r>
      <w:r>
        <w:rPr>
          <w:rFonts w:ascii="Arial" w:hAnsi="Arial" w:cs="Arial"/>
          <w:i/>
          <w:sz w:val="22"/>
          <w:szCs w:val="22"/>
        </w:rPr>
        <w:t xml:space="preserve"> in Australia to support the financing needs of SMEs, the Government should also consider the design and distribution features of such products and extend the proposed legislative protection to SME consumers.</w:t>
      </w:r>
    </w:p>
    <w:p w14:paraId="7E01D21B" w14:textId="77777777" w:rsidR="005B673B" w:rsidRPr="00177352" w:rsidRDefault="005B673B" w:rsidP="00107BFD">
      <w:pPr>
        <w:pStyle w:val="Default"/>
        <w:spacing w:after="0" w:line="360" w:lineRule="auto"/>
        <w:rPr>
          <w:rFonts w:ascii="Arial" w:hAnsi="Arial" w:cs="Arial"/>
          <w:i/>
          <w:sz w:val="22"/>
          <w:szCs w:val="22"/>
        </w:rPr>
      </w:pPr>
    </w:p>
    <w:p w14:paraId="26E65DBB"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2. Do you agree with the design and distribution obligations and the product intervention power only applying to products made available to retail clients? If not, please explain why with relevant examples. </w:t>
      </w:r>
    </w:p>
    <w:p w14:paraId="36540034" w14:textId="77777777" w:rsidR="00107BFD" w:rsidRDefault="00107BFD" w:rsidP="00107BFD">
      <w:pPr>
        <w:spacing w:after="0" w:line="360" w:lineRule="auto"/>
        <w:rPr>
          <w:rFonts w:ascii="Arial" w:hAnsi="Arial" w:cs="Arial"/>
          <w:i/>
        </w:rPr>
      </w:pPr>
    </w:p>
    <w:p w14:paraId="07C5A6B6" w14:textId="77777777" w:rsidR="005B673B" w:rsidRDefault="005B673B" w:rsidP="00107BFD">
      <w:pPr>
        <w:spacing w:after="0" w:line="360" w:lineRule="auto"/>
        <w:rPr>
          <w:rFonts w:ascii="Arial" w:hAnsi="Arial" w:cs="Arial"/>
        </w:rPr>
      </w:pPr>
      <w:r w:rsidRPr="0085767E">
        <w:rPr>
          <w:rFonts w:ascii="Arial" w:hAnsi="Arial" w:cs="Arial"/>
          <w:i/>
        </w:rPr>
        <w:t xml:space="preserve">Response: </w:t>
      </w:r>
      <w:r>
        <w:rPr>
          <w:rFonts w:ascii="Arial" w:hAnsi="Arial" w:cs="Arial"/>
          <w:i/>
        </w:rPr>
        <w:t>We agree that d</w:t>
      </w:r>
      <w:r w:rsidRPr="005A0015">
        <w:rPr>
          <w:rFonts w:ascii="Arial" w:hAnsi="Arial" w:cs="Arial"/>
          <w:i/>
        </w:rPr>
        <w:t>esign and distribution obligations and the product intervention power</w:t>
      </w:r>
      <w:r>
        <w:rPr>
          <w:rFonts w:ascii="Arial" w:hAnsi="Arial" w:cs="Arial"/>
          <w:i/>
        </w:rPr>
        <w:t xml:space="preserve"> should apply to all products made available to all retail clients. </w:t>
      </w:r>
    </w:p>
    <w:p w14:paraId="44995A7A" w14:textId="77777777" w:rsidR="005B673B" w:rsidRDefault="005B673B" w:rsidP="00107BFD">
      <w:pPr>
        <w:spacing w:after="0" w:line="360" w:lineRule="auto"/>
        <w:rPr>
          <w:rFonts w:ascii="Arial" w:hAnsi="Arial" w:cs="Arial"/>
        </w:rPr>
      </w:pPr>
    </w:p>
    <w:p w14:paraId="4A30C34D"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3. Do you agree that regulated credit products should be subject to the product intervention power but not the design and distribution obligations? If not, please explain why with relevant examples. </w:t>
      </w:r>
    </w:p>
    <w:p w14:paraId="4BC137AA" w14:textId="77777777" w:rsidR="005B673B" w:rsidRDefault="005B673B" w:rsidP="00107BFD">
      <w:pPr>
        <w:pStyle w:val="Default"/>
        <w:spacing w:after="0" w:line="360" w:lineRule="auto"/>
        <w:rPr>
          <w:rFonts w:ascii="Arial" w:hAnsi="Arial" w:cs="Arial"/>
          <w:sz w:val="22"/>
          <w:szCs w:val="22"/>
        </w:rPr>
      </w:pPr>
    </w:p>
    <w:p w14:paraId="4E8154AA" w14:textId="77777777" w:rsidR="005B673B" w:rsidRPr="00EA0E77" w:rsidRDefault="005B673B" w:rsidP="00107BFD">
      <w:pPr>
        <w:pStyle w:val="Default"/>
        <w:spacing w:after="0" w:line="360" w:lineRule="auto"/>
        <w:rPr>
          <w:rFonts w:ascii="Arial" w:hAnsi="Arial" w:cs="Arial"/>
          <w:i/>
          <w:sz w:val="22"/>
          <w:szCs w:val="22"/>
        </w:rPr>
      </w:pPr>
      <w:r w:rsidRPr="00EA0E77">
        <w:rPr>
          <w:rFonts w:ascii="Arial" w:hAnsi="Arial" w:cs="Arial"/>
          <w:i/>
          <w:sz w:val="22"/>
          <w:szCs w:val="22"/>
        </w:rPr>
        <w:t>Response: We agree that regulated credit products should be subject to the product intervention power but not the design and distribution obligations</w:t>
      </w:r>
      <w:r>
        <w:rPr>
          <w:rFonts w:ascii="Arial" w:hAnsi="Arial" w:cs="Arial"/>
          <w:i/>
          <w:sz w:val="22"/>
          <w:szCs w:val="22"/>
        </w:rPr>
        <w:t>.</w:t>
      </w:r>
    </w:p>
    <w:p w14:paraId="5299EAC7" w14:textId="77777777" w:rsidR="005B673B" w:rsidRPr="00FB7579" w:rsidRDefault="005B673B" w:rsidP="00107BFD">
      <w:pPr>
        <w:pStyle w:val="Default"/>
        <w:spacing w:after="0" w:line="360" w:lineRule="auto"/>
        <w:rPr>
          <w:rFonts w:ascii="Arial" w:hAnsi="Arial" w:cs="Arial"/>
          <w:sz w:val="22"/>
          <w:szCs w:val="22"/>
        </w:rPr>
      </w:pPr>
    </w:p>
    <w:p w14:paraId="75D0B925"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4. Do you consider the product intervention power should be broader than regulated credit products? For example, ‘credit facilities’ covered by the unconscionable conduct provisions in the ASIC Act. If so, please explain why with relevant examples. </w:t>
      </w:r>
    </w:p>
    <w:p w14:paraId="635BAD03" w14:textId="77777777" w:rsidR="005B673B" w:rsidRPr="00FB7579" w:rsidRDefault="005B673B" w:rsidP="00107BFD">
      <w:pPr>
        <w:spacing w:after="0" w:line="360" w:lineRule="auto"/>
        <w:rPr>
          <w:rFonts w:ascii="Arial" w:hAnsi="Arial" w:cs="Arial"/>
        </w:rPr>
      </w:pPr>
    </w:p>
    <w:p w14:paraId="4F092D92" w14:textId="77777777" w:rsidR="005B673B" w:rsidRPr="00353CDE" w:rsidRDefault="005B673B" w:rsidP="00107BFD">
      <w:pPr>
        <w:spacing w:after="0" w:line="360" w:lineRule="auto"/>
        <w:rPr>
          <w:rFonts w:ascii="Arial" w:hAnsi="Arial" w:cs="Arial"/>
          <w:i/>
          <w:sz w:val="22"/>
          <w:szCs w:val="22"/>
        </w:rPr>
      </w:pPr>
      <w:r w:rsidRPr="00353CDE">
        <w:rPr>
          <w:rFonts w:ascii="Arial" w:hAnsi="Arial" w:cs="Arial"/>
          <w:i/>
          <w:sz w:val="22"/>
          <w:szCs w:val="22"/>
        </w:rPr>
        <w:t>Response: We do not consider that the proposed product intervention power should be broader than regulated credit products for reasons already explained in the Proposal.</w:t>
      </w:r>
    </w:p>
    <w:p w14:paraId="428EDDEE" w14:textId="77777777" w:rsidR="005B673B" w:rsidRDefault="005B673B" w:rsidP="00107BFD">
      <w:pPr>
        <w:spacing w:after="0" w:line="360" w:lineRule="auto"/>
        <w:jc w:val="center"/>
        <w:rPr>
          <w:rFonts w:ascii="Arial" w:hAnsi="Arial" w:cs="Arial"/>
          <w:b/>
        </w:rPr>
      </w:pPr>
    </w:p>
    <w:p w14:paraId="7DE4D7A3" w14:textId="4EB3EBF8" w:rsidR="005B673B" w:rsidRPr="00D46647" w:rsidRDefault="005B673B" w:rsidP="001B60C2">
      <w:pPr>
        <w:pStyle w:val="ListParagraph"/>
        <w:numPr>
          <w:ilvl w:val="0"/>
          <w:numId w:val="37"/>
        </w:numPr>
        <w:shd w:val="clear" w:color="auto" w:fill="D9D9D9" w:themeFill="background1" w:themeFillShade="D9"/>
        <w:spacing w:after="0" w:line="360" w:lineRule="auto"/>
        <w:rPr>
          <w:rFonts w:ascii="Arial" w:hAnsi="Arial" w:cs="Arial"/>
          <w:b/>
        </w:rPr>
      </w:pPr>
      <w:r w:rsidRPr="00D46647">
        <w:rPr>
          <w:rFonts w:ascii="Arial" w:hAnsi="Arial" w:cs="Arial"/>
          <w:b/>
        </w:rPr>
        <w:t>Design and Distribution Obligations</w:t>
      </w:r>
    </w:p>
    <w:p w14:paraId="4F3182CC" w14:textId="77777777" w:rsidR="005B673B" w:rsidRDefault="005B673B" w:rsidP="00107BFD">
      <w:pPr>
        <w:pStyle w:val="Default"/>
        <w:spacing w:after="0" w:line="360" w:lineRule="auto"/>
        <w:rPr>
          <w:rFonts w:ascii="Arial" w:hAnsi="Arial" w:cs="Arial"/>
          <w:b/>
          <w:bCs/>
          <w:color w:val="auto"/>
          <w:sz w:val="22"/>
          <w:szCs w:val="22"/>
        </w:rPr>
      </w:pPr>
    </w:p>
    <w:p w14:paraId="3973AC3E" w14:textId="77777777" w:rsidR="005B673B" w:rsidRPr="009F1309" w:rsidRDefault="005B673B" w:rsidP="00107BFD">
      <w:pPr>
        <w:pStyle w:val="Default"/>
        <w:spacing w:after="0" w:line="360" w:lineRule="auto"/>
        <w:rPr>
          <w:rFonts w:ascii="Arial" w:hAnsi="Arial" w:cs="Arial"/>
          <w:b/>
          <w:bCs/>
          <w:color w:val="auto"/>
          <w:sz w:val="22"/>
          <w:szCs w:val="22"/>
        </w:rPr>
      </w:pPr>
      <w:r w:rsidRPr="009F1309">
        <w:rPr>
          <w:rFonts w:ascii="Arial" w:hAnsi="Arial" w:cs="Arial"/>
          <w:b/>
          <w:bCs/>
          <w:color w:val="auto"/>
          <w:sz w:val="22"/>
          <w:szCs w:val="22"/>
        </w:rPr>
        <w:t>Questions and Res</w:t>
      </w:r>
      <w:r>
        <w:rPr>
          <w:rFonts w:ascii="Arial" w:hAnsi="Arial" w:cs="Arial"/>
          <w:b/>
          <w:bCs/>
          <w:color w:val="auto"/>
          <w:sz w:val="22"/>
          <w:szCs w:val="22"/>
        </w:rPr>
        <w:t>p</w:t>
      </w:r>
      <w:r w:rsidRPr="009F1309">
        <w:rPr>
          <w:rFonts w:ascii="Arial" w:hAnsi="Arial" w:cs="Arial"/>
          <w:b/>
          <w:bCs/>
          <w:color w:val="auto"/>
          <w:sz w:val="22"/>
          <w:szCs w:val="22"/>
        </w:rPr>
        <w:t>onses</w:t>
      </w:r>
    </w:p>
    <w:p w14:paraId="25A3A216"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5. Do you agree with defining issuers as the entity that is responsible for the obligations owed under the terms of the facility that is the product? If not, please explain why with relevant examples. Are there any entities that you consider should be excluded from the definition of issuer? </w:t>
      </w:r>
    </w:p>
    <w:p w14:paraId="0F68A262" w14:textId="77777777" w:rsidR="005B673B" w:rsidRPr="00FB7579" w:rsidRDefault="005B673B" w:rsidP="00107BFD">
      <w:pPr>
        <w:pStyle w:val="Default"/>
        <w:spacing w:after="0" w:line="360" w:lineRule="auto"/>
        <w:rPr>
          <w:rFonts w:ascii="Arial" w:hAnsi="Arial" w:cs="Arial"/>
          <w:sz w:val="22"/>
          <w:szCs w:val="22"/>
        </w:rPr>
      </w:pPr>
    </w:p>
    <w:p w14:paraId="3C2A3A15" w14:textId="2827DD39" w:rsidR="005B673B" w:rsidRPr="00FB7579" w:rsidRDefault="005B673B" w:rsidP="00107BFD">
      <w:pPr>
        <w:pStyle w:val="Default"/>
        <w:spacing w:after="0" w:line="360" w:lineRule="auto"/>
        <w:rPr>
          <w:rFonts w:ascii="Arial" w:hAnsi="Arial" w:cs="Arial"/>
          <w:i/>
          <w:sz w:val="22"/>
          <w:szCs w:val="22"/>
        </w:rPr>
      </w:pPr>
      <w:r>
        <w:rPr>
          <w:rFonts w:ascii="Arial" w:hAnsi="Arial" w:cs="Arial"/>
          <w:i/>
          <w:sz w:val="22"/>
          <w:szCs w:val="22"/>
        </w:rPr>
        <w:t>Response:  The proposed definition of ‘issuer’ should be “the entity that is ultimately responsible for the obligations owed under the terms of the facility that is the product”. This definition takes into account group organizations w</w:t>
      </w:r>
      <w:r w:rsidR="00353CDE">
        <w:rPr>
          <w:rFonts w:ascii="Arial" w:hAnsi="Arial" w:cs="Arial"/>
          <w:i/>
          <w:sz w:val="22"/>
          <w:szCs w:val="22"/>
        </w:rPr>
        <w:t>h</w:t>
      </w:r>
      <w:r>
        <w:rPr>
          <w:rFonts w:ascii="Arial" w:hAnsi="Arial" w:cs="Arial"/>
          <w:i/>
          <w:sz w:val="22"/>
          <w:szCs w:val="22"/>
        </w:rPr>
        <w:t>ere a financial organization controls the issuer.</w:t>
      </w:r>
    </w:p>
    <w:p w14:paraId="7D01B9F2" w14:textId="77777777" w:rsidR="005B673B" w:rsidRDefault="005B673B" w:rsidP="00107BFD">
      <w:pPr>
        <w:pStyle w:val="Default"/>
        <w:spacing w:after="0" w:line="360" w:lineRule="auto"/>
        <w:rPr>
          <w:rFonts w:ascii="Arial" w:hAnsi="Arial" w:cs="Arial"/>
          <w:color w:val="auto"/>
          <w:sz w:val="22"/>
          <w:szCs w:val="22"/>
        </w:rPr>
      </w:pPr>
    </w:p>
    <w:p w14:paraId="464784E1"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6. Do you agree with defining distributors as entity that arranges for the issue of a product or that: </w:t>
      </w:r>
    </w:p>
    <w:p w14:paraId="40C19144" w14:textId="273883B2"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(i) advertise a product, publish a statement that is reasonabl</w:t>
      </w:r>
      <w:r w:rsidR="001B60C2">
        <w:rPr>
          <w:rFonts w:ascii="Arial" w:hAnsi="Arial" w:cs="Arial"/>
          <w:sz w:val="22"/>
          <w:szCs w:val="22"/>
        </w:rPr>
        <w:t>y</w:t>
      </w:r>
      <w:r w:rsidRPr="00FB7579">
        <w:rPr>
          <w:rFonts w:ascii="Arial" w:hAnsi="Arial" w:cs="Arial"/>
          <w:sz w:val="22"/>
          <w:szCs w:val="22"/>
        </w:rPr>
        <w:t xml:space="preserve"> likely to induce people as retail clients to acquire the product or make available a product disclosure document for a product; and </w:t>
      </w:r>
    </w:p>
    <w:p w14:paraId="5CEEBC43"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(ii) receive a benefit from the issuer of the product for engaging in the conduct referred to in (i) or for the issue of the product arising from that conduct (if the entity is not the issuer). </w:t>
      </w:r>
    </w:p>
    <w:p w14:paraId="55CD571F" w14:textId="77777777" w:rsidR="005B673B" w:rsidRPr="00FB7579" w:rsidRDefault="005B673B" w:rsidP="00107BFD">
      <w:pPr>
        <w:pStyle w:val="Default"/>
        <w:spacing w:after="0" w:line="360" w:lineRule="auto"/>
        <w:rPr>
          <w:rFonts w:ascii="Arial" w:hAnsi="Arial" w:cs="Arial"/>
          <w:sz w:val="22"/>
          <w:szCs w:val="22"/>
        </w:rPr>
      </w:pPr>
    </w:p>
    <w:p w14:paraId="10031EC9" w14:textId="77777777" w:rsidR="002059CF" w:rsidRDefault="005B673B" w:rsidP="00107BFD">
      <w:pPr>
        <w:pStyle w:val="Default"/>
        <w:spacing w:after="0" w:line="360" w:lineRule="auto"/>
        <w:rPr>
          <w:rFonts w:ascii="Arial" w:hAnsi="Arial" w:cs="Arial"/>
          <w:i/>
          <w:sz w:val="22"/>
          <w:szCs w:val="22"/>
        </w:rPr>
      </w:pPr>
      <w:r w:rsidRPr="00DB63C6">
        <w:rPr>
          <w:rFonts w:ascii="Arial" w:hAnsi="Arial" w:cs="Arial"/>
          <w:i/>
          <w:sz w:val="22"/>
          <w:szCs w:val="22"/>
        </w:rPr>
        <w:t>Response</w:t>
      </w:r>
      <w:r w:rsidRPr="00DB63C6">
        <w:rPr>
          <w:rFonts w:ascii="Arial" w:hAnsi="Arial" w:cs="Arial"/>
          <w:i/>
          <w:sz w:val="22"/>
          <w:szCs w:val="22"/>
          <w:u w:val="single"/>
        </w:rPr>
        <w:t>:</w:t>
      </w:r>
      <w:r w:rsidRPr="00DB63C6">
        <w:rPr>
          <w:rFonts w:ascii="Arial" w:hAnsi="Arial" w:cs="Arial"/>
          <w:i/>
          <w:sz w:val="22"/>
          <w:szCs w:val="22"/>
        </w:rPr>
        <w:t xml:space="preserve">  </w:t>
      </w:r>
      <w:r>
        <w:rPr>
          <w:rFonts w:ascii="Arial" w:hAnsi="Arial" w:cs="Arial"/>
          <w:i/>
          <w:sz w:val="22"/>
          <w:szCs w:val="22"/>
        </w:rPr>
        <w:t>The proposed definition of ‘distributor’ should be “the entity that is ultimately responsible for arranging the issue of a product or that</w:t>
      </w:r>
      <w:r w:rsidR="002059CF">
        <w:rPr>
          <w:rFonts w:ascii="Arial" w:hAnsi="Arial" w:cs="Arial"/>
          <w:i/>
          <w:sz w:val="22"/>
          <w:szCs w:val="22"/>
        </w:rPr>
        <w:t>:</w:t>
      </w:r>
    </w:p>
    <w:p w14:paraId="41942617" w14:textId="17FC8018" w:rsidR="005B673B" w:rsidRPr="009E2BA7" w:rsidRDefault="005B673B" w:rsidP="00107BFD">
      <w:pPr>
        <w:pStyle w:val="Default"/>
        <w:spacing w:after="0" w:line="360" w:lineRule="auto"/>
        <w:rPr>
          <w:rFonts w:ascii="Arial" w:hAnsi="Arial" w:cs="Arial"/>
          <w:i/>
          <w:sz w:val="22"/>
          <w:szCs w:val="22"/>
        </w:rPr>
      </w:pPr>
      <w:r w:rsidRPr="009E2BA7">
        <w:rPr>
          <w:rFonts w:ascii="Arial" w:hAnsi="Arial" w:cs="Arial"/>
          <w:i/>
          <w:sz w:val="22"/>
          <w:szCs w:val="22"/>
        </w:rPr>
        <w:t xml:space="preserve">(i) </w:t>
      </w:r>
      <w:r w:rsidRPr="009E2BA7">
        <w:rPr>
          <w:rFonts w:ascii="Arial" w:hAnsi="Arial" w:cs="Arial"/>
          <w:i/>
          <w:sz w:val="22"/>
          <w:szCs w:val="22"/>
          <w:u w:val="single"/>
        </w:rPr>
        <w:t>markets</w:t>
      </w:r>
      <w:r w:rsidRPr="009E2BA7">
        <w:rPr>
          <w:rFonts w:ascii="Arial" w:hAnsi="Arial" w:cs="Arial"/>
          <w:i/>
          <w:sz w:val="22"/>
          <w:szCs w:val="22"/>
        </w:rPr>
        <w:t xml:space="preserve"> a product, </w:t>
      </w:r>
      <w:r w:rsidRPr="009E2BA7">
        <w:rPr>
          <w:rFonts w:ascii="Arial" w:hAnsi="Arial" w:cs="Arial"/>
          <w:i/>
          <w:sz w:val="22"/>
          <w:szCs w:val="22"/>
          <w:u w:val="single"/>
        </w:rPr>
        <w:t>communicate</w:t>
      </w:r>
      <w:r>
        <w:rPr>
          <w:rFonts w:ascii="Arial" w:hAnsi="Arial" w:cs="Arial"/>
          <w:i/>
          <w:sz w:val="22"/>
          <w:szCs w:val="22"/>
          <w:u w:val="single"/>
        </w:rPr>
        <w:t>s</w:t>
      </w:r>
      <w:r w:rsidRPr="009E2BA7">
        <w:rPr>
          <w:rFonts w:ascii="Arial" w:hAnsi="Arial" w:cs="Arial"/>
          <w:i/>
          <w:sz w:val="22"/>
          <w:szCs w:val="22"/>
          <w:u w:val="single"/>
        </w:rPr>
        <w:t xml:space="preserve"> </w:t>
      </w:r>
      <w:r>
        <w:rPr>
          <w:rFonts w:ascii="Arial" w:hAnsi="Arial" w:cs="Arial"/>
          <w:i/>
          <w:sz w:val="22"/>
          <w:szCs w:val="22"/>
        </w:rPr>
        <w:t>a statement that is</w:t>
      </w:r>
      <w:r w:rsidRPr="009E2BA7">
        <w:rPr>
          <w:rFonts w:ascii="Arial" w:hAnsi="Arial" w:cs="Arial"/>
          <w:i/>
          <w:sz w:val="22"/>
          <w:szCs w:val="22"/>
        </w:rPr>
        <w:t xml:space="preserve"> likely to induce people as retail clients to acquire the product or make available a product disclosure document for a product; and </w:t>
      </w:r>
    </w:p>
    <w:p w14:paraId="6B86146C" w14:textId="0D5948F0" w:rsidR="005B673B" w:rsidRDefault="005B673B" w:rsidP="00107BFD">
      <w:pPr>
        <w:pStyle w:val="Default"/>
        <w:spacing w:after="0" w:line="360" w:lineRule="auto"/>
        <w:rPr>
          <w:rFonts w:ascii="Arial" w:hAnsi="Arial" w:cs="Arial"/>
          <w:i/>
          <w:sz w:val="22"/>
          <w:szCs w:val="22"/>
        </w:rPr>
      </w:pPr>
      <w:r w:rsidRPr="009E2BA7">
        <w:rPr>
          <w:rFonts w:ascii="Arial" w:hAnsi="Arial" w:cs="Arial"/>
          <w:i/>
          <w:sz w:val="22"/>
          <w:szCs w:val="22"/>
        </w:rPr>
        <w:t>(ii) receive</w:t>
      </w:r>
      <w:r w:rsidR="002059CF">
        <w:rPr>
          <w:rFonts w:ascii="Arial" w:hAnsi="Arial" w:cs="Arial"/>
          <w:i/>
          <w:sz w:val="22"/>
          <w:szCs w:val="22"/>
        </w:rPr>
        <w:t>s</w:t>
      </w:r>
      <w:r w:rsidRPr="009E2BA7">
        <w:rPr>
          <w:rFonts w:ascii="Arial" w:hAnsi="Arial" w:cs="Arial"/>
          <w:i/>
          <w:sz w:val="22"/>
          <w:szCs w:val="22"/>
        </w:rPr>
        <w:t xml:space="preserve"> a benefit from the issuer of the product</w:t>
      </w:r>
      <w:r>
        <w:rPr>
          <w:rFonts w:ascii="Arial" w:hAnsi="Arial" w:cs="Arial"/>
          <w:i/>
          <w:sz w:val="22"/>
          <w:szCs w:val="22"/>
        </w:rPr>
        <w:t xml:space="preserve">, </w:t>
      </w:r>
      <w:r w:rsidRPr="009E2BA7">
        <w:rPr>
          <w:rFonts w:ascii="Arial" w:hAnsi="Arial" w:cs="Arial"/>
          <w:i/>
          <w:sz w:val="22"/>
          <w:szCs w:val="22"/>
          <w:u w:val="single"/>
        </w:rPr>
        <w:t>or the organisation which controls the issuer</w:t>
      </w:r>
      <w:r>
        <w:rPr>
          <w:rFonts w:ascii="Arial" w:hAnsi="Arial" w:cs="Arial"/>
          <w:i/>
          <w:sz w:val="22"/>
          <w:szCs w:val="22"/>
          <w:u w:val="single"/>
        </w:rPr>
        <w:t>,</w:t>
      </w:r>
      <w:r>
        <w:rPr>
          <w:rFonts w:ascii="Arial" w:hAnsi="Arial" w:cs="Arial"/>
          <w:i/>
          <w:sz w:val="22"/>
          <w:szCs w:val="22"/>
        </w:rPr>
        <w:t xml:space="preserve"> </w:t>
      </w:r>
      <w:r w:rsidRPr="009E2BA7">
        <w:rPr>
          <w:rFonts w:ascii="Arial" w:hAnsi="Arial" w:cs="Arial"/>
          <w:i/>
          <w:sz w:val="22"/>
          <w:szCs w:val="22"/>
          <w:u w:val="single"/>
        </w:rPr>
        <w:t>or other distributors</w:t>
      </w:r>
      <w:r>
        <w:rPr>
          <w:rFonts w:ascii="Arial" w:hAnsi="Arial" w:cs="Arial"/>
          <w:i/>
          <w:sz w:val="22"/>
          <w:szCs w:val="22"/>
          <w:u w:val="single"/>
        </w:rPr>
        <w:t xml:space="preserve"> of the product, </w:t>
      </w:r>
      <w:r w:rsidRPr="009E2BA7">
        <w:rPr>
          <w:rFonts w:ascii="Arial" w:hAnsi="Arial" w:cs="Arial"/>
          <w:i/>
          <w:sz w:val="22"/>
          <w:szCs w:val="22"/>
        </w:rPr>
        <w:t xml:space="preserve">for engaging in the conduct referred to in (i) or for the issue of the product arising from that conduct (if the entity is not the issuer). </w:t>
      </w:r>
    </w:p>
    <w:p w14:paraId="354FD4C3" w14:textId="77777777" w:rsidR="002059CF" w:rsidRDefault="002059CF" w:rsidP="00107BFD">
      <w:pPr>
        <w:pStyle w:val="Default"/>
        <w:spacing w:after="0" w:line="360" w:lineRule="auto"/>
        <w:rPr>
          <w:rFonts w:ascii="Arial" w:hAnsi="Arial" w:cs="Arial"/>
          <w:i/>
          <w:sz w:val="22"/>
          <w:szCs w:val="22"/>
        </w:rPr>
      </w:pPr>
    </w:p>
    <w:p w14:paraId="11CA6BCC" w14:textId="77777777"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The word ‘advertise’ should</w:t>
      </w:r>
      <w:r w:rsidRPr="00DB63C6">
        <w:rPr>
          <w:rFonts w:ascii="Arial" w:hAnsi="Arial" w:cs="Arial"/>
          <w:i/>
          <w:sz w:val="22"/>
          <w:szCs w:val="22"/>
        </w:rPr>
        <w:t xml:space="preserve"> be replaced with the word ‘market</w:t>
      </w:r>
      <w:r>
        <w:rPr>
          <w:rFonts w:ascii="Arial" w:hAnsi="Arial" w:cs="Arial"/>
          <w:i/>
          <w:sz w:val="22"/>
          <w:szCs w:val="22"/>
        </w:rPr>
        <w:t>s</w:t>
      </w:r>
      <w:r w:rsidRPr="00DB63C6">
        <w:rPr>
          <w:rFonts w:ascii="Arial" w:hAnsi="Arial" w:cs="Arial"/>
          <w:i/>
          <w:sz w:val="22"/>
          <w:szCs w:val="22"/>
        </w:rPr>
        <w:t xml:space="preserve">’. Advertising represents one aspect of marketing. A marketing strategy is more </w:t>
      </w:r>
      <w:r>
        <w:rPr>
          <w:rFonts w:ascii="Arial" w:hAnsi="Arial" w:cs="Arial"/>
          <w:i/>
          <w:sz w:val="22"/>
          <w:szCs w:val="22"/>
        </w:rPr>
        <w:t>penetrating than just advertising when</w:t>
      </w:r>
      <w:r w:rsidRPr="00DB63C6">
        <w:rPr>
          <w:rFonts w:ascii="Arial" w:hAnsi="Arial" w:cs="Arial"/>
          <w:i/>
          <w:sz w:val="22"/>
          <w:szCs w:val="22"/>
        </w:rPr>
        <w:t xml:space="preserve"> reaching out to retail clients.</w:t>
      </w:r>
      <w:r>
        <w:rPr>
          <w:rFonts w:ascii="Arial" w:hAnsi="Arial" w:cs="Arial"/>
          <w:i/>
          <w:sz w:val="22"/>
          <w:szCs w:val="22"/>
        </w:rPr>
        <w:t xml:space="preserve"> </w:t>
      </w:r>
    </w:p>
    <w:p w14:paraId="52A211CF" w14:textId="77777777" w:rsidR="002059CF" w:rsidRDefault="002059CF" w:rsidP="00107BFD">
      <w:pPr>
        <w:pStyle w:val="Default"/>
        <w:spacing w:after="0" w:line="360" w:lineRule="auto"/>
        <w:rPr>
          <w:rFonts w:ascii="Arial" w:hAnsi="Arial" w:cs="Arial"/>
          <w:i/>
          <w:sz w:val="22"/>
          <w:szCs w:val="22"/>
        </w:rPr>
      </w:pPr>
    </w:p>
    <w:p w14:paraId="1D962EA1" w14:textId="77777777" w:rsidR="005B673B" w:rsidRPr="00DB63C6" w:rsidRDefault="005B673B" w:rsidP="00107BFD">
      <w:pPr>
        <w:pStyle w:val="Default"/>
        <w:spacing w:after="0" w:line="360" w:lineRule="auto"/>
        <w:rPr>
          <w:rFonts w:ascii="Arial" w:hAnsi="Arial" w:cs="Arial"/>
          <w:i/>
          <w:sz w:val="22"/>
          <w:szCs w:val="22"/>
        </w:rPr>
      </w:pPr>
      <w:r w:rsidRPr="00DB63C6">
        <w:rPr>
          <w:rFonts w:ascii="Arial" w:hAnsi="Arial" w:cs="Arial"/>
          <w:i/>
          <w:sz w:val="22"/>
          <w:szCs w:val="22"/>
        </w:rPr>
        <w:t xml:space="preserve">The word ‘publish’ </w:t>
      </w:r>
      <w:r>
        <w:rPr>
          <w:rFonts w:ascii="Arial" w:hAnsi="Arial" w:cs="Arial"/>
          <w:i/>
          <w:sz w:val="22"/>
          <w:szCs w:val="22"/>
        </w:rPr>
        <w:t>should be</w:t>
      </w:r>
      <w:r w:rsidRPr="00DB63C6">
        <w:rPr>
          <w:rFonts w:ascii="Arial" w:hAnsi="Arial" w:cs="Arial"/>
          <w:i/>
          <w:sz w:val="22"/>
          <w:szCs w:val="22"/>
        </w:rPr>
        <w:t xml:space="preserve"> repla</w:t>
      </w:r>
      <w:r>
        <w:rPr>
          <w:rFonts w:ascii="Arial" w:hAnsi="Arial" w:cs="Arial"/>
          <w:i/>
          <w:sz w:val="22"/>
          <w:szCs w:val="22"/>
        </w:rPr>
        <w:t xml:space="preserve">ced with the word ‘communicate’.  This </w:t>
      </w:r>
      <w:r w:rsidRPr="00DB63C6">
        <w:rPr>
          <w:rFonts w:ascii="Arial" w:hAnsi="Arial" w:cs="Arial"/>
          <w:i/>
          <w:sz w:val="22"/>
          <w:szCs w:val="22"/>
        </w:rPr>
        <w:t>capture</w:t>
      </w:r>
      <w:r>
        <w:rPr>
          <w:rFonts w:ascii="Arial" w:hAnsi="Arial" w:cs="Arial"/>
          <w:i/>
          <w:sz w:val="22"/>
          <w:szCs w:val="22"/>
        </w:rPr>
        <w:t>s</w:t>
      </w:r>
      <w:r w:rsidRPr="00DB63C6">
        <w:rPr>
          <w:rFonts w:ascii="Arial" w:hAnsi="Arial" w:cs="Arial"/>
          <w:i/>
          <w:sz w:val="22"/>
          <w:szCs w:val="22"/>
        </w:rPr>
        <w:t xml:space="preserve"> </w:t>
      </w:r>
      <w:r>
        <w:rPr>
          <w:rFonts w:ascii="Arial" w:hAnsi="Arial" w:cs="Arial"/>
          <w:i/>
          <w:sz w:val="22"/>
          <w:szCs w:val="22"/>
        </w:rPr>
        <w:t xml:space="preserve">all statements, including social media </w:t>
      </w:r>
      <w:r w:rsidRPr="00DB63C6">
        <w:rPr>
          <w:rFonts w:ascii="Arial" w:hAnsi="Arial" w:cs="Arial"/>
          <w:i/>
          <w:sz w:val="22"/>
          <w:szCs w:val="22"/>
        </w:rPr>
        <w:t>statements</w:t>
      </w:r>
      <w:r>
        <w:rPr>
          <w:rFonts w:ascii="Arial" w:hAnsi="Arial" w:cs="Arial"/>
          <w:i/>
          <w:sz w:val="22"/>
          <w:szCs w:val="22"/>
        </w:rPr>
        <w:t xml:space="preserve"> </w:t>
      </w:r>
      <w:r w:rsidRPr="00DB63C6">
        <w:rPr>
          <w:rFonts w:ascii="Arial" w:hAnsi="Arial" w:cs="Arial"/>
          <w:i/>
          <w:sz w:val="22"/>
          <w:szCs w:val="22"/>
        </w:rPr>
        <w:t>made by distributors to retail clients.</w:t>
      </w:r>
      <w:r>
        <w:rPr>
          <w:rFonts w:ascii="Arial" w:hAnsi="Arial" w:cs="Arial"/>
          <w:i/>
          <w:sz w:val="22"/>
          <w:szCs w:val="22"/>
        </w:rPr>
        <w:t xml:space="preserve"> This is consistent with ASIC current practice (refer to ASIC Media Release 16-315MR).</w:t>
      </w:r>
    </w:p>
    <w:p w14:paraId="25878ED6" w14:textId="77777777"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The words ‘</w:t>
      </w:r>
      <w:r w:rsidRPr="00824721">
        <w:rPr>
          <w:rFonts w:ascii="Arial" w:hAnsi="Arial" w:cs="Arial"/>
          <w:i/>
          <w:sz w:val="22"/>
          <w:szCs w:val="22"/>
        </w:rPr>
        <w:t>or the organisation which controls the issuer’</w:t>
      </w:r>
      <w:r>
        <w:rPr>
          <w:rFonts w:ascii="Arial" w:hAnsi="Arial" w:cs="Arial"/>
          <w:i/>
          <w:sz w:val="22"/>
          <w:szCs w:val="22"/>
          <w:u w:val="single"/>
        </w:rPr>
        <w:t xml:space="preserve"> </w:t>
      </w:r>
      <w:r w:rsidRPr="00824721">
        <w:rPr>
          <w:rFonts w:ascii="Arial" w:hAnsi="Arial" w:cs="Arial"/>
          <w:i/>
          <w:sz w:val="22"/>
          <w:szCs w:val="22"/>
        </w:rPr>
        <w:t xml:space="preserve">have been included </w:t>
      </w:r>
      <w:r>
        <w:rPr>
          <w:rFonts w:ascii="Arial" w:hAnsi="Arial" w:cs="Arial"/>
          <w:i/>
          <w:sz w:val="22"/>
          <w:szCs w:val="22"/>
        </w:rPr>
        <w:t xml:space="preserve">to take into account contractual arrangements between the distributor and the controlling entity which may not be the issuer. </w:t>
      </w:r>
      <w:r w:rsidRPr="00D93593">
        <w:rPr>
          <w:rFonts w:ascii="Arial" w:hAnsi="Arial" w:cs="Arial"/>
          <w:i/>
          <w:sz w:val="22"/>
          <w:szCs w:val="22"/>
        </w:rPr>
        <w:t xml:space="preserve">The </w:t>
      </w:r>
      <w:r>
        <w:rPr>
          <w:rFonts w:ascii="Arial" w:hAnsi="Arial" w:cs="Arial"/>
          <w:i/>
          <w:sz w:val="22"/>
          <w:szCs w:val="22"/>
        </w:rPr>
        <w:t xml:space="preserve">Proposal illustrates examples of issuer and distributor relationships in ‘Diagram 2: Issuer and Distributor’. Diagram A in the Proposal illustrates the issuer and distributor relationship when both entities are part of the same organisation. Diagram A suggests that the consumer may not be aware that (i) the product has been issued by the financial organisation which controls the issuer and (ii) there is an organisational relationship between the issuer and distributor. Legislative reforms should require sufficient disclosures by issuers and distributors to inform the consumer about who ultimately controls product issue and distribution. This form of disclosure is </w:t>
      </w:r>
      <w:r w:rsidRPr="00900201">
        <w:rPr>
          <w:rFonts w:ascii="Arial" w:hAnsi="Arial" w:cs="Arial"/>
          <w:i/>
          <w:sz w:val="22"/>
          <w:szCs w:val="22"/>
        </w:rPr>
        <w:t>similar to</w:t>
      </w:r>
      <w:r>
        <w:rPr>
          <w:rFonts w:ascii="Arial" w:hAnsi="Arial" w:cs="Arial"/>
          <w:i/>
          <w:sz w:val="22"/>
          <w:szCs w:val="22"/>
        </w:rPr>
        <w:t xml:space="preserve"> reporting disclosures required by AASB 10 Consolidated Financial Statements</w:t>
      </w:r>
      <w:r>
        <w:rPr>
          <w:rStyle w:val="FootnoteReference"/>
          <w:rFonts w:ascii="Arial" w:hAnsi="Arial" w:cs="Arial"/>
          <w:i/>
          <w:sz w:val="22"/>
          <w:szCs w:val="22"/>
        </w:rPr>
        <w:footnoteReference w:id="3"/>
      </w:r>
      <w:r>
        <w:rPr>
          <w:rFonts w:ascii="Arial" w:hAnsi="Arial" w:cs="Arial"/>
          <w:i/>
          <w:sz w:val="22"/>
          <w:szCs w:val="22"/>
        </w:rPr>
        <w:t xml:space="preserve">. Disclosure of the controlling financial organisation entity supports the Government’s aims of empowering consumers through disclosure and supplements disclosure by making issuers and distributors accountable as identified by the Proposal (refer p3). Diagram 1 shows a revision of Diagram A to illustrate the issuer and distributor relationship under the common control of a financial organisation entity. </w:t>
      </w:r>
    </w:p>
    <w:p w14:paraId="0637E09B" w14:textId="77777777" w:rsidR="00353CDE" w:rsidRDefault="00353CDE" w:rsidP="00107BFD">
      <w:pPr>
        <w:pStyle w:val="Default"/>
        <w:spacing w:after="0" w:line="360" w:lineRule="auto"/>
        <w:jc w:val="center"/>
        <w:rPr>
          <w:rFonts w:ascii="Arial" w:hAnsi="Arial" w:cs="Arial"/>
          <w:b/>
          <w:sz w:val="20"/>
          <w:szCs w:val="20"/>
        </w:rPr>
      </w:pPr>
    </w:p>
    <w:p w14:paraId="20451DB4" w14:textId="77777777" w:rsidR="005B673B" w:rsidRPr="00405125" w:rsidRDefault="005B673B" w:rsidP="00107BFD">
      <w:pPr>
        <w:pStyle w:val="Default"/>
        <w:spacing w:after="0" w:line="360" w:lineRule="auto"/>
        <w:jc w:val="center"/>
        <w:rPr>
          <w:rFonts w:ascii="Arial" w:hAnsi="Arial" w:cs="Arial"/>
          <w:b/>
          <w:sz w:val="20"/>
          <w:szCs w:val="20"/>
        </w:rPr>
      </w:pPr>
      <w:r w:rsidRPr="00405125">
        <w:rPr>
          <w:rFonts w:ascii="Arial" w:hAnsi="Arial" w:cs="Arial"/>
          <w:b/>
          <w:sz w:val="20"/>
          <w:szCs w:val="20"/>
        </w:rPr>
        <w:t xml:space="preserve">Diagram 1: </w:t>
      </w:r>
      <w:r>
        <w:rPr>
          <w:rFonts w:ascii="Arial" w:hAnsi="Arial" w:cs="Arial"/>
          <w:b/>
          <w:sz w:val="20"/>
          <w:szCs w:val="20"/>
        </w:rPr>
        <w:t>Revised Diagram A</w:t>
      </w:r>
    </w:p>
    <w:p w14:paraId="1691429B" w14:textId="77777777" w:rsidR="005B673B" w:rsidRDefault="005B673B" w:rsidP="00107BFD">
      <w:pPr>
        <w:pStyle w:val="Default"/>
        <w:spacing w:after="0" w:line="360" w:lineRule="auto"/>
        <w:jc w:val="center"/>
        <w:rPr>
          <w:rFonts w:ascii="Arial" w:hAnsi="Arial" w:cs="Arial"/>
          <w:sz w:val="22"/>
          <w:szCs w:val="22"/>
        </w:rPr>
      </w:pPr>
      <w:r w:rsidRPr="00EE6EDA">
        <w:rPr>
          <w:noProof/>
          <w:lang w:eastAsia="en-AU"/>
        </w:rPr>
        <w:drawing>
          <wp:inline distT="0" distB="0" distL="0" distR="0" wp14:anchorId="1E5329CD" wp14:editId="77776FAA">
            <wp:extent cx="2398162" cy="240924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7988" cy="2409071"/>
                    </a:xfrm>
                    <a:prstGeom prst="rect">
                      <a:avLst/>
                    </a:prstGeom>
                    <a:noFill/>
                    <a:ln>
                      <a:noFill/>
                    </a:ln>
                  </pic:spPr>
                </pic:pic>
              </a:graphicData>
            </a:graphic>
          </wp:inline>
        </w:drawing>
      </w:r>
    </w:p>
    <w:p w14:paraId="5DB50155" w14:textId="77777777" w:rsidR="005B673B" w:rsidRDefault="005B673B" w:rsidP="00107BFD">
      <w:pPr>
        <w:pStyle w:val="Default"/>
        <w:spacing w:after="0" w:line="360" w:lineRule="auto"/>
        <w:rPr>
          <w:rFonts w:ascii="Arial" w:hAnsi="Arial" w:cs="Arial"/>
          <w:i/>
          <w:sz w:val="22"/>
          <w:szCs w:val="22"/>
        </w:rPr>
      </w:pPr>
    </w:p>
    <w:p w14:paraId="04010F98" w14:textId="77777777"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 xml:space="preserve">The words </w:t>
      </w:r>
      <w:r w:rsidRPr="00824721">
        <w:rPr>
          <w:rFonts w:ascii="Arial" w:hAnsi="Arial" w:cs="Arial"/>
          <w:i/>
          <w:sz w:val="22"/>
          <w:szCs w:val="22"/>
        </w:rPr>
        <w:t>‘or other distributors’</w:t>
      </w:r>
      <w:r>
        <w:rPr>
          <w:rFonts w:ascii="Arial" w:hAnsi="Arial" w:cs="Arial"/>
          <w:i/>
          <w:sz w:val="22"/>
          <w:szCs w:val="22"/>
        </w:rPr>
        <w:t xml:space="preserve"> have been included in the definition of ‘distributor’ to consider cross-distribution arrangements which can coexist between distributors. The issue of cross-distribution has been identified by ASIC as an emerging issue resulting from financial product innovation and complexity</w:t>
      </w:r>
      <w:r>
        <w:rPr>
          <w:rStyle w:val="FootnoteReference"/>
          <w:rFonts w:ascii="Arial" w:hAnsi="Arial" w:cs="Arial"/>
          <w:i/>
          <w:sz w:val="22"/>
          <w:szCs w:val="22"/>
        </w:rPr>
        <w:footnoteReference w:id="4"/>
      </w:r>
      <w:r>
        <w:rPr>
          <w:rFonts w:ascii="Arial" w:hAnsi="Arial" w:cs="Arial"/>
          <w:i/>
          <w:sz w:val="22"/>
          <w:szCs w:val="22"/>
        </w:rPr>
        <w:t xml:space="preserve">. Cross-distribution can allow issuers to distribute their products in target markets which may not suit the products. The Government should address cross-distribution arrangements to ensure that these arrangements, if permitted, do not breach the proposed product design and distribution obligations. </w:t>
      </w:r>
    </w:p>
    <w:p w14:paraId="0BCED9A2" w14:textId="77777777" w:rsidR="00107BFD" w:rsidRDefault="00107BFD" w:rsidP="00107BFD">
      <w:pPr>
        <w:pStyle w:val="Default"/>
        <w:spacing w:after="0" w:line="360" w:lineRule="auto"/>
        <w:rPr>
          <w:rFonts w:ascii="Arial" w:hAnsi="Arial" w:cs="Arial"/>
          <w:i/>
          <w:sz w:val="22"/>
          <w:szCs w:val="22"/>
        </w:rPr>
      </w:pPr>
    </w:p>
    <w:p w14:paraId="37BFFB68" w14:textId="77777777" w:rsidR="005B673B" w:rsidRPr="00D93593" w:rsidRDefault="005B673B" w:rsidP="00107BFD">
      <w:pPr>
        <w:pStyle w:val="Default"/>
        <w:spacing w:after="0" w:line="360" w:lineRule="auto"/>
        <w:rPr>
          <w:rFonts w:ascii="Arial" w:hAnsi="Arial" w:cs="Arial"/>
          <w:i/>
          <w:sz w:val="22"/>
          <w:szCs w:val="22"/>
        </w:rPr>
      </w:pPr>
      <w:r>
        <w:rPr>
          <w:rFonts w:ascii="Arial" w:hAnsi="Arial" w:cs="Arial"/>
          <w:i/>
          <w:sz w:val="22"/>
          <w:szCs w:val="22"/>
        </w:rPr>
        <w:t xml:space="preserve">Diagram 2 below illustrates cross-distribution arrangement of Product A and Product B between Distributor 2 and Distributor 3. The Proposals should consider whether issuers should restrict distributors from sub-licencing or ‘sharing’ their distribution agreements with distributors of other issuers. </w:t>
      </w:r>
    </w:p>
    <w:p w14:paraId="7426499F" w14:textId="77777777" w:rsidR="005B673B" w:rsidRDefault="005B673B" w:rsidP="00107BFD">
      <w:pPr>
        <w:pStyle w:val="Default"/>
        <w:spacing w:after="0" w:line="360" w:lineRule="auto"/>
        <w:jc w:val="center"/>
        <w:rPr>
          <w:rFonts w:ascii="Arial" w:hAnsi="Arial" w:cs="Arial"/>
          <w:b/>
          <w:sz w:val="20"/>
          <w:szCs w:val="20"/>
        </w:rPr>
      </w:pPr>
      <w:r w:rsidRPr="00405125">
        <w:rPr>
          <w:rFonts w:ascii="Arial" w:hAnsi="Arial" w:cs="Arial"/>
          <w:b/>
          <w:sz w:val="20"/>
          <w:szCs w:val="20"/>
        </w:rPr>
        <w:t xml:space="preserve">Diagram </w:t>
      </w:r>
      <w:r>
        <w:rPr>
          <w:rFonts w:ascii="Arial" w:hAnsi="Arial" w:cs="Arial"/>
          <w:b/>
          <w:sz w:val="20"/>
          <w:szCs w:val="20"/>
        </w:rPr>
        <w:t>2</w:t>
      </w:r>
      <w:r w:rsidRPr="00405125">
        <w:rPr>
          <w:rFonts w:ascii="Arial" w:hAnsi="Arial" w:cs="Arial"/>
          <w:b/>
          <w:sz w:val="20"/>
          <w:szCs w:val="20"/>
        </w:rPr>
        <w:t xml:space="preserve">: </w:t>
      </w:r>
      <w:r>
        <w:rPr>
          <w:rFonts w:ascii="Arial" w:hAnsi="Arial" w:cs="Arial"/>
          <w:b/>
          <w:sz w:val="20"/>
          <w:szCs w:val="20"/>
        </w:rPr>
        <w:t>Cross-distribution arrangement</w:t>
      </w:r>
    </w:p>
    <w:p w14:paraId="2E920B4A" w14:textId="77777777" w:rsidR="002059CF" w:rsidRPr="00405125" w:rsidRDefault="002059CF" w:rsidP="00107BFD">
      <w:pPr>
        <w:pStyle w:val="Default"/>
        <w:spacing w:after="0" w:line="360" w:lineRule="auto"/>
        <w:jc w:val="center"/>
        <w:rPr>
          <w:rFonts w:ascii="Arial" w:hAnsi="Arial" w:cs="Arial"/>
          <w:b/>
          <w:sz w:val="20"/>
          <w:szCs w:val="20"/>
        </w:rPr>
      </w:pPr>
    </w:p>
    <w:p w14:paraId="7BE3452E" w14:textId="77777777" w:rsidR="005B673B" w:rsidRDefault="005B673B" w:rsidP="00107BFD">
      <w:pPr>
        <w:pStyle w:val="Default"/>
        <w:spacing w:after="0" w:line="360" w:lineRule="auto"/>
        <w:jc w:val="center"/>
        <w:rPr>
          <w:rFonts w:ascii="Arial" w:hAnsi="Arial" w:cs="Arial"/>
          <w:sz w:val="22"/>
          <w:szCs w:val="22"/>
        </w:rPr>
      </w:pPr>
      <w:r w:rsidRPr="00992703">
        <w:rPr>
          <w:noProof/>
          <w:lang w:eastAsia="en-AU"/>
        </w:rPr>
        <w:drawing>
          <wp:inline distT="0" distB="0" distL="0" distR="0" wp14:anchorId="3C03D6ED" wp14:editId="7A5919D6">
            <wp:extent cx="5282609" cy="18158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4801" cy="1816635"/>
                    </a:xfrm>
                    <a:prstGeom prst="rect">
                      <a:avLst/>
                    </a:prstGeom>
                    <a:noFill/>
                    <a:ln>
                      <a:noFill/>
                    </a:ln>
                  </pic:spPr>
                </pic:pic>
              </a:graphicData>
            </a:graphic>
          </wp:inline>
        </w:drawing>
      </w:r>
    </w:p>
    <w:p w14:paraId="197FD241" w14:textId="77777777" w:rsidR="00107BFD" w:rsidRDefault="00107BFD" w:rsidP="00107BFD">
      <w:pPr>
        <w:pStyle w:val="Default"/>
        <w:spacing w:after="0" w:line="360" w:lineRule="auto"/>
        <w:jc w:val="center"/>
        <w:rPr>
          <w:rFonts w:ascii="Arial" w:hAnsi="Arial" w:cs="Arial"/>
          <w:sz w:val="22"/>
          <w:szCs w:val="22"/>
        </w:rPr>
      </w:pPr>
    </w:p>
    <w:p w14:paraId="1BCFF22E"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7. Are there any situations where an entity (other than the issuer) should be included in the definition of distributor if it engages in the conduct in limb (i) but does not receive a benefit from the issuer? </w:t>
      </w:r>
    </w:p>
    <w:p w14:paraId="138A9DB0" w14:textId="77777777" w:rsidR="005B673B" w:rsidRDefault="005B673B" w:rsidP="00107BFD">
      <w:pPr>
        <w:pStyle w:val="Default"/>
        <w:spacing w:after="0" w:line="360" w:lineRule="auto"/>
        <w:rPr>
          <w:rFonts w:ascii="Arial" w:hAnsi="Arial" w:cs="Arial"/>
          <w:sz w:val="22"/>
          <w:szCs w:val="22"/>
        </w:rPr>
      </w:pPr>
    </w:p>
    <w:p w14:paraId="47D02DA6" w14:textId="6A2E9D10" w:rsidR="005B673B" w:rsidRPr="00F325E9" w:rsidRDefault="005B673B" w:rsidP="00107BFD">
      <w:pPr>
        <w:pStyle w:val="Default"/>
        <w:spacing w:after="0" w:line="360" w:lineRule="auto"/>
        <w:rPr>
          <w:rFonts w:ascii="Arial" w:hAnsi="Arial" w:cs="Arial"/>
          <w:i/>
          <w:sz w:val="22"/>
          <w:szCs w:val="22"/>
        </w:rPr>
      </w:pPr>
      <w:r w:rsidRPr="00F3556B">
        <w:rPr>
          <w:rFonts w:ascii="Arial" w:hAnsi="Arial" w:cs="Arial"/>
          <w:i/>
          <w:sz w:val="22"/>
          <w:szCs w:val="22"/>
        </w:rPr>
        <w:t xml:space="preserve">Response: </w:t>
      </w:r>
      <w:r>
        <w:rPr>
          <w:rFonts w:ascii="Arial" w:hAnsi="Arial" w:cs="Arial"/>
          <w:i/>
          <w:sz w:val="22"/>
          <w:szCs w:val="22"/>
        </w:rPr>
        <w:t>Communications between professional advisers such as accountants and their clients can often lead to general</w:t>
      </w:r>
      <w:r w:rsidR="001B60C2">
        <w:rPr>
          <w:rFonts w:ascii="Arial" w:hAnsi="Arial" w:cs="Arial"/>
          <w:i/>
          <w:sz w:val="22"/>
          <w:szCs w:val="22"/>
        </w:rPr>
        <w:t>, factual</w:t>
      </w:r>
      <w:r>
        <w:rPr>
          <w:rFonts w:ascii="Arial" w:hAnsi="Arial" w:cs="Arial"/>
          <w:i/>
          <w:sz w:val="22"/>
          <w:szCs w:val="22"/>
        </w:rPr>
        <w:t xml:space="preserve"> discussions about the nature of financial products circulating </w:t>
      </w:r>
      <w:r w:rsidR="001B60C2">
        <w:rPr>
          <w:rFonts w:ascii="Arial" w:hAnsi="Arial" w:cs="Arial"/>
          <w:i/>
          <w:sz w:val="22"/>
          <w:szCs w:val="22"/>
        </w:rPr>
        <w:t xml:space="preserve">in </w:t>
      </w:r>
      <w:r>
        <w:rPr>
          <w:rFonts w:ascii="Arial" w:hAnsi="Arial" w:cs="Arial"/>
          <w:i/>
          <w:sz w:val="22"/>
          <w:szCs w:val="22"/>
        </w:rPr>
        <w:t xml:space="preserve">the market. The client </w:t>
      </w:r>
      <w:r w:rsidR="001B60C2">
        <w:rPr>
          <w:rFonts w:ascii="Arial" w:hAnsi="Arial" w:cs="Arial"/>
          <w:i/>
          <w:sz w:val="22"/>
          <w:szCs w:val="22"/>
        </w:rPr>
        <w:t>may</w:t>
      </w:r>
      <w:r w:rsidRPr="00F325E9">
        <w:rPr>
          <w:rFonts w:ascii="Arial" w:hAnsi="Arial" w:cs="Arial"/>
          <w:i/>
          <w:sz w:val="22"/>
          <w:szCs w:val="22"/>
        </w:rPr>
        <w:t xml:space="preserve"> acquire the financial product </w:t>
      </w:r>
      <w:r>
        <w:rPr>
          <w:rFonts w:ascii="Arial" w:hAnsi="Arial" w:cs="Arial"/>
          <w:i/>
          <w:sz w:val="22"/>
          <w:szCs w:val="22"/>
        </w:rPr>
        <w:t>albeit no advice has been provided</w:t>
      </w:r>
      <w:r w:rsidRPr="00F325E9">
        <w:rPr>
          <w:rFonts w:ascii="Arial" w:hAnsi="Arial" w:cs="Arial"/>
          <w:i/>
          <w:sz w:val="22"/>
          <w:szCs w:val="22"/>
        </w:rPr>
        <w:t xml:space="preserve">. In this case, </w:t>
      </w:r>
      <w:r w:rsidR="00DA6EC8">
        <w:rPr>
          <w:rFonts w:ascii="Arial" w:hAnsi="Arial" w:cs="Arial"/>
          <w:i/>
          <w:sz w:val="22"/>
          <w:szCs w:val="22"/>
        </w:rPr>
        <w:t>the accountant i</w:t>
      </w:r>
      <w:r w:rsidRPr="00F325E9">
        <w:rPr>
          <w:rFonts w:ascii="Arial" w:hAnsi="Arial" w:cs="Arial"/>
          <w:i/>
          <w:sz w:val="22"/>
          <w:szCs w:val="22"/>
        </w:rPr>
        <w:t xml:space="preserve">s not likely to receive a benefit from the issuer when the customer </w:t>
      </w:r>
      <w:r>
        <w:rPr>
          <w:rFonts w:ascii="Arial" w:hAnsi="Arial" w:cs="Arial"/>
          <w:i/>
          <w:sz w:val="22"/>
          <w:szCs w:val="22"/>
        </w:rPr>
        <w:t>directly acquires the financial product</w:t>
      </w:r>
      <w:r w:rsidRPr="00F325E9">
        <w:rPr>
          <w:rFonts w:ascii="Arial" w:hAnsi="Arial" w:cs="Arial"/>
          <w:i/>
          <w:sz w:val="22"/>
          <w:szCs w:val="22"/>
        </w:rPr>
        <w:t xml:space="preserve">. </w:t>
      </w:r>
    </w:p>
    <w:p w14:paraId="358E40F4" w14:textId="77777777" w:rsidR="005B673B" w:rsidRPr="00FB7579" w:rsidRDefault="005B673B" w:rsidP="00107BFD">
      <w:pPr>
        <w:pStyle w:val="Default"/>
        <w:spacing w:after="0" w:line="360" w:lineRule="auto"/>
        <w:rPr>
          <w:rFonts w:ascii="Arial" w:hAnsi="Arial" w:cs="Arial"/>
          <w:sz w:val="22"/>
          <w:szCs w:val="22"/>
        </w:rPr>
      </w:pPr>
    </w:p>
    <w:p w14:paraId="2D5EA84F"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8. Do you agree with excluding personal financial product advisers from the obligations placed on distributors? If not, please explain why with relevant examples. Are there any other entities that you consider should be excluded from the definition of distributor? </w:t>
      </w:r>
    </w:p>
    <w:p w14:paraId="236BA61C" w14:textId="77777777" w:rsidR="005B673B" w:rsidRDefault="005B673B" w:rsidP="00107BFD">
      <w:pPr>
        <w:pStyle w:val="Default"/>
        <w:spacing w:after="0" w:line="360" w:lineRule="auto"/>
        <w:rPr>
          <w:rFonts w:ascii="Arial" w:hAnsi="Arial" w:cs="Arial"/>
          <w:sz w:val="22"/>
          <w:szCs w:val="22"/>
        </w:rPr>
      </w:pPr>
    </w:p>
    <w:p w14:paraId="15F29220" w14:textId="232BA93E" w:rsidR="005B673B" w:rsidRDefault="005B673B" w:rsidP="00107BFD">
      <w:pPr>
        <w:pStyle w:val="Default"/>
        <w:spacing w:after="0" w:line="360" w:lineRule="auto"/>
        <w:rPr>
          <w:rFonts w:ascii="Arial" w:hAnsi="Arial" w:cs="Arial"/>
          <w:i/>
          <w:sz w:val="22"/>
          <w:szCs w:val="22"/>
        </w:rPr>
      </w:pPr>
      <w:r w:rsidRPr="003519BC">
        <w:rPr>
          <w:rFonts w:ascii="Arial" w:hAnsi="Arial" w:cs="Arial"/>
          <w:i/>
          <w:sz w:val="22"/>
          <w:szCs w:val="22"/>
        </w:rPr>
        <w:t>Response:</w:t>
      </w:r>
      <w:r>
        <w:rPr>
          <w:rFonts w:ascii="Arial" w:hAnsi="Arial" w:cs="Arial"/>
          <w:i/>
          <w:sz w:val="22"/>
          <w:szCs w:val="22"/>
        </w:rPr>
        <w:t xml:space="preserve"> We support the intent of the reform proposals and agree with the exclusion of personal financial product advisors from the obligations placed on distributors since there are already substantial consumer protections in place. Accountants operating in the SME sector should also be excluded from the definition of distributor. </w:t>
      </w:r>
    </w:p>
    <w:p w14:paraId="57B1B625" w14:textId="77777777" w:rsidR="00107BFD" w:rsidRDefault="00107BFD" w:rsidP="00107BFD">
      <w:pPr>
        <w:pStyle w:val="Default"/>
        <w:spacing w:after="0" w:line="360" w:lineRule="auto"/>
        <w:rPr>
          <w:rFonts w:ascii="Arial" w:hAnsi="Arial" w:cs="Arial"/>
          <w:i/>
          <w:sz w:val="22"/>
          <w:szCs w:val="22"/>
        </w:rPr>
      </w:pPr>
    </w:p>
    <w:p w14:paraId="176943AC"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9. Do you agree with the obligations applying to both licensed and unlicensed product issuers and distributors? If they do apply to unlicensed issuers and distributors, are there any unlicensed entities that should be excluded from the obligations (for example, entities covered by the regulatory sandbox exemption)? Who should be empowered to grant exemptions and in what circumstances? </w:t>
      </w:r>
    </w:p>
    <w:p w14:paraId="44499303" w14:textId="77777777" w:rsidR="005B673B" w:rsidRDefault="005B673B" w:rsidP="00107BFD">
      <w:pPr>
        <w:pStyle w:val="Default"/>
        <w:spacing w:after="0" w:line="360" w:lineRule="auto"/>
        <w:rPr>
          <w:rFonts w:ascii="Arial" w:hAnsi="Arial" w:cs="Arial"/>
          <w:sz w:val="22"/>
          <w:szCs w:val="22"/>
        </w:rPr>
      </w:pPr>
    </w:p>
    <w:p w14:paraId="5599B3DA" w14:textId="278B3480" w:rsidR="005B673B" w:rsidRPr="003519BC" w:rsidRDefault="005B673B" w:rsidP="00107BFD">
      <w:pPr>
        <w:pStyle w:val="Default"/>
        <w:spacing w:after="0" w:line="360" w:lineRule="auto"/>
        <w:rPr>
          <w:rFonts w:ascii="Arial" w:hAnsi="Arial" w:cs="Arial"/>
          <w:sz w:val="22"/>
          <w:szCs w:val="22"/>
        </w:rPr>
      </w:pPr>
      <w:r w:rsidRPr="003519BC">
        <w:rPr>
          <w:rFonts w:ascii="Arial" w:hAnsi="Arial" w:cs="Arial"/>
          <w:i/>
          <w:sz w:val="22"/>
          <w:szCs w:val="22"/>
        </w:rPr>
        <w:t>Response</w:t>
      </w:r>
      <w:r>
        <w:rPr>
          <w:rFonts w:ascii="Arial" w:hAnsi="Arial" w:cs="Arial"/>
          <w:i/>
          <w:sz w:val="22"/>
          <w:szCs w:val="22"/>
        </w:rPr>
        <w:t>: Yes we agree with the obligations applying to both licence</w:t>
      </w:r>
      <w:r w:rsidR="00DA6EC8">
        <w:rPr>
          <w:rFonts w:ascii="Arial" w:hAnsi="Arial" w:cs="Arial"/>
          <w:i/>
          <w:sz w:val="22"/>
          <w:szCs w:val="22"/>
        </w:rPr>
        <w:t>d</w:t>
      </w:r>
      <w:r>
        <w:rPr>
          <w:rFonts w:ascii="Arial" w:hAnsi="Arial" w:cs="Arial"/>
          <w:i/>
          <w:sz w:val="22"/>
          <w:szCs w:val="22"/>
        </w:rPr>
        <w:t xml:space="preserve"> and unlicensed product issuers and distributors. We believe that the ‘Regulatory Sandbox’ concept under ASIC CP260</w:t>
      </w:r>
      <w:r>
        <w:rPr>
          <w:rStyle w:val="FootnoteReference"/>
          <w:rFonts w:ascii="Arial" w:hAnsi="Arial" w:cs="Arial"/>
          <w:i/>
          <w:sz w:val="22"/>
          <w:szCs w:val="22"/>
        </w:rPr>
        <w:footnoteReference w:id="5"/>
      </w:r>
      <w:r>
        <w:rPr>
          <w:rFonts w:ascii="Arial" w:hAnsi="Arial" w:cs="Arial"/>
          <w:i/>
          <w:sz w:val="22"/>
          <w:szCs w:val="22"/>
        </w:rPr>
        <w:t xml:space="preserve"> is an appropriate mechanism which should apply to unlicensed market participants provided that they meet the required ‘sandbox’ criteria. </w:t>
      </w:r>
    </w:p>
    <w:p w14:paraId="0495A344" w14:textId="77777777" w:rsidR="005B673B" w:rsidRDefault="005B673B" w:rsidP="00107BFD">
      <w:pPr>
        <w:pStyle w:val="Default"/>
        <w:spacing w:after="0" w:line="360" w:lineRule="auto"/>
        <w:rPr>
          <w:rFonts w:ascii="Arial" w:hAnsi="Arial" w:cs="Arial"/>
          <w:sz w:val="22"/>
          <w:szCs w:val="22"/>
        </w:rPr>
      </w:pPr>
    </w:p>
    <w:p w14:paraId="089D5F0D"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color w:val="auto"/>
          <w:sz w:val="22"/>
          <w:szCs w:val="22"/>
        </w:rPr>
      </w:pPr>
      <w:r w:rsidRPr="00FB7579">
        <w:rPr>
          <w:rFonts w:ascii="Arial" w:hAnsi="Arial" w:cs="Arial"/>
          <w:color w:val="auto"/>
          <w:sz w:val="22"/>
          <w:szCs w:val="22"/>
        </w:rPr>
        <w:t xml:space="preserve">10. Do you agree with the proposal that issuers should identify appropriate target and non-target markets for their products? What factors should issuers have regard to when determining target markets? </w:t>
      </w:r>
    </w:p>
    <w:p w14:paraId="18541EB6" w14:textId="77777777" w:rsidR="005B673B" w:rsidRDefault="005B673B" w:rsidP="00107BFD">
      <w:pPr>
        <w:pStyle w:val="Default"/>
        <w:spacing w:after="0" w:line="360" w:lineRule="auto"/>
        <w:rPr>
          <w:rFonts w:ascii="Arial" w:hAnsi="Arial" w:cs="Arial"/>
          <w:color w:val="auto"/>
          <w:sz w:val="22"/>
          <w:szCs w:val="22"/>
        </w:rPr>
      </w:pPr>
    </w:p>
    <w:p w14:paraId="6E2AED4D" w14:textId="77777777"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Response: Yes we agree with the proposal that i</w:t>
      </w:r>
      <w:r w:rsidRPr="003519BC">
        <w:rPr>
          <w:rFonts w:ascii="Arial" w:hAnsi="Arial" w:cs="Arial"/>
          <w:i/>
          <w:sz w:val="22"/>
          <w:szCs w:val="22"/>
        </w:rPr>
        <w:t xml:space="preserve">ssuers should </w:t>
      </w:r>
      <w:r>
        <w:rPr>
          <w:rFonts w:ascii="Arial" w:hAnsi="Arial" w:cs="Arial"/>
          <w:i/>
          <w:sz w:val="22"/>
          <w:szCs w:val="22"/>
        </w:rPr>
        <w:t xml:space="preserve">identify appropriate target and non-target markets for their products. The Proposal identified personal and product factors issuers should </w:t>
      </w:r>
      <w:r w:rsidRPr="003519BC">
        <w:rPr>
          <w:rFonts w:ascii="Arial" w:hAnsi="Arial" w:cs="Arial"/>
          <w:i/>
          <w:sz w:val="22"/>
          <w:szCs w:val="22"/>
        </w:rPr>
        <w:t xml:space="preserve">have regard to </w:t>
      </w:r>
      <w:r>
        <w:rPr>
          <w:rFonts w:ascii="Arial" w:hAnsi="Arial" w:cs="Arial"/>
          <w:i/>
          <w:sz w:val="22"/>
          <w:szCs w:val="22"/>
        </w:rPr>
        <w:t>when determining target markets. Personal factors identified are (i) proximity to retirement, (ii) levels of income and wealth, (iii) level of financial literacy and (iv) access to financial information.  Other personal factors which can be considered are (v) accessibility to financial advice particularly in remote regional areas and (vii) post retirement term. Product factors identified in the Proposal are (i) product risk (ii) consumers ability to derive benefits from the significant features of the product. Other product factors which can be considered are (iii) the cost and ability to switch from one product to another product of the issuer and (iv) ease of product redemption or exit.</w:t>
      </w:r>
    </w:p>
    <w:p w14:paraId="1B4F0549" w14:textId="77777777" w:rsidR="005B673B" w:rsidRPr="00FB7579" w:rsidRDefault="005B673B" w:rsidP="00107BFD">
      <w:pPr>
        <w:pStyle w:val="Default"/>
        <w:spacing w:after="0" w:line="360" w:lineRule="auto"/>
        <w:rPr>
          <w:rFonts w:ascii="Arial" w:hAnsi="Arial" w:cs="Arial"/>
          <w:color w:val="auto"/>
          <w:sz w:val="22"/>
          <w:szCs w:val="22"/>
        </w:rPr>
      </w:pPr>
    </w:p>
    <w:p w14:paraId="418A8E9F"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color w:val="auto"/>
          <w:sz w:val="22"/>
          <w:szCs w:val="22"/>
        </w:rPr>
      </w:pPr>
      <w:r w:rsidRPr="00FB7579">
        <w:rPr>
          <w:rFonts w:ascii="Arial" w:hAnsi="Arial" w:cs="Arial"/>
          <w:color w:val="auto"/>
          <w:sz w:val="22"/>
          <w:szCs w:val="22"/>
        </w:rPr>
        <w:t xml:space="preserve">11. For insurance products, do you agree the factors requiring consumers in the target market to benefit from the significant features of the product? What do you think are significant features for different product types (for example, general insurance versus life insurance)? </w:t>
      </w:r>
    </w:p>
    <w:p w14:paraId="45B7301E" w14:textId="77777777" w:rsidR="00AB2907" w:rsidRDefault="00AB2907" w:rsidP="00107BFD">
      <w:pPr>
        <w:pStyle w:val="Default"/>
        <w:spacing w:after="0" w:line="360" w:lineRule="auto"/>
        <w:rPr>
          <w:rFonts w:ascii="Arial" w:hAnsi="Arial" w:cs="Arial"/>
          <w:i/>
          <w:sz w:val="22"/>
          <w:szCs w:val="22"/>
        </w:rPr>
      </w:pPr>
    </w:p>
    <w:p w14:paraId="1368E201" w14:textId="77777777" w:rsidR="005B673B" w:rsidRPr="003519BC" w:rsidRDefault="005B673B" w:rsidP="00107BFD">
      <w:pPr>
        <w:pStyle w:val="Default"/>
        <w:spacing w:after="0" w:line="360" w:lineRule="auto"/>
        <w:rPr>
          <w:rFonts w:ascii="Arial" w:hAnsi="Arial" w:cs="Arial"/>
          <w:color w:val="auto"/>
          <w:sz w:val="22"/>
          <w:szCs w:val="22"/>
        </w:rPr>
      </w:pPr>
      <w:r w:rsidRPr="003519BC">
        <w:rPr>
          <w:rFonts w:ascii="Arial" w:hAnsi="Arial" w:cs="Arial"/>
          <w:i/>
          <w:sz w:val="22"/>
          <w:szCs w:val="22"/>
        </w:rPr>
        <w:t>Response</w:t>
      </w:r>
      <w:r>
        <w:rPr>
          <w:rFonts w:ascii="Arial" w:hAnsi="Arial" w:cs="Arial"/>
          <w:i/>
          <w:sz w:val="22"/>
          <w:szCs w:val="22"/>
        </w:rPr>
        <w:t>: No comment offered.</w:t>
      </w:r>
    </w:p>
    <w:p w14:paraId="23AB54F9" w14:textId="77777777" w:rsidR="005B673B" w:rsidRPr="00FB7579" w:rsidRDefault="005B673B" w:rsidP="00107BFD">
      <w:pPr>
        <w:pStyle w:val="Default"/>
        <w:spacing w:after="0" w:line="360" w:lineRule="auto"/>
        <w:rPr>
          <w:rFonts w:ascii="Arial" w:hAnsi="Arial" w:cs="Arial"/>
          <w:color w:val="auto"/>
          <w:sz w:val="22"/>
          <w:szCs w:val="22"/>
        </w:rPr>
      </w:pPr>
    </w:p>
    <w:p w14:paraId="7EE7AA2C" w14:textId="38B75168" w:rsidR="005B673B" w:rsidRPr="00873CA5" w:rsidRDefault="005B673B" w:rsidP="00107BF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873CA5">
        <w:rPr>
          <w:rFonts w:ascii="Arial" w:hAnsi="Arial" w:cs="Arial"/>
          <w:color w:val="000000"/>
        </w:rPr>
        <w:t>12.</w:t>
      </w:r>
      <w:r w:rsidR="00EE1C90">
        <w:rPr>
          <w:rFonts w:ascii="Arial" w:hAnsi="Arial" w:cs="Arial"/>
          <w:color w:val="000000"/>
        </w:rPr>
        <w:t xml:space="preserve"> </w:t>
      </w:r>
      <w:r w:rsidRPr="00873CA5">
        <w:rPr>
          <w:rFonts w:ascii="Arial" w:hAnsi="Arial" w:cs="Arial"/>
          <w:color w:val="000000"/>
        </w:rPr>
        <w:t>Do</w:t>
      </w:r>
      <w:r w:rsidRPr="00FB7579">
        <w:rPr>
          <w:rFonts w:ascii="Arial" w:hAnsi="Arial" w:cs="Arial"/>
          <w:color w:val="000000"/>
        </w:rPr>
        <w:t xml:space="preserve"> </w:t>
      </w:r>
      <w:r w:rsidRPr="00873CA5">
        <w:rPr>
          <w:rFonts w:ascii="Arial" w:hAnsi="Arial" w:cs="Arial"/>
          <w:color w:val="000000"/>
        </w:rPr>
        <w:t>you</w:t>
      </w:r>
      <w:r w:rsidRPr="00FB7579">
        <w:rPr>
          <w:rFonts w:ascii="Arial" w:hAnsi="Arial" w:cs="Arial"/>
          <w:color w:val="000000"/>
        </w:rPr>
        <w:t xml:space="preserve"> </w:t>
      </w:r>
      <w:r w:rsidRPr="00873CA5">
        <w:rPr>
          <w:rFonts w:ascii="Arial" w:hAnsi="Arial" w:cs="Arial"/>
          <w:color w:val="000000"/>
        </w:rPr>
        <w:t>agree</w:t>
      </w:r>
      <w:r w:rsidRPr="00FB7579">
        <w:rPr>
          <w:rFonts w:ascii="Arial" w:hAnsi="Arial" w:cs="Arial"/>
          <w:color w:val="000000"/>
        </w:rPr>
        <w:t xml:space="preserve"> </w:t>
      </w:r>
      <w:r w:rsidRPr="00873CA5">
        <w:rPr>
          <w:rFonts w:ascii="Arial" w:hAnsi="Arial" w:cs="Arial"/>
          <w:color w:val="000000"/>
        </w:rPr>
        <w:t>with the</w:t>
      </w:r>
      <w:r w:rsidRPr="00FB7579">
        <w:rPr>
          <w:rFonts w:ascii="Arial" w:hAnsi="Arial" w:cs="Arial"/>
          <w:color w:val="000000"/>
        </w:rPr>
        <w:t xml:space="preserve"> </w:t>
      </w:r>
      <w:r w:rsidRPr="00873CA5">
        <w:rPr>
          <w:rFonts w:ascii="Arial" w:hAnsi="Arial" w:cs="Arial"/>
          <w:color w:val="000000"/>
        </w:rPr>
        <w:t>proposal</w:t>
      </w:r>
      <w:r w:rsidRPr="00FB7579">
        <w:rPr>
          <w:rFonts w:ascii="Arial" w:hAnsi="Arial" w:cs="Arial"/>
          <w:color w:val="000000"/>
        </w:rPr>
        <w:t xml:space="preserve"> </w:t>
      </w:r>
      <w:r w:rsidRPr="00873CA5">
        <w:rPr>
          <w:rFonts w:ascii="Arial" w:hAnsi="Arial" w:cs="Arial"/>
          <w:color w:val="000000"/>
        </w:rPr>
        <w:t>that</w:t>
      </w:r>
      <w:r w:rsidRPr="00FB7579">
        <w:rPr>
          <w:rFonts w:ascii="Arial" w:hAnsi="Arial" w:cs="Arial"/>
          <w:color w:val="000000"/>
        </w:rPr>
        <w:t xml:space="preserve"> </w:t>
      </w:r>
      <w:r w:rsidRPr="00873CA5">
        <w:rPr>
          <w:rFonts w:ascii="Arial" w:hAnsi="Arial" w:cs="Arial"/>
          <w:color w:val="000000"/>
        </w:rPr>
        <w:t>issuers</w:t>
      </w:r>
      <w:r w:rsidRPr="00FB7579">
        <w:rPr>
          <w:rFonts w:ascii="Arial" w:hAnsi="Arial" w:cs="Arial"/>
          <w:color w:val="000000"/>
        </w:rPr>
        <w:t xml:space="preserve"> </w:t>
      </w:r>
      <w:r w:rsidRPr="00873CA5">
        <w:rPr>
          <w:rFonts w:ascii="Arial" w:hAnsi="Arial" w:cs="Arial"/>
          <w:color w:val="000000"/>
        </w:rPr>
        <w:t>should</w:t>
      </w:r>
      <w:r w:rsidRPr="00FB7579">
        <w:rPr>
          <w:rFonts w:ascii="Arial" w:hAnsi="Arial" w:cs="Arial"/>
          <w:color w:val="000000"/>
        </w:rPr>
        <w:t xml:space="preserve"> </w:t>
      </w:r>
      <w:r w:rsidRPr="00873CA5">
        <w:rPr>
          <w:rFonts w:ascii="Arial" w:hAnsi="Arial" w:cs="Arial"/>
          <w:color w:val="000000"/>
        </w:rPr>
        <w:t>select distribution channels</w:t>
      </w:r>
      <w:r w:rsidRPr="00FB7579">
        <w:rPr>
          <w:rFonts w:ascii="Arial" w:hAnsi="Arial" w:cs="Arial"/>
          <w:color w:val="000000"/>
        </w:rPr>
        <w:t xml:space="preserve"> </w:t>
      </w:r>
      <w:r w:rsidRPr="00873CA5">
        <w:rPr>
          <w:rFonts w:ascii="Arial" w:hAnsi="Arial" w:cs="Arial"/>
          <w:color w:val="000000"/>
        </w:rPr>
        <w:t>and</w:t>
      </w:r>
      <w:r w:rsidRPr="00FB7579">
        <w:rPr>
          <w:rFonts w:ascii="Arial" w:hAnsi="Arial" w:cs="Arial"/>
          <w:color w:val="000000"/>
        </w:rPr>
        <w:t xml:space="preserve"> </w:t>
      </w:r>
      <w:r w:rsidRPr="00873CA5">
        <w:rPr>
          <w:rFonts w:ascii="Arial" w:hAnsi="Arial" w:cs="Arial"/>
          <w:color w:val="000000"/>
        </w:rPr>
        <w:t>marketing</w:t>
      </w:r>
      <w:r w:rsidRPr="00FB7579">
        <w:rPr>
          <w:rFonts w:ascii="Arial" w:hAnsi="Arial" w:cs="Arial"/>
          <w:color w:val="000000"/>
        </w:rPr>
        <w:t xml:space="preserve"> </w:t>
      </w:r>
      <w:r w:rsidRPr="00873CA5">
        <w:rPr>
          <w:rFonts w:ascii="Arial" w:hAnsi="Arial" w:cs="Arial"/>
          <w:color w:val="000000"/>
        </w:rPr>
        <w:t>approaches for the product that are appropriate for</w:t>
      </w:r>
      <w:r w:rsidRPr="00FB7579">
        <w:rPr>
          <w:rFonts w:ascii="Arial" w:hAnsi="Arial" w:cs="Arial"/>
          <w:color w:val="000000"/>
        </w:rPr>
        <w:t xml:space="preserve"> </w:t>
      </w:r>
      <w:r w:rsidRPr="00873CA5">
        <w:rPr>
          <w:rFonts w:ascii="Arial" w:hAnsi="Arial" w:cs="Arial"/>
          <w:color w:val="000000"/>
        </w:rPr>
        <w:t>the identified target market? If not, please</w:t>
      </w:r>
      <w:r w:rsidRPr="00FB7579">
        <w:rPr>
          <w:rFonts w:ascii="Arial" w:hAnsi="Arial" w:cs="Arial"/>
          <w:color w:val="000000"/>
        </w:rPr>
        <w:t xml:space="preserve"> </w:t>
      </w:r>
      <w:r w:rsidRPr="00873CA5">
        <w:rPr>
          <w:rFonts w:ascii="Arial" w:hAnsi="Arial" w:cs="Arial"/>
          <w:color w:val="000000"/>
        </w:rPr>
        <w:t>explain why with relevant examples.</w:t>
      </w:r>
    </w:p>
    <w:p w14:paraId="18785266" w14:textId="77777777" w:rsidR="005B673B" w:rsidRDefault="005B673B" w:rsidP="00107BFD">
      <w:pPr>
        <w:autoSpaceDE w:val="0"/>
        <w:autoSpaceDN w:val="0"/>
        <w:adjustRightInd w:val="0"/>
        <w:spacing w:after="0" w:line="360" w:lineRule="auto"/>
        <w:rPr>
          <w:rFonts w:ascii="Arial" w:hAnsi="Arial" w:cs="Arial"/>
          <w:color w:val="000000"/>
        </w:rPr>
      </w:pPr>
    </w:p>
    <w:p w14:paraId="5AFDC2A2" w14:textId="77777777" w:rsidR="005B673B" w:rsidRDefault="005B673B" w:rsidP="00107BFD">
      <w:pPr>
        <w:autoSpaceDE w:val="0"/>
        <w:autoSpaceDN w:val="0"/>
        <w:adjustRightInd w:val="0"/>
        <w:spacing w:after="0" w:line="360" w:lineRule="auto"/>
        <w:rPr>
          <w:rFonts w:ascii="Arial" w:hAnsi="Arial" w:cs="Arial"/>
          <w:color w:val="000000"/>
        </w:rPr>
      </w:pPr>
    </w:p>
    <w:p w14:paraId="5420A7CD"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 xml:space="preserve">Response: We agree with the proposal that issuers should select distribution channels and marketing approaches for the product that are appropriate for the identified target market. </w:t>
      </w:r>
    </w:p>
    <w:p w14:paraId="03D25358" w14:textId="77777777" w:rsidR="005B673B" w:rsidRDefault="005B673B" w:rsidP="00107BFD">
      <w:pPr>
        <w:autoSpaceDE w:val="0"/>
        <w:autoSpaceDN w:val="0"/>
        <w:adjustRightInd w:val="0"/>
        <w:spacing w:after="0" w:line="360" w:lineRule="auto"/>
        <w:rPr>
          <w:rFonts w:ascii="Arial" w:hAnsi="Arial" w:cs="Arial"/>
          <w:color w:val="000000"/>
        </w:rPr>
      </w:pPr>
    </w:p>
    <w:p w14:paraId="1FBDD148" w14:textId="77777777" w:rsidR="00AB2907" w:rsidRPr="00FB7579" w:rsidRDefault="00AB2907" w:rsidP="00107BFD">
      <w:pPr>
        <w:autoSpaceDE w:val="0"/>
        <w:autoSpaceDN w:val="0"/>
        <w:adjustRightInd w:val="0"/>
        <w:spacing w:after="0" w:line="360" w:lineRule="auto"/>
        <w:rPr>
          <w:rFonts w:ascii="Arial" w:hAnsi="Arial" w:cs="Arial"/>
          <w:color w:val="000000"/>
        </w:rPr>
      </w:pPr>
    </w:p>
    <w:p w14:paraId="36D411B7" w14:textId="77777777" w:rsidR="005B673B" w:rsidRPr="00873CA5" w:rsidRDefault="005B673B" w:rsidP="00107BF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873CA5">
        <w:rPr>
          <w:rFonts w:ascii="Arial" w:hAnsi="Arial" w:cs="Arial"/>
          <w:color w:val="000000"/>
        </w:rPr>
        <w:t>13.Do you agree that issuers must have regard to the customers a distribution channel will reach, the</w:t>
      </w:r>
      <w:r w:rsidRPr="00FB7579">
        <w:rPr>
          <w:rFonts w:ascii="Arial" w:hAnsi="Arial" w:cs="Arial"/>
          <w:color w:val="000000"/>
        </w:rPr>
        <w:t xml:space="preserve"> </w:t>
      </w:r>
      <w:r w:rsidRPr="00873CA5">
        <w:rPr>
          <w:rFonts w:ascii="Arial" w:hAnsi="Arial" w:cs="Arial"/>
          <w:color w:val="000000"/>
        </w:rPr>
        <w:t>risks associated with a distribution channel, steps to mitigate those risks and the complexity of the</w:t>
      </w:r>
      <w:r w:rsidRPr="00FB7579">
        <w:rPr>
          <w:rFonts w:ascii="Arial" w:hAnsi="Arial" w:cs="Arial"/>
          <w:color w:val="000000"/>
        </w:rPr>
        <w:t xml:space="preserve"> </w:t>
      </w:r>
      <w:r w:rsidRPr="00873CA5">
        <w:rPr>
          <w:rFonts w:ascii="Arial" w:hAnsi="Arial" w:cs="Arial"/>
          <w:color w:val="000000"/>
        </w:rPr>
        <w:t>product when determining an appropriate target market? Are there any other factors that issuers should have</w:t>
      </w:r>
      <w:r w:rsidRPr="00FB7579">
        <w:rPr>
          <w:rFonts w:ascii="Arial" w:hAnsi="Arial" w:cs="Arial"/>
          <w:color w:val="000000"/>
        </w:rPr>
        <w:t xml:space="preserve"> </w:t>
      </w:r>
      <w:r w:rsidRPr="00873CA5">
        <w:rPr>
          <w:rFonts w:ascii="Arial" w:hAnsi="Arial" w:cs="Arial"/>
          <w:color w:val="000000"/>
        </w:rPr>
        <w:t>regard to</w:t>
      </w:r>
      <w:r w:rsidRPr="00FB7579">
        <w:rPr>
          <w:rFonts w:ascii="Arial" w:hAnsi="Arial" w:cs="Arial"/>
          <w:color w:val="000000"/>
        </w:rPr>
        <w:t xml:space="preserve"> </w:t>
      </w:r>
      <w:r w:rsidRPr="00873CA5">
        <w:rPr>
          <w:rFonts w:ascii="Arial" w:hAnsi="Arial" w:cs="Arial"/>
          <w:color w:val="000000"/>
        </w:rPr>
        <w:t>when</w:t>
      </w:r>
      <w:r w:rsidRPr="00FB7579">
        <w:rPr>
          <w:rFonts w:ascii="Arial" w:hAnsi="Arial" w:cs="Arial"/>
          <w:color w:val="000000"/>
        </w:rPr>
        <w:t xml:space="preserve"> </w:t>
      </w:r>
      <w:r w:rsidRPr="00873CA5">
        <w:rPr>
          <w:rFonts w:ascii="Arial" w:hAnsi="Arial" w:cs="Arial"/>
          <w:color w:val="000000"/>
        </w:rPr>
        <w:t>determining appropriate</w:t>
      </w:r>
      <w:r w:rsidRPr="00FB7579">
        <w:rPr>
          <w:rFonts w:ascii="Arial" w:hAnsi="Arial" w:cs="Arial"/>
          <w:color w:val="000000"/>
        </w:rPr>
        <w:t xml:space="preserve"> </w:t>
      </w:r>
      <w:r w:rsidRPr="00873CA5">
        <w:rPr>
          <w:rFonts w:ascii="Arial" w:hAnsi="Arial" w:cs="Arial"/>
          <w:color w:val="000000"/>
        </w:rPr>
        <w:t>distribution channels and market approach?</w:t>
      </w:r>
    </w:p>
    <w:p w14:paraId="00B85C8C" w14:textId="77777777" w:rsidR="005B673B" w:rsidRDefault="005B673B" w:rsidP="00107BFD">
      <w:pPr>
        <w:autoSpaceDE w:val="0"/>
        <w:autoSpaceDN w:val="0"/>
        <w:adjustRightInd w:val="0"/>
        <w:spacing w:after="0" w:line="360" w:lineRule="auto"/>
        <w:rPr>
          <w:rFonts w:ascii="Arial" w:hAnsi="Arial" w:cs="Arial"/>
          <w:color w:val="000000"/>
        </w:rPr>
      </w:pPr>
    </w:p>
    <w:p w14:paraId="3BC309C7" w14:textId="77777777" w:rsidR="005B673B" w:rsidRDefault="005B673B" w:rsidP="00107BFD">
      <w:pPr>
        <w:autoSpaceDE w:val="0"/>
        <w:autoSpaceDN w:val="0"/>
        <w:adjustRightInd w:val="0"/>
        <w:spacing w:after="0" w:line="360" w:lineRule="auto"/>
        <w:rPr>
          <w:rFonts w:ascii="Arial" w:hAnsi="Arial" w:cs="Arial"/>
          <w:color w:val="000000"/>
        </w:rPr>
      </w:pPr>
    </w:p>
    <w:p w14:paraId="445AE37F" w14:textId="77777777" w:rsidR="005B673B" w:rsidRDefault="005B673B" w:rsidP="00107BFD">
      <w:pPr>
        <w:autoSpaceDE w:val="0"/>
        <w:autoSpaceDN w:val="0"/>
        <w:adjustRightInd w:val="0"/>
        <w:spacing w:after="0" w:line="360" w:lineRule="auto"/>
        <w:rPr>
          <w:rFonts w:ascii="Arial" w:hAnsi="Arial" w:cs="Arial"/>
          <w:color w:val="000000"/>
        </w:rPr>
      </w:pPr>
      <w:r w:rsidRPr="00C7057D">
        <w:rPr>
          <w:rFonts w:ascii="Arial" w:hAnsi="Arial" w:cs="Arial"/>
          <w:i/>
          <w:color w:val="000000"/>
        </w:rPr>
        <w:t xml:space="preserve">Response: We agree </w:t>
      </w:r>
      <w:r>
        <w:rPr>
          <w:rFonts w:ascii="Arial" w:hAnsi="Arial" w:cs="Arial"/>
          <w:i/>
          <w:color w:val="000000"/>
        </w:rPr>
        <w:t>and support all</w:t>
      </w:r>
      <w:r w:rsidRPr="00C7057D">
        <w:rPr>
          <w:rFonts w:ascii="Arial" w:hAnsi="Arial" w:cs="Arial"/>
          <w:i/>
          <w:color w:val="000000"/>
        </w:rPr>
        <w:t xml:space="preserve"> </w:t>
      </w:r>
      <w:r>
        <w:rPr>
          <w:rFonts w:ascii="Arial" w:hAnsi="Arial" w:cs="Arial"/>
          <w:i/>
          <w:color w:val="000000"/>
        </w:rPr>
        <w:t>factors outlined in Detailed Proposal 2</w:t>
      </w:r>
      <w:r>
        <w:rPr>
          <w:rStyle w:val="FootnoteReference"/>
          <w:rFonts w:ascii="Arial" w:hAnsi="Arial" w:cs="Arial"/>
          <w:i/>
          <w:color w:val="000000"/>
        </w:rPr>
        <w:footnoteReference w:id="6"/>
      </w:r>
      <w:r>
        <w:rPr>
          <w:rFonts w:ascii="Arial" w:hAnsi="Arial" w:cs="Arial"/>
          <w:i/>
          <w:color w:val="000000"/>
        </w:rPr>
        <w:t xml:space="preserve"> </w:t>
      </w:r>
    </w:p>
    <w:p w14:paraId="6DD65A06" w14:textId="77777777" w:rsidR="005B673B" w:rsidRDefault="005B673B" w:rsidP="00107BFD">
      <w:pPr>
        <w:autoSpaceDE w:val="0"/>
        <w:autoSpaceDN w:val="0"/>
        <w:adjustRightInd w:val="0"/>
        <w:spacing w:after="0" w:line="360" w:lineRule="auto"/>
        <w:rPr>
          <w:rFonts w:ascii="Arial" w:hAnsi="Arial" w:cs="Arial"/>
          <w:color w:val="000000"/>
        </w:rPr>
      </w:pPr>
    </w:p>
    <w:p w14:paraId="1F30C5A2" w14:textId="77777777" w:rsidR="005B673B" w:rsidRDefault="005B673B" w:rsidP="00107BFD">
      <w:pPr>
        <w:autoSpaceDE w:val="0"/>
        <w:autoSpaceDN w:val="0"/>
        <w:adjustRightInd w:val="0"/>
        <w:spacing w:after="0" w:line="360" w:lineRule="auto"/>
        <w:rPr>
          <w:rFonts w:ascii="Arial" w:hAnsi="Arial" w:cs="Arial"/>
          <w:color w:val="000000"/>
        </w:rPr>
      </w:pPr>
    </w:p>
    <w:p w14:paraId="2D1AAB53" w14:textId="77777777" w:rsidR="005B673B" w:rsidRPr="00FB7579" w:rsidRDefault="005B673B" w:rsidP="00107BF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FB7579">
        <w:rPr>
          <w:rFonts w:ascii="Arial" w:hAnsi="Arial" w:cs="Arial"/>
          <w:color w:val="000000"/>
        </w:rPr>
        <w:t>14. Do you agree with the proposal that issuers must periodically review their products to ensure the identified target market and distribution channel continues to be appropriate and advise ASIC if the review identifies that a distributor is selling the product outside of the intended target market?</w:t>
      </w:r>
    </w:p>
    <w:p w14:paraId="732B4FF6" w14:textId="77777777" w:rsidR="005B673B" w:rsidRDefault="005B673B" w:rsidP="00107BFD">
      <w:pPr>
        <w:autoSpaceDE w:val="0"/>
        <w:autoSpaceDN w:val="0"/>
        <w:adjustRightInd w:val="0"/>
        <w:spacing w:after="0" w:line="360" w:lineRule="auto"/>
        <w:rPr>
          <w:rFonts w:ascii="Arial" w:hAnsi="Arial" w:cs="Arial"/>
          <w:color w:val="000000"/>
        </w:rPr>
      </w:pPr>
    </w:p>
    <w:p w14:paraId="1E40D5BD" w14:textId="77777777" w:rsidR="00AB2907" w:rsidRDefault="00AB2907" w:rsidP="00107BFD">
      <w:pPr>
        <w:autoSpaceDE w:val="0"/>
        <w:autoSpaceDN w:val="0"/>
        <w:adjustRightInd w:val="0"/>
        <w:spacing w:after="0" w:line="360" w:lineRule="auto"/>
        <w:rPr>
          <w:rFonts w:ascii="Arial" w:hAnsi="Arial" w:cs="Arial"/>
          <w:color w:val="000000"/>
        </w:rPr>
      </w:pPr>
    </w:p>
    <w:p w14:paraId="5FA79523"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Response: We agree with the proposal that issuers must periodically review their products to ensure the identified target market and distribution channel continues to be appropriate and advise ASIC if the review identifies that a distributor is selling the product outside of the intended target the review period should be determined by the perceived risk of the product. Products which are considered to be more risky should be reviewed more regularly. The review conducted by issuers should advise ASIC if their products are no longer appropriate for circulation if negative material changes have been identified in the target market. Issuers should also advise ASIC about action(s) undertaken to stop distribution because of failing design and/or distribution features. These product governance mechanisms are consistent with similar mechanisms in the United Kingdom and the European Union</w:t>
      </w:r>
      <w:r w:rsidRPr="00AB2907">
        <w:rPr>
          <w:rStyle w:val="FootnoteReference"/>
          <w:rFonts w:ascii="Arial" w:hAnsi="Arial" w:cs="Arial"/>
          <w:i/>
          <w:color w:val="000000"/>
          <w:sz w:val="22"/>
          <w:szCs w:val="22"/>
        </w:rPr>
        <w:footnoteReference w:id="7"/>
      </w:r>
    </w:p>
    <w:p w14:paraId="3B115AD3" w14:textId="77777777" w:rsidR="005B673B" w:rsidRPr="00AB2907" w:rsidRDefault="005B673B" w:rsidP="00107BFD">
      <w:pPr>
        <w:autoSpaceDE w:val="0"/>
        <w:autoSpaceDN w:val="0"/>
        <w:adjustRightInd w:val="0"/>
        <w:spacing w:after="0" w:line="360" w:lineRule="auto"/>
        <w:rPr>
          <w:rFonts w:ascii="Arial" w:hAnsi="Arial" w:cs="Arial"/>
          <w:color w:val="000000"/>
          <w:sz w:val="22"/>
          <w:szCs w:val="22"/>
        </w:rPr>
      </w:pPr>
    </w:p>
    <w:p w14:paraId="23D614D7"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66EA3AD2" w14:textId="77777777" w:rsidR="005B673B" w:rsidRPr="00FB7579" w:rsidRDefault="005B673B" w:rsidP="00107BF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FB7579">
        <w:rPr>
          <w:rFonts w:ascii="Arial" w:hAnsi="Arial" w:cs="Arial"/>
          <w:color w:val="000000"/>
        </w:rPr>
        <w:t>15. In relation to all the proposed issuer obligations, what level of detail should be prescribed in legislation versus being specified in ASIC guidance?</w:t>
      </w:r>
    </w:p>
    <w:p w14:paraId="42DF6567"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62DEE4CA" w14:textId="77777777" w:rsidR="00AB2907" w:rsidRDefault="00AB2907" w:rsidP="00107BFD">
      <w:pPr>
        <w:autoSpaceDE w:val="0"/>
        <w:autoSpaceDN w:val="0"/>
        <w:adjustRightInd w:val="0"/>
        <w:spacing w:after="0" w:line="360" w:lineRule="auto"/>
        <w:rPr>
          <w:rFonts w:ascii="Arial" w:hAnsi="Arial" w:cs="Arial"/>
          <w:i/>
          <w:color w:val="000000"/>
          <w:sz w:val="22"/>
          <w:szCs w:val="22"/>
        </w:rPr>
      </w:pPr>
    </w:p>
    <w:p w14:paraId="0F41F577"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Response: The level of detail prescribed should be based on sound commercial principles. These principles ought to be prescribed in legislation whilst the application of these principles ought to be specified in ASIC guidelines to guide the application of prescribed legislation. ASIC compliance programs should then be designed around monitoring the application of specific guidelines. This approach is based on the rationale that rules cannot cover every situation that can arise. International Financial Reporting Standards (IFRS) accounting standard setting framework provides an excellent example of principles based regulation</w:t>
      </w:r>
      <w:r w:rsidRPr="00AB2907">
        <w:rPr>
          <w:rStyle w:val="FootnoteReference"/>
          <w:rFonts w:ascii="Arial" w:hAnsi="Arial" w:cs="Arial"/>
          <w:i/>
          <w:color w:val="000000"/>
          <w:sz w:val="22"/>
          <w:szCs w:val="22"/>
        </w:rPr>
        <w:footnoteReference w:id="8"/>
      </w:r>
      <w:r w:rsidRPr="00AB2907">
        <w:rPr>
          <w:rFonts w:ascii="Arial" w:hAnsi="Arial" w:cs="Arial"/>
          <w:i/>
          <w:color w:val="000000"/>
          <w:sz w:val="22"/>
          <w:szCs w:val="22"/>
        </w:rPr>
        <w:t xml:space="preserve">. </w:t>
      </w:r>
    </w:p>
    <w:p w14:paraId="70728FEC" w14:textId="77777777" w:rsidR="005B673B" w:rsidRPr="00AB2907" w:rsidRDefault="005B673B" w:rsidP="00107BFD">
      <w:pPr>
        <w:autoSpaceDE w:val="0"/>
        <w:autoSpaceDN w:val="0"/>
        <w:adjustRightInd w:val="0"/>
        <w:spacing w:after="0" w:line="360" w:lineRule="auto"/>
        <w:rPr>
          <w:rFonts w:ascii="Arial" w:hAnsi="Arial" w:cs="Arial"/>
          <w:color w:val="000000"/>
          <w:sz w:val="22"/>
          <w:szCs w:val="22"/>
        </w:rPr>
      </w:pPr>
    </w:p>
    <w:p w14:paraId="76084BB0" w14:textId="77777777" w:rsidR="005B673B" w:rsidRDefault="005B673B" w:rsidP="00107BFD">
      <w:pPr>
        <w:autoSpaceDE w:val="0"/>
        <w:autoSpaceDN w:val="0"/>
        <w:adjustRightInd w:val="0"/>
        <w:spacing w:after="0" w:line="360" w:lineRule="auto"/>
        <w:rPr>
          <w:rFonts w:ascii="Arial" w:hAnsi="Arial" w:cs="Arial"/>
          <w:color w:val="000000"/>
        </w:rPr>
      </w:pPr>
    </w:p>
    <w:p w14:paraId="374CA1FD"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16. Do you agree with the proposal that distributors must put in place reasonable controls to ensure that products are distributed in accordance with the issuer’s expectations? </w:t>
      </w:r>
    </w:p>
    <w:p w14:paraId="699F4C8A" w14:textId="77777777" w:rsidR="00107BFD" w:rsidRDefault="00107BFD" w:rsidP="00107BFD">
      <w:pPr>
        <w:pStyle w:val="Default"/>
        <w:spacing w:after="0" w:line="360" w:lineRule="auto"/>
        <w:rPr>
          <w:rFonts w:ascii="Arial" w:hAnsi="Arial" w:cs="Arial"/>
          <w:i/>
          <w:sz w:val="22"/>
          <w:szCs w:val="22"/>
        </w:rPr>
      </w:pPr>
    </w:p>
    <w:p w14:paraId="20CDABDC" w14:textId="77777777" w:rsidR="005B673B" w:rsidRDefault="005B673B" w:rsidP="00107BFD">
      <w:pPr>
        <w:pStyle w:val="Default"/>
        <w:spacing w:after="0" w:line="360" w:lineRule="auto"/>
        <w:rPr>
          <w:rFonts w:ascii="Arial" w:hAnsi="Arial" w:cs="Arial"/>
          <w:i/>
          <w:sz w:val="22"/>
          <w:szCs w:val="22"/>
        </w:rPr>
      </w:pPr>
      <w:r w:rsidRPr="00F53C2E">
        <w:rPr>
          <w:rFonts w:ascii="Arial" w:hAnsi="Arial" w:cs="Arial"/>
          <w:i/>
          <w:sz w:val="22"/>
          <w:szCs w:val="22"/>
        </w:rPr>
        <w:t>Response: We agree with the proposal that distributors must put in place reasonable controls to ensure that products are distributed in accordance with the issuer’s expectations</w:t>
      </w:r>
      <w:r>
        <w:rPr>
          <w:rFonts w:ascii="Arial" w:hAnsi="Arial" w:cs="Arial"/>
          <w:i/>
          <w:sz w:val="22"/>
          <w:szCs w:val="22"/>
        </w:rPr>
        <w:t>. The issuer should satisfy itself that controls put in place by the distributor meet its expectations. The Australian Financial Markets Association (AFMA) for example, recommends robust internal approval process in distribution mechanisms and processes</w:t>
      </w:r>
      <w:r>
        <w:rPr>
          <w:rStyle w:val="FootnoteReference"/>
          <w:rFonts w:ascii="Arial" w:hAnsi="Arial" w:cs="Arial"/>
          <w:i/>
          <w:sz w:val="22"/>
          <w:szCs w:val="22"/>
        </w:rPr>
        <w:footnoteReference w:id="9"/>
      </w:r>
      <w:r>
        <w:rPr>
          <w:rFonts w:ascii="Arial" w:hAnsi="Arial" w:cs="Arial"/>
          <w:i/>
          <w:sz w:val="22"/>
          <w:szCs w:val="22"/>
        </w:rPr>
        <w:t>.</w:t>
      </w:r>
    </w:p>
    <w:p w14:paraId="02822027" w14:textId="77777777" w:rsidR="00107BFD" w:rsidRPr="00F53C2E" w:rsidRDefault="00107BFD" w:rsidP="00107BFD">
      <w:pPr>
        <w:pStyle w:val="Default"/>
        <w:spacing w:after="0" w:line="360" w:lineRule="auto"/>
        <w:rPr>
          <w:rFonts w:ascii="Arial" w:hAnsi="Arial" w:cs="Arial"/>
          <w:i/>
          <w:sz w:val="22"/>
          <w:szCs w:val="22"/>
        </w:rPr>
      </w:pPr>
    </w:p>
    <w:p w14:paraId="6F95FF4F" w14:textId="762C38C6"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17. To what extent should consumer</w:t>
      </w:r>
      <w:r w:rsidR="00265451">
        <w:rPr>
          <w:rFonts w:ascii="Arial" w:hAnsi="Arial" w:cs="Arial"/>
          <w:sz w:val="22"/>
          <w:szCs w:val="22"/>
        </w:rPr>
        <w:t>s</w:t>
      </w:r>
      <w:r w:rsidRPr="00FB7579">
        <w:rPr>
          <w:rFonts w:ascii="Arial" w:hAnsi="Arial" w:cs="Arial"/>
          <w:sz w:val="22"/>
          <w:szCs w:val="22"/>
        </w:rPr>
        <w:t xml:space="preserve"> be able to access a product outside of the identified target market? </w:t>
      </w:r>
    </w:p>
    <w:p w14:paraId="68707F25" w14:textId="77777777" w:rsidR="005B673B" w:rsidRPr="00FB7579" w:rsidRDefault="005B673B" w:rsidP="00107BFD">
      <w:pPr>
        <w:pStyle w:val="Default"/>
        <w:spacing w:after="0" w:line="360" w:lineRule="auto"/>
        <w:rPr>
          <w:rFonts w:ascii="Arial" w:hAnsi="Arial" w:cs="Arial"/>
          <w:sz w:val="22"/>
          <w:szCs w:val="22"/>
        </w:rPr>
      </w:pPr>
    </w:p>
    <w:p w14:paraId="3ECA9B9D" w14:textId="77777777" w:rsidR="005B673B" w:rsidRPr="00FB7579" w:rsidRDefault="005B673B" w:rsidP="00107BFD">
      <w:pPr>
        <w:pStyle w:val="Default"/>
        <w:spacing w:after="0" w:line="360" w:lineRule="auto"/>
        <w:rPr>
          <w:rFonts w:ascii="Arial" w:hAnsi="Arial" w:cs="Arial"/>
          <w:sz w:val="22"/>
          <w:szCs w:val="22"/>
        </w:rPr>
      </w:pPr>
      <w:r w:rsidRPr="00FB7579">
        <w:rPr>
          <w:rFonts w:ascii="Arial" w:hAnsi="Arial" w:cs="Arial"/>
          <w:i/>
          <w:sz w:val="22"/>
          <w:szCs w:val="22"/>
        </w:rPr>
        <w:t>Response:  Consumers should be free to access products outsid</w:t>
      </w:r>
      <w:r>
        <w:rPr>
          <w:rFonts w:ascii="Arial" w:hAnsi="Arial" w:cs="Arial"/>
          <w:i/>
          <w:sz w:val="22"/>
          <w:szCs w:val="22"/>
        </w:rPr>
        <w:t xml:space="preserve">e the identified target market provided that sufficient ‘warnings’ are made by the issuer or distributor to alert consumers </w:t>
      </w:r>
      <w:r w:rsidRPr="00FB7579">
        <w:rPr>
          <w:rFonts w:ascii="Arial" w:hAnsi="Arial" w:cs="Arial"/>
          <w:i/>
          <w:sz w:val="22"/>
          <w:szCs w:val="22"/>
        </w:rPr>
        <w:t>that they are</w:t>
      </w:r>
      <w:r>
        <w:rPr>
          <w:rFonts w:ascii="Arial" w:hAnsi="Arial" w:cs="Arial"/>
          <w:i/>
          <w:sz w:val="22"/>
          <w:szCs w:val="22"/>
        </w:rPr>
        <w:t xml:space="preserve"> accessing a product outside</w:t>
      </w:r>
      <w:r w:rsidRPr="00FB7579">
        <w:rPr>
          <w:rFonts w:ascii="Arial" w:hAnsi="Arial" w:cs="Arial"/>
          <w:i/>
          <w:sz w:val="22"/>
          <w:szCs w:val="22"/>
        </w:rPr>
        <w:t xml:space="preserve"> their identified target market.</w:t>
      </w:r>
    </w:p>
    <w:p w14:paraId="62256D32" w14:textId="77777777" w:rsidR="005B673B" w:rsidRPr="00FB7579" w:rsidRDefault="005B673B" w:rsidP="00107BFD">
      <w:pPr>
        <w:pStyle w:val="Default"/>
        <w:spacing w:after="0" w:line="360" w:lineRule="auto"/>
        <w:rPr>
          <w:rFonts w:ascii="Arial" w:hAnsi="Arial" w:cs="Arial"/>
          <w:sz w:val="22"/>
          <w:szCs w:val="22"/>
        </w:rPr>
      </w:pPr>
    </w:p>
    <w:p w14:paraId="50DAF965"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18. What protections should there be for consumers who are aware they are outside the target market but choose to access a product regardless? </w:t>
      </w:r>
    </w:p>
    <w:p w14:paraId="0936D76B" w14:textId="77777777" w:rsidR="005B673B" w:rsidRDefault="005B673B" w:rsidP="00107BFD">
      <w:pPr>
        <w:pStyle w:val="Default"/>
        <w:spacing w:after="0" w:line="360" w:lineRule="auto"/>
        <w:rPr>
          <w:rFonts w:ascii="Arial" w:hAnsi="Arial" w:cs="Arial"/>
          <w:sz w:val="22"/>
          <w:szCs w:val="22"/>
        </w:rPr>
      </w:pPr>
    </w:p>
    <w:p w14:paraId="17F2CF68" w14:textId="77777777" w:rsidR="005B673B" w:rsidRPr="001F621F" w:rsidRDefault="005B673B" w:rsidP="00107BFD">
      <w:pPr>
        <w:pStyle w:val="Default"/>
        <w:spacing w:after="0" w:line="360" w:lineRule="auto"/>
        <w:rPr>
          <w:rFonts w:ascii="Arial" w:hAnsi="Arial" w:cs="Arial"/>
          <w:i/>
          <w:color w:val="auto"/>
          <w:sz w:val="22"/>
          <w:szCs w:val="22"/>
        </w:rPr>
      </w:pPr>
      <w:r>
        <w:rPr>
          <w:rFonts w:ascii="Arial" w:hAnsi="Arial" w:cs="Arial"/>
          <w:i/>
          <w:color w:val="auto"/>
          <w:sz w:val="22"/>
          <w:szCs w:val="22"/>
        </w:rPr>
        <w:t>Response: It is difficult to protect</w:t>
      </w:r>
      <w:r w:rsidRPr="001F621F">
        <w:rPr>
          <w:rFonts w:ascii="Arial" w:hAnsi="Arial" w:cs="Arial"/>
          <w:i/>
          <w:color w:val="auto"/>
          <w:sz w:val="22"/>
          <w:szCs w:val="22"/>
        </w:rPr>
        <w:t xml:space="preserve"> consumers who engage in moral hazard </w:t>
      </w:r>
      <w:r>
        <w:rPr>
          <w:rFonts w:ascii="Arial" w:hAnsi="Arial" w:cs="Arial"/>
          <w:i/>
          <w:color w:val="auto"/>
          <w:sz w:val="22"/>
          <w:szCs w:val="22"/>
        </w:rPr>
        <w:t>other than issue appropriate warnings and sufficient cooling-off periods</w:t>
      </w:r>
      <w:r w:rsidRPr="001F621F">
        <w:rPr>
          <w:rFonts w:ascii="Arial" w:hAnsi="Arial" w:cs="Arial"/>
          <w:i/>
          <w:color w:val="auto"/>
          <w:sz w:val="22"/>
          <w:szCs w:val="22"/>
        </w:rPr>
        <w:t xml:space="preserve">. A 10 day cooling off period </w:t>
      </w:r>
      <w:r>
        <w:rPr>
          <w:rFonts w:ascii="Arial" w:hAnsi="Arial" w:cs="Arial"/>
          <w:i/>
          <w:color w:val="auto"/>
          <w:sz w:val="22"/>
          <w:szCs w:val="22"/>
        </w:rPr>
        <w:t xml:space="preserve">is probably more appropriate than the current consumer 7 day period to allow consumers </w:t>
      </w:r>
      <w:r w:rsidRPr="001F621F">
        <w:rPr>
          <w:rFonts w:ascii="Arial" w:hAnsi="Arial" w:cs="Arial"/>
          <w:i/>
          <w:color w:val="auto"/>
          <w:sz w:val="22"/>
          <w:szCs w:val="22"/>
        </w:rPr>
        <w:t>sufficient time to overcome potential hubris</w:t>
      </w:r>
      <w:r>
        <w:rPr>
          <w:rFonts w:ascii="Arial" w:hAnsi="Arial" w:cs="Arial"/>
          <w:i/>
          <w:color w:val="auto"/>
          <w:sz w:val="22"/>
          <w:szCs w:val="22"/>
        </w:rPr>
        <w:t>.</w:t>
      </w:r>
    </w:p>
    <w:p w14:paraId="2BBB7E58" w14:textId="77777777" w:rsidR="005B673B" w:rsidRPr="00FB7579" w:rsidRDefault="005B673B" w:rsidP="00107BFD">
      <w:pPr>
        <w:pStyle w:val="Default"/>
        <w:spacing w:after="0" w:line="360" w:lineRule="auto"/>
        <w:rPr>
          <w:rFonts w:ascii="Arial" w:hAnsi="Arial" w:cs="Arial"/>
          <w:sz w:val="22"/>
          <w:szCs w:val="22"/>
        </w:rPr>
      </w:pPr>
    </w:p>
    <w:p w14:paraId="52EAC2D8"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19. Do you agree with the proposal that distributors must comply with reasonable requests from the issuer related to the product review and put in place procedures to monitor the performance of products to support the review? Should an equivalent obligation also be imposed on advised distributors? </w:t>
      </w:r>
    </w:p>
    <w:p w14:paraId="5C78FA51" w14:textId="77777777" w:rsidR="005B673B" w:rsidRDefault="005B673B" w:rsidP="00107BFD">
      <w:pPr>
        <w:pStyle w:val="Default"/>
        <w:spacing w:after="0" w:line="360" w:lineRule="auto"/>
        <w:rPr>
          <w:rFonts w:ascii="Arial" w:hAnsi="Arial" w:cs="Arial"/>
          <w:sz w:val="22"/>
          <w:szCs w:val="22"/>
        </w:rPr>
      </w:pPr>
    </w:p>
    <w:p w14:paraId="2827CF91" w14:textId="77777777" w:rsidR="005B673B" w:rsidRDefault="005B673B" w:rsidP="00107BFD">
      <w:pPr>
        <w:pStyle w:val="Default"/>
        <w:spacing w:after="0" w:line="360" w:lineRule="auto"/>
        <w:rPr>
          <w:rFonts w:ascii="Arial" w:hAnsi="Arial" w:cs="Arial"/>
          <w:i/>
          <w:sz w:val="22"/>
          <w:szCs w:val="22"/>
        </w:rPr>
      </w:pPr>
      <w:r w:rsidRPr="002D01C2">
        <w:rPr>
          <w:rFonts w:ascii="Arial" w:hAnsi="Arial" w:cs="Arial"/>
          <w:i/>
          <w:sz w:val="22"/>
          <w:szCs w:val="22"/>
        </w:rPr>
        <w:t>Response: We agree with the proposal that distributors must comply with reasonable requests from the issuer related to the product review and put in place procedures to monitor the performance of products to support the review.</w:t>
      </w:r>
      <w:r>
        <w:rPr>
          <w:rFonts w:ascii="Arial" w:hAnsi="Arial" w:cs="Arial"/>
          <w:i/>
          <w:sz w:val="22"/>
          <w:szCs w:val="22"/>
        </w:rPr>
        <w:t xml:space="preserve"> E</w:t>
      </w:r>
      <w:r w:rsidRPr="002D01C2">
        <w:rPr>
          <w:rFonts w:ascii="Arial" w:hAnsi="Arial" w:cs="Arial"/>
          <w:i/>
          <w:sz w:val="22"/>
          <w:szCs w:val="22"/>
        </w:rPr>
        <w:t xml:space="preserve">ntities should appoint a ‘responsible person’ who is responsible for the implementation and operation of procedures to monitor the performance of products </w:t>
      </w:r>
      <w:r>
        <w:rPr>
          <w:rFonts w:ascii="Arial" w:hAnsi="Arial" w:cs="Arial"/>
          <w:i/>
          <w:sz w:val="22"/>
          <w:szCs w:val="22"/>
        </w:rPr>
        <w:t>and</w:t>
      </w:r>
      <w:r w:rsidRPr="002D01C2">
        <w:rPr>
          <w:rFonts w:ascii="Arial" w:hAnsi="Arial" w:cs="Arial"/>
          <w:i/>
          <w:sz w:val="22"/>
          <w:szCs w:val="22"/>
        </w:rPr>
        <w:t xml:space="preserve"> support product reviews by both issuers and distributors. Equivalent obligation</w:t>
      </w:r>
      <w:r>
        <w:rPr>
          <w:rFonts w:ascii="Arial" w:hAnsi="Arial" w:cs="Arial"/>
          <w:i/>
          <w:sz w:val="22"/>
          <w:szCs w:val="22"/>
        </w:rPr>
        <w:t>s</w:t>
      </w:r>
      <w:r w:rsidRPr="002D01C2">
        <w:rPr>
          <w:rFonts w:ascii="Arial" w:hAnsi="Arial" w:cs="Arial"/>
          <w:i/>
          <w:sz w:val="22"/>
          <w:szCs w:val="22"/>
        </w:rPr>
        <w:t xml:space="preserve"> should also be imposed on advised distributors.</w:t>
      </w:r>
    </w:p>
    <w:p w14:paraId="15025ECD" w14:textId="77777777" w:rsidR="00AB2907" w:rsidRPr="002D01C2" w:rsidRDefault="00AB2907" w:rsidP="00107BFD">
      <w:pPr>
        <w:pStyle w:val="Default"/>
        <w:spacing w:after="0" w:line="360" w:lineRule="auto"/>
        <w:rPr>
          <w:rFonts w:ascii="Arial" w:hAnsi="Arial" w:cs="Arial"/>
          <w:i/>
          <w:sz w:val="22"/>
          <w:szCs w:val="22"/>
        </w:rPr>
      </w:pPr>
    </w:p>
    <w:p w14:paraId="4B1EA8BD"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20. In relation to all the proposed distributor obligations, what level of detail should be prescribed in legislation versus being specified in ASIC guidance? </w:t>
      </w:r>
    </w:p>
    <w:p w14:paraId="723C3EB0" w14:textId="77777777" w:rsidR="005B673B" w:rsidRDefault="005B673B" w:rsidP="00107BFD">
      <w:pPr>
        <w:autoSpaceDE w:val="0"/>
        <w:autoSpaceDN w:val="0"/>
        <w:adjustRightInd w:val="0"/>
        <w:spacing w:after="0" w:line="360" w:lineRule="auto"/>
        <w:rPr>
          <w:rFonts w:ascii="Arial" w:hAnsi="Arial" w:cs="Arial"/>
          <w:color w:val="000000"/>
        </w:rPr>
      </w:pPr>
    </w:p>
    <w:p w14:paraId="0C3DD296"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3AC486A8"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 xml:space="preserve">Response: The level of detail prescribed should be based on sound commercial principles. These principles should be prescribed in the legislation whilst the application of these principles should be specified in ASIC guidelines to guide practice. ASIC compliance programs are then designed around the monitoring of guidelines. </w:t>
      </w:r>
    </w:p>
    <w:p w14:paraId="206E9D6C" w14:textId="77777777" w:rsidR="005B673B" w:rsidRDefault="005B673B" w:rsidP="00107BFD">
      <w:pPr>
        <w:pStyle w:val="Default"/>
        <w:spacing w:after="0" w:line="360" w:lineRule="auto"/>
        <w:rPr>
          <w:rFonts w:ascii="Arial" w:hAnsi="Arial" w:cs="Arial"/>
          <w:sz w:val="22"/>
          <w:szCs w:val="22"/>
        </w:rPr>
      </w:pPr>
    </w:p>
    <w:p w14:paraId="4E99E929"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21. Do you agree with the obligations applying 6 months after the reforms receive Royal Assent for products that have not previously been made available to consumers? If not, please explain why with relevant examples. </w:t>
      </w:r>
    </w:p>
    <w:p w14:paraId="7523EC7D" w14:textId="77777777" w:rsidR="005B673B" w:rsidRPr="00FB7579" w:rsidRDefault="005B673B" w:rsidP="00107BFD">
      <w:pPr>
        <w:pStyle w:val="Default"/>
        <w:spacing w:after="0" w:line="360" w:lineRule="auto"/>
        <w:rPr>
          <w:rFonts w:ascii="Arial" w:hAnsi="Arial" w:cs="Arial"/>
          <w:sz w:val="22"/>
          <w:szCs w:val="22"/>
        </w:rPr>
      </w:pPr>
    </w:p>
    <w:p w14:paraId="55182DAA" w14:textId="77777777" w:rsidR="00107BFD" w:rsidRDefault="00107BFD" w:rsidP="00107BFD">
      <w:pPr>
        <w:pStyle w:val="Default"/>
        <w:spacing w:after="0" w:line="360" w:lineRule="auto"/>
        <w:rPr>
          <w:rFonts w:ascii="Arial" w:hAnsi="Arial" w:cs="Arial"/>
          <w:i/>
          <w:sz w:val="22"/>
          <w:szCs w:val="22"/>
        </w:rPr>
      </w:pPr>
    </w:p>
    <w:p w14:paraId="7E345F42" w14:textId="3BFC155E" w:rsidR="005B673B" w:rsidRPr="008013D4" w:rsidRDefault="005B673B" w:rsidP="00107BFD">
      <w:pPr>
        <w:pStyle w:val="Default"/>
        <w:spacing w:after="0" w:line="360" w:lineRule="auto"/>
        <w:rPr>
          <w:rFonts w:ascii="Arial" w:hAnsi="Arial" w:cs="Arial"/>
          <w:i/>
          <w:sz w:val="22"/>
          <w:szCs w:val="22"/>
        </w:rPr>
      </w:pPr>
      <w:r w:rsidRPr="008013D4">
        <w:rPr>
          <w:rFonts w:ascii="Arial" w:hAnsi="Arial" w:cs="Arial"/>
          <w:i/>
          <w:sz w:val="22"/>
          <w:szCs w:val="22"/>
        </w:rPr>
        <w:t>Response: We agree with the obligations applying 6 months after the reforms receive Royal Assent for products that have not previously been made available to consumers</w:t>
      </w:r>
      <w:r w:rsidR="00265451">
        <w:rPr>
          <w:rFonts w:ascii="Arial" w:hAnsi="Arial" w:cs="Arial"/>
          <w:i/>
          <w:sz w:val="22"/>
          <w:szCs w:val="22"/>
        </w:rPr>
        <w:t xml:space="preserve">.    </w:t>
      </w:r>
    </w:p>
    <w:p w14:paraId="7ACE9DD5" w14:textId="77777777" w:rsidR="005B673B" w:rsidRPr="00FB7579" w:rsidRDefault="005B673B" w:rsidP="00107BFD">
      <w:pPr>
        <w:pStyle w:val="Default"/>
        <w:spacing w:after="0" w:line="360" w:lineRule="auto"/>
        <w:rPr>
          <w:rFonts w:ascii="Arial" w:hAnsi="Arial" w:cs="Arial"/>
          <w:sz w:val="22"/>
          <w:szCs w:val="22"/>
        </w:rPr>
      </w:pPr>
    </w:p>
    <w:p w14:paraId="6389FACC"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22. Do you agree with the obligations applying to existing products in the market 2 years after the reforms receive Royal Assent? If not, please explain why with relevant examples and indicate what you consider to be a more appropriate transition period. </w:t>
      </w:r>
    </w:p>
    <w:p w14:paraId="3F675F38" w14:textId="77777777" w:rsidR="005B673B" w:rsidRDefault="005B673B" w:rsidP="00107BFD">
      <w:pPr>
        <w:autoSpaceDE w:val="0"/>
        <w:autoSpaceDN w:val="0"/>
        <w:adjustRightInd w:val="0"/>
        <w:spacing w:after="0" w:line="360" w:lineRule="auto"/>
        <w:rPr>
          <w:rFonts w:ascii="Arial" w:hAnsi="Arial" w:cs="Arial"/>
          <w:color w:val="000000"/>
        </w:rPr>
      </w:pPr>
    </w:p>
    <w:p w14:paraId="7BBCAB86"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100D3F20" w14:textId="4F97D343"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 xml:space="preserve">Response: We agree with the Proposal. Industry requires sufficient time to work with the new regime and renegotiate any ‘open’ contracts between issuers and distributors in relation to existing products. We consider allowing the obligations applying to existing products in the market 2 years after the reforms receive Royal Assent </w:t>
      </w:r>
      <w:r w:rsidR="00265451">
        <w:rPr>
          <w:rFonts w:ascii="Arial" w:hAnsi="Arial" w:cs="Arial"/>
          <w:i/>
          <w:color w:val="000000"/>
          <w:sz w:val="22"/>
          <w:szCs w:val="22"/>
        </w:rPr>
        <w:t>to be reasonable and realistic;</w:t>
      </w:r>
      <w:r w:rsidRPr="00AB2907">
        <w:rPr>
          <w:rFonts w:ascii="Arial" w:hAnsi="Arial" w:cs="Arial"/>
          <w:i/>
          <w:color w:val="000000"/>
          <w:sz w:val="22"/>
          <w:szCs w:val="22"/>
        </w:rPr>
        <w:t xml:space="preserve"> however </w:t>
      </w:r>
      <w:r w:rsidR="00265451">
        <w:rPr>
          <w:rFonts w:ascii="Arial" w:hAnsi="Arial" w:cs="Arial"/>
          <w:i/>
          <w:color w:val="000000"/>
          <w:sz w:val="22"/>
          <w:szCs w:val="22"/>
        </w:rPr>
        <w:t xml:space="preserve">it is necessary to be mindful of any </w:t>
      </w:r>
      <w:r w:rsidRPr="00AB2907">
        <w:rPr>
          <w:rFonts w:ascii="Arial" w:hAnsi="Arial" w:cs="Arial"/>
          <w:i/>
          <w:color w:val="000000"/>
          <w:sz w:val="22"/>
          <w:szCs w:val="22"/>
        </w:rPr>
        <w:t xml:space="preserve">inequity </w:t>
      </w:r>
      <w:r w:rsidR="00265451">
        <w:rPr>
          <w:rFonts w:ascii="Arial" w:hAnsi="Arial" w:cs="Arial"/>
          <w:i/>
          <w:color w:val="000000"/>
          <w:sz w:val="22"/>
          <w:szCs w:val="22"/>
        </w:rPr>
        <w:t xml:space="preserve">which will be created </w:t>
      </w:r>
      <w:r w:rsidRPr="00AB2907">
        <w:rPr>
          <w:rFonts w:ascii="Arial" w:hAnsi="Arial" w:cs="Arial"/>
          <w:i/>
          <w:color w:val="000000"/>
          <w:sz w:val="22"/>
          <w:szCs w:val="22"/>
        </w:rPr>
        <w:t>amongst retail consumers, that is, post</w:t>
      </w:r>
      <w:r w:rsidR="00265451">
        <w:rPr>
          <w:rFonts w:ascii="Arial" w:hAnsi="Arial" w:cs="Arial"/>
          <w:i/>
          <w:color w:val="000000"/>
          <w:sz w:val="22"/>
          <w:szCs w:val="22"/>
        </w:rPr>
        <w:t>-</w:t>
      </w:r>
      <w:r w:rsidRPr="00AB2907">
        <w:rPr>
          <w:rFonts w:ascii="Arial" w:hAnsi="Arial" w:cs="Arial"/>
          <w:i/>
          <w:color w:val="000000"/>
          <w:sz w:val="22"/>
          <w:szCs w:val="22"/>
        </w:rPr>
        <w:t>regulation consumers have higher levels of protection than pre</w:t>
      </w:r>
      <w:r w:rsidR="00265451">
        <w:rPr>
          <w:rFonts w:ascii="Arial" w:hAnsi="Arial" w:cs="Arial"/>
          <w:i/>
          <w:color w:val="000000"/>
          <w:sz w:val="22"/>
          <w:szCs w:val="22"/>
        </w:rPr>
        <w:t>-</w:t>
      </w:r>
      <w:r w:rsidRPr="00AB2907">
        <w:rPr>
          <w:rFonts w:ascii="Arial" w:hAnsi="Arial" w:cs="Arial"/>
          <w:i/>
          <w:color w:val="000000"/>
          <w:sz w:val="22"/>
          <w:szCs w:val="22"/>
        </w:rPr>
        <w:t>regulation consumers of similar products.</w:t>
      </w:r>
      <w:r w:rsidR="00265451">
        <w:rPr>
          <w:rFonts w:ascii="Arial" w:hAnsi="Arial" w:cs="Arial"/>
          <w:i/>
          <w:color w:val="000000"/>
          <w:sz w:val="22"/>
          <w:szCs w:val="22"/>
        </w:rPr>
        <w:t xml:space="preserve"> Earlier adoption of the reforms should be allowed and encouraged, as is the case with the earlier adoption of revised standards and rules in the accounting profession. </w:t>
      </w:r>
    </w:p>
    <w:p w14:paraId="6C630EC9" w14:textId="3D4F1D10" w:rsidR="005B673B" w:rsidRPr="00AB2907" w:rsidRDefault="005B673B" w:rsidP="00107BFD">
      <w:pPr>
        <w:autoSpaceDE w:val="0"/>
        <w:autoSpaceDN w:val="0"/>
        <w:adjustRightInd w:val="0"/>
        <w:spacing w:after="0" w:line="360" w:lineRule="auto"/>
        <w:rPr>
          <w:rFonts w:ascii="Arial" w:hAnsi="Arial" w:cs="Arial"/>
          <w:color w:val="000000"/>
          <w:sz w:val="22"/>
          <w:szCs w:val="22"/>
        </w:rPr>
      </w:pPr>
      <w:r w:rsidRPr="00AB2907">
        <w:rPr>
          <w:rFonts w:ascii="Arial" w:hAnsi="Arial" w:cs="Arial"/>
          <w:i/>
          <w:color w:val="000000"/>
          <w:sz w:val="22"/>
          <w:szCs w:val="22"/>
        </w:rPr>
        <w:t xml:space="preserve">ASIC should develop a Regulatory Guide </w:t>
      </w:r>
      <w:r w:rsidR="00265451">
        <w:rPr>
          <w:rFonts w:ascii="Arial" w:hAnsi="Arial" w:cs="Arial"/>
          <w:i/>
          <w:color w:val="000000"/>
          <w:sz w:val="22"/>
          <w:szCs w:val="22"/>
        </w:rPr>
        <w:t>as soon as possible to ensure a smooth transition</w:t>
      </w:r>
      <w:r w:rsidR="00EE1C90">
        <w:rPr>
          <w:rFonts w:ascii="Arial" w:hAnsi="Arial" w:cs="Arial"/>
          <w:i/>
          <w:color w:val="000000"/>
          <w:sz w:val="22"/>
          <w:szCs w:val="22"/>
        </w:rPr>
        <w:t>.</w:t>
      </w:r>
    </w:p>
    <w:p w14:paraId="2F3B3752" w14:textId="77777777" w:rsidR="005B673B" w:rsidRPr="00AB2907" w:rsidRDefault="005B673B" w:rsidP="00107BFD">
      <w:pPr>
        <w:autoSpaceDE w:val="0"/>
        <w:autoSpaceDN w:val="0"/>
        <w:adjustRightInd w:val="0"/>
        <w:spacing w:after="0" w:line="360" w:lineRule="auto"/>
        <w:rPr>
          <w:rFonts w:ascii="Arial" w:hAnsi="Arial" w:cs="Arial"/>
          <w:color w:val="000000"/>
          <w:sz w:val="22"/>
          <w:szCs w:val="22"/>
        </w:rPr>
      </w:pPr>
    </w:p>
    <w:p w14:paraId="03D9E071"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5883FD48" w14:textId="77777777" w:rsidR="005B673B" w:rsidRPr="00FB7579" w:rsidRDefault="005B673B" w:rsidP="00E47271">
      <w:pPr>
        <w:shd w:val="clear" w:color="auto" w:fill="D9D9D9" w:themeFill="background1" w:themeFillShade="D9"/>
        <w:autoSpaceDE w:val="0"/>
        <w:autoSpaceDN w:val="0"/>
        <w:adjustRightInd w:val="0"/>
        <w:spacing w:after="0" w:line="360" w:lineRule="auto"/>
        <w:rPr>
          <w:rFonts w:ascii="Arial" w:hAnsi="Arial" w:cs="Arial"/>
          <w:b/>
          <w:color w:val="000000"/>
        </w:rPr>
      </w:pPr>
      <w:r>
        <w:rPr>
          <w:rFonts w:ascii="Arial" w:hAnsi="Arial" w:cs="Arial"/>
          <w:b/>
          <w:color w:val="000000"/>
        </w:rPr>
        <w:t xml:space="preserve">3. </w:t>
      </w:r>
      <w:r w:rsidRPr="00FB7579">
        <w:rPr>
          <w:rFonts w:ascii="Arial" w:hAnsi="Arial" w:cs="Arial"/>
          <w:b/>
          <w:color w:val="000000"/>
        </w:rPr>
        <w:t>Product Intervention Power</w:t>
      </w:r>
    </w:p>
    <w:p w14:paraId="5A988FC4" w14:textId="77777777" w:rsidR="005B673B" w:rsidRDefault="005B673B" w:rsidP="00107BFD">
      <w:pPr>
        <w:autoSpaceDE w:val="0"/>
        <w:autoSpaceDN w:val="0"/>
        <w:adjustRightInd w:val="0"/>
        <w:spacing w:after="0" w:line="360" w:lineRule="auto"/>
        <w:rPr>
          <w:rFonts w:ascii="Arial" w:hAnsi="Arial" w:cs="Arial"/>
          <w:color w:val="000000"/>
        </w:rPr>
      </w:pPr>
    </w:p>
    <w:p w14:paraId="29D03F86" w14:textId="77777777" w:rsidR="005B673B" w:rsidRDefault="005B673B" w:rsidP="00107BFD">
      <w:pPr>
        <w:pStyle w:val="Default"/>
        <w:spacing w:after="0" w:line="360" w:lineRule="auto"/>
        <w:rPr>
          <w:rFonts w:ascii="Arial" w:hAnsi="Arial" w:cs="Arial"/>
          <w:b/>
          <w:bCs/>
          <w:color w:val="auto"/>
          <w:sz w:val="22"/>
          <w:szCs w:val="22"/>
        </w:rPr>
      </w:pPr>
      <w:r w:rsidRPr="009F1309">
        <w:rPr>
          <w:rFonts w:ascii="Arial" w:hAnsi="Arial" w:cs="Arial"/>
          <w:b/>
          <w:bCs/>
          <w:color w:val="auto"/>
          <w:sz w:val="22"/>
          <w:szCs w:val="22"/>
        </w:rPr>
        <w:t>Questions and Res</w:t>
      </w:r>
      <w:r>
        <w:rPr>
          <w:rFonts w:ascii="Arial" w:hAnsi="Arial" w:cs="Arial"/>
          <w:b/>
          <w:bCs/>
          <w:color w:val="auto"/>
          <w:sz w:val="22"/>
          <w:szCs w:val="22"/>
        </w:rPr>
        <w:t>p</w:t>
      </w:r>
      <w:r w:rsidRPr="009F1309">
        <w:rPr>
          <w:rFonts w:ascii="Arial" w:hAnsi="Arial" w:cs="Arial"/>
          <w:b/>
          <w:bCs/>
          <w:color w:val="auto"/>
          <w:sz w:val="22"/>
          <w:szCs w:val="22"/>
        </w:rPr>
        <w:t>onses</w:t>
      </w:r>
    </w:p>
    <w:p w14:paraId="3521D20B" w14:textId="77777777" w:rsidR="005B673B" w:rsidRPr="009F1309" w:rsidRDefault="005B673B" w:rsidP="00107BFD">
      <w:pPr>
        <w:pStyle w:val="Default"/>
        <w:spacing w:after="0" w:line="360" w:lineRule="auto"/>
        <w:rPr>
          <w:rFonts w:ascii="Arial" w:hAnsi="Arial" w:cs="Arial"/>
          <w:b/>
          <w:bCs/>
          <w:color w:val="auto"/>
          <w:sz w:val="22"/>
          <w:szCs w:val="22"/>
        </w:rPr>
      </w:pPr>
    </w:p>
    <w:p w14:paraId="6D83CC15" w14:textId="77777777" w:rsidR="005B673B" w:rsidRPr="00467757"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467757">
        <w:rPr>
          <w:rFonts w:ascii="Arial" w:hAnsi="Arial" w:cs="Arial"/>
          <w:sz w:val="22"/>
          <w:szCs w:val="22"/>
        </w:rPr>
        <w:t xml:space="preserve">23. Do you agree that ASIC should be able to make interventions in relation to the product (or product feature), the types of consumers that can access a product or the circumstances in which a consumer can access the product.  If not, please explain why with relevant examples. </w:t>
      </w:r>
    </w:p>
    <w:p w14:paraId="4F3B6C9E" w14:textId="77777777" w:rsidR="005B673B" w:rsidRPr="00467757" w:rsidRDefault="005B673B" w:rsidP="00107BFD">
      <w:pPr>
        <w:pStyle w:val="Default"/>
        <w:spacing w:after="0" w:line="360" w:lineRule="auto"/>
        <w:rPr>
          <w:rFonts w:ascii="Arial" w:hAnsi="Arial" w:cs="Arial"/>
          <w:sz w:val="22"/>
          <w:szCs w:val="22"/>
        </w:rPr>
      </w:pPr>
    </w:p>
    <w:p w14:paraId="35C2C2F0" w14:textId="77777777" w:rsidR="005B673B" w:rsidRPr="00467757" w:rsidRDefault="005B673B" w:rsidP="00107BFD">
      <w:pPr>
        <w:pStyle w:val="Default"/>
        <w:spacing w:after="0" w:line="360" w:lineRule="auto"/>
        <w:rPr>
          <w:rFonts w:ascii="Arial" w:hAnsi="Arial" w:cs="Arial"/>
          <w:i/>
          <w:sz w:val="22"/>
          <w:szCs w:val="22"/>
        </w:rPr>
      </w:pPr>
      <w:r w:rsidRPr="00467757">
        <w:rPr>
          <w:rFonts w:ascii="Arial" w:hAnsi="Arial" w:cs="Arial"/>
          <w:i/>
          <w:sz w:val="22"/>
          <w:szCs w:val="22"/>
        </w:rPr>
        <w:t xml:space="preserve">Response: </w:t>
      </w:r>
      <w:r>
        <w:rPr>
          <w:rFonts w:ascii="Arial" w:hAnsi="Arial" w:cs="Arial"/>
          <w:i/>
          <w:sz w:val="22"/>
          <w:szCs w:val="22"/>
        </w:rPr>
        <w:t>We agree that</w:t>
      </w:r>
      <w:r w:rsidRPr="00467757">
        <w:rPr>
          <w:rFonts w:ascii="Arial" w:hAnsi="Arial" w:cs="Arial"/>
          <w:i/>
          <w:sz w:val="22"/>
          <w:szCs w:val="22"/>
        </w:rPr>
        <w:t xml:space="preserve"> ASIC should be able to use its powers to make interventions to the product or product features</w:t>
      </w:r>
      <w:r>
        <w:rPr>
          <w:rFonts w:ascii="Arial" w:hAnsi="Arial" w:cs="Arial"/>
          <w:i/>
          <w:sz w:val="22"/>
          <w:szCs w:val="22"/>
        </w:rPr>
        <w:t>,</w:t>
      </w:r>
      <w:r w:rsidRPr="00467757">
        <w:rPr>
          <w:rFonts w:ascii="Arial" w:hAnsi="Arial" w:cs="Arial"/>
          <w:i/>
          <w:sz w:val="22"/>
          <w:szCs w:val="22"/>
        </w:rPr>
        <w:t xml:space="preserve"> the types of consumers that can access a product or the circumstances in which a c</w:t>
      </w:r>
      <w:r>
        <w:rPr>
          <w:rFonts w:ascii="Arial" w:hAnsi="Arial" w:cs="Arial"/>
          <w:i/>
          <w:sz w:val="22"/>
          <w:szCs w:val="22"/>
        </w:rPr>
        <w:t>onsumer can access the product. Alternatively rather than granting ASIC the power to make interventions, ASIC’s existing ‘stop order’ power under section 739 of the Corporations Act 2001</w:t>
      </w:r>
      <w:r>
        <w:rPr>
          <w:rStyle w:val="FootnoteReference"/>
          <w:rFonts w:ascii="Arial" w:hAnsi="Arial" w:cs="Arial"/>
          <w:i/>
          <w:sz w:val="22"/>
          <w:szCs w:val="22"/>
        </w:rPr>
        <w:footnoteReference w:id="10"/>
      </w:r>
      <w:r>
        <w:rPr>
          <w:rFonts w:ascii="Arial" w:hAnsi="Arial" w:cs="Arial"/>
          <w:i/>
          <w:sz w:val="22"/>
          <w:szCs w:val="22"/>
        </w:rPr>
        <w:t xml:space="preserve"> could be extended to cover matters involving breaches of the design and distribution obligations and breaches of interventions.</w:t>
      </w:r>
    </w:p>
    <w:p w14:paraId="38E874DA" w14:textId="77777777" w:rsidR="005B673B" w:rsidRPr="00467757" w:rsidRDefault="005B673B" w:rsidP="00107BFD">
      <w:pPr>
        <w:pStyle w:val="Default"/>
        <w:spacing w:after="0" w:line="360" w:lineRule="auto"/>
        <w:rPr>
          <w:rFonts w:ascii="Arial" w:hAnsi="Arial" w:cs="Arial"/>
          <w:sz w:val="22"/>
          <w:szCs w:val="22"/>
        </w:rPr>
      </w:pPr>
    </w:p>
    <w:p w14:paraId="48D7A896" w14:textId="77777777" w:rsidR="005B673B" w:rsidRPr="00467757"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467757">
        <w:rPr>
          <w:rFonts w:ascii="Arial" w:hAnsi="Arial" w:cs="Arial"/>
          <w:sz w:val="22"/>
          <w:szCs w:val="22"/>
        </w:rPr>
        <w:t xml:space="preserve">24. Are there any other types of interventions ASIC should be able to make (for example, remuneration)? </w:t>
      </w:r>
    </w:p>
    <w:p w14:paraId="146B50B8" w14:textId="77777777" w:rsidR="005B673B" w:rsidRPr="00467757" w:rsidRDefault="005B673B" w:rsidP="00107BFD">
      <w:pPr>
        <w:autoSpaceDE w:val="0"/>
        <w:autoSpaceDN w:val="0"/>
        <w:adjustRightInd w:val="0"/>
        <w:spacing w:after="0" w:line="360" w:lineRule="auto"/>
        <w:rPr>
          <w:rFonts w:ascii="Arial" w:hAnsi="Arial" w:cs="Arial"/>
          <w:color w:val="000000"/>
        </w:rPr>
      </w:pPr>
    </w:p>
    <w:p w14:paraId="74046E98" w14:textId="77777777" w:rsidR="005B673B" w:rsidRPr="00AB2907" w:rsidRDefault="005B673B" w:rsidP="00107BFD">
      <w:pPr>
        <w:autoSpaceDE w:val="0"/>
        <w:autoSpaceDN w:val="0"/>
        <w:adjustRightInd w:val="0"/>
        <w:spacing w:after="0" w:line="360" w:lineRule="auto"/>
        <w:rPr>
          <w:rFonts w:ascii="Arial" w:hAnsi="Arial" w:cs="Arial"/>
          <w:color w:val="000000"/>
          <w:sz w:val="22"/>
          <w:szCs w:val="22"/>
        </w:rPr>
      </w:pPr>
      <w:r w:rsidRPr="00AB2907">
        <w:rPr>
          <w:rFonts w:ascii="Arial" w:hAnsi="Arial" w:cs="Arial"/>
          <w:i/>
          <w:color w:val="000000"/>
          <w:sz w:val="22"/>
          <w:szCs w:val="22"/>
        </w:rPr>
        <w:t>Response: ASIC should be able to intervene to stop payments of all commissions from issuers to distributors or commissions between distributors where the commission is directly related to the design or the distribution of the product, therefore arguably a product feature in accordance with Regulatory Guide 168 Disclosure: Product Disclosure Statement (and other disclosure obligations)</w:t>
      </w:r>
      <w:r w:rsidRPr="00AB2907">
        <w:rPr>
          <w:rStyle w:val="FootnoteReference"/>
          <w:rFonts w:ascii="Arial" w:hAnsi="Arial" w:cs="Arial"/>
          <w:i/>
          <w:color w:val="000000"/>
          <w:sz w:val="22"/>
          <w:szCs w:val="22"/>
        </w:rPr>
        <w:footnoteReference w:id="11"/>
      </w:r>
      <w:r w:rsidRPr="00AB2907">
        <w:rPr>
          <w:rFonts w:ascii="Arial" w:hAnsi="Arial" w:cs="Arial"/>
          <w:i/>
          <w:color w:val="000000"/>
          <w:sz w:val="22"/>
          <w:szCs w:val="22"/>
        </w:rPr>
        <w:t>.</w:t>
      </w:r>
    </w:p>
    <w:p w14:paraId="27E43CA4" w14:textId="77777777" w:rsidR="005B673B" w:rsidRPr="00467757" w:rsidRDefault="005B673B" w:rsidP="00107BFD">
      <w:pPr>
        <w:pStyle w:val="Default"/>
        <w:spacing w:after="0" w:line="360" w:lineRule="auto"/>
        <w:rPr>
          <w:rFonts w:ascii="Arial" w:hAnsi="Arial" w:cs="Arial"/>
          <w:color w:val="auto"/>
          <w:sz w:val="22"/>
          <w:szCs w:val="22"/>
        </w:rPr>
      </w:pPr>
    </w:p>
    <w:p w14:paraId="79F72CFA" w14:textId="77777777" w:rsidR="005B673B" w:rsidRPr="00467757"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467757">
        <w:rPr>
          <w:rFonts w:ascii="Arial" w:hAnsi="Arial" w:cs="Arial"/>
          <w:sz w:val="22"/>
          <w:szCs w:val="22"/>
        </w:rPr>
        <w:t xml:space="preserve">25. Do you agree that the extent of a consumer detriment being determined by reference to the scale of the detriment in the market, the potential scale of the detriment to individual consumers and the class of consumers impacted? Are there any other factors that should be taken into consideration? </w:t>
      </w:r>
    </w:p>
    <w:p w14:paraId="1A856503" w14:textId="77777777" w:rsidR="005B673B" w:rsidRDefault="005B673B" w:rsidP="00107BFD">
      <w:pPr>
        <w:autoSpaceDE w:val="0"/>
        <w:autoSpaceDN w:val="0"/>
        <w:adjustRightInd w:val="0"/>
        <w:spacing w:after="0" w:line="360" w:lineRule="auto"/>
        <w:rPr>
          <w:rFonts w:ascii="Arial" w:hAnsi="Arial" w:cs="Arial"/>
          <w:color w:val="000000"/>
        </w:rPr>
      </w:pPr>
    </w:p>
    <w:p w14:paraId="0A80F70A" w14:textId="77777777" w:rsidR="005B673B" w:rsidRPr="00467757" w:rsidRDefault="005B673B" w:rsidP="00107BFD">
      <w:pPr>
        <w:autoSpaceDE w:val="0"/>
        <w:autoSpaceDN w:val="0"/>
        <w:adjustRightInd w:val="0"/>
        <w:spacing w:after="0" w:line="360" w:lineRule="auto"/>
        <w:rPr>
          <w:rFonts w:ascii="Arial" w:hAnsi="Arial" w:cs="Arial"/>
          <w:color w:val="000000"/>
        </w:rPr>
      </w:pPr>
    </w:p>
    <w:p w14:paraId="1091F109" w14:textId="77777777" w:rsidR="005B673B"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 xml:space="preserve">Response: We </w:t>
      </w:r>
      <w:r w:rsidRPr="00AB2907">
        <w:rPr>
          <w:rFonts w:ascii="Arial" w:hAnsi="Arial" w:cs="Arial"/>
          <w:i/>
          <w:sz w:val="22"/>
          <w:szCs w:val="22"/>
        </w:rPr>
        <w:t xml:space="preserve">agree that the extent of a consumer detriment is determined by reference to the scale of the detriment in the market, the potential scale of the detriment to individual consumers and the class of consumers impacted. </w:t>
      </w:r>
      <w:r w:rsidRPr="00AB2907">
        <w:rPr>
          <w:rFonts w:ascii="Arial" w:hAnsi="Arial" w:cs="Arial"/>
          <w:i/>
          <w:color w:val="000000"/>
          <w:sz w:val="22"/>
          <w:szCs w:val="22"/>
        </w:rPr>
        <w:t>Another factor that should be taken into account when considering the potential scale and which reflects the long term impact on the consumer is to consider the consumer’s ability to recover from the financial loss likely to arise from the detriment.</w:t>
      </w:r>
    </w:p>
    <w:p w14:paraId="2C210F0F" w14:textId="77777777" w:rsidR="00E47271" w:rsidRPr="00AB2907" w:rsidRDefault="00E47271" w:rsidP="00107BFD">
      <w:pPr>
        <w:autoSpaceDE w:val="0"/>
        <w:autoSpaceDN w:val="0"/>
        <w:adjustRightInd w:val="0"/>
        <w:spacing w:after="0" w:line="360" w:lineRule="auto"/>
        <w:rPr>
          <w:rFonts w:ascii="Arial" w:hAnsi="Arial" w:cs="Arial"/>
          <w:i/>
          <w:color w:val="000000"/>
          <w:sz w:val="22"/>
          <w:szCs w:val="22"/>
        </w:rPr>
      </w:pPr>
    </w:p>
    <w:p w14:paraId="14D14E99" w14:textId="77777777" w:rsidR="005B673B" w:rsidRPr="00467757"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467757">
        <w:rPr>
          <w:rFonts w:ascii="Arial" w:hAnsi="Arial" w:cs="Arial"/>
          <w:sz w:val="22"/>
          <w:szCs w:val="22"/>
        </w:rPr>
        <w:t xml:space="preserve">26. Do you agree with ASIC being required to undertake consultation and consider the use of alternative powers before making an intervention? Are there any other steps that should be incorporated? </w:t>
      </w:r>
    </w:p>
    <w:p w14:paraId="1B9CC720" w14:textId="77777777" w:rsidR="00107BFD" w:rsidRDefault="00107BFD" w:rsidP="00107BFD">
      <w:pPr>
        <w:pStyle w:val="Default"/>
        <w:spacing w:after="0" w:line="360" w:lineRule="auto"/>
        <w:rPr>
          <w:rFonts w:ascii="Arial" w:hAnsi="Arial" w:cs="Arial"/>
          <w:i/>
          <w:sz w:val="22"/>
          <w:szCs w:val="22"/>
        </w:rPr>
      </w:pPr>
    </w:p>
    <w:p w14:paraId="688FE479" w14:textId="77777777" w:rsidR="00107BFD" w:rsidRDefault="00107BFD" w:rsidP="00107BFD">
      <w:pPr>
        <w:pStyle w:val="Default"/>
        <w:spacing w:after="0" w:line="360" w:lineRule="auto"/>
        <w:rPr>
          <w:rFonts w:ascii="Arial" w:hAnsi="Arial" w:cs="Arial"/>
          <w:i/>
          <w:sz w:val="22"/>
          <w:szCs w:val="22"/>
        </w:rPr>
      </w:pPr>
    </w:p>
    <w:p w14:paraId="59EE2647" w14:textId="48E79304" w:rsidR="005B673B" w:rsidRPr="00467757" w:rsidRDefault="005B673B" w:rsidP="00107BFD">
      <w:pPr>
        <w:pStyle w:val="Default"/>
        <w:spacing w:after="0" w:line="360" w:lineRule="auto"/>
        <w:rPr>
          <w:rFonts w:ascii="Arial" w:hAnsi="Arial" w:cs="Arial"/>
          <w:i/>
          <w:sz w:val="22"/>
          <w:szCs w:val="22"/>
        </w:rPr>
      </w:pPr>
      <w:r w:rsidRPr="00467757">
        <w:rPr>
          <w:rFonts w:ascii="Arial" w:hAnsi="Arial" w:cs="Arial"/>
          <w:i/>
          <w:sz w:val="22"/>
          <w:szCs w:val="22"/>
        </w:rPr>
        <w:t>Response: Yes</w:t>
      </w:r>
      <w:r>
        <w:rPr>
          <w:rFonts w:ascii="Arial" w:hAnsi="Arial" w:cs="Arial"/>
          <w:i/>
          <w:sz w:val="22"/>
          <w:szCs w:val="22"/>
        </w:rPr>
        <w:t xml:space="preserve"> we support this Proposal</w:t>
      </w:r>
      <w:r w:rsidRPr="00467757">
        <w:rPr>
          <w:rFonts w:ascii="Arial" w:hAnsi="Arial" w:cs="Arial"/>
          <w:i/>
          <w:sz w:val="22"/>
          <w:szCs w:val="22"/>
        </w:rPr>
        <w:t>. ASIC should first consider the use of alternative powers before making an intervention</w:t>
      </w:r>
      <w:r>
        <w:rPr>
          <w:rFonts w:ascii="Arial" w:hAnsi="Arial" w:cs="Arial"/>
          <w:i/>
          <w:sz w:val="22"/>
          <w:szCs w:val="22"/>
        </w:rPr>
        <w:t xml:space="preserve"> and justify its preference to make an intervention. </w:t>
      </w:r>
      <w:r w:rsidRPr="00467757">
        <w:rPr>
          <w:rFonts w:ascii="Arial" w:hAnsi="Arial" w:cs="Arial"/>
          <w:i/>
          <w:sz w:val="22"/>
          <w:szCs w:val="22"/>
        </w:rPr>
        <w:t>ASIC should also notify the entity about its intention to use its intervention power in relation to a matter. Next</w:t>
      </w:r>
      <w:r w:rsidR="00AB2907">
        <w:rPr>
          <w:rFonts w:ascii="Arial" w:hAnsi="Arial" w:cs="Arial"/>
          <w:i/>
          <w:sz w:val="22"/>
          <w:szCs w:val="22"/>
        </w:rPr>
        <w:t xml:space="preserve">, ASIC should </w:t>
      </w:r>
      <w:r w:rsidRPr="00467757">
        <w:rPr>
          <w:rFonts w:ascii="Arial" w:hAnsi="Arial" w:cs="Arial"/>
          <w:i/>
          <w:sz w:val="22"/>
          <w:szCs w:val="22"/>
        </w:rPr>
        <w:t>provide the entity with the opportunity to put its case forward within a reasonable time frame</w:t>
      </w:r>
      <w:r>
        <w:rPr>
          <w:rFonts w:ascii="Arial" w:hAnsi="Arial" w:cs="Arial"/>
          <w:i/>
          <w:sz w:val="22"/>
          <w:szCs w:val="22"/>
        </w:rPr>
        <w:t>,</w:t>
      </w:r>
      <w:r w:rsidRPr="00467757">
        <w:rPr>
          <w:rFonts w:ascii="Arial" w:hAnsi="Arial" w:cs="Arial"/>
          <w:i/>
          <w:sz w:val="22"/>
          <w:szCs w:val="22"/>
        </w:rPr>
        <w:t xml:space="preserve"> </w:t>
      </w:r>
      <w:r>
        <w:rPr>
          <w:rFonts w:ascii="Arial" w:hAnsi="Arial" w:cs="Arial"/>
          <w:i/>
          <w:sz w:val="22"/>
          <w:szCs w:val="22"/>
        </w:rPr>
        <w:t>including</w:t>
      </w:r>
      <w:r w:rsidRPr="00467757">
        <w:rPr>
          <w:rFonts w:ascii="Arial" w:hAnsi="Arial" w:cs="Arial"/>
          <w:i/>
          <w:sz w:val="22"/>
          <w:szCs w:val="22"/>
        </w:rPr>
        <w:t xml:space="preserve"> (i) reasons why intervention powers should not be used and (ii) how the entity intends to resolve the problem identified by ASIC. </w:t>
      </w:r>
      <w:r>
        <w:rPr>
          <w:rFonts w:ascii="Arial" w:hAnsi="Arial" w:cs="Arial"/>
          <w:i/>
          <w:sz w:val="22"/>
          <w:szCs w:val="22"/>
        </w:rPr>
        <w:t>This proposal is consistent with the government coercive information-gathering principles</w:t>
      </w:r>
      <w:r>
        <w:rPr>
          <w:rStyle w:val="FootnoteReference"/>
          <w:rFonts w:ascii="Arial" w:hAnsi="Arial" w:cs="Arial"/>
          <w:i/>
          <w:sz w:val="22"/>
          <w:szCs w:val="22"/>
        </w:rPr>
        <w:footnoteReference w:id="12"/>
      </w:r>
      <w:r>
        <w:rPr>
          <w:rFonts w:ascii="Arial" w:hAnsi="Arial" w:cs="Arial"/>
          <w:i/>
          <w:sz w:val="22"/>
          <w:szCs w:val="22"/>
        </w:rPr>
        <w:t xml:space="preserve">.  </w:t>
      </w:r>
      <w:r w:rsidRPr="00467757">
        <w:rPr>
          <w:rFonts w:ascii="Arial" w:hAnsi="Arial" w:cs="Arial"/>
          <w:i/>
          <w:sz w:val="22"/>
          <w:szCs w:val="22"/>
        </w:rPr>
        <w:t xml:space="preserve">Failure by ASIC to </w:t>
      </w:r>
      <w:r>
        <w:rPr>
          <w:rFonts w:ascii="Arial" w:hAnsi="Arial" w:cs="Arial"/>
          <w:i/>
          <w:sz w:val="22"/>
          <w:szCs w:val="22"/>
        </w:rPr>
        <w:t>follow such a process</w:t>
      </w:r>
      <w:r w:rsidRPr="00467757">
        <w:rPr>
          <w:rFonts w:ascii="Arial" w:hAnsi="Arial" w:cs="Arial"/>
          <w:i/>
          <w:sz w:val="22"/>
          <w:szCs w:val="22"/>
        </w:rPr>
        <w:t xml:space="preserve"> </w:t>
      </w:r>
      <w:r>
        <w:rPr>
          <w:rFonts w:ascii="Arial" w:hAnsi="Arial" w:cs="Arial"/>
          <w:i/>
          <w:sz w:val="22"/>
          <w:szCs w:val="22"/>
        </w:rPr>
        <w:t>should</w:t>
      </w:r>
      <w:r w:rsidRPr="00467757">
        <w:rPr>
          <w:rFonts w:ascii="Arial" w:hAnsi="Arial" w:cs="Arial"/>
          <w:i/>
          <w:sz w:val="22"/>
          <w:szCs w:val="22"/>
        </w:rPr>
        <w:t xml:space="preserve"> void the intervention and </w:t>
      </w:r>
      <w:r>
        <w:rPr>
          <w:rFonts w:ascii="Arial" w:hAnsi="Arial" w:cs="Arial"/>
          <w:i/>
          <w:sz w:val="22"/>
          <w:szCs w:val="22"/>
        </w:rPr>
        <w:t xml:space="preserve">possibly </w:t>
      </w:r>
      <w:r w:rsidRPr="00467757">
        <w:rPr>
          <w:rFonts w:ascii="Arial" w:hAnsi="Arial" w:cs="Arial"/>
          <w:i/>
          <w:sz w:val="22"/>
          <w:szCs w:val="22"/>
        </w:rPr>
        <w:t>become liable for damages to the entity</w:t>
      </w:r>
      <w:r>
        <w:rPr>
          <w:rFonts w:ascii="Arial" w:hAnsi="Arial" w:cs="Arial"/>
          <w:i/>
          <w:sz w:val="22"/>
          <w:szCs w:val="22"/>
        </w:rPr>
        <w:t xml:space="preserve"> if the intervention caused significant disruption to the entity’s business and loss of profit</w:t>
      </w:r>
      <w:r w:rsidRPr="00467757">
        <w:rPr>
          <w:rFonts w:ascii="Arial" w:hAnsi="Arial" w:cs="Arial"/>
          <w:i/>
          <w:sz w:val="22"/>
          <w:szCs w:val="22"/>
        </w:rPr>
        <w:t>.</w:t>
      </w:r>
    </w:p>
    <w:p w14:paraId="203F4F02" w14:textId="77777777" w:rsidR="005B673B" w:rsidRDefault="005B673B" w:rsidP="00107BFD">
      <w:pPr>
        <w:pStyle w:val="Default"/>
        <w:spacing w:after="0" w:line="360" w:lineRule="auto"/>
        <w:rPr>
          <w:rFonts w:ascii="Arial" w:hAnsi="Arial" w:cs="Arial"/>
          <w:sz w:val="22"/>
          <w:szCs w:val="22"/>
        </w:rPr>
      </w:pPr>
    </w:p>
    <w:p w14:paraId="37C6B1B4" w14:textId="77777777" w:rsidR="005B673B" w:rsidRPr="00467757"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467757">
        <w:rPr>
          <w:rFonts w:ascii="Arial" w:hAnsi="Arial" w:cs="Arial"/>
          <w:sz w:val="22"/>
          <w:szCs w:val="22"/>
        </w:rPr>
        <w:t xml:space="preserve">27. Do you agree with ASIC being required to publish information on intervention, the consumer detriment and its consideration of alternative powers? Is there any other information that should be made available? </w:t>
      </w:r>
    </w:p>
    <w:p w14:paraId="5C9C2626" w14:textId="77777777" w:rsidR="005B673B" w:rsidRDefault="005B673B" w:rsidP="00107BFD">
      <w:pPr>
        <w:autoSpaceDE w:val="0"/>
        <w:autoSpaceDN w:val="0"/>
        <w:adjustRightInd w:val="0"/>
        <w:spacing w:after="0" w:line="360" w:lineRule="auto"/>
        <w:rPr>
          <w:rFonts w:ascii="Arial" w:hAnsi="Arial" w:cs="Arial"/>
          <w:color w:val="000000"/>
        </w:rPr>
      </w:pPr>
    </w:p>
    <w:p w14:paraId="6D705EE3" w14:textId="77777777" w:rsidR="005B673B" w:rsidRDefault="005B673B" w:rsidP="00107BFD">
      <w:pPr>
        <w:autoSpaceDE w:val="0"/>
        <w:autoSpaceDN w:val="0"/>
        <w:adjustRightInd w:val="0"/>
        <w:spacing w:after="0" w:line="360" w:lineRule="auto"/>
        <w:rPr>
          <w:rFonts w:ascii="Arial" w:hAnsi="Arial" w:cs="Arial"/>
          <w:i/>
          <w:color w:val="000000"/>
        </w:rPr>
      </w:pPr>
    </w:p>
    <w:p w14:paraId="0AF51790"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 xml:space="preserve">Response: We agree </w:t>
      </w:r>
      <w:r w:rsidRPr="00AB2907">
        <w:rPr>
          <w:rFonts w:ascii="Arial" w:hAnsi="Arial" w:cs="Arial"/>
          <w:i/>
          <w:sz w:val="22"/>
          <w:szCs w:val="22"/>
        </w:rPr>
        <w:t>ASIC is required to publish information on intervention, the consumer detriment and its consideration of alternative powers</w:t>
      </w:r>
      <w:r w:rsidRPr="00AB2907">
        <w:rPr>
          <w:rFonts w:ascii="Arial" w:hAnsi="Arial" w:cs="Arial"/>
          <w:i/>
          <w:color w:val="000000"/>
          <w:sz w:val="22"/>
          <w:szCs w:val="22"/>
        </w:rPr>
        <w:t xml:space="preserve">. ASIC should also publish information relating to prior breaches </w:t>
      </w:r>
      <w:r w:rsidRPr="00AB2907">
        <w:rPr>
          <w:rFonts w:ascii="Arial" w:hAnsi="Arial" w:cs="Arial"/>
          <w:i/>
          <w:sz w:val="22"/>
          <w:szCs w:val="22"/>
        </w:rPr>
        <w:t>of design and distribution obligations or prior intervention</w:t>
      </w:r>
      <w:r w:rsidRPr="00AB2907">
        <w:rPr>
          <w:rFonts w:ascii="Arial" w:hAnsi="Arial" w:cs="Arial"/>
          <w:i/>
          <w:color w:val="000000"/>
          <w:sz w:val="22"/>
          <w:szCs w:val="22"/>
        </w:rPr>
        <w:t xml:space="preserve"> committed by the issuer and/or the distributor. We believe this will effectively discipline over recidivist offenders.</w:t>
      </w:r>
    </w:p>
    <w:p w14:paraId="76FFCC21" w14:textId="77777777" w:rsidR="00AB2907" w:rsidRPr="00AB2907" w:rsidRDefault="00AB2907" w:rsidP="00107BFD">
      <w:pPr>
        <w:autoSpaceDE w:val="0"/>
        <w:autoSpaceDN w:val="0"/>
        <w:adjustRightInd w:val="0"/>
        <w:spacing w:after="0" w:line="360" w:lineRule="auto"/>
        <w:rPr>
          <w:rFonts w:ascii="Arial" w:hAnsi="Arial" w:cs="Arial"/>
          <w:i/>
          <w:color w:val="000000"/>
          <w:sz w:val="22"/>
          <w:szCs w:val="22"/>
        </w:rPr>
      </w:pPr>
    </w:p>
    <w:p w14:paraId="7795B4C5" w14:textId="77777777" w:rsidR="005B673B" w:rsidRPr="00467757" w:rsidRDefault="005B673B" w:rsidP="00107BFD">
      <w:pPr>
        <w:autoSpaceDE w:val="0"/>
        <w:autoSpaceDN w:val="0"/>
        <w:adjustRightInd w:val="0"/>
        <w:spacing w:after="0" w:line="360" w:lineRule="auto"/>
        <w:rPr>
          <w:rFonts w:ascii="Arial" w:hAnsi="Arial" w:cs="Arial"/>
          <w:color w:val="000000"/>
        </w:rPr>
      </w:pPr>
    </w:p>
    <w:p w14:paraId="4544D204" w14:textId="77777777" w:rsidR="005B673B" w:rsidRPr="00467757"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467757">
        <w:rPr>
          <w:rFonts w:ascii="Arial" w:hAnsi="Arial" w:cs="Arial"/>
          <w:sz w:val="22"/>
          <w:szCs w:val="22"/>
        </w:rPr>
        <w:t xml:space="preserve">28. Do you agree with interventions applying for an initial duration of up to 18 months with no ability for extensions? Would a different time frame be more appropriate? Please explain why. </w:t>
      </w:r>
    </w:p>
    <w:p w14:paraId="7C39C562" w14:textId="77777777" w:rsidR="005B673B" w:rsidRDefault="005B673B" w:rsidP="00107BFD">
      <w:pPr>
        <w:pStyle w:val="Default"/>
        <w:spacing w:after="0" w:line="360" w:lineRule="auto"/>
        <w:rPr>
          <w:rFonts w:ascii="Arial" w:hAnsi="Arial" w:cs="Arial"/>
          <w:i/>
          <w:sz w:val="22"/>
          <w:szCs w:val="22"/>
        </w:rPr>
      </w:pPr>
    </w:p>
    <w:p w14:paraId="3794381A" w14:textId="77777777" w:rsidR="005B673B" w:rsidRPr="00FB7579" w:rsidRDefault="005B673B" w:rsidP="00107BFD">
      <w:pPr>
        <w:pStyle w:val="Default"/>
        <w:spacing w:after="0" w:line="360" w:lineRule="auto"/>
        <w:rPr>
          <w:rFonts w:ascii="Arial" w:hAnsi="Arial" w:cs="Arial"/>
          <w:i/>
          <w:sz w:val="22"/>
          <w:szCs w:val="22"/>
        </w:rPr>
      </w:pPr>
      <w:r w:rsidRPr="00FB7579">
        <w:rPr>
          <w:rFonts w:ascii="Arial" w:hAnsi="Arial" w:cs="Arial"/>
          <w:i/>
          <w:sz w:val="22"/>
          <w:szCs w:val="22"/>
        </w:rPr>
        <w:t xml:space="preserve">Response: </w:t>
      </w:r>
      <w:r>
        <w:rPr>
          <w:rFonts w:ascii="Arial" w:hAnsi="Arial" w:cs="Arial"/>
          <w:i/>
          <w:sz w:val="22"/>
          <w:szCs w:val="22"/>
        </w:rPr>
        <w:t xml:space="preserve">We support the Proposal and agree with interventions applying for an initial duration of up to 18 months with no ability for extensions. </w:t>
      </w:r>
    </w:p>
    <w:p w14:paraId="45E8B590" w14:textId="77777777" w:rsidR="005B673B" w:rsidRDefault="005B673B" w:rsidP="00107BFD">
      <w:pPr>
        <w:pStyle w:val="Default"/>
        <w:spacing w:after="0" w:line="360" w:lineRule="auto"/>
        <w:rPr>
          <w:rFonts w:ascii="Arial" w:hAnsi="Arial" w:cs="Arial"/>
          <w:sz w:val="22"/>
          <w:szCs w:val="22"/>
        </w:rPr>
      </w:pPr>
    </w:p>
    <w:p w14:paraId="0B8A21BE"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29. What arrangements should apply if an ASIC intervention is subject to administrative or judicial appeal? Should an appeal extend the duration that the Government has to make an intervention permanent? </w:t>
      </w:r>
    </w:p>
    <w:p w14:paraId="4D3D33FD" w14:textId="77777777" w:rsidR="005B673B" w:rsidRDefault="005B673B" w:rsidP="00107BFD">
      <w:pPr>
        <w:pStyle w:val="Default"/>
        <w:spacing w:after="0" w:line="360" w:lineRule="auto"/>
        <w:rPr>
          <w:rFonts w:ascii="Arial" w:hAnsi="Arial" w:cs="Arial"/>
          <w:sz w:val="22"/>
          <w:szCs w:val="22"/>
        </w:rPr>
      </w:pPr>
    </w:p>
    <w:p w14:paraId="733CEB97" w14:textId="77777777" w:rsidR="00107BFD" w:rsidRDefault="00107BFD" w:rsidP="00107BFD">
      <w:pPr>
        <w:pStyle w:val="Default"/>
        <w:spacing w:after="0" w:line="360" w:lineRule="auto"/>
        <w:rPr>
          <w:rFonts w:ascii="Arial" w:hAnsi="Arial" w:cs="Arial"/>
          <w:i/>
          <w:sz w:val="22"/>
          <w:szCs w:val="22"/>
        </w:rPr>
      </w:pPr>
    </w:p>
    <w:p w14:paraId="40005311" w14:textId="77777777" w:rsidR="005B673B" w:rsidRDefault="005B673B" w:rsidP="00107BFD">
      <w:pPr>
        <w:pStyle w:val="Default"/>
        <w:spacing w:after="0" w:line="360" w:lineRule="auto"/>
        <w:rPr>
          <w:rFonts w:ascii="Arial" w:hAnsi="Arial" w:cs="Arial"/>
          <w:i/>
          <w:sz w:val="22"/>
          <w:szCs w:val="22"/>
        </w:rPr>
      </w:pPr>
      <w:r w:rsidRPr="00467757">
        <w:rPr>
          <w:rFonts w:ascii="Arial" w:hAnsi="Arial" w:cs="Arial"/>
          <w:i/>
          <w:sz w:val="22"/>
          <w:szCs w:val="22"/>
        </w:rPr>
        <w:t xml:space="preserve">Response: </w:t>
      </w:r>
      <w:r>
        <w:rPr>
          <w:rFonts w:ascii="Arial" w:hAnsi="Arial" w:cs="Arial"/>
          <w:i/>
          <w:sz w:val="22"/>
          <w:szCs w:val="22"/>
        </w:rPr>
        <w:t>The following arrangements should apply if an ASIC intervention is subject to administrative or judicial appeal:</w:t>
      </w:r>
    </w:p>
    <w:p w14:paraId="677F8B11" w14:textId="77777777"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(i) The appeal process should be fast tracked and provide reasonable time frames for all parties to comply with administrative or judicial directions. Non-compliance with required time frames or with administrative or judicial directions without a reasonable excuse will render the appeal void and reinstate all parties to the appeal to their original positions.</w:t>
      </w:r>
    </w:p>
    <w:p w14:paraId="2306E77D" w14:textId="77777777" w:rsidR="005B673B" w:rsidRDefault="005B673B" w:rsidP="00107BFD">
      <w:pPr>
        <w:pStyle w:val="Default"/>
        <w:spacing w:after="0" w:line="360" w:lineRule="auto"/>
        <w:rPr>
          <w:rFonts w:ascii="Arial" w:hAnsi="Arial" w:cs="Arial"/>
          <w:i/>
          <w:sz w:val="22"/>
          <w:szCs w:val="22"/>
        </w:rPr>
      </w:pPr>
      <w:r>
        <w:rPr>
          <w:rFonts w:ascii="Arial" w:hAnsi="Arial" w:cs="Arial"/>
          <w:i/>
          <w:sz w:val="22"/>
          <w:szCs w:val="22"/>
        </w:rPr>
        <w:t>(ii) The intervention should continue to apply during the appeal period to maintain consumer protection.</w:t>
      </w:r>
    </w:p>
    <w:p w14:paraId="5AEB77DB" w14:textId="77777777" w:rsidR="005B673B" w:rsidRPr="00B70B51" w:rsidRDefault="005B673B" w:rsidP="00107BFD">
      <w:pPr>
        <w:pStyle w:val="Default"/>
        <w:spacing w:after="0" w:line="360" w:lineRule="auto"/>
        <w:rPr>
          <w:rFonts w:ascii="Arial" w:hAnsi="Arial" w:cs="Arial"/>
          <w:i/>
          <w:sz w:val="22"/>
          <w:szCs w:val="22"/>
        </w:rPr>
      </w:pPr>
      <w:r>
        <w:rPr>
          <w:rFonts w:ascii="Arial" w:hAnsi="Arial" w:cs="Arial"/>
          <w:i/>
          <w:sz w:val="22"/>
          <w:szCs w:val="22"/>
        </w:rPr>
        <w:t xml:space="preserve">(iii) </w:t>
      </w:r>
      <w:r w:rsidRPr="00B70B51">
        <w:rPr>
          <w:rFonts w:ascii="Arial" w:hAnsi="Arial" w:cs="Arial"/>
          <w:i/>
          <w:sz w:val="22"/>
          <w:szCs w:val="22"/>
        </w:rPr>
        <w:t>During the appeal period, any fines or other disciplinary actions imposed by ASIC on the entity as a result of a breach of the design and distribution obligations or the requirements in an intervention</w:t>
      </w:r>
      <w:r>
        <w:rPr>
          <w:rFonts w:ascii="Arial" w:hAnsi="Arial" w:cs="Arial"/>
          <w:i/>
          <w:sz w:val="22"/>
          <w:szCs w:val="22"/>
        </w:rPr>
        <w:t>,</w:t>
      </w:r>
      <w:r w:rsidRPr="00B70B51">
        <w:rPr>
          <w:rFonts w:ascii="Arial" w:hAnsi="Arial" w:cs="Arial"/>
          <w:i/>
          <w:sz w:val="22"/>
          <w:szCs w:val="22"/>
        </w:rPr>
        <w:t xml:space="preserve"> should be stayed until the appeal has been resolved.</w:t>
      </w:r>
      <w:r>
        <w:rPr>
          <w:rFonts w:ascii="Arial" w:hAnsi="Arial" w:cs="Arial"/>
          <w:i/>
          <w:sz w:val="22"/>
          <w:szCs w:val="22"/>
        </w:rPr>
        <w:t xml:space="preserve"> The payment of fines or the performance of other disciplinary actions will lapse if the appeal is determined in favour of the entity.</w:t>
      </w:r>
    </w:p>
    <w:p w14:paraId="1661F769" w14:textId="77777777" w:rsidR="005B673B" w:rsidRPr="00982800" w:rsidRDefault="005B673B" w:rsidP="00107BFD">
      <w:pPr>
        <w:pStyle w:val="Default"/>
        <w:spacing w:after="0" w:line="360" w:lineRule="auto"/>
        <w:rPr>
          <w:rFonts w:ascii="Arial" w:hAnsi="Arial" w:cs="Arial"/>
          <w:i/>
          <w:sz w:val="22"/>
          <w:szCs w:val="22"/>
        </w:rPr>
      </w:pPr>
      <w:r w:rsidRPr="00982800">
        <w:rPr>
          <w:rFonts w:ascii="Arial" w:hAnsi="Arial" w:cs="Arial"/>
          <w:i/>
          <w:sz w:val="22"/>
          <w:szCs w:val="22"/>
        </w:rPr>
        <w:t>Yes, the appeal should extend the duration that the Government has to make an intervention permanent.</w:t>
      </w:r>
    </w:p>
    <w:p w14:paraId="475D2B5F" w14:textId="77777777" w:rsidR="005B673B" w:rsidRDefault="005B673B" w:rsidP="00107BFD">
      <w:pPr>
        <w:pStyle w:val="Default"/>
        <w:spacing w:after="0" w:line="360" w:lineRule="auto"/>
        <w:rPr>
          <w:rFonts w:ascii="Arial" w:hAnsi="Arial" w:cs="Arial"/>
          <w:i/>
          <w:sz w:val="22"/>
          <w:szCs w:val="22"/>
        </w:rPr>
      </w:pPr>
    </w:p>
    <w:p w14:paraId="5CD3899E"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30. What mechanism should the Government use to make interventions permanent and should be mechanism differ depending on whether it is an individual or market wide intervention? What (if any) appeal mechanisms should apply to a Government decision to make an intervention permanent? </w:t>
      </w:r>
    </w:p>
    <w:p w14:paraId="3A536ABC" w14:textId="77777777" w:rsidR="005B673B" w:rsidRDefault="005B673B" w:rsidP="00107BFD">
      <w:pPr>
        <w:autoSpaceDE w:val="0"/>
        <w:autoSpaceDN w:val="0"/>
        <w:adjustRightInd w:val="0"/>
        <w:spacing w:after="0" w:line="360" w:lineRule="auto"/>
        <w:rPr>
          <w:rFonts w:ascii="Arial" w:hAnsi="Arial" w:cs="Arial"/>
          <w:color w:val="000000"/>
        </w:rPr>
      </w:pPr>
    </w:p>
    <w:p w14:paraId="2D327D33" w14:textId="77777777" w:rsidR="005B673B" w:rsidRDefault="005B673B" w:rsidP="00107BFD">
      <w:pPr>
        <w:autoSpaceDE w:val="0"/>
        <w:autoSpaceDN w:val="0"/>
        <w:adjustRightInd w:val="0"/>
        <w:spacing w:after="0" w:line="360" w:lineRule="auto"/>
        <w:rPr>
          <w:rFonts w:ascii="Arial" w:hAnsi="Arial" w:cs="Arial"/>
          <w:color w:val="000000"/>
        </w:rPr>
      </w:pPr>
    </w:p>
    <w:p w14:paraId="04F9CB46" w14:textId="0B4B6F85"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Response: Market interventions are likely to be more serious and disruptive than individual interventions because of the degree of stakeholder impact. The Government should therefore use different mechanisms which reflect different degrees of seriousness and at the same time act as deterrent. We support the mechanisms outlined in ‘Table 2: Making and reviewing interventions’ in the Proposal</w:t>
      </w:r>
      <w:r w:rsidR="00E47271">
        <w:rPr>
          <w:rFonts w:ascii="Arial" w:hAnsi="Arial" w:cs="Arial"/>
          <w:i/>
          <w:color w:val="000000"/>
          <w:sz w:val="22"/>
          <w:szCs w:val="22"/>
        </w:rPr>
        <w:t>.</w:t>
      </w:r>
      <w:r w:rsidRPr="00AB2907">
        <w:rPr>
          <w:rFonts w:ascii="Arial" w:hAnsi="Arial" w:cs="Arial"/>
          <w:i/>
          <w:color w:val="000000"/>
          <w:sz w:val="22"/>
          <w:szCs w:val="22"/>
        </w:rPr>
        <w:t xml:space="preserve"> </w:t>
      </w:r>
    </w:p>
    <w:p w14:paraId="7DF7E350" w14:textId="77777777" w:rsidR="005B673B" w:rsidRPr="00AB2907" w:rsidRDefault="005B673B" w:rsidP="00107BFD">
      <w:pPr>
        <w:autoSpaceDE w:val="0"/>
        <w:autoSpaceDN w:val="0"/>
        <w:adjustRightInd w:val="0"/>
        <w:spacing w:after="0" w:line="360" w:lineRule="auto"/>
        <w:rPr>
          <w:rFonts w:ascii="Arial" w:hAnsi="Arial" w:cs="Arial"/>
          <w:color w:val="000000"/>
          <w:sz w:val="22"/>
          <w:szCs w:val="22"/>
        </w:rPr>
      </w:pPr>
    </w:p>
    <w:p w14:paraId="29D87EAE"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7180B48C"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31. Are there any other mechanisms that could be implemented to provide certainty around the use of the product intervention power? </w:t>
      </w:r>
    </w:p>
    <w:p w14:paraId="719B48CE"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6D45010B" w14:textId="77777777" w:rsidR="005B673B" w:rsidRPr="00FB7579" w:rsidRDefault="005B673B" w:rsidP="00107BFD">
      <w:pPr>
        <w:autoSpaceDE w:val="0"/>
        <w:autoSpaceDN w:val="0"/>
        <w:adjustRightInd w:val="0"/>
        <w:spacing w:after="0" w:line="360" w:lineRule="auto"/>
        <w:rPr>
          <w:rFonts w:ascii="Arial" w:hAnsi="Arial" w:cs="Arial"/>
          <w:i/>
          <w:color w:val="000000"/>
        </w:rPr>
      </w:pPr>
      <w:r w:rsidRPr="00FB7579">
        <w:rPr>
          <w:rFonts w:ascii="Arial" w:hAnsi="Arial" w:cs="Arial"/>
          <w:i/>
          <w:color w:val="000000"/>
        </w:rPr>
        <w:t xml:space="preserve">Response:  </w:t>
      </w:r>
      <w:r>
        <w:rPr>
          <w:rFonts w:ascii="Arial" w:hAnsi="Arial" w:cs="Arial"/>
          <w:i/>
          <w:color w:val="000000"/>
        </w:rPr>
        <w:t>We are not aware of other mechanisms other than the ones discussed in Q30 above.</w:t>
      </w:r>
    </w:p>
    <w:p w14:paraId="0B45E6BB" w14:textId="77777777" w:rsidR="005B673B" w:rsidRDefault="005B673B" w:rsidP="00107BFD">
      <w:pPr>
        <w:autoSpaceDE w:val="0"/>
        <w:autoSpaceDN w:val="0"/>
        <w:adjustRightInd w:val="0"/>
        <w:spacing w:after="0" w:line="360" w:lineRule="auto"/>
        <w:rPr>
          <w:rFonts w:ascii="Arial" w:hAnsi="Arial" w:cs="Arial"/>
          <w:color w:val="000000"/>
        </w:rPr>
      </w:pPr>
    </w:p>
    <w:p w14:paraId="5113806F"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74331051"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FB7579">
        <w:rPr>
          <w:rFonts w:ascii="Arial" w:hAnsi="Arial" w:cs="Arial"/>
          <w:sz w:val="22"/>
          <w:szCs w:val="22"/>
        </w:rPr>
        <w:t xml:space="preserve">32. Do you agree with the powers applying from the date of Royal Assent? If not, please explain why with relevant examples. </w:t>
      </w:r>
    </w:p>
    <w:p w14:paraId="6605E624" w14:textId="77777777" w:rsidR="005B673B" w:rsidRPr="00FB7579" w:rsidRDefault="005B673B" w:rsidP="00107BFD">
      <w:pPr>
        <w:autoSpaceDE w:val="0"/>
        <w:autoSpaceDN w:val="0"/>
        <w:adjustRightInd w:val="0"/>
        <w:spacing w:after="0" w:line="360" w:lineRule="auto"/>
        <w:rPr>
          <w:rFonts w:ascii="Arial" w:hAnsi="Arial" w:cs="Arial"/>
          <w:color w:val="000000"/>
        </w:rPr>
      </w:pPr>
    </w:p>
    <w:p w14:paraId="0B5AD084" w14:textId="77777777" w:rsidR="005B673B" w:rsidRDefault="005B673B" w:rsidP="00107BFD">
      <w:pPr>
        <w:autoSpaceDE w:val="0"/>
        <w:autoSpaceDN w:val="0"/>
        <w:adjustRightInd w:val="0"/>
        <w:spacing w:after="0" w:line="360" w:lineRule="auto"/>
        <w:rPr>
          <w:rFonts w:ascii="Arial" w:hAnsi="Arial" w:cs="Arial"/>
          <w:i/>
          <w:color w:val="000000"/>
        </w:rPr>
      </w:pPr>
      <w:r w:rsidRPr="00FB7579">
        <w:rPr>
          <w:rFonts w:ascii="Arial" w:hAnsi="Arial" w:cs="Arial"/>
          <w:i/>
          <w:color w:val="000000"/>
        </w:rPr>
        <w:t>Response:  Yes</w:t>
      </w:r>
      <w:r>
        <w:rPr>
          <w:rFonts w:ascii="Arial" w:hAnsi="Arial" w:cs="Arial"/>
          <w:i/>
          <w:color w:val="000000"/>
        </w:rPr>
        <w:t xml:space="preserve"> we agree with the Proposal that powers apply from the date of Royal Assent.</w:t>
      </w:r>
    </w:p>
    <w:p w14:paraId="032706CE" w14:textId="77777777" w:rsidR="00107BFD" w:rsidRPr="00FB7579" w:rsidRDefault="00107BFD" w:rsidP="00107BFD">
      <w:pPr>
        <w:autoSpaceDE w:val="0"/>
        <w:autoSpaceDN w:val="0"/>
        <w:adjustRightInd w:val="0"/>
        <w:spacing w:after="0" w:line="360" w:lineRule="auto"/>
        <w:rPr>
          <w:rFonts w:ascii="Arial" w:hAnsi="Arial" w:cs="Arial"/>
          <w:i/>
          <w:color w:val="000000"/>
        </w:rPr>
      </w:pPr>
    </w:p>
    <w:p w14:paraId="35FE1ED6" w14:textId="77777777" w:rsidR="005B673B" w:rsidRDefault="005B673B" w:rsidP="00107BFD">
      <w:pPr>
        <w:autoSpaceDE w:val="0"/>
        <w:autoSpaceDN w:val="0"/>
        <w:adjustRightInd w:val="0"/>
        <w:spacing w:after="0" w:line="360" w:lineRule="auto"/>
        <w:rPr>
          <w:rFonts w:ascii="Arial" w:hAnsi="Arial" w:cs="Arial"/>
          <w:color w:val="000000"/>
        </w:rPr>
      </w:pPr>
    </w:p>
    <w:p w14:paraId="46F08944" w14:textId="77777777" w:rsidR="005B673B" w:rsidRPr="00FB7579" w:rsidRDefault="005B673B" w:rsidP="007D670F">
      <w:pPr>
        <w:pStyle w:val="Default"/>
        <w:shd w:val="clear" w:color="auto" w:fill="D9D9D9" w:themeFill="background1" w:themeFillShade="D9"/>
        <w:spacing w:after="0" w:line="360" w:lineRule="auto"/>
        <w:rPr>
          <w:rFonts w:ascii="Arial" w:hAnsi="Arial" w:cs="Arial"/>
          <w:b/>
          <w:color w:val="auto"/>
          <w:sz w:val="22"/>
          <w:szCs w:val="22"/>
        </w:rPr>
      </w:pPr>
      <w:r>
        <w:rPr>
          <w:rFonts w:ascii="Arial" w:hAnsi="Arial" w:cs="Arial"/>
          <w:b/>
          <w:color w:val="auto"/>
          <w:sz w:val="22"/>
          <w:szCs w:val="22"/>
        </w:rPr>
        <w:t>4. Enforcement a</w:t>
      </w:r>
      <w:r w:rsidRPr="00FB7579">
        <w:rPr>
          <w:rFonts w:ascii="Arial" w:hAnsi="Arial" w:cs="Arial"/>
          <w:b/>
          <w:color w:val="auto"/>
          <w:sz w:val="22"/>
          <w:szCs w:val="22"/>
        </w:rPr>
        <w:t>nd Consumer Redress</w:t>
      </w:r>
    </w:p>
    <w:p w14:paraId="14CECA13" w14:textId="77777777" w:rsidR="005B673B" w:rsidRDefault="005B673B" w:rsidP="00107BFD">
      <w:pPr>
        <w:pStyle w:val="Default"/>
        <w:spacing w:after="0" w:line="360" w:lineRule="auto"/>
        <w:rPr>
          <w:rFonts w:ascii="Arial" w:hAnsi="Arial" w:cs="Arial"/>
          <w:sz w:val="22"/>
          <w:szCs w:val="22"/>
        </w:rPr>
      </w:pPr>
    </w:p>
    <w:p w14:paraId="5C2B029B" w14:textId="77777777" w:rsidR="005B673B" w:rsidRPr="009F1309" w:rsidRDefault="005B673B" w:rsidP="00107BFD">
      <w:pPr>
        <w:pStyle w:val="Default"/>
        <w:spacing w:after="0" w:line="360" w:lineRule="auto"/>
        <w:rPr>
          <w:rFonts w:ascii="Arial" w:hAnsi="Arial" w:cs="Arial"/>
          <w:b/>
          <w:bCs/>
          <w:color w:val="auto"/>
          <w:sz w:val="22"/>
          <w:szCs w:val="22"/>
        </w:rPr>
      </w:pPr>
      <w:r w:rsidRPr="009F1309">
        <w:rPr>
          <w:rFonts w:ascii="Arial" w:hAnsi="Arial" w:cs="Arial"/>
          <w:b/>
          <w:bCs/>
          <w:color w:val="auto"/>
          <w:sz w:val="22"/>
          <w:szCs w:val="22"/>
        </w:rPr>
        <w:t>Questions and Res</w:t>
      </w:r>
      <w:r>
        <w:rPr>
          <w:rFonts w:ascii="Arial" w:hAnsi="Arial" w:cs="Arial"/>
          <w:b/>
          <w:bCs/>
          <w:color w:val="auto"/>
          <w:sz w:val="22"/>
          <w:szCs w:val="22"/>
        </w:rPr>
        <w:t>p</w:t>
      </w:r>
      <w:r w:rsidRPr="009F1309">
        <w:rPr>
          <w:rFonts w:ascii="Arial" w:hAnsi="Arial" w:cs="Arial"/>
          <w:b/>
          <w:bCs/>
          <w:color w:val="auto"/>
          <w:sz w:val="22"/>
          <w:szCs w:val="22"/>
        </w:rPr>
        <w:t>onses</w:t>
      </w:r>
    </w:p>
    <w:p w14:paraId="790FEDFD" w14:textId="77777777" w:rsidR="005B673B" w:rsidRPr="00FB7579" w:rsidRDefault="005B673B" w:rsidP="00107BFD">
      <w:pPr>
        <w:pStyle w:val="Default"/>
        <w:spacing w:after="0" w:line="360" w:lineRule="auto"/>
        <w:rPr>
          <w:rFonts w:ascii="Arial" w:hAnsi="Arial" w:cs="Arial"/>
          <w:sz w:val="22"/>
          <w:szCs w:val="22"/>
        </w:rPr>
      </w:pPr>
    </w:p>
    <w:p w14:paraId="732A0283"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341C50">
        <w:rPr>
          <w:rFonts w:ascii="Arial" w:hAnsi="Arial" w:cs="Arial"/>
          <w:b/>
          <w:sz w:val="22"/>
          <w:szCs w:val="22"/>
        </w:rPr>
        <w:t>33</w:t>
      </w:r>
      <w:r w:rsidRPr="00FB7579">
        <w:rPr>
          <w:rFonts w:ascii="Arial" w:hAnsi="Arial" w:cs="Arial"/>
          <w:sz w:val="22"/>
          <w:szCs w:val="22"/>
        </w:rPr>
        <w:t xml:space="preserve">. What enforcement arrangement should apply in relation to a breach of the design and distribution obligations or the requirements in an intervention? </w:t>
      </w:r>
    </w:p>
    <w:p w14:paraId="2DAF4251" w14:textId="77777777" w:rsidR="005B673B" w:rsidRPr="00AB2907" w:rsidRDefault="005B673B" w:rsidP="00107BFD">
      <w:pPr>
        <w:autoSpaceDE w:val="0"/>
        <w:autoSpaceDN w:val="0"/>
        <w:adjustRightInd w:val="0"/>
        <w:spacing w:after="0" w:line="360" w:lineRule="auto"/>
        <w:rPr>
          <w:rFonts w:ascii="Arial" w:hAnsi="Arial" w:cs="Arial"/>
          <w:color w:val="000000"/>
          <w:sz w:val="22"/>
          <w:szCs w:val="22"/>
        </w:rPr>
      </w:pPr>
    </w:p>
    <w:p w14:paraId="378FF877"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Response: We support the ideology expressed in the Proposal that the purpose of enforcement is deterrence and which is in accordance with the factors of deterrence factors identified by the International Organization of Securities Commissions (IOSCO)</w:t>
      </w:r>
      <w:r w:rsidRPr="00AB2907">
        <w:rPr>
          <w:rStyle w:val="FootnoteReference"/>
          <w:rFonts w:ascii="Arial" w:hAnsi="Arial" w:cs="Arial"/>
          <w:i/>
          <w:color w:val="000000"/>
          <w:sz w:val="22"/>
          <w:szCs w:val="22"/>
        </w:rPr>
        <w:footnoteReference w:id="13"/>
      </w:r>
      <w:r w:rsidRPr="00AB2907">
        <w:rPr>
          <w:rFonts w:ascii="Arial" w:hAnsi="Arial" w:cs="Arial"/>
          <w:i/>
          <w:color w:val="000000"/>
          <w:sz w:val="22"/>
          <w:szCs w:val="22"/>
        </w:rPr>
        <w:t>.  To achieve this purpose, entities should follow processes and have systems in place to ensure compliance with regulatory obligations at all times. The enforcement arrangements that should apply to breaches of design and distribution obligations however should be different from those which apply to breaches of the requirements of an intervention. This is because breaches of the requirements of an intervention are considered to be more serious.</w:t>
      </w:r>
    </w:p>
    <w:p w14:paraId="293BBB4F"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 xml:space="preserve">The Proposals paper lists a range of alternative enforcement regimes that could be applied.  In matters involving breaches of design and distribution obligations, we believe that a combination of administrative actions and civil penalties should apply. </w:t>
      </w:r>
    </w:p>
    <w:p w14:paraId="738D8383"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The regulatory processes involved in licence cancellation and variation can be lengthy and not suited to situations which require the regulator to move quickly to resolve matters. Administrative actions should consider the suspension of financial services or credit licence for a period sufficiently long enough to allow for the rectification of obligations.  Licence suspension can complement the cancellation and variation licence regime to allow ASIC to quickly manage licence holder misconduct</w:t>
      </w:r>
      <w:r w:rsidRPr="00AB2907">
        <w:rPr>
          <w:rStyle w:val="FootnoteReference"/>
          <w:rFonts w:ascii="Arial" w:hAnsi="Arial" w:cs="Arial"/>
          <w:i/>
          <w:color w:val="000000"/>
          <w:sz w:val="22"/>
          <w:szCs w:val="22"/>
        </w:rPr>
        <w:footnoteReference w:id="14"/>
      </w:r>
      <w:r w:rsidRPr="00AB2907">
        <w:rPr>
          <w:rFonts w:ascii="Arial" w:hAnsi="Arial" w:cs="Arial"/>
          <w:i/>
          <w:color w:val="000000"/>
          <w:sz w:val="22"/>
          <w:szCs w:val="22"/>
        </w:rPr>
        <w:t xml:space="preserve">. </w:t>
      </w:r>
    </w:p>
    <w:p w14:paraId="62A019A6" w14:textId="77777777" w:rsidR="00986085" w:rsidRDefault="00986085" w:rsidP="00107BFD">
      <w:pPr>
        <w:autoSpaceDE w:val="0"/>
        <w:autoSpaceDN w:val="0"/>
        <w:adjustRightInd w:val="0"/>
        <w:spacing w:after="0" w:line="360" w:lineRule="auto"/>
        <w:rPr>
          <w:rFonts w:ascii="Arial" w:hAnsi="Arial" w:cs="Arial"/>
          <w:i/>
          <w:color w:val="000000"/>
          <w:sz w:val="22"/>
          <w:szCs w:val="22"/>
        </w:rPr>
      </w:pPr>
    </w:p>
    <w:p w14:paraId="16FB332D" w14:textId="77777777" w:rsidR="005B673B" w:rsidRPr="00AB2907"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In matters involving breaches of the requirements of an individual or market intervention, injunctive action pursuant to sect 1324 of the Corporations Act 2001 should be considered from the outset to quickly restrain the entity from engaging in further breaches of the law</w:t>
      </w:r>
      <w:r w:rsidRPr="00AB2907">
        <w:rPr>
          <w:rStyle w:val="FootnoteReference"/>
          <w:rFonts w:ascii="Arial" w:hAnsi="Arial" w:cs="Arial"/>
          <w:i/>
          <w:color w:val="000000"/>
          <w:sz w:val="22"/>
          <w:szCs w:val="22"/>
        </w:rPr>
        <w:footnoteReference w:id="15"/>
      </w:r>
      <w:r w:rsidRPr="00AB2907">
        <w:rPr>
          <w:rFonts w:ascii="Arial" w:hAnsi="Arial" w:cs="Arial"/>
          <w:i/>
          <w:color w:val="000000"/>
          <w:sz w:val="22"/>
          <w:szCs w:val="22"/>
        </w:rPr>
        <w:t xml:space="preserve">. Significant civil penalties which reflect the seriousness of the breach should also apply. In matters where deception and/or dishonesty has been identified in the breaches of design and distribution obligations or the requirements of an intervention, criminal sanctions should apply ranging from fines to incarceration. </w:t>
      </w:r>
    </w:p>
    <w:p w14:paraId="61D5FD76" w14:textId="77777777" w:rsidR="005B673B" w:rsidRPr="00FB7579" w:rsidRDefault="005B673B" w:rsidP="00107BFD">
      <w:pPr>
        <w:pStyle w:val="Default"/>
        <w:spacing w:after="0" w:line="360" w:lineRule="auto"/>
        <w:rPr>
          <w:rFonts w:ascii="Arial" w:hAnsi="Arial" w:cs="Arial"/>
          <w:sz w:val="22"/>
          <w:szCs w:val="22"/>
        </w:rPr>
      </w:pPr>
    </w:p>
    <w:p w14:paraId="6969705B" w14:textId="77777777" w:rsidR="005B673B" w:rsidRPr="00FB7579" w:rsidRDefault="005B673B" w:rsidP="00107BFD">
      <w:pPr>
        <w:pStyle w:val="Default"/>
        <w:pBdr>
          <w:top w:val="single" w:sz="4" w:space="1" w:color="auto"/>
          <w:left w:val="single" w:sz="4" w:space="4" w:color="auto"/>
          <w:bottom w:val="single" w:sz="4" w:space="1" w:color="auto"/>
          <w:right w:val="single" w:sz="4" w:space="4" w:color="auto"/>
        </w:pBdr>
        <w:spacing w:after="0" w:line="360" w:lineRule="auto"/>
        <w:rPr>
          <w:rFonts w:ascii="Arial" w:hAnsi="Arial" w:cs="Arial"/>
          <w:sz w:val="22"/>
          <w:szCs w:val="22"/>
        </w:rPr>
      </w:pPr>
      <w:r w:rsidRPr="00341C50">
        <w:rPr>
          <w:rFonts w:ascii="Arial" w:hAnsi="Arial" w:cs="Arial"/>
          <w:b/>
          <w:sz w:val="22"/>
          <w:szCs w:val="22"/>
        </w:rPr>
        <w:t>34</w:t>
      </w:r>
      <w:r w:rsidRPr="00FB7579">
        <w:rPr>
          <w:rFonts w:ascii="Arial" w:hAnsi="Arial" w:cs="Arial"/>
          <w:sz w:val="22"/>
          <w:szCs w:val="22"/>
        </w:rPr>
        <w:t xml:space="preserve">. What consumer rights and redress avenues should apply in relation to a breach of the design and distributions obligations or the requirements of an intervention? </w:t>
      </w:r>
    </w:p>
    <w:p w14:paraId="0D0840C2" w14:textId="77777777" w:rsidR="005B673B" w:rsidRDefault="005B673B" w:rsidP="00107BFD">
      <w:pPr>
        <w:autoSpaceDE w:val="0"/>
        <w:autoSpaceDN w:val="0"/>
        <w:adjustRightInd w:val="0"/>
        <w:spacing w:after="0" w:line="360" w:lineRule="auto"/>
        <w:rPr>
          <w:rFonts w:ascii="Arial" w:hAnsi="Arial" w:cs="Arial"/>
          <w:color w:val="000000"/>
        </w:rPr>
      </w:pPr>
    </w:p>
    <w:p w14:paraId="10A902F5" w14:textId="77777777" w:rsidR="005B673B" w:rsidRDefault="005B673B" w:rsidP="00107BFD">
      <w:pPr>
        <w:autoSpaceDE w:val="0"/>
        <w:autoSpaceDN w:val="0"/>
        <w:adjustRightInd w:val="0"/>
        <w:spacing w:after="0" w:line="360" w:lineRule="auto"/>
        <w:rPr>
          <w:rFonts w:ascii="Arial" w:hAnsi="Arial" w:cs="Arial"/>
          <w:i/>
          <w:color w:val="000000"/>
          <w:sz w:val="22"/>
          <w:szCs w:val="22"/>
        </w:rPr>
      </w:pPr>
      <w:r w:rsidRPr="00AB2907">
        <w:rPr>
          <w:rFonts w:ascii="Arial" w:hAnsi="Arial" w:cs="Arial"/>
          <w:i/>
          <w:color w:val="000000"/>
          <w:sz w:val="22"/>
          <w:szCs w:val="22"/>
        </w:rPr>
        <w:t>Response: We support the strengthening of consumer rights to seek redress against breaches of the design and distribution obligations or a breach of a requirement in an intervention. The Proposal identifies three redress avenues available to consumers.</w:t>
      </w:r>
    </w:p>
    <w:p w14:paraId="3304E83F" w14:textId="77777777" w:rsidR="00986085" w:rsidRPr="00AB2907" w:rsidRDefault="00986085" w:rsidP="00107BFD">
      <w:pPr>
        <w:autoSpaceDE w:val="0"/>
        <w:autoSpaceDN w:val="0"/>
        <w:adjustRightInd w:val="0"/>
        <w:spacing w:after="0" w:line="360" w:lineRule="auto"/>
        <w:rPr>
          <w:rFonts w:ascii="Arial" w:hAnsi="Arial" w:cs="Arial"/>
          <w:i/>
          <w:color w:val="000000"/>
          <w:sz w:val="22"/>
          <w:szCs w:val="22"/>
        </w:rPr>
      </w:pPr>
    </w:p>
    <w:p w14:paraId="3EE3387C" w14:textId="77777777" w:rsidR="005B673B" w:rsidRPr="00A5741D" w:rsidRDefault="005B673B" w:rsidP="00107BFD">
      <w:pPr>
        <w:pStyle w:val="Default"/>
        <w:numPr>
          <w:ilvl w:val="0"/>
          <w:numId w:val="36"/>
        </w:numPr>
        <w:spacing w:after="0" w:line="360" w:lineRule="auto"/>
        <w:ind w:left="714" w:hanging="357"/>
        <w:rPr>
          <w:rFonts w:ascii="Arial" w:hAnsi="Arial" w:cs="Arial"/>
          <w:sz w:val="22"/>
          <w:szCs w:val="22"/>
        </w:rPr>
      </w:pPr>
      <w:r>
        <w:rPr>
          <w:rFonts w:ascii="Arial" w:hAnsi="Arial" w:cs="Arial"/>
          <w:sz w:val="22"/>
          <w:szCs w:val="22"/>
        </w:rPr>
        <w:t xml:space="preserve">The first redress states “ </w:t>
      </w:r>
      <w:r w:rsidRPr="00A5741D">
        <w:rPr>
          <w:rFonts w:ascii="Arial" w:hAnsi="Arial" w:cs="Arial"/>
          <w:sz w:val="22"/>
          <w:szCs w:val="22"/>
        </w:rPr>
        <w:t xml:space="preserve">that a contract entered into in breach of certain obligations or certain ASIC interventions is voidable at the option of the consumer; </w:t>
      </w:r>
    </w:p>
    <w:p w14:paraId="2DFAD1D4" w14:textId="77777777" w:rsidR="005B673B" w:rsidRDefault="005B673B" w:rsidP="00107BFD">
      <w:pPr>
        <w:pStyle w:val="Default"/>
        <w:spacing w:after="0" w:line="360" w:lineRule="auto"/>
        <w:ind w:left="720"/>
        <w:rPr>
          <w:rFonts w:ascii="Arial" w:hAnsi="Arial" w:cs="Arial"/>
          <w:i/>
          <w:sz w:val="22"/>
          <w:szCs w:val="22"/>
        </w:rPr>
      </w:pPr>
      <w:r w:rsidRPr="00A5741D">
        <w:rPr>
          <w:rFonts w:ascii="Arial" w:hAnsi="Arial" w:cs="Arial"/>
          <w:i/>
          <w:sz w:val="22"/>
          <w:szCs w:val="22"/>
        </w:rPr>
        <w:t>Comment:</w:t>
      </w:r>
      <w:r w:rsidRPr="00A5741D">
        <w:rPr>
          <w:rFonts w:ascii="Arial" w:hAnsi="Arial" w:cs="Arial"/>
          <w:sz w:val="22"/>
          <w:szCs w:val="22"/>
        </w:rPr>
        <w:t xml:space="preserve"> </w:t>
      </w:r>
      <w:r>
        <w:rPr>
          <w:rFonts w:ascii="Arial" w:hAnsi="Arial" w:cs="Arial"/>
          <w:i/>
          <w:sz w:val="22"/>
          <w:szCs w:val="22"/>
        </w:rPr>
        <w:t>A contract entered into in breach of certain obligations or certain ASIC interventions should be void from the outset. The onus to void the contract should not be entirely left to the consumer because the consumer may not always be in a position to realise or understand that the contract is in breach of the regulations and void. The words “at the option of the consumer” should be removed to improve this avenue of redress.</w:t>
      </w:r>
    </w:p>
    <w:p w14:paraId="0A507142" w14:textId="77777777" w:rsidR="005B673B" w:rsidRPr="000513A3" w:rsidRDefault="005B673B" w:rsidP="00107BFD">
      <w:pPr>
        <w:pStyle w:val="Default"/>
        <w:spacing w:after="0" w:line="360" w:lineRule="auto"/>
        <w:ind w:left="720"/>
        <w:rPr>
          <w:rFonts w:ascii="Arial" w:hAnsi="Arial" w:cs="Arial"/>
          <w:i/>
          <w:sz w:val="22"/>
          <w:szCs w:val="22"/>
        </w:rPr>
      </w:pPr>
    </w:p>
    <w:p w14:paraId="4B15B024" w14:textId="77777777" w:rsidR="005B673B" w:rsidRDefault="005B673B" w:rsidP="00107BFD">
      <w:pPr>
        <w:pStyle w:val="Default"/>
        <w:numPr>
          <w:ilvl w:val="0"/>
          <w:numId w:val="36"/>
        </w:numPr>
        <w:spacing w:after="0" w:line="360" w:lineRule="auto"/>
        <w:rPr>
          <w:rFonts w:ascii="Arial" w:hAnsi="Arial" w:cs="Arial"/>
          <w:sz w:val="22"/>
          <w:szCs w:val="22"/>
        </w:rPr>
      </w:pPr>
      <w:r>
        <w:rPr>
          <w:rFonts w:ascii="Arial" w:hAnsi="Arial" w:cs="Arial"/>
          <w:sz w:val="22"/>
          <w:szCs w:val="22"/>
        </w:rPr>
        <w:t>The second redress states “</w:t>
      </w:r>
      <w:r w:rsidRPr="00A5741D">
        <w:rPr>
          <w:rFonts w:ascii="Arial" w:hAnsi="Arial" w:cs="Arial"/>
          <w:sz w:val="22"/>
          <w:szCs w:val="22"/>
        </w:rPr>
        <w:t>remedies enabling a consumer to seek a refund or obtain a replacement pro</w:t>
      </w:r>
      <w:r>
        <w:rPr>
          <w:rFonts w:ascii="Arial" w:hAnsi="Arial" w:cs="Arial"/>
          <w:sz w:val="22"/>
          <w:szCs w:val="22"/>
        </w:rPr>
        <w:t>duct at no additional cost”.</w:t>
      </w:r>
    </w:p>
    <w:p w14:paraId="1A1333A4" w14:textId="77777777" w:rsidR="005B673B" w:rsidRDefault="005B673B" w:rsidP="00107BFD">
      <w:pPr>
        <w:pStyle w:val="Default"/>
        <w:spacing w:after="0" w:line="360" w:lineRule="auto"/>
        <w:ind w:left="720"/>
        <w:rPr>
          <w:rFonts w:ascii="Arial" w:hAnsi="Arial" w:cs="Arial"/>
          <w:i/>
          <w:sz w:val="22"/>
          <w:szCs w:val="22"/>
        </w:rPr>
      </w:pPr>
      <w:r w:rsidRPr="00A5741D">
        <w:rPr>
          <w:rFonts w:ascii="Arial" w:hAnsi="Arial" w:cs="Arial"/>
          <w:i/>
          <w:sz w:val="22"/>
          <w:szCs w:val="22"/>
        </w:rPr>
        <w:t xml:space="preserve">Comment: </w:t>
      </w:r>
      <w:r>
        <w:rPr>
          <w:rFonts w:ascii="Arial" w:hAnsi="Arial" w:cs="Arial"/>
          <w:i/>
          <w:sz w:val="22"/>
          <w:szCs w:val="22"/>
        </w:rPr>
        <w:t>It is not clear if the legislative intent is to limit the quantum of ‘additional costs’ to the difference between the entry value of the original product and the entry value of the replacement product or includes other forms of additional costs, such as switching and other administrative type costs. In this regard the term “additional cost” needs to be clarified.</w:t>
      </w:r>
    </w:p>
    <w:p w14:paraId="6DB0D6E5" w14:textId="77777777" w:rsidR="005B673B" w:rsidRPr="008729BE" w:rsidRDefault="005B673B" w:rsidP="00107BFD">
      <w:pPr>
        <w:pStyle w:val="Default"/>
        <w:spacing w:after="0" w:line="360" w:lineRule="auto"/>
        <w:ind w:left="720"/>
        <w:rPr>
          <w:rFonts w:ascii="Arial" w:hAnsi="Arial" w:cs="Arial"/>
          <w:sz w:val="22"/>
          <w:szCs w:val="22"/>
        </w:rPr>
      </w:pPr>
    </w:p>
    <w:p w14:paraId="3430F180" w14:textId="77777777" w:rsidR="005B673B" w:rsidRDefault="005B673B" w:rsidP="00107BFD">
      <w:pPr>
        <w:pStyle w:val="Default"/>
        <w:numPr>
          <w:ilvl w:val="0"/>
          <w:numId w:val="36"/>
        </w:numPr>
        <w:spacing w:after="0" w:line="360" w:lineRule="auto"/>
        <w:ind w:left="714" w:hanging="357"/>
        <w:rPr>
          <w:rFonts w:ascii="Arial" w:hAnsi="Arial" w:cs="Arial"/>
          <w:sz w:val="22"/>
          <w:szCs w:val="22"/>
        </w:rPr>
      </w:pPr>
      <w:r>
        <w:rPr>
          <w:rFonts w:ascii="Arial" w:hAnsi="Arial" w:cs="Arial"/>
          <w:sz w:val="22"/>
          <w:szCs w:val="22"/>
        </w:rPr>
        <w:t xml:space="preserve">The third redress sates” </w:t>
      </w:r>
      <w:r w:rsidRPr="00A5741D">
        <w:rPr>
          <w:rFonts w:ascii="Arial" w:hAnsi="Arial" w:cs="Arial"/>
          <w:sz w:val="22"/>
          <w:szCs w:val="22"/>
        </w:rPr>
        <w:t xml:space="preserve">the option to seek orders declaring the whole or part of a contract void, or otherwise varying the terms of the contract. </w:t>
      </w:r>
    </w:p>
    <w:p w14:paraId="54AD7AF7" w14:textId="77777777" w:rsidR="005B673B" w:rsidRPr="00AB2907" w:rsidRDefault="005B673B" w:rsidP="00107BFD">
      <w:pPr>
        <w:autoSpaceDE w:val="0"/>
        <w:autoSpaceDN w:val="0"/>
        <w:adjustRightInd w:val="0"/>
        <w:spacing w:after="0" w:line="360" w:lineRule="auto"/>
        <w:ind w:left="720"/>
        <w:rPr>
          <w:rFonts w:ascii="Arial" w:hAnsi="Arial" w:cs="Arial"/>
          <w:i/>
          <w:color w:val="000000"/>
          <w:sz w:val="22"/>
          <w:szCs w:val="22"/>
        </w:rPr>
      </w:pPr>
      <w:r w:rsidRPr="00AB2907">
        <w:rPr>
          <w:rFonts w:ascii="Arial" w:hAnsi="Arial" w:cs="Arial"/>
          <w:i/>
          <w:sz w:val="22"/>
          <w:szCs w:val="22"/>
        </w:rPr>
        <w:t xml:space="preserve">Comment: We believe that this proposal clearly strengthens consumers’ right to seek redress. </w:t>
      </w:r>
    </w:p>
    <w:p w14:paraId="1E3CEE29" w14:textId="77777777" w:rsidR="008542A0" w:rsidRPr="00AB2907" w:rsidRDefault="008542A0" w:rsidP="00107BFD">
      <w:pPr>
        <w:spacing w:after="0" w:line="360" w:lineRule="auto"/>
        <w:rPr>
          <w:sz w:val="22"/>
          <w:szCs w:val="22"/>
        </w:rPr>
      </w:pPr>
    </w:p>
    <w:sectPr w:rsidR="008542A0" w:rsidRPr="00AB2907" w:rsidSect="00F6169D">
      <w:headerReference w:type="even" r:id="rId22"/>
      <w:headerReference w:type="default" r:id="rId23"/>
      <w:footerReference w:type="even" r:id="rId24"/>
      <w:footerReference w:type="default" r:id="rId25"/>
      <w:headerReference w:type="first" r:id="rId26"/>
      <w:footerReference w:type="first" r:id="rId27"/>
      <w:type w:val="continuous"/>
      <w:pgSz w:w="11899" w:h="16838"/>
      <w:pgMar w:top="1418" w:right="1134" w:bottom="1701"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910C2" w14:textId="77777777" w:rsidR="008542A0" w:rsidRDefault="008542A0">
      <w:r>
        <w:separator/>
      </w:r>
    </w:p>
  </w:endnote>
  <w:endnote w:type="continuationSeparator" w:id="0">
    <w:p w14:paraId="63CB7914" w14:textId="77777777" w:rsidR="008542A0" w:rsidRDefault="00854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Book">
    <w:altName w:val="Cambria"/>
    <w:panose1 w:val="00000000000000000000"/>
    <w:charset w:val="00"/>
    <w:family w:val="swiss"/>
    <w:notTrueType/>
    <w:pitch w:val="default"/>
    <w:sig w:usb0="00000003" w:usb1="00000000" w:usb2="00000000" w:usb3="00000000" w:csb0="00000001" w:csb1="00000000"/>
  </w:font>
  <w:font w:name="Futura-Light">
    <w:altName w:val="Cambria"/>
    <w:panose1 w:val="00000000000000000000"/>
    <w:charset w:val="00"/>
    <w:family w:val="swiss"/>
    <w:notTrueType/>
    <w:pitch w:val="default"/>
    <w:sig w:usb0="00000003" w:usb1="00000000" w:usb2="00000000" w:usb3="00000000" w:csb0="00000001" w:csb1="00000000"/>
  </w:font>
  <w:font w:name="Futura-LightOblique">
    <w:altName w:val="Cambria"/>
    <w:panose1 w:val="00000000000000000000"/>
    <w:charset w:val="00"/>
    <w:family w:val="swiss"/>
    <w:notTrueType/>
    <w:pitch w:val="default"/>
    <w:sig w:usb0="00000003" w:usb1="00000000" w:usb2="00000000" w:usb3="00000000" w:csb0="00000001" w:csb1="00000000"/>
  </w:font>
  <w:font w:name="Futura-BookOblique">
    <w:altName w:val="Cambria"/>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89766" w14:textId="77777777" w:rsidR="008542A0" w:rsidRDefault="008542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821" w:tblpY="15761"/>
      <w:tblW w:w="7514" w:type="dxa"/>
      <w:tblLayout w:type="fixed"/>
      <w:tblCellMar>
        <w:left w:w="0" w:type="dxa"/>
        <w:right w:w="0" w:type="dxa"/>
      </w:tblCellMar>
      <w:tblLook w:val="0000" w:firstRow="0" w:lastRow="0" w:firstColumn="0" w:lastColumn="0" w:noHBand="0" w:noVBand="0"/>
    </w:tblPr>
    <w:tblGrid>
      <w:gridCol w:w="865"/>
      <w:gridCol w:w="6649"/>
    </w:tblGrid>
    <w:tr w:rsidR="008542A0" w14:paraId="048CA130" w14:textId="77777777">
      <w:trPr>
        <w:trHeight w:val="140"/>
      </w:trPr>
      <w:tc>
        <w:tcPr>
          <w:tcW w:w="865" w:type="dxa"/>
        </w:tcPr>
        <w:p w14:paraId="1D4006B1" w14:textId="2849A25C" w:rsidR="008542A0" w:rsidRPr="005327DB" w:rsidRDefault="008542A0" w:rsidP="00D72BEA">
          <w:pPr>
            <w:rPr>
              <w:color w:val="BFBFBF"/>
            </w:rPr>
          </w:pPr>
        </w:p>
      </w:tc>
      <w:tc>
        <w:tcPr>
          <w:tcW w:w="6649" w:type="dxa"/>
        </w:tcPr>
        <w:p w14:paraId="3C4D824D" w14:textId="041E71AF" w:rsidR="008542A0" w:rsidRPr="005B673B" w:rsidRDefault="005B673B" w:rsidP="005B673B">
          <w:r w:rsidRPr="005B673B">
            <w:t>Design and Distribution Obligations and Product Intervention Power</w:t>
          </w:r>
          <w:r>
            <w:t xml:space="preserve">        March 2017</w:t>
          </w:r>
        </w:p>
      </w:tc>
    </w:tr>
    <w:tr w:rsidR="00E50CA6" w14:paraId="11FD4A8D" w14:textId="77777777">
      <w:trPr>
        <w:trHeight w:val="140"/>
      </w:trPr>
      <w:tc>
        <w:tcPr>
          <w:tcW w:w="865" w:type="dxa"/>
        </w:tcPr>
        <w:p w14:paraId="2221BA39" w14:textId="77777777" w:rsidR="00E50CA6" w:rsidRPr="005327DB" w:rsidRDefault="00E50CA6" w:rsidP="00D72BEA">
          <w:pPr>
            <w:rPr>
              <w:rFonts w:ascii="Arial Bold" w:hAnsi="Arial Bold"/>
              <w:noProof/>
              <w:color w:val="BFBFBF"/>
            </w:rPr>
          </w:pPr>
        </w:p>
      </w:tc>
      <w:tc>
        <w:tcPr>
          <w:tcW w:w="6649" w:type="dxa"/>
        </w:tcPr>
        <w:p w14:paraId="02F1D176" w14:textId="77777777" w:rsidR="00E50CA6" w:rsidRDefault="00E50CA6" w:rsidP="00FB4ED6"/>
      </w:tc>
    </w:tr>
  </w:tbl>
  <w:p w14:paraId="2210606B" w14:textId="5F6608D7" w:rsidR="008542A0" w:rsidRDefault="00E50CA6" w:rsidP="00D72BEA">
    <w:r>
      <w:rPr>
        <w:rFonts w:ascii="Arial Bold" w:hAnsi="Arial Bold"/>
        <w:noProof/>
        <w:color w:val="BFBFBF"/>
      </w:rPr>
      <w:t xml:space="preserve">                    </w:t>
    </w:r>
    <w:r w:rsidRPr="005327DB">
      <w:rPr>
        <w:rFonts w:ascii="Arial Bold" w:hAnsi="Arial Bold"/>
        <w:noProof/>
        <w:color w:val="BFBFBF"/>
      </w:rPr>
      <w:fldChar w:fldCharType="begin"/>
    </w:r>
    <w:r w:rsidRPr="005327DB">
      <w:rPr>
        <w:rFonts w:ascii="Arial Bold" w:hAnsi="Arial Bold"/>
        <w:noProof/>
        <w:color w:val="BFBFBF"/>
      </w:rPr>
      <w:instrText xml:space="preserve"> PAGE </w:instrText>
    </w:r>
    <w:r w:rsidRPr="005327DB">
      <w:rPr>
        <w:rFonts w:ascii="Arial Bold" w:hAnsi="Arial Bold"/>
        <w:noProof/>
        <w:color w:val="BFBFBF"/>
      </w:rPr>
      <w:fldChar w:fldCharType="separate"/>
    </w:r>
    <w:r w:rsidR="0026708A">
      <w:rPr>
        <w:rFonts w:ascii="Arial Bold" w:hAnsi="Arial Bold"/>
        <w:noProof/>
        <w:color w:val="BFBFBF"/>
      </w:rPr>
      <w:t>2</w:t>
    </w:r>
    <w:r w:rsidRPr="005327DB">
      <w:rPr>
        <w:rFonts w:ascii="Arial Bold" w:hAnsi="Arial Bold"/>
        <w:noProof/>
        <w:color w:val="BFBFBF"/>
      </w:rPr>
      <w:fldChar w:fldCharType="end"/>
    </w:r>
    <w:r w:rsidR="008542A0">
      <w:rPr>
        <w:noProof/>
      </w:rPr>
      <w:drawing>
        <wp:anchor distT="0" distB="0" distL="114300" distR="114300" simplePos="0" relativeHeight="251657728" behindDoc="0" locked="0" layoutInCell="1" allowOverlap="1" wp14:anchorId="260DD4A2" wp14:editId="7BA31A6C">
          <wp:simplePos x="0" y="0"/>
          <wp:positionH relativeFrom="column">
            <wp:posOffset>4267200</wp:posOffset>
          </wp:positionH>
          <wp:positionV relativeFrom="paragraph">
            <wp:posOffset>-473710</wp:posOffset>
          </wp:positionV>
          <wp:extent cx="1930400" cy="469900"/>
          <wp:effectExtent l="19050" t="0" r="0" b="0"/>
          <wp:wrapNone/>
          <wp:docPr id="15" name="Picture 15" descr="NO023_IPACrestfull_2011-Fe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023_IPACrestfull_2011-Feb_300dpi"/>
                  <pic:cNvPicPr>
                    <a:picLocks noChangeAspect="1" noChangeArrowheads="1"/>
                  </pic:cNvPicPr>
                </pic:nvPicPr>
                <pic:blipFill>
                  <a:blip r:embed="rId1"/>
                  <a:srcRect/>
                  <a:stretch>
                    <a:fillRect/>
                  </a:stretch>
                </pic:blipFill>
                <pic:spPr bwMode="auto">
                  <a:xfrm rot="10800000" flipH="1" flipV="1">
                    <a:off x="0" y="0"/>
                    <a:ext cx="1930400" cy="469900"/>
                  </a:xfrm>
                  <a:prstGeom prst="rect">
                    <a:avLst/>
                  </a:prstGeom>
                  <a:noFill/>
                  <a:ln w="9525">
                    <a:noFill/>
                    <a:miter lim="800000"/>
                    <a:headEnd/>
                    <a:tailEnd/>
                  </a:ln>
                </pic:spPr>
              </pic:pic>
            </a:graphicData>
          </a:graphic>
        </wp:anchor>
      </w:drawing>
    </w:r>
  </w:p>
  <w:p w14:paraId="694FA244" w14:textId="77777777" w:rsidR="008542A0" w:rsidRDefault="008542A0" w:rsidP="00D72B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D3882" w14:textId="77777777" w:rsidR="008542A0" w:rsidRDefault="008542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9FD8A" w14:textId="77777777" w:rsidR="008542A0" w:rsidRDefault="008542A0">
      <w:r>
        <w:separator/>
      </w:r>
    </w:p>
  </w:footnote>
  <w:footnote w:type="continuationSeparator" w:id="0">
    <w:p w14:paraId="1B8D970C" w14:textId="77777777" w:rsidR="008542A0" w:rsidRDefault="008542A0">
      <w:r>
        <w:continuationSeparator/>
      </w:r>
    </w:p>
  </w:footnote>
  <w:footnote w:id="1">
    <w:p w14:paraId="47411B7B" w14:textId="77777777" w:rsidR="005B673B" w:rsidRDefault="005B673B" w:rsidP="00353CDE">
      <w:pPr>
        <w:pStyle w:val="FootnoteText"/>
        <w:spacing w:after="0" w:line="240" w:lineRule="auto"/>
      </w:pPr>
      <w:r>
        <w:rPr>
          <w:rStyle w:val="FootnoteReference"/>
        </w:rPr>
        <w:footnoteRef/>
      </w:r>
      <w:r>
        <w:t xml:space="preserve"> </w:t>
      </w:r>
      <w:hyperlink r:id="rId1" w:history="1">
        <w:r w:rsidRPr="003643C1">
          <w:rPr>
            <w:rStyle w:val="Hyperlink"/>
          </w:rPr>
          <w:t>http://www.afma.com.au/afmawr/_assets/main/lib90032/product%20approval%20principles.pdf</w:t>
        </w:r>
      </w:hyperlink>
      <w:r>
        <w:t xml:space="preserve"> accessed 15 January 2017 </w:t>
      </w:r>
    </w:p>
  </w:footnote>
  <w:footnote w:id="2">
    <w:p w14:paraId="27C81786" w14:textId="77777777" w:rsidR="005B673B" w:rsidRDefault="005B673B" w:rsidP="00353CDE">
      <w:pPr>
        <w:pStyle w:val="FootnoteText"/>
        <w:spacing w:after="0" w:line="240" w:lineRule="auto"/>
      </w:pPr>
      <w:r>
        <w:rPr>
          <w:rStyle w:val="FootnoteReference"/>
        </w:rPr>
        <w:footnoteRef/>
      </w:r>
      <w:r>
        <w:t xml:space="preserve"> </w:t>
      </w:r>
      <w:hyperlink r:id="rId2" w:history="1">
        <w:r w:rsidRPr="003643C1">
          <w:rPr>
            <w:rStyle w:val="Hyperlink"/>
          </w:rPr>
          <w:t>https://ec.europa.eu/research/iscp/pdf/policy/sme_opportunities_h2020_feb2014.pdf</w:t>
        </w:r>
      </w:hyperlink>
      <w:r>
        <w:t xml:space="preserve"> accessed 19 January 2017.</w:t>
      </w:r>
    </w:p>
  </w:footnote>
  <w:footnote w:id="3">
    <w:p w14:paraId="423B415A" w14:textId="77777777" w:rsidR="005B673B" w:rsidRDefault="005B673B" w:rsidP="00353CDE">
      <w:pPr>
        <w:pStyle w:val="FootnoteText"/>
        <w:spacing w:after="0" w:line="240" w:lineRule="auto"/>
      </w:pPr>
      <w:r>
        <w:rPr>
          <w:rStyle w:val="FootnoteReference"/>
        </w:rPr>
        <w:footnoteRef/>
      </w:r>
      <w:r>
        <w:t xml:space="preserve"> </w:t>
      </w:r>
      <w:hyperlink r:id="rId3" w:history="1">
        <w:r w:rsidRPr="003643C1">
          <w:rPr>
            <w:rStyle w:val="Hyperlink"/>
          </w:rPr>
          <w:t>http://www.aasb.gov.au/admin/file/content105/c9/AASB10_07-15_COMPdec15_01-18.pdf</w:t>
        </w:r>
      </w:hyperlink>
      <w:r>
        <w:t xml:space="preserve"> accessed 2/2/2017.</w:t>
      </w:r>
    </w:p>
  </w:footnote>
  <w:footnote w:id="4">
    <w:p w14:paraId="7646F315" w14:textId="77777777" w:rsidR="005B673B" w:rsidRDefault="005B673B" w:rsidP="00353CDE">
      <w:pPr>
        <w:pStyle w:val="FootnoteText"/>
        <w:spacing w:after="0" w:line="240" w:lineRule="auto"/>
      </w:pPr>
      <w:r>
        <w:rPr>
          <w:rStyle w:val="FootnoteReference"/>
        </w:rPr>
        <w:footnoteRef/>
      </w:r>
      <w:r>
        <w:t xml:space="preserve"> </w:t>
      </w:r>
      <w:hyperlink r:id="rId4" w:history="1">
        <w:r w:rsidRPr="003643C1">
          <w:rPr>
            <w:rStyle w:val="Hyperlink"/>
          </w:rPr>
          <w:t>http://download.asic.gov.au/media/2195181/asic-strategic-outlook-2014-2015.pdf</w:t>
        </w:r>
      </w:hyperlink>
      <w:r>
        <w:t xml:space="preserve"> accessed 12/2/2017.</w:t>
      </w:r>
    </w:p>
  </w:footnote>
  <w:footnote w:id="5">
    <w:p w14:paraId="1AE86138" w14:textId="77777777" w:rsidR="005B673B" w:rsidRDefault="005B673B" w:rsidP="00AB2907">
      <w:pPr>
        <w:pStyle w:val="FootnoteText"/>
        <w:spacing w:after="0" w:line="240" w:lineRule="auto"/>
      </w:pPr>
      <w:r>
        <w:rPr>
          <w:rStyle w:val="FootnoteReference"/>
        </w:rPr>
        <w:footnoteRef/>
      </w:r>
      <w:r>
        <w:t xml:space="preserve"> </w:t>
      </w:r>
      <w:hyperlink r:id="rId5" w:history="1">
        <w:r w:rsidRPr="00F25EDD">
          <w:rPr>
            <w:rStyle w:val="Hyperlink"/>
          </w:rPr>
          <w:t>http://download.asic.gov.au/media/3889025/cp260-published-08-june-2016.pdf</w:t>
        </w:r>
      </w:hyperlink>
      <w:r>
        <w:t xml:space="preserve"> accessed 30 January 2017.</w:t>
      </w:r>
    </w:p>
  </w:footnote>
  <w:footnote w:id="6">
    <w:p w14:paraId="5FE66D18" w14:textId="77777777" w:rsidR="005B673B" w:rsidRDefault="005B673B" w:rsidP="00AB2907">
      <w:pPr>
        <w:pStyle w:val="FootnoteText"/>
        <w:spacing w:after="0" w:line="240" w:lineRule="auto"/>
      </w:pPr>
      <w:r>
        <w:rPr>
          <w:rStyle w:val="FootnoteReference"/>
        </w:rPr>
        <w:footnoteRef/>
      </w:r>
      <w:r>
        <w:t xml:space="preserve"> </w:t>
      </w:r>
      <w:hyperlink r:id="rId6" w:history="1">
        <w:r w:rsidRPr="00F25EDD">
          <w:rPr>
            <w:rStyle w:val="Hyperlink"/>
          </w:rPr>
          <w:t>http://www.treasury.gov.au/ConsultationsandReviews/Consultations/2016/Design-and-distribution-obligations-and-product-intervention-power</w:t>
        </w:r>
      </w:hyperlink>
      <w:r>
        <w:t xml:space="preserve"> accessed 13 January 2017</w:t>
      </w:r>
    </w:p>
  </w:footnote>
  <w:footnote w:id="7">
    <w:p w14:paraId="25F42410" w14:textId="77777777" w:rsidR="005B673B" w:rsidRDefault="005B673B" w:rsidP="00AB2907">
      <w:pPr>
        <w:pStyle w:val="FootnoteText"/>
        <w:spacing w:after="0" w:line="240" w:lineRule="auto"/>
      </w:pPr>
      <w:r>
        <w:rPr>
          <w:rStyle w:val="FootnoteReference"/>
        </w:rPr>
        <w:footnoteRef/>
      </w:r>
      <w:r>
        <w:t xml:space="preserve"> ibid </w:t>
      </w:r>
    </w:p>
  </w:footnote>
  <w:footnote w:id="8">
    <w:p w14:paraId="22183455" w14:textId="77777777" w:rsidR="005B673B" w:rsidRDefault="005B673B" w:rsidP="00AB2907">
      <w:pPr>
        <w:pStyle w:val="FootnoteText"/>
        <w:spacing w:after="0" w:line="240" w:lineRule="auto"/>
      </w:pPr>
      <w:r>
        <w:rPr>
          <w:rStyle w:val="FootnoteReference"/>
        </w:rPr>
        <w:footnoteRef/>
      </w:r>
      <w:r>
        <w:t xml:space="preserve"> </w:t>
      </w:r>
      <w:hyperlink r:id="rId7" w:history="1">
        <w:r w:rsidRPr="00F25EDD">
          <w:rPr>
            <w:rStyle w:val="Hyperlink"/>
          </w:rPr>
          <w:t>http://www.ifrs.org/Features/Pages/The-case-for-principle-based-accounting-.aspx</w:t>
        </w:r>
      </w:hyperlink>
      <w:r>
        <w:t xml:space="preserve"> accessed 5 March 2017.</w:t>
      </w:r>
    </w:p>
  </w:footnote>
  <w:footnote w:id="9">
    <w:p w14:paraId="159C7567" w14:textId="77777777" w:rsidR="005B673B" w:rsidRDefault="005B673B" w:rsidP="005B673B">
      <w:pPr>
        <w:pStyle w:val="FootnoteText"/>
      </w:pPr>
      <w:r>
        <w:rPr>
          <w:rStyle w:val="FootnoteReference"/>
        </w:rPr>
        <w:footnoteRef/>
      </w:r>
      <w:hyperlink r:id="rId8" w:history="1">
        <w:r w:rsidRPr="00F25EDD">
          <w:rPr>
            <w:rStyle w:val="Hyperlink"/>
          </w:rPr>
          <w:t>http://www.afma.com.au/afmawr/_assets/main/LIB90032/Product%20Approval%20Guidelines%20V%201.2%20March%202016.pdf</w:t>
        </w:r>
      </w:hyperlink>
      <w:r>
        <w:t xml:space="preserve"> accessed 16 January 2017.</w:t>
      </w:r>
    </w:p>
    <w:p w14:paraId="2E509FB3" w14:textId="77777777" w:rsidR="005B673B" w:rsidRPr="00A500C4" w:rsidRDefault="005B673B" w:rsidP="005B673B">
      <w:pPr>
        <w:pStyle w:val="FootnoteText"/>
      </w:pPr>
    </w:p>
  </w:footnote>
  <w:footnote w:id="10">
    <w:p w14:paraId="660B611A" w14:textId="77777777" w:rsidR="005B673B" w:rsidRDefault="005B673B" w:rsidP="005B673B">
      <w:pPr>
        <w:pStyle w:val="FootnoteText"/>
      </w:pPr>
      <w:r>
        <w:rPr>
          <w:rStyle w:val="FootnoteReference"/>
        </w:rPr>
        <w:footnoteRef/>
      </w:r>
      <w:r>
        <w:t xml:space="preserve"> </w:t>
      </w:r>
      <w:hyperlink r:id="rId9" w:history="1">
        <w:r w:rsidRPr="003643C1">
          <w:rPr>
            <w:rStyle w:val="Hyperlink"/>
          </w:rPr>
          <w:t>http://www.austlii.edu.au/au/legis/cth/consol_act/ca2001172/s739.html</w:t>
        </w:r>
      </w:hyperlink>
      <w:r>
        <w:t xml:space="preserve"> accessed 21/1/2017</w:t>
      </w:r>
    </w:p>
  </w:footnote>
  <w:footnote w:id="11">
    <w:p w14:paraId="5D9922CC" w14:textId="77777777" w:rsidR="005B673B" w:rsidRDefault="005B673B" w:rsidP="005B673B">
      <w:pPr>
        <w:pStyle w:val="FootnoteText"/>
      </w:pPr>
      <w:r>
        <w:rPr>
          <w:rStyle w:val="FootnoteReference"/>
        </w:rPr>
        <w:footnoteRef/>
      </w:r>
      <w:r>
        <w:t xml:space="preserve"> </w:t>
      </w:r>
      <w:hyperlink r:id="rId10" w:history="1">
        <w:r w:rsidRPr="00282143">
          <w:rPr>
            <w:rStyle w:val="Hyperlink"/>
          </w:rPr>
          <w:t>http://download.asic.gov.au/media/1240931/rg168-published-28-october-2011.pdf</w:t>
        </w:r>
      </w:hyperlink>
      <w:r>
        <w:t xml:space="preserve"> accessed 19/January 2017</w:t>
      </w:r>
    </w:p>
  </w:footnote>
  <w:footnote w:id="12">
    <w:p w14:paraId="56D8CBB8" w14:textId="77777777" w:rsidR="005B673B" w:rsidRDefault="005B673B" w:rsidP="005B673B">
      <w:pPr>
        <w:pStyle w:val="FootnoteText"/>
      </w:pPr>
      <w:r>
        <w:rPr>
          <w:rStyle w:val="FootnoteReference"/>
        </w:rPr>
        <w:footnoteRef/>
      </w:r>
      <w:r>
        <w:t xml:space="preserve"> </w:t>
      </w:r>
      <w:hyperlink r:id="rId11" w:history="1">
        <w:r w:rsidRPr="003643C1">
          <w:rPr>
            <w:rStyle w:val="Hyperlink"/>
          </w:rPr>
          <w:t>http://www.arc.ag.gov.au/Documents/a00Final+Version+-+Coercive+Information-gathering+Powers+of+Government+Agencies+-+May+2008.pdf</w:t>
        </w:r>
      </w:hyperlink>
      <w:r>
        <w:t xml:space="preserve"> accessed 20 January 2017</w:t>
      </w:r>
    </w:p>
  </w:footnote>
  <w:footnote w:id="13">
    <w:p w14:paraId="560C22FD" w14:textId="77777777" w:rsidR="005B673B" w:rsidRDefault="005B673B" w:rsidP="00AB2907">
      <w:pPr>
        <w:pStyle w:val="FootnoteText"/>
        <w:spacing w:after="0" w:line="240" w:lineRule="auto"/>
      </w:pPr>
      <w:r>
        <w:rPr>
          <w:rStyle w:val="FootnoteReference"/>
        </w:rPr>
        <w:footnoteRef/>
      </w:r>
      <w:r>
        <w:t xml:space="preserve"> </w:t>
      </w:r>
      <w:hyperlink r:id="rId12" w:history="1">
        <w:r w:rsidRPr="003643C1">
          <w:rPr>
            <w:rStyle w:val="Hyperlink"/>
          </w:rPr>
          <w:t>https://www.iosco.org/library/pubdocs/pdf/IOSCOPD490.pdf</w:t>
        </w:r>
      </w:hyperlink>
      <w:r>
        <w:t xml:space="preserve"> accessed 19 February 2017.</w:t>
      </w:r>
    </w:p>
  </w:footnote>
  <w:footnote w:id="14">
    <w:p w14:paraId="2AA73940" w14:textId="77777777" w:rsidR="005B673B" w:rsidRDefault="005B673B" w:rsidP="00AB2907">
      <w:pPr>
        <w:pStyle w:val="FootnoteText"/>
        <w:spacing w:after="0" w:line="240" w:lineRule="auto"/>
      </w:pPr>
      <w:r>
        <w:rPr>
          <w:rStyle w:val="FootnoteReference"/>
        </w:rPr>
        <w:footnoteRef/>
      </w:r>
      <w:r>
        <w:t xml:space="preserve"> </w:t>
      </w:r>
      <w:hyperlink r:id="rId13" w:history="1">
        <w:r w:rsidRPr="00282143">
          <w:rPr>
            <w:rStyle w:val="Hyperlink"/>
          </w:rPr>
          <w:t>http://download.asic.gov.au/media/1346030/rg98-published-30-July-2013.pdf</w:t>
        </w:r>
      </w:hyperlink>
      <w:r>
        <w:t xml:space="preserve"> accessed 19 February 2017</w:t>
      </w:r>
    </w:p>
  </w:footnote>
  <w:footnote w:id="15">
    <w:p w14:paraId="6C4C10F5" w14:textId="77777777" w:rsidR="005B673B" w:rsidRDefault="005B673B" w:rsidP="00AB2907">
      <w:pPr>
        <w:pStyle w:val="FootnoteText"/>
        <w:spacing w:after="0" w:line="240" w:lineRule="auto"/>
      </w:pPr>
      <w:r>
        <w:rPr>
          <w:rStyle w:val="FootnoteReference"/>
        </w:rPr>
        <w:footnoteRef/>
      </w:r>
      <w:r>
        <w:t xml:space="preserve"> </w:t>
      </w:r>
      <w:hyperlink r:id="rId14" w:history="1">
        <w:r w:rsidRPr="00282143">
          <w:rPr>
            <w:rStyle w:val="Hyperlink"/>
          </w:rPr>
          <w:t>http://www.austlii.edu.au/au/legis/cth/consol_act/ca2001172/s1324.html</w:t>
        </w:r>
      </w:hyperlink>
      <w:r>
        <w:t xml:space="preserve"> accessed 20 February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D8270" w14:textId="77777777" w:rsidR="008542A0" w:rsidRDefault="008542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4267" w14:textId="77777777" w:rsidR="008542A0" w:rsidRDefault="008542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5B11E" w14:textId="77777777" w:rsidR="008542A0" w:rsidRDefault="008542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82A7EDC"/>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singleLevel"/>
    <w:tmpl w:val="00000002"/>
    <w:name w:val="WW8Num1"/>
    <w:lvl w:ilvl="0">
      <w:start w:val="1"/>
      <w:numFmt w:val="lowerLetter"/>
      <w:lvlText w:val="%1."/>
      <w:lvlJc w:val="left"/>
      <w:pPr>
        <w:tabs>
          <w:tab w:val="num" w:pos="0"/>
        </w:tabs>
        <w:ind w:left="1080" w:hanging="720"/>
      </w:pPr>
    </w:lvl>
  </w:abstractNum>
  <w:abstractNum w:abstractNumId="2">
    <w:nsid w:val="00000003"/>
    <w:multiLevelType w:val="hybridMultilevel"/>
    <w:tmpl w:val="58CE5DC6"/>
    <w:lvl w:ilvl="0" w:tplc="000000C9">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singleLevel"/>
    <w:tmpl w:val="00000004"/>
    <w:name w:val="WW8Num3"/>
    <w:lvl w:ilvl="0">
      <w:start w:val="1"/>
      <w:numFmt w:val="bullet"/>
      <w:lvlText w:val=""/>
      <w:lvlJc w:val="left"/>
      <w:pPr>
        <w:tabs>
          <w:tab w:val="num" w:pos="1080"/>
        </w:tabs>
        <w:ind w:left="1080" w:hanging="360"/>
      </w:pPr>
      <w:rPr>
        <w:rFonts w:ascii="Symbol" w:hAnsi="Symbol"/>
      </w:rPr>
    </w:lvl>
  </w:abstractNum>
  <w:abstractNum w:abstractNumId="4">
    <w:nsid w:val="0000000C"/>
    <w:multiLevelType w:val="singleLevel"/>
    <w:tmpl w:val="0000000C"/>
    <w:name w:val="WW8Num13"/>
    <w:lvl w:ilvl="0">
      <w:start w:val="1"/>
      <w:numFmt w:val="lowerLetter"/>
      <w:lvlText w:val="%1."/>
      <w:lvlJc w:val="left"/>
      <w:pPr>
        <w:tabs>
          <w:tab w:val="num" w:pos="0"/>
        </w:tabs>
        <w:ind w:left="1080" w:hanging="720"/>
      </w:pPr>
    </w:lvl>
  </w:abstractNum>
  <w:abstractNum w:abstractNumId="5">
    <w:nsid w:val="0000000F"/>
    <w:multiLevelType w:val="multilevel"/>
    <w:tmpl w:val="0000000F"/>
    <w:name w:val="WW8Num18"/>
    <w:lvl w:ilvl="0">
      <w:start w:val="1"/>
      <w:numFmt w:val="decimal"/>
      <w:suff w:val="nothing"/>
      <w:lvlText w:val="%1"/>
      <w:lvlJc w:val="left"/>
      <w:pPr>
        <w:tabs>
          <w:tab w:val="num" w:pos="0"/>
        </w:tabs>
        <w:ind w:left="0" w:firstLine="0"/>
      </w:pPr>
      <w:rPr>
        <w:rFonts w:cs="Times New Roman"/>
        <w:b w:val="0"/>
        <w:i w:val="0"/>
        <w:color w:val="000000"/>
      </w:rPr>
    </w:lvl>
    <w:lvl w:ilvl="1">
      <w:start w:val="1"/>
      <w:numFmt w:val="decimal"/>
      <w:lvlText w:val="%1.%2"/>
      <w:lvlJc w:val="left"/>
      <w:pPr>
        <w:tabs>
          <w:tab w:val="num" w:pos="1984"/>
        </w:tabs>
        <w:ind w:left="1134" w:firstLine="0"/>
      </w:pPr>
      <w:rPr>
        <w:rFonts w:cs="Times New Roman"/>
        <w:b w:val="0"/>
        <w:i w:val="0"/>
        <w:color w:val="000000"/>
      </w:rPr>
    </w:lvl>
    <w:lvl w:ilvl="2">
      <w:start w:val="1"/>
      <w:numFmt w:val="decimal"/>
      <w:suff w:val="nothing"/>
      <w:lvlText w:val="Example %2.%3"/>
      <w:lvlJc w:val="left"/>
      <w:pPr>
        <w:tabs>
          <w:tab w:val="num" w:pos="0"/>
        </w:tabs>
        <w:ind w:left="1440" w:firstLine="0"/>
      </w:pPr>
      <w:rPr>
        <w:rFonts w:ascii="Times New Roman" w:hAnsi="Times New Roman" w:cs="Times New Roman"/>
        <w:b/>
        <w:i w:val="0"/>
        <w:color w:val="000000"/>
        <w:sz w:val="22"/>
      </w:rPr>
    </w:lvl>
    <w:lvl w:ilvl="3">
      <w:start w:val="1"/>
      <w:numFmt w:val="decimal"/>
      <w:suff w:val="nothing"/>
      <w:lvlText w:val="Diagram %3.%4"/>
      <w:lvlJc w:val="left"/>
      <w:pPr>
        <w:tabs>
          <w:tab w:val="num" w:pos="0"/>
        </w:tabs>
        <w:ind w:left="1134" w:firstLine="0"/>
      </w:pPr>
      <w:rPr>
        <w:rFonts w:ascii="Times New Roman" w:hAnsi="Times New Roman" w:cs="Times New Roman"/>
        <w:b/>
        <w:i w:val="0"/>
        <w:color w:val="000000"/>
        <w:sz w:val="22"/>
      </w:rPr>
    </w:lvl>
    <w:lvl w:ilvl="4">
      <w:start w:val="1"/>
      <w:numFmt w:val="decimal"/>
      <w:suff w:val="nothing"/>
      <w:lvlText w:val="Table %4.%5"/>
      <w:lvlJc w:val="left"/>
      <w:pPr>
        <w:tabs>
          <w:tab w:val="num" w:pos="0"/>
        </w:tabs>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6">
    <w:nsid w:val="00000011"/>
    <w:multiLevelType w:val="singleLevel"/>
    <w:tmpl w:val="00000011"/>
    <w:name w:val="WW8Num20"/>
    <w:lvl w:ilvl="0">
      <w:start w:val="1"/>
      <w:numFmt w:val="bullet"/>
      <w:lvlText w:val=""/>
      <w:lvlJc w:val="left"/>
      <w:pPr>
        <w:tabs>
          <w:tab w:val="num" w:pos="720"/>
        </w:tabs>
        <w:ind w:left="720" w:hanging="360"/>
      </w:pPr>
      <w:rPr>
        <w:rFonts w:ascii="Symbol" w:hAnsi="Symbol"/>
      </w:rPr>
    </w:lvl>
  </w:abstractNum>
  <w:abstractNum w:abstractNumId="7">
    <w:nsid w:val="00000012"/>
    <w:multiLevelType w:val="singleLevel"/>
    <w:tmpl w:val="00000012"/>
    <w:name w:val="WW8Num21"/>
    <w:lvl w:ilvl="0">
      <w:start w:val="1"/>
      <w:numFmt w:val="bullet"/>
      <w:lvlText w:val=""/>
      <w:lvlJc w:val="left"/>
      <w:pPr>
        <w:tabs>
          <w:tab w:val="num" w:pos="0"/>
        </w:tabs>
        <w:ind w:left="720" w:hanging="360"/>
      </w:pPr>
      <w:rPr>
        <w:rFonts w:ascii="Symbol" w:hAnsi="Symbol"/>
      </w:rPr>
    </w:lvl>
  </w:abstractNum>
  <w:abstractNum w:abstractNumId="8">
    <w:nsid w:val="00000013"/>
    <w:multiLevelType w:val="singleLevel"/>
    <w:tmpl w:val="00000013"/>
    <w:name w:val="WW8Num23"/>
    <w:lvl w:ilvl="0">
      <w:start w:val="1"/>
      <w:numFmt w:val="bullet"/>
      <w:lvlText w:val=""/>
      <w:lvlJc w:val="left"/>
      <w:pPr>
        <w:tabs>
          <w:tab w:val="num" w:pos="0"/>
        </w:tabs>
        <w:ind w:left="720" w:hanging="360"/>
      </w:pPr>
      <w:rPr>
        <w:rFonts w:ascii="Symbol" w:hAnsi="Symbol"/>
      </w:rPr>
    </w:lvl>
  </w:abstractNum>
  <w:abstractNum w:abstractNumId="9">
    <w:nsid w:val="00000017"/>
    <w:multiLevelType w:val="singleLevel"/>
    <w:tmpl w:val="00000017"/>
    <w:name w:val="WW8Num29"/>
    <w:lvl w:ilvl="0">
      <w:start w:val="1"/>
      <w:numFmt w:val="bullet"/>
      <w:lvlText w:val=""/>
      <w:lvlJc w:val="left"/>
      <w:pPr>
        <w:tabs>
          <w:tab w:val="num" w:pos="1080"/>
        </w:tabs>
        <w:ind w:left="1080" w:hanging="360"/>
      </w:pPr>
      <w:rPr>
        <w:rFonts w:ascii="Symbol" w:hAnsi="Symbol"/>
      </w:rPr>
    </w:lvl>
  </w:abstractNum>
  <w:abstractNum w:abstractNumId="10">
    <w:nsid w:val="00794CA8"/>
    <w:multiLevelType w:val="hybridMultilevel"/>
    <w:tmpl w:val="160E7E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012529F6"/>
    <w:multiLevelType w:val="hybridMultilevel"/>
    <w:tmpl w:val="F24E3156"/>
    <w:lvl w:ilvl="0" w:tplc="1E8A087A">
      <w:start w:val="1"/>
      <w:numFmt w:val="lowerLetter"/>
      <w:lvlText w:val="(%1)"/>
      <w:lvlJc w:val="left"/>
      <w:pPr>
        <w:ind w:left="720" w:hanging="360"/>
      </w:pPr>
      <w:rPr>
        <w:rFont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1C042AE"/>
    <w:multiLevelType w:val="hybridMultilevel"/>
    <w:tmpl w:val="1212B9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8D5087E"/>
    <w:multiLevelType w:val="hybridMultilevel"/>
    <w:tmpl w:val="F6AA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3E5988"/>
    <w:multiLevelType w:val="hybridMultilevel"/>
    <w:tmpl w:val="10CE3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25475E"/>
    <w:multiLevelType w:val="hybridMultilevel"/>
    <w:tmpl w:val="38BE19E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0F1552A0"/>
    <w:multiLevelType w:val="hybridMultilevel"/>
    <w:tmpl w:val="8BBE7844"/>
    <w:lvl w:ilvl="0" w:tplc="61403B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4D6F3F"/>
    <w:multiLevelType w:val="hybridMultilevel"/>
    <w:tmpl w:val="63B46500"/>
    <w:lvl w:ilvl="0" w:tplc="E6F6F7C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165A40C5"/>
    <w:multiLevelType w:val="hybridMultilevel"/>
    <w:tmpl w:val="895E7E4A"/>
    <w:lvl w:ilvl="0" w:tplc="0540A7B0">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9">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0">
    <w:nsid w:val="211136AE"/>
    <w:multiLevelType w:val="hybridMultilevel"/>
    <w:tmpl w:val="E87A1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1ED46BC"/>
    <w:multiLevelType w:val="hybridMultilevel"/>
    <w:tmpl w:val="B530A6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nsid w:val="2372164A"/>
    <w:multiLevelType w:val="multilevel"/>
    <w:tmpl w:val="B670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854BBE"/>
    <w:multiLevelType w:val="hybridMultilevel"/>
    <w:tmpl w:val="ECCAB76C"/>
    <w:lvl w:ilvl="0" w:tplc="926EF1E8">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B9F4005"/>
    <w:multiLevelType w:val="multilevel"/>
    <w:tmpl w:val="9A6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FC3A1A"/>
    <w:multiLevelType w:val="hybridMultilevel"/>
    <w:tmpl w:val="6B96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FB4D53"/>
    <w:multiLevelType w:val="hybridMultilevel"/>
    <w:tmpl w:val="64989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39D271FF"/>
    <w:multiLevelType w:val="hybridMultilevel"/>
    <w:tmpl w:val="064261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3D714D4B"/>
    <w:multiLevelType w:val="multilevel"/>
    <w:tmpl w:val="A316FE50"/>
    <w:styleLink w:val="ChapterList"/>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6"/>
        </w:tabs>
        <w:ind w:left="1135"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0B04265"/>
    <w:multiLevelType w:val="hybridMultilevel"/>
    <w:tmpl w:val="9E06C1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5D33D38"/>
    <w:multiLevelType w:val="hybridMultilevel"/>
    <w:tmpl w:val="C19AD4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nsid w:val="58AE47CD"/>
    <w:multiLevelType w:val="hybridMultilevel"/>
    <w:tmpl w:val="2CA2AC08"/>
    <w:lvl w:ilvl="0" w:tplc="08090019">
      <w:start w:val="3"/>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C945E1E"/>
    <w:multiLevelType w:val="hybridMultilevel"/>
    <w:tmpl w:val="A31615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45E47FB"/>
    <w:multiLevelType w:val="hybridMultilevel"/>
    <w:tmpl w:val="AEF80698"/>
    <w:lvl w:ilvl="0" w:tplc="AEF46442">
      <w:start w:val="3"/>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5A246C5"/>
    <w:multiLevelType w:val="hybridMultilevel"/>
    <w:tmpl w:val="2A649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5DF6494"/>
    <w:multiLevelType w:val="multilevel"/>
    <w:tmpl w:val="A316FE50"/>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6"/>
        </w:tabs>
        <w:ind w:left="1135"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AC67224"/>
    <w:multiLevelType w:val="multilevel"/>
    <w:tmpl w:val="5C06B7E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nsid w:val="6E1E3F59"/>
    <w:multiLevelType w:val="hybridMultilevel"/>
    <w:tmpl w:val="5E88F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E91122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17D17E7"/>
    <w:multiLevelType w:val="hybridMultilevel"/>
    <w:tmpl w:val="5C64D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5D43"/>
    <w:multiLevelType w:val="hybridMultilevel"/>
    <w:tmpl w:val="3D8204F8"/>
    <w:lvl w:ilvl="0" w:tplc="E6282EB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7A671318"/>
    <w:multiLevelType w:val="hybridMultilevel"/>
    <w:tmpl w:val="7F44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AE45908"/>
    <w:multiLevelType w:val="hybridMultilevel"/>
    <w:tmpl w:val="24F2C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E22431C"/>
    <w:multiLevelType w:val="hybridMultilevel"/>
    <w:tmpl w:val="B54ED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2F1AAD"/>
    <w:multiLevelType w:val="hybridMultilevel"/>
    <w:tmpl w:val="29D8D10E"/>
    <w:lvl w:ilvl="0" w:tplc="39060F44">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15"/>
  </w:num>
  <w:num w:numId="3">
    <w:abstractNumId w:val="37"/>
  </w:num>
  <w:num w:numId="4">
    <w:abstractNumId w:val="18"/>
  </w:num>
  <w:num w:numId="5">
    <w:abstractNumId w:val="17"/>
  </w:num>
  <w:num w:numId="6">
    <w:abstractNumId w:val="44"/>
  </w:num>
  <w:num w:numId="7">
    <w:abstractNumId w:val="38"/>
  </w:num>
  <w:num w:numId="8">
    <w:abstractNumId w:val="41"/>
  </w:num>
  <w:num w:numId="9">
    <w:abstractNumId w:val="27"/>
  </w:num>
  <w:num w:numId="10">
    <w:abstractNumId w:val="10"/>
  </w:num>
  <w:num w:numId="11">
    <w:abstractNumId w:val="40"/>
  </w:num>
  <w:num w:numId="12">
    <w:abstractNumId w:val="31"/>
  </w:num>
  <w:num w:numId="13">
    <w:abstractNumId w:val="30"/>
  </w:num>
  <w:num w:numId="14">
    <w:abstractNumId w:val="22"/>
  </w:num>
  <w:num w:numId="15">
    <w:abstractNumId w:val="24"/>
  </w:num>
  <w:num w:numId="16">
    <w:abstractNumId w:val="26"/>
  </w:num>
  <w:num w:numId="17">
    <w:abstractNumId w:val="0"/>
  </w:num>
  <w:num w:numId="18">
    <w:abstractNumId w:val="2"/>
  </w:num>
  <w:num w:numId="19">
    <w:abstractNumId w:val="13"/>
  </w:num>
  <w:num w:numId="20">
    <w:abstractNumId w:val="25"/>
  </w:num>
  <w:num w:numId="21">
    <w:abstractNumId w:val="28"/>
  </w:num>
  <w:num w:numId="22">
    <w:abstractNumId w:val="35"/>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lvlText w:val="%1.%2"/>
        <w:lvlJc w:val="left"/>
        <w:pPr>
          <w:tabs>
            <w:tab w:val="num" w:pos="1986"/>
          </w:tabs>
          <w:ind w:left="1135" w:firstLine="0"/>
        </w:pPr>
        <w:rPr>
          <w:rFonts w:hint="default"/>
          <w:b w:val="0"/>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16"/>
  </w:num>
  <w:num w:numId="24">
    <w:abstractNumId w:val="42"/>
  </w:num>
  <w:num w:numId="25">
    <w:abstractNumId w:val="33"/>
  </w:num>
  <w:num w:numId="26">
    <w:abstractNumId w:val="14"/>
  </w:num>
  <w:num w:numId="27">
    <w:abstractNumId w:val="36"/>
  </w:num>
  <w:num w:numId="28">
    <w:abstractNumId w:val="43"/>
  </w:num>
  <w:num w:numId="29">
    <w:abstractNumId w:val="32"/>
  </w:num>
  <w:num w:numId="30">
    <w:abstractNumId w:val="21"/>
  </w:num>
  <w:num w:numId="31">
    <w:abstractNumId w:val="20"/>
  </w:num>
  <w:num w:numId="32">
    <w:abstractNumId w:val="39"/>
  </w:num>
  <w:num w:numId="33">
    <w:abstractNumId w:val="12"/>
  </w:num>
  <w:num w:numId="34">
    <w:abstractNumId w:val="29"/>
  </w:num>
  <w:num w:numId="35">
    <w:abstractNumId w:val="23"/>
  </w:num>
  <w:num w:numId="36">
    <w:abstractNumId w:val="11"/>
  </w:num>
  <w:num w:numId="37">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rawingGridVerticalSpacing w:val="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02E"/>
    <w:rsid w:val="000001A8"/>
    <w:rsid w:val="00001ECA"/>
    <w:rsid w:val="00003A91"/>
    <w:rsid w:val="00003B66"/>
    <w:rsid w:val="000064FF"/>
    <w:rsid w:val="00007C54"/>
    <w:rsid w:val="00010F95"/>
    <w:rsid w:val="00011A0B"/>
    <w:rsid w:val="00013D7A"/>
    <w:rsid w:val="00013E10"/>
    <w:rsid w:val="0001439B"/>
    <w:rsid w:val="00015BE0"/>
    <w:rsid w:val="0001623D"/>
    <w:rsid w:val="00017E1A"/>
    <w:rsid w:val="000212F4"/>
    <w:rsid w:val="00021B4E"/>
    <w:rsid w:val="00033996"/>
    <w:rsid w:val="00034762"/>
    <w:rsid w:val="00034A7E"/>
    <w:rsid w:val="000414DE"/>
    <w:rsid w:val="00041E0F"/>
    <w:rsid w:val="00042164"/>
    <w:rsid w:val="00046F48"/>
    <w:rsid w:val="000472E5"/>
    <w:rsid w:val="00064398"/>
    <w:rsid w:val="00066658"/>
    <w:rsid w:val="00067A9D"/>
    <w:rsid w:val="00070EB2"/>
    <w:rsid w:val="00072532"/>
    <w:rsid w:val="000778CC"/>
    <w:rsid w:val="00090B6E"/>
    <w:rsid w:val="0009280F"/>
    <w:rsid w:val="00092D11"/>
    <w:rsid w:val="00093FD7"/>
    <w:rsid w:val="00094D64"/>
    <w:rsid w:val="00097914"/>
    <w:rsid w:val="000A20BB"/>
    <w:rsid w:val="000A2499"/>
    <w:rsid w:val="000A7740"/>
    <w:rsid w:val="000C0118"/>
    <w:rsid w:val="000C0DCA"/>
    <w:rsid w:val="000C1B73"/>
    <w:rsid w:val="000C2F62"/>
    <w:rsid w:val="000C3451"/>
    <w:rsid w:val="000D0D8E"/>
    <w:rsid w:val="000D114C"/>
    <w:rsid w:val="000D62BA"/>
    <w:rsid w:val="000E3188"/>
    <w:rsid w:val="000E4DF7"/>
    <w:rsid w:val="000E4E15"/>
    <w:rsid w:val="000E68FC"/>
    <w:rsid w:val="000F5511"/>
    <w:rsid w:val="000F6DDB"/>
    <w:rsid w:val="00100DD3"/>
    <w:rsid w:val="001015F7"/>
    <w:rsid w:val="00104123"/>
    <w:rsid w:val="001046D8"/>
    <w:rsid w:val="00105B7C"/>
    <w:rsid w:val="001074E0"/>
    <w:rsid w:val="00107BFD"/>
    <w:rsid w:val="001100B0"/>
    <w:rsid w:val="001107C4"/>
    <w:rsid w:val="00110860"/>
    <w:rsid w:val="00112479"/>
    <w:rsid w:val="001179FE"/>
    <w:rsid w:val="0012519E"/>
    <w:rsid w:val="00127A19"/>
    <w:rsid w:val="001345DB"/>
    <w:rsid w:val="00135D70"/>
    <w:rsid w:val="001427FB"/>
    <w:rsid w:val="00142F4D"/>
    <w:rsid w:val="00150820"/>
    <w:rsid w:val="00152F98"/>
    <w:rsid w:val="0015354C"/>
    <w:rsid w:val="001562E2"/>
    <w:rsid w:val="00163A77"/>
    <w:rsid w:val="00164209"/>
    <w:rsid w:val="001673AD"/>
    <w:rsid w:val="00167B63"/>
    <w:rsid w:val="00167FF5"/>
    <w:rsid w:val="00177809"/>
    <w:rsid w:val="00180EB4"/>
    <w:rsid w:val="00181B39"/>
    <w:rsid w:val="001846CD"/>
    <w:rsid w:val="001867A4"/>
    <w:rsid w:val="001A07EB"/>
    <w:rsid w:val="001B18B7"/>
    <w:rsid w:val="001B3E31"/>
    <w:rsid w:val="001B5772"/>
    <w:rsid w:val="001B5CD5"/>
    <w:rsid w:val="001B60C2"/>
    <w:rsid w:val="001B65C0"/>
    <w:rsid w:val="001B6EB2"/>
    <w:rsid w:val="001C45AD"/>
    <w:rsid w:val="001D01B3"/>
    <w:rsid w:val="001D06CF"/>
    <w:rsid w:val="001D14C5"/>
    <w:rsid w:val="001D3AB6"/>
    <w:rsid w:val="001D401C"/>
    <w:rsid w:val="001D7C64"/>
    <w:rsid w:val="001E2B37"/>
    <w:rsid w:val="001E3E5E"/>
    <w:rsid w:val="001F0DCA"/>
    <w:rsid w:val="001F2EF0"/>
    <w:rsid w:val="001F46E7"/>
    <w:rsid w:val="001F5623"/>
    <w:rsid w:val="001F7666"/>
    <w:rsid w:val="001F76B3"/>
    <w:rsid w:val="00200B5D"/>
    <w:rsid w:val="002023A7"/>
    <w:rsid w:val="00203B16"/>
    <w:rsid w:val="002059CF"/>
    <w:rsid w:val="0021210D"/>
    <w:rsid w:val="00212610"/>
    <w:rsid w:val="00213A92"/>
    <w:rsid w:val="00216709"/>
    <w:rsid w:val="00222905"/>
    <w:rsid w:val="002239F5"/>
    <w:rsid w:val="0022442F"/>
    <w:rsid w:val="00226E82"/>
    <w:rsid w:val="0022710F"/>
    <w:rsid w:val="002274C8"/>
    <w:rsid w:val="002352B4"/>
    <w:rsid w:val="00237670"/>
    <w:rsid w:val="00242C6C"/>
    <w:rsid w:val="0024340B"/>
    <w:rsid w:val="0024353F"/>
    <w:rsid w:val="00246E15"/>
    <w:rsid w:val="00251D57"/>
    <w:rsid w:val="00260C06"/>
    <w:rsid w:val="0026316C"/>
    <w:rsid w:val="00265451"/>
    <w:rsid w:val="0026708A"/>
    <w:rsid w:val="002767ED"/>
    <w:rsid w:val="002767F5"/>
    <w:rsid w:val="002802CA"/>
    <w:rsid w:val="00283808"/>
    <w:rsid w:val="002851D1"/>
    <w:rsid w:val="002861E4"/>
    <w:rsid w:val="00293317"/>
    <w:rsid w:val="00293CF3"/>
    <w:rsid w:val="00295F92"/>
    <w:rsid w:val="002A0158"/>
    <w:rsid w:val="002A12FF"/>
    <w:rsid w:val="002A42BF"/>
    <w:rsid w:val="002A674C"/>
    <w:rsid w:val="002A70EF"/>
    <w:rsid w:val="002A7DE6"/>
    <w:rsid w:val="002B0A36"/>
    <w:rsid w:val="002B26A3"/>
    <w:rsid w:val="002B376E"/>
    <w:rsid w:val="002C0BB0"/>
    <w:rsid w:val="002C4884"/>
    <w:rsid w:val="002C612E"/>
    <w:rsid w:val="002D1486"/>
    <w:rsid w:val="002D4531"/>
    <w:rsid w:val="002D4D67"/>
    <w:rsid w:val="002D4F10"/>
    <w:rsid w:val="002D6AE5"/>
    <w:rsid w:val="002E035E"/>
    <w:rsid w:val="002E25EC"/>
    <w:rsid w:val="002E2E31"/>
    <w:rsid w:val="002E369A"/>
    <w:rsid w:val="002E3E5E"/>
    <w:rsid w:val="002E4E4F"/>
    <w:rsid w:val="00300BA3"/>
    <w:rsid w:val="00303E31"/>
    <w:rsid w:val="00306D4D"/>
    <w:rsid w:val="0030738C"/>
    <w:rsid w:val="00310332"/>
    <w:rsid w:val="003134BB"/>
    <w:rsid w:val="0031393A"/>
    <w:rsid w:val="0031523D"/>
    <w:rsid w:val="00320F2D"/>
    <w:rsid w:val="00321A39"/>
    <w:rsid w:val="00321C4D"/>
    <w:rsid w:val="0032343F"/>
    <w:rsid w:val="00323F93"/>
    <w:rsid w:val="003273B6"/>
    <w:rsid w:val="003321D0"/>
    <w:rsid w:val="00332379"/>
    <w:rsid w:val="00335079"/>
    <w:rsid w:val="003363A4"/>
    <w:rsid w:val="00337A75"/>
    <w:rsid w:val="00343036"/>
    <w:rsid w:val="0034565A"/>
    <w:rsid w:val="00353CDE"/>
    <w:rsid w:val="00354816"/>
    <w:rsid w:val="00354D3D"/>
    <w:rsid w:val="00355F3E"/>
    <w:rsid w:val="003671B7"/>
    <w:rsid w:val="00374526"/>
    <w:rsid w:val="003750CA"/>
    <w:rsid w:val="00375B11"/>
    <w:rsid w:val="00375BBE"/>
    <w:rsid w:val="00375CB4"/>
    <w:rsid w:val="00376ACD"/>
    <w:rsid w:val="00393102"/>
    <w:rsid w:val="003A4346"/>
    <w:rsid w:val="003A6123"/>
    <w:rsid w:val="003A6624"/>
    <w:rsid w:val="003B20FD"/>
    <w:rsid w:val="003B4E54"/>
    <w:rsid w:val="003B70EE"/>
    <w:rsid w:val="003C33D6"/>
    <w:rsid w:val="003C6BFA"/>
    <w:rsid w:val="003D1DC8"/>
    <w:rsid w:val="003D2447"/>
    <w:rsid w:val="003D2D0A"/>
    <w:rsid w:val="003D2E97"/>
    <w:rsid w:val="003D799E"/>
    <w:rsid w:val="003E061E"/>
    <w:rsid w:val="003E0E8E"/>
    <w:rsid w:val="003E4290"/>
    <w:rsid w:val="003E79AE"/>
    <w:rsid w:val="003E7D41"/>
    <w:rsid w:val="003F0896"/>
    <w:rsid w:val="003F3D65"/>
    <w:rsid w:val="003F518F"/>
    <w:rsid w:val="00402445"/>
    <w:rsid w:val="004030D4"/>
    <w:rsid w:val="00410D43"/>
    <w:rsid w:val="00411FDC"/>
    <w:rsid w:val="00412991"/>
    <w:rsid w:val="0042258E"/>
    <w:rsid w:val="00423EF0"/>
    <w:rsid w:val="004314B3"/>
    <w:rsid w:val="00436968"/>
    <w:rsid w:val="00440859"/>
    <w:rsid w:val="00443531"/>
    <w:rsid w:val="0045128C"/>
    <w:rsid w:val="00457F83"/>
    <w:rsid w:val="00471E01"/>
    <w:rsid w:val="00483F74"/>
    <w:rsid w:val="00490E23"/>
    <w:rsid w:val="004A2E29"/>
    <w:rsid w:val="004A7558"/>
    <w:rsid w:val="004B115B"/>
    <w:rsid w:val="004B3BF9"/>
    <w:rsid w:val="004B51CF"/>
    <w:rsid w:val="004B677A"/>
    <w:rsid w:val="004B6A5F"/>
    <w:rsid w:val="004B7BF6"/>
    <w:rsid w:val="004C20D8"/>
    <w:rsid w:val="004C28D2"/>
    <w:rsid w:val="004C66C0"/>
    <w:rsid w:val="004C7618"/>
    <w:rsid w:val="004C79AA"/>
    <w:rsid w:val="004D0304"/>
    <w:rsid w:val="004D26B5"/>
    <w:rsid w:val="004E1F78"/>
    <w:rsid w:val="004E64A1"/>
    <w:rsid w:val="004E6B43"/>
    <w:rsid w:val="004E7A6A"/>
    <w:rsid w:val="004F233D"/>
    <w:rsid w:val="004F23D5"/>
    <w:rsid w:val="004F7FB5"/>
    <w:rsid w:val="005062DD"/>
    <w:rsid w:val="005133D5"/>
    <w:rsid w:val="005165A5"/>
    <w:rsid w:val="00516A30"/>
    <w:rsid w:val="00516CF8"/>
    <w:rsid w:val="0052016A"/>
    <w:rsid w:val="005224EE"/>
    <w:rsid w:val="00523169"/>
    <w:rsid w:val="005256C7"/>
    <w:rsid w:val="00527819"/>
    <w:rsid w:val="00530BCC"/>
    <w:rsid w:val="005326B9"/>
    <w:rsid w:val="00533506"/>
    <w:rsid w:val="00536117"/>
    <w:rsid w:val="00543AC7"/>
    <w:rsid w:val="005461E1"/>
    <w:rsid w:val="005523D3"/>
    <w:rsid w:val="00554A7E"/>
    <w:rsid w:val="005609D9"/>
    <w:rsid w:val="005623A8"/>
    <w:rsid w:val="00564D14"/>
    <w:rsid w:val="00565B04"/>
    <w:rsid w:val="00570C19"/>
    <w:rsid w:val="0057236B"/>
    <w:rsid w:val="00572481"/>
    <w:rsid w:val="00572B9F"/>
    <w:rsid w:val="005738F3"/>
    <w:rsid w:val="0057676A"/>
    <w:rsid w:val="0058213D"/>
    <w:rsid w:val="0058296A"/>
    <w:rsid w:val="00584B57"/>
    <w:rsid w:val="00586B57"/>
    <w:rsid w:val="005919E8"/>
    <w:rsid w:val="0059257A"/>
    <w:rsid w:val="00595D42"/>
    <w:rsid w:val="00597A0F"/>
    <w:rsid w:val="005A2C2B"/>
    <w:rsid w:val="005B47D8"/>
    <w:rsid w:val="005B60F8"/>
    <w:rsid w:val="005B6289"/>
    <w:rsid w:val="005B673B"/>
    <w:rsid w:val="005C3A26"/>
    <w:rsid w:val="005C654F"/>
    <w:rsid w:val="005D2EE6"/>
    <w:rsid w:val="005D5A59"/>
    <w:rsid w:val="005E24A4"/>
    <w:rsid w:val="005E6259"/>
    <w:rsid w:val="005E74FE"/>
    <w:rsid w:val="005F15D5"/>
    <w:rsid w:val="005F1860"/>
    <w:rsid w:val="005F2C95"/>
    <w:rsid w:val="005F3814"/>
    <w:rsid w:val="005F4579"/>
    <w:rsid w:val="005F4F5E"/>
    <w:rsid w:val="005F5CEF"/>
    <w:rsid w:val="005F6E37"/>
    <w:rsid w:val="005F7DD0"/>
    <w:rsid w:val="006016C6"/>
    <w:rsid w:val="00606632"/>
    <w:rsid w:val="0061466B"/>
    <w:rsid w:val="00614AEA"/>
    <w:rsid w:val="0061546F"/>
    <w:rsid w:val="0062413C"/>
    <w:rsid w:val="0062631D"/>
    <w:rsid w:val="006316CB"/>
    <w:rsid w:val="00635ACF"/>
    <w:rsid w:val="0064325F"/>
    <w:rsid w:val="00645004"/>
    <w:rsid w:val="0065022E"/>
    <w:rsid w:val="00650FEF"/>
    <w:rsid w:val="00655FF9"/>
    <w:rsid w:val="00660FA5"/>
    <w:rsid w:val="00661149"/>
    <w:rsid w:val="00663B1C"/>
    <w:rsid w:val="00664FEB"/>
    <w:rsid w:val="00671DBB"/>
    <w:rsid w:val="00672C0F"/>
    <w:rsid w:val="0067475E"/>
    <w:rsid w:val="00677990"/>
    <w:rsid w:val="00681149"/>
    <w:rsid w:val="00684C02"/>
    <w:rsid w:val="006946EA"/>
    <w:rsid w:val="006B13D6"/>
    <w:rsid w:val="006B1EE4"/>
    <w:rsid w:val="006B1EF5"/>
    <w:rsid w:val="006B20EE"/>
    <w:rsid w:val="006B2661"/>
    <w:rsid w:val="006C1AF9"/>
    <w:rsid w:val="006C2130"/>
    <w:rsid w:val="006C2DB4"/>
    <w:rsid w:val="006C4443"/>
    <w:rsid w:val="006C6814"/>
    <w:rsid w:val="006C7BA9"/>
    <w:rsid w:val="006D01C0"/>
    <w:rsid w:val="006D06D1"/>
    <w:rsid w:val="006D1DD4"/>
    <w:rsid w:val="006D608C"/>
    <w:rsid w:val="006D7311"/>
    <w:rsid w:val="006E2CC4"/>
    <w:rsid w:val="006F050C"/>
    <w:rsid w:val="006F055C"/>
    <w:rsid w:val="006F227F"/>
    <w:rsid w:val="006F406A"/>
    <w:rsid w:val="0070233B"/>
    <w:rsid w:val="00702AAE"/>
    <w:rsid w:val="00702FF4"/>
    <w:rsid w:val="00703028"/>
    <w:rsid w:val="00704262"/>
    <w:rsid w:val="00707062"/>
    <w:rsid w:val="0071683D"/>
    <w:rsid w:val="0072041C"/>
    <w:rsid w:val="00720524"/>
    <w:rsid w:val="007218DD"/>
    <w:rsid w:val="0072359E"/>
    <w:rsid w:val="007242B8"/>
    <w:rsid w:val="00724CB0"/>
    <w:rsid w:val="007264BC"/>
    <w:rsid w:val="00726E51"/>
    <w:rsid w:val="00727635"/>
    <w:rsid w:val="00730C7E"/>
    <w:rsid w:val="007355A9"/>
    <w:rsid w:val="00735878"/>
    <w:rsid w:val="0075010D"/>
    <w:rsid w:val="00751B44"/>
    <w:rsid w:val="007529E7"/>
    <w:rsid w:val="00755845"/>
    <w:rsid w:val="007626B7"/>
    <w:rsid w:val="00763598"/>
    <w:rsid w:val="007639E1"/>
    <w:rsid w:val="007647F8"/>
    <w:rsid w:val="0076523F"/>
    <w:rsid w:val="0078749D"/>
    <w:rsid w:val="00791E1F"/>
    <w:rsid w:val="00794ABB"/>
    <w:rsid w:val="007A5597"/>
    <w:rsid w:val="007A66FD"/>
    <w:rsid w:val="007A7605"/>
    <w:rsid w:val="007B1B0E"/>
    <w:rsid w:val="007B4741"/>
    <w:rsid w:val="007B4DC1"/>
    <w:rsid w:val="007B53B6"/>
    <w:rsid w:val="007B5F97"/>
    <w:rsid w:val="007B5FB5"/>
    <w:rsid w:val="007B7509"/>
    <w:rsid w:val="007B77FE"/>
    <w:rsid w:val="007C28E4"/>
    <w:rsid w:val="007C2D00"/>
    <w:rsid w:val="007C72F7"/>
    <w:rsid w:val="007C79F0"/>
    <w:rsid w:val="007D2F3B"/>
    <w:rsid w:val="007D670F"/>
    <w:rsid w:val="007E1DEA"/>
    <w:rsid w:val="007E429B"/>
    <w:rsid w:val="007F2079"/>
    <w:rsid w:val="007F39B4"/>
    <w:rsid w:val="007F790D"/>
    <w:rsid w:val="007F7CFD"/>
    <w:rsid w:val="0080229E"/>
    <w:rsid w:val="00804959"/>
    <w:rsid w:val="00806F70"/>
    <w:rsid w:val="008143E2"/>
    <w:rsid w:val="008158F4"/>
    <w:rsid w:val="00820904"/>
    <w:rsid w:val="008235D6"/>
    <w:rsid w:val="00823D63"/>
    <w:rsid w:val="00823EF8"/>
    <w:rsid w:val="00824AEF"/>
    <w:rsid w:val="00824D52"/>
    <w:rsid w:val="00826279"/>
    <w:rsid w:val="00827DDB"/>
    <w:rsid w:val="00830236"/>
    <w:rsid w:val="008326E3"/>
    <w:rsid w:val="00841A34"/>
    <w:rsid w:val="00841C96"/>
    <w:rsid w:val="00851628"/>
    <w:rsid w:val="00851682"/>
    <w:rsid w:val="008542A0"/>
    <w:rsid w:val="00854600"/>
    <w:rsid w:val="00856829"/>
    <w:rsid w:val="00857139"/>
    <w:rsid w:val="00857B5A"/>
    <w:rsid w:val="008613A9"/>
    <w:rsid w:val="00864D87"/>
    <w:rsid w:val="00865D62"/>
    <w:rsid w:val="008704CB"/>
    <w:rsid w:val="00874914"/>
    <w:rsid w:val="00874ADD"/>
    <w:rsid w:val="00876743"/>
    <w:rsid w:val="0087678B"/>
    <w:rsid w:val="00877880"/>
    <w:rsid w:val="00877A71"/>
    <w:rsid w:val="0088301C"/>
    <w:rsid w:val="00886E72"/>
    <w:rsid w:val="0089056F"/>
    <w:rsid w:val="00896BFB"/>
    <w:rsid w:val="0089784B"/>
    <w:rsid w:val="008A3575"/>
    <w:rsid w:val="008B0358"/>
    <w:rsid w:val="008B0F7E"/>
    <w:rsid w:val="008B7A3F"/>
    <w:rsid w:val="008C6233"/>
    <w:rsid w:val="008C6A7D"/>
    <w:rsid w:val="008C6CB5"/>
    <w:rsid w:val="008C7947"/>
    <w:rsid w:val="008D43D5"/>
    <w:rsid w:val="008E2315"/>
    <w:rsid w:val="008E3E1B"/>
    <w:rsid w:val="008E4481"/>
    <w:rsid w:val="008E67A7"/>
    <w:rsid w:val="008F0D63"/>
    <w:rsid w:val="008F0DFB"/>
    <w:rsid w:val="008F2F8E"/>
    <w:rsid w:val="00900378"/>
    <w:rsid w:val="009021AD"/>
    <w:rsid w:val="00906CC5"/>
    <w:rsid w:val="00911383"/>
    <w:rsid w:val="00911F33"/>
    <w:rsid w:val="009123DC"/>
    <w:rsid w:val="009127B4"/>
    <w:rsid w:val="00921FE5"/>
    <w:rsid w:val="009275FF"/>
    <w:rsid w:val="00942113"/>
    <w:rsid w:val="0094658A"/>
    <w:rsid w:val="00952128"/>
    <w:rsid w:val="00953E1C"/>
    <w:rsid w:val="0095573C"/>
    <w:rsid w:val="00957C52"/>
    <w:rsid w:val="009607B9"/>
    <w:rsid w:val="00960BFB"/>
    <w:rsid w:val="00961220"/>
    <w:rsid w:val="009635CF"/>
    <w:rsid w:val="009638F1"/>
    <w:rsid w:val="00970318"/>
    <w:rsid w:val="00973114"/>
    <w:rsid w:val="00974988"/>
    <w:rsid w:val="00975B05"/>
    <w:rsid w:val="0098051C"/>
    <w:rsid w:val="00986085"/>
    <w:rsid w:val="00986F20"/>
    <w:rsid w:val="009874FB"/>
    <w:rsid w:val="00987B88"/>
    <w:rsid w:val="00993744"/>
    <w:rsid w:val="00994835"/>
    <w:rsid w:val="00995B0C"/>
    <w:rsid w:val="00997496"/>
    <w:rsid w:val="009A05BD"/>
    <w:rsid w:val="009A3C95"/>
    <w:rsid w:val="009A58E7"/>
    <w:rsid w:val="009A7B43"/>
    <w:rsid w:val="009B2435"/>
    <w:rsid w:val="009B3803"/>
    <w:rsid w:val="009B459C"/>
    <w:rsid w:val="009C3A2B"/>
    <w:rsid w:val="009C3FF8"/>
    <w:rsid w:val="009C5C53"/>
    <w:rsid w:val="009D6A09"/>
    <w:rsid w:val="009E4A62"/>
    <w:rsid w:val="009E62A9"/>
    <w:rsid w:val="009F23DB"/>
    <w:rsid w:val="009F3756"/>
    <w:rsid w:val="009F6925"/>
    <w:rsid w:val="009F6B27"/>
    <w:rsid w:val="009F6C5B"/>
    <w:rsid w:val="00A0005B"/>
    <w:rsid w:val="00A00F02"/>
    <w:rsid w:val="00A02908"/>
    <w:rsid w:val="00A05630"/>
    <w:rsid w:val="00A12988"/>
    <w:rsid w:val="00A1473E"/>
    <w:rsid w:val="00A211D4"/>
    <w:rsid w:val="00A217CA"/>
    <w:rsid w:val="00A225C8"/>
    <w:rsid w:val="00A24240"/>
    <w:rsid w:val="00A25603"/>
    <w:rsid w:val="00A25CD1"/>
    <w:rsid w:val="00A27E48"/>
    <w:rsid w:val="00A31075"/>
    <w:rsid w:val="00A321F4"/>
    <w:rsid w:val="00A32698"/>
    <w:rsid w:val="00A33205"/>
    <w:rsid w:val="00A33FF4"/>
    <w:rsid w:val="00A34047"/>
    <w:rsid w:val="00A34B53"/>
    <w:rsid w:val="00A35F13"/>
    <w:rsid w:val="00A459EB"/>
    <w:rsid w:val="00A52049"/>
    <w:rsid w:val="00A537C0"/>
    <w:rsid w:val="00A537E6"/>
    <w:rsid w:val="00A53B2F"/>
    <w:rsid w:val="00A55C2F"/>
    <w:rsid w:val="00A63B27"/>
    <w:rsid w:val="00A63D7C"/>
    <w:rsid w:val="00A6438C"/>
    <w:rsid w:val="00A654DF"/>
    <w:rsid w:val="00A70DF2"/>
    <w:rsid w:val="00A766B5"/>
    <w:rsid w:val="00A766B9"/>
    <w:rsid w:val="00A861C1"/>
    <w:rsid w:val="00A93C49"/>
    <w:rsid w:val="00A9718B"/>
    <w:rsid w:val="00AA1FC1"/>
    <w:rsid w:val="00AA39D7"/>
    <w:rsid w:val="00AA497B"/>
    <w:rsid w:val="00AA7EDF"/>
    <w:rsid w:val="00AB2907"/>
    <w:rsid w:val="00AC0107"/>
    <w:rsid w:val="00AC11B9"/>
    <w:rsid w:val="00AC1F69"/>
    <w:rsid w:val="00AC5027"/>
    <w:rsid w:val="00AC5D3D"/>
    <w:rsid w:val="00AC6BC9"/>
    <w:rsid w:val="00AD11F6"/>
    <w:rsid w:val="00AD42B7"/>
    <w:rsid w:val="00AD7F56"/>
    <w:rsid w:val="00AE2646"/>
    <w:rsid w:val="00AE2A06"/>
    <w:rsid w:val="00AE730C"/>
    <w:rsid w:val="00AF2758"/>
    <w:rsid w:val="00AF3E51"/>
    <w:rsid w:val="00AF5CF0"/>
    <w:rsid w:val="00AF7A74"/>
    <w:rsid w:val="00B0471C"/>
    <w:rsid w:val="00B05DD6"/>
    <w:rsid w:val="00B12DEF"/>
    <w:rsid w:val="00B16774"/>
    <w:rsid w:val="00B20971"/>
    <w:rsid w:val="00B255D5"/>
    <w:rsid w:val="00B2644E"/>
    <w:rsid w:val="00B276E4"/>
    <w:rsid w:val="00B27707"/>
    <w:rsid w:val="00B30367"/>
    <w:rsid w:val="00B345CD"/>
    <w:rsid w:val="00B4164F"/>
    <w:rsid w:val="00B429E2"/>
    <w:rsid w:val="00B4372A"/>
    <w:rsid w:val="00B52328"/>
    <w:rsid w:val="00B53E83"/>
    <w:rsid w:val="00B5436E"/>
    <w:rsid w:val="00B5480F"/>
    <w:rsid w:val="00B54B39"/>
    <w:rsid w:val="00B6079B"/>
    <w:rsid w:val="00B70B3E"/>
    <w:rsid w:val="00B75563"/>
    <w:rsid w:val="00B76A0F"/>
    <w:rsid w:val="00B82387"/>
    <w:rsid w:val="00B8621E"/>
    <w:rsid w:val="00B872B8"/>
    <w:rsid w:val="00B87635"/>
    <w:rsid w:val="00B87F49"/>
    <w:rsid w:val="00B9022B"/>
    <w:rsid w:val="00B9042B"/>
    <w:rsid w:val="00B940B5"/>
    <w:rsid w:val="00B9676E"/>
    <w:rsid w:val="00BA416C"/>
    <w:rsid w:val="00BA41D4"/>
    <w:rsid w:val="00BA70EF"/>
    <w:rsid w:val="00BB2DCD"/>
    <w:rsid w:val="00BB7AF5"/>
    <w:rsid w:val="00BC010B"/>
    <w:rsid w:val="00BC470D"/>
    <w:rsid w:val="00BC52CB"/>
    <w:rsid w:val="00BC7333"/>
    <w:rsid w:val="00BD0E09"/>
    <w:rsid w:val="00BD4DCA"/>
    <w:rsid w:val="00BD5D12"/>
    <w:rsid w:val="00BD6610"/>
    <w:rsid w:val="00BE2015"/>
    <w:rsid w:val="00BE6A9E"/>
    <w:rsid w:val="00BF13BD"/>
    <w:rsid w:val="00BF1561"/>
    <w:rsid w:val="00BF702E"/>
    <w:rsid w:val="00C01014"/>
    <w:rsid w:val="00C02E54"/>
    <w:rsid w:val="00C03B18"/>
    <w:rsid w:val="00C11544"/>
    <w:rsid w:val="00C1489F"/>
    <w:rsid w:val="00C1514F"/>
    <w:rsid w:val="00C15616"/>
    <w:rsid w:val="00C165B3"/>
    <w:rsid w:val="00C17250"/>
    <w:rsid w:val="00C20921"/>
    <w:rsid w:val="00C215A3"/>
    <w:rsid w:val="00C26FE5"/>
    <w:rsid w:val="00C322F7"/>
    <w:rsid w:val="00C32F9B"/>
    <w:rsid w:val="00C36273"/>
    <w:rsid w:val="00C40295"/>
    <w:rsid w:val="00C4091B"/>
    <w:rsid w:val="00C419A6"/>
    <w:rsid w:val="00C4294B"/>
    <w:rsid w:val="00C45672"/>
    <w:rsid w:val="00C475A0"/>
    <w:rsid w:val="00C5253D"/>
    <w:rsid w:val="00C52769"/>
    <w:rsid w:val="00C54069"/>
    <w:rsid w:val="00C551AD"/>
    <w:rsid w:val="00C5647F"/>
    <w:rsid w:val="00C579D4"/>
    <w:rsid w:val="00C60302"/>
    <w:rsid w:val="00C615A4"/>
    <w:rsid w:val="00C61782"/>
    <w:rsid w:val="00C6279D"/>
    <w:rsid w:val="00C7495E"/>
    <w:rsid w:val="00C76641"/>
    <w:rsid w:val="00C770A8"/>
    <w:rsid w:val="00C80FAE"/>
    <w:rsid w:val="00C93325"/>
    <w:rsid w:val="00C94D9B"/>
    <w:rsid w:val="00C978D9"/>
    <w:rsid w:val="00CA33B6"/>
    <w:rsid w:val="00CB56DF"/>
    <w:rsid w:val="00CB5C77"/>
    <w:rsid w:val="00CC28CF"/>
    <w:rsid w:val="00CC5C65"/>
    <w:rsid w:val="00CC7DF4"/>
    <w:rsid w:val="00CD30D5"/>
    <w:rsid w:val="00CD6F26"/>
    <w:rsid w:val="00CE5B19"/>
    <w:rsid w:val="00CE61A5"/>
    <w:rsid w:val="00CE6CB5"/>
    <w:rsid w:val="00CF3570"/>
    <w:rsid w:val="00CF641A"/>
    <w:rsid w:val="00D01BA6"/>
    <w:rsid w:val="00D02721"/>
    <w:rsid w:val="00D02912"/>
    <w:rsid w:val="00D045D9"/>
    <w:rsid w:val="00D053AD"/>
    <w:rsid w:val="00D07325"/>
    <w:rsid w:val="00D1024E"/>
    <w:rsid w:val="00D10F83"/>
    <w:rsid w:val="00D12D9C"/>
    <w:rsid w:val="00D13728"/>
    <w:rsid w:val="00D13953"/>
    <w:rsid w:val="00D150FB"/>
    <w:rsid w:val="00D1685D"/>
    <w:rsid w:val="00D16E49"/>
    <w:rsid w:val="00D20D64"/>
    <w:rsid w:val="00D25838"/>
    <w:rsid w:val="00D301C3"/>
    <w:rsid w:val="00D30A23"/>
    <w:rsid w:val="00D34F1B"/>
    <w:rsid w:val="00D4112D"/>
    <w:rsid w:val="00D41287"/>
    <w:rsid w:val="00D41C66"/>
    <w:rsid w:val="00D41FCD"/>
    <w:rsid w:val="00D44FC0"/>
    <w:rsid w:val="00D46647"/>
    <w:rsid w:val="00D46E6B"/>
    <w:rsid w:val="00D5093D"/>
    <w:rsid w:val="00D50E7D"/>
    <w:rsid w:val="00D51EF1"/>
    <w:rsid w:val="00D52AE2"/>
    <w:rsid w:val="00D57662"/>
    <w:rsid w:val="00D61B01"/>
    <w:rsid w:val="00D66A6F"/>
    <w:rsid w:val="00D66BA3"/>
    <w:rsid w:val="00D67D3E"/>
    <w:rsid w:val="00D70CBD"/>
    <w:rsid w:val="00D72BEA"/>
    <w:rsid w:val="00D73621"/>
    <w:rsid w:val="00D76DCE"/>
    <w:rsid w:val="00D80EE0"/>
    <w:rsid w:val="00D8330A"/>
    <w:rsid w:val="00D83710"/>
    <w:rsid w:val="00D83C1F"/>
    <w:rsid w:val="00D84EE4"/>
    <w:rsid w:val="00D867C1"/>
    <w:rsid w:val="00D87052"/>
    <w:rsid w:val="00D93042"/>
    <w:rsid w:val="00D94F04"/>
    <w:rsid w:val="00D9614A"/>
    <w:rsid w:val="00D97A41"/>
    <w:rsid w:val="00DA09FA"/>
    <w:rsid w:val="00DA12D4"/>
    <w:rsid w:val="00DA5A63"/>
    <w:rsid w:val="00DA607C"/>
    <w:rsid w:val="00DA6EC8"/>
    <w:rsid w:val="00DA7235"/>
    <w:rsid w:val="00DB0B19"/>
    <w:rsid w:val="00DB2FD7"/>
    <w:rsid w:val="00DC319F"/>
    <w:rsid w:val="00DC3976"/>
    <w:rsid w:val="00DD03C6"/>
    <w:rsid w:val="00DD364B"/>
    <w:rsid w:val="00DD7CF8"/>
    <w:rsid w:val="00DE493D"/>
    <w:rsid w:val="00DE74A7"/>
    <w:rsid w:val="00DF3BE2"/>
    <w:rsid w:val="00DF4926"/>
    <w:rsid w:val="00E00EC0"/>
    <w:rsid w:val="00E0370E"/>
    <w:rsid w:val="00E04710"/>
    <w:rsid w:val="00E10123"/>
    <w:rsid w:val="00E123C5"/>
    <w:rsid w:val="00E1493D"/>
    <w:rsid w:val="00E20F7F"/>
    <w:rsid w:val="00E2396E"/>
    <w:rsid w:val="00E32551"/>
    <w:rsid w:val="00E35357"/>
    <w:rsid w:val="00E357CF"/>
    <w:rsid w:val="00E37C33"/>
    <w:rsid w:val="00E42CCD"/>
    <w:rsid w:val="00E44171"/>
    <w:rsid w:val="00E4668E"/>
    <w:rsid w:val="00E47271"/>
    <w:rsid w:val="00E47B29"/>
    <w:rsid w:val="00E506E3"/>
    <w:rsid w:val="00E50CA6"/>
    <w:rsid w:val="00E51E59"/>
    <w:rsid w:val="00E627FA"/>
    <w:rsid w:val="00E74BBC"/>
    <w:rsid w:val="00E75510"/>
    <w:rsid w:val="00E7579B"/>
    <w:rsid w:val="00E76C39"/>
    <w:rsid w:val="00E8084E"/>
    <w:rsid w:val="00E84CA8"/>
    <w:rsid w:val="00E94328"/>
    <w:rsid w:val="00EA6322"/>
    <w:rsid w:val="00EB5000"/>
    <w:rsid w:val="00EC3337"/>
    <w:rsid w:val="00EC4514"/>
    <w:rsid w:val="00EC5F7A"/>
    <w:rsid w:val="00EC688B"/>
    <w:rsid w:val="00EC6F8A"/>
    <w:rsid w:val="00ED2097"/>
    <w:rsid w:val="00ED358B"/>
    <w:rsid w:val="00ED6C0B"/>
    <w:rsid w:val="00EE0CF8"/>
    <w:rsid w:val="00EE1C90"/>
    <w:rsid w:val="00EE2D72"/>
    <w:rsid w:val="00EE2E07"/>
    <w:rsid w:val="00EE2EA0"/>
    <w:rsid w:val="00EE40B8"/>
    <w:rsid w:val="00EE4253"/>
    <w:rsid w:val="00EE6B3E"/>
    <w:rsid w:val="00EF1070"/>
    <w:rsid w:val="00EF30A2"/>
    <w:rsid w:val="00EF3B5C"/>
    <w:rsid w:val="00EF439B"/>
    <w:rsid w:val="00EF6D63"/>
    <w:rsid w:val="00EF720A"/>
    <w:rsid w:val="00F01212"/>
    <w:rsid w:val="00F0682F"/>
    <w:rsid w:val="00F13E04"/>
    <w:rsid w:val="00F1441E"/>
    <w:rsid w:val="00F229A1"/>
    <w:rsid w:val="00F240DC"/>
    <w:rsid w:val="00F26FB5"/>
    <w:rsid w:val="00F3042F"/>
    <w:rsid w:val="00F30F75"/>
    <w:rsid w:val="00F33F7F"/>
    <w:rsid w:val="00F46073"/>
    <w:rsid w:val="00F47618"/>
    <w:rsid w:val="00F476E5"/>
    <w:rsid w:val="00F6169D"/>
    <w:rsid w:val="00F64562"/>
    <w:rsid w:val="00F70688"/>
    <w:rsid w:val="00F76A67"/>
    <w:rsid w:val="00F80075"/>
    <w:rsid w:val="00F84740"/>
    <w:rsid w:val="00F85FBF"/>
    <w:rsid w:val="00F867B1"/>
    <w:rsid w:val="00F87307"/>
    <w:rsid w:val="00F9022F"/>
    <w:rsid w:val="00F91C69"/>
    <w:rsid w:val="00F93736"/>
    <w:rsid w:val="00FA56A3"/>
    <w:rsid w:val="00FA575A"/>
    <w:rsid w:val="00FA5D19"/>
    <w:rsid w:val="00FA6187"/>
    <w:rsid w:val="00FB118E"/>
    <w:rsid w:val="00FB2F9F"/>
    <w:rsid w:val="00FB4908"/>
    <w:rsid w:val="00FB4ED6"/>
    <w:rsid w:val="00FB658B"/>
    <w:rsid w:val="00FC29E7"/>
    <w:rsid w:val="00FC4094"/>
    <w:rsid w:val="00FC5C9A"/>
    <w:rsid w:val="00FD098A"/>
    <w:rsid w:val="00FD2802"/>
    <w:rsid w:val="00FE22D6"/>
    <w:rsid w:val="00FE2383"/>
    <w:rsid w:val="00FE5D6B"/>
    <w:rsid w:val="00FE65CC"/>
    <w:rsid w:val="00FF5546"/>
    <w:rsid w:val="00FF68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0A9D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AU" w:eastAsia="en-AU"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1F76B3"/>
  </w:style>
  <w:style w:type="paragraph" w:styleId="Heading1">
    <w:name w:val="heading 1"/>
    <w:basedOn w:val="Normal"/>
    <w:next w:val="Normal"/>
    <w:link w:val="Heading1Char"/>
    <w:qFormat/>
    <w:rsid w:val="00490E2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nhideWhenUsed/>
    <w:qFormat/>
    <w:rsid w:val="00490E2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nhideWhenUsed/>
    <w:qFormat/>
    <w:rsid w:val="00490E2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nhideWhenUsed/>
    <w:qFormat/>
    <w:rsid w:val="00490E2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nhideWhenUsed/>
    <w:qFormat/>
    <w:rsid w:val="00490E2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nhideWhenUsed/>
    <w:qFormat/>
    <w:rsid w:val="00490E2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490E2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490E2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490E2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autoSpaceDE w:val="0"/>
      <w:autoSpaceDN w:val="0"/>
      <w:adjustRightInd w:val="0"/>
      <w:textAlignment w:val="center"/>
    </w:pPr>
    <w:rPr>
      <w:rFonts w:ascii="MinionPro-Regular" w:hAnsi="MinionPro-Regular" w:cs="MinionPro-Regular"/>
      <w:color w:val="000000"/>
      <w:lang w:val="en-GB"/>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uiPriority w:val="99"/>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basedOn w:val="Normal"/>
    <w:link w:val="FootnoteTextChar"/>
    <w:uiPriority w:val="99"/>
    <w:rsid w:val="00AE2646"/>
    <w:rPr>
      <w:sz w:val="20"/>
      <w:szCs w:val="20"/>
    </w:rPr>
  </w:style>
  <w:style w:type="character" w:customStyle="1" w:styleId="FootnoteTextChar">
    <w:name w:val="Footnote Text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ind w:left="720"/>
      <w:contextualSpacing/>
    </w:pPr>
  </w:style>
  <w:style w:type="paragraph" w:customStyle="1" w:styleId="p">
    <w:name w:val="p"/>
    <w:basedOn w:val="Normal"/>
    <w:rsid w:val="00D50E7D"/>
    <w:pPr>
      <w:ind w:left="75" w:right="75"/>
    </w:pPr>
    <w:rPr>
      <w:rFonts w:ascii="Arial" w:hAnsi="Arial" w:cs="Arial"/>
      <w:sz w:val="20"/>
      <w:szCs w:val="20"/>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link w:val="base-text-paragraphChar"/>
    <w:rsid w:val="00586B57"/>
    <w:pPr>
      <w:tabs>
        <w:tab w:val="num" w:pos="0"/>
      </w:tabs>
      <w:spacing w:before="120" w:after="120"/>
    </w:pPr>
    <w:rPr>
      <w:rFonts w:ascii="Times New Roman" w:hAnsi="Times New Roman"/>
      <w:sz w:val="22"/>
      <w:szCs w:val="20"/>
      <w:lang w:eastAsia="ar-SA"/>
    </w:rPr>
  </w:style>
  <w:style w:type="paragraph" w:customStyle="1" w:styleId="IPAHeading">
    <w:name w:val="IPA Heading"/>
    <w:basedOn w:val="header14ptorangebold"/>
    <w:autoRedefine/>
    <w:qFormat/>
    <w:rsid w:val="008542A0"/>
    <w:pPr>
      <w:spacing w:after="240" w:line="240" w:lineRule="exact"/>
      <w:ind w:right="559"/>
    </w:pPr>
    <w:rPr>
      <w:rFonts w:ascii="Arial" w:hAnsi="Arial" w:cs="Arial"/>
      <w:b/>
      <w:bCs w:val="0"/>
      <w:color w:val="E36C0A" w:themeColor="accent6" w:themeShade="BF"/>
      <w:sz w:val="24"/>
      <w:szCs w:val="24"/>
    </w:rPr>
  </w:style>
  <w:style w:type="paragraph" w:customStyle="1" w:styleId="IPASubHeading">
    <w:name w:val="IPA Sub Heading"/>
    <w:basedOn w:val="Normal"/>
    <w:autoRedefine/>
    <w:qFormat/>
    <w:rsid w:val="00017E1A"/>
    <w:pPr>
      <w:jc w:val="both"/>
    </w:pPr>
    <w:rPr>
      <w:rFonts w:ascii="Arial" w:hAnsi="Arial" w:cs="Arial"/>
      <w:b/>
      <w:i/>
      <w:color w:val="595959"/>
      <w:sz w:val="20"/>
      <w:szCs w:val="20"/>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A654DF"/>
    <w:pPr>
      <w:tabs>
        <w:tab w:val="right" w:leader="dot" w:pos="9054"/>
      </w:tabs>
      <w:spacing w:after="100"/>
    </w:pPr>
    <w:rPr>
      <w:rFonts w:ascii="Arial" w:hAnsi="Arial"/>
      <w:noProof/>
      <w:color w:val="484E41"/>
      <w:sz w:val="20"/>
      <w:szCs w:val="20"/>
    </w:rPr>
  </w:style>
  <w:style w:type="character" w:styleId="Emphasis">
    <w:name w:val="Emphasis"/>
    <w:basedOn w:val="DefaultParagraphFont"/>
    <w:uiPriority w:val="20"/>
    <w:qFormat/>
    <w:rsid w:val="00490E23"/>
    <w:rPr>
      <w:i/>
      <w:iCs/>
      <w:color w:val="F79646" w:themeColor="accent6"/>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1"/>
      </w:numPr>
      <w:spacing w:after="240" w:line="280" w:lineRule="exact"/>
      <w:jc w:val="both"/>
    </w:pPr>
    <w:rPr>
      <w:rFonts w:cs="Times New Roman"/>
      <w:color w:val="000000"/>
      <w:sz w:val="22"/>
      <w:szCs w:val="20"/>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customStyle="1" w:styleId="BoxHeading">
    <w:name w:val="Box Heading"/>
    <w:basedOn w:val="Normal"/>
    <w:next w:val="BoxText"/>
    <w:rsid w:val="006946EA"/>
    <w:pPr>
      <w:keepNext/>
      <w:spacing w:before="240" w:after="120"/>
    </w:pPr>
    <w:rPr>
      <w:rFonts w:cs="Times New Roman"/>
      <w:b/>
      <w:color w:val="342E82"/>
      <w:sz w:val="22"/>
      <w:szCs w:val="20"/>
    </w:rPr>
  </w:style>
  <w:style w:type="paragraph" w:customStyle="1" w:styleId="BoxText">
    <w:name w:val="Box Text"/>
    <w:basedOn w:val="Normal"/>
    <w:rsid w:val="006946EA"/>
    <w:pPr>
      <w:spacing w:after="240" w:line="280" w:lineRule="exact"/>
      <w:jc w:val="both"/>
    </w:pPr>
    <w:rPr>
      <w:rFonts w:cs="Times New Roman"/>
      <w:color w:val="000000"/>
      <w:sz w:val="22"/>
      <w:szCs w:val="20"/>
    </w:rPr>
  </w:style>
  <w:style w:type="character" w:customStyle="1" w:styleId="uficommentbody">
    <w:name w:val="uficommentbody"/>
    <w:basedOn w:val="DefaultParagraphFont"/>
    <w:rsid w:val="00AC6BC9"/>
  </w:style>
  <w:style w:type="table" w:styleId="TableGrid">
    <w:name w:val="Table Grid"/>
    <w:basedOn w:val="TableNormal"/>
    <w:rsid w:val="00422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0E2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490E2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490E2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490E23"/>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490E2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490E23"/>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490E23"/>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490E23"/>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490E23"/>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490E23"/>
    <w:pPr>
      <w:spacing w:line="240" w:lineRule="auto"/>
    </w:pPr>
    <w:rPr>
      <w:b/>
      <w:bCs/>
      <w:smallCaps/>
      <w:color w:val="595959" w:themeColor="text1" w:themeTint="A6"/>
    </w:rPr>
  </w:style>
  <w:style w:type="paragraph" w:styleId="Title">
    <w:name w:val="Title"/>
    <w:basedOn w:val="Normal"/>
    <w:next w:val="Normal"/>
    <w:link w:val="TitleChar"/>
    <w:qFormat/>
    <w:rsid w:val="00490E2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90E2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qFormat/>
    <w:rsid w:val="00490E2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90E23"/>
    <w:rPr>
      <w:rFonts w:asciiTheme="majorHAnsi" w:eastAsiaTheme="majorEastAsia" w:hAnsiTheme="majorHAnsi" w:cstheme="majorBidi"/>
      <w:sz w:val="30"/>
      <w:szCs w:val="30"/>
    </w:rPr>
  </w:style>
  <w:style w:type="character" w:styleId="Strong">
    <w:name w:val="Strong"/>
    <w:basedOn w:val="DefaultParagraphFont"/>
    <w:uiPriority w:val="22"/>
    <w:qFormat/>
    <w:rsid w:val="00490E23"/>
    <w:rPr>
      <w:b/>
      <w:bCs/>
    </w:rPr>
  </w:style>
  <w:style w:type="paragraph" w:styleId="NoSpacing">
    <w:name w:val="No Spacing"/>
    <w:uiPriority w:val="1"/>
    <w:qFormat/>
    <w:rsid w:val="00490E23"/>
    <w:pPr>
      <w:spacing w:after="0" w:line="240" w:lineRule="auto"/>
    </w:pPr>
  </w:style>
  <w:style w:type="paragraph" w:styleId="Quote">
    <w:name w:val="Quote"/>
    <w:basedOn w:val="Normal"/>
    <w:next w:val="Normal"/>
    <w:link w:val="QuoteChar"/>
    <w:uiPriority w:val="29"/>
    <w:qFormat/>
    <w:rsid w:val="00490E2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90E23"/>
    <w:rPr>
      <w:i/>
      <w:iCs/>
      <w:color w:val="262626" w:themeColor="text1" w:themeTint="D9"/>
    </w:rPr>
  </w:style>
  <w:style w:type="paragraph" w:styleId="IntenseQuote">
    <w:name w:val="Intense Quote"/>
    <w:basedOn w:val="Normal"/>
    <w:next w:val="Normal"/>
    <w:link w:val="IntenseQuoteChar"/>
    <w:uiPriority w:val="30"/>
    <w:qFormat/>
    <w:rsid w:val="00490E2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90E23"/>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490E23"/>
    <w:rPr>
      <w:i/>
      <w:iCs/>
    </w:rPr>
  </w:style>
  <w:style w:type="character" w:styleId="IntenseEmphasis">
    <w:name w:val="Intense Emphasis"/>
    <w:basedOn w:val="DefaultParagraphFont"/>
    <w:uiPriority w:val="21"/>
    <w:qFormat/>
    <w:rsid w:val="00490E23"/>
    <w:rPr>
      <w:b/>
      <w:bCs/>
      <w:i/>
      <w:iCs/>
    </w:rPr>
  </w:style>
  <w:style w:type="character" w:styleId="SubtleReference">
    <w:name w:val="Subtle Reference"/>
    <w:basedOn w:val="DefaultParagraphFont"/>
    <w:uiPriority w:val="31"/>
    <w:qFormat/>
    <w:rsid w:val="00490E23"/>
    <w:rPr>
      <w:smallCaps/>
      <w:color w:val="595959" w:themeColor="text1" w:themeTint="A6"/>
    </w:rPr>
  </w:style>
  <w:style w:type="character" w:styleId="IntenseReference">
    <w:name w:val="Intense Reference"/>
    <w:basedOn w:val="DefaultParagraphFont"/>
    <w:uiPriority w:val="32"/>
    <w:qFormat/>
    <w:rsid w:val="00490E23"/>
    <w:rPr>
      <w:b/>
      <w:bCs/>
      <w:smallCaps/>
      <w:color w:val="F79646" w:themeColor="accent6"/>
    </w:rPr>
  </w:style>
  <w:style w:type="character" w:styleId="BookTitle">
    <w:name w:val="Book Title"/>
    <w:basedOn w:val="DefaultParagraphFont"/>
    <w:uiPriority w:val="33"/>
    <w:qFormat/>
    <w:rsid w:val="00490E23"/>
    <w:rPr>
      <w:b/>
      <w:bCs/>
      <w:caps w:val="0"/>
      <w:smallCaps/>
      <w:spacing w:val="7"/>
      <w:sz w:val="21"/>
      <w:szCs w:val="21"/>
    </w:rPr>
  </w:style>
  <w:style w:type="paragraph" w:styleId="TOCHeading">
    <w:name w:val="TOC Heading"/>
    <w:basedOn w:val="Heading1"/>
    <w:next w:val="Normal"/>
    <w:uiPriority w:val="39"/>
    <w:semiHidden/>
    <w:unhideWhenUsed/>
    <w:qFormat/>
    <w:rsid w:val="00490E23"/>
    <w:pPr>
      <w:outlineLvl w:val="9"/>
    </w:pPr>
  </w:style>
  <w:style w:type="paragraph" w:styleId="NormalWeb">
    <w:name w:val="Normal (Web)"/>
    <w:basedOn w:val="Normal"/>
    <w:uiPriority w:val="99"/>
    <w:semiHidden/>
    <w:unhideWhenUsed/>
    <w:rsid w:val="00280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Heading">
    <w:name w:val="Chapter Heading"/>
    <w:next w:val="Heading2"/>
    <w:rsid w:val="005F1860"/>
    <w:pPr>
      <w:pBdr>
        <w:top w:val="single" w:sz="4" w:space="1" w:color="auto"/>
        <w:bottom w:val="single" w:sz="4" w:space="1" w:color="auto"/>
      </w:pBdr>
      <w:tabs>
        <w:tab w:val="num" w:pos="1134"/>
      </w:tabs>
      <w:spacing w:before="240" w:after="0" w:line="260" w:lineRule="atLeast"/>
    </w:pPr>
    <w:rPr>
      <w:rFonts w:ascii="Helvetica" w:eastAsia="Times New Roman" w:hAnsi="Helvetica" w:cs="Times New Roman"/>
      <w:b/>
      <w:i/>
      <w:sz w:val="38"/>
      <w:szCs w:val="20"/>
    </w:rPr>
  </w:style>
  <w:style w:type="paragraph" w:customStyle="1" w:styleId="TableHeadingoutsidetable">
    <w:name w:val="Table Heading (outside table)"/>
    <w:basedOn w:val="Heading4"/>
    <w:rsid w:val="005F1860"/>
    <w:pPr>
      <w:keepLines w:val="0"/>
      <w:tabs>
        <w:tab w:val="num" w:pos="360"/>
      </w:tabs>
      <w:spacing w:before="120" w:after="120" w:line="240" w:lineRule="auto"/>
    </w:pPr>
    <w:rPr>
      <w:rFonts w:ascii="Times New Roman" w:eastAsia="Times New Roman" w:hAnsi="Times New Roman" w:cs="Times New Roman"/>
      <w:b/>
      <w:color w:val="auto"/>
      <w:szCs w:val="20"/>
    </w:rPr>
  </w:style>
  <w:style w:type="paragraph" w:customStyle="1" w:styleId="ExampleHeading">
    <w:name w:val="Example Heading"/>
    <w:basedOn w:val="Normal"/>
    <w:next w:val="Normal"/>
    <w:rsid w:val="005F1860"/>
    <w:pPr>
      <w:keepNext/>
      <w:tabs>
        <w:tab w:val="num" w:pos="360"/>
      </w:tabs>
      <w:spacing w:before="120" w:after="120" w:line="240" w:lineRule="auto"/>
      <w:ind w:left="1134"/>
    </w:pPr>
    <w:rPr>
      <w:rFonts w:ascii="Times New Roman" w:eastAsia="Times New Roman" w:hAnsi="Times New Roman" w:cs="Times New Roman"/>
      <w:b/>
      <w:sz w:val="22"/>
      <w:szCs w:val="20"/>
    </w:rPr>
  </w:style>
  <w:style w:type="paragraph" w:customStyle="1" w:styleId="Diagram">
    <w:name w:val="Diagram"/>
    <w:basedOn w:val="Normal"/>
    <w:next w:val="Normal"/>
    <w:rsid w:val="005F1860"/>
    <w:pPr>
      <w:keepNext/>
      <w:tabs>
        <w:tab w:val="num" w:pos="360"/>
      </w:tabs>
      <w:spacing w:after="0" w:line="240" w:lineRule="auto"/>
      <w:ind w:left="1134"/>
    </w:pPr>
    <w:rPr>
      <w:rFonts w:ascii="Times New Roman" w:eastAsia="Times New Roman" w:hAnsi="Times New Roman" w:cs="Times New Roman"/>
      <w:b/>
      <w:sz w:val="22"/>
      <w:szCs w:val="20"/>
    </w:rPr>
  </w:style>
  <w:style w:type="character" w:customStyle="1" w:styleId="base-text-paragraphChar">
    <w:name w:val="base-text-paragraph Char"/>
    <w:basedOn w:val="DefaultParagraphFont"/>
    <w:link w:val="base-text-paragraph"/>
    <w:rsid w:val="005F1860"/>
    <w:rPr>
      <w:rFonts w:ascii="Times New Roman" w:hAnsi="Times New Roman"/>
      <w:sz w:val="22"/>
      <w:szCs w:val="20"/>
      <w:lang w:eastAsia="ar-SA"/>
    </w:rPr>
  </w:style>
  <w:style w:type="numbering" w:customStyle="1" w:styleId="ChapterList">
    <w:name w:val="ChapterList"/>
    <w:uiPriority w:val="99"/>
    <w:rsid w:val="005F1860"/>
    <w:pPr>
      <w:numPr>
        <w:numId w:val="21"/>
      </w:numPr>
    </w:pPr>
  </w:style>
  <w:style w:type="paragraph" w:styleId="Revision">
    <w:name w:val="Revision"/>
    <w:hidden/>
    <w:uiPriority w:val="99"/>
    <w:semiHidden/>
    <w:rsid w:val="001D7C64"/>
    <w:pPr>
      <w:spacing w:after="0" w:line="240" w:lineRule="auto"/>
    </w:pPr>
    <w:rPr>
      <w:rFonts w:ascii="Arial" w:eastAsia="Arial" w:hAnsi="Arial" w:cs="Arial"/>
      <w:color w:val="000000"/>
      <w:sz w:val="22"/>
      <w:szCs w:val="22"/>
    </w:rPr>
  </w:style>
  <w:style w:type="paragraph" w:customStyle="1" w:styleId="rportal-publicationrecord">
    <w:name w:val="rportal-publicationrecord"/>
    <w:basedOn w:val="Normal"/>
    <w:rsid w:val="001D7C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D7C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AU" w:eastAsia="en-AU" w:bidi="ar-SA"/>
      </w:rPr>
    </w:rPrDefault>
    <w:pPrDefault>
      <w:pPr>
        <w:spacing w:after="200" w:line="288"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1F76B3"/>
  </w:style>
  <w:style w:type="paragraph" w:styleId="Heading1">
    <w:name w:val="heading 1"/>
    <w:basedOn w:val="Normal"/>
    <w:next w:val="Normal"/>
    <w:link w:val="Heading1Char"/>
    <w:qFormat/>
    <w:rsid w:val="00490E2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nhideWhenUsed/>
    <w:qFormat/>
    <w:rsid w:val="00490E2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nhideWhenUsed/>
    <w:qFormat/>
    <w:rsid w:val="00490E2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nhideWhenUsed/>
    <w:qFormat/>
    <w:rsid w:val="00490E2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nhideWhenUsed/>
    <w:qFormat/>
    <w:rsid w:val="00490E2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nhideWhenUsed/>
    <w:qFormat/>
    <w:rsid w:val="00490E2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490E2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490E2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490E2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10pt">
    <w:name w:val="Body text Arial 10pt"/>
    <w:basedOn w:val="Normal"/>
    <w:qFormat/>
    <w:rsid w:val="006927E8"/>
    <w:pPr>
      <w:spacing w:before="120" w:after="120"/>
    </w:pPr>
    <w:rPr>
      <w:rFonts w:ascii="Arial" w:hAnsi="Arial" w:cs="Arial"/>
      <w:sz w:val="20"/>
      <w:szCs w:val="22"/>
    </w:rPr>
  </w:style>
  <w:style w:type="paragraph" w:customStyle="1" w:styleId="Subhead-Arial12ptbold">
    <w:name w:val="Subhead - Arial 12pt bold"/>
    <w:basedOn w:val="Normal"/>
    <w:qFormat/>
    <w:rsid w:val="006927E8"/>
    <w:rPr>
      <w:rFonts w:ascii="Arial Bold" w:hAnsi="Arial Bold"/>
      <w:color w:val="272727"/>
    </w:rPr>
  </w:style>
  <w:style w:type="paragraph" w:customStyle="1" w:styleId="TOCheader">
    <w:name w:val="TOC header"/>
    <w:basedOn w:val="BasicParagraph"/>
    <w:qFormat/>
    <w:rsid w:val="004E4E1A"/>
    <w:pPr>
      <w:tabs>
        <w:tab w:val="right" w:pos="7938"/>
      </w:tabs>
      <w:spacing w:before="200"/>
    </w:pPr>
    <w:rPr>
      <w:rFonts w:ascii="Arial" w:hAnsi="Arial"/>
      <w:b/>
    </w:rPr>
  </w:style>
  <w:style w:type="paragraph" w:customStyle="1" w:styleId="BasicParagraph">
    <w:name w:val="[Basic Paragraph]"/>
    <w:basedOn w:val="Normal"/>
    <w:uiPriority w:val="99"/>
    <w:rsid w:val="00E35F04"/>
    <w:pPr>
      <w:widowControl w:val="0"/>
      <w:autoSpaceDE w:val="0"/>
      <w:autoSpaceDN w:val="0"/>
      <w:adjustRightInd w:val="0"/>
      <w:textAlignment w:val="center"/>
    </w:pPr>
    <w:rPr>
      <w:rFonts w:ascii="MinionPro-Regular" w:hAnsi="MinionPro-Regular" w:cs="MinionPro-Regular"/>
      <w:color w:val="000000"/>
      <w:lang w:val="en-GB"/>
    </w:rPr>
  </w:style>
  <w:style w:type="paragraph" w:customStyle="1" w:styleId="TOCsubhead">
    <w:name w:val="TOC subhead"/>
    <w:basedOn w:val="BasicParagraph"/>
    <w:qFormat/>
    <w:rsid w:val="004E4E1A"/>
    <w:pPr>
      <w:tabs>
        <w:tab w:val="right" w:pos="7938"/>
      </w:tabs>
      <w:spacing w:before="120"/>
    </w:pPr>
    <w:rPr>
      <w:rFonts w:ascii="Arial" w:hAnsi="Arial"/>
      <w:b/>
      <w:sz w:val="20"/>
    </w:rPr>
  </w:style>
  <w:style w:type="paragraph" w:customStyle="1" w:styleId="TOCbody">
    <w:name w:val="TOC body"/>
    <w:basedOn w:val="BasicParagraph"/>
    <w:qFormat/>
    <w:rsid w:val="004E4E1A"/>
    <w:pPr>
      <w:tabs>
        <w:tab w:val="right" w:pos="7938"/>
      </w:tabs>
    </w:pPr>
    <w:rPr>
      <w:rFonts w:ascii="Arial" w:hAnsi="Arial"/>
      <w:sz w:val="20"/>
    </w:rPr>
  </w:style>
  <w:style w:type="paragraph" w:customStyle="1" w:styleId="header14ptorangebold">
    <w:name w:val="header 14pt orange bold"/>
    <w:basedOn w:val="Normal"/>
    <w:uiPriority w:val="99"/>
    <w:rsid w:val="00453AAC"/>
    <w:pPr>
      <w:widowControl w:val="0"/>
      <w:autoSpaceDE w:val="0"/>
      <w:autoSpaceDN w:val="0"/>
      <w:adjustRightInd w:val="0"/>
      <w:spacing w:line="320" w:lineRule="atLeast"/>
      <w:textAlignment w:val="center"/>
    </w:pPr>
    <w:rPr>
      <w:rFonts w:ascii="Arial Bold" w:hAnsi="Arial Bold" w:cs="Futura-Bold"/>
      <w:bCs/>
      <w:color w:val="DF6C08"/>
      <w:sz w:val="28"/>
      <w:szCs w:val="28"/>
      <w:lang w:val="en-GB"/>
    </w:rPr>
  </w:style>
  <w:style w:type="character" w:styleId="Hyperlink">
    <w:name w:val="Hyperlink"/>
    <w:basedOn w:val="DefaultParagraphFont"/>
    <w:uiPriority w:val="99"/>
    <w:rsid w:val="0000224A"/>
    <w:rPr>
      <w:color w:val="0000FF"/>
      <w:u w:val="single"/>
    </w:rPr>
  </w:style>
  <w:style w:type="paragraph" w:styleId="Header">
    <w:name w:val="header"/>
    <w:basedOn w:val="Normal"/>
    <w:link w:val="HeaderChar"/>
    <w:uiPriority w:val="99"/>
    <w:rsid w:val="00561964"/>
    <w:pPr>
      <w:tabs>
        <w:tab w:val="center" w:pos="4320"/>
        <w:tab w:val="right" w:pos="8640"/>
      </w:tabs>
    </w:pPr>
  </w:style>
  <w:style w:type="character" w:customStyle="1" w:styleId="HeaderChar">
    <w:name w:val="Header Char"/>
    <w:basedOn w:val="DefaultParagraphFont"/>
    <w:link w:val="Header"/>
    <w:uiPriority w:val="99"/>
    <w:rsid w:val="00561964"/>
    <w:rPr>
      <w:rFonts w:ascii="Calibri" w:hAnsi="Calibri" w:cs="Calibri"/>
      <w:sz w:val="24"/>
      <w:szCs w:val="24"/>
      <w:lang w:val="en-US" w:bidi="en-US"/>
    </w:rPr>
  </w:style>
  <w:style w:type="paragraph" w:styleId="Footer">
    <w:name w:val="footer"/>
    <w:basedOn w:val="Normal"/>
    <w:link w:val="FooterChar"/>
    <w:uiPriority w:val="99"/>
    <w:rsid w:val="00561964"/>
    <w:pPr>
      <w:tabs>
        <w:tab w:val="center" w:pos="4320"/>
        <w:tab w:val="right" w:pos="8640"/>
      </w:tabs>
    </w:pPr>
  </w:style>
  <w:style w:type="character" w:customStyle="1" w:styleId="FooterChar">
    <w:name w:val="Footer Char"/>
    <w:basedOn w:val="DefaultParagraphFont"/>
    <w:link w:val="Footer"/>
    <w:uiPriority w:val="99"/>
    <w:rsid w:val="00561964"/>
    <w:rPr>
      <w:rFonts w:ascii="Calibri" w:hAnsi="Calibri" w:cs="Calibri"/>
      <w:sz w:val="24"/>
      <w:szCs w:val="24"/>
      <w:lang w:val="en-US" w:bidi="en-US"/>
    </w:rPr>
  </w:style>
  <w:style w:type="paragraph" w:styleId="FootnoteText">
    <w:name w:val="footnote text"/>
    <w:basedOn w:val="Normal"/>
    <w:link w:val="FootnoteTextChar"/>
    <w:uiPriority w:val="99"/>
    <w:rsid w:val="00AE2646"/>
    <w:rPr>
      <w:sz w:val="20"/>
      <w:szCs w:val="20"/>
    </w:rPr>
  </w:style>
  <w:style w:type="character" w:customStyle="1" w:styleId="FootnoteTextChar">
    <w:name w:val="Footnote Text Char"/>
    <w:basedOn w:val="DefaultParagraphFont"/>
    <w:link w:val="FootnoteText"/>
    <w:uiPriority w:val="99"/>
    <w:rsid w:val="00AE2646"/>
    <w:rPr>
      <w:rFonts w:ascii="Calibri" w:hAnsi="Calibri" w:cs="Calibri"/>
      <w:lang w:val="en-US" w:eastAsia="en-US" w:bidi="en-US"/>
    </w:rPr>
  </w:style>
  <w:style w:type="character" w:styleId="FootnoteReference">
    <w:name w:val="footnote reference"/>
    <w:basedOn w:val="DefaultParagraphFont"/>
    <w:uiPriority w:val="99"/>
    <w:rsid w:val="00AE2646"/>
    <w:rPr>
      <w:vertAlign w:val="superscript"/>
    </w:rPr>
  </w:style>
  <w:style w:type="paragraph" w:styleId="BalloonText">
    <w:name w:val="Balloon Text"/>
    <w:basedOn w:val="Normal"/>
    <w:link w:val="BalloonTextChar"/>
    <w:uiPriority w:val="99"/>
    <w:rsid w:val="003750CA"/>
    <w:rPr>
      <w:rFonts w:ascii="Tahoma" w:hAnsi="Tahoma" w:cs="Tahoma"/>
      <w:sz w:val="16"/>
      <w:szCs w:val="16"/>
    </w:rPr>
  </w:style>
  <w:style w:type="character" w:customStyle="1" w:styleId="BalloonTextChar">
    <w:name w:val="Balloon Text Char"/>
    <w:basedOn w:val="DefaultParagraphFont"/>
    <w:link w:val="BalloonText"/>
    <w:uiPriority w:val="99"/>
    <w:rsid w:val="003750CA"/>
    <w:rPr>
      <w:rFonts w:ascii="Tahoma" w:hAnsi="Tahoma" w:cs="Tahoma"/>
      <w:sz w:val="16"/>
      <w:szCs w:val="16"/>
      <w:lang w:val="en-US" w:eastAsia="en-US" w:bidi="en-US"/>
    </w:rPr>
  </w:style>
  <w:style w:type="paragraph" w:styleId="ListParagraph">
    <w:name w:val="List Paragraph"/>
    <w:basedOn w:val="Normal"/>
    <w:uiPriority w:val="34"/>
    <w:qFormat/>
    <w:rsid w:val="00D50E7D"/>
    <w:pPr>
      <w:ind w:left="720"/>
      <w:contextualSpacing/>
    </w:pPr>
  </w:style>
  <w:style w:type="paragraph" w:customStyle="1" w:styleId="p">
    <w:name w:val="p"/>
    <w:basedOn w:val="Normal"/>
    <w:rsid w:val="00D50E7D"/>
    <w:pPr>
      <w:ind w:left="75" w:right="75"/>
    </w:pPr>
    <w:rPr>
      <w:rFonts w:ascii="Arial" w:hAnsi="Arial" w:cs="Arial"/>
      <w:sz w:val="20"/>
      <w:szCs w:val="20"/>
    </w:rPr>
  </w:style>
  <w:style w:type="character" w:styleId="CommentReference">
    <w:name w:val="annotation reference"/>
    <w:basedOn w:val="DefaultParagraphFont"/>
    <w:uiPriority w:val="99"/>
    <w:rsid w:val="00D50E7D"/>
    <w:rPr>
      <w:sz w:val="16"/>
      <w:szCs w:val="16"/>
    </w:rPr>
  </w:style>
  <w:style w:type="paragraph" w:styleId="CommentText">
    <w:name w:val="annotation text"/>
    <w:basedOn w:val="Normal"/>
    <w:link w:val="CommentTextChar"/>
    <w:uiPriority w:val="99"/>
    <w:rsid w:val="00D50E7D"/>
    <w:rPr>
      <w:sz w:val="20"/>
      <w:szCs w:val="20"/>
    </w:rPr>
  </w:style>
  <w:style w:type="character" w:customStyle="1" w:styleId="CommentTextChar">
    <w:name w:val="Comment Text Char"/>
    <w:basedOn w:val="DefaultParagraphFont"/>
    <w:link w:val="CommentText"/>
    <w:uiPriority w:val="99"/>
    <w:rsid w:val="00D50E7D"/>
    <w:rPr>
      <w:rFonts w:ascii="Calibri" w:hAnsi="Calibri" w:cs="Calibri"/>
      <w:lang w:val="en-US" w:eastAsia="en-US" w:bidi="en-US"/>
    </w:rPr>
  </w:style>
  <w:style w:type="paragraph" w:customStyle="1" w:styleId="TTH">
    <w:name w:val="TTH"/>
    <w:basedOn w:val="Normal"/>
    <w:rsid w:val="00586B57"/>
    <w:pPr>
      <w:pBdr>
        <w:bottom w:val="single" w:sz="4" w:space="1" w:color="000080"/>
      </w:pBdr>
    </w:pPr>
    <w:rPr>
      <w:rFonts w:ascii="Arial Narrow" w:hAnsi="Arial Narrow"/>
      <w:b/>
      <w:color w:val="083A75"/>
    </w:rPr>
  </w:style>
  <w:style w:type="paragraph" w:customStyle="1" w:styleId="TTSH">
    <w:name w:val="TTSH"/>
    <w:basedOn w:val="Normal"/>
    <w:rsid w:val="00586B57"/>
    <w:rPr>
      <w:rFonts w:ascii="Arial Narrow" w:hAnsi="Arial Narrow"/>
      <w:b/>
      <w:color w:val="1F497D"/>
      <w:sz w:val="22"/>
      <w:szCs w:val="22"/>
    </w:rPr>
  </w:style>
  <w:style w:type="paragraph" w:customStyle="1" w:styleId="base-text-paragraph">
    <w:name w:val="base-text-paragraph"/>
    <w:basedOn w:val="Normal"/>
    <w:link w:val="base-text-paragraphChar"/>
    <w:rsid w:val="00586B57"/>
    <w:pPr>
      <w:tabs>
        <w:tab w:val="num" w:pos="0"/>
      </w:tabs>
      <w:spacing w:before="120" w:after="120"/>
    </w:pPr>
    <w:rPr>
      <w:rFonts w:ascii="Times New Roman" w:hAnsi="Times New Roman"/>
      <w:sz w:val="22"/>
      <w:szCs w:val="20"/>
      <w:lang w:eastAsia="ar-SA"/>
    </w:rPr>
  </w:style>
  <w:style w:type="paragraph" w:customStyle="1" w:styleId="IPAHeading">
    <w:name w:val="IPA Heading"/>
    <w:basedOn w:val="header14ptorangebold"/>
    <w:autoRedefine/>
    <w:qFormat/>
    <w:rsid w:val="008542A0"/>
    <w:pPr>
      <w:spacing w:after="240" w:line="240" w:lineRule="exact"/>
      <w:ind w:right="559"/>
    </w:pPr>
    <w:rPr>
      <w:rFonts w:ascii="Arial" w:hAnsi="Arial" w:cs="Arial"/>
      <w:b/>
      <w:bCs w:val="0"/>
      <w:color w:val="E36C0A" w:themeColor="accent6" w:themeShade="BF"/>
      <w:sz w:val="24"/>
      <w:szCs w:val="24"/>
    </w:rPr>
  </w:style>
  <w:style w:type="paragraph" w:customStyle="1" w:styleId="IPASubHeading">
    <w:name w:val="IPA Sub Heading"/>
    <w:basedOn w:val="Normal"/>
    <w:autoRedefine/>
    <w:qFormat/>
    <w:rsid w:val="00017E1A"/>
    <w:pPr>
      <w:jc w:val="both"/>
    </w:pPr>
    <w:rPr>
      <w:rFonts w:ascii="Arial" w:hAnsi="Arial" w:cs="Arial"/>
      <w:b/>
      <w:i/>
      <w:color w:val="595959"/>
      <w:sz w:val="20"/>
      <w:szCs w:val="20"/>
    </w:rPr>
  </w:style>
  <w:style w:type="character" w:styleId="FollowedHyperlink">
    <w:name w:val="FollowedHyperlink"/>
    <w:basedOn w:val="DefaultParagraphFont"/>
    <w:rsid w:val="00B4372A"/>
    <w:rPr>
      <w:color w:val="800080"/>
      <w:u w:val="single"/>
    </w:rPr>
  </w:style>
  <w:style w:type="paragraph" w:styleId="TOC2">
    <w:name w:val="toc 2"/>
    <w:basedOn w:val="Normal"/>
    <w:next w:val="Normal"/>
    <w:autoRedefine/>
    <w:uiPriority w:val="39"/>
    <w:rsid w:val="00F6169D"/>
    <w:pPr>
      <w:spacing w:after="100"/>
      <w:ind w:left="240"/>
    </w:pPr>
    <w:rPr>
      <w:rFonts w:ascii="Arial" w:hAnsi="Arial"/>
      <w:color w:val="484E41"/>
      <w:sz w:val="20"/>
    </w:rPr>
  </w:style>
  <w:style w:type="paragraph" w:styleId="TOC1">
    <w:name w:val="toc 1"/>
    <w:basedOn w:val="Normal"/>
    <w:next w:val="Normal"/>
    <w:autoRedefine/>
    <w:uiPriority w:val="39"/>
    <w:rsid w:val="00A654DF"/>
    <w:pPr>
      <w:tabs>
        <w:tab w:val="right" w:leader="dot" w:pos="9054"/>
      </w:tabs>
      <w:spacing w:after="100"/>
    </w:pPr>
    <w:rPr>
      <w:rFonts w:ascii="Arial" w:hAnsi="Arial"/>
      <w:noProof/>
      <w:color w:val="484E41"/>
      <w:sz w:val="20"/>
      <w:szCs w:val="20"/>
    </w:rPr>
  </w:style>
  <w:style w:type="character" w:styleId="Emphasis">
    <w:name w:val="Emphasis"/>
    <w:basedOn w:val="DefaultParagraphFont"/>
    <w:uiPriority w:val="20"/>
    <w:qFormat/>
    <w:rsid w:val="00490E23"/>
    <w:rPr>
      <w:i/>
      <w:iCs/>
      <w:color w:val="F79646" w:themeColor="accent6"/>
    </w:rPr>
  </w:style>
  <w:style w:type="paragraph" w:customStyle="1" w:styleId="Default">
    <w:name w:val="Default"/>
    <w:rsid w:val="00DF4926"/>
    <w:pPr>
      <w:autoSpaceDE w:val="0"/>
      <w:autoSpaceDN w:val="0"/>
      <w:adjustRightInd w:val="0"/>
    </w:pPr>
    <w:rPr>
      <w:rFonts w:eastAsia="Calibri"/>
      <w:color w:val="000000"/>
      <w:sz w:val="24"/>
      <w:szCs w:val="24"/>
      <w:lang w:eastAsia="en-US"/>
    </w:rPr>
  </w:style>
  <w:style w:type="paragraph" w:customStyle="1" w:styleId="OneLevelNumberedParagraph">
    <w:name w:val="One Level Numbered Paragraph"/>
    <w:basedOn w:val="Normal"/>
    <w:rsid w:val="00DF4926"/>
    <w:pPr>
      <w:numPr>
        <w:numId w:val="1"/>
      </w:numPr>
      <w:spacing w:after="240" w:line="280" w:lineRule="exact"/>
      <w:jc w:val="both"/>
    </w:pPr>
    <w:rPr>
      <w:rFonts w:cs="Times New Roman"/>
      <w:color w:val="000000"/>
      <w:sz w:val="22"/>
      <w:szCs w:val="20"/>
    </w:rPr>
  </w:style>
  <w:style w:type="paragraph" w:styleId="CommentSubject">
    <w:name w:val="annotation subject"/>
    <w:basedOn w:val="CommentText"/>
    <w:next w:val="CommentText"/>
    <w:link w:val="CommentSubjectChar"/>
    <w:uiPriority w:val="99"/>
    <w:unhideWhenUsed/>
    <w:rsid w:val="00DF4926"/>
    <w:rPr>
      <w:b/>
      <w:bCs/>
    </w:rPr>
  </w:style>
  <w:style w:type="character" w:customStyle="1" w:styleId="CommentSubjectChar">
    <w:name w:val="Comment Subject Char"/>
    <w:basedOn w:val="CommentTextChar"/>
    <w:link w:val="CommentSubject"/>
    <w:uiPriority w:val="99"/>
    <w:rsid w:val="00DF4926"/>
    <w:rPr>
      <w:rFonts w:ascii="Calibri" w:hAnsi="Calibri" w:cs="Calibri"/>
      <w:b/>
      <w:bCs/>
      <w:lang w:val="en-US" w:eastAsia="en-US" w:bidi="en-US"/>
    </w:rPr>
  </w:style>
  <w:style w:type="paragraph" w:customStyle="1" w:styleId="CM26">
    <w:name w:val="CM26"/>
    <w:basedOn w:val="Default"/>
    <w:next w:val="Default"/>
    <w:uiPriority w:val="99"/>
    <w:rsid w:val="00823EF8"/>
    <w:rPr>
      <w:rFonts w:ascii="Calibri" w:eastAsia="SimSun" w:hAnsi="Calibri"/>
      <w:color w:val="auto"/>
      <w:lang w:eastAsia="en-AU"/>
    </w:rPr>
  </w:style>
  <w:style w:type="paragraph" w:customStyle="1" w:styleId="BoxHeading">
    <w:name w:val="Box Heading"/>
    <w:basedOn w:val="Normal"/>
    <w:next w:val="BoxText"/>
    <w:rsid w:val="006946EA"/>
    <w:pPr>
      <w:keepNext/>
      <w:spacing w:before="240" w:after="120"/>
    </w:pPr>
    <w:rPr>
      <w:rFonts w:cs="Times New Roman"/>
      <w:b/>
      <w:color w:val="342E82"/>
      <w:sz w:val="22"/>
      <w:szCs w:val="20"/>
    </w:rPr>
  </w:style>
  <w:style w:type="paragraph" w:customStyle="1" w:styleId="BoxText">
    <w:name w:val="Box Text"/>
    <w:basedOn w:val="Normal"/>
    <w:rsid w:val="006946EA"/>
    <w:pPr>
      <w:spacing w:after="240" w:line="280" w:lineRule="exact"/>
      <w:jc w:val="both"/>
    </w:pPr>
    <w:rPr>
      <w:rFonts w:cs="Times New Roman"/>
      <w:color w:val="000000"/>
      <w:sz w:val="22"/>
      <w:szCs w:val="20"/>
    </w:rPr>
  </w:style>
  <w:style w:type="character" w:customStyle="1" w:styleId="uficommentbody">
    <w:name w:val="uficommentbody"/>
    <w:basedOn w:val="DefaultParagraphFont"/>
    <w:rsid w:val="00AC6BC9"/>
  </w:style>
  <w:style w:type="table" w:styleId="TableGrid">
    <w:name w:val="Table Grid"/>
    <w:basedOn w:val="TableNormal"/>
    <w:rsid w:val="00422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0E2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490E2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490E2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490E23"/>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490E2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490E23"/>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490E23"/>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490E23"/>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490E23"/>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490E23"/>
    <w:pPr>
      <w:spacing w:line="240" w:lineRule="auto"/>
    </w:pPr>
    <w:rPr>
      <w:b/>
      <w:bCs/>
      <w:smallCaps/>
      <w:color w:val="595959" w:themeColor="text1" w:themeTint="A6"/>
    </w:rPr>
  </w:style>
  <w:style w:type="paragraph" w:styleId="Title">
    <w:name w:val="Title"/>
    <w:basedOn w:val="Normal"/>
    <w:next w:val="Normal"/>
    <w:link w:val="TitleChar"/>
    <w:qFormat/>
    <w:rsid w:val="00490E2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90E2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qFormat/>
    <w:rsid w:val="00490E2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90E23"/>
    <w:rPr>
      <w:rFonts w:asciiTheme="majorHAnsi" w:eastAsiaTheme="majorEastAsia" w:hAnsiTheme="majorHAnsi" w:cstheme="majorBidi"/>
      <w:sz w:val="30"/>
      <w:szCs w:val="30"/>
    </w:rPr>
  </w:style>
  <w:style w:type="character" w:styleId="Strong">
    <w:name w:val="Strong"/>
    <w:basedOn w:val="DefaultParagraphFont"/>
    <w:uiPriority w:val="22"/>
    <w:qFormat/>
    <w:rsid w:val="00490E23"/>
    <w:rPr>
      <w:b/>
      <w:bCs/>
    </w:rPr>
  </w:style>
  <w:style w:type="paragraph" w:styleId="NoSpacing">
    <w:name w:val="No Spacing"/>
    <w:uiPriority w:val="1"/>
    <w:qFormat/>
    <w:rsid w:val="00490E23"/>
    <w:pPr>
      <w:spacing w:after="0" w:line="240" w:lineRule="auto"/>
    </w:pPr>
  </w:style>
  <w:style w:type="paragraph" w:styleId="Quote">
    <w:name w:val="Quote"/>
    <w:basedOn w:val="Normal"/>
    <w:next w:val="Normal"/>
    <w:link w:val="QuoteChar"/>
    <w:uiPriority w:val="29"/>
    <w:qFormat/>
    <w:rsid w:val="00490E2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90E23"/>
    <w:rPr>
      <w:i/>
      <w:iCs/>
      <w:color w:val="262626" w:themeColor="text1" w:themeTint="D9"/>
    </w:rPr>
  </w:style>
  <w:style w:type="paragraph" w:styleId="IntenseQuote">
    <w:name w:val="Intense Quote"/>
    <w:basedOn w:val="Normal"/>
    <w:next w:val="Normal"/>
    <w:link w:val="IntenseQuoteChar"/>
    <w:uiPriority w:val="30"/>
    <w:qFormat/>
    <w:rsid w:val="00490E2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90E23"/>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490E23"/>
    <w:rPr>
      <w:i/>
      <w:iCs/>
    </w:rPr>
  </w:style>
  <w:style w:type="character" w:styleId="IntenseEmphasis">
    <w:name w:val="Intense Emphasis"/>
    <w:basedOn w:val="DefaultParagraphFont"/>
    <w:uiPriority w:val="21"/>
    <w:qFormat/>
    <w:rsid w:val="00490E23"/>
    <w:rPr>
      <w:b/>
      <w:bCs/>
      <w:i/>
      <w:iCs/>
    </w:rPr>
  </w:style>
  <w:style w:type="character" w:styleId="SubtleReference">
    <w:name w:val="Subtle Reference"/>
    <w:basedOn w:val="DefaultParagraphFont"/>
    <w:uiPriority w:val="31"/>
    <w:qFormat/>
    <w:rsid w:val="00490E23"/>
    <w:rPr>
      <w:smallCaps/>
      <w:color w:val="595959" w:themeColor="text1" w:themeTint="A6"/>
    </w:rPr>
  </w:style>
  <w:style w:type="character" w:styleId="IntenseReference">
    <w:name w:val="Intense Reference"/>
    <w:basedOn w:val="DefaultParagraphFont"/>
    <w:uiPriority w:val="32"/>
    <w:qFormat/>
    <w:rsid w:val="00490E23"/>
    <w:rPr>
      <w:b/>
      <w:bCs/>
      <w:smallCaps/>
      <w:color w:val="F79646" w:themeColor="accent6"/>
    </w:rPr>
  </w:style>
  <w:style w:type="character" w:styleId="BookTitle">
    <w:name w:val="Book Title"/>
    <w:basedOn w:val="DefaultParagraphFont"/>
    <w:uiPriority w:val="33"/>
    <w:qFormat/>
    <w:rsid w:val="00490E23"/>
    <w:rPr>
      <w:b/>
      <w:bCs/>
      <w:caps w:val="0"/>
      <w:smallCaps/>
      <w:spacing w:val="7"/>
      <w:sz w:val="21"/>
      <w:szCs w:val="21"/>
    </w:rPr>
  </w:style>
  <w:style w:type="paragraph" w:styleId="TOCHeading">
    <w:name w:val="TOC Heading"/>
    <w:basedOn w:val="Heading1"/>
    <w:next w:val="Normal"/>
    <w:uiPriority w:val="39"/>
    <w:semiHidden/>
    <w:unhideWhenUsed/>
    <w:qFormat/>
    <w:rsid w:val="00490E23"/>
    <w:pPr>
      <w:outlineLvl w:val="9"/>
    </w:pPr>
  </w:style>
  <w:style w:type="paragraph" w:styleId="NormalWeb">
    <w:name w:val="Normal (Web)"/>
    <w:basedOn w:val="Normal"/>
    <w:uiPriority w:val="99"/>
    <w:semiHidden/>
    <w:unhideWhenUsed/>
    <w:rsid w:val="00280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Heading">
    <w:name w:val="Chapter Heading"/>
    <w:next w:val="Heading2"/>
    <w:rsid w:val="005F1860"/>
    <w:pPr>
      <w:pBdr>
        <w:top w:val="single" w:sz="4" w:space="1" w:color="auto"/>
        <w:bottom w:val="single" w:sz="4" w:space="1" w:color="auto"/>
      </w:pBdr>
      <w:tabs>
        <w:tab w:val="num" w:pos="1134"/>
      </w:tabs>
      <w:spacing w:before="240" w:after="0" w:line="260" w:lineRule="atLeast"/>
    </w:pPr>
    <w:rPr>
      <w:rFonts w:ascii="Helvetica" w:eastAsia="Times New Roman" w:hAnsi="Helvetica" w:cs="Times New Roman"/>
      <w:b/>
      <w:i/>
      <w:sz w:val="38"/>
      <w:szCs w:val="20"/>
    </w:rPr>
  </w:style>
  <w:style w:type="paragraph" w:customStyle="1" w:styleId="TableHeadingoutsidetable">
    <w:name w:val="Table Heading (outside table)"/>
    <w:basedOn w:val="Heading4"/>
    <w:rsid w:val="005F1860"/>
    <w:pPr>
      <w:keepLines w:val="0"/>
      <w:tabs>
        <w:tab w:val="num" w:pos="360"/>
      </w:tabs>
      <w:spacing w:before="120" w:after="120" w:line="240" w:lineRule="auto"/>
    </w:pPr>
    <w:rPr>
      <w:rFonts w:ascii="Times New Roman" w:eastAsia="Times New Roman" w:hAnsi="Times New Roman" w:cs="Times New Roman"/>
      <w:b/>
      <w:color w:val="auto"/>
      <w:szCs w:val="20"/>
    </w:rPr>
  </w:style>
  <w:style w:type="paragraph" w:customStyle="1" w:styleId="ExampleHeading">
    <w:name w:val="Example Heading"/>
    <w:basedOn w:val="Normal"/>
    <w:next w:val="Normal"/>
    <w:rsid w:val="005F1860"/>
    <w:pPr>
      <w:keepNext/>
      <w:tabs>
        <w:tab w:val="num" w:pos="360"/>
      </w:tabs>
      <w:spacing w:before="120" w:after="120" w:line="240" w:lineRule="auto"/>
      <w:ind w:left="1134"/>
    </w:pPr>
    <w:rPr>
      <w:rFonts w:ascii="Times New Roman" w:eastAsia="Times New Roman" w:hAnsi="Times New Roman" w:cs="Times New Roman"/>
      <w:b/>
      <w:sz w:val="22"/>
      <w:szCs w:val="20"/>
    </w:rPr>
  </w:style>
  <w:style w:type="paragraph" w:customStyle="1" w:styleId="Diagram">
    <w:name w:val="Diagram"/>
    <w:basedOn w:val="Normal"/>
    <w:next w:val="Normal"/>
    <w:rsid w:val="005F1860"/>
    <w:pPr>
      <w:keepNext/>
      <w:tabs>
        <w:tab w:val="num" w:pos="360"/>
      </w:tabs>
      <w:spacing w:after="0" w:line="240" w:lineRule="auto"/>
      <w:ind w:left="1134"/>
    </w:pPr>
    <w:rPr>
      <w:rFonts w:ascii="Times New Roman" w:eastAsia="Times New Roman" w:hAnsi="Times New Roman" w:cs="Times New Roman"/>
      <w:b/>
      <w:sz w:val="22"/>
      <w:szCs w:val="20"/>
    </w:rPr>
  </w:style>
  <w:style w:type="character" w:customStyle="1" w:styleId="base-text-paragraphChar">
    <w:name w:val="base-text-paragraph Char"/>
    <w:basedOn w:val="DefaultParagraphFont"/>
    <w:link w:val="base-text-paragraph"/>
    <w:rsid w:val="005F1860"/>
    <w:rPr>
      <w:rFonts w:ascii="Times New Roman" w:hAnsi="Times New Roman"/>
      <w:sz w:val="22"/>
      <w:szCs w:val="20"/>
      <w:lang w:eastAsia="ar-SA"/>
    </w:rPr>
  </w:style>
  <w:style w:type="numbering" w:customStyle="1" w:styleId="ChapterList">
    <w:name w:val="ChapterList"/>
    <w:uiPriority w:val="99"/>
    <w:rsid w:val="005F1860"/>
    <w:pPr>
      <w:numPr>
        <w:numId w:val="21"/>
      </w:numPr>
    </w:pPr>
  </w:style>
  <w:style w:type="paragraph" w:styleId="Revision">
    <w:name w:val="Revision"/>
    <w:hidden/>
    <w:uiPriority w:val="99"/>
    <w:semiHidden/>
    <w:rsid w:val="001D7C64"/>
    <w:pPr>
      <w:spacing w:after="0" w:line="240" w:lineRule="auto"/>
    </w:pPr>
    <w:rPr>
      <w:rFonts w:ascii="Arial" w:eastAsia="Arial" w:hAnsi="Arial" w:cs="Arial"/>
      <w:color w:val="000000"/>
      <w:sz w:val="22"/>
      <w:szCs w:val="22"/>
    </w:rPr>
  </w:style>
  <w:style w:type="paragraph" w:customStyle="1" w:styleId="rportal-publicationrecord">
    <w:name w:val="rportal-publicationrecord"/>
    <w:basedOn w:val="Normal"/>
    <w:rsid w:val="001D7C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D7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976953">
      <w:bodyDiv w:val="1"/>
      <w:marLeft w:val="0"/>
      <w:marRight w:val="0"/>
      <w:marTop w:val="0"/>
      <w:marBottom w:val="0"/>
      <w:divBdr>
        <w:top w:val="none" w:sz="0" w:space="0" w:color="auto"/>
        <w:left w:val="none" w:sz="0" w:space="0" w:color="auto"/>
        <w:bottom w:val="none" w:sz="0" w:space="0" w:color="auto"/>
        <w:right w:val="none" w:sz="0" w:space="0" w:color="auto"/>
      </w:divBdr>
      <w:divsChild>
        <w:div w:id="778911502">
          <w:marLeft w:val="0"/>
          <w:marRight w:val="0"/>
          <w:marTop w:val="0"/>
          <w:marBottom w:val="0"/>
          <w:divBdr>
            <w:top w:val="none" w:sz="0" w:space="0" w:color="auto"/>
            <w:left w:val="none" w:sz="0" w:space="0" w:color="auto"/>
            <w:bottom w:val="none" w:sz="0" w:space="0" w:color="auto"/>
            <w:right w:val="none" w:sz="0" w:space="0" w:color="auto"/>
          </w:divBdr>
        </w:div>
        <w:div w:id="420105416">
          <w:marLeft w:val="0"/>
          <w:marRight w:val="0"/>
          <w:marTop w:val="0"/>
          <w:marBottom w:val="0"/>
          <w:divBdr>
            <w:top w:val="none" w:sz="0" w:space="0" w:color="auto"/>
            <w:left w:val="none" w:sz="0" w:space="0" w:color="auto"/>
            <w:bottom w:val="none" w:sz="0" w:space="0" w:color="auto"/>
            <w:right w:val="none" w:sz="0" w:space="0" w:color="auto"/>
          </w:divBdr>
        </w:div>
        <w:div w:id="555236730">
          <w:marLeft w:val="0"/>
          <w:marRight w:val="0"/>
          <w:marTop w:val="0"/>
          <w:marBottom w:val="0"/>
          <w:divBdr>
            <w:top w:val="none" w:sz="0" w:space="0" w:color="auto"/>
            <w:left w:val="none" w:sz="0" w:space="0" w:color="auto"/>
            <w:bottom w:val="none" w:sz="0" w:space="0" w:color="auto"/>
            <w:right w:val="none" w:sz="0" w:space="0" w:color="auto"/>
          </w:divBdr>
        </w:div>
        <w:div w:id="2106995434">
          <w:marLeft w:val="0"/>
          <w:marRight w:val="0"/>
          <w:marTop w:val="0"/>
          <w:marBottom w:val="0"/>
          <w:divBdr>
            <w:top w:val="none" w:sz="0" w:space="0" w:color="auto"/>
            <w:left w:val="none" w:sz="0" w:space="0" w:color="auto"/>
            <w:bottom w:val="none" w:sz="0" w:space="0" w:color="auto"/>
            <w:right w:val="none" w:sz="0" w:space="0" w:color="auto"/>
          </w:divBdr>
        </w:div>
        <w:div w:id="1137383408">
          <w:marLeft w:val="0"/>
          <w:marRight w:val="0"/>
          <w:marTop w:val="0"/>
          <w:marBottom w:val="0"/>
          <w:divBdr>
            <w:top w:val="none" w:sz="0" w:space="0" w:color="auto"/>
            <w:left w:val="none" w:sz="0" w:space="0" w:color="auto"/>
            <w:bottom w:val="none" w:sz="0" w:space="0" w:color="auto"/>
            <w:right w:val="none" w:sz="0" w:space="0" w:color="auto"/>
          </w:divBdr>
        </w:div>
        <w:div w:id="1672559849">
          <w:marLeft w:val="0"/>
          <w:marRight w:val="0"/>
          <w:marTop w:val="0"/>
          <w:marBottom w:val="0"/>
          <w:divBdr>
            <w:top w:val="none" w:sz="0" w:space="0" w:color="auto"/>
            <w:left w:val="none" w:sz="0" w:space="0" w:color="auto"/>
            <w:bottom w:val="none" w:sz="0" w:space="0" w:color="auto"/>
            <w:right w:val="none" w:sz="0" w:space="0" w:color="auto"/>
          </w:divBdr>
        </w:div>
        <w:div w:id="1403140908">
          <w:marLeft w:val="0"/>
          <w:marRight w:val="0"/>
          <w:marTop w:val="0"/>
          <w:marBottom w:val="0"/>
          <w:divBdr>
            <w:top w:val="none" w:sz="0" w:space="0" w:color="auto"/>
            <w:left w:val="none" w:sz="0" w:space="0" w:color="auto"/>
            <w:bottom w:val="none" w:sz="0" w:space="0" w:color="auto"/>
            <w:right w:val="none" w:sz="0" w:space="0" w:color="auto"/>
          </w:divBdr>
        </w:div>
      </w:divsChild>
    </w:div>
    <w:div w:id="427044551">
      <w:bodyDiv w:val="1"/>
      <w:marLeft w:val="0"/>
      <w:marRight w:val="0"/>
      <w:marTop w:val="0"/>
      <w:marBottom w:val="0"/>
      <w:divBdr>
        <w:top w:val="none" w:sz="0" w:space="0" w:color="auto"/>
        <w:left w:val="none" w:sz="0" w:space="0" w:color="auto"/>
        <w:bottom w:val="none" w:sz="0" w:space="0" w:color="auto"/>
        <w:right w:val="none" w:sz="0" w:space="0" w:color="auto"/>
      </w:divBdr>
      <w:divsChild>
        <w:div w:id="19092109">
          <w:marLeft w:val="0"/>
          <w:marRight w:val="0"/>
          <w:marTop w:val="0"/>
          <w:marBottom w:val="0"/>
          <w:divBdr>
            <w:top w:val="none" w:sz="0" w:space="0" w:color="auto"/>
            <w:left w:val="none" w:sz="0" w:space="0" w:color="auto"/>
            <w:bottom w:val="none" w:sz="0" w:space="0" w:color="auto"/>
            <w:right w:val="none" w:sz="0" w:space="0" w:color="auto"/>
          </w:divBdr>
          <w:divsChild>
            <w:div w:id="1781603557">
              <w:marLeft w:val="0"/>
              <w:marRight w:val="0"/>
              <w:marTop w:val="0"/>
              <w:marBottom w:val="0"/>
              <w:divBdr>
                <w:top w:val="none" w:sz="0" w:space="0" w:color="auto"/>
                <w:left w:val="none" w:sz="0" w:space="0" w:color="auto"/>
                <w:bottom w:val="none" w:sz="0" w:space="0" w:color="auto"/>
                <w:right w:val="none" w:sz="0" w:space="0" w:color="auto"/>
              </w:divBdr>
              <w:divsChild>
                <w:div w:id="71198586">
                  <w:marLeft w:val="0"/>
                  <w:marRight w:val="0"/>
                  <w:marTop w:val="0"/>
                  <w:marBottom w:val="0"/>
                  <w:divBdr>
                    <w:top w:val="none" w:sz="0" w:space="0" w:color="auto"/>
                    <w:left w:val="none" w:sz="0" w:space="0" w:color="auto"/>
                    <w:bottom w:val="none" w:sz="0" w:space="0" w:color="auto"/>
                    <w:right w:val="none" w:sz="0" w:space="0" w:color="auto"/>
                  </w:divBdr>
                  <w:divsChild>
                    <w:div w:id="142314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1860">
      <w:bodyDiv w:val="1"/>
      <w:marLeft w:val="0"/>
      <w:marRight w:val="0"/>
      <w:marTop w:val="0"/>
      <w:marBottom w:val="0"/>
      <w:divBdr>
        <w:top w:val="none" w:sz="0" w:space="0" w:color="auto"/>
        <w:left w:val="none" w:sz="0" w:space="0" w:color="auto"/>
        <w:bottom w:val="none" w:sz="0" w:space="0" w:color="auto"/>
        <w:right w:val="none" w:sz="0" w:space="0" w:color="auto"/>
      </w:divBdr>
    </w:div>
    <w:div w:id="477262230">
      <w:bodyDiv w:val="1"/>
      <w:marLeft w:val="0"/>
      <w:marRight w:val="0"/>
      <w:marTop w:val="0"/>
      <w:marBottom w:val="0"/>
      <w:divBdr>
        <w:top w:val="none" w:sz="0" w:space="0" w:color="auto"/>
        <w:left w:val="none" w:sz="0" w:space="0" w:color="auto"/>
        <w:bottom w:val="none" w:sz="0" w:space="0" w:color="auto"/>
        <w:right w:val="none" w:sz="0" w:space="0" w:color="auto"/>
      </w:divBdr>
    </w:div>
    <w:div w:id="492988401">
      <w:bodyDiv w:val="1"/>
      <w:marLeft w:val="0"/>
      <w:marRight w:val="0"/>
      <w:marTop w:val="0"/>
      <w:marBottom w:val="0"/>
      <w:divBdr>
        <w:top w:val="none" w:sz="0" w:space="0" w:color="auto"/>
        <w:left w:val="none" w:sz="0" w:space="0" w:color="auto"/>
        <w:bottom w:val="none" w:sz="0" w:space="0" w:color="auto"/>
        <w:right w:val="none" w:sz="0" w:space="0" w:color="auto"/>
      </w:divBdr>
    </w:div>
    <w:div w:id="614168487">
      <w:bodyDiv w:val="1"/>
      <w:marLeft w:val="0"/>
      <w:marRight w:val="0"/>
      <w:marTop w:val="0"/>
      <w:marBottom w:val="0"/>
      <w:divBdr>
        <w:top w:val="none" w:sz="0" w:space="0" w:color="auto"/>
        <w:left w:val="none" w:sz="0" w:space="0" w:color="auto"/>
        <w:bottom w:val="none" w:sz="0" w:space="0" w:color="auto"/>
        <w:right w:val="none" w:sz="0" w:space="0" w:color="auto"/>
      </w:divBdr>
      <w:divsChild>
        <w:div w:id="514003586">
          <w:marLeft w:val="0"/>
          <w:marRight w:val="0"/>
          <w:marTop w:val="0"/>
          <w:marBottom w:val="0"/>
          <w:divBdr>
            <w:top w:val="none" w:sz="0" w:space="0" w:color="auto"/>
            <w:left w:val="none" w:sz="0" w:space="0" w:color="auto"/>
            <w:bottom w:val="none" w:sz="0" w:space="0" w:color="auto"/>
            <w:right w:val="none" w:sz="0" w:space="0" w:color="auto"/>
          </w:divBdr>
        </w:div>
        <w:div w:id="10956838">
          <w:marLeft w:val="0"/>
          <w:marRight w:val="0"/>
          <w:marTop w:val="0"/>
          <w:marBottom w:val="0"/>
          <w:divBdr>
            <w:top w:val="none" w:sz="0" w:space="0" w:color="auto"/>
            <w:left w:val="none" w:sz="0" w:space="0" w:color="auto"/>
            <w:bottom w:val="none" w:sz="0" w:space="0" w:color="auto"/>
            <w:right w:val="none" w:sz="0" w:space="0" w:color="auto"/>
          </w:divBdr>
        </w:div>
        <w:div w:id="938412219">
          <w:marLeft w:val="0"/>
          <w:marRight w:val="0"/>
          <w:marTop w:val="0"/>
          <w:marBottom w:val="0"/>
          <w:divBdr>
            <w:top w:val="none" w:sz="0" w:space="0" w:color="auto"/>
            <w:left w:val="none" w:sz="0" w:space="0" w:color="auto"/>
            <w:bottom w:val="none" w:sz="0" w:space="0" w:color="auto"/>
            <w:right w:val="none" w:sz="0" w:space="0" w:color="auto"/>
          </w:divBdr>
        </w:div>
        <w:div w:id="79106120">
          <w:marLeft w:val="0"/>
          <w:marRight w:val="0"/>
          <w:marTop w:val="0"/>
          <w:marBottom w:val="0"/>
          <w:divBdr>
            <w:top w:val="none" w:sz="0" w:space="0" w:color="auto"/>
            <w:left w:val="none" w:sz="0" w:space="0" w:color="auto"/>
            <w:bottom w:val="none" w:sz="0" w:space="0" w:color="auto"/>
            <w:right w:val="none" w:sz="0" w:space="0" w:color="auto"/>
          </w:divBdr>
        </w:div>
      </w:divsChild>
    </w:div>
    <w:div w:id="925191899">
      <w:bodyDiv w:val="1"/>
      <w:marLeft w:val="0"/>
      <w:marRight w:val="0"/>
      <w:marTop w:val="0"/>
      <w:marBottom w:val="0"/>
      <w:divBdr>
        <w:top w:val="none" w:sz="0" w:space="0" w:color="auto"/>
        <w:left w:val="none" w:sz="0" w:space="0" w:color="auto"/>
        <w:bottom w:val="none" w:sz="0" w:space="0" w:color="auto"/>
        <w:right w:val="none" w:sz="0" w:space="0" w:color="auto"/>
      </w:divBdr>
      <w:divsChild>
        <w:div w:id="1459765500">
          <w:marLeft w:val="0"/>
          <w:marRight w:val="0"/>
          <w:marTop w:val="0"/>
          <w:marBottom w:val="0"/>
          <w:divBdr>
            <w:top w:val="none" w:sz="0" w:space="0" w:color="auto"/>
            <w:left w:val="none" w:sz="0" w:space="0" w:color="auto"/>
            <w:bottom w:val="none" w:sz="0" w:space="0" w:color="auto"/>
            <w:right w:val="none" w:sz="0" w:space="0" w:color="auto"/>
          </w:divBdr>
        </w:div>
        <w:div w:id="213272918">
          <w:marLeft w:val="0"/>
          <w:marRight w:val="0"/>
          <w:marTop w:val="0"/>
          <w:marBottom w:val="0"/>
          <w:divBdr>
            <w:top w:val="none" w:sz="0" w:space="0" w:color="auto"/>
            <w:left w:val="none" w:sz="0" w:space="0" w:color="auto"/>
            <w:bottom w:val="none" w:sz="0" w:space="0" w:color="auto"/>
            <w:right w:val="none" w:sz="0" w:space="0" w:color="auto"/>
          </w:divBdr>
        </w:div>
        <w:div w:id="2137020444">
          <w:marLeft w:val="0"/>
          <w:marRight w:val="0"/>
          <w:marTop w:val="0"/>
          <w:marBottom w:val="0"/>
          <w:divBdr>
            <w:top w:val="none" w:sz="0" w:space="0" w:color="auto"/>
            <w:left w:val="none" w:sz="0" w:space="0" w:color="auto"/>
            <w:bottom w:val="none" w:sz="0" w:space="0" w:color="auto"/>
            <w:right w:val="none" w:sz="0" w:space="0" w:color="auto"/>
          </w:divBdr>
        </w:div>
        <w:div w:id="1517426703">
          <w:marLeft w:val="0"/>
          <w:marRight w:val="0"/>
          <w:marTop w:val="0"/>
          <w:marBottom w:val="0"/>
          <w:divBdr>
            <w:top w:val="none" w:sz="0" w:space="0" w:color="auto"/>
            <w:left w:val="none" w:sz="0" w:space="0" w:color="auto"/>
            <w:bottom w:val="none" w:sz="0" w:space="0" w:color="auto"/>
            <w:right w:val="none" w:sz="0" w:space="0" w:color="auto"/>
          </w:divBdr>
        </w:div>
        <w:div w:id="226114399">
          <w:marLeft w:val="0"/>
          <w:marRight w:val="0"/>
          <w:marTop w:val="0"/>
          <w:marBottom w:val="0"/>
          <w:divBdr>
            <w:top w:val="none" w:sz="0" w:space="0" w:color="auto"/>
            <w:left w:val="none" w:sz="0" w:space="0" w:color="auto"/>
            <w:bottom w:val="none" w:sz="0" w:space="0" w:color="auto"/>
            <w:right w:val="none" w:sz="0" w:space="0" w:color="auto"/>
          </w:divBdr>
        </w:div>
      </w:divsChild>
    </w:div>
    <w:div w:id="1276792632">
      <w:bodyDiv w:val="1"/>
      <w:marLeft w:val="0"/>
      <w:marRight w:val="0"/>
      <w:marTop w:val="0"/>
      <w:marBottom w:val="0"/>
      <w:divBdr>
        <w:top w:val="none" w:sz="0" w:space="0" w:color="auto"/>
        <w:left w:val="none" w:sz="0" w:space="0" w:color="auto"/>
        <w:bottom w:val="none" w:sz="0" w:space="0" w:color="auto"/>
        <w:right w:val="none" w:sz="0" w:space="0" w:color="auto"/>
      </w:divBdr>
    </w:div>
    <w:div w:id="1470053971">
      <w:bodyDiv w:val="1"/>
      <w:marLeft w:val="0"/>
      <w:marRight w:val="0"/>
      <w:marTop w:val="0"/>
      <w:marBottom w:val="0"/>
      <w:divBdr>
        <w:top w:val="none" w:sz="0" w:space="0" w:color="auto"/>
        <w:left w:val="none" w:sz="0" w:space="0" w:color="auto"/>
        <w:bottom w:val="none" w:sz="0" w:space="0" w:color="auto"/>
        <w:right w:val="none" w:sz="0" w:space="0" w:color="auto"/>
      </w:divBdr>
      <w:divsChild>
        <w:div w:id="1806973050">
          <w:marLeft w:val="0"/>
          <w:marRight w:val="0"/>
          <w:marTop w:val="0"/>
          <w:marBottom w:val="0"/>
          <w:divBdr>
            <w:top w:val="none" w:sz="0" w:space="0" w:color="auto"/>
            <w:left w:val="none" w:sz="0" w:space="0" w:color="auto"/>
            <w:bottom w:val="none" w:sz="0" w:space="0" w:color="auto"/>
            <w:right w:val="none" w:sz="0" w:space="0" w:color="auto"/>
          </w:divBdr>
        </w:div>
        <w:div w:id="824903430">
          <w:marLeft w:val="0"/>
          <w:marRight w:val="0"/>
          <w:marTop w:val="0"/>
          <w:marBottom w:val="0"/>
          <w:divBdr>
            <w:top w:val="none" w:sz="0" w:space="0" w:color="auto"/>
            <w:left w:val="none" w:sz="0" w:space="0" w:color="auto"/>
            <w:bottom w:val="none" w:sz="0" w:space="0" w:color="auto"/>
            <w:right w:val="none" w:sz="0" w:space="0" w:color="auto"/>
          </w:divBdr>
        </w:div>
        <w:div w:id="1948653521">
          <w:marLeft w:val="0"/>
          <w:marRight w:val="0"/>
          <w:marTop w:val="0"/>
          <w:marBottom w:val="0"/>
          <w:divBdr>
            <w:top w:val="none" w:sz="0" w:space="0" w:color="auto"/>
            <w:left w:val="none" w:sz="0" w:space="0" w:color="auto"/>
            <w:bottom w:val="none" w:sz="0" w:space="0" w:color="auto"/>
            <w:right w:val="none" w:sz="0" w:space="0" w:color="auto"/>
          </w:divBdr>
        </w:div>
        <w:div w:id="1124613438">
          <w:marLeft w:val="0"/>
          <w:marRight w:val="0"/>
          <w:marTop w:val="0"/>
          <w:marBottom w:val="0"/>
          <w:divBdr>
            <w:top w:val="none" w:sz="0" w:space="0" w:color="auto"/>
            <w:left w:val="none" w:sz="0" w:space="0" w:color="auto"/>
            <w:bottom w:val="none" w:sz="0" w:space="0" w:color="auto"/>
            <w:right w:val="none" w:sz="0" w:space="0" w:color="auto"/>
          </w:divBdr>
        </w:div>
        <w:div w:id="6638506">
          <w:marLeft w:val="0"/>
          <w:marRight w:val="0"/>
          <w:marTop w:val="0"/>
          <w:marBottom w:val="0"/>
          <w:divBdr>
            <w:top w:val="none" w:sz="0" w:space="0" w:color="auto"/>
            <w:left w:val="none" w:sz="0" w:space="0" w:color="auto"/>
            <w:bottom w:val="none" w:sz="0" w:space="0" w:color="auto"/>
            <w:right w:val="none" w:sz="0" w:space="0" w:color="auto"/>
          </w:divBdr>
        </w:div>
      </w:divsChild>
    </w:div>
    <w:div w:id="1621836761">
      <w:bodyDiv w:val="1"/>
      <w:marLeft w:val="0"/>
      <w:marRight w:val="0"/>
      <w:marTop w:val="0"/>
      <w:marBottom w:val="0"/>
      <w:divBdr>
        <w:top w:val="none" w:sz="0" w:space="0" w:color="auto"/>
        <w:left w:val="none" w:sz="0" w:space="0" w:color="auto"/>
        <w:bottom w:val="none" w:sz="0" w:space="0" w:color="auto"/>
        <w:right w:val="none" w:sz="0" w:space="0" w:color="auto"/>
      </w:divBdr>
    </w:div>
    <w:div w:id="1622225037">
      <w:bodyDiv w:val="1"/>
      <w:marLeft w:val="0"/>
      <w:marRight w:val="0"/>
      <w:marTop w:val="0"/>
      <w:marBottom w:val="0"/>
      <w:divBdr>
        <w:top w:val="none" w:sz="0" w:space="0" w:color="auto"/>
        <w:left w:val="none" w:sz="0" w:space="0" w:color="auto"/>
        <w:bottom w:val="none" w:sz="0" w:space="0" w:color="auto"/>
        <w:right w:val="none" w:sz="0" w:space="0" w:color="auto"/>
      </w:divBdr>
      <w:divsChild>
        <w:div w:id="1252743230">
          <w:marLeft w:val="0"/>
          <w:marRight w:val="0"/>
          <w:marTop w:val="0"/>
          <w:marBottom w:val="0"/>
          <w:divBdr>
            <w:top w:val="none" w:sz="0" w:space="0" w:color="auto"/>
            <w:left w:val="none" w:sz="0" w:space="0" w:color="auto"/>
            <w:bottom w:val="none" w:sz="0" w:space="0" w:color="auto"/>
            <w:right w:val="none" w:sz="0" w:space="0" w:color="auto"/>
          </w:divBdr>
        </w:div>
        <w:div w:id="1773672583">
          <w:marLeft w:val="0"/>
          <w:marRight w:val="0"/>
          <w:marTop w:val="0"/>
          <w:marBottom w:val="0"/>
          <w:divBdr>
            <w:top w:val="none" w:sz="0" w:space="0" w:color="auto"/>
            <w:left w:val="none" w:sz="0" w:space="0" w:color="auto"/>
            <w:bottom w:val="none" w:sz="0" w:space="0" w:color="auto"/>
            <w:right w:val="none" w:sz="0" w:space="0" w:color="auto"/>
          </w:divBdr>
        </w:div>
        <w:div w:id="1891959809">
          <w:marLeft w:val="0"/>
          <w:marRight w:val="0"/>
          <w:marTop w:val="0"/>
          <w:marBottom w:val="0"/>
          <w:divBdr>
            <w:top w:val="none" w:sz="0" w:space="0" w:color="auto"/>
            <w:left w:val="none" w:sz="0" w:space="0" w:color="auto"/>
            <w:bottom w:val="none" w:sz="0" w:space="0" w:color="auto"/>
            <w:right w:val="none" w:sz="0" w:space="0" w:color="auto"/>
          </w:divBdr>
        </w:div>
        <w:div w:id="878590292">
          <w:marLeft w:val="0"/>
          <w:marRight w:val="0"/>
          <w:marTop w:val="0"/>
          <w:marBottom w:val="0"/>
          <w:divBdr>
            <w:top w:val="none" w:sz="0" w:space="0" w:color="auto"/>
            <w:left w:val="none" w:sz="0" w:space="0" w:color="auto"/>
            <w:bottom w:val="none" w:sz="0" w:space="0" w:color="auto"/>
            <w:right w:val="none" w:sz="0" w:space="0" w:color="auto"/>
          </w:divBdr>
        </w:div>
        <w:div w:id="1594702538">
          <w:marLeft w:val="0"/>
          <w:marRight w:val="0"/>
          <w:marTop w:val="0"/>
          <w:marBottom w:val="0"/>
          <w:divBdr>
            <w:top w:val="none" w:sz="0" w:space="0" w:color="auto"/>
            <w:left w:val="none" w:sz="0" w:space="0" w:color="auto"/>
            <w:bottom w:val="none" w:sz="0" w:space="0" w:color="auto"/>
            <w:right w:val="none" w:sz="0" w:space="0" w:color="auto"/>
          </w:divBdr>
        </w:div>
      </w:divsChild>
    </w:div>
    <w:div w:id="163101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mailto:vicki.stylianou@publicaccountants.org.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mailto:ProductRegulation@treasury.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www.afma.com.au/afmawr/_assets/main/LIB90032/Product%20Approval%20Guidelines%20V%201.2%20March%202016.pdf" TargetMode="External"/><Relationship Id="rId13" Type="http://schemas.openxmlformats.org/officeDocument/2006/relationships/hyperlink" Target="http://download.asic.gov.au/media/1346030/rg98-published-30-July-2013.pdf" TargetMode="External"/><Relationship Id="rId3" Type="http://schemas.openxmlformats.org/officeDocument/2006/relationships/hyperlink" Target="http://www.aasb.gov.au/admin/file/content105/c9/AASB10_07-15_COMPdec15_01-18.pdf" TargetMode="External"/><Relationship Id="rId7" Type="http://schemas.openxmlformats.org/officeDocument/2006/relationships/hyperlink" Target="http://www.ifrs.org/Features/Pages/The-case-for-principle-based-accounting-.aspx" TargetMode="External"/><Relationship Id="rId12" Type="http://schemas.openxmlformats.org/officeDocument/2006/relationships/hyperlink" Target="https://www.iosco.org/library/pubdocs/pdf/IOSCOPD490.pdf" TargetMode="External"/><Relationship Id="rId2" Type="http://schemas.openxmlformats.org/officeDocument/2006/relationships/hyperlink" Target="https://ec.europa.eu/research/iscp/pdf/policy/sme_opportunities_h2020_feb2014.pdf" TargetMode="External"/><Relationship Id="rId1" Type="http://schemas.openxmlformats.org/officeDocument/2006/relationships/hyperlink" Target="http://www.afma.com.au/afmawr/_assets/main/lib90032/product%20approval%20principles.pdf" TargetMode="External"/><Relationship Id="rId6" Type="http://schemas.openxmlformats.org/officeDocument/2006/relationships/hyperlink" Target="http://www.treasury.gov.au/ConsultationsandReviews/Consultations/2016/Design-and-distribution-obligations-and-product-intervention-power" TargetMode="External"/><Relationship Id="rId11" Type="http://schemas.openxmlformats.org/officeDocument/2006/relationships/hyperlink" Target="http://www.arc.ag.gov.au/Documents/a00Final+Version+-+Coercive+Information-gathering+Powers+of+Government+Agencies+-+May+2008.pdf" TargetMode="External"/><Relationship Id="rId5" Type="http://schemas.openxmlformats.org/officeDocument/2006/relationships/hyperlink" Target="http://download.asic.gov.au/media/3889025/cp260-published-08-june-2016.pdf" TargetMode="External"/><Relationship Id="rId10" Type="http://schemas.openxmlformats.org/officeDocument/2006/relationships/hyperlink" Target="http://download.asic.gov.au/media/1240931/rg168-published-28-october-2011.pdf" TargetMode="External"/><Relationship Id="rId4" Type="http://schemas.openxmlformats.org/officeDocument/2006/relationships/hyperlink" Target="http://download.asic.gov.au/media/2195181/asic-strategic-outlook-2014-2015.pdf" TargetMode="External"/><Relationship Id="rId9" Type="http://schemas.openxmlformats.org/officeDocument/2006/relationships/hyperlink" Target="http://www.austlii.edu.au/au/legis/cth/consol_act/ca2001172/s739.html" TargetMode="External"/><Relationship Id="rId14" Type="http://schemas.openxmlformats.org/officeDocument/2006/relationships/hyperlink" Target="http://www.austlii.edu.au/au/legis/cth/consol_act/ca2001172/s132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p:properties xmlns:p="http://schemas.microsoft.com/office/2006/metadata/properties" xmlns:xsi="http://www.w3.org/2001/XMLSchema-instance">
  <documentManagement>
    <IconOverlay xmlns="http://schemas.microsoft.com/sharepoint/v4" xsi:nil="true"/>
    <TaxCatchAll xmlns="d4dd4adf-ddb3-46a3-8d7c-fab3fb2a6bc7">
      <Value>7</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d4dd4adf-ddb3-46a3-8d7c-fab3fb2a6bc7">2017MG-93-28205</_dlc_DocId>
    <_dlc_DocIdUrl xmlns="d4dd4adf-ddb3-46a3-8d7c-fab3fb2a6bc7">
      <Url>http://tweb/sites/mg/fsd/_layouts/15/DocIdRedir.aspx?ID=2017MG-93-28205</Url>
      <Description>2017MG-93-28205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A4C39F1D50EC0F4EBD06D6A3817BE15D" ma:contentTypeVersion="7073" ma:contentTypeDescription=" " ma:contentTypeScope="" ma:versionID="52bd25d6becffd3af5213f799d43c426">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c503b9868a9c7fd64df2468f502cf846"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3BEF5-2FF7-4C0A-BFA2-9607E8EB7C23}">
  <ds:schemaRefs>
    <ds:schemaRef ds:uri="http://schemas.microsoft.com/sharepoint/events"/>
  </ds:schemaRefs>
</ds:datastoreItem>
</file>

<file path=customXml/itemProps2.xml><?xml version="1.0" encoding="utf-8"?>
<ds:datastoreItem xmlns:ds="http://schemas.openxmlformats.org/officeDocument/2006/customXml" ds:itemID="{E7B7523C-E731-4072-A7DF-A39E0242B5D1}">
  <ds:schemaRefs>
    <ds:schemaRef ds:uri="http://www.w3.org/XML/1998/namespace"/>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schemas.microsoft.com/sharepoint/v4"/>
    <ds:schemaRef ds:uri="d4dd4adf-ddb3-46a3-8d7c-fab3fb2a6bc7"/>
    <ds:schemaRef ds:uri="http://schemas.microsoft.com/office/infopath/2007/PartnerControls"/>
  </ds:schemaRefs>
</ds:datastoreItem>
</file>

<file path=customXml/itemProps3.xml><?xml version="1.0" encoding="utf-8"?>
<ds:datastoreItem xmlns:ds="http://schemas.openxmlformats.org/officeDocument/2006/customXml" ds:itemID="{55BA3465-EDA2-4BFA-AA4A-9C212C93FEBF}">
  <ds:schemaRefs>
    <ds:schemaRef ds:uri="http://schemas.microsoft.com/sharepoint/v3/contenttype/forms"/>
  </ds:schemaRefs>
</ds:datastoreItem>
</file>

<file path=customXml/itemProps4.xml><?xml version="1.0" encoding="utf-8"?>
<ds:datastoreItem xmlns:ds="http://schemas.openxmlformats.org/officeDocument/2006/customXml" ds:itemID="{EE855082-47D8-4915-A103-18C613939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5ED93B-8219-4F2E-B054-2364076BAFFA}">
  <ds:schemaRefs>
    <ds:schemaRef ds:uri="office.server.policy"/>
  </ds:schemaRefs>
</ds:datastoreItem>
</file>

<file path=customXml/itemProps6.xml><?xml version="1.0" encoding="utf-8"?>
<ds:datastoreItem xmlns:ds="http://schemas.openxmlformats.org/officeDocument/2006/customXml" ds:itemID="{3B10343F-0C5E-4637-8603-91F46AFE9BD0}">
  <ds:schemaRefs>
    <ds:schemaRef ds:uri="http://schemas.microsoft.com/sharepoint/events"/>
  </ds:schemaRefs>
</ds:datastoreItem>
</file>

<file path=customXml/itemProps7.xml><?xml version="1.0" encoding="utf-8"?>
<ds:datastoreItem xmlns:ds="http://schemas.openxmlformats.org/officeDocument/2006/customXml" ds:itemID="{1BD3093D-DCFB-4846-B2D8-19CAD0FDB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5111</Words>
  <Characters>28630</Characters>
  <Application>Microsoft Office Word</Application>
  <DocSecurity>0</DocSecurity>
  <Lines>597</Lines>
  <Paragraphs>150</Paragraphs>
  <ScaleCrop>false</ScaleCrop>
  <Company/>
  <LinksUpToDate>false</LinksUpToDate>
  <CharactersWithSpaces>33723</CharactersWithSpaces>
  <SharedDoc>false</SharedDoc>
  <HLinks>
    <vt:vector size="480" baseType="variant">
      <vt:variant>
        <vt:i4>4915245</vt:i4>
      </vt:variant>
      <vt:variant>
        <vt:i4>396</vt:i4>
      </vt:variant>
      <vt:variant>
        <vt:i4>0</vt:i4>
      </vt:variant>
      <vt:variant>
        <vt:i4>5</vt:i4>
      </vt:variant>
      <vt:variant>
        <vt:lpwstr>mailto:headoffice@publicaccountants.org.au</vt:lpwstr>
      </vt:variant>
      <vt:variant>
        <vt:lpwstr/>
      </vt:variant>
      <vt:variant>
        <vt:i4>5963857</vt:i4>
      </vt:variant>
      <vt:variant>
        <vt:i4>393</vt:i4>
      </vt:variant>
      <vt:variant>
        <vt:i4>0</vt:i4>
      </vt:variant>
      <vt:variant>
        <vt:i4>5</vt:i4>
      </vt:variant>
      <vt:variant>
        <vt:lpwstr/>
      </vt:variant>
      <vt:variant>
        <vt:lpwstr>BM36</vt:lpwstr>
      </vt:variant>
      <vt:variant>
        <vt:i4>5767249</vt:i4>
      </vt:variant>
      <vt:variant>
        <vt:i4>390</vt:i4>
      </vt:variant>
      <vt:variant>
        <vt:i4>0</vt:i4>
      </vt:variant>
      <vt:variant>
        <vt:i4>5</vt:i4>
      </vt:variant>
      <vt:variant>
        <vt:lpwstr/>
      </vt:variant>
      <vt:variant>
        <vt:lpwstr>BM35</vt:lpwstr>
      </vt:variant>
      <vt:variant>
        <vt:i4>5832785</vt:i4>
      </vt:variant>
      <vt:variant>
        <vt:i4>387</vt:i4>
      </vt:variant>
      <vt:variant>
        <vt:i4>0</vt:i4>
      </vt:variant>
      <vt:variant>
        <vt:i4>5</vt:i4>
      </vt:variant>
      <vt:variant>
        <vt:lpwstr/>
      </vt:variant>
      <vt:variant>
        <vt:lpwstr>BM34</vt:lpwstr>
      </vt:variant>
      <vt:variant>
        <vt:i4>6160465</vt:i4>
      </vt:variant>
      <vt:variant>
        <vt:i4>384</vt:i4>
      </vt:variant>
      <vt:variant>
        <vt:i4>0</vt:i4>
      </vt:variant>
      <vt:variant>
        <vt:i4>5</vt:i4>
      </vt:variant>
      <vt:variant>
        <vt:lpwstr/>
      </vt:variant>
      <vt:variant>
        <vt:lpwstr>BM33</vt:lpwstr>
      </vt:variant>
      <vt:variant>
        <vt:i4>6226001</vt:i4>
      </vt:variant>
      <vt:variant>
        <vt:i4>381</vt:i4>
      </vt:variant>
      <vt:variant>
        <vt:i4>0</vt:i4>
      </vt:variant>
      <vt:variant>
        <vt:i4>5</vt:i4>
      </vt:variant>
      <vt:variant>
        <vt:lpwstr/>
      </vt:variant>
      <vt:variant>
        <vt:lpwstr>BM32</vt:lpwstr>
      </vt:variant>
      <vt:variant>
        <vt:i4>6029393</vt:i4>
      </vt:variant>
      <vt:variant>
        <vt:i4>378</vt:i4>
      </vt:variant>
      <vt:variant>
        <vt:i4>0</vt:i4>
      </vt:variant>
      <vt:variant>
        <vt:i4>5</vt:i4>
      </vt:variant>
      <vt:variant>
        <vt:lpwstr/>
      </vt:variant>
      <vt:variant>
        <vt:lpwstr>BM31</vt:lpwstr>
      </vt:variant>
      <vt:variant>
        <vt:i4>6094929</vt:i4>
      </vt:variant>
      <vt:variant>
        <vt:i4>375</vt:i4>
      </vt:variant>
      <vt:variant>
        <vt:i4>0</vt:i4>
      </vt:variant>
      <vt:variant>
        <vt:i4>5</vt:i4>
      </vt:variant>
      <vt:variant>
        <vt:lpwstr/>
      </vt:variant>
      <vt:variant>
        <vt:lpwstr>BM30</vt:lpwstr>
      </vt:variant>
      <vt:variant>
        <vt:i4>5505104</vt:i4>
      </vt:variant>
      <vt:variant>
        <vt:i4>372</vt:i4>
      </vt:variant>
      <vt:variant>
        <vt:i4>0</vt:i4>
      </vt:variant>
      <vt:variant>
        <vt:i4>5</vt:i4>
      </vt:variant>
      <vt:variant>
        <vt:lpwstr/>
      </vt:variant>
      <vt:variant>
        <vt:lpwstr>BM29</vt:lpwstr>
      </vt:variant>
      <vt:variant>
        <vt:i4>5570640</vt:i4>
      </vt:variant>
      <vt:variant>
        <vt:i4>369</vt:i4>
      </vt:variant>
      <vt:variant>
        <vt:i4>0</vt:i4>
      </vt:variant>
      <vt:variant>
        <vt:i4>5</vt:i4>
      </vt:variant>
      <vt:variant>
        <vt:lpwstr/>
      </vt:variant>
      <vt:variant>
        <vt:lpwstr>BM28</vt:lpwstr>
      </vt:variant>
      <vt:variant>
        <vt:i4>5898320</vt:i4>
      </vt:variant>
      <vt:variant>
        <vt:i4>366</vt:i4>
      </vt:variant>
      <vt:variant>
        <vt:i4>0</vt:i4>
      </vt:variant>
      <vt:variant>
        <vt:i4>5</vt:i4>
      </vt:variant>
      <vt:variant>
        <vt:lpwstr/>
      </vt:variant>
      <vt:variant>
        <vt:lpwstr>BM27</vt:lpwstr>
      </vt:variant>
      <vt:variant>
        <vt:i4>5963856</vt:i4>
      </vt:variant>
      <vt:variant>
        <vt:i4>363</vt:i4>
      </vt:variant>
      <vt:variant>
        <vt:i4>0</vt:i4>
      </vt:variant>
      <vt:variant>
        <vt:i4>5</vt:i4>
      </vt:variant>
      <vt:variant>
        <vt:lpwstr/>
      </vt:variant>
      <vt:variant>
        <vt:lpwstr>BM26</vt:lpwstr>
      </vt:variant>
      <vt:variant>
        <vt:i4>5767248</vt:i4>
      </vt:variant>
      <vt:variant>
        <vt:i4>360</vt:i4>
      </vt:variant>
      <vt:variant>
        <vt:i4>0</vt:i4>
      </vt:variant>
      <vt:variant>
        <vt:i4>5</vt:i4>
      </vt:variant>
      <vt:variant>
        <vt:lpwstr/>
      </vt:variant>
      <vt:variant>
        <vt:lpwstr>BM25</vt:lpwstr>
      </vt:variant>
      <vt:variant>
        <vt:i4>5832784</vt:i4>
      </vt:variant>
      <vt:variant>
        <vt:i4>357</vt:i4>
      </vt:variant>
      <vt:variant>
        <vt:i4>0</vt:i4>
      </vt:variant>
      <vt:variant>
        <vt:i4>5</vt:i4>
      </vt:variant>
      <vt:variant>
        <vt:lpwstr/>
      </vt:variant>
      <vt:variant>
        <vt:lpwstr>BM24</vt:lpwstr>
      </vt:variant>
      <vt:variant>
        <vt:i4>6160464</vt:i4>
      </vt:variant>
      <vt:variant>
        <vt:i4>354</vt:i4>
      </vt:variant>
      <vt:variant>
        <vt:i4>0</vt:i4>
      </vt:variant>
      <vt:variant>
        <vt:i4>5</vt:i4>
      </vt:variant>
      <vt:variant>
        <vt:lpwstr/>
      </vt:variant>
      <vt:variant>
        <vt:lpwstr>BM23</vt:lpwstr>
      </vt:variant>
      <vt:variant>
        <vt:i4>6226000</vt:i4>
      </vt:variant>
      <vt:variant>
        <vt:i4>351</vt:i4>
      </vt:variant>
      <vt:variant>
        <vt:i4>0</vt:i4>
      </vt:variant>
      <vt:variant>
        <vt:i4>5</vt:i4>
      </vt:variant>
      <vt:variant>
        <vt:lpwstr/>
      </vt:variant>
      <vt:variant>
        <vt:lpwstr>BM22</vt:lpwstr>
      </vt:variant>
      <vt:variant>
        <vt:i4>6029392</vt:i4>
      </vt:variant>
      <vt:variant>
        <vt:i4>348</vt:i4>
      </vt:variant>
      <vt:variant>
        <vt:i4>0</vt:i4>
      </vt:variant>
      <vt:variant>
        <vt:i4>5</vt:i4>
      </vt:variant>
      <vt:variant>
        <vt:lpwstr/>
      </vt:variant>
      <vt:variant>
        <vt:lpwstr>BM21</vt:lpwstr>
      </vt:variant>
      <vt:variant>
        <vt:i4>6094928</vt:i4>
      </vt:variant>
      <vt:variant>
        <vt:i4>345</vt:i4>
      </vt:variant>
      <vt:variant>
        <vt:i4>0</vt:i4>
      </vt:variant>
      <vt:variant>
        <vt:i4>5</vt:i4>
      </vt:variant>
      <vt:variant>
        <vt:lpwstr/>
      </vt:variant>
      <vt:variant>
        <vt:lpwstr>BM20</vt:lpwstr>
      </vt:variant>
      <vt:variant>
        <vt:i4>5505107</vt:i4>
      </vt:variant>
      <vt:variant>
        <vt:i4>342</vt:i4>
      </vt:variant>
      <vt:variant>
        <vt:i4>0</vt:i4>
      </vt:variant>
      <vt:variant>
        <vt:i4>5</vt:i4>
      </vt:variant>
      <vt:variant>
        <vt:lpwstr/>
      </vt:variant>
      <vt:variant>
        <vt:lpwstr>BM19</vt:lpwstr>
      </vt:variant>
      <vt:variant>
        <vt:i4>5570643</vt:i4>
      </vt:variant>
      <vt:variant>
        <vt:i4>339</vt:i4>
      </vt:variant>
      <vt:variant>
        <vt:i4>0</vt:i4>
      </vt:variant>
      <vt:variant>
        <vt:i4>5</vt:i4>
      </vt:variant>
      <vt:variant>
        <vt:lpwstr/>
      </vt:variant>
      <vt:variant>
        <vt:lpwstr>BM18</vt:lpwstr>
      </vt:variant>
      <vt:variant>
        <vt:i4>5898323</vt:i4>
      </vt:variant>
      <vt:variant>
        <vt:i4>336</vt:i4>
      </vt:variant>
      <vt:variant>
        <vt:i4>0</vt:i4>
      </vt:variant>
      <vt:variant>
        <vt:i4>5</vt:i4>
      </vt:variant>
      <vt:variant>
        <vt:lpwstr/>
      </vt:variant>
      <vt:variant>
        <vt:lpwstr>BM174</vt:lpwstr>
      </vt:variant>
      <vt:variant>
        <vt:i4>5963859</vt:i4>
      </vt:variant>
      <vt:variant>
        <vt:i4>333</vt:i4>
      </vt:variant>
      <vt:variant>
        <vt:i4>0</vt:i4>
      </vt:variant>
      <vt:variant>
        <vt:i4>5</vt:i4>
      </vt:variant>
      <vt:variant>
        <vt:lpwstr/>
      </vt:variant>
      <vt:variant>
        <vt:lpwstr>BM16</vt:lpwstr>
      </vt:variant>
      <vt:variant>
        <vt:i4>5767251</vt:i4>
      </vt:variant>
      <vt:variant>
        <vt:i4>330</vt:i4>
      </vt:variant>
      <vt:variant>
        <vt:i4>0</vt:i4>
      </vt:variant>
      <vt:variant>
        <vt:i4>5</vt:i4>
      </vt:variant>
      <vt:variant>
        <vt:lpwstr/>
      </vt:variant>
      <vt:variant>
        <vt:lpwstr>BM15</vt:lpwstr>
      </vt:variant>
      <vt:variant>
        <vt:i4>5832787</vt:i4>
      </vt:variant>
      <vt:variant>
        <vt:i4>327</vt:i4>
      </vt:variant>
      <vt:variant>
        <vt:i4>0</vt:i4>
      </vt:variant>
      <vt:variant>
        <vt:i4>5</vt:i4>
      </vt:variant>
      <vt:variant>
        <vt:lpwstr/>
      </vt:variant>
      <vt:variant>
        <vt:lpwstr>BM14</vt:lpwstr>
      </vt:variant>
      <vt:variant>
        <vt:i4>6160467</vt:i4>
      </vt:variant>
      <vt:variant>
        <vt:i4>324</vt:i4>
      </vt:variant>
      <vt:variant>
        <vt:i4>0</vt:i4>
      </vt:variant>
      <vt:variant>
        <vt:i4>5</vt:i4>
      </vt:variant>
      <vt:variant>
        <vt:lpwstr/>
      </vt:variant>
      <vt:variant>
        <vt:lpwstr>BM13</vt:lpwstr>
      </vt:variant>
      <vt:variant>
        <vt:i4>6226003</vt:i4>
      </vt:variant>
      <vt:variant>
        <vt:i4>321</vt:i4>
      </vt:variant>
      <vt:variant>
        <vt:i4>0</vt:i4>
      </vt:variant>
      <vt:variant>
        <vt:i4>5</vt:i4>
      </vt:variant>
      <vt:variant>
        <vt:lpwstr/>
      </vt:variant>
      <vt:variant>
        <vt:lpwstr>BM12</vt:lpwstr>
      </vt:variant>
      <vt:variant>
        <vt:i4>6029395</vt:i4>
      </vt:variant>
      <vt:variant>
        <vt:i4>318</vt:i4>
      </vt:variant>
      <vt:variant>
        <vt:i4>0</vt:i4>
      </vt:variant>
      <vt:variant>
        <vt:i4>5</vt:i4>
      </vt:variant>
      <vt:variant>
        <vt:lpwstr/>
      </vt:variant>
      <vt:variant>
        <vt:lpwstr>BM11</vt:lpwstr>
      </vt:variant>
      <vt:variant>
        <vt:i4>1900607</vt:i4>
      </vt:variant>
      <vt:variant>
        <vt:i4>311</vt:i4>
      </vt:variant>
      <vt:variant>
        <vt:i4>0</vt:i4>
      </vt:variant>
      <vt:variant>
        <vt:i4>5</vt:i4>
      </vt:variant>
      <vt:variant>
        <vt:lpwstr/>
      </vt:variant>
      <vt:variant>
        <vt:lpwstr>_Toc378239761</vt:lpwstr>
      </vt:variant>
      <vt:variant>
        <vt:i4>1900607</vt:i4>
      </vt:variant>
      <vt:variant>
        <vt:i4>305</vt:i4>
      </vt:variant>
      <vt:variant>
        <vt:i4>0</vt:i4>
      </vt:variant>
      <vt:variant>
        <vt:i4>5</vt:i4>
      </vt:variant>
      <vt:variant>
        <vt:lpwstr/>
      </vt:variant>
      <vt:variant>
        <vt:lpwstr>_Toc378239760</vt:lpwstr>
      </vt:variant>
      <vt:variant>
        <vt:i4>1966143</vt:i4>
      </vt:variant>
      <vt:variant>
        <vt:i4>299</vt:i4>
      </vt:variant>
      <vt:variant>
        <vt:i4>0</vt:i4>
      </vt:variant>
      <vt:variant>
        <vt:i4>5</vt:i4>
      </vt:variant>
      <vt:variant>
        <vt:lpwstr/>
      </vt:variant>
      <vt:variant>
        <vt:lpwstr>_Toc378239759</vt:lpwstr>
      </vt:variant>
      <vt:variant>
        <vt:i4>1966143</vt:i4>
      </vt:variant>
      <vt:variant>
        <vt:i4>293</vt:i4>
      </vt:variant>
      <vt:variant>
        <vt:i4>0</vt:i4>
      </vt:variant>
      <vt:variant>
        <vt:i4>5</vt:i4>
      </vt:variant>
      <vt:variant>
        <vt:lpwstr/>
      </vt:variant>
      <vt:variant>
        <vt:lpwstr>_Toc378239758</vt:lpwstr>
      </vt:variant>
      <vt:variant>
        <vt:i4>1966143</vt:i4>
      </vt:variant>
      <vt:variant>
        <vt:i4>287</vt:i4>
      </vt:variant>
      <vt:variant>
        <vt:i4>0</vt:i4>
      </vt:variant>
      <vt:variant>
        <vt:i4>5</vt:i4>
      </vt:variant>
      <vt:variant>
        <vt:lpwstr/>
      </vt:variant>
      <vt:variant>
        <vt:lpwstr>_Toc378239757</vt:lpwstr>
      </vt:variant>
      <vt:variant>
        <vt:i4>1966143</vt:i4>
      </vt:variant>
      <vt:variant>
        <vt:i4>281</vt:i4>
      </vt:variant>
      <vt:variant>
        <vt:i4>0</vt:i4>
      </vt:variant>
      <vt:variant>
        <vt:i4>5</vt:i4>
      </vt:variant>
      <vt:variant>
        <vt:lpwstr/>
      </vt:variant>
      <vt:variant>
        <vt:lpwstr>_Toc378239756</vt:lpwstr>
      </vt:variant>
      <vt:variant>
        <vt:i4>1966143</vt:i4>
      </vt:variant>
      <vt:variant>
        <vt:i4>275</vt:i4>
      </vt:variant>
      <vt:variant>
        <vt:i4>0</vt:i4>
      </vt:variant>
      <vt:variant>
        <vt:i4>5</vt:i4>
      </vt:variant>
      <vt:variant>
        <vt:lpwstr/>
      </vt:variant>
      <vt:variant>
        <vt:lpwstr>_Toc378239755</vt:lpwstr>
      </vt:variant>
      <vt:variant>
        <vt:i4>1966143</vt:i4>
      </vt:variant>
      <vt:variant>
        <vt:i4>269</vt:i4>
      </vt:variant>
      <vt:variant>
        <vt:i4>0</vt:i4>
      </vt:variant>
      <vt:variant>
        <vt:i4>5</vt:i4>
      </vt:variant>
      <vt:variant>
        <vt:lpwstr/>
      </vt:variant>
      <vt:variant>
        <vt:lpwstr>_Toc378239754</vt:lpwstr>
      </vt:variant>
      <vt:variant>
        <vt:i4>1966143</vt:i4>
      </vt:variant>
      <vt:variant>
        <vt:i4>263</vt:i4>
      </vt:variant>
      <vt:variant>
        <vt:i4>0</vt:i4>
      </vt:variant>
      <vt:variant>
        <vt:i4>5</vt:i4>
      </vt:variant>
      <vt:variant>
        <vt:lpwstr/>
      </vt:variant>
      <vt:variant>
        <vt:lpwstr>_Toc378239753</vt:lpwstr>
      </vt:variant>
      <vt:variant>
        <vt:i4>1966143</vt:i4>
      </vt:variant>
      <vt:variant>
        <vt:i4>257</vt:i4>
      </vt:variant>
      <vt:variant>
        <vt:i4>0</vt:i4>
      </vt:variant>
      <vt:variant>
        <vt:i4>5</vt:i4>
      </vt:variant>
      <vt:variant>
        <vt:lpwstr/>
      </vt:variant>
      <vt:variant>
        <vt:lpwstr>_Toc378239752</vt:lpwstr>
      </vt:variant>
      <vt:variant>
        <vt:i4>1966143</vt:i4>
      </vt:variant>
      <vt:variant>
        <vt:i4>251</vt:i4>
      </vt:variant>
      <vt:variant>
        <vt:i4>0</vt:i4>
      </vt:variant>
      <vt:variant>
        <vt:i4>5</vt:i4>
      </vt:variant>
      <vt:variant>
        <vt:lpwstr/>
      </vt:variant>
      <vt:variant>
        <vt:lpwstr>_Toc378239751</vt:lpwstr>
      </vt:variant>
      <vt:variant>
        <vt:i4>1966143</vt:i4>
      </vt:variant>
      <vt:variant>
        <vt:i4>245</vt:i4>
      </vt:variant>
      <vt:variant>
        <vt:i4>0</vt:i4>
      </vt:variant>
      <vt:variant>
        <vt:i4>5</vt:i4>
      </vt:variant>
      <vt:variant>
        <vt:lpwstr/>
      </vt:variant>
      <vt:variant>
        <vt:lpwstr>_Toc378239750</vt:lpwstr>
      </vt:variant>
      <vt:variant>
        <vt:i4>2031679</vt:i4>
      </vt:variant>
      <vt:variant>
        <vt:i4>239</vt:i4>
      </vt:variant>
      <vt:variant>
        <vt:i4>0</vt:i4>
      </vt:variant>
      <vt:variant>
        <vt:i4>5</vt:i4>
      </vt:variant>
      <vt:variant>
        <vt:lpwstr/>
      </vt:variant>
      <vt:variant>
        <vt:lpwstr>_Toc378239749</vt:lpwstr>
      </vt:variant>
      <vt:variant>
        <vt:i4>2031679</vt:i4>
      </vt:variant>
      <vt:variant>
        <vt:i4>233</vt:i4>
      </vt:variant>
      <vt:variant>
        <vt:i4>0</vt:i4>
      </vt:variant>
      <vt:variant>
        <vt:i4>5</vt:i4>
      </vt:variant>
      <vt:variant>
        <vt:lpwstr/>
      </vt:variant>
      <vt:variant>
        <vt:lpwstr>_Toc378239748</vt:lpwstr>
      </vt:variant>
      <vt:variant>
        <vt:i4>2031679</vt:i4>
      </vt:variant>
      <vt:variant>
        <vt:i4>227</vt:i4>
      </vt:variant>
      <vt:variant>
        <vt:i4>0</vt:i4>
      </vt:variant>
      <vt:variant>
        <vt:i4>5</vt:i4>
      </vt:variant>
      <vt:variant>
        <vt:lpwstr/>
      </vt:variant>
      <vt:variant>
        <vt:lpwstr>_Toc378239747</vt:lpwstr>
      </vt:variant>
      <vt:variant>
        <vt:i4>2031679</vt:i4>
      </vt:variant>
      <vt:variant>
        <vt:i4>221</vt:i4>
      </vt:variant>
      <vt:variant>
        <vt:i4>0</vt:i4>
      </vt:variant>
      <vt:variant>
        <vt:i4>5</vt:i4>
      </vt:variant>
      <vt:variant>
        <vt:lpwstr/>
      </vt:variant>
      <vt:variant>
        <vt:lpwstr>_Toc378239746</vt:lpwstr>
      </vt:variant>
      <vt:variant>
        <vt:i4>2031679</vt:i4>
      </vt:variant>
      <vt:variant>
        <vt:i4>215</vt:i4>
      </vt:variant>
      <vt:variant>
        <vt:i4>0</vt:i4>
      </vt:variant>
      <vt:variant>
        <vt:i4>5</vt:i4>
      </vt:variant>
      <vt:variant>
        <vt:lpwstr/>
      </vt:variant>
      <vt:variant>
        <vt:lpwstr>_Toc378239745</vt:lpwstr>
      </vt:variant>
      <vt:variant>
        <vt:i4>2031679</vt:i4>
      </vt:variant>
      <vt:variant>
        <vt:i4>209</vt:i4>
      </vt:variant>
      <vt:variant>
        <vt:i4>0</vt:i4>
      </vt:variant>
      <vt:variant>
        <vt:i4>5</vt:i4>
      </vt:variant>
      <vt:variant>
        <vt:lpwstr/>
      </vt:variant>
      <vt:variant>
        <vt:lpwstr>_Toc378239744</vt:lpwstr>
      </vt:variant>
      <vt:variant>
        <vt:i4>2031679</vt:i4>
      </vt:variant>
      <vt:variant>
        <vt:i4>203</vt:i4>
      </vt:variant>
      <vt:variant>
        <vt:i4>0</vt:i4>
      </vt:variant>
      <vt:variant>
        <vt:i4>5</vt:i4>
      </vt:variant>
      <vt:variant>
        <vt:lpwstr/>
      </vt:variant>
      <vt:variant>
        <vt:lpwstr>_Toc378239743</vt:lpwstr>
      </vt:variant>
      <vt:variant>
        <vt:i4>2031679</vt:i4>
      </vt:variant>
      <vt:variant>
        <vt:i4>197</vt:i4>
      </vt:variant>
      <vt:variant>
        <vt:i4>0</vt:i4>
      </vt:variant>
      <vt:variant>
        <vt:i4>5</vt:i4>
      </vt:variant>
      <vt:variant>
        <vt:lpwstr/>
      </vt:variant>
      <vt:variant>
        <vt:lpwstr>_Toc378239742</vt:lpwstr>
      </vt:variant>
      <vt:variant>
        <vt:i4>2031679</vt:i4>
      </vt:variant>
      <vt:variant>
        <vt:i4>191</vt:i4>
      </vt:variant>
      <vt:variant>
        <vt:i4>0</vt:i4>
      </vt:variant>
      <vt:variant>
        <vt:i4>5</vt:i4>
      </vt:variant>
      <vt:variant>
        <vt:lpwstr/>
      </vt:variant>
      <vt:variant>
        <vt:lpwstr>_Toc378239741</vt:lpwstr>
      </vt:variant>
      <vt:variant>
        <vt:i4>2031679</vt:i4>
      </vt:variant>
      <vt:variant>
        <vt:i4>185</vt:i4>
      </vt:variant>
      <vt:variant>
        <vt:i4>0</vt:i4>
      </vt:variant>
      <vt:variant>
        <vt:i4>5</vt:i4>
      </vt:variant>
      <vt:variant>
        <vt:lpwstr/>
      </vt:variant>
      <vt:variant>
        <vt:lpwstr>_Toc378239740</vt:lpwstr>
      </vt:variant>
      <vt:variant>
        <vt:i4>1572927</vt:i4>
      </vt:variant>
      <vt:variant>
        <vt:i4>179</vt:i4>
      </vt:variant>
      <vt:variant>
        <vt:i4>0</vt:i4>
      </vt:variant>
      <vt:variant>
        <vt:i4>5</vt:i4>
      </vt:variant>
      <vt:variant>
        <vt:lpwstr/>
      </vt:variant>
      <vt:variant>
        <vt:lpwstr>_Toc378239739</vt:lpwstr>
      </vt:variant>
      <vt:variant>
        <vt:i4>1572927</vt:i4>
      </vt:variant>
      <vt:variant>
        <vt:i4>173</vt:i4>
      </vt:variant>
      <vt:variant>
        <vt:i4>0</vt:i4>
      </vt:variant>
      <vt:variant>
        <vt:i4>5</vt:i4>
      </vt:variant>
      <vt:variant>
        <vt:lpwstr/>
      </vt:variant>
      <vt:variant>
        <vt:lpwstr>_Toc378239738</vt:lpwstr>
      </vt:variant>
      <vt:variant>
        <vt:i4>1572927</vt:i4>
      </vt:variant>
      <vt:variant>
        <vt:i4>167</vt:i4>
      </vt:variant>
      <vt:variant>
        <vt:i4>0</vt:i4>
      </vt:variant>
      <vt:variant>
        <vt:i4>5</vt:i4>
      </vt:variant>
      <vt:variant>
        <vt:lpwstr/>
      </vt:variant>
      <vt:variant>
        <vt:lpwstr>_Toc378239737</vt:lpwstr>
      </vt:variant>
      <vt:variant>
        <vt:i4>1572927</vt:i4>
      </vt:variant>
      <vt:variant>
        <vt:i4>161</vt:i4>
      </vt:variant>
      <vt:variant>
        <vt:i4>0</vt:i4>
      </vt:variant>
      <vt:variant>
        <vt:i4>5</vt:i4>
      </vt:variant>
      <vt:variant>
        <vt:lpwstr/>
      </vt:variant>
      <vt:variant>
        <vt:lpwstr>_Toc378239736</vt:lpwstr>
      </vt:variant>
      <vt:variant>
        <vt:i4>1572927</vt:i4>
      </vt:variant>
      <vt:variant>
        <vt:i4>155</vt:i4>
      </vt:variant>
      <vt:variant>
        <vt:i4>0</vt:i4>
      </vt:variant>
      <vt:variant>
        <vt:i4>5</vt:i4>
      </vt:variant>
      <vt:variant>
        <vt:lpwstr/>
      </vt:variant>
      <vt:variant>
        <vt:lpwstr>_Toc378239735</vt:lpwstr>
      </vt:variant>
      <vt:variant>
        <vt:i4>1572927</vt:i4>
      </vt:variant>
      <vt:variant>
        <vt:i4>149</vt:i4>
      </vt:variant>
      <vt:variant>
        <vt:i4>0</vt:i4>
      </vt:variant>
      <vt:variant>
        <vt:i4>5</vt:i4>
      </vt:variant>
      <vt:variant>
        <vt:lpwstr/>
      </vt:variant>
      <vt:variant>
        <vt:lpwstr>_Toc378239734</vt:lpwstr>
      </vt:variant>
      <vt:variant>
        <vt:i4>1572927</vt:i4>
      </vt:variant>
      <vt:variant>
        <vt:i4>143</vt:i4>
      </vt:variant>
      <vt:variant>
        <vt:i4>0</vt:i4>
      </vt:variant>
      <vt:variant>
        <vt:i4>5</vt:i4>
      </vt:variant>
      <vt:variant>
        <vt:lpwstr/>
      </vt:variant>
      <vt:variant>
        <vt:lpwstr>_Toc378239733</vt:lpwstr>
      </vt:variant>
      <vt:variant>
        <vt:i4>1572927</vt:i4>
      </vt:variant>
      <vt:variant>
        <vt:i4>137</vt:i4>
      </vt:variant>
      <vt:variant>
        <vt:i4>0</vt:i4>
      </vt:variant>
      <vt:variant>
        <vt:i4>5</vt:i4>
      </vt:variant>
      <vt:variant>
        <vt:lpwstr/>
      </vt:variant>
      <vt:variant>
        <vt:lpwstr>_Toc378239732</vt:lpwstr>
      </vt:variant>
      <vt:variant>
        <vt:i4>1572927</vt:i4>
      </vt:variant>
      <vt:variant>
        <vt:i4>131</vt:i4>
      </vt:variant>
      <vt:variant>
        <vt:i4>0</vt:i4>
      </vt:variant>
      <vt:variant>
        <vt:i4>5</vt:i4>
      </vt:variant>
      <vt:variant>
        <vt:lpwstr/>
      </vt:variant>
      <vt:variant>
        <vt:lpwstr>_Toc378239731</vt:lpwstr>
      </vt:variant>
      <vt:variant>
        <vt:i4>1572927</vt:i4>
      </vt:variant>
      <vt:variant>
        <vt:i4>125</vt:i4>
      </vt:variant>
      <vt:variant>
        <vt:i4>0</vt:i4>
      </vt:variant>
      <vt:variant>
        <vt:i4>5</vt:i4>
      </vt:variant>
      <vt:variant>
        <vt:lpwstr/>
      </vt:variant>
      <vt:variant>
        <vt:lpwstr>_Toc378239730</vt:lpwstr>
      </vt:variant>
      <vt:variant>
        <vt:i4>1638463</vt:i4>
      </vt:variant>
      <vt:variant>
        <vt:i4>119</vt:i4>
      </vt:variant>
      <vt:variant>
        <vt:i4>0</vt:i4>
      </vt:variant>
      <vt:variant>
        <vt:i4>5</vt:i4>
      </vt:variant>
      <vt:variant>
        <vt:lpwstr/>
      </vt:variant>
      <vt:variant>
        <vt:lpwstr>_Toc378239729</vt:lpwstr>
      </vt:variant>
      <vt:variant>
        <vt:i4>1638463</vt:i4>
      </vt:variant>
      <vt:variant>
        <vt:i4>113</vt:i4>
      </vt:variant>
      <vt:variant>
        <vt:i4>0</vt:i4>
      </vt:variant>
      <vt:variant>
        <vt:i4>5</vt:i4>
      </vt:variant>
      <vt:variant>
        <vt:lpwstr/>
      </vt:variant>
      <vt:variant>
        <vt:lpwstr>_Toc378239728</vt:lpwstr>
      </vt:variant>
      <vt:variant>
        <vt:i4>1638463</vt:i4>
      </vt:variant>
      <vt:variant>
        <vt:i4>107</vt:i4>
      </vt:variant>
      <vt:variant>
        <vt:i4>0</vt:i4>
      </vt:variant>
      <vt:variant>
        <vt:i4>5</vt:i4>
      </vt:variant>
      <vt:variant>
        <vt:lpwstr/>
      </vt:variant>
      <vt:variant>
        <vt:lpwstr>_Toc378239727</vt:lpwstr>
      </vt:variant>
      <vt:variant>
        <vt:i4>1638463</vt:i4>
      </vt:variant>
      <vt:variant>
        <vt:i4>101</vt:i4>
      </vt:variant>
      <vt:variant>
        <vt:i4>0</vt:i4>
      </vt:variant>
      <vt:variant>
        <vt:i4>5</vt:i4>
      </vt:variant>
      <vt:variant>
        <vt:lpwstr/>
      </vt:variant>
      <vt:variant>
        <vt:lpwstr>_Toc378239726</vt:lpwstr>
      </vt:variant>
      <vt:variant>
        <vt:i4>1638463</vt:i4>
      </vt:variant>
      <vt:variant>
        <vt:i4>95</vt:i4>
      </vt:variant>
      <vt:variant>
        <vt:i4>0</vt:i4>
      </vt:variant>
      <vt:variant>
        <vt:i4>5</vt:i4>
      </vt:variant>
      <vt:variant>
        <vt:lpwstr/>
      </vt:variant>
      <vt:variant>
        <vt:lpwstr>_Toc378239725</vt:lpwstr>
      </vt:variant>
      <vt:variant>
        <vt:i4>1638463</vt:i4>
      </vt:variant>
      <vt:variant>
        <vt:i4>89</vt:i4>
      </vt:variant>
      <vt:variant>
        <vt:i4>0</vt:i4>
      </vt:variant>
      <vt:variant>
        <vt:i4>5</vt:i4>
      </vt:variant>
      <vt:variant>
        <vt:lpwstr/>
      </vt:variant>
      <vt:variant>
        <vt:lpwstr>_Toc378239724</vt:lpwstr>
      </vt:variant>
      <vt:variant>
        <vt:i4>1638463</vt:i4>
      </vt:variant>
      <vt:variant>
        <vt:i4>83</vt:i4>
      </vt:variant>
      <vt:variant>
        <vt:i4>0</vt:i4>
      </vt:variant>
      <vt:variant>
        <vt:i4>5</vt:i4>
      </vt:variant>
      <vt:variant>
        <vt:lpwstr/>
      </vt:variant>
      <vt:variant>
        <vt:lpwstr>_Toc378239723</vt:lpwstr>
      </vt:variant>
      <vt:variant>
        <vt:i4>1638463</vt:i4>
      </vt:variant>
      <vt:variant>
        <vt:i4>77</vt:i4>
      </vt:variant>
      <vt:variant>
        <vt:i4>0</vt:i4>
      </vt:variant>
      <vt:variant>
        <vt:i4>5</vt:i4>
      </vt:variant>
      <vt:variant>
        <vt:lpwstr/>
      </vt:variant>
      <vt:variant>
        <vt:lpwstr>_Toc378239722</vt:lpwstr>
      </vt:variant>
      <vt:variant>
        <vt:i4>1638463</vt:i4>
      </vt:variant>
      <vt:variant>
        <vt:i4>71</vt:i4>
      </vt:variant>
      <vt:variant>
        <vt:i4>0</vt:i4>
      </vt:variant>
      <vt:variant>
        <vt:i4>5</vt:i4>
      </vt:variant>
      <vt:variant>
        <vt:lpwstr/>
      </vt:variant>
      <vt:variant>
        <vt:lpwstr>_Toc378239721</vt:lpwstr>
      </vt:variant>
      <vt:variant>
        <vt:i4>1638463</vt:i4>
      </vt:variant>
      <vt:variant>
        <vt:i4>65</vt:i4>
      </vt:variant>
      <vt:variant>
        <vt:i4>0</vt:i4>
      </vt:variant>
      <vt:variant>
        <vt:i4>5</vt:i4>
      </vt:variant>
      <vt:variant>
        <vt:lpwstr/>
      </vt:variant>
      <vt:variant>
        <vt:lpwstr>_Toc378239720</vt:lpwstr>
      </vt:variant>
      <vt:variant>
        <vt:i4>1703999</vt:i4>
      </vt:variant>
      <vt:variant>
        <vt:i4>59</vt:i4>
      </vt:variant>
      <vt:variant>
        <vt:i4>0</vt:i4>
      </vt:variant>
      <vt:variant>
        <vt:i4>5</vt:i4>
      </vt:variant>
      <vt:variant>
        <vt:lpwstr/>
      </vt:variant>
      <vt:variant>
        <vt:lpwstr>_Toc378239719</vt:lpwstr>
      </vt:variant>
      <vt:variant>
        <vt:i4>1703999</vt:i4>
      </vt:variant>
      <vt:variant>
        <vt:i4>53</vt:i4>
      </vt:variant>
      <vt:variant>
        <vt:i4>0</vt:i4>
      </vt:variant>
      <vt:variant>
        <vt:i4>5</vt:i4>
      </vt:variant>
      <vt:variant>
        <vt:lpwstr/>
      </vt:variant>
      <vt:variant>
        <vt:lpwstr>_Toc378239718</vt:lpwstr>
      </vt:variant>
      <vt:variant>
        <vt:i4>1703999</vt:i4>
      </vt:variant>
      <vt:variant>
        <vt:i4>47</vt:i4>
      </vt:variant>
      <vt:variant>
        <vt:i4>0</vt:i4>
      </vt:variant>
      <vt:variant>
        <vt:i4>5</vt:i4>
      </vt:variant>
      <vt:variant>
        <vt:lpwstr/>
      </vt:variant>
      <vt:variant>
        <vt:lpwstr>_Toc378239717</vt:lpwstr>
      </vt:variant>
      <vt:variant>
        <vt:i4>1703999</vt:i4>
      </vt:variant>
      <vt:variant>
        <vt:i4>41</vt:i4>
      </vt:variant>
      <vt:variant>
        <vt:i4>0</vt:i4>
      </vt:variant>
      <vt:variant>
        <vt:i4>5</vt:i4>
      </vt:variant>
      <vt:variant>
        <vt:lpwstr/>
      </vt:variant>
      <vt:variant>
        <vt:lpwstr>_Toc378239716</vt:lpwstr>
      </vt:variant>
      <vt:variant>
        <vt:i4>1703999</vt:i4>
      </vt:variant>
      <vt:variant>
        <vt:i4>35</vt:i4>
      </vt:variant>
      <vt:variant>
        <vt:i4>0</vt:i4>
      </vt:variant>
      <vt:variant>
        <vt:i4>5</vt:i4>
      </vt:variant>
      <vt:variant>
        <vt:lpwstr/>
      </vt:variant>
      <vt:variant>
        <vt:lpwstr>_Toc378239715</vt:lpwstr>
      </vt:variant>
      <vt:variant>
        <vt:i4>1703999</vt:i4>
      </vt:variant>
      <vt:variant>
        <vt:i4>29</vt:i4>
      </vt:variant>
      <vt:variant>
        <vt:i4>0</vt:i4>
      </vt:variant>
      <vt:variant>
        <vt:i4>5</vt:i4>
      </vt:variant>
      <vt:variant>
        <vt:lpwstr/>
      </vt:variant>
      <vt:variant>
        <vt:lpwstr>_Toc378239714</vt:lpwstr>
      </vt:variant>
      <vt:variant>
        <vt:i4>1703999</vt:i4>
      </vt:variant>
      <vt:variant>
        <vt:i4>23</vt:i4>
      </vt:variant>
      <vt:variant>
        <vt:i4>0</vt:i4>
      </vt:variant>
      <vt:variant>
        <vt:i4>5</vt:i4>
      </vt:variant>
      <vt:variant>
        <vt:lpwstr/>
      </vt:variant>
      <vt:variant>
        <vt:lpwstr>_Toc378239713</vt:lpwstr>
      </vt:variant>
      <vt:variant>
        <vt:i4>1703999</vt:i4>
      </vt:variant>
      <vt:variant>
        <vt:i4>17</vt:i4>
      </vt:variant>
      <vt:variant>
        <vt:i4>0</vt:i4>
      </vt:variant>
      <vt:variant>
        <vt:i4>5</vt:i4>
      </vt:variant>
      <vt:variant>
        <vt:lpwstr/>
      </vt:variant>
      <vt:variant>
        <vt:lpwstr>_Toc378239712</vt:lpwstr>
      </vt:variant>
      <vt:variant>
        <vt:i4>1703999</vt:i4>
      </vt:variant>
      <vt:variant>
        <vt:i4>11</vt:i4>
      </vt:variant>
      <vt:variant>
        <vt:i4>0</vt:i4>
      </vt:variant>
      <vt:variant>
        <vt:i4>5</vt:i4>
      </vt:variant>
      <vt:variant>
        <vt:lpwstr/>
      </vt:variant>
      <vt:variant>
        <vt:lpwstr>_Toc378239711</vt:lpwstr>
      </vt:variant>
      <vt:variant>
        <vt:i4>1703999</vt:i4>
      </vt:variant>
      <vt:variant>
        <vt:i4>5</vt:i4>
      </vt:variant>
      <vt:variant>
        <vt:i4>0</vt:i4>
      </vt:variant>
      <vt:variant>
        <vt:i4>5</vt:i4>
      </vt:variant>
      <vt:variant>
        <vt:lpwstr/>
      </vt:variant>
      <vt:variant>
        <vt:lpwstr>_Toc378239710</vt:lpwstr>
      </vt:variant>
      <vt:variant>
        <vt:i4>852029</vt:i4>
      </vt:variant>
      <vt:variant>
        <vt:i4>0</vt:i4>
      </vt:variant>
      <vt:variant>
        <vt:i4>0</vt:i4>
      </vt:variant>
      <vt:variant>
        <vt:i4>5</vt:i4>
      </vt:variant>
      <vt:variant>
        <vt:lpwstr>mailto:tony.greco@publicaccountants.org.au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 - Design and distribution obligations and product intervention power</dc:title>
  <dc:creator/>
  <cp:lastModifiedBy/>
  <cp:revision>1</cp:revision>
  <dcterms:created xsi:type="dcterms:W3CDTF">2017-11-21T23:28:00Z</dcterms:created>
  <dcterms:modified xsi:type="dcterms:W3CDTF">2017-11-21T23:28:00Z</dcterms:modified>
  <dc:language>English</dc:language>
</cp:coreProperties>
</file>