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65" w:rsidRPr="00620D25" w:rsidRDefault="00B81B65" w:rsidP="005E7AAA">
      <w:pPr>
        <w:pStyle w:val="Title"/>
        <w:rPr>
          <w:b/>
          <w:color w:val="auto"/>
        </w:rPr>
      </w:pPr>
      <w:bookmarkStart w:id="0" w:name="_GoBack"/>
      <w:bookmarkEnd w:id="0"/>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B0461A" w:rsidRDefault="00EF6F1B" w:rsidP="00184FBD">
      <w:pPr>
        <w:pStyle w:val="Title"/>
        <w:rPr>
          <w:b/>
          <w:color w:val="auto"/>
        </w:rPr>
      </w:pPr>
      <w:bookmarkStart w:id="1" w:name="_Toc90808381"/>
      <w:bookmarkStart w:id="2" w:name="_Toc90808817"/>
      <w:bookmarkStart w:id="3" w:name="_Toc90957458"/>
      <w:bookmarkStart w:id="4" w:name="_Toc90977878"/>
      <w:bookmarkStart w:id="5" w:name="_Toc91318581"/>
      <w:bookmarkStart w:id="6" w:name="_Toc91390382"/>
      <w:bookmarkStart w:id="7" w:name="_Toc101073463"/>
      <w:bookmarkStart w:id="8" w:name="_Toc101073686"/>
      <w:bookmarkStart w:id="9" w:name="_Toc101254962"/>
      <w:bookmarkStart w:id="10" w:name="_Toc115841645"/>
      <w:bookmarkStart w:id="11" w:name="_Toc115841910"/>
      <w:bookmarkStart w:id="12" w:name="_Toc116366073"/>
      <w:bookmarkStart w:id="13" w:name="_Toc124925294"/>
      <w:bookmarkStart w:id="14" w:name="_Toc131378785"/>
      <w:r w:rsidRPr="00B0461A">
        <w:rPr>
          <w:b/>
          <w:color w:val="auto"/>
        </w:rPr>
        <w:t xml:space="preserve">Economic outlook for </w:t>
      </w:r>
      <w:bookmarkEnd w:id="1"/>
      <w:bookmarkEnd w:id="2"/>
      <w:bookmarkEnd w:id="3"/>
      <w:bookmarkEnd w:id="4"/>
      <w:bookmarkEnd w:id="5"/>
      <w:bookmarkEnd w:id="6"/>
      <w:bookmarkEnd w:id="7"/>
      <w:bookmarkEnd w:id="8"/>
      <w:bookmarkEnd w:id="9"/>
      <w:bookmarkEnd w:id="10"/>
      <w:bookmarkEnd w:id="11"/>
      <w:bookmarkEnd w:id="12"/>
      <w:bookmarkEnd w:id="13"/>
      <w:bookmarkEnd w:id="14"/>
      <w:r w:rsidR="00CD56CB">
        <w:rPr>
          <w:b/>
          <w:color w:val="auto"/>
        </w:rPr>
        <w:t>2011-12</w:t>
      </w:r>
      <w:r w:rsidR="004E1829" w:rsidRPr="00B0461A">
        <w:rPr>
          <w:b/>
          <w:color w:val="auto"/>
        </w:rPr>
        <w:t xml:space="preserve"> and 201</w:t>
      </w:r>
      <w:r w:rsidR="00CD56CB">
        <w:rPr>
          <w:b/>
          <w:color w:val="auto"/>
        </w:rPr>
        <w:t>2</w:t>
      </w:r>
      <w:r w:rsidR="004E1829" w:rsidRPr="00B0461A">
        <w:rPr>
          <w:b/>
          <w:color w:val="auto"/>
        </w:rPr>
        <w:t>-1</w:t>
      </w:r>
      <w:r w:rsidR="00CD56CB">
        <w:rPr>
          <w:b/>
          <w:color w:val="auto"/>
        </w:rPr>
        <w:t>3</w:t>
      </w:r>
    </w:p>
    <w:p w:rsidR="00D86180" w:rsidRPr="00B0461A" w:rsidRDefault="009318E3" w:rsidP="00184FBD">
      <w:pPr>
        <w:pStyle w:val="Title"/>
        <w:rPr>
          <w:b/>
          <w:color w:val="auto"/>
        </w:rPr>
      </w:pPr>
      <w:bookmarkStart w:id="15" w:name="_Toc115841647"/>
      <w:bookmarkStart w:id="16" w:name="_Toc115841912"/>
      <w:bookmarkStart w:id="17" w:name="_Toc116366075"/>
      <w:bookmarkStart w:id="18" w:name="_Toc124925296"/>
      <w:bookmarkStart w:id="19" w:name="_Toc131378787"/>
      <w:r>
        <w:rPr>
          <w:b/>
          <w:color w:val="auto"/>
        </w:rPr>
        <w:t>Sept</w:t>
      </w:r>
      <w:r w:rsidR="00AD0EC7">
        <w:rPr>
          <w:b/>
          <w:color w:val="auto"/>
        </w:rPr>
        <w:t>ember</w:t>
      </w:r>
      <w:r w:rsidR="00CD56CB">
        <w:rPr>
          <w:b/>
          <w:color w:val="auto"/>
        </w:rPr>
        <w:t xml:space="preserve"> </w:t>
      </w:r>
      <w:r w:rsidR="00C960F2">
        <w:rPr>
          <w:b/>
          <w:color w:val="auto"/>
        </w:rPr>
        <w:t>2011</w:t>
      </w:r>
    </w:p>
    <w:p w:rsidR="00C825B7" w:rsidRPr="00FB09F4" w:rsidRDefault="00EF6F1B" w:rsidP="00184FBD">
      <w:pPr>
        <w:pStyle w:val="Title"/>
        <w:rPr>
          <w:color w:val="auto"/>
          <w:sz w:val="24"/>
          <w:szCs w:val="24"/>
        </w:rPr>
      </w:pPr>
      <w:bookmarkStart w:id="20" w:name="_Toc185499305"/>
      <w:r w:rsidRPr="00FB09F4">
        <w:rPr>
          <w:color w:val="auto"/>
          <w:sz w:val="24"/>
          <w:szCs w:val="24"/>
        </w:rPr>
        <w:t>(</w:t>
      </w:r>
      <w:r w:rsidR="00804C8B" w:rsidRPr="00FB09F4">
        <w:rPr>
          <w:color w:val="auto"/>
          <w:sz w:val="24"/>
          <w:szCs w:val="24"/>
        </w:rPr>
        <w:t>t</w:t>
      </w:r>
      <w:r w:rsidRPr="00FB09F4">
        <w:rPr>
          <w:color w:val="auto"/>
          <w:sz w:val="24"/>
          <w:szCs w:val="24"/>
        </w:rPr>
        <w:t>his report incorpora</w:t>
      </w:r>
      <w:r w:rsidR="001A4888" w:rsidRPr="00FB09F4">
        <w:rPr>
          <w:color w:val="auto"/>
          <w:sz w:val="24"/>
          <w:szCs w:val="24"/>
        </w:rPr>
        <w:t xml:space="preserve">tes </w:t>
      </w:r>
      <w:r w:rsidR="008A69FA" w:rsidRPr="00FB09F4">
        <w:rPr>
          <w:color w:val="auto"/>
          <w:sz w:val="24"/>
          <w:szCs w:val="24"/>
        </w:rPr>
        <w:t xml:space="preserve">domestic </w:t>
      </w:r>
      <w:r w:rsidR="009137A4" w:rsidRPr="00FB09F4">
        <w:rPr>
          <w:color w:val="auto"/>
          <w:sz w:val="24"/>
          <w:szCs w:val="24"/>
        </w:rPr>
        <w:t xml:space="preserve">and international </w:t>
      </w:r>
      <w:r w:rsidR="001A4888" w:rsidRPr="00FB09F4">
        <w:rPr>
          <w:color w:val="auto"/>
          <w:sz w:val="24"/>
          <w:szCs w:val="24"/>
        </w:rPr>
        <w:t>data released up</w:t>
      </w:r>
      <w:r w:rsidR="000510A0" w:rsidRPr="00FB09F4">
        <w:rPr>
          <w:color w:val="auto"/>
          <w:sz w:val="24"/>
          <w:szCs w:val="24"/>
        </w:rPr>
        <w:t xml:space="preserve"> </w:t>
      </w:r>
      <w:r w:rsidR="00234D4B" w:rsidRPr="00FB09F4">
        <w:rPr>
          <w:color w:val="auto"/>
          <w:sz w:val="24"/>
          <w:szCs w:val="24"/>
        </w:rPr>
        <w:t xml:space="preserve">to </w:t>
      </w:r>
      <w:bookmarkStart w:id="21" w:name="OLE_LINK8"/>
      <w:bookmarkStart w:id="22" w:name="OLE_LINK9"/>
      <w:r w:rsidR="00E72B47" w:rsidRPr="00FB09F4">
        <w:rPr>
          <w:color w:val="auto"/>
          <w:sz w:val="24"/>
          <w:szCs w:val="24"/>
        </w:rPr>
        <w:br/>
      </w:r>
      <w:r w:rsidR="009318E3">
        <w:rPr>
          <w:color w:val="auto"/>
          <w:sz w:val="24"/>
          <w:szCs w:val="24"/>
        </w:rPr>
        <w:t>2</w:t>
      </w:r>
      <w:r w:rsidR="00D52E88">
        <w:rPr>
          <w:color w:val="auto"/>
          <w:sz w:val="24"/>
          <w:szCs w:val="24"/>
        </w:rPr>
        <w:t>3</w:t>
      </w:r>
      <w:r w:rsidR="00E72B47" w:rsidRPr="00FB09F4">
        <w:rPr>
          <w:color w:val="auto"/>
          <w:sz w:val="24"/>
          <w:szCs w:val="24"/>
        </w:rPr>
        <w:t xml:space="preserve"> </w:t>
      </w:r>
      <w:r w:rsidR="009318E3">
        <w:rPr>
          <w:color w:val="auto"/>
          <w:sz w:val="24"/>
          <w:szCs w:val="24"/>
        </w:rPr>
        <w:t>September</w:t>
      </w:r>
      <w:r w:rsidR="008043A8" w:rsidRPr="00FB09F4">
        <w:rPr>
          <w:color w:val="auto"/>
          <w:sz w:val="24"/>
          <w:szCs w:val="24"/>
        </w:rPr>
        <w:t xml:space="preserve"> </w:t>
      </w:r>
      <w:r w:rsidR="000510A0" w:rsidRPr="00FB09F4">
        <w:rPr>
          <w:color w:val="auto"/>
          <w:sz w:val="24"/>
          <w:szCs w:val="24"/>
        </w:rPr>
        <w:t>20</w:t>
      </w:r>
      <w:bookmarkEnd w:id="21"/>
      <w:bookmarkEnd w:id="22"/>
      <w:r w:rsidR="00C960F2">
        <w:rPr>
          <w:color w:val="auto"/>
          <w:sz w:val="24"/>
          <w:szCs w:val="24"/>
        </w:rPr>
        <w:t>11</w:t>
      </w:r>
      <w:r w:rsidRPr="00FB09F4">
        <w:rPr>
          <w:color w:val="auto"/>
          <w:sz w:val="24"/>
          <w:szCs w:val="24"/>
        </w:rPr>
        <w:t>)</w:t>
      </w:r>
      <w:bookmarkEnd w:id="15"/>
      <w:bookmarkEnd w:id="16"/>
      <w:bookmarkEnd w:id="17"/>
      <w:bookmarkEnd w:id="18"/>
      <w:bookmarkEnd w:id="19"/>
      <w:bookmarkEnd w:id="20"/>
    </w:p>
    <w:p w:rsidR="00193482" w:rsidRDefault="00A8671C" w:rsidP="00C1152F">
      <w:pPr>
        <w:pStyle w:val="TOC3"/>
        <w:rPr>
          <w:rFonts w:asciiTheme="minorHAnsi" w:eastAsiaTheme="minorEastAsia" w:hAnsiTheme="minorHAnsi" w:cstheme="minorBidi"/>
          <w:sz w:val="22"/>
          <w:szCs w:val="22"/>
          <w:lang w:eastAsia="en-AU"/>
        </w:rPr>
      </w:pPr>
      <w:r w:rsidRPr="003344B0">
        <w:rPr>
          <w:highlight w:val="yellow"/>
        </w:rPr>
        <w:br w:type="page"/>
      </w:r>
      <w:r w:rsidR="004D4273" w:rsidRPr="003344B0">
        <w:rPr>
          <w:highlight w:val="yellow"/>
        </w:rPr>
        <w:lastRenderedPageBreak/>
        <w:fldChar w:fldCharType="begin"/>
      </w:r>
      <w:r w:rsidR="00C825B7" w:rsidRPr="003344B0">
        <w:rPr>
          <w:highlight w:val="yellow"/>
        </w:rPr>
        <w:instrText xml:space="preserve"> TOC \o "1-4" \h \z \u </w:instrText>
      </w:r>
      <w:r w:rsidR="004D4273" w:rsidRPr="003344B0">
        <w:rPr>
          <w:highlight w:val="yellow"/>
        </w:rPr>
        <w:fldChar w:fldCharType="separate"/>
      </w:r>
      <w:hyperlink w:anchor="_Toc304990761" w:history="1">
        <w:r w:rsidR="00193482" w:rsidRPr="00CA2CB3">
          <w:rPr>
            <w:rStyle w:val="Hyperlink"/>
          </w:rPr>
          <w:t>Overview</w:t>
        </w:r>
        <w:r w:rsidR="00193482">
          <w:rPr>
            <w:webHidden/>
          </w:rPr>
          <w:tab/>
        </w:r>
        <w:r w:rsidR="00193482">
          <w:rPr>
            <w:webHidden/>
          </w:rPr>
          <w:fldChar w:fldCharType="begin"/>
        </w:r>
        <w:r w:rsidR="00193482">
          <w:rPr>
            <w:webHidden/>
          </w:rPr>
          <w:instrText xml:space="preserve"> PAGEREF _Toc304990761 \h </w:instrText>
        </w:r>
        <w:r w:rsidR="00193482">
          <w:rPr>
            <w:webHidden/>
          </w:rPr>
        </w:r>
        <w:r w:rsidR="00193482">
          <w:rPr>
            <w:webHidden/>
          </w:rPr>
          <w:fldChar w:fldCharType="separate"/>
        </w:r>
        <w:r w:rsidR="007A6D88">
          <w:rPr>
            <w:webHidden/>
          </w:rPr>
          <w:t>3</w:t>
        </w:r>
        <w:r w:rsidR="00193482">
          <w:rPr>
            <w:webHidden/>
          </w:rPr>
          <w:fldChar w:fldCharType="end"/>
        </w:r>
      </w:hyperlink>
    </w:p>
    <w:p w:rsidR="00193482" w:rsidRDefault="005649F8" w:rsidP="00C1152F">
      <w:pPr>
        <w:pStyle w:val="TOC3"/>
        <w:rPr>
          <w:rFonts w:asciiTheme="minorHAnsi" w:eastAsiaTheme="minorEastAsia" w:hAnsiTheme="minorHAnsi" w:cstheme="minorBidi"/>
          <w:sz w:val="22"/>
          <w:szCs w:val="22"/>
          <w:lang w:eastAsia="en-AU"/>
        </w:rPr>
      </w:pPr>
      <w:hyperlink w:anchor="_Toc304990762" w:history="1">
        <w:r w:rsidR="00193482" w:rsidRPr="00CA2CB3">
          <w:rPr>
            <w:rStyle w:val="Hyperlink"/>
          </w:rPr>
          <w:t>Outlook for the domestic economy</w:t>
        </w:r>
        <w:r w:rsidR="00193482">
          <w:rPr>
            <w:webHidden/>
          </w:rPr>
          <w:tab/>
        </w:r>
        <w:r w:rsidR="00193482">
          <w:rPr>
            <w:webHidden/>
          </w:rPr>
          <w:fldChar w:fldCharType="begin"/>
        </w:r>
        <w:r w:rsidR="00193482">
          <w:rPr>
            <w:webHidden/>
          </w:rPr>
          <w:instrText xml:space="preserve"> PAGEREF _Toc304990762 \h </w:instrText>
        </w:r>
        <w:r w:rsidR="00193482">
          <w:rPr>
            <w:webHidden/>
          </w:rPr>
        </w:r>
        <w:r w:rsidR="00193482">
          <w:rPr>
            <w:webHidden/>
          </w:rPr>
          <w:fldChar w:fldCharType="separate"/>
        </w:r>
        <w:r w:rsidR="007A6D88">
          <w:rPr>
            <w:webHidden/>
          </w:rPr>
          <w:t>8</w:t>
        </w:r>
        <w:r w:rsidR="00193482">
          <w:rPr>
            <w:webHidden/>
          </w:rPr>
          <w:fldChar w:fldCharType="end"/>
        </w:r>
      </w:hyperlink>
    </w:p>
    <w:p w:rsidR="00193482" w:rsidRDefault="005649F8">
      <w:pPr>
        <w:pStyle w:val="TOC4"/>
        <w:rPr>
          <w:rFonts w:asciiTheme="minorHAnsi" w:eastAsiaTheme="minorEastAsia" w:hAnsiTheme="minorHAnsi" w:cstheme="minorBidi"/>
          <w:i w:val="0"/>
          <w:sz w:val="22"/>
          <w:szCs w:val="22"/>
          <w:lang w:eastAsia="en-AU"/>
        </w:rPr>
      </w:pPr>
      <w:hyperlink w:anchor="_Toc304990763" w:history="1">
        <w:r w:rsidR="00193482" w:rsidRPr="00CA2CB3">
          <w:rPr>
            <w:rStyle w:val="Hyperlink"/>
          </w:rPr>
          <w:t>Household consumption</w:t>
        </w:r>
        <w:r w:rsidR="00193482">
          <w:rPr>
            <w:webHidden/>
          </w:rPr>
          <w:tab/>
        </w:r>
        <w:r w:rsidR="00193482">
          <w:rPr>
            <w:webHidden/>
          </w:rPr>
          <w:fldChar w:fldCharType="begin"/>
        </w:r>
        <w:r w:rsidR="00193482">
          <w:rPr>
            <w:webHidden/>
          </w:rPr>
          <w:instrText xml:space="preserve"> PAGEREF _Toc304990763 \h </w:instrText>
        </w:r>
        <w:r w:rsidR="00193482">
          <w:rPr>
            <w:webHidden/>
          </w:rPr>
        </w:r>
        <w:r w:rsidR="00193482">
          <w:rPr>
            <w:webHidden/>
          </w:rPr>
          <w:fldChar w:fldCharType="separate"/>
        </w:r>
        <w:r w:rsidR="007A6D88">
          <w:rPr>
            <w:webHidden/>
          </w:rPr>
          <w:t>8</w:t>
        </w:r>
        <w:r w:rsidR="00193482">
          <w:rPr>
            <w:webHidden/>
          </w:rPr>
          <w:fldChar w:fldCharType="end"/>
        </w:r>
      </w:hyperlink>
    </w:p>
    <w:p w:rsidR="00193482" w:rsidRDefault="005649F8">
      <w:pPr>
        <w:pStyle w:val="TOC4"/>
        <w:rPr>
          <w:rFonts w:asciiTheme="minorHAnsi" w:eastAsiaTheme="minorEastAsia" w:hAnsiTheme="minorHAnsi" w:cstheme="minorBidi"/>
          <w:i w:val="0"/>
          <w:sz w:val="22"/>
          <w:szCs w:val="22"/>
          <w:lang w:eastAsia="en-AU"/>
        </w:rPr>
      </w:pPr>
      <w:hyperlink w:anchor="_Toc304990764" w:history="1">
        <w:r w:rsidR="00193482" w:rsidRPr="00CA2CB3">
          <w:rPr>
            <w:rStyle w:val="Hyperlink"/>
          </w:rPr>
          <w:t>Dwelling investment</w:t>
        </w:r>
        <w:r w:rsidR="00193482">
          <w:rPr>
            <w:webHidden/>
          </w:rPr>
          <w:tab/>
        </w:r>
        <w:r w:rsidR="00193482">
          <w:rPr>
            <w:webHidden/>
          </w:rPr>
          <w:fldChar w:fldCharType="begin"/>
        </w:r>
        <w:r w:rsidR="00193482">
          <w:rPr>
            <w:webHidden/>
          </w:rPr>
          <w:instrText xml:space="preserve"> PAGEREF _Toc304990764 \h </w:instrText>
        </w:r>
        <w:r w:rsidR="00193482">
          <w:rPr>
            <w:webHidden/>
          </w:rPr>
        </w:r>
        <w:r w:rsidR="00193482">
          <w:rPr>
            <w:webHidden/>
          </w:rPr>
          <w:fldChar w:fldCharType="separate"/>
        </w:r>
        <w:r w:rsidR="007A6D88">
          <w:rPr>
            <w:webHidden/>
          </w:rPr>
          <w:t>9</w:t>
        </w:r>
        <w:r w:rsidR="00193482">
          <w:rPr>
            <w:webHidden/>
          </w:rPr>
          <w:fldChar w:fldCharType="end"/>
        </w:r>
      </w:hyperlink>
    </w:p>
    <w:p w:rsidR="00193482" w:rsidRDefault="005649F8">
      <w:pPr>
        <w:pStyle w:val="TOC4"/>
        <w:rPr>
          <w:rFonts w:asciiTheme="minorHAnsi" w:eastAsiaTheme="minorEastAsia" w:hAnsiTheme="minorHAnsi" w:cstheme="minorBidi"/>
          <w:i w:val="0"/>
          <w:sz w:val="22"/>
          <w:szCs w:val="22"/>
          <w:lang w:eastAsia="en-AU"/>
        </w:rPr>
      </w:pPr>
      <w:hyperlink w:anchor="_Toc304990765" w:history="1">
        <w:r w:rsidR="00193482" w:rsidRPr="00CA2CB3">
          <w:rPr>
            <w:rStyle w:val="Hyperlink"/>
          </w:rPr>
          <w:t>Business investment</w:t>
        </w:r>
        <w:r w:rsidR="00193482">
          <w:rPr>
            <w:webHidden/>
          </w:rPr>
          <w:tab/>
        </w:r>
        <w:r w:rsidR="00193482">
          <w:rPr>
            <w:webHidden/>
          </w:rPr>
          <w:fldChar w:fldCharType="begin"/>
        </w:r>
        <w:r w:rsidR="00193482">
          <w:rPr>
            <w:webHidden/>
          </w:rPr>
          <w:instrText xml:space="preserve"> PAGEREF _Toc304990765 \h </w:instrText>
        </w:r>
        <w:r w:rsidR="00193482">
          <w:rPr>
            <w:webHidden/>
          </w:rPr>
        </w:r>
        <w:r w:rsidR="00193482">
          <w:rPr>
            <w:webHidden/>
          </w:rPr>
          <w:fldChar w:fldCharType="separate"/>
        </w:r>
        <w:r w:rsidR="007A6D88">
          <w:rPr>
            <w:webHidden/>
          </w:rPr>
          <w:t>9</w:t>
        </w:r>
        <w:r w:rsidR="00193482">
          <w:rPr>
            <w:webHidden/>
          </w:rPr>
          <w:fldChar w:fldCharType="end"/>
        </w:r>
      </w:hyperlink>
    </w:p>
    <w:p w:rsidR="00193482" w:rsidRDefault="005649F8">
      <w:pPr>
        <w:pStyle w:val="TOC4"/>
        <w:rPr>
          <w:rFonts w:asciiTheme="minorHAnsi" w:eastAsiaTheme="minorEastAsia" w:hAnsiTheme="minorHAnsi" w:cstheme="minorBidi"/>
          <w:i w:val="0"/>
          <w:sz w:val="22"/>
          <w:szCs w:val="22"/>
          <w:lang w:eastAsia="en-AU"/>
        </w:rPr>
      </w:pPr>
      <w:hyperlink w:anchor="_Toc304990766" w:history="1">
        <w:r w:rsidR="00193482" w:rsidRPr="00CA2CB3">
          <w:rPr>
            <w:rStyle w:val="Hyperlink"/>
          </w:rPr>
          <w:t>Public final demand</w:t>
        </w:r>
        <w:r w:rsidR="00193482">
          <w:rPr>
            <w:webHidden/>
          </w:rPr>
          <w:tab/>
        </w:r>
        <w:r w:rsidR="00193482">
          <w:rPr>
            <w:webHidden/>
          </w:rPr>
          <w:fldChar w:fldCharType="begin"/>
        </w:r>
        <w:r w:rsidR="00193482">
          <w:rPr>
            <w:webHidden/>
          </w:rPr>
          <w:instrText xml:space="preserve"> PAGEREF _Toc304990766 \h </w:instrText>
        </w:r>
        <w:r w:rsidR="00193482">
          <w:rPr>
            <w:webHidden/>
          </w:rPr>
        </w:r>
        <w:r w:rsidR="00193482">
          <w:rPr>
            <w:webHidden/>
          </w:rPr>
          <w:fldChar w:fldCharType="separate"/>
        </w:r>
        <w:r w:rsidR="007A6D88">
          <w:rPr>
            <w:webHidden/>
          </w:rPr>
          <w:t>11</w:t>
        </w:r>
        <w:r w:rsidR="00193482">
          <w:rPr>
            <w:webHidden/>
          </w:rPr>
          <w:fldChar w:fldCharType="end"/>
        </w:r>
      </w:hyperlink>
    </w:p>
    <w:p w:rsidR="00193482" w:rsidRDefault="005649F8">
      <w:pPr>
        <w:pStyle w:val="TOC4"/>
        <w:rPr>
          <w:rFonts w:asciiTheme="minorHAnsi" w:eastAsiaTheme="minorEastAsia" w:hAnsiTheme="minorHAnsi" w:cstheme="minorBidi"/>
          <w:i w:val="0"/>
          <w:sz w:val="22"/>
          <w:szCs w:val="22"/>
          <w:lang w:eastAsia="en-AU"/>
        </w:rPr>
      </w:pPr>
      <w:hyperlink w:anchor="_Toc304990767" w:history="1">
        <w:r w:rsidR="00193482" w:rsidRPr="00CA2CB3">
          <w:rPr>
            <w:rStyle w:val="Hyperlink"/>
          </w:rPr>
          <w:t>Exports, imports and the current account balance</w:t>
        </w:r>
        <w:r w:rsidR="00193482">
          <w:rPr>
            <w:webHidden/>
          </w:rPr>
          <w:tab/>
        </w:r>
        <w:r w:rsidR="00193482">
          <w:rPr>
            <w:webHidden/>
          </w:rPr>
          <w:fldChar w:fldCharType="begin"/>
        </w:r>
        <w:r w:rsidR="00193482">
          <w:rPr>
            <w:webHidden/>
          </w:rPr>
          <w:instrText xml:space="preserve"> PAGEREF _Toc304990767 \h </w:instrText>
        </w:r>
        <w:r w:rsidR="00193482">
          <w:rPr>
            <w:webHidden/>
          </w:rPr>
        </w:r>
        <w:r w:rsidR="00193482">
          <w:rPr>
            <w:webHidden/>
          </w:rPr>
          <w:fldChar w:fldCharType="separate"/>
        </w:r>
        <w:r w:rsidR="007A6D88">
          <w:rPr>
            <w:webHidden/>
          </w:rPr>
          <w:t>12</w:t>
        </w:r>
        <w:r w:rsidR="00193482">
          <w:rPr>
            <w:webHidden/>
          </w:rPr>
          <w:fldChar w:fldCharType="end"/>
        </w:r>
      </w:hyperlink>
    </w:p>
    <w:p w:rsidR="00193482" w:rsidRDefault="005649F8">
      <w:pPr>
        <w:pStyle w:val="TOC4"/>
        <w:rPr>
          <w:rFonts w:asciiTheme="minorHAnsi" w:eastAsiaTheme="minorEastAsia" w:hAnsiTheme="minorHAnsi" w:cstheme="minorBidi"/>
          <w:i w:val="0"/>
          <w:sz w:val="22"/>
          <w:szCs w:val="22"/>
          <w:lang w:eastAsia="en-AU"/>
        </w:rPr>
      </w:pPr>
      <w:hyperlink w:anchor="_Toc304990768" w:history="1">
        <w:r w:rsidR="00193482" w:rsidRPr="00CA2CB3">
          <w:rPr>
            <w:rStyle w:val="Hyperlink"/>
          </w:rPr>
          <w:t>Employment, wages and inflation</w:t>
        </w:r>
        <w:r w:rsidR="00193482">
          <w:rPr>
            <w:webHidden/>
          </w:rPr>
          <w:tab/>
        </w:r>
        <w:r w:rsidR="00193482">
          <w:rPr>
            <w:webHidden/>
          </w:rPr>
          <w:fldChar w:fldCharType="begin"/>
        </w:r>
        <w:r w:rsidR="00193482">
          <w:rPr>
            <w:webHidden/>
          </w:rPr>
          <w:instrText xml:space="preserve"> PAGEREF _Toc304990768 \h </w:instrText>
        </w:r>
        <w:r w:rsidR="00193482">
          <w:rPr>
            <w:webHidden/>
          </w:rPr>
        </w:r>
        <w:r w:rsidR="00193482">
          <w:rPr>
            <w:webHidden/>
          </w:rPr>
          <w:fldChar w:fldCharType="separate"/>
        </w:r>
        <w:r w:rsidR="007A6D88">
          <w:rPr>
            <w:webHidden/>
          </w:rPr>
          <w:t>13</w:t>
        </w:r>
        <w:r w:rsidR="00193482">
          <w:rPr>
            <w:webHidden/>
          </w:rPr>
          <w:fldChar w:fldCharType="end"/>
        </w:r>
      </w:hyperlink>
    </w:p>
    <w:p w:rsidR="00193482" w:rsidRDefault="005649F8" w:rsidP="00C1152F">
      <w:pPr>
        <w:pStyle w:val="TOC3"/>
        <w:rPr>
          <w:rFonts w:asciiTheme="minorHAnsi" w:eastAsiaTheme="minorEastAsia" w:hAnsiTheme="minorHAnsi" w:cstheme="minorBidi"/>
          <w:sz w:val="22"/>
          <w:szCs w:val="22"/>
          <w:lang w:eastAsia="en-AU"/>
        </w:rPr>
      </w:pPr>
      <w:hyperlink w:anchor="_Toc304990769" w:history="1">
        <w:r w:rsidR="00193482" w:rsidRPr="00CA2CB3">
          <w:rPr>
            <w:rStyle w:val="Hyperlink"/>
          </w:rPr>
          <w:t>Outlook for the international economy</w:t>
        </w:r>
        <w:r w:rsidR="00193482">
          <w:rPr>
            <w:webHidden/>
          </w:rPr>
          <w:tab/>
        </w:r>
        <w:r w:rsidR="00193482">
          <w:rPr>
            <w:webHidden/>
          </w:rPr>
          <w:fldChar w:fldCharType="begin"/>
        </w:r>
        <w:r w:rsidR="00193482">
          <w:rPr>
            <w:webHidden/>
          </w:rPr>
          <w:instrText xml:space="preserve"> PAGEREF _Toc304990769 \h </w:instrText>
        </w:r>
        <w:r w:rsidR="00193482">
          <w:rPr>
            <w:webHidden/>
          </w:rPr>
        </w:r>
        <w:r w:rsidR="00193482">
          <w:rPr>
            <w:webHidden/>
          </w:rPr>
          <w:fldChar w:fldCharType="separate"/>
        </w:r>
        <w:r w:rsidR="007A6D88">
          <w:rPr>
            <w:webHidden/>
          </w:rPr>
          <w:t>16</w:t>
        </w:r>
        <w:r w:rsidR="00193482">
          <w:rPr>
            <w:webHidden/>
          </w:rPr>
          <w:fldChar w:fldCharType="end"/>
        </w:r>
      </w:hyperlink>
    </w:p>
    <w:p w:rsidR="00193482" w:rsidRDefault="005649F8">
      <w:pPr>
        <w:pStyle w:val="TOC4"/>
        <w:rPr>
          <w:rFonts w:asciiTheme="minorHAnsi" w:eastAsiaTheme="minorEastAsia" w:hAnsiTheme="minorHAnsi" w:cstheme="minorBidi"/>
          <w:i w:val="0"/>
          <w:sz w:val="22"/>
          <w:szCs w:val="22"/>
          <w:lang w:eastAsia="en-AU"/>
        </w:rPr>
      </w:pPr>
      <w:hyperlink w:anchor="_Toc304990770" w:history="1">
        <w:r w:rsidR="00193482" w:rsidRPr="00CA2CB3">
          <w:rPr>
            <w:rStyle w:val="Hyperlink"/>
          </w:rPr>
          <w:t>World outlook and risks</w:t>
        </w:r>
        <w:r w:rsidR="00193482">
          <w:rPr>
            <w:webHidden/>
          </w:rPr>
          <w:tab/>
        </w:r>
        <w:r w:rsidR="00193482">
          <w:rPr>
            <w:webHidden/>
          </w:rPr>
          <w:fldChar w:fldCharType="begin"/>
        </w:r>
        <w:r w:rsidR="00193482">
          <w:rPr>
            <w:webHidden/>
          </w:rPr>
          <w:instrText xml:space="preserve"> PAGEREF _Toc304990770 \h </w:instrText>
        </w:r>
        <w:r w:rsidR="00193482">
          <w:rPr>
            <w:webHidden/>
          </w:rPr>
        </w:r>
        <w:r w:rsidR="00193482">
          <w:rPr>
            <w:webHidden/>
          </w:rPr>
          <w:fldChar w:fldCharType="separate"/>
        </w:r>
        <w:r w:rsidR="007A6D88">
          <w:rPr>
            <w:webHidden/>
          </w:rPr>
          <w:t>16</w:t>
        </w:r>
        <w:r w:rsidR="00193482">
          <w:rPr>
            <w:webHidden/>
          </w:rPr>
          <w:fldChar w:fldCharType="end"/>
        </w:r>
      </w:hyperlink>
    </w:p>
    <w:p w:rsidR="00193482" w:rsidRDefault="005649F8">
      <w:pPr>
        <w:pStyle w:val="TOC4"/>
        <w:rPr>
          <w:rFonts w:asciiTheme="minorHAnsi" w:eastAsiaTheme="minorEastAsia" w:hAnsiTheme="minorHAnsi" w:cstheme="minorBidi"/>
          <w:i w:val="0"/>
          <w:sz w:val="22"/>
          <w:szCs w:val="22"/>
          <w:lang w:eastAsia="en-AU"/>
        </w:rPr>
      </w:pPr>
      <w:hyperlink w:anchor="_Toc304990771" w:history="1">
        <w:r w:rsidR="00193482" w:rsidRPr="00CA2CB3">
          <w:rPr>
            <w:rStyle w:val="Hyperlink"/>
          </w:rPr>
          <w:t>Country summaries</w:t>
        </w:r>
        <w:r w:rsidR="00193482">
          <w:rPr>
            <w:webHidden/>
          </w:rPr>
          <w:tab/>
        </w:r>
        <w:r w:rsidR="00193482">
          <w:rPr>
            <w:webHidden/>
          </w:rPr>
          <w:fldChar w:fldCharType="begin"/>
        </w:r>
        <w:r w:rsidR="00193482">
          <w:rPr>
            <w:webHidden/>
          </w:rPr>
          <w:instrText xml:space="preserve"> PAGEREF _Toc304990771 \h </w:instrText>
        </w:r>
        <w:r w:rsidR="00193482">
          <w:rPr>
            <w:webHidden/>
          </w:rPr>
        </w:r>
        <w:r w:rsidR="00193482">
          <w:rPr>
            <w:webHidden/>
          </w:rPr>
          <w:fldChar w:fldCharType="separate"/>
        </w:r>
        <w:r w:rsidR="007A6D88">
          <w:rPr>
            <w:webHidden/>
          </w:rPr>
          <w:t>18</w:t>
        </w:r>
        <w:r w:rsidR="00193482">
          <w:rPr>
            <w:webHidden/>
          </w:rPr>
          <w:fldChar w:fldCharType="end"/>
        </w:r>
      </w:hyperlink>
    </w:p>
    <w:p w:rsidR="00193482" w:rsidRDefault="005649F8" w:rsidP="00C1152F">
      <w:pPr>
        <w:pStyle w:val="TOC3"/>
        <w:rPr>
          <w:rFonts w:asciiTheme="minorHAnsi" w:eastAsiaTheme="minorEastAsia" w:hAnsiTheme="minorHAnsi" w:cstheme="minorBidi"/>
          <w:sz w:val="22"/>
          <w:szCs w:val="22"/>
          <w:lang w:eastAsia="en-AU"/>
        </w:rPr>
      </w:pPr>
      <w:hyperlink w:anchor="_Toc304990772" w:history="1">
        <w:r w:rsidR="00193482" w:rsidRPr="00CA2CB3">
          <w:rPr>
            <w:rStyle w:val="Hyperlink"/>
          </w:rPr>
          <w:t>Attachment A: Forecast Growth in Nominal GDP</w:t>
        </w:r>
        <w:r w:rsidR="00193482">
          <w:rPr>
            <w:webHidden/>
          </w:rPr>
          <w:tab/>
        </w:r>
        <w:r w:rsidR="00193482">
          <w:rPr>
            <w:webHidden/>
          </w:rPr>
          <w:fldChar w:fldCharType="begin"/>
        </w:r>
        <w:r w:rsidR="00193482">
          <w:rPr>
            <w:webHidden/>
          </w:rPr>
          <w:instrText xml:space="preserve"> PAGEREF _Toc304990772 \h </w:instrText>
        </w:r>
        <w:r w:rsidR="00193482">
          <w:rPr>
            <w:webHidden/>
          </w:rPr>
        </w:r>
        <w:r w:rsidR="00193482">
          <w:rPr>
            <w:webHidden/>
          </w:rPr>
          <w:fldChar w:fldCharType="separate"/>
        </w:r>
        <w:r w:rsidR="007A6D88">
          <w:rPr>
            <w:webHidden/>
          </w:rPr>
          <w:t>21</w:t>
        </w:r>
        <w:r w:rsidR="00193482">
          <w:rPr>
            <w:webHidden/>
          </w:rPr>
          <w:fldChar w:fldCharType="end"/>
        </w:r>
      </w:hyperlink>
    </w:p>
    <w:p w:rsidR="007956D3" w:rsidRPr="00C1152F" w:rsidRDefault="004D4273" w:rsidP="00C1152F">
      <w:pPr>
        <w:pStyle w:val="TOC3"/>
        <w:rPr>
          <w:rStyle w:val="Hyperlink"/>
          <w:color w:val="auto"/>
        </w:rPr>
      </w:pPr>
      <w:r w:rsidRPr="003344B0">
        <w:rPr>
          <w:highlight w:val="yellow"/>
        </w:rPr>
        <w:fldChar w:fldCharType="end"/>
      </w:r>
    </w:p>
    <w:p w:rsidR="005964C3" w:rsidRDefault="005964C3" w:rsidP="00A16F7F">
      <w:pPr>
        <w:pStyle w:val="Title"/>
        <w:outlineLvl w:val="0"/>
        <w:rPr>
          <w:b/>
          <w:color w:val="auto"/>
          <w:sz w:val="24"/>
          <w:szCs w:val="24"/>
          <w:highlight w:val="yellow"/>
        </w:rPr>
      </w:pPr>
    </w:p>
    <w:p w:rsidR="007956D3" w:rsidRPr="003344B0" w:rsidRDefault="007956D3" w:rsidP="00A16F7F">
      <w:pPr>
        <w:pStyle w:val="Title"/>
        <w:outlineLvl w:val="0"/>
        <w:rPr>
          <w:b/>
          <w:color w:val="auto"/>
          <w:sz w:val="24"/>
          <w:szCs w:val="24"/>
          <w:highlight w:val="yellow"/>
        </w:rPr>
        <w:sectPr w:rsidR="007956D3" w:rsidRPr="003344B0" w:rsidSect="005C0392">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567" w:footer="567" w:gutter="0"/>
          <w:cols w:space="720"/>
          <w:titlePg/>
        </w:sectPr>
      </w:pPr>
    </w:p>
    <w:p w:rsidR="00E9529C" w:rsidRPr="00F61A2D" w:rsidRDefault="00EF6F1B" w:rsidP="00BE6061">
      <w:pPr>
        <w:pStyle w:val="Heading3"/>
      </w:pPr>
      <w:bookmarkStart w:id="23" w:name="_Toc90977883"/>
      <w:bookmarkStart w:id="24" w:name="_Toc185498655"/>
      <w:bookmarkStart w:id="25" w:name="_Toc304990761"/>
      <w:r w:rsidRPr="00F61A2D">
        <w:lastRenderedPageBreak/>
        <w:t>Overview</w:t>
      </w:r>
      <w:bookmarkStart w:id="26" w:name="_Toc90977892"/>
      <w:bookmarkEnd w:id="23"/>
      <w:bookmarkEnd w:id="24"/>
      <w:bookmarkEnd w:id="25"/>
    </w:p>
    <w:p w:rsidR="00C43044" w:rsidRPr="00802585" w:rsidRDefault="00CE201A" w:rsidP="0001312B">
      <w:pPr>
        <w:spacing w:after="200"/>
      </w:pPr>
      <w:bookmarkStart w:id="27" w:name="_Toc185498657"/>
      <w:r>
        <w:t xml:space="preserve">The economic outlook has weakened since the June forecasting round.  </w:t>
      </w:r>
      <w:r w:rsidR="00D52E88">
        <w:t>I</w:t>
      </w:r>
      <w:r w:rsidR="00C43044" w:rsidRPr="00802585">
        <w:t xml:space="preserve">nternational growth </w:t>
      </w:r>
      <w:r w:rsidR="00D52E88">
        <w:t>prospects have</w:t>
      </w:r>
      <w:r w:rsidR="00C43044" w:rsidRPr="00802585">
        <w:t xml:space="preserve"> deteriorated and the risks to global financial stability from the European sovereign debt crisis have </w:t>
      </w:r>
      <w:r w:rsidR="00EF1E16">
        <w:t>intensified</w:t>
      </w:r>
      <w:r w:rsidR="00C43044" w:rsidRPr="006F07C9">
        <w:t>.  Weak</w:t>
      </w:r>
      <w:r w:rsidR="009D44EE">
        <w:t xml:space="preserve"> activity</w:t>
      </w:r>
      <w:r w:rsidR="00C43044" w:rsidRPr="006F07C9">
        <w:t xml:space="preserve"> in Europe and the US has become more </w:t>
      </w:r>
      <w:r w:rsidR="00892C38">
        <w:t>entrenched and – even under the benign scenario underpinning the central forecasts</w:t>
      </w:r>
      <w:r w:rsidR="00097551">
        <w:t>, which are predicated on</w:t>
      </w:r>
      <w:r w:rsidR="006C4720">
        <w:t xml:space="preserve"> an orderly resolution to the European sovereign debt crisis</w:t>
      </w:r>
      <w:r w:rsidR="00892C38">
        <w:t xml:space="preserve"> </w:t>
      </w:r>
      <w:r w:rsidR="00C43044" w:rsidRPr="006F07C9">
        <w:noBreakHyphen/>
        <w:t xml:space="preserve"> it is </w:t>
      </w:r>
      <w:r w:rsidR="00515329">
        <w:t>expected</w:t>
      </w:r>
      <w:r w:rsidR="00C43044" w:rsidRPr="006F07C9">
        <w:t xml:space="preserve"> that there will be an extended period of weak global growth</w:t>
      </w:r>
      <w:r w:rsidR="00581D64">
        <w:t xml:space="preserve">.  This is </w:t>
      </w:r>
      <w:r w:rsidR="00C43044" w:rsidRPr="006F07C9">
        <w:t xml:space="preserve">notwithstanding solid </w:t>
      </w:r>
      <w:r w:rsidR="000A1B48">
        <w:t xml:space="preserve">forecast </w:t>
      </w:r>
      <w:r w:rsidR="00C43044" w:rsidRPr="006F07C9">
        <w:t xml:space="preserve">growth in </w:t>
      </w:r>
      <w:r w:rsidR="00581D64">
        <w:t xml:space="preserve">the large </w:t>
      </w:r>
      <w:r w:rsidR="00C43044" w:rsidRPr="006F07C9">
        <w:t xml:space="preserve">emerging </w:t>
      </w:r>
      <w:r w:rsidR="00D52E88">
        <w:t xml:space="preserve">market </w:t>
      </w:r>
      <w:r w:rsidR="00C43044" w:rsidRPr="006F07C9">
        <w:t>economies</w:t>
      </w:r>
      <w:r w:rsidR="00581D64">
        <w:t xml:space="preserve">, underpinned by </w:t>
      </w:r>
      <w:r w:rsidR="0013428E">
        <w:t xml:space="preserve">continued strong growth in </w:t>
      </w:r>
      <w:r w:rsidR="00581D64">
        <w:t>domestic demand</w:t>
      </w:r>
      <w:r w:rsidR="00C43044" w:rsidRPr="006F07C9">
        <w:t xml:space="preserve">.  The </w:t>
      </w:r>
      <w:r w:rsidR="00581D64">
        <w:t>deterioration in the external environment</w:t>
      </w:r>
      <w:r w:rsidR="00515329">
        <w:t xml:space="preserve"> is affecting the </w:t>
      </w:r>
      <w:r w:rsidR="00C43044" w:rsidRPr="006F07C9">
        <w:t>Australian economy through financial market and confidence channels</w:t>
      </w:r>
      <w:r w:rsidR="00CC2C00">
        <w:t xml:space="preserve">, with weaker trading partner </w:t>
      </w:r>
      <w:r w:rsidR="00BF3241">
        <w:t xml:space="preserve">growth </w:t>
      </w:r>
      <w:r w:rsidR="00CC2C00">
        <w:t>also expected to reduce demand for Australia’s exports</w:t>
      </w:r>
      <w:r w:rsidR="00EF1E16">
        <w:t xml:space="preserve">.  </w:t>
      </w:r>
      <w:r w:rsidR="00581D64">
        <w:t>However, e</w:t>
      </w:r>
      <w:r w:rsidR="00E9245A">
        <w:t xml:space="preserve">ven before the recent international turmoil, </w:t>
      </w:r>
      <w:r w:rsidR="00284330">
        <w:t xml:space="preserve">it was becoming increasingly evident that the sustained high exchange rate was having a greater </w:t>
      </w:r>
      <w:r w:rsidR="00E11C35">
        <w:t>impact on economic activity</w:t>
      </w:r>
      <w:r w:rsidR="00284330">
        <w:t xml:space="preserve"> than previously anticipated</w:t>
      </w:r>
      <w:r w:rsidR="00BF3241">
        <w:t xml:space="preserve">, prompting </w:t>
      </w:r>
      <w:r w:rsidR="00097551">
        <w:t xml:space="preserve">a growing number of firms in the </w:t>
      </w:r>
      <w:r w:rsidR="00097551" w:rsidRPr="00802585">
        <w:t>trade</w:t>
      </w:r>
      <w:r w:rsidR="00097551" w:rsidRPr="00802585">
        <w:noBreakHyphen/>
        <w:t xml:space="preserve">exposed </w:t>
      </w:r>
      <w:r w:rsidR="00097551">
        <w:t xml:space="preserve">manufacturing and services sectors to </w:t>
      </w:r>
      <w:r w:rsidR="00E9245A">
        <w:t>re</w:t>
      </w:r>
      <w:r w:rsidR="00E9245A">
        <w:noBreakHyphen/>
      </w:r>
      <w:r w:rsidR="00F669DF">
        <w:t>evaluat</w:t>
      </w:r>
      <w:r w:rsidR="00097551">
        <w:t>e</w:t>
      </w:r>
      <w:r w:rsidR="00F669DF">
        <w:t xml:space="preserve"> </w:t>
      </w:r>
      <w:r w:rsidR="00097551">
        <w:t>their</w:t>
      </w:r>
      <w:r w:rsidR="00F669DF">
        <w:t xml:space="preserve"> business </w:t>
      </w:r>
      <w:r w:rsidR="00E13696">
        <w:t>models</w:t>
      </w:r>
      <w:r w:rsidR="00BF3241">
        <w:t xml:space="preserve">.  </w:t>
      </w:r>
      <w:r w:rsidR="00E9245A">
        <w:t>In contrast</w:t>
      </w:r>
      <w:r w:rsidR="00892C38">
        <w:t xml:space="preserve">, industries </w:t>
      </w:r>
      <w:r w:rsidR="00D52E88">
        <w:t>connected</w:t>
      </w:r>
      <w:r w:rsidR="00892C38">
        <w:t xml:space="preserve"> to the resources sector </w:t>
      </w:r>
      <w:r w:rsidR="00994889">
        <w:t xml:space="preserve">generally </w:t>
      </w:r>
      <w:r w:rsidR="00892C38">
        <w:t xml:space="preserve">continue to experience very strong conditions.  </w:t>
      </w:r>
      <w:r w:rsidR="0013428E">
        <w:t>Solid growth in emerging Asia</w:t>
      </w:r>
      <w:r w:rsidR="00581D64">
        <w:t xml:space="preserve"> </w:t>
      </w:r>
      <w:r w:rsidR="0013428E">
        <w:t>is</w:t>
      </w:r>
      <w:r w:rsidR="00F552B2">
        <w:t xml:space="preserve"> expected to underpin continued strong demand </w:t>
      </w:r>
      <w:r w:rsidR="00D52E88">
        <w:t xml:space="preserve">and high prices </w:t>
      </w:r>
      <w:r w:rsidR="00C43044" w:rsidRPr="006F07C9">
        <w:t xml:space="preserve">for </w:t>
      </w:r>
      <w:r w:rsidR="00515329">
        <w:t>Australia’s bulk</w:t>
      </w:r>
      <w:r w:rsidR="00C43044" w:rsidRPr="006F07C9">
        <w:t xml:space="preserve"> commodit</w:t>
      </w:r>
      <w:r w:rsidR="00F552B2">
        <w:t>y exports</w:t>
      </w:r>
      <w:r w:rsidR="00D52E88">
        <w:t xml:space="preserve">.  Therefore, </w:t>
      </w:r>
      <w:r w:rsidR="00515329">
        <w:t>t</w:t>
      </w:r>
      <w:r w:rsidR="00C43044" w:rsidRPr="006F07C9">
        <w:t xml:space="preserve">he </w:t>
      </w:r>
      <w:r w:rsidR="00F552B2">
        <w:t xml:space="preserve">outlook for mining production and investment </w:t>
      </w:r>
      <w:r w:rsidR="00D52E88">
        <w:t xml:space="preserve">currently </w:t>
      </w:r>
      <w:r w:rsidR="00F552B2">
        <w:t xml:space="preserve">remains intact, with no evidence as yet that the deterioration in international conditions has dented the </w:t>
      </w:r>
      <w:r w:rsidR="00515329">
        <w:t xml:space="preserve">record pipeline of resources investment. </w:t>
      </w:r>
    </w:p>
    <w:p w:rsidR="000A1B48" w:rsidRDefault="00C43044" w:rsidP="0001312B">
      <w:pPr>
        <w:spacing w:after="200"/>
      </w:pPr>
      <w:r w:rsidRPr="006F07C9">
        <w:t xml:space="preserve">This combination of international and domestic factors has led to substantial downward revisions </w:t>
      </w:r>
      <w:r w:rsidR="00D52E88">
        <w:t>to</w:t>
      </w:r>
      <w:r w:rsidRPr="006F07C9">
        <w:t xml:space="preserve"> forecast growth in </w:t>
      </w:r>
      <w:r w:rsidRPr="00802585">
        <w:t xml:space="preserve">Australia’s </w:t>
      </w:r>
      <w:r w:rsidRPr="006F07C9">
        <w:t xml:space="preserve">real GDP and employment and an upward revision in the expected unemployment rate.  </w:t>
      </w:r>
      <w:r w:rsidR="009D44EE">
        <w:t>Notwithstanding th</w:t>
      </w:r>
      <w:r w:rsidR="006B2BE1">
        <w:t>ese revisions</w:t>
      </w:r>
      <w:r w:rsidRPr="00802585">
        <w:t xml:space="preserve">, </w:t>
      </w:r>
      <w:r w:rsidRPr="006F07C9">
        <w:t xml:space="preserve">the risks </w:t>
      </w:r>
      <w:r w:rsidR="006B2BE1">
        <w:t xml:space="preserve">to the outlook </w:t>
      </w:r>
      <w:r w:rsidRPr="006F07C9">
        <w:t>remain firmly on the downside</w:t>
      </w:r>
      <w:r w:rsidR="006B2BE1">
        <w:t xml:space="preserve">.  </w:t>
      </w:r>
      <w:r w:rsidR="006012FF">
        <w:t>E</w:t>
      </w:r>
      <w:r w:rsidR="006B2BE1">
        <w:t xml:space="preserve">vents in Europe </w:t>
      </w:r>
      <w:r w:rsidR="006012FF">
        <w:t xml:space="preserve">are </w:t>
      </w:r>
      <w:r w:rsidR="006B2BE1">
        <w:t xml:space="preserve">evolving rapidly in the context of an already fragile global economy, </w:t>
      </w:r>
      <w:r w:rsidR="006012FF">
        <w:t>presenting</w:t>
      </w:r>
      <w:r w:rsidR="006B2BE1">
        <w:t xml:space="preserve"> a significant risk that the </w:t>
      </w:r>
      <w:r w:rsidR="002F33D8">
        <w:t>economic</w:t>
      </w:r>
      <w:r w:rsidR="006B2BE1">
        <w:t xml:space="preserve"> outlook could deteriorate quickly</w:t>
      </w:r>
      <w:r w:rsidR="002F33D8">
        <w:t xml:space="preserve"> and require further substantial downward revisions to the international and domestic growth forecasts</w:t>
      </w:r>
      <w:r w:rsidR="006B2BE1" w:rsidRPr="006F07C9">
        <w:t xml:space="preserve">.  </w:t>
      </w:r>
      <w:r w:rsidR="0046494B">
        <w:t>In this environment, Australia’s terms of trade could also decline more sharply than currently forecast.</w:t>
      </w:r>
    </w:p>
    <w:p w:rsidR="005814ED" w:rsidRDefault="005814ED" w:rsidP="0001312B">
      <w:pPr>
        <w:pStyle w:val="Bullet"/>
        <w:numPr>
          <w:ilvl w:val="0"/>
          <w:numId w:val="0"/>
        </w:numPr>
        <w:spacing w:after="200" w:line="240" w:lineRule="auto"/>
      </w:pPr>
      <w:r>
        <w:t xml:space="preserve">Table </w:t>
      </w:r>
      <w:r w:rsidR="000E1814">
        <w:t>1</w:t>
      </w:r>
      <w:r>
        <w:t xml:space="preserve"> presents the key domestic forecasts.  </w:t>
      </w:r>
      <w:r w:rsidRPr="00467E8E">
        <w:t xml:space="preserve">The </w:t>
      </w:r>
      <w:r>
        <w:t xml:space="preserve">June and </w:t>
      </w:r>
      <w:r w:rsidRPr="00467E8E">
        <w:t xml:space="preserve">September JEFG forecasts shown </w:t>
      </w:r>
      <w:r>
        <w:t xml:space="preserve">in Table </w:t>
      </w:r>
      <w:r w:rsidR="000E1814">
        <w:t>1</w:t>
      </w:r>
      <w:r>
        <w:t xml:space="preserve"> </w:t>
      </w:r>
      <w:r w:rsidRPr="00467E8E">
        <w:t>are inclusive of the</w:t>
      </w:r>
      <w:r>
        <w:rPr>
          <w:b/>
        </w:rPr>
        <w:t xml:space="preserve"> </w:t>
      </w:r>
      <w:r w:rsidRPr="00942A0E">
        <w:t>Government’s carbon price policy, consistent with</w:t>
      </w:r>
      <w:r>
        <w:t xml:space="preserve"> the economic modelling presented in</w:t>
      </w:r>
      <w:r w:rsidRPr="00942A0E">
        <w:t xml:space="preserve"> </w:t>
      </w:r>
      <w:r w:rsidRPr="001D5A22">
        <w:rPr>
          <w:i/>
          <w:iCs/>
        </w:rPr>
        <w:t>Strong growth, low pollution: modelling a carbon price</w:t>
      </w:r>
      <w:r w:rsidRPr="00942A0E">
        <w:t>.</w:t>
      </w:r>
      <w:r>
        <w:t xml:space="preserve">  However, the 2011-12 Budget forecasts </w:t>
      </w:r>
      <w:r w:rsidR="000E1814">
        <w:t>did</w:t>
      </w:r>
      <w:r>
        <w:t xml:space="preserve"> not include the impact of the carbon price.</w:t>
      </w:r>
    </w:p>
    <w:p w:rsidR="00CF1D99" w:rsidRPr="0001312B" w:rsidRDefault="00CF1D99" w:rsidP="000B6229">
      <w:pPr>
        <w:pStyle w:val="Dash"/>
        <w:keepNext/>
        <w:numPr>
          <w:ilvl w:val="0"/>
          <w:numId w:val="0"/>
        </w:numPr>
        <w:spacing w:after="0" w:line="240" w:lineRule="auto"/>
        <w:jc w:val="left"/>
        <w:rPr>
          <w:b/>
          <w:sz w:val="16"/>
          <w:szCs w:val="16"/>
        </w:rPr>
      </w:pPr>
      <w:r w:rsidRPr="007711BC">
        <w:rPr>
          <w:rFonts w:ascii="Tahoma" w:hAnsi="Tahoma" w:cs="Tahoma"/>
          <w:b/>
        </w:rPr>
        <w:t>T</w:t>
      </w:r>
      <w:r w:rsidR="000B6229">
        <w:rPr>
          <w:rFonts w:ascii="Tahoma" w:hAnsi="Tahoma" w:cs="Tahoma"/>
          <w:b/>
        </w:rPr>
        <w:t>able 1: Key Domestic Forecasts</w:t>
      </w:r>
      <w:r w:rsidR="003E5E2E">
        <w:rPr>
          <w:rFonts w:ascii="Tahoma" w:hAnsi="Tahoma" w:cs="Tahoma"/>
          <w:b/>
        </w:rPr>
        <w:br/>
      </w:r>
      <w:r w:rsidR="007A0EFB">
        <w:rPr>
          <w:b/>
          <w:noProof/>
          <w:lang w:eastAsia="en-AU"/>
        </w:rPr>
        <w:object w:dxaOrig="8655" w:dyaOrig="4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25pt;height:203.6pt" o:ole="">
            <v:imagedata r:id="rId15" o:title=""/>
          </v:shape>
          <o:OLEObject Type="Link" ProgID="Excel.Sheet.12" ShapeID="_x0000_i1025" DrawAspect="Content" r:id="rId16" UpdateMode="Always">
            <o:LinkType>EnhancedMetaFile</o:LinkType>
            <o:LockedField/>
          </o:OLEObject>
        </w:object>
      </w:r>
    </w:p>
    <w:p w:rsidR="005E0B68" w:rsidRDefault="004D7F1B" w:rsidP="0001312B">
      <w:pPr>
        <w:spacing w:after="200" w:line="276" w:lineRule="auto"/>
      </w:pPr>
      <w:r>
        <w:rPr>
          <w:rFonts w:eastAsia="Calibri"/>
          <w:szCs w:val="22"/>
        </w:rPr>
        <w:br/>
      </w:r>
      <w:r w:rsidR="005E0B68" w:rsidRPr="005E0B68">
        <w:rPr>
          <w:rFonts w:eastAsia="Calibri"/>
          <w:szCs w:val="22"/>
        </w:rPr>
        <w:t xml:space="preserve">The global economic outlook has deteriorated sharply, with </w:t>
      </w:r>
      <w:r w:rsidR="003A3C3E">
        <w:rPr>
          <w:rFonts w:eastAsia="Calibri"/>
          <w:szCs w:val="22"/>
        </w:rPr>
        <w:t>some</w:t>
      </w:r>
      <w:r w:rsidR="005E0B68" w:rsidRPr="005E0B68">
        <w:rPr>
          <w:rFonts w:eastAsia="Calibri"/>
          <w:szCs w:val="22"/>
        </w:rPr>
        <w:t xml:space="preserve"> of the downside risks identified in the June round crystalizing over recent months.  The euro area sovereign debt crisis has entered a </w:t>
      </w:r>
      <w:r w:rsidR="005E0B68" w:rsidRPr="005E0B68">
        <w:rPr>
          <w:rFonts w:eastAsia="Calibri"/>
          <w:szCs w:val="22"/>
        </w:rPr>
        <w:lastRenderedPageBreak/>
        <w:t xml:space="preserve">dangerous new phase.  Markets are pricing in a high probability </w:t>
      </w:r>
      <w:r w:rsidR="00AD3554">
        <w:rPr>
          <w:rFonts w:eastAsia="Calibri"/>
          <w:szCs w:val="22"/>
        </w:rPr>
        <w:t xml:space="preserve">that Greece will default on its </w:t>
      </w:r>
      <w:r w:rsidR="005E0B68" w:rsidRPr="005E0B68">
        <w:rPr>
          <w:rFonts w:eastAsia="Calibri"/>
          <w:szCs w:val="22"/>
        </w:rPr>
        <w:t>sovereign debt</w:t>
      </w:r>
      <w:r w:rsidR="00AD3554">
        <w:rPr>
          <w:rFonts w:eastAsia="Calibri"/>
          <w:szCs w:val="22"/>
        </w:rPr>
        <w:t>s</w:t>
      </w:r>
      <w:r w:rsidR="00D52E88">
        <w:rPr>
          <w:rFonts w:eastAsia="Calibri"/>
          <w:szCs w:val="22"/>
        </w:rPr>
        <w:t>, Spanish and Ital</w:t>
      </w:r>
      <w:r w:rsidR="00543FD0">
        <w:rPr>
          <w:rFonts w:eastAsia="Calibri"/>
          <w:szCs w:val="22"/>
        </w:rPr>
        <w:t>ian government bond yields have come under</w:t>
      </w:r>
      <w:r w:rsidR="00D52E88">
        <w:rPr>
          <w:rFonts w:eastAsia="Calibri"/>
          <w:szCs w:val="22"/>
        </w:rPr>
        <w:t xml:space="preserve"> increased pressure and there are growing </w:t>
      </w:r>
      <w:r w:rsidR="005E0B68" w:rsidRPr="005E0B68">
        <w:rPr>
          <w:rFonts w:eastAsia="Calibri"/>
          <w:szCs w:val="22"/>
        </w:rPr>
        <w:t xml:space="preserve">concerns about the </w:t>
      </w:r>
      <w:r w:rsidR="00AD3554">
        <w:rPr>
          <w:rFonts w:eastAsia="Calibri"/>
          <w:szCs w:val="22"/>
        </w:rPr>
        <w:t>credit worthiness</w:t>
      </w:r>
      <w:r w:rsidR="005E0B68" w:rsidRPr="005E0B68">
        <w:rPr>
          <w:rFonts w:eastAsia="Calibri"/>
          <w:szCs w:val="22"/>
        </w:rPr>
        <w:t xml:space="preserve"> of financial institutions in the euro area core</w:t>
      </w:r>
      <w:r w:rsidR="00D52E88">
        <w:rPr>
          <w:rFonts w:eastAsia="Calibri"/>
          <w:szCs w:val="22"/>
        </w:rPr>
        <w:t xml:space="preserve"> with significant exposures to the euro area periphery</w:t>
      </w:r>
      <w:r w:rsidR="005E0B68" w:rsidRPr="005E0B68">
        <w:rPr>
          <w:rFonts w:eastAsia="Calibri"/>
          <w:szCs w:val="22"/>
        </w:rPr>
        <w:t>.  This has coincided with weaker growth in the United States in the first half of 2011 and Japan’s slower</w:t>
      </w:r>
      <w:r w:rsidR="005E0B68" w:rsidRPr="005E0B68">
        <w:rPr>
          <w:rFonts w:eastAsia="Calibri"/>
          <w:szCs w:val="22"/>
        </w:rPr>
        <w:noBreakHyphen/>
        <w:t>than</w:t>
      </w:r>
      <w:r w:rsidR="005E0B68" w:rsidRPr="005E0B68">
        <w:rPr>
          <w:rFonts w:eastAsia="Calibri"/>
          <w:szCs w:val="22"/>
        </w:rPr>
        <w:noBreakHyphen/>
        <w:t>anticipated recovery from the March tsunami</w:t>
      </w:r>
      <w:r w:rsidR="00AD3554">
        <w:rPr>
          <w:rFonts w:eastAsia="Calibri"/>
          <w:szCs w:val="22"/>
        </w:rPr>
        <w:t xml:space="preserve">, further weighing on global </w:t>
      </w:r>
      <w:r w:rsidR="00DF6EF1">
        <w:rPr>
          <w:rFonts w:eastAsia="Calibri"/>
          <w:szCs w:val="22"/>
        </w:rPr>
        <w:t xml:space="preserve">growth prospects </w:t>
      </w:r>
      <w:r w:rsidR="00AD3554">
        <w:rPr>
          <w:rFonts w:eastAsia="Calibri"/>
          <w:szCs w:val="22"/>
        </w:rPr>
        <w:t xml:space="preserve">at a time when </w:t>
      </w:r>
      <w:r w:rsidR="00AD3554" w:rsidRPr="005E0B68">
        <w:rPr>
          <w:rFonts w:eastAsia="Calibri"/>
          <w:szCs w:val="22"/>
        </w:rPr>
        <w:t xml:space="preserve">monetary and fiscal policy </w:t>
      </w:r>
      <w:r w:rsidR="00543FD0">
        <w:rPr>
          <w:rFonts w:eastAsia="Calibri"/>
          <w:szCs w:val="22"/>
        </w:rPr>
        <w:t>are</w:t>
      </w:r>
      <w:r w:rsidR="00AD3554">
        <w:rPr>
          <w:rFonts w:eastAsia="Calibri"/>
          <w:szCs w:val="22"/>
        </w:rPr>
        <w:t xml:space="preserve"> </w:t>
      </w:r>
      <w:r w:rsidR="00AD3554" w:rsidRPr="005E0B68">
        <w:rPr>
          <w:rFonts w:eastAsia="Calibri"/>
          <w:szCs w:val="22"/>
        </w:rPr>
        <w:t>significantly constrained</w:t>
      </w:r>
      <w:r w:rsidR="005E0B68" w:rsidRPr="005E0B68">
        <w:rPr>
          <w:rFonts w:eastAsia="Calibri"/>
          <w:szCs w:val="22"/>
        </w:rPr>
        <w:t xml:space="preserve">.  </w:t>
      </w:r>
      <w:r w:rsidR="00E1256A">
        <w:rPr>
          <w:rFonts w:eastAsia="Calibri"/>
          <w:szCs w:val="22"/>
        </w:rPr>
        <w:t>T</w:t>
      </w:r>
      <w:r w:rsidR="009D44EE">
        <w:rPr>
          <w:rFonts w:eastAsia="Calibri"/>
          <w:szCs w:val="22"/>
        </w:rPr>
        <w:t xml:space="preserve">he risk of </w:t>
      </w:r>
      <w:r w:rsidR="00CB47BB">
        <w:rPr>
          <w:rFonts w:eastAsia="Calibri"/>
          <w:szCs w:val="22"/>
        </w:rPr>
        <w:t xml:space="preserve">a </w:t>
      </w:r>
      <w:r w:rsidR="009D44EE">
        <w:rPr>
          <w:rFonts w:eastAsia="Calibri"/>
          <w:szCs w:val="22"/>
        </w:rPr>
        <w:t xml:space="preserve">US </w:t>
      </w:r>
      <w:r w:rsidR="00CB47BB">
        <w:rPr>
          <w:rFonts w:eastAsia="Calibri"/>
          <w:szCs w:val="22"/>
        </w:rPr>
        <w:t xml:space="preserve">government </w:t>
      </w:r>
      <w:r w:rsidR="009D44EE">
        <w:rPr>
          <w:rFonts w:eastAsia="Calibri"/>
          <w:szCs w:val="22"/>
        </w:rPr>
        <w:t xml:space="preserve">default </w:t>
      </w:r>
      <w:r w:rsidR="00E1256A">
        <w:rPr>
          <w:rFonts w:eastAsia="Calibri"/>
          <w:szCs w:val="22"/>
        </w:rPr>
        <w:t xml:space="preserve">due to a failure to lift the debt ceiling </w:t>
      </w:r>
      <w:r w:rsidR="009D44EE">
        <w:rPr>
          <w:rFonts w:eastAsia="Calibri"/>
          <w:szCs w:val="22"/>
        </w:rPr>
        <w:t xml:space="preserve">has been </w:t>
      </w:r>
      <w:r w:rsidR="00E1256A">
        <w:rPr>
          <w:rFonts w:eastAsia="Calibri"/>
          <w:szCs w:val="22"/>
        </w:rPr>
        <w:t xml:space="preserve">at least </w:t>
      </w:r>
      <w:r w:rsidR="009D44EE">
        <w:rPr>
          <w:rFonts w:eastAsia="Calibri"/>
          <w:szCs w:val="22"/>
        </w:rPr>
        <w:t>deferred, although it is yet to be seen whether a credible medium</w:t>
      </w:r>
      <w:r w:rsidR="009D44EE">
        <w:rPr>
          <w:rFonts w:eastAsia="Calibri"/>
          <w:szCs w:val="22"/>
        </w:rPr>
        <w:noBreakHyphen/>
        <w:t xml:space="preserve">term fiscal consolidation plan can be agreed.  </w:t>
      </w:r>
      <w:r w:rsidR="000A1B48">
        <w:rPr>
          <w:rFonts w:eastAsia="Calibri"/>
          <w:szCs w:val="22"/>
        </w:rPr>
        <w:t>In the presence of both political and practical obstacles, m</w:t>
      </w:r>
      <w:r w:rsidR="00AD3554" w:rsidRPr="005E0B68">
        <w:rPr>
          <w:rFonts w:eastAsia="Calibri"/>
          <w:szCs w:val="22"/>
        </w:rPr>
        <w:t xml:space="preserve">arkets have become increasingly sceptical about the ability of </w:t>
      </w:r>
      <w:r w:rsidR="00F63763">
        <w:rPr>
          <w:rFonts w:eastAsia="Calibri"/>
          <w:szCs w:val="22"/>
        </w:rPr>
        <w:t xml:space="preserve">policymakers in the </w:t>
      </w:r>
      <w:r w:rsidR="00543FD0">
        <w:rPr>
          <w:rFonts w:eastAsia="Calibri"/>
          <w:szCs w:val="22"/>
        </w:rPr>
        <w:t>major</w:t>
      </w:r>
      <w:r w:rsidR="00AD3554" w:rsidRPr="005E0B68">
        <w:rPr>
          <w:rFonts w:eastAsia="Calibri"/>
          <w:szCs w:val="22"/>
        </w:rPr>
        <w:t xml:space="preserve"> advanced countries to </w:t>
      </w:r>
      <w:r w:rsidR="006C652A">
        <w:rPr>
          <w:rFonts w:eastAsia="Calibri"/>
          <w:szCs w:val="22"/>
        </w:rPr>
        <w:t xml:space="preserve">prevent or </w:t>
      </w:r>
      <w:r w:rsidR="00F63763">
        <w:rPr>
          <w:rFonts w:eastAsia="Calibri"/>
          <w:szCs w:val="22"/>
        </w:rPr>
        <w:t xml:space="preserve">respond to </w:t>
      </w:r>
      <w:r w:rsidR="006C652A">
        <w:rPr>
          <w:rFonts w:eastAsia="Calibri"/>
          <w:szCs w:val="22"/>
        </w:rPr>
        <w:t xml:space="preserve">further </w:t>
      </w:r>
      <w:r w:rsidR="00F63763">
        <w:rPr>
          <w:rFonts w:eastAsia="Calibri"/>
          <w:szCs w:val="22"/>
        </w:rPr>
        <w:t>adverse developments</w:t>
      </w:r>
      <w:r w:rsidR="00E1256A">
        <w:rPr>
          <w:rFonts w:eastAsia="Calibri"/>
          <w:szCs w:val="22"/>
        </w:rPr>
        <w:t xml:space="preserve">, </w:t>
      </w:r>
      <w:r w:rsidR="00F669DF">
        <w:rPr>
          <w:rFonts w:eastAsia="Calibri"/>
          <w:szCs w:val="22"/>
        </w:rPr>
        <w:t>contributing to market volatility and the general sense of unease</w:t>
      </w:r>
      <w:r w:rsidR="00AD3554" w:rsidRPr="005E0B68">
        <w:rPr>
          <w:rFonts w:eastAsia="Calibri"/>
          <w:szCs w:val="22"/>
        </w:rPr>
        <w:t xml:space="preserve">.  </w:t>
      </w:r>
      <w:r w:rsidR="00CE201A">
        <w:rPr>
          <w:rFonts w:eastAsia="Calibri"/>
          <w:szCs w:val="22"/>
        </w:rPr>
        <w:t>In</w:t>
      </w:r>
      <w:r w:rsidR="00457ECE">
        <w:rPr>
          <w:rFonts w:eastAsia="Calibri"/>
          <w:szCs w:val="22"/>
        </w:rPr>
        <w:t xml:space="preserve"> our region, w</w:t>
      </w:r>
      <w:r w:rsidR="005E0B68" w:rsidRPr="005E0B68">
        <w:rPr>
          <w:rFonts w:eastAsia="Calibri"/>
          <w:szCs w:val="22"/>
        </w:rPr>
        <w:t>hile the weakness in the major advanced economies is expected to have ne</w:t>
      </w:r>
      <w:r w:rsidR="009D44EE">
        <w:rPr>
          <w:rFonts w:eastAsia="Calibri"/>
          <w:szCs w:val="22"/>
        </w:rPr>
        <w:t>gative flow-on effects to trade</w:t>
      </w:r>
      <w:r w:rsidR="009D44EE">
        <w:rPr>
          <w:rFonts w:eastAsia="Calibri"/>
          <w:szCs w:val="22"/>
        </w:rPr>
        <w:noBreakHyphen/>
      </w:r>
      <w:r w:rsidR="005E0B68" w:rsidRPr="005E0B68">
        <w:rPr>
          <w:rFonts w:eastAsia="Calibri"/>
          <w:szCs w:val="22"/>
        </w:rPr>
        <w:t xml:space="preserve">exposed emerging </w:t>
      </w:r>
      <w:r w:rsidR="009D44EE">
        <w:rPr>
          <w:rFonts w:eastAsia="Calibri"/>
          <w:szCs w:val="22"/>
        </w:rPr>
        <w:t xml:space="preserve">market </w:t>
      </w:r>
      <w:r w:rsidR="005E0B68" w:rsidRPr="005E0B68">
        <w:rPr>
          <w:rFonts w:eastAsia="Calibri"/>
          <w:szCs w:val="22"/>
        </w:rPr>
        <w:t xml:space="preserve">economies, growth in emerging Asia is </w:t>
      </w:r>
      <w:r w:rsidR="00AD3554">
        <w:rPr>
          <w:rFonts w:eastAsia="Calibri"/>
          <w:szCs w:val="22"/>
        </w:rPr>
        <w:t>forecast</w:t>
      </w:r>
      <w:r w:rsidR="005E0B68" w:rsidRPr="005E0B68">
        <w:rPr>
          <w:rFonts w:eastAsia="Calibri"/>
          <w:szCs w:val="22"/>
        </w:rPr>
        <w:t xml:space="preserve"> to remain </w:t>
      </w:r>
      <w:r w:rsidR="00AD3554">
        <w:rPr>
          <w:rFonts w:eastAsia="Calibri"/>
          <w:szCs w:val="22"/>
        </w:rPr>
        <w:t>solid</w:t>
      </w:r>
      <w:r w:rsidR="005E0B68" w:rsidRPr="005E0B68">
        <w:rPr>
          <w:rFonts w:eastAsia="Calibri"/>
          <w:szCs w:val="22"/>
        </w:rPr>
        <w:t xml:space="preserve">, </w:t>
      </w:r>
      <w:r w:rsidR="005E0B68" w:rsidRPr="006A3340">
        <w:t>underpinned by domestic demand</w:t>
      </w:r>
      <w:r w:rsidR="00AD3554">
        <w:t>.</w:t>
      </w:r>
    </w:p>
    <w:p w:rsidR="005E0B68" w:rsidRDefault="005E0B68" w:rsidP="0001312B">
      <w:pPr>
        <w:spacing w:after="200"/>
      </w:pPr>
      <w:r w:rsidRPr="005E0B68">
        <w:rPr>
          <w:rFonts w:eastAsia="Calibri"/>
          <w:szCs w:val="22"/>
        </w:rPr>
        <w:t>Global growth forecasts for 2011 have been downgraded to 3¾ per cent, reflecting weaker</w:t>
      </w:r>
      <w:r w:rsidRPr="005E0B68">
        <w:rPr>
          <w:rFonts w:eastAsia="Calibri"/>
          <w:szCs w:val="22"/>
        </w:rPr>
        <w:noBreakHyphen/>
        <w:t>than</w:t>
      </w:r>
      <w:r w:rsidRPr="005E0B68">
        <w:rPr>
          <w:rFonts w:eastAsia="Calibri"/>
          <w:szCs w:val="22"/>
        </w:rPr>
        <w:noBreakHyphen/>
        <w:t>expected outcomes in the United States and a more subdued outlook for the major advanced economies, with the euro zone expected to be in technical recession</w:t>
      </w:r>
      <w:r w:rsidR="00DF6EF1" w:rsidRPr="00DF6EF1">
        <w:rPr>
          <w:rFonts w:eastAsia="Calibri"/>
          <w:szCs w:val="22"/>
        </w:rPr>
        <w:t xml:space="preserve"> </w:t>
      </w:r>
      <w:r w:rsidR="00DF6EF1" w:rsidRPr="005E0B68">
        <w:rPr>
          <w:rFonts w:eastAsia="Calibri"/>
          <w:szCs w:val="22"/>
        </w:rPr>
        <w:t>in the second half of the year</w:t>
      </w:r>
      <w:r w:rsidRPr="005E0B68">
        <w:rPr>
          <w:rFonts w:eastAsia="Calibri"/>
          <w:szCs w:val="22"/>
        </w:rPr>
        <w:t xml:space="preserve">.  This weakness is expected to carry over into 2012 and 2013, with global growth forecasts downgraded to </w:t>
      </w:r>
      <w:r w:rsidR="00256573">
        <w:rPr>
          <w:rFonts w:eastAsia="Calibri"/>
          <w:szCs w:val="22"/>
        </w:rPr>
        <w:t>3¾</w:t>
      </w:r>
      <w:r w:rsidR="00256573" w:rsidRPr="005E0B68">
        <w:rPr>
          <w:rFonts w:eastAsia="Calibri"/>
          <w:szCs w:val="22"/>
        </w:rPr>
        <w:t xml:space="preserve"> </w:t>
      </w:r>
      <w:r w:rsidRPr="005E0B68">
        <w:rPr>
          <w:rFonts w:eastAsia="Calibri"/>
          <w:szCs w:val="22"/>
        </w:rPr>
        <w:t>per cent and 4¼ per cent respectively.  The risks to these forecasts are firmly on the downside, with the combination of financial market fragility, low growth and constraints to both monetary and fiscal policy in the major advanced economies giving rise to significant vulnerability.</w:t>
      </w:r>
    </w:p>
    <w:p w:rsidR="005E0B68" w:rsidRDefault="005E0B68" w:rsidP="0001312B">
      <w:pPr>
        <w:spacing w:after="200"/>
      </w:pPr>
      <w:r>
        <w:t>After contracting in the March quarter, the Australian economy grew 1.2 per cent in the June quarter.  D</w:t>
      </w:r>
      <w:r w:rsidRPr="00D90D9A">
        <w:t xml:space="preserve">omestic </w:t>
      </w:r>
      <w:r>
        <w:t xml:space="preserve">final </w:t>
      </w:r>
      <w:r w:rsidRPr="00D90D9A">
        <w:t xml:space="preserve">demand </w:t>
      </w:r>
      <w:r w:rsidR="00AD3554">
        <w:t xml:space="preserve">contributed </w:t>
      </w:r>
      <w:r w:rsidR="00AC5A34">
        <w:t>a solid 0.8</w:t>
      </w:r>
      <w:r w:rsidR="00AD3554">
        <w:t xml:space="preserve"> percentage points to real GDP growth in the June quarter</w:t>
      </w:r>
      <w:r w:rsidRPr="00D90D9A">
        <w:t>, underpinned by mining investment and household consumption</w:t>
      </w:r>
      <w:r w:rsidR="00AD3554">
        <w:t>, with the</w:t>
      </w:r>
      <w:r>
        <w:t xml:space="preserve"> initial recovery from the natural disasters in early 2011 </w:t>
      </w:r>
      <w:r w:rsidR="00A163D7">
        <w:t xml:space="preserve">also </w:t>
      </w:r>
      <w:r>
        <w:t>add</w:t>
      </w:r>
      <w:r w:rsidR="00AC5A34">
        <w:t>ing</w:t>
      </w:r>
      <w:r w:rsidR="00AD3554">
        <w:t xml:space="preserve"> </w:t>
      </w:r>
      <w:r w:rsidR="00A163D7">
        <w:t>to real GDP</w:t>
      </w:r>
      <w:r>
        <w:t xml:space="preserve"> growth.  Iron ore and thermal coal production have now returned to pre-flood levels; however, the dewatering of Queensland metallurgical coal mines has been more protracted.  Recent mining company announcements suggest that metallurgical coal production will not return to pre-flood levels until the end of 2011, leading QR National to raise their estimates of total coal production losses to 4</w:t>
      </w:r>
      <w:r w:rsidR="00E4698D">
        <w:t>3</w:t>
      </w:r>
      <w:r w:rsidR="009D44EE">
        <w:t> </w:t>
      </w:r>
      <w:r w:rsidR="00775741">
        <w:t>million tonnes</w:t>
      </w:r>
      <w:r>
        <w:t xml:space="preserve"> (up from 37 </w:t>
      </w:r>
      <w:r w:rsidR="00775741">
        <w:t>million tonnes</w:t>
      </w:r>
      <w:r>
        <w:t xml:space="preserve"> at June).  </w:t>
      </w:r>
      <w:r w:rsidR="00DF6EF1">
        <w:t>T</w:t>
      </w:r>
      <w:r>
        <w:t>he rebound from the natural disasters is expected to add ½ a percentage point to real GDP growth in 2011-12, unchanged from June.</w:t>
      </w:r>
    </w:p>
    <w:p w:rsidR="005E0B68" w:rsidRDefault="00F63763" w:rsidP="0001312B">
      <w:pPr>
        <w:spacing w:after="200"/>
      </w:pPr>
      <w:r>
        <w:t>Conditions</w:t>
      </w:r>
      <w:r w:rsidR="005E0B68">
        <w:t xml:space="preserve"> have weakened</w:t>
      </w:r>
      <w:r w:rsidR="00AD3554">
        <w:t xml:space="preserve"> </w:t>
      </w:r>
      <w:r>
        <w:t xml:space="preserve">across most sectors of the Australian economy </w:t>
      </w:r>
      <w:r w:rsidR="00AD3554">
        <w:t>since the June quarter</w:t>
      </w:r>
      <w:r w:rsidR="005E0B68">
        <w:t>.  The deterioration in global sentiment is</w:t>
      </w:r>
      <w:r w:rsidR="005E0B68" w:rsidRPr="006A3340">
        <w:t xml:space="preserve"> being transmitted to the Australian economy through financial markets, with </w:t>
      </w:r>
      <w:r w:rsidR="005E0B68">
        <w:t>lower</w:t>
      </w:r>
      <w:r w:rsidR="005E0B68" w:rsidRPr="006A3340">
        <w:t xml:space="preserve"> global growth expectations, heightened uncertainty, and increased risk aversion combining to drive down financial asset prices over recent months.  The effects are also being seen in sharp declines in consumer </w:t>
      </w:r>
      <w:r w:rsidR="00994889">
        <w:t xml:space="preserve">sentiment </w:t>
      </w:r>
      <w:r w:rsidR="005E0B68" w:rsidRPr="006A3340">
        <w:t xml:space="preserve">and business confidence, with global uncertainty exacerbating existing pressures on the non-mining economy.  </w:t>
      </w:r>
      <w:r w:rsidR="00441F13">
        <w:t xml:space="preserve">According to the </w:t>
      </w:r>
      <w:r w:rsidR="0044305E">
        <w:t>latest</w:t>
      </w:r>
      <w:r w:rsidR="00441F13">
        <w:t xml:space="preserve"> NAB </w:t>
      </w:r>
      <w:r w:rsidR="0044305E">
        <w:t>Monthly B</w:t>
      </w:r>
      <w:r w:rsidR="00441F13">
        <w:t xml:space="preserve">usiness </w:t>
      </w:r>
      <w:r w:rsidR="0044305E">
        <w:t>S</w:t>
      </w:r>
      <w:r w:rsidR="00441F13">
        <w:t>urvey, business confidence fell in August to its lowest level since April 2009</w:t>
      </w:r>
      <w:r w:rsidR="00CE201A">
        <w:t>.</w:t>
      </w:r>
      <w:r w:rsidR="00441F13">
        <w:t xml:space="preserve"> </w:t>
      </w:r>
      <w:r w:rsidR="00CE201A">
        <w:t xml:space="preserve"> L</w:t>
      </w:r>
      <w:r w:rsidR="00DF6EF1">
        <w:t xml:space="preserve">abour market conditions outside of the mining and mining-related sectors have softened, with employment stagnant and the unemployment rate starting to trend up; and house prices have continued to fall, detracting from household wealth and weighing on consumer spending decisions.  The exchange rate </w:t>
      </w:r>
      <w:r>
        <w:t>also remains well above the post</w:t>
      </w:r>
      <w:r>
        <w:noBreakHyphen/>
        <w:t>float average</w:t>
      </w:r>
      <w:r w:rsidR="00F669DF">
        <w:t xml:space="preserve">, weighing on the </w:t>
      </w:r>
      <w:r w:rsidR="00DF6EF1">
        <w:t xml:space="preserve">competitiveness of </w:t>
      </w:r>
      <w:r w:rsidR="00CE201A">
        <w:t xml:space="preserve">trade-exposed </w:t>
      </w:r>
      <w:r w:rsidR="00DF6EF1">
        <w:t xml:space="preserve">industries, particularly manufacturing, tourism and education.  </w:t>
      </w:r>
      <w:r w:rsidR="005E0B68">
        <w:t xml:space="preserve">If sustained, the recent depreciation </w:t>
      </w:r>
      <w:r w:rsidR="00DF6EF1">
        <w:t>of</w:t>
      </w:r>
      <w:r w:rsidR="005E0B68">
        <w:t xml:space="preserve"> the Australia </w:t>
      </w:r>
      <w:r w:rsidR="00DF6EF1">
        <w:t xml:space="preserve">dollar </w:t>
      </w:r>
      <w:r w:rsidR="005E0B68">
        <w:t xml:space="preserve">may provide some </w:t>
      </w:r>
      <w:r w:rsidR="00E11C35">
        <w:t>relief</w:t>
      </w:r>
      <w:r w:rsidR="005E0B68">
        <w:t xml:space="preserve"> to Australian exporters.  However, </w:t>
      </w:r>
      <w:r w:rsidR="006C4720">
        <w:t>the exchange rate is still well above the post-float average</w:t>
      </w:r>
      <w:r w:rsidR="000A1B48">
        <w:t xml:space="preserve">, with </w:t>
      </w:r>
      <w:r w:rsidR="00E1256A">
        <w:t xml:space="preserve">any </w:t>
      </w:r>
      <w:r w:rsidR="006C4720">
        <w:t xml:space="preserve">benefits from the recent decline </w:t>
      </w:r>
      <w:r w:rsidR="000A1B48">
        <w:t>likely to</w:t>
      </w:r>
      <w:r w:rsidR="005E0B68">
        <w:t xml:space="preserve"> be overshadowed by the fall in external demand associated with the weaker global economic outlook.  </w:t>
      </w:r>
    </w:p>
    <w:p w:rsidR="005E0B68" w:rsidRPr="006A3340" w:rsidRDefault="00DF6EF1" w:rsidP="0001312B">
      <w:pPr>
        <w:spacing w:after="200"/>
      </w:pPr>
      <w:r>
        <w:t xml:space="preserve">In contrast, industries exposed to the resources sector continue to experience very strong conditions.  </w:t>
      </w:r>
      <w:r w:rsidR="005E0B68" w:rsidRPr="006A3340">
        <w:t xml:space="preserve">With </w:t>
      </w:r>
      <w:r w:rsidR="005E0B68">
        <w:t xml:space="preserve">global </w:t>
      </w:r>
      <w:r w:rsidR="005E0B68" w:rsidRPr="006A3340">
        <w:t xml:space="preserve">prices of Australia’s key commodities </w:t>
      </w:r>
      <w:r w:rsidR="005E0B68">
        <w:t>remaining</w:t>
      </w:r>
      <w:r w:rsidR="005E0B68" w:rsidRPr="006A3340">
        <w:t xml:space="preserve"> </w:t>
      </w:r>
      <w:r w:rsidR="005E0B68">
        <w:t xml:space="preserve">high </w:t>
      </w:r>
      <w:r w:rsidR="005E0B68" w:rsidRPr="006A3340">
        <w:t xml:space="preserve">and mining investment intentions </w:t>
      </w:r>
      <w:r w:rsidR="005E0B68">
        <w:t>at</w:t>
      </w:r>
      <w:r w:rsidR="005E0B68" w:rsidRPr="006A3340">
        <w:t xml:space="preserve"> record levels, growth in </w:t>
      </w:r>
      <w:r w:rsidR="005E0B68">
        <w:t xml:space="preserve">mining </w:t>
      </w:r>
      <w:r w:rsidR="005E0B68" w:rsidRPr="006A3340">
        <w:t xml:space="preserve">investment and exports </w:t>
      </w:r>
      <w:r w:rsidR="00AC5A34">
        <w:t>are</w:t>
      </w:r>
      <w:r w:rsidR="005E0B68">
        <w:t xml:space="preserve"> expected to</w:t>
      </w:r>
      <w:r w:rsidR="005E0B68" w:rsidRPr="006A3340">
        <w:t xml:space="preserve"> be the key driver</w:t>
      </w:r>
      <w:r w:rsidR="00AC5A34">
        <w:t>s</w:t>
      </w:r>
      <w:r w:rsidR="005E0B68" w:rsidRPr="006A3340">
        <w:t xml:space="preserve"> of </w:t>
      </w:r>
      <w:r w:rsidR="005E0B68" w:rsidRPr="006A3340">
        <w:lastRenderedPageBreak/>
        <w:t xml:space="preserve">economic growth over the next two years.  Forecast growth in mining investment has increased since June, with the value of </w:t>
      </w:r>
      <w:r w:rsidR="009D44EE">
        <w:t>mining investment scheduled to take place over the forecast horizon</w:t>
      </w:r>
      <w:r w:rsidR="005E0B68" w:rsidRPr="006A3340">
        <w:t xml:space="preserve"> rising by $10.3 billion. This </w:t>
      </w:r>
      <w:r w:rsidR="005E0B68">
        <w:t xml:space="preserve">has </w:t>
      </w:r>
      <w:r w:rsidR="005E0B68" w:rsidRPr="006A3340">
        <w:t>included positive final investment decision</w:t>
      </w:r>
      <w:r w:rsidR="005E0B68">
        <w:t>s</w:t>
      </w:r>
      <w:r w:rsidR="005E0B68" w:rsidRPr="006A3340">
        <w:t xml:space="preserve"> on the </w:t>
      </w:r>
      <w:r w:rsidR="005E0B68">
        <w:t xml:space="preserve">Wheatstone LNG project ($29 billion) and the </w:t>
      </w:r>
      <w:r w:rsidR="005E0B68" w:rsidRPr="006A3340">
        <w:t xml:space="preserve">Australia Pacific LNG project (US$14 billion), as well </w:t>
      </w:r>
      <w:r w:rsidR="00617AD7">
        <w:t xml:space="preserve">as </w:t>
      </w:r>
      <w:r w:rsidR="005E0B68">
        <w:t xml:space="preserve">the </w:t>
      </w:r>
      <w:r w:rsidR="005E0B68" w:rsidRPr="006A3340">
        <w:t xml:space="preserve">announcement </w:t>
      </w:r>
      <w:r w:rsidR="005E0B68">
        <w:t xml:space="preserve">of preliminary work on </w:t>
      </w:r>
      <w:r w:rsidR="005E0B68" w:rsidRPr="006A3340">
        <w:t xml:space="preserve">the Arrow LNG project ($15 billion).  </w:t>
      </w:r>
      <w:r w:rsidR="005E0B68" w:rsidRPr="0055089B">
        <w:t xml:space="preserve">With significant investment being undertaken to expand mine and transport infrastructure, export capacity is expected to grow strongly, albeit at a slower pace than expected at June, with recent project delays casting further doubt as to whether the projected scale of expansion can be achieved within announced timeframes. </w:t>
      </w:r>
    </w:p>
    <w:p w:rsidR="005E0B68" w:rsidRDefault="005E0B68" w:rsidP="0001312B">
      <w:pPr>
        <w:spacing w:after="200" w:line="276" w:lineRule="auto"/>
        <w:rPr>
          <w:szCs w:val="22"/>
        </w:rPr>
      </w:pPr>
      <w:r>
        <w:t>Th</w:t>
      </w:r>
      <w:r w:rsidR="00DF6EF1">
        <w:t>e</w:t>
      </w:r>
      <w:r>
        <w:t xml:space="preserve"> combination of weaker international and domestic conditions has led to a downward revision to forecast growth in real GDP to </w:t>
      </w:r>
      <w:r w:rsidRPr="0055089B">
        <w:t>3¼ per cent in 2011-12 and 3 per cent in 2012</w:t>
      </w:r>
      <w:r w:rsidRPr="0055089B">
        <w:noBreakHyphen/>
        <w:t>13.  Forecast employment growth has also been revised down to 1 per cent through the year to June 2012 and 1¼ per cent through the year to June 2013, with the unemployment rate now expected to rise over the forecast horizon, from 5.3 per cent currently to 5¾ per cent in the June quarter</w:t>
      </w:r>
      <w:r w:rsidR="00A87171">
        <w:t xml:space="preserve"> of</w:t>
      </w:r>
      <w:r w:rsidRPr="0055089B">
        <w:t xml:space="preserve"> 2013. </w:t>
      </w:r>
      <w:r w:rsidR="00AC5A34">
        <w:t>T</w:t>
      </w:r>
      <w:r w:rsidRPr="0055089B">
        <w:t xml:space="preserve">he significant risks to the global economy noted earlier, if they eventuated, </w:t>
      </w:r>
      <w:r w:rsidR="00A163D7" w:rsidRPr="0055089B">
        <w:t xml:space="preserve">would </w:t>
      </w:r>
      <w:r w:rsidRPr="0055089B">
        <w:t>have more significant negative implicatio</w:t>
      </w:r>
      <w:r w:rsidRPr="00802585">
        <w:rPr>
          <w:szCs w:val="22"/>
        </w:rPr>
        <w:t>ns for Australia’s economic growth</w:t>
      </w:r>
      <w:r w:rsidR="009D44EE">
        <w:rPr>
          <w:szCs w:val="22"/>
        </w:rPr>
        <w:t xml:space="preserve"> and employment outlook</w:t>
      </w:r>
      <w:r w:rsidRPr="00802585">
        <w:rPr>
          <w:szCs w:val="22"/>
        </w:rPr>
        <w:t>.</w:t>
      </w:r>
    </w:p>
    <w:tbl>
      <w:tblPr>
        <w:tblStyle w:val="TableGrid"/>
        <w:tblW w:w="0" w:type="auto"/>
        <w:tblLook w:val="04A0" w:firstRow="1" w:lastRow="0" w:firstColumn="1" w:lastColumn="0" w:noHBand="0" w:noVBand="1"/>
      </w:tblPr>
      <w:tblGrid>
        <w:gridCol w:w="9287"/>
      </w:tblGrid>
      <w:tr w:rsidR="003E5E2E" w:rsidRPr="00AB6718" w:rsidTr="005814ED">
        <w:tc>
          <w:tcPr>
            <w:tcW w:w="9287" w:type="dxa"/>
            <w:tcBorders>
              <w:bottom w:val="nil"/>
            </w:tcBorders>
            <w:shd w:val="clear" w:color="auto" w:fill="D9D9D9"/>
          </w:tcPr>
          <w:p w:rsidR="003E5E2E" w:rsidRPr="00AB6718" w:rsidRDefault="003E5E2E" w:rsidP="0001312B">
            <w:pPr>
              <w:pStyle w:val="NormalWeb"/>
              <w:spacing w:before="0" w:beforeAutospacing="0" w:after="120" w:afterAutospacing="0"/>
              <w:jc w:val="both"/>
              <w:rPr>
                <w:rFonts w:ascii="Book Antiqua" w:hAnsi="Book Antiqua"/>
                <w:b/>
                <w:sz w:val="20"/>
                <w:szCs w:val="20"/>
              </w:rPr>
            </w:pPr>
            <w:r w:rsidRPr="00AB6718">
              <w:rPr>
                <w:rFonts w:ascii="Book Antiqua" w:hAnsi="Book Antiqua"/>
                <w:b/>
                <w:sz w:val="20"/>
                <w:szCs w:val="20"/>
              </w:rPr>
              <w:t xml:space="preserve">Box 1: </w:t>
            </w:r>
            <w:r>
              <w:rPr>
                <w:rFonts w:ascii="Book Antiqua" w:hAnsi="Book Antiqua"/>
                <w:b/>
                <w:sz w:val="20"/>
                <w:szCs w:val="20"/>
              </w:rPr>
              <w:t>The mining and non-mining economy</w:t>
            </w:r>
          </w:p>
        </w:tc>
      </w:tr>
      <w:tr w:rsidR="003E5E2E" w:rsidTr="005814ED">
        <w:tc>
          <w:tcPr>
            <w:tcW w:w="9287" w:type="dxa"/>
            <w:tcBorders>
              <w:top w:val="nil"/>
            </w:tcBorders>
            <w:shd w:val="clear" w:color="auto" w:fill="D9D9D9"/>
          </w:tcPr>
          <w:p w:rsidR="003E5E2E" w:rsidRDefault="003E5E2E" w:rsidP="0001312B">
            <w:pPr>
              <w:spacing w:after="120"/>
            </w:pPr>
            <w:r>
              <w:t>Sustained demand and high prices for Australia’s bulk commodity exports are expected to support strong growth in mining production and investment.  However, the deterioration in global conditions has placed further pressure on those sectors of the economy that are not benefitting directly from the resources boom.  Therefore, the updated forecasts imply a greater divergence between growth in the mining and non-mining economy</w:t>
            </w:r>
            <w:r w:rsidRPr="00080391">
              <w:t xml:space="preserve"> </w:t>
            </w:r>
            <w:r>
              <w:t xml:space="preserve">than in </w:t>
            </w:r>
            <w:r w:rsidRPr="004A6DEA">
              <w:t>June</w:t>
            </w:r>
            <w:r>
              <w:t>.</w:t>
            </w:r>
          </w:p>
          <w:p w:rsidR="003E5E2E" w:rsidRPr="00C5616F" w:rsidRDefault="003E5E2E" w:rsidP="0001312B">
            <w:pPr>
              <w:spacing w:after="120"/>
            </w:pPr>
            <w:r>
              <w:t>Mapping the expenditure forecasts to production</w:t>
            </w:r>
            <w:r w:rsidRPr="001B5E42">
              <w:t xml:space="preserve">, the mining and related metals manufacturing industries are expected to account for 12 </w:t>
            </w:r>
            <w:r>
              <w:t xml:space="preserve">per cent of real GDP in 2011-12.  The resources boom is also generating strong growth in the mining-related construction, services and manufacturing industries, which are </w:t>
            </w:r>
            <w:r w:rsidRPr="001B5E42">
              <w:t>expected to account for 9 per cent of real GDP</w:t>
            </w:r>
            <w:r>
              <w:t xml:space="preserve"> in 2011-12</w:t>
            </w:r>
            <w:r w:rsidRPr="001B5E42">
              <w:t>. Abstracting from agriculture, this leaves around 70 per cent of the economy that is not expected to benefit directly from the resources boom.</w:t>
            </w:r>
          </w:p>
          <w:p w:rsidR="003E5E2E" w:rsidRPr="00C5616F" w:rsidRDefault="003E5E2E" w:rsidP="0001312B">
            <w:pPr>
              <w:spacing w:after="120"/>
            </w:pPr>
            <w:r w:rsidRPr="00C5616F">
              <w:t xml:space="preserve">Table </w:t>
            </w:r>
            <w:r>
              <w:t>1</w:t>
            </w:r>
            <w:r w:rsidRPr="00C5616F">
              <w:t xml:space="preserve"> shows the growth rates for these four groupings implied by the current economic forecasts.  Mining production is forecast to grow </w:t>
            </w:r>
            <w:r>
              <w:t>7</w:t>
            </w:r>
            <w:r w:rsidRPr="00C5616F">
              <w:t xml:space="preserve"> per cent in 2011-12 and mining related production is expected to grow </w:t>
            </w:r>
            <w:r>
              <w:t xml:space="preserve">around </w:t>
            </w:r>
            <w:r w:rsidRPr="00C5616F">
              <w:t xml:space="preserve">30 per cent, driven by the forecast strength of mining </w:t>
            </w:r>
            <w:r>
              <w:t xml:space="preserve">investment </w:t>
            </w:r>
            <w:r w:rsidRPr="00C5616F">
              <w:t>related construction.  By contrast, those parts of the non-farm economy that will not benefit directly from the resources boom are expect</w:t>
            </w:r>
            <w:r>
              <w:t xml:space="preserve">ed to grow 0.2 per cent in 2011-12 and 0.7 </w:t>
            </w:r>
            <w:r w:rsidRPr="00C5616F">
              <w:t xml:space="preserve">per cent in 2012-13, following </w:t>
            </w:r>
            <w:r>
              <w:t>1.5</w:t>
            </w:r>
            <w:r w:rsidRPr="00C5616F">
              <w:t xml:space="preserve"> per cent growth in 2010-11.  </w:t>
            </w:r>
          </w:p>
          <w:p w:rsidR="003E5E2E" w:rsidRDefault="003E5E2E" w:rsidP="0001312B">
            <w:pPr>
              <w:spacing w:after="0"/>
              <w:jc w:val="left"/>
            </w:pPr>
            <w:r w:rsidRPr="001B5E42">
              <w:rPr>
                <w:b/>
              </w:rPr>
              <w:t>Table 1</w:t>
            </w:r>
            <w:r w:rsidRPr="00C5616F">
              <w:t xml:space="preserve">: </w:t>
            </w:r>
            <w:r w:rsidRPr="002158C7">
              <w:rPr>
                <w:b/>
              </w:rPr>
              <w:t>Estimated growth in production (per cent, year average)</w:t>
            </w:r>
          </w:p>
          <w:p w:rsidR="003E5E2E" w:rsidRDefault="003E5E2E" w:rsidP="0001312B">
            <w:pPr>
              <w:pStyle w:val="Chartgraphic"/>
              <w:spacing w:after="120"/>
              <w:jc w:val="left"/>
            </w:pPr>
            <w:r>
              <w:object w:dxaOrig="8126" w:dyaOrig="2110">
                <v:shape id="_x0000_i1026" type="#_x0000_t75" style="width:405.95pt;height:105.5pt" o:ole="">
                  <v:imagedata r:id="rId17" o:title=""/>
                </v:shape>
                <o:OLEObject Type="Link" ProgID="Excel.Sheet.12" ShapeID="_x0000_i1026" DrawAspect="Content" r:id="rId18" UpdateMode="Always">
                  <o:LinkType>EnhancedMetaFile</o:LinkType>
                  <o:LockedField>false</o:LockedField>
                  <o:FieldCodes>\* MERGEFORMAT</o:FieldCodes>
                </o:OLEObject>
              </w:object>
            </w:r>
            <w:r>
              <w:br/>
            </w:r>
            <w:r w:rsidRPr="00D050DB">
              <w:rPr>
                <w:sz w:val="16"/>
                <w:szCs w:val="16"/>
              </w:rPr>
              <w:t>1.  Includes related metals manufacturing</w:t>
            </w:r>
            <w:r>
              <w:t>.</w:t>
            </w:r>
          </w:p>
          <w:p w:rsidR="003E5E2E" w:rsidRPr="007631BD" w:rsidRDefault="003E5E2E" w:rsidP="0001312B">
            <w:pPr>
              <w:pStyle w:val="Chartgraphic"/>
              <w:spacing w:after="120"/>
              <w:jc w:val="left"/>
            </w:pPr>
            <w:r w:rsidRPr="00C5616F">
              <w:t>A key conclusion is that</w:t>
            </w:r>
            <w:r>
              <w:t xml:space="preserve">, while the Australian economy is forecast to grow at around the trend rate in aggregate over the forecast horizon, </w:t>
            </w:r>
            <w:r w:rsidRPr="00C5616F">
              <w:t>growth across those parts of the economy that are not benefitting dir</w:t>
            </w:r>
            <w:r>
              <w:t>ectly from the resources boom is very weak.  Aggregate growth in the relatively labour intensive non-mining and mining-related sectors together (representing around 80 per cent of production and around 94 per cent of aggregate non-farm employment) is forecast to be around 3 per cent in both 2011-12 and 2012-13, or around trend.</w:t>
            </w:r>
          </w:p>
        </w:tc>
      </w:tr>
    </w:tbl>
    <w:p w:rsidR="005E0B68" w:rsidRPr="005E0B68" w:rsidDel="00EC0AC1" w:rsidRDefault="005E0B68" w:rsidP="005E0B68">
      <w:pPr>
        <w:spacing w:after="200" w:line="276" w:lineRule="auto"/>
        <w:rPr>
          <w:rFonts w:eastAsia="Calibri"/>
          <w:szCs w:val="22"/>
        </w:rPr>
      </w:pPr>
      <w:r w:rsidRPr="005E0B68">
        <w:rPr>
          <w:rFonts w:eastAsia="Calibri"/>
          <w:szCs w:val="22"/>
        </w:rPr>
        <w:lastRenderedPageBreak/>
        <w:t xml:space="preserve">Capacity pressures </w:t>
      </w:r>
      <w:r w:rsidR="009D44EE">
        <w:rPr>
          <w:rFonts w:eastAsia="Calibri"/>
          <w:szCs w:val="22"/>
        </w:rPr>
        <w:t xml:space="preserve">outside the mining sector </w:t>
      </w:r>
      <w:r w:rsidR="00875408">
        <w:rPr>
          <w:rFonts w:eastAsia="Calibri"/>
          <w:szCs w:val="22"/>
        </w:rPr>
        <w:t>are</w:t>
      </w:r>
      <w:r w:rsidRPr="005E0B68">
        <w:rPr>
          <w:rFonts w:eastAsia="Calibri"/>
          <w:szCs w:val="22"/>
        </w:rPr>
        <w:t xml:space="preserve"> expected to </w:t>
      </w:r>
      <w:r w:rsidR="009D44EE">
        <w:rPr>
          <w:rFonts w:eastAsia="Calibri"/>
          <w:szCs w:val="22"/>
        </w:rPr>
        <w:t>ease</w:t>
      </w:r>
      <w:r w:rsidRPr="005E0B68">
        <w:rPr>
          <w:rFonts w:eastAsia="Calibri"/>
          <w:szCs w:val="22"/>
        </w:rPr>
        <w:t xml:space="preserve"> gradually over the forecast horizon and therefore the forecasts for wages growth and inflation have also been revised down since June.  After accelerating through 2010, growth in the Wage Price Index stabilised in the June quarter at around its long</w:t>
      </w:r>
      <w:r w:rsidRPr="005E0B68">
        <w:rPr>
          <w:rFonts w:eastAsia="Calibri"/>
          <w:szCs w:val="22"/>
        </w:rPr>
        <w:noBreakHyphen/>
        <w:t xml:space="preserve">run average.  The Wage Price Index growth forecasts have been downgraded by ¼ of a </w:t>
      </w:r>
      <w:r w:rsidR="00CB47BB">
        <w:rPr>
          <w:rFonts w:eastAsia="Calibri"/>
          <w:szCs w:val="22"/>
        </w:rPr>
        <w:t>percentage point</w:t>
      </w:r>
      <w:r w:rsidRPr="005E0B68">
        <w:rPr>
          <w:rFonts w:eastAsia="Calibri"/>
          <w:szCs w:val="22"/>
        </w:rPr>
        <w:t xml:space="preserve"> in each year to 3¾ per cent through the year to the June quarter of </w:t>
      </w:r>
      <w:r w:rsidR="00A163D7">
        <w:rPr>
          <w:rFonts w:eastAsia="Calibri"/>
          <w:szCs w:val="22"/>
        </w:rPr>
        <w:t xml:space="preserve">both </w:t>
      </w:r>
      <w:r w:rsidRPr="005E0B68">
        <w:rPr>
          <w:rFonts w:eastAsia="Calibri"/>
          <w:szCs w:val="22"/>
        </w:rPr>
        <w:t xml:space="preserve">2012 and 2013.  Underlying and headline inflation are forecast to be 2½ per cent through the year to June 2012, with </w:t>
      </w:r>
      <w:r w:rsidR="00CB47BB">
        <w:rPr>
          <w:rFonts w:eastAsia="Calibri"/>
          <w:szCs w:val="22"/>
        </w:rPr>
        <w:t xml:space="preserve">the </w:t>
      </w:r>
      <w:r w:rsidRPr="005E0B68">
        <w:rPr>
          <w:rFonts w:eastAsia="Calibri"/>
          <w:szCs w:val="22"/>
        </w:rPr>
        <w:t xml:space="preserve">introduction of the carbon price expected to raise underlying inflation to 2¾ per cent and headline inflation to 3¼ per cent through the year to June 2013.  </w:t>
      </w:r>
      <w:r w:rsidR="00A163D7">
        <w:rPr>
          <w:rFonts w:eastAsia="Calibri"/>
          <w:szCs w:val="22"/>
        </w:rPr>
        <w:t>Despite capacity pressures easing</w:t>
      </w:r>
      <w:r w:rsidR="00AC5A34">
        <w:rPr>
          <w:rFonts w:eastAsia="Calibri"/>
          <w:szCs w:val="22"/>
        </w:rPr>
        <w:t xml:space="preserve">, rising prices for health, education and utilities </w:t>
      </w:r>
      <w:r w:rsidR="00A163D7">
        <w:rPr>
          <w:rFonts w:eastAsia="Calibri"/>
          <w:szCs w:val="22"/>
        </w:rPr>
        <w:t>are expected to</w:t>
      </w:r>
      <w:r w:rsidR="00AC5A34">
        <w:rPr>
          <w:rFonts w:eastAsia="Calibri"/>
          <w:szCs w:val="22"/>
        </w:rPr>
        <w:t xml:space="preserve"> continue to support non-tradeable inflation.  Import prices may also </w:t>
      </w:r>
      <w:r w:rsidRPr="005E0B68">
        <w:rPr>
          <w:rFonts w:eastAsia="Calibri"/>
          <w:szCs w:val="22"/>
        </w:rPr>
        <w:t xml:space="preserve">exert less of a deflationary influence </w:t>
      </w:r>
      <w:r w:rsidR="00AC5A34">
        <w:rPr>
          <w:rFonts w:eastAsia="Calibri"/>
          <w:szCs w:val="22"/>
        </w:rPr>
        <w:t>over the medium</w:t>
      </w:r>
      <w:r w:rsidR="00AC5A34">
        <w:rPr>
          <w:rFonts w:eastAsia="Calibri"/>
          <w:szCs w:val="22"/>
        </w:rPr>
        <w:noBreakHyphen/>
        <w:t xml:space="preserve">term </w:t>
      </w:r>
      <w:r w:rsidRPr="005E0B68">
        <w:rPr>
          <w:rFonts w:eastAsia="Calibri"/>
          <w:szCs w:val="22"/>
        </w:rPr>
        <w:t xml:space="preserve">as the pass-through of </w:t>
      </w:r>
      <w:r w:rsidR="00A163D7">
        <w:rPr>
          <w:rFonts w:eastAsia="Calibri"/>
          <w:szCs w:val="22"/>
        </w:rPr>
        <w:t xml:space="preserve">earlier </w:t>
      </w:r>
      <w:r w:rsidRPr="005E0B68">
        <w:rPr>
          <w:rFonts w:eastAsia="Calibri"/>
          <w:szCs w:val="22"/>
        </w:rPr>
        <w:t xml:space="preserve">exchange rate appreciation wanes and </w:t>
      </w:r>
      <w:r w:rsidR="00AC5A34">
        <w:rPr>
          <w:rFonts w:eastAsia="Calibri"/>
          <w:szCs w:val="22"/>
        </w:rPr>
        <w:t>as</w:t>
      </w:r>
      <w:r w:rsidRPr="005E0B68">
        <w:rPr>
          <w:rFonts w:eastAsia="Calibri"/>
          <w:szCs w:val="22"/>
        </w:rPr>
        <w:t xml:space="preserve"> rising wages in emerging market economies add to global manufacturing prices.</w:t>
      </w:r>
    </w:p>
    <w:p w:rsidR="005E0B68" w:rsidRPr="006A3340" w:rsidRDefault="005E0B68" w:rsidP="005E0B68">
      <w:pPr>
        <w:spacing w:after="200" w:line="276" w:lineRule="auto"/>
      </w:pPr>
      <w:r w:rsidRPr="00802585">
        <w:rPr>
          <w:szCs w:val="22"/>
        </w:rPr>
        <w:t>The terms of trade forecast</w:t>
      </w:r>
      <w:r w:rsidR="00AC5A34">
        <w:rPr>
          <w:szCs w:val="22"/>
        </w:rPr>
        <w:t>s</w:t>
      </w:r>
      <w:r w:rsidRPr="00802585">
        <w:rPr>
          <w:szCs w:val="22"/>
        </w:rPr>
        <w:t xml:space="preserve"> </w:t>
      </w:r>
      <w:r w:rsidR="00AC5A34">
        <w:rPr>
          <w:szCs w:val="22"/>
        </w:rPr>
        <w:t>have been revised</w:t>
      </w:r>
      <w:r w:rsidRPr="00802585">
        <w:rPr>
          <w:szCs w:val="22"/>
        </w:rPr>
        <w:t xml:space="preserve"> </w:t>
      </w:r>
      <w:r w:rsidR="00A163D7">
        <w:rPr>
          <w:szCs w:val="22"/>
        </w:rPr>
        <w:t xml:space="preserve">slightly </w:t>
      </w:r>
      <w:r w:rsidRPr="00802585">
        <w:rPr>
          <w:szCs w:val="22"/>
        </w:rPr>
        <w:t>higher in 2011-12 and 2012-13.  Prices of Australia’s key non</w:t>
      </w:r>
      <w:r w:rsidRPr="00802585">
        <w:rPr>
          <w:szCs w:val="22"/>
        </w:rPr>
        <w:noBreakHyphen/>
        <w:t xml:space="preserve">rural commodity exports remain elevated, in part due to a more protracted return to normal operations at Queensland coal mines and </w:t>
      </w:r>
      <w:r w:rsidR="00F669DF">
        <w:rPr>
          <w:szCs w:val="22"/>
        </w:rPr>
        <w:t xml:space="preserve">underpinned by </w:t>
      </w:r>
      <w:r w:rsidRPr="00802585">
        <w:rPr>
          <w:szCs w:val="22"/>
        </w:rPr>
        <w:t xml:space="preserve">continued robust demand from China. </w:t>
      </w:r>
      <w:r>
        <w:t xml:space="preserve">While most commodity prices have declined since the start of August, spot prices for iron ore and coal have remained stable, suggesting that physical demand has held up despite the volatility in financial markets.  There have also been further delays to mine expansion plans, both in Australia and overseas, pushing out supply projections. </w:t>
      </w:r>
      <w:r w:rsidRPr="0055089B">
        <w:t xml:space="preserve">The terms of trade are now expected to increase 3 per cent in 2011-12, before declining 6¾ per cent in 2012-13 as increasing global iron ore and coal supply capacity comes on line.  </w:t>
      </w:r>
      <w:r w:rsidR="00AC5A34">
        <w:t xml:space="preserve">This would leave </w:t>
      </w:r>
      <w:r w:rsidRPr="0055089B">
        <w:t xml:space="preserve">the </w:t>
      </w:r>
      <w:r w:rsidRPr="006A3340">
        <w:t xml:space="preserve">level of the terms of trade around ¾ of a per cent higher </w:t>
      </w:r>
      <w:r w:rsidR="00AC5A34" w:rsidRPr="006A3340">
        <w:t xml:space="preserve">at the end of the forecast horizon </w:t>
      </w:r>
      <w:r w:rsidRPr="006A3340">
        <w:t xml:space="preserve">than anticipated </w:t>
      </w:r>
      <w:r w:rsidR="00617AD7">
        <w:t>in</w:t>
      </w:r>
      <w:r w:rsidRPr="006A3340">
        <w:t xml:space="preserve"> June.</w:t>
      </w:r>
      <w:r>
        <w:t xml:space="preserve">  However, </w:t>
      </w:r>
      <w:r w:rsidR="00AC5A34">
        <w:t xml:space="preserve">consistent with the experience of the global financial crisis, </w:t>
      </w:r>
      <w:r>
        <w:t>there is a risk that the deterioration in global conditions could lead to a sharp</w:t>
      </w:r>
      <w:r w:rsidR="00CE201A">
        <w:t>er</w:t>
      </w:r>
      <w:r>
        <w:t xml:space="preserve"> decline in prices of Australia’s non-rural commodity exports and </w:t>
      </w:r>
      <w:r w:rsidR="00AC5A34">
        <w:t>hence</w:t>
      </w:r>
      <w:r>
        <w:t xml:space="preserve"> the terms of trade.</w:t>
      </w:r>
    </w:p>
    <w:p w:rsidR="005E0B68" w:rsidRDefault="005E0B68" w:rsidP="00AC5A34">
      <w:pPr>
        <w:spacing w:after="200" w:line="276" w:lineRule="auto"/>
      </w:pPr>
      <w:r w:rsidRPr="00AC5A34">
        <w:t xml:space="preserve">Nominal GDP is forecast to grow 6½ per cent in 2011-12 and 4½ per cent in 2012-13.  Forecast growth in nominal GDP is ¼ of a </w:t>
      </w:r>
      <w:r w:rsidR="00F669DF">
        <w:t>percentage</w:t>
      </w:r>
      <w:r w:rsidRPr="00AC5A34">
        <w:t xml:space="preserve"> point lower in 2011-12 than </w:t>
      </w:r>
      <w:r w:rsidR="00617AD7">
        <w:t>in</w:t>
      </w:r>
      <w:r w:rsidRPr="00AC5A34">
        <w:t xml:space="preserve"> June, reflecting the ½ of a </w:t>
      </w:r>
      <w:r w:rsidR="00AC5A34" w:rsidRPr="00AC5A34">
        <w:t>percentage</w:t>
      </w:r>
      <w:r w:rsidRPr="00AC5A34">
        <w:t xml:space="preserve"> point downgrade to real GDP growth, partially offset by the upward revision to the terms of trade.  However, forecast nominal GDP growth has been revised down by ½ of a percentage point to 4½ per cent in 2012-13, in line with lower expected real GDP growth. </w:t>
      </w:r>
      <w:r w:rsidR="00F669DF">
        <w:t>Attachment A contains a detailed description of the movements in nominal GDP since the June forecasting round.</w:t>
      </w:r>
    </w:p>
    <w:p w:rsidR="000A1B48" w:rsidRDefault="000A1B48" w:rsidP="00AC5A34">
      <w:pPr>
        <w:spacing w:after="200" w:line="276" w:lineRule="auto"/>
      </w:pPr>
    </w:p>
    <w:p w:rsidR="00201ED5" w:rsidRPr="007711BC" w:rsidRDefault="009A79E9" w:rsidP="00617AD7">
      <w:pPr>
        <w:pStyle w:val="TableGraphic"/>
        <w:widowControl w:val="0"/>
        <w:spacing w:after="0"/>
        <w:rPr>
          <w:rFonts w:cs="Tahoma"/>
        </w:rPr>
      </w:pPr>
      <w:r w:rsidRPr="007711BC">
        <w:rPr>
          <w:rFonts w:cs="Tahoma"/>
        </w:rPr>
        <w:lastRenderedPageBreak/>
        <w:t>Table 2 – Domestic economy forecasts</w:t>
      </w:r>
    </w:p>
    <w:p w:rsidR="00736A29" w:rsidRDefault="007A0EFB" w:rsidP="005A7019">
      <w:pPr>
        <w:pStyle w:val="NoSpacing"/>
      </w:pPr>
      <w:r>
        <w:object w:dxaOrig="9720" w:dyaOrig="13515">
          <v:shape id="_x0000_i1027" type="#_x0000_t75" style="width:486.6pt;height:667.85pt" o:ole="">
            <v:imagedata r:id="rId19" o:title=""/>
          </v:shape>
          <o:OLEObject Type="Link" ProgID="Excel.SheetMacroEnabled.12" ShapeID="_x0000_i1027" DrawAspect="Content" r:id="rId20" UpdateMode="Always">
            <o:LinkType>EnhancedMetaFile</o:LinkType>
            <o:LockedField>false</o:LockedField>
          </o:OLEObject>
        </w:object>
      </w:r>
    </w:p>
    <w:p w:rsidR="00D11D57" w:rsidRPr="005257C1" w:rsidRDefault="00D11D57" w:rsidP="005A7019">
      <w:pPr>
        <w:pStyle w:val="NoSpacing"/>
        <w:sectPr w:rsidR="00D11D57" w:rsidRPr="005257C1" w:rsidSect="005C0392">
          <w:headerReference w:type="even" r:id="rId21"/>
          <w:headerReference w:type="default" r:id="rId22"/>
          <w:footerReference w:type="default" r:id="rId23"/>
          <w:pgSz w:w="11907" w:h="16840" w:code="9"/>
          <w:pgMar w:top="1418" w:right="1418" w:bottom="1418" w:left="1418" w:header="567" w:footer="567" w:gutter="0"/>
          <w:cols w:space="720"/>
        </w:sectPr>
      </w:pPr>
    </w:p>
    <w:p w:rsidR="00C825B7" w:rsidRPr="00E840A2" w:rsidRDefault="000747B3" w:rsidP="00C61FA2">
      <w:pPr>
        <w:pStyle w:val="Heading3"/>
      </w:pPr>
      <w:r>
        <w:lastRenderedPageBreak/>
        <w:br w:type="page"/>
      </w:r>
      <w:bookmarkStart w:id="28" w:name="_Toc304990762"/>
      <w:r w:rsidR="002C5A92" w:rsidRPr="00E840A2">
        <w:lastRenderedPageBreak/>
        <w:t>O</w:t>
      </w:r>
      <w:r w:rsidR="00991D21" w:rsidRPr="00E840A2">
        <w:t>utlook for the domestic economy</w:t>
      </w:r>
      <w:bookmarkEnd w:id="27"/>
      <w:bookmarkEnd w:id="28"/>
    </w:p>
    <w:p w:rsidR="00106AD7" w:rsidRPr="00E840A2" w:rsidRDefault="00106AD7" w:rsidP="00106AD7">
      <w:pPr>
        <w:pStyle w:val="NormalWeb"/>
        <w:shd w:val="clear" w:color="auto" w:fill="FFFFFF"/>
        <w:jc w:val="both"/>
        <w:rPr>
          <w:rFonts w:ascii="Book Antiqua" w:hAnsi="Book Antiqua"/>
          <w:sz w:val="20"/>
          <w:szCs w:val="20"/>
        </w:rPr>
      </w:pPr>
      <w:bookmarkStart w:id="29" w:name="_Toc180222111"/>
      <w:bookmarkStart w:id="30" w:name="_Toc185498660"/>
      <w:r w:rsidRPr="00E840A2">
        <w:rPr>
          <w:rFonts w:ascii="Book Antiqua" w:hAnsi="Book Antiqua"/>
          <w:sz w:val="20"/>
          <w:szCs w:val="20"/>
        </w:rPr>
        <w:t xml:space="preserve">Australia’s economic growth is forecast to </w:t>
      </w:r>
      <w:r w:rsidR="00A965BE">
        <w:rPr>
          <w:rFonts w:ascii="Book Antiqua" w:hAnsi="Book Antiqua"/>
          <w:sz w:val="20"/>
          <w:szCs w:val="20"/>
        </w:rPr>
        <w:t>be</w:t>
      </w:r>
      <w:r w:rsidRPr="00E840A2">
        <w:rPr>
          <w:rFonts w:ascii="Book Antiqua" w:hAnsi="Book Antiqua"/>
          <w:sz w:val="20"/>
          <w:szCs w:val="20"/>
        </w:rPr>
        <w:t xml:space="preserve"> </w:t>
      </w:r>
      <w:r w:rsidR="00A74064" w:rsidRPr="00E840A2">
        <w:rPr>
          <w:rFonts w:ascii="Book Antiqua" w:hAnsi="Book Antiqua"/>
          <w:sz w:val="20"/>
          <w:szCs w:val="20"/>
        </w:rPr>
        <w:t>3</w:t>
      </w:r>
      <w:r w:rsidR="008D0D88">
        <w:rPr>
          <w:rFonts w:ascii="Book Antiqua" w:hAnsi="Book Antiqua"/>
          <w:sz w:val="20"/>
          <w:szCs w:val="20"/>
        </w:rPr>
        <w:t>¼</w:t>
      </w:r>
      <w:r w:rsidRPr="00E840A2">
        <w:rPr>
          <w:rFonts w:ascii="Book Antiqua" w:hAnsi="Book Antiqua"/>
          <w:sz w:val="20"/>
          <w:szCs w:val="20"/>
        </w:rPr>
        <w:t xml:space="preserve"> per cent in 2011-12 and </w:t>
      </w:r>
      <w:r w:rsidR="00A74064" w:rsidRPr="00E840A2">
        <w:rPr>
          <w:rFonts w:ascii="Book Antiqua" w:hAnsi="Book Antiqua"/>
          <w:sz w:val="20"/>
          <w:szCs w:val="20"/>
        </w:rPr>
        <w:t>3</w:t>
      </w:r>
      <w:r w:rsidRPr="00E840A2">
        <w:rPr>
          <w:rFonts w:ascii="Book Antiqua" w:hAnsi="Book Antiqua"/>
          <w:sz w:val="20"/>
          <w:szCs w:val="20"/>
        </w:rPr>
        <w:t xml:space="preserve"> per cent in 2012</w:t>
      </w:r>
      <w:r w:rsidRPr="00E840A2">
        <w:rPr>
          <w:rFonts w:ascii="Book Antiqua" w:hAnsi="Book Antiqua"/>
          <w:sz w:val="20"/>
          <w:szCs w:val="20"/>
        </w:rPr>
        <w:noBreakHyphen/>
        <w:t xml:space="preserve">13. Compared with </w:t>
      </w:r>
      <w:r w:rsidR="000304B6" w:rsidRPr="00E840A2">
        <w:rPr>
          <w:rFonts w:ascii="Book Antiqua" w:hAnsi="Book Antiqua"/>
          <w:sz w:val="20"/>
          <w:szCs w:val="20"/>
        </w:rPr>
        <w:t>June</w:t>
      </w:r>
      <w:r w:rsidRPr="00E840A2">
        <w:rPr>
          <w:rFonts w:ascii="Book Antiqua" w:hAnsi="Book Antiqua"/>
          <w:sz w:val="20"/>
          <w:szCs w:val="20"/>
        </w:rPr>
        <w:t xml:space="preserve">, the real GDP growth forecasts have been downgraded by </w:t>
      </w:r>
      <w:r w:rsidR="00626EC8">
        <w:rPr>
          <w:rFonts w:ascii="Book Antiqua" w:hAnsi="Book Antiqua"/>
          <w:sz w:val="20"/>
          <w:szCs w:val="20"/>
        </w:rPr>
        <w:t>½ </w:t>
      </w:r>
      <w:r w:rsidR="000304B6" w:rsidRPr="00E840A2">
        <w:rPr>
          <w:rFonts w:ascii="Book Antiqua" w:hAnsi="Book Antiqua"/>
          <w:sz w:val="20"/>
          <w:szCs w:val="20"/>
        </w:rPr>
        <w:t>o</w:t>
      </w:r>
      <w:r w:rsidRPr="00E840A2">
        <w:rPr>
          <w:rFonts w:ascii="Book Antiqua" w:hAnsi="Book Antiqua"/>
          <w:sz w:val="20"/>
          <w:szCs w:val="20"/>
        </w:rPr>
        <w:t xml:space="preserve">f a percentage point in </w:t>
      </w:r>
      <w:r w:rsidR="000E1814">
        <w:rPr>
          <w:rFonts w:ascii="Book Antiqua" w:hAnsi="Book Antiqua"/>
          <w:sz w:val="20"/>
          <w:szCs w:val="20"/>
        </w:rPr>
        <w:t xml:space="preserve">2011-12 and ¼ of a percentage point in 2012-13, inclusive of the </w:t>
      </w:r>
      <w:r w:rsidR="002A7BE7">
        <w:rPr>
          <w:rFonts w:ascii="Book Antiqua" w:hAnsi="Book Antiqua"/>
          <w:sz w:val="20"/>
          <w:szCs w:val="20"/>
        </w:rPr>
        <w:t xml:space="preserve">estimated impact of the Government’s carbon price policy. </w:t>
      </w:r>
    </w:p>
    <w:p w:rsidR="006B4DF6" w:rsidRPr="00E840A2" w:rsidRDefault="006B4DF6" w:rsidP="002940D6">
      <w:pPr>
        <w:pStyle w:val="Heading4"/>
        <w:keepNext w:val="0"/>
        <w:spacing w:before="240"/>
        <w:rPr>
          <w:sz w:val="20"/>
          <w:szCs w:val="20"/>
        </w:rPr>
      </w:pPr>
      <w:bookmarkStart w:id="31" w:name="_Toc304990763"/>
      <w:r w:rsidRPr="00E840A2">
        <w:rPr>
          <w:sz w:val="20"/>
          <w:szCs w:val="20"/>
        </w:rPr>
        <w:t>Household consumption</w:t>
      </w:r>
      <w:bookmarkEnd w:id="31"/>
    </w:p>
    <w:bookmarkEnd w:id="29"/>
    <w:p w:rsidR="00C11C18" w:rsidRPr="00E840A2" w:rsidRDefault="00C11C18" w:rsidP="00C11C18">
      <w:pPr>
        <w:pStyle w:val="NormalWeb"/>
        <w:shd w:val="clear" w:color="auto" w:fill="FFFFFF"/>
        <w:spacing w:before="120" w:beforeAutospacing="0" w:after="120" w:afterAutospacing="0"/>
        <w:jc w:val="both"/>
        <w:rPr>
          <w:rFonts w:ascii="Book Antiqua" w:hAnsi="Book Antiqua"/>
          <w:sz w:val="20"/>
          <w:szCs w:val="20"/>
        </w:rPr>
      </w:pPr>
      <w:r w:rsidRPr="00E840A2">
        <w:rPr>
          <w:rFonts w:ascii="Book Antiqua" w:hAnsi="Book Antiqua"/>
          <w:b/>
          <w:sz w:val="20"/>
          <w:szCs w:val="20"/>
        </w:rPr>
        <w:t>Household consumption</w:t>
      </w:r>
      <w:r w:rsidRPr="00E840A2">
        <w:rPr>
          <w:rFonts w:ascii="Book Antiqua" w:hAnsi="Book Antiqua"/>
          <w:sz w:val="20"/>
          <w:szCs w:val="20"/>
        </w:rPr>
        <w:t xml:space="preserve"> is forecast to grow </w:t>
      </w:r>
      <w:r w:rsidR="008D0D88">
        <w:rPr>
          <w:rFonts w:ascii="Book Antiqua" w:hAnsi="Book Antiqua"/>
          <w:sz w:val="20"/>
          <w:szCs w:val="20"/>
        </w:rPr>
        <w:t xml:space="preserve">2¾ </w:t>
      </w:r>
      <w:r w:rsidRPr="00E840A2">
        <w:rPr>
          <w:rFonts w:ascii="Book Antiqua" w:hAnsi="Book Antiqua"/>
          <w:sz w:val="20"/>
          <w:szCs w:val="20"/>
        </w:rPr>
        <w:t>per cent in</w:t>
      </w:r>
      <w:r w:rsidR="0029222B">
        <w:rPr>
          <w:rFonts w:ascii="Book Antiqua" w:hAnsi="Book Antiqua"/>
          <w:sz w:val="20"/>
          <w:szCs w:val="20"/>
        </w:rPr>
        <w:t xml:space="preserve"> 2011-12 and 3 per cent in 2012</w:t>
      </w:r>
      <w:r w:rsidR="0029222B">
        <w:rPr>
          <w:rFonts w:ascii="Book Antiqua" w:hAnsi="Book Antiqua"/>
          <w:sz w:val="20"/>
          <w:szCs w:val="20"/>
        </w:rPr>
        <w:noBreakHyphen/>
      </w:r>
      <w:r w:rsidRPr="00E840A2">
        <w:rPr>
          <w:rFonts w:ascii="Book Antiqua" w:hAnsi="Book Antiqua"/>
          <w:sz w:val="20"/>
          <w:szCs w:val="20"/>
        </w:rPr>
        <w:t xml:space="preserve">13 – a downward revision of </w:t>
      </w:r>
      <w:r w:rsidR="008D0D88">
        <w:rPr>
          <w:rFonts w:ascii="Book Antiqua" w:hAnsi="Book Antiqua"/>
          <w:sz w:val="20"/>
          <w:szCs w:val="20"/>
        </w:rPr>
        <w:t>½</w:t>
      </w:r>
      <w:r w:rsidRPr="00E840A2">
        <w:rPr>
          <w:rFonts w:ascii="Book Antiqua" w:hAnsi="Book Antiqua"/>
          <w:sz w:val="20"/>
          <w:szCs w:val="20"/>
        </w:rPr>
        <w:t xml:space="preserve"> of a percentage point </w:t>
      </w:r>
      <w:r w:rsidR="00AD0EC7">
        <w:rPr>
          <w:rFonts w:ascii="Book Antiqua" w:hAnsi="Book Antiqua"/>
          <w:sz w:val="20"/>
          <w:szCs w:val="20"/>
        </w:rPr>
        <w:t xml:space="preserve">in each forecast year </w:t>
      </w:r>
      <w:r w:rsidR="00A82074">
        <w:rPr>
          <w:rFonts w:ascii="Book Antiqua" w:hAnsi="Book Antiqua"/>
          <w:sz w:val="20"/>
          <w:szCs w:val="20"/>
        </w:rPr>
        <w:t xml:space="preserve">from </w:t>
      </w:r>
      <w:r w:rsidR="000A2E59">
        <w:rPr>
          <w:rFonts w:ascii="Book Antiqua" w:hAnsi="Book Antiqua"/>
          <w:sz w:val="20"/>
          <w:szCs w:val="20"/>
        </w:rPr>
        <w:t>the June round</w:t>
      </w:r>
      <w:r w:rsidRPr="00E840A2">
        <w:rPr>
          <w:rFonts w:ascii="Book Antiqua" w:hAnsi="Book Antiqua"/>
          <w:sz w:val="20"/>
          <w:szCs w:val="20"/>
        </w:rPr>
        <w:t xml:space="preserve"> (Chart </w:t>
      </w:r>
      <w:r w:rsidR="006C6C34">
        <w:rPr>
          <w:rFonts w:ascii="Book Antiqua" w:hAnsi="Book Antiqua"/>
          <w:sz w:val="20"/>
          <w:szCs w:val="20"/>
        </w:rPr>
        <w:t>1</w:t>
      </w:r>
      <w:r w:rsidRPr="00E840A2">
        <w:rPr>
          <w:rFonts w:ascii="Book Antiqua" w:hAnsi="Book Antiqua"/>
          <w:sz w:val="20"/>
          <w:szCs w:val="20"/>
        </w:rPr>
        <w:t xml:space="preserve">). </w:t>
      </w:r>
    </w:p>
    <w:p w:rsidR="0060553E" w:rsidRDefault="0060553E" w:rsidP="0060553E">
      <w:pPr>
        <w:pStyle w:val="Chartgraphic"/>
        <w:rPr>
          <w:noProof/>
          <w:lang w:eastAsia="en-AU"/>
        </w:rPr>
      </w:pPr>
    </w:p>
    <w:p w:rsidR="00331A1C" w:rsidRPr="006D0358" w:rsidRDefault="00331A1C" w:rsidP="006D0358">
      <w:pPr>
        <w:keepNext/>
        <w:spacing w:after="0"/>
        <w:jc w:val="center"/>
        <w:rPr>
          <w:rFonts w:ascii="Tahoma" w:hAnsi="Tahoma" w:cs="Tahoma"/>
          <w:b/>
        </w:rPr>
      </w:pPr>
      <w:r w:rsidRPr="002B6E1B">
        <w:rPr>
          <w:b/>
        </w:rPr>
        <w:t xml:space="preserve">Chart </w:t>
      </w:r>
      <w:r>
        <w:rPr>
          <w:b/>
        </w:rPr>
        <w:t>1</w:t>
      </w:r>
      <w:r w:rsidRPr="002B6E1B">
        <w:rPr>
          <w:b/>
        </w:rPr>
        <w:t>: Household consumption</w:t>
      </w:r>
    </w:p>
    <w:p w:rsidR="00617AD7" w:rsidRPr="00617AD7" w:rsidRDefault="0004725C" w:rsidP="00617AD7">
      <w:pPr>
        <w:pStyle w:val="Chartgraphic"/>
        <w:keepNext/>
        <w:spacing w:after="0"/>
        <w:rPr>
          <w:rFonts w:ascii="Tahoma" w:hAnsi="Tahoma" w:cs="Tahoma"/>
          <w:sz w:val="16"/>
          <w:szCs w:val="16"/>
        </w:rPr>
      </w:pPr>
      <w:r>
        <w:rPr>
          <w:lang w:eastAsia="en-AU"/>
        </w:rPr>
        <w:pict>
          <v:shape id="_x0000_i1028" type="#_x0000_t75" style="width:211.05pt;height:213.5pt">
            <v:imagedata r:id="rId24" o:title=""/>
          </v:shape>
        </w:pict>
      </w:r>
      <w:r w:rsidR="00C11C18" w:rsidRPr="00E840A2">
        <w:rPr>
          <w:rFonts w:ascii="Tahoma" w:hAnsi="Tahoma" w:cs="Tahoma"/>
          <w:sz w:val="16"/>
          <w:szCs w:val="16"/>
        </w:rPr>
        <w:t>Source:</w:t>
      </w:r>
      <w:r w:rsidR="00C11C18" w:rsidRPr="00E840A2">
        <w:rPr>
          <w:szCs w:val="20"/>
        </w:rPr>
        <w:t xml:space="preserve">  </w:t>
      </w:r>
      <w:r w:rsidR="00C11C18" w:rsidRPr="00E840A2">
        <w:rPr>
          <w:rFonts w:ascii="Tahoma" w:hAnsi="Tahoma" w:cs="Tahoma"/>
          <w:sz w:val="16"/>
          <w:szCs w:val="16"/>
        </w:rPr>
        <w:t>ABS Catalogue Number 5206.0 and Treasury.</w:t>
      </w:r>
      <w:r w:rsidR="00617AD7">
        <w:rPr>
          <w:rFonts w:ascii="Tahoma" w:hAnsi="Tahoma" w:cs="Tahoma"/>
          <w:sz w:val="16"/>
          <w:szCs w:val="16"/>
        </w:rPr>
        <w:br/>
      </w:r>
    </w:p>
    <w:p w:rsidR="00C11C18" w:rsidRPr="00E840A2" w:rsidRDefault="00AD0EC7" w:rsidP="00C11C18">
      <w:r>
        <w:rPr>
          <w:rFonts w:eastAsia="Times New Roman"/>
          <w:szCs w:val="20"/>
          <w:lang w:eastAsia="en-AU"/>
        </w:rPr>
        <w:t>Household c</w:t>
      </w:r>
      <w:r w:rsidR="00C11C18" w:rsidRPr="00E840A2">
        <w:rPr>
          <w:rFonts w:eastAsia="Times New Roman"/>
          <w:szCs w:val="20"/>
          <w:lang w:eastAsia="en-AU"/>
        </w:rPr>
        <w:t xml:space="preserve">onsumption growth </w:t>
      </w:r>
      <w:r>
        <w:rPr>
          <w:rFonts w:eastAsia="Times New Roman"/>
          <w:szCs w:val="20"/>
          <w:lang w:eastAsia="en-AU"/>
        </w:rPr>
        <w:t xml:space="preserve">was solid </w:t>
      </w:r>
      <w:r w:rsidR="00C11C18" w:rsidRPr="00E840A2">
        <w:rPr>
          <w:rFonts w:eastAsia="Times New Roman"/>
          <w:szCs w:val="20"/>
          <w:lang w:eastAsia="en-AU"/>
        </w:rPr>
        <w:t>in the June quarter</w:t>
      </w:r>
      <w:r w:rsidR="00910B47">
        <w:rPr>
          <w:rFonts w:eastAsia="Times New Roman"/>
          <w:szCs w:val="20"/>
          <w:lang w:eastAsia="en-AU"/>
        </w:rPr>
        <w:t>, underpinned by continued strength in services</w:t>
      </w:r>
      <w:r w:rsidR="009D5729">
        <w:rPr>
          <w:rFonts w:eastAsia="Times New Roman"/>
          <w:szCs w:val="20"/>
          <w:lang w:eastAsia="en-AU"/>
        </w:rPr>
        <w:t xml:space="preserve"> consumption </w:t>
      </w:r>
      <w:r w:rsidR="00910B47">
        <w:rPr>
          <w:rFonts w:eastAsia="Times New Roman"/>
          <w:szCs w:val="20"/>
          <w:lang w:eastAsia="en-AU"/>
        </w:rPr>
        <w:t xml:space="preserve">and </w:t>
      </w:r>
      <w:r w:rsidR="009D5729">
        <w:rPr>
          <w:rFonts w:eastAsia="Times New Roman"/>
          <w:szCs w:val="20"/>
          <w:lang w:eastAsia="en-AU"/>
        </w:rPr>
        <w:t>solid growth</w:t>
      </w:r>
      <w:r w:rsidR="00910B47">
        <w:rPr>
          <w:rFonts w:eastAsia="Times New Roman"/>
          <w:szCs w:val="20"/>
          <w:lang w:eastAsia="en-AU"/>
        </w:rPr>
        <w:t xml:space="preserve"> in goods purchases.  </w:t>
      </w:r>
      <w:r w:rsidR="00C11C18" w:rsidRPr="00E840A2">
        <w:rPr>
          <w:rFonts w:eastAsia="Times New Roman"/>
          <w:szCs w:val="20"/>
          <w:lang w:eastAsia="en-AU"/>
        </w:rPr>
        <w:t>Balance of payments data suggest that overseas spending by Australian tourists made a significant contribution to consumption growth in the June quarter, with the continued strength of the Australian dollar supporting a surge in overseas departures.</w:t>
      </w:r>
      <w:r w:rsidR="009D5729">
        <w:rPr>
          <w:rFonts w:eastAsia="Times New Roman"/>
          <w:szCs w:val="20"/>
          <w:lang w:eastAsia="en-AU"/>
        </w:rPr>
        <w:t xml:space="preserve">  Combined with </w:t>
      </w:r>
      <w:r w:rsidR="00A82074">
        <w:rPr>
          <w:rFonts w:eastAsia="Times New Roman"/>
          <w:szCs w:val="20"/>
          <w:lang w:eastAsia="en-AU"/>
        </w:rPr>
        <w:t>a continued expansion of online purchases, this explain</w:t>
      </w:r>
      <w:r w:rsidR="006D0358">
        <w:rPr>
          <w:rFonts w:eastAsia="Times New Roman"/>
          <w:szCs w:val="20"/>
          <w:lang w:eastAsia="en-AU"/>
        </w:rPr>
        <w:t>s</w:t>
      </w:r>
      <w:r w:rsidR="00A82074">
        <w:rPr>
          <w:rFonts w:eastAsia="Times New Roman"/>
          <w:szCs w:val="20"/>
          <w:lang w:eastAsia="en-AU"/>
        </w:rPr>
        <w:t xml:space="preserve"> </w:t>
      </w:r>
      <w:r w:rsidR="006D0358">
        <w:rPr>
          <w:rFonts w:eastAsia="Times New Roman"/>
          <w:szCs w:val="20"/>
          <w:lang w:eastAsia="en-AU"/>
        </w:rPr>
        <w:t xml:space="preserve">at least in part </w:t>
      </w:r>
      <w:r w:rsidR="00A82074">
        <w:rPr>
          <w:rFonts w:eastAsia="Times New Roman"/>
          <w:szCs w:val="20"/>
          <w:lang w:eastAsia="en-AU"/>
        </w:rPr>
        <w:t xml:space="preserve">why the retail trade survey would suggest that Australian retailers </w:t>
      </w:r>
      <w:r w:rsidR="00A82074">
        <w:rPr>
          <w:rFonts w:eastAsia="Times New Roman"/>
          <w:szCs w:val="20"/>
          <w:lang w:eastAsia="en-AU"/>
        </w:rPr>
        <w:lastRenderedPageBreak/>
        <w:t>did not benefit from the solid consumption growth in the June quarter.</w:t>
      </w:r>
    </w:p>
    <w:p w:rsidR="00C11C18" w:rsidRPr="00E840A2" w:rsidRDefault="00C11C18" w:rsidP="00C11C18">
      <w:pPr>
        <w:rPr>
          <w:rFonts w:eastAsia="Times New Roman"/>
          <w:szCs w:val="20"/>
          <w:lang w:eastAsia="en-AU"/>
        </w:rPr>
      </w:pPr>
      <w:r w:rsidRPr="00E840A2">
        <w:rPr>
          <w:rFonts w:eastAsia="Times New Roman"/>
          <w:szCs w:val="20"/>
          <w:lang w:eastAsia="en-AU"/>
        </w:rPr>
        <w:t xml:space="preserve">Partial data for the September quarter have </w:t>
      </w:r>
      <w:r w:rsidR="00CB47BB">
        <w:rPr>
          <w:rFonts w:eastAsia="Times New Roman"/>
          <w:szCs w:val="20"/>
          <w:lang w:eastAsia="en-AU"/>
        </w:rPr>
        <w:t>increased following recent monthly declines</w:t>
      </w:r>
      <w:r w:rsidRPr="00E840A2">
        <w:rPr>
          <w:rFonts w:eastAsia="Times New Roman"/>
          <w:szCs w:val="20"/>
          <w:lang w:eastAsia="en-AU"/>
        </w:rPr>
        <w:t xml:space="preserve">. After falling in the June quarter, motor vehicle sales have </w:t>
      </w:r>
      <w:r w:rsidR="00802D61">
        <w:rPr>
          <w:rFonts w:eastAsia="Times New Roman"/>
          <w:szCs w:val="20"/>
          <w:lang w:eastAsia="en-AU"/>
        </w:rPr>
        <w:t>rebounded</w:t>
      </w:r>
      <w:r w:rsidRPr="00E840A2">
        <w:rPr>
          <w:rFonts w:eastAsia="Times New Roman"/>
          <w:szCs w:val="20"/>
          <w:lang w:eastAsia="en-AU"/>
        </w:rPr>
        <w:t xml:space="preserve"> over the past two months, likely reflecting a return to more normal supply conditions following March’s earthquake and tsunami in Japan. Retail sales </w:t>
      </w:r>
      <w:r w:rsidR="00366E01">
        <w:rPr>
          <w:rFonts w:eastAsia="Times New Roman"/>
          <w:szCs w:val="20"/>
          <w:lang w:eastAsia="en-AU"/>
        </w:rPr>
        <w:t xml:space="preserve">also </w:t>
      </w:r>
      <w:r w:rsidR="009D5729">
        <w:rPr>
          <w:rFonts w:eastAsia="Times New Roman"/>
          <w:szCs w:val="20"/>
          <w:lang w:eastAsia="en-AU"/>
        </w:rPr>
        <w:t>rose</w:t>
      </w:r>
      <w:r w:rsidR="009D5729" w:rsidRPr="00E840A2">
        <w:rPr>
          <w:rFonts w:eastAsia="Times New Roman"/>
          <w:szCs w:val="20"/>
          <w:lang w:eastAsia="en-AU"/>
        </w:rPr>
        <w:t xml:space="preserve"> </w:t>
      </w:r>
      <w:r w:rsidRPr="00E840A2">
        <w:rPr>
          <w:rFonts w:eastAsia="Times New Roman"/>
          <w:szCs w:val="20"/>
          <w:lang w:eastAsia="en-AU"/>
        </w:rPr>
        <w:t>in July (</w:t>
      </w:r>
      <w:r w:rsidR="00A163D7">
        <w:rPr>
          <w:rFonts w:eastAsia="Times New Roman"/>
          <w:szCs w:val="20"/>
          <w:lang w:eastAsia="en-AU"/>
        </w:rPr>
        <w:t>by</w:t>
      </w:r>
      <w:r w:rsidRPr="00E840A2">
        <w:rPr>
          <w:rFonts w:eastAsia="Times New Roman"/>
          <w:szCs w:val="20"/>
          <w:lang w:eastAsia="en-AU"/>
        </w:rPr>
        <w:t xml:space="preserve"> 0.5</w:t>
      </w:r>
      <w:r w:rsidR="00B64F32">
        <w:rPr>
          <w:rFonts w:eastAsia="Times New Roman"/>
          <w:szCs w:val="20"/>
          <w:lang w:eastAsia="en-AU"/>
        </w:rPr>
        <w:t> </w:t>
      </w:r>
      <w:r w:rsidRPr="00E840A2">
        <w:rPr>
          <w:rFonts w:eastAsia="Times New Roman"/>
          <w:szCs w:val="20"/>
          <w:lang w:eastAsia="en-AU"/>
        </w:rPr>
        <w:t>per</w:t>
      </w:r>
      <w:r w:rsidR="00B64F32">
        <w:rPr>
          <w:rFonts w:eastAsia="Times New Roman"/>
          <w:szCs w:val="20"/>
          <w:lang w:eastAsia="en-AU"/>
        </w:rPr>
        <w:t> </w:t>
      </w:r>
      <w:r w:rsidRPr="00E840A2">
        <w:rPr>
          <w:rFonts w:eastAsia="Times New Roman"/>
          <w:szCs w:val="20"/>
          <w:lang w:eastAsia="en-AU"/>
        </w:rPr>
        <w:t xml:space="preserve">cent), after falling in June. </w:t>
      </w:r>
    </w:p>
    <w:p w:rsidR="00C11C18" w:rsidRPr="00E840A2" w:rsidRDefault="009D5729" w:rsidP="00C11C18">
      <w:pPr>
        <w:rPr>
          <w:rFonts w:eastAsia="Times New Roman"/>
          <w:szCs w:val="20"/>
          <w:lang w:eastAsia="en-AU"/>
        </w:rPr>
      </w:pPr>
      <w:r>
        <w:rPr>
          <w:szCs w:val="20"/>
        </w:rPr>
        <w:t>Nonetheless</w:t>
      </w:r>
      <w:r w:rsidR="00AF069D" w:rsidRPr="00AF069D">
        <w:rPr>
          <w:szCs w:val="20"/>
        </w:rPr>
        <w:t xml:space="preserve">, the outlook for consumption growth has weakened, reflecting </w:t>
      </w:r>
      <w:r>
        <w:rPr>
          <w:szCs w:val="20"/>
        </w:rPr>
        <w:t>recent declines in</w:t>
      </w:r>
      <w:r w:rsidR="00AF069D" w:rsidRPr="00AF069D">
        <w:rPr>
          <w:szCs w:val="20"/>
        </w:rPr>
        <w:t xml:space="preserve"> household net worth and a less positive outlook for incomes growth, in line with the weaker outlook for the labour market. </w:t>
      </w:r>
      <w:r w:rsidR="003C631D">
        <w:rPr>
          <w:rFonts w:eastAsia="Times New Roman"/>
          <w:szCs w:val="20"/>
          <w:lang w:eastAsia="en-AU"/>
        </w:rPr>
        <w:t>C</w:t>
      </w:r>
      <w:r w:rsidR="003C631D" w:rsidRPr="00E840A2">
        <w:rPr>
          <w:rFonts w:eastAsia="Times New Roman"/>
          <w:szCs w:val="20"/>
          <w:lang w:eastAsia="en-AU"/>
        </w:rPr>
        <w:t xml:space="preserve">onsumer sentiment </w:t>
      </w:r>
      <w:r w:rsidR="003C631D">
        <w:rPr>
          <w:rFonts w:eastAsia="Times New Roman"/>
          <w:szCs w:val="20"/>
          <w:lang w:eastAsia="en-AU"/>
        </w:rPr>
        <w:t xml:space="preserve">has fallen </w:t>
      </w:r>
      <w:r w:rsidR="00A163D7">
        <w:rPr>
          <w:rFonts w:eastAsia="Times New Roman"/>
          <w:szCs w:val="20"/>
          <w:lang w:eastAsia="en-AU"/>
        </w:rPr>
        <w:t>since</w:t>
      </w:r>
      <w:r w:rsidR="00A82074">
        <w:rPr>
          <w:rFonts w:eastAsia="Times New Roman"/>
          <w:szCs w:val="20"/>
          <w:lang w:eastAsia="en-AU"/>
        </w:rPr>
        <w:t xml:space="preserve"> the first half of 2011</w:t>
      </w:r>
      <w:r w:rsidR="003C631D">
        <w:rPr>
          <w:rFonts w:eastAsia="Times New Roman"/>
          <w:szCs w:val="20"/>
          <w:lang w:eastAsia="en-AU"/>
        </w:rPr>
        <w:t xml:space="preserve"> and (according to the Westpac</w:t>
      </w:r>
      <w:r w:rsidR="00617AD7">
        <w:rPr>
          <w:rFonts w:eastAsia="Times New Roman"/>
          <w:szCs w:val="20"/>
          <w:lang w:eastAsia="en-AU"/>
        </w:rPr>
        <w:noBreakHyphen/>
      </w:r>
      <w:r w:rsidR="003C631D">
        <w:rPr>
          <w:rFonts w:eastAsia="Times New Roman"/>
          <w:szCs w:val="20"/>
          <w:lang w:eastAsia="en-AU"/>
        </w:rPr>
        <w:t>Melbourne Institute measure) is well below its long-run average</w:t>
      </w:r>
      <w:r w:rsidR="003C631D" w:rsidRPr="00E840A2">
        <w:rPr>
          <w:rFonts w:eastAsia="Times New Roman"/>
          <w:szCs w:val="20"/>
          <w:lang w:eastAsia="en-AU"/>
        </w:rPr>
        <w:t>.</w:t>
      </w:r>
      <w:r w:rsidR="003C631D">
        <w:rPr>
          <w:rFonts w:eastAsia="Times New Roman"/>
          <w:szCs w:val="20"/>
          <w:lang w:eastAsia="en-AU"/>
        </w:rPr>
        <w:t xml:space="preserve">  </w:t>
      </w:r>
      <w:r w:rsidR="00AF069D" w:rsidRPr="00AF069D">
        <w:rPr>
          <w:szCs w:val="20"/>
        </w:rPr>
        <w:t xml:space="preserve">Household net worth fell in the March and June quarters and </w:t>
      </w:r>
      <w:r w:rsidR="003C631D">
        <w:rPr>
          <w:szCs w:val="20"/>
        </w:rPr>
        <w:t>is</w:t>
      </w:r>
      <w:r w:rsidR="003C631D" w:rsidRPr="00AF069D">
        <w:rPr>
          <w:szCs w:val="20"/>
        </w:rPr>
        <w:t xml:space="preserve"> </w:t>
      </w:r>
      <w:r w:rsidR="00AF069D" w:rsidRPr="00AF069D">
        <w:rPr>
          <w:szCs w:val="20"/>
        </w:rPr>
        <w:t xml:space="preserve">likely to </w:t>
      </w:r>
      <w:r w:rsidR="003C631D">
        <w:rPr>
          <w:szCs w:val="20"/>
        </w:rPr>
        <w:t xml:space="preserve">have </w:t>
      </w:r>
      <w:r w:rsidR="00AF069D" w:rsidRPr="00AF069D">
        <w:rPr>
          <w:szCs w:val="20"/>
        </w:rPr>
        <w:t>fall</w:t>
      </w:r>
      <w:r w:rsidR="003C631D">
        <w:rPr>
          <w:szCs w:val="20"/>
        </w:rPr>
        <w:t>en</w:t>
      </w:r>
      <w:r w:rsidR="00AF069D" w:rsidRPr="00AF069D">
        <w:rPr>
          <w:szCs w:val="20"/>
        </w:rPr>
        <w:t xml:space="preserve"> again in the September quarter, reflecting substantial share market falls </w:t>
      </w:r>
      <w:r>
        <w:rPr>
          <w:szCs w:val="20"/>
        </w:rPr>
        <w:t xml:space="preserve">in recent months </w:t>
      </w:r>
      <w:r w:rsidR="00AF069D" w:rsidRPr="00AF069D">
        <w:rPr>
          <w:szCs w:val="20"/>
        </w:rPr>
        <w:t xml:space="preserve">and </w:t>
      </w:r>
      <w:r>
        <w:rPr>
          <w:szCs w:val="20"/>
        </w:rPr>
        <w:t>steadily declining</w:t>
      </w:r>
      <w:r w:rsidR="00AF069D" w:rsidRPr="00AF069D">
        <w:rPr>
          <w:szCs w:val="20"/>
        </w:rPr>
        <w:t xml:space="preserve"> house prices. </w:t>
      </w:r>
      <w:r>
        <w:rPr>
          <w:szCs w:val="20"/>
        </w:rPr>
        <w:t>Developments in</w:t>
      </w:r>
      <w:r w:rsidR="00AF069D" w:rsidRPr="00AF069D">
        <w:rPr>
          <w:szCs w:val="20"/>
        </w:rPr>
        <w:t xml:space="preserve"> global financial markets, to which Australia is intrinsically linked, will continue to pose a risk to the consumption outlook.      </w:t>
      </w:r>
      <w:r w:rsidR="00141451">
        <w:rPr>
          <w:szCs w:val="20"/>
        </w:rPr>
        <w:t xml:space="preserve"> </w:t>
      </w:r>
      <w:r w:rsidR="0011267F">
        <w:rPr>
          <w:szCs w:val="20"/>
        </w:rPr>
        <w:t xml:space="preserve">  </w:t>
      </w:r>
      <w:r w:rsidR="00366E01">
        <w:rPr>
          <w:szCs w:val="20"/>
        </w:rPr>
        <w:t xml:space="preserve">  </w:t>
      </w:r>
    </w:p>
    <w:p w:rsidR="00C11C18" w:rsidRPr="00E840A2" w:rsidRDefault="009D5729" w:rsidP="00C11C18">
      <w:pPr>
        <w:rPr>
          <w:rFonts w:eastAsia="Times New Roman"/>
          <w:szCs w:val="20"/>
          <w:lang w:eastAsia="en-AU"/>
        </w:rPr>
      </w:pPr>
      <w:r>
        <w:rPr>
          <w:rFonts w:eastAsia="Times New Roman"/>
          <w:szCs w:val="20"/>
          <w:lang w:eastAsia="en-AU"/>
        </w:rPr>
        <w:t>T</w:t>
      </w:r>
      <w:r w:rsidR="00C11C18" w:rsidRPr="00E840A2">
        <w:rPr>
          <w:rFonts w:eastAsia="Times New Roman"/>
          <w:szCs w:val="20"/>
          <w:lang w:eastAsia="en-AU"/>
        </w:rPr>
        <w:t xml:space="preserve">he household saving ratio </w:t>
      </w:r>
      <w:r w:rsidRPr="00E840A2">
        <w:rPr>
          <w:rFonts w:eastAsia="Times New Roman"/>
          <w:szCs w:val="20"/>
          <w:lang w:eastAsia="en-AU"/>
        </w:rPr>
        <w:t>remain</w:t>
      </w:r>
      <w:r w:rsidR="00A82074">
        <w:rPr>
          <w:rFonts w:eastAsia="Times New Roman"/>
          <w:szCs w:val="20"/>
          <w:lang w:eastAsia="en-AU"/>
        </w:rPr>
        <w:t>ed</w:t>
      </w:r>
      <w:r w:rsidRPr="00E840A2">
        <w:rPr>
          <w:rFonts w:eastAsia="Times New Roman"/>
          <w:szCs w:val="20"/>
          <w:lang w:eastAsia="en-AU"/>
        </w:rPr>
        <w:t xml:space="preserve"> </w:t>
      </w:r>
      <w:r w:rsidR="00C11C18" w:rsidRPr="00E840A2">
        <w:rPr>
          <w:rFonts w:eastAsia="Times New Roman"/>
          <w:szCs w:val="20"/>
          <w:lang w:eastAsia="en-AU"/>
        </w:rPr>
        <w:t>elevated</w:t>
      </w:r>
      <w:r w:rsidR="00A82074">
        <w:rPr>
          <w:rFonts w:eastAsia="Times New Roman"/>
          <w:szCs w:val="20"/>
          <w:lang w:eastAsia="en-AU"/>
        </w:rPr>
        <w:t xml:space="preserve"> in the June quarter</w:t>
      </w:r>
      <w:r>
        <w:rPr>
          <w:rFonts w:eastAsia="Times New Roman"/>
          <w:szCs w:val="20"/>
          <w:lang w:eastAsia="en-AU"/>
        </w:rPr>
        <w:t>,</w:t>
      </w:r>
      <w:r w:rsidR="00C11C18" w:rsidRPr="00E840A2">
        <w:rPr>
          <w:rFonts w:eastAsia="Times New Roman"/>
          <w:szCs w:val="20"/>
          <w:lang w:eastAsia="en-AU"/>
        </w:rPr>
        <w:t xml:space="preserve"> at 10.5 per cent</w:t>
      </w:r>
      <w:r>
        <w:rPr>
          <w:rFonts w:eastAsia="Times New Roman"/>
          <w:szCs w:val="20"/>
          <w:lang w:eastAsia="en-AU"/>
        </w:rPr>
        <w:t xml:space="preserve">, with household consumption growing </w:t>
      </w:r>
      <w:r w:rsidR="003C631D">
        <w:rPr>
          <w:rFonts w:eastAsia="Times New Roman"/>
          <w:szCs w:val="20"/>
          <w:lang w:eastAsia="en-AU"/>
        </w:rPr>
        <w:t xml:space="preserve">broadly </w:t>
      </w:r>
      <w:r>
        <w:rPr>
          <w:rFonts w:eastAsia="Times New Roman"/>
          <w:szCs w:val="20"/>
          <w:lang w:eastAsia="en-AU"/>
        </w:rPr>
        <w:t>in line with income</w:t>
      </w:r>
      <w:r w:rsidR="00C11C18" w:rsidRPr="00E840A2">
        <w:rPr>
          <w:rFonts w:eastAsia="Times New Roman"/>
          <w:szCs w:val="20"/>
          <w:lang w:eastAsia="en-AU"/>
        </w:rPr>
        <w:t>. Personal credit has been declining over</w:t>
      </w:r>
      <w:r w:rsidR="006D0358">
        <w:rPr>
          <w:rFonts w:eastAsia="Times New Roman"/>
          <w:szCs w:val="20"/>
          <w:lang w:eastAsia="en-AU"/>
        </w:rPr>
        <w:t xml:space="preserve"> recent months, and is down 0.1</w:t>
      </w:r>
      <w:r w:rsidR="00BE6ECB">
        <w:rPr>
          <w:rFonts w:eastAsia="Times New Roman"/>
          <w:szCs w:val="20"/>
          <w:lang w:eastAsia="en-AU"/>
        </w:rPr>
        <w:t> </w:t>
      </w:r>
      <w:r w:rsidR="00C11C18" w:rsidRPr="00E840A2">
        <w:rPr>
          <w:rFonts w:eastAsia="Times New Roman"/>
          <w:szCs w:val="20"/>
          <w:lang w:eastAsia="en-AU"/>
        </w:rPr>
        <w:t>per cent over the year</w:t>
      </w:r>
      <w:r w:rsidR="003C631D">
        <w:rPr>
          <w:rFonts w:eastAsia="Times New Roman"/>
          <w:szCs w:val="20"/>
          <w:lang w:eastAsia="en-AU"/>
        </w:rPr>
        <w:t>.</w:t>
      </w:r>
      <w:r w:rsidR="00141451">
        <w:rPr>
          <w:rFonts w:eastAsia="Times New Roman"/>
          <w:szCs w:val="20"/>
          <w:lang w:eastAsia="en-AU"/>
        </w:rPr>
        <w:t xml:space="preserve"> </w:t>
      </w:r>
      <w:r w:rsidR="003C631D">
        <w:rPr>
          <w:rFonts w:eastAsia="Times New Roman"/>
          <w:szCs w:val="20"/>
          <w:lang w:eastAsia="en-AU"/>
        </w:rPr>
        <w:t xml:space="preserve"> </w:t>
      </w:r>
      <w:r w:rsidR="003C631D" w:rsidRPr="003C631D">
        <w:t xml:space="preserve"> </w:t>
      </w:r>
      <w:r w:rsidR="003C631D">
        <w:t xml:space="preserve">If </w:t>
      </w:r>
      <w:r w:rsidR="0029222B">
        <w:t>this</w:t>
      </w:r>
      <w:r w:rsidR="003C631D">
        <w:t xml:space="preserve"> weakness in personal credit growth persists, </w:t>
      </w:r>
      <w:r w:rsidR="00532A55">
        <w:t>it would be consistent with a</w:t>
      </w:r>
      <w:r w:rsidR="003C631D">
        <w:t xml:space="preserve"> slower pace of household consumption growth going forward for any given increase in household disposable income.  </w:t>
      </w:r>
      <w:r w:rsidR="0029222B">
        <w:t xml:space="preserve">Household consumption is forecast to grow broadly in line with household disposable income, such that the household saving ratio is expected to remain elevated over the forecast horizon.  </w:t>
      </w:r>
    </w:p>
    <w:p w:rsidR="003F1470" w:rsidRPr="00E840A2" w:rsidRDefault="00CB47BB" w:rsidP="00C11C18">
      <w:pPr>
        <w:pStyle w:val="Heading4"/>
        <w:keepNext w:val="0"/>
      </w:pPr>
      <w:bookmarkStart w:id="32" w:name="_Toc304990764"/>
      <w:r>
        <w:br w:type="page"/>
      </w:r>
      <w:r w:rsidR="003F1470" w:rsidRPr="00E840A2">
        <w:lastRenderedPageBreak/>
        <w:t>Dwelling investment</w:t>
      </w:r>
      <w:bookmarkEnd w:id="32"/>
    </w:p>
    <w:p w:rsidR="00A36CE5" w:rsidRPr="00E840A2" w:rsidRDefault="00A36CE5" w:rsidP="00A36CE5">
      <w:pPr>
        <w:rPr>
          <w:szCs w:val="20"/>
        </w:rPr>
      </w:pPr>
      <w:bookmarkStart w:id="33" w:name="_Toc187553173"/>
      <w:bookmarkEnd w:id="30"/>
      <w:r w:rsidRPr="00E840A2">
        <w:rPr>
          <w:szCs w:val="20"/>
        </w:rPr>
        <w:t>The outlook for dwelling investment is broadly unchanged from the June round</w:t>
      </w:r>
      <w:r w:rsidR="00141451">
        <w:rPr>
          <w:szCs w:val="20"/>
        </w:rPr>
        <w:t xml:space="preserve">, with </w:t>
      </w:r>
      <w:r w:rsidR="003C631D">
        <w:rPr>
          <w:szCs w:val="20"/>
        </w:rPr>
        <w:t xml:space="preserve">modest growth </w:t>
      </w:r>
      <w:r w:rsidR="00141451">
        <w:rPr>
          <w:szCs w:val="20"/>
        </w:rPr>
        <w:t xml:space="preserve">forecast </w:t>
      </w:r>
      <w:r w:rsidR="003C631D">
        <w:rPr>
          <w:szCs w:val="20"/>
        </w:rPr>
        <w:t xml:space="preserve">in </w:t>
      </w:r>
      <w:r w:rsidR="0029222B">
        <w:rPr>
          <w:szCs w:val="20"/>
        </w:rPr>
        <w:t>2011-12 and 2012</w:t>
      </w:r>
      <w:r w:rsidR="0029222B">
        <w:rPr>
          <w:szCs w:val="20"/>
        </w:rPr>
        <w:noBreakHyphen/>
      </w:r>
      <w:r w:rsidR="00141451">
        <w:rPr>
          <w:szCs w:val="20"/>
        </w:rPr>
        <w:t>13</w:t>
      </w:r>
      <w:r w:rsidRPr="00E840A2">
        <w:rPr>
          <w:szCs w:val="20"/>
        </w:rPr>
        <w:t>.  Forecast growth for 2011</w:t>
      </w:r>
      <w:r w:rsidR="003C631D">
        <w:rPr>
          <w:szCs w:val="20"/>
        </w:rPr>
        <w:noBreakHyphen/>
      </w:r>
      <w:r w:rsidRPr="00E840A2">
        <w:rPr>
          <w:szCs w:val="20"/>
        </w:rPr>
        <w:t xml:space="preserve">12 is unchanged at 1½ per cent, while growth for 2012-13 has been revised down from 2 per cent to 1½ per cent, </w:t>
      </w:r>
      <w:r w:rsidR="003C631D">
        <w:rPr>
          <w:szCs w:val="20"/>
        </w:rPr>
        <w:t>in line with the weaker labour market outlook</w:t>
      </w:r>
      <w:r w:rsidRPr="00E840A2">
        <w:rPr>
          <w:szCs w:val="20"/>
        </w:rPr>
        <w:t xml:space="preserve">. </w:t>
      </w:r>
    </w:p>
    <w:p w:rsidR="00AF069D" w:rsidRDefault="00AF069D" w:rsidP="00A36CE5">
      <w:pPr>
        <w:rPr>
          <w:lang w:val="en"/>
        </w:rPr>
      </w:pPr>
      <w:r w:rsidRPr="00AF069D">
        <w:rPr>
          <w:lang w:val="en"/>
        </w:rPr>
        <w:t>New dwelling investment grew 4¾ per cent in 2010-11, the strongest growth in the past five years</w:t>
      </w:r>
      <w:r w:rsidR="0029222B">
        <w:rPr>
          <w:lang w:val="en"/>
        </w:rPr>
        <w:t xml:space="preserve"> </w:t>
      </w:r>
      <w:r w:rsidR="0029222B">
        <w:rPr>
          <w:lang w:val="en"/>
        </w:rPr>
        <w:noBreakHyphen/>
        <w:t xml:space="preserve"> </w:t>
      </w:r>
      <w:r w:rsidRPr="00AF069D">
        <w:rPr>
          <w:lang w:val="en"/>
        </w:rPr>
        <w:t xml:space="preserve">underpinned by a high level of construction activity in the Victorian market (Chart </w:t>
      </w:r>
      <w:r w:rsidR="006C6C34">
        <w:rPr>
          <w:lang w:val="en"/>
        </w:rPr>
        <w:t>2</w:t>
      </w:r>
      <w:r w:rsidRPr="00AF069D">
        <w:rPr>
          <w:lang w:val="en"/>
        </w:rPr>
        <w:t xml:space="preserve">).  </w:t>
      </w:r>
      <w:r w:rsidR="0029222B">
        <w:rPr>
          <w:lang w:val="en"/>
        </w:rPr>
        <w:t xml:space="preserve">It </w:t>
      </w:r>
      <w:r w:rsidR="00617AD7">
        <w:rPr>
          <w:lang w:val="en"/>
        </w:rPr>
        <w:t xml:space="preserve">is </w:t>
      </w:r>
      <w:r w:rsidR="0029222B">
        <w:rPr>
          <w:lang w:val="en"/>
        </w:rPr>
        <w:t xml:space="preserve">expected that the </w:t>
      </w:r>
      <w:r w:rsidRPr="00AF069D">
        <w:rPr>
          <w:lang w:val="en"/>
        </w:rPr>
        <w:t>pipeline of investment in Victoria</w:t>
      </w:r>
      <w:r w:rsidR="0029222B">
        <w:rPr>
          <w:lang w:val="en"/>
        </w:rPr>
        <w:t xml:space="preserve"> will continue</w:t>
      </w:r>
      <w:r w:rsidR="003C631D">
        <w:rPr>
          <w:lang w:val="en"/>
        </w:rPr>
        <w:t xml:space="preserve"> to support construction activity in the near term</w:t>
      </w:r>
      <w:r w:rsidRPr="00AF069D">
        <w:rPr>
          <w:lang w:val="en"/>
        </w:rPr>
        <w:t xml:space="preserve">.  However, </w:t>
      </w:r>
      <w:r w:rsidR="003C631D">
        <w:rPr>
          <w:lang w:val="en"/>
        </w:rPr>
        <w:t xml:space="preserve">with few signs of growth in other states, </w:t>
      </w:r>
      <w:r w:rsidRPr="00AF069D">
        <w:rPr>
          <w:lang w:val="en"/>
        </w:rPr>
        <w:t>the substantial weakening in building approvals and housing finance for new dwellings over the past year is expected to see growth ease in 2012-13. Housing finance for new dwellings fell 3.5 per cent through the year to July and private sector dwelling approvals fell 12.8 per cent.</w:t>
      </w:r>
      <w:r>
        <w:rPr>
          <w:lang w:val="en"/>
        </w:rPr>
        <w:br/>
      </w:r>
    </w:p>
    <w:p w:rsidR="00A36CE5" w:rsidRPr="00E840A2" w:rsidRDefault="00A36CE5" w:rsidP="0060553E">
      <w:pPr>
        <w:keepNext/>
        <w:spacing w:after="0"/>
        <w:jc w:val="center"/>
        <w:rPr>
          <w:b/>
        </w:rPr>
      </w:pPr>
      <w:r w:rsidRPr="00E840A2">
        <w:rPr>
          <w:b/>
        </w:rPr>
        <w:t xml:space="preserve">Chart </w:t>
      </w:r>
      <w:r w:rsidR="006C6C34">
        <w:rPr>
          <w:b/>
        </w:rPr>
        <w:t>2</w:t>
      </w:r>
      <w:r w:rsidRPr="00E840A2">
        <w:rPr>
          <w:b/>
        </w:rPr>
        <w:t>: Private sector dwelling approvals (3</w:t>
      </w:r>
      <w:r w:rsidR="00B64F32">
        <w:rPr>
          <w:b/>
        </w:rPr>
        <w:t> </w:t>
      </w:r>
      <w:r w:rsidRPr="00E840A2">
        <w:rPr>
          <w:b/>
        </w:rPr>
        <w:t>month moving average)</w:t>
      </w:r>
    </w:p>
    <w:p w:rsidR="000E676F" w:rsidRPr="000E676F" w:rsidRDefault="0004725C" w:rsidP="000E676F">
      <w:pPr>
        <w:pStyle w:val="ChartGraphic0"/>
        <w:keepNext/>
        <w:jc w:val="left"/>
      </w:pPr>
      <w:r>
        <w:pict>
          <v:shape id="_x0000_i1029" type="#_x0000_t75" style="width:208.55pt;height:208.55pt">
            <v:imagedata r:id="rId25" o:title=""/>
          </v:shape>
        </w:pict>
      </w:r>
    </w:p>
    <w:p w:rsidR="00A36CE5" w:rsidRPr="0060553E" w:rsidRDefault="0060553E" w:rsidP="0060553E">
      <w:pPr>
        <w:pStyle w:val="ChartGraphic0"/>
        <w:spacing w:after="240"/>
        <w:jc w:val="left"/>
        <w:rPr>
          <w:rFonts w:ascii="Tahoma" w:hAnsi="Tahoma" w:cs="Tahoma"/>
          <w:sz w:val="16"/>
          <w:szCs w:val="16"/>
        </w:rPr>
      </w:pPr>
      <w:r w:rsidRPr="0060553E">
        <w:rPr>
          <w:rFonts w:ascii="Tahoma" w:hAnsi="Tahoma" w:cs="Tahoma"/>
          <w:sz w:val="16"/>
          <w:szCs w:val="16"/>
        </w:rPr>
        <w:t xml:space="preserve">Source:  </w:t>
      </w:r>
      <w:r>
        <w:rPr>
          <w:rFonts w:ascii="Tahoma" w:hAnsi="Tahoma" w:cs="Tahoma"/>
          <w:sz w:val="16"/>
          <w:szCs w:val="16"/>
        </w:rPr>
        <w:t>ABS Catalogue Number 87</w:t>
      </w:r>
      <w:r w:rsidR="0056479C">
        <w:rPr>
          <w:rFonts w:ascii="Tahoma" w:hAnsi="Tahoma" w:cs="Tahoma"/>
          <w:sz w:val="16"/>
          <w:szCs w:val="16"/>
        </w:rPr>
        <w:t>31</w:t>
      </w:r>
      <w:r>
        <w:rPr>
          <w:rFonts w:ascii="Tahoma" w:hAnsi="Tahoma" w:cs="Tahoma"/>
          <w:sz w:val="16"/>
          <w:szCs w:val="16"/>
        </w:rPr>
        <w:t>.0 and Treasury.</w:t>
      </w:r>
    </w:p>
    <w:p w:rsidR="00A36CE5" w:rsidRPr="00E840A2" w:rsidRDefault="00A36CE5" w:rsidP="00A36CE5">
      <w:r w:rsidRPr="00E840A2">
        <w:t xml:space="preserve">Supply constraints associated with planning and approval processes and land release restrictions are also expected to </w:t>
      </w:r>
      <w:r w:rsidR="00802D61">
        <w:t xml:space="preserve">continue to </w:t>
      </w:r>
      <w:r w:rsidRPr="00E840A2">
        <w:t xml:space="preserve">weigh on growth in new dwelling </w:t>
      </w:r>
      <w:r w:rsidRPr="00E840A2">
        <w:rPr>
          <w:lang w:val="en"/>
        </w:rPr>
        <w:t xml:space="preserve">investment over the </w:t>
      </w:r>
      <w:r w:rsidR="00141451">
        <w:rPr>
          <w:lang w:val="en"/>
        </w:rPr>
        <w:t>next two years.</w:t>
      </w:r>
      <w:r w:rsidRPr="00E840A2">
        <w:t xml:space="preserve">  The forecasts </w:t>
      </w:r>
      <w:r w:rsidR="00B64F32">
        <w:t xml:space="preserve">suggest that around </w:t>
      </w:r>
      <w:r w:rsidR="0056479C">
        <w:t>1</w:t>
      </w:r>
      <w:r w:rsidR="0056479C" w:rsidRPr="00E840A2">
        <w:t>4</w:t>
      </w:r>
      <w:r w:rsidR="0056479C">
        <w:t>5</w:t>
      </w:r>
      <w:r w:rsidRPr="00E840A2">
        <w:t xml:space="preserve">,000 new dwellings will be </w:t>
      </w:r>
      <w:r w:rsidRPr="00E840A2">
        <w:lastRenderedPageBreak/>
        <w:t>completed in</w:t>
      </w:r>
      <w:r w:rsidR="00CB47BB">
        <w:t xml:space="preserve"> both</w:t>
      </w:r>
      <w:r w:rsidRPr="00E840A2">
        <w:t xml:space="preserve"> 2011</w:t>
      </w:r>
      <w:r w:rsidRPr="00E840A2">
        <w:noBreakHyphen/>
        <w:t>12 and 2012</w:t>
      </w:r>
      <w:r w:rsidRPr="00E840A2">
        <w:noBreakHyphen/>
        <w:t xml:space="preserve">13, </w:t>
      </w:r>
      <w:r w:rsidR="00C366C5">
        <w:t>broadly in line with</w:t>
      </w:r>
      <w:r w:rsidRPr="00E840A2">
        <w:t xml:space="preserve"> </w:t>
      </w:r>
      <w:r w:rsidR="00B64F32">
        <w:t xml:space="preserve">annual </w:t>
      </w:r>
      <w:r w:rsidRPr="00E840A2">
        <w:t>completions over the past 5 years (Chart </w:t>
      </w:r>
      <w:r w:rsidR="006C6C34">
        <w:t>3</w:t>
      </w:r>
      <w:r w:rsidRPr="00E840A2">
        <w:t xml:space="preserve">). </w:t>
      </w:r>
    </w:p>
    <w:p w:rsidR="00A36CE5" w:rsidRDefault="00A36CE5" w:rsidP="0060553E">
      <w:pPr>
        <w:keepNext/>
        <w:spacing w:after="0"/>
        <w:jc w:val="center"/>
        <w:rPr>
          <w:b/>
        </w:rPr>
      </w:pPr>
      <w:r w:rsidRPr="00E840A2">
        <w:rPr>
          <w:b/>
        </w:rPr>
        <w:t xml:space="preserve">Chart </w:t>
      </w:r>
      <w:r w:rsidR="006C6C34">
        <w:rPr>
          <w:b/>
        </w:rPr>
        <w:t>3</w:t>
      </w:r>
      <w:r w:rsidRPr="00E840A2">
        <w:rPr>
          <w:b/>
        </w:rPr>
        <w:t>: New dwelling completions</w:t>
      </w:r>
    </w:p>
    <w:p w:rsidR="0060553E" w:rsidRPr="00E840A2" w:rsidRDefault="0004725C" w:rsidP="0060553E">
      <w:pPr>
        <w:pStyle w:val="Chartgraphic"/>
        <w:rPr>
          <w:b/>
        </w:rPr>
      </w:pPr>
      <w:r>
        <w:pict>
          <v:shape id="_x0000_i1030" type="#_x0000_t75" style="width:208.55pt;height:207.3pt">
            <v:imagedata r:id="rId26" o:title=""/>
          </v:shape>
        </w:pict>
      </w:r>
    </w:p>
    <w:p w:rsidR="00A36CE5" w:rsidRPr="0060553E" w:rsidRDefault="00DC1A71" w:rsidP="0060553E">
      <w:pPr>
        <w:pStyle w:val="ChartGraphic0"/>
        <w:spacing w:after="240"/>
        <w:jc w:val="left"/>
        <w:rPr>
          <w:rFonts w:ascii="Tahoma" w:hAnsi="Tahoma" w:cs="Tahoma"/>
          <w:sz w:val="16"/>
          <w:szCs w:val="16"/>
        </w:rPr>
      </w:pPr>
      <w:r w:rsidRPr="0060553E">
        <w:rPr>
          <w:rFonts w:ascii="Tahoma" w:hAnsi="Tahoma" w:cs="Tahoma"/>
          <w:sz w:val="16"/>
          <w:szCs w:val="16"/>
        </w:rPr>
        <w:t>Source:</w:t>
      </w:r>
      <w:r w:rsidR="0060553E">
        <w:rPr>
          <w:rFonts w:ascii="Tahoma" w:hAnsi="Tahoma" w:cs="Tahoma"/>
          <w:sz w:val="16"/>
          <w:szCs w:val="16"/>
        </w:rPr>
        <w:t xml:space="preserve">  ABS Catalogue Number 8752.0 and Treasury.</w:t>
      </w:r>
    </w:p>
    <w:p w:rsidR="00AF3475" w:rsidRPr="00E840A2" w:rsidRDefault="00AF3475" w:rsidP="002940D6">
      <w:pPr>
        <w:pStyle w:val="Heading4"/>
        <w:keepNext w:val="0"/>
        <w:spacing w:before="240"/>
      </w:pPr>
      <w:bookmarkStart w:id="34" w:name="_Toc304990765"/>
      <w:r w:rsidRPr="00E840A2">
        <w:t>Business investment</w:t>
      </w:r>
      <w:bookmarkEnd w:id="33"/>
      <w:bookmarkEnd w:id="34"/>
    </w:p>
    <w:p w:rsidR="00141451" w:rsidRDefault="00775741" w:rsidP="00141451">
      <w:bookmarkStart w:id="35" w:name="_Toc195517449"/>
      <w:bookmarkStart w:id="36" w:name="_Toc185498664"/>
      <w:bookmarkStart w:id="37" w:name="_Toc185498663"/>
      <w:r>
        <w:rPr>
          <w:b/>
        </w:rPr>
        <w:t>New</w:t>
      </w:r>
      <w:r w:rsidRPr="00E840A2">
        <w:rPr>
          <w:b/>
        </w:rPr>
        <w:t xml:space="preserve"> </w:t>
      </w:r>
      <w:r w:rsidR="00141451" w:rsidRPr="00E840A2">
        <w:rPr>
          <w:b/>
        </w:rPr>
        <w:t>business investment</w:t>
      </w:r>
      <w:r w:rsidR="00141451" w:rsidRPr="00E840A2">
        <w:t xml:space="preserve"> </w:t>
      </w:r>
      <w:r w:rsidR="00DE39C4">
        <w:t xml:space="preserve">growth </w:t>
      </w:r>
      <w:r w:rsidR="002565B6">
        <w:t>forecasts have been downgraded since June</w:t>
      </w:r>
      <w:r w:rsidR="00CB47BB">
        <w:t>, but remain strong</w:t>
      </w:r>
      <w:r w:rsidR="002565B6">
        <w:t xml:space="preserve">.  </w:t>
      </w:r>
      <w:r w:rsidR="00C2643A">
        <w:t xml:space="preserve">While </w:t>
      </w:r>
      <w:r w:rsidR="0029222B">
        <w:t>the record pipeline of mining investment remains intact</w:t>
      </w:r>
      <w:r w:rsidR="00C2643A">
        <w:t>,</w:t>
      </w:r>
      <w:r w:rsidR="00C366C5">
        <w:t xml:space="preserve"> the deterioration in conditions in the broader economy </w:t>
      </w:r>
      <w:r w:rsidR="0029222B">
        <w:t xml:space="preserve">has </w:t>
      </w:r>
      <w:r w:rsidR="00441F13">
        <w:t>led to a downgrade in forecast growth in non</w:t>
      </w:r>
      <w:r w:rsidR="00441F13">
        <w:noBreakHyphen/>
        <w:t>mining investment</w:t>
      </w:r>
      <w:r w:rsidR="00C366C5">
        <w:t xml:space="preserve"> </w:t>
      </w:r>
      <w:r w:rsidR="004E7D1F">
        <w:t xml:space="preserve">(Chart </w:t>
      </w:r>
      <w:r w:rsidR="006C6C34">
        <w:t>4</w:t>
      </w:r>
      <w:r w:rsidR="004E7D1F">
        <w:t>)</w:t>
      </w:r>
      <w:r w:rsidR="008D0D88">
        <w:t>.</w:t>
      </w:r>
      <w:r w:rsidR="00C2643A" w:rsidRPr="00E840A2">
        <w:t xml:space="preserve"> </w:t>
      </w:r>
      <w:r w:rsidR="00441F13">
        <w:t xml:space="preserve"> </w:t>
      </w:r>
      <w:r w:rsidR="00B25A89">
        <w:t xml:space="preserve">New </w:t>
      </w:r>
      <w:r w:rsidR="002565B6">
        <w:t xml:space="preserve">business investment </w:t>
      </w:r>
      <w:r w:rsidR="00141451" w:rsidRPr="00E840A2">
        <w:t xml:space="preserve">is </w:t>
      </w:r>
      <w:r w:rsidR="00141451">
        <w:t xml:space="preserve">forecast to </w:t>
      </w:r>
      <w:r w:rsidR="00141451" w:rsidRPr="00E840A2">
        <w:t>grow</w:t>
      </w:r>
      <w:r w:rsidR="00B25A89">
        <w:t xml:space="preserve"> by a</w:t>
      </w:r>
      <w:r w:rsidR="00141451" w:rsidRPr="00E840A2">
        <w:t xml:space="preserve"> </w:t>
      </w:r>
      <w:r w:rsidR="00770E21">
        <w:t xml:space="preserve">strong </w:t>
      </w:r>
      <w:r w:rsidR="00141451" w:rsidRPr="00E840A2">
        <w:t>1</w:t>
      </w:r>
      <w:r w:rsidR="00105022">
        <w:t>4</w:t>
      </w:r>
      <w:r w:rsidR="008D0D88">
        <w:t> </w:t>
      </w:r>
      <w:r w:rsidR="0029222B">
        <w:t>per </w:t>
      </w:r>
      <w:r w:rsidR="00141451" w:rsidRPr="00E840A2">
        <w:t xml:space="preserve">cent (down from </w:t>
      </w:r>
      <w:r w:rsidR="008D0D88">
        <w:t>16½</w:t>
      </w:r>
      <w:r w:rsidR="00CB47BB">
        <w:t> per </w:t>
      </w:r>
      <w:r w:rsidR="0029222B">
        <w:t>cent) in 2011</w:t>
      </w:r>
      <w:r w:rsidR="0029222B">
        <w:noBreakHyphen/>
      </w:r>
      <w:r w:rsidR="00141451" w:rsidRPr="00E840A2">
        <w:t>12, and 1</w:t>
      </w:r>
      <w:r w:rsidR="008D0D88">
        <w:t>4½</w:t>
      </w:r>
      <w:r w:rsidR="00141451" w:rsidRPr="00E840A2">
        <w:t xml:space="preserve"> per cent (down from 1</w:t>
      </w:r>
      <w:r w:rsidR="008D0D88">
        <w:t>6½</w:t>
      </w:r>
      <w:r w:rsidR="0029222B">
        <w:t> per </w:t>
      </w:r>
      <w:r w:rsidR="00141451" w:rsidRPr="00E840A2">
        <w:t>cent) in 2012-13</w:t>
      </w:r>
      <w:r w:rsidR="00770E21">
        <w:t xml:space="preserve">.  </w:t>
      </w:r>
    </w:p>
    <w:p w:rsidR="004E7D1F" w:rsidRPr="00245211" w:rsidRDefault="004E7D1F" w:rsidP="0029222B">
      <w:pPr>
        <w:keepNext/>
        <w:spacing w:after="0"/>
        <w:rPr>
          <w:b/>
        </w:rPr>
      </w:pPr>
      <w:r w:rsidRPr="00245211">
        <w:rPr>
          <w:b/>
        </w:rPr>
        <w:lastRenderedPageBreak/>
        <w:t xml:space="preserve">Chart </w:t>
      </w:r>
      <w:r w:rsidR="006C6C34">
        <w:rPr>
          <w:b/>
        </w:rPr>
        <w:t>4</w:t>
      </w:r>
      <w:r w:rsidRPr="00245211">
        <w:rPr>
          <w:b/>
        </w:rPr>
        <w:t>: Mining and non-mining investment</w:t>
      </w:r>
    </w:p>
    <w:p w:rsidR="004E7D1F" w:rsidRPr="0029222B" w:rsidRDefault="0004725C" w:rsidP="004E7D1F">
      <w:pPr>
        <w:pStyle w:val="Chartgraphic"/>
        <w:rPr>
          <w:rFonts w:ascii="Tahoma" w:hAnsi="Tahoma" w:cs="Tahoma"/>
          <w:sz w:val="16"/>
          <w:szCs w:val="16"/>
        </w:rPr>
      </w:pPr>
      <w:r>
        <w:pict>
          <v:shape id="_x0000_i1031" type="#_x0000_t75" style="width:211.05pt;height:211.05pt">
            <v:imagedata r:id="rId27" o:title=""/>
          </v:shape>
        </w:pict>
      </w:r>
    </w:p>
    <w:p w:rsidR="004E7D1F" w:rsidRPr="00CB47BB" w:rsidRDefault="004E7D1F" w:rsidP="00CB47BB">
      <w:pPr>
        <w:keepNext/>
        <w:spacing w:after="0"/>
        <w:rPr>
          <w:rFonts w:ascii="Tahoma" w:hAnsi="Tahoma" w:cs="Tahoma"/>
          <w:color w:val="000000"/>
          <w:sz w:val="16"/>
          <w:szCs w:val="16"/>
        </w:rPr>
      </w:pPr>
      <w:r w:rsidRPr="00BF21DD">
        <w:rPr>
          <w:rFonts w:ascii="Tahoma" w:hAnsi="Tahoma" w:cs="Tahoma"/>
          <w:color w:val="000000"/>
          <w:sz w:val="16"/>
          <w:szCs w:val="16"/>
        </w:rPr>
        <w:t xml:space="preserve">Source: </w:t>
      </w:r>
      <w:r>
        <w:rPr>
          <w:rFonts w:ascii="Tahoma" w:hAnsi="Tahoma" w:cs="Tahoma"/>
          <w:color w:val="000000"/>
          <w:sz w:val="16"/>
          <w:szCs w:val="16"/>
        </w:rPr>
        <w:t>ABS Catalogue Number</w:t>
      </w:r>
      <w:r w:rsidRPr="00BF21DD">
        <w:rPr>
          <w:rFonts w:ascii="Tahoma" w:hAnsi="Tahoma" w:cs="Tahoma"/>
          <w:color w:val="000000"/>
          <w:sz w:val="16"/>
          <w:szCs w:val="16"/>
        </w:rPr>
        <w:t xml:space="preserve"> 5625.0, 5206</w:t>
      </w:r>
      <w:r>
        <w:rPr>
          <w:rFonts w:ascii="Tahoma" w:hAnsi="Tahoma" w:cs="Tahoma"/>
          <w:color w:val="000000"/>
          <w:sz w:val="16"/>
          <w:szCs w:val="16"/>
        </w:rPr>
        <w:t>.0</w:t>
      </w:r>
      <w:r w:rsidRPr="00BF21DD">
        <w:rPr>
          <w:rFonts w:ascii="Tahoma" w:hAnsi="Tahoma" w:cs="Tahoma"/>
          <w:color w:val="000000"/>
          <w:sz w:val="16"/>
          <w:szCs w:val="16"/>
        </w:rPr>
        <w:t xml:space="preserve"> and Treasury</w:t>
      </w:r>
      <w:r>
        <w:rPr>
          <w:rFonts w:ascii="Tahoma" w:hAnsi="Tahoma" w:cs="Tahoma"/>
          <w:color w:val="000000"/>
          <w:sz w:val="16"/>
          <w:szCs w:val="16"/>
        </w:rPr>
        <w:t>.</w:t>
      </w:r>
      <w:r w:rsidR="00CB47BB">
        <w:rPr>
          <w:rFonts w:ascii="Tahoma" w:hAnsi="Tahoma" w:cs="Tahoma"/>
          <w:color w:val="000000"/>
          <w:sz w:val="16"/>
          <w:szCs w:val="16"/>
        </w:rPr>
        <w:br/>
      </w:r>
    </w:p>
    <w:p w:rsidR="000A1B48" w:rsidRDefault="002565B6" w:rsidP="009D44EE">
      <w:pPr>
        <w:pStyle w:val="Bullet"/>
        <w:numPr>
          <w:ilvl w:val="0"/>
          <w:numId w:val="0"/>
        </w:numPr>
        <w:spacing w:after="200" w:line="276" w:lineRule="auto"/>
      </w:pPr>
      <w:r>
        <w:t xml:space="preserve">The </w:t>
      </w:r>
      <w:r w:rsidR="00C366C5">
        <w:t xml:space="preserve">recent deterioration in global economic conditions </w:t>
      </w:r>
      <w:r w:rsidR="0029222B">
        <w:t xml:space="preserve">is </w:t>
      </w:r>
      <w:r w:rsidR="00C366C5">
        <w:t xml:space="preserve">yet to have a discernible impact on mining investment intentions.  </w:t>
      </w:r>
      <w:r w:rsidR="0029222B">
        <w:t xml:space="preserve">While most commodity prices have declined since the start of August, spot prices for iron ore and coal have remained </w:t>
      </w:r>
      <w:r w:rsidR="00802D61">
        <w:t>high</w:t>
      </w:r>
      <w:r w:rsidR="0029222B">
        <w:t xml:space="preserve">, suggesting that physical demand has held up.  Therefore, while the global financial crisis demonstrated that a substantial deterioration in global financial conditions can have a substantial impact on mining investment, the fundamental underpinnings of high prices and strong medium-term demand projections remained intact at the time of preparing the forecasts.  </w:t>
      </w:r>
    </w:p>
    <w:p w:rsidR="000F53FC" w:rsidRDefault="000A1B48" w:rsidP="009D44EE">
      <w:pPr>
        <w:pStyle w:val="Bullet"/>
        <w:numPr>
          <w:ilvl w:val="0"/>
          <w:numId w:val="0"/>
        </w:numPr>
        <w:spacing w:after="200" w:line="276" w:lineRule="auto"/>
      </w:pPr>
      <w:r>
        <w:t>T</w:t>
      </w:r>
      <w:r w:rsidR="0029222B">
        <w:t xml:space="preserve">he value of </w:t>
      </w:r>
      <w:r w:rsidR="00802D61">
        <w:t xml:space="preserve">expected </w:t>
      </w:r>
      <w:r w:rsidR="0029222B">
        <w:t>mining investment has risen by $</w:t>
      </w:r>
      <w:r w:rsidR="00775741">
        <w:t>10.3</w:t>
      </w:r>
      <w:r w:rsidR="0029222B">
        <w:t xml:space="preserve"> billion over the forecast horizon compared </w:t>
      </w:r>
      <w:r w:rsidR="00CB47BB">
        <w:t>with</w:t>
      </w:r>
      <w:r w:rsidR="0029222B">
        <w:t xml:space="preserve"> June</w:t>
      </w:r>
      <w:r w:rsidR="00B25A89">
        <w:t>,</w:t>
      </w:r>
      <w:r w:rsidR="0029222B">
        <w:t xml:space="preserve"> following the announcement of the Arrow LNG project (</w:t>
      </w:r>
      <w:r w:rsidR="00775741">
        <w:t>$</w:t>
      </w:r>
      <w:r w:rsidR="00B25A89">
        <w:t>15 </w:t>
      </w:r>
      <w:r w:rsidR="0029222B">
        <w:t xml:space="preserve">billion) and a positive final investment decision on </w:t>
      </w:r>
      <w:r w:rsidR="006D0358">
        <w:t xml:space="preserve">the Wheatstone LNG project ($29 billion) and the </w:t>
      </w:r>
      <w:r w:rsidR="006D0358" w:rsidRPr="006A3340">
        <w:t>Australia Pacific LNG project (US$14 billion</w:t>
      </w:r>
      <w:r w:rsidR="00A163D7">
        <w:t>)</w:t>
      </w:r>
      <w:r w:rsidR="0029222B">
        <w:t xml:space="preserve">.  </w:t>
      </w:r>
      <w:r w:rsidR="00B15047">
        <w:t>T</w:t>
      </w:r>
      <w:r w:rsidR="002565B6">
        <w:t xml:space="preserve">he </w:t>
      </w:r>
      <w:r w:rsidR="00B15047">
        <w:t xml:space="preserve">resource investment </w:t>
      </w:r>
      <w:r w:rsidR="0068222E" w:rsidRPr="00E840A2">
        <w:t xml:space="preserve">pipeline </w:t>
      </w:r>
      <w:r w:rsidR="00B15047">
        <w:t xml:space="preserve">is at </w:t>
      </w:r>
      <w:r w:rsidR="0068222E" w:rsidRPr="00E840A2">
        <w:t>a record $430 billion</w:t>
      </w:r>
      <w:r w:rsidR="00B15047">
        <w:t xml:space="preserve"> </w:t>
      </w:r>
      <w:r w:rsidR="004E7D1F">
        <w:t xml:space="preserve">(Chart </w:t>
      </w:r>
      <w:r w:rsidR="006C6C34">
        <w:t>5</w:t>
      </w:r>
      <w:r w:rsidR="004E7D1F">
        <w:t xml:space="preserve">) </w:t>
      </w:r>
      <w:r w:rsidR="00B15047">
        <w:t xml:space="preserve">and is expected </w:t>
      </w:r>
      <w:r w:rsidR="00802D61">
        <w:t xml:space="preserve">to </w:t>
      </w:r>
      <w:r w:rsidR="00775741">
        <w:t>result in new business investment</w:t>
      </w:r>
      <w:r w:rsidR="00B25A89">
        <w:t>,</w:t>
      </w:r>
      <w:r w:rsidR="00775741">
        <w:t xml:space="preserve"> as a share of GDP</w:t>
      </w:r>
      <w:r w:rsidR="00B25A89">
        <w:t>,</w:t>
      </w:r>
      <w:r w:rsidR="00775741">
        <w:t xml:space="preserve"> reaching 50</w:t>
      </w:r>
      <w:r w:rsidR="00B25A89">
        <w:noBreakHyphen/>
      </w:r>
      <w:r w:rsidR="00775741">
        <w:t xml:space="preserve">year </w:t>
      </w:r>
      <w:r w:rsidR="00B25A89">
        <w:t>highs by the end of 2012-13.</w:t>
      </w:r>
      <w:r w:rsidR="00C2643A">
        <w:t xml:space="preserve"> </w:t>
      </w:r>
      <w:r>
        <w:t xml:space="preserve"> </w:t>
      </w:r>
      <w:r w:rsidR="00A16E5F">
        <w:t>Consistent with previous forecasting rounds, t</w:t>
      </w:r>
      <w:r>
        <w:t xml:space="preserve">he September JEFG forecasts are based on a conservative translation of mining company </w:t>
      </w:r>
      <w:r>
        <w:lastRenderedPageBreak/>
        <w:t>investment plans</w:t>
      </w:r>
      <w:r w:rsidR="00CE201A">
        <w:t xml:space="preserve"> to the forecasts</w:t>
      </w:r>
      <w:r>
        <w:t>, consistent with project delays observed to date</w:t>
      </w:r>
      <w:r w:rsidRPr="002D05C5">
        <w:t>.</w:t>
      </w:r>
      <w:r>
        <w:t xml:space="preserve">  </w:t>
      </w:r>
    </w:p>
    <w:p w:rsidR="004E7D1F" w:rsidRDefault="004E7D1F" w:rsidP="004E7D1F">
      <w:pPr>
        <w:keepNext/>
        <w:spacing w:after="0"/>
        <w:jc w:val="center"/>
        <w:rPr>
          <w:b/>
        </w:rPr>
      </w:pPr>
      <w:r w:rsidRPr="00E840A2">
        <w:rPr>
          <w:b/>
        </w:rPr>
        <w:t xml:space="preserve">Chart </w:t>
      </w:r>
      <w:r w:rsidR="006C6C34">
        <w:rPr>
          <w:b/>
        </w:rPr>
        <w:t>5</w:t>
      </w:r>
      <w:r w:rsidR="0044305E">
        <w:rPr>
          <w:b/>
        </w:rPr>
        <w:t>:</w:t>
      </w:r>
      <w:r w:rsidRPr="00E840A2">
        <w:rPr>
          <w:b/>
        </w:rPr>
        <w:t xml:space="preserve"> </w:t>
      </w:r>
      <w:r w:rsidR="00CB47BB">
        <w:rPr>
          <w:b/>
        </w:rPr>
        <w:t>Estimates of the r</w:t>
      </w:r>
      <w:r w:rsidRPr="00E840A2">
        <w:rPr>
          <w:b/>
        </w:rPr>
        <w:t xml:space="preserve">esource </w:t>
      </w:r>
      <w:r w:rsidR="00B25A89">
        <w:rPr>
          <w:b/>
        </w:rPr>
        <w:t>i</w:t>
      </w:r>
      <w:r w:rsidRPr="00E840A2">
        <w:rPr>
          <w:b/>
        </w:rPr>
        <w:t xml:space="preserve">nvestment </w:t>
      </w:r>
      <w:r w:rsidR="00B25A89">
        <w:rPr>
          <w:b/>
        </w:rPr>
        <w:t>p</w:t>
      </w:r>
      <w:r w:rsidR="00B25A89" w:rsidRPr="00E840A2">
        <w:rPr>
          <w:b/>
        </w:rPr>
        <w:t>ipeline</w:t>
      </w:r>
    </w:p>
    <w:p w:rsidR="004E7D1F" w:rsidRPr="00E840A2" w:rsidRDefault="0004725C" w:rsidP="00617AD7">
      <w:pPr>
        <w:pStyle w:val="Chartgraphic"/>
        <w:keepNext/>
        <w:rPr>
          <w:b/>
        </w:rPr>
      </w:pPr>
      <w:r>
        <w:rPr>
          <w:b/>
          <w:bCs/>
        </w:rPr>
        <w:pict>
          <v:shape id="_x0000_i1032" type="#_x0000_t75" style="width:208.55pt;height:208.55pt">
            <v:imagedata r:id="rId28" o:title=""/>
          </v:shape>
        </w:pict>
      </w:r>
    </w:p>
    <w:p w:rsidR="004E7D1F" w:rsidRPr="008D0D71" w:rsidRDefault="004E7D1F" w:rsidP="004E7D1F">
      <w:pPr>
        <w:pStyle w:val="ChartGraphic0"/>
        <w:keepNext/>
        <w:spacing w:after="240"/>
        <w:jc w:val="left"/>
        <w:rPr>
          <w:rFonts w:ascii="Tahoma" w:hAnsi="Tahoma" w:cs="Tahoma"/>
          <w:sz w:val="16"/>
          <w:szCs w:val="16"/>
        </w:rPr>
      </w:pPr>
      <w:r w:rsidRPr="008D0D71">
        <w:rPr>
          <w:rFonts w:ascii="Tahoma" w:hAnsi="Tahoma" w:cs="Tahoma"/>
          <w:sz w:val="16"/>
          <w:szCs w:val="16"/>
        </w:rPr>
        <w:t xml:space="preserve">Source: </w:t>
      </w:r>
      <w:r>
        <w:rPr>
          <w:rFonts w:ascii="Tahoma" w:hAnsi="Tahoma" w:cs="Tahoma"/>
          <w:sz w:val="16"/>
          <w:szCs w:val="16"/>
        </w:rPr>
        <w:t xml:space="preserve"> </w:t>
      </w:r>
      <w:r w:rsidRPr="008D0D71">
        <w:rPr>
          <w:rFonts w:ascii="Tahoma" w:hAnsi="Tahoma" w:cs="Tahoma"/>
          <w:sz w:val="16"/>
          <w:szCs w:val="16"/>
        </w:rPr>
        <w:t>ABARES (2011).</w:t>
      </w:r>
    </w:p>
    <w:p w:rsidR="005272F1" w:rsidRDefault="0029222B" w:rsidP="0044305E">
      <w:pPr>
        <w:keepNext/>
        <w:spacing w:after="0"/>
      </w:pPr>
      <w:r>
        <w:t>Applying long-run realisation ratios to the June quarter CAPEX survey suggests an increase in non-mining investment of $3 billion</w:t>
      </w:r>
      <w:r w:rsidR="00B25A89">
        <w:t xml:space="preserve"> in 2011-12</w:t>
      </w:r>
      <w:r>
        <w:t xml:space="preserve"> from the March quarter estimate.  The increase was reasonably broad-based, with CAPEX intentions rising in most industries, including manufacturing.  </w:t>
      </w:r>
      <w:r w:rsidR="0044305E">
        <w:t>However</w:t>
      </w:r>
      <w:r>
        <w:t xml:space="preserve">, given the </w:t>
      </w:r>
      <w:r w:rsidR="00A163D7">
        <w:t xml:space="preserve">subsequent </w:t>
      </w:r>
      <w:r>
        <w:t xml:space="preserve">deterioration in business conditions (around half of the </w:t>
      </w:r>
      <w:r w:rsidR="00A163D7">
        <w:t xml:space="preserve">CAPEX </w:t>
      </w:r>
      <w:r>
        <w:t xml:space="preserve">responses were received by 7 July, with the remainder received by the beginning of August), </w:t>
      </w:r>
      <w:r w:rsidR="0044305E">
        <w:t xml:space="preserve">the non-mining investment forecasts </w:t>
      </w:r>
      <w:r w:rsidR="00CD0779">
        <w:t>have been based on</w:t>
      </w:r>
      <w:r w:rsidR="0044305E">
        <w:t xml:space="preserve"> more </w:t>
      </w:r>
      <w:r>
        <w:t>conservative realisation ratios</w:t>
      </w:r>
      <w:r w:rsidR="0044305E">
        <w:t>, implying a substantial downgrade compared to June</w:t>
      </w:r>
      <w:r w:rsidR="00B25A89">
        <w:t xml:space="preserve"> (Chart 6)</w:t>
      </w:r>
      <w:r>
        <w:t xml:space="preserve">. </w:t>
      </w:r>
      <w:r w:rsidR="00441F13">
        <w:t xml:space="preserve">The September quarter </w:t>
      </w:r>
      <w:r>
        <w:t>ACCI</w:t>
      </w:r>
      <w:r w:rsidR="0044305E">
        <w:noBreakHyphen/>
      </w:r>
      <w:r>
        <w:t>Westpac Survey of Industrial Trends supports this judgment, with the net balance of manufactur</w:t>
      </w:r>
      <w:r w:rsidR="00B25A89">
        <w:t>er</w:t>
      </w:r>
      <w:r>
        <w:t xml:space="preserve">s </w:t>
      </w:r>
      <w:r w:rsidR="00B25A89">
        <w:t xml:space="preserve">who </w:t>
      </w:r>
      <w:r>
        <w:t xml:space="preserve">report plans to increase their spending on plant and equipment falling from 0 in the June quarter to minus 10 in the </w:t>
      </w:r>
      <w:r w:rsidR="00441F13">
        <w:t>September</w:t>
      </w:r>
      <w:r>
        <w:t xml:space="preserve"> quarter. </w:t>
      </w:r>
    </w:p>
    <w:p w:rsidR="0044305E" w:rsidRDefault="005272F1">
      <w:pPr>
        <w:keepNext/>
        <w:spacing w:after="0"/>
        <w:jc w:val="center"/>
        <w:rPr>
          <w:b/>
        </w:rPr>
      </w:pPr>
      <w:r>
        <w:br w:type="page"/>
      </w:r>
      <w:r w:rsidR="0044305E" w:rsidRPr="00CB47BB">
        <w:rPr>
          <w:b/>
        </w:rPr>
        <w:lastRenderedPageBreak/>
        <w:t>Chart 6</w:t>
      </w:r>
      <w:r w:rsidR="00B25A89" w:rsidRPr="00CB47BB">
        <w:rPr>
          <w:b/>
        </w:rPr>
        <w:t>:</w:t>
      </w:r>
      <w:r w:rsidR="0044305E" w:rsidRPr="00CB47BB">
        <w:rPr>
          <w:b/>
        </w:rPr>
        <w:t xml:space="preserve"> Business con</w:t>
      </w:r>
      <w:r w:rsidR="007631BD" w:rsidRPr="00CB47BB">
        <w:rPr>
          <w:b/>
        </w:rPr>
        <w:t>fidence</w:t>
      </w:r>
    </w:p>
    <w:p w:rsidR="0044305E" w:rsidRPr="00E840A2" w:rsidRDefault="0004725C" w:rsidP="009D44EE">
      <w:pPr>
        <w:pStyle w:val="Chartgraphic"/>
        <w:keepNext/>
        <w:spacing w:after="0"/>
      </w:pPr>
      <w:r>
        <w:pict>
          <v:shape id="_x0000_i1033" type="#_x0000_t75" style="width:211.05pt;height:211.05pt">
            <v:imagedata r:id="rId29" o:title=""/>
          </v:shape>
        </w:pict>
      </w:r>
    </w:p>
    <w:p w:rsidR="0044305E" w:rsidRPr="008D0D71" w:rsidRDefault="0044305E" w:rsidP="009D44EE">
      <w:pPr>
        <w:pStyle w:val="ChartGraphic0"/>
        <w:keepNext/>
        <w:spacing w:after="120"/>
        <w:jc w:val="left"/>
        <w:rPr>
          <w:rFonts w:ascii="Tahoma" w:hAnsi="Tahoma" w:cs="Tahoma"/>
          <w:sz w:val="16"/>
          <w:szCs w:val="16"/>
        </w:rPr>
      </w:pPr>
      <w:r w:rsidRPr="008D0D71">
        <w:rPr>
          <w:rFonts w:ascii="Tahoma" w:hAnsi="Tahoma" w:cs="Tahoma"/>
          <w:sz w:val="16"/>
          <w:szCs w:val="16"/>
        </w:rPr>
        <w:t xml:space="preserve">Source: NAB </w:t>
      </w:r>
      <w:r w:rsidR="00B25A89">
        <w:rPr>
          <w:rFonts w:ascii="Tahoma" w:hAnsi="Tahoma" w:cs="Tahoma"/>
          <w:sz w:val="16"/>
          <w:szCs w:val="16"/>
        </w:rPr>
        <w:t>Monthly</w:t>
      </w:r>
      <w:r w:rsidR="00B25A89" w:rsidRPr="008D0D71">
        <w:rPr>
          <w:rFonts w:ascii="Tahoma" w:hAnsi="Tahoma" w:cs="Tahoma"/>
          <w:sz w:val="16"/>
          <w:szCs w:val="16"/>
        </w:rPr>
        <w:t xml:space="preserve"> </w:t>
      </w:r>
      <w:r w:rsidRPr="008D0D71">
        <w:rPr>
          <w:rFonts w:ascii="Tahoma" w:hAnsi="Tahoma" w:cs="Tahoma"/>
          <w:sz w:val="16"/>
          <w:szCs w:val="16"/>
        </w:rPr>
        <w:t>Business Survey</w:t>
      </w:r>
      <w:r>
        <w:rPr>
          <w:rFonts w:ascii="Tahoma" w:hAnsi="Tahoma" w:cs="Tahoma"/>
          <w:sz w:val="16"/>
          <w:szCs w:val="16"/>
        </w:rPr>
        <w:t>.</w:t>
      </w:r>
    </w:p>
    <w:p w:rsidR="004E7D1F" w:rsidRDefault="00441F13" w:rsidP="004E7D1F">
      <w:r w:rsidRPr="00441F13">
        <w:t xml:space="preserve">Translating these </w:t>
      </w:r>
      <w:r w:rsidR="00B25A89">
        <w:t xml:space="preserve">broad </w:t>
      </w:r>
      <w:r w:rsidRPr="00441F13">
        <w:t>movements in mining and non</w:t>
      </w:r>
      <w:r w:rsidR="00B25A89">
        <w:t>-</w:t>
      </w:r>
      <w:r w:rsidRPr="00441F13">
        <w:t xml:space="preserve">mining investment to the </w:t>
      </w:r>
      <w:r w:rsidR="00B25A89">
        <w:t xml:space="preserve">individual </w:t>
      </w:r>
      <w:r w:rsidRPr="00441F13">
        <w:t>components,</w:t>
      </w:r>
      <w:r>
        <w:rPr>
          <w:b/>
        </w:rPr>
        <w:t xml:space="preserve"> </w:t>
      </w:r>
      <w:r w:rsidRPr="009D44EE">
        <w:t>the</w:t>
      </w:r>
      <w:r>
        <w:rPr>
          <w:b/>
        </w:rPr>
        <w:t xml:space="preserve"> e</w:t>
      </w:r>
      <w:r w:rsidR="00884033" w:rsidRPr="00371038">
        <w:rPr>
          <w:b/>
        </w:rPr>
        <w:t>ngineering construction</w:t>
      </w:r>
      <w:r w:rsidR="00884033" w:rsidRPr="00064B1F">
        <w:t xml:space="preserve"> forecasts are broadly in line with </w:t>
      </w:r>
      <w:r w:rsidR="00617AD7">
        <w:t xml:space="preserve">the </w:t>
      </w:r>
      <w:r w:rsidR="00884033" w:rsidRPr="00064B1F">
        <w:t>June</w:t>
      </w:r>
      <w:r w:rsidR="00617AD7">
        <w:t xml:space="preserve"> forecasts</w:t>
      </w:r>
      <w:r w:rsidR="00884033" w:rsidRPr="00064B1F">
        <w:t>.  While growth rates have been revised down</w:t>
      </w:r>
      <w:r>
        <w:t xml:space="preserve"> slightly to</w:t>
      </w:r>
      <w:r w:rsidR="00064B1F">
        <w:t xml:space="preserve"> </w:t>
      </w:r>
      <w:r w:rsidR="008D0D88">
        <w:t>2</w:t>
      </w:r>
      <w:r w:rsidR="006C52EA">
        <w:t>9</w:t>
      </w:r>
      <w:r w:rsidR="008D0D88">
        <w:t>½</w:t>
      </w:r>
      <w:r>
        <w:t> </w:t>
      </w:r>
      <w:r w:rsidR="00884033" w:rsidRPr="00064B1F">
        <w:t xml:space="preserve">per cent in 2011-12 and </w:t>
      </w:r>
      <w:r w:rsidR="006C52EA">
        <w:t>23</w:t>
      </w:r>
      <w:r w:rsidR="00105022">
        <w:t> </w:t>
      </w:r>
      <w:r w:rsidR="00884033" w:rsidRPr="00064B1F">
        <w:t>per</w:t>
      </w:r>
      <w:r w:rsidR="00105022">
        <w:t> </w:t>
      </w:r>
      <w:r w:rsidR="00884033" w:rsidRPr="00064B1F">
        <w:t xml:space="preserve">cent in 2012-13, </w:t>
      </w:r>
      <w:r w:rsidR="004E4163">
        <w:t>a</w:t>
      </w:r>
      <w:r w:rsidR="004E4163" w:rsidRPr="00064B1F">
        <w:t xml:space="preserve"> </w:t>
      </w:r>
      <w:r w:rsidR="00884033" w:rsidRPr="00064B1F">
        <w:t>higher-than-expected 2010</w:t>
      </w:r>
      <w:r w:rsidR="006C6C34">
        <w:noBreakHyphen/>
      </w:r>
      <w:r w:rsidR="00884033" w:rsidRPr="00064B1F">
        <w:t xml:space="preserve">11 outcome means that the overall level of </w:t>
      </w:r>
      <w:r>
        <w:t xml:space="preserve">engineering construction </w:t>
      </w:r>
      <w:r w:rsidR="00884033" w:rsidRPr="00064B1F">
        <w:t xml:space="preserve">investment is </w:t>
      </w:r>
      <w:r w:rsidR="00064B1F" w:rsidRPr="00064B1F">
        <w:t xml:space="preserve">slightly higher than forecast </w:t>
      </w:r>
      <w:r w:rsidR="00617AD7">
        <w:t>in</w:t>
      </w:r>
      <w:r w:rsidR="00064B1F" w:rsidRPr="00064B1F">
        <w:t xml:space="preserve"> </w:t>
      </w:r>
      <w:r w:rsidR="00884033" w:rsidRPr="00064B1F">
        <w:t>June.</w:t>
      </w:r>
      <w:r>
        <w:t xml:space="preserve">  However, the </w:t>
      </w:r>
      <w:r w:rsidRPr="009D44EE">
        <w:rPr>
          <w:b/>
        </w:rPr>
        <w:t>n</w:t>
      </w:r>
      <w:r w:rsidR="004E7D1F" w:rsidRPr="009D44EE">
        <w:rPr>
          <w:b/>
          <w:bCs/>
        </w:rPr>
        <w:t>ew</w:t>
      </w:r>
      <w:r w:rsidR="004E7D1F">
        <w:rPr>
          <w:b/>
          <w:bCs/>
        </w:rPr>
        <w:t xml:space="preserve"> machinery and equipment</w:t>
      </w:r>
      <w:r w:rsidR="004E7D1F">
        <w:t xml:space="preserve"> forecasts have been downgraded since </w:t>
      </w:r>
      <w:r w:rsidR="00617AD7">
        <w:t xml:space="preserve">the </w:t>
      </w:r>
      <w:r w:rsidR="004E7D1F">
        <w:t xml:space="preserve">June </w:t>
      </w:r>
      <w:r w:rsidR="00617AD7">
        <w:t>round</w:t>
      </w:r>
      <w:r w:rsidR="004E7D1F">
        <w:t xml:space="preserve">, with </w:t>
      </w:r>
      <w:r w:rsidR="00D909AD">
        <w:t xml:space="preserve">the additional </w:t>
      </w:r>
      <w:r>
        <w:t>strength in</w:t>
      </w:r>
      <w:r w:rsidR="00D909AD">
        <w:t xml:space="preserve"> mining </w:t>
      </w:r>
      <w:r>
        <w:t>investment</w:t>
      </w:r>
      <w:r w:rsidR="00D909AD">
        <w:t xml:space="preserve"> more than offset by </w:t>
      </w:r>
      <w:r>
        <w:t>the</w:t>
      </w:r>
      <w:r w:rsidR="00D909AD">
        <w:t xml:space="preserve"> downgrade </w:t>
      </w:r>
      <w:r>
        <w:t>to non</w:t>
      </w:r>
      <w:r>
        <w:noBreakHyphen/>
        <w:t>mining investment</w:t>
      </w:r>
      <w:r w:rsidR="004E7D1F">
        <w:t xml:space="preserve">.  </w:t>
      </w:r>
      <w:r w:rsidR="0044305E">
        <w:t>N</w:t>
      </w:r>
      <w:r w:rsidR="004E7D1F">
        <w:t>ew machinery and equipment</w:t>
      </w:r>
      <w:r w:rsidR="00B25A89">
        <w:t xml:space="preserve"> investment</w:t>
      </w:r>
      <w:r w:rsidR="004E7D1F">
        <w:t xml:space="preserve"> is forecast to grow 1</w:t>
      </w:r>
      <w:r w:rsidR="00105022">
        <w:t>4</w:t>
      </w:r>
      <w:r w:rsidR="004E7D1F">
        <w:t> per cent in 2011-12 and 14½ per cent</w:t>
      </w:r>
      <w:r w:rsidR="00617AD7">
        <w:t xml:space="preserve"> in</w:t>
      </w:r>
      <w:r w:rsidR="004E7D1F">
        <w:t xml:space="preserve"> 2012</w:t>
      </w:r>
      <w:r w:rsidR="004E7D1F">
        <w:noBreakHyphen/>
        <w:t>13</w:t>
      </w:r>
      <w:r w:rsidR="00D909AD">
        <w:t>, underpinned by mining investment</w:t>
      </w:r>
      <w:r w:rsidR="004E7D1F">
        <w:t xml:space="preserve">.  </w:t>
      </w:r>
    </w:p>
    <w:p w:rsidR="00D909AD" w:rsidRDefault="00E10F80" w:rsidP="00D909AD">
      <w:r>
        <w:rPr>
          <w:b/>
        </w:rPr>
        <w:t>N</w:t>
      </w:r>
      <w:r w:rsidRPr="00E840A2">
        <w:rPr>
          <w:b/>
        </w:rPr>
        <w:t>on-residential building investment</w:t>
      </w:r>
      <w:r w:rsidRPr="00E840A2">
        <w:t xml:space="preserve"> </w:t>
      </w:r>
      <w:r w:rsidR="00DE39C4">
        <w:t xml:space="preserve">growth </w:t>
      </w:r>
      <w:r>
        <w:t xml:space="preserve">forecasts have also been downgraded </w:t>
      </w:r>
      <w:r w:rsidRPr="00E840A2">
        <w:t xml:space="preserve">since </w:t>
      </w:r>
      <w:r>
        <w:t xml:space="preserve">the </w:t>
      </w:r>
      <w:r w:rsidRPr="00E840A2">
        <w:t xml:space="preserve">June </w:t>
      </w:r>
      <w:r w:rsidR="00617AD7">
        <w:t>round</w:t>
      </w:r>
      <w:r w:rsidRPr="00E840A2">
        <w:t>.</w:t>
      </w:r>
      <w:r w:rsidR="00CD0FF8">
        <w:t xml:space="preserve">  </w:t>
      </w:r>
      <w:r w:rsidR="00D909AD">
        <w:t>The June forecasts were for modest growth over the forecast period off a very low base, in line with growing employment, a tightening office market and industry forecasts for a pickup in office supply.  However, t</w:t>
      </w:r>
      <w:r w:rsidR="00D909AD" w:rsidRPr="00AA23B4">
        <w:t>he NAB Commercial Property Survey, which was conducted</w:t>
      </w:r>
      <w:r w:rsidR="00D909AD">
        <w:t xml:space="preserve"> in the June quarter and therefore preceded the latest bout of global volatility, points to a deterioration in conditions in all sectors of the commercial property market compared </w:t>
      </w:r>
      <w:r w:rsidR="00CB47BB">
        <w:t>with</w:t>
      </w:r>
      <w:r w:rsidR="00D909AD">
        <w:t xml:space="preserve"> the March quarter.  It suggests that vacancy rates picked up from already high levels and </w:t>
      </w:r>
      <w:r w:rsidR="00D909AD">
        <w:lastRenderedPageBreak/>
        <w:t>that rental expectations were flat.  Taking into account</w:t>
      </w:r>
      <w:r w:rsidR="00B25A89">
        <w:t xml:space="preserve"> weak building approvals (Chart 7),</w:t>
      </w:r>
      <w:r w:rsidR="00D909AD">
        <w:t xml:space="preserve"> the deterioration in conditions since the </w:t>
      </w:r>
      <w:r w:rsidR="00CD0779">
        <w:t xml:space="preserve">NAB Commercial Property Survey </w:t>
      </w:r>
      <w:r w:rsidR="00D909AD">
        <w:t xml:space="preserve">was undertaken, the potential for even tighter credit conditions amidst the current global volatility, and the weaker growth and employment outlook, we now expect a </w:t>
      </w:r>
      <w:r w:rsidR="00B25A89">
        <w:t>5 </w:t>
      </w:r>
      <w:r w:rsidR="00A163D7">
        <w:t>per </w:t>
      </w:r>
      <w:r w:rsidR="00D909AD">
        <w:t>cent decline in non</w:t>
      </w:r>
      <w:r w:rsidR="00CD0779">
        <w:noBreakHyphen/>
      </w:r>
      <w:r w:rsidR="00D909AD">
        <w:t>residential construction in 2011-12</w:t>
      </w:r>
      <w:r w:rsidR="00A90125">
        <w:t>, with investment expected to remain flat</w:t>
      </w:r>
      <w:r w:rsidR="00D909AD">
        <w:t xml:space="preserve"> in 2012-13.</w:t>
      </w:r>
    </w:p>
    <w:p w:rsidR="00C712AF" w:rsidRDefault="00C712AF" w:rsidP="00C712AF">
      <w:pPr>
        <w:keepNext/>
        <w:spacing w:after="0"/>
        <w:jc w:val="center"/>
        <w:rPr>
          <w:b/>
        </w:rPr>
      </w:pPr>
      <w:r w:rsidRPr="004E7D1F">
        <w:rPr>
          <w:b/>
        </w:rPr>
        <w:t xml:space="preserve">Chart </w:t>
      </w:r>
      <w:r w:rsidR="006C6C34">
        <w:rPr>
          <w:b/>
        </w:rPr>
        <w:t>7</w:t>
      </w:r>
      <w:r w:rsidR="00B25A89">
        <w:rPr>
          <w:b/>
        </w:rPr>
        <w:t>:</w:t>
      </w:r>
      <w:r w:rsidRPr="004E7D1F">
        <w:rPr>
          <w:b/>
        </w:rPr>
        <w:t xml:space="preserve"> Building Approvals by Industry</w:t>
      </w:r>
    </w:p>
    <w:p w:rsidR="000E676F" w:rsidRDefault="0004725C" w:rsidP="000E676F">
      <w:pPr>
        <w:pStyle w:val="ChartGraphic0"/>
        <w:keepNext/>
        <w:jc w:val="left"/>
        <w:rPr>
          <w:rFonts w:ascii="Tahoma" w:hAnsi="Tahoma" w:cs="Tahoma"/>
          <w:sz w:val="16"/>
          <w:szCs w:val="16"/>
        </w:rPr>
      </w:pPr>
      <w:r>
        <w:pict>
          <v:shape id="_x0000_i1034" type="#_x0000_t75" style="width:211.05pt;height:211.05pt">
            <v:imagedata r:id="rId30" o:title=""/>
          </v:shape>
        </w:pict>
      </w:r>
      <w:r w:rsidR="000E676F" w:rsidRPr="000E676F">
        <w:rPr>
          <w:rFonts w:ascii="Tahoma" w:hAnsi="Tahoma" w:cs="Tahoma"/>
          <w:sz w:val="16"/>
          <w:szCs w:val="16"/>
        </w:rPr>
        <w:t xml:space="preserve"> </w:t>
      </w:r>
      <w:r w:rsidR="000E676F" w:rsidRPr="008D0D71">
        <w:rPr>
          <w:rFonts w:ascii="Tahoma" w:hAnsi="Tahoma" w:cs="Tahoma"/>
          <w:sz w:val="16"/>
          <w:szCs w:val="16"/>
        </w:rPr>
        <w:t xml:space="preserve">Source: </w:t>
      </w:r>
      <w:r w:rsidR="000E676F">
        <w:rPr>
          <w:rFonts w:ascii="Tahoma" w:hAnsi="Tahoma" w:cs="Tahoma"/>
          <w:sz w:val="16"/>
          <w:szCs w:val="16"/>
        </w:rPr>
        <w:t xml:space="preserve"> </w:t>
      </w:r>
      <w:r w:rsidR="002C2335">
        <w:rPr>
          <w:rFonts w:ascii="Tahoma" w:hAnsi="Tahoma" w:cs="Tahoma"/>
          <w:sz w:val="16"/>
          <w:szCs w:val="16"/>
        </w:rPr>
        <w:t>ABS Catalogue Number 8731.0 and Treasury.</w:t>
      </w:r>
    </w:p>
    <w:p w:rsidR="000E676F" w:rsidRPr="000E676F" w:rsidRDefault="000E676F" w:rsidP="000E676F">
      <w:pPr>
        <w:spacing w:after="0"/>
      </w:pPr>
    </w:p>
    <w:p w:rsidR="009D7882" w:rsidRPr="00F318FC" w:rsidRDefault="006B4DF6" w:rsidP="002940D6">
      <w:pPr>
        <w:pStyle w:val="Heading4"/>
        <w:keepNext w:val="0"/>
      </w:pPr>
      <w:bookmarkStart w:id="38" w:name="_Toc304990766"/>
      <w:r w:rsidRPr="00F318FC">
        <w:t>Public final demand</w:t>
      </w:r>
      <w:bookmarkEnd w:id="35"/>
      <w:bookmarkEnd w:id="38"/>
    </w:p>
    <w:p w:rsidR="00F318FC" w:rsidRPr="00E53F92" w:rsidRDefault="00DE39C4" w:rsidP="00F318FC">
      <w:r w:rsidRPr="00F318FC">
        <w:rPr>
          <w:b/>
        </w:rPr>
        <w:t>Public final demand</w:t>
      </w:r>
      <w:r w:rsidRPr="00F318FC">
        <w:t xml:space="preserve"> forecast</w:t>
      </w:r>
      <w:r w:rsidR="00D909AD">
        <w:t>s</w:t>
      </w:r>
      <w:r w:rsidRPr="00F318FC">
        <w:t xml:space="preserve"> </w:t>
      </w:r>
      <w:r w:rsidR="0021121D">
        <w:t xml:space="preserve">have </w:t>
      </w:r>
      <w:r w:rsidR="00CB47BB">
        <w:t>increased</w:t>
      </w:r>
      <w:r w:rsidR="0021121D">
        <w:t xml:space="preserve"> slightly </w:t>
      </w:r>
      <w:r w:rsidRPr="00F318FC">
        <w:t xml:space="preserve">since </w:t>
      </w:r>
      <w:r w:rsidR="00617AD7">
        <w:t xml:space="preserve">the </w:t>
      </w:r>
      <w:r w:rsidRPr="00F318FC">
        <w:t xml:space="preserve">June </w:t>
      </w:r>
      <w:r w:rsidR="00617AD7">
        <w:t>round</w:t>
      </w:r>
      <w:r w:rsidR="00DE1F2D">
        <w:t xml:space="preserve">, with the recent </w:t>
      </w:r>
      <w:r w:rsidR="00DE1F2D" w:rsidRPr="00E53F92">
        <w:t>2011</w:t>
      </w:r>
      <w:r w:rsidR="00CD0779">
        <w:noBreakHyphen/>
      </w:r>
      <w:r w:rsidR="00DE1F2D" w:rsidRPr="00E53F92">
        <w:t>12 New South Wales</w:t>
      </w:r>
      <w:r w:rsidR="00A90125">
        <w:t>,</w:t>
      </w:r>
      <w:r w:rsidR="00DE1F2D" w:rsidRPr="00E53F92">
        <w:t xml:space="preserve"> Queensland</w:t>
      </w:r>
      <w:r w:rsidR="00A90125">
        <w:t xml:space="preserve"> and South Australian</w:t>
      </w:r>
      <w:r w:rsidR="00DE1F2D" w:rsidRPr="00E53F92">
        <w:t xml:space="preserve"> Budgets forecast</w:t>
      </w:r>
      <w:r w:rsidR="00DE1F2D">
        <w:t>ing</w:t>
      </w:r>
      <w:r w:rsidR="00DE1F2D" w:rsidRPr="00E53F92">
        <w:t xml:space="preserve"> higher state and local investment over the next two years</w:t>
      </w:r>
      <w:r w:rsidR="00DE1F2D">
        <w:t xml:space="preserve">, </w:t>
      </w:r>
      <w:r w:rsidR="00A163D7">
        <w:t>only</w:t>
      </w:r>
      <w:r w:rsidR="00DE1F2D">
        <w:t xml:space="preserve"> </w:t>
      </w:r>
      <w:r w:rsidR="00DE1F2D" w:rsidRPr="00E53F92">
        <w:t xml:space="preserve">partially offset by lower </w:t>
      </w:r>
      <w:r w:rsidR="00802D61">
        <w:t>government consumption expenditure</w:t>
      </w:r>
      <w:r w:rsidR="00DE1F2D" w:rsidRPr="00E53F92">
        <w:t xml:space="preserve">.  </w:t>
      </w:r>
    </w:p>
    <w:p w:rsidR="0068222E" w:rsidRDefault="00DE1F2D" w:rsidP="0068222E">
      <w:pPr>
        <w:rPr>
          <w:szCs w:val="20"/>
        </w:rPr>
      </w:pPr>
      <w:r w:rsidRPr="00F318FC">
        <w:t>Public final demand growth has been declining since it peaked at 7 per cent in 2009</w:t>
      </w:r>
      <w:r w:rsidR="003D3C2A">
        <w:noBreakHyphen/>
      </w:r>
      <w:r w:rsidRPr="00F318FC">
        <w:t xml:space="preserve">10 and this </w:t>
      </w:r>
      <w:r>
        <w:t xml:space="preserve">is expected to </w:t>
      </w:r>
      <w:r w:rsidRPr="00F318FC">
        <w:t xml:space="preserve">continue over the next two years, reflecting the </w:t>
      </w:r>
      <w:r w:rsidRPr="00F318FC">
        <w:rPr>
          <w:szCs w:val="20"/>
        </w:rPr>
        <w:t>withdrawal of fiscal stimulus and the fiscal consolidation plans of the Commonwealth and State governments.</w:t>
      </w:r>
      <w:r>
        <w:rPr>
          <w:szCs w:val="20"/>
        </w:rPr>
        <w:t xml:space="preserve"> </w:t>
      </w:r>
      <w:r w:rsidR="00F318FC" w:rsidRPr="00F318FC">
        <w:rPr>
          <w:szCs w:val="20"/>
        </w:rPr>
        <w:t xml:space="preserve">Public final demand </w:t>
      </w:r>
      <w:r w:rsidR="00F318FC" w:rsidRPr="00F318FC">
        <w:t>is forecast to grow 1</w:t>
      </w:r>
      <w:r w:rsidR="00105022">
        <w:t>¼</w:t>
      </w:r>
      <w:r w:rsidR="00F318FC" w:rsidRPr="00F318FC">
        <w:t xml:space="preserve"> per cent in </w:t>
      </w:r>
      <w:r w:rsidR="00F318FC" w:rsidRPr="00F318FC">
        <w:rPr>
          <w:szCs w:val="20"/>
        </w:rPr>
        <w:t>2011-12, before falling 1</w:t>
      </w:r>
      <w:r w:rsidR="003D3C2A">
        <w:rPr>
          <w:szCs w:val="20"/>
        </w:rPr>
        <w:t> </w:t>
      </w:r>
      <w:r w:rsidR="00F318FC" w:rsidRPr="00F318FC">
        <w:rPr>
          <w:szCs w:val="20"/>
        </w:rPr>
        <w:t>per cent in 201</w:t>
      </w:r>
      <w:r w:rsidR="003D3C2A">
        <w:rPr>
          <w:szCs w:val="20"/>
        </w:rPr>
        <w:t>2</w:t>
      </w:r>
      <w:r w:rsidR="00F318FC" w:rsidRPr="00F318FC">
        <w:rPr>
          <w:szCs w:val="20"/>
        </w:rPr>
        <w:noBreakHyphen/>
        <w:t>1</w:t>
      </w:r>
      <w:r w:rsidR="003D3C2A">
        <w:rPr>
          <w:szCs w:val="20"/>
        </w:rPr>
        <w:t>3</w:t>
      </w:r>
      <w:r w:rsidR="00F318FC" w:rsidRPr="00F318FC">
        <w:rPr>
          <w:szCs w:val="20"/>
        </w:rPr>
        <w:t>.</w:t>
      </w:r>
      <w:r w:rsidR="00A163D7">
        <w:rPr>
          <w:szCs w:val="20"/>
        </w:rPr>
        <w:t xml:space="preserve"> </w:t>
      </w:r>
    </w:p>
    <w:p w:rsidR="00A163D7" w:rsidRPr="00DE39C4" w:rsidRDefault="00A163D7" w:rsidP="0068222E"/>
    <w:p w:rsidR="005B389D" w:rsidRPr="00E840A2" w:rsidRDefault="005B389D" w:rsidP="00E415BA">
      <w:pPr>
        <w:pStyle w:val="Heading4"/>
        <w:keepNext w:val="0"/>
        <w:jc w:val="both"/>
      </w:pPr>
      <w:bookmarkStart w:id="39" w:name="_Toc304990767"/>
      <w:r w:rsidRPr="00E840A2">
        <w:lastRenderedPageBreak/>
        <w:t xml:space="preserve">Exports, imports and the current account </w:t>
      </w:r>
      <w:r w:rsidR="00407202">
        <w:t>balance</w:t>
      </w:r>
      <w:bookmarkEnd w:id="39"/>
    </w:p>
    <w:p w:rsidR="00A61B79" w:rsidRPr="00E840A2" w:rsidRDefault="00A61B79" w:rsidP="00A61B79">
      <w:r w:rsidRPr="00E840A2">
        <w:rPr>
          <w:b/>
          <w:bCs/>
        </w:rPr>
        <w:t>Net exports</w:t>
      </w:r>
      <w:r w:rsidRPr="00E840A2">
        <w:t xml:space="preserve"> are expected to detract 1¼</w:t>
      </w:r>
      <w:r w:rsidR="003D3C2A">
        <w:t> </w:t>
      </w:r>
      <w:r w:rsidRPr="00E840A2">
        <w:t xml:space="preserve">percentage points from real GDP growth in </w:t>
      </w:r>
      <w:r w:rsidR="00A163D7" w:rsidRPr="00E840A2">
        <w:t xml:space="preserve">both </w:t>
      </w:r>
      <w:r w:rsidRPr="00E840A2">
        <w:t>2011-12 and 2012</w:t>
      </w:r>
      <w:r w:rsidRPr="00E840A2">
        <w:noBreakHyphen/>
        <w:t>13 (Chart</w:t>
      </w:r>
      <w:r w:rsidR="003D3C2A">
        <w:t> </w:t>
      </w:r>
      <w:r w:rsidR="006C6C34">
        <w:t>8</w:t>
      </w:r>
      <w:r w:rsidRPr="00E840A2">
        <w:t xml:space="preserve">).  </w:t>
      </w:r>
      <w:r w:rsidR="003D3C2A">
        <w:t xml:space="preserve">This is a slightly larger detraction in 2011-12 than forecast </w:t>
      </w:r>
      <w:r w:rsidR="00617AD7">
        <w:t>in</w:t>
      </w:r>
      <w:r w:rsidR="003D3C2A">
        <w:t xml:space="preserve"> June, reflecting </w:t>
      </w:r>
      <w:r w:rsidRPr="00E840A2">
        <w:t>a slower</w:t>
      </w:r>
      <w:r w:rsidR="004E7D1F">
        <w:noBreakHyphen/>
      </w:r>
      <w:r w:rsidRPr="00E840A2">
        <w:t>than</w:t>
      </w:r>
      <w:r w:rsidR="004E7D1F">
        <w:noBreakHyphen/>
      </w:r>
      <w:r w:rsidRPr="00E840A2">
        <w:t xml:space="preserve">expected recovery in coal exports </w:t>
      </w:r>
      <w:r w:rsidR="00DE1F2D">
        <w:t xml:space="preserve">following the Queensland floods in </w:t>
      </w:r>
      <w:r w:rsidR="009D44EE">
        <w:t xml:space="preserve">early 2011 </w:t>
      </w:r>
      <w:r w:rsidRPr="00E840A2">
        <w:t>and delays to new export capacity coming online</w:t>
      </w:r>
      <w:r w:rsidR="00DE1F2D">
        <w:t>, partly offset by lower imports growth</w:t>
      </w:r>
      <w:r w:rsidRPr="00E840A2">
        <w:t xml:space="preserve">. </w:t>
      </w:r>
    </w:p>
    <w:p w:rsidR="00A35ABC" w:rsidRDefault="000E676F">
      <w:pPr>
        <w:keepNext/>
        <w:spacing w:after="0"/>
        <w:jc w:val="center"/>
        <w:rPr>
          <w:b/>
        </w:rPr>
      </w:pPr>
      <w:r w:rsidRPr="004E7D1F">
        <w:rPr>
          <w:b/>
        </w:rPr>
        <w:t xml:space="preserve">Chart </w:t>
      </w:r>
      <w:r w:rsidR="006C6C34">
        <w:rPr>
          <w:b/>
        </w:rPr>
        <w:t>8</w:t>
      </w:r>
      <w:r w:rsidR="00EC5A93" w:rsidRPr="004E7D1F">
        <w:rPr>
          <w:b/>
        </w:rPr>
        <w:t>: Net exports</w:t>
      </w:r>
      <w:r w:rsidR="00A90125">
        <w:rPr>
          <w:b/>
        </w:rPr>
        <w:t xml:space="preserve"> contribution to GDP growth</w:t>
      </w:r>
    </w:p>
    <w:p w:rsidR="009970EF" w:rsidRPr="002B6E1B" w:rsidRDefault="0004725C" w:rsidP="009D44EE">
      <w:pPr>
        <w:pStyle w:val="Chartgraphic"/>
        <w:keepNext/>
      </w:pPr>
      <w:r>
        <w:pict>
          <v:shape id="_x0000_i1035" type="#_x0000_t75" style="width:211.05pt;height:211.05pt">
            <v:imagedata r:id="rId31" o:title=""/>
          </v:shape>
        </w:pict>
      </w:r>
    </w:p>
    <w:p w:rsidR="000E676F" w:rsidRPr="008D0D71" w:rsidRDefault="000E676F" w:rsidP="009D44EE">
      <w:pPr>
        <w:pStyle w:val="ChartGraphic0"/>
        <w:keepNext/>
        <w:spacing w:after="120"/>
        <w:jc w:val="left"/>
        <w:rPr>
          <w:rFonts w:ascii="Tahoma" w:hAnsi="Tahoma" w:cs="Tahoma"/>
          <w:sz w:val="16"/>
          <w:szCs w:val="16"/>
        </w:rPr>
      </w:pPr>
      <w:r w:rsidRPr="008D0D71">
        <w:rPr>
          <w:rFonts w:ascii="Tahoma" w:hAnsi="Tahoma" w:cs="Tahoma"/>
          <w:sz w:val="16"/>
          <w:szCs w:val="16"/>
        </w:rPr>
        <w:t xml:space="preserve">Source: </w:t>
      </w:r>
      <w:r>
        <w:rPr>
          <w:rFonts w:ascii="Tahoma" w:hAnsi="Tahoma" w:cs="Tahoma"/>
          <w:sz w:val="16"/>
          <w:szCs w:val="16"/>
        </w:rPr>
        <w:t xml:space="preserve"> </w:t>
      </w:r>
      <w:r w:rsidR="00180A6F">
        <w:rPr>
          <w:rFonts w:ascii="Tahoma" w:hAnsi="Tahoma" w:cs="Tahoma"/>
          <w:sz w:val="16"/>
          <w:szCs w:val="16"/>
        </w:rPr>
        <w:t>ABS Catalogue Number 5206.0 and Treasury.</w:t>
      </w:r>
    </w:p>
    <w:p w:rsidR="00A61B79" w:rsidRPr="00E840A2" w:rsidRDefault="00A61B79" w:rsidP="00A61B79">
      <w:pPr>
        <w:rPr>
          <w:rFonts w:cs="Book Antiqua"/>
          <w:szCs w:val="20"/>
        </w:rPr>
      </w:pPr>
      <w:r w:rsidRPr="00E840A2">
        <w:rPr>
          <w:rFonts w:cs="Book Antiqua"/>
          <w:b/>
          <w:szCs w:val="20"/>
        </w:rPr>
        <w:t>Total exports</w:t>
      </w:r>
      <w:r w:rsidRPr="00E840A2">
        <w:rPr>
          <w:rFonts w:cs="Book Antiqua"/>
          <w:szCs w:val="20"/>
        </w:rPr>
        <w:t xml:space="preserve"> forecasts</w:t>
      </w:r>
      <w:r w:rsidR="00180A6F">
        <w:rPr>
          <w:rFonts w:cs="Book Antiqua"/>
          <w:szCs w:val="20"/>
        </w:rPr>
        <w:t xml:space="preserve"> in 2011-12</w:t>
      </w:r>
      <w:r w:rsidRPr="00E840A2">
        <w:rPr>
          <w:rFonts w:cs="Book Antiqua"/>
          <w:szCs w:val="20"/>
        </w:rPr>
        <w:t xml:space="preserve"> have been downgraded</w:t>
      </w:r>
      <w:r w:rsidR="0056479C">
        <w:rPr>
          <w:rFonts w:cs="Book Antiqua"/>
          <w:szCs w:val="20"/>
        </w:rPr>
        <w:t xml:space="preserve"> slightly</w:t>
      </w:r>
      <w:r w:rsidRPr="00E840A2">
        <w:rPr>
          <w:rFonts w:cs="Book Antiqua"/>
          <w:szCs w:val="20"/>
        </w:rPr>
        <w:t xml:space="preserve"> since </w:t>
      </w:r>
      <w:r w:rsidR="00617AD7">
        <w:rPr>
          <w:rFonts w:cs="Book Antiqua"/>
          <w:szCs w:val="20"/>
        </w:rPr>
        <w:t xml:space="preserve">the </w:t>
      </w:r>
      <w:r w:rsidRPr="00E840A2">
        <w:rPr>
          <w:rFonts w:cs="Book Antiqua"/>
          <w:szCs w:val="20"/>
        </w:rPr>
        <w:t xml:space="preserve">June </w:t>
      </w:r>
      <w:r w:rsidR="00617AD7">
        <w:rPr>
          <w:rFonts w:cs="Book Antiqua"/>
          <w:szCs w:val="20"/>
        </w:rPr>
        <w:t>round</w:t>
      </w:r>
      <w:r w:rsidRPr="00E840A2">
        <w:rPr>
          <w:rFonts w:cs="Book Antiqua"/>
          <w:szCs w:val="20"/>
        </w:rPr>
        <w:t xml:space="preserve">, </w:t>
      </w:r>
      <w:r w:rsidR="0056479C">
        <w:rPr>
          <w:rFonts w:cs="Book Antiqua"/>
          <w:szCs w:val="20"/>
        </w:rPr>
        <w:t xml:space="preserve">largely </w:t>
      </w:r>
      <w:r w:rsidRPr="00E840A2">
        <w:rPr>
          <w:rFonts w:cs="Book Antiqua"/>
          <w:szCs w:val="20"/>
        </w:rPr>
        <w:t xml:space="preserve">reflecting delays in </w:t>
      </w:r>
      <w:r w:rsidR="00B15047">
        <w:rPr>
          <w:rFonts w:cs="Book Antiqua"/>
          <w:szCs w:val="20"/>
        </w:rPr>
        <w:t xml:space="preserve">non-rural commodity </w:t>
      </w:r>
      <w:r w:rsidRPr="00E840A2">
        <w:rPr>
          <w:rFonts w:cs="Book Antiqua"/>
          <w:szCs w:val="20"/>
        </w:rPr>
        <w:t>export capacity coming on line.  Nevertheless, total exports are expected to increase by a strong 6 per cent in 2011-12 and</w:t>
      </w:r>
      <w:r w:rsidR="00105022">
        <w:rPr>
          <w:rFonts w:cs="Book Antiqua"/>
          <w:szCs w:val="20"/>
        </w:rPr>
        <w:t xml:space="preserve"> 5½ per cent in</w:t>
      </w:r>
      <w:r w:rsidRPr="00E840A2">
        <w:rPr>
          <w:rFonts w:cs="Book Antiqua"/>
          <w:szCs w:val="20"/>
        </w:rPr>
        <w:t xml:space="preserve"> 2012-13. </w:t>
      </w:r>
    </w:p>
    <w:p w:rsidR="00A61B79" w:rsidRDefault="00407202" w:rsidP="00A61B79">
      <w:r w:rsidRPr="009D44EE">
        <w:rPr>
          <w:b/>
          <w:bCs/>
        </w:rPr>
        <w:t>Non-rural commodity</w:t>
      </w:r>
      <w:r>
        <w:rPr>
          <w:bCs/>
        </w:rPr>
        <w:t xml:space="preserve"> forecasts have been downgraded slightly in level terms since </w:t>
      </w:r>
      <w:r w:rsidR="00617AD7">
        <w:rPr>
          <w:bCs/>
        </w:rPr>
        <w:t xml:space="preserve">the </w:t>
      </w:r>
      <w:r>
        <w:rPr>
          <w:bCs/>
        </w:rPr>
        <w:t xml:space="preserve">June </w:t>
      </w:r>
      <w:r w:rsidR="00617AD7">
        <w:rPr>
          <w:bCs/>
        </w:rPr>
        <w:t>round</w:t>
      </w:r>
      <w:r w:rsidR="00A61B79" w:rsidRPr="00E840A2">
        <w:t xml:space="preserve">. </w:t>
      </w:r>
      <w:r w:rsidR="00DE1F2D">
        <w:t>In original terms, c</w:t>
      </w:r>
      <w:r w:rsidR="00A61B79" w:rsidRPr="00E840A2">
        <w:t xml:space="preserve">oal exports from Queensland bounced back in the June quarter from the </w:t>
      </w:r>
      <w:r w:rsidR="003D3C2A">
        <w:t xml:space="preserve">flood-affected </w:t>
      </w:r>
      <w:r w:rsidR="00A61B79" w:rsidRPr="00E840A2">
        <w:t>lows earlier in the year.  However, with a number of mines continuing to experience issues with de</w:t>
      </w:r>
      <w:r w:rsidR="003D3C2A">
        <w:noBreakHyphen/>
      </w:r>
      <w:r w:rsidR="00A61B79" w:rsidRPr="00E840A2">
        <w:t xml:space="preserve">watering, coal (predominantly metallurgical coal) exports from Queensland are not expected to return to pre-flood levels until the end of 2011. Growth over the next two years has also been downgraded following revisions to timelines for new </w:t>
      </w:r>
      <w:r w:rsidR="00A61B79" w:rsidRPr="00E840A2">
        <w:lastRenderedPageBreak/>
        <w:t xml:space="preserve">capacity coming online due to logistical issues associated with bringing large scale projects to </w:t>
      </w:r>
      <w:r w:rsidR="003D3C2A">
        <w:t>completion</w:t>
      </w:r>
      <w:r w:rsidR="00A61B79" w:rsidRPr="00E840A2">
        <w:t xml:space="preserve">. Two prominent examples </w:t>
      </w:r>
      <w:r w:rsidR="00CB47BB">
        <w:t>of recent project delays are</w:t>
      </w:r>
      <w:r w:rsidR="00A61B79" w:rsidRPr="00E840A2">
        <w:t xml:space="preserve"> Woodside’s Pluto LNG project and CITIC Pacific’s Sino Iron project. </w:t>
      </w:r>
      <w:r w:rsidR="00CD0779">
        <w:t>Notwithstanding the downward revision to the forecasts</w:t>
      </w:r>
      <w:r w:rsidR="00A61B79" w:rsidRPr="00E840A2">
        <w:t xml:space="preserve">, growth </w:t>
      </w:r>
      <w:r w:rsidR="001E2C8C">
        <w:t>in non</w:t>
      </w:r>
      <w:r w:rsidR="00CD0779">
        <w:noBreakHyphen/>
      </w:r>
      <w:r w:rsidR="001E2C8C">
        <w:t xml:space="preserve">rural commodity exports </w:t>
      </w:r>
      <w:r w:rsidR="00A61B79" w:rsidRPr="00E840A2">
        <w:t>is expected to be strong</w:t>
      </w:r>
      <w:r w:rsidR="003D3C2A">
        <w:t>,</w:t>
      </w:r>
      <w:r w:rsidR="00A61B79" w:rsidRPr="00E840A2">
        <w:t xml:space="preserve"> at 10 per cent in 2011-12 and 8½ per cent in 2012</w:t>
      </w:r>
      <w:r w:rsidR="003D3C2A">
        <w:t> </w:t>
      </w:r>
      <w:r w:rsidR="00A61B79" w:rsidRPr="00E840A2">
        <w:t xml:space="preserve">13.  </w:t>
      </w:r>
    </w:p>
    <w:p w:rsidR="00EC5A93" w:rsidRPr="001409D0" w:rsidRDefault="00EC5A93" w:rsidP="00A35ABC">
      <w:pPr>
        <w:keepNext/>
        <w:spacing w:after="0"/>
        <w:jc w:val="center"/>
        <w:rPr>
          <w:b/>
        </w:rPr>
      </w:pPr>
      <w:r w:rsidRPr="001409D0">
        <w:rPr>
          <w:b/>
        </w:rPr>
        <w:t xml:space="preserve">Chart </w:t>
      </w:r>
      <w:r w:rsidR="006C6C34">
        <w:rPr>
          <w:b/>
        </w:rPr>
        <w:t>9</w:t>
      </w:r>
      <w:r w:rsidRPr="001409D0">
        <w:rPr>
          <w:b/>
        </w:rPr>
        <w:t>: Coal and iron ore exports</w:t>
      </w:r>
    </w:p>
    <w:p w:rsidR="000E676F" w:rsidRPr="001409D0" w:rsidRDefault="0004725C" w:rsidP="001437D5">
      <w:pPr>
        <w:pStyle w:val="Chartgraphic"/>
        <w:keepNext/>
        <w:spacing w:after="0"/>
      </w:pPr>
      <w:r>
        <w:pict>
          <v:shape id="_x0000_i1036" type="#_x0000_t75" style="width:211.05pt;height:211.05pt">
            <v:imagedata r:id="rId32" o:title=""/>
          </v:shape>
        </w:pict>
      </w:r>
    </w:p>
    <w:p w:rsidR="00A35ABC" w:rsidRPr="001409D0" w:rsidRDefault="00A35ABC" w:rsidP="009D44EE">
      <w:pPr>
        <w:pStyle w:val="Chartgraphic"/>
        <w:keepNext/>
        <w:spacing w:after="120"/>
        <w:jc w:val="left"/>
        <w:rPr>
          <w:rFonts w:ascii="Tahoma" w:hAnsi="Tahoma" w:cs="Tahoma"/>
          <w:sz w:val="16"/>
          <w:szCs w:val="16"/>
        </w:rPr>
      </w:pPr>
      <w:r w:rsidRPr="001409D0">
        <w:rPr>
          <w:rFonts w:ascii="Tahoma" w:hAnsi="Tahoma" w:cs="Tahoma"/>
          <w:sz w:val="16"/>
          <w:szCs w:val="16"/>
        </w:rPr>
        <w:t>Source:  ABS Cat</w:t>
      </w:r>
      <w:r w:rsidR="002C2335" w:rsidRPr="001409D0">
        <w:rPr>
          <w:rFonts w:ascii="Tahoma" w:hAnsi="Tahoma" w:cs="Tahoma"/>
          <w:sz w:val="16"/>
          <w:szCs w:val="16"/>
        </w:rPr>
        <w:t>alogue Number</w:t>
      </w:r>
      <w:r w:rsidRPr="001409D0">
        <w:rPr>
          <w:rFonts w:ascii="Tahoma" w:hAnsi="Tahoma" w:cs="Tahoma"/>
          <w:sz w:val="16"/>
          <w:szCs w:val="16"/>
        </w:rPr>
        <w:t xml:space="preserve"> 5368.0.</w:t>
      </w:r>
    </w:p>
    <w:p w:rsidR="00B03F87" w:rsidRPr="001409D0" w:rsidRDefault="00B03F87" w:rsidP="00B03F87">
      <w:r w:rsidRPr="001409D0">
        <w:rPr>
          <w:b/>
          <w:bCs/>
        </w:rPr>
        <w:t xml:space="preserve">Rural export </w:t>
      </w:r>
      <w:r w:rsidRPr="001409D0">
        <w:t xml:space="preserve">forecasts have been upgraded since the June </w:t>
      </w:r>
      <w:r w:rsidR="00617AD7">
        <w:t>round</w:t>
      </w:r>
      <w:r w:rsidRPr="001409D0">
        <w:t>, despite a slightly weaker</w:t>
      </w:r>
      <w:r w:rsidR="003D3C2A">
        <w:noBreakHyphen/>
      </w:r>
      <w:r w:rsidRPr="001409D0">
        <w:t>than-expected 2010-11 outcome. Export volumes are expected to grow 3</w:t>
      </w:r>
      <w:r w:rsidR="006233B1" w:rsidRPr="001409D0">
        <w:t>½</w:t>
      </w:r>
      <w:r w:rsidRPr="001409D0">
        <w:t xml:space="preserve"> per cent in 2011-12 and 3 per cent in 2012-13, driven by stronger production and an anticipated run down of grain inventories.  The forecast is also for stronger farm GDP levels, with better-than-expected yields across the Western Australian wheat belt and good carryover soil moisture along the east coast improving grain and cotton yields in 2011-12. The outlook for rural export prices has also strengthened, reflecting lower expected corn yields in the US and a weaker outlook for the US wheat crop.</w:t>
      </w:r>
    </w:p>
    <w:p w:rsidR="00A61B79" w:rsidRPr="001409D0" w:rsidRDefault="00A61B79" w:rsidP="00A61B79">
      <w:r w:rsidRPr="001409D0">
        <w:rPr>
          <w:b/>
        </w:rPr>
        <w:t>Elaborately transformed manufactures</w:t>
      </w:r>
      <w:r w:rsidRPr="001409D0">
        <w:t xml:space="preserve"> (ETM) export volume forecasts have been upgraded slightly in 2011-12</w:t>
      </w:r>
      <w:r w:rsidR="00407202">
        <w:t>,</w:t>
      </w:r>
      <w:r w:rsidRPr="001409D0">
        <w:t xml:space="preserve"> owing to </w:t>
      </w:r>
      <w:r w:rsidR="00F9437B">
        <w:t>recent strength in exports of</w:t>
      </w:r>
      <w:r w:rsidRPr="001409D0">
        <w:t xml:space="preserve"> transport equipment, </w:t>
      </w:r>
      <w:r w:rsidR="00F9437B">
        <w:t xml:space="preserve">but </w:t>
      </w:r>
      <w:r w:rsidR="00407202">
        <w:t xml:space="preserve">downgraded </w:t>
      </w:r>
      <w:r w:rsidRPr="001409D0">
        <w:t>slight</w:t>
      </w:r>
      <w:r w:rsidR="00407202">
        <w:t xml:space="preserve">ly </w:t>
      </w:r>
      <w:r w:rsidRPr="001409D0">
        <w:t xml:space="preserve">in 2012-13, owing to the weaker growth outlook for Australia’s major trading partners.  ETM volumes are expected </w:t>
      </w:r>
      <w:r w:rsidRPr="001409D0">
        <w:lastRenderedPageBreak/>
        <w:t xml:space="preserve">to grow ½ per cent in </w:t>
      </w:r>
      <w:r w:rsidR="004416A5">
        <w:t xml:space="preserve">both </w:t>
      </w:r>
      <w:r w:rsidRPr="001409D0">
        <w:t>2011-12 and 2012</w:t>
      </w:r>
      <w:r w:rsidRPr="001409D0">
        <w:noBreakHyphen/>
        <w:t xml:space="preserve">13.  </w:t>
      </w:r>
    </w:p>
    <w:p w:rsidR="00A61B79" w:rsidRPr="00E840A2" w:rsidRDefault="00A61B79" w:rsidP="00A61B79">
      <w:r w:rsidRPr="001409D0">
        <w:rPr>
          <w:b/>
        </w:rPr>
        <w:t>Services’ export</w:t>
      </w:r>
      <w:r w:rsidRPr="001409D0">
        <w:t xml:space="preserve"> forecasts are broadly unchanged since the June </w:t>
      </w:r>
      <w:r w:rsidR="00617AD7">
        <w:t>round</w:t>
      </w:r>
      <w:r w:rsidRPr="001409D0">
        <w:t>.  The outlook remains subdued, with continuing declines in</w:t>
      </w:r>
      <w:r w:rsidR="00802D61">
        <w:t xml:space="preserve"> overseas </w:t>
      </w:r>
      <w:r w:rsidRPr="001409D0">
        <w:t xml:space="preserve">student commencements and tourist arrivals suggesting on-going weakness in this sector.  Service exports are expected to fall </w:t>
      </w:r>
      <w:r w:rsidR="00671179">
        <w:t>2</w:t>
      </w:r>
      <w:r w:rsidRPr="001409D0">
        <w:t xml:space="preserve"> per cent in 2011-12, before rising ½ </w:t>
      </w:r>
      <w:r w:rsidR="00671179">
        <w:t xml:space="preserve">of a </w:t>
      </w:r>
      <w:r w:rsidRPr="001409D0">
        <w:t>per cent in</w:t>
      </w:r>
      <w:r w:rsidRPr="00E840A2">
        <w:t xml:space="preserve"> 2012-13.  </w:t>
      </w:r>
      <w:r w:rsidR="00A90851">
        <w:t xml:space="preserve">The forecasts were prepared prior to the announcement of the Government’s response to the Knight Review (released on 22 September), </w:t>
      </w:r>
      <w:r w:rsidR="00C1152F">
        <w:t>which contained</w:t>
      </w:r>
      <w:r w:rsidR="00A90851">
        <w:t xml:space="preserve"> a number of changes to student visa requirements that may be positive for services exports </w:t>
      </w:r>
      <w:r w:rsidR="00C1152F">
        <w:t>from</w:t>
      </w:r>
      <w:r w:rsidR="00A90851">
        <w:t xml:space="preserve"> 2012</w:t>
      </w:r>
      <w:r w:rsidR="00A90851">
        <w:noBreakHyphen/>
        <w:t>13.</w:t>
      </w:r>
    </w:p>
    <w:p w:rsidR="00A61B79" w:rsidRPr="00E840A2" w:rsidRDefault="00A61B79" w:rsidP="00A61B79">
      <w:pPr>
        <w:autoSpaceDE w:val="0"/>
        <w:autoSpaceDN w:val="0"/>
      </w:pPr>
      <w:r w:rsidRPr="00E840A2">
        <w:rPr>
          <w:b/>
          <w:bCs/>
        </w:rPr>
        <w:t>Import</w:t>
      </w:r>
      <w:r w:rsidRPr="00E840A2">
        <w:t xml:space="preserve"> volume growth forecasts have been </w:t>
      </w:r>
      <w:r w:rsidR="00CB47BB">
        <w:t>reduced</w:t>
      </w:r>
      <w:r w:rsidRPr="00E840A2">
        <w:t xml:space="preserve"> slightly since </w:t>
      </w:r>
      <w:r w:rsidR="00617AD7">
        <w:t xml:space="preserve">the </w:t>
      </w:r>
      <w:r w:rsidRPr="00E840A2">
        <w:t xml:space="preserve">June </w:t>
      </w:r>
      <w:r w:rsidR="00617AD7">
        <w:t>round</w:t>
      </w:r>
      <w:r w:rsidR="003D3C2A">
        <w:t>,</w:t>
      </w:r>
      <w:r w:rsidRPr="00E840A2">
        <w:t xml:space="preserve"> reflecting weaker domestic demand and </w:t>
      </w:r>
      <w:r w:rsidR="00407202">
        <w:t xml:space="preserve">the </w:t>
      </w:r>
      <w:r w:rsidR="00F9437B">
        <w:t xml:space="preserve">recent </w:t>
      </w:r>
      <w:r w:rsidR="00A90125">
        <w:t xml:space="preserve">depreciation </w:t>
      </w:r>
      <w:r w:rsidR="004416A5">
        <w:t xml:space="preserve">of </w:t>
      </w:r>
      <w:r w:rsidR="00F9437B">
        <w:t>the</w:t>
      </w:r>
      <w:r w:rsidR="00F9437B" w:rsidRPr="00E840A2">
        <w:t xml:space="preserve"> </w:t>
      </w:r>
      <w:r w:rsidRPr="00E840A2">
        <w:t xml:space="preserve">Australian dollar.  Nevertheless, volumes are expected to increase strongly over the next two years, </w:t>
      </w:r>
      <w:r w:rsidR="003D3C2A">
        <w:t>driven by</w:t>
      </w:r>
      <w:r w:rsidRPr="00E840A2">
        <w:t xml:space="preserve"> capital equipment imports associated with the mining investment boom.  Import volumes are expected to increase 10</w:t>
      </w:r>
      <w:r w:rsidR="003D3C2A">
        <w:t> </w:t>
      </w:r>
      <w:r w:rsidRPr="00E840A2">
        <w:t>per cent in 2011</w:t>
      </w:r>
      <w:r w:rsidRPr="00E840A2">
        <w:noBreakHyphen/>
        <w:t>12 and 9½ per cent in 2012</w:t>
      </w:r>
      <w:r w:rsidRPr="00E840A2">
        <w:noBreakHyphen/>
        <w:t xml:space="preserve">13.  </w:t>
      </w:r>
    </w:p>
    <w:p w:rsidR="00A61B79" w:rsidRPr="00E840A2" w:rsidRDefault="00A61B79" w:rsidP="00A61B79">
      <w:pPr>
        <w:autoSpaceDE w:val="0"/>
        <w:autoSpaceDN w:val="0"/>
      </w:pPr>
      <w:r w:rsidRPr="00E840A2">
        <w:rPr>
          <w:b/>
        </w:rPr>
        <w:t>Service import</w:t>
      </w:r>
      <w:r w:rsidRPr="00E840A2">
        <w:t xml:space="preserve"> volume forecasts have been downgraded </w:t>
      </w:r>
      <w:r w:rsidR="00132839">
        <w:t xml:space="preserve">slightly </w:t>
      </w:r>
      <w:r w:rsidRPr="00E840A2">
        <w:t xml:space="preserve">since the June </w:t>
      </w:r>
      <w:r w:rsidR="00617AD7">
        <w:t>round</w:t>
      </w:r>
      <w:r w:rsidRPr="00E840A2">
        <w:t xml:space="preserve">, due to a lower exchange rate assumption and weaker </w:t>
      </w:r>
      <w:r w:rsidR="00F9437B">
        <w:t xml:space="preserve">anticipated </w:t>
      </w:r>
      <w:r w:rsidRPr="00E840A2">
        <w:t>household consumption expenditure on services, particularly travel.  Services’ import volumes are expected to grow 9½ per cent in 2011-12 and 2½ per cent in 2012</w:t>
      </w:r>
      <w:r w:rsidR="000A1249">
        <w:noBreakHyphen/>
      </w:r>
      <w:r w:rsidRPr="00E840A2">
        <w:t xml:space="preserve">13.  </w:t>
      </w:r>
    </w:p>
    <w:p w:rsidR="00A61B79" w:rsidRPr="00E840A2" w:rsidRDefault="00A61B79" w:rsidP="00A61B79">
      <w:r w:rsidRPr="00E840A2">
        <w:t xml:space="preserve">The </w:t>
      </w:r>
      <w:r w:rsidRPr="00E840A2">
        <w:rPr>
          <w:b/>
        </w:rPr>
        <w:t>terms of trade</w:t>
      </w:r>
      <w:r w:rsidRPr="00E840A2">
        <w:t xml:space="preserve"> forecast</w:t>
      </w:r>
      <w:r w:rsidR="00F9437B">
        <w:t>s</w:t>
      </w:r>
      <w:r w:rsidRPr="00E840A2">
        <w:t xml:space="preserve"> </w:t>
      </w:r>
      <w:r w:rsidR="00F9437B">
        <w:t>have</w:t>
      </w:r>
      <w:r w:rsidR="00F9437B" w:rsidRPr="00E840A2">
        <w:t xml:space="preserve"> </w:t>
      </w:r>
      <w:r w:rsidRPr="00E840A2">
        <w:t xml:space="preserve">been upgraded since </w:t>
      </w:r>
      <w:r w:rsidR="00617AD7">
        <w:t xml:space="preserve">the </w:t>
      </w:r>
      <w:r w:rsidRPr="00E840A2">
        <w:t xml:space="preserve">June </w:t>
      </w:r>
      <w:r w:rsidR="00617AD7">
        <w:t>round</w:t>
      </w:r>
      <w:r w:rsidR="00F9437B">
        <w:t xml:space="preserve">. </w:t>
      </w:r>
      <w:r w:rsidRPr="00E840A2">
        <w:t xml:space="preserve"> </w:t>
      </w:r>
      <w:r w:rsidR="00CD2831" w:rsidRPr="00802585">
        <w:rPr>
          <w:szCs w:val="22"/>
        </w:rPr>
        <w:t>Prices of Australia’s key non</w:t>
      </w:r>
      <w:r w:rsidR="00CD2831" w:rsidRPr="00802585">
        <w:rPr>
          <w:szCs w:val="22"/>
        </w:rPr>
        <w:noBreakHyphen/>
        <w:t xml:space="preserve">rural commodity exports remain elevated, in part due to a more protracted return to normal operations at Queensland coal mines and </w:t>
      </w:r>
      <w:r w:rsidR="00CD2831">
        <w:rPr>
          <w:szCs w:val="22"/>
        </w:rPr>
        <w:t xml:space="preserve">underpinned by </w:t>
      </w:r>
      <w:r w:rsidR="00CD2831" w:rsidRPr="00802585">
        <w:rPr>
          <w:szCs w:val="22"/>
        </w:rPr>
        <w:t xml:space="preserve">continued robust demand from China. </w:t>
      </w:r>
      <w:r w:rsidRPr="00E840A2">
        <w:t xml:space="preserve">While high </w:t>
      </w:r>
      <w:r w:rsidR="00F9437B">
        <w:t>global</w:t>
      </w:r>
      <w:r w:rsidR="00F9437B" w:rsidRPr="00E840A2">
        <w:t xml:space="preserve"> </w:t>
      </w:r>
      <w:r w:rsidRPr="00E840A2">
        <w:t xml:space="preserve">prices </w:t>
      </w:r>
      <w:r w:rsidR="00F9437B">
        <w:t xml:space="preserve">for </w:t>
      </w:r>
      <w:r w:rsidR="0056479C">
        <w:t xml:space="preserve">bulk </w:t>
      </w:r>
      <w:r w:rsidR="00F9437B">
        <w:t xml:space="preserve">commodities </w:t>
      </w:r>
      <w:r w:rsidRPr="00E840A2">
        <w:t xml:space="preserve">are resulting in substantial investment in the resources sector, the timing of new supply coming online </w:t>
      </w:r>
      <w:r w:rsidR="002A7BE7">
        <w:t>has been delayed somewhat</w:t>
      </w:r>
      <w:r w:rsidRPr="00E840A2">
        <w:t xml:space="preserve">. Domestically, a number of iron ore and coal projects are finding it increasingly challenging to bring new capacity online by their scheduled </w:t>
      </w:r>
      <w:r w:rsidR="00F9437B">
        <w:t>completion dates</w:t>
      </w:r>
      <w:r w:rsidRPr="00E840A2">
        <w:t xml:space="preserve">.  </w:t>
      </w:r>
      <w:r w:rsidR="00F9437B">
        <w:t>A</w:t>
      </w:r>
      <w:r w:rsidRPr="00E840A2">
        <w:t xml:space="preserve">s Australia is expected to be a major contributor to the </w:t>
      </w:r>
      <w:r w:rsidRPr="00E840A2">
        <w:lastRenderedPageBreak/>
        <w:t>increase in the world supply of seaborne iron ore and coal exports, these domestic delays will provide some near-term support for prices in these commodities.  This will underpin an expected rise of 3 per cent in the terms of trade in 2011</w:t>
      </w:r>
      <w:r w:rsidR="00CD2831">
        <w:noBreakHyphen/>
      </w:r>
      <w:r w:rsidRPr="00E840A2">
        <w:t>12, followed by a decline of 6¾</w:t>
      </w:r>
      <w:r w:rsidR="00105022">
        <w:t> </w:t>
      </w:r>
      <w:r w:rsidRPr="00E840A2">
        <w:t>per</w:t>
      </w:r>
      <w:r w:rsidR="00105022">
        <w:t> </w:t>
      </w:r>
      <w:r w:rsidRPr="00E840A2">
        <w:t xml:space="preserve">cent in 2012-13 when substantial </w:t>
      </w:r>
      <w:r w:rsidR="00802D61">
        <w:t xml:space="preserve">additional </w:t>
      </w:r>
      <w:r w:rsidRPr="00E840A2">
        <w:t>supply is anticipated to come on line.</w:t>
      </w:r>
    </w:p>
    <w:p w:rsidR="00A82756" w:rsidRPr="00E840A2" w:rsidRDefault="003D3C2A" w:rsidP="002A7BE7">
      <w:r w:rsidRPr="00407202">
        <w:t xml:space="preserve">The </w:t>
      </w:r>
      <w:r w:rsidRPr="00407202">
        <w:rPr>
          <w:b/>
        </w:rPr>
        <w:t>trade balance</w:t>
      </w:r>
      <w:r w:rsidRPr="00407202">
        <w:t xml:space="preserve"> forecast</w:t>
      </w:r>
      <w:r>
        <w:t>s</w:t>
      </w:r>
      <w:r w:rsidRPr="00407202">
        <w:t xml:space="preserve"> </w:t>
      </w:r>
      <w:r>
        <w:t>have</w:t>
      </w:r>
      <w:r w:rsidRPr="00407202">
        <w:t xml:space="preserve"> been downgraded slightly since </w:t>
      </w:r>
      <w:r w:rsidR="00617AD7">
        <w:t xml:space="preserve">the </w:t>
      </w:r>
      <w:r w:rsidRPr="00407202">
        <w:t xml:space="preserve">June </w:t>
      </w:r>
      <w:r w:rsidR="00617AD7">
        <w:t>round</w:t>
      </w:r>
      <w:r>
        <w:t xml:space="preserve">, with </w:t>
      </w:r>
      <w:r w:rsidR="00CD2831">
        <w:t>lower exports growth more than offsetting</w:t>
      </w:r>
      <w:r>
        <w:t xml:space="preserve"> the </w:t>
      </w:r>
      <w:r w:rsidR="00CD2831">
        <w:t>combined impact of lower</w:t>
      </w:r>
      <w:r>
        <w:t xml:space="preserve"> imports </w:t>
      </w:r>
      <w:r w:rsidR="00CD2831">
        <w:t xml:space="preserve">growth </w:t>
      </w:r>
      <w:r>
        <w:t>and higher terms of trade forecasts</w:t>
      </w:r>
      <w:r w:rsidRPr="00407202">
        <w:t xml:space="preserve">.  </w:t>
      </w:r>
      <w:r>
        <w:t>However, t</w:t>
      </w:r>
      <w:r w:rsidR="00B4216C">
        <w:t xml:space="preserve">he </w:t>
      </w:r>
      <w:r>
        <w:t xml:space="preserve">widening of the </w:t>
      </w:r>
      <w:r w:rsidR="00B4216C" w:rsidRPr="00B4216C">
        <w:rPr>
          <w:b/>
        </w:rPr>
        <w:t>net income deficit</w:t>
      </w:r>
      <w:r w:rsidR="00B4216C">
        <w:t xml:space="preserve"> is expected to </w:t>
      </w:r>
      <w:r>
        <w:t xml:space="preserve">be less pronounced than forecast </w:t>
      </w:r>
      <w:r w:rsidR="00617AD7">
        <w:t xml:space="preserve">in </w:t>
      </w:r>
      <w:r w:rsidR="00B4216C">
        <w:t>June</w:t>
      </w:r>
      <w:r>
        <w:t>, with</w:t>
      </w:r>
      <w:r w:rsidR="00F9437B">
        <w:t xml:space="preserve"> lower equity outflows in the June quarter and a lower domestic interest rate assumption</w:t>
      </w:r>
      <w:r>
        <w:t xml:space="preserve"> outweighing</w:t>
      </w:r>
      <w:r w:rsidR="00F9437B">
        <w:t xml:space="preserve"> increased outflows associated with the higher terms of trade forecasts.  Therefore, the </w:t>
      </w:r>
      <w:r w:rsidR="00F9437B" w:rsidRPr="003D3C2A">
        <w:rPr>
          <w:b/>
        </w:rPr>
        <w:t>current account deficit</w:t>
      </w:r>
      <w:r w:rsidR="00F9437B">
        <w:t xml:space="preserve"> </w:t>
      </w:r>
      <w:r>
        <w:t xml:space="preserve">forecasts </w:t>
      </w:r>
      <w:r w:rsidR="00F9437B">
        <w:t>have narrowed across the forecast period</w:t>
      </w:r>
      <w:r w:rsidR="002A7BE7">
        <w:t xml:space="preserve">, </w:t>
      </w:r>
      <w:r w:rsidR="00B4216C">
        <w:t>to 3¾ per cent of GDP in 2011</w:t>
      </w:r>
      <w:r>
        <w:noBreakHyphen/>
      </w:r>
      <w:r w:rsidR="00B4216C">
        <w:t xml:space="preserve">12, </w:t>
      </w:r>
      <w:r w:rsidR="002A7BE7">
        <w:t>and</w:t>
      </w:r>
      <w:r w:rsidR="00B4216C">
        <w:t xml:space="preserve"> 6 per cent of GDP in 2012-13.</w:t>
      </w:r>
    </w:p>
    <w:p w:rsidR="00E621C3" w:rsidRPr="002B6E1B" w:rsidRDefault="00E621C3" w:rsidP="000E676F">
      <w:pPr>
        <w:keepNext/>
        <w:spacing w:after="0"/>
        <w:jc w:val="center"/>
        <w:rPr>
          <w:b/>
        </w:rPr>
      </w:pPr>
      <w:r w:rsidRPr="002B6E1B">
        <w:rPr>
          <w:b/>
        </w:rPr>
        <w:t xml:space="preserve">Chart </w:t>
      </w:r>
      <w:r w:rsidR="00274B47" w:rsidRPr="002B6E1B">
        <w:rPr>
          <w:b/>
        </w:rPr>
        <w:t>1</w:t>
      </w:r>
      <w:r w:rsidR="006C6C34">
        <w:rPr>
          <w:b/>
        </w:rPr>
        <w:t>0</w:t>
      </w:r>
      <w:r w:rsidRPr="002B6E1B">
        <w:rPr>
          <w:b/>
        </w:rPr>
        <w:t>: Terms of Trade</w:t>
      </w:r>
      <w:r w:rsidRPr="002B6E1B">
        <w:rPr>
          <w:b/>
        </w:rPr>
        <w:br/>
        <w:t>(2008-09 = 100)</w:t>
      </w:r>
    </w:p>
    <w:p w:rsidR="008D0D71" w:rsidRPr="00E840A2" w:rsidRDefault="0004725C" w:rsidP="000E676F">
      <w:pPr>
        <w:pStyle w:val="ChartGraphic0"/>
        <w:keepNext/>
      </w:pPr>
      <w:r>
        <w:pict>
          <v:shape id="_x0000_i1037" type="#_x0000_t75" style="width:211.05pt;height:211.05pt">
            <v:imagedata r:id="rId33" o:title=""/>
          </v:shape>
        </w:pict>
      </w:r>
    </w:p>
    <w:p w:rsidR="00E621C3" w:rsidRPr="00E840A2" w:rsidRDefault="00E621C3" w:rsidP="000E676F">
      <w:pPr>
        <w:keepNext/>
        <w:spacing w:line="240" w:lineRule="auto"/>
        <w:jc w:val="left"/>
        <w:rPr>
          <w:rFonts w:cs="Tahoma"/>
        </w:rPr>
      </w:pPr>
      <w:r w:rsidRPr="00E840A2">
        <w:rPr>
          <w:rFonts w:ascii="Tahoma" w:hAnsi="Tahoma" w:cs="Tahoma"/>
          <w:sz w:val="16"/>
          <w:szCs w:val="16"/>
        </w:rPr>
        <w:t>Source:</w:t>
      </w:r>
      <w:r w:rsidRPr="00E840A2">
        <w:rPr>
          <w:szCs w:val="20"/>
        </w:rPr>
        <w:t xml:space="preserve">  </w:t>
      </w:r>
      <w:r w:rsidRPr="00E840A2">
        <w:rPr>
          <w:rFonts w:ascii="Tahoma" w:hAnsi="Tahoma" w:cs="Tahoma"/>
          <w:sz w:val="16"/>
          <w:szCs w:val="16"/>
        </w:rPr>
        <w:t>ABS Catalogue Number 5206.0 and Treasury.</w:t>
      </w:r>
    </w:p>
    <w:p w:rsidR="005B389D" w:rsidRPr="00961CB6" w:rsidRDefault="005B389D" w:rsidP="009D7882">
      <w:pPr>
        <w:pStyle w:val="Heading4"/>
        <w:keepNext w:val="0"/>
        <w:spacing w:before="0"/>
      </w:pPr>
      <w:bookmarkStart w:id="40" w:name="_Toc304990768"/>
      <w:r w:rsidRPr="00961CB6">
        <w:t>Employment, wages and inflation</w:t>
      </w:r>
      <w:bookmarkEnd w:id="40"/>
    </w:p>
    <w:bookmarkEnd w:id="26"/>
    <w:bookmarkEnd w:id="36"/>
    <w:bookmarkEnd w:id="37"/>
    <w:p w:rsidR="00961CB6" w:rsidRDefault="00961CB6" w:rsidP="006D6375">
      <w:r>
        <w:t xml:space="preserve">The labour market outlook has weakened since </w:t>
      </w:r>
      <w:r w:rsidR="00617AD7">
        <w:t xml:space="preserve">the </w:t>
      </w:r>
      <w:r>
        <w:t>June</w:t>
      </w:r>
      <w:r w:rsidR="00617AD7">
        <w:t xml:space="preserve"> round</w:t>
      </w:r>
      <w:r>
        <w:t xml:space="preserve">, </w:t>
      </w:r>
      <w:r w:rsidR="00A3779C">
        <w:t>following</w:t>
      </w:r>
      <w:r w:rsidRPr="00961CB6">
        <w:t xml:space="preserve"> </w:t>
      </w:r>
      <w:r w:rsidR="002A7BE7">
        <w:t>soft</w:t>
      </w:r>
      <w:r>
        <w:t xml:space="preserve"> outcomes in July and August and </w:t>
      </w:r>
      <w:r w:rsidR="00A3779C">
        <w:t xml:space="preserve">consistent with </w:t>
      </w:r>
      <w:r>
        <w:t xml:space="preserve">the </w:t>
      </w:r>
      <w:r w:rsidR="002A7BE7">
        <w:t xml:space="preserve">downgrade to the </w:t>
      </w:r>
      <w:r>
        <w:t xml:space="preserve">economic growth </w:t>
      </w:r>
      <w:r w:rsidR="002A7BE7">
        <w:t>outlook</w:t>
      </w:r>
      <w:r>
        <w:t xml:space="preserve">, particularly in the </w:t>
      </w:r>
      <w:r w:rsidRPr="00961CB6">
        <w:t xml:space="preserve">non-mining </w:t>
      </w:r>
      <w:r>
        <w:t xml:space="preserve">sectors of the </w:t>
      </w:r>
      <w:r>
        <w:lastRenderedPageBreak/>
        <w:t>economy where the vast majority of workers are employed</w:t>
      </w:r>
      <w:r w:rsidRPr="00961CB6">
        <w:t xml:space="preserve">.  </w:t>
      </w:r>
    </w:p>
    <w:p w:rsidR="00A3779C" w:rsidRDefault="00A3779C" w:rsidP="009D44EE">
      <w:pPr>
        <w:pStyle w:val="Bullet"/>
        <w:numPr>
          <w:ilvl w:val="0"/>
          <w:numId w:val="0"/>
        </w:numPr>
        <w:spacing w:after="200" w:line="276" w:lineRule="auto"/>
      </w:pPr>
      <w:r>
        <w:t>After a period where employment seemed to run ahead of activity, there has been a deterioration in labour market conditions.  The August labour force release showed a decrease in employment of around 10,000 persons, leaving total employment growth for 2011 at just 2</w:t>
      </w:r>
      <w:r w:rsidR="00802D61">
        <w:t>2</w:t>
      </w:r>
      <w:r>
        <w:t>,</w:t>
      </w:r>
      <w:r w:rsidR="00802D61">
        <w:t>6</w:t>
      </w:r>
      <w:r>
        <w:t xml:space="preserve">00.  </w:t>
      </w:r>
    </w:p>
    <w:p w:rsidR="00A3779C" w:rsidRDefault="00A3779C" w:rsidP="009D44EE">
      <w:pPr>
        <w:pStyle w:val="Bullet"/>
        <w:numPr>
          <w:ilvl w:val="0"/>
          <w:numId w:val="0"/>
        </w:numPr>
        <w:spacing w:after="200" w:line="276" w:lineRule="auto"/>
      </w:pPr>
      <w:r>
        <w:t xml:space="preserve">The Labour Force Survey would appear to have understated employment growth </w:t>
      </w:r>
      <w:r w:rsidR="00BC3050">
        <w:t>in recent months</w:t>
      </w:r>
      <w:r>
        <w:t xml:space="preserve">, with </w:t>
      </w:r>
      <w:r w:rsidR="00BC3050">
        <w:t>a</w:t>
      </w:r>
      <w:r>
        <w:t xml:space="preserve"> disconnect between the population figures underpinning the </w:t>
      </w:r>
      <w:r w:rsidR="00BC3050">
        <w:t>Labour Force S</w:t>
      </w:r>
      <w:r>
        <w:t xml:space="preserve">urvey and net overseas migration data.  Adjusting for these differences suggests that the </w:t>
      </w:r>
      <w:r w:rsidR="00BC3050">
        <w:t>L</w:t>
      </w:r>
      <w:r>
        <w:t xml:space="preserve">abour </w:t>
      </w:r>
      <w:r w:rsidR="00BC3050">
        <w:t>F</w:t>
      </w:r>
      <w:r>
        <w:t xml:space="preserve">orce </w:t>
      </w:r>
      <w:r w:rsidR="00BC3050">
        <w:t>S</w:t>
      </w:r>
      <w:r>
        <w:t xml:space="preserve">urvey has understated growth in employment by around </w:t>
      </w:r>
      <w:r w:rsidR="00D050DB">
        <w:t>2</w:t>
      </w:r>
      <w:r>
        <w:t>0,000</w:t>
      </w:r>
      <w:r w:rsidR="00D050DB">
        <w:t xml:space="preserve"> to 40,000</w:t>
      </w:r>
      <w:r>
        <w:t xml:space="preserve"> people since the start of </w:t>
      </w:r>
      <w:r w:rsidR="00BC3050">
        <w:t>2011</w:t>
      </w:r>
      <w:r>
        <w:t xml:space="preserve">.  This </w:t>
      </w:r>
      <w:r w:rsidR="00BC3050">
        <w:t>has partly reversed the overstatement of employment growth in</w:t>
      </w:r>
      <w:r>
        <w:t xml:space="preserve"> 2010, when the </w:t>
      </w:r>
      <w:r w:rsidR="00BC3050">
        <w:t>L</w:t>
      </w:r>
      <w:r>
        <w:t xml:space="preserve">abour </w:t>
      </w:r>
      <w:r w:rsidR="00BC3050">
        <w:t>Force S</w:t>
      </w:r>
      <w:r>
        <w:t>urvey was slow to pick up the decline in net overseas migration.</w:t>
      </w:r>
      <w:r w:rsidR="0059032B">
        <w:t xml:space="preserve">  Average weekly work hours </w:t>
      </w:r>
      <w:r w:rsidR="00994889">
        <w:t xml:space="preserve">– while highly volatile </w:t>
      </w:r>
      <w:r w:rsidR="00994889">
        <w:noBreakHyphen/>
        <w:t> </w:t>
      </w:r>
      <w:r w:rsidR="0059032B">
        <w:t>have also increased, suggesting that labour demand is perhaps not as weak as the employment figures may imply.</w:t>
      </w:r>
    </w:p>
    <w:p w:rsidR="0059032B" w:rsidRDefault="00BC3050" w:rsidP="00A3779C">
      <w:r>
        <w:t>However</w:t>
      </w:r>
      <w:r w:rsidR="00A3779C">
        <w:t>, even account</w:t>
      </w:r>
      <w:r>
        <w:t>ing</w:t>
      </w:r>
      <w:r w:rsidR="00A3779C">
        <w:t xml:space="preserve"> for </w:t>
      </w:r>
      <w:r>
        <w:t>th</w:t>
      </w:r>
      <w:r w:rsidR="0059032B">
        <w:t>e</w:t>
      </w:r>
      <w:r>
        <w:t xml:space="preserve"> </w:t>
      </w:r>
      <w:r w:rsidR="0059032B">
        <w:t>possible</w:t>
      </w:r>
      <w:r>
        <w:t xml:space="preserve"> mismeasurement of population growth</w:t>
      </w:r>
      <w:r w:rsidR="00CD0779">
        <w:t xml:space="preserve"> and the increase in average weekly work hours</w:t>
      </w:r>
      <w:r w:rsidR="00A3779C">
        <w:t xml:space="preserve">, there has been a clear weakening of the labour market since the start of the year.  </w:t>
      </w:r>
      <w:r>
        <w:t>This is evident in ANZ job advertisements</w:t>
      </w:r>
      <w:r w:rsidR="0059032B">
        <w:t xml:space="preserve">, which </w:t>
      </w:r>
      <w:r w:rsidR="00A163D7">
        <w:t>have</w:t>
      </w:r>
      <w:r w:rsidR="0059032B">
        <w:t xml:space="preserve"> fallen 5 </w:t>
      </w:r>
      <w:r w:rsidR="00A3779C">
        <w:t>per</w:t>
      </w:r>
      <w:r w:rsidR="0059032B">
        <w:t> </w:t>
      </w:r>
      <w:r w:rsidR="00A3779C">
        <w:t>cent since March</w:t>
      </w:r>
      <w:r>
        <w:t>,</w:t>
      </w:r>
      <w:r w:rsidR="00A3779C">
        <w:t xml:space="preserve"> and survey measures of business hiring intentions.  </w:t>
      </w:r>
      <w:r>
        <w:t xml:space="preserve">It is also apparent from </w:t>
      </w:r>
      <w:r w:rsidR="00A3779C">
        <w:t>the</w:t>
      </w:r>
      <w:r>
        <w:t xml:space="preserve"> increase in the</w:t>
      </w:r>
      <w:r w:rsidR="00A3779C">
        <w:t xml:space="preserve"> unemployment rate – which is not affected by the understatement of population growth –from 4.9 per cent in April to 5.3 per cent in August.</w:t>
      </w:r>
      <w:r>
        <w:t xml:space="preserve">  </w:t>
      </w:r>
    </w:p>
    <w:p w:rsidR="00A3779C" w:rsidRPr="00961CB6" w:rsidRDefault="0059032B" w:rsidP="00A3779C">
      <w:r>
        <w:t>T</w:t>
      </w:r>
      <w:r w:rsidR="00BC3050">
        <w:t xml:space="preserve">he increase in measured unemployment has not </w:t>
      </w:r>
      <w:r>
        <w:t xml:space="preserve">yet </w:t>
      </w:r>
      <w:r w:rsidR="00BC3050">
        <w:t xml:space="preserve">translated to an increase in </w:t>
      </w:r>
      <w:r>
        <w:t>unemployment benefit recipients.  However,</w:t>
      </w:r>
      <w:r w:rsidR="00BC3050">
        <w:t xml:space="preserve"> this </w:t>
      </w:r>
      <w:r w:rsidR="00CD0779">
        <w:t xml:space="preserve">is not uncommon at turning points and </w:t>
      </w:r>
      <w:r w:rsidR="00BC3050">
        <w:t xml:space="preserve">may reflect </w:t>
      </w:r>
      <w:r w:rsidR="00994889">
        <w:t xml:space="preserve">a number of factors, including a shifting balance between Newstart Allowance and the Disability Support Pension and </w:t>
      </w:r>
      <w:r w:rsidR="00BC3050">
        <w:t xml:space="preserve">lags </w:t>
      </w:r>
      <w:r>
        <w:t xml:space="preserve">between becoming unemployed and meeting the eligibility criteria </w:t>
      </w:r>
      <w:r w:rsidR="00BC3050">
        <w:t>for means</w:t>
      </w:r>
      <w:r w:rsidR="00BC3050">
        <w:noBreakHyphen/>
        <w:t xml:space="preserve">tested benefits. </w:t>
      </w:r>
    </w:p>
    <w:p w:rsidR="006D6375" w:rsidRPr="002A3532" w:rsidRDefault="00BF3B60" w:rsidP="006D6375">
      <w:r w:rsidRPr="00BF3B60">
        <w:lastRenderedPageBreak/>
        <w:t xml:space="preserve">Weakness outside the mining and related sectors of the economy is expected to lead to continuing soft labour demand.  </w:t>
      </w:r>
      <w:r w:rsidR="006D6375" w:rsidRPr="002A3532">
        <w:rPr>
          <w:b/>
        </w:rPr>
        <w:t>Employment</w:t>
      </w:r>
      <w:r w:rsidR="006D6375" w:rsidRPr="002A3532">
        <w:t xml:space="preserve"> is forecast to grow </w:t>
      </w:r>
      <w:r w:rsidR="00180A6F">
        <w:t>1</w:t>
      </w:r>
      <w:r w:rsidR="006D6375" w:rsidRPr="002A3532">
        <w:t xml:space="preserve"> per cent through the year to the June quarter of 2012 and 1¼ per cent through the year to the June quarter of 2013</w:t>
      </w:r>
      <w:r w:rsidR="0001236D" w:rsidRPr="002A3532">
        <w:t xml:space="preserve"> </w:t>
      </w:r>
      <w:r w:rsidR="002A7BE7">
        <w:noBreakHyphen/>
      </w:r>
      <w:r w:rsidR="00277B03">
        <w:t xml:space="preserve"> </w:t>
      </w:r>
      <w:r w:rsidR="0001236D" w:rsidRPr="002A3532">
        <w:t>downgrade</w:t>
      </w:r>
      <w:r w:rsidR="00A163D7">
        <w:t>s</w:t>
      </w:r>
      <w:r w:rsidR="0001236D" w:rsidRPr="002A3532">
        <w:t xml:space="preserve"> of </w:t>
      </w:r>
      <w:r w:rsidR="00180A6F">
        <w:t>½</w:t>
      </w:r>
      <w:r w:rsidR="006D6375" w:rsidRPr="002A3532">
        <w:t xml:space="preserve"> </w:t>
      </w:r>
      <w:r w:rsidR="009A3987" w:rsidRPr="002A3532">
        <w:t xml:space="preserve">of a </w:t>
      </w:r>
      <w:r w:rsidR="006D6375" w:rsidRPr="002A3532">
        <w:t>per</w:t>
      </w:r>
      <w:r w:rsidR="009A3987" w:rsidRPr="002A3532">
        <w:t>centage</w:t>
      </w:r>
      <w:r w:rsidR="006D6375" w:rsidRPr="002A3532">
        <w:t xml:space="preserve"> </w:t>
      </w:r>
      <w:r w:rsidR="00180A6F">
        <w:t>point</w:t>
      </w:r>
      <w:r w:rsidR="006D6375" w:rsidRPr="002A3532">
        <w:t xml:space="preserve"> and ¼</w:t>
      </w:r>
      <w:r w:rsidR="00277B03">
        <w:t> </w:t>
      </w:r>
      <w:r w:rsidR="009A3987" w:rsidRPr="002A3532">
        <w:t>of a</w:t>
      </w:r>
      <w:r w:rsidR="006D6375" w:rsidRPr="002A3532">
        <w:t xml:space="preserve"> percent</w:t>
      </w:r>
      <w:r w:rsidR="009A3987" w:rsidRPr="002A3532">
        <w:t>age point</w:t>
      </w:r>
      <w:r w:rsidR="006D6375" w:rsidRPr="002A3532">
        <w:t xml:space="preserve"> </w:t>
      </w:r>
      <w:r w:rsidR="0001236D" w:rsidRPr="002A3532">
        <w:t xml:space="preserve">since </w:t>
      </w:r>
      <w:r w:rsidR="00617AD7">
        <w:t xml:space="preserve">the </w:t>
      </w:r>
      <w:r w:rsidR="0001236D" w:rsidRPr="002A3532">
        <w:t xml:space="preserve">June </w:t>
      </w:r>
      <w:r w:rsidR="00617AD7">
        <w:t>round</w:t>
      </w:r>
      <w:r w:rsidR="006D6375" w:rsidRPr="002A3532">
        <w:t>.</w:t>
      </w:r>
    </w:p>
    <w:p w:rsidR="006D6375" w:rsidRDefault="0059032B" w:rsidP="006D6375">
      <w:r w:rsidRPr="00BF3B60">
        <w:t xml:space="preserve">After peaking at 66.0 per cent in November 2010, the </w:t>
      </w:r>
      <w:r w:rsidRPr="00BF3B60">
        <w:rPr>
          <w:b/>
        </w:rPr>
        <w:t>participation rate</w:t>
      </w:r>
      <w:r w:rsidRPr="00BF3B60">
        <w:t xml:space="preserve"> </w:t>
      </w:r>
      <w:r w:rsidR="00A978C8">
        <w:t>fell to</w:t>
      </w:r>
      <w:r w:rsidRPr="00BF3B60">
        <w:t xml:space="preserve"> 65.6 per cent in August 2011. The participation rate is forecast to </w:t>
      </w:r>
      <w:r>
        <w:t>remain broadly stable at around 65½ per cent over the forecast period and therefore w</w:t>
      </w:r>
      <w:r w:rsidR="006D6375" w:rsidRPr="002A3532">
        <w:t xml:space="preserve">eaker employment growth is expected to translate to a gradually rising unemployment rate. The </w:t>
      </w:r>
      <w:r w:rsidR="006D6375" w:rsidRPr="002A3532">
        <w:rPr>
          <w:b/>
        </w:rPr>
        <w:t>unemployment rate</w:t>
      </w:r>
      <w:r w:rsidR="006D6375" w:rsidRPr="002A3532">
        <w:t xml:space="preserve"> is forecast to rise from 5.3 per cent currently to 5½ per cent by the June quarter </w:t>
      </w:r>
      <w:r w:rsidR="00440B57">
        <w:t xml:space="preserve">of </w:t>
      </w:r>
      <w:r w:rsidR="006D6375" w:rsidRPr="002A3532">
        <w:t xml:space="preserve">2012 and 5¾ </w:t>
      </w:r>
      <w:r>
        <w:t> </w:t>
      </w:r>
      <w:r w:rsidR="00E4698D">
        <w:t>p</w:t>
      </w:r>
      <w:r w:rsidR="006D6375" w:rsidRPr="002A3532">
        <w:t xml:space="preserve">er cent by the June quarter </w:t>
      </w:r>
      <w:r w:rsidR="00440B57">
        <w:t xml:space="preserve">of </w:t>
      </w:r>
      <w:r w:rsidR="006D6375" w:rsidRPr="002A3532">
        <w:t>2013.</w:t>
      </w:r>
    </w:p>
    <w:p w:rsidR="00A978C8" w:rsidRPr="002B6E1B" w:rsidRDefault="00A978C8" w:rsidP="00A978C8">
      <w:pPr>
        <w:keepNext/>
        <w:spacing w:after="0"/>
        <w:jc w:val="center"/>
        <w:rPr>
          <w:b/>
        </w:rPr>
      </w:pPr>
      <w:r w:rsidRPr="002B6E1B">
        <w:rPr>
          <w:b/>
        </w:rPr>
        <w:t>Chart 1</w:t>
      </w:r>
      <w:r>
        <w:rPr>
          <w:b/>
        </w:rPr>
        <w:t>1</w:t>
      </w:r>
      <w:r w:rsidRPr="002B6E1B">
        <w:rPr>
          <w:b/>
        </w:rPr>
        <w:t>: Wage Price Index growth</w:t>
      </w:r>
    </w:p>
    <w:p w:rsidR="00A978C8" w:rsidRPr="00E10F80" w:rsidRDefault="0004725C" w:rsidP="00A978C8">
      <w:pPr>
        <w:pStyle w:val="ChartGraphic0"/>
        <w:keepNext/>
      </w:pPr>
      <w:r>
        <w:pict>
          <v:shape id="_x0000_i1038" type="#_x0000_t75" style="width:211.05pt;height:211.05pt">
            <v:imagedata r:id="rId34" o:title=""/>
          </v:shape>
        </w:pict>
      </w:r>
    </w:p>
    <w:p w:rsidR="00A978C8" w:rsidRPr="00CB48EA" w:rsidRDefault="00A978C8" w:rsidP="00A978C8">
      <w:pPr>
        <w:keepNext/>
        <w:spacing w:line="240" w:lineRule="auto"/>
        <w:jc w:val="left"/>
        <w:rPr>
          <w:b/>
          <w:szCs w:val="20"/>
        </w:rPr>
      </w:pPr>
      <w:r w:rsidRPr="00CB48EA">
        <w:rPr>
          <w:rFonts w:ascii="Tahoma" w:hAnsi="Tahoma" w:cs="Tahoma"/>
          <w:sz w:val="16"/>
          <w:szCs w:val="16"/>
        </w:rPr>
        <w:t>Source: ABS Catalogue Number 6345.0 and Treasury.</w:t>
      </w:r>
    </w:p>
    <w:p w:rsidR="00875408" w:rsidRDefault="00875408" w:rsidP="006D6375">
      <w:pPr>
        <w:rPr>
          <w:rFonts w:eastAsia="Calibri"/>
          <w:szCs w:val="22"/>
        </w:rPr>
      </w:pPr>
      <w:r w:rsidRPr="005E0B68">
        <w:rPr>
          <w:rFonts w:eastAsia="Calibri"/>
          <w:szCs w:val="22"/>
        </w:rPr>
        <w:t xml:space="preserve">Capacity pressures </w:t>
      </w:r>
      <w:r w:rsidR="00CB47BB">
        <w:rPr>
          <w:rFonts w:eastAsia="Calibri"/>
          <w:szCs w:val="22"/>
        </w:rPr>
        <w:t xml:space="preserve">outside the mining sector </w:t>
      </w:r>
      <w:r>
        <w:rPr>
          <w:rFonts w:eastAsia="Calibri"/>
          <w:szCs w:val="22"/>
        </w:rPr>
        <w:t>are</w:t>
      </w:r>
      <w:r w:rsidRPr="005E0B68">
        <w:rPr>
          <w:rFonts w:eastAsia="Calibri"/>
          <w:szCs w:val="22"/>
        </w:rPr>
        <w:t xml:space="preserve"> expected to </w:t>
      </w:r>
      <w:r w:rsidR="00CB47BB">
        <w:rPr>
          <w:rFonts w:eastAsia="Calibri"/>
          <w:szCs w:val="22"/>
        </w:rPr>
        <w:t>ease</w:t>
      </w:r>
      <w:r w:rsidRPr="005E0B68">
        <w:rPr>
          <w:rFonts w:eastAsia="Calibri"/>
          <w:szCs w:val="22"/>
        </w:rPr>
        <w:t xml:space="preserve"> gradually over the forecast horizon and therefore the forecasts for wages growth and inflation have been revised down since June.  After accelerating through 2010, growth in the Wage Price Index stabilised in the June quarter at around its long</w:t>
      </w:r>
      <w:r w:rsidRPr="005E0B68">
        <w:rPr>
          <w:rFonts w:eastAsia="Calibri"/>
          <w:szCs w:val="22"/>
        </w:rPr>
        <w:noBreakHyphen/>
        <w:t xml:space="preserve">run average.  </w:t>
      </w:r>
      <w:r w:rsidRPr="00CB48EA">
        <w:t>While skills shortages in the resource and related sectors are expected to drive localised wage pressures, the weaker outlook in the broader economy and labour market is expected to result i</w:t>
      </w:r>
      <w:r>
        <w:t>n</w:t>
      </w:r>
      <w:r w:rsidRPr="00CB48EA">
        <w:t xml:space="preserve"> a decline in wage growth. </w:t>
      </w:r>
      <w:r w:rsidRPr="005E0B68">
        <w:rPr>
          <w:rFonts w:eastAsia="Calibri"/>
          <w:szCs w:val="22"/>
        </w:rPr>
        <w:t xml:space="preserve">The </w:t>
      </w:r>
      <w:r w:rsidRPr="00875408">
        <w:rPr>
          <w:rFonts w:eastAsia="Calibri"/>
          <w:b/>
          <w:szCs w:val="22"/>
        </w:rPr>
        <w:t>Wage Price Index</w:t>
      </w:r>
      <w:r w:rsidRPr="005E0B68">
        <w:rPr>
          <w:rFonts w:eastAsia="Calibri"/>
          <w:szCs w:val="22"/>
        </w:rPr>
        <w:t xml:space="preserve"> growth </w:t>
      </w:r>
      <w:r w:rsidRPr="005E0B68">
        <w:rPr>
          <w:rFonts w:eastAsia="Calibri"/>
          <w:szCs w:val="22"/>
        </w:rPr>
        <w:lastRenderedPageBreak/>
        <w:t>forecasts have been downgraded by ¼ of a per</w:t>
      </w:r>
      <w:r w:rsidR="00617AD7">
        <w:rPr>
          <w:rFonts w:eastAsia="Calibri"/>
          <w:szCs w:val="22"/>
        </w:rPr>
        <w:t>centage point</w:t>
      </w:r>
      <w:r w:rsidRPr="005E0B68">
        <w:rPr>
          <w:rFonts w:eastAsia="Calibri"/>
          <w:szCs w:val="22"/>
        </w:rPr>
        <w:t xml:space="preserve"> in each year to 3¾ per cent through the year to the June quarter</w:t>
      </w:r>
      <w:r w:rsidR="00A163D7">
        <w:rPr>
          <w:rFonts w:eastAsia="Calibri"/>
          <w:szCs w:val="22"/>
        </w:rPr>
        <w:t>s</w:t>
      </w:r>
      <w:r w:rsidRPr="005E0B68">
        <w:rPr>
          <w:rFonts w:eastAsia="Calibri"/>
          <w:szCs w:val="22"/>
        </w:rPr>
        <w:t xml:space="preserve"> of </w:t>
      </w:r>
      <w:r w:rsidR="00A163D7">
        <w:rPr>
          <w:rFonts w:eastAsia="Calibri"/>
          <w:szCs w:val="22"/>
        </w:rPr>
        <w:t xml:space="preserve">both </w:t>
      </w:r>
      <w:r w:rsidRPr="005E0B68">
        <w:rPr>
          <w:rFonts w:eastAsia="Calibri"/>
          <w:szCs w:val="22"/>
        </w:rPr>
        <w:t>2012 and 2013</w:t>
      </w:r>
      <w:r>
        <w:rPr>
          <w:rFonts w:eastAsia="Calibri"/>
          <w:szCs w:val="22"/>
        </w:rPr>
        <w:t xml:space="preserve"> </w:t>
      </w:r>
      <w:r w:rsidRPr="00CB48EA">
        <w:t xml:space="preserve">(Chart </w:t>
      </w:r>
      <w:r>
        <w:t>11</w:t>
      </w:r>
      <w:r w:rsidRPr="00CB48EA">
        <w:t>)</w:t>
      </w:r>
      <w:r w:rsidRPr="005E0B68">
        <w:rPr>
          <w:rFonts w:eastAsia="Calibri"/>
          <w:szCs w:val="22"/>
        </w:rPr>
        <w:t xml:space="preserve">.  </w:t>
      </w:r>
    </w:p>
    <w:p w:rsidR="00A978C8" w:rsidRPr="002A3532" w:rsidRDefault="00A978C8" w:rsidP="00A978C8">
      <w:r w:rsidRPr="00A978C8">
        <w:rPr>
          <w:rFonts w:eastAsia="Calibri"/>
          <w:b/>
          <w:szCs w:val="22"/>
        </w:rPr>
        <w:t>Underlying and headline inflation</w:t>
      </w:r>
      <w:r w:rsidRPr="005E0B68">
        <w:rPr>
          <w:rFonts w:eastAsia="Calibri"/>
          <w:szCs w:val="22"/>
        </w:rPr>
        <w:t xml:space="preserve"> are forecast to be 2½ per cent through the year to </w:t>
      </w:r>
      <w:r w:rsidR="00440B57">
        <w:rPr>
          <w:rFonts w:eastAsia="Calibri"/>
          <w:szCs w:val="22"/>
        </w:rPr>
        <w:t xml:space="preserve">the </w:t>
      </w:r>
      <w:r w:rsidRPr="005E0B68">
        <w:rPr>
          <w:rFonts w:eastAsia="Calibri"/>
          <w:szCs w:val="22"/>
        </w:rPr>
        <w:t>June</w:t>
      </w:r>
      <w:r w:rsidR="00440B57">
        <w:rPr>
          <w:rFonts w:eastAsia="Calibri"/>
          <w:szCs w:val="22"/>
        </w:rPr>
        <w:t xml:space="preserve"> quarter of</w:t>
      </w:r>
      <w:r w:rsidRPr="005E0B68">
        <w:rPr>
          <w:rFonts w:eastAsia="Calibri"/>
          <w:szCs w:val="22"/>
        </w:rPr>
        <w:t xml:space="preserve"> 2012, with </w:t>
      </w:r>
      <w:r w:rsidR="00617AD7">
        <w:rPr>
          <w:rFonts w:eastAsia="Calibri"/>
          <w:szCs w:val="22"/>
        </w:rPr>
        <w:t xml:space="preserve">the </w:t>
      </w:r>
      <w:r w:rsidRPr="005E0B68">
        <w:rPr>
          <w:rFonts w:eastAsia="Calibri"/>
          <w:szCs w:val="22"/>
        </w:rPr>
        <w:t>introduction of the carbon price expected to raise underlying inflation to 2¾ per cent and headline inflation to 3¼ per cent through the year to</w:t>
      </w:r>
      <w:r w:rsidR="00440B57">
        <w:rPr>
          <w:rFonts w:eastAsia="Calibri"/>
          <w:szCs w:val="22"/>
        </w:rPr>
        <w:t xml:space="preserve"> the</w:t>
      </w:r>
      <w:r w:rsidRPr="005E0B68">
        <w:rPr>
          <w:rFonts w:eastAsia="Calibri"/>
          <w:szCs w:val="22"/>
        </w:rPr>
        <w:t xml:space="preserve"> June </w:t>
      </w:r>
      <w:r w:rsidR="00440B57">
        <w:rPr>
          <w:rFonts w:eastAsia="Calibri"/>
          <w:szCs w:val="22"/>
        </w:rPr>
        <w:t xml:space="preserve">quarter of </w:t>
      </w:r>
      <w:r w:rsidRPr="005E0B68">
        <w:rPr>
          <w:rFonts w:eastAsia="Calibri"/>
          <w:szCs w:val="22"/>
        </w:rPr>
        <w:t xml:space="preserve">2013.  </w:t>
      </w:r>
      <w:r>
        <w:rPr>
          <w:rFonts w:eastAsia="Calibri"/>
          <w:szCs w:val="22"/>
        </w:rPr>
        <w:t xml:space="preserve">While capacity pressures are expected to ease, it is likely that rising prices for health, education and utilities will continue to support non-tradeable inflation.  Import prices may also </w:t>
      </w:r>
      <w:r w:rsidRPr="005E0B68">
        <w:rPr>
          <w:rFonts w:eastAsia="Calibri"/>
          <w:szCs w:val="22"/>
        </w:rPr>
        <w:t xml:space="preserve">exert less of a deflationary influence </w:t>
      </w:r>
      <w:r>
        <w:rPr>
          <w:rFonts w:eastAsia="Calibri"/>
          <w:szCs w:val="22"/>
        </w:rPr>
        <w:t>over the medium</w:t>
      </w:r>
      <w:r>
        <w:rPr>
          <w:rFonts w:eastAsia="Calibri"/>
          <w:szCs w:val="22"/>
        </w:rPr>
        <w:noBreakHyphen/>
        <w:t xml:space="preserve">term </w:t>
      </w:r>
      <w:r w:rsidRPr="005E0B68">
        <w:rPr>
          <w:rFonts w:eastAsia="Calibri"/>
          <w:szCs w:val="22"/>
        </w:rPr>
        <w:t xml:space="preserve">as the pass-through of exchange rate appreciation wanes and </w:t>
      </w:r>
      <w:r>
        <w:rPr>
          <w:rFonts w:eastAsia="Calibri"/>
          <w:szCs w:val="22"/>
        </w:rPr>
        <w:t>as</w:t>
      </w:r>
      <w:r w:rsidRPr="005E0B68">
        <w:rPr>
          <w:rFonts w:eastAsia="Calibri"/>
          <w:szCs w:val="22"/>
        </w:rPr>
        <w:t xml:space="preserve"> rising wages in emerging market economies add to global manufacturing prices.</w:t>
      </w:r>
    </w:p>
    <w:p w:rsidR="00AC78BB" w:rsidRPr="002B6E1B" w:rsidRDefault="00AC78BB" w:rsidP="00D447DA">
      <w:pPr>
        <w:keepNext/>
        <w:spacing w:after="0"/>
        <w:jc w:val="center"/>
        <w:rPr>
          <w:b/>
        </w:rPr>
      </w:pPr>
      <w:r w:rsidRPr="002B6E1B">
        <w:rPr>
          <w:b/>
        </w:rPr>
        <w:lastRenderedPageBreak/>
        <w:t>Chart 1</w:t>
      </w:r>
      <w:r w:rsidR="006C6C34">
        <w:rPr>
          <w:b/>
        </w:rPr>
        <w:t>2</w:t>
      </w:r>
      <w:r w:rsidRPr="002B6E1B">
        <w:rPr>
          <w:b/>
        </w:rPr>
        <w:t>: Inflation</w:t>
      </w:r>
    </w:p>
    <w:p w:rsidR="00D447DA" w:rsidRPr="00E10F80" w:rsidRDefault="0004725C" w:rsidP="00D447DA">
      <w:pPr>
        <w:pStyle w:val="ChartGraphic0"/>
        <w:keepNext/>
      </w:pPr>
      <w:r>
        <w:pict>
          <v:shape id="_x0000_i1039" type="#_x0000_t75" style="width:211.05pt;height:211.05pt">
            <v:imagedata r:id="rId35" o:title=""/>
          </v:shape>
        </w:pict>
      </w:r>
    </w:p>
    <w:p w:rsidR="00AC78BB" w:rsidRPr="00CB48EA" w:rsidRDefault="00AC78BB" w:rsidP="00D447DA">
      <w:pPr>
        <w:spacing w:line="240" w:lineRule="auto"/>
        <w:jc w:val="left"/>
        <w:rPr>
          <w:b/>
          <w:szCs w:val="20"/>
        </w:rPr>
      </w:pPr>
      <w:r w:rsidRPr="00CB48EA">
        <w:rPr>
          <w:rFonts w:ascii="Tahoma" w:hAnsi="Tahoma" w:cs="Tahoma"/>
          <w:sz w:val="16"/>
          <w:szCs w:val="16"/>
        </w:rPr>
        <w:t>Source:</w:t>
      </w:r>
      <w:r w:rsidRPr="00CB48EA">
        <w:rPr>
          <w:szCs w:val="20"/>
        </w:rPr>
        <w:t xml:space="preserve">  </w:t>
      </w:r>
      <w:r w:rsidRPr="00CB48EA">
        <w:rPr>
          <w:rFonts w:ascii="Tahoma" w:hAnsi="Tahoma" w:cs="Tahoma"/>
          <w:sz w:val="16"/>
          <w:szCs w:val="16"/>
        </w:rPr>
        <w:t>ABS Catalogue Number 6401.0 and Treasury.</w:t>
      </w:r>
    </w:p>
    <w:p w:rsidR="00405DE2" w:rsidRPr="009318E3" w:rsidRDefault="00405DE2" w:rsidP="00405DE2">
      <w:pPr>
        <w:rPr>
          <w:szCs w:val="20"/>
          <w:highlight w:val="yellow"/>
        </w:rPr>
        <w:sectPr w:rsidR="00405DE2" w:rsidRPr="009318E3" w:rsidSect="005C0392">
          <w:headerReference w:type="even" r:id="rId36"/>
          <w:footerReference w:type="default" r:id="rId37"/>
          <w:type w:val="continuous"/>
          <w:pgSz w:w="11907" w:h="16840" w:code="9"/>
          <w:pgMar w:top="1418" w:right="1418" w:bottom="1418" w:left="1418" w:header="567" w:footer="567" w:gutter="0"/>
          <w:cols w:num="2" w:space="720"/>
        </w:sectPr>
      </w:pPr>
    </w:p>
    <w:p w:rsidR="00405DE2" w:rsidRPr="009318E3" w:rsidRDefault="00405DE2" w:rsidP="00B33EC4">
      <w:pPr>
        <w:rPr>
          <w:szCs w:val="20"/>
          <w:highlight w:val="yellow"/>
        </w:rPr>
        <w:sectPr w:rsidR="00405DE2" w:rsidRPr="009318E3" w:rsidSect="005C0392">
          <w:type w:val="continuous"/>
          <w:pgSz w:w="11907" w:h="16840" w:code="9"/>
          <w:pgMar w:top="1418" w:right="1418" w:bottom="1418" w:left="1418" w:header="567" w:footer="567" w:gutter="0"/>
          <w:cols w:space="720"/>
        </w:sectPr>
      </w:pPr>
    </w:p>
    <w:p w:rsidR="00EC1392" w:rsidRPr="009318E3" w:rsidRDefault="00EC1392" w:rsidP="000B5084">
      <w:pPr>
        <w:pStyle w:val="Heading3"/>
        <w:rPr>
          <w:highlight w:val="yellow"/>
        </w:rPr>
      </w:pPr>
    </w:p>
    <w:p w:rsidR="00671179" w:rsidRPr="00F355E8" w:rsidRDefault="00EC1392" w:rsidP="00671179">
      <w:pPr>
        <w:pStyle w:val="Heading3"/>
        <w:sectPr w:rsidR="00671179" w:rsidRPr="00F355E8" w:rsidSect="005C0392">
          <w:headerReference w:type="even" r:id="rId38"/>
          <w:footerReference w:type="default" r:id="rId39"/>
          <w:type w:val="continuous"/>
          <w:pgSz w:w="11907" w:h="16840" w:code="9"/>
          <w:pgMar w:top="1418" w:right="1418" w:bottom="1418" w:left="1418" w:header="567" w:footer="567" w:gutter="0"/>
          <w:cols w:space="720"/>
        </w:sectPr>
      </w:pPr>
      <w:r w:rsidRPr="009318E3">
        <w:rPr>
          <w:highlight w:val="yellow"/>
        </w:rPr>
        <w:br w:type="page"/>
      </w:r>
      <w:bookmarkStart w:id="41" w:name="_Toc304990769"/>
      <w:bookmarkStart w:id="42" w:name="_Toc289184504"/>
      <w:r w:rsidR="00671179" w:rsidRPr="00F355E8">
        <w:lastRenderedPageBreak/>
        <w:t>Outlook for the international economy</w:t>
      </w:r>
      <w:bookmarkEnd w:id="41"/>
      <w:r w:rsidR="00671179" w:rsidRPr="00F355E8">
        <w:t xml:space="preserve"> </w:t>
      </w:r>
    </w:p>
    <w:p w:rsidR="00671179" w:rsidRDefault="00671179" w:rsidP="00671179">
      <w:pPr>
        <w:pStyle w:val="TableHeadingCharChar"/>
      </w:pPr>
      <w:r w:rsidRPr="009D44EE">
        <w:rPr>
          <w:rFonts w:ascii="Book Antiqua" w:hAnsi="Book Antiqua"/>
        </w:rPr>
        <w:lastRenderedPageBreak/>
        <w:t>Table 3: International GDP growth forecasts</w:t>
      </w:r>
      <w:r w:rsidRPr="001B61B7">
        <w:rPr>
          <w:rFonts w:cs="Tahoma"/>
          <w:bCs/>
          <w:szCs w:val="22"/>
          <w:vertAlign w:val="superscript"/>
        </w:rPr>
        <w:t>(a)</w:t>
      </w:r>
    </w:p>
    <w:p w:rsidR="00671179" w:rsidRPr="007C32A3" w:rsidRDefault="0004725C" w:rsidP="00671179">
      <w:pPr>
        <w:pStyle w:val="ChartGraphic0"/>
      </w:pPr>
      <w:r>
        <w:pict>
          <v:shape id="_x0000_i1040" type="#_x0000_t75" style="width:453.1pt;height:166.35pt">
            <v:imagedata r:id="rId40" o:title=""/>
          </v:shape>
        </w:pict>
      </w:r>
    </w:p>
    <w:p w:rsidR="00671179" w:rsidRPr="000D11AA" w:rsidRDefault="00671179" w:rsidP="00671179">
      <w:pPr>
        <w:pStyle w:val="ChartGraphic0"/>
      </w:pPr>
    </w:p>
    <w:p w:rsidR="00671179" w:rsidRDefault="00671179" w:rsidP="00671179">
      <w:pPr>
        <w:spacing w:line="240" w:lineRule="auto"/>
        <w:ind w:right="-142"/>
        <w:jc w:val="left"/>
        <w:rPr>
          <w:rFonts w:cs="Arial"/>
          <w:sz w:val="16"/>
          <w:szCs w:val="16"/>
        </w:rPr>
        <w:sectPr w:rsidR="00671179" w:rsidSect="005C0392">
          <w:headerReference w:type="default" r:id="rId41"/>
          <w:footerReference w:type="even" r:id="rId42"/>
          <w:footerReference w:type="default" r:id="rId43"/>
          <w:type w:val="continuous"/>
          <w:pgSz w:w="11907" w:h="16840" w:code="9"/>
          <w:pgMar w:top="1418" w:right="1418" w:bottom="1418" w:left="1418" w:header="567" w:footer="567" w:gutter="0"/>
          <w:cols w:space="709"/>
        </w:sectPr>
      </w:pPr>
    </w:p>
    <w:p w:rsidR="00671179" w:rsidRPr="005711C2" w:rsidRDefault="00671179" w:rsidP="00671179">
      <w:pPr>
        <w:pStyle w:val="Heading4"/>
        <w:spacing w:after="120"/>
      </w:pPr>
      <w:bookmarkStart w:id="43" w:name="_Toc304990770"/>
      <w:r>
        <w:lastRenderedPageBreak/>
        <w:t>World outlook and risks</w:t>
      </w:r>
      <w:bookmarkEnd w:id="43"/>
    </w:p>
    <w:p w:rsidR="00671179" w:rsidRPr="00DB6CDC" w:rsidRDefault="00671179" w:rsidP="00671179">
      <w:pPr>
        <w:rPr>
          <w:highlight w:val="yellow"/>
        </w:rPr>
      </w:pPr>
      <w:r w:rsidRPr="00D77462">
        <w:t xml:space="preserve">Downside risks to the global recovery have risen markedly since the June </w:t>
      </w:r>
      <w:r>
        <w:t xml:space="preserve">informal </w:t>
      </w:r>
      <w:r w:rsidRPr="00D77462">
        <w:t>round</w:t>
      </w:r>
      <w:r>
        <w:t>.  Forecasts for the euro area and the United States have been revised down to reflect the worsening</w:t>
      </w:r>
      <w:r w:rsidRPr="00077710">
        <w:t xml:space="preserve"> euro area sovereign debt crisis</w:t>
      </w:r>
      <w:r>
        <w:t xml:space="preserve">, and an expectation of subdued US consumption growth. The weaker outlook for Europe and the US has been factored into </w:t>
      </w:r>
      <w:r w:rsidRPr="00457868">
        <w:t>the outlook for highly trade</w:t>
      </w:r>
      <w:r w:rsidRPr="00457868">
        <w:noBreakHyphen/>
        <w:t xml:space="preserve">exposed Asian economies, </w:t>
      </w:r>
      <w:r>
        <w:t>which have also been revised significantly lower</w:t>
      </w:r>
      <w:r w:rsidRPr="00457868">
        <w:t>.  However</w:t>
      </w:r>
      <w:r>
        <w:t xml:space="preserve">, barring </w:t>
      </w:r>
      <w:r w:rsidRPr="00A744DE">
        <w:t>a more severe slowing in US and European growth</w:t>
      </w:r>
      <w:r>
        <w:t>, non</w:t>
      </w:r>
      <w:r>
        <w:noBreakHyphen/>
        <w:t>Japan Asian economies, as well</w:t>
      </w:r>
      <w:r w:rsidRPr="00A744DE">
        <w:t xml:space="preserve"> </w:t>
      </w:r>
      <w:r>
        <w:t xml:space="preserve">as emerging economies overall, </w:t>
      </w:r>
      <w:r w:rsidRPr="00A744DE">
        <w:t xml:space="preserve">are expected to continue growing at relatively </w:t>
      </w:r>
      <w:r>
        <w:t xml:space="preserve">solid </w:t>
      </w:r>
      <w:r w:rsidRPr="00A744DE">
        <w:t>rates</w:t>
      </w:r>
      <w:r w:rsidRPr="00D77462">
        <w:t>.</w:t>
      </w:r>
    </w:p>
    <w:p w:rsidR="00671179" w:rsidRDefault="00671179" w:rsidP="00671179">
      <w:r w:rsidRPr="00D77462">
        <w:t xml:space="preserve">The </w:t>
      </w:r>
      <w:r w:rsidRPr="00D77462">
        <w:rPr>
          <w:b/>
        </w:rPr>
        <w:t>global growth</w:t>
      </w:r>
      <w:r w:rsidRPr="00D77462">
        <w:t xml:space="preserve"> forecast for 2011 has been revised down ½ a percentage point to 3¾ per </w:t>
      </w:r>
      <w:r>
        <w:t>cent (Table 1 and Chart 1). This</w:t>
      </w:r>
      <w:r w:rsidRPr="00D77462">
        <w:t xml:space="preserve"> reflects downward revisions to growth for all of the major economies</w:t>
      </w:r>
      <w:r>
        <w:t xml:space="preserve">, in particular the US due to </w:t>
      </w:r>
      <w:r w:rsidRPr="00D77462">
        <w:t xml:space="preserve">revisions to historical GDP </w:t>
      </w:r>
      <w:r>
        <w:t xml:space="preserve">data </w:t>
      </w:r>
      <w:r w:rsidRPr="00D77462">
        <w:t xml:space="preserve">and an expectation of more subdued </w:t>
      </w:r>
      <w:r>
        <w:t xml:space="preserve">growth in the </w:t>
      </w:r>
      <w:r w:rsidRPr="00D77462">
        <w:t xml:space="preserve">second half </w:t>
      </w:r>
      <w:r>
        <w:t>of 2011</w:t>
      </w:r>
      <w:r w:rsidRPr="00D77462">
        <w:t xml:space="preserve">. </w:t>
      </w:r>
    </w:p>
    <w:p w:rsidR="00671179" w:rsidRDefault="00671179" w:rsidP="00671179">
      <w:r w:rsidRPr="00077710">
        <w:t>Global growth for 2012</w:t>
      </w:r>
      <w:r>
        <w:t xml:space="preserve"> and 2013 has been revised down to 3¾ </w:t>
      </w:r>
      <w:r w:rsidRPr="00077710">
        <w:t>per cent</w:t>
      </w:r>
      <w:r>
        <w:t xml:space="preserve"> and 4¼ per cent respectively</w:t>
      </w:r>
      <w:r w:rsidRPr="00077710">
        <w:t xml:space="preserve">. This largely reflects US and European prospects continuing to be very subdued by ongoing balance sheet repair in the public and private sectors, </w:t>
      </w:r>
      <w:r>
        <w:t>while emerging economies continue to drive global growth through strong domestic demand</w:t>
      </w:r>
      <w:r w:rsidRPr="00077710">
        <w:t>.</w:t>
      </w:r>
    </w:p>
    <w:p w:rsidR="00671179" w:rsidRDefault="00671179" w:rsidP="00671179">
      <w:r w:rsidRPr="00D2138A">
        <w:lastRenderedPageBreak/>
        <w:t xml:space="preserve">The forecast </w:t>
      </w:r>
      <w:r>
        <w:t xml:space="preserve">for </w:t>
      </w:r>
      <w:r w:rsidRPr="00D2138A">
        <w:t xml:space="preserve">GDP growth </w:t>
      </w:r>
      <w:r>
        <w:t>in</w:t>
      </w:r>
      <w:r w:rsidRPr="00D2138A">
        <w:t xml:space="preserve"> Australia’s </w:t>
      </w:r>
      <w:r w:rsidRPr="00D2138A">
        <w:rPr>
          <w:b/>
        </w:rPr>
        <w:t>major trading partners</w:t>
      </w:r>
      <w:r w:rsidRPr="00D2138A">
        <w:t xml:space="preserve"> (MTPs) in 2011 has been revised down ¾ of a percentage point to 3¾ per cent. The larger downgrade to MTP growth </w:t>
      </w:r>
      <w:r>
        <w:t>relative to world</w:t>
      </w:r>
      <w:r w:rsidRPr="00D2138A">
        <w:t xml:space="preserve"> growth reflects the cumulative </w:t>
      </w:r>
      <w:r w:rsidRPr="009010E9">
        <w:t>impacts of a 1¼ percentage</w:t>
      </w:r>
      <w:r w:rsidRPr="00D2138A">
        <w:t> point downgrade to the highly trade</w:t>
      </w:r>
      <w:r w:rsidRPr="00D2138A">
        <w:noBreakHyphen/>
        <w:t xml:space="preserve">exposed NIEs, </w:t>
      </w:r>
      <w:r>
        <w:t xml:space="preserve">a one percentage point downgrade to Japan, </w:t>
      </w:r>
      <w:r w:rsidRPr="00D2138A">
        <w:t>and downgrades of ¾ of a percentage point to the ASEAN</w:t>
      </w:r>
      <w:r w:rsidRPr="00D2138A">
        <w:noBreakHyphen/>
        <w:t>5 and India</w:t>
      </w:r>
      <w:r>
        <w:t>.</w:t>
      </w:r>
    </w:p>
    <w:p w:rsidR="00671179" w:rsidRPr="00CF7753" w:rsidRDefault="00671179">
      <w:pPr>
        <w:spacing w:line="240" w:lineRule="auto"/>
        <w:jc w:val="left"/>
        <w:rPr>
          <w:rFonts w:ascii="Tahoma" w:hAnsi="Tahoma" w:cs="Tahoma"/>
          <w:color w:val="000080"/>
        </w:rPr>
      </w:pPr>
      <w:r w:rsidRPr="009D44EE">
        <w:rPr>
          <w:b/>
        </w:rPr>
        <w:t>Chart 13: World GDP growth</w:t>
      </w:r>
      <w:r w:rsidRPr="0039031B">
        <w:t xml:space="preserve"> </w:t>
      </w:r>
      <w:r w:rsidR="0004725C">
        <w:pict>
          <v:shape id="_x0000_i1041" type="#_x0000_t75" style="width:209.8pt;height:213.5pt">
            <v:imagedata r:id="rId44" o:title=""/>
          </v:shape>
        </w:pict>
      </w:r>
      <w:r w:rsidRPr="00CF7753">
        <w:rPr>
          <w:b/>
          <w:sz w:val="16"/>
          <w:szCs w:val="16"/>
        </w:rPr>
        <w:t xml:space="preserve"> </w:t>
      </w:r>
      <w:r w:rsidRPr="00CF7753">
        <w:rPr>
          <w:rFonts w:ascii="Tahoma" w:hAnsi="Tahoma" w:cs="Tahoma"/>
          <w:sz w:val="16"/>
          <w:szCs w:val="16"/>
        </w:rPr>
        <w:t>Source: IMF and Treasury.</w:t>
      </w:r>
    </w:p>
    <w:p w:rsidR="00671179" w:rsidRDefault="00671179" w:rsidP="00671179">
      <w:r>
        <w:t>Slower growth in the North Atlantic economies in 2012 is expected to impact on growth in our MTPs, particularly the highly trade</w:t>
      </w:r>
      <w:r>
        <w:noBreakHyphen/>
        <w:t xml:space="preserve">exposed NIEs, with forecast 2012 MTP growth revised down ¾ of a percentage point to 4¼ per cent. The noticeably higher MTP </w:t>
      </w:r>
      <w:r>
        <w:lastRenderedPageBreak/>
        <w:t>growth for 2012 compared to 2011 largely reflects the rebound in Japanese growth due to reconstruction efforts.</w:t>
      </w:r>
      <w:r w:rsidRPr="00D77462">
        <w:t xml:space="preserve"> </w:t>
      </w:r>
    </w:p>
    <w:p w:rsidR="00671179" w:rsidRPr="00AA2B76" w:rsidRDefault="00671179" w:rsidP="00671179">
      <w:r w:rsidRPr="00AA2B76">
        <w:t xml:space="preserve">Downside risks </w:t>
      </w:r>
      <w:r>
        <w:t xml:space="preserve">to the outlook </w:t>
      </w:r>
      <w:r w:rsidRPr="00AA2B76">
        <w:t xml:space="preserve">have become </w:t>
      </w:r>
      <w:r>
        <w:t xml:space="preserve">much </w:t>
      </w:r>
      <w:r w:rsidRPr="00AA2B76">
        <w:t>more prevalent in recent months, and it is clear that the global recovery is increasingly vulnerable to negative shocks.</w:t>
      </w:r>
    </w:p>
    <w:p w:rsidR="00671179" w:rsidRPr="00AA2B76" w:rsidRDefault="00671179" w:rsidP="00671179">
      <w:r>
        <w:t>T</w:t>
      </w:r>
      <w:r w:rsidRPr="00AA2B76">
        <w:t>he euro</w:t>
      </w:r>
      <w:r>
        <w:t xml:space="preserve"> area sovereign debt crisis has worsened, and the risk of contagion is rising</w:t>
      </w:r>
      <w:r w:rsidRPr="00AA2B76">
        <w:t>. The</w:t>
      </w:r>
      <w:r>
        <w:t xml:space="preserve"> sharp rise in</w:t>
      </w:r>
      <w:r w:rsidRPr="00AA2B76">
        <w:t xml:space="preserve"> borrowing costs in Spain and Italy in late July and early August</w:t>
      </w:r>
      <w:r>
        <w:t xml:space="preserve"> </w:t>
      </w:r>
      <w:r w:rsidRPr="00AA2B76">
        <w:t xml:space="preserve">required the European Central Bank (ECB) to </w:t>
      </w:r>
      <w:r>
        <w:t xml:space="preserve">step in and </w:t>
      </w:r>
      <w:r w:rsidRPr="00AA2B76">
        <w:t xml:space="preserve">purchase Spanish and Italian bonds. While the ECB’s purchases </w:t>
      </w:r>
      <w:r>
        <w:t xml:space="preserve">initially </w:t>
      </w:r>
      <w:r w:rsidRPr="00AA2B76">
        <w:t xml:space="preserve">lowered bond yields, </w:t>
      </w:r>
      <w:r>
        <w:t>most recently yields have begun to creep up again, with lingering concerns over what will happen when ECB support is eventually removed</w:t>
      </w:r>
      <w:r w:rsidRPr="00AA2B76">
        <w:t xml:space="preserve">. </w:t>
      </w:r>
    </w:p>
    <w:p w:rsidR="00671179" w:rsidRPr="00AA2B76" w:rsidRDefault="00671179" w:rsidP="00671179">
      <w:r w:rsidRPr="00AA2B76">
        <w:t xml:space="preserve">Similarly, uncertainty persists over the shape of additional assistance to Greece, </w:t>
      </w:r>
      <w:r>
        <w:t>and about when the almost inevitable debt restructuring will occur and how it will be handled</w:t>
      </w:r>
      <w:r w:rsidRPr="00AA2B76">
        <w:t xml:space="preserve">. </w:t>
      </w:r>
      <w:r>
        <w:t xml:space="preserve">Confidence in the </w:t>
      </w:r>
      <w:r w:rsidRPr="00AA2B76">
        <w:t>European banking system</w:t>
      </w:r>
      <w:r>
        <w:t>,</w:t>
      </w:r>
      <w:r w:rsidRPr="00AA2B76">
        <w:t xml:space="preserve"> </w:t>
      </w:r>
      <w:r>
        <w:t xml:space="preserve">which is widely seen as undercapitalised and highly </w:t>
      </w:r>
      <w:r w:rsidRPr="00AA2B76">
        <w:t>exposed to European sovereign debt</w:t>
      </w:r>
      <w:r>
        <w:t>,</w:t>
      </w:r>
      <w:r w:rsidRPr="003431A3">
        <w:t xml:space="preserve"> </w:t>
      </w:r>
      <w:r>
        <w:t>is also declining</w:t>
      </w:r>
      <w:r w:rsidRPr="00AA2B76">
        <w:t>.</w:t>
      </w:r>
    </w:p>
    <w:p w:rsidR="00671179" w:rsidRPr="00FD3AFA" w:rsidRDefault="00671179" w:rsidP="00671179">
      <w:r>
        <w:t xml:space="preserve">While </w:t>
      </w:r>
      <w:r w:rsidRPr="00AA2B76">
        <w:t xml:space="preserve">euro area authorities </w:t>
      </w:r>
      <w:r>
        <w:t>continue</w:t>
      </w:r>
      <w:r w:rsidRPr="00AA2B76">
        <w:t xml:space="preserve"> to bicker over policy responses</w:t>
      </w:r>
      <w:r w:rsidRPr="00FD3AFA">
        <w:t xml:space="preserve">, the threat of a severe disruption to European banks, global financial </w:t>
      </w:r>
      <w:r w:rsidRPr="00B6260B">
        <w:t>markets and the global economy, continues to rise. Such an event could result in mass global risk aversion, a sudden capital outflow from emerging economies into safe havens</w:t>
      </w:r>
      <w:r>
        <w:t>,</w:t>
      </w:r>
      <w:r w:rsidRPr="00B6260B">
        <w:t xml:space="preserve"> and the freezing up of credit markets, with obvious implications for real global activity</w:t>
      </w:r>
      <w:r>
        <w:t>,</w:t>
      </w:r>
      <w:r w:rsidRPr="00B6260B">
        <w:t xml:space="preserve"> including trade flows.</w:t>
      </w:r>
      <w:r w:rsidRPr="00FD3AFA">
        <w:t xml:space="preserve">        </w:t>
      </w:r>
    </w:p>
    <w:p w:rsidR="00671179" w:rsidRPr="0024185F" w:rsidRDefault="00671179" w:rsidP="00671179">
      <w:r>
        <w:t>T</w:t>
      </w:r>
      <w:r w:rsidRPr="00FD3AFA">
        <w:t>he bitter debate in the US Congress over the debt ceiling pushed the US to the brink of what would have been a catastrophic, and self</w:t>
      </w:r>
      <w:r w:rsidRPr="00FD3AFA">
        <w:noBreakHyphen/>
        <w:t xml:space="preserve">imposed, default.  While the debt ceiling was eventually raised, the lack of a </w:t>
      </w:r>
      <w:r>
        <w:t xml:space="preserve">concrete </w:t>
      </w:r>
      <w:r w:rsidRPr="00FD3AFA">
        <w:t>medium</w:t>
      </w:r>
      <w:r>
        <w:noBreakHyphen/>
      </w:r>
      <w:r w:rsidRPr="00FD3AFA">
        <w:t>term fiscal consolidation plan</w:t>
      </w:r>
      <w:r>
        <w:t xml:space="preserve"> </w:t>
      </w:r>
      <w:r w:rsidRPr="0024185F">
        <w:t>saw Standard &amp; Poor’s downgrade the US to AA+.</w:t>
      </w:r>
      <w:r>
        <w:t xml:space="preserve"> </w:t>
      </w:r>
      <w:r w:rsidR="00A163D7">
        <w:t>Nevertheless,</w:t>
      </w:r>
      <w:r>
        <w:t xml:space="preserve"> US Treasury yields have continued to fall since the downgrade</w:t>
      </w:r>
      <w:r w:rsidR="00A163D7">
        <w:t xml:space="preserve">, </w:t>
      </w:r>
      <w:r>
        <w:t>due to safe haven flows</w:t>
      </w:r>
      <w:r w:rsidR="00A163D7">
        <w:t xml:space="preserve"> and weakening economic prospects. </w:t>
      </w:r>
    </w:p>
    <w:p w:rsidR="00671179" w:rsidRDefault="00671179" w:rsidP="00671179">
      <w:r w:rsidRPr="0024185F">
        <w:lastRenderedPageBreak/>
        <w:t>US econom</w:t>
      </w:r>
      <w:r w:rsidR="00A163D7">
        <w:t>ic growth</w:t>
      </w:r>
      <w:r w:rsidRPr="0024185F">
        <w:t xml:space="preserve"> in 2011</w:t>
      </w:r>
      <w:r w:rsidR="00A163D7">
        <w:t xml:space="preserve"> is</w:t>
      </w:r>
      <w:r w:rsidRPr="0024185F">
        <w:t xml:space="preserve"> weaker than in the second half of 2010 when double dip recession concerns abounded. While US growth in the first half of 2011 was held down by a s</w:t>
      </w:r>
      <w:r>
        <w:t xml:space="preserve">eries of temporary factors, the slowing </w:t>
      </w:r>
      <w:r w:rsidRPr="0024185F">
        <w:t xml:space="preserve">has </w:t>
      </w:r>
      <w:r>
        <w:t xml:space="preserve">nonetheless </w:t>
      </w:r>
      <w:r w:rsidRPr="0024185F">
        <w:t>highlighted the</w:t>
      </w:r>
      <w:r>
        <w:t xml:space="preserve"> ongoing</w:t>
      </w:r>
      <w:r w:rsidRPr="0024185F">
        <w:t xml:space="preserve"> fragility of the </w:t>
      </w:r>
      <w:r>
        <w:t xml:space="preserve">US </w:t>
      </w:r>
      <w:r w:rsidRPr="0024185F">
        <w:t>recovery.</w:t>
      </w:r>
      <w:r>
        <w:t xml:space="preserve"> </w:t>
      </w:r>
    </w:p>
    <w:p w:rsidR="00671179" w:rsidRPr="0024185F" w:rsidRDefault="00671179" w:rsidP="00671179">
      <w:r>
        <w:t xml:space="preserve">On 8 September, President Obama announced the </w:t>
      </w:r>
      <w:r>
        <w:rPr>
          <w:i/>
        </w:rPr>
        <w:t>American Jobs Act</w:t>
      </w:r>
      <w:r>
        <w:t xml:space="preserve">, which includes an extension of existing fiscal stimulus measures, plus proposals for infrastructure spending. While the proposals could boost growth, it is highly uncertain as to what components of the package, if any, will be passed by Congress. Markets will remain very sensitive to any economic data coming out of the US, which is likely to be volatile in the short term as weakness in housing and labour markets act to suppress consumption, and as the temporary impacts from the first half of 2011 of high oil prices and auto supply chain disruption abate. </w:t>
      </w:r>
      <w:r w:rsidRPr="0024185F">
        <w:t xml:space="preserve">  </w:t>
      </w:r>
    </w:p>
    <w:p w:rsidR="00671179" w:rsidRPr="00056519" w:rsidRDefault="00671179" w:rsidP="00671179">
      <w:r w:rsidRPr="00D21609">
        <w:t xml:space="preserve">Given the risks to European and US growth, inflation pressures in the emerging economies are currently a less significant risk to </w:t>
      </w:r>
      <w:r>
        <w:t xml:space="preserve">the </w:t>
      </w:r>
      <w:r w:rsidRPr="00D21609">
        <w:t xml:space="preserve">global </w:t>
      </w:r>
      <w:r>
        <w:t>recovery</w:t>
      </w:r>
      <w:r w:rsidRPr="00D21609">
        <w:t>.  However, if inflation pressures do</w:t>
      </w:r>
      <w:r>
        <w:t xml:space="preserve"> not</w:t>
      </w:r>
      <w:r w:rsidRPr="00D21609">
        <w:t xml:space="preserve"> moderate </w:t>
      </w:r>
      <w:r>
        <w:t xml:space="preserve">as expected in </w:t>
      </w:r>
      <w:r w:rsidRPr="00D21609">
        <w:t>these economies</w:t>
      </w:r>
      <w:r>
        <w:t>, they</w:t>
      </w:r>
      <w:r w:rsidRPr="00D21609">
        <w:t xml:space="preserve"> will </w:t>
      </w:r>
      <w:r>
        <w:t xml:space="preserve">effectively </w:t>
      </w:r>
      <w:r w:rsidRPr="00D21609">
        <w:t>be constrained in their ability to further increase their contribution to global growth if the advanced econom</w:t>
      </w:r>
      <w:r>
        <w:t>ies slow</w:t>
      </w:r>
      <w:r w:rsidRPr="00D21609">
        <w:t xml:space="preserve"> </w:t>
      </w:r>
      <w:r>
        <w:t>more sharply</w:t>
      </w:r>
      <w:r w:rsidRPr="00D21609">
        <w:t>.</w:t>
      </w:r>
      <w:r>
        <w:t xml:space="preserve"> Indeed, if inflation pressures persist, it is more likely that a sharp tightening in monetary policy will be necessary, which would have significant ramifications for global </w:t>
      </w:r>
      <w:r w:rsidRPr="00056519">
        <w:t>growth.</w:t>
      </w:r>
    </w:p>
    <w:p w:rsidR="00671179" w:rsidRPr="00D21609" w:rsidRDefault="00671179" w:rsidP="00671179">
      <w:r w:rsidRPr="00056519">
        <w:t xml:space="preserve">While the weaker outlook </w:t>
      </w:r>
      <w:r>
        <w:t xml:space="preserve">for the US and Europe </w:t>
      </w:r>
      <w:r w:rsidRPr="00056519">
        <w:t>will have a</w:t>
      </w:r>
      <w:r>
        <w:t xml:space="preserve"> negative </w:t>
      </w:r>
      <w:r w:rsidRPr="00056519">
        <w:t xml:space="preserve">impact on China’s </w:t>
      </w:r>
      <w:r>
        <w:t>growth, this is expected</w:t>
      </w:r>
      <w:r w:rsidRPr="00056519">
        <w:t xml:space="preserve"> to be relatively modest due to ongoing robust growth in </w:t>
      </w:r>
      <w:r>
        <w:t xml:space="preserve">Chinese </w:t>
      </w:r>
      <w:r w:rsidRPr="00056519">
        <w:t>domestic demand.</w:t>
      </w:r>
    </w:p>
    <w:p w:rsidR="00671179" w:rsidRPr="00DB6CDC" w:rsidRDefault="00671179" w:rsidP="00671179">
      <w:pPr>
        <w:rPr>
          <w:highlight w:val="yellow"/>
        </w:rPr>
      </w:pPr>
      <w:r w:rsidRPr="00D21609">
        <w:t xml:space="preserve">A minor upside to the global outlook is that some </w:t>
      </w:r>
      <w:r>
        <w:t xml:space="preserve">downside </w:t>
      </w:r>
      <w:r w:rsidRPr="00D21609">
        <w:t xml:space="preserve">risks have receded, namely </w:t>
      </w:r>
      <w:r>
        <w:t xml:space="preserve">a sustained rise in </w:t>
      </w:r>
      <w:r w:rsidRPr="00D21609">
        <w:t>oil price</w:t>
      </w:r>
      <w:r>
        <w:t>s</w:t>
      </w:r>
      <w:r w:rsidRPr="00D21609">
        <w:t>, and the threat of a longer</w:t>
      </w:r>
      <w:r w:rsidRPr="00D21609">
        <w:noBreakHyphen/>
        <w:t>lasting disruption to supply chains in the aftermath of the Japanese earthquake and tsunami.</w:t>
      </w:r>
      <w:r w:rsidRPr="00DB6CDC">
        <w:rPr>
          <w:highlight w:val="yellow"/>
        </w:rPr>
        <w:t xml:space="preserve">  </w:t>
      </w:r>
    </w:p>
    <w:p w:rsidR="00671179" w:rsidRDefault="00671179" w:rsidP="00671179">
      <w:pPr>
        <w:pStyle w:val="Heading4"/>
      </w:pPr>
      <w:bookmarkStart w:id="44" w:name="_Toc304990771"/>
      <w:r w:rsidRPr="005711C2">
        <w:lastRenderedPageBreak/>
        <w:t>Country summaries</w:t>
      </w:r>
      <w:bookmarkEnd w:id="44"/>
    </w:p>
    <w:p w:rsidR="00671179" w:rsidRDefault="00671179" w:rsidP="00671179">
      <w:r w:rsidRPr="00320570">
        <w:t xml:space="preserve">The outlook for the </w:t>
      </w:r>
      <w:r w:rsidRPr="00320570">
        <w:rPr>
          <w:b/>
        </w:rPr>
        <w:t>United States</w:t>
      </w:r>
      <w:r w:rsidRPr="00320570">
        <w:t xml:space="preserve"> </w:t>
      </w:r>
      <w:r>
        <w:t>has worsened since the June round, with revisions to US GDP data showing that output has not yet returned to pre</w:t>
      </w:r>
      <w:r>
        <w:noBreakHyphen/>
        <w:t xml:space="preserve">crisis levels.  This occurred in conjunction with the downgrading of the US’ sovereign credit rating by Standard &amp; Poor’s, after the protracted debt ceiling debate pushed the US to the brink of a technical default in early August.  </w:t>
      </w:r>
    </w:p>
    <w:p w:rsidR="00671179" w:rsidRDefault="00671179" w:rsidP="00671179">
      <w:r>
        <w:t>The confluence of temporary factors that held back US growth in the first half of 2011 — such as high oil prices and the supply</w:t>
      </w:r>
      <w:r>
        <w:noBreakHyphen/>
        <w:t xml:space="preserve">chain effects of the Japanese earthquake — are gradually abating. However, the outlook for the rest of 2011, and the remainder of the forecast horizon, remains subdued.  Correspondingly, the forecast for 2011 has been revised down to 1½ per cent, from 2½ per cent at the June round. Similarly, the forecast for 2012 growth </w:t>
      </w:r>
      <w:r w:rsidRPr="006C2F8F">
        <w:t xml:space="preserve">has been revised down from 3 per cent to </w:t>
      </w:r>
      <w:r>
        <w:t>1¾ </w:t>
      </w:r>
      <w:r w:rsidRPr="006C2F8F">
        <w:t>per cent,</w:t>
      </w:r>
      <w:r>
        <w:t xml:space="preserve"> with 2013 growth forecast at 2¼ per cent (slightly below trend).    </w:t>
      </w:r>
    </w:p>
    <w:p w:rsidR="00671179" w:rsidRDefault="00671179" w:rsidP="00671179">
      <w:r>
        <w:t>The downgrades to the US forecasts reflect the ongoing weakness of the US labour and housing markets. The US long</w:t>
      </w:r>
      <w:r>
        <w:noBreakHyphen/>
        <w:t xml:space="preserve">term unemployment rate remains historically high, while employment growth has failed to demonstrate consistent strength.  Unemployment has once again risen above 9 per cent.  As such, the outlook for the US labour market, and hence consumption growth, is subdued.  The weak consumption outlook is exacerbated by the persistent wealth effects of the depressed US housing market. </w:t>
      </w:r>
    </w:p>
    <w:p w:rsidR="00671179" w:rsidRPr="00944F11" w:rsidRDefault="00671179" w:rsidP="00671179">
      <w:r>
        <w:t xml:space="preserve">While the newly announced </w:t>
      </w:r>
      <w:r w:rsidRPr="00ED08ED">
        <w:rPr>
          <w:i/>
        </w:rPr>
        <w:t>American Jobs Act</w:t>
      </w:r>
      <w:r>
        <w:t xml:space="preserve"> is likely to provide some targeted assistance to the US labour </w:t>
      </w:r>
      <w:r w:rsidRPr="00944F11">
        <w:t>market and broader economic recovery, its influence will likely be tempered by political constraints, and potentially any fiscal austerity measures resulting from the recommendations of the  Joint Select Committee on Deficit Reduction.</w:t>
      </w:r>
    </w:p>
    <w:p w:rsidR="00671179" w:rsidRPr="00944F11" w:rsidRDefault="00671179" w:rsidP="00671179">
      <w:r w:rsidRPr="00944F11">
        <w:t>The key downside risk to US economic growth remains the state of the labour market, with reduced participation in the labour market a distinct possibility as a result of long</w:t>
      </w:r>
      <w:r w:rsidRPr="00944F11">
        <w:softHyphen/>
      </w:r>
      <w:r w:rsidRPr="00944F11">
        <w:noBreakHyphen/>
        <w:t xml:space="preserve">term unemployment. Additionally, fiscal consolidation, if not done in a ‘backloaded’ </w:t>
      </w:r>
      <w:r w:rsidRPr="00944F11">
        <w:lastRenderedPageBreak/>
        <w:t xml:space="preserve">and gradual manner, poses </w:t>
      </w:r>
      <w:r w:rsidR="00843FA1">
        <w:t>further</w:t>
      </w:r>
      <w:r w:rsidRPr="00944F11">
        <w:t xml:space="preserve"> risk</w:t>
      </w:r>
      <w:r w:rsidR="00843FA1">
        <w:t>s</w:t>
      </w:r>
      <w:r w:rsidRPr="00944F11">
        <w:t xml:space="preserve"> to the strength of the US economic recovery in the near term.</w:t>
      </w:r>
    </w:p>
    <w:p w:rsidR="00671179" w:rsidRPr="00944F11" w:rsidRDefault="00671179" w:rsidP="00671179">
      <w:r w:rsidRPr="00944F11">
        <w:rPr>
          <w:b/>
        </w:rPr>
        <w:t xml:space="preserve">China’s </w:t>
      </w:r>
      <w:r w:rsidRPr="00944F11">
        <w:t>economy is expected to grow by 9 per cent in 2011 (down from 9¼ per cent at June), 8¾ per cent in 2012, and 8½ per cent in 2013. The downward revision in 2011 largely reflects the weaker growth prospects in the US and Europe, which together directly account for roughly 40 per cent of China’s exports. As such, the forecast for net exports’ contribution to growth has been revised down, while our forecasts for domestic demand remain largely unchanged.</w:t>
      </w:r>
    </w:p>
    <w:p w:rsidR="00671179" w:rsidRPr="00944F11" w:rsidRDefault="00671179" w:rsidP="00671179">
      <w:r w:rsidRPr="00944F11">
        <w:t xml:space="preserve">Economic activity in China has moderated as expected, with policy tightening measures over the past year seeping through to real activity. Despite slight downward revisions to growth, underlying growth prospects in China remain robust. Investment continues to grow at a healthy pace, driven by strong growth in manufacturing and real estate investment. Most other indicators of economic activity also remain solid, albeit with activity moderating, including industrial production, retail sales and loan growth. </w:t>
      </w:r>
    </w:p>
    <w:p w:rsidR="00671179" w:rsidRPr="00B032E9" w:rsidRDefault="00671179" w:rsidP="00671179">
      <w:r w:rsidRPr="00944F11">
        <w:t>Inflation has been a key concern for policy makers this year and reached a three</w:t>
      </w:r>
      <w:r w:rsidRPr="00944F11">
        <w:noBreakHyphen/>
        <w:t>year high of 6.5 per cent through the year to July, driven by rising food prices, supply shortages of key produce and after-effects of excess liquidity. However, tentative signs of moderation emerged in August, with inflation widely expected to have peaked for the year, supported by an easing in supply shortages and the lagged effects of tighter monetary policy. While likely to moderate over the remainder of the year, inflation is expected to remain well above the government’s target of 4 per cent for the year.</w:t>
      </w:r>
      <w:r w:rsidRPr="00B032E9">
        <w:t xml:space="preserve">  </w:t>
      </w:r>
    </w:p>
    <w:p w:rsidR="00671179" w:rsidRPr="00F62879" w:rsidRDefault="00671179" w:rsidP="00671179">
      <w:r>
        <w:t>Risks to the near</w:t>
      </w:r>
      <w:r>
        <w:noBreakHyphen/>
      </w:r>
      <w:r w:rsidRPr="00B032E9">
        <w:t xml:space="preserve">term outlook are concentrated in the external sector. While China is less reliant on net exports than during the pre-crisis period, a dramatic slowdown in external trade is likely to filter through to domestic activity, especially investment in the manufacturing sector, which has been a major driving force for investment this year. Fragilities in the financial sector also pose risks to the broader outlook going forward, a legacy </w:t>
      </w:r>
      <w:r w:rsidRPr="00B032E9">
        <w:lastRenderedPageBreak/>
        <w:t xml:space="preserve">of the 2008 fiscal stimulus package which saw local government debt rise to the equivalent of 27 per cent of </w:t>
      </w:r>
      <w:r w:rsidRPr="00F62879">
        <w:t>GDP in 2010.</w:t>
      </w:r>
      <w:r w:rsidRPr="00F62879">
        <w:rPr>
          <w:b/>
        </w:rPr>
        <w:t xml:space="preserve">  </w:t>
      </w:r>
      <w:r w:rsidRPr="00F62879">
        <w:t xml:space="preserve"> </w:t>
      </w:r>
    </w:p>
    <w:p w:rsidR="00671179" w:rsidRDefault="00671179" w:rsidP="00671179">
      <w:r w:rsidRPr="00F62879">
        <w:t>The</w:t>
      </w:r>
      <w:r w:rsidRPr="00F62879">
        <w:rPr>
          <w:b/>
        </w:rPr>
        <w:t xml:space="preserve"> Japanese</w:t>
      </w:r>
      <w:r w:rsidRPr="00F62879">
        <w:t xml:space="preserve"> economy continues to recover from the earthquake</w:t>
      </w:r>
      <w:r>
        <w:t xml:space="preserve"> and tsunami</w:t>
      </w:r>
      <w:r w:rsidRPr="00F62879">
        <w:t>, reflecting an easing of supply constraints and improvement in business sentiment</w:t>
      </w:r>
      <w:r>
        <w:t>.  T</w:t>
      </w:r>
      <w:r w:rsidRPr="00F62879">
        <w:t>he pace of recovery has</w:t>
      </w:r>
      <w:r>
        <w:t>, however,</w:t>
      </w:r>
      <w:r w:rsidRPr="00F62879">
        <w:t xml:space="preserve"> been slower than originally anticipated largely due to delays in reconstruction efforts. </w:t>
      </w:r>
      <w:r>
        <w:t>S</w:t>
      </w:r>
      <w:r w:rsidRPr="00F62879">
        <w:t xml:space="preserve">ignificant uncertainties surround the forecast due to ongoing problems at nuclear power plants, the risk of a more severe downturn in the global economy and the movement of </w:t>
      </w:r>
      <w:r>
        <w:t xml:space="preserve">the </w:t>
      </w:r>
      <w:r w:rsidRPr="00F62879">
        <w:t xml:space="preserve">yen. </w:t>
      </w:r>
    </w:p>
    <w:p w:rsidR="00671179" w:rsidRPr="005C0030" w:rsidRDefault="00671179" w:rsidP="00671179">
      <w:r w:rsidRPr="00F62879">
        <w:t xml:space="preserve">With concern growing that its public debt could balloon further </w:t>
      </w:r>
      <w:r>
        <w:t xml:space="preserve">in order </w:t>
      </w:r>
      <w:r w:rsidRPr="00F62879">
        <w:t xml:space="preserve">to finance reconstruction work, Japan’s new administration is committed to pursuing fiscal </w:t>
      </w:r>
      <w:r w:rsidR="00843FA1">
        <w:t>consolidation</w:t>
      </w:r>
      <w:r w:rsidRPr="00F62879">
        <w:t>, which would have mediu</w:t>
      </w:r>
      <w:r>
        <w:t>m to long</w:t>
      </w:r>
      <w:r>
        <w:noBreakHyphen/>
      </w:r>
      <w:r w:rsidRPr="00F62879">
        <w:t>term benefits to the economy.  Overall, the Japanese eco</w:t>
      </w:r>
      <w:r>
        <w:t>nomy is expected to contract 1 </w:t>
      </w:r>
      <w:r w:rsidRPr="00B11E00">
        <w:t>per cent in 2011. For 2012 and 2013, the economy is expected to grow 2</w:t>
      </w:r>
      <w:r>
        <w:t>¼ </w:t>
      </w:r>
      <w:r w:rsidRPr="00B11E00">
        <w:t>per cent and 1</w:t>
      </w:r>
      <w:r>
        <w:t xml:space="preserve">¼ </w:t>
      </w:r>
      <w:r w:rsidRPr="00B11E00">
        <w:t>per cent respectively</w:t>
      </w:r>
      <w:r w:rsidRPr="005C0030">
        <w:t xml:space="preserve">. </w:t>
      </w:r>
    </w:p>
    <w:p w:rsidR="00671179" w:rsidRPr="005C0030" w:rsidRDefault="00671179" w:rsidP="00671179">
      <w:r w:rsidRPr="005C0030">
        <w:t>A</w:t>
      </w:r>
      <w:r>
        <w:t>fter growing 9.9 per cent in</w:t>
      </w:r>
      <w:r w:rsidRPr="005C0030">
        <w:t xml:space="preserve"> 2010, </w:t>
      </w:r>
      <w:r w:rsidRPr="005C0030">
        <w:rPr>
          <w:b/>
        </w:rPr>
        <w:t>India’s</w:t>
      </w:r>
      <w:r w:rsidRPr="005C0030">
        <w:t xml:space="preserve"> economic growth has continued to show signs of moderation. This is partly the result of easing industrial production and tighter monetary policy. Inflation is still a key concern in India. Although WPI inflation has eased in recent months, it still remains at quite elevated levels (</w:t>
      </w:r>
      <w:r w:rsidRPr="00DE1AAE">
        <w:t>above 9 per cent) and significantly above the Reserve Bank of India’s (RBI) ‘comfort’ level. This means the RBI is likely to further tighten monetary policy which will impact on growth for 2012. The Indian economy is forecast to grow 7½</w:t>
      </w:r>
      <w:r w:rsidRPr="005C0030">
        <w:t xml:space="preserve"> per cent </w:t>
      </w:r>
      <w:r>
        <w:t>in</w:t>
      </w:r>
      <w:r w:rsidRPr="005C0030">
        <w:t xml:space="preserve"> 2011, </w:t>
      </w:r>
      <w:r>
        <w:t xml:space="preserve">6½ </w:t>
      </w:r>
      <w:r w:rsidRPr="005C0030">
        <w:t xml:space="preserve">per cent in 2012 and gradually return to </w:t>
      </w:r>
      <w:r>
        <w:t xml:space="preserve">around </w:t>
      </w:r>
      <w:r w:rsidRPr="005C0030">
        <w:t xml:space="preserve">trend </w:t>
      </w:r>
      <w:r>
        <w:t>at 8 per cent in</w:t>
      </w:r>
      <w:r w:rsidRPr="005C0030">
        <w:t xml:space="preserve"> 2013.</w:t>
      </w:r>
    </w:p>
    <w:p w:rsidR="00671179" w:rsidRDefault="00671179" w:rsidP="00671179">
      <w:r>
        <w:t xml:space="preserve">Since the June round, economic and financial conditions in the </w:t>
      </w:r>
      <w:r w:rsidRPr="00BC62DC">
        <w:rPr>
          <w:b/>
        </w:rPr>
        <w:t>euro area</w:t>
      </w:r>
      <w:r>
        <w:t xml:space="preserve"> have deteriorated markedly, with the ongoing concerns in the periphery spreading to the larger ‘core’ economies.  </w:t>
      </w:r>
    </w:p>
    <w:p w:rsidR="00671179" w:rsidRDefault="00671179" w:rsidP="00671179">
      <w:r>
        <w:t xml:space="preserve">Since June, a further deterioration in the Greek debt crisis, coupled with market concerns about the debt sustainability of Spain and Italy – the regions’ third and fourth largest economies – has weighed heavily on both </w:t>
      </w:r>
      <w:r>
        <w:lastRenderedPageBreak/>
        <w:t>household and business confidence, with forward indicators falling sharply. Of particular concern, is that Germany – a key driver of recent growth in the euro area – is now showing signs of being adversely affected by the region’s woes. As such, growth over the rest of 2011 and the first half of 2012 is expected to be anaemic.</w:t>
      </w:r>
    </w:p>
    <w:p w:rsidR="00671179" w:rsidRDefault="00671179" w:rsidP="00671179">
      <w:r>
        <w:t xml:space="preserve">Reflecting these developments, growth forecasts have been revised down from 1½ per cent to 1¼ per cent in 2011 and from 1½ per cent to ¾ of a per cent in 2012. In 2013, growth is assumed to gradually increase towards trend.  </w:t>
      </w:r>
    </w:p>
    <w:p w:rsidR="00671179" w:rsidRPr="00715041" w:rsidRDefault="00671179" w:rsidP="00671179">
      <w:r>
        <w:t>The risks to the outlook remain firmly on the downside.  While the forecasts have not assumed a collapse of the euro area</w:t>
      </w:r>
      <w:r w:rsidRPr="00C827CB">
        <w:t xml:space="preserve">, economic growth in the </w:t>
      </w:r>
      <w:r>
        <w:t>bloc</w:t>
      </w:r>
      <w:r w:rsidRPr="00C827CB">
        <w:t xml:space="preserve"> is likely to contract should an </w:t>
      </w:r>
      <w:r>
        <w:t xml:space="preserve">adverse </w:t>
      </w:r>
      <w:r w:rsidRPr="00C827CB">
        <w:t>event occur such as a Greek default or a further escalation in market concerns over Spanish and Italian sovereign debt.</w:t>
      </w:r>
    </w:p>
    <w:p w:rsidR="00671179" w:rsidRDefault="00671179" w:rsidP="00671179">
      <w:r w:rsidRPr="00715041">
        <w:t xml:space="preserve">The </w:t>
      </w:r>
      <w:r w:rsidRPr="00715041">
        <w:rPr>
          <w:b/>
        </w:rPr>
        <w:t>United Kingdom</w:t>
      </w:r>
      <w:r w:rsidRPr="00715041">
        <w:t xml:space="preserve"> economy expanded modestly in the June quarter 2011, following broadly flat growth over the previous two quarters.  A fragile recovery is expected for the remainder of 2011, with growth expected to be weighed down by the Government’s austerity measures and weak private consumption.  The subdued outlook for private consumption reflects a marked tightening in real disposable incomes and a soft housing market.  </w:t>
      </w:r>
    </w:p>
    <w:p w:rsidR="00671179" w:rsidRPr="00C92C79" w:rsidRDefault="00671179" w:rsidP="00671179">
      <w:r w:rsidRPr="00715041">
        <w:t xml:space="preserve">With UK growth prospects heavily dependent on business spending and external demand, key risks to the outlook are the euro area sovereign debt crisis and uncertain growth prospects for the United States.  In line with these developments, the UK economy is expected to record weak growth of 1 per cent in 2011.  Growth is forecast to </w:t>
      </w:r>
      <w:r>
        <w:t xml:space="preserve">pick up </w:t>
      </w:r>
      <w:r w:rsidRPr="00715041">
        <w:t>to 1¾</w:t>
      </w:r>
      <w:r>
        <w:t> </w:t>
      </w:r>
      <w:r w:rsidRPr="00715041">
        <w:t>per cent in 2012 and 2½ per cent in 2013.</w:t>
      </w:r>
    </w:p>
    <w:p w:rsidR="00671179" w:rsidRDefault="00671179" w:rsidP="00671179">
      <w:r>
        <w:t>While t</w:t>
      </w:r>
      <w:r w:rsidRPr="00C92C79">
        <w:t>he export</w:t>
      </w:r>
      <w:r w:rsidRPr="00C92C79">
        <w:noBreakHyphen/>
        <w:t xml:space="preserve">dependent </w:t>
      </w:r>
      <w:r w:rsidRPr="00C92C79">
        <w:rPr>
          <w:b/>
        </w:rPr>
        <w:t>Newly Industrialised Economies (NIEs)</w:t>
      </w:r>
      <w:r>
        <w:t xml:space="preserve"> </w:t>
      </w:r>
      <w:r w:rsidRPr="00C92C79">
        <w:t xml:space="preserve">rebounded strongly from the global economic downturn, growth is </w:t>
      </w:r>
      <w:r>
        <w:t xml:space="preserve">now </w:t>
      </w:r>
      <w:r w:rsidRPr="00C92C79">
        <w:t xml:space="preserve">projected to </w:t>
      </w:r>
      <w:r>
        <w:t>moderat</w:t>
      </w:r>
      <w:r w:rsidRPr="00C92C79">
        <w:t>e</w:t>
      </w:r>
      <w:r>
        <w:t>,</w:t>
      </w:r>
      <w:r w:rsidRPr="00C92C79">
        <w:t xml:space="preserve"> given weaker external demand</w:t>
      </w:r>
      <w:r>
        <w:t xml:space="preserve"> and recent monetary </w:t>
      </w:r>
      <w:r w:rsidRPr="009F70AC">
        <w:t xml:space="preserve">tightening. Already there are signs that the weaker global environment is impacting on these economies, with negative quarterly GDP </w:t>
      </w:r>
      <w:r w:rsidRPr="009F70AC">
        <w:lastRenderedPageBreak/>
        <w:t>growth recorded in Singapore and Hong Kong in the June quarter.</w:t>
      </w:r>
    </w:p>
    <w:p w:rsidR="00671179" w:rsidRPr="00C92C79" w:rsidRDefault="00671179" w:rsidP="00671179">
      <w:r w:rsidRPr="00C92C79">
        <w:t xml:space="preserve">Key downside risks to the forecast include a double dip recession in the US, sovereign debt contagion in the euro </w:t>
      </w:r>
      <w:r>
        <w:t>area</w:t>
      </w:r>
      <w:r w:rsidRPr="00C92C79">
        <w:t xml:space="preserve"> and heightened financial market volatility. </w:t>
      </w:r>
    </w:p>
    <w:p w:rsidR="00671179" w:rsidRPr="009C57A9" w:rsidRDefault="00671179" w:rsidP="00671179">
      <w:r>
        <w:t>As with the NIEs, f</w:t>
      </w:r>
      <w:r w:rsidRPr="00924F28">
        <w:t xml:space="preserve">ollowing strong growth in 2010, economic growth in the </w:t>
      </w:r>
      <w:r w:rsidRPr="00924F28">
        <w:rPr>
          <w:b/>
        </w:rPr>
        <w:t>ASEAN-5</w:t>
      </w:r>
      <w:r w:rsidRPr="00924F28">
        <w:t xml:space="preserve"> has begun to moderate, consistent with weakness in US and European export markets, tightening of monetary policy to contain inflationary pressures</w:t>
      </w:r>
      <w:r>
        <w:t>,</w:t>
      </w:r>
      <w:r w:rsidRPr="00924F28">
        <w:t xml:space="preserve"> and supply chain disruptions arising from the triple disaster in </w:t>
      </w:r>
      <w:r w:rsidRPr="009C57A9">
        <w:t xml:space="preserve">Japan.  </w:t>
      </w:r>
    </w:p>
    <w:p w:rsidR="00671179" w:rsidRPr="00A26F7E" w:rsidRDefault="00671179" w:rsidP="00671179">
      <w:r w:rsidRPr="009C57A9">
        <w:t xml:space="preserve">If global conditions deteriorate further, the ASEAN-5 economies will not be immune, with the more trade-exposed economies of Malaysia and Thailand </w:t>
      </w:r>
      <w:r>
        <w:t xml:space="preserve">likely to be </w:t>
      </w:r>
      <w:r w:rsidRPr="009C57A9">
        <w:t xml:space="preserve">the hardest hit. However, economic growth in Indonesia, </w:t>
      </w:r>
      <w:r w:rsidRPr="009C57A9">
        <w:lastRenderedPageBreak/>
        <w:t>which makes up nearly 40 per cent of AS</w:t>
      </w:r>
      <w:r>
        <w:t>EAN</w:t>
      </w:r>
      <w:r>
        <w:noBreakHyphen/>
      </w:r>
      <w:r w:rsidRPr="009C57A9">
        <w:t xml:space="preserve">5 GDP in purchasing power parity terms, will underpin growth within the group, with robust domestic demand </w:t>
      </w:r>
      <w:r>
        <w:t>insulating Indonesia</w:t>
      </w:r>
      <w:r w:rsidRPr="009C57A9">
        <w:t xml:space="preserve"> from external weaknesses. </w:t>
      </w:r>
    </w:p>
    <w:p w:rsidR="00671179" w:rsidRDefault="00671179" w:rsidP="00671179">
      <w:r w:rsidRPr="00A26F7E">
        <w:t xml:space="preserve">The </w:t>
      </w:r>
      <w:r w:rsidRPr="00A26F7E">
        <w:rPr>
          <w:b/>
        </w:rPr>
        <w:t>New</w:t>
      </w:r>
      <w:r w:rsidRPr="00A26F7E">
        <w:t xml:space="preserve"> </w:t>
      </w:r>
      <w:r w:rsidRPr="00A26F7E">
        <w:rPr>
          <w:b/>
        </w:rPr>
        <w:t>Zealand</w:t>
      </w:r>
      <w:r w:rsidRPr="00A26F7E">
        <w:t xml:space="preserve"> economy is recovering, despite earthquakes in Canterbury and limited domestic spending growth.  Ongoing support from high commodity prices and reconstruction in Canterbury associated with the recent earthquakes are expected to underpin New Zealand’s economic outlook, with particular strength in 2012 as rebuilding peaks. However, private consumption spending is likely to remain subdued as households continue to rebuild their savings.  The key risks to the outlook relate to ongoing uncertainties in the global economy and the likely effects this will have on </w:t>
      </w:r>
      <w:r>
        <w:t>New Zealand’s major trading partners</w:t>
      </w:r>
      <w:r w:rsidRPr="00A26F7E">
        <w:t>.</w:t>
      </w:r>
    </w:p>
    <w:p w:rsidR="00671179" w:rsidRPr="00454AE6" w:rsidRDefault="00671179" w:rsidP="00671179">
      <w:pPr>
        <w:rPr>
          <w:highlight w:val="yellow"/>
        </w:rPr>
        <w:sectPr w:rsidR="00671179" w:rsidRPr="00454AE6" w:rsidSect="005C0392">
          <w:headerReference w:type="default" r:id="rId45"/>
          <w:footerReference w:type="even" r:id="rId46"/>
          <w:footerReference w:type="default" r:id="rId47"/>
          <w:type w:val="continuous"/>
          <w:pgSz w:w="11907" w:h="16840" w:code="9"/>
          <w:pgMar w:top="1418" w:right="1418" w:bottom="1418" w:left="1418" w:header="567" w:footer="567" w:gutter="0"/>
          <w:cols w:num="2" w:space="709"/>
        </w:sectPr>
      </w:pPr>
    </w:p>
    <w:p w:rsidR="00671179" w:rsidRDefault="00671179" w:rsidP="00671179">
      <w:pPr>
        <w:rPr>
          <w:highlight w:val="yellow"/>
        </w:rPr>
      </w:pPr>
    </w:p>
    <w:p w:rsidR="00671179" w:rsidRDefault="00671179" w:rsidP="00671179">
      <w:pPr>
        <w:pStyle w:val="Heading3"/>
      </w:pPr>
      <w:bookmarkStart w:id="45" w:name="_Toc298235806"/>
      <w:bookmarkEnd w:id="42"/>
      <w:r w:rsidRPr="00671179">
        <w:t xml:space="preserve"> </w:t>
      </w:r>
    </w:p>
    <w:p w:rsidR="00671179" w:rsidRPr="00A324C7" w:rsidRDefault="00671179" w:rsidP="00671179">
      <w:pPr>
        <w:pStyle w:val="Heading3"/>
      </w:pPr>
      <w:r>
        <w:br w:type="page"/>
      </w:r>
      <w:bookmarkStart w:id="46" w:name="_Toc304990772"/>
      <w:r>
        <w:lastRenderedPageBreak/>
        <w:t xml:space="preserve">Attachment </w:t>
      </w:r>
      <w:r w:rsidR="001070BC">
        <w:t>A</w:t>
      </w:r>
      <w:r>
        <w:t>: Forecast Growth in Nominal GDP</w:t>
      </w:r>
      <w:bookmarkEnd w:id="45"/>
      <w:bookmarkEnd w:id="46"/>
    </w:p>
    <w:p w:rsidR="00671179" w:rsidRDefault="00671179" w:rsidP="00671179">
      <w:pPr>
        <w:rPr>
          <w:lang w:val="en-US"/>
        </w:rPr>
      </w:pPr>
      <w:r>
        <w:rPr>
          <w:lang w:val="en-US"/>
        </w:rPr>
        <w:t xml:space="preserve">Nominal GDP is forecast to grow 6½ per cent in 2011-12 and 4½ per cent in 2012-13. These forecasts are weaker than the June round due to the weaker outlook for real </w:t>
      </w:r>
      <w:r w:rsidR="000A590A">
        <w:rPr>
          <w:lang w:val="en-US"/>
        </w:rPr>
        <w:t xml:space="preserve">GDP </w:t>
      </w:r>
      <w:r>
        <w:rPr>
          <w:lang w:val="en-US"/>
        </w:rPr>
        <w:t xml:space="preserve">growth. The forecast for </w:t>
      </w:r>
      <w:r w:rsidR="000A590A">
        <w:rPr>
          <w:lang w:val="en-US"/>
        </w:rPr>
        <w:t xml:space="preserve">nominal GDP </w:t>
      </w:r>
      <w:r>
        <w:rPr>
          <w:lang w:val="en-US"/>
        </w:rPr>
        <w:t>growth in 2011-12 is ¼ of a percentage point lower than the June round</w:t>
      </w:r>
      <w:r w:rsidR="000A590A">
        <w:rPr>
          <w:lang w:val="en-US"/>
        </w:rPr>
        <w:t>,</w:t>
      </w:r>
      <w:r>
        <w:rPr>
          <w:lang w:val="en-US"/>
        </w:rPr>
        <w:t xml:space="preserve"> with the weaker forecast for real growth </w:t>
      </w:r>
      <w:r w:rsidR="000A590A">
        <w:rPr>
          <w:lang w:val="en-US"/>
        </w:rPr>
        <w:t xml:space="preserve">partly </w:t>
      </w:r>
      <w:r>
        <w:rPr>
          <w:lang w:val="en-US"/>
        </w:rPr>
        <w:t xml:space="preserve">offset by </w:t>
      </w:r>
      <w:r w:rsidR="000A590A">
        <w:rPr>
          <w:lang w:val="en-US"/>
        </w:rPr>
        <w:t>higher</w:t>
      </w:r>
      <w:r>
        <w:rPr>
          <w:lang w:val="en-US"/>
        </w:rPr>
        <w:t xml:space="preserve"> forecast growth in the terms of trade. The forecast for growth in 2012-13 is ½ of a percentage point lower than the June forecast, driven by the weaker forecast for real GDP growth. Forecast growth in the GDP deflator in 2012-13 is unchanged from June as slightly higher domestic inflation under carbon pricing offset</w:t>
      </w:r>
      <w:r w:rsidR="000A590A">
        <w:rPr>
          <w:lang w:val="en-US"/>
        </w:rPr>
        <w:t>s</w:t>
      </w:r>
      <w:r>
        <w:rPr>
          <w:lang w:val="en-US"/>
        </w:rPr>
        <w:t xml:space="preserve"> a larger forecast fall in the terms of trade. </w:t>
      </w:r>
    </w:p>
    <w:p w:rsidR="00671179" w:rsidRDefault="00671179" w:rsidP="00671179">
      <w:pPr>
        <w:rPr>
          <w:lang w:val="en-US"/>
        </w:rPr>
      </w:pPr>
      <w:r>
        <w:rPr>
          <w:lang w:val="en-US"/>
        </w:rPr>
        <w:t xml:space="preserve">Overall the level of nominal GDP is expected to be around $1½ billion lower than expected in the June round in 2011-12 and around $7½ billion lower in 2012-13. </w:t>
      </w:r>
    </w:p>
    <w:p w:rsidR="00671179" w:rsidRPr="002B6E1B" w:rsidRDefault="00671179">
      <w:pPr>
        <w:keepNext/>
        <w:spacing w:after="0"/>
        <w:jc w:val="center"/>
        <w:rPr>
          <w:b/>
        </w:rPr>
      </w:pPr>
      <w:r w:rsidRPr="002B6E1B">
        <w:rPr>
          <w:b/>
        </w:rPr>
        <w:t>Chart 1</w:t>
      </w:r>
      <w:r>
        <w:rPr>
          <w:b/>
        </w:rPr>
        <w:t>4</w:t>
      </w:r>
      <w:r w:rsidRPr="002B6E1B">
        <w:rPr>
          <w:b/>
        </w:rPr>
        <w:t xml:space="preserve">: </w:t>
      </w:r>
      <w:r w:rsidR="00500A99">
        <w:rPr>
          <w:b/>
        </w:rPr>
        <w:t>Decomposition of nominal GDP growth</w:t>
      </w:r>
    </w:p>
    <w:p w:rsidR="00671179" w:rsidRDefault="0004725C" w:rsidP="009D44EE">
      <w:pPr>
        <w:pStyle w:val="Chartgraphic"/>
        <w:spacing w:after="0"/>
        <w:rPr>
          <w:lang w:val="en-US"/>
        </w:rPr>
      </w:pPr>
      <w:r>
        <w:rPr>
          <w:lang w:val="en-US"/>
        </w:rPr>
        <w:pict>
          <v:shape id="_x0000_i1042" type="#_x0000_t75" style="width:460.55pt;height:239.6pt">
            <v:imagedata r:id="rId48" o:title=""/>
          </v:shape>
        </w:pict>
      </w:r>
    </w:p>
    <w:p w:rsidR="00671179" w:rsidRDefault="00671179" w:rsidP="009D44EE">
      <w:pPr>
        <w:spacing w:after="120"/>
        <w:rPr>
          <w:lang w:val="en-US"/>
        </w:rPr>
      </w:pPr>
      <w:r w:rsidRPr="00CB48EA">
        <w:rPr>
          <w:rFonts w:ascii="Tahoma" w:hAnsi="Tahoma" w:cs="Tahoma"/>
          <w:sz w:val="16"/>
          <w:szCs w:val="16"/>
        </w:rPr>
        <w:t>Source:</w:t>
      </w:r>
      <w:r w:rsidRPr="00CB48EA">
        <w:rPr>
          <w:szCs w:val="20"/>
        </w:rPr>
        <w:t xml:space="preserve">  </w:t>
      </w:r>
      <w:smartTag w:uri="urn:schemas-microsoft-com:office:smarttags" w:element="stockticker">
        <w:r w:rsidRPr="00CB48EA">
          <w:rPr>
            <w:rFonts w:ascii="Tahoma" w:hAnsi="Tahoma" w:cs="Tahoma"/>
            <w:sz w:val="16"/>
            <w:szCs w:val="16"/>
          </w:rPr>
          <w:t>ABS</w:t>
        </w:r>
      </w:smartTag>
      <w:r w:rsidRPr="00CB48EA">
        <w:rPr>
          <w:rFonts w:ascii="Tahoma" w:hAnsi="Tahoma" w:cs="Tahoma"/>
          <w:sz w:val="16"/>
          <w:szCs w:val="16"/>
        </w:rPr>
        <w:t xml:space="preserve"> Catalogue Number </w:t>
      </w:r>
      <w:r>
        <w:rPr>
          <w:rFonts w:ascii="Tahoma" w:hAnsi="Tahoma" w:cs="Tahoma"/>
          <w:sz w:val="16"/>
          <w:szCs w:val="16"/>
        </w:rPr>
        <w:t>5206</w:t>
      </w:r>
      <w:r w:rsidRPr="00CB48EA">
        <w:rPr>
          <w:rFonts w:ascii="Tahoma" w:hAnsi="Tahoma" w:cs="Tahoma"/>
          <w:sz w:val="16"/>
          <w:szCs w:val="16"/>
        </w:rPr>
        <w:t>.0 and Treasury.</w:t>
      </w:r>
    </w:p>
    <w:p w:rsidR="00671179" w:rsidRDefault="00671179" w:rsidP="00671179">
      <w:pPr>
        <w:rPr>
          <w:lang w:val="en-US"/>
        </w:rPr>
      </w:pPr>
      <w:r>
        <w:rPr>
          <w:lang w:val="en-US"/>
        </w:rPr>
        <w:t>Total corporate gross operating surplus (GOS) is expected to grow 6½ per cent in 2011-12 and 3 per</w:t>
      </w:r>
      <w:r w:rsidR="000A590A">
        <w:rPr>
          <w:lang w:val="en-US"/>
        </w:rPr>
        <w:t> </w:t>
      </w:r>
      <w:r>
        <w:rPr>
          <w:lang w:val="en-US"/>
        </w:rPr>
        <w:t>cent in 2012-13. Forecast growth in GOS for 2011-12 has been revised down since the June round due to the deterioration of the outlook for the non-mining sector. In contrast, the prospects for the mining and mining-related parts of the economy remain buoyant. Forecast</w:t>
      </w:r>
      <w:r w:rsidR="000A1249">
        <w:rPr>
          <w:lang w:val="en-US"/>
        </w:rPr>
        <w:t xml:space="preserve"> GOS</w:t>
      </w:r>
      <w:r>
        <w:rPr>
          <w:lang w:val="en-US"/>
        </w:rPr>
        <w:t xml:space="preserve"> growth in 2012-13 is ¾ </w:t>
      </w:r>
      <w:r w:rsidR="000A1249">
        <w:rPr>
          <w:lang w:val="en-US"/>
        </w:rPr>
        <w:t xml:space="preserve">of a percentage point </w:t>
      </w:r>
      <w:r>
        <w:rPr>
          <w:lang w:val="en-US"/>
        </w:rPr>
        <w:t xml:space="preserve">stronger than the June round forecast. </w:t>
      </w:r>
    </w:p>
    <w:p w:rsidR="00671179" w:rsidRDefault="00671179" w:rsidP="00671179">
      <w:pPr>
        <w:rPr>
          <w:lang w:val="en-US"/>
        </w:rPr>
      </w:pPr>
      <w:r>
        <w:rPr>
          <w:lang w:val="en-US"/>
        </w:rPr>
        <w:t xml:space="preserve">Compensation of employees (COE) is forecast to grow 6 per cent in 2011-12 and 5 per cent in 2012-13. Forecast growth </w:t>
      </w:r>
      <w:r w:rsidR="000A590A">
        <w:rPr>
          <w:lang w:val="en-US"/>
        </w:rPr>
        <w:t xml:space="preserve">in COE </w:t>
      </w:r>
      <w:r>
        <w:rPr>
          <w:lang w:val="en-US"/>
        </w:rPr>
        <w:t xml:space="preserve">is weaker in 2011-12 and 2012-13 by ½ and 1 percentage points respectively. The revision to the forecast reflects weaker expected employment growth in 2011-12 and weaker expected wage growth combined with slower employment growth in 2012-13. </w:t>
      </w:r>
    </w:p>
    <w:p w:rsidR="007C3517" w:rsidRPr="007C3517" w:rsidRDefault="00671179" w:rsidP="000A590A">
      <w:r w:rsidRPr="00BC4EDB">
        <w:rPr>
          <w:lang w:val="en-US"/>
        </w:rPr>
        <w:t>Gross mixed income (GMI), which includes the wages and profits of farm and other unincorporated enterprises, is forecast to grow</w:t>
      </w:r>
      <w:r>
        <w:rPr>
          <w:lang w:val="en-US"/>
        </w:rPr>
        <w:t xml:space="preserve"> 5½ per cent in 2011-12 and 1½ per cent in 2012-13. These growth forecasts represent an upgrade on the June estimates in 2011-12 and a downgrade in 2012-13 partly due to a higher expected level of farm profits in 2011-12 arising from the favorable seasonal outlook, before a return to </w:t>
      </w:r>
      <w:r w:rsidR="000A590A">
        <w:rPr>
          <w:lang w:val="en-US"/>
        </w:rPr>
        <w:t>average seasonal conditions</w:t>
      </w:r>
      <w:r>
        <w:rPr>
          <w:lang w:val="en-US"/>
        </w:rPr>
        <w:t xml:space="preserve"> in 2012-13. </w:t>
      </w:r>
    </w:p>
    <w:sectPr w:rsidR="007C3517" w:rsidRPr="007C3517" w:rsidSect="007631BD">
      <w:headerReference w:type="default" r:id="rId49"/>
      <w:footerReference w:type="even" r:id="rId50"/>
      <w:footerReference w:type="default" r:id="rId51"/>
      <w:type w:val="continuous"/>
      <w:pgSz w:w="11907" w:h="16840"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AD7" w:rsidRDefault="00617AD7">
      <w:r>
        <w:separator/>
      </w:r>
    </w:p>
  </w:endnote>
  <w:endnote w:type="continuationSeparator" w:id="0">
    <w:p w:rsidR="00617AD7" w:rsidRDefault="0061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D7" w:rsidRDefault="00617AD7"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17AD7" w:rsidRDefault="007A6D88" w:rsidP="00C672E4">
    <w:pPr>
      <w:pStyle w:val="SecurityClassificationFooter"/>
    </w:pPr>
    <w:fldSimple w:instr=" DOCPROPERTY SecurityClassification \* MERGEFORMAT ">
      <w:r>
        <w:t>In Confidence</w:t>
      </w:r>
    </w:fldSimple>
    <w:r w:rsidR="00617AD7">
      <w:fldChar w:fldCharType="begin"/>
    </w:r>
    <w:r w:rsidR="00617AD7">
      <w:instrText xml:space="preserve"> COMMENTS  \* MERGEFORMAT </w:instrText>
    </w:r>
    <w:r w:rsidR="00617AD7">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D7" w:rsidRDefault="00617A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49F8">
      <w:rPr>
        <w:rStyle w:val="PageNumber"/>
        <w:noProof/>
      </w:rPr>
      <w:t>20</w:t>
    </w:r>
    <w:r>
      <w:rPr>
        <w:rStyle w:val="PageNumber"/>
      </w:rPr>
      <w:fldChar w:fldCharType="end"/>
    </w:r>
  </w:p>
  <w:p w:rsidR="00617AD7" w:rsidRDefault="00617AD7" w:rsidP="00C672E4">
    <w:pPr>
      <w:pStyle w:val="SecurityClassificationFooter"/>
    </w:pPr>
    <w:r>
      <w:fldChar w:fldCharType="begin"/>
    </w:r>
    <w:r>
      <w:instrText xml:space="preserve"> COMMENTS  \* MERGEFORMAT </w:instrTex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D7" w:rsidRDefault="00617A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17AD7" w:rsidRDefault="007A6D88" w:rsidP="00C672E4">
    <w:pPr>
      <w:pStyle w:val="SecurityClassificationFooter"/>
    </w:pPr>
    <w:fldSimple w:instr=" DOCPROPERTY SecurityClassification \* MERGEFORMAT ">
      <w:r>
        <w:t>In Confidence</w:t>
      </w:r>
    </w:fldSimple>
    <w:r w:rsidR="00617AD7">
      <w:fldChar w:fldCharType="begin"/>
    </w:r>
    <w:r w:rsidR="00617AD7">
      <w:instrText xml:space="preserve"> COMMENTS  \* MERGEFORMAT </w:instrText>
    </w:r>
    <w:r w:rsidR="00617AD7">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D7" w:rsidRDefault="00617A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49F8">
      <w:rPr>
        <w:rStyle w:val="PageNumber"/>
        <w:noProof/>
      </w:rPr>
      <w:t>21</w:t>
    </w:r>
    <w:r>
      <w:rPr>
        <w:rStyle w:val="PageNumber"/>
      </w:rPr>
      <w:fldChar w:fldCharType="end"/>
    </w:r>
  </w:p>
  <w:p w:rsidR="00617AD7" w:rsidRDefault="00617AD7" w:rsidP="00C672E4">
    <w:pPr>
      <w:pStyle w:val="SecurityClassificationFooter"/>
    </w:pPr>
    <w:r>
      <w:fldChar w:fldCharType="begin"/>
    </w:r>
    <w:r>
      <w:instrText xml:space="preserve"> COMMENTS  \* MERGEFORMAT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D7" w:rsidRDefault="00617AD7"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49F8">
      <w:rPr>
        <w:rStyle w:val="PageNumber"/>
        <w:noProof/>
      </w:rPr>
      <w:t>2</w:t>
    </w:r>
    <w:r>
      <w:rPr>
        <w:rStyle w:val="PageNumber"/>
      </w:rPr>
      <w:fldChar w:fldCharType="end"/>
    </w:r>
  </w:p>
  <w:p w:rsidR="00617AD7" w:rsidRPr="00704E0D" w:rsidRDefault="00617AD7" w:rsidP="0004725C">
    <w:pPr>
      <w:pStyle w:val="SecurityClassification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F8" w:rsidRDefault="005649F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D7" w:rsidRDefault="00617A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49F8">
      <w:rPr>
        <w:rStyle w:val="PageNumber"/>
        <w:noProof/>
      </w:rPr>
      <w:t>6</w:t>
    </w:r>
    <w:r>
      <w:rPr>
        <w:rStyle w:val="PageNumber"/>
      </w:rPr>
      <w:fldChar w:fldCharType="end"/>
    </w:r>
  </w:p>
  <w:p w:rsidR="00617AD7" w:rsidRDefault="00617AD7" w:rsidP="00C672E4">
    <w:pPr>
      <w:pStyle w:val="SecurityClassificationFooter"/>
    </w:pPr>
    <w:r>
      <w:fldChar w:fldCharType="begin"/>
    </w:r>
    <w:r>
      <w:instrText xml:space="preserve"> COMMENTS  \* MERGEFORMAT </w:instrTex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D7" w:rsidRDefault="00617AD7">
    <w:pPr>
      <w:pStyle w:val="Footer"/>
      <w:jc w:val="right"/>
    </w:pPr>
    <w:r>
      <w:fldChar w:fldCharType="begin"/>
    </w:r>
    <w:r>
      <w:instrText xml:space="preserve"> PAGE   \* MERGEFORMAT </w:instrText>
    </w:r>
    <w:r>
      <w:fldChar w:fldCharType="separate"/>
    </w:r>
    <w:r w:rsidR="005649F8">
      <w:rPr>
        <w:noProof/>
      </w:rPr>
      <w:t>15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D7" w:rsidRDefault="00617AD7">
    <w:pPr>
      <w:pStyle w:val="Footer"/>
      <w:jc w:val="right"/>
    </w:pPr>
    <w:r>
      <w:fldChar w:fldCharType="begin"/>
    </w:r>
    <w:r>
      <w:instrText xml:space="preserve"> PAGE   \* MERGEFORMAT </w:instrText>
    </w:r>
    <w:r>
      <w:fldChar w:fldCharType="separate"/>
    </w:r>
    <w:r w:rsidR="005649F8">
      <w:rPr>
        <w:noProof/>
      </w:rPr>
      <w:t>16</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D7" w:rsidRDefault="00617A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17AD7" w:rsidRDefault="007A6D88" w:rsidP="00C672E4">
    <w:pPr>
      <w:pStyle w:val="SecurityClassificationFooter"/>
    </w:pPr>
    <w:fldSimple w:instr=" DOCPROPERTY SecurityClassification \* MERGEFORMAT ">
      <w:r>
        <w:t>In Confidence</w:t>
      </w:r>
    </w:fldSimple>
    <w:r w:rsidR="00617AD7">
      <w:fldChar w:fldCharType="begin"/>
    </w:r>
    <w:r w:rsidR="00617AD7">
      <w:instrText xml:space="preserve"> COMMENTS  \* MERGEFORMAT </w:instrText>
    </w:r>
    <w:r w:rsidR="00617AD7">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D7" w:rsidRDefault="00617A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617AD7" w:rsidRDefault="007A6D88" w:rsidP="00C672E4">
    <w:pPr>
      <w:pStyle w:val="SecurityClassificationFooter"/>
    </w:pPr>
    <w:fldSimple w:instr=" DOCPROPERTY SecurityClassification \* MERGEFORMAT ">
      <w:r>
        <w:t>In Confidence</w:t>
      </w:r>
    </w:fldSimple>
    <w:r w:rsidR="00617AD7">
      <w:fldChar w:fldCharType="begin"/>
    </w:r>
    <w:r w:rsidR="00617AD7">
      <w:instrText xml:space="preserve"> COMMENTS  \* MERGEFORMAT </w:instrText>
    </w:r>
    <w:r w:rsidR="00617AD7">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D7" w:rsidRDefault="00617A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17AD7" w:rsidRDefault="007A6D88" w:rsidP="00C672E4">
    <w:pPr>
      <w:pStyle w:val="SecurityClassificationFooter"/>
    </w:pPr>
    <w:fldSimple w:instr=" DOCPROPERTY SecurityClassification \* MERGEFORMAT ">
      <w:r>
        <w:t>In Confidence</w:t>
      </w:r>
    </w:fldSimple>
    <w:r w:rsidR="00617AD7">
      <w:fldChar w:fldCharType="begin"/>
    </w:r>
    <w:r w:rsidR="00617AD7">
      <w:instrText xml:space="preserve"> COMMENTS  \* MERGEFORMAT </w:instrText>
    </w:r>
    <w:r w:rsidR="00617AD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AD7" w:rsidRDefault="00617AD7">
      <w:pPr>
        <w:pStyle w:val="TableBodyText"/>
        <w:spacing w:before="120" w:after="120"/>
      </w:pPr>
      <w:r>
        <w:separator/>
      </w:r>
    </w:p>
  </w:footnote>
  <w:footnote w:type="continuationSeparator" w:id="0">
    <w:p w:rsidR="00617AD7" w:rsidRDefault="00617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2E4" w:rsidRDefault="007A6D88" w:rsidP="00C672E4">
    <w:pPr>
      <w:pStyle w:val="SecurityClassificationHeader"/>
    </w:pPr>
    <w:fldSimple w:instr=" DOCPROPERTY SecurityClassification \* MERGEFORMAT ">
      <w:r>
        <w:t>In Confidence</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D7" w:rsidRDefault="007A6D88">
    <w:pPr>
      <w:framePr w:wrap="around" w:vAnchor="page" w:hAnchor="margin" w:x="14460" w:y="7939" w:anchorLock="1"/>
      <w:rPr>
        <w:rStyle w:val="FramedHeader"/>
      </w:rPr>
    </w:pPr>
    <w:fldSimple w:instr=" TITLE  \* MERGEFORMAT ">
      <w:r w:rsidRPr="007A6D88">
        <w:rPr>
          <w:rStyle w:val="FramedHeader"/>
        </w:rPr>
        <w:t>March 06 Forecasting Report</w:t>
      </w:r>
    </w:fldSimple>
  </w:p>
  <w:p w:rsidR="00617AD7" w:rsidRDefault="00617AD7" w:rsidP="0004725C">
    <w:pPr>
      <w:pStyle w:val="Header"/>
      <w:jc w:val="center"/>
      <w:rPr>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F8" w:rsidRDefault="005649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F8" w:rsidRDefault="005649F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D7" w:rsidRDefault="007A6D88" w:rsidP="00C672E4">
    <w:pPr>
      <w:pStyle w:val="SecurityClassificationHeader"/>
    </w:pPr>
    <w:fldSimple w:instr=" DOCPROPERTY SecurityClassification \* MERGEFORMAT ">
      <w:r>
        <w:t>In Confidence</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D7" w:rsidRPr="0004725C" w:rsidRDefault="00617AD7" w:rsidP="0004725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D7" w:rsidRDefault="007A6D88" w:rsidP="00C672E4">
    <w:pPr>
      <w:pStyle w:val="SecurityClassificationHeader"/>
    </w:pPr>
    <w:fldSimple w:instr=" DOCPROPERTY SecurityClassification \* MERGEFORMAT ">
      <w:r>
        <w:t>In Confidence</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D7" w:rsidRDefault="007A6D88" w:rsidP="00C672E4">
    <w:pPr>
      <w:pStyle w:val="SecurityClassificationHeader"/>
    </w:pPr>
    <w:fldSimple w:instr=" DOCPROPERTY SecurityClassification \* MERGEFORMAT ">
      <w:r>
        <w:t>In Confidence</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2E4" w:rsidRDefault="007A6D88" w:rsidP="00C672E4">
    <w:pPr>
      <w:pStyle w:val="SecurityClassificationHeader"/>
    </w:pPr>
    <w:fldSimple w:instr=" DOCPROPERTY SecurityClassification \* MERGEFORMAT ">
      <w:r>
        <w:t>In Confidence</w:t>
      </w:r>
    </w:fldSimple>
  </w:p>
  <w:p w:rsidR="00617AD7" w:rsidRDefault="007A6D88">
    <w:pPr>
      <w:framePr w:wrap="around" w:vAnchor="page" w:hAnchor="margin" w:x="14460" w:y="7939" w:anchorLock="1"/>
      <w:rPr>
        <w:rStyle w:val="FramedHeader"/>
      </w:rPr>
    </w:pPr>
    <w:fldSimple w:instr=" TITLE  \* MERGEFORMAT ">
      <w:r w:rsidRPr="007A6D88">
        <w:rPr>
          <w:rStyle w:val="FramedHeader"/>
        </w:rPr>
        <w:t>March 06 Forecasting Report</w:t>
      </w:r>
    </w:fldSimple>
  </w:p>
  <w:p w:rsidR="00617AD7" w:rsidRDefault="00617AD7">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D7" w:rsidRDefault="007A6D88">
    <w:pPr>
      <w:framePr w:wrap="around" w:vAnchor="page" w:hAnchor="margin" w:x="14460" w:y="7939" w:anchorLock="1"/>
      <w:rPr>
        <w:rStyle w:val="FramedHeader"/>
      </w:rPr>
    </w:pPr>
    <w:fldSimple w:instr=" TITLE  \* MERGEFORMAT ">
      <w:r w:rsidRPr="007A6D88">
        <w:rPr>
          <w:rStyle w:val="FramedHeader"/>
        </w:rPr>
        <w:t>March 06 Forecasting Report</w:t>
      </w:r>
    </w:fldSimple>
  </w:p>
  <w:p w:rsidR="00617AD7" w:rsidRDefault="00617AD7" w:rsidP="0004725C">
    <w:pPr>
      <w:pStyle w:val="Header"/>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A85"/>
    <w:multiLevelType w:val="singleLevel"/>
    <w:tmpl w:val="DCE4D020"/>
    <w:lvl w:ilvl="0">
      <w:start w:val="1"/>
      <w:numFmt w:val="bullet"/>
      <w:lvlText w:val=""/>
      <w:lvlJc w:val="left"/>
      <w:pPr>
        <w:tabs>
          <w:tab w:val="num" w:pos="646"/>
        </w:tabs>
        <w:ind w:left="283" w:firstLine="0"/>
      </w:pPr>
      <w:rPr>
        <w:rFonts w:ascii="Symbol" w:hAnsi="Symbol" w:hint="default"/>
        <w:b w:val="0"/>
        <w:i w:val="0"/>
        <w:caps w:val="0"/>
        <w:smallCaps w:val="0"/>
        <w:strike w:val="0"/>
        <w:dstrike w:val="0"/>
        <w:outline w:val="0"/>
        <w:shadow w:val="0"/>
        <w:emboss w:val="0"/>
        <w:imprint w:val="0"/>
        <w:vanish w:val="0"/>
        <w:sz w:val="20"/>
        <w:u w:val="none"/>
        <w:vertAlign w:val="baseline"/>
      </w:rPr>
    </w:lvl>
  </w:abstractNum>
  <w:abstractNum w:abstractNumId="1">
    <w:nsid w:val="030329CA"/>
    <w:multiLevelType w:val="multilevel"/>
    <w:tmpl w:val="4B32248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6AE7C12"/>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3">
    <w:nsid w:val="08A9749B"/>
    <w:multiLevelType w:val="singleLevel"/>
    <w:tmpl w:val="1AFCA92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4">
    <w:nsid w:val="0EDA661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5">
    <w:nsid w:val="0F223A74"/>
    <w:multiLevelType w:val="singleLevel"/>
    <w:tmpl w:val="6DDCFA48"/>
    <w:lvl w:ilvl="0">
      <w:start w:val="1"/>
      <w:numFmt w:val="bullet"/>
      <w:lvlText w:val=""/>
      <w:lvlJc w:val="left"/>
      <w:pPr>
        <w:tabs>
          <w:tab w:val="num" w:pos="646"/>
        </w:tabs>
        <w:ind w:left="283" w:firstLine="0"/>
      </w:pPr>
      <w:rPr>
        <w:rFonts w:ascii="Symbol" w:hAnsi="Symbol" w:hint="default"/>
        <w:caps w:val="0"/>
        <w:strike w:val="0"/>
        <w:dstrike w:val="0"/>
        <w:outline w:val="0"/>
        <w:shadow w:val="0"/>
        <w:emboss w:val="0"/>
        <w:imprint w:val="0"/>
        <w:vanish w:val="0"/>
        <w:sz w:val="20"/>
        <w:vertAlign w:val="baseline"/>
      </w:rPr>
    </w:lvl>
  </w:abstractNum>
  <w:abstractNum w:abstractNumId="6">
    <w:nsid w:val="176D5FE2"/>
    <w:multiLevelType w:val="singleLevel"/>
    <w:tmpl w:val="34E6B6C8"/>
    <w:lvl w:ilvl="0">
      <w:start w:val="1"/>
      <w:numFmt w:val="bullet"/>
      <w:lvlText w:val=""/>
      <w:lvlJc w:val="left"/>
      <w:pPr>
        <w:tabs>
          <w:tab w:val="num" w:pos="357"/>
        </w:tabs>
        <w:ind w:left="283" w:hanging="283"/>
      </w:pPr>
      <w:rPr>
        <w:rFonts w:ascii="Symbol" w:hAnsi="Symbol" w:hint="default"/>
        <w:b w:val="0"/>
        <w:i w:val="0"/>
        <w:caps w:val="0"/>
        <w:smallCaps w:val="0"/>
        <w:strike w:val="0"/>
        <w:dstrike w:val="0"/>
        <w:outline w:val="0"/>
        <w:shadow w:val="0"/>
        <w:emboss w:val="0"/>
        <w:imprint w:val="0"/>
        <w:vanish w:val="0"/>
        <w:sz w:val="16"/>
        <w:u w:val="none"/>
        <w:vertAlign w:val="baseline"/>
      </w:rPr>
    </w:lvl>
  </w:abstractNum>
  <w:abstractNum w:abstractNumId="7">
    <w:nsid w:val="18437A7E"/>
    <w:multiLevelType w:val="singleLevel"/>
    <w:tmpl w:val="5C7ECCA4"/>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8">
    <w:nsid w:val="1D544A88"/>
    <w:multiLevelType w:val="singleLevel"/>
    <w:tmpl w:val="82520A5E"/>
    <w:lvl w:ilvl="0">
      <w:start w:val="1"/>
      <w:numFmt w:val="bullet"/>
      <w:lvlText w:val=":"/>
      <w:lvlJc w:val="left"/>
      <w:pPr>
        <w:tabs>
          <w:tab w:val="num" w:pos="357"/>
        </w:tabs>
        <w:ind w:left="283" w:hanging="283"/>
      </w:pPr>
      <w:rPr>
        <w:rFonts w:ascii="Times New Roman" w:hAnsi="Times New Roman" w:hint="default"/>
      </w:rPr>
    </w:lvl>
  </w:abstractNum>
  <w:abstractNum w:abstractNumId="9">
    <w:nsid w:val="1DDC458A"/>
    <w:multiLevelType w:val="singleLevel"/>
    <w:tmpl w:val="CEE49C2E"/>
    <w:lvl w:ilvl="0">
      <w:start w:val="1"/>
      <w:numFmt w:val="bullet"/>
      <w:lvlText w:val=""/>
      <w:lvlJc w:val="left"/>
      <w:pPr>
        <w:tabs>
          <w:tab w:val="num" w:pos="646"/>
        </w:tabs>
        <w:ind w:left="283" w:firstLine="0"/>
      </w:pPr>
      <w:rPr>
        <w:rFonts w:ascii="Symbol" w:hAnsi="Symbol" w:hint="default"/>
      </w:rPr>
    </w:lvl>
  </w:abstractNum>
  <w:abstractNum w:abstractNumId="10">
    <w:nsid w:val="1FE37260"/>
    <w:multiLevelType w:val="singleLevel"/>
    <w:tmpl w:val="67BCF81E"/>
    <w:lvl w:ilvl="0">
      <w:start w:val="1"/>
      <w:numFmt w:val="bullet"/>
      <w:lvlText w:val=":"/>
      <w:lvlJc w:val="left"/>
      <w:pPr>
        <w:tabs>
          <w:tab w:val="num" w:pos="357"/>
        </w:tabs>
        <w:ind w:left="283" w:hanging="283"/>
      </w:pPr>
      <w:rPr>
        <w:rFonts w:ascii="Times New Roman" w:hAnsi="Times New Roman" w:hint="default"/>
        <w:b/>
        <w:caps w:val="0"/>
        <w:smallCaps w:val="0"/>
        <w:strike w:val="0"/>
        <w:dstrike w:val="0"/>
        <w:outline w:val="0"/>
        <w:shadow w:val="0"/>
        <w:emboss w:val="0"/>
        <w:imprint w:val="0"/>
        <w:vanish w:val="0"/>
        <w:sz w:val="24"/>
        <w:vertAlign w:val="baseline"/>
      </w:rPr>
    </w:lvl>
  </w:abstractNum>
  <w:abstractNum w:abstractNumId="11">
    <w:nsid w:val="22A1312D"/>
    <w:multiLevelType w:val="singleLevel"/>
    <w:tmpl w:val="8A7C2128"/>
    <w:lvl w:ilvl="0">
      <w:start w:val="1"/>
      <w:numFmt w:val="bullet"/>
      <w:lvlText w:val=""/>
      <w:lvlJc w:val="left"/>
      <w:pPr>
        <w:tabs>
          <w:tab w:val="num" w:pos="357"/>
        </w:tabs>
        <w:ind w:left="283" w:hanging="283"/>
      </w:pPr>
      <w:rPr>
        <w:rFonts w:ascii="Symbol" w:hAnsi="Symbol" w:hint="default"/>
        <w:b/>
        <w:caps w:val="0"/>
        <w:smallCaps w:val="0"/>
        <w:strike w:val="0"/>
        <w:dstrike w:val="0"/>
        <w:outline w:val="0"/>
        <w:shadow w:val="0"/>
        <w:emboss w:val="0"/>
        <w:imprint w:val="0"/>
        <w:vanish w:val="0"/>
        <w:sz w:val="16"/>
        <w:vertAlign w:val="baseline"/>
      </w:rPr>
    </w:lvl>
  </w:abstractNum>
  <w:abstractNum w:abstractNumId="12">
    <w:nsid w:val="24B57EF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13">
    <w:nsid w:val="24CF4120"/>
    <w:multiLevelType w:val="singleLevel"/>
    <w:tmpl w:val="5492F112"/>
    <w:lvl w:ilvl="0">
      <w:start w:val="1"/>
      <w:numFmt w:val="bullet"/>
      <w:lvlText w:val=":"/>
      <w:lvlJc w:val="left"/>
      <w:pPr>
        <w:tabs>
          <w:tab w:val="num" w:pos="357"/>
        </w:tabs>
        <w:ind w:left="283" w:hanging="283"/>
      </w:pPr>
      <w:rPr>
        <w:rFonts w:ascii="Times New Roman" w:hAnsi="Times New Roman" w:hint="default"/>
        <w:b/>
        <w:i w:val="0"/>
        <w:caps w:val="0"/>
        <w:strike w:val="0"/>
        <w:dstrike w:val="0"/>
        <w:outline w:val="0"/>
        <w:shadow w:val="0"/>
        <w:emboss w:val="0"/>
        <w:imprint w:val="0"/>
        <w:vanish w:val="0"/>
        <w:sz w:val="24"/>
        <w:vertAlign w:val="baseline"/>
      </w:rPr>
    </w:lvl>
  </w:abstractNum>
  <w:abstractNum w:abstractNumId="14">
    <w:nsid w:val="25C11C65"/>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15">
    <w:nsid w:val="2D0E35FC"/>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16">
    <w:nsid w:val="2D7063CC"/>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17">
    <w:nsid w:val="2E5C45A1"/>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18">
    <w:nsid w:val="2F562DFF"/>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outline w:val="0"/>
        <w:shadow w:val="0"/>
        <w:emboss w:val="0"/>
        <w:imprint w:val="0"/>
        <w:vanish w:val="0"/>
        <w:sz w:val="20"/>
        <w:vertAlign w:val="baseline"/>
      </w:rPr>
    </w:lvl>
  </w:abstractNum>
  <w:abstractNum w:abstractNumId="19">
    <w:nsid w:val="342115B6"/>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20">
    <w:nsid w:val="34821DA8"/>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21">
    <w:nsid w:val="35107270"/>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2">
    <w:nsid w:val="370A3197"/>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23">
    <w:nsid w:val="3A564359"/>
    <w:multiLevelType w:val="singleLevel"/>
    <w:tmpl w:val="89B44092"/>
    <w:lvl w:ilvl="0">
      <w:start w:val="1"/>
      <w:numFmt w:val="bullet"/>
      <w:lvlText w:val=":"/>
      <w:lvlJc w:val="left"/>
      <w:pPr>
        <w:tabs>
          <w:tab w:val="num" w:pos="357"/>
        </w:tabs>
        <w:ind w:left="283" w:hanging="283"/>
      </w:pPr>
      <w:rPr>
        <w:rFonts w:ascii="Times New Roman" w:hAnsi="Times New Roman" w:hint="default"/>
        <w:caps w:val="0"/>
        <w:strike w:val="0"/>
        <w:dstrike w:val="0"/>
        <w:outline w:val="0"/>
        <w:shadow w:val="0"/>
        <w:emboss w:val="0"/>
        <w:imprint w:val="0"/>
        <w:vanish w:val="0"/>
        <w:sz w:val="20"/>
        <w:vertAlign w:val="baseline"/>
      </w:rPr>
    </w:lvl>
  </w:abstractNum>
  <w:abstractNum w:abstractNumId="24">
    <w:nsid w:val="3B8B757B"/>
    <w:multiLevelType w:val="singleLevel"/>
    <w:tmpl w:val="3D8230E8"/>
    <w:lvl w:ilvl="0">
      <w:start w:val="2"/>
      <w:numFmt w:val="decimal"/>
      <w:lvlText w:val="%1."/>
      <w:lvlJc w:val="left"/>
      <w:pPr>
        <w:tabs>
          <w:tab w:val="num" w:pos="567"/>
        </w:tabs>
        <w:ind w:left="0" w:firstLine="0"/>
      </w:pPr>
    </w:lvl>
  </w:abstractNum>
  <w:abstractNum w:abstractNumId="25">
    <w:nsid w:val="3CF65E56"/>
    <w:multiLevelType w:val="multilevel"/>
    <w:tmpl w:val="6074BA54"/>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D14750E"/>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outline w:val="0"/>
        <w:shadow w:val="0"/>
        <w:emboss w:val="0"/>
        <w:imprint w:val="0"/>
        <w:vanish w:val="0"/>
        <w:sz w:val="20"/>
        <w:vertAlign w:val="baseline"/>
      </w:rPr>
    </w:lvl>
  </w:abstractNum>
  <w:abstractNum w:abstractNumId="27">
    <w:nsid w:val="45BD1CE8"/>
    <w:multiLevelType w:val="singleLevel"/>
    <w:tmpl w:val="3A66CC42"/>
    <w:lvl w:ilvl="0">
      <w:start w:val="1"/>
      <w:numFmt w:val="bullet"/>
      <w:lvlText w:val=":"/>
      <w:lvlJc w:val="left"/>
      <w:pPr>
        <w:tabs>
          <w:tab w:val="num" w:pos="357"/>
        </w:tabs>
        <w:ind w:left="283" w:hanging="283"/>
      </w:pPr>
      <w:rPr>
        <w:rFonts w:ascii="Times New Roman" w:hAnsi="Times New Roman" w:hint="default"/>
        <w:caps w:val="0"/>
        <w:smallCaps w:val="0"/>
        <w:strike w:val="0"/>
        <w:dstrike w:val="0"/>
        <w:outline w:val="0"/>
        <w:shadow w:val="0"/>
        <w:emboss w:val="0"/>
        <w:imprint w:val="0"/>
        <w:vanish w:val="0"/>
        <w:sz w:val="20"/>
        <w:vertAlign w:val="baseline"/>
      </w:rPr>
    </w:lvl>
  </w:abstractNum>
  <w:abstractNum w:abstractNumId="28">
    <w:nsid w:val="4C5635BF"/>
    <w:multiLevelType w:val="multilevel"/>
    <w:tmpl w:val="880A5BE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EC400C9"/>
    <w:multiLevelType w:val="singleLevel"/>
    <w:tmpl w:val="98F43534"/>
    <w:lvl w:ilvl="0">
      <w:start w:val="1"/>
      <w:numFmt w:val="bullet"/>
      <w:lvlText w:val=""/>
      <w:lvlJc w:val="left"/>
      <w:pPr>
        <w:tabs>
          <w:tab w:val="num" w:pos="644"/>
        </w:tabs>
        <w:ind w:left="284" w:firstLine="0"/>
      </w:pPr>
      <w:rPr>
        <w:rFonts w:ascii="Symbol" w:hAnsi="Symbol" w:hint="default"/>
      </w:rPr>
    </w:lvl>
  </w:abstractNum>
  <w:abstractNum w:abstractNumId="30">
    <w:nsid w:val="5193406B"/>
    <w:multiLevelType w:val="singleLevel"/>
    <w:tmpl w:val="F1CA772E"/>
    <w:lvl w:ilvl="0">
      <w:start w:val="1"/>
      <w:numFmt w:val="decimal"/>
      <w:lvlText w:val="(%1)"/>
      <w:lvlJc w:val="left"/>
      <w:pPr>
        <w:tabs>
          <w:tab w:val="num" w:pos="360"/>
        </w:tabs>
        <w:ind w:left="360" w:hanging="360"/>
      </w:pPr>
      <w:rPr>
        <w:rFonts w:hint="default"/>
      </w:rPr>
    </w:lvl>
  </w:abstractNum>
  <w:abstractNum w:abstractNumId="31">
    <w:nsid w:val="547E38A7"/>
    <w:multiLevelType w:val="singleLevel"/>
    <w:tmpl w:val="84F6721A"/>
    <w:lvl w:ilvl="0">
      <w:start w:val="1"/>
      <w:numFmt w:val="bullet"/>
      <w:lvlText w:val=""/>
      <w:lvlJc w:val="left"/>
      <w:pPr>
        <w:tabs>
          <w:tab w:val="num" w:pos="646"/>
        </w:tabs>
        <w:ind w:left="283" w:firstLine="0"/>
      </w:pPr>
      <w:rPr>
        <w:rFonts w:ascii="Symbol" w:hAnsi="Symbol" w:hint="default"/>
        <w:sz w:val="16"/>
      </w:rPr>
    </w:lvl>
  </w:abstractNum>
  <w:abstractNum w:abstractNumId="32">
    <w:nsid w:val="5B33048F"/>
    <w:multiLevelType w:val="singleLevel"/>
    <w:tmpl w:val="C9986A86"/>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33">
    <w:nsid w:val="60A30A93"/>
    <w:multiLevelType w:val="singleLevel"/>
    <w:tmpl w:val="5A7493FC"/>
    <w:lvl w:ilvl="0">
      <w:start w:val="1"/>
      <w:numFmt w:val="bullet"/>
      <w:lvlText w:val=""/>
      <w:lvlJc w:val="left"/>
      <w:pPr>
        <w:tabs>
          <w:tab w:val="num" w:pos="360"/>
        </w:tabs>
        <w:ind w:left="284" w:hanging="284"/>
      </w:pPr>
      <w:rPr>
        <w:rFonts w:ascii="Symbol" w:hAnsi="Symbol" w:hint="default"/>
        <w:caps w:val="0"/>
        <w:strike w:val="0"/>
        <w:dstrike w:val="0"/>
        <w:outline w:val="0"/>
        <w:shadow w:val="0"/>
        <w:emboss w:val="0"/>
        <w:imprint w:val="0"/>
        <w:vanish w:val="0"/>
        <w:sz w:val="20"/>
        <w:vertAlign w:val="baseline"/>
      </w:rPr>
    </w:lvl>
  </w:abstractNum>
  <w:abstractNum w:abstractNumId="34">
    <w:nsid w:val="61AA731F"/>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35">
    <w:nsid w:val="621C1811"/>
    <w:multiLevelType w:val="singleLevel"/>
    <w:tmpl w:val="3E603EAC"/>
    <w:lvl w:ilvl="0">
      <w:start w:val="1"/>
      <w:numFmt w:val="bullet"/>
      <w:lvlText w:val=""/>
      <w:lvlJc w:val="left"/>
      <w:pPr>
        <w:tabs>
          <w:tab w:val="num" w:pos="644"/>
        </w:tabs>
        <w:ind w:left="284" w:firstLine="0"/>
      </w:pPr>
      <w:rPr>
        <w:rFonts w:ascii="Symbol" w:hAnsi="Symbol" w:hint="default"/>
      </w:rPr>
    </w:lvl>
  </w:abstractNum>
  <w:abstractNum w:abstractNumId="36">
    <w:nsid w:val="66022277"/>
    <w:multiLevelType w:val="singleLevel"/>
    <w:tmpl w:val="644063B8"/>
    <w:name w:val="StandardNumberedParagraphList"/>
    <w:lvl w:ilvl="0">
      <w:start w:val="1"/>
      <w:numFmt w:val="lowerLetter"/>
      <w:lvlRestart w:val="0"/>
      <w:lvlText w:val="(%1)"/>
      <w:lvlJc w:val="left"/>
      <w:pPr>
        <w:tabs>
          <w:tab w:val="num" w:pos="283"/>
        </w:tabs>
        <w:ind w:left="283" w:hanging="283"/>
      </w:pPr>
      <w:rPr>
        <w:rFonts w:ascii="Arial" w:hAnsi="Arial" w:hint="default"/>
      </w:rPr>
    </w:lvl>
  </w:abstractNum>
  <w:abstractNum w:abstractNumId="37">
    <w:nsid w:val="688B65E3"/>
    <w:multiLevelType w:val="singleLevel"/>
    <w:tmpl w:val="17D6EA24"/>
    <w:lvl w:ilvl="0">
      <w:start w:val="1"/>
      <w:numFmt w:val="bullet"/>
      <w:lvlText w:val=""/>
      <w:lvlJc w:val="left"/>
      <w:pPr>
        <w:tabs>
          <w:tab w:val="num" w:pos="357"/>
        </w:tabs>
        <w:ind w:left="283" w:hanging="283"/>
      </w:pPr>
      <w:rPr>
        <w:rFonts w:ascii="Symbol" w:hAnsi="Symbol" w:hint="default"/>
        <w:b w:val="0"/>
        <w:i w:val="0"/>
        <w:caps w:val="0"/>
        <w:smallCaps w:val="0"/>
        <w:strike w:val="0"/>
        <w:dstrike w:val="0"/>
        <w:outline w:val="0"/>
        <w:shadow w:val="0"/>
        <w:emboss w:val="0"/>
        <w:imprint w:val="0"/>
        <w:vanish w:val="0"/>
        <w:sz w:val="16"/>
        <w:u w:val="none"/>
        <w:vertAlign w:val="baseline"/>
      </w:rPr>
    </w:lvl>
  </w:abstractNum>
  <w:abstractNum w:abstractNumId="38">
    <w:nsid w:val="70A0748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39">
    <w:nsid w:val="73E439CC"/>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40">
    <w:nsid w:val="7401214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41">
    <w:nsid w:val="7B9B3620"/>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42">
    <w:nsid w:val="7F2501AC"/>
    <w:multiLevelType w:val="singleLevel"/>
    <w:tmpl w:val="E11C7A36"/>
    <w:lvl w:ilvl="0">
      <w:start w:val="1"/>
      <w:numFmt w:val="bullet"/>
      <w:lvlText w:val=""/>
      <w:lvlJc w:val="left"/>
      <w:pPr>
        <w:tabs>
          <w:tab w:val="num" w:pos="360"/>
        </w:tabs>
        <w:ind w:left="284" w:hanging="284"/>
      </w:pPr>
      <w:rPr>
        <w:rFonts w:ascii="Symbol" w:hAnsi="Symbol" w:hint="default"/>
        <w:caps w:val="0"/>
        <w:strike w:val="0"/>
        <w:dstrike w:val="0"/>
        <w:outline w:val="0"/>
        <w:shadow w:val="0"/>
        <w:emboss w:val="0"/>
        <w:imprint w:val="0"/>
        <w:vanish w:val="0"/>
        <w:sz w:val="20"/>
        <w:vertAlign w:val="baseline"/>
      </w:rPr>
    </w:lvl>
  </w:abstractNum>
  <w:abstractNum w:abstractNumId="43">
    <w:nsid w:val="7F9E35A3"/>
    <w:multiLevelType w:val="singleLevel"/>
    <w:tmpl w:val="04090019"/>
    <w:lvl w:ilvl="0">
      <w:start w:val="1"/>
      <w:numFmt w:val="lowerLetter"/>
      <w:lvlText w:val="(%1)"/>
      <w:lvlJc w:val="left"/>
      <w:pPr>
        <w:tabs>
          <w:tab w:val="num" w:pos="360"/>
        </w:tabs>
        <w:ind w:left="360" w:hanging="360"/>
      </w:pPr>
      <w:rPr>
        <w:rFonts w:hint="default"/>
      </w:rPr>
    </w:lvl>
  </w:abstractNum>
  <w:num w:numId="1">
    <w:abstractNumId w:val="33"/>
  </w:num>
  <w:num w:numId="2">
    <w:abstractNumId w:val="29"/>
  </w:num>
  <w:num w:numId="3">
    <w:abstractNumId w:val="20"/>
  </w:num>
  <w:num w:numId="4">
    <w:abstractNumId w:val="42"/>
  </w:num>
  <w:num w:numId="5">
    <w:abstractNumId w:val="12"/>
  </w:num>
  <w:num w:numId="6">
    <w:abstractNumId w:val="15"/>
  </w:num>
  <w:num w:numId="7">
    <w:abstractNumId w:val="19"/>
  </w:num>
  <w:num w:numId="8">
    <w:abstractNumId w:val="35"/>
  </w:num>
  <w:num w:numId="9">
    <w:abstractNumId w:val="38"/>
  </w:num>
  <w:num w:numId="10">
    <w:abstractNumId w:val="16"/>
  </w:num>
  <w:num w:numId="11">
    <w:abstractNumId w:val="34"/>
  </w:num>
  <w:num w:numId="12">
    <w:abstractNumId w:val="21"/>
  </w:num>
  <w:num w:numId="13">
    <w:abstractNumId w:val="41"/>
  </w:num>
  <w:num w:numId="14">
    <w:abstractNumId w:val="14"/>
  </w:num>
  <w:num w:numId="15">
    <w:abstractNumId w:val="2"/>
  </w:num>
  <w:num w:numId="16">
    <w:abstractNumId w:val="8"/>
  </w:num>
  <w:num w:numId="17">
    <w:abstractNumId w:val="32"/>
  </w:num>
  <w:num w:numId="18">
    <w:abstractNumId w:val="5"/>
  </w:num>
  <w:num w:numId="19">
    <w:abstractNumId w:val="27"/>
  </w:num>
  <w:num w:numId="20">
    <w:abstractNumId w:val="3"/>
  </w:num>
  <w:num w:numId="21">
    <w:abstractNumId w:val="7"/>
  </w:num>
  <w:num w:numId="22">
    <w:abstractNumId w:val="9"/>
  </w:num>
  <w:num w:numId="23">
    <w:abstractNumId w:val="23"/>
  </w:num>
  <w:num w:numId="24">
    <w:abstractNumId w:val="43"/>
  </w:num>
  <w:num w:numId="25">
    <w:abstractNumId w:val="17"/>
  </w:num>
  <w:num w:numId="26">
    <w:abstractNumId w:val="39"/>
  </w:num>
  <w:num w:numId="27">
    <w:abstractNumId w:val="4"/>
  </w:num>
  <w:num w:numId="28">
    <w:abstractNumId w:val="22"/>
  </w:num>
  <w:num w:numId="29">
    <w:abstractNumId w:val="18"/>
  </w:num>
  <w:num w:numId="30">
    <w:abstractNumId w:val="26"/>
  </w:num>
  <w:num w:numId="31">
    <w:abstractNumId w:val="40"/>
  </w:num>
  <w:num w:numId="32">
    <w:abstractNumId w:val="11"/>
  </w:num>
  <w:num w:numId="33">
    <w:abstractNumId w:val="31"/>
  </w:num>
  <w:num w:numId="34">
    <w:abstractNumId w:val="10"/>
  </w:num>
  <w:num w:numId="35">
    <w:abstractNumId w:val="6"/>
  </w:num>
  <w:num w:numId="36">
    <w:abstractNumId w:val="0"/>
  </w:num>
  <w:num w:numId="37">
    <w:abstractNumId w:val="13"/>
  </w:num>
  <w:num w:numId="38">
    <w:abstractNumId w:val="37"/>
  </w:num>
  <w:num w:numId="39">
    <w:abstractNumId w:val="36"/>
  </w:num>
  <w:num w:numId="40">
    <w:abstractNumId w:val="30"/>
  </w:num>
  <w:num w:numId="41">
    <w:abstractNumId w:val="24"/>
  </w:num>
  <w:num w:numId="42">
    <w:abstractNumId w:val="25"/>
  </w:num>
  <w:num w:numId="43">
    <w:abstractNumId w:val="28"/>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241665"/>
  </w:hdrShapeDefaults>
  <w:footnotePr>
    <w:footnote w:id="-1"/>
    <w:footnote w:id="0"/>
  </w:footnotePr>
  <w:endnotePr>
    <w:endnote w:id="-1"/>
    <w:endnote w:id="0"/>
  </w:endnotePr>
  <w:compat>
    <w:suppressTopSpacing/>
    <w:suppressSpBfAfterPgBr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True"/>
  </w:docVars>
  <w:rsids>
    <w:rsidRoot w:val="00981EE6"/>
    <w:rsid w:val="00000E3B"/>
    <w:rsid w:val="00000F89"/>
    <w:rsid w:val="0000168C"/>
    <w:rsid w:val="00001847"/>
    <w:rsid w:val="00001ECA"/>
    <w:rsid w:val="00001ED7"/>
    <w:rsid w:val="00001F20"/>
    <w:rsid w:val="00002B6E"/>
    <w:rsid w:val="000032D9"/>
    <w:rsid w:val="0000336A"/>
    <w:rsid w:val="00003654"/>
    <w:rsid w:val="0000396B"/>
    <w:rsid w:val="00003AB4"/>
    <w:rsid w:val="00003C84"/>
    <w:rsid w:val="00003D87"/>
    <w:rsid w:val="0000421E"/>
    <w:rsid w:val="000044D9"/>
    <w:rsid w:val="000048F1"/>
    <w:rsid w:val="00004D90"/>
    <w:rsid w:val="00004F72"/>
    <w:rsid w:val="000051F3"/>
    <w:rsid w:val="0000520C"/>
    <w:rsid w:val="00005608"/>
    <w:rsid w:val="000058E4"/>
    <w:rsid w:val="00005A9F"/>
    <w:rsid w:val="00005D3C"/>
    <w:rsid w:val="00006587"/>
    <w:rsid w:val="00006910"/>
    <w:rsid w:val="00006A6A"/>
    <w:rsid w:val="00006E4D"/>
    <w:rsid w:val="00007037"/>
    <w:rsid w:val="00007138"/>
    <w:rsid w:val="0000744F"/>
    <w:rsid w:val="00007475"/>
    <w:rsid w:val="0000776A"/>
    <w:rsid w:val="00007813"/>
    <w:rsid w:val="0000785F"/>
    <w:rsid w:val="00007DA9"/>
    <w:rsid w:val="0001006B"/>
    <w:rsid w:val="00010FD8"/>
    <w:rsid w:val="00011C71"/>
    <w:rsid w:val="00012264"/>
    <w:rsid w:val="0001236D"/>
    <w:rsid w:val="00012704"/>
    <w:rsid w:val="00012A49"/>
    <w:rsid w:val="00012B6C"/>
    <w:rsid w:val="00012B77"/>
    <w:rsid w:val="00012D40"/>
    <w:rsid w:val="0001312B"/>
    <w:rsid w:val="000133E2"/>
    <w:rsid w:val="000144FD"/>
    <w:rsid w:val="0001469E"/>
    <w:rsid w:val="00014D9D"/>
    <w:rsid w:val="00014F14"/>
    <w:rsid w:val="00015306"/>
    <w:rsid w:val="000154D0"/>
    <w:rsid w:val="0001590F"/>
    <w:rsid w:val="00015E50"/>
    <w:rsid w:val="000164DE"/>
    <w:rsid w:val="00016578"/>
    <w:rsid w:val="0001662D"/>
    <w:rsid w:val="00016694"/>
    <w:rsid w:val="00016799"/>
    <w:rsid w:val="000168A0"/>
    <w:rsid w:val="00017156"/>
    <w:rsid w:val="0001742B"/>
    <w:rsid w:val="00017A31"/>
    <w:rsid w:val="00017BF6"/>
    <w:rsid w:val="00017C34"/>
    <w:rsid w:val="00017F7B"/>
    <w:rsid w:val="00020529"/>
    <w:rsid w:val="000209D4"/>
    <w:rsid w:val="00020A12"/>
    <w:rsid w:val="00020BE0"/>
    <w:rsid w:val="00020C26"/>
    <w:rsid w:val="00020EF0"/>
    <w:rsid w:val="000215D4"/>
    <w:rsid w:val="00021D40"/>
    <w:rsid w:val="00021FD2"/>
    <w:rsid w:val="00022821"/>
    <w:rsid w:val="00022ABD"/>
    <w:rsid w:val="00022BBD"/>
    <w:rsid w:val="00022DE1"/>
    <w:rsid w:val="00023203"/>
    <w:rsid w:val="00023403"/>
    <w:rsid w:val="0002345B"/>
    <w:rsid w:val="000237FC"/>
    <w:rsid w:val="00025281"/>
    <w:rsid w:val="000258BF"/>
    <w:rsid w:val="000258CC"/>
    <w:rsid w:val="00025946"/>
    <w:rsid w:val="00025AF2"/>
    <w:rsid w:val="00026305"/>
    <w:rsid w:val="0002670C"/>
    <w:rsid w:val="000268F1"/>
    <w:rsid w:val="00026F4A"/>
    <w:rsid w:val="00027FED"/>
    <w:rsid w:val="0003024F"/>
    <w:rsid w:val="000304B6"/>
    <w:rsid w:val="00030895"/>
    <w:rsid w:val="00030A75"/>
    <w:rsid w:val="00030FEC"/>
    <w:rsid w:val="000312DD"/>
    <w:rsid w:val="000313E0"/>
    <w:rsid w:val="00031628"/>
    <w:rsid w:val="00031965"/>
    <w:rsid w:val="00031BB7"/>
    <w:rsid w:val="00031BF9"/>
    <w:rsid w:val="00032191"/>
    <w:rsid w:val="00032A80"/>
    <w:rsid w:val="000339CA"/>
    <w:rsid w:val="00033B05"/>
    <w:rsid w:val="00033D2A"/>
    <w:rsid w:val="00033DDD"/>
    <w:rsid w:val="0003423D"/>
    <w:rsid w:val="00034450"/>
    <w:rsid w:val="00034B13"/>
    <w:rsid w:val="00034D5E"/>
    <w:rsid w:val="000353BA"/>
    <w:rsid w:val="0003595A"/>
    <w:rsid w:val="00035C48"/>
    <w:rsid w:val="00035D8E"/>
    <w:rsid w:val="00035EA0"/>
    <w:rsid w:val="00035F8B"/>
    <w:rsid w:val="00035FCB"/>
    <w:rsid w:val="000360C1"/>
    <w:rsid w:val="000364AD"/>
    <w:rsid w:val="0003672D"/>
    <w:rsid w:val="00036879"/>
    <w:rsid w:val="00036EEC"/>
    <w:rsid w:val="000373FA"/>
    <w:rsid w:val="0003768F"/>
    <w:rsid w:val="0003784F"/>
    <w:rsid w:val="00037DDD"/>
    <w:rsid w:val="000401DE"/>
    <w:rsid w:val="000403CD"/>
    <w:rsid w:val="000405C7"/>
    <w:rsid w:val="0004081C"/>
    <w:rsid w:val="0004100A"/>
    <w:rsid w:val="000410EF"/>
    <w:rsid w:val="000419A9"/>
    <w:rsid w:val="00041AA5"/>
    <w:rsid w:val="000426EA"/>
    <w:rsid w:val="00042D41"/>
    <w:rsid w:val="00042E8C"/>
    <w:rsid w:val="000430A2"/>
    <w:rsid w:val="00043EBF"/>
    <w:rsid w:val="00044569"/>
    <w:rsid w:val="00044A73"/>
    <w:rsid w:val="0004510F"/>
    <w:rsid w:val="0004566C"/>
    <w:rsid w:val="000458F6"/>
    <w:rsid w:val="00045976"/>
    <w:rsid w:val="000459F5"/>
    <w:rsid w:val="00046D2C"/>
    <w:rsid w:val="0004725C"/>
    <w:rsid w:val="00047449"/>
    <w:rsid w:val="00047F8E"/>
    <w:rsid w:val="0005012C"/>
    <w:rsid w:val="000501DE"/>
    <w:rsid w:val="0005100D"/>
    <w:rsid w:val="000510A0"/>
    <w:rsid w:val="00051203"/>
    <w:rsid w:val="000516B9"/>
    <w:rsid w:val="00051A70"/>
    <w:rsid w:val="00052210"/>
    <w:rsid w:val="000523D3"/>
    <w:rsid w:val="00052D8C"/>
    <w:rsid w:val="00052EAF"/>
    <w:rsid w:val="0005334E"/>
    <w:rsid w:val="000534CA"/>
    <w:rsid w:val="000537A7"/>
    <w:rsid w:val="000537E4"/>
    <w:rsid w:val="0005389A"/>
    <w:rsid w:val="00053DC6"/>
    <w:rsid w:val="00053E4E"/>
    <w:rsid w:val="000544A2"/>
    <w:rsid w:val="00054888"/>
    <w:rsid w:val="000549BC"/>
    <w:rsid w:val="00054D0B"/>
    <w:rsid w:val="00055305"/>
    <w:rsid w:val="00055377"/>
    <w:rsid w:val="00055F8E"/>
    <w:rsid w:val="000561D9"/>
    <w:rsid w:val="0005639B"/>
    <w:rsid w:val="000566BD"/>
    <w:rsid w:val="000569C4"/>
    <w:rsid w:val="00056D2B"/>
    <w:rsid w:val="00056DD5"/>
    <w:rsid w:val="00056ECD"/>
    <w:rsid w:val="00056FA0"/>
    <w:rsid w:val="000570B8"/>
    <w:rsid w:val="00057219"/>
    <w:rsid w:val="00057619"/>
    <w:rsid w:val="00057FEB"/>
    <w:rsid w:val="000609E9"/>
    <w:rsid w:val="00061239"/>
    <w:rsid w:val="000617F6"/>
    <w:rsid w:val="000618C5"/>
    <w:rsid w:val="000619FA"/>
    <w:rsid w:val="00061E7E"/>
    <w:rsid w:val="00061F06"/>
    <w:rsid w:val="00062179"/>
    <w:rsid w:val="00062296"/>
    <w:rsid w:val="0006236F"/>
    <w:rsid w:val="0006295A"/>
    <w:rsid w:val="00062C40"/>
    <w:rsid w:val="00062DCE"/>
    <w:rsid w:val="00063A9F"/>
    <w:rsid w:val="00063FE2"/>
    <w:rsid w:val="00064071"/>
    <w:rsid w:val="00064179"/>
    <w:rsid w:val="00064748"/>
    <w:rsid w:val="00064AB4"/>
    <w:rsid w:val="00064B1F"/>
    <w:rsid w:val="000656FF"/>
    <w:rsid w:val="000657E9"/>
    <w:rsid w:val="00065811"/>
    <w:rsid w:val="00065CCB"/>
    <w:rsid w:val="00065D28"/>
    <w:rsid w:val="000660EC"/>
    <w:rsid w:val="000664B6"/>
    <w:rsid w:val="00066565"/>
    <w:rsid w:val="00066F39"/>
    <w:rsid w:val="00067383"/>
    <w:rsid w:val="000679BF"/>
    <w:rsid w:val="00067CA6"/>
    <w:rsid w:val="000703C8"/>
    <w:rsid w:val="000707BB"/>
    <w:rsid w:val="00070B41"/>
    <w:rsid w:val="00071129"/>
    <w:rsid w:val="00071AF8"/>
    <w:rsid w:val="00071D8C"/>
    <w:rsid w:val="00073003"/>
    <w:rsid w:val="000736F9"/>
    <w:rsid w:val="00073E40"/>
    <w:rsid w:val="00074186"/>
    <w:rsid w:val="00074216"/>
    <w:rsid w:val="0007428B"/>
    <w:rsid w:val="000742DD"/>
    <w:rsid w:val="0007438D"/>
    <w:rsid w:val="0007444C"/>
    <w:rsid w:val="0007453A"/>
    <w:rsid w:val="0007456F"/>
    <w:rsid w:val="000747B3"/>
    <w:rsid w:val="000753F5"/>
    <w:rsid w:val="00075889"/>
    <w:rsid w:val="000763A2"/>
    <w:rsid w:val="00076B12"/>
    <w:rsid w:val="00076B2B"/>
    <w:rsid w:val="00076EF4"/>
    <w:rsid w:val="000773F4"/>
    <w:rsid w:val="000779E7"/>
    <w:rsid w:val="0008026B"/>
    <w:rsid w:val="00080673"/>
    <w:rsid w:val="0008103D"/>
    <w:rsid w:val="00081333"/>
    <w:rsid w:val="0008183C"/>
    <w:rsid w:val="00081C5A"/>
    <w:rsid w:val="00082638"/>
    <w:rsid w:val="00082E6A"/>
    <w:rsid w:val="00083320"/>
    <w:rsid w:val="000839C7"/>
    <w:rsid w:val="00083DC9"/>
    <w:rsid w:val="00083EC2"/>
    <w:rsid w:val="00084887"/>
    <w:rsid w:val="00084AA3"/>
    <w:rsid w:val="00085741"/>
    <w:rsid w:val="00085D16"/>
    <w:rsid w:val="00085FEA"/>
    <w:rsid w:val="0008641A"/>
    <w:rsid w:val="000868D7"/>
    <w:rsid w:val="00086BDC"/>
    <w:rsid w:val="00086D25"/>
    <w:rsid w:val="00086D69"/>
    <w:rsid w:val="00087675"/>
    <w:rsid w:val="00090E63"/>
    <w:rsid w:val="0009108E"/>
    <w:rsid w:val="000911BE"/>
    <w:rsid w:val="000912DF"/>
    <w:rsid w:val="0009171F"/>
    <w:rsid w:val="000919AA"/>
    <w:rsid w:val="00091C2B"/>
    <w:rsid w:val="00091E39"/>
    <w:rsid w:val="00092818"/>
    <w:rsid w:val="00092E11"/>
    <w:rsid w:val="00092EFD"/>
    <w:rsid w:val="00093064"/>
    <w:rsid w:val="0009345A"/>
    <w:rsid w:val="000935EE"/>
    <w:rsid w:val="00093778"/>
    <w:rsid w:val="00093BC7"/>
    <w:rsid w:val="00094375"/>
    <w:rsid w:val="00094ABB"/>
    <w:rsid w:val="00095781"/>
    <w:rsid w:val="00095F2B"/>
    <w:rsid w:val="000962B5"/>
    <w:rsid w:val="000967A8"/>
    <w:rsid w:val="00096846"/>
    <w:rsid w:val="00096D8E"/>
    <w:rsid w:val="0009720F"/>
    <w:rsid w:val="00097478"/>
    <w:rsid w:val="00097551"/>
    <w:rsid w:val="0009771A"/>
    <w:rsid w:val="00097B8F"/>
    <w:rsid w:val="000A00EB"/>
    <w:rsid w:val="000A0B46"/>
    <w:rsid w:val="000A1249"/>
    <w:rsid w:val="000A1B48"/>
    <w:rsid w:val="000A1CA8"/>
    <w:rsid w:val="000A1E38"/>
    <w:rsid w:val="000A2E59"/>
    <w:rsid w:val="000A2F3B"/>
    <w:rsid w:val="000A3014"/>
    <w:rsid w:val="000A341E"/>
    <w:rsid w:val="000A351A"/>
    <w:rsid w:val="000A35C5"/>
    <w:rsid w:val="000A3E05"/>
    <w:rsid w:val="000A4079"/>
    <w:rsid w:val="000A4C88"/>
    <w:rsid w:val="000A52FF"/>
    <w:rsid w:val="000A53A4"/>
    <w:rsid w:val="000A541C"/>
    <w:rsid w:val="000A5514"/>
    <w:rsid w:val="000A590A"/>
    <w:rsid w:val="000A59D0"/>
    <w:rsid w:val="000A5E00"/>
    <w:rsid w:val="000A5F56"/>
    <w:rsid w:val="000A620D"/>
    <w:rsid w:val="000A6C7C"/>
    <w:rsid w:val="000A6E3C"/>
    <w:rsid w:val="000A7696"/>
    <w:rsid w:val="000A77F9"/>
    <w:rsid w:val="000A79FB"/>
    <w:rsid w:val="000B00A1"/>
    <w:rsid w:val="000B1DBB"/>
    <w:rsid w:val="000B1DEF"/>
    <w:rsid w:val="000B1FEF"/>
    <w:rsid w:val="000B2079"/>
    <w:rsid w:val="000B2636"/>
    <w:rsid w:val="000B2788"/>
    <w:rsid w:val="000B286A"/>
    <w:rsid w:val="000B2CCF"/>
    <w:rsid w:val="000B3011"/>
    <w:rsid w:val="000B3C04"/>
    <w:rsid w:val="000B3ED5"/>
    <w:rsid w:val="000B413C"/>
    <w:rsid w:val="000B4418"/>
    <w:rsid w:val="000B5084"/>
    <w:rsid w:val="000B5C5B"/>
    <w:rsid w:val="000B5ED5"/>
    <w:rsid w:val="000B6229"/>
    <w:rsid w:val="000B62E0"/>
    <w:rsid w:val="000B679B"/>
    <w:rsid w:val="000B67AB"/>
    <w:rsid w:val="000B6D16"/>
    <w:rsid w:val="000B6E9D"/>
    <w:rsid w:val="000B74B0"/>
    <w:rsid w:val="000C05BC"/>
    <w:rsid w:val="000C0C48"/>
    <w:rsid w:val="000C13C7"/>
    <w:rsid w:val="000C191E"/>
    <w:rsid w:val="000C1AF1"/>
    <w:rsid w:val="000C1EE1"/>
    <w:rsid w:val="000C212D"/>
    <w:rsid w:val="000C2181"/>
    <w:rsid w:val="000C218E"/>
    <w:rsid w:val="000C29AB"/>
    <w:rsid w:val="000C2E96"/>
    <w:rsid w:val="000C3083"/>
    <w:rsid w:val="000C3B3D"/>
    <w:rsid w:val="000C3CCF"/>
    <w:rsid w:val="000C3E1D"/>
    <w:rsid w:val="000C3F0A"/>
    <w:rsid w:val="000C4B88"/>
    <w:rsid w:val="000C4E37"/>
    <w:rsid w:val="000C4FF9"/>
    <w:rsid w:val="000C5211"/>
    <w:rsid w:val="000C54DC"/>
    <w:rsid w:val="000C596E"/>
    <w:rsid w:val="000C5A7B"/>
    <w:rsid w:val="000C5A98"/>
    <w:rsid w:val="000C61DD"/>
    <w:rsid w:val="000C6D74"/>
    <w:rsid w:val="000C740B"/>
    <w:rsid w:val="000C78F1"/>
    <w:rsid w:val="000C7B2E"/>
    <w:rsid w:val="000C7B94"/>
    <w:rsid w:val="000C7E81"/>
    <w:rsid w:val="000C7FCE"/>
    <w:rsid w:val="000D01E9"/>
    <w:rsid w:val="000D12E7"/>
    <w:rsid w:val="000D2038"/>
    <w:rsid w:val="000D21D4"/>
    <w:rsid w:val="000D27F6"/>
    <w:rsid w:val="000D2A4B"/>
    <w:rsid w:val="000D335F"/>
    <w:rsid w:val="000D3F3F"/>
    <w:rsid w:val="000D48F2"/>
    <w:rsid w:val="000D4A23"/>
    <w:rsid w:val="000D59D3"/>
    <w:rsid w:val="000D5CA0"/>
    <w:rsid w:val="000D5F9F"/>
    <w:rsid w:val="000D63AD"/>
    <w:rsid w:val="000D63DA"/>
    <w:rsid w:val="000D6430"/>
    <w:rsid w:val="000D66DB"/>
    <w:rsid w:val="000D6AA5"/>
    <w:rsid w:val="000D6D5A"/>
    <w:rsid w:val="000D6F29"/>
    <w:rsid w:val="000D73E5"/>
    <w:rsid w:val="000D7490"/>
    <w:rsid w:val="000D79EB"/>
    <w:rsid w:val="000D7D91"/>
    <w:rsid w:val="000E0420"/>
    <w:rsid w:val="000E06FF"/>
    <w:rsid w:val="000E08F9"/>
    <w:rsid w:val="000E1586"/>
    <w:rsid w:val="000E1758"/>
    <w:rsid w:val="000E1814"/>
    <w:rsid w:val="000E1BEF"/>
    <w:rsid w:val="000E1F95"/>
    <w:rsid w:val="000E20D7"/>
    <w:rsid w:val="000E23B5"/>
    <w:rsid w:val="000E24C2"/>
    <w:rsid w:val="000E3149"/>
    <w:rsid w:val="000E32E7"/>
    <w:rsid w:val="000E39CB"/>
    <w:rsid w:val="000E446B"/>
    <w:rsid w:val="000E4560"/>
    <w:rsid w:val="000E457E"/>
    <w:rsid w:val="000E4649"/>
    <w:rsid w:val="000E4655"/>
    <w:rsid w:val="000E4ECF"/>
    <w:rsid w:val="000E5DD8"/>
    <w:rsid w:val="000E60BD"/>
    <w:rsid w:val="000E676F"/>
    <w:rsid w:val="000E6802"/>
    <w:rsid w:val="000E6E1A"/>
    <w:rsid w:val="000E6EE6"/>
    <w:rsid w:val="000E7334"/>
    <w:rsid w:val="000E7D54"/>
    <w:rsid w:val="000F024D"/>
    <w:rsid w:val="000F0522"/>
    <w:rsid w:val="000F18A2"/>
    <w:rsid w:val="000F1C6E"/>
    <w:rsid w:val="000F212F"/>
    <w:rsid w:val="000F2232"/>
    <w:rsid w:val="000F246A"/>
    <w:rsid w:val="000F2749"/>
    <w:rsid w:val="000F2994"/>
    <w:rsid w:val="000F303D"/>
    <w:rsid w:val="000F30C2"/>
    <w:rsid w:val="000F3549"/>
    <w:rsid w:val="000F369B"/>
    <w:rsid w:val="000F3A10"/>
    <w:rsid w:val="000F3B9E"/>
    <w:rsid w:val="000F40BE"/>
    <w:rsid w:val="000F431C"/>
    <w:rsid w:val="000F4480"/>
    <w:rsid w:val="000F4AC6"/>
    <w:rsid w:val="000F4C12"/>
    <w:rsid w:val="000F5299"/>
    <w:rsid w:val="000F53FC"/>
    <w:rsid w:val="000F5600"/>
    <w:rsid w:val="000F59C1"/>
    <w:rsid w:val="000F59DC"/>
    <w:rsid w:val="000F5C54"/>
    <w:rsid w:val="000F5DFE"/>
    <w:rsid w:val="000F608E"/>
    <w:rsid w:val="000F6FBC"/>
    <w:rsid w:val="000F7767"/>
    <w:rsid w:val="000F7B6B"/>
    <w:rsid w:val="001002BA"/>
    <w:rsid w:val="00100C13"/>
    <w:rsid w:val="00100C44"/>
    <w:rsid w:val="00100CC8"/>
    <w:rsid w:val="0010113D"/>
    <w:rsid w:val="00101870"/>
    <w:rsid w:val="00101A29"/>
    <w:rsid w:val="00101C87"/>
    <w:rsid w:val="00101DE7"/>
    <w:rsid w:val="00101FBE"/>
    <w:rsid w:val="001020BD"/>
    <w:rsid w:val="001022EC"/>
    <w:rsid w:val="001028D9"/>
    <w:rsid w:val="00102AC8"/>
    <w:rsid w:val="00102F40"/>
    <w:rsid w:val="0010366A"/>
    <w:rsid w:val="00103CE5"/>
    <w:rsid w:val="001040A3"/>
    <w:rsid w:val="001043FB"/>
    <w:rsid w:val="0010446B"/>
    <w:rsid w:val="0010447D"/>
    <w:rsid w:val="0010466C"/>
    <w:rsid w:val="0010476D"/>
    <w:rsid w:val="001047B5"/>
    <w:rsid w:val="00104C74"/>
    <w:rsid w:val="00104F45"/>
    <w:rsid w:val="00104FD0"/>
    <w:rsid w:val="00105022"/>
    <w:rsid w:val="00105300"/>
    <w:rsid w:val="00105306"/>
    <w:rsid w:val="00105513"/>
    <w:rsid w:val="001058A9"/>
    <w:rsid w:val="00106AD7"/>
    <w:rsid w:val="001070BC"/>
    <w:rsid w:val="00107297"/>
    <w:rsid w:val="00107593"/>
    <w:rsid w:val="00107901"/>
    <w:rsid w:val="00107C65"/>
    <w:rsid w:val="00110E11"/>
    <w:rsid w:val="00110E60"/>
    <w:rsid w:val="00110F33"/>
    <w:rsid w:val="00111018"/>
    <w:rsid w:val="0011147D"/>
    <w:rsid w:val="001116C7"/>
    <w:rsid w:val="00111721"/>
    <w:rsid w:val="00111C85"/>
    <w:rsid w:val="00111EBC"/>
    <w:rsid w:val="0011200D"/>
    <w:rsid w:val="001121DD"/>
    <w:rsid w:val="001121E2"/>
    <w:rsid w:val="00112274"/>
    <w:rsid w:val="00112576"/>
    <w:rsid w:val="0011267F"/>
    <w:rsid w:val="00112D4D"/>
    <w:rsid w:val="00113519"/>
    <w:rsid w:val="00113590"/>
    <w:rsid w:val="001138AE"/>
    <w:rsid w:val="00114BBB"/>
    <w:rsid w:val="00115129"/>
    <w:rsid w:val="0011517C"/>
    <w:rsid w:val="001156FC"/>
    <w:rsid w:val="001157E3"/>
    <w:rsid w:val="00115AD5"/>
    <w:rsid w:val="00115F68"/>
    <w:rsid w:val="00116561"/>
    <w:rsid w:val="00116D4D"/>
    <w:rsid w:val="00116F5A"/>
    <w:rsid w:val="00116F8E"/>
    <w:rsid w:val="00117382"/>
    <w:rsid w:val="00117D6D"/>
    <w:rsid w:val="00117EFB"/>
    <w:rsid w:val="00120E68"/>
    <w:rsid w:val="001216D7"/>
    <w:rsid w:val="00121AC6"/>
    <w:rsid w:val="00122236"/>
    <w:rsid w:val="0012267C"/>
    <w:rsid w:val="00122747"/>
    <w:rsid w:val="00122CE8"/>
    <w:rsid w:val="00122CFE"/>
    <w:rsid w:val="00122EFA"/>
    <w:rsid w:val="00123AF5"/>
    <w:rsid w:val="00123C56"/>
    <w:rsid w:val="00123F25"/>
    <w:rsid w:val="00124243"/>
    <w:rsid w:val="001255A6"/>
    <w:rsid w:val="0012560B"/>
    <w:rsid w:val="00125CC7"/>
    <w:rsid w:val="00125E26"/>
    <w:rsid w:val="001260CC"/>
    <w:rsid w:val="00126C9C"/>
    <w:rsid w:val="00126EEE"/>
    <w:rsid w:val="001270BC"/>
    <w:rsid w:val="0012767B"/>
    <w:rsid w:val="00130221"/>
    <w:rsid w:val="00131171"/>
    <w:rsid w:val="001311BF"/>
    <w:rsid w:val="00131818"/>
    <w:rsid w:val="00132233"/>
    <w:rsid w:val="0013229B"/>
    <w:rsid w:val="00132839"/>
    <w:rsid w:val="00132C59"/>
    <w:rsid w:val="001334AE"/>
    <w:rsid w:val="001338A1"/>
    <w:rsid w:val="00133985"/>
    <w:rsid w:val="001339AC"/>
    <w:rsid w:val="00133E4A"/>
    <w:rsid w:val="00133FE3"/>
    <w:rsid w:val="00134230"/>
    <w:rsid w:val="0013428E"/>
    <w:rsid w:val="0013465B"/>
    <w:rsid w:val="00134663"/>
    <w:rsid w:val="00134AEA"/>
    <w:rsid w:val="0013558E"/>
    <w:rsid w:val="001355E1"/>
    <w:rsid w:val="00135FBC"/>
    <w:rsid w:val="00136BFF"/>
    <w:rsid w:val="001370DE"/>
    <w:rsid w:val="001373BC"/>
    <w:rsid w:val="001376F7"/>
    <w:rsid w:val="00137B03"/>
    <w:rsid w:val="00137DB7"/>
    <w:rsid w:val="00137E4E"/>
    <w:rsid w:val="00137FBF"/>
    <w:rsid w:val="00140023"/>
    <w:rsid w:val="001409D0"/>
    <w:rsid w:val="00140C94"/>
    <w:rsid w:val="00141451"/>
    <w:rsid w:val="00141DEC"/>
    <w:rsid w:val="00142CB5"/>
    <w:rsid w:val="00142CCD"/>
    <w:rsid w:val="00142CE6"/>
    <w:rsid w:val="00143138"/>
    <w:rsid w:val="001436EB"/>
    <w:rsid w:val="001437D5"/>
    <w:rsid w:val="001440B4"/>
    <w:rsid w:val="00144455"/>
    <w:rsid w:val="00144866"/>
    <w:rsid w:val="0014491F"/>
    <w:rsid w:val="00145115"/>
    <w:rsid w:val="001459BF"/>
    <w:rsid w:val="00145ACD"/>
    <w:rsid w:val="00145F56"/>
    <w:rsid w:val="00146192"/>
    <w:rsid w:val="001469B0"/>
    <w:rsid w:val="00146B6B"/>
    <w:rsid w:val="00147314"/>
    <w:rsid w:val="00147841"/>
    <w:rsid w:val="00147AF3"/>
    <w:rsid w:val="00147E10"/>
    <w:rsid w:val="00147EEC"/>
    <w:rsid w:val="00150650"/>
    <w:rsid w:val="00150B9F"/>
    <w:rsid w:val="00151150"/>
    <w:rsid w:val="001515AC"/>
    <w:rsid w:val="00151833"/>
    <w:rsid w:val="001518AF"/>
    <w:rsid w:val="00151958"/>
    <w:rsid w:val="00152144"/>
    <w:rsid w:val="00152592"/>
    <w:rsid w:val="001527DC"/>
    <w:rsid w:val="0015290B"/>
    <w:rsid w:val="00152F4F"/>
    <w:rsid w:val="00153069"/>
    <w:rsid w:val="00153940"/>
    <w:rsid w:val="00154110"/>
    <w:rsid w:val="00154807"/>
    <w:rsid w:val="0015540F"/>
    <w:rsid w:val="001561EB"/>
    <w:rsid w:val="001571E2"/>
    <w:rsid w:val="001577EB"/>
    <w:rsid w:val="001578A8"/>
    <w:rsid w:val="00157F35"/>
    <w:rsid w:val="00160830"/>
    <w:rsid w:val="00160EFE"/>
    <w:rsid w:val="00161069"/>
    <w:rsid w:val="0016111C"/>
    <w:rsid w:val="00161A99"/>
    <w:rsid w:val="00161F84"/>
    <w:rsid w:val="00162046"/>
    <w:rsid w:val="00162649"/>
    <w:rsid w:val="0016298D"/>
    <w:rsid w:val="00162B76"/>
    <w:rsid w:val="0016342F"/>
    <w:rsid w:val="0016399F"/>
    <w:rsid w:val="00163ABD"/>
    <w:rsid w:val="00163E47"/>
    <w:rsid w:val="001641BC"/>
    <w:rsid w:val="00164316"/>
    <w:rsid w:val="001647A1"/>
    <w:rsid w:val="001648FE"/>
    <w:rsid w:val="00164AE8"/>
    <w:rsid w:val="00164C98"/>
    <w:rsid w:val="001652F2"/>
    <w:rsid w:val="001654A9"/>
    <w:rsid w:val="00165860"/>
    <w:rsid w:val="00165CDE"/>
    <w:rsid w:val="00166576"/>
    <w:rsid w:val="001672F6"/>
    <w:rsid w:val="00167EA5"/>
    <w:rsid w:val="0017044D"/>
    <w:rsid w:val="00170868"/>
    <w:rsid w:val="0017192A"/>
    <w:rsid w:val="00171930"/>
    <w:rsid w:val="00171A03"/>
    <w:rsid w:val="001720C8"/>
    <w:rsid w:val="001724FC"/>
    <w:rsid w:val="00172A53"/>
    <w:rsid w:val="00172A57"/>
    <w:rsid w:val="001734AE"/>
    <w:rsid w:val="00173AFD"/>
    <w:rsid w:val="001740DF"/>
    <w:rsid w:val="00174351"/>
    <w:rsid w:val="00174563"/>
    <w:rsid w:val="00174D62"/>
    <w:rsid w:val="00175934"/>
    <w:rsid w:val="00175C6B"/>
    <w:rsid w:val="00176100"/>
    <w:rsid w:val="001763B9"/>
    <w:rsid w:val="00176700"/>
    <w:rsid w:val="001769D4"/>
    <w:rsid w:val="00176D3E"/>
    <w:rsid w:val="001771F7"/>
    <w:rsid w:val="00177899"/>
    <w:rsid w:val="00177A89"/>
    <w:rsid w:val="00180213"/>
    <w:rsid w:val="00180A6F"/>
    <w:rsid w:val="00180BC5"/>
    <w:rsid w:val="001814C4"/>
    <w:rsid w:val="0018175C"/>
    <w:rsid w:val="0018269D"/>
    <w:rsid w:val="00182BE5"/>
    <w:rsid w:val="00182FEC"/>
    <w:rsid w:val="00183791"/>
    <w:rsid w:val="001839A5"/>
    <w:rsid w:val="00183BE1"/>
    <w:rsid w:val="00184161"/>
    <w:rsid w:val="0018431A"/>
    <w:rsid w:val="001844AA"/>
    <w:rsid w:val="00184C5F"/>
    <w:rsid w:val="00184E3D"/>
    <w:rsid w:val="00184FBD"/>
    <w:rsid w:val="00184FF7"/>
    <w:rsid w:val="001850CB"/>
    <w:rsid w:val="001850FF"/>
    <w:rsid w:val="00185794"/>
    <w:rsid w:val="0018588F"/>
    <w:rsid w:val="00185DA7"/>
    <w:rsid w:val="00185FEA"/>
    <w:rsid w:val="00186A5A"/>
    <w:rsid w:val="001902A1"/>
    <w:rsid w:val="00190428"/>
    <w:rsid w:val="0019086F"/>
    <w:rsid w:val="001908CC"/>
    <w:rsid w:val="00190BEC"/>
    <w:rsid w:val="00190C8D"/>
    <w:rsid w:val="00190D6F"/>
    <w:rsid w:val="0019163C"/>
    <w:rsid w:val="00191D10"/>
    <w:rsid w:val="00191E76"/>
    <w:rsid w:val="001928FD"/>
    <w:rsid w:val="00192B96"/>
    <w:rsid w:val="00192EC8"/>
    <w:rsid w:val="00192F45"/>
    <w:rsid w:val="00193482"/>
    <w:rsid w:val="001937D4"/>
    <w:rsid w:val="001937F9"/>
    <w:rsid w:val="00193846"/>
    <w:rsid w:val="00193BA0"/>
    <w:rsid w:val="00194364"/>
    <w:rsid w:val="0019482D"/>
    <w:rsid w:val="00194A9B"/>
    <w:rsid w:val="00194B60"/>
    <w:rsid w:val="00195060"/>
    <w:rsid w:val="00195218"/>
    <w:rsid w:val="001954D2"/>
    <w:rsid w:val="0019582D"/>
    <w:rsid w:val="00195D78"/>
    <w:rsid w:val="001963AD"/>
    <w:rsid w:val="00196498"/>
    <w:rsid w:val="001966BE"/>
    <w:rsid w:val="00197163"/>
    <w:rsid w:val="001971D5"/>
    <w:rsid w:val="00197F16"/>
    <w:rsid w:val="001A08AA"/>
    <w:rsid w:val="001A0C7E"/>
    <w:rsid w:val="001A0DC9"/>
    <w:rsid w:val="001A0F83"/>
    <w:rsid w:val="001A1408"/>
    <w:rsid w:val="001A14A8"/>
    <w:rsid w:val="001A1678"/>
    <w:rsid w:val="001A1B95"/>
    <w:rsid w:val="001A1C88"/>
    <w:rsid w:val="001A1E6F"/>
    <w:rsid w:val="001A2128"/>
    <w:rsid w:val="001A2430"/>
    <w:rsid w:val="001A246E"/>
    <w:rsid w:val="001A2488"/>
    <w:rsid w:val="001A2F84"/>
    <w:rsid w:val="001A3014"/>
    <w:rsid w:val="001A32A6"/>
    <w:rsid w:val="001A3532"/>
    <w:rsid w:val="001A3755"/>
    <w:rsid w:val="001A3AAA"/>
    <w:rsid w:val="001A40C2"/>
    <w:rsid w:val="001A4307"/>
    <w:rsid w:val="001A43BF"/>
    <w:rsid w:val="001A474C"/>
    <w:rsid w:val="001A4774"/>
    <w:rsid w:val="001A4801"/>
    <w:rsid w:val="001A4888"/>
    <w:rsid w:val="001A6537"/>
    <w:rsid w:val="001A6734"/>
    <w:rsid w:val="001A68C2"/>
    <w:rsid w:val="001A6DA3"/>
    <w:rsid w:val="001A71B5"/>
    <w:rsid w:val="001A7540"/>
    <w:rsid w:val="001A7754"/>
    <w:rsid w:val="001A7EE0"/>
    <w:rsid w:val="001B0055"/>
    <w:rsid w:val="001B0169"/>
    <w:rsid w:val="001B046D"/>
    <w:rsid w:val="001B08FF"/>
    <w:rsid w:val="001B0E64"/>
    <w:rsid w:val="001B0FCC"/>
    <w:rsid w:val="001B127E"/>
    <w:rsid w:val="001B175E"/>
    <w:rsid w:val="001B22DE"/>
    <w:rsid w:val="001B29DC"/>
    <w:rsid w:val="001B2C06"/>
    <w:rsid w:val="001B353B"/>
    <w:rsid w:val="001B372F"/>
    <w:rsid w:val="001B3FE1"/>
    <w:rsid w:val="001B4CAC"/>
    <w:rsid w:val="001B4E1C"/>
    <w:rsid w:val="001B4E89"/>
    <w:rsid w:val="001B4F4D"/>
    <w:rsid w:val="001B55F4"/>
    <w:rsid w:val="001B55FE"/>
    <w:rsid w:val="001B573B"/>
    <w:rsid w:val="001B5C13"/>
    <w:rsid w:val="001B5E8C"/>
    <w:rsid w:val="001B5F39"/>
    <w:rsid w:val="001B604C"/>
    <w:rsid w:val="001B61EC"/>
    <w:rsid w:val="001B6400"/>
    <w:rsid w:val="001B6598"/>
    <w:rsid w:val="001B6765"/>
    <w:rsid w:val="001B6DBD"/>
    <w:rsid w:val="001B70D9"/>
    <w:rsid w:val="001B7970"/>
    <w:rsid w:val="001B7B5E"/>
    <w:rsid w:val="001C0875"/>
    <w:rsid w:val="001C0A89"/>
    <w:rsid w:val="001C0C34"/>
    <w:rsid w:val="001C0EEA"/>
    <w:rsid w:val="001C13C2"/>
    <w:rsid w:val="001C16A0"/>
    <w:rsid w:val="001C1AF3"/>
    <w:rsid w:val="001C1B89"/>
    <w:rsid w:val="001C1DD8"/>
    <w:rsid w:val="001C2299"/>
    <w:rsid w:val="001C2A96"/>
    <w:rsid w:val="001C3896"/>
    <w:rsid w:val="001C3D6E"/>
    <w:rsid w:val="001C3E87"/>
    <w:rsid w:val="001C4277"/>
    <w:rsid w:val="001C43DD"/>
    <w:rsid w:val="001C4BB4"/>
    <w:rsid w:val="001C4CF6"/>
    <w:rsid w:val="001C4D67"/>
    <w:rsid w:val="001C4F40"/>
    <w:rsid w:val="001C520E"/>
    <w:rsid w:val="001C5CC5"/>
    <w:rsid w:val="001C64DA"/>
    <w:rsid w:val="001C6861"/>
    <w:rsid w:val="001C6DA8"/>
    <w:rsid w:val="001C7606"/>
    <w:rsid w:val="001C79F3"/>
    <w:rsid w:val="001D034C"/>
    <w:rsid w:val="001D0350"/>
    <w:rsid w:val="001D052C"/>
    <w:rsid w:val="001D06F2"/>
    <w:rsid w:val="001D0BC0"/>
    <w:rsid w:val="001D1223"/>
    <w:rsid w:val="001D122E"/>
    <w:rsid w:val="001D15C4"/>
    <w:rsid w:val="001D170A"/>
    <w:rsid w:val="001D1D4F"/>
    <w:rsid w:val="001D1DAA"/>
    <w:rsid w:val="001D1EC1"/>
    <w:rsid w:val="001D3124"/>
    <w:rsid w:val="001D318D"/>
    <w:rsid w:val="001D35AA"/>
    <w:rsid w:val="001D372E"/>
    <w:rsid w:val="001D3CC0"/>
    <w:rsid w:val="001D4E61"/>
    <w:rsid w:val="001D4E67"/>
    <w:rsid w:val="001D505A"/>
    <w:rsid w:val="001D56BF"/>
    <w:rsid w:val="001D5775"/>
    <w:rsid w:val="001D5A2A"/>
    <w:rsid w:val="001D5ADC"/>
    <w:rsid w:val="001D5C7B"/>
    <w:rsid w:val="001D5EA6"/>
    <w:rsid w:val="001D6453"/>
    <w:rsid w:val="001D749E"/>
    <w:rsid w:val="001D7A21"/>
    <w:rsid w:val="001E01BD"/>
    <w:rsid w:val="001E02C4"/>
    <w:rsid w:val="001E02EC"/>
    <w:rsid w:val="001E06F7"/>
    <w:rsid w:val="001E098E"/>
    <w:rsid w:val="001E1202"/>
    <w:rsid w:val="001E12A8"/>
    <w:rsid w:val="001E16CF"/>
    <w:rsid w:val="001E1860"/>
    <w:rsid w:val="001E1A5B"/>
    <w:rsid w:val="001E1D32"/>
    <w:rsid w:val="001E21DB"/>
    <w:rsid w:val="001E234F"/>
    <w:rsid w:val="001E2971"/>
    <w:rsid w:val="001E2C8C"/>
    <w:rsid w:val="001E2DFD"/>
    <w:rsid w:val="001E31BA"/>
    <w:rsid w:val="001E3D6E"/>
    <w:rsid w:val="001E41D6"/>
    <w:rsid w:val="001E47F3"/>
    <w:rsid w:val="001E4D11"/>
    <w:rsid w:val="001E4EF3"/>
    <w:rsid w:val="001E5878"/>
    <w:rsid w:val="001E6493"/>
    <w:rsid w:val="001E6967"/>
    <w:rsid w:val="001E6E6B"/>
    <w:rsid w:val="001E723F"/>
    <w:rsid w:val="001E79AA"/>
    <w:rsid w:val="001E7E88"/>
    <w:rsid w:val="001E7ED7"/>
    <w:rsid w:val="001F0384"/>
    <w:rsid w:val="001F099D"/>
    <w:rsid w:val="001F0AF0"/>
    <w:rsid w:val="001F0B75"/>
    <w:rsid w:val="001F100E"/>
    <w:rsid w:val="001F1298"/>
    <w:rsid w:val="001F133A"/>
    <w:rsid w:val="001F1719"/>
    <w:rsid w:val="001F17AF"/>
    <w:rsid w:val="001F18CE"/>
    <w:rsid w:val="001F1C53"/>
    <w:rsid w:val="001F23AE"/>
    <w:rsid w:val="001F4E9F"/>
    <w:rsid w:val="001F5F51"/>
    <w:rsid w:val="001F64A6"/>
    <w:rsid w:val="001F6881"/>
    <w:rsid w:val="001F6A86"/>
    <w:rsid w:val="001F6B2C"/>
    <w:rsid w:val="001F6BC4"/>
    <w:rsid w:val="001F7193"/>
    <w:rsid w:val="001F72DE"/>
    <w:rsid w:val="001F783E"/>
    <w:rsid w:val="001F79AC"/>
    <w:rsid w:val="00201146"/>
    <w:rsid w:val="00201224"/>
    <w:rsid w:val="00201370"/>
    <w:rsid w:val="00201932"/>
    <w:rsid w:val="002019E6"/>
    <w:rsid w:val="00201C89"/>
    <w:rsid w:val="00201ED5"/>
    <w:rsid w:val="002020D5"/>
    <w:rsid w:val="0020347C"/>
    <w:rsid w:val="00203901"/>
    <w:rsid w:val="00203AF4"/>
    <w:rsid w:val="00203B13"/>
    <w:rsid w:val="0020425D"/>
    <w:rsid w:val="00204936"/>
    <w:rsid w:val="00204DD1"/>
    <w:rsid w:val="00205469"/>
    <w:rsid w:val="002057EB"/>
    <w:rsid w:val="00205831"/>
    <w:rsid w:val="002059DC"/>
    <w:rsid w:val="00206663"/>
    <w:rsid w:val="00206876"/>
    <w:rsid w:val="00206D9B"/>
    <w:rsid w:val="00207323"/>
    <w:rsid w:val="00207765"/>
    <w:rsid w:val="00207AE5"/>
    <w:rsid w:val="00207D99"/>
    <w:rsid w:val="00210019"/>
    <w:rsid w:val="00210627"/>
    <w:rsid w:val="00210C3C"/>
    <w:rsid w:val="0021121D"/>
    <w:rsid w:val="0021228C"/>
    <w:rsid w:val="0021244C"/>
    <w:rsid w:val="002124A9"/>
    <w:rsid w:val="002125DE"/>
    <w:rsid w:val="002128D6"/>
    <w:rsid w:val="00212ADD"/>
    <w:rsid w:val="00212CA9"/>
    <w:rsid w:val="00212F0F"/>
    <w:rsid w:val="002134BC"/>
    <w:rsid w:val="00213B70"/>
    <w:rsid w:val="00213C29"/>
    <w:rsid w:val="00213C62"/>
    <w:rsid w:val="00214453"/>
    <w:rsid w:val="0021508E"/>
    <w:rsid w:val="002155F4"/>
    <w:rsid w:val="0021603A"/>
    <w:rsid w:val="00216767"/>
    <w:rsid w:val="002169C5"/>
    <w:rsid w:val="00216C30"/>
    <w:rsid w:val="00217722"/>
    <w:rsid w:val="002179EA"/>
    <w:rsid w:val="00217B46"/>
    <w:rsid w:val="00220229"/>
    <w:rsid w:val="00220237"/>
    <w:rsid w:val="002203F0"/>
    <w:rsid w:val="00220690"/>
    <w:rsid w:val="0022086A"/>
    <w:rsid w:val="0022108D"/>
    <w:rsid w:val="00221519"/>
    <w:rsid w:val="0022163F"/>
    <w:rsid w:val="00221CCD"/>
    <w:rsid w:val="00221DD8"/>
    <w:rsid w:val="00222746"/>
    <w:rsid w:val="0022289A"/>
    <w:rsid w:val="00223045"/>
    <w:rsid w:val="002234D3"/>
    <w:rsid w:val="002237FE"/>
    <w:rsid w:val="002238A2"/>
    <w:rsid w:val="0022412C"/>
    <w:rsid w:val="002241D9"/>
    <w:rsid w:val="00224407"/>
    <w:rsid w:val="0022440C"/>
    <w:rsid w:val="00224D22"/>
    <w:rsid w:val="00225149"/>
    <w:rsid w:val="002256E7"/>
    <w:rsid w:val="002259EA"/>
    <w:rsid w:val="00226397"/>
    <w:rsid w:val="002267E4"/>
    <w:rsid w:val="00226CB5"/>
    <w:rsid w:val="00226EBA"/>
    <w:rsid w:val="002271E7"/>
    <w:rsid w:val="00227ABC"/>
    <w:rsid w:val="0023006E"/>
    <w:rsid w:val="002308F0"/>
    <w:rsid w:val="00230ED9"/>
    <w:rsid w:val="00231228"/>
    <w:rsid w:val="0023150F"/>
    <w:rsid w:val="00231C43"/>
    <w:rsid w:val="00231CAF"/>
    <w:rsid w:val="00231DAB"/>
    <w:rsid w:val="002320EF"/>
    <w:rsid w:val="00232184"/>
    <w:rsid w:val="00232A93"/>
    <w:rsid w:val="00233109"/>
    <w:rsid w:val="00233267"/>
    <w:rsid w:val="0023378D"/>
    <w:rsid w:val="002344D1"/>
    <w:rsid w:val="00234998"/>
    <w:rsid w:val="00234D4B"/>
    <w:rsid w:val="0023557E"/>
    <w:rsid w:val="00235759"/>
    <w:rsid w:val="00235DC0"/>
    <w:rsid w:val="002366BD"/>
    <w:rsid w:val="00236852"/>
    <w:rsid w:val="002369A3"/>
    <w:rsid w:val="00236B0C"/>
    <w:rsid w:val="00237635"/>
    <w:rsid w:val="00237A1E"/>
    <w:rsid w:val="00237B5E"/>
    <w:rsid w:val="00237BA9"/>
    <w:rsid w:val="00240155"/>
    <w:rsid w:val="00240A1D"/>
    <w:rsid w:val="00241B19"/>
    <w:rsid w:val="00241BB5"/>
    <w:rsid w:val="00242470"/>
    <w:rsid w:val="002425BE"/>
    <w:rsid w:val="002426CB"/>
    <w:rsid w:val="0024287D"/>
    <w:rsid w:val="00242CEE"/>
    <w:rsid w:val="00243506"/>
    <w:rsid w:val="00243964"/>
    <w:rsid w:val="00243B7C"/>
    <w:rsid w:val="00243C9D"/>
    <w:rsid w:val="002446F9"/>
    <w:rsid w:val="00244FF9"/>
    <w:rsid w:val="00245046"/>
    <w:rsid w:val="002451FA"/>
    <w:rsid w:val="00245211"/>
    <w:rsid w:val="00245339"/>
    <w:rsid w:val="00245C33"/>
    <w:rsid w:val="002460DD"/>
    <w:rsid w:val="002462F1"/>
    <w:rsid w:val="00246F35"/>
    <w:rsid w:val="002471EC"/>
    <w:rsid w:val="002478FF"/>
    <w:rsid w:val="002501F1"/>
    <w:rsid w:val="002502F9"/>
    <w:rsid w:val="00250634"/>
    <w:rsid w:val="0025082F"/>
    <w:rsid w:val="00250ADF"/>
    <w:rsid w:val="0025101E"/>
    <w:rsid w:val="002516B1"/>
    <w:rsid w:val="00251CAC"/>
    <w:rsid w:val="00252704"/>
    <w:rsid w:val="00252A89"/>
    <w:rsid w:val="00252DCD"/>
    <w:rsid w:val="00252E8E"/>
    <w:rsid w:val="00253393"/>
    <w:rsid w:val="00253655"/>
    <w:rsid w:val="00253994"/>
    <w:rsid w:val="00253E0D"/>
    <w:rsid w:val="00253F78"/>
    <w:rsid w:val="00254068"/>
    <w:rsid w:val="00254337"/>
    <w:rsid w:val="002543DA"/>
    <w:rsid w:val="0025454A"/>
    <w:rsid w:val="002546A6"/>
    <w:rsid w:val="0025492C"/>
    <w:rsid w:val="00254ADC"/>
    <w:rsid w:val="00254CFE"/>
    <w:rsid w:val="00254E89"/>
    <w:rsid w:val="002550A9"/>
    <w:rsid w:val="002556B2"/>
    <w:rsid w:val="00255A0A"/>
    <w:rsid w:val="00256279"/>
    <w:rsid w:val="00256573"/>
    <w:rsid w:val="002565B6"/>
    <w:rsid w:val="00256983"/>
    <w:rsid w:val="002571F3"/>
    <w:rsid w:val="0025799B"/>
    <w:rsid w:val="00257A2D"/>
    <w:rsid w:val="00257B0C"/>
    <w:rsid w:val="00257C51"/>
    <w:rsid w:val="00257E74"/>
    <w:rsid w:val="002602DC"/>
    <w:rsid w:val="00260371"/>
    <w:rsid w:val="00260428"/>
    <w:rsid w:val="002608C9"/>
    <w:rsid w:val="00260AFE"/>
    <w:rsid w:val="00260C01"/>
    <w:rsid w:val="00261200"/>
    <w:rsid w:val="00261478"/>
    <w:rsid w:val="0026167C"/>
    <w:rsid w:val="00261CC1"/>
    <w:rsid w:val="0026247A"/>
    <w:rsid w:val="00263767"/>
    <w:rsid w:val="00263B3E"/>
    <w:rsid w:val="00263DF0"/>
    <w:rsid w:val="002643BE"/>
    <w:rsid w:val="00264992"/>
    <w:rsid w:val="00264BF5"/>
    <w:rsid w:val="00264F69"/>
    <w:rsid w:val="00265379"/>
    <w:rsid w:val="00265494"/>
    <w:rsid w:val="00265C5F"/>
    <w:rsid w:val="0026606D"/>
    <w:rsid w:val="002660ED"/>
    <w:rsid w:val="0026620E"/>
    <w:rsid w:val="0026661D"/>
    <w:rsid w:val="002670A4"/>
    <w:rsid w:val="00267168"/>
    <w:rsid w:val="0027087A"/>
    <w:rsid w:val="00270F5E"/>
    <w:rsid w:val="00271494"/>
    <w:rsid w:val="002714BA"/>
    <w:rsid w:val="0027160A"/>
    <w:rsid w:val="00271C65"/>
    <w:rsid w:val="00272246"/>
    <w:rsid w:val="00272443"/>
    <w:rsid w:val="002726FA"/>
    <w:rsid w:val="002728E7"/>
    <w:rsid w:val="00272A1D"/>
    <w:rsid w:val="00272A51"/>
    <w:rsid w:val="00272F28"/>
    <w:rsid w:val="0027352A"/>
    <w:rsid w:val="002739C4"/>
    <w:rsid w:val="00273A21"/>
    <w:rsid w:val="002741C2"/>
    <w:rsid w:val="0027461D"/>
    <w:rsid w:val="0027465D"/>
    <w:rsid w:val="00274997"/>
    <w:rsid w:val="002749BA"/>
    <w:rsid w:val="00274A9B"/>
    <w:rsid w:val="00274B47"/>
    <w:rsid w:val="00274BA3"/>
    <w:rsid w:val="00274FDD"/>
    <w:rsid w:val="002750F9"/>
    <w:rsid w:val="00275740"/>
    <w:rsid w:val="002766ED"/>
    <w:rsid w:val="00276BD4"/>
    <w:rsid w:val="00276D87"/>
    <w:rsid w:val="002775DA"/>
    <w:rsid w:val="002779E9"/>
    <w:rsid w:val="00277B03"/>
    <w:rsid w:val="00280408"/>
    <w:rsid w:val="002807E3"/>
    <w:rsid w:val="00280EEC"/>
    <w:rsid w:val="0028117F"/>
    <w:rsid w:val="00281343"/>
    <w:rsid w:val="00281466"/>
    <w:rsid w:val="00281543"/>
    <w:rsid w:val="00281BDD"/>
    <w:rsid w:val="00281D69"/>
    <w:rsid w:val="0028263C"/>
    <w:rsid w:val="002827A1"/>
    <w:rsid w:val="00282DF2"/>
    <w:rsid w:val="00282F6A"/>
    <w:rsid w:val="002831FB"/>
    <w:rsid w:val="00283701"/>
    <w:rsid w:val="00283C45"/>
    <w:rsid w:val="00284330"/>
    <w:rsid w:val="00284338"/>
    <w:rsid w:val="00284409"/>
    <w:rsid w:val="00284707"/>
    <w:rsid w:val="00284812"/>
    <w:rsid w:val="00284FA5"/>
    <w:rsid w:val="00285FDE"/>
    <w:rsid w:val="00286222"/>
    <w:rsid w:val="002863A7"/>
    <w:rsid w:val="0028648D"/>
    <w:rsid w:val="002868BF"/>
    <w:rsid w:val="0028724A"/>
    <w:rsid w:val="00287508"/>
    <w:rsid w:val="00287CA7"/>
    <w:rsid w:val="00287F52"/>
    <w:rsid w:val="0029042A"/>
    <w:rsid w:val="002906E6"/>
    <w:rsid w:val="00290C60"/>
    <w:rsid w:val="00290CBB"/>
    <w:rsid w:val="00290D7A"/>
    <w:rsid w:val="002918D5"/>
    <w:rsid w:val="00291A4B"/>
    <w:rsid w:val="00291E8B"/>
    <w:rsid w:val="00291EDD"/>
    <w:rsid w:val="00291F39"/>
    <w:rsid w:val="00292048"/>
    <w:rsid w:val="0029222B"/>
    <w:rsid w:val="002925CA"/>
    <w:rsid w:val="0029279F"/>
    <w:rsid w:val="00293562"/>
    <w:rsid w:val="002936DE"/>
    <w:rsid w:val="002940D6"/>
    <w:rsid w:val="00294889"/>
    <w:rsid w:val="00294BBD"/>
    <w:rsid w:val="00295181"/>
    <w:rsid w:val="0029529A"/>
    <w:rsid w:val="00295641"/>
    <w:rsid w:val="00295A99"/>
    <w:rsid w:val="002964B0"/>
    <w:rsid w:val="002965DF"/>
    <w:rsid w:val="00296DCF"/>
    <w:rsid w:val="002975BA"/>
    <w:rsid w:val="002978F0"/>
    <w:rsid w:val="00297A54"/>
    <w:rsid w:val="00297ED0"/>
    <w:rsid w:val="002A01CB"/>
    <w:rsid w:val="002A04A4"/>
    <w:rsid w:val="002A07FB"/>
    <w:rsid w:val="002A158B"/>
    <w:rsid w:val="002A1687"/>
    <w:rsid w:val="002A18E4"/>
    <w:rsid w:val="002A1C98"/>
    <w:rsid w:val="002A264C"/>
    <w:rsid w:val="002A2950"/>
    <w:rsid w:val="002A30C2"/>
    <w:rsid w:val="002A3483"/>
    <w:rsid w:val="002A3532"/>
    <w:rsid w:val="002A3AF2"/>
    <w:rsid w:val="002A45F6"/>
    <w:rsid w:val="002A4E24"/>
    <w:rsid w:val="002A5297"/>
    <w:rsid w:val="002A5A73"/>
    <w:rsid w:val="002A629C"/>
    <w:rsid w:val="002A649C"/>
    <w:rsid w:val="002A6AAC"/>
    <w:rsid w:val="002A6B09"/>
    <w:rsid w:val="002A6DC4"/>
    <w:rsid w:val="002A6EC6"/>
    <w:rsid w:val="002A7173"/>
    <w:rsid w:val="002A71FE"/>
    <w:rsid w:val="002A7345"/>
    <w:rsid w:val="002A7BE7"/>
    <w:rsid w:val="002B0236"/>
    <w:rsid w:val="002B0374"/>
    <w:rsid w:val="002B06F6"/>
    <w:rsid w:val="002B0946"/>
    <w:rsid w:val="002B0D0E"/>
    <w:rsid w:val="002B0D75"/>
    <w:rsid w:val="002B0E50"/>
    <w:rsid w:val="002B12C4"/>
    <w:rsid w:val="002B12F4"/>
    <w:rsid w:val="002B1FBB"/>
    <w:rsid w:val="002B21B1"/>
    <w:rsid w:val="002B22C7"/>
    <w:rsid w:val="002B2422"/>
    <w:rsid w:val="002B24D2"/>
    <w:rsid w:val="002B270C"/>
    <w:rsid w:val="002B28E2"/>
    <w:rsid w:val="002B2951"/>
    <w:rsid w:val="002B2A67"/>
    <w:rsid w:val="002B2CC6"/>
    <w:rsid w:val="002B2D9B"/>
    <w:rsid w:val="002B2E82"/>
    <w:rsid w:val="002B3249"/>
    <w:rsid w:val="002B336A"/>
    <w:rsid w:val="002B3882"/>
    <w:rsid w:val="002B4975"/>
    <w:rsid w:val="002B50D3"/>
    <w:rsid w:val="002B5111"/>
    <w:rsid w:val="002B512A"/>
    <w:rsid w:val="002B521A"/>
    <w:rsid w:val="002B56D5"/>
    <w:rsid w:val="002B5AAE"/>
    <w:rsid w:val="002B6C55"/>
    <w:rsid w:val="002B6E1B"/>
    <w:rsid w:val="002B79DF"/>
    <w:rsid w:val="002C001B"/>
    <w:rsid w:val="002C065E"/>
    <w:rsid w:val="002C0705"/>
    <w:rsid w:val="002C0B45"/>
    <w:rsid w:val="002C1B0D"/>
    <w:rsid w:val="002C207D"/>
    <w:rsid w:val="002C2335"/>
    <w:rsid w:val="002C24C8"/>
    <w:rsid w:val="002C3123"/>
    <w:rsid w:val="002C3A5A"/>
    <w:rsid w:val="002C4092"/>
    <w:rsid w:val="002C4620"/>
    <w:rsid w:val="002C4771"/>
    <w:rsid w:val="002C4E32"/>
    <w:rsid w:val="002C51A6"/>
    <w:rsid w:val="002C56B0"/>
    <w:rsid w:val="002C5989"/>
    <w:rsid w:val="002C5A92"/>
    <w:rsid w:val="002C6015"/>
    <w:rsid w:val="002C716D"/>
    <w:rsid w:val="002C792E"/>
    <w:rsid w:val="002C7FBC"/>
    <w:rsid w:val="002D0039"/>
    <w:rsid w:val="002D028A"/>
    <w:rsid w:val="002D0359"/>
    <w:rsid w:val="002D03C3"/>
    <w:rsid w:val="002D0465"/>
    <w:rsid w:val="002D05BE"/>
    <w:rsid w:val="002D07A2"/>
    <w:rsid w:val="002D0D8F"/>
    <w:rsid w:val="002D129C"/>
    <w:rsid w:val="002D164F"/>
    <w:rsid w:val="002D2788"/>
    <w:rsid w:val="002D283B"/>
    <w:rsid w:val="002D2A0A"/>
    <w:rsid w:val="002D3066"/>
    <w:rsid w:val="002D3BED"/>
    <w:rsid w:val="002D3D0F"/>
    <w:rsid w:val="002D4433"/>
    <w:rsid w:val="002D4627"/>
    <w:rsid w:val="002D4E04"/>
    <w:rsid w:val="002D4F40"/>
    <w:rsid w:val="002D5269"/>
    <w:rsid w:val="002D54A5"/>
    <w:rsid w:val="002D5EBC"/>
    <w:rsid w:val="002D5ED8"/>
    <w:rsid w:val="002D666E"/>
    <w:rsid w:val="002D6C2C"/>
    <w:rsid w:val="002D718C"/>
    <w:rsid w:val="002D71D0"/>
    <w:rsid w:val="002D7962"/>
    <w:rsid w:val="002D7DA0"/>
    <w:rsid w:val="002E010C"/>
    <w:rsid w:val="002E051F"/>
    <w:rsid w:val="002E060D"/>
    <w:rsid w:val="002E0718"/>
    <w:rsid w:val="002E077C"/>
    <w:rsid w:val="002E0B3C"/>
    <w:rsid w:val="002E1285"/>
    <w:rsid w:val="002E1883"/>
    <w:rsid w:val="002E199E"/>
    <w:rsid w:val="002E1C88"/>
    <w:rsid w:val="002E2DE1"/>
    <w:rsid w:val="002E2E14"/>
    <w:rsid w:val="002E315F"/>
    <w:rsid w:val="002E31A0"/>
    <w:rsid w:val="002E39F6"/>
    <w:rsid w:val="002E4119"/>
    <w:rsid w:val="002E446C"/>
    <w:rsid w:val="002E465C"/>
    <w:rsid w:val="002E4735"/>
    <w:rsid w:val="002E4D36"/>
    <w:rsid w:val="002E4D3D"/>
    <w:rsid w:val="002E4E77"/>
    <w:rsid w:val="002E5132"/>
    <w:rsid w:val="002E5742"/>
    <w:rsid w:val="002E5A20"/>
    <w:rsid w:val="002E5AC5"/>
    <w:rsid w:val="002E668A"/>
    <w:rsid w:val="002E6D48"/>
    <w:rsid w:val="002E6E9B"/>
    <w:rsid w:val="002E6FB8"/>
    <w:rsid w:val="002E73FB"/>
    <w:rsid w:val="002E757D"/>
    <w:rsid w:val="002E77F4"/>
    <w:rsid w:val="002E7D04"/>
    <w:rsid w:val="002E7D46"/>
    <w:rsid w:val="002F004C"/>
    <w:rsid w:val="002F054D"/>
    <w:rsid w:val="002F0A49"/>
    <w:rsid w:val="002F0AC7"/>
    <w:rsid w:val="002F1275"/>
    <w:rsid w:val="002F1396"/>
    <w:rsid w:val="002F1742"/>
    <w:rsid w:val="002F1D6E"/>
    <w:rsid w:val="002F262A"/>
    <w:rsid w:val="002F271E"/>
    <w:rsid w:val="002F27FE"/>
    <w:rsid w:val="002F2837"/>
    <w:rsid w:val="002F28A7"/>
    <w:rsid w:val="002F33D8"/>
    <w:rsid w:val="002F3952"/>
    <w:rsid w:val="002F4544"/>
    <w:rsid w:val="002F495F"/>
    <w:rsid w:val="002F49DE"/>
    <w:rsid w:val="002F5249"/>
    <w:rsid w:val="002F5A20"/>
    <w:rsid w:val="002F629B"/>
    <w:rsid w:val="002F6550"/>
    <w:rsid w:val="002F65C6"/>
    <w:rsid w:val="002F6658"/>
    <w:rsid w:val="002F66E9"/>
    <w:rsid w:val="002F67DC"/>
    <w:rsid w:val="002F6AD9"/>
    <w:rsid w:val="002F6C56"/>
    <w:rsid w:val="002F70A3"/>
    <w:rsid w:val="002F75B4"/>
    <w:rsid w:val="002F77A3"/>
    <w:rsid w:val="002F7DE5"/>
    <w:rsid w:val="002F7F30"/>
    <w:rsid w:val="002F7F34"/>
    <w:rsid w:val="002F7F4A"/>
    <w:rsid w:val="003001E5"/>
    <w:rsid w:val="00300EA9"/>
    <w:rsid w:val="00301020"/>
    <w:rsid w:val="00301274"/>
    <w:rsid w:val="00301560"/>
    <w:rsid w:val="00301670"/>
    <w:rsid w:val="00301EE2"/>
    <w:rsid w:val="003022B5"/>
    <w:rsid w:val="00302435"/>
    <w:rsid w:val="00302446"/>
    <w:rsid w:val="00302831"/>
    <w:rsid w:val="0030297A"/>
    <w:rsid w:val="0030305C"/>
    <w:rsid w:val="00303B2D"/>
    <w:rsid w:val="00304B0A"/>
    <w:rsid w:val="00305E5E"/>
    <w:rsid w:val="0030604E"/>
    <w:rsid w:val="00306292"/>
    <w:rsid w:val="00306357"/>
    <w:rsid w:val="003069D5"/>
    <w:rsid w:val="00306D87"/>
    <w:rsid w:val="003075E9"/>
    <w:rsid w:val="003103E6"/>
    <w:rsid w:val="003107CF"/>
    <w:rsid w:val="003108EE"/>
    <w:rsid w:val="0031113A"/>
    <w:rsid w:val="00311556"/>
    <w:rsid w:val="0031167F"/>
    <w:rsid w:val="00311880"/>
    <w:rsid w:val="00311A8F"/>
    <w:rsid w:val="00311D5B"/>
    <w:rsid w:val="00311F6A"/>
    <w:rsid w:val="003121F6"/>
    <w:rsid w:val="00312203"/>
    <w:rsid w:val="0031229F"/>
    <w:rsid w:val="00312873"/>
    <w:rsid w:val="00312925"/>
    <w:rsid w:val="003129C1"/>
    <w:rsid w:val="00312DF6"/>
    <w:rsid w:val="00313172"/>
    <w:rsid w:val="0031339E"/>
    <w:rsid w:val="003133B8"/>
    <w:rsid w:val="00314453"/>
    <w:rsid w:val="003144ED"/>
    <w:rsid w:val="00314A22"/>
    <w:rsid w:val="00314C61"/>
    <w:rsid w:val="003150C0"/>
    <w:rsid w:val="0031510F"/>
    <w:rsid w:val="00315490"/>
    <w:rsid w:val="003156B1"/>
    <w:rsid w:val="00315B07"/>
    <w:rsid w:val="00315D18"/>
    <w:rsid w:val="00315D88"/>
    <w:rsid w:val="00316A38"/>
    <w:rsid w:val="00316BCA"/>
    <w:rsid w:val="00316CFC"/>
    <w:rsid w:val="00316EEF"/>
    <w:rsid w:val="00316FB5"/>
    <w:rsid w:val="00317596"/>
    <w:rsid w:val="003175C3"/>
    <w:rsid w:val="0031793F"/>
    <w:rsid w:val="0031794F"/>
    <w:rsid w:val="00317D8F"/>
    <w:rsid w:val="003208D8"/>
    <w:rsid w:val="00320C0F"/>
    <w:rsid w:val="0032157D"/>
    <w:rsid w:val="003219D3"/>
    <w:rsid w:val="00321A1C"/>
    <w:rsid w:val="00321B44"/>
    <w:rsid w:val="00321DD4"/>
    <w:rsid w:val="00322523"/>
    <w:rsid w:val="0032271A"/>
    <w:rsid w:val="00322BB5"/>
    <w:rsid w:val="00323898"/>
    <w:rsid w:val="0032410C"/>
    <w:rsid w:val="00324679"/>
    <w:rsid w:val="00324795"/>
    <w:rsid w:val="00324923"/>
    <w:rsid w:val="00324B7A"/>
    <w:rsid w:val="003252CD"/>
    <w:rsid w:val="00325B0C"/>
    <w:rsid w:val="003265A8"/>
    <w:rsid w:val="00326804"/>
    <w:rsid w:val="00327789"/>
    <w:rsid w:val="003304CE"/>
    <w:rsid w:val="00330763"/>
    <w:rsid w:val="00330A71"/>
    <w:rsid w:val="00330BA2"/>
    <w:rsid w:val="00330D37"/>
    <w:rsid w:val="00330F6D"/>
    <w:rsid w:val="00331197"/>
    <w:rsid w:val="003312EF"/>
    <w:rsid w:val="0033148A"/>
    <w:rsid w:val="0033153C"/>
    <w:rsid w:val="003319C1"/>
    <w:rsid w:val="00331A1C"/>
    <w:rsid w:val="0033205D"/>
    <w:rsid w:val="00332066"/>
    <w:rsid w:val="0033223F"/>
    <w:rsid w:val="003326A1"/>
    <w:rsid w:val="00332921"/>
    <w:rsid w:val="00333097"/>
    <w:rsid w:val="003335F0"/>
    <w:rsid w:val="00333926"/>
    <w:rsid w:val="00333DE4"/>
    <w:rsid w:val="00334401"/>
    <w:rsid w:val="003344B0"/>
    <w:rsid w:val="00335539"/>
    <w:rsid w:val="0033556D"/>
    <w:rsid w:val="00336AF3"/>
    <w:rsid w:val="00336E1C"/>
    <w:rsid w:val="00336F88"/>
    <w:rsid w:val="003378E6"/>
    <w:rsid w:val="00337CCA"/>
    <w:rsid w:val="00337E31"/>
    <w:rsid w:val="00340150"/>
    <w:rsid w:val="0034065A"/>
    <w:rsid w:val="00340C74"/>
    <w:rsid w:val="00340D88"/>
    <w:rsid w:val="00340DC9"/>
    <w:rsid w:val="00341215"/>
    <w:rsid w:val="003413E9"/>
    <w:rsid w:val="003418E5"/>
    <w:rsid w:val="00342640"/>
    <w:rsid w:val="00342ED0"/>
    <w:rsid w:val="00343481"/>
    <w:rsid w:val="003434B3"/>
    <w:rsid w:val="0034357B"/>
    <w:rsid w:val="003436BE"/>
    <w:rsid w:val="00343B11"/>
    <w:rsid w:val="00343BF8"/>
    <w:rsid w:val="00343DD3"/>
    <w:rsid w:val="00343DFE"/>
    <w:rsid w:val="00344306"/>
    <w:rsid w:val="00344EF7"/>
    <w:rsid w:val="003468EB"/>
    <w:rsid w:val="003469B5"/>
    <w:rsid w:val="00346B70"/>
    <w:rsid w:val="00347078"/>
    <w:rsid w:val="00347157"/>
    <w:rsid w:val="003472B7"/>
    <w:rsid w:val="00347564"/>
    <w:rsid w:val="003477B2"/>
    <w:rsid w:val="003477EB"/>
    <w:rsid w:val="0035048A"/>
    <w:rsid w:val="00350802"/>
    <w:rsid w:val="00350955"/>
    <w:rsid w:val="0035112A"/>
    <w:rsid w:val="00351458"/>
    <w:rsid w:val="00351AEA"/>
    <w:rsid w:val="00351BDA"/>
    <w:rsid w:val="00351DC8"/>
    <w:rsid w:val="00352063"/>
    <w:rsid w:val="00352389"/>
    <w:rsid w:val="003525BD"/>
    <w:rsid w:val="003527E2"/>
    <w:rsid w:val="00352999"/>
    <w:rsid w:val="00352AAF"/>
    <w:rsid w:val="00352D25"/>
    <w:rsid w:val="00352E49"/>
    <w:rsid w:val="00352EE0"/>
    <w:rsid w:val="00352F36"/>
    <w:rsid w:val="00352F3C"/>
    <w:rsid w:val="0035354C"/>
    <w:rsid w:val="00353835"/>
    <w:rsid w:val="003543A1"/>
    <w:rsid w:val="00354A09"/>
    <w:rsid w:val="00354C03"/>
    <w:rsid w:val="00355740"/>
    <w:rsid w:val="00355CC0"/>
    <w:rsid w:val="00355DA5"/>
    <w:rsid w:val="003563C2"/>
    <w:rsid w:val="003565DD"/>
    <w:rsid w:val="00356850"/>
    <w:rsid w:val="00356CFF"/>
    <w:rsid w:val="003573C9"/>
    <w:rsid w:val="00357630"/>
    <w:rsid w:val="00357D5B"/>
    <w:rsid w:val="00360468"/>
    <w:rsid w:val="003604B1"/>
    <w:rsid w:val="00360B06"/>
    <w:rsid w:val="003611E0"/>
    <w:rsid w:val="003614B0"/>
    <w:rsid w:val="0036153C"/>
    <w:rsid w:val="0036156F"/>
    <w:rsid w:val="003628AD"/>
    <w:rsid w:val="00362988"/>
    <w:rsid w:val="003629D7"/>
    <w:rsid w:val="00362B16"/>
    <w:rsid w:val="00362D9D"/>
    <w:rsid w:val="00362F86"/>
    <w:rsid w:val="0036388B"/>
    <w:rsid w:val="00363A4F"/>
    <w:rsid w:val="00364425"/>
    <w:rsid w:val="00364472"/>
    <w:rsid w:val="0036504F"/>
    <w:rsid w:val="0036522A"/>
    <w:rsid w:val="0036528D"/>
    <w:rsid w:val="00365836"/>
    <w:rsid w:val="00365A93"/>
    <w:rsid w:val="00365C11"/>
    <w:rsid w:val="0036635A"/>
    <w:rsid w:val="00366661"/>
    <w:rsid w:val="00366A80"/>
    <w:rsid w:val="00366C32"/>
    <w:rsid w:val="00366C38"/>
    <w:rsid w:val="00366E01"/>
    <w:rsid w:val="00367621"/>
    <w:rsid w:val="00367A7C"/>
    <w:rsid w:val="00367E97"/>
    <w:rsid w:val="00370116"/>
    <w:rsid w:val="003707EF"/>
    <w:rsid w:val="00370BBB"/>
    <w:rsid w:val="00370C02"/>
    <w:rsid w:val="00370C21"/>
    <w:rsid w:val="00371038"/>
    <w:rsid w:val="003714BF"/>
    <w:rsid w:val="00371518"/>
    <w:rsid w:val="00371549"/>
    <w:rsid w:val="0037162D"/>
    <w:rsid w:val="00371770"/>
    <w:rsid w:val="00371EB5"/>
    <w:rsid w:val="00372189"/>
    <w:rsid w:val="003722A0"/>
    <w:rsid w:val="00372BFA"/>
    <w:rsid w:val="00372D4A"/>
    <w:rsid w:val="00372DB4"/>
    <w:rsid w:val="00372F8E"/>
    <w:rsid w:val="00373087"/>
    <w:rsid w:val="0037375A"/>
    <w:rsid w:val="003738C8"/>
    <w:rsid w:val="00373DCE"/>
    <w:rsid w:val="00374548"/>
    <w:rsid w:val="00374903"/>
    <w:rsid w:val="00374EE0"/>
    <w:rsid w:val="00375108"/>
    <w:rsid w:val="00375201"/>
    <w:rsid w:val="00375D85"/>
    <w:rsid w:val="00375E2A"/>
    <w:rsid w:val="0037665A"/>
    <w:rsid w:val="00376665"/>
    <w:rsid w:val="0037669C"/>
    <w:rsid w:val="0037700A"/>
    <w:rsid w:val="00377BB7"/>
    <w:rsid w:val="00377F0B"/>
    <w:rsid w:val="00377F1E"/>
    <w:rsid w:val="003803A1"/>
    <w:rsid w:val="003806BA"/>
    <w:rsid w:val="00380DD5"/>
    <w:rsid w:val="003810FE"/>
    <w:rsid w:val="0038125C"/>
    <w:rsid w:val="003818CA"/>
    <w:rsid w:val="00382174"/>
    <w:rsid w:val="0038252A"/>
    <w:rsid w:val="003826D3"/>
    <w:rsid w:val="003829A8"/>
    <w:rsid w:val="00382CEE"/>
    <w:rsid w:val="0038366F"/>
    <w:rsid w:val="00383989"/>
    <w:rsid w:val="00383BF7"/>
    <w:rsid w:val="0038449A"/>
    <w:rsid w:val="00384808"/>
    <w:rsid w:val="003848FB"/>
    <w:rsid w:val="00384A79"/>
    <w:rsid w:val="00384A87"/>
    <w:rsid w:val="00385048"/>
    <w:rsid w:val="00385FB7"/>
    <w:rsid w:val="00386615"/>
    <w:rsid w:val="00386EE2"/>
    <w:rsid w:val="0038758E"/>
    <w:rsid w:val="003876AF"/>
    <w:rsid w:val="00387D5A"/>
    <w:rsid w:val="003907CE"/>
    <w:rsid w:val="0039093B"/>
    <w:rsid w:val="00390AE8"/>
    <w:rsid w:val="00391792"/>
    <w:rsid w:val="00391ADB"/>
    <w:rsid w:val="00391E08"/>
    <w:rsid w:val="00391FBF"/>
    <w:rsid w:val="0039211C"/>
    <w:rsid w:val="003921C7"/>
    <w:rsid w:val="003923F4"/>
    <w:rsid w:val="003927A5"/>
    <w:rsid w:val="003927EA"/>
    <w:rsid w:val="00392891"/>
    <w:rsid w:val="00393618"/>
    <w:rsid w:val="00393992"/>
    <w:rsid w:val="00393C5F"/>
    <w:rsid w:val="003940DF"/>
    <w:rsid w:val="0039486B"/>
    <w:rsid w:val="003948F1"/>
    <w:rsid w:val="00394A52"/>
    <w:rsid w:val="00394E9A"/>
    <w:rsid w:val="003950B0"/>
    <w:rsid w:val="00395164"/>
    <w:rsid w:val="00395AAA"/>
    <w:rsid w:val="0039627A"/>
    <w:rsid w:val="003963B6"/>
    <w:rsid w:val="003963E9"/>
    <w:rsid w:val="003965D3"/>
    <w:rsid w:val="00397423"/>
    <w:rsid w:val="00397653"/>
    <w:rsid w:val="0039780D"/>
    <w:rsid w:val="003979E8"/>
    <w:rsid w:val="00397AEC"/>
    <w:rsid w:val="003A08E5"/>
    <w:rsid w:val="003A1956"/>
    <w:rsid w:val="003A1F2E"/>
    <w:rsid w:val="003A1F4D"/>
    <w:rsid w:val="003A1FAE"/>
    <w:rsid w:val="003A2A86"/>
    <w:rsid w:val="003A3887"/>
    <w:rsid w:val="003A3AFB"/>
    <w:rsid w:val="003A3C3E"/>
    <w:rsid w:val="003A4C6E"/>
    <w:rsid w:val="003A520C"/>
    <w:rsid w:val="003A5505"/>
    <w:rsid w:val="003A5D91"/>
    <w:rsid w:val="003A6C18"/>
    <w:rsid w:val="003A7C56"/>
    <w:rsid w:val="003A7DBE"/>
    <w:rsid w:val="003B03C9"/>
    <w:rsid w:val="003B04DE"/>
    <w:rsid w:val="003B0A76"/>
    <w:rsid w:val="003B0BB8"/>
    <w:rsid w:val="003B0C33"/>
    <w:rsid w:val="003B0D8F"/>
    <w:rsid w:val="003B0EA4"/>
    <w:rsid w:val="003B0FC8"/>
    <w:rsid w:val="003B1759"/>
    <w:rsid w:val="003B1B69"/>
    <w:rsid w:val="003B1EB3"/>
    <w:rsid w:val="003B1EF2"/>
    <w:rsid w:val="003B1F4A"/>
    <w:rsid w:val="003B22FE"/>
    <w:rsid w:val="003B2480"/>
    <w:rsid w:val="003B2AA1"/>
    <w:rsid w:val="003B2B52"/>
    <w:rsid w:val="003B2DDE"/>
    <w:rsid w:val="003B2F1F"/>
    <w:rsid w:val="003B34AF"/>
    <w:rsid w:val="003B4052"/>
    <w:rsid w:val="003B437B"/>
    <w:rsid w:val="003B4AD0"/>
    <w:rsid w:val="003B5183"/>
    <w:rsid w:val="003B535D"/>
    <w:rsid w:val="003B536B"/>
    <w:rsid w:val="003B5489"/>
    <w:rsid w:val="003B550E"/>
    <w:rsid w:val="003B5867"/>
    <w:rsid w:val="003B5B3C"/>
    <w:rsid w:val="003B645E"/>
    <w:rsid w:val="003B6E79"/>
    <w:rsid w:val="003B6F0F"/>
    <w:rsid w:val="003B6FC1"/>
    <w:rsid w:val="003B7AD1"/>
    <w:rsid w:val="003B7F63"/>
    <w:rsid w:val="003B7FA6"/>
    <w:rsid w:val="003C094D"/>
    <w:rsid w:val="003C09B6"/>
    <w:rsid w:val="003C1157"/>
    <w:rsid w:val="003C1864"/>
    <w:rsid w:val="003C1E88"/>
    <w:rsid w:val="003C2376"/>
    <w:rsid w:val="003C2378"/>
    <w:rsid w:val="003C280F"/>
    <w:rsid w:val="003C28F8"/>
    <w:rsid w:val="003C293C"/>
    <w:rsid w:val="003C2E18"/>
    <w:rsid w:val="003C2E93"/>
    <w:rsid w:val="003C38D4"/>
    <w:rsid w:val="003C3930"/>
    <w:rsid w:val="003C3BE7"/>
    <w:rsid w:val="003C4110"/>
    <w:rsid w:val="003C42CF"/>
    <w:rsid w:val="003C4408"/>
    <w:rsid w:val="003C4D13"/>
    <w:rsid w:val="003C519E"/>
    <w:rsid w:val="003C5528"/>
    <w:rsid w:val="003C55E4"/>
    <w:rsid w:val="003C57C0"/>
    <w:rsid w:val="003C631D"/>
    <w:rsid w:val="003C6A94"/>
    <w:rsid w:val="003C6E0B"/>
    <w:rsid w:val="003C7224"/>
    <w:rsid w:val="003C73B6"/>
    <w:rsid w:val="003D0970"/>
    <w:rsid w:val="003D0A09"/>
    <w:rsid w:val="003D0B0A"/>
    <w:rsid w:val="003D16F6"/>
    <w:rsid w:val="003D188D"/>
    <w:rsid w:val="003D18BA"/>
    <w:rsid w:val="003D18D0"/>
    <w:rsid w:val="003D1A27"/>
    <w:rsid w:val="003D1C26"/>
    <w:rsid w:val="003D2633"/>
    <w:rsid w:val="003D26D2"/>
    <w:rsid w:val="003D2E26"/>
    <w:rsid w:val="003D3648"/>
    <w:rsid w:val="003D397E"/>
    <w:rsid w:val="003D3A60"/>
    <w:rsid w:val="003D3C2A"/>
    <w:rsid w:val="003D5200"/>
    <w:rsid w:val="003D5868"/>
    <w:rsid w:val="003D59D1"/>
    <w:rsid w:val="003D5A65"/>
    <w:rsid w:val="003D5B58"/>
    <w:rsid w:val="003D5BA0"/>
    <w:rsid w:val="003D622E"/>
    <w:rsid w:val="003D7409"/>
    <w:rsid w:val="003D7CAA"/>
    <w:rsid w:val="003D7E44"/>
    <w:rsid w:val="003E02A0"/>
    <w:rsid w:val="003E0308"/>
    <w:rsid w:val="003E0833"/>
    <w:rsid w:val="003E0C86"/>
    <w:rsid w:val="003E10EE"/>
    <w:rsid w:val="003E1459"/>
    <w:rsid w:val="003E176F"/>
    <w:rsid w:val="003E1E5F"/>
    <w:rsid w:val="003E1F3A"/>
    <w:rsid w:val="003E20D0"/>
    <w:rsid w:val="003E21CE"/>
    <w:rsid w:val="003E251D"/>
    <w:rsid w:val="003E2554"/>
    <w:rsid w:val="003E297C"/>
    <w:rsid w:val="003E3686"/>
    <w:rsid w:val="003E3DAD"/>
    <w:rsid w:val="003E3EDE"/>
    <w:rsid w:val="003E3FE6"/>
    <w:rsid w:val="003E46AF"/>
    <w:rsid w:val="003E4AC5"/>
    <w:rsid w:val="003E528C"/>
    <w:rsid w:val="003E5766"/>
    <w:rsid w:val="003E57A6"/>
    <w:rsid w:val="003E5E2E"/>
    <w:rsid w:val="003E6258"/>
    <w:rsid w:val="003E663C"/>
    <w:rsid w:val="003E6B2F"/>
    <w:rsid w:val="003E6C4F"/>
    <w:rsid w:val="003E785E"/>
    <w:rsid w:val="003F00CC"/>
    <w:rsid w:val="003F0187"/>
    <w:rsid w:val="003F069D"/>
    <w:rsid w:val="003F129A"/>
    <w:rsid w:val="003F1470"/>
    <w:rsid w:val="003F168F"/>
    <w:rsid w:val="003F18A5"/>
    <w:rsid w:val="003F18A9"/>
    <w:rsid w:val="003F31C9"/>
    <w:rsid w:val="003F3315"/>
    <w:rsid w:val="003F33A5"/>
    <w:rsid w:val="003F3446"/>
    <w:rsid w:val="003F35ED"/>
    <w:rsid w:val="003F36D3"/>
    <w:rsid w:val="003F37D5"/>
    <w:rsid w:val="003F3B46"/>
    <w:rsid w:val="003F3C5E"/>
    <w:rsid w:val="003F40AC"/>
    <w:rsid w:val="003F44F2"/>
    <w:rsid w:val="003F45E1"/>
    <w:rsid w:val="003F45F3"/>
    <w:rsid w:val="003F473B"/>
    <w:rsid w:val="003F4F81"/>
    <w:rsid w:val="003F4FA1"/>
    <w:rsid w:val="003F59D4"/>
    <w:rsid w:val="003F6407"/>
    <w:rsid w:val="003F70B4"/>
    <w:rsid w:val="003F7143"/>
    <w:rsid w:val="003F76AF"/>
    <w:rsid w:val="0040020E"/>
    <w:rsid w:val="004003F0"/>
    <w:rsid w:val="0040085F"/>
    <w:rsid w:val="00400984"/>
    <w:rsid w:val="004012A4"/>
    <w:rsid w:val="0040136A"/>
    <w:rsid w:val="0040156C"/>
    <w:rsid w:val="00401602"/>
    <w:rsid w:val="004017FB"/>
    <w:rsid w:val="00401F86"/>
    <w:rsid w:val="0040267F"/>
    <w:rsid w:val="00402C7B"/>
    <w:rsid w:val="004036D1"/>
    <w:rsid w:val="00404B62"/>
    <w:rsid w:val="00404D4F"/>
    <w:rsid w:val="00404F12"/>
    <w:rsid w:val="004050AA"/>
    <w:rsid w:val="004052B3"/>
    <w:rsid w:val="00405AAA"/>
    <w:rsid w:val="00405DE2"/>
    <w:rsid w:val="004070DA"/>
    <w:rsid w:val="00407202"/>
    <w:rsid w:val="004073B6"/>
    <w:rsid w:val="00407C5C"/>
    <w:rsid w:val="00407ECB"/>
    <w:rsid w:val="00410070"/>
    <w:rsid w:val="0041062E"/>
    <w:rsid w:val="0041089F"/>
    <w:rsid w:val="00410A22"/>
    <w:rsid w:val="00410B5D"/>
    <w:rsid w:val="0041121B"/>
    <w:rsid w:val="004112CA"/>
    <w:rsid w:val="00411B10"/>
    <w:rsid w:val="00412315"/>
    <w:rsid w:val="00412563"/>
    <w:rsid w:val="00412877"/>
    <w:rsid w:val="00412A18"/>
    <w:rsid w:val="00412C66"/>
    <w:rsid w:val="00413524"/>
    <w:rsid w:val="004135D0"/>
    <w:rsid w:val="00413668"/>
    <w:rsid w:val="00413E01"/>
    <w:rsid w:val="00414D56"/>
    <w:rsid w:val="00414E38"/>
    <w:rsid w:val="00415DB9"/>
    <w:rsid w:val="00415F7C"/>
    <w:rsid w:val="00416762"/>
    <w:rsid w:val="00416A70"/>
    <w:rsid w:val="00416E67"/>
    <w:rsid w:val="0041715A"/>
    <w:rsid w:val="004202E7"/>
    <w:rsid w:val="0042030F"/>
    <w:rsid w:val="004205A4"/>
    <w:rsid w:val="004205AC"/>
    <w:rsid w:val="004214C0"/>
    <w:rsid w:val="004216FE"/>
    <w:rsid w:val="00421D33"/>
    <w:rsid w:val="0042264F"/>
    <w:rsid w:val="004235B8"/>
    <w:rsid w:val="00423837"/>
    <w:rsid w:val="004239E1"/>
    <w:rsid w:val="00423A2A"/>
    <w:rsid w:val="00423ADE"/>
    <w:rsid w:val="0042408A"/>
    <w:rsid w:val="00424E37"/>
    <w:rsid w:val="004259C1"/>
    <w:rsid w:val="00425A64"/>
    <w:rsid w:val="00425BCC"/>
    <w:rsid w:val="00425F0B"/>
    <w:rsid w:val="004262C0"/>
    <w:rsid w:val="00426D77"/>
    <w:rsid w:val="0042763F"/>
    <w:rsid w:val="00427697"/>
    <w:rsid w:val="004278A8"/>
    <w:rsid w:val="00427A33"/>
    <w:rsid w:val="00427AB7"/>
    <w:rsid w:val="00427B6A"/>
    <w:rsid w:val="0043045A"/>
    <w:rsid w:val="0043053F"/>
    <w:rsid w:val="00430A26"/>
    <w:rsid w:val="00431C4B"/>
    <w:rsid w:val="00432179"/>
    <w:rsid w:val="0043324D"/>
    <w:rsid w:val="00433A60"/>
    <w:rsid w:val="00433AB9"/>
    <w:rsid w:val="00433D06"/>
    <w:rsid w:val="00433F81"/>
    <w:rsid w:val="00434249"/>
    <w:rsid w:val="00434628"/>
    <w:rsid w:val="00434638"/>
    <w:rsid w:val="00434A76"/>
    <w:rsid w:val="0043529A"/>
    <w:rsid w:val="00435307"/>
    <w:rsid w:val="004362B5"/>
    <w:rsid w:val="004363CD"/>
    <w:rsid w:val="00436534"/>
    <w:rsid w:val="004365FD"/>
    <w:rsid w:val="00436AC8"/>
    <w:rsid w:val="00436DF4"/>
    <w:rsid w:val="00437518"/>
    <w:rsid w:val="004376CA"/>
    <w:rsid w:val="004378D9"/>
    <w:rsid w:val="00440B57"/>
    <w:rsid w:val="00440B6C"/>
    <w:rsid w:val="00440B9E"/>
    <w:rsid w:val="00440E10"/>
    <w:rsid w:val="00440E81"/>
    <w:rsid w:val="00440EDC"/>
    <w:rsid w:val="00441337"/>
    <w:rsid w:val="004416A5"/>
    <w:rsid w:val="00441F13"/>
    <w:rsid w:val="004421A7"/>
    <w:rsid w:val="0044237F"/>
    <w:rsid w:val="00442483"/>
    <w:rsid w:val="00442C6E"/>
    <w:rsid w:val="00442CDB"/>
    <w:rsid w:val="0044305E"/>
    <w:rsid w:val="0044312A"/>
    <w:rsid w:val="004432ED"/>
    <w:rsid w:val="00443443"/>
    <w:rsid w:val="004440EE"/>
    <w:rsid w:val="004444E7"/>
    <w:rsid w:val="004445C7"/>
    <w:rsid w:val="004445CF"/>
    <w:rsid w:val="004445D3"/>
    <w:rsid w:val="00444631"/>
    <w:rsid w:val="00445033"/>
    <w:rsid w:val="00445531"/>
    <w:rsid w:val="00445681"/>
    <w:rsid w:val="00445856"/>
    <w:rsid w:val="00445B80"/>
    <w:rsid w:val="00445C47"/>
    <w:rsid w:val="00445FE7"/>
    <w:rsid w:val="00446174"/>
    <w:rsid w:val="0044622D"/>
    <w:rsid w:val="0044652B"/>
    <w:rsid w:val="004466C5"/>
    <w:rsid w:val="00446C1B"/>
    <w:rsid w:val="00446C77"/>
    <w:rsid w:val="00446F0D"/>
    <w:rsid w:val="0044702E"/>
    <w:rsid w:val="0044722B"/>
    <w:rsid w:val="00447D5B"/>
    <w:rsid w:val="00447F2D"/>
    <w:rsid w:val="00450099"/>
    <w:rsid w:val="00450251"/>
    <w:rsid w:val="004504D4"/>
    <w:rsid w:val="004505F1"/>
    <w:rsid w:val="00450714"/>
    <w:rsid w:val="00450D66"/>
    <w:rsid w:val="0045113B"/>
    <w:rsid w:val="004517D3"/>
    <w:rsid w:val="00451C82"/>
    <w:rsid w:val="0045274A"/>
    <w:rsid w:val="00453A46"/>
    <w:rsid w:val="0045438E"/>
    <w:rsid w:val="00454685"/>
    <w:rsid w:val="00454788"/>
    <w:rsid w:val="00454890"/>
    <w:rsid w:val="00455280"/>
    <w:rsid w:val="004554D6"/>
    <w:rsid w:val="00455C1C"/>
    <w:rsid w:val="00455C6C"/>
    <w:rsid w:val="00455CB8"/>
    <w:rsid w:val="004562DB"/>
    <w:rsid w:val="00456C0F"/>
    <w:rsid w:val="00457167"/>
    <w:rsid w:val="004573FB"/>
    <w:rsid w:val="00457654"/>
    <w:rsid w:val="00457ECE"/>
    <w:rsid w:val="00460EF3"/>
    <w:rsid w:val="00460F96"/>
    <w:rsid w:val="00461095"/>
    <w:rsid w:val="004618A5"/>
    <w:rsid w:val="00462729"/>
    <w:rsid w:val="00462FB7"/>
    <w:rsid w:val="00463219"/>
    <w:rsid w:val="0046322E"/>
    <w:rsid w:val="0046333F"/>
    <w:rsid w:val="00463EF9"/>
    <w:rsid w:val="00464400"/>
    <w:rsid w:val="004646EB"/>
    <w:rsid w:val="00464833"/>
    <w:rsid w:val="0046494B"/>
    <w:rsid w:val="00464B24"/>
    <w:rsid w:val="00465098"/>
    <w:rsid w:val="00465134"/>
    <w:rsid w:val="00465DD7"/>
    <w:rsid w:val="00465E01"/>
    <w:rsid w:val="00465FDE"/>
    <w:rsid w:val="004660F8"/>
    <w:rsid w:val="004662DC"/>
    <w:rsid w:val="004664F1"/>
    <w:rsid w:val="00466741"/>
    <w:rsid w:val="00466956"/>
    <w:rsid w:val="00466DAD"/>
    <w:rsid w:val="00466EC0"/>
    <w:rsid w:val="0046707B"/>
    <w:rsid w:val="004671AB"/>
    <w:rsid w:val="00467C6B"/>
    <w:rsid w:val="00467FCF"/>
    <w:rsid w:val="004700D7"/>
    <w:rsid w:val="0047026A"/>
    <w:rsid w:val="004706A5"/>
    <w:rsid w:val="00471471"/>
    <w:rsid w:val="004714EA"/>
    <w:rsid w:val="00471750"/>
    <w:rsid w:val="00471B0A"/>
    <w:rsid w:val="00471CF3"/>
    <w:rsid w:val="0047218A"/>
    <w:rsid w:val="004722D4"/>
    <w:rsid w:val="0047255E"/>
    <w:rsid w:val="004726BB"/>
    <w:rsid w:val="0047271B"/>
    <w:rsid w:val="00472C87"/>
    <w:rsid w:val="00472D97"/>
    <w:rsid w:val="00472FA0"/>
    <w:rsid w:val="00472FAA"/>
    <w:rsid w:val="004730F1"/>
    <w:rsid w:val="004739BF"/>
    <w:rsid w:val="004740D8"/>
    <w:rsid w:val="004746B5"/>
    <w:rsid w:val="004748BE"/>
    <w:rsid w:val="004748DA"/>
    <w:rsid w:val="00474D83"/>
    <w:rsid w:val="004755DC"/>
    <w:rsid w:val="00475A90"/>
    <w:rsid w:val="0047686B"/>
    <w:rsid w:val="00476903"/>
    <w:rsid w:val="00477D09"/>
    <w:rsid w:val="00477D6E"/>
    <w:rsid w:val="00477F08"/>
    <w:rsid w:val="004801B1"/>
    <w:rsid w:val="00480AF7"/>
    <w:rsid w:val="00480D56"/>
    <w:rsid w:val="0048121F"/>
    <w:rsid w:val="00481452"/>
    <w:rsid w:val="0048178D"/>
    <w:rsid w:val="00481947"/>
    <w:rsid w:val="00481B00"/>
    <w:rsid w:val="00481E7A"/>
    <w:rsid w:val="00481F3B"/>
    <w:rsid w:val="004828C9"/>
    <w:rsid w:val="004832E5"/>
    <w:rsid w:val="004838EC"/>
    <w:rsid w:val="00483D71"/>
    <w:rsid w:val="00484377"/>
    <w:rsid w:val="0048443B"/>
    <w:rsid w:val="00484CAF"/>
    <w:rsid w:val="00484FA7"/>
    <w:rsid w:val="00485970"/>
    <w:rsid w:val="00485B66"/>
    <w:rsid w:val="00485BE6"/>
    <w:rsid w:val="004864EF"/>
    <w:rsid w:val="00487131"/>
    <w:rsid w:val="0048743C"/>
    <w:rsid w:val="0048755A"/>
    <w:rsid w:val="00487C12"/>
    <w:rsid w:val="00487CA0"/>
    <w:rsid w:val="00487EBA"/>
    <w:rsid w:val="004902A5"/>
    <w:rsid w:val="00490304"/>
    <w:rsid w:val="00490E20"/>
    <w:rsid w:val="00491189"/>
    <w:rsid w:val="0049140D"/>
    <w:rsid w:val="004917AA"/>
    <w:rsid w:val="00491D57"/>
    <w:rsid w:val="004922CC"/>
    <w:rsid w:val="004923D6"/>
    <w:rsid w:val="00492A91"/>
    <w:rsid w:val="00492C22"/>
    <w:rsid w:val="00493D49"/>
    <w:rsid w:val="00493E85"/>
    <w:rsid w:val="00493FAF"/>
    <w:rsid w:val="004947C5"/>
    <w:rsid w:val="00494A7F"/>
    <w:rsid w:val="004956B4"/>
    <w:rsid w:val="004956FB"/>
    <w:rsid w:val="00495B8D"/>
    <w:rsid w:val="00495C42"/>
    <w:rsid w:val="00496377"/>
    <w:rsid w:val="00496AA1"/>
    <w:rsid w:val="00496BCA"/>
    <w:rsid w:val="00496FEF"/>
    <w:rsid w:val="00497693"/>
    <w:rsid w:val="0049774F"/>
    <w:rsid w:val="00497786"/>
    <w:rsid w:val="004978A0"/>
    <w:rsid w:val="00497A7E"/>
    <w:rsid w:val="00497D67"/>
    <w:rsid w:val="004A03F3"/>
    <w:rsid w:val="004A0513"/>
    <w:rsid w:val="004A0E5D"/>
    <w:rsid w:val="004A1047"/>
    <w:rsid w:val="004A11E2"/>
    <w:rsid w:val="004A16E1"/>
    <w:rsid w:val="004A1DC2"/>
    <w:rsid w:val="004A1F17"/>
    <w:rsid w:val="004A1FCF"/>
    <w:rsid w:val="004A247B"/>
    <w:rsid w:val="004A2B47"/>
    <w:rsid w:val="004A2C74"/>
    <w:rsid w:val="004A2D24"/>
    <w:rsid w:val="004A3211"/>
    <w:rsid w:val="004A3B0E"/>
    <w:rsid w:val="004A3DF7"/>
    <w:rsid w:val="004A3E9A"/>
    <w:rsid w:val="004A3F90"/>
    <w:rsid w:val="004A3FB6"/>
    <w:rsid w:val="004A4276"/>
    <w:rsid w:val="004A42C0"/>
    <w:rsid w:val="004A447F"/>
    <w:rsid w:val="004A4608"/>
    <w:rsid w:val="004A57A9"/>
    <w:rsid w:val="004A5E8A"/>
    <w:rsid w:val="004A6246"/>
    <w:rsid w:val="004A6885"/>
    <w:rsid w:val="004A6DED"/>
    <w:rsid w:val="004A6E71"/>
    <w:rsid w:val="004A71BC"/>
    <w:rsid w:val="004A72CC"/>
    <w:rsid w:val="004A739C"/>
    <w:rsid w:val="004A73ED"/>
    <w:rsid w:val="004A758A"/>
    <w:rsid w:val="004A76A0"/>
    <w:rsid w:val="004A76E4"/>
    <w:rsid w:val="004A7946"/>
    <w:rsid w:val="004A7A20"/>
    <w:rsid w:val="004B0755"/>
    <w:rsid w:val="004B0896"/>
    <w:rsid w:val="004B0A36"/>
    <w:rsid w:val="004B1686"/>
    <w:rsid w:val="004B1BB0"/>
    <w:rsid w:val="004B1E25"/>
    <w:rsid w:val="004B1F38"/>
    <w:rsid w:val="004B2217"/>
    <w:rsid w:val="004B2C4B"/>
    <w:rsid w:val="004B2D20"/>
    <w:rsid w:val="004B2EBD"/>
    <w:rsid w:val="004B30BC"/>
    <w:rsid w:val="004B3132"/>
    <w:rsid w:val="004B3835"/>
    <w:rsid w:val="004B3B35"/>
    <w:rsid w:val="004B3E6A"/>
    <w:rsid w:val="004B42B7"/>
    <w:rsid w:val="004B4464"/>
    <w:rsid w:val="004B44DC"/>
    <w:rsid w:val="004B485C"/>
    <w:rsid w:val="004B49D8"/>
    <w:rsid w:val="004B4A0A"/>
    <w:rsid w:val="004B4D2F"/>
    <w:rsid w:val="004B4E21"/>
    <w:rsid w:val="004B4FE1"/>
    <w:rsid w:val="004B530F"/>
    <w:rsid w:val="004B5B04"/>
    <w:rsid w:val="004B607D"/>
    <w:rsid w:val="004B662F"/>
    <w:rsid w:val="004B6712"/>
    <w:rsid w:val="004B7149"/>
    <w:rsid w:val="004B76F0"/>
    <w:rsid w:val="004B779F"/>
    <w:rsid w:val="004B78DC"/>
    <w:rsid w:val="004B797E"/>
    <w:rsid w:val="004B7A52"/>
    <w:rsid w:val="004C03E7"/>
    <w:rsid w:val="004C0813"/>
    <w:rsid w:val="004C0C0B"/>
    <w:rsid w:val="004C10C5"/>
    <w:rsid w:val="004C1430"/>
    <w:rsid w:val="004C17DF"/>
    <w:rsid w:val="004C1BFA"/>
    <w:rsid w:val="004C238D"/>
    <w:rsid w:val="004C308B"/>
    <w:rsid w:val="004C30A9"/>
    <w:rsid w:val="004C351F"/>
    <w:rsid w:val="004C353D"/>
    <w:rsid w:val="004C354D"/>
    <w:rsid w:val="004C38D7"/>
    <w:rsid w:val="004C39EA"/>
    <w:rsid w:val="004C3A81"/>
    <w:rsid w:val="004C3EEC"/>
    <w:rsid w:val="004C3F1E"/>
    <w:rsid w:val="004C43D4"/>
    <w:rsid w:val="004C43E4"/>
    <w:rsid w:val="004C457E"/>
    <w:rsid w:val="004C4AE1"/>
    <w:rsid w:val="004C537F"/>
    <w:rsid w:val="004C5875"/>
    <w:rsid w:val="004C5CA3"/>
    <w:rsid w:val="004C6155"/>
    <w:rsid w:val="004C644C"/>
    <w:rsid w:val="004C645B"/>
    <w:rsid w:val="004C7A05"/>
    <w:rsid w:val="004C7A39"/>
    <w:rsid w:val="004C7E07"/>
    <w:rsid w:val="004C7E8D"/>
    <w:rsid w:val="004C7F01"/>
    <w:rsid w:val="004C7F6D"/>
    <w:rsid w:val="004D0F00"/>
    <w:rsid w:val="004D101E"/>
    <w:rsid w:val="004D115F"/>
    <w:rsid w:val="004D1283"/>
    <w:rsid w:val="004D1463"/>
    <w:rsid w:val="004D1CB3"/>
    <w:rsid w:val="004D1DE2"/>
    <w:rsid w:val="004D1DF2"/>
    <w:rsid w:val="004D1E24"/>
    <w:rsid w:val="004D20D9"/>
    <w:rsid w:val="004D2159"/>
    <w:rsid w:val="004D21FE"/>
    <w:rsid w:val="004D2950"/>
    <w:rsid w:val="004D2D1D"/>
    <w:rsid w:val="004D2D76"/>
    <w:rsid w:val="004D3379"/>
    <w:rsid w:val="004D3612"/>
    <w:rsid w:val="004D3864"/>
    <w:rsid w:val="004D3A87"/>
    <w:rsid w:val="004D3D53"/>
    <w:rsid w:val="004D4246"/>
    <w:rsid w:val="004D4273"/>
    <w:rsid w:val="004D44A8"/>
    <w:rsid w:val="004D45F6"/>
    <w:rsid w:val="004D47F2"/>
    <w:rsid w:val="004D5757"/>
    <w:rsid w:val="004D5819"/>
    <w:rsid w:val="004D5A97"/>
    <w:rsid w:val="004D6046"/>
    <w:rsid w:val="004D61FA"/>
    <w:rsid w:val="004D6EC1"/>
    <w:rsid w:val="004D6F04"/>
    <w:rsid w:val="004D739B"/>
    <w:rsid w:val="004D7F1B"/>
    <w:rsid w:val="004E094D"/>
    <w:rsid w:val="004E0BA0"/>
    <w:rsid w:val="004E0CA7"/>
    <w:rsid w:val="004E1021"/>
    <w:rsid w:val="004E112B"/>
    <w:rsid w:val="004E14B0"/>
    <w:rsid w:val="004E1562"/>
    <w:rsid w:val="004E15C9"/>
    <w:rsid w:val="004E1829"/>
    <w:rsid w:val="004E19C9"/>
    <w:rsid w:val="004E1F3A"/>
    <w:rsid w:val="004E2153"/>
    <w:rsid w:val="004E4163"/>
    <w:rsid w:val="004E43A0"/>
    <w:rsid w:val="004E4558"/>
    <w:rsid w:val="004E4846"/>
    <w:rsid w:val="004E4C4F"/>
    <w:rsid w:val="004E5002"/>
    <w:rsid w:val="004E51C8"/>
    <w:rsid w:val="004E5830"/>
    <w:rsid w:val="004E5C50"/>
    <w:rsid w:val="004E5D60"/>
    <w:rsid w:val="004E5E7A"/>
    <w:rsid w:val="004E66ED"/>
    <w:rsid w:val="004E67ED"/>
    <w:rsid w:val="004E6815"/>
    <w:rsid w:val="004E6B4D"/>
    <w:rsid w:val="004E7007"/>
    <w:rsid w:val="004E70AA"/>
    <w:rsid w:val="004E7386"/>
    <w:rsid w:val="004E7516"/>
    <w:rsid w:val="004E7D1F"/>
    <w:rsid w:val="004E7EB0"/>
    <w:rsid w:val="004F07D9"/>
    <w:rsid w:val="004F0AC5"/>
    <w:rsid w:val="004F0D23"/>
    <w:rsid w:val="004F103C"/>
    <w:rsid w:val="004F10E7"/>
    <w:rsid w:val="004F1843"/>
    <w:rsid w:val="004F1CE0"/>
    <w:rsid w:val="004F2206"/>
    <w:rsid w:val="004F2C6E"/>
    <w:rsid w:val="004F2F86"/>
    <w:rsid w:val="004F3EC5"/>
    <w:rsid w:val="004F3F60"/>
    <w:rsid w:val="004F41FE"/>
    <w:rsid w:val="004F506E"/>
    <w:rsid w:val="004F52BB"/>
    <w:rsid w:val="004F54DC"/>
    <w:rsid w:val="004F5649"/>
    <w:rsid w:val="004F59B0"/>
    <w:rsid w:val="004F60F5"/>
    <w:rsid w:val="004F60FA"/>
    <w:rsid w:val="004F63A2"/>
    <w:rsid w:val="004F6466"/>
    <w:rsid w:val="004F6EE4"/>
    <w:rsid w:val="004F713A"/>
    <w:rsid w:val="004F796B"/>
    <w:rsid w:val="004F79CB"/>
    <w:rsid w:val="004F7A2F"/>
    <w:rsid w:val="004F7E84"/>
    <w:rsid w:val="00500002"/>
    <w:rsid w:val="00500463"/>
    <w:rsid w:val="00500817"/>
    <w:rsid w:val="00500A99"/>
    <w:rsid w:val="0050197A"/>
    <w:rsid w:val="00501DBB"/>
    <w:rsid w:val="00501F6F"/>
    <w:rsid w:val="005022CE"/>
    <w:rsid w:val="005023B0"/>
    <w:rsid w:val="005023E8"/>
    <w:rsid w:val="0050250C"/>
    <w:rsid w:val="00502686"/>
    <w:rsid w:val="00502F45"/>
    <w:rsid w:val="005033C2"/>
    <w:rsid w:val="0050344B"/>
    <w:rsid w:val="005038F6"/>
    <w:rsid w:val="00503B5F"/>
    <w:rsid w:val="00504156"/>
    <w:rsid w:val="0050460A"/>
    <w:rsid w:val="005047E1"/>
    <w:rsid w:val="00504882"/>
    <w:rsid w:val="00504D7A"/>
    <w:rsid w:val="00505551"/>
    <w:rsid w:val="0050566D"/>
    <w:rsid w:val="00505A53"/>
    <w:rsid w:val="00505F4C"/>
    <w:rsid w:val="0050609C"/>
    <w:rsid w:val="005060CB"/>
    <w:rsid w:val="00506307"/>
    <w:rsid w:val="005063B9"/>
    <w:rsid w:val="00506AC0"/>
    <w:rsid w:val="00506D31"/>
    <w:rsid w:val="0050711A"/>
    <w:rsid w:val="005072C9"/>
    <w:rsid w:val="00507D19"/>
    <w:rsid w:val="00510395"/>
    <w:rsid w:val="00510BB2"/>
    <w:rsid w:val="00510C1E"/>
    <w:rsid w:val="00510D01"/>
    <w:rsid w:val="00510DF0"/>
    <w:rsid w:val="00511321"/>
    <w:rsid w:val="00511600"/>
    <w:rsid w:val="005116EB"/>
    <w:rsid w:val="00511787"/>
    <w:rsid w:val="005119AD"/>
    <w:rsid w:val="00511BA0"/>
    <w:rsid w:val="00511D11"/>
    <w:rsid w:val="00511D31"/>
    <w:rsid w:val="00511E7E"/>
    <w:rsid w:val="00512224"/>
    <w:rsid w:val="00512653"/>
    <w:rsid w:val="005129AB"/>
    <w:rsid w:val="00512BD9"/>
    <w:rsid w:val="00512E29"/>
    <w:rsid w:val="0051322E"/>
    <w:rsid w:val="005134D6"/>
    <w:rsid w:val="005137A4"/>
    <w:rsid w:val="00513822"/>
    <w:rsid w:val="00513E16"/>
    <w:rsid w:val="00513F68"/>
    <w:rsid w:val="005142DD"/>
    <w:rsid w:val="00515329"/>
    <w:rsid w:val="00515AA5"/>
    <w:rsid w:val="00517820"/>
    <w:rsid w:val="005179E2"/>
    <w:rsid w:val="00517CFC"/>
    <w:rsid w:val="005202E6"/>
    <w:rsid w:val="00520991"/>
    <w:rsid w:val="00520BB5"/>
    <w:rsid w:val="00521231"/>
    <w:rsid w:val="0052126C"/>
    <w:rsid w:val="00521E2E"/>
    <w:rsid w:val="00521F32"/>
    <w:rsid w:val="005224FD"/>
    <w:rsid w:val="005225F4"/>
    <w:rsid w:val="005226A5"/>
    <w:rsid w:val="005228C2"/>
    <w:rsid w:val="00523374"/>
    <w:rsid w:val="0052390F"/>
    <w:rsid w:val="0052398D"/>
    <w:rsid w:val="00523D22"/>
    <w:rsid w:val="0052463C"/>
    <w:rsid w:val="00524DE0"/>
    <w:rsid w:val="00524F2B"/>
    <w:rsid w:val="0052501C"/>
    <w:rsid w:val="005257C1"/>
    <w:rsid w:val="00525808"/>
    <w:rsid w:val="00525D07"/>
    <w:rsid w:val="00525E77"/>
    <w:rsid w:val="00525F10"/>
    <w:rsid w:val="005263BC"/>
    <w:rsid w:val="0052658B"/>
    <w:rsid w:val="005265EA"/>
    <w:rsid w:val="005266AE"/>
    <w:rsid w:val="00526791"/>
    <w:rsid w:val="00527048"/>
    <w:rsid w:val="005272F1"/>
    <w:rsid w:val="0052762C"/>
    <w:rsid w:val="00527D14"/>
    <w:rsid w:val="00527DCF"/>
    <w:rsid w:val="00527EB8"/>
    <w:rsid w:val="005303A3"/>
    <w:rsid w:val="0053091D"/>
    <w:rsid w:val="00530E7C"/>
    <w:rsid w:val="00531176"/>
    <w:rsid w:val="00531311"/>
    <w:rsid w:val="00531387"/>
    <w:rsid w:val="00531533"/>
    <w:rsid w:val="00531694"/>
    <w:rsid w:val="00531CD8"/>
    <w:rsid w:val="00531E0C"/>
    <w:rsid w:val="00532043"/>
    <w:rsid w:val="0053251E"/>
    <w:rsid w:val="0053293F"/>
    <w:rsid w:val="00532952"/>
    <w:rsid w:val="00532A55"/>
    <w:rsid w:val="00532D4A"/>
    <w:rsid w:val="00532E3F"/>
    <w:rsid w:val="00532E69"/>
    <w:rsid w:val="00533A87"/>
    <w:rsid w:val="005343AC"/>
    <w:rsid w:val="00534B65"/>
    <w:rsid w:val="00534D9A"/>
    <w:rsid w:val="00534DA0"/>
    <w:rsid w:val="00534E63"/>
    <w:rsid w:val="00535588"/>
    <w:rsid w:val="00535CED"/>
    <w:rsid w:val="00535D79"/>
    <w:rsid w:val="0053617A"/>
    <w:rsid w:val="005364CB"/>
    <w:rsid w:val="00537566"/>
    <w:rsid w:val="00537AF3"/>
    <w:rsid w:val="00537D58"/>
    <w:rsid w:val="00540013"/>
    <w:rsid w:val="00540D48"/>
    <w:rsid w:val="00540FE4"/>
    <w:rsid w:val="0054165D"/>
    <w:rsid w:val="005420BC"/>
    <w:rsid w:val="0054262E"/>
    <w:rsid w:val="0054289F"/>
    <w:rsid w:val="00542912"/>
    <w:rsid w:val="0054293C"/>
    <w:rsid w:val="00542C20"/>
    <w:rsid w:val="00543267"/>
    <w:rsid w:val="0054345C"/>
    <w:rsid w:val="005438A2"/>
    <w:rsid w:val="00543FD0"/>
    <w:rsid w:val="005441D8"/>
    <w:rsid w:val="0054427E"/>
    <w:rsid w:val="00544BE5"/>
    <w:rsid w:val="00545045"/>
    <w:rsid w:val="0054523E"/>
    <w:rsid w:val="00545EA4"/>
    <w:rsid w:val="00546E51"/>
    <w:rsid w:val="00546EDE"/>
    <w:rsid w:val="00547782"/>
    <w:rsid w:val="005479CA"/>
    <w:rsid w:val="00547A76"/>
    <w:rsid w:val="00547B58"/>
    <w:rsid w:val="00547B8B"/>
    <w:rsid w:val="00547E4A"/>
    <w:rsid w:val="00547F9D"/>
    <w:rsid w:val="005504DA"/>
    <w:rsid w:val="0055068A"/>
    <w:rsid w:val="0055079F"/>
    <w:rsid w:val="00551813"/>
    <w:rsid w:val="00551945"/>
    <w:rsid w:val="005522E4"/>
    <w:rsid w:val="00552407"/>
    <w:rsid w:val="00552827"/>
    <w:rsid w:val="00552CBF"/>
    <w:rsid w:val="00553773"/>
    <w:rsid w:val="005539BF"/>
    <w:rsid w:val="00553A2F"/>
    <w:rsid w:val="005543CC"/>
    <w:rsid w:val="00554541"/>
    <w:rsid w:val="00554CA0"/>
    <w:rsid w:val="00555471"/>
    <w:rsid w:val="00556835"/>
    <w:rsid w:val="005568EC"/>
    <w:rsid w:val="00556C93"/>
    <w:rsid w:val="005571CA"/>
    <w:rsid w:val="005571F3"/>
    <w:rsid w:val="0055723B"/>
    <w:rsid w:val="0055771B"/>
    <w:rsid w:val="00557A13"/>
    <w:rsid w:val="00557A8B"/>
    <w:rsid w:val="00557F2F"/>
    <w:rsid w:val="00557FE0"/>
    <w:rsid w:val="005601EF"/>
    <w:rsid w:val="0056036E"/>
    <w:rsid w:val="00560866"/>
    <w:rsid w:val="00561599"/>
    <w:rsid w:val="0056194B"/>
    <w:rsid w:val="00561A73"/>
    <w:rsid w:val="005628FA"/>
    <w:rsid w:val="0056297B"/>
    <w:rsid w:val="00562A3F"/>
    <w:rsid w:val="00562D9F"/>
    <w:rsid w:val="005633A7"/>
    <w:rsid w:val="00563825"/>
    <w:rsid w:val="00563DC0"/>
    <w:rsid w:val="00563FEC"/>
    <w:rsid w:val="00564419"/>
    <w:rsid w:val="0056479C"/>
    <w:rsid w:val="005649F8"/>
    <w:rsid w:val="00564A71"/>
    <w:rsid w:val="00565027"/>
    <w:rsid w:val="005650C9"/>
    <w:rsid w:val="00565336"/>
    <w:rsid w:val="005658D4"/>
    <w:rsid w:val="00565A85"/>
    <w:rsid w:val="005662B2"/>
    <w:rsid w:val="005664AD"/>
    <w:rsid w:val="005668E0"/>
    <w:rsid w:val="00566A8E"/>
    <w:rsid w:val="00566D89"/>
    <w:rsid w:val="00566EDA"/>
    <w:rsid w:val="005674C3"/>
    <w:rsid w:val="00567C72"/>
    <w:rsid w:val="00567DA3"/>
    <w:rsid w:val="0057083F"/>
    <w:rsid w:val="005709A3"/>
    <w:rsid w:val="00570F1F"/>
    <w:rsid w:val="00571772"/>
    <w:rsid w:val="005719AE"/>
    <w:rsid w:val="00572362"/>
    <w:rsid w:val="005726F8"/>
    <w:rsid w:val="00573493"/>
    <w:rsid w:val="0057368F"/>
    <w:rsid w:val="0057393F"/>
    <w:rsid w:val="00573AC2"/>
    <w:rsid w:val="00573BA3"/>
    <w:rsid w:val="00574246"/>
    <w:rsid w:val="005745F1"/>
    <w:rsid w:val="0057469C"/>
    <w:rsid w:val="005748A0"/>
    <w:rsid w:val="00574AF2"/>
    <w:rsid w:val="00574BF1"/>
    <w:rsid w:val="00575164"/>
    <w:rsid w:val="00576310"/>
    <w:rsid w:val="005768C1"/>
    <w:rsid w:val="0057732F"/>
    <w:rsid w:val="00577F9F"/>
    <w:rsid w:val="005801BF"/>
    <w:rsid w:val="0058028B"/>
    <w:rsid w:val="005803F7"/>
    <w:rsid w:val="00580E78"/>
    <w:rsid w:val="00581002"/>
    <w:rsid w:val="00581081"/>
    <w:rsid w:val="00581084"/>
    <w:rsid w:val="00581295"/>
    <w:rsid w:val="005814ED"/>
    <w:rsid w:val="00581BEB"/>
    <w:rsid w:val="00581D64"/>
    <w:rsid w:val="00582B4B"/>
    <w:rsid w:val="005836E4"/>
    <w:rsid w:val="00584084"/>
    <w:rsid w:val="005843AD"/>
    <w:rsid w:val="0058486B"/>
    <w:rsid w:val="00584997"/>
    <w:rsid w:val="00584BE7"/>
    <w:rsid w:val="00584CC2"/>
    <w:rsid w:val="00584DEA"/>
    <w:rsid w:val="00585195"/>
    <w:rsid w:val="0058526A"/>
    <w:rsid w:val="00585865"/>
    <w:rsid w:val="00585F10"/>
    <w:rsid w:val="00586097"/>
    <w:rsid w:val="005868C6"/>
    <w:rsid w:val="00586D76"/>
    <w:rsid w:val="005875B2"/>
    <w:rsid w:val="00587EC3"/>
    <w:rsid w:val="00587FEB"/>
    <w:rsid w:val="0059032B"/>
    <w:rsid w:val="005903D6"/>
    <w:rsid w:val="005909A9"/>
    <w:rsid w:val="00590E7E"/>
    <w:rsid w:val="005914E3"/>
    <w:rsid w:val="00591CDB"/>
    <w:rsid w:val="00591D26"/>
    <w:rsid w:val="00591D8F"/>
    <w:rsid w:val="005924B9"/>
    <w:rsid w:val="005924CF"/>
    <w:rsid w:val="00592BE3"/>
    <w:rsid w:val="00592C4F"/>
    <w:rsid w:val="0059309A"/>
    <w:rsid w:val="00593C31"/>
    <w:rsid w:val="00593D49"/>
    <w:rsid w:val="00594077"/>
    <w:rsid w:val="005944C9"/>
    <w:rsid w:val="0059455A"/>
    <w:rsid w:val="00594727"/>
    <w:rsid w:val="00594BAD"/>
    <w:rsid w:val="00594C8A"/>
    <w:rsid w:val="00594E64"/>
    <w:rsid w:val="00594FF6"/>
    <w:rsid w:val="005952AB"/>
    <w:rsid w:val="0059533B"/>
    <w:rsid w:val="005953FC"/>
    <w:rsid w:val="00595402"/>
    <w:rsid w:val="005955AB"/>
    <w:rsid w:val="00595613"/>
    <w:rsid w:val="00595D66"/>
    <w:rsid w:val="00596063"/>
    <w:rsid w:val="005964C3"/>
    <w:rsid w:val="00596551"/>
    <w:rsid w:val="00596948"/>
    <w:rsid w:val="00597060"/>
    <w:rsid w:val="005972D0"/>
    <w:rsid w:val="00597309"/>
    <w:rsid w:val="00597516"/>
    <w:rsid w:val="00597915"/>
    <w:rsid w:val="00597D52"/>
    <w:rsid w:val="00597DC0"/>
    <w:rsid w:val="005A024A"/>
    <w:rsid w:val="005A08DF"/>
    <w:rsid w:val="005A1086"/>
    <w:rsid w:val="005A1E0F"/>
    <w:rsid w:val="005A271B"/>
    <w:rsid w:val="005A2798"/>
    <w:rsid w:val="005A2D06"/>
    <w:rsid w:val="005A2D4A"/>
    <w:rsid w:val="005A2D9F"/>
    <w:rsid w:val="005A3F69"/>
    <w:rsid w:val="005A4467"/>
    <w:rsid w:val="005A44FB"/>
    <w:rsid w:val="005A4725"/>
    <w:rsid w:val="005A56F0"/>
    <w:rsid w:val="005A5713"/>
    <w:rsid w:val="005A5977"/>
    <w:rsid w:val="005A643D"/>
    <w:rsid w:val="005A6538"/>
    <w:rsid w:val="005A68F9"/>
    <w:rsid w:val="005A6D61"/>
    <w:rsid w:val="005A7019"/>
    <w:rsid w:val="005A7134"/>
    <w:rsid w:val="005A71D0"/>
    <w:rsid w:val="005A7276"/>
    <w:rsid w:val="005A76BA"/>
    <w:rsid w:val="005A7EAA"/>
    <w:rsid w:val="005B0603"/>
    <w:rsid w:val="005B103B"/>
    <w:rsid w:val="005B10F6"/>
    <w:rsid w:val="005B130B"/>
    <w:rsid w:val="005B1562"/>
    <w:rsid w:val="005B18EA"/>
    <w:rsid w:val="005B1BB7"/>
    <w:rsid w:val="005B26D6"/>
    <w:rsid w:val="005B29B5"/>
    <w:rsid w:val="005B2A90"/>
    <w:rsid w:val="005B2E64"/>
    <w:rsid w:val="005B354C"/>
    <w:rsid w:val="005B376B"/>
    <w:rsid w:val="005B387A"/>
    <w:rsid w:val="005B389D"/>
    <w:rsid w:val="005B3C03"/>
    <w:rsid w:val="005B3CD5"/>
    <w:rsid w:val="005B442B"/>
    <w:rsid w:val="005B4DE2"/>
    <w:rsid w:val="005B4F59"/>
    <w:rsid w:val="005B5027"/>
    <w:rsid w:val="005B5440"/>
    <w:rsid w:val="005B5522"/>
    <w:rsid w:val="005B5B49"/>
    <w:rsid w:val="005B5F38"/>
    <w:rsid w:val="005B62C8"/>
    <w:rsid w:val="005B6636"/>
    <w:rsid w:val="005B6B9C"/>
    <w:rsid w:val="005B6FC4"/>
    <w:rsid w:val="005B7625"/>
    <w:rsid w:val="005B79E3"/>
    <w:rsid w:val="005C0392"/>
    <w:rsid w:val="005C06B5"/>
    <w:rsid w:val="005C11B4"/>
    <w:rsid w:val="005C143D"/>
    <w:rsid w:val="005C1756"/>
    <w:rsid w:val="005C1BCF"/>
    <w:rsid w:val="005C2127"/>
    <w:rsid w:val="005C2309"/>
    <w:rsid w:val="005C23CF"/>
    <w:rsid w:val="005C257E"/>
    <w:rsid w:val="005C2F7E"/>
    <w:rsid w:val="005C3B77"/>
    <w:rsid w:val="005C4306"/>
    <w:rsid w:val="005C46B1"/>
    <w:rsid w:val="005C5586"/>
    <w:rsid w:val="005C56DE"/>
    <w:rsid w:val="005C5761"/>
    <w:rsid w:val="005C667B"/>
    <w:rsid w:val="005C6885"/>
    <w:rsid w:val="005C6C33"/>
    <w:rsid w:val="005C6D38"/>
    <w:rsid w:val="005C708F"/>
    <w:rsid w:val="005C7DDF"/>
    <w:rsid w:val="005D007D"/>
    <w:rsid w:val="005D0198"/>
    <w:rsid w:val="005D0CEC"/>
    <w:rsid w:val="005D0CFF"/>
    <w:rsid w:val="005D148D"/>
    <w:rsid w:val="005D206F"/>
    <w:rsid w:val="005D2233"/>
    <w:rsid w:val="005D225C"/>
    <w:rsid w:val="005D2266"/>
    <w:rsid w:val="005D24E7"/>
    <w:rsid w:val="005D2DDE"/>
    <w:rsid w:val="005D323A"/>
    <w:rsid w:val="005D34E7"/>
    <w:rsid w:val="005D3EAB"/>
    <w:rsid w:val="005D452F"/>
    <w:rsid w:val="005D47E7"/>
    <w:rsid w:val="005D4CB8"/>
    <w:rsid w:val="005D4D47"/>
    <w:rsid w:val="005D52B3"/>
    <w:rsid w:val="005D5A8D"/>
    <w:rsid w:val="005D5D7D"/>
    <w:rsid w:val="005D6798"/>
    <w:rsid w:val="005D6990"/>
    <w:rsid w:val="005D6CD1"/>
    <w:rsid w:val="005D7F58"/>
    <w:rsid w:val="005E045B"/>
    <w:rsid w:val="005E0B68"/>
    <w:rsid w:val="005E0FBD"/>
    <w:rsid w:val="005E1672"/>
    <w:rsid w:val="005E2079"/>
    <w:rsid w:val="005E2957"/>
    <w:rsid w:val="005E2CA6"/>
    <w:rsid w:val="005E2D6F"/>
    <w:rsid w:val="005E2D77"/>
    <w:rsid w:val="005E3137"/>
    <w:rsid w:val="005E316F"/>
    <w:rsid w:val="005E3181"/>
    <w:rsid w:val="005E346F"/>
    <w:rsid w:val="005E355F"/>
    <w:rsid w:val="005E3724"/>
    <w:rsid w:val="005E37D8"/>
    <w:rsid w:val="005E4518"/>
    <w:rsid w:val="005E4A87"/>
    <w:rsid w:val="005E4ABB"/>
    <w:rsid w:val="005E4F69"/>
    <w:rsid w:val="005E4FFB"/>
    <w:rsid w:val="005E520B"/>
    <w:rsid w:val="005E6551"/>
    <w:rsid w:val="005E7AAA"/>
    <w:rsid w:val="005F0650"/>
    <w:rsid w:val="005F0982"/>
    <w:rsid w:val="005F0A88"/>
    <w:rsid w:val="005F0F33"/>
    <w:rsid w:val="005F15B6"/>
    <w:rsid w:val="005F2026"/>
    <w:rsid w:val="005F2D7D"/>
    <w:rsid w:val="005F2DCE"/>
    <w:rsid w:val="005F3364"/>
    <w:rsid w:val="005F371B"/>
    <w:rsid w:val="005F3AB5"/>
    <w:rsid w:val="005F3D56"/>
    <w:rsid w:val="005F3F59"/>
    <w:rsid w:val="005F4450"/>
    <w:rsid w:val="005F467C"/>
    <w:rsid w:val="005F471E"/>
    <w:rsid w:val="005F48F3"/>
    <w:rsid w:val="005F4CA7"/>
    <w:rsid w:val="005F503B"/>
    <w:rsid w:val="005F5688"/>
    <w:rsid w:val="005F591B"/>
    <w:rsid w:val="005F59AE"/>
    <w:rsid w:val="005F60DC"/>
    <w:rsid w:val="005F669E"/>
    <w:rsid w:val="005F66A1"/>
    <w:rsid w:val="005F6F25"/>
    <w:rsid w:val="005F7AA0"/>
    <w:rsid w:val="005F7BC0"/>
    <w:rsid w:val="005F7DAE"/>
    <w:rsid w:val="0060045C"/>
    <w:rsid w:val="00600570"/>
    <w:rsid w:val="006005BC"/>
    <w:rsid w:val="006008E4"/>
    <w:rsid w:val="00600CD3"/>
    <w:rsid w:val="006012FF"/>
    <w:rsid w:val="006013C6"/>
    <w:rsid w:val="006013E9"/>
    <w:rsid w:val="00601FC5"/>
    <w:rsid w:val="00602445"/>
    <w:rsid w:val="006028EF"/>
    <w:rsid w:val="00603003"/>
    <w:rsid w:val="0060341F"/>
    <w:rsid w:val="006039C5"/>
    <w:rsid w:val="00603AC0"/>
    <w:rsid w:val="00603D84"/>
    <w:rsid w:val="00603ECB"/>
    <w:rsid w:val="0060438F"/>
    <w:rsid w:val="00604C18"/>
    <w:rsid w:val="00604FE3"/>
    <w:rsid w:val="006053C2"/>
    <w:rsid w:val="0060553E"/>
    <w:rsid w:val="0060569C"/>
    <w:rsid w:val="00605ABA"/>
    <w:rsid w:val="00605BEB"/>
    <w:rsid w:val="00605DFA"/>
    <w:rsid w:val="00605F25"/>
    <w:rsid w:val="00605FFE"/>
    <w:rsid w:val="006065D8"/>
    <w:rsid w:val="00606A15"/>
    <w:rsid w:val="00606CBD"/>
    <w:rsid w:val="0060744E"/>
    <w:rsid w:val="00607D7F"/>
    <w:rsid w:val="006100D1"/>
    <w:rsid w:val="006101FD"/>
    <w:rsid w:val="006104E4"/>
    <w:rsid w:val="00610524"/>
    <w:rsid w:val="00610580"/>
    <w:rsid w:val="00610E0C"/>
    <w:rsid w:val="00611300"/>
    <w:rsid w:val="006118E9"/>
    <w:rsid w:val="00611971"/>
    <w:rsid w:val="006119D4"/>
    <w:rsid w:val="00611AEA"/>
    <w:rsid w:val="00611D49"/>
    <w:rsid w:val="00611DD7"/>
    <w:rsid w:val="0061214C"/>
    <w:rsid w:val="00612DED"/>
    <w:rsid w:val="00613622"/>
    <w:rsid w:val="00613E51"/>
    <w:rsid w:val="00614081"/>
    <w:rsid w:val="00614332"/>
    <w:rsid w:val="00614725"/>
    <w:rsid w:val="00614863"/>
    <w:rsid w:val="00614BD9"/>
    <w:rsid w:val="00614D36"/>
    <w:rsid w:val="00614D6C"/>
    <w:rsid w:val="0061517A"/>
    <w:rsid w:val="00615344"/>
    <w:rsid w:val="00615527"/>
    <w:rsid w:val="00615CFE"/>
    <w:rsid w:val="00615DB2"/>
    <w:rsid w:val="00616838"/>
    <w:rsid w:val="00616864"/>
    <w:rsid w:val="0061719F"/>
    <w:rsid w:val="006171D1"/>
    <w:rsid w:val="006175B3"/>
    <w:rsid w:val="00617869"/>
    <w:rsid w:val="0061789D"/>
    <w:rsid w:val="006179AC"/>
    <w:rsid w:val="006179D7"/>
    <w:rsid w:val="00617AD7"/>
    <w:rsid w:val="006204B7"/>
    <w:rsid w:val="00620D25"/>
    <w:rsid w:val="0062116B"/>
    <w:rsid w:val="0062124A"/>
    <w:rsid w:val="006213E6"/>
    <w:rsid w:val="006218B8"/>
    <w:rsid w:val="00621A66"/>
    <w:rsid w:val="00621E9F"/>
    <w:rsid w:val="00622908"/>
    <w:rsid w:val="00622FF3"/>
    <w:rsid w:val="00623133"/>
    <w:rsid w:val="006233B1"/>
    <w:rsid w:val="00623B3A"/>
    <w:rsid w:val="00623BB0"/>
    <w:rsid w:val="00623CBD"/>
    <w:rsid w:val="00623E53"/>
    <w:rsid w:val="00623F5F"/>
    <w:rsid w:val="0062404D"/>
    <w:rsid w:val="00624180"/>
    <w:rsid w:val="006246D5"/>
    <w:rsid w:val="00624827"/>
    <w:rsid w:val="00625123"/>
    <w:rsid w:val="00625553"/>
    <w:rsid w:val="00625953"/>
    <w:rsid w:val="00625A27"/>
    <w:rsid w:val="00625DE8"/>
    <w:rsid w:val="00625E4D"/>
    <w:rsid w:val="00625F55"/>
    <w:rsid w:val="00626031"/>
    <w:rsid w:val="00626681"/>
    <w:rsid w:val="00626EC8"/>
    <w:rsid w:val="0062704E"/>
    <w:rsid w:val="0062774D"/>
    <w:rsid w:val="00627DE2"/>
    <w:rsid w:val="00630839"/>
    <w:rsid w:val="00630BCC"/>
    <w:rsid w:val="00630E44"/>
    <w:rsid w:val="0063165E"/>
    <w:rsid w:val="00631766"/>
    <w:rsid w:val="00631E91"/>
    <w:rsid w:val="006322DA"/>
    <w:rsid w:val="0063266B"/>
    <w:rsid w:val="00632A99"/>
    <w:rsid w:val="00633169"/>
    <w:rsid w:val="006331D7"/>
    <w:rsid w:val="006339D2"/>
    <w:rsid w:val="00633B09"/>
    <w:rsid w:val="00633CB0"/>
    <w:rsid w:val="0063452D"/>
    <w:rsid w:val="00634856"/>
    <w:rsid w:val="006348F0"/>
    <w:rsid w:val="00634917"/>
    <w:rsid w:val="006349BD"/>
    <w:rsid w:val="00634B44"/>
    <w:rsid w:val="00634C20"/>
    <w:rsid w:val="00635435"/>
    <w:rsid w:val="0063548E"/>
    <w:rsid w:val="00635FCD"/>
    <w:rsid w:val="00636159"/>
    <w:rsid w:val="0063622F"/>
    <w:rsid w:val="0063656A"/>
    <w:rsid w:val="0063661C"/>
    <w:rsid w:val="00636AA2"/>
    <w:rsid w:val="00637638"/>
    <w:rsid w:val="00637801"/>
    <w:rsid w:val="0063784B"/>
    <w:rsid w:val="006378CC"/>
    <w:rsid w:val="00637CBE"/>
    <w:rsid w:val="00637E2D"/>
    <w:rsid w:val="006404AC"/>
    <w:rsid w:val="00640D70"/>
    <w:rsid w:val="00640E6B"/>
    <w:rsid w:val="006414B8"/>
    <w:rsid w:val="0064163F"/>
    <w:rsid w:val="00641705"/>
    <w:rsid w:val="00641A39"/>
    <w:rsid w:val="00641FD7"/>
    <w:rsid w:val="0064248A"/>
    <w:rsid w:val="00642B65"/>
    <w:rsid w:val="006436AA"/>
    <w:rsid w:val="00643889"/>
    <w:rsid w:val="00643DB1"/>
    <w:rsid w:val="00643F65"/>
    <w:rsid w:val="00644083"/>
    <w:rsid w:val="00644708"/>
    <w:rsid w:val="00644EE6"/>
    <w:rsid w:val="0064528D"/>
    <w:rsid w:val="0064580D"/>
    <w:rsid w:val="006458CB"/>
    <w:rsid w:val="00645983"/>
    <w:rsid w:val="00645A33"/>
    <w:rsid w:val="00645BC1"/>
    <w:rsid w:val="00646367"/>
    <w:rsid w:val="00646383"/>
    <w:rsid w:val="00646545"/>
    <w:rsid w:val="00646851"/>
    <w:rsid w:val="00646E33"/>
    <w:rsid w:val="00647574"/>
    <w:rsid w:val="006475DA"/>
    <w:rsid w:val="00647BDC"/>
    <w:rsid w:val="00647CD7"/>
    <w:rsid w:val="00647F60"/>
    <w:rsid w:val="00650112"/>
    <w:rsid w:val="0065012A"/>
    <w:rsid w:val="006506F8"/>
    <w:rsid w:val="006509F2"/>
    <w:rsid w:val="00650B2D"/>
    <w:rsid w:val="00650EFC"/>
    <w:rsid w:val="00651256"/>
    <w:rsid w:val="00651431"/>
    <w:rsid w:val="006519EA"/>
    <w:rsid w:val="00651C88"/>
    <w:rsid w:val="00651D3C"/>
    <w:rsid w:val="00651DF1"/>
    <w:rsid w:val="0065279F"/>
    <w:rsid w:val="00652CF3"/>
    <w:rsid w:val="00653424"/>
    <w:rsid w:val="006535F8"/>
    <w:rsid w:val="00653748"/>
    <w:rsid w:val="00653762"/>
    <w:rsid w:val="006538C5"/>
    <w:rsid w:val="00653AF8"/>
    <w:rsid w:val="00653E9E"/>
    <w:rsid w:val="0065410E"/>
    <w:rsid w:val="00654463"/>
    <w:rsid w:val="00654523"/>
    <w:rsid w:val="0065480B"/>
    <w:rsid w:val="0065483C"/>
    <w:rsid w:val="00654D47"/>
    <w:rsid w:val="006552E8"/>
    <w:rsid w:val="0065572F"/>
    <w:rsid w:val="006557ED"/>
    <w:rsid w:val="00655B05"/>
    <w:rsid w:val="006568F4"/>
    <w:rsid w:val="006569E0"/>
    <w:rsid w:val="00656B1D"/>
    <w:rsid w:val="00656EA7"/>
    <w:rsid w:val="0065715B"/>
    <w:rsid w:val="00657A4A"/>
    <w:rsid w:val="00660084"/>
    <w:rsid w:val="00660166"/>
    <w:rsid w:val="00660B84"/>
    <w:rsid w:val="006615DF"/>
    <w:rsid w:val="00661CC7"/>
    <w:rsid w:val="00661F1E"/>
    <w:rsid w:val="00662458"/>
    <w:rsid w:val="006624E3"/>
    <w:rsid w:val="00662DC3"/>
    <w:rsid w:val="00663457"/>
    <w:rsid w:val="006636A4"/>
    <w:rsid w:val="00663A6F"/>
    <w:rsid w:val="00663C54"/>
    <w:rsid w:val="00663F8B"/>
    <w:rsid w:val="006640CF"/>
    <w:rsid w:val="006640EA"/>
    <w:rsid w:val="0066423F"/>
    <w:rsid w:val="00664545"/>
    <w:rsid w:val="00664AB1"/>
    <w:rsid w:val="00664ADF"/>
    <w:rsid w:val="00664C44"/>
    <w:rsid w:val="00664D95"/>
    <w:rsid w:val="006650E5"/>
    <w:rsid w:val="006653DD"/>
    <w:rsid w:val="00665730"/>
    <w:rsid w:val="00666C2A"/>
    <w:rsid w:val="00666D89"/>
    <w:rsid w:val="0066769C"/>
    <w:rsid w:val="006679B2"/>
    <w:rsid w:val="006704B4"/>
    <w:rsid w:val="006710AC"/>
    <w:rsid w:val="006710CC"/>
    <w:rsid w:val="00671179"/>
    <w:rsid w:val="00671334"/>
    <w:rsid w:val="0067148E"/>
    <w:rsid w:val="0067193F"/>
    <w:rsid w:val="00671977"/>
    <w:rsid w:val="00671B86"/>
    <w:rsid w:val="00671CB2"/>
    <w:rsid w:val="00671ED7"/>
    <w:rsid w:val="006723D7"/>
    <w:rsid w:val="00672479"/>
    <w:rsid w:val="006726B6"/>
    <w:rsid w:val="00672D4C"/>
    <w:rsid w:val="00672FBB"/>
    <w:rsid w:val="006732C2"/>
    <w:rsid w:val="006734B0"/>
    <w:rsid w:val="006734B3"/>
    <w:rsid w:val="00673C3C"/>
    <w:rsid w:val="006740BF"/>
    <w:rsid w:val="006742EE"/>
    <w:rsid w:val="00674F90"/>
    <w:rsid w:val="00675B28"/>
    <w:rsid w:val="006761A5"/>
    <w:rsid w:val="006766EA"/>
    <w:rsid w:val="006775AB"/>
    <w:rsid w:val="006777F6"/>
    <w:rsid w:val="00677B1C"/>
    <w:rsid w:val="00680205"/>
    <w:rsid w:val="00680273"/>
    <w:rsid w:val="00680747"/>
    <w:rsid w:val="00680DA1"/>
    <w:rsid w:val="00680E41"/>
    <w:rsid w:val="00681653"/>
    <w:rsid w:val="0068166A"/>
    <w:rsid w:val="00681751"/>
    <w:rsid w:val="00681EBE"/>
    <w:rsid w:val="00681EE3"/>
    <w:rsid w:val="0068202D"/>
    <w:rsid w:val="0068222E"/>
    <w:rsid w:val="006831C1"/>
    <w:rsid w:val="0068368A"/>
    <w:rsid w:val="00684167"/>
    <w:rsid w:val="006842E5"/>
    <w:rsid w:val="00684734"/>
    <w:rsid w:val="0068481F"/>
    <w:rsid w:val="0068494F"/>
    <w:rsid w:val="00684D55"/>
    <w:rsid w:val="00685973"/>
    <w:rsid w:val="00685A4B"/>
    <w:rsid w:val="00685C43"/>
    <w:rsid w:val="00685D7D"/>
    <w:rsid w:val="0068635D"/>
    <w:rsid w:val="006869DD"/>
    <w:rsid w:val="00686E57"/>
    <w:rsid w:val="00686F13"/>
    <w:rsid w:val="0068755D"/>
    <w:rsid w:val="00687596"/>
    <w:rsid w:val="00687947"/>
    <w:rsid w:val="006879C4"/>
    <w:rsid w:val="0069048A"/>
    <w:rsid w:val="00690DF0"/>
    <w:rsid w:val="00690F8C"/>
    <w:rsid w:val="006915CB"/>
    <w:rsid w:val="00691B50"/>
    <w:rsid w:val="0069227D"/>
    <w:rsid w:val="00692333"/>
    <w:rsid w:val="0069243E"/>
    <w:rsid w:val="00692A82"/>
    <w:rsid w:val="00692B16"/>
    <w:rsid w:val="00692F4B"/>
    <w:rsid w:val="00693047"/>
    <w:rsid w:val="006932BD"/>
    <w:rsid w:val="00693467"/>
    <w:rsid w:val="0069391B"/>
    <w:rsid w:val="00693AAB"/>
    <w:rsid w:val="0069424D"/>
    <w:rsid w:val="0069454C"/>
    <w:rsid w:val="00695200"/>
    <w:rsid w:val="00695219"/>
    <w:rsid w:val="006955FB"/>
    <w:rsid w:val="006956D5"/>
    <w:rsid w:val="006957D5"/>
    <w:rsid w:val="006958C2"/>
    <w:rsid w:val="00695EFF"/>
    <w:rsid w:val="00695F3B"/>
    <w:rsid w:val="0069627C"/>
    <w:rsid w:val="00696298"/>
    <w:rsid w:val="006965BA"/>
    <w:rsid w:val="0069694D"/>
    <w:rsid w:val="00697273"/>
    <w:rsid w:val="00697483"/>
    <w:rsid w:val="006978ED"/>
    <w:rsid w:val="006979D2"/>
    <w:rsid w:val="00697B8D"/>
    <w:rsid w:val="00697C21"/>
    <w:rsid w:val="00697FE0"/>
    <w:rsid w:val="006A0055"/>
    <w:rsid w:val="006A0B7F"/>
    <w:rsid w:val="006A1C19"/>
    <w:rsid w:val="006A22FA"/>
    <w:rsid w:val="006A230B"/>
    <w:rsid w:val="006A2B0C"/>
    <w:rsid w:val="006A34E1"/>
    <w:rsid w:val="006A3833"/>
    <w:rsid w:val="006A3D49"/>
    <w:rsid w:val="006A3D51"/>
    <w:rsid w:val="006A41DB"/>
    <w:rsid w:val="006A429C"/>
    <w:rsid w:val="006A4377"/>
    <w:rsid w:val="006A4626"/>
    <w:rsid w:val="006A46E0"/>
    <w:rsid w:val="006A5252"/>
    <w:rsid w:val="006A53D4"/>
    <w:rsid w:val="006A5631"/>
    <w:rsid w:val="006A611E"/>
    <w:rsid w:val="006A69F8"/>
    <w:rsid w:val="006A6C5C"/>
    <w:rsid w:val="006A6F7B"/>
    <w:rsid w:val="006A7BA1"/>
    <w:rsid w:val="006A7E8D"/>
    <w:rsid w:val="006B0116"/>
    <w:rsid w:val="006B0689"/>
    <w:rsid w:val="006B0FB4"/>
    <w:rsid w:val="006B1665"/>
    <w:rsid w:val="006B19B5"/>
    <w:rsid w:val="006B22E8"/>
    <w:rsid w:val="006B2B19"/>
    <w:rsid w:val="006B2BE1"/>
    <w:rsid w:val="006B30FE"/>
    <w:rsid w:val="006B3178"/>
    <w:rsid w:val="006B31E6"/>
    <w:rsid w:val="006B321F"/>
    <w:rsid w:val="006B3A74"/>
    <w:rsid w:val="006B3FDC"/>
    <w:rsid w:val="006B4231"/>
    <w:rsid w:val="006B4699"/>
    <w:rsid w:val="006B4D6C"/>
    <w:rsid w:val="006B4DF6"/>
    <w:rsid w:val="006B4E4E"/>
    <w:rsid w:val="006B4FDC"/>
    <w:rsid w:val="006B57E0"/>
    <w:rsid w:val="006B5818"/>
    <w:rsid w:val="006B5977"/>
    <w:rsid w:val="006B5B1C"/>
    <w:rsid w:val="006B60B1"/>
    <w:rsid w:val="006B63C6"/>
    <w:rsid w:val="006B75E4"/>
    <w:rsid w:val="006C0075"/>
    <w:rsid w:val="006C061C"/>
    <w:rsid w:val="006C0AF8"/>
    <w:rsid w:val="006C1303"/>
    <w:rsid w:val="006C1B20"/>
    <w:rsid w:val="006C1CDF"/>
    <w:rsid w:val="006C1E52"/>
    <w:rsid w:val="006C1EB3"/>
    <w:rsid w:val="006C2561"/>
    <w:rsid w:val="006C257B"/>
    <w:rsid w:val="006C2BD6"/>
    <w:rsid w:val="006C2C3D"/>
    <w:rsid w:val="006C39DA"/>
    <w:rsid w:val="006C4089"/>
    <w:rsid w:val="006C4720"/>
    <w:rsid w:val="006C4813"/>
    <w:rsid w:val="006C4B0B"/>
    <w:rsid w:val="006C4EE4"/>
    <w:rsid w:val="006C4F23"/>
    <w:rsid w:val="006C52EA"/>
    <w:rsid w:val="006C56F7"/>
    <w:rsid w:val="006C597C"/>
    <w:rsid w:val="006C652A"/>
    <w:rsid w:val="006C6597"/>
    <w:rsid w:val="006C6C34"/>
    <w:rsid w:val="006C6DE2"/>
    <w:rsid w:val="006C702F"/>
    <w:rsid w:val="006C7B48"/>
    <w:rsid w:val="006C7CB9"/>
    <w:rsid w:val="006C7CE7"/>
    <w:rsid w:val="006C7F42"/>
    <w:rsid w:val="006C7FF7"/>
    <w:rsid w:val="006D01E0"/>
    <w:rsid w:val="006D0297"/>
    <w:rsid w:val="006D0358"/>
    <w:rsid w:val="006D04A6"/>
    <w:rsid w:val="006D04F5"/>
    <w:rsid w:val="006D088A"/>
    <w:rsid w:val="006D09DF"/>
    <w:rsid w:val="006D09E2"/>
    <w:rsid w:val="006D0ADD"/>
    <w:rsid w:val="006D0F8A"/>
    <w:rsid w:val="006D1159"/>
    <w:rsid w:val="006D1384"/>
    <w:rsid w:val="006D19DC"/>
    <w:rsid w:val="006D1A02"/>
    <w:rsid w:val="006D1A7F"/>
    <w:rsid w:val="006D1C07"/>
    <w:rsid w:val="006D1CCC"/>
    <w:rsid w:val="006D1E88"/>
    <w:rsid w:val="006D321F"/>
    <w:rsid w:val="006D38F1"/>
    <w:rsid w:val="006D420C"/>
    <w:rsid w:val="006D4A06"/>
    <w:rsid w:val="006D4E22"/>
    <w:rsid w:val="006D5041"/>
    <w:rsid w:val="006D50F8"/>
    <w:rsid w:val="006D5323"/>
    <w:rsid w:val="006D5944"/>
    <w:rsid w:val="006D5A6E"/>
    <w:rsid w:val="006D5C44"/>
    <w:rsid w:val="006D5E1F"/>
    <w:rsid w:val="006D5E44"/>
    <w:rsid w:val="006D6145"/>
    <w:rsid w:val="006D6375"/>
    <w:rsid w:val="006D696A"/>
    <w:rsid w:val="006D6AE3"/>
    <w:rsid w:val="006D6BF8"/>
    <w:rsid w:val="006D6D83"/>
    <w:rsid w:val="006D7295"/>
    <w:rsid w:val="006D7A3D"/>
    <w:rsid w:val="006D7BD8"/>
    <w:rsid w:val="006E0252"/>
    <w:rsid w:val="006E0B5E"/>
    <w:rsid w:val="006E1007"/>
    <w:rsid w:val="006E12F7"/>
    <w:rsid w:val="006E1862"/>
    <w:rsid w:val="006E1ECF"/>
    <w:rsid w:val="006E1FF6"/>
    <w:rsid w:val="006E207E"/>
    <w:rsid w:val="006E2B7D"/>
    <w:rsid w:val="006E3ACE"/>
    <w:rsid w:val="006E3B0B"/>
    <w:rsid w:val="006E4296"/>
    <w:rsid w:val="006E530F"/>
    <w:rsid w:val="006E57CB"/>
    <w:rsid w:val="006E5A32"/>
    <w:rsid w:val="006E5A96"/>
    <w:rsid w:val="006E5D53"/>
    <w:rsid w:val="006E5EF9"/>
    <w:rsid w:val="006E6019"/>
    <w:rsid w:val="006E6152"/>
    <w:rsid w:val="006E6242"/>
    <w:rsid w:val="006E6CF2"/>
    <w:rsid w:val="006E6E42"/>
    <w:rsid w:val="006E70AF"/>
    <w:rsid w:val="006E72E7"/>
    <w:rsid w:val="006E7640"/>
    <w:rsid w:val="006E7D53"/>
    <w:rsid w:val="006F020B"/>
    <w:rsid w:val="006F09D0"/>
    <w:rsid w:val="006F0FAA"/>
    <w:rsid w:val="006F1649"/>
    <w:rsid w:val="006F1982"/>
    <w:rsid w:val="006F1FB9"/>
    <w:rsid w:val="006F2237"/>
    <w:rsid w:val="006F2292"/>
    <w:rsid w:val="006F23A2"/>
    <w:rsid w:val="006F23AC"/>
    <w:rsid w:val="006F252D"/>
    <w:rsid w:val="006F2870"/>
    <w:rsid w:val="006F3770"/>
    <w:rsid w:val="006F3849"/>
    <w:rsid w:val="006F3D9B"/>
    <w:rsid w:val="006F40B2"/>
    <w:rsid w:val="006F42A3"/>
    <w:rsid w:val="006F4CD9"/>
    <w:rsid w:val="006F51F9"/>
    <w:rsid w:val="006F53F1"/>
    <w:rsid w:val="006F5903"/>
    <w:rsid w:val="006F5A6E"/>
    <w:rsid w:val="006F5AB5"/>
    <w:rsid w:val="006F5B56"/>
    <w:rsid w:val="006F5BA7"/>
    <w:rsid w:val="006F5D82"/>
    <w:rsid w:val="006F612E"/>
    <w:rsid w:val="006F6727"/>
    <w:rsid w:val="006F6F78"/>
    <w:rsid w:val="006F752C"/>
    <w:rsid w:val="006F7DE7"/>
    <w:rsid w:val="006F7E2B"/>
    <w:rsid w:val="0070045E"/>
    <w:rsid w:val="007008C8"/>
    <w:rsid w:val="00700D19"/>
    <w:rsid w:val="00700FB0"/>
    <w:rsid w:val="00701309"/>
    <w:rsid w:val="007019D3"/>
    <w:rsid w:val="00701C64"/>
    <w:rsid w:val="00701E44"/>
    <w:rsid w:val="007021E8"/>
    <w:rsid w:val="007026AD"/>
    <w:rsid w:val="00703043"/>
    <w:rsid w:val="00703B5C"/>
    <w:rsid w:val="007040D1"/>
    <w:rsid w:val="0070418D"/>
    <w:rsid w:val="0070497B"/>
    <w:rsid w:val="00704E0D"/>
    <w:rsid w:val="00705400"/>
    <w:rsid w:val="00705B17"/>
    <w:rsid w:val="00705F1D"/>
    <w:rsid w:val="007060B5"/>
    <w:rsid w:val="0070611B"/>
    <w:rsid w:val="00706203"/>
    <w:rsid w:val="007066CB"/>
    <w:rsid w:val="00707129"/>
    <w:rsid w:val="00707591"/>
    <w:rsid w:val="00707D7B"/>
    <w:rsid w:val="00707FED"/>
    <w:rsid w:val="00710095"/>
    <w:rsid w:val="00710201"/>
    <w:rsid w:val="0071075F"/>
    <w:rsid w:val="00711548"/>
    <w:rsid w:val="007116A7"/>
    <w:rsid w:val="00711F96"/>
    <w:rsid w:val="00712524"/>
    <w:rsid w:val="00712D7A"/>
    <w:rsid w:val="007131AB"/>
    <w:rsid w:val="00713328"/>
    <w:rsid w:val="00713578"/>
    <w:rsid w:val="0071371E"/>
    <w:rsid w:val="007137B3"/>
    <w:rsid w:val="00713B01"/>
    <w:rsid w:val="00713E7C"/>
    <w:rsid w:val="00714AB3"/>
    <w:rsid w:val="00714C81"/>
    <w:rsid w:val="00714D0C"/>
    <w:rsid w:val="00715628"/>
    <w:rsid w:val="00715F8C"/>
    <w:rsid w:val="007163BB"/>
    <w:rsid w:val="00716BA0"/>
    <w:rsid w:val="00716C92"/>
    <w:rsid w:val="007170E0"/>
    <w:rsid w:val="00717710"/>
    <w:rsid w:val="00717F58"/>
    <w:rsid w:val="00720A9A"/>
    <w:rsid w:val="00720AD9"/>
    <w:rsid w:val="00720D39"/>
    <w:rsid w:val="00721085"/>
    <w:rsid w:val="0072111B"/>
    <w:rsid w:val="0072121B"/>
    <w:rsid w:val="00721988"/>
    <w:rsid w:val="00722142"/>
    <w:rsid w:val="0072289D"/>
    <w:rsid w:val="00722D31"/>
    <w:rsid w:val="00722E09"/>
    <w:rsid w:val="0072338D"/>
    <w:rsid w:val="007235DD"/>
    <w:rsid w:val="00724109"/>
    <w:rsid w:val="00724112"/>
    <w:rsid w:val="00724409"/>
    <w:rsid w:val="00724440"/>
    <w:rsid w:val="0072453A"/>
    <w:rsid w:val="0072485A"/>
    <w:rsid w:val="00724A08"/>
    <w:rsid w:val="0072540A"/>
    <w:rsid w:val="00725423"/>
    <w:rsid w:val="0072590B"/>
    <w:rsid w:val="00725A3D"/>
    <w:rsid w:val="00725D34"/>
    <w:rsid w:val="0072625C"/>
    <w:rsid w:val="00726682"/>
    <w:rsid w:val="007267C5"/>
    <w:rsid w:val="00726B4C"/>
    <w:rsid w:val="00727767"/>
    <w:rsid w:val="007300EA"/>
    <w:rsid w:val="0073046A"/>
    <w:rsid w:val="00730546"/>
    <w:rsid w:val="007308CA"/>
    <w:rsid w:val="00730E45"/>
    <w:rsid w:val="007310C3"/>
    <w:rsid w:val="00731111"/>
    <w:rsid w:val="007313C9"/>
    <w:rsid w:val="00731B84"/>
    <w:rsid w:val="00731D7F"/>
    <w:rsid w:val="00731F48"/>
    <w:rsid w:val="0073246D"/>
    <w:rsid w:val="007324A9"/>
    <w:rsid w:val="0073293E"/>
    <w:rsid w:val="007331A9"/>
    <w:rsid w:val="00733423"/>
    <w:rsid w:val="00733810"/>
    <w:rsid w:val="007340C7"/>
    <w:rsid w:val="00734A59"/>
    <w:rsid w:val="0073584B"/>
    <w:rsid w:val="007359BF"/>
    <w:rsid w:val="00735DED"/>
    <w:rsid w:val="00735F82"/>
    <w:rsid w:val="007363DD"/>
    <w:rsid w:val="00736A29"/>
    <w:rsid w:val="00736B7D"/>
    <w:rsid w:val="00736BAC"/>
    <w:rsid w:val="00736EB3"/>
    <w:rsid w:val="00737151"/>
    <w:rsid w:val="00737238"/>
    <w:rsid w:val="007372D9"/>
    <w:rsid w:val="00737704"/>
    <w:rsid w:val="00740894"/>
    <w:rsid w:val="007409C6"/>
    <w:rsid w:val="00740A49"/>
    <w:rsid w:val="00741122"/>
    <w:rsid w:val="0074132B"/>
    <w:rsid w:val="007419AC"/>
    <w:rsid w:val="007419EC"/>
    <w:rsid w:val="00741E40"/>
    <w:rsid w:val="00742B57"/>
    <w:rsid w:val="00742C0C"/>
    <w:rsid w:val="0074305D"/>
    <w:rsid w:val="0074307F"/>
    <w:rsid w:val="0074328D"/>
    <w:rsid w:val="0074363F"/>
    <w:rsid w:val="00743C42"/>
    <w:rsid w:val="00743D32"/>
    <w:rsid w:val="00744537"/>
    <w:rsid w:val="00744F45"/>
    <w:rsid w:val="00745280"/>
    <w:rsid w:val="00745583"/>
    <w:rsid w:val="007456E8"/>
    <w:rsid w:val="00745939"/>
    <w:rsid w:val="007459B2"/>
    <w:rsid w:val="00745F71"/>
    <w:rsid w:val="00745FB1"/>
    <w:rsid w:val="00746D8B"/>
    <w:rsid w:val="0074740E"/>
    <w:rsid w:val="0074773B"/>
    <w:rsid w:val="00747CDD"/>
    <w:rsid w:val="00747FC8"/>
    <w:rsid w:val="0075051A"/>
    <w:rsid w:val="00750A72"/>
    <w:rsid w:val="00750F54"/>
    <w:rsid w:val="00751528"/>
    <w:rsid w:val="00751618"/>
    <w:rsid w:val="007519CB"/>
    <w:rsid w:val="00752394"/>
    <w:rsid w:val="007525CC"/>
    <w:rsid w:val="00752EA4"/>
    <w:rsid w:val="0075342F"/>
    <w:rsid w:val="00754983"/>
    <w:rsid w:val="00754A69"/>
    <w:rsid w:val="00754D6C"/>
    <w:rsid w:val="00755198"/>
    <w:rsid w:val="0075522E"/>
    <w:rsid w:val="007552A7"/>
    <w:rsid w:val="007559C2"/>
    <w:rsid w:val="00755A00"/>
    <w:rsid w:val="00756ABB"/>
    <w:rsid w:val="00756C0A"/>
    <w:rsid w:val="00757112"/>
    <w:rsid w:val="00757399"/>
    <w:rsid w:val="00757833"/>
    <w:rsid w:val="007578AF"/>
    <w:rsid w:val="00757CAE"/>
    <w:rsid w:val="00757F0A"/>
    <w:rsid w:val="00760371"/>
    <w:rsid w:val="007607A5"/>
    <w:rsid w:val="0076085D"/>
    <w:rsid w:val="00760B26"/>
    <w:rsid w:val="00760BEE"/>
    <w:rsid w:val="0076145C"/>
    <w:rsid w:val="00761B1D"/>
    <w:rsid w:val="00761CFD"/>
    <w:rsid w:val="00761D1D"/>
    <w:rsid w:val="007622AE"/>
    <w:rsid w:val="007631BD"/>
    <w:rsid w:val="007632B2"/>
    <w:rsid w:val="007634B2"/>
    <w:rsid w:val="007637DF"/>
    <w:rsid w:val="00764154"/>
    <w:rsid w:val="0076448E"/>
    <w:rsid w:val="00764907"/>
    <w:rsid w:val="00764CB7"/>
    <w:rsid w:val="00764F43"/>
    <w:rsid w:val="0076515E"/>
    <w:rsid w:val="007652E9"/>
    <w:rsid w:val="007653FA"/>
    <w:rsid w:val="00765437"/>
    <w:rsid w:val="00765909"/>
    <w:rsid w:val="00765E2C"/>
    <w:rsid w:val="007663C8"/>
    <w:rsid w:val="00766762"/>
    <w:rsid w:val="00766B3A"/>
    <w:rsid w:val="00766B7A"/>
    <w:rsid w:val="00766F6D"/>
    <w:rsid w:val="00767494"/>
    <w:rsid w:val="007675D5"/>
    <w:rsid w:val="00767B52"/>
    <w:rsid w:val="00767C30"/>
    <w:rsid w:val="00770B5F"/>
    <w:rsid w:val="00770E21"/>
    <w:rsid w:val="007710EE"/>
    <w:rsid w:val="0077119D"/>
    <w:rsid w:val="007711BC"/>
    <w:rsid w:val="007712E3"/>
    <w:rsid w:val="00771375"/>
    <w:rsid w:val="007717B1"/>
    <w:rsid w:val="00771E01"/>
    <w:rsid w:val="00771F47"/>
    <w:rsid w:val="00772759"/>
    <w:rsid w:val="007728F1"/>
    <w:rsid w:val="00772B18"/>
    <w:rsid w:val="00773413"/>
    <w:rsid w:val="00773537"/>
    <w:rsid w:val="007736B4"/>
    <w:rsid w:val="007737E8"/>
    <w:rsid w:val="0077458C"/>
    <w:rsid w:val="0077488B"/>
    <w:rsid w:val="00774A16"/>
    <w:rsid w:val="00775014"/>
    <w:rsid w:val="00775027"/>
    <w:rsid w:val="007755BF"/>
    <w:rsid w:val="00775741"/>
    <w:rsid w:val="007757C8"/>
    <w:rsid w:val="007759D9"/>
    <w:rsid w:val="007759E5"/>
    <w:rsid w:val="00775B43"/>
    <w:rsid w:val="00775F35"/>
    <w:rsid w:val="007760EF"/>
    <w:rsid w:val="00776264"/>
    <w:rsid w:val="007764FF"/>
    <w:rsid w:val="007766EB"/>
    <w:rsid w:val="007768BC"/>
    <w:rsid w:val="007772AC"/>
    <w:rsid w:val="007776F0"/>
    <w:rsid w:val="00777A28"/>
    <w:rsid w:val="00777E59"/>
    <w:rsid w:val="00777F11"/>
    <w:rsid w:val="00780223"/>
    <w:rsid w:val="0078028D"/>
    <w:rsid w:val="007802AC"/>
    <w:rsid w:val="007811D0"/>
    <w:rsid w:val="00781F92"/>
    <w:rsid w:val="00782680"/>
    <w:rsid w:val="007830E5"/>
    <w:rsid w:val="0078387D"/>
    <w:rsid w:val="007839AD"/>
    <w:rsid w:val="00783C6C"/>
    <w:rsid w:val="00784493"/>
    <w:rsid w:val="0078450A"/>
    <w:rsid w:val="007846E7"/>
    <w:rsid w:val="00784712"/>
    <w:rsid w:val="00784E88"/>
    <w:rsid w:val="007850AD"/>
    <w:rsid w:val="00785633"/>
    <w:rsid w:val="0078564D"/>
    <w:rsid w:val="007858FF"/>
    <w:rsid w:val="00785955"/>
    <w:rsid w:val="00785C4A"/>
    <w:rsid w:val="0078676A"/>
    <w:rsid w:val="00786867"/>
    <w:rsid w:val="00786FA9"/>
    <w:rsid w:val="0078722A"/>
    <w:rsid w:val="00787246"/>
    <w:rsid w:val="007877AF"/>
    <w:rsid w:val="007879DC"/>
    <w:rsid w:val="0079057E"/>
    <w:rsid w:val="007905BF"/>
    <w:rsid w:val="00790B29"/>
    <w:rsid w:val="007911CF"/>
    <w:rsid w:val="00791727"/>
    <w:rsid w:val="0079173A"/>
    <w:rsid w:val="0079197F"/>
    <w:rsid w:val="00791F1C"/>
    <w:rsid w:val="00792505"/>
    <w:rsid w:val="00792527"/>
    <w:rsid w:val="007926F9"/>
    <w:rsid w:val="00792A26"/>
    <w:rsid w:val="00792B1A"/>
    <w:rsid w:val="00792C0A"/>
    <w:rsid w:val="0079304A"/>
    <w:rsid w:val="0079375A"/>
    <w:rsid w:val="00793953"/>
    <w:rsid w:val="007939C9"/>
    <w:rsid w:val="00793A3C"/>
    <w:rsid w:val="00793EB3"/>
    <w:rsid w:val="00793FD4"/>
    <w:rsid w:val="007945AF"/>
    <w:rsid w:val="00795310"/>
    <w:rsid w:val="00795586"/>
    <w:rsid w:val="00795660"/>
    <w:rsid w:val="007956D3"/>
    <w:rsid w:val="00795770"/>
    <w:rsid w:val="0079594B"/>
    <w:rsid w:val="00795C5D"/>
    <w:rsid w:val="007965DA"/>
    <w:rsid w:val="00796708"/>
    <w:rsid w:val="007970BE"/>
    <w:rsid w:val="007970E4"/>
    <w:rsid w:val="00797D4B"/>
    <w:rsid w:val="007A0A4D"/>
    <w:rsid w:val="007A0CFD"/>
    <w:rsid w:val="007A0D65"/>
    <w:rsid w:val="007A0EC1"/>
    <w:rsid w:val="007A0EFB"/>
    <w:rsid w:val="007A1ACC"/>
    <w:rsid w:val="007A1E35"/>
    <w:rsid w:val="007A2225"/>
    <w:rsid w:val="007A2354"/>
    <w:rsid w:val="007A26BA"/>
    <w:rsid w:val="007A2B2A"/>
    <w:rsid w:val="007A2D52"/>
    <w:rsid w:val="007A2F3D"/>
    <w:rsid w:val="007A3714"/>
    <w:rsid w:val="007A3D29"/>
    <w:rsid w:val="007A40AD"/>
    <w:rsid w:val="007A40E3"/>
    <w:rsid w:val="007A4456"/>
    <w:rsid w:val="007A4EF1"/>
    <w:rsid w:val="007A5017"/>
    <w:rsid w:val="007A507A"/>
    <w:rsid w:val="007A513F"/>
    <w:rsid w:val="007A5548"/>
    <w:rsid w:val="007A5C5E"/>
    <w:rsid w:val="007A5D63"/>
    <w:rsid w:val="007A5E95"/>
    <w:rsid w:val="007A6553"/>
    <w:rsid w:val="007A6C8A"/>
    <w:rsid w:val="007A6D88"/>
    <w:rsid w:val="007A6D9A"/>
    <w:rsid w:val="007A729E"/>
    <w:rsid w:val="007A79F1"/>
    <w:rsid w:val="007A7A7B"/>
    <w:rsid w:val="007A7CD8"/>
    <w:rsid w:val="007B00CD"/>
    <w:rsid w:val="007B0439"/>
    <w:rsid w:val="007B0881"/>
    <w:rsid w:val="007B08B5"/>
    <w:rsid w:val="007B13E7"/>
    <w:rsid w:val="007B15B0"/>
    <w:rsid w:val="007B15C9"/>
    <w:rsid w:val="007B1647"/>
    <w:rsid w:val="007B1E26"/>
    <w:rsid w:val="007B1E93"/>
    <w:rsid w:val="007B2134"/>
    <w:rsid w:val="007B3074"/>
    <w:rsid w:val="007B3B76"/>
    <w:rsid w:val="007B3DB4"/>
    <w:rsid w:val="007B41DD"/>
    <w:rsid w:val="007B47D5"/>
    <w:rsid w:val="007B4CDA"/>
    <w:rsid w:val="007B4F8F"/>
    <w:rsid w:val="007B52C3"/>
    <w:rsid w:val="007B57B7"/>
    <w:rsid w:val="007B5A5F"/>
    <w:rsid w:val="007B68CB"/>
    <w:rsid w:val="007B6ACA"/>
    <w:rsid w:val="007B6DF8"/>
    <w:rsid w:val="007B6E0D"/>
    <w:rsid w:val="007B7096"/>
    <w:rsid w:val="007B7DC8"/>
    <w:rsid w:val="007C01C2"/>
    <w:rsid w:val="007C0655"/>
    <w:rsid w:val="007C0784"/>
    <w:rsid w:val="007C09B4"/>
    <w:rsid w:val="007C0D8D"/>
    <w:rsid w:val="007C0E3C"/>
    <w:rsid w:val="007C1042"/>
    <w:rsid w:val="007C1562"/>
    <w:rsid w:val="007C1B81"/>
    <w:rsid w:val="007C1DA8"/>
    <w:rsid w:val="007C230B"/>
    <w:rsid w:val="007C3220"/>
    <w:rsid w:val="007C322F"/>
    <w:rsid w:val="007C3298"/>
    <w:rsid w:val="007C3517"/>
    <w:rsid w:val="007C3D9A"/>
    <w:rsid w:val="007C3E8A"/>
    <w:rsid w:val="007C412E"/>
    <w:rsid w:val="007C47C7"/>
    <w:rsid w:val="007C4FDD"/>
    <w:rsid w:val="007C55E2"/>
    <w:rsid w:val="007C5781"/>
    <w:rsid w:val="007C5B34"/>
    <w:rsid w:val="007C5D3D"/>
    <w:rsid w:val="007C5F5B"/>
    <w:rsid w:val="007C6010"/>
    <w:rsid w:val="007C65A0"/>
    <w:rsid w:val="007C6EA0"/>
    <w:rsid w:val="007C6EA5"/>
    <w:rsid w:val="007C7058"/>
    <w:rsid w:val="007C77E8"/>
    <w:rsid w:val="007C7830"/>
    <w:rsid w:val="007C7F3F"/>
    <w:rsid w:val="007D0590"/>
    <w:rsid w:val="007D05E3"/>
    <w:rsid w:val="007D1255"/>
    <w:rsid w:val="007D1A9F"/>
    <w:rsid w:val="007D2A1D"/>
    <w:rsid w:val="007D2A53"/>
    <w:rsid w:val="007D3697"/>
    <w:rsid w:val="007D443E"/>
    <w:rsid w:val="007D44FA"/>
    <w:rsid w:val="007D48CA"/>
    <w:rsid w:val="007D4ABB"/>
    <w:rsid w:val="007D4B10"/>
    <w:rsid w:val="007D4D0B"/>
    <w:rsid w:val="007D4E6D"/>
    <w:rsid w:val="007D5AC1"/>
    <w:rsid w:val="007D5DE9"/>
    <w:rsid w:val="007D6192"/>
    <w:rsid w:val="007D68D1"/>
    <w:rsid w:val="007D6A03"/>
    <w:rsid w:val="007D6B49"/>
    <w:rsid w:val="007D6CAD"/>
    <w:rsid w:val="007D7561"/>
    <w:rsid w:val="007D75BA"/>
    <w:rsid w:val="007D789B"/>
    <w:rsid w:val="007D7B43"/>
    <w:rsid w:val="007D7B53"/>
    <w:rsid w:val="007D7BFD"/>
    <w:rsid w:val="007D7E0B"/>
    <w:rsid w:val="007E00B4"/>
    <w:rsid w:val="007E02F6"/>
    <w:rsid w:val="007E08BA"/>
    <w:rsid w:val="007E08DE"/>
    <w:rsid w:val="007E168A"/>
    <w:rsid w:val="007E1A9A"/>
    <w:rsid w:val="007E1D51"/>
    <w:rsid w:val="007E1F32"/>
    <w:rsid w:val="007E2719"/>
    <w:rsid w:val="007E2724"/>
    <w:rsid w:val="007E2AA2"/>
    <w:rsid w:val="007E3599"/>
    <w:rsid w:val="007E382D"/>
    <w:rsid w:val="007E3C76"/>
    <w:rsid w:val="007E3CAB"/>
    <w:rsid w:val="007E4053"/>
    <w:rsid w:val="007E4954"/>
    <w:rsid w:val="007E4A5D"/>
    <w:rsid w:val="007E4BEE"/>
    <w:rsid w:val="007E4E69"/>
    <w:rsid w:val="007E56DF"/>
    <w:rsid w:val="007E5865"/>
    <w:rsid w:val="007E59B2"/>
    <w:rsid w:val="007E5B25"/>
    <w:rsid w:val="007E6CE6"/>
    <w:rsid w:val="007E74F8"/>
    <w:rsid w:val="007E7AE5"/>
    <w:rsid w:val="007E7D9E"/>
    <w:rsid w:val="007F055B"/>
    <w:rsid w:val="007F0A35"/>
    <w:rsid w:val="007F10D6"/>
    <w:rsid w:val="007F10EC"/>
    <w:rsid w:val="007F1275"/>
    <w:rsid w:val="007F1E59"/>
    <w:rsid w:val="007F1FF2"/>
    <w:rsid w:val="007F2197"/>
    <w:rsid w:val="007F288B"/>
    <w:rsid w:val="007F2D99"/>
    <w:rsid w:val="007F379B"/>
    <w:rsid w:val="007F3EC4"/>
    <w:rsid w:val="007F3F7E"/>
    <w:rsid w:val="007F4456"/>
    <w:rsid w:val="007F4B36"/>
    <w:rsid w:val="007F4C05"/>
    <w:rsid w:val="007F4C2E"/>
    <w:rsid w:val="007F4F9B"/>
    <w:rsid w:val="007F53EE"/>
    <w:rsid w:val="007F548A"/>
    <w:rsid w:val="007F588D"/>
    <w:rsid w:val="007F58AA"/>
    <w:rsid w:val="007F5A4C"/>
    <w:rsid w:val="007F5B11"/>
    <w:rsid w:val="007F5C32"/>
    <w:rsid w:val="007F63A6"/>
    <w:rsid w:val="007F67A6"/>
    <w:rsid w:val="007F6D2C"/>
    <w:rsid w:val="007F6E29"/>
    <w:rsid w:val="007F7324"/>
    <w:rsid w:val="007F7B19"/>
    <w:rsid w:val="007F7BC2"/>
    <w:rsid w:val="00800627"/>
    <w:rsid w:val="00800AB0"/>
    <w:rsid w:val="00800D50"/>
    <w:rsid w:val="008011B9"/>
    <w:rsid w:val="008011E0"/>
    <w:rsid w:val="008012FF"/>
    <w:rsid w:val="008014A4"/>
    <w:rsid w:val="00801601"/>
    <w:rsid w:val="00801A02"/>
    <w:rsid w:val="00801D67"/>
    <w:rsid w:val="00801D89"/>
    <w:rsid w:val="0080252F"/>
    <w:rsid w:val="008028B6"/>
    <w:rsid w:val="00802D61"/>
    <w:rsid w:val="00802DCE"/>
    <w:rsid w:val="00803464"/>
    <w:rsid w:val="0080367F"/>
    <w:rsid w:val="008043A8"/>
    <w:rsid w:val="00804A3E"/>
    <w:rsid w:val="00804C8B"/>
    <w:rsid w:val="0080524E"/>
    <w:rsid w:val="00805492"/>
    <w:rsid w:val="00805788"/>
    <w:rsid w:val="00805EE7"/>
    <w:rsid w:val="00806414"/>
    <w:rsid w:val="008064E4"/>
    <w:rsid w:val="00806BA9"/>
    <w:rsid w:val="008072A1"/>
    <w:rsid w:val="00807AEA"/>
    <w:rsid w:val="0081079F"/>
    <w:rsid w:val="00810EB3"/>
    <w:rsid w:val="00810FE7"/>
    <w:rsid w:val="008110D9"/>
    <w:rsid w:val="0081119C"/>
    <w:rsid w:val="008120DF"/>
    <w:rsid w:val="008124CA"/>
    <w:rsid w:val="00812C0B"/>
    <w:rsid w:val="00812E15"/>
    <w:rsid w:val="00813083"/>
    <w:rsid w:val="00813288"/>
    <w:rsid w:val="008132D0"/>
    <w:rsid w:val="0081366E"/>
    <w:rsid w:val="008138B6"/>
    <w:rsid w:val="00813DF8"/>
    <w:rsid w:val="0081446E"/>
    <w:rsid w:val="00814983"/>
    <w:rsid w:val="00815018"/>
    <w:rsid w:val="008155F2"/>
    <w:rsid w:val="0081576E"/>
    <w:rsid w:val="00816124"/>
    <w:rsid w:val="008162B3"/>
    <w:rsid w:val="008165D5"/>
    <w:rsid w:val="00816710"/>
    <w:rsid w:val="008169C0"/>
    <w:rsid w:val="00816B1A"/>
    <w:rsid w:val="0081739D"/>
    <w:rsid w:val="008176F4"/>
    <w:rsid w:val="008177D1"/>
    <w:rsid w:val="00817940"/>
    <w:rsid w:val="00817F63"/>
    <w:rsid w:val="008207ED"/>
    <w:rsid w:val="00821326"/>
    <w:rsid w:val="00821560"/>
    <w:rsid w:val="00821BC3"/>
    <w:rsid w:val="00822950"/>
    <w:rsid w:val="00822B06"/>
    <w:rsid w:val="00823198"/>
    <w:rsid w:val="00823868"/>
    <w:rsid w:val="00823F1E"/>
    <w:rsid w:val="0082426E"/>
    <w:rsid w:val="00824412"/>
    <w:rsid w:val="0082443B"/>
    <w:rsid w:val="0082456C"/>
    <w:rsid w:val="0082480C"/>
    <w:rsid w:val="00825476"/>
    <w:rsid w:val="008257D2"/>
    <w:rsid w:val="0082592D"/>
    <w:rsid w:val="00825B08"/>
    <w:rsid w:val="00826650"/>
    <w:rsid w:val="00826DE5"/>
    <w:rsid w:val="008272BB"/>
    <w:rsid w:val="00827742"/>
    <w:rsid w:val="008279A9"/>
    <w:rsid w:val="00830600"/>
    <w:rsid w:val="008311C4"/>
    <w:rsid w:val="00831A49"/>
    <w:rsid w:val="00831D5C"/>
    <w:rsid w:val="00831E7A"/>
    <w:rsid w:val="008337B5"/>
    <w:rsid w:val="008339F3"/>
    <w:rsid w:val="00833A5D"/>
    <w:rsid w:val="00833F2C"/>
    <w:rsid w:val="00834236"/>
    <w:rsid w:val="008359F2"/>
    <w:rsid w:val="00835BC5"/>
    <w:rsid w:val="00835C0E"/>
    <w:rsid w:val="008364C3"/>
    <w:rsid w:val="00836C79"/>
    <w:rsid w:val="00837204"/>
    <w:rsid w:val="00837930"/>
    <w:rsid w:val="00837AE6"/>
    <w:rsid w:val="00837AF8"/>
    <w:rsid w:val="00840805"/>
    <w:rsid w:val="00840908"/>
    <w:rsid w:val="008409C0"/>
    <w:rsid w:val="008409E5"/>
    <w:rsid w:val="00840D65"/>
    <w:rsid w:val="00841005"/>
    <w:rsid w:val="00841198"/>
    <w:rsid w:val="0084125B"/>
    <w:rsid w:val="00841780"/>
    <w:rsid w:val="0084243D"/>
    <w:rsid w:val="00842500"/>
    <w:rsid w:val="00842C81"/>
    <w:rsid w:val="00842DE7"/>
    <w:rsid w:val="00842DF2"/>
    <w:rsid w:val="00842E14"/>
    <w:rsid w:val="008436BA"/>
    <w:rsid w:val="00843993"/>
    <w:rsid w:val="008439C9"/>
    <w:rsid w:val="00843FA1"/>
    <w:rsid w:val="0084405D"/>
    <w:rsid w:val="008441C7"/>
    <w:rsid w:val="008450A8"/>
    <w:rsid w:val="008454C4"/>
    <w:rsid w:val="00845F1E"/>
    <w:rsid w:val="008461CF"/>
    <w:rsid w:val="00846481"/>
    <w:rsid w:val="00846862"/>
    <w:rsid w:val="00846C16"/>
    <w:rsid w:val="0084741D"/>
    <w:rsid w:val="00847467"/>
    <w:rsid w:val="00847AC0"/>
    <w:rsid w:val="00847EB8"/>
    <w:rsid w:val="00850138"/>
    <w:rsid w:val="00850B25"/>
    <w:rsid w:val="00850C98"/>
    <w:rsid w:val="00850D65"/>
    <w:rsid w:val="00850F2D"/>
    <w:rsid w:val="00851132"/>
    <w:rsid w:val="00851D4D"/>
    <w:rsid w:val="00852137"/>
    <w:rsid w:val="0085214D"/>
    <w:rsid w:val="008528CD"/>
    <w:rsid w:val="00852904"/>
    <w:rsid w:val="008533B7"/>
    <w:rsid w:val="00853485"/>
    <w:rsid w:val="00853666"/>
    <w:rsid w:val="00853CFB"/>
    <w:rsid w:val="008547A1"/>
    <w:rsid w:val="0085534B"/>
    <w:rsid w:val="0085537A"/>
    <w:rsid w:val="008555A9"/>
    <w:rsid w:val="00855F82"/>
    <w:rsid w:val="0085605A"/>
    <w:rsid w:val="008565BC"/>
    <w:rsid w:val="00856909"/>
    <w:rsid w:val="00856EF6"/>
    <w:rsid w:val="008570BC"/>
    <w:rsid w:val="008570E1"/>
    <w:rsid w:val="00857813"/>
    <w:rsid w:val="00857873"/>
    <w:rsid w:val="00857980"/>
    <w:rsid w:val="00860568"/>
    <w:rsid w:val="0086089A"/>
    <w:rsid w:val="00860CD2"/>
    <w:rsid w:val="00860E30"/>
    <w:rsid w:val="008616B1"/>
    <w:rsid w:val="008617CE"/>
    <w:rsid w:val="008619F0"/>
    <w:rsid w:val="0086264D"/>
    <w:rsid w:val="00862784"/>
    <w:rsid w:val="00862F48"/>
    <w:rsid w:val="0086331D"/>
    <w:rsid w:val="00863AC1"/>
    <w:rsid w:val="00864A42"/>
    <w:rsid w:val="00865007"/>
    <w:rsid w:val="0086506E"/>
    <w:rsid w:val="0086526F"/>
    <w:rsid w:val="008653BB"/>
    <w:rsid w:val="00865B6E"/>
    <w:rsid w:val="008662BA"/>
    <w:rsid w:val="008665D6"/>
    <w:rsid w:val="00866981"/>
    <w:rsid w:val="00866A7D"/>
    <w:rsid w:val="00866FB2"/>
    <w:rsid w:val="00867010"/>
    <w:rsid w:val="00867369"/>
    <w:rsid w:val="008676CD"/>
    <w:rsid w:val="00867889"/>
    <w:rsid w:val="00867B5F"/>
    <w:rsid w:val="00867E3F"/>
    <w:rsid w:val="00867F5F"/>
    <w:rsid w:val="00870A8B"/>
    <w:rsid w:val="00871073"/>
    <w:rsid w:val="00871ED9"/>
    <w:rsid w:val="00872443"/>
    <w:rsid w:val="008724F8"/>
    <w:rsid w:val="00872811"/>
    <w:rsid w:val="008728F2"/>
    <w:rsid w:val="00872BB3"/>
    <w:rsid w:val="0087345A"/>
    <w:rsid w:val="0087351F"/>
    <w:rsid w:val="0087363C"/>
    <w:rsid w:val="008738E4"/>
    <w:rsid w:val="00873EF2"/>
    <w:rsid w:val="00874096"/>
    <w:rsid w:val="008746E8"/>
    <w:rsid w:val="008748DD"/>
    <w:rsid w:val="00874C95"/>
    <w:rsid w:val="00874DFD"/>
    <w:rsid w:val="00875408"/>
    <w:rsid w:val="0087592C"/>
    <w:rsid w:val="00875991"/>
    <w:rsid w:val="00876030"/>
    <w:rsid w:val="0087639C"/>
    <w:rsid w:val="008763EE"/>
    <w:rsid w:val="00876A1F"/>
    <w:rsid w:val="00876BC1"/>
    <w:rsid w:val="00877090"/>
    <w:rsid w:val="008775AD"/>
    <w:rsid w:val="00877784"/>
    <w:rsid w:val="008778AE"/>
    <w:rsid w:val="00877948"/>
    <w:rsid w:val="00877A05"/>
    <w:rsid w:val="008805DB"/>
    <w:rsid w:val="008807FE"/>
    <w:rsid w:val="00880D51"/>
    <w:rsid w:val="00880D71"/>
    <w:rsid w:val="00881418"/>
    <w:rsid w:val="008814EC"/>
    <w:rsid w:val="0088177D"/>
    <w:rsid w:val="008825D3"/>
    <w:rsid w:val="00882BF0"/>
    <w:rsid w:val="008833DF"/>
    <w:rsid w:val="00883A05"/>
    <w:rsid w:val="00884033"/>
    <w:rsid w:val="0088426B"/>
    <w:rsid w:val="00885129"/>
    <w:rsid w:val="00885161"/>
    <w:rsid w:val="00885305"/>
    <w:rsid w:val="008853EA"/>
    <w:rsid w:val="00885764"/>
    <w:rsid w:val="00885784"/>
    <w:rsid w:val="008857CF"/>
    <w:rsid w:val="00885807"/>
    <w:rsid w:val="00885987"/>
    <w:rsid w:val="00885DAA"/>
    <w:rsid w:val="00885DE9"/>
    <w:rsid w:val="00886002"/>
    <w:rsid w:val="008860CF"/>
    <w:rsid w:val="0088611C"/>
    <w:rsid w:val="008864C4"/>
    <w:rsid w:val="008864ED"/>
    <w:rsid w:val="0088653D"/>
    <w:rsid w:val="00886971"/>
    <w:rsid w:val="00886A4E"/>
    <w:rsid w:val="00886C57"/>
    <w:rsid w:val="008871E3"/>
    <w:rsid w:val="008873A7"/>
    <w:rsid w:val="00887A37"/>
    <w:rsid w:val="00887CCD"/>
    <w:rsid w:val="00887EEB"/>
    <w:rsid w:val="0089003C"/>
    <w:rsid w:val="00890681"/>
    <w:rsid w:val="008909E4"/>
    <w:rsid w:val="00891215"/>
    <w:rsid w:val="00891360"/>
    <w:rsid w:val="00891807"/>
    <w:rsid w:val="00891992"/>
    <w:rsid w:val="00892C38"/>
    <w:rsid w:val="00892D54"/>
    <w:rsid w:val="008930B9"/>
    <w:rsid w:val="00893AC9"/>
    <w:rsid w:val="008941DE"/>
    <w:rsid w:val="00894524"/>
    <w:rsid w:val="0089481C"/>
    <w:rsid w:val="00894C98"/>
    <w:rsid w:val="00894D2F"/>
    <w:rsid w:val="00895691"/>
    <w:rsid w:val="00895807"/>
    <w:rsid w:val="00895DF3"/>
    <w:rsid w:val="008964EA"/>
    <w:rsid w:val="008967D1"/>
    <w:rsid w:val="00896907"/>
    <w:rsid w:val="00896E2D"/>
    <w:rsid w:val="008971F8"/>
    <w:rsid w:val="00897852"/>
    <w:rsid w:val="00897E6E"/>
    <w:rsid w:val="008A03BC"/>
    <w:rsid w:val="008A08F5"/>
    <w:rsid w:val="008A1964"/>
    <w:rsid w:val="008A1D76"/>
    <w:rsid w:val="008A23D6"/>
    <w:rsid w:val="008A2780"/>
    <w:rsid w:val="008A2917"/>
    <w:rsid w:val="008A2C46"/>
    <w:rsid w:val="008A39F8"/>
    <w:rsid w:val="008A4533"/>
    <w:rsid w:val="008A4A43"/>
    <w:rsid w:val="008A4B01"/>
    <w:rsid w:val="008A4CB9"/>
    <w:rsid w:val="008A534D"/>
    <w:rsid w:val="008A69FA"/>
    <w:rsid w:val="008A6C7B"/>
    <w:rsid w:val="008A6D25"/>
    <w:rsid w:val="008A6DC6"/>
    <w:rsid w:val="008A70C6"/>
    <w:rsid w:val="008A71CC"/>
    <w:rsid w:val="008A7371"/>
    <w:rsid w:val="008A7848"/>
    <w:rsid w:val="008B0C13"/>
    <w:rsid w:val="008B123E"/>
    <w:rsid w:val="008B14F2"/>
    <w:rsid w:val="008B218E"/>
    <w:rsid w:val="008B27AF"/>
    <w:rsid w:val="008B35E0"/>
    <w:rsid w:val="008B364E"/>
    <w:rsid w:val="008B369A"/>
    <w:rsid w:val="008B36E5"/>
    <w:rsid w:val="008B3993"/>
    <w:rsid w:val="008B3B2B"/>
    <w:rsid w:val="008B4BD2"/>
    <w:rsid w:val="008B4CD9"/>
    <w:rsid w:val="008B4D90"/>
    <w:rsid w:val="008B51FA"/>
    <w:rsid w:val="008B542E"/>
    <w:rsid w:val="008B5792"/>
    <w:rsid w:val="008B58D3"/>
    <w:rsid w:val="008B58F6"/>
    <w:rsid w:val="008B5C63"/>
    <w:rsid w:val="008B5D90"/>
    <w:rsid w:val="008B68AF"/>
    <w:rsid w:val="008B6D86"/>
    <w:rsid w:val="008B7729"/>
    <w:rsid w:val="008B78B7"/>
    <w:rsid w:val="008B7D99"/>
    <w:rsid w:val="008C06EF"/>
    <w:rsid w:val="008C09DD"/>
    <w:rsid w:val="008C1229"/>
    <w:rsid w:val="008C1B16"/>
    <w:rsid w:val="008C1BE5"/>
    <w:rsid w:val="008C1C40"/>
    <w:rsid w:val="008C1F34"/>
    <w:rsid w:val="008C252F"/>
    <w:rsid w:val="008C2981"/>
    <w:rsid w:val="008C3A94"/>
    <w:rsid w:val="008C3C1C"/>
    <w:rsid w:val="008C3D09"/>
    <w:rsid w:val="008C3F37"/>
    <w:rsid w:val="008C4201"/>
    <w:rsid w:val="008C47AE"/>
    <w:rsid w:val="008C497F"/>
    <w:rsid w:val="008C49EB"/>
    <w:rsid w:val="008C4BC8"/>
    <w:rsid w:val="008C4E98"/>
    <w:rsid w:val="008C5251"/>
    <w:rsid w:val="008C58DA"/>
    <w:rsid w:val="008C5E13"/>
    <w:rsid w:val="008C5E68"/>
    <w:rsid w:val="008C6146"/>
    <w:rsid w:val="008C6251"/>
    <w:rsid w:val="008C637A"/>
    <w:rsid w:val="008C6601"/>
    <w:rsid w:val="008C6D8F"/>
    <w:rsid w:val="008C74AA"/>
    <w:rsid w:val="008C7533"/>
    <w:rsid w:val="008C7731"/>
    <w:rsid w:val="008C7DBC"/>
    <w:rsid w:val="008C7E21"/>
    <w:rsid w:val="008C7FE2"/>
    <w:rsid w:val="008D03EB"/>
    <w:rsid w:val="008D0D71"/>
    <w:rsid w:val="008D0D88"/>
    <w:rsid w:val="008D12D5"/>
    <w:rsid w:val="008D196A"/>
    <w:rsid w:val="008D1970"/>
    <w:rsid w:val="008D1D09"/>
    <w:rsid w:val="008D1F6F"/>
    <w:rsid w:val="008D1FDB"/>
    <w:rsid w:val="008D27DE"/>
    <w:rsid w:val="008D3179"/>
    <w:rsid w:val="008D3D2C"/>
    <w:rsid w:val="008D3D4B"/>
    <w:rsid w:val="008D3DF2"/>
    <w:rsid w:val="008D40F6"/>
    <w:rsid w:val="008D4B8E"/>
    <w:rsid w:val="008D55A3"/>
    <w:rsid w:val="008D5DEC"/>
    <w:rsid w:val="008D5FD4"/>
    <w:rsid w:val="008D61B6"/>
    <w:rsid w:val="008D61EB"/>
    <w:rsid w:val="008D64FA"/>
    <w:rsid w:val="008D64FB"/>
    <w:rsid w:val="008D6501"/>
    <w:rsid w:val="008D6788"/>
    <w:rsid w:val="008D6BBA"/>
    <w:rsid w:val="008D7386"/>
    <w:rsid w:val="008D76C0"/>
    <w:rsid w:val="008D7C9D"/>
    <w:rsid w:val="008E0000"/>
    <w:rsid w:val="008E063A"/>
    <w:rsid w:val="008E1385"/>
    <w:rsid w:val="008E15E4"/>
    <w:rsid w:val="008E1744"/>
    <w:rsid w:val="008E183D"/>
    <w:rsid w:val="008E1C53"/>
    <w:rsid w:val="008E23C7"/>
    <w:rsid w:val="008E264E"/>
    <w:rsid w:val="008E28DB"/>
    <w:rsid w:val="008E2947"/>
    <w:rsid w:val="008E2A47"/>
    <w:rsid w:val="008E3A8E"/>
    <w:rsid w:val="008E441F"/>
    <w:rsid w:val="008E4646"/>
    <w:rsid w:val="008E4870"/>
    <w:rsid w:val="008E4BBA"/>
    <w:rsid w:val="008E4D7E"/>
    <w:rsid w:val="008E519E"/>
    <w:rsid w:val="008E58F1"/>
    <w:rsid w:val="008E5ADF"/>
    <w:rsid w:val="008E5DFF"/>
    <w:rsid w:val="008E65A1"/>
    <w:rsid w:val="008E6A40"/>
    <w:rsid w:val="008E6FBD"/>
    <w:rsid w:val="008E7284"/>
    <w:rsid w:val="008E7348"/>
    <w:rsid w:val="008E74BF"/>
    <w:rsid w:val="008E7948"/>
    <w:rsid w:val="008E7FD6"/>
    <w:rsid w:val="008F0229"/>
    <w:rsid w:val="008F025D"/>
    <w:rsid w:val="008F02A1"/>
    <w:rsid w:val="008F043B"/>
    <w:rsid w:val="008F07C0"/>
    <w:rsid w:val="008F1225"/>
    <w:rsid w:val="008F13CC"/>
    <w:rsid w:val="008F1425"/>
    <w:rsid w:val="008F16B2"/>
    <w:rsid w:val="008F1A28"/>
    <w:rsid w:val="008F20F1"/>
    <w:rsid w:val="008F280C"/>
    <w:rsid w:val="008F2B23"/>
    <w:rsid w:val="008F2DE8"/>
    <w:rsid w:val="008F307F"/>
    <w:rsid w:val="008F3B21"/>
    <w:rsid w:val="008F3F92"/>
    <w:rsid w:val="008F424A"/>
    <w:rsid w:val="008F4947"/>
    <w:rsid w:val="008F4BC6"/>
    <w:rsid w:val="008F526E"/>
    <w:rsid w:val="008F52AD"/>
    <w:rsid w:val="008F5D23"/>
    <w:rsid w:val="008F6555"/>
    <w:rsid w:val="008F686F"/>
    <w:rsid w:val="008F6973"/>
    <w:rsid w:val="008F72BF"/>
    <w:rsid w:val="008F77AD"/>
    <w:rsid w:val="008F7C5A"/>
    <w:rsid w:val="009001C6"/>
    <w:rsid w:val="009001DE"/>
    <w:rsid w:val="00900404"/>
    <w:rsid w:val="009005BC"/>
    <w:rsid w:val="0090076E"/>
    <w:rsid w:val="009008DD"/>
    <w:rsid w:val="00900E60"/>
    <w:rsid w:val="00900FA9"/>
    <w:rsid w:val="0090101C"/>
    <w:rsid w:val="0090175B"/>
    <w:rsid w:val="00901803"/>
    <w:rsid w:val="00901EDD"/>
    <w:rsid w:val="00902509"/>
    <w:rsid w:val="009026B8"/>
    <w:rsid w:val="0090274D"/>
    <w:rsid w:val="00902805"/>
    <w:rsid w:val="00902FD7"/>
    <w:rsid w:val="00903157"/>
    <w:rsid w:val="009034BF"/>
    <w:rsid w:val="00903692"/>
    <w:rsid w:val="00903A01"/>
    <w:rsid w:val="00903B2F"/>
    <w:rsid w:val="00903BBA"/>
    <w:rsid w:val="00903E1D"/>
    <w:rsid w:val="00904888"/>
    <w:rsid w:val="009048F7"/>
    <w:rsid w:val="00904A91"/>
    <w:rsid w:val="00904AB7"/>
    <w:rsid w:val="00904FDD"/>
    <w:rsid w:val="009059C3"/>
    <w:rsid w:val="009060EB"/>
    <w:rsid w:val="009065B5"/>
    <w:rsid w:val="00906779"/>
    <w:rsid w:val="009068F0"/>
    <w:rsid w:val="00906B85"/>
    <w:rsid w:val="0090764B"/>
    <w:rsid w:val="0090769A"/>
    <w:rsid w:val="009079D9"/>
    <w:rsid w:val="009079F8"/>
    <w:rsid w:val="00907CF3"/>
    <w:rsid w:val="00907CFA"/>
    <w:rsid w:val="0091023F"/>
    <w:rsid w:val="0091081E"/>
    <w:rsid w:val="00910B47"/>
    <w:rsid w:val="009116C4"/>
    <w:rsid w:val="0091223F"/>
    <w:rsid w:val="00912F2F"/>
    <w:rsid w:val="009137A4"/>
    <w:rsid w:val="009137EE"/>
    <w:rsid w:val="00913C45"/>
    <w:rsid w:val="009146FE"/>
    <w:rsid w:val="00914853"/>
    <w:rsid w:val="00914D5F"/>
    <w:rsid w:val="00915036"/>
    <w:rsid w:val="00915064"/>
    <w:rsid w:val="009150BD"/>
    <w:rsid w:val="009150F0"/>
    <w:rsid w:val="00915DCF"/>
    <w:rsid w:val="00916B39"/>
    <w:rsid w:val="00920588"/>
    <w:rsid w:val="009206EA"/>
    <w:rsid w:val="00920DC4"/>
    <w:rsid w:val="00920E50"/>
    <w:rsid w:val="009211FB"/>
    <w:rsid w:val="009213B9"/>
    <w:rsid w:val="00921430"/>
    <w:rsid w:val="00921445"/>
    <w:rsid w:val="00921CA1"/>
    <w:rsid w:val="00921FBE"/>
    <w:rsid w:val="00922022"/>
    <w:rsid w:val="00922ECF"/>
    <w:rsid w:val="00923519"/>
    <w:rsid w:val="009242E9"/>
    <w:rsid w:val="0092433C"/>
    <w:rsid w:val="009245B4"/>
    <w:rsid w:val="009245EB"/>
    <w:rsid w:val="00924981"/>
    <w:rsid w:val="00924A32"/>
    <w:rsid w:val="00924F92"/>
    <w:rsid w:val="00925222"/>
    <w:rsid w:val="00925619"/>
    <w:rsid w:val="00926132"/>
    <w:rsid w:val="0092613B"/>
    <w:rsid w:val="00927110"/>
    <w:rsid w:val="009273C7"/>
    <w:rsid w:val="00927749"/>
    <w:rsid w:val="00927C01"/>
    <w:rsid w:val="00927DE2"/>
    <w:rsid w:val="00930260"/>
    <w:rsid w:val="0093074A"/>
    <w:rsid w:val="00930A1F"/>
    <w:rsid w:val="00930CF7"/>
    <w:rsid w:val="009313A9"/>
    <w:rsid w:val="009313D7"/>
    <w:rsid w:val="00931653"/>
    <w:rsid w:val="009318E3"/>
    <w:rsid w:val="00931F50"/>
    <w:rsid w:val="00932098"/>
    <w:rsid w:val="00932767"/>
    <w:rsid w:val="00932818"/>
    <w:rsid w:val="009328D0"/>
    <w:rsid w:val="00932985"/>
    <w:rsid w:val="00932E57"/>
    <w:rsid w:val="0093351D"/>
    <w:rsid w:val="00933B5A"/>
    <w:rsid w:val="00933CAD"/>
    <w:rsid w:val="00933DB1"/>
    <w:rsid w:val="0093479D"/>
    <w:rsid w:val="00934829"/>
    <w:rsid w:val="00934A2E"/>
    <w:rsid w:val="00935840"/>
    <w:rsid w:val="00935896"/>
    <w:rsid w:val="00935897"/>
    <w:rsid w:val="00936095"/>
    <w:rsid w:val="00936B35"/>
    <w:rsid w:val="0093709D"/>
    <w:rsid w:val="009371BB"/>
    <w:rsid w:val="00937399"/>
    <w:rsid w:val="00937935"/>
    <w:rsid w:val="009379AF"/>
    <w:rsid w:val="009379F4"/>
    <w:rsid w:val="0094015F"/>
    <w:rsid w:val="009401DE"/>
    <w:rsid w:val="009401ED"/>
    <w:rsid w:val="00940453"/>
    <w:rsid w:val="009404DA"/>
    <w:rsid w:val="00940523"/>
    <w:rsid w:val="009407F9"/>
    <w:rsid w:val="00942543"/>
    <w:rsid w:val="00942730"/>
    <w:rsid w:val="0094291F"/>
    <w:rsid w:val="00942BB9"/>
    <w:rsid w:val="00942BBE"/>
    <w:rsid w:val="0094363D"/>
    <w:rsid w:val="00943A2E"/>
    <w:rsid w:val="00944110"/>
    <w:rsid w:val="009442D0"/>
    <w:rsid w:val="009447A6"/>
    <w:rsid w:val="00944FC2"/>
    <w:rsid w:val="0094529B"/>
    <w:rsid w:val="009452DF"/>
    <w:rsid w:val="00945330"/>
    <w:rsid w:val="00945365"/>
    <w:rsid w:val="0094580E"/>
    <w:rsid w:val="00946027"/>
    <w:rsid w:val="009462D4"/>
    <w:rsid w:val="00946A41"/>
    <w:rsid w:val="00946B9D"/>
    <w:rsid w:val="0094725A"/>
    <w:rsid w:val="00950096"/>
    <w:rsid w:val="00950433"/>
    <w:rsid w:val="009508B3"/>
    <w:rsid w:val="00950C97"/>
    <w:rsid w:val="00950E17"/>
    <w:rsid w:val="00950FDD"/>
    <w:rsid w:val="009513B7"/>
    <w:rsid w:val="009514F5"/>
    <w:rsid w:val="0095154B"/>
    <w:rsid w:val="00951BD0"/>
    <w:rsid w:val="009522F5"/>
    <w:rsid w:val="00952B16"/>
    <w:rsid w:val="009531B9"/>
    <w:rsid w:val="00953840"/>
    <w:rsid w:val="00953B74"/>
    <w:rsid w:val="009549CC"/>
    <w:rsid w:val="00954D0A"/>
    <w:rsid w:val="00955406"/>
    <w:rsid w:val="00955465"/>
    <w:rsid w:val="009557F2"/>
    <w:rsid w:val="00955E59"/>
    <w:rsid w:val="00956577"/>
    <w:rsid w:val="0095677B"/>
    <w:rsid w:val="009567CF"/>
    <w:rsid w:val="00956E7A"/>
    <w:rsid w:val="0095727F"/>
    <w:rsid w:val="00960064"/>
    <w:rsid w:val="009606C6"/>
    <w:rsid w:val="00960AC0"/>
    <w:rsid w:val="009617BD"/>
    <w:rsid w:val="00961831"/>
    <w:rsid w:val="00961CB6"/>
    <w:rsid w:val="0096202B"/>
    <w:rsid w:val="009626DB"/>
    <w:rsid w:val="009627EF"/>
    <w:rsid w:val="0096294B"/>
    <w:rsid w:val="00963177"/>
    <w:rsid w:val="0096351E"/>
    <w:rsid w:val="00964A51"/>
    <w:rsid w:val="00964EF8"/>
    <w:rsid w:val="0096530D"/>
    <w:rsid w:val="009654B1"/>
    <w:rsid w:val="009655E8"/>
    <w:rsid w:val="00965735"/>
    <w:rsid w:val="00965FAD"/>
    <w:rsid w:val="009662BE"/>
    <w:rsid w:val="009665D6"/>
    <w:rsid w:val="00966630"/>
    <w:rsid w:val="0096665C"/>
    <w:rsid w:val="009666BD"/>
    <w:rsid w:val="00966700"/>
    <w:rsid w:val="00966776"/>
    <w:rsid w:val="00966944"/>
    <w:rsid w:val="00966CFB"/>
    <w:rsid w:val="00966D63"/>
    <w:rsid w:val="0096776D"/>
    <w:rsid w:val="00967DD4"/>
    <w:rsid w:val="00967FB4"/>
    <w:rsid w:val="00970D37"/>
    <w:rsid w:val="00970FC0"/>
    <w:rsid w:val="00970FED"/>
    <w:rsid w:val="009711AD"/>
    <w:rsid w:val="00971B20"/>
    <w:rsid w:val="00971EC9"/>
    <w:rsid w:val="00971F61"/>
    <w:rsid w:val="0097202B"/>
    <w:rsid w:val="0097216D"/>
    <w:rsid w:val="00972467"/>
    <w:rsid w:val="0097292A"/>
    <w:rsid w:val="00972BF5"/>
    <w:rsid w:val="00972E3F"/>
    <w:rsid w:val="00972E46"/>
    <w:rsid w:val="00973D63"/>
    <w:rsid w:val="00974531"/>
    <w:rsid w:val="00974623"/>
    <w:rsid w:val="009747AA"/>
    <w:rsid w:val="00974E04"/>
    <w:rsid w:val="009752BD"/>
    <w:rsid w:val="00975560"/>
    <w:rsid w:val="0097558A"/>
    <w:rsid w:val="009759FF"/>
    <w:rsid w:val="00975A03"/>
    <w:rsid w:val="00975A8C"/>
    <w:rsid w:val="00975AAD"/>
    <w:rsid w:val="00976272"/>
    <w:rsid w:val="009769B3"/>
    <w:rsid w:val="00976C29"/>
    <w:rsid w:val="009806A3"/>
    <w:rsid w:val="00980DD9"/>
    <w:rsid w:val="00981253"/>
    <w:rsid w:val="009816FD"/>
    <w:rsid w:val="00981EE6"/>
    <w:rsid w:val="009828EA"/>
    <w:rsid w:val="00982950"/>
    <w:rsid w:val="00982C6B"/>
    <w:rsid w:val="00982EF8"/>
    <w:rsid w:val="0098300A"/>
    <w:rsid w:val="00983354"/>
    <w:rsid w:val="00983B3E"/>
    <w:rsid w:val="00983B5A"/>
    <w:rsid w:val="00983E2C"/>
    <w:rsid w:val="00984065"/>
    <w:rsid w:val="00984256"/>
    <w:rsid w:val="00984D4C"/>
    <w:rsid w:val="00986019"/>
    <w:rsid w:val="00986514"/>
    <w:rsid w:val="00986695"/>
    <w:rsid w:val="00987172"/>
    <w:rsid w:val="0098734C"/>
    <w:rsid w:val="00987543"/>
    <w:rsid w:val="00987A06"/>
    <w:rsid w:val="00987C79"/>
    <w:rsid w:val="00990C1B"/>
    <w:rsid w:val="00990F4F"/>
    <w:rsid w:val="00991A15"/>
    <w:rsid w:val="00991D21"/>
    <w:rsid w:val="00991E93"/>
    <w:rsid w:val="00992158"/>
    <w:rsid w:val="00992499"/>
    <w:rsid w:val="00992CA8"/>
    <w:rsid w:val="00992F50"/>
    <w:rsid w:val="009935AB"/>
    <w:rsid w:val="00993A64"/>
    <w:rsid w:val="00993ADA"/>
    <w:rsid w:val="00994547"/>
    <w:rsid w:val="00994654"/>
    <w:rsid w:val="00994889"/>
    <w:rsid w:val="009949A7"/>
    <w:rsid w:val="0099500B"/>
    <w:rsid w:val="00995893"/>
    <w:rsid w:val="00995CE3"/>
    <w:rsid w:val="009961E4"/>
    <w:rsid w:val="00996304"/>
    <w:rsid w:val="009970EF"/>
    <w:rsid w:val="0099716C"/>
    <w:rsid w:val="00997561"/>
    <w:rsid w:val="009975DC"/>
    <w:rsid w:val="00997D2B"/>
    <w:rsid w:val="00997DD1"/>
    <w:rsid w:val="009A05A3"/>
    <w:rsid w:val="009A0734"/>
    <w:rsid w:val="009A0AC1"/>
    <w:rsid w:val="009A0DAB"/>
    <w:rsid w:val="009A210D"/>
    <w:rsid w:val="009A2385"/>
    <w:rsid w:val="009A23CD"/>
    <w:rsid w:val="009A28FA"/>
    <w:rsid w:val="009A2BA4"/>
    <w:rsid w:val="009A2E43"/>
    <w:rsid w:val="009A394C"/>
    <w:rsid w:val="009A3987"/>
    <w:rsid w:val="009A3B1E"/>
    <w:rsid w:val="009A3D37"/>
    <w:rsid w:val="009A3D4E"/>
    <w:rsid w:val="009A44D2"/>
    <w:rsid w:val="009A4A9A"/>
    <w:rsid w:val="009A4AAD"/>
    <w:rsid w:val="009A4B3A"/>
    <w:rsid w:val="009A50FF"/>
    <w:rsid w:val="009A5548"/>
    <w:rsid w:val="009A657E"/>
    <w:rsid w:val="009A6676"/>
    <w:rsid w:val="009A6DB4"/>
    <w:rsid w:val="009A79E9"/>
    <w:rsid w:val="009B0933"/>
    <w:rsid w:val="009B0B08"/>
    <w:rsid w:val="009B0C53"/>
    <w:rsid w:val="009B0F02"/>
    <w:rsid w:val="009B10AA"/>
    <w:rsid w:val="009B12EB"/>
    <w:rsid w:val="009B173F"/>
    <w:rsid w:val="009B26CA"/>
    <w:rsid w:val="009B29B5"/>
    <w:rsid w:val="009B2D98"/>
    <w:rsid w:val="009B2E69"/>
    <w:rsid w:val="009B2FF4"/>
    <w:rsid w:val="009B3306"/>
    <w:rsid w:val="009B39D1"/>
    <w:rsid w:val="009B3AA1"/>
    <w:rsid w:val="009B43D0"/>
    <w:rsid w:val="009B4B61"/>
    <w:rsid w:val="009B5ADE"/>
    <w:rsid w:val="009B5B3F"/>
    <w:rsid w:val="009B6736"/>
    <w:rsid w:val="009B695C"/>
    <w:rsid w:val="009B6BD3"/>
    <w:rsid w:val="009B714D"/>
    <w:rsid w:val="009B7164"/>
    <w:rsid w:val="009B756A"/>
    <w:rsid w:val="009B7591"/>
    <w:rsid w:val="009B77F2"/>
    <w:rsid w:val="009B7ABF"/>
    <w:rsid w:val="009C08BD"/>
    <w:rsid w:val="009C0BAB"/>
    <w:rsid w:val="009C0BBE"/>
    <w:rsid w:val="009C0F2C"/>
    <w:rsid w:val="009C0F43"/>
    <w:rsid w:val="009C1D69"/>
    <w:rsid w:val="009C1EAD"/>
    <w:rsid w:val="009C223D"/>
    <w:rsid w:val="009C246A"/>
    <w:rsid w:val="009C2625"/>
    <w:rsid w:val="009C281D"/>
    <w:rsid w:val="009C2837"/>
    <w:rsid w:val="009C2FF5"/>
    <w:rsid w:val="009C30E9"/>
    <w:rsid w:val="009C34DD"/>
    <w:rsid w:val="009C3590"/>
    <w:rsid w:val="009C399F"/>
    <w:rsid w:val="009C3B3D"/>
    <w:rsid w:val="009C3DF9"/>
    <w:rsid w:val="009C49BA"/>
    <w:rsid w:val="009C4B28"/>
    <w:rsid w:val="009C514D"/>
    <w:rsid w:val="009C5C87"/>
    <w:rsid w:val="009C5ED3"/>
    <w:rsid w:val="009C692C"/>
    <w:rsid w:val="009C71E4"/>
    <w:rsid w:val="009C7650"/>
    <w:rsid w:val="009C76C8"/>
    <w:rsid w:val="009C7809"/>
    <w:rsid w:val="009C7C5C"/>
    <w:rsid w:val="009C7C9A"/>
    <w:rsid w:val="009D0732"/>
    <w:rsid w:val="009D0D33"/>
    <w:rsid w:val="009D1366"/>
    <w:rsid w:val="009D1912"/>
    <w:rsid w:val="009D19ED"/>
    <w:rsid w:val="009D21E6"/>
    <w:rsid w:val="009D2BE8"/>
    <w:rsid w:val="009D321F"/>
    <w:rsid w:val="009D35BC"/>
    <w:rsid w:val="009D3669"/>
    <w:rsid w:val="009D378C"/>
    <w:rsid w:val="009D3926"/>
    <w:rsid w:val="009D44EE"/>
    <w:rsid w:val="009D4D7B"/>
    <w:rsid w:val="009D5719"/>
    <w:rsid w:val="009D5729"/>
    <w:rsid w:val="009D64B3"/>
    <w:rsid w:val="009D6610"/>
    <w:rsid w:val="009D6A07"/>
    <w:rsid w:val="009D6A3A"/>
    <w:rsid w:val="009D6AA8"/>
    <w:rsid w:val="009D6BB3"/>
    <w:rsid w:val="009D7552"/>
    <w:rsid w:val="009D75AE"/>
    <w:rsid w:val="009D7882"/>
    <w:rsid w:val="009D78C7"/>
    <w:rsid w:val="009D78FA"/>
    <w:rsid w:val="009D7C02"/>
    <w:rsid w:val="009D7DF9"/>
    <w:rsid w:val="009D7E94"/>
    <w:rsid w:val="009E03C0"/>
    <w:rsid w:val="009E0963"/>
    <w:rsid w:val="009E0C31"/>
    <w:rsid w:val="009E0D19"/>
    <w:rsid w:val="009E0D2B"/>
    <w:rsid w:val="009E0EC3"/>
    <w:rsid w:val="009E0F24"/>
    <w:rsid w:val="009E118C"/>
    <w:rsid w:val="009E1263"/>
    <w:rsid w:val="009E1B89"/>
    <w:rsid w:val="009E24BB"/>
    <w:rsid w:val="009E2B57"/>
    <w:rsid w:val="009E31A2"/>
    <w:rsid w:val="009E32BE"/>
    <w:rsid w:val="009E3373"/>
    <w:rsid w:val="009E348B"/>
    <w:rsid w:val="009E39B7"/>
    <w:rsid w:val="009E3A74"/>
    <w:rsid w:val="009E4476"/>
    <w:rsid w:val="009E47AF"/>
    <w:rsid w:val="009E4957"/>
    <w:rsid w:val="009E49C4"/>
    <w:rsid w:val="009E5056"/>
    <w:rsid w:val="009E51FF"/>
    <w:rsid w:val="009E5464"/>
    <w:rsid w:val="009E546D"/>
    <w:rsid w:val="009E5634"/>
    <w:rsid w:val="009E5DA6"/>
    <w:rsid w:val="009E5DB2"/>
    <w:rsid w:val="009E60CF"/>
    <w:rsid w:val="009E6315"/>
    <w:rsid w:val="009E6E4D"/>
    <w:rsid w:val="009E7271"/>
    <w:rsid w:val="009E72ED"/>
    <w:rsid w:val="009E77E1"/>
    <w:rsid w:val="009E7A2C"/>
    <w:rsid w:val="009E7F55"/>
    <w:rsid w:val="009F011A"/>
    <w:rsid w:val="009F0286"/>
    <w:rsid w:val="009F036F"/>
    <w:rsid w:val="009F040F"/>
    <w:rsid w:val="009F12CC"/>
    <w:rsid w:val="009F1931"/>
    <w:rsid w:val="009F1BE6"/>
    <w:rsid w:val="009F1CE1"/>
    <w:rsid w:val="009F2A72"/>
    <w:rsid w:val="009F2DE4"/>
    <w:rsid w:val="009F30FB"/>
    <w:rsid w:val="009F312E"/>
    <w:rsid w:val="009F33C3"/>
    <w:rsid w:val="009F366F"/>
    <w:rsid w:val="009F3AE5"/>
    <w:rsid w:val="009F455B"/>
    <w:rsid w:val="009F4BB0"/>
    <w:rsid w:val="009F4E0D"/>
    <w:rsid w:val="009F4E89"/>
    <w:rsid w:val="009F53E8"/>
    <w:rsid w:val="009F55AD"/>
    <w:rsid w:val="009F5D43"/>
    <w:rsid w:val="009F705E"/>
    <w:rsid w:val="009F70A8"/>
    <w:rsid w:val="009F7390"/>
    <w:rsid w:val="009F749F"/>
    <w:rsid w:val="009F75D5"/>
    <w:rsid w:val="009F7676"/>
    <w:rsid w:val="009F7C7F"/>
    <w:rsid w:val="009F7CAC"/>
    <w:rsid w:val="00A00C3F"/>
    <w:rsid w:val="00A00DC8"/>
    <w:rsid w:val="00A0128F"/>
    <w:rsid w:val="00A012F4"/>
    <w:rsid w:val="00A02038"/>
    <w:rsid w:val="00A023DE"/>
    <w:rsid w:val="00A02996"/>
    <w:rsid w:val="00A02C1A"/>
    <w:rsid w:val="00A031C0"/>
    <w:rsid w:val="00A033D4"/>
    <w:rsid w:val="00A03CF2"/>
    <w:rsid w:val="00A043AB"/>
    <w:rsid w:val="00A043FD"/>
    <w:rsid w:val="00A04402"/>
    <w:rsid w:val="00A049AE"/>
    <w:rsid w:val="00A04AB5"/>
    <w:rsid w:val="00A05A87"/>
    <w:rsid w:val="00A06086"/>
    <w:rsid w:val="00A060ED"/>
    <w:rsid w:val="00A064D8"/>
    <w:rsid w:val="00A064D9"/>
    <w:rsid w:val="00A06546"/>
    <w:rsid w:val="00A06AA5"/>
    <w:rsid w:val="00A06F58"/>
    <w:rsid w:val="00A075BA"/>
    <w:rsid w:val="00A07715"/>
    <w:rsid w:val="00A079AA"/>
    <w:rsid w:val="00A07ABC"/>
    <w:rsid w:val="00A07CD2"/>
    <w:rsid w:val="00A10445"/>
    <w:rsid w:val="00A10847"/>
    <w:rsid w:val="00A1193E"/>
    <w:rsid w:val="00A11A8C"/>
    <w:rsid w:val="00A11F96"/>
    <w:rsid w:val="00A123DC"/>
    <w:rsid w:val="00A1246A"/>
    <w:rsid w:val="00A12637"/>
    <w:rsid w:val="00A12CAC"/>
    <w:rsid w:val="00A12EA4"/>
    <w:rsid w:val="00A13418"/>
    <w:rsid w:val="00A138CF"/>
    <w:rsid w:val="00A139AE"/>
    <w:rsid w:val="00A14166"/>
    <w:rsid w:val="00A1421B"/>
    <w:rsid w:val="00A144C0"/>
    <w:rsid w:val="00A14660"/>
    <w:rsid w:val="00A14797"/>
    <w:rsid w:val="00A14C9C"/>
    <w:rsid w:val="00A15942"/>
    <w:rsid w:val="00A163D7"/>
    <w:rsid w:val="00A165A3"/>
    <w:rsid w:val="00A16CF7"/>
    <w:rsid w:val="00A16D2B"/>
    <w:rsid w:val="00A16E5F"/>
    <w:rsid w:val="00A16F7F"/>
    <w:rsid w:val="00A17241"/>
    <w:rsid w:val="00A17378"/>
    <w:rsid w:val="00A178D4"/>
    <w:rsid w:val="00A17908"/>
    <w:rsid w:val="00A17919"/>
    <w:rsid w:val="00A17AA8"/>
    <w:rsid w:val="00A20204"/>
    <w:rsid w:val="00A2040F"/>
    <w:rsid w:val="00A20F9A"/>
    <w:rsid w:val="00A21102"/>
    <w:rsid w:val="00A216F0"/>
    <w:rsid w:val="00A219EB"/>
    <w:rsid w:val="00A22190"/>
    <w:rsid w:val="00A22430"/>
    <w:rsid w:val="00A231C6"/>
    <w:rsid w:val="00A2358E"/>
    <w:rsid w:val="00A247ED"/>
    <w:rsid w:val="00A2490D"/>
    <w:rsid w:val="00A24931"/>
    <w:rsid w:val="00A24FC3"/>
    <w:rsid w:val="00A25300"/>
    <w:rsid w:val="00A2543E"/>
    <w:rsid w:val="00A25BD9"/>
    <w:rsid w:val="00A262F2"/>
    <w:rsid w:val="00A263DF"/>
    <w:rsid w:val="00A26793"/>
    <w:rsid w:val="00A267F3"/>
    <w:rsid w:val="00A26A5B"/>
    <w:rsid w:val="00A26B95"/>
    <w:rsid w:val="00A274F7"/>
    <w:rsid w:val="00A2770B"/>
    <w:rsid w:val="00A27F33"/>
    <w:rsid w:val="00A30063"/>
    <w:rsid w:val="00A301FE"/>
    <w:rsid w:val="00A310A7"/>
    <w:rsid w:val="00A310F0"/>
    <w:rsid w:val="00A31704"/>
    <w:rsid w:val="00A31718"/>
    <w:rsid w:val="00A32042"/>
    <w:rsid w:val="00A32173"/>
    <w:rsid w:val="00A323E3"/>
    <w:rsid w:val="00A324E2"/>
    <w:rsid w:val="00A32672"/>
    <w:rsid w:val="00A33AE0"/>
    <w:rsid w:val="00A347FA"/>
    <w:rsid w:val="00A34D96"/>
    <w:rsid w:val="00A35963"/>
    <w:rsid w:val="00A35ABC"/>
    <w:rsid w:val="00A35BEE"/>
    <w:rsid w:val="00A36315"/>
    <w:rsid w:val="00A363B0"/>
    <w:rsid w:val="00A36572"/>
    <w:rsid w:val="00A365D9"/>
    <w:rsid w:val="00A36CE5"/>
    <w:rsid w:val="00A36DC1"/>
    <w:rsid w:val="00A370C5"/>
    <w:rsid w:val="00A372E8"/>
    <w:rsid w:val="00A37539"/>
    <w:rsid w:val="00A37748"/>
    <w:rsid w:val="00A3779C"/>
    <w:rsid w:val="00A37CCD"/>
    <w:rsid w:val="00A40C4F"/>
    <w:rsid w:val="00A4143E"/>
    <w:rsid w:val="00A4187E"/>
    <w:rsid w:val="00A41A89"/>
    <w:rsid w:val="00A428D1"/>
    <w:rsid w:val="00A42956"/>
    <w:rsid w:val="00A42FEC"/>
    <w:rsid w:val="00A4368F"/>
    <w:rsid w:val="00A4391A"/>
    <w:rsid w:val="00A43CB7"/>
    <w:rsid w:val="00A43DCA"/>
    <w:rsid w:val="00A440BE"/>
    <w:rsid w:val="00A448E1"/>
    <w:rsid w:val="00A44E7B"/>
    <w:rsid w:val="00A452B3"/>
    <w:rsid w:val="00A45DD8"/>
    <w:rsid w:val="00A46223"/>
    <w:rsid w:val="00A463DF"/>
    <w:rsid w:val="00A4643E"/>
    <w:rsid w:val="00A46683"/>
    <w:rsid w:val="00A46CC6"/>
    <w:rsid w:val="00A46EC5"/>
    <w:rsid w:val="00A4721E"/>
    <w:rsid w:val="00A472A1"/>
    <w:rsid w:val="00A473F8"/>
    <w:rsid w:val="00A475F5"/>
    <w:rsid w:val="00A478E8"/>
    <w:rsid w:val="00A500C0"/>
    <w:rsid w:val="00A5076D"/>
    <w:rsid w:val="00A507C2"/>
    <w:rsid w:val="00A5082C"/>
    <w:rsid w:val="00A50B2D"/>
    <w:rsid w:val="00A50C94"/>
    <w:rsid w:val="00A5146B"/>
    <w:rsid w:val="00A514F4"/>
    <w:rsid w:val="00A51CFB"/>
    <w:rsid w:val="00A51E3C"/>
    <w:rsid w:val="00A52155"/>
    <w:rsid w:val="00A52401"/>
    <w:rsid w:val="00A52A7B"/>
    <w:rsid w:val="00A52EB3"/>
    <w:rsid w:val="00A53012"/>
    <w:rsid w:val="00A5313B"/>
    <w:rsid w:val="00A533A3"/>
    <w:rsid w:val="00A5396B"/>
    <w:rsid w:val="00A53993"/>
    <w:rsid w:val="00A5411F"/>
    <w:rsid w:val="00A542A2"/>
    <w:rsid w:val="00A54663"/>
    <w:rsid w:val="00A54766"/>
    <w:rsid w:val="00A5492D"/>
    <w:rsid w:val="00A54C3A"/>
    <w:rsid w:val="00A55216"/>
    <w:rsid w:val="00A56210"/>
    <w:rsid w:val="00A56225"/>
    <w:rsid w:val="00A56688"/>
    <w:rsid w:val="00A56A22"/>
    <w:rsid w:val="00A56D88"/>
    <w:rsid w:val="00A572B4"/>
    <w:rsid w:val="00A57314"/>
    <w:rsid w:val="00A57411"/>
    <w:rsid w:val="00A57812"/>
    <w:rsid w:val="00A605E4"/>
    <w:rsid w:val="00A605F4"/>
    <w:rsid w:val="00A60B01"/>
    <w:rsid w:val="00A60C6E"/>
    <w:rsid w:val="00A60E1A"/>
    <w:rsid w:val="00A618DC"/>
    <w:rsid w:val="00A61B79"/>
    <w:rsid w:val="00A61BEA"/>
    <w:rsid w:val="00A62637"/>
    <w:rsid w:val="00A627DA"/>
    <w:rsid w:val="00A62D46"/>
    <w:rsid w:val="00A63156"/>
    <w:rsid w:val="00A63178"/>
    <w:rsid w:val="00A63840"/>
    <w:rsid w:val="00A63B36"/>
    <w:rsid w:val="00A63C3F"/>
    <w:rsid w:val="00A63E68"/>
    <w:rsid w:val="00A640F1"/>
    <w:rsid w:val="00A64748"/>
    <w:rsid w:val="00A647D5"/>
    <w:rsid w:val="00A65160"/>
    <w:rsid w:val="00A652C0"/>
    <w:rsid w:val="00A65490"/>
    <w:rsid w:val="00A65F2E"/>
    <w:rsid w:val="00A66857"/>
    <w:rsid w:val="00A66C5E"/>
    <w:rsid w:val="00A670E2"/>
    <w:rsid w:val="00A674A2"/>
    <w:rsid w:val="00A67838"/>
    <w:rsid w:val="00A678D2"/>
    <w:rsid w:val="00A67D31"/>
    <w:rsid w:val="00A70276"/>
    <w:rsid w:val="00A704A0"/>
    <w:rsid w:val="00A70860"/>
    <w:rsid w:val="00A70992"/>
    <w:rsid w:val="00A70CF3"/>
    <w:rsid w:val="00A70E0A"/>
    <w:rsid w:val="00A716C0"/>
    <w:rsid w:val="00A71736"/>
    <w:rsid w:val="00A718B6"/>
    <w:rsid w:val="00A7215C"/>
    <w:rsid w:val="00A72807"/>
    <w:rsid w:val="00A72B0D"/>
    <w:rsid w:val="00A730F7"/>
    <w:rsid w:val="00A731FC"/>
    <w:rsid w:val="00A74064"/>
    <w:rsid w:val="00A740B8"/>
    <w:rsid w:val="00A74256"/>
    <w:rsid w:val="00A74974"/>
    <w:rsid w:val="00A74B2F"/>
    <w:rsid w:val="00A74FDF"/>
    <w:rsid w:val="00A75396"/>
    <w:rsid w:val="00A7539B"/>
    <w:rsid w:val="00A755C1"/>
    <w:rsid w:val="00A75DE8"/>
    <w:rsid w:val="00A75EF3"/>
    <w:rsid w:val="00A7629F"/>
    <w:rsid w:val="00A7646D"/>
    <w:rsid w:val="00A76851"/>
    <w:rsid w:val="00A775E9"/>
    <w:rsid w:val="00A776BC"/>
    <w:rsid w:val="00A77A1E"/>
    <w:rsid w:val="00A77EB2"/>
    <w:rsid w:val="00A8031F"/>
    <w:rsid w:val="00A804DA"/>
    <w:rsid w:val="00A819C2"/>
    <w:rsid w:val="00A81CA0"/>
    <w:rsid w:val="00A81DF5"/>
    <w:rsid w:val="00A82074"/>
    <w:rsid w:val="00A82404"/>
    <w:rsid w:val="00A82756"/>
    <w:rsid w:val="00A827BB"/>
    <w:rsid w:val="00A829C4"/>
    <w:rsid w:val="00A8311A"/>
    <w:rsid w:val="00A832B0"/>
    <w:rsid w:val="00A8334E"/>
    <w:rsid w:val="00A8359A"/>
    <w:rsid w:val="00A83DAF"/>
    <w:rsid w:val="00A83E41"/>
    <w:rsid w:val="00A83EF4"/>
    <w:rsid w:val="00A8403D"/>
    <w:rsid w:val="00A84205"/>
    <w:rsid w:val="00A842C6"/>
    <w:rsid w:val="00A8436F"/>
    <w:rsid w:val="00A84FCC"/>
    <w:rsid w:val="00A85FD5"/>
    <w:rsid w:val="00A86221"/>
    <w:rsid w:val="00A864CE"/>
    <w:rsid w:val="00A8671C"/>
    <w:rsid w:val="00A86EC7"/>
    <w:rsid w:val="00A87003"/>
    <w:rsid w:val="00A87171"/>
    <w:rsid w:val="00A87548"/>
    <w:rsid w:val="00A87EDA"/>
    <w:rsid w:val="00A90125"/>
    <w:rsid w:val="00A90753"/>
    <w:rsid w:val="00A90851"/>
    <w:rsid w:val="00A90A45"/>
    <w:rsid w:val="00A91507"/>
    <w:rsid w:val="00A91C99"/>
    <w:rsid w:val="00A921C8"/>
    <w:rsid w:val="00A92885"/>
    <w:rsid w:val="00A92AE2"/>
    <w:rsid w:val="00A92F66"/>
    <w:rsid w:val="00A932CE"/>
    <w:rsid w:val="00A937B9"/>
    <w:rsid w:val="00A93CFA"/>
    <w:rsid w:val="00A93FF2"/>
    <w:rsid w:val="00A9438C"/>
    <w:rsid w:val="00A94C6C"/>
    <w:rsid w:val="00A94DFB"/>
    <w:rsid w:val="00A94FF6"/>
    <w:rsid w:val="00A951DB"/>
    <w:rsid w:val="00A95B4D"/>
    <w:rsid w:val="00A96474"/>
    <w:rsid w:val="00A964ED"/>
    <w:rsid w:val="00A965BE"/>
    <w:rsid w:val="00A969D1"/>
    <w:rsid w:val="00A978C8"/>
    <w:rsid w:val="00A9792F"/>
    <w:rsid w:val="00A97AB6"/>
    <w:rsid w:val="00A97BE3"/>
    <w:rsid w:val="00AA03BC"/>
    <w:rsid w:val="00AA28E8"/>
    <w:rsid w:val="00AA2958"/>
    <w:rsid w:val="00AA393E"/>
    <w:rsid w:val="00AA39B5"/>
    <w:rsid w:val="00AA430F"/>
    <w:rsid w:val="00AA43D6"/>
    <w:rsid w:val="00AA4571"/>
    <w:rsid w:val="00AA462B"/>
    <w:rsid w:val="00AA4B8D"/>
    <w:rsid w:val="00AA4CBA"/>
    <w:rsid w:val="00AA4DD2"/>
    <w:rsid w:val="00AA5053"/>
    <w:rsid w:val="00AA506F"/>
    <w:rsid w:val="00AA6C60"/>
    <w:rsid w:val="00AA6EF2"/>
    <w:rsid w:val="00AA78B9"/>
    <w:rsid w:val="00AA7A07"/>
    <w:rsid w:val="00AA7C6D"/>
    <w:rsid w:val="00AB0583"/>
    <w:rsid w:val="00AB0E2B"/>
    <w:rsid w:val="00AB0EA3"/>
    <w:rsid w:val="00AB104A"/>
    <w:rsid w:val="00AB18D9"/>
    <w:rsid w:val="00AB1C6B"/>
    <w:rsid w:val="00AB1E50"/>
    <w:rsid w:val="00AB20DE"/>
    <w:rsid w:val="00AB2666"/>
    <w:rsid w:val="00AB2D5F"/>
    <w:rsid w:val="00AB316A"/>
    <w:rsid w:val="00AB31E8"/>
    <w:rsid w:val="00AB344F"/>
    <w:rsid w:val="00AB3527"/>
    <w:rsid w:val="00AB38F0"/>
    <w:rsid w:val="00AB38FB"/>
    <w:rsid w:val="00AB3966"/>
    <w:rsid w:val="00AB3C22"/>
    <w:rsid w:val="00AB3DA2"/>
    <w:rsid w:val="00AB3F3B"/>
    <w:rsid w:val="00AB4A4B"/>
    <w:rsid w:val="00AB4B55"/>
    <w:rsid w:val="00AB5037"/>
    <w:rsid w:val="00AB50CF"/>
    <w:rsid w:val="00AB5193"/>
    <w:rsid w:val="00AB5FB8"/>
    <w:rsid w:val="00AB60E5"/>
    <w:rsid w:val="00AB617F"/>
    <w:rsid w:val="00AB64FC"/>
    <w:rsid w:val="00AB6592"/>
    <w:rsid w:val="00AB67CA"/>
    <w:rsid w:val="00AB6918"/>
    <w:rsid w:val="00AB6D92"/>
    <w:rsid w:val="00AB75CA"/>
    <w:rsid w:val="00AB767F"/>
    <w:rsid w:val="00AB76CC"/>
    <w:rsid w:val="00AB79A2"/>
    <w:rsid w:val="00AC02EA"/>
    <w:rsid w:val="00AC047B"/>
    <w:rsid w:val="00AC09F0"/>
    <w:rsid w:val="00AC0EAB"/>
    <w:rsid w:val="00AC1616"/>
    <w:rsid w:val="00AC19B3"/>
    <w:rsid w:val="00AC26A6"/>
    <w:rsid w:val="00AC2AD6"/>
    <w:rsid w:val="00AC2F3B"/>
    <w:rsid w:val="00AC3241"/>
    <w:rsid w:val="00AC36C4"/>
    <w:rsid w:val="00AC38C1"/>
    <w:rsid w:val="00AC461C"/>
    <w:rsid w:val="00AC49DC"/>
    <w:rsid w:val="00AC49E3"/>
    <w:rsid w:val="00AC4B2A"/>
    <w:rsid w:val="00AC50B4"/>
    <w:rsid w:val="00AC512C"/>
    <w:rsid w:val="00AC5A34"/>
    <w:rsid w:val="00AC5F66"/>
    <w:rsid w:val="00AC62C4"/>
    <w:rsid w:val="00AC72AF"/>
    <w:rsid w:val="00AC7550"/>
    <w:rsid w:val="00AC7865"/>
    <w:rsid w:val="00AC78BB"/>
    <w:rsid w:val="00AC7C30"/>
    <w:rsid w:val="00AD0501"/>
    <w:rsid w:val="00AD0BC2"/>
    <w:rsid w:val="00AD0CDE"/>
    <w:rsid w:val="00AD0CED"/>
    <w:rsid w:val="00AD0DD4"/>
    <w:rsid w:val="00AD0EC7"/>
    <w:rsid w:val="00AD1595"/>
    <w:rsid w:val="00AD1CF7"/>
    <w:rsid w:val="00AD2D11"/>
    <w:rsid w:val="00AD2FB7"/>
    <w:rsid w:val="00AD2FED"/>
    <w:rsid w:val="00AD3554"/>
    <w:rsid w:val="00AD380A"/>
    <w:rsid w:val="00AD3D7E"/>
    <w:rsid w:val="00AD3FA2"/>
    <w:rsid w:val="00AD4780"/>
    <w:rsid w:val="00AD4877"/>
    <w:rsid w:val="00AD4C81"/>
    <w:rsid w:val="00AD5190"/>
    <w:rsid w:val="00AD52E7"/>
    <w:rsid w:val="00AD5439"/>
    <w:rsid w:val="00AD5959"/>
    <w:rsid w:val="00AD5AD9"/>
    <w:rsid w:val="00AD5BE4"/>
    <w:rsid w:val="00AD6001"/>
    <w:rsid w:val="00AD6D50"/>
    <w:rsid w:val="00AD6E06"/>
    <w:rsid w:val="00AD6F71"/>
    <w:rsid w:val="00AD72E8"/>
    <w:rsid w:val="00AD747B"/>
    <w:rsid w:val="00AD74F4"/>
    <w:rsid w:val="00AD7549"/>
    <w:rsid w:val="00AD7703"/>
    <w:rsid w:val="00AD773F"/>
    <w:rsid w:val="00AD7762"/>
    <w:rsid w:val="00AD7961"/>
    <w:rsid w:val="00AD7A24"/>
    <w:rsid w:val="00AE0691"/>
    <w:rsid w:val="00AE0C5B"/>
    <w:rsid w:val="00AE11E0"/>
    <w:rsid w:val="00AE1991"/>
    <w:rsid w:val="00AE22FF"/>
    <w:rsid w:val="00AE2B41"/>
    <w:rsid w:val="00AE2F26"/>
    <w:rsid w:val="00AE309A"/>
    <w:rsid w:val="00AE334F"/>
    <w:rsid w:val="00AE354E"/>
    <w:rsid w:val="00AE3745"/>
    <w:rsid w:val="00AE3859"/>
    <w:rsid w:val="00AE3C29"/>
    <w:rsid w:val="00AE4122"/>
    <w:rsid w:val="00AE43E5"/>
    <w:rsid w:val="00AE45E3"/>
    <w:rsid w:val="00AE4970"/>
    <w:rsid w:val="00AE4A4F"/>
    <w:rsid w:val="00AE55D2"/>
    <w:rsid w:val="00AE59C8"/>
    <w:rsid w:val="00AE5A70"/>
    <w:rsid w:val="00AE5B12"/>
    <w:rsid w:val="00AE5B4E"/>
    <w:rsid w:val="00AE5FB4"/>
    <w:rsid w:val="00AE608B"/>
    <w:rsid w:val="00AE6152"/>
    <w:rsid w:val="00AE651F"/>
    <w:rsid w:val="00AE653F"/>
    <w:rsid w:val="00AE6543"/>
    <w:rsid w:val="00AE73F4"/>
    <w:rsid w:val="00AE7419"/>
    <w:rsid w:val="00AE7704"/>
    <w:rsid w:val="00AE78F4"/>
    <w:rsid w:val="00AE7957"/>
    <w:rsid w:val="00AE7C3A"/>
    <w:rsid w:val="00AE7E1F"/>
    <w:rsid w:val="00AE7EC5"/>
    <w:rsid w:val="00AF038D"/>
    <w:rsid w:val="00AF069D"/>
    <w:rsid w:val="00AF0A5A"/>
    <w:rsid w:val="00AF0B5C"/>
    <w:rsid w:val="00AF101F"/>
    <w:rsid w:val="00AF12F7"/>
    <w:rsid w:val="00AF15D2"/>
    <w:rsid w:val="00AF19B7"/>
    <w:rsid w:val="00AF1D19"/>
    <w:rsid w:val="00AF1E0B"/>
    <w:rsid w:val="00AF24A3"/>
    <w:rsid w:val="00AF33E2"/>
    <w:rsid w:val="00AF3413"/>
    <w:rsid w:val="00AF3475"/>
    <w:rsid w:val="00AF3628"/>
    <w:rsid w:val="00AF4084"/>
    <w:rsid w:val="00AF48F5"/>
    <w:rsid w:val="00AF4C4E"/>
    <w:rsid w:val="00AF55BC"/>
    <w:rsid w:val="00AF57FF"/>
    <w:rsid w:val="00AF6468"/>
    <w:rsid w:val="00AF6FD3"/>
    <w:rsid w:val="00AF7497"/>
    <w:rsid w:val="00AF7DED"/>
    <w:rsid w:val="00AF7FC9"/>
    <w:rsid w:val="00B000CD"/>
    <w:rsid w:val="00B001D9"/>
    <w:rsid w:val="00B007E9"/>
    <w:rsid w:val="00B00998"/>
    <w:rsid w:val="00B01C0A"/>
    <w:rsid w:val="00B01FB2"/>
    <w:rsid w:val="00B027F0"/>
    <w:rsid w:val="00B02A99"/>
    <w:rsid w:val="00B02B00"/>
    <w:rsid w:val="00B031BB"/>
    <w:rsid w:val="00B031E9"/>
    <w:rsid w:val="00B032B7"/>
    <w:rsid w:val="00B03A76"/>
    <w:rsid w:val="00B03B24"/>
    <w:rsid w:val="00B03F87"/>
    <w:rsid w:val="00B04570"/>
    <w:rsid w:val="00B0461A"/>
    <w:rsid w:val="00B05EDF"/>
    <w:rsid w:val="00B06B38"/>
    <w:rsid w:val="00B06BD5"/>
    <w:rsid w:val="00B06F6A"/>
    <w:rsid w:val="00B10500"/>
    <w:rsid w:val="00B106D9"/>
    <w:rsid w:val="00B10ED8"/>
    <w:rsid w:val="00B11651"/>
    <w:rsid w:val="00B11933"/>
    <w:rsid w:val="00B11985"/>
    <w:rsid w:val="00B11C22"/>
    <w:rsid w:val="00B11E9F"/>
    <w:rsid w:val="00B12933"/>
    <w:rsid w:val="00B12D84"/>
    <w:rsid w:val="00B12FFA"/>
    <w:rsid w:val="00B13F3D"/>
    <w:rsid w:val="00B149F3"/>
    <w:rsid w:val="00B149F8"/>
    <w:rsid w:val="00B15047"/>
    <w:rsid w:val="00B15289"/>
    <w:rsid w:val="00B1549B"/>
    <w:rsid w:val="00B1577B"/>
    <w:rsid w:val="00B15D39"/>
    <w:rsid w:val="00B15D73"/>
    <w:rsid w:val="00B160EA"/>
    <w:rsid w:val="00B162C1"/>
    <w:rsid w:val="00B16CB7"/>
    <w:rsid w:val="00B171A6"/>
    <w:rsid w:val="00B17382"/>
    <w:rsid w:val="00B17CBD"/>
    <w:rsid w:val="00B17DC6"/>
    <w:rsid w:val="00B17E12"/>
    <w:rsid w:val="00B20790"/>
    <w:rsid w:val="00B208D8"/>
    <w:rsid w:val="00B20B9F"/>
    <w:rsid w:val="00B20D78"/>
    <w:rsid w:val="00B20F2E"/>
    <w:rsid w:val="00B2136D"/>
    <w:rsid w:val="00B2194D"/>
    <w:rsid w:val="00B21DF9"/>
    <w:rsid w:val="00B21F02"/>
    <w:rsid w:val="00B2283A"/>
    <w:rsid w:val="00B229CC"/>
    <w:rsid w:val="00B234C4"/>
    <w:rsid w:val="00B23540"/>
    <w:rsid w:val="00B237EE"/>
    <w:rsid w:val="00B24559"/>
    <w:rsid w:val="00B24A16"/>
    <w:rsid w:val="00B24DD8"/>
    <w:rsid w:val="00B25416"/>
    <w:rsid w:val="00B25A89"/>
    <w:rsid w:val="00B25B4F"/>
    <w:rsid w:val="00B260AE"/>
    <w:rsid w:val="00B27030"/>
    <w:rsid w:val="00B3078E"/>
    <w:rsid w:val="00B30AAD"/>
    <w:rsid w:val="00B310D4"/>
    <w:rsid w:val="00B31276"/>
    <w:rsid w:val="00B31885"/>
    <w:rsid w:val="00B323F7"/>
    <w:rsid w:val="00B326AD"/>
    <w:rsid w:val="00B32D6B"/>
    <w:rsid w:val="00B33273"/>
    <w:rsid w:val="00B33700"/>
    <w:rsid w:val="00B33C88"/>
    <w:rsid w:val="00B33EC4"/>
    <w:rsid w:val="00B34444"/>
    <w:rsid w:val="00B34AAC"/>
    <w:rsid w:val="00B34E13"/>
    <w:rsid w:val="00B3506C"/>
    <w:rsid w:val="00B363D8"/>
    <w:rsid w:val="00B365E4"/>
    <w:rsid w:val="00B36A7B"/>
    <w:rsid w:val="00B36B86"/>
    <w:rsid w:val="00B370E8"/>
    <w:rsid w:val="00B37904"/>
    <w:rsid w:val="00B37BCF"/>
    <w:rsid w:val="00B37C34"/>
    <w:rsid w:val="00B40204"/>
    <w:rsid w:val="00B4064E"/>
    <w:rsid w:val="00B407CD"/>
    <w:rsid w:val="00B40AA4"/>
    <w:rsid w:val="00B40B78"/>
    <w:rsid w:val="00B40EEA"/>
    <w:rsid w:val="00B41347"/>
    <w:rsid w:val="00B42036"/>
    <w:rsid w:val="00B4216C"/>
    <w:rsid w:val="00B424D3"/>
    <w:rsid w:val="00B429A3"/>
    <w:rsid w:val="00B42DB1"/>
    <w:rsid w:val="00B430E0"/>
    <w:rsid w:val="00B442B0"/>
    <w:rsid w:val="00B443D0"/>
    <w:rsid w:val="00B4465B"/>
    <w:rsid w:val="00B4467D"/>
    <w:rsid w:val="00B446BD"/>
    <w:rsid w:val="00B449AD"/>
    <w:rsid w:val="00B44C1A"/>
    <w:rsid w:val="00B451D3"/>
    <w:rsid w:val="00B453A2"/>
    <w:rsid w:val="00B456A3"/>
    <w:rsid w:val="00B45BF6"/>
    <w:rsid w:val="00B45F03"/>
    <w:rsid w:val="00B46086"/>
    <w:rsid w:val="00B460DF"/>
    <w:rsid w:val="00B4650A"/>
    <w:rsid w:val="00B46523"/>
    <w:rsid w:val="00B46759"/>
    <w:rsid w:val="00B467D1"/>
    <w:rsid w:val="00B468B0"/>
    <w:rsid w:val="00B46D2C"/>
    <w:rsid w:val="00B47395"/>
    <w:rsid w:val="00B47B98"/>
    <w:rsid w:val="00B47E13"/>
    <w:rsid w:val="00B500D0"/>
    <w:rsid w:val="00B5019A"/>
    <w:rsid w:val="00B5052D"/>
    <w:rsid w:val="00B5073C"/>
    <w:rsid w:val="00B5080B"/>
    <w:rsid w:val="00B51022"/>
    <w:rsid w:val="00B51129"/>
    <w:rsid w:val="00B51840"/>
    <w:rsid w:val="00B51AF0"/>
    <w:rsid w:val="00B51D59"/>
    <w:rsid w:val="00B51E29"/>
    <w:rsid w:val="00B52294"/>
    <w:rsid w:val="00B52D5C"/>
    <w:rsid w:val="00B52FE9"/>
    <w:rsid w:val="00B5358E"/>
    <w:rsid w:val="00B536B7"/>
    <w:rsid w:val="00B53730"/>
    <w:rsid w:val="00B53B21"/>
    <w:rsid w:val="00B53BB2"/>
    <w:rsid w:val="00B53BE3"/>
    <w:rsid w:val="00B54EF7"/>
    <w:rsid w:val="00B55069"/>
    <w:rsid w:val="00B5556F"/>
    <w:rsid w:val="00B5562C"/>
    <w:rsid w:val="00B5584A"/>
    <w:rsid w:val="00B55CCC"/>
    <w:rsid w:val="00B56C44"/>
    <w:rsid w:val="00B571EB"/>
    <w:rsid w:val="00B579BD"/>
    <w:rsid w:val="00B57E19"/>
    <w:rsid w:val="00B57F51"/>
    <w:rsid w:val="00B6000E"/>
    <w:rsid w:val="00B6031F"/>
    <w:rsid w:val="00B60863"/>
    <w:rsid w:val="00B6151A"/>
    <w:rsid w:val="00B6186E"/>
    <w:rsid w:val="00B6307B"/>
    <w:rsid w:val="00B63639"/>
    <w:rsid w:val="00B639BE"/>
    <w:rsid w:val="00B63DE3"/>
    <w:rsid w:val="00B640E4"/>
    <w:rsid w:val="00B647F5"/>
    <w:rsid w:val="00B649C8"/>
    <w:rsid w:val="00B64AAD"/>
    <w:rsid w:val="00B64BFA"/>
    <w:rsid w:val="00B64CAA"/>
    <w:rsid w:val="00B64F32"/>
    <w:rsid w:val="00B6506E"/>
    <w:rsid w:val="00B65764"/>
    <w:rsid w:val="00B65A6B"/>
    <w:rsid w:val="00B65D9E"/>
    <w:rsid w:val="00B65DDD"/>
    <w:rsid w:val="00B660C9"/>
    <w:rsid w:val="00B66396"/>
    <w:rsid w:val="00B66B90"/>
    <w:rsid w:val="00B67183"/>
    <w:rsid w:val="00B6764C"/>
    <w:rsid w:val="00B6791D"/>
    <w:rsid w:val="00B67A67"/>
    <w:rsid w:val="00B67AEF"/>
    <w:rsid w:val="00B7047D"/>
    <w:rsid w:val="00B706C8"/>
    <w:rsid w:val="00B70886"/>
    <w:rsid w:val="00B7091D"/>
    <w:rsid w:val="00B70B1A"/>
    <w:rsid w:val="00B71112"/>
    <w:rsid w:val="00B7143F"/>
    <w:rsid w:val="00B7210F"/>
    <w:rsid w:val="00B72520"/>
    <w:rsid w:val="00B72ABA"/>
    <w:rsid w:val="00B72EA7"/>
    <w:rsid w:val="00B73974"/>
    <w:rsid w:val="00B73DEF"/>
    <w:rsid w:val="00B74987"/>
    <w:rsid w:val="00B74DD4"/>
    <w:rsid w:val="00B753E0"/>
    <w:rsid w:val="00B75A5D"/>
    <w:rsid w:val="00B75FB9"/>
    <w:rsid w:val="00B7613C"/>
    <w:rsid w:val="00B766B9"/>
    <w:rsid w:val="00B768DA"/>
    <w:rsid w:val="00B772C4"/>
    <w:rsid w:val="00B7764E"/>
    <w:rsid w:val="00B7768C"/>
    <w:rsid w:val="00B77CBB"/>
    <w:rsid w:val="00B77F2F"/>
    <w:rsid w:val="00B8091A"/>
    <w:rsid w:val="00B80AA5"/>
    <w:rsid w:val="00B80E1F"/>
    <w:rsid w:val="00B8165B"/>
    <w:rsid w:val="00B81937"/>
    <w:rsid w:val="00B81B65"/>
    <w:rsid w:val="00B81ED1"/>
    <w:rsid w:val="00B81FA8"/>
    <w:rsid w:val="00B81FD5"/>
    <w:rsid w:val="00B82086"/>
    <w:rsid w:val="00B82350"/>
    <w:rsid w:val="00B82D50"/>
    <w:rsid w:val="00B82E1D"/>
    <w:rsid w:val="00B83369"/>
    <w:rsid w:val="00B834D5"/>
    <w:rsid w:val="00B83AAC"/>
    <w:rsid w:val="00B83FA5"/>
    <w:rsid w:val="00B8412B"/>
    <w:rsid w:val="00B8421F"/>
    <w:rsid w:val="00B845F5"/>
    <w:rsid w:val="00B8519A"/>
    <w:rsid w:val="00B85354"/>
    <w:rsid w:val="00B85359"/>
    <w:rsid w:val="00B85F28"/>
    <w:rsid w:val="00B85FD9"/>
    <w:rsid w:val="00B860FF"/>
    <w:rsid w:val="00B86547"/>
    <w:rsid w:val="00B867CF"/>
    <w:rsid w:val="00B86885"/>
    <w:rsid w:val="00B86B07"/>
    <w:rsid w:val="00B86E63"/>
    <w:rsid w:val="00B8717B"/>
    <w:rsid w:val="00B87A2B"/>
    <w:rsid w:val="00B87E38"/>
    <w:rsid w:val="00B90393"/>
    <w:rsid w:val="00B919E5"/>
    <w:rsid w:val="00B91D51"/>
    <w:rsid w:val="00B91E3E"/>
    <w:rsid w:val="00B9256A"/>
    <w:rsid w:val="00B93ABA"/>
    <w:rsid w:val="00B93B03"/>
    <w:rsid w:val="00B93B9D"/>
    <w:rsid w:val="00B93C54"/>
    <w:rsid w:val="00B941CB"/>
    <w:rsid w:val="00B9434F"/>
    <w:rsid w:val="00B94389"/>
    <w:rsid w:val="00B948D2"/>
    <w:rsid w:val="00B94B78"/>
    <w:rsid w:val="00B94F23"/>
    <w:rsid w:val="00B956E2"/>
    <w:rsid w:val="00B95C93"/>
    <w:rsid w:val="00B95CFE"/>
    <w:rsid w:val="00B95EB9"/>
    <w:rsid w:val="00B95F13"/>
    <w:rsid w:val="00B95F88"/>
    <w:rsid w:val="00B96732"/>
    <w:rsid w:val="00B9695D"/>
    <w:rsid w:val="00B9797F"/>
    <w:rsid w:val="00B97D07"/>
    <w:rsid w:val="00B97D9A"/>
    <w:rsid w:val="00BA08C9"/>
    <w:rsid w:val="00BA0BFB"/>
    <w:rsid w:val="00BA11F2"/>
    <w:rsid w:val="00BA12E8"/>
    <w:rsid w:val="00BA152B"/>
    <w:rsid w:val="00BA1678"/>
    <w:rsid w:val="00BA1857"/>
    <w:rsid w:val="00BA23E1"/>
    <w:rsid w:val="00BA340C"/>
    <w:rsid w:val="00BA3ABD"/>
    <w:rsid w:val="00BA3B80"/>
    <w:rsid w:val="00BA3FAA"/>
    <w:rsid w:val="00BA423C"/>
    <w:rsid w:val="00BA45C7"/>
    <w:rsid w:val="00BA46A9"/>
    <w:rsid w:val="00BA4E06"/>
    <w:rsid w:val="00BA50EA"/>
    <w:rsid w:val="00BA52BC"/>
    <w:rsid w:val="00BA539D"/>
    <w:rsid w:val="00BA53F3"/>
    <w:rsid w:val="00BA54CB"/>
    <w:rsid w:val="00BA5A1C"/>
    <w:rsid w:val="00BA5B9E"/>
    <w:rsid w:val="00BA60D1"/>
    <w:rsid w:val="00BA6308"/>
    <w:rsid w:val="00BA651B"/>
    <w:rsid w:val="00BA667B"/>
    <w:rsid w:val="00BA7B99"/>
    <w:rsid w:val="00BB09AA"/>
    <w:rsid w:val="00BB0A68"/>
    <w:rsid w:val="00BB0C4F"/>
    <w:rsid w:val="00BB0FEB"/>
    <w:rsid w:val="00BB1209"/>
    <w:rsid w:val="00BB1301"/>
    <w:rsid w:val="00BB1479"/>
    <w:rsid w:val="00BB15C1"/>
    <w:rsid w:val="00BB192A"/>
    <w:rsid w:val="00BB1CC8"/>
    <w:rsid w:val="00BB2616"/>
    <w:rsid w:val="00BB2D45"/>
    <w:rsid w:val="00BB305D"/>
    <w:rsid w:val="00BB3961"/>
    <w:rsid w:val="00BB3E97"/>
    <w:rsid w:val="00BB446E"/>
    <w:rsid w:val="00BB4DC4"/>
    <w:rsid w:val="00BB4E3E"/>
    <w:rsid w:val="00BB4FFA"/>
    <w:rsid w:val="00BB53D9"/>
    <w:rsid w:val="00BB55F2"/>
    <w:rsid w:val="00BB5C0B"/>
    <w:rsid w:val="00BB6B84"/>
    <w:rsid w:val="00BB6D1A"/>
    <w:rsid w:val="00BB6EF9"/>
    <w:rsid w:val="00BB766E"/>
    <w:rsid w:val="00BB773C"/>
    <w:rsid w:val="00BB77E8"/>
    <w:rsid w:val="00BB79C6"/>
    <w:rsid w:val="00BB7DCA"/>
    <w:rsid w:val="00BC0043"/>
    <w:rsid w:val="00BC1283"/>
    <w:rsid w:val="00BC1894"/>
    <w:rsid w:val="00BC1943"/>
    <w:rsid w:val="00BC1A15"/>
    <w:rsid w:val="00BC1B6D"/>
    <w:rsid w:val="00BC1FF8"/>
    <w:rsid w:val="00BC2405"/>
    <w:rsid w:val="00BC2D22"/>
    <w:rsid w:val="00BC2FD9"/>
    <w:rsid w:val="00BC3050"/>
    <w:rsid w:val="00BC310E"/>
    <w:rsid w:val="00BC3327"/>
    <w:rsid w:val="00BC41F2"/>
    <w:rsid w:val="00BC450E"/>
    <w:rsid w:val="00BC47A6"/>
    <w:rsid w:val="00BC4AE8"/>
    <w:rsid w:val="00BC4B41"/>
    <w:rsid w:val="00BC4C8D"/>
    <w:rsid w:val="00BC4D8F"/>
    <w:rsid w:val="00BC55E5"/>
    <w:rsid w:val="00BC58B6"/>
    <w:rsid w:val="00BC59B9"/>
    <w:rsid w:val="00BC5ABE"/>
    <w:rsid w:val="00BC5C7E"/>
    <w:rsid w:val="00BC5E3E"/>
    <w:rsid w:val="00BC64A5"/>
    <w:rsid w:val="00BC6640"/>
    <w:rsid w:val="00BC68FB"/>
    <w:rsid w:val="00BC76D7"/>
    <w:rsid w:val="00BC7923"/>
    <w:rsid w:val="00BD08E5"/>
    <w:rsid w:val="00BD11FA"/>
    <w:rsid w:val="00BD14F5"/>
    <w:rsid w:val="00BD1DFE"/>
    <w:rsid w:val="00BD257E"/>
    <w:rsid w:val="00BD295A"/>
    <w:rsid w:val="00BD2BE6"/>
    <w:rsid w:val="00BD2E27"/>
    <w:rsid w:val="00BD3483"/>
    <w:rsid w:val="00BD3D97"/>
    <w:rsid w:val="00BD4341"/>
    <w:rsid w:val="00BD43F5"/>
    <w:rsid w:val="00BD4924"/>
    <w:rsid w:val="00BD52EE"/>
    <w:rsid w:val="00BD536A"/>
    <w:rsid w:val="00BD5701"/>
    <w:rsid w:val="00BD63A7"/>
    <w:rsid w:val="00BD63DE"/>
    <w:rsid w:val="00BD65DA"/>
    <w:rsid w:val="00BD6C2F"/>
    <w:rsid w:val="00BD6C8C"/>
    <w:rsid w:val="00BD6D77"/>
    <w:rsid w:val="00BD6E45"/>
    <w:rsid w:val="00BD70DE"/>
    <w:rsid w:val="00BD7F86"/>
    <w:rsid w:val="00BE0465"/>
    <w:rsid w:val="00BE05DD"/>
    <w:rsid w:val="00BE1007"/>
    <w:rsid w:val="00BE1482"/>
    <w:rsid w:val="00BE154C"/>
    <w:rsid w:val="00BE2C46"/>
    <w:rsid w:val="00BE3BFC"/>
    <w:rsid w:val="00BE40AB"/>
    <w:rsid w:val="00BE4809"/>
    <w:rsid w:val="00BE48B9"/>
    <w:rsid w:val="00BE4BE9"/>
    <w:rsid w:val="00BE5148"/>
    <w:rsid w:val="00BE5E67"/>
    <w:rsid w:val="00BE6061"/>
    <w:rsid w:val="00BE6B3B"/>
    <w:rsid w:val="00BE6ECB"/>
    <w:rsid w:val="00BE787D"/>
    <w:rsid w:val="00BE7935"/>
    <w:rsid w:val="00BE7B50"/>
    <w:rsid w:val="00BE7C72"/>
    <w:rsid w:val="00BE7E7F"/>
    <w:rsid w:val="00BF1AF4"/>
    <w:rsid w:val="00BF1BBA"/>
    <w:rsid w:val="00BF2153"/>
    <w:rsid w:val="00BF21CA"/>
    <w:rsid w:val="00BF21DD"/>
    <w:rsid w:val="00BF224A"/>
    <w:rsid w:val="00BF2262"/>
    <w:rsid w:val="00BF3241"/>
    <w:rsid w:val="00BF34C0"/>
    <w:rsid w:val="00BF3B60"/>
    <w:rsid w:val="00BF4ADF"/>
    <w:rsid w:val="00BF4F7A"/>
    <w:rsid w:val="00BF4FF6"/>
    <w:rsid w:val="00BF5315"/>
    <w:rsid w:val="00BF5BD4"/>
    <w:rsid w:val="00BF5BFC"/>
    <w:rsid w:val="00BF607A"/>
    <w:rsid w:val="00BF607D"/>
    <w:rsid w:val="00BF6142"/>
    <w:rsid w:val="00BF6148"/>
    <w:rsid w:val="00BF64D4"/>
    <w:rsid w:val="00BF667B"/>
    <w:rsid w:val="00BF677F"/>
    <w:rsid w:val="00BF6F55"/>
    <w:rsid w:val="00BF7429"/>
    <w:rsid w:val="00BF752F"/>
    <w:rsid w:val="00C000D4"/>
    <w:rsid w:val="00C00220"/>
    <w:rsid w:val="00C009FD"/>
    <w:rsid w:val="00C00AB9"/>
    <w:rsid w:val="00C00BFB"/>
    <w:rsid w:val="00C01486"/>
    <w:rsid w:val="00C01BF1"/>
    <w:rsid w:val="00C01E4A"/>
    <w:rsid w:val="00C021B0"/>
    <w:rsid w:val="00C02301"/>
    <w:rsid w:val="00C035BF"/>
    <w:rsid w:val="00C0425B"/>
    <w:rsid w:val="00C04261"/>
    <w:rsid w:val="00C04319"/>
    <w:rsid w:val="00C05066"/>
    <w:rsid w:val="00C05369"/>
    <w:rsid w:val="00C057C4"/>
    <w:rsid w:val="00C059FB"/>
    <w:rsid w:val="00C05ED2"/>
    <w:rsid w:val="00C060DA"/>
    <w:rsid w:val="00C06860"/>
    <w:rsid w:val="00C068B2"/>
    <w:rsid w:val="00C06939"/>
    <w:rsid w:val="00C06B8B"/>
    <w:rsid w:val="00C06FEC"/>
    <w:rsid w:val="00C07206"/>
    <w:rsid w:val="00C07256"/>
    <w:rsid w:val="00C07566"/>
    <w:rsid w:val="00C07717"/>
    <w:rsid w:val="00C077C5"/>
    <w:rsid w:val="00C07A94"/>
    <w:rsid w:val="00C07E4C"/>
    <w:rsid w:val="00C1023F"/>
    <w:rsid w:val="00C1042E"/>
    <w:rsid w:val="00C106CC"/>
    <w:rsid w:val="00C1152F"/>
    <w:rsid w:val="00C1166A"/>
    <w:rsid w:val="00C118D7"/>
    <w:rsid w:val="00C11BBC"/>
    <w:rsid w:val="00C11C18"/>
    <w:rsid w:val="00C124F7"/>
    <w:rsid w:val="00C127CC"/>
    <w:rsid w:val="00C12C6C"/>
    <w:rsid w:val="00C12E79"/>
    <w:rsid w:val="00C1329F"/>
    <w:rsid w:val="00C136DE"/>
    <w:rsid w:val="00C13A3C"/>
    <w:rsid w:val="00C13E58"/>
    <w:rsid w:val="00C13E68"/>
    <w:rsid w:val="00C1411E"/>
    <w:rsid w:val="00C14207"/>
    <w:rsid w:val="00C143AC"/>
    <w:rsid w:val="00C143E2"/>
    <w:rsid w:val="00C146F0"/>
    <w:rsid w:val="00C1535E"/>
    <w:rsid w:val="00C15ABB"/>
    <w:rsid w:val="00C15FC0"/>
    <w:rsid w:val="00C16ADD"/>
    <w:rsid w:val="00C16E79"/>
    <w:rsid w:val="00C171BA"/>
    <w:rsid w:val="00C1796F"/>
    <w:rsid w:val="00C17C56"/>
    <w:rsid w:val="00C20253"/>
    <w:rsid w:val="00C2034B"/>
    <w:rsid w:val="00C20371"/>
    <w:rsid w:val="00C2045D"/>
    <w:rsid w:val="00C20732"/>
    <w:rsid w:val="00C20CD9"/>
    <w:rsid w:val="00C210FA"/>
    <w:rsid w:val="00C21550"/>
    <w:rsid w:val="00C21789"/>
    <w:rsid w:val="00C217B8"/>
    <w:rsid w:val="00C218E4"/>
    <w:rsid w:val="00C21E95"/>
    <w:rsid w:val="00C227EE"/>
    <w:rsid w:val="00C2311E"/>
    <w:rsid w:val="00C235AD"/>
    <w:rsid w:val="00C238C3"/>
    <w:rsid w:val="00C23ABF"/>
    <w:rsid w:val="00C23B71"/>
    <w:rsid w:val="00C24063"/>
    <w:rsid w:val="00C24B39"/>
    <w:rsid w:val="00C24D90"/>
    <w:rsid w:val="00C24FBC"/>
    <w:rsid w:val="00C25260"/>
    <w:rsid w:val="00C253E6"/>
    <w:rsid w:val="00C25475"/>
    <w:rsid w:val="00C257CF"/>
    <w:rsid w:val="00C2643A"/>
    <w:rsid w:val="00C26980"/>
    <w:rsid w:val="00C26F1B"/>
    <w:rsid w:val="00C26FB5"/>
    <w:rsid w:val="00C278D0"/>
    <w:rsid w:val="00C30604"/>
    <w:rsid w:val="00C3067B"/>
    <w:rsid w:val="00C3081C"/>
    <w:rsid w:val="00C3092B"/>
    <w:rsid w:val="00C30993"/>
    <w:rsid w:val="00C30C3F"/>
    <w:rsid w:val="00C30D15"/>
    <w:rsid w:val="00C30D36"/>
    <w:rsid w:val="00C30E7D"/>
    <w:rsid w:val="00C310A7"/>
    <w:rsid w:val="00C312FB"/>
    <w:rsid w:val="00C3153E"/>
    <w:rsid w:val="00C315CA"/>
    <w:rsid w:val="00C3185F"/>
    <w:rsid w:val="00C3186B"/>
    <w:rsid w:val="00C31B83"/>
    <w:rsid w:val="00C31D37"/>
    <w:rsid w:val="00C3206C"/>
    <w:rsid w:val="00C32224"/>
    <w:rsid w:val="00C324B1"/>
    <w:rsid w:val="00C32B3A"/>
    <w:rsid w:val="00C3395D"/>
    <w:rsid w:val="00C34435"/>
    <w:rsid w:val="00C34607"/>
    <w:rsid w:val="00C3485A"/>
    <w:rsid w:val="00C34DB1"/>
    <w:rsid w:val="00C34DEE"/>
    <w:rsid w:val="00C35905"/>
    <w:rsid w:val="00C35D05"/>
    <w:rsid w:val="00C35E4C"/>
    <w:rsid w:val="00C36479"/>
    <w:rsid w:val="00C36574"/>
    <w:rsid w:val="00C366C5"/>
    <w:rsid w:val="00C40384"/>
    <w:rsid w:val="00C40675"/>
    <w:rsid w:val="00C4074D"/>
    <w:rsid w:val="00C40CDB"/>
    <w:rsid w:val="00C41161"/>
    <w:rsid w:val="00C4126F"/>
    <w:rsid w:val="00C412A3"/>
    <w:rsid w:val="00C412D1"/>
    <w:rsid w:val="00C417FB"/>
    <w:rsid w:val="00C41CA9"/>
    <w:rsid w:val="00C41FA0"/>
    <w:rsid w:val="00C41FC4"/>
    <w:rsid w:val="00C426E2"/>
    <w:rsid w:val="00C42966"/>
    <w:rsid w:val="00C42A8A"/>
    <w:rsid w:val="00C42DAF"/>
    <w:rsid w:val="00C43044"/>
    <w:rsid w:val="00C4402A"/>
    <w:rsid w:val="00C442A3"/>
    <w:rsid w:val="00C444E3"/>
    <w:rsid w:val="00C446E3"/>
    <w:rsid w:val="00C447A6"/>
    <w:rsid w:val="00C44D5F"/>
    <w:rsid w:val="00C44F33"/>
    <w:rsid w:val="00C4583A"/>
    <w:rsid w:val="00C46055"/>
    <w:rsid w:val="00C462A2"/>
    <w:rsid w:val="00C469EB"/>
    <w:rsid w:val="00C46D85"/>
    <w:rsid w:val="00C46F39"/>
    <w:rsid w:val="00C471D9"/>
    <w:rsid w:val="00C472FB"/>
    <w:rsid w:val="00C474A3"/>
    <w:rsid w:val="00C474C7"/>
    <w:rsid w:val="00C47572"/>
    <w:rsid w:val="00C47782"/>
    <w:rsid w:val="00C502E1"/>
    <w:rsid w:val="00C5076C"/>
    <w:rsid w:val="00C50874"/>
    <w:rsid w:val="00C50BD9"/>
    <w:rsid w:val="00C50F5E"/>
    <w:rsid w:val="00C50FB3"/>
    <w:rsid w:val="00C517E4"/>
    <w:rsid w:val="00C518A4"/>
    <w:rsid w:val="00C51D21"/>
    <w:rsid w:val="00C52028"/>
    <w:rsid w:val="00C522C2"/>
    <w:rsid w:val="00C52BC1"/>
    <w:rsid w:val="00C52C5A"/>
    <w:rsid w:val="00C533EA"/>
    <w:rsid w:val="00C5388D"/>
    <w:rsid w:val="00C53E34"/>
    <w:rsid w:val="00C5424B"/>
    <w:rsid w:val="00C542D0"/>
    <w:rsid w:val="00C5469A"/>
    <w:rsid w:val="00C54C6F"/>
    <w:rsid w:val="00C5506D"/>
    <w:rsid w:val="00C55179"/>
    <w:rsid w:val="00C553B8"/>
    <w:rsid w:val="00C554D3"/>
    <w:rsid w:val="00C5573C"/>
    <w:rsid w:val="00C5586F"/>
    <w:rsid w:val="00C56322"/>
    <w:rsid w:val="00C5666E"/>
    <w:rsid w:val="00C56705"/>
    <w:rsid w:val="00C577C8"/>
    <w:rsid w:val="00C5786D"/>
    <w:rsid w:val="00C578AA"/>
    <w:rsid w:val="00C57C2C"/>
    <w:rsid w:val="00C60143"/>
    <w:rsid w:val="00C608B3"/>
    <w:rsid w:val="00C60A2E"/>
    <w:rsid w:val="00C60C82"/>
    <w:rsid w:val="00C60FD9"/>
    <w:rsid w:val="00C6105E"/>
    <w:rsid w:val="00C619AB"/>
    <w:rsid w:val="00C61AB8"/>
    <w:rsid w:val="00C61FA2"/>
    <w:rsid w:val="00C6222D"/>
    <w:rsid w:val="00C623C2"/>
    <w:rsid w:val="00C62787"/>
    <w:rsid w:val="00C630F8"/>
    <w:rsid w:val="00C63B8A"/>
    <w:rsid w:val="00C63C44"/>
    <w:rsid w:val="00C641A1"/>
    <w:rsid w:val="00C64F0A"/>
    <w:rsid w:val="00C64FD5"/>
    <w:rsid w:val="00C653B2"/>
    <w:rsid w:val="00C655B9"/>
    <w:rsid w:val="00C657F0"/>
    <w:rsid w:val="00C65AB3"/>
    <w:rsid w:val="00C65AE5"/>
    <w:rsid w:val="00C66116"/>
    <w:rsid w:val="00C664C9"/>
    <w:rsid w:val="00C667D9"/>
    <w:rsid w:val="00C672E4"/>
    <w:rsid w:val="00C701D6"/>
    <w:rsid w:val="00C712AF"/>
    <w:rsid w:val="00C71419"/>
    <w:rsid w:val="00C717CD"/>
    <w:rsid w:val="00C718A1"/>
    <w:rsid w:val="00C71BDA"/>
    <w:rsid w:val="00C71DAC"/>
    <w:rsid w:val="00C7206E"/>
    <w:rsid w:val="00C720CF"/>
    <w:rsid w:val="00C722B2"/>
    <w:rsid w:val="00C73836"/>
    <w:rsid w:val="00C738A1"/>
    <w:rsid w:val="00C738F2"/>
    <w:rsid w:val="00C73D1F"/>
    <w:rsid w:val="00C74148"/>
    <w:rsid w:val="00C74ED6"/>
    <w:rsid w:val="00C750D3"/>
    <w:rsid w:val="00C75D25"/>
    <w:rsid w:val="00C76409"/>
    <w:rsid w:val="00C7650E"/>
    <w:rsid w:val="00C767BE"/>
    <w:rsid w:val="00C7680E"/>
    <w:rsid w:val="00C76A1A"/>
    <w:rsid w:val="00C77232"/>
    <w:rsid w:val="00C77BE9"/>
    <w:rsid w:val="00C80029"/>
    <w:rsid w:val="00C801FC"/>
    <w:rsid w:val="00C803D5"/>
    <w:rsid w:val="00C808A1"/>
    <w:rsid w:val="00C80E9C"/>
    <w:rsid w:val="00C81040"/>
    <w:rsid w:val="00C81115"/>
    <w:rsid w:val="00C81228"/>
    <w:rsid w:val="00C81EA7"/>
    <w:rsid w:val="00C822B2"/>
    <w:rsid w:val="00C825B7"/>
    <w:rsid w:val="00C829FB"/>
    <w:rsid w:val="00C82C01"/>
    <w:rsid w:val="00C82EEF"/>
    <w:rsid w:val="00C82F1F"/>
    <w:rsid w:val="00C8300C"/>
    <w:rsid w:val="00C83018"/>
    <w:rsid w:val="00C83450"/>
    <w:rsid w:val="00C836B8"/>
    <w:rsid w:val="00C84430"/>
    <w:rsid w:val="00C84856"/>
    <w:rsid w:val="00C84882"/>
    <w:rsid w:val="00C8488F"/>
    <w:rsid w:val="00C84BC8"/>
    <w:rsid w:val="00C84C2D"/>
    <w:rsid w:val="00C84CF7"/>
    <w:rsid w:val="00C8521E"/>
    <w:rsid w:val="00C85397"/>
    <w:rsid w:val="00C855A6"/>
    <w:rsid w:val="00C85C6A"/>
    <w:rsid w:val="00C85CDC"/>
    <w:rsid w:val="00C870C0"/>
    <w:rsid w:val="00C870E8"/>
    <w:rsid w:val="00C873D7"/>
    <w:rsid w:val="00C876AA"/>
    <w:rsid w:val="00C87946"/>
    <w:rsid w:val="00C9024D"/>
    <w:rsid w:val="00C904FD"/>
    <w:rsid w:val="00C9050F"/>
    <w:rsid w:val="00C9076B"/>
    <w:rsid w:val="00C907D6"/>
    <w:rsid w:val="00C90857"/>
    <w:rsid w:val="00C90BAA"/>
    <w:rsid w:val="00C910D2"/>
    <w:rsid w:val="00C913A5"/>
    <w:rsid w:val="00C9178F"/>
    <w:rsid w:val="00C920B1"/>
    <w:rsid w:val="00C92262"/>
    <w:rsid w:val="00C9289F"/>
    <w:rsid w:val="00C9406D"/>
    <w:rsid w:val="00C94135"/>
    <w:rsid w:val="00C942A9"/>
    <w:rsid w:val="00C945DA"/>
    <w:rsid w:val="00C95715"/>
    <w:rsid w:val="00C960DD"/>
    <w:rsid w:val="00C960E5"/>
    <w:rsid w:val="00C960F2"/>
    <w:rsid w:val="00C96211"/>
    <w:rsid w:val="00C963E5"/>
    <w:rsid w:val="00C9645A"/>
    <w:rsid w:val="00C96936"/>
    <w:rsid w:val="00C96F22"/>
    <w:rsid w:val="00C973E3"/>
    <w:rsid w:val="00C97A46"/>
    <w:rsid w:val="00C97DBC"/>
    <w:rsid w:val="00CA11B9"/>
    <w:rsid w:val="00CA1401"/>
    <w:rsid w:val="00CA310D"/>
    <w:rsid w:val="00CA343D"/>
    <w:rsid w:val="00CA38F0"/>
    <w:rsid w:val="00CA3919"/>
    <w:rsid w:val="00CA3FB1"/>
    <w:rsid w:val="00CA40A3"/>
    <w:rsid w:val="00CA4244"/>
    <w:rsid w:val="00CA4D3B"/>
    <w:rsid w:val="00CA5270"/>
    <w:rsid w:val="00CA5B55"/>
    <w:rsid w:val="00CA6A2E"/>
    <w:rsid w:val="00CA6F89"/>
    <w:rsid w:val="00CA7430"/>
    <w:rsid w:val="00CA7ACD"/>
    <w:rsid w:val="00CA7C5C"/>
    <w:rsid w:val="00CB01AB"/>
    <w:rsid w:val="00CB01BD"/>
    <w:rsid w:val="00CB0474"/>
    <w:rsid w:val="00CB059E"/>
    <w:rsid w:val="00CB090E"/>
    <w:rsid w:val="00CB10C1"/>
    <w:rsid w:val="00CB11B3"/>
    <w:rsid w:val="00CB12ED"/>
    <w:rsid w:val="00CB1797"/>
    <w:rsid w:val="00CB19E4"/>
    <w:rsid w:val="00CB2022"/>
    <w:rsid w:val="00CB2497"/>
    <w:rsid w:val="00CB2C39"/>
    <w:rsid w:val="00CB3081"/>
    <w:rsid w:val="00CB34B5"/>
    <w:rsid w:val="00CB3D99"/>
    <w:rsid w:val="00CB414D"/>
    <w:rsid w:val="00CB4193"/>
    <w:rsid w:val="00CB438A"/>
    <w:rsid w:val="00CB47BB"/>
    <w:rsid w:val="00CB48EA"/>
    <w:rsid w:val="00CB495F"/>
    <w:rsid w:val="00CB49CF"/>
    <w:rsid w:val="00CB4DA3"/>
    <w:rsid w:val="00CB536D"/>
    <w:rsid w:val="00CB541E"/>
    <w:rsid w:val="00CB5743"/>
    <w:rsid w:val="00CB5F40"/>
    <w:rsid w:val="00CB5F73"/>
    <w:rsid w:val="00CB6102"/>
    <w:rsid w:val="00CB6775"/>
    <w:rsid w:val="00CB6C49"/>
    <w:rsid w:val="00CB6F56"/>
    <w:rsid w:val="00CB7B7F"/>
    <w:rsid w:val="00CB7F18"/>
    <w:rsid w:val="00CC0059"/>
    <w:rsid w:val="00CC05A0"/>
    <w:rsid w:val="00CC0AD3"/>
    <w:rsid w:val="00CC0E59"/>
    <w:rsid w:val="00CC1135"/>
    <w:rsid w:val="00CC14F9"/>
    <w:rsid w:val="00CC171B"/>
    <w:rsid w:val="00CC25FD"/>
    <w:rsid w:val="00CC2C00"/>
    <w:rsid w:val="00CC2CE5"/>
    <w:rsid w:val="00CC2FFB"/>
    <w:rsid w:val="00CC34E0"/>
    <w:rsid w:val="00CC36E4"/>
    <w:rsid w:val="00CC38C8"/>
    <w:rsid w:val="00CC3967"/>
    <w:rsid w:val="00CC3CE9"/>
    <w:rsid w:val="00CC3D3B"/>
    <w:rsid w:val="00CC417D"/>
    <w:rsid w:val="00CC42CA"/>
    <w:rsid w:val="00CC42DA"/>
    <w:rsid w:val="00CC5379"/>
    <w:rsid w:val="00CC58BA"/>
    <w:rsid w:val="00CC5DA6"/>
    <w:rsid w:val="00CC638E"/>
    <w:rsid w:val="00CC6564"/>
    <w:rsid w:val="00CC6F49"/>
    <w:rsid w:val="00CC7915"/>
    <w:rsid w:val="00CC79FB"/>
    <w:rsid w:val="00CC7C10"/>
    <w:rsid w:val="00CC7F37"/>
    <w:rsid w:val="00CD00E9"/>
    <w:rsid w:val="00CD017D"/>
    <w:rsid w:val="00CD0287"/>
    <w:rsid w:val="00CD030B"/>
    <w:rsid w:val="00CD0779"/>
    <w:rsid w:val="00CD07C1"/>
    <w:rsid w:val="00CD09F8"/>
    <w:rsid w:val="00CD0FF8"/>
    <w:rsid w:val="00CD134F"/>
    <w:rsid w:val="00CD14C3"/>
    <w:rsid w:val="00CD1653"/>
    <w:rsid w:val="00CD1696"/>
    <w:rsid w:val="00CD1909"/>
    <w:rsid w:val="00CD1E75"/>
    <w:rsid w:val="00CD1EA2"/>
    <w:rsid w:val="00CD2262"/>
    <w:rsid w:val="00CD2831"/>
    <w:rsid w:val="00CD2DF7"/>
    <w:rsid w:val="00CD30F6"/>
    <w:rsid w:val="00CD3211"/>
    <w:rsid w:val="00CD3C37"/>
    <w:rsid w:val="00CD3DBA"/>
    <w:rsid w:val="00CD3F8B"/>
    <w:rsid w:val="00CD4023"/>
    <w:rsid w:val="00CD435D"/>
    <w:rsid w:val="00CD4BB2"/>
    <w:rsid w:val="00CD4C49"/>
    <w:rsid w:val="00CD4D36"/>
    <w:rsid w:val="00CD52D5"/>
    <w:rsid w:val="00CD5467"/>
    <w:rsid w:val="00CD5633"/>
    <w:rsid w:val="00CD5684"/>
    <w:rsid w:val="00CD56CB"/>
    <w:rsid w:val="00CD5881"/>
    <w:rsid w:val="00CD6378"/>
    <w:rsid w:val="00CD7009"/>
    <w:rsid w:val="00CD7223"/>
    <w:rsid w:val="00CD7D71"/>
    <w:rsid w:val="00CD7FDD"/>
    <w:rsid w:val="00CE0B07"/>
    <w:rsid w:val="00CE0C1B"/>
    <w:rsid w:val="00CE1430"/>
    <w:rsid w:val="00CE150D"/>
    <w:rsid w:val="00CE1669"/>
    <w:rsid w:val="00CE1823"/>
    <w:rsid w:val="00CE193F"/>
    <w:rsid w:val="00CE1BE3"/>
    <w:rsid w:val="00CE1FDA"/>
    <w:rsid w:val="00CE201A"/>
    <w:rsid w:val="00CE272A"/>
    <w:rsid w:val="00CE2DCE"/>
    <w:rsid w:val="00CE2F3B"/>
    <w:rsid w:val="00CE2F58"/>
    <w:rsid w:val="00CE3AC6"/>
    <w:rsid w:val="00CE3CB9"/>
    <w:rsid w:val="00CE3E0F"/>
    <w:rsid w:val="00CE4447"/>
    <w:rsid w:val="00CE4BAF"/>
    <w:rsid w:val="00CE4CB1"/>
    <w:rsid w:val="00CE5479"/>
    <w:rsid w:val="00CE5636"/>
    <w:rsid w:val="00CE5C00"/>
    <w:rsid w:val="00CE606B"/>
    <w:rsid w:val="00CE60D2"/>
    <w:rsid w:val="00CE62CA"/>
    <w:rsid w:val="00CE6E3F"/>
    <w:rsid w:val="00CE734B"/>
    <w:rsid w:val="00CE7AE6"/>
    <w:rsid w:val="00CF0B69"/>
    <w:rsid w:val="00CF0D20"/>
    <w:rsid w:val="00CF0D8A"/>
    <w:rsid w:val="00CF0DC9"/>
    <w:rsid w:val="00CF121C"/>
    <w:rsid w:val="00CF1250"/>
    <w:rsid w:val="00CF1409"/>
    <w:rsid w:val="00CF1446"/>
    <w:rsid w:val="00CF146E"/>
    <w:rsid w:val="00CF1D99"/>
    <w:rsid w:val="00CF274A"/>
    <w:rsid w:val="00CF278D"/>
    <w:rsid w:val="00CF289F"/>
    <w:rsid w:val="00CF2B74"/>
    <w:rsid w:val="00CF319C"/>
    <w:rsid w:val="00CF3451"/>
    <w:rsid w:val="00CF3506"/>
    <w:rsid w:val="00CF3ACC"/>
    <w:rsid w:val="00CF3B0B"/>
    <w:rsid w:val="00CF3DDF"/>
    <w:rsid w:val="00CF3E29"/>
    <w:rsid w:val="00CF3EE6"/>
    <w:rsid w:val="00CF45ED"/>
    <w:rsid w:val="00CF4F58"/>
    <w:rsid w:val="00CF5562"/>
    <w:rsid w:val="00CF5C6A"/>
    <w:rsid w:val="00CF6AF0"/>
    <w:rsid w:val="00CF71A3"/>
    <w:rsid w:val="00CF72F1"/>
    <w:rsid w:val="00CF7B77"/>
    <w:rsid w:val="00CF7C07"/>
    <w:rsid w:val="00D00090"/>
    <w:rsid w:val="00D00473"/>
    <w:rsid w:val="00D006F9"/>
    <w:rsid w:val="00D007AB"/>
    <w:rsid w:val="00D009DC"/>
    <w:rsid w:val="00D00C8B"/>
    <w:rsid w:val="00D0166C"/>
    <w:rsid w:val="00D01783"/>
    <w:rsid w:val="00D01881"/>
    <w:rsid w:val="00D01E2E"/>
    <w:rsid w:val="00D02059"/>
    <w:rsid w:val="00D02172"/>
    <w:rsid w:val="00D030E8"/>
    <w:rsid w:val="00D0317C"/>
    <w:rsid w:val="00D037CE"/>
    <w:rsid w:val="00D03C69"/>
    <w:rsid w:val="00D03DF1"/>
    <w:rsid w:val="00D04475"/>
    <w:rsid w:val="00D04486"/>
    <w:rsid w:val="00D048D2"/>
    <w:rsid w:val="00D04B1A"/>
    <w:rsid w:val="00D050DB"/>
    <w:rsid w:val="00D051E3"/>
    <w:rsid w:val="00D05AEC"/>
    <w:rsid w:val="00D05FCF"/>
    <w:rsid w:val="00D06456"/>
    <w:rsid w:val="00D064C0"/>
    <w:rsid w:val="00D068E0"/>
    <w:rsid w:val="00D06945"/>
    <w:rsid w:val="00D071B5"/>
    <w:rsid w:val="00D07423"/>
    <w:rsid w:val="00D07494"/>
    <w:rsid w:val="00D0749E"/>
    <w:rsid w:val="00D07794"/>
    <w:rsid w:val="00D079C2"/>
    <w:rsid w:val="00D07DE1"/>
    <w:rsid w:val="00D07EC6"/>
    <w:rsid w:val="00D10262"/>
    <w:rsid w:val="00D108CF"/>
    <w:rsid w:val="00D10EC8"/>
    <w:rsid w:val="00D110A9"/>
    <w:rsid w:val="00D111A5"/>
    <w:rsid w:val="00D1191C"/>
    <w:rsid w:val="00D11D57"/>
    <w:rsid w:val="00D120DF"/>
    <w:rsid w:val="00D122E1"/>
    <w:rsid w:val="00D1261A"/>
    <w:rsid w:val="00D1277A"/>
    <w:rsid w:val="00D127FE"/>
    <w:rsid w:val="00D12E40"/>
    <w:rsid w:val="00D12EA9"/>
    <w:rsid w:val="00D134B4"/>
    <w:rsid w:val="00D13659"/>
    <w:rsid w:val="00D13BAD"/>
    <w:rsid w:val="00D1406B"/>
    <w:rsid w:val="00D1426E"/>
    <w:rsid w:val="00D1498E"/>
    <w:rsid w:val="00D14E0B"/>
    <w:rsid w:val="00D15151"/>
    <w:rsid w:val="00D15710"/>
    <w:rsid w:val="00D15914"/>
    <w:rsid w:val="00D16137"/>
    <w:rsid w:val="00D163FC"/>
    <w:rsid w:val="00D1665C"/>
    <w:rsid w:val="00D16B07"/>
    <w:rsid w:val="00D16F25"/>
    <w:rsid w:val="00D16F74"/>
    <w:rsid w:val="00D1731B"/>
    <w:rsid w:val="00D17404"/>
    <w:rsid w:val="00D174F5"/>
    <w:rsid w:val="00D1783B"/>
    <w:rsid w:val="00D20180"/>
    <w:rsid w:val="00D20932"/>
    <w:rsid w:val="00D209B3"/>
    <w:rsid w:val="00D20B78"/>
    <w:rsid w:val="00D20C8B"/>
    <w:rsid w:val="00D21065"/>
    <w:rsid w:val="00D213AB"/>
    <w:rsid w:val="00D21424"/>
    <w:rsid w:val="00D21739"/>
    <w:rsid w:val="00D21745"/>
    <w:rsid w:val="00D21CA8"/>
    <w:rsid w:val="00D220EB"/>
    <w:rsid w:val="00D22B3C"/>
    <w:rsid w:val="00D22FB0"/>
    <w:rsid w:val="00D23131"/>
    <w:rsid w:val="00D232B8"/>
    <w:rsid w:val="00D23300"/>
    <w:rsid w:val="00D23610"/>
    <w:rsid w:val="00D23871"/>
    <w:rsid w:val="00D24236"/>
    <w:rsid w:val="00D24924"/>
    <w:rsid w:val="00D24979"/>
    <w:rsid w:val="00D24A33"/>
    <w:rsid w:val="00D24AC5"/>
    <w:rsid w:val="00D24E0C"/>
    <w:rsid w:val="00D25646"/>
    <w:rsid w:val="00D256C1"/>
    <w:rsid w:val="00D256F0"/>
    <w:rsid w:val="00D25822"/>
    <w:rsid w:val="00D2608C"/>
    <w:rsid w:val="00D26FE3"/>
    <w:rsid w:val="00D27B52"/>
    <w:rsid w:val="00D3000D"/>
    <w:rsid w:val="00D30703"/>
    <w:rsid w:val="00D30755"/>
    <w:rsid w:val="00D31A56"/>
    <w:rsid w:val="00D32163"/>
    <w:rsid w:val="00D322AB"/>
    <w:rsid w:val="00D32315"/>
    <w:rsid w:val="00D32FE0"/>
    <w:rsid w:val="00D33840"/>
    <w:rsid w:val="00D3399D"/>
    <w:rsid w:val="00D33DDE"/>
    <w:rsid w:val="00D340B7"/>
    <w:rsid w:val="00D347DE"/>
    <w:rsid w:val="00D349D5"/>
    <w:rsid w:val="00D34A59"/>
    <w:rsid w:val="00D359F3"/>
    <w:rsid w:val="00D36D1A"/>
    <w:rsid w:val="00D36D25"/>
    <w:rsid w:val="00D37278"/>
    <w:rsid w:val="00D375F9"/>
    <w:rsid w:val="00D37E8A"/>
    <w:rsid w:val="00D4080D"/>
    <w:rsid w:val="00D409F6"/>
    <w:rsid w:val="00D40E29"/>
    <w:rsid w:val="00D4118C"/>
    <w:rsid w:val="00D41771"/>
    <w:rsid w:val="00D4208C"/>
    <w:rsid w:val="00D4234C"/>
    <w:rsid w:val="00D42B03"/>
    <w:rsid w:val="00D434C8"/>
    <w:rsid w:val="00D4374F"/>
    <w:rsid w:val="00D441F7"/>
    <w:rsid w:val="00D44276"/>
    <w:rsid w:val="00D444C7"/>
    <w:rsid w:val="00D447DA"/>
    <w:rsid w:val="00D44E24"/>
    <w:rsid w:val="00D4517A"/>
    <w:rsid w:val="00D454ED"/>
    <w:rsid w:val="00D45C1D"/>
    <w:rsid w:val="00D45C6E"/>
    <w:rsid w:val="00D45CAB"/>
    <w:rsid w:val="00D4604A"/>
    <w:rsid w:val="00D465A2"/>
    <w:rsid w:val="00D466C4"/>
    <w:rsid w:val="00D467DD"/>
    <w:rsid w:val="00D46C9D"/>
    <w:rsid w:val="00D46FF8"/>
    <w:rsid w:val="00D4796D"/>
    <w:rsid w:val="00D50021"/>
    <w:rsid w:val="00D503B1"/>
    <w:rsid w:val="00D50F8F"/>
    <w:rsid w:val="00D51012"/>
    <w:rsid w:val="00D51179"/>
    <w:rsid w:val="00D51DAB"/>
    <w:rsid w:val="00D52E88"/>
    <w:rsid w:val="00D52E91"/>
    <w:rsid w:val="00D52F43"/>
    <w:rsid w:val="00D538F9"/>
    <w:rsid w:val="00D53F25"/>
    <w:rsid w:val="00D54208"/>
    <w:rsid w:val="00D5438A"/>
    <w:rsid w:val="00D54925"/>
    <w:rsid w:val="00D54FE9"/>
    <w:rsid w:val="00D55797"/>
    <w:rsid w:val="00D55924"/>
    <w:rsid w:val="00D55CCE"/>
    <w:rsid w:val="00D5604E"/>
    <w:rsid w:val="00D560B6"/>
    <w:rsid w:val="00D56256"/>
    <w:rsid w:val="00D5653F"/>
    <w:rsid w:val="00D56F89"/>
    <w:rsid w:val="00D571E2"/>
    <w:rsid w:val="00D5788F"/>
    <w:rsid w:val="00D579BA"/>
    <w:rsid w:val="00D57E26"/>
    <w:rsid w:val="00D57FD6"/>
    <w:rsid w:val="00D6012F"/>
    <w:rsid w:val="00D60A04"/>
    <w:rsid w:val="00D6126E"/>
    <w:rsid w:val="00D61346"/>
    <w:rsid w:val="00D61400"/>
    <w:rsid w:val="00D615EA"/>
    <w:rsid w:val="00D617C2"/>
    <w:rsid w:val="00D61CDD"/>
    <w:rsid w:val="00D61D01"/>
    <w:rsid w:val="00D620A1"/>
    <w:rsid w:val="00D6235A"/>
    <w:rsid w:val="00D62467"/>
    <w:rsid w:val="00D62674"/>
    <w:rsid w:val="00D62788"/>
    <w:rsid w:val="00D629E0"/>
    <w:rsid w:val="00D62CF9"/>
    <w:rsid w:val="00D63675"/>
    <w:rsid w:val="00D64419"/>
    <w:rsid w:val="00D64A78"/>
    <w:rsid w:val="00D659F8"/>
    <w:rsid w:val="00D65A3F"/>
    <w:rsid w:val="00D65C7B"/>
    <w:rsid w:val="00D660C4"/>
    <w:rsid w:val="00D664C7"/>
    <w:rsid w:val="00D66ADE"/>
    <w:rsid w:val="00D66C6B"/>
    <w:rsid w:val="00D66F7E"/>
    <w:rsid w:val="00D67B90"/>
    <w:rsid w:val="00D67CDB"/>
    <w:rsid w:val="00D67D25"/>
    <w:rsid w:val="00D67F40"/>
    <w:rsid w:val="00D7007F"/>
    <w:rsid w:val="00D70142"/>
    <w:rsid w:val="00D704DE"/>
    <w:rsid w:val="00D70506"/>
    <w:rsid w:val="00D70623"/>
    <w:rsid w:val="00D70939"/>
    <w:rsid w:val="00D70D0C"/>
    <w:rsid w:val="00D7149A"/>
    <w:rsid w:val="00D71B39"/>
    <w:rsid w:val="00D71D21"/>
    <w:rsid w:val="00D71F0E"/>
    <w:rsid w:val="00D71F48"/>
    <w:rsid w:val="00D72027"/>
    <w:rsid w:val="00D725EA"/>
    <w:rsid w:val="00D72804"/>
    <w:rsid w:val="00D72AF9"/>
    <w:rsid w:val="00D72C2A"/>
    <w:rsid w:val="00D7339C"/>
    <w:rsid w:val="00D73563"/>
    <w:rsid w:val="00D73AE0"/>
    <w:rsid w:val="00D73E26"/>
    <w:rsid w:val="00D73FA3"/>
    <w:rsid w:val="00D742BC"/>
    <w:rsid w:val="00D74BA0"/>
    <w:rsid w:val="00D74D03"/>
    <w:rsid w:val="00D75C77"/>
    <w:rsid w:val="00D75EDB"/>
    <w:rsid w:val="00D75F97"/>
    <w:rsid w:val="00D76D50"/>
    <w:rsid w:val="00D77278"/>
    <w:rsid w:val="00D77887"/>
    <w:rsid w:val="00D804E8"/>
    <w:rsid w:val="00D80799"/>
    <w:rsid w:val="00D808FF"/>
    <w:rsid w:val="00D809CD"/>
    <w:rsid w:val="00D80A99"/>
    <w:rsid w:val="00D80F04"/>
    <w:rsid w:val="00D8108B"/>
    <w:rsid w:val="00D8123C"/>
    <w:rsid w:val="00D8165A"/>
    <w:rsid w:val="00D81675"/>
    <w:rsid w:val="00D81C1E"/>
    <w:rsid w:val="00D8215F"/>
    <w:rsid w:val="00D826E1"/>
    <w:rsid w:val="00D82C98"/>
    <w:rsid w:val="00D82D7B"/>
    <w:rsid w:val="00D839C1"/>
    <w:rsid w:val="00D83AA6"/>
    <w:rsid w:val="00D83CF9"/>
    <w:rsid w:val="00D83DAE"/>
    <w:rsid w:val="00D8409B"/>
    <w:rsid w:val="00D841EA"/>
    <w:rsid w:val="00D843A4"/>
    <w:rsid w:val="00D845B5"/>
    <w:rsid w:val="00D84991"/>
    <w:rsid w:val="00D84A01"/>
    <w:rsid w:val="00D84D63"/>
    <w:rsid w:val="00D84F30"/>
    <w:rsid w:val="00D851BA"/>
    <w:rsid w:val="00D8521F"/>
    <w:rsid w:val="00D857B5"/>
    <w:rsid w:val="00D85CFB"/>
    <w:rsid w:val="00D86180"/>
    <w:rsid w:val="00D864B6"/>
    <w:rsid w:val="00D8681F"/>
    <w:rsid w:val="00D869B2"/>
    <w:rsid w:val="00D86AEF"/>
    <w:rsid w:val="00D86B93"/>
    <w:rsid w:val="00D86F6B"/>
    <w:rsid w:val="00D87866"/>
    <w:rsid w:val="00D87AB4"/>
    <w:rsid w:val="00D906BE"/>
    <w:rsid w:val="00D90941"/>
    <w:rsid w:val="00D909AD"/>
    <w:rsid w:val="00D91A3C"/>
    <w:rsid w:val="00D9201A"/>
    <w:rsid w:val="00D92093"/>
    <w:rsid w:val="00D92233"/>
    <w:rsid w:val="00D92F50"/>
    <w:rsid w:val="00D93234"/>
    <w:rsid w:val="00D93493"/>
    <w:rsid w:val="00D93832"/>
    <w:rsid w:val="00D938F0"/>
    <w:rsid w:val="00D93A1D"/>
    <w:rsid w:val="00D93BA0"/>
    <w:rsid w:val="00D9445F"/>
    <w:rsid w:val="00D946B8"/>
    <w:rsid w:val="00D946F7"/>
    <w:rsid w:val="00D947B0"/>
    <w:rsid w:val="00D948A2"/>
    <w:rsid w:val="00D948FF"/>
    <w:rsid w:val="00D9490C"/>
    <w:rsid w:val="00D94CCC"/>
    <w:rsid w:val="00D9547F"/>
    <w:rsid w:val="00D95573"/>
    <w:rsid w:val="00D95691"/>
    <w:rsid w:val="00D95A52"/>
    <w:rsid w:val="00D9606A"/>
    <w:rsid w:val="00D9619E"/>
    <w:rsid w:val="00D961A7"/>
    <w:rsid w:val="00D96E9B"/>
    <w:rsid w:val="00D97066"/>
    <w:rsid w:val="00D972ED"/>
    <w:rsid w:val="00D972F9"/>
    <w:rsid w:val="00D97514"/>
    <w:rsid w:val="00D977B9"/>
    <w:rsid w:val="00D97949"/>
    <w:rsid w:val="00D97CE8"/>
    <w:rsid w:val="00D97EBC"/>
    <w:rsid w:val="00D97F7D"/>
    <w:rsid w:val="00DA1AB8"/>
    <w:rsid w:val="00DA2146"/>
    <w:rsid w:val="00DA2E7F"/>
    <w:rsid w:val="00DA3054"/>
    <w:rsid w:val="00DA3525"/>
    <w:rsid w:val="00DA3767"/>
    <w:rsid w:val="00DA3CA4"/>
    <w:rsid w:val="00DA4156"/>
    <w:rsid w:val="00DA447F"/>
    <w:rsid w:val="00DA45E2"/>
    <w:rsid w:val="00DA4706"/>
    <w:rsid w:val="00DA4800"/>
    <w:rsid w:val="00DA4ECE"/>
    <w:rsid w:val="00DA51E9"/>
    <w:rsid w:val="00DA5350"/>
    <w:rsid w:val="00DA5702"/>
    <w:rsid w:val="00DA6308"/>
    <w:rsid w:val="00DA6FCA"/>
    <w:rsid w:val="00DA7195"/>
    <w:rsid w:val="00DA7380"/>
    <w:rsid w:val="00DA768F"/>
    <w:rsid w:val="00DA7784"/>
    <w:rsid w:val="00DB0009"/>
    <w:rsid w:val="00DB00A2"/>
    <w:rsid w:val="00DB01B4"/>
    <w:rsid w:val="00DB031E"/>
    <w:rsid w:val="00DB0811"/>
    <w:rsid w:val="00DB0EDB"/>
    <w:rsid w:val="00DB1370"/>
    <w:rsid w:val="00DB13A7"/>
    <w:rsid w:val="00DB152E"/>
    <w:rsid w:val="00DB1B8E"/>
    <w:rsid w:val="00DB240A"/>
    <w:rsid w:val="00DB2481"/>
    <w:rsid w:val="00DB25A1"/>
    <w:rsid w:val="00DB2687"/>
    <w:rsid w:val="00DB2695"/>
    <w:rsid w:val="00DB37FA"/>
    <w:rsid w:val="00DB3A9E"/>
    <w:rsid w:val="00DB3FCF"/>
    <w:rsid w:val="00DB423A"/>
    <w:rsid w:val="00DB43E1"/>
    <w:rsid w:val="00DB448A"/>
    <w:rsid w:val="00DB4636"/>
    <w:rsid w:val="00DB4CDA"/>
    <w:rsid w:val="00DB4CED"/>
    <w:rsid w:val="00DB4D21"/>
    <w:rsid w:val="00DB53C5"/>
    <w:rsid w:val="00DB595F"/>
    <w:rsid w:val="00DB5B2F"/>
    <w:rsid w:val="00DB5F08"/>
    <w:rsid w:val="00DB6843"/>
    <w:rsid w:val="00DB6DE3"/>
    <w:rsid w:val="00DB73AB"/>
    <w:rsid w:val="00DB789B"/>
    <w:rsid w:val="00DB7D20"/>
    <w:rsid w:val="00DB7E66"/>
    <w:rsid w:val="00DB7FBD"/>
    <w:rsid w:val="00DC00DF"/>
    <w:rsid w:val="00DC0155"/>
    <w:rsid w:val="00DC0745"/>
    <w:rsid w:val="00DC0D4E"/>
    <w:rsid w:val="00DC1553"/>
    <w:rsid w:val="00DC15B9"/>
    <w:rsid w:val="00DC1758"/>
    <w:rsid w:val="00DC18E6"/>
    <w:rsid w:val="00DC1A71"/>
    <w:rsid w:val="00DC20F1"/>
    <w:rsid w:val="00DC21E0"/>
    <w:rsid w:val="00DC226C"/>
    <w:rsid w:val="00DC22C0"/>
    <w:rsid w:val="00DC249A"/>
    <w:rsid w:val="00DC2634"/>
    <w:rsid w:val="00DC2B89"/>
    <w:rsid w:val="00DC2BB6"/>
    <w:rsid w:val="00DC2CE3"/>
    <w:rsid w:val="00DC33E0"/>
    <w:rsid w:val="00DC3E44"/>
    <w:rsid w:val="00DC4521"/>
    <w:rsid w:val="00DC458A"/>
    <w:rsid w:val="00DC46FA"/>
    <w:rsid w:val="00DC4B2F"/>
    <w:rsid w:val="00DC4E24"/>
    <w:rsid w:val="00DC4F70"/>
    <w:rsid w:val="00DC517E"/>
    <w:rsid w:val="00DC5187"/>
    <w:rsid w:val="00DC54D5"/>
    <w:rsid w:val="00DC5532"/>
    <w:rsid w:val="00DC5B09"/>
    <w:rsid w:val="00DC6B05"/>
    <w:rsid w:val="00DC7079"/>
    <w:rsid w:val="00DC7264"/>
    <w:rsid w:val="00DC7906"/>
    <w:rsid w:val="00DC792E"/>
    <w:rsid w:val="00DC7948"/>
    <w:rsid w:val="00DC7AA4"/>
    <w:rsid w:val="00DC7C5B"/>
    <w:rsid w:val="00DC7E43"/>
    <w:rsid w:val="00DD0918"/>
    <w:rsid w:val="00DD0EEF"/>
    <w:rsid w:val="00DD10CD"/>
    <w:rsid w:val="00DD1EE3"/>
    <w:rsid w:val="00DD2235"/>
    <w:rsid w:val="00DD2C0F"/>
    <w:rsid w:val="00DD3007"/>
    <w:rsid w:val="00DD3039"/>
    <w:rsid w:val="00DD316B"/>
    <w:rsid w:val="00DD35AF"/>
    <w:rsid w:val="00DD3A4D"/>
    <w:rsid w:val="00DD3CFE"/>
    <w:rsid w:val="00DD3FEE"/>
    <w:rsid w:val="00DD4911"/>
    <w:rsid w:val="00DD4BA9"/>
    <w:rsid w:val="00DD5592"/>
    <w:rsid w:val="00DD5714"/>
    <w:rsid w:val="00DD5C5B"/>
    <w:rsid w:val="00DD5CB6"/>
    <w:rsid w:val="00DD6301"/>
    <w:rsid w:val="00DD647C"/>
    <w:rsid w:val="00DD67EC"/>
    <w:rsid w:val="00DD69A6"/>
    <w:rsid w:val="00DD6B9B"/>
    <w:rsid w:val="00DD6D4F"/>
    <w:rsid w:val="00DD6F35"/>
    <w:rsid w:val="00DD70F3"/>
    <w:rsid w:val="00DE0045"/>
    <w:rsid w:val="00DE008C"/>
    <w:rsid w:val="00DE0248"/>
    <w:rsid w:val="00DE03AD"/>
    <w:rsid w:val="00DE0558"/>
    <w:rsid w:val="00DE13FA"/>
    <w:rsid w:val="00DE16E0"/>
    <w:rsid w:val="00DE1A91"/>
    <w:rsid w:val="00DE1A95"/>
    <w:rsid w:val="00DE1CAC"/>
    <w:rsid w:val="00DE1D23"/>
    <w:rsid w:val="00DE1F2D"/>
    <w:rsid w:val="00DE2197"/>
    <w:rsid w:val="00DE2DED"/>
    <w:rsid w:val="00DE2EF3"/>
    <w:rsid w:val="00DE3231"/>
    <w:rsid w:val="00DE376F"/>
    <w:rsid w:val="00DE39C4"/>
    <w:rsid w:val="00DE3A5D"/>
    <w:rsid w:val="00DE3C42"/>
    <w:rsid w:val="00DE3D19"/>
    <w:rsid w:val="00DE4678"/>
    <w:rsid w:val="00DE4791"/>
    <w:rsid w:val="00DE49DE"/>
    <w:rsid w:val="00DE4C3F"/>
    <w:rsid w:val="00DE4E51"/>
    <w:rsid w:val="00DE52C2"/>
    <w:rsid w:val="00DE5856"/>
    <w:rsid w:val="00DE58DC"/>
    <w:rsid w:val="00DE5E33"/>
    <w:rsid w:val="00DE5FC9"/>
    <w:rsid w:val="00DE6B12"/>
    <w:rsid w:val="00DE6D8A"/>
    <w:rsid w:val="00DE7483"/>
    <w:rsid w:val="00DE756E"/>
    <w:rsid w:val="00DE7765"/>
    <w:rsid w:val="00DE77E6"/>
    <w:rsid w:val="00DE798A"/>
    <w:rsid w:val="00DE7E17"/>
    <w:rsid w:val="00DE7EA9"/>
    <w:rsid w:val="00DE7F21"/>
    <w:rsid w:val="00DE7FC6"/>
    <w:rsid w:val="00DF006A"/>
    <w:rsid w:val="00DF06BE"/>
    <w:rsid w:val="00DF07EB"/>
    <w:rsid w:val="00DF08DB"/>
    <w:rsid w:val="00DF09D0"/>
    <w:rsid w:val="00DF0D21"/>
    <w:rsid w:val="00DF0F15"/>
    <w:rsid w:val="00DF1D51"/>
    <w:rsid w:val="00DF205E"/>
    <w:rsid w:val="00DF206B"/>
    <w:rsid w:val="00DF2523"/>
    <w:rsid w:val="00DF2A81"/>
    <w:rsid w:val="00DF2BAE"/>
    <w:rsid w:val="00DF2D97"/>
    <w:rsid w:val="00DF3461"/>
    <w:rsid w:val="00DF37A2"/>
    <w:rsid w:val="00DF3C47"/>
    <w:rsid w:val="00DF43FF"/>
    <w:rsid w:val="00DF44E8"/>
    <w:rsid w:val="00DF480E"/>
    <w:rsid w:val="00DF49AE"/>
    <w:rsid w:val="00DF4A3D"/>
    <w:rsid w:val="00DF4A51"/>
    <w:rsid w:val="00DF4E1B"/>
    <w:rsid w:val="00DF4E3D"/>
    <w:rsid w:val="00DF4EEC"/>
    <w:rsid w:val="00DF4F4D"/>
    <w:rsid w:val="00DF563E"/>
    <w:rsid w:val="00DF5AF0"/>
    <w:rsid w:val="00DF5F7E"/>
    <w:rsid w:val="00DF6263"/>
    <w:rsid w:val="00DF6A73"/>
    <w:rsid w:val="00DF6C49"/>
    <w:rsid w:val="00DF6C9C"/>
    <w:rsid w:val="00DF6EF1"/>
    <w:rsid w:val="00DF72A5"/>
    <w:rsid w:val="00DF79B1"/>
    <w:rsid w:val="00E00078"/>
    <w:rsid w:val="00E003BE"/>
    <w:rsid w:val="00E00A15"/>
    <w:rsid w:val="00E01271"/>
    <w:rsid w:val="00E0167B"/>
    <w:rsid w:val="00E0174C"/>
    <w:rsid w:val="00E018FC"/>
    <w:rsid w:val="00E01C12"/>
    <w:rsid w:val="00E01D87"/>
    <w:rsid w:val="00E01E9F"/>
    <w:rsid w:val="00E01F86"/>
    <w:rsid w:val="00E02058"/>
    <w:rsid w:val="00E0247A"/>
    <w:rsid w:val="00E024F4"/>
    <w:rsid w:val="00E029B8"/>
    <w:rsid w:val="00E02CB4"/>
    <w:rsid w:val="00E02D57"/>
    <w:rsid w:val="00E02E51"/>
    <w:rsid w:val="00E03470"/>
    <w:rsid w:val="00E0349E"/>
    <w:rsid w:val="00E0389C"/>
    <w:rsid w:val="00E03BE2"/>
    <w:rsid w:val="00E0428D"/>
    <w:rsid w:val="00E042C5"/>
    <w:rsid w:val="00E044EC"/>
    <w:rsid w:val="00E045E2"/>
    <w:rsid w:val="00E04D15"/>
    <w:rsid w:val="00E058B1"/>
    <w:rsid w:val="00E05995"/>
    <w:rsid w:val="00E05E1A"/>
    <w:rsid w:val="00E061CE"/>
    <w:rsid w:val="00E063B8"/>
    <w:rsid w:val="00E068BE"/>
    <w:rsid w:val="00E06A8C"/>
    <w:rsid w:val="00E06DB9"/>
    <w:rsid w:val="00E06EFB"/>
    <w:rsid w:val="00E07006"/>
    <w:rsid w:val="00E070AD"/>
    <w:rsid w:val="00E070E6"/>
    <w:rsid w:val="00E07144"/>
    <w:rsid w:val="00E0739A"/>
    <w:rsid w:val="00E07AE5"/>
    <w:rsid w:val="00E07D46"/>
    <w:rsid w:val="00E10649"/>
    <w:rsid w:val="00E10F80"/>
    <w:rsid w:val="00E116E8"/>
    <w:rsid w:val="00E119A8"/>
    <w:rsid w:val="00E11C35"/>
    <w:rsid w:val="00E11D41"/>
    <w:rsid w:val="00E11D63"/>
    <w:rsid w:val="00E1256A"/>
    <w:rsid w:val="00E13696"/>
    <w:rsid w:val="00E13A26"/>
    <w:rsid w:val="00E13C81"/>
    <w:rsid w:val="00E14407"/>
    <w:rsid w:val="00E144BF"/>
    <w:rsid w:val="00E1484F"/>
    <w:rsid w:val="00E14D1D"/>
    <w:rsid w:val="00E153E2"/>
    <w:rsid w:val="00E153ED"/>
    <w:rsid w:val="00E153F0"/>
    <w:rsid w:val="00E15D19"/>
    <w:rsid w:val="00E160C7"/>
    <w:rsid w:val="00E162BE"/>
    <w:rsid w:val="00E163D6"/>
    <w:rsid w:val="00E16A1B"/>
    <w:rsid w:val="00E16D6E"/>
    <w:rsid w:val="00E16DDA"/>
    <w:rsid w:val="00E16F57"/>
    <w:rsid w:val="00E17016"/>
    <w:rsid w:val="00E1722B"/>
    <w:rsid w:val="00E17294"/>
    <w:rsid w:val="00E17783"/>
    <w:rsid w:val="00E17919"/>
    <w:rsid w:val="00E17ADC"/>
    <w:rsid w:val="00E205AA"/>
    <w:rsid w:val="00E20AAB"/>
    <w:rsid w:val="00E20AB6"/>
    <w:rsid w:val="00E20B8E"/>
    <w:rsid w:val="00E20E79"/>
    <w:rsid w:val="00E20EAB"/>
    <w:rsid w:val="00E21079"/>
    <w:rsid w:val="00E21759"/>
    <w:rsid w:val="00E21B5F"/>
    <w:rsid w:val="00E22373"/>
    <w:rsid w:val="00E22865"/>
    <w:rsid w:val="00E22FC8"/>
    <w:rsid w:val="00E232D7"/>
    <w:rsid w:val="00E2345D"/>
    <w:rsid w:val="00E235B7"/>
    <w:rsid w:val="00E23E1D"/>
    <w:rsid w:val="00E241F5"/>
    <w:rsid w:val="00E24A05"/>
    <w:rsid w:val="00E2518B"/>
    <w:rsid w:val="00E25CC4"/>
    <w:rsid w:val="00E25D40"/>
    <w:rsid w:val="00E26010"/>
    <w:rsid w:val="00E2603F"/>
    <w:rsid w:val="00E26116"/>
    <w:rsid w:val="00E26307"/>
    <w:rsid w:val="00E2683D"/>
    <w:rsid w:val="00E2689B"/>
    <w:rsid w:val="00E269AF"/>
    <w:rsid w:val="00E2726E"/>
    <w:rsid w:val="00E2782B"/>
    <w:rsid w:val="00E27AE1"/>
    <w:rsid w:val="00E27D16"/>
    <w:rsid w:val="00E27D8C"/>
    <w:rsid w:val="00E30644"/>
    <w:rsid w:val="00E31143"/>
    <w:rsid w:val="00E31658"/>
    <w:rsid w:val="00E3192C"/>
    <w:rsid w:val="00E31A95"/>
    <w:rsid w:val="00E32227"/>
    <w:rsid w:val="00E3264D"/>
    <w:rsid w:val="00E327F2"/>
    <w:rsid w:val="00E32D8D"/>
    <w:rsid w:val="00E33034"/>
    <w:rsid w:val="00E33238"/>
    <w:rsid w:val="00E336B6"/>
    <w:rsid w:val="00E33775"/>
    <w:rsid w:val="00E344C7"/>
    <w:rsid w:val="00E345F8"/>
    <w:rsid w:val="00E346FA"/>
    <w:rsid w:val="00E34ABC"/>
    <w:rsid w:val="00E34C7F"/>
    <w:rsid w:val="00E34D08"/>
    <w:rsid w:val="00E3508B"/>
    <w:rsid w:val="00E3552F"/>
    <w:rsid w:val="00E3566A"/>
    <w:rsid w:val="00E35BB2"/>
    <w:rsid w:val="00E3662F"/>
    <w:rsid w:val="00E36798"/>
    <w:rsid w:val="00E3701A"/>
    <w:rsid w:val="00E372F3"/>
    <w:rsid w:val="00E372FD"/>
    <w:rsid w:val="00E37A5E"/>
    <w:rsid w:val="00E37A72"/>
    <w:rsid w:val="00E37EB3"/>
    <w:rsid w:val="00E40070"/>
    <w:rsid w:val="00E4013A"/>
    <w:rsid w:val="00E4029B"/>
    <w:rsid w:val="00E4086A"/>
    <w:rsid w:val="00E41547"/>
    <w:rsid w:val="00E415BA"/>
    <w:rsid w:val="00E41A35"/>
    <w:rsid w:val="00E41B7B"/>
    <w:rsid w:val="00E41DFB"/>
    <w:rsid w:val="00E42280"/>
    <w:rsid w:val="00E428BA"/>
    <w:rsid w:val="00E429FB"/>
    <w:rsid w:val="00E42B15"/>
    <w:rsid w:val="00E433E9"/>
    <w:rsid w:val="00E435BB"/>
    <w:rsid w:val="00E436D9"/>
    <w:rsid w:val="00E438B2"/>
    <w:rsid w:val="00E43B9B"/>
    <w:rsid w:val="00E443CC"/>
    <w:rsid w:val="00E449D1"/>
    <w:rsid w:val="00E44B05"/>
    <w:rsid w:val="00E44E40"/>
    <w:rsid w:val="00E44E99"/>
    <w:rsid w:val="00E45955"/>
    <w:rsid w:val="00E45E09"/>
    <w:rsid w:val="00E45E68"/>
    <w:rsid w:val="00E46229"/>
    <w:rsid w:val="00E4635B"/>
    <w:rsid w:val="00E4651E"/>
    <w:rsid w:val="00E465A7"/>
    <w:rsid w:val="00E466BF"/>
    <w:rsid w:val="00E467DA"/>
    <w:rsid w:val="00E4698D"/>
    <w:rsid w:val="00E46CAB"/>
    <w:rsid w:val="00E471B0"/>
    <w:rsid w:val="00E4756F"/>
    <w:rsid w:val="00E47B42"/>
    <w:rsid w:val="00E47DAA"/>
    <w:rsid w:val="00E50745"/>
    <w:rsid w:val="00E50747"/>
    <w:rsid w:val="00E51711"/>
    <w:rsid w:val="00E518DB"/>
    <w:rsid w:val="00E527B7"/>
    <w:rsid w:val="00E527C9"/>
    <w:rsid w:val="00E52A9E"/>
    <w:rsid w:val="00E52E13"/>
    <w:rsid w:val="00E52F4E"/>
    <w:rsid w:val="00E53097"/>
    <w:rsid w:val="00E53F92"/>
    <w:rsid w:val="00E5409C"/>
    <w:rsid w:val="00E54445"/>
    <w:rsid w:val="00E54838"/>
    <w:rsid w:val="00E54A47"/>
    <w:rsid w:val="00E553AA"/>
    <w:rsid w:val="00E55B96"/>
    <w:rsid w:val="00E55E7F"/>
    <w:rsid w:val="00E56EDC"/>
    <w:rsid w:val="00E57714"/>
    <w:rsid w:val="00E57AC7"/>
    <w:rsid w:val="00E57B25"/>
    <w:rsid w:val="00E57EEE"/>
    <w:rsid w:val="00E60979"/>
    <w:rsid w:val="00E60998"/>
    <w:rsid w:val="00E60ACF"/>
    <w:rsid w:val="00E60B1E"/>
    <w:rsid w:val="00E60CBA"/>
    <w:rsid w:val="00E6149F"/>
    <w:rsid w:val="00E61A31"/>
    <w:rsid w:val="00E61A83"/>
    <w:rsid w:val="00E61CD7"/>
    <w:rsid w:val="00E62063"/>
    <w:rsid w:val="00E621C3"/>
    <w:rsid w:val="00E62873"/>
    <w:rsid w:val="00E62D29"/>
    <w:rsid w:val="00E62D6A"/>
    <w:rsid w:val="00E637C0"/>
    <w:rsid w:val="00E63E2E"/>
    <w:rsid w:val="00E645E0"/>
    <w:rsid w:val="00E64F73"/>
    <w:rsid w:val="00E657AB"/>
    <w:rsid w:val="00E660DE"/>
    <w:rsid w:val="00E66839"/>
    <w:rsid w:val="00E6685C"/>
    <w:rsid w:val="00E6732A"/>
    <w:rsid w:val="00E67ABE"/>
    <w:rsid w:val="00E67B9A"/>
    <w:rsid w:val="00E707F5"/>
    <w:rsid w:val="00E7128F"/>
    <w:rsid w:val="00E71D15"/>
    <w:rsid w:val="00E72270"/>
    <w:rsid w:val="00E7235D"/>
    <w:rsid w:val="00E7245F"/>
    <w:rsid w:val="00E727B5"/>
    <w:rsid w:val="00E729B1"/>
    <w:rsid w:val="00E72B47"/>
    <w:rsid w:val="00E72E0D"/>
    <w:rsid w:val="00E737EF"/>
    <w:rsid w:val="00E73D4F"/>
    <w:rsid w:val="00E73D60"/>
    <w:rsid w:val="00E74097"/>
    <w:rsid w:val="00E74C3B"/>
    <w:rsid w:val="00E74E47"/>
    <w:rsid w:val="00E74FC6"/>
    <w:rsid w:val="00E758A5"/>
    <w:rsid w:val="00E758B1"/>
    <w:rsid w:val="00E75DED"/>
    <w:rsid w:val="00E75E36"/>
    <w:rsid w:val="00E75F22"/>
    <w:rsid w:val="00E75F71"/>
    <w:rsid w:val="00E75FE3"/>
    <w:rsid w:val="00E76759"/>
    <w:rsid w:val="00E7680E"/>
    <w:rsid w:val="00E76ACF"/>
    <w:rsid w:val="00E76C23"/>
    <w:rsid w:val="00E76E85"/>
    <w:rsid w:val="00E77048"/>
    <w:rsid w:val="00E7705F"/>
    <w:rsid w:val="00E77102"/>
    <w:rsid w:val="00E772FD"/>
    <w:rsid w:val="00E7783C"/>
    <w:rsid w:val="00E77963"/>
    <w:rsid w:val="00E77F51"/>
    <w:rsid w:val="00E80191"/>
    <w:rsid w:val="00E80998"/>
    <w:rsid w:val="00E80DEE"/>
    <w:rsid w:val="00E818A2"/>
    <w:rsid w:val="00E81B0C"/>
    <w:rsid w:val="00E8202E"/>
    <w:rsid w:val="00E82043"/>
    <w:rsid w:val="00E82BA7"/>
    <w:rsid w:val="00E82E1F"/>
    <w:rsid w:val="00E82F35"/>
    <w:rsid w:val="00E83192"/>
    <w:rsid w:val="00E8328F"/>
    <w:rsid w:val="00E83720"/>
    <w:rsid w:val="00E839F3"/>
    <w:rsid w:val="00E840A2"/>
    <w:rsid w:val="00E84927"/>
    <w:rsid w:val="00E84DA0"/>
    <w:rsid w:val="00E84DC8"/>
    <w:rsid w:val="00E84FAD"/>
    <w:rsid w:val="00E853B9"/>
    <w:rsid w:val="00E8570A"/>
    <w:rsid w:val="00E85839"/>
    <w:rsid w:val="00E85CC2"/>
    <w:rsid w:val="00E85F10"/>
    <w:rsid w:val="00E86007"/>
    <w:rsid w:val="00E86CB7"/>
    <w:rsid w:val="00E86E7A"/>
    <w:rsid w:val="00E86F8C"/>
    <w:rsid w:val="00E87324"/>
    <w:rsid w:val="00E87497"/>
    <w:rsid w:val="00E87987"/>
    <w:rsid w:val="00E87F8A"/>
    <w:rsid w:val="00E87FCD"/>
    <w:rsid w:val="00E903A8"/>
    <w:rsid w:val="00E90B6F"/>
    <w:rsid w:val="00E911C0"/>
    <w:rsid w:val="00E9122F"/>
    <w:rsid w:val="00E918E6"/>
    <w:rsid w:val="00E91C58"/>
    <w:rsid w:val="00E9245A"/>
    <w:rsid w:val="00E9250C"/>
    <w:rsid w:val="00E9297C"/>
    <w:rsid w:val="00E92994"/>
    <w:rsid w:val="00E92C77"/>
    <w:rsid w:val="00E92C99"/>
    <w:rsid w:val="00E9301C"/>
    <w:rsid w:val="00E93D36"/>
    <w:rsid w:val="00E940DB"/>
    <w:rsid w:val="00E94310"/>
    <w:rsid w:val="00E94A6A"/>
    <w:rsid w:val="00E9529C"/>
    <w:rsid w:val="00E95395"/>
    <w:rsid w:val="00E957F8"/>
    <w:rsid w:val="00E95B5A"/>
    <w:rsid w:val="00E96231"/>
    <w:rsid w:val="00E968E3"/>
    <w:rsid w:val="00E96997"/>
    <w:rsid w:val="00E96B5F"/>
    <w:rsid w:val="00E97660"/>
    <w:rsid w:val="00E977CB"/>
    <w:rsid w:val="00E97B57"/>
    <w:rsid w:val="00E97D3C"/>
    <w:rsid w:val="00EA03CF"/>
    <w:rsid w:val="00EA0505"/>
    <w:rsid w:val="00EA08C9"/>
    <w:rsid w:val="00EA1051"/>
    <w:rsid w:val="00EA1872"/>
    <w:rsid w:val="00EA1BA0"/>
    <w:rsid w:val="00EA1BCF"/>
    <w:rsid w:val="00EA2375"/>
    <w:rsid w:val="00EA251B"/>
    <w:rsid w:val="00EA270D"/>
    <w:rsid w:val="00EA2871"/>
    <w:rsid w:val="00EA2A22"/>
    <w:rsid w:val="00EA2B3B"/>
    <w:rsid w:val="00EA2C9B"/>
    <w:rsid w:val="00EA2FD5"/>
    <w:rsid w:val="00EA300A"/>
    <w:rsid w:val="00EA34C0"/>
    <w:rsid w:val="00EA4603"/>
    <w:rsid w:val="00EA47FA"/>
    <w:rsid w:val="00EA5512"/>
    <w:rsid w:val="00EA5834"/>
    <w:rsid w:val="00EA5972"/>
    <w:rsid w:val="00EA5DCA"/>
    <w:rsid w:val="00EA6427"/>
    <w:rsid w:val="00EA6565"/>
    <w:rsid w:val="00EA658B"/>
    <w:rsid w:val="00EA68C9"/>
    <w:rsid w:val="00EA7112"/>
    <w:rsid w:val="00EA74E8"/>
    <w:rsid w:val="00EA760B"/>
    <w:rsid w:val="00EA77E8"/>
    <w:rsid w:val="00EA7912"/>
    <w:rsid w:val="00EB003F"/>
    <w:rsid w:val="00EB088F"/>
    <w:rsid w:val="00EB0A3C"/>
    <w:rsid w:val="00EB0F69"/>
    <w:rsid w:val="00EB1067"/>
    <w:rsid w:val="00EB176E"/>
    <w:rsid w:val="00EB202D"/>
    <w:rsid w:val="00EB2C4E"/>
    <w:rsid w:val="00EB2C70"/>
    <w:rsid w:val="00EB30BF"/>
    <w:rsid w:val="00EB32C0"/>
    <w:rsid w:val="00EB3EEE"/>
    <w:rsid w:val="00EB47A7"/>
    <w:rsid w:val="00EB47E3"/>
    <w:rsid w:val="00EB47F0"/>
    <w:rsid w:val="00EB5080"/>
    <w:rsid w:val="00EB5850"/>
    <w:rsid w:val="00EB599B"/>
    <w:rsid w:val="00EB6474"/>
    <w:rsid w:val="00EB721B"/>
    <w:rsid w:val="00EB73A7"/>
    <w:rsid w:val="00EB7516"/>
    <w:rsid w:val="00EB753F"/>
    <w:rsid w:val="00EB7966"/>
    <w:rsid w:val="00EB79F8"/>
    <w:rsid w:val="00EC0038"/>
    <w:rsid w:val="00EC06EB"/>
    <w:rsid w:val="00EC0BC9"/>
    <w:rsid w:val="00EC0D48"/>
    <w:rsid w:val="00EC1110"/>
    <w:rsid w:val="00EC1392"/>
    <w:rsid w:val="00EC1575"/>
    <w:rsid w:val="00EC1948"/>
    <w:rsid w:val="00EC1AAA"/>
    <w:rsid w:val="00EC1BDB"/>
    <w:rsid w:val="00EC26D0"/>
    <w:rsid w:val="00EC2729"/>
    <w:rsid w:val="00EC279A"/>
    <w:rsid w:val="00EC2846"/>
    <w:rsid w:val="00EC2888"/>
    <w:rsid w:val="00EC29A2"/>
    <w:rsid w:val="00EC2EB5"/>
    <w:rsid w:val="00EC3861"/>
    <w:rsid w:val="00EC3D93"/>
    <w:rsid w:val="00EC4079"/>
    <w:rsid w:val="00EC422F"/>
    <w:rsid w:val="00EC4242"/>
    <w:rsid w:val="00EC424D"/>
    <w:rsid w:val="00EC432F"/>
    <w:rsid w:val="00EC4C0F"/>
    <w:rsid w:val="00EC51A6"/>
    <w:rsid w:val="00EC5358"/>
    <w:rsid w:val="00EC55F7"/>
    <w:rsid w:val="00EC5A93"/>
    <w:rsid w:val="00EC5F54"/>
    <w:rsid w:val="00EC6542"/>
    <w:rsid w:val="00EC714A"/>
    <w:rsid w:val="00EC7750"/>
    <w:rsid w:val="00EC79EA"/>
    <w:rsid w:val="00ED04B3"/>
    <w:rsid w:val="00ED0AD2"/>
    <w:rsid w:val="00ED0E48"/>
    <w:rsid w:val="00ED16DD"/>
    <w:rsid w:val="00ED20D3"/>
    <w:rsid w:val="00ED20E2"/>
    <w:rsid w:val="00ED21E1"/>
    <w:rsid w:val="00ED22A3"/>
    <w:rsid w:val="00ED2F02"/>
    <w:rsid w:val="00ED2F83"/>
    <w:rsid w:val="00ED3D1A"/>
    <w:rsid w:val="00ED4858"/>
    <w:rsid w:val="00ED57DC"/>
    <w:rsid w:val="00ED5B66"/>
    <w:rsid w:val="00ED5FEA"/>
    <w:rsid w:val="00ED6664"/>
    <w:rsid w:val="00ED6843"/>
    <w:rsid w:val="00ED6A6D"/>
    <w:rsid w:val="00ED6AD0"/>
    <w:rsid w:val="00ED7140"/>
    <w:rsid w:val="00ED7334"/>
    <w:rsid w:val="00ED7478"/>
    <w:rsid w:val="00EE001B"/>
    <w:rsid w:val="00EE0242"/>
    <w:rsid w:val="00EE05E5"/>
    <w:rsid w:val="00EE05E9"/>
    <w:rsid w:val="00EE0892"/>
    <w:rsid w:val="00EE0B35"/>
    <w:rsid w:val="00EE1D5F"/>
    <w:rsid w:val="00EE1DC3"/>
    <w:rsid w:val="00EE21F2"/>
    <w:rsid w:val="00EE35C6"/>
    <w:rsid w:val="00EE3632"/>
    <w:rsid w:val="00EE368C"/>
    <w:rsid w:val="00EE41D9"/>
    <w:rsid w:val="00EE4673"/>
    <w:rsid w:val="00EE5755"/>
    <w:rsid w:val="00EE6710"/>
    <w:rsid w:val="00EE75DB"/>
    <w:rsid w:val="00EE7998"/>
    <w:rsid w:val="00EE7C1C"/>
    <w:rsid w:val="00EF0187"/>
    <w:rsid w:val="00EF0456"/>
    <w:rsid w:val="00EF06D1"/>
    <w:rsid w:val="00EF07B1"/>
    <w:rsid w:val="00EF0BB6"/>
    <w:rsid w:val="00EF0DA4"/>
    <w:rsid w:val="00EF10E9"/>
    <w:rsid w:val="00EF1816"/>
    <w:rsid w:val="00EF1E16"/>
    <w:rsid w:val="00EF22D8"/>
    <w:rsid w:val="00EF2320"/>
    <w:rsid w:val="00EF2480"/>
    <w:rsid w:val="00EF253D"/>
    <w:rsid w:val="00EF26D7"/>
    <w:rsid w:val="00EF26EC"/>
    <w:rsid w:val="00EF2A49"/>
    <w:rsid w:val="00EF2DBE"/>
    <w:rsid w:val="00EF3D04"/>
    <w:rsid w:val="00EF3D80"/>
    <w:rsid w:val="00EF3F3C"/>
    <w:rsid w:val="00EF410B"/>
    <w:rsid w:val="00EF41DA"/>
    <w:rsid w:val="00EF45CA"/>
    <w:rsid w:val="00EF4A60"/>
    <w:rsid w:val="00EF551D"/>
    <w:rsid w:val="00EF5AA8"/>
    <w:rsid w:val="00EF5EED"/>
    <w:rsid w:val="00EF6357"/>
    <w:rsid w:val="00EF658E"/>
    <w:rsid w:val="00EF6811"/>
    <w:rsid w:val="00EF6E1A"/>
    <w:rsid w:val="00EF6E6C"/>
    <w:rsid w:val="00EF6F1B"/>
    <w:rsid w:val="00EF6F42"/>
    <w:rsid w:val="00EF78DC"/>
    <w:rsid w:val="00EF79FA"/>
    <w:rsid w:val="00EF7EA6"/>
    <w:rsid w:val="00F0028B"/>
    <w:rsid w:val="00F0068A"/>
    <w:rsid w:val="00F00752"/>
    <w:rsid w:val="00F008E3"/>
    <w:rsid w:val="00F00998"/>
    <w:rsid w:val="00F009E6"/>
    <w:rsid w:val="00F00B50"/>
    <w:rsid w:val="00F00CA7"/>
    <w:rsid w:val="00F013F8"/>
    <w:rsid w:val="00F015EA"/>
    <w:rsid w:val="00F01823"/>
    <w:rsid w:val="00F01951"/>
    <w:rsid w:val="00F01B44"/>
    <w:rsid w:val="00F01FE8"/>
    <w:rsid w:val="00F0221E"/>
    <w:rsid w:val="00F0233A"/>
    <w:rsid w:val="00F02712"/>
    <w:rsid w:val="00F02869"/>
    <w:rsid w:val="00F02DD4"/>
    <w:rsid w:val="00F02E74"/>
    <w:rsid w:val="00F042F3"/>
    <w:rsid w:val="00F0438C"/>
    <w:rsid w:val="00F04703"/>
    <w:rsid w:val="00F04E82"/>
    <w:rsid w:val="00F0537E"/>
    <w:rsid w:val="00F05543"/>
    <w:rsid w:val="00F057E1"/>
    <w:rsid w:val="00F05831"/>
    <w:rsid w:val="00F05A99"/>
    <w:rsid w:val="00F062B3"/>
    <w:rsid w:val="00F064A2"/>
    <w:rsid w:val="00F06744"/>
    <w:rsid w:val="00F072E0"/>
    <w:rsid w:val="00F07433"/>
    <w:rsid w:val="00F0769E"/>
    <w:rsid w:val="00F10F9E"/>
    <w:rsid w:val="00F11011"/>
    <w:rsid w:val="00F11081"/>
    <w:rsid w:val="00F1112F"/>
    <w:rsid w:val="00F111E2"/>
    <w:rsid w:val="00F11392"/>
    <w:rsid w:val="00F117B0"/>
    <w:rsid w:val="00F11D3B"/>
    <w:rsid w:val="00F11ECE"/>
    <w:rsid w:val="00F1200B"/>
    <w:rsid w:val="00F123C8"/>
    <w:rsid w:val="00F12E78"/>
    <w:rsid w:val="00F14603"/>
    <w:rsid w:val="00F15330"/>
    <w:rsid w:val="00F154C8"/>
    <w:rsid w:val="00F15670"/>
    <w:rsid w:val="00F1574D"/>
    <w:rsid w:val="00F1587F"/>
    <w:rsid w:val="00F15F98"/>
    <w:rsid w:val="00F160CF"/>
    <w:rsid w:val="00F16407"/>
    <w:rsid w:val="00F17312"/>
    <w:rsid w:val="00F1739E"/>
    <w:rsid w:val="00F1775E"/>
    <w:rsid w:val="00F17869"/>
    <w:rsid w:val="00F17876"/>
    <w:rsid w:val="00F17B64"/>
    <w:rsid w:val="00F17C61"/>
    <w:rsid w:val="00F20433"/>
    <w:rsid w:val="00F208BF"/>
    <w:rsid w:val="00F20960"/>
    <w:rsid w:val="00F21024"/>
    <w:rsid w:val="00F21808"/>
    <w:rsid w:val="00F2192A"/>
    <w:rsid w:val="00F21C1D"/>
    <w:rsid w:val="00F21FD6"/>
    <w:rsid w:val="00F2243C"/>
    <w:rsid w:val="00F229FA"/>
    <w:rsid w:val="00F22A82"/>
    <w:rsid w:val="00F22F8A"/>
    <w:rsid w:val="00F233BD"/>
    <w:rsid w:val="00F24111"/>
    <w:rsid w:val="00F24186"/>
    <w:rsid w:val="00F24374"/>
    <w:rsid w:val="00F24A47"/>
    <w:rsid w:val="00F251CD"/>
    <w:rsid w:val="00F2541D"/>
    <w:rsid w:val="00F25428"/>
    <w:rsid w:val="00F255D2"/>
    <w:rsid w:val="00F260C9"/>
    <w:rsid w:val="00F26CCB"/>
    <w:rsid w:val="00F26CED"/>
    <w:rsid w:val="00F26EB6"/>
    <w:rsid w:val="00F27814"/>
    <w:rsid w:val="00F301C3"/>
    <w:rsid w:val="00F306C2"/>
    <w:rsid w:val="00F307FD"/>
    <w:rsid w:val="00F30DA5"/>
    <w:rsid w:val="00F31350"/>
    <w:rsid w:val="00F3178D"/>
    <w:rsid w:val="00F317E7"/>
    <w:rsid w:val="00F318FC"/>
    <w:rsid w:val="00F31973"/>
    <w:rsid w:val="00F320C3"/>
    <w:rsid w:val="00F32219"/>
    <w:rsid w:val="00F3260D"/>
    <w:rsid w:val="00F3279F"/>
    <w:rsid w:val="00F3297B"/>
    <w:rsid w:val="00F32C94"/>
    <w:rsid w:val="00F32E74"/>
    <w:rsid w:val="00F33EFE"/>
    <w:rsid w:val="00F3461A"/>
    <w:rsid w:val="00F34CE7"/>
    <w:rsid w:val="00F35093"/>
    <w:rsid w:val="00F355E8"/>
    <w:rsid w:val="00F35A90"/>
    <w:rsid w:val="00F3615C"/>
    <w:rsid w:val="00F366E9"/>
    <w:rsid w:val="00F367FA"/>
    <w:rsid w:val="00F36C75"/>
    <w:rsid w:val="00F370DD"/>
    <w:rsid w:val="00F37735"/>
    <w:rsid w:val="00F4088B"/>
    <w:rsid w:val="00F409D3"/>
    <w:rsid w:val="00F40C4A"/>
    <w:rsid w:val="00F418FC"/>
    <w:rsid w:val="00F419EC"/>
    <w:rsid w:val="00F41E14"/>
    <w:rsid w:val="00F41E65"/>
    <w:rsid w:val="00F423D6"/>
    <w:rsid w:val="00F425AD"/>
    <w:rsid w:val="00F42AC3"/>
    <w:rsid w:val="00F42FAE"/>
    <w:rsid w:val="00F42FEB"/>
    <w:rsid w:val="00F431D3"/>
    <w:rsid w:val="00F44009"/>
    <w:rsid w:val="00F44110"/>
    <w:rsid w:val="00F44636"/>
    <w:rsid w:val="00F44B4B"/>
    <w:rsid w:val="00F44B76"/>
    <w:rsid w:val="00F44B83"/>
    <w:rsid w:val="00F44BF4"/>
    <w:rsid w:val="00F44E52"/>
    <w:rsid w:val="00F44F05"/>
    <w:rsid w:val="00F4501D"/>
    <w:rsid w:val="00F45622"/>
    <w:rsid w:val="00F45682"/>
    <w:rsid w:val="00F45A5B"/>
    <w:rsid w:val="00F45AD4"/>
    <w:rsid w:val="00F45E4E"/>
    <w:rsid w:val="00F45F37"/>
    <w:rsid w:val="00F4683F"/>
    <w:rsid w:val="00F46D44"/>
    <w:rsid w:val="00F46DD8"/>
    <w:rsid w:val="00F47BA0"/>
    <w:rsid w:val="00F47C4B"/>
    <w:rsid w:val="00F50368"/>
    <w:rsid w:val="00F50371"/>
    <w:rsid w:val="00F509DC"/>
    <w:rsid w:val="00F51188"/>
    <w:rsid w:val="00F51B70"/>
    <w:rsid w:val="00F51DAE"/>
    <w:rsid w:val="00F51E78"/>
    <w:rsid w:val="00F5272D"/>
    <w:rsid w:val="00F53321"/>
    <w:rsid w:val="00F53403"/>
    <w:rsid w:val="00F5340A"/>
    <w:rsid w:val="00F5396A"/>
    <w:rsid w:val="00F53DA3"/>
    <w:rsid w:val="00F53DCC"/>
    <w:rsid w:val="00F53EDB"/>
    <w:rsid w:val="00F54016"/>
    <w:rsid w:val="00F5490C"/>
    <w:rsid w:val="00F54CAB"/>
    <w:rsid w:val="00F54DC1"/>
    <w:rsid w:val="00F5525B"/>
    <w:rsid w:val="00F552B2"/>
    <w:rsid w:val="00F55322"/>
    <w:rsid w:val="00F55361"/>
    <w:rsid w:val="00F55412"/>
    <w:rsid w:val="00F5549F"/>
    <w:rsid w:val="00F55A5C"/>
    <w:rsid w:val="00F55AE6"/>
    <w:rsid w:val="00F55B9E"/>
    <w:rsid w:val="00F55ED4"/>
    <w:rsid w:val="00F560F7"/>
    <w:rsid w:val="00F56862"/>
    <w:rsid w:val="00F56A5C"/>
    <w:rsid w:val="00F56C72"/>
    <w:rsid w:val="00F57BE6"/>
    <w:rsid w:val="00F60335"/>
    <w:rsid w:val="00F60989"/>
    <w:rsid w:val="00F609C4"/>
    <w:rsid w:val="00F6188C"/>
    <w:rsid w:val="00F61A2D"/>
    <w:rsid w:val="00F61B17"/>
    <w:rsid w:val="00F62374"/>
    <w:rsid w:val="00F627E4"/>
    <w:rsid w:val="00F62906"/>
    <w:rsid w:val="00F62A7A"/>
    <w:rsid w:val="00F63250"/>
    <w:rsid w:val="00F632E7"/>
    <w:rsid w:val="00F6371E"/>
    <w:rsid w:val="00F6371F"/>
    <w:rsid w:val="00F63763"/>
    <w:rsid w:val="00F637A0"/>
    <w:rsid w:val="00F63B54"/>
    <w:rsid w:val="00F63BF0"/>
    <w:rsid w:val="00F64222"/>
    <w:rsid w:val="00F642C8"/>
    <w:rsid w:val="00F64B5B"/>
    <w:rsid w:val="00F64E25"/>
    <w:rsid w:val="00F652D5"/>
    <w:rsid w:val="00F655D0"/>
    <w:rsid w:val="00F65691"/>
    <w:rsid w:val="00F6622A"/>
    <w:rsid w:val="00F66251"/>
    <w:rsid w:val="00F66590"/>
    <w:rsid w:val="00F6687B"/>
    <w:rsid w:val="00F669DF"/>
    <w:rsid w:val="00F66FE3"/>
    <w:rsid w:val="00F67710"/>
    <w:rsid w:val="00F67827"/>
    <w:rsid w:val="00F67A2D"/>
    <w:rsid w:val="00F67BF1"/>
    <w:rsid w:val="00F67C54"/>
    <w:rsid w:val="00F70095"/>
    <w:rsid w:val="00F70A23"/>
    <w:rsid w:val="00F71661"/>
    <w:rsid w:val="00F72031"/>
    <w:rsid w:val="00F7215D"/>
    <w:rsid w:val="00F72261"/>
    <w:rsid w:val="00F72288"/>
    <w:rsid w:val="00F72E13"/>
    <w:rsid w:val="00F733FE"/>
    <w:rsid w:val="00F73731"/>
    <w:rsid w:val="00F73CAB"/>
    <w:rsid w:val="00F74099"/>
    <w:rsid w:val="00F7453E"/>
    <w:rsid w:val="00F74CA4"/>
    <w:rsid w:val="00F754FA"/>
    <w:rsid w:val="00F75672"/>
    <w:rsid w:val="00F75DF4"/>
    <w:rsid w:val="00F7605B"/>
    <w:rsid w:val="00F76668"/>
    <w:rsid w:val="00F76974"/>
    <w:rsid w:val="00F76FDD"/>
    <w:rsid w:val="00F7733B"/>
    <w:rsid w:val="00F77654"/>
    <w:rsid w:val="00F77746"/>
    <w:rsid w:val="00F77B23"/>
    <w:rsid w:val="00F77C00"/>
    <w:rsid w:val="00F80997"/>
    <w:rsid w:val="00F80C37"/>
    <w:rsid w:val="00F81256"/>
    <w:rsid w:val="00F81462"/>
    <w:rsid w:val="00F8147B"/>
    <w:rsid w:val="00F81563"/>
    <w:rsid w:val="00F81ADC"/>
    <w:rsid w:val="00F81D85"/>
    <w:rsid w:val="00F8201E"/>
    <w:rsid w:val="00F82430"/>
    <w:rsid w:val="00F82506"/>
    <w:rsid w:val="00F82763"/>
    <w:rsid w:val="00F827E5"/>
    <w:rsid w:val="00F82E4A"/>
    <w:rsid w:val="00F830B8"/>
    <w:rsid w:val="00F8385D"/>
    <w:rsid w:val="00F8426F"/>
    <w:rsid w:val="00F849F7"/>
    <w:rsid w:val="00F84F4F"/>
    <w:rsid w:val="00F851AF"/>
    <w:rsid w:val="00F8534F"/>
    <w:rsid w:val="00F8553E"/>
    <w:rsid w:val="00F85F20"/>
    <w:rsid w:val="00F862B7"/>
    <w:rsid w:val="00F86AA6"/>
    <w:rsid w:val="00F86BD2"/>
    <w:rsid w:val="00F870FD"/>
    <w:rsid w:val="00F872A3"/>
    <w:rsid w:val="00F8753E"/>
    <w:rsid w:val="00F8759A"/>
    <w:rsid w:val="00F87960"/>
    <w:rsid w:val="00F87CE2"/>
    <w:rsid w:val="00F90D93"/>
    <w:rsid w:val="00F91B11"/>
    <w:rsid w:val="00F91D50"/>
    <w:rsid w:val="00F926B6"/>
    <w:rsid w:val="00F932A9"/>
    <w:rsid w:val="00F93A1C"/>
    <w:rsid w:val="00F93FFC"/>
    <w:rsid w:val="00F94127"/>
    <w:rsid w:val="00F9437B"/>
    <w:rsid w:val="00F9445B"/>
    <w:rsid w:val="00F94EF2"/>
    <w:rsid w:val="00F95216"/>
    <w:rsid w:val="00F953BD"/>
    <w:rsid w:val="00F95609"/>
    <w:rsid w:val="00F95A1F"/>
    <w:rsid w:val="00F95D16"/>
    <w:rsid w:val="00F95DFF"/>
    <w:rsid w:val="00F95F37"/>
    <w:rsid w:val="00F96308"/>
    <w:rsid w:val="00F9690D"/>
    <w:rsid w:val="00F96984"/>
    <w:rsid w:val="00F96D9C"/>
    <w:rsid w:val="00F973AF"/>
    <w:rsid w:val="00F978E1"/>
    <w:rsid w:val="00F97B76"/>
    <w:rsid w:val="00F97BB7"/>
    <w:rsid w:val="00F97CD2"/>
    <w:rsid w:val="00F97E15"/>
    <w:rsid w:val="00F97F6E"/>
    <w:rsid w:val="00FA0496"/>
    <w:rsid w:val="00FA0780"/>
    <w:rsid w:val="00FA0B5E"/>
    <w:rsid w:val="00FA1CAA"/>
    <w:rsid w:val="00FA1CED"/>
    <w:rsid w:val="00FA3120"/>
    <w:rsid w:val="00FA3578"/>
    <w:rsid w:val="00FA372B"/>
    <w:rsid w:val="00FA3B22"/>
    <w:rsid w:val="00FA44F4"/>
    <w:rsid w:val="00FA5762"/>
    <w:rsid w:val="00FA5BCB"/>
    <w:rsid w:val="00FA62E1"/>
    <w:rsid w:val="00FA6AC6"/>
    <w:rsid w:val="00FA6D4B"/>
    <w:rsid w:val="00FA6EE7"/>
    <w:rsid w:val="00FA6EF2"/>
    <w:rsid w:val="00FA72D0"/>
    <w:rsid w:val="00FA7451"/>
    <w:rsid w:val="00FA796D"/>
    <w:rsid w:val="00FB09F4"/>
    <w:rsid w:val="00FB0C59"/>
    <w:rsid w:val="00FB12FA"/>
    <w:rsid w:val="00FB135C"/>
    <w:rsid w:val="00FB1F66"/>
    <w:rsid w:val="00FB22E2"/>
    <w:rsid w:val="00FB2A92"/>
    <w:rsid w:val="00FB2C42"/>
    <w:rsid w:val="00FB2F77"/>
    <w:rsid w:val="00FB329B"/>
    <w:rsid w:val="00FB42D0"/>
    <w:rsid w:val="00FB448E"/>
    <w:rsid w:val="00FB45A9"/>
    <w:rsid w:val="00FB4753"/>
    <w:rsid w:val="00FB4EFF"/>
    <w:rsid w:val="00FB55F6"/>
    <w:rsid w:val="00FB5937"/>
    <w:rsid w:val="00FB5BD9"/>
    <w:rsid w:val="00FB6E91"/>
    <w:rsid w:val="00FB71A0"/>
    <w:rsid w:val="00FB7388"/>
    <w:rsid w:val="00FB7646"/>
    <w:rsid w:val="00FB7BFF"/>
    <w:rsid w:val="00FB7C32"/>
    <w:rsid w:val="00FB7E8D"/>
    <w:rsid w:val="00FC01FB"/>
    <w:rsid w:val="00FC025D"/>
    <w:rsid w:val="00FC0513"/>
    <w:rsid w:val="00FC078E"/>
    <w:rsid w:val="00FC114C"/>
    <w:rsid w:val="00FC15FD"/>
    <w:rsid w:val="00FC1BEB"/>
    <w:rsid w:val="00FC2013"/>
    <w:rsid w:val="00FC2529"/>
    <w:rsid w:val="00FC2693"/>
    <w:rsid w:val="00FC2FC5"/>
    <w:rsid w:val="00FC356D"/>
    <w:rsid w:val="00FC36A9"/>
    <w:rsid w:val="00FC38ED"/>
    <w:rsid w:val="00FC3FAB"/>
    <w:rsid w:val="00FC4C6B"/>
    <w:rsid w:val="00FC4EEF"/>
    <w:rsid w:val="00FC585C"/>
    <w:rsid w:val="00FC5A1D"/>
    <w:rsid w:val="00FC5EEA"/>
    <w:rsid w:val="00FC5FC3"/>
    <w:rsid w:val="00FC6175"/>
    <w:rsid w:val="00FC62C7"/>
    <w:rsid w:val="00FC66AB"/>
    <w:rsid w:val="00FC6851"/>
    <w:rsid w:val="00FC6896"/>
    <w:rsid w:val="00FC6C23"/>
    <w:rsid w:val="00FC6D10"/>
    <w:rsid w:val="00FC7243"/>
    <w:rsid w:val="00FC743C"/>
    <w:rsid w:val="00FC7682"/>
    <w:rsid w:val="00FD0405"/>
    <w:rsid w:val="00FD0600"/>
    <w:rsid w:val="00FD089A"/>
    <w:rsid w:val="00FD0A9C"/>
    <w:rsid w:val="00FD0D74"/>
    <w:rsid w:val="00FD1287"/>
    <w:rsid w:val="00FD16D5"/>
    <w:rsid w:val="00FD1BA7"/>
    <w:rsid w:val="00FD23E7"/>
    <w:rsid w:val="00FD2EC0"/>
    <w:rsid w:val="00FD2FFE"/>
    <w:rsid w:val="00FD3510"/>
    <w:rsid w:val="00FD3C23"/>
    <w:rsid w:val="00FD40CB"/>
    <w:rsid w:val="00FD456A"/>
    <w:rsid w:val="00FD4D5B"/>
    <w:rsid w:val="00FD4D86"/>
    <w:rsid w:val="00FD4F94"/>
    <w:rsid w:val="00FD5229"/>
    <w:rsid w:val="00FD54FD"/>
    <w:rsid w:val="00FD56CB"/>
    <w:rsid w:val="00FD5760"/>
    <w:rsid w:val="00FD589D"/>
    <w:rsid w:val="00FD5C97"/>
    <w:rsid w:val="00FD6285"/>
    <w:rsid w:val="00FD6952"/>
    <w:rsid w:val="00FD6C16"/>
    <w:rsid w:val="00FD6EBB"/>
    <w:rsid w:val="00FE02A1"/>
    <w:rsid w:val="00FE0321"/>
    <w:rsid w:val="00FE0849"/>
    <w:rsid w:val="00FE0C9F"/>
    <w:rsid w:val="00FE1183"/>
    <w:rsid w:val="00FE1502"/>
    <w:rsid w:val="00FE1643"/>
    <w:rsid w:val="00FE1D1C"/>
    <w:rsid w:val="00FE1EA1"/>
    <w:rsid w:val="00FE200B"/>
    <w:rsid w:val="00FE20D5"/>
    <w:rsid w:val="00FE243B"/>
    <w:rsid w:val="00FE2A9D"/>
    <w:rsid w:val="00FE2B06"/>
    <w:rsid w:val="00FE33B6"/>
    <w:rsid w:val="00FE377B"/>
    <w:rsid w:val="00FE388A"/>
    <w:rsid w:val="00FE3A8B"/>
    <w:rsid w:val="00FE3D82"/>
    <w:rsid w:val="00FE4661"/>
    <w:rsid w:val="00FE467F"/>
    <w:rsid w:val="00FE47BA"/>
    <w:rsid w:val="00FE48F6"/>
    <w:rsid w:val="00FE4DC8"/>
    <w:rsid w:val="00FE4E1F"/>
    <w:rsid w:val="00FE5F31"/>
    <w:rsid w:val="00FE661A"/>
    <w:rsid w:val="00FE6E5B"/>
    <w:rsid w:val="00FE728C"/>
    <w:rsid w:val="00FE72C8"/>
    <w:rsid w:val="00FE72E8"/>
    <w:rsid w:val="00FF00B3"/>
    <w:rsid w:val="00FF0984"/>
    <w:rsid w:val="00FF0A5B"/>
    <w:rsid w:val="00FF0D43"/>
    <w:rsid w:val="00FF0EEA"/>
    <w:rsid w:val="00FF1447"/>
    <w:rsid w:val="00FF19AE"/>
    <w:rsid w:val="00FF1CC7"/>
    <w:rsid w:val="00FF23CC"/>
    <w:rsid w:val="00FF3283"/>
    <w:rsid w:val="00FF357F"/>
    <w:rsid w:val="00FF36F7"/>
    <w:rsid w:val="00FF3741"/>
    <w:rsid w:val="00FF4093"/>
    <w:rsid w:val="00FF40F3"/>
    <w:rsid w:val="00FF4EE8"/>
    <w:rsid w:val="00FF517C"/>
    <w:rsid w:val="00FF53C3"/>
    <w:rsid w:val="00FF5A92"/>
    <w:rsid w:val="00FF6044"/>
    <w:rsid w:val="00FF6706"/>
    <w:rsid w:val="00FF68F6"/>
    <w:rsid w:val="00FF69C5"/>
    <w:rsid w:val="00FF6AC7"/>
    <w:rsid w:val="00FF6B60"/>
    <w:rsid w:val="00FF6B6F"/>
    <w:rsid w:val="00FF6E0F"/>
    <w:rsid w:val="00FF72EE"/>
    <w:rsid w:val="00FF73B6"/>
    <w:rsid w:val="00FF7449"/>
    <w:rsid w:val="00FF770E"/>
    <w:rsid w:val="00FF7AFF"/>
    <w:rsid w:val="00FF7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1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7164"/>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link w:val="FootnoteTextChar"/>
    <w:uiPriority w:val="99"/>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uiPriority w:val="99"/>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C1152F"/>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uiPriority w:val="99"/>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uiPriority w:val="99"/>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uiPriority w:val="99"/>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
    <w:basedOn w:val="Normal"/>
    <w:link w:val="BulletChar"/>
    <w:rsid w:val="004D4273"/>
    <w:pPr>
      <w:numPr>
        <w:numId w:val="42"/>
      </w:numPr>
    </w:pPr>
  </w:style>
  <w:style w:type="character" w:customStyle="1" w:styleId="BulletChar">
    <w:name w:val="Bullet Char"/>
    <w:basedOn w:val="DefaultParagraphFont"/>
    <w:link w:val="Bullet"/>
    <w:rsid w:val="004D4273"/>
    <w:rPr>
      <w:rFonts w:ascii="Book Antiqua" w:hAnsi="Book Antiqua"/>
      <w:szCs w:val="24"/>
      <w:lang w:eastAsia="en-US"/>
    </w:rPr>
  </w:style>
  <w:style w:type="paragraph" w:customStyle="1" w:styleId="Dash">
    <w:name w:val="Dash"/>
    <w:basedOn w:val="Normal"/>
    <w:rsid w:val="004D4273"/>
    <w:pPr>
      <w:numPr>
        <w:ilvl w:val="1"/>
        <w:numId w:val="42"/>
      </w:numPr>
    </w:pPr>
  </w:style>
  <w:style w:type="paragraph" w:customStyle="1" w:styleId="DoubleDot0">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uiPriority w:val="99"/>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uiPriority w:val="99"/>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
    <w:name w:val="Double Dot"/>
    <w:basedOn w:val="Normal"/>
    <w:rsid w:val="004D4273"/>
    <w:pPr>
      <w:numPr>
        <w:ilvl w:val="2"/>
        <w:numId w:val="42"/>
      </w:numPr>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uiPriority w:val="99"/>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uiPriority w:val="99"/>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uiPriority w:val="99"/>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link w:val="CommentTextChar"/>
    <w:uiPriority w:val="99"/>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character" w:customStyle="1" w:styleId="FootnoteTextChar">
    <w:name w:val="Footnote Text Char"/>
    <w:link w:val="FootnoteText"/>
    <w:uiPriority w:val="99"/>
    <w:semiHidden/>
    <w:rsid w:val="00223045"/>
    <w:rPr>
      <w:rFonts w:ascii="Book Antiqua" w:hAnsi="Book Antiqua"/>
      <w:sz w:val="18"/>
      <w:szCs w:val="24"/>
      <w:lang w:eastAsia="en-US"/>
    </w:rPr>
  </w:style>
  <w:style w:type="character" w:styleId="Emphasis">
    <w:name w:val="Emphasis"/>
    <w:uiPriority w:val="20"/>
    <w:qFormat/>
    <w:rsid w:val="007F0A35"/>
    <w:rPr>
      <w:i/>
      <w:iCs/>
    </w:rPr>
  </w:style>
  <w:style w:type="character" w:customStyle="1" w:styleId="CommentTextChar">
    <w:name w:val="Comment Text Char"/>
    <w:link w:val="CommentText"/>
    <w:uiPriority w:val="99"/>
    <w:semiHidden/>
    <w:rsid w:val="0068222E"/>
    <w:rPr>
      <w:rFonts w:ascii="Book Antiqua" w:hAnsi="Book Antiqua"/>
      <w:lang w:eastAsia="en-US"/>
    </w:rPr>
  </w:style>
  <w:style w:type="paragraph" w:customStyle="1" w:styleId="SecurityClassificationHeader">
    <w:name w:val="Security Classification Header"/>
    <w:link w:val="SecurityClassificationHeaderChar"/>
    <w:rsid w:val="00C672E4"/>
    <w:pPr>
      <w:spacing w:after="240"/>
      <w:jc w:val="center"/>
    </w:pPr>
    <w:rPr>
      <w:rFonts w:ascii="Tahoma" w:hAnsi="Tahoma"/>
      <w:b/>
      <w:caps/>
      <w:sz w:val="24"/>
      <w:szCs w:val="24"/>
      <w:lang w:eastAsia="en-US"/>
    </w:rPr>
  </w:style>
  <w:style w:type="character" w:customStyle="1" w:styleId="SecurityClassificationHeaderChar">
    <w:name w:val="Security Classification Header Char"/>
    <w:basedOn w:val="HeaderChar"/>
    <w:link w:val="SecurityClassificationHeader"/>
    <w:rsid w:val="00C672E4"/>
    <w:rPr>
      <w:rFonts w:ascii="Tahoma" w:hAnsi="Tahoma"/>
      <w:b/>
      <w:caps/>
      <w:sz w:val="24"/>
      <w:szCs w:val="24"/>
      <w:lang w:eastAsia="en-US"/>
    </w:rPr>
  </w:style>
  <w:style w:type="paragraph" w:customStyle="1" w:styleId="SecurityClassificationFooter">
    <w:name w:val="Security Classification Footer"/>
    <w:link w:val="SecurityClassificationFooterChar"/>
    <w:rsid w:val="00C672E4"/>
    <w:pPr>
      <w:spacing w:before="240"/>
      <w:jc w:val="center"/>
    </w:pPr>
    <w:rPr>
      <w:rFonts w:ascii="Tahoma" w:hAnsi="Tahoma"/>
      <w:b/>
      <w:caps/>
      <w:sz w:val="24"/>
      <w:szCs w:val="24"/>
      <w:lang w:eastAsia="en-US"/>
    </w:rPr>
  </w:style>
  <w:style w:type="character" w:customStyle="1" w:styleId="SecurityClassificationFooterChar">
    <w:name w:val="Security Classification Footer Char"/>
    <w:basedOn w:val="HeaderChar"/>
    <w:link w:val="SecurityClassificationFooter"/>
    <w:rsid w:val="00C672E4"/>
    <w:rPr>
      <w:rFonts w:ascii="Tahoma" w:hAnsi="Tahoma"/>
      <w:b/>
      <w:cap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45">
      <w:bodyDiv w:val="1"/>
      <w:marLeft w:val="0"/>
      <w:marRight w:val="0"/>
      <w:marTop w:val="0"/>
      <w:marBottom w:val="0"/>
      <w:divBdr>
        <w:top w:val="none" w:sz="0" w:space="0" w:color="auto"/>
        <w:left w:val="none" w:sz="0" w:space="0" w:color="auto"/>
        <w:bottom w:val="none" w:sz="0" w:space="0" w:color="auto"/>
        <w:right w:val="none" w:sz="0" w:space="0" w:color="auto"/>
      </w:divBdr>
    </w:div>
    <w:div w:id="45572165">
      <w:bodyDiv w:val="1"/>
      <w:marLeft w:val="0"/>
      <w:marRight w:val="0"/>
      <w:marTop w:val="0"/>
      <w:marBottom w:val="0"/>
      <w:divBdr>
        <w:top w:val="none" w:sz="0" w:space="0" w:color="auto"/>
        <w:left w:val="none" w:sz="0" w:space="0" w:color="auto"/>
        <w:bottom w:val="none" w:sz="0" w:space="0" w:color="auto"/>
        <w:right w:val="none" w:sz="0" w:space="0" w:color="auto"/>
      </w:divBdr>
    </w:div>
    <w:div w:id="71439013">
      <w:bodyDiv w:val="1"/>
      <w:marLeft w:val="0"/>
      <w:marRight w:val="0"/>
      <w:marTop w:val="0"/>
      <w:marBottom w:val="0"/>
      <w:divBdr>
        <w:top w:val="none" w:sz="0" w:space="0" w:color="auto"/>
        <w:left w:val="none" w:sz="0" w:space="0" w:color="auto"/>
        <w:bottom w:val="none" w:sz="0" w:space="0" w:color="auto"/>
        <w:right w:val="none" w:sz="0" w:space="0" w:color="auto"/>
      </w:divBdr>
    </w:div>
    <w:div w:id="82801437">
      <w:bodyDiv w:val="1"/>
      <w:marLeft w:val="0"/>
      <w:marRight w:val="0"/>
      <w:marTop w:val="0"/>
      <w:marBottom w:val="0"/>
      <w:divBdr>
        <w:top w:val="none" w:sz="0" w:space="0" w:color="auto"/>
        <w:left w:val="none" w:sz="0" w:space="0" w:color="auto"/>
        <w:bottom w:val="none" w:sz="0" w:space="0" w:color="auto"/>
        <w:right w:val="none" w:sz="0" w:space="0" w:color="auto"/>
      </w:divBdr>
    </w:div>
    <w:div w:id="104926234">
      <w:bodyDiv w:val="1"/>
      <w:marLeft w:val="0"/>
      <w:marRight w:val="0"/>
      <w:marTop w:val="0"/>
      <w:marBottom w:val="0"/>
      <w:divBdr>
        <w:top w:val="none" w:sz="0" w:space="0" w:color="auto"/>
        <w:left w:val="none" w:sz="0" w:space="0" w:color="auto"/>
        <w:bottom w:val="none" w:sz="0" w:space="0" w:color="auto"/>
        <w:right w:val="none" w:sz="0" w:space="0" w:color="auto"/>
      </w:divBdr>
    </w:div>
    <w:div w:id="109133066">
      <w:bodyDiv w:val="1"/>
      <w:marLeft w:val="0"/>
      <w:marRight w:val="0"/>
      <w:marTop w:val="0"/>
      <w:marBottom w:val="0"/>
      <w:divBdr>
        <w:top w:val="none" w:sz="0" w:space="0" w:color="auto"/>
        <w:left w:val="none" w:sz="0" w:space="0" w:color="auto"/>
        <w:bottom w:val="none" w:sz="0" w:space="0" w:color="auto"/>
        <w:right w:val="none" w:sz="0" w:space="0" w:color="auto"/>
      </w:divBdr>
    </w:div>
    <w:div w:id="134569407">
      <w:bodyDiv w:val="1"/>
      <w:marLeft w:val="0"/>
      <w:marRight w:val="0"/>
      <w:marTop w:val="0"/>
      <w:marBottom w:val="0"/>
      <w:divBdr>
        <w:top w:val="none" w:sz="0" w:space="0" w:color="auto"/>
        <w:left w:val="none" w:sz="0" w:space="0" w:color="auto"/>
        <w:bottom w:val="none" w:sz="0" w:space="0" w:color="auto"/>
        <w:right w:val="none" w:sz="0" w:space="0" w:color="auto"/>
      </w:divBdr>
    </w:div>
    <w:div w:id="136073614">
      <w:bodyDiv w:val="1"/>
      <w:marLeft w:val="0"/>
      <w:marRight w:val="0"/>
      <w:marTop w:val="0"/>
      <w:marBottom w:val="0"/>
      <w:divBdr>
        <w:top w:val="none" w:sz="0" w:space="0" w:color="auto"/>
        <w:left w:val="none" w:sz="0" w:space="0" w:color="auto"/>
        <w:bottom w:val="none" w:sz="0" w:space="0" w:color="auto"/>
        <w:right w:val="none" w:sz="0" w:space="0" w:color="auto"/>
      </w:divBdr>
    </w:div>
    <w:div w:id="226459535">
      <w:bodyDiv w:val="1"/>
      <w:marLeft w:val="0"/>
      <w:marRight w:val="0"/>
      <w:marTop w:val="0"/>
      <w:marBottom w:val="0"/>
      <w:divBdr>
        <w:top w:val="none" w:sz="0" w:space="0" w:color="auto"/>
        <w:left w:val="none" w:sz="0" w:space="0" w:color="auto"/>
        <w:bottom w:val="none" w:sz="0" w:space="0" w:color="auto"/>
        <w:right w:val="none" w:sz="0" w:space="0" w:color="auto"/>
      </w:divBdr>
    </w:div>
    <w:div w:id="241767038">
      <w:bodyDiv w:val="1"/>
      <w:marLeft w:val="0"/>
      <w:marRight w:val="0"/>
      <w:marTop w:val="0"/>
      <w:marBottom w:val="0"/>
      <w:divBdr>
        <w:top w:val="none" w:sz="0" w:space="0" w:color="auto"/>
        <w:left w:val="none" w:sz="0" w:space="0" w:color="auto"/>
        <w:bottom w:val="none" w:sz="0" w:space="0" w:color="auto"/>
        <w:right w:val="none" w:sz="0" w:space="0" w:color="auto"/>
      </w:divBdr>
    </w:div>
    <w:div w:id="244918012">
      <w:bodyDiv w:val="1"/>
      <w:marLeft w:val="0"/>
      <w:marRight w:val="0"/>
      <w:marTop w:val="0"/>
      <w:marBottom w:val="0"/>
      <w:divBdr>
        <w:top w:val="none" w:sz="0" w:space="0" w:color="auto"/>
        <w:left w:val="none" w:sz="0" w:space="0" w:color="auto"/>
        <w:bottom w:val="none" w:sz="0" w:space="0" w:color="auto"/>
        <w:right w:val="none" w:sz="0" w:space="0" w:color="auto"/>
      </w:divBdr>
    </w:div>
    <w:div w:id="322658127">
      <w:bodyDiv w:val="1"/>
      <w:marLeft w:val="0"/>
      <w:marRight w:val="0"/>
      <w:marTop w:val="0"/>
      <w:marBottom w:val="0"/>
      <w:divBdr>
        <w:top w:val="none" w:sz="0" w:space="0" w:color="auto"/>
        <w:left w:val="none" w:sz="0" w:space="0" w:color="auto"/>
        <w:bottom w:val="none" w:sz="0" w:space="0" w:color="auto"/>
        <w:right w:val="none" w:sz="0" w:space="0" w:color="auto"/>
      </w:divBdr>
    </w:div>
    <w:div w:id="386297414">
      <w:bodyDiv w:val="1"/>
      <w:marLeft w:val="30"/>
      <w:marRight w:val="30"/>
      <w:marTop w:val="0"/>
      <w:marBottom w:val="0"/>
      <w:divBdr>
        <w:top w:val="none" w:sz="0" w:space="0" w:color="auto"/>
        <w:left w:val="none" w:sz="0" w:space="0" w:color="auto"/>
        <w:bottom w:val="none" w:sz="0" w:space="0" w:color="auto"/>
        <w:right w:val="none" w:sz="0" w:space="0" w:color="auto"/>
      </w:divBdr>
      <w:divsChild>
        <w:div w:id="1259753094">
          <w:marLeft w:val="0"/>
          <w:marRight w:val="0"/>
          <w:marTop w:val="0"/>
          <w:marBottom w:val="0"/>
          <w:divBdr>
            <w:top w:val="none" w:sz="0" w:space="0" w:color="auto"/>
            <w:left w:val="none" w:sz="0" w:space="0" w:color="auto"/>
            <w:bottom w:val="none" w:sz="0" w:space="0" w:color="auto"/>
            <w:right w:val="none" w:sz="0" w:space="0" w:color="auto"/>
          </w:divBdr>
          <w:divsChild>
            <w:div w:id="2092505121">
              <w:marLeft w:val="0"/>
              <w:marRight w:val="0"/>
              <w:marTop w:val="0"/>
              <w:marBottom w:val="0"/>
              <w:divBdr>
                <w:top w:val="none" w:sz="0" w:space="0" w:color="auto"/>
                <w:left w:val="none" w:sz="0" w:space="0" w:color="auto"/>
                <w:bottom w:val="none" w:sz="0" w:space="0" w:color="auto"/>
                <w:right w:val="none" w:sz="0" w:space="0" w:color="auto"/>
              </w:divBdr>
              <w:divsChild>
                <w:div w:id="1786458409">
                  <w:marLeft w:val="180"/>
                  <w:marRight w:val="0"/>
                  <w:marTop w:val="0"/>
                  <w:marBottom w:val="0"/>
                  <w:divBdr>
                    <w:top w:val="none" w:sz="0" w:space="0" w:color="auto"/>
                    <w:left w:val="none" w:sz="0" w:space="0" w:color="auto"/>
                    <w:bottom w:val="none" w:sz="0" w:space="0" w:color="auto"/>
                    <w:right w:val="none" w:sz="0" w:space="0" w:color="auto"/>
                  </w:divBdr>
                  <w:divsChild>
                    <w:div w:id="1242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6199">
      <w:bodyDiv w:val="1"/>
      <w:marLeft w:val="0"/>
      <w:marRight w:val="0"/>
      <w:marTop w:val="0"/>
      <w:marBottom w:val="0"/>
      <w:divBdr>
        <w:top w:val="none" w:sz="0" w:space="0" w:color="auto"/>
        <w:left w:val="none" w:sz="0" w:space="0" w:color="auto"/>
        <w:bottom w:val="none" w:sz="0" w:space="0" w:color="auto"/>
        <w:right w:val="none" w:sz="0" w:space="0" w:color="auto"/>
      </w:divBdr>
    </w:div>
    <w:div w:id="450981573">
      <w:bodyDiv w:val="1"/>
      <w:marLeft w:val="0"/>
      <w:marRight w:val="0"/>
      <w:marTop w:val="0"/>
      <w:marBottom w:val="0"/>
      <w:divBdr>
        <w:top w:val="none" w:sz="0" w:space="0" w:color="auto"/>
        <w:left w:val="none" w:sz="0" w:space="0" w:color="auto"/>
        <w:bottom w:val="none" w:sz="0" w:space="0" w:color="auto"/>
        <w:right w:val="none" w:sz="0" w:space="0" w:color="auto"/>
      </w:divBdr>
    </w:div>
    <w:div w:id="456487533">
      <w:bodyDiv w:val="1"/>
      <w:marLeft w:val="0"/>
      <w:marRight w:val="0"/>
      <w:marTop w:val="0"/>
      <w:marBottom w:val="0"/>
      <w:divBdr>
        <w:top w:val="none" w:sz="0" w:space="0" w:color="auto"/>
        <w:left w:val="none" w:sz="0" w:space="0" w:color="auto"/>
        <w:bottom w:val="none" w:sz="0" w:space="0" w:color="auto"/>
        <w:right w:val="none" w:sz="0" w:space="0" w:color="auto"/>
      </w:divBdr>
    </w:div>
    <w:div w:id="505631887">
      <w:bodyDiv w:val="1"/>
      <w:marLeft w:val="0"/>
      <w:marRight w:val="0"/>
      <w:marTop w:val="0"/>
      <w:marBottom w:val="0"/>
      <w:divBdr>
        <w:top w:val="none" w:sz="0" w:space="0" w:color="auto"/>
        <w:left w:val="none" w:sz="0" w:space="0" w:color="auto"/>
        <w:bottom w:val="none" w:sz="0" w:space="0" w:color="auto"/>
        <w:right w:val="none" w:sz="0" w:space="0" w:color="auto"/>
      </w:divBdr>
    </w:div>
    <w:div w:id="524900413">
      <w:bodyDiv w:val="1"/>
      <w:marLeft w:val="0"/>
      <w:marRight w:val="0"/>
      <w:marTop w:val="0"/>
      <w:marBottom w:val="0"/>
      <w:divBdr>
        <w:top w:val="none" w:sz="0" w:space="0" w:color="auto"/>
        <w:left w:val="none" w:sz="0" w:space="0" w:color="auto"/>
        <w:bottom w:val="none" w:sz="0" w:space="0" w:color="auto"/>
        <w:right w:val="none" w:sz="0" w:space="0" w:color="auto"/>
      </w:divBdr>
    </w:div>
    <w:div w:id="527766693">
      <w:bodyDiv w:val="1"/>
      <w:marLeft w:val="0"/>
      <w:marRight w:val="0"/>
      <w:marTop w:val="0"/>
      <w:marBottom w:val="0"/>
      <w:divBdr>
        <w:top w:val="none" w:sz="0" w:space="0" w:color="auto"/>
        <w:left w:val="none" w:sz="0" w:space="0" w:color="auto"/>
        <w:bottom w:val="none" w:sz="0" w:space="0" w:color="auto"/>
        <w:right w:val="none" w:sz="0" w:space="0" w:color="auto"/>
      </w:divBdr>
    </w:div>
    <w:div w:id="616257216">
      <w:bodyDiv w:val="1"/>
      <w:marLeft w:val="0"/>
      <w:marRight w:val="0"/>
      <w:marTop w:val="0"/>
      <w:marBottom w:val="0"/>
      <w:divBdr>
        <w:top w:val="none" w:sz="0" w:space="0" w:color="auto"/>
        <w:left w:val="none" w:sz="0" w:space="0" w:color="auto"/>
        <w:bottom w:val="none" w:sz="0" w:space="0" w:color="auto"/>
        <w:right w:val="none" w:sz="0" w:space="0" w:color="auto"/>
      </w:divBdr>
    </w:div>
    <w:div w:id="639185883">
      <w:bodyDiv w:val="1"/>
      <w:marLeft w:val="0"/>
      <w:marRight w:val="0"/>
      <w:marTop w:val="0"/>
      <w:marBottom w:val="0"/>
      <w:divBdr>
        <w:top w:val="none" w:sz="0" w:space="0" w:color="auto"/>
        <w:left w:val="none" w:sz="0" w:space="0" w:color="auto"/>
        <w:bottom w:val="none" w:sz="0" w:space="0" w:color="auto"/>
        <w:right w:val="none" w:sz="0" w:space="0" w:color="auto"/>
      </w:divBdr>
    </w:div>
    <w:div w:id="645398907">
      <w:bodyDiv w:val="1"/>
      <w:marLeft w:val="0"/>
      <w:marRight w:val="0"/>
      <w:marTop w:val="0"/>
      <w:marBottom w:val="0"/>
      <w:divBdr>
        <w:top w:val="none" w:sz="0" w:space="0" w:color="auto"/>
        <w:left w:val="none" w:sz="0" w:space="0" w:color="auto"/>
        <w:bottom w:val="none" w:sz="0" w:space="0" w:color="auto"/>
        <w:right w:val="none" w:sz="0" w:space="0" w:color="auto"/>
      </w:divBdr>
    </w:div>
    <w:div w:id="750739089">
      <w:bodyDiv w:val="1"/>
      <w:marLeft w:val="0"/>
      <w:marRight w:val="0"/>
      <w:marTop w:val="0"/>
      <w:marBottom w:val="0"/>
      <w:divBdr>
        <w:top w:val="none" w:sz="0" w:space="0" w:color="auto"/>
        <w:left w:val="none" w:sz="0" w:space="0" w:color="auto"/>
        <w:bottom w:val="none" w:sz="0" w:space="0" w:color="auto"/>
        <w:right w:val="none" w:sz="0" w:space="0" w:color="auto"/>
      </w:divBdr>
      <w:divsChild>
        <w:div w:id="462385198">
          <w:marLeft w:val="0"/>
          <w:marRight w:val="0"/>
          <w:marTop w:val="0"/>
          <w:marBottom w:val="0"/>
          <w:divBdr>
            <w:top w:val="none" w:sz="0" w:space="0" w:color="auto"/>
            <w:left w:val="none" w:sz="0" w:space="0" w:color="auto"/>
            <w:bottom w:val="none" w:sz="0" w:space="0" w:color="auto"/>
            <w:right w:val="none" w:sz="0" w:space="0" w:color="auto"/>
          </w:divBdr>
        </w:div>
        <w:div w:id="829443472">
          <w:marLeft w:val="0"/>
          <w:marRight w:val="0"/>
          <w:marTop w:val="0"/>
          <w:marBottom w:val="0"/>
          <w:divBdr>
            <w:top w:val="none" w:sz="0" w:space="0" w:color="auto"/>
            <w:left w:val="none" w:sz="0" w:space="0" w:color="auto"/>
            <w:bottom w:val="none" w:sz="0" w:space="0" w:color="auto"/>
            <w:right w:val="none" w:sz="0" w:space="0" w:color="auto"/>
          </w:divBdr>
        </w:div>
        <w:div w:id="1280062580">
          <w:marLeft w:val="0"/>
          <w:marRight w:val="0"/>
          <w:marTop w:val="0"/>
          <w:marBottom w:val="0"/>
          <w:divBdr>
            <w:top w:val="none" w:sz="0" w:space="0" w:color="auto"/>
            <w:left w:val="none" w:sz="0" w:space="0" w:color="auto"/>
            <w:bottom w:val="none" w:sz="0" w:space="0" w:color="auto"/>
            <w:right w:val="none" w:sz="0" w:space="0" w:color="auto"/>
          </w:divBdr>
        </w:div>
        <w:div w:id="1676033566">
          <w:marLeft w:val="0"/>
          <w:marRight w:val="0"/>
          <w:marTop w:val="0"/>
          <w:marBottom w:val="0"/>
          <w:divBdr>
            <w:top w:val="none" w:sz="0" w:space="0" w:color="auto"/>
            <w:left w:val="none" w:sz="0" w:space="0" w:color="auto"/>
            <w:bottom w:val="none" w:sz="0" w:space="0" w:color="auto"/>
            <w:right w:val="none" w:sz="0" w:space="0" w:color="auto"/>
          </w:divBdr>
        </w:div>
        <w:div w:id="1688406028">
          <w:marLeft w:val="0"/>
          <w:marRight w:val="0"/>
          <w:marTop w:val="0"/>
          <w:marBottom w:val="0"/>
          <w:divBdr>
            <w:top w:val="none" w:sz="0" w:space="0" w:color="auto"/>
            <w:left w:val="none" w:sz="0" w:space="0" w:color="auto"/>
            <w:bottom w:val="none" w:sz="0" w:space="0" w:color="auto"/>
            <w:right w:val="none" w:sz="0" w:space="0" w:color="auto"/>
          </w:divBdr>
        </w:div>
      </w:divsChild>
    </w:div>
    <w:div w:id="784276412">
      <w:bodyDiv w:val="1"/>
      <w:marLeft w:val="30"/>
      <w:marRight w:val="30"/>
      <w:marTop w:val="0"/>
      <w:marBottom w:val="0"/>
      <w:divBdr>
        <w:top w:val="none" w:sz="0" w:space="0" w:color="auto"/>
        <w:left w:val="none" w:sz="0" w:space="0" w:color="auto"/>
        <w:bottom w:val="none" w:sz="0" w:space="0" w:color="auto"/>
        <w:right w:val="none" w:sz="0" w:space="0" w:color="auto"/>
      </w:divBdr>
      <w:divsChild>
        <w:div w:id="1559826564">
          <w:marLeft w:val="0"/>
          <w:marRight w:val="0"/>
          <w:marTop w:val="0"/>
          <w:marBottom w:val="0"/>
          <w:divBdr>
            <w:top w:val="none" w:sz="0" w:space="0" w:color="auto"/>
            <w:left w:val="none" w:sz="0" w:space="0" w:color="auto"/>
            <w:bottom w:val="none" w:sz="0" w:space="0" w:color="auto"/>
            <w:right w:val="none" w:sz="0" w:space="0" w:color="auto"/>
          </w:divBdr>
          <w:divsChild>
            <w:div w:id="1704477303">
              <w:marLeft w:val="0"/>
              <w:marRight w:val="0"/>
              <w:marTop w:val="0"/>
              <w:marBottom w:val="0"/>
              <w:divBdr>
                <w:top w:val="none" w:sz="0" w:space="0" w:color="auto"/>
                <w:left w:val="none" w:sz="0" w:space="0" w:color="auto"/>
                <w:bottom w:val="none" w:sz="0" w:space="0" w:color="auto"/>
                <w:right w:val="none" w:sz="0" w:space="0" w:color="auto"/>
              </w:divBdr>
              <w:divsChild>
                <w:div w:id="536892995">
                  <w:marLeft w:val="180"/>
                  <w:marRight w:val="0"/>
                  <w:marTop w:val="0"/>
                  <w:marBottom w:val="0"/>
                  <w:divBdr>
                    <w:top w:val="none" w:sz="0" w:space="0" w:color="auto"/>
                    <w:left w:val="none" w:sz="0" w:space="0" w:color="auto"/>
                    <w:bottom w:val="none" w:sz="0" w:space="0" w:color="auto"/>
                    <w:right w:val="none" w:sz="0" w:space="0" w:color="auto"/>
                  </w:divBdr>
                  <w:divsChild>
                    <w:div w:id="11230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8555">
      <w:bodyDiv w:val="1"/>
      <w:marLeft w:val="0"/>
      <w:marRight w:val="0"/>
      <w:marTop w:val="0"/>
      <w:marBottom w:val="0"/>
      <w:divBdr>
        <w:top w:val="none" w:sz="0" w:space="0" w:color="auto"/>
        <w:left w:val="none" w:sz="0" w:space="0" w:color="auto"/>
        <w:bottom w:val="none" w:sz="0" w:space="0" w:color="auto"/>
        <w:right w:val="none" w:sz="0" w:space="0" w:color="auto"/>
      </w:divBdr>
    </w:div>
    <w:div w:id="820999527">
      <w:bodyDiv w:val="1"/>
      <w:marLeft w:val="0"/>
      <w:marRight w:val="0"/>
      <w:marTop w:val="0"/>
      <w:marBottom w:val="0"/>
      <w:divBdr>
        <w:top w:val="none" w:sz="0" w:space="0" w:color="auto"/>
        <w:left w:val="none" w:sz="0" w:space="0" w:color="auto"/>
        <w:bottom w:val="none" w:sz="0" w:space="0" w:color="auto"/>
        <w:right w:val="none" w:sz="0" w:space="0" w:color="auto"/>
      </w:divBdr>
    </w:div>
    <w:div w:id="831335988">
      <w:bodyDiv w:val="1"/>
      <w:marLeft w:val="0"/>
      <w:marRight w:val="0"/>
      <w:marTop w:val="0"/>
      <w:marBottom w:val="0"/>
      <w:divBdr>
        <w:top w:val="none" w:sz="0" w:space="0" w:color="auto"/>
        <w:left w:val="none" w:sz="0" w:space="0" w:color="auto"/>
        <w:bottom w:val="none" w:sz="0" w:space="0" w:color="auto"/>
        <w:right w:val="none" w:sz="0" w:space="0" w:color="auto"/>
      </w:divBdr>
    </w:div>
    <w:div w:id="832335391">
      <w:bodyDiv w:val="1"/>
      <w:marLeft w:val="0"/>
      <w:marRight w:val="0"/>
      <w:marTop w:val="0"/>
      <w:marBottom w:val="0"/>
      <w:divBdr>
        <w:top w:val="none" w:sz="0" w:space="0" w:color="auto"/>
        <w:left w:val="none" w:sz="0" w:space="0" w:color="auto"/>
        <w:bottom w:val="none" w:sz="0" w:space="0" w:color="auto"/>
        <w:right w:val="none" w:sz="0" w:space="0" w:color="auto"/>
      </w:divBdr>
    </w:div>
    <w:div w:id="869076199">
      <w:bodyDiv w:val="1"/>
      <w:marLeft w:val="0"/>
      <w:marRight w:val="0"/>
      <w:marTop w:val="0"/>
      <w:marBottom w:val="0"/>
      <w:divBdr>
        <w:top w:val="none" w:sz="0" w:space="0" w:color="auto"/>
        <w:left w:val="none" w:sz="0" w:space="0" w:color="auto"/>
        <w:bottom w:val="none" w:sz="0" w:space="0" w:color="auto"/>
        <w:right w:val="none" w:sz="0" w:space="0" w:color="auto"/>
      </w:divBdr>
    </w:div>
    <w:div w:id="871917251">
      <w:bodyDiv w:val="1"/>
      <w:marLeft w:val="0"/>
      <w:marRight w:val="0"/>
      <w:marTop w:val="0"/>
      <w:marBottom w:val="0"/>
      <w:divBdr>
        <w:top w:val="none" w:sz="0" w:space="0" w:color="auto"/>
        <w:left w:val="none" w:sz="0" w:space="0" w:color="auto"/>
        <w:bottom w:val="none" w:sz="0" w:space="0" w:color="auto"/>
        <w:right w:val="none" w:sz="0" w:space="0" w:color="auto"/>
      </w:divBdr>
    </w:div>
    <w:div w:id="929236452">
      <w:bodyDiv w:val="1"/>
      <w:marLeft w:val="0"/>
      <w:marRight w:val="0"/>
      <w:marTop w:val="0"/>
      <w:marBottom w:val="0"/>
      <w:divBdr>
        <w:top w:val="none" w:sz="0" w:space="0" w:color="auto"/>
        <w:left w:val="none" w:sz="0" w:space="0" w:color="auto"/>
        <w:bottom w:val="none" w:sz="0" w:space="0" w:color="auto"/>
        <w:right w:val="none" w:sz="0" w:space="0" w:color="auto"/>
      </w:divBdr>
    </w:div>
    <w:div w:id="988171256">
      <w:bodyDiv w:val="1"/>
      <w:marLeft w:val="0"/>
      <w:marRight w:val="0"/>
      <w:marTop w:val="0"/>
      <w:marBottom w:val="0"/>
      <w:divBdr>
        <w:top w:val="none" w:sz="0" w:space="0" w:color="auto"/>
        <w:left w:val="none" w:sz="0" w:space="0" w:color="auto"/>
        <w:bottom w:val="none" w:sz="0" w:space="0" w:color="auto"/>
        <w:right w:val="none" w:sz="0" w:space="0" w:color="auto"/>
      </w:divBdr>
    </w:div>
    <w:div w:id="999121518">
      <w:bodyDiv w:val="1"/>
      <w:marLeft w:val="0"/>
      <w:marRight w:val="0"/>
      <w:marTop w:val="0"/>
      <w:marBottom w:val="0"/>
      <w:divBdr>
        <w:top w:val="none" w:sz="0" w:space="0" w:color="auto"/>
        <w:left w:val="none" w:sz="0" w:space="0" w:color="auto"/>
        <w:bottom w:val="none" w:sz="0" w:space="0" w:color="auto"/>
        <w:right w:val="none" w:sz="0" w:space="0" w:color="auto"/>
      </w:divBdr>
    </w:div>
    <w:div w:id="1035273250">
      <w:bodyDiv w:val="1"/>
      <w:marLeft w:val="0"/>
      <w:marRight w:val="0"/>
      <w:marTop w:val="0"/>
      <w:marBottom w:val="0"/>
      <w:divBdr>
        <w:top w:val="none" w:sz="0" w:space="0" w:color="auto"/>
        <w:left w:val="none" w:sz="0" w:space="0" w:color="auto"/>
        <w:bottom w:val="none" w:sz="0" w:space="0" w:color="auto"/>
        <w:right w:val="none" w:sz="0" w:space="0" w:color="auto"/>
      </w:divBdr>
      <w:divsChild>
        <w:div w:id="1663311328">
          <w:marLeft w:val="0"/>
          <w:marRight w:val="0"/>
          <w:marTop w:val="0"/>
          <w:marBottom w:val="0"/>
          <w:divBdr>
            <w:top w:val="none" w:sz="0" w:space="0" w:color="auto"/>
            <w:left w:val="none" w:sz="0" w:space="0" w:color="auto"/>
            <w:bottom w:val="none" w:sz="0" w:space="0" w:color="auto"/>
            <w:right w:val="none" w:sz="0" w:space="0" w:color="auto"/>
          </w:divBdr>
          <w:divsChild>
            <w:div w:id="10439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79">
      <w:bodyDiv w:val="1"/>
      <w:marLeft w:val="0"/>
      <w:marRight w:val="0"/>
      <w:marTop w:val="0"/>
      <w:marBottom w:val="0"/>
      <w:divBdr>
        <w:top w:val="none" w:sz="0" w:space="0" w:color="auto"/>
        <w:left w:val="none" w:sz="0" w:space="0" w:color="auto"/>
        <w:bottom w:val="none" w:sz="0" w:space="0" w:color="auto"/>
        <w:right w:val="none" w:sz="0" w:space="0" w:color="auto"/>
      </w:divBdr>
    </w:div>
    <w:div w:id="1206331885">
      <w:bodyDiv w:val="1"/>
      <w:marLeft w:val="0"/>
      <w:marRight w:val="0"/>
      <w:marTop w:val="0"/>
      <w:marBottom w:val="0"/>
      <w:divBdr>
        <w:top w:val="none" w:sz="0" w:space="0" w:color="auto"/>
        <w:left w:val="none" w:sz="0" w:space="0" w:color="auto"/>
        <w:bottom w:val="none" w:sz="0" w:space="0" w:color="auto"/>
        <w:right w:val="none" w:sz="0" w:space="0" w:color="auto"/>
      </w:divBdr>
    </w:div>
    <w:div w:id="1257906615">
      <w:bodyDiv w:val="1"/>
      <w:marLeft w:val="0"/>
      <w:marRight w:val="0"/>
      <w:marTop w:val="0"/>
      <w:marBottom w:val="0"/>
      <w:divBdr>
        <w:top w:val="none" w:sz="0" w:space="0" w:color="auto"/>
        <w:left w:val="none" w:sz="0" w:space="0" w:color="auto"/>
        <w:bottom w:val="none" w:sz="0" w:space="0" w:color="auto"/>
        <w:right w:val="none" w:sz="0" w:space="0" w:color="auto"/>
      </w:divBdr>
    </w:div>
    <w:div w:id="1281961415">
      <w:bodyDiv w:val="1"/>
      <w:marLeft w:val="0"/>
      <w:marRight w:val="0"/>
      <w:marTop w:val="0"/>
      <w:marBottom w:val="0"/>
      <w:divBdr>
        <w:top w:val="none" w:sz="0" w:space="0" w:color="auto"/>
        <w:left w:val="none" w:sz="0" w:space="0" w:color="auto"/>
        <w:bottom w:val="none" w:sz="0" w:space="0" w:color="auto"/>
        <w:right w:val="none" w:sz="0" w:space="0" w:color="auto"/>
      </w:divBdr>
    </w:div>
    <w:div w:id="1406337999">
      <w:bodyDiv w:val="1"/>
      <w:marLeft w:val="0"/>
      <w:marRight w:val="0"/>
      <w:marTop w:val="0"/>
      <w:marBottom w:val="0"/>
      <w:divBdr>
        <w:top w:val="none" w:sz="0" w:space="0" w:color="auto"/>
        <w:left w:val="none" w:sz="0" w:space="0" w:color="auto"/>
        <w:bottom w:val="none" w:sz="0" w:space="0" w:color="auto"/>
        <w:right w:val="none" w:sz="0" w:space="0" w:color="auto"/>
      </w:divBdr>
    </w:div>
    <w:div w:id="1423137705">
      <w:bodyDiv w:val="1"/>
      <w:marLeft w:val="0"/>
      <w:marRight w:val="0"/>
      <w:marTop w:val="0"/>
      <w:marBottom w:val="0"/>
      <w:divBdr>
        <w:top w:val="none" w:sz="0" w:space="0" w:color="auto"/>
        <w:left w:val="none" w:sz="0" w:space="0" w:color="auto"/>
        <w:bottom w:val="none" w:sz="0" w:space="0" w:color="auto"/>
        <w:right w:val="none" w:sz="0" w:space="0" w:color="auto"/>
      </w:divBdr>
    </w:div>
    <w:div w:id="1445728110">
      <w:bodyDiv w:val="1"/>
      <w:marLeft w:val="0"/>
      <w:marRight w:val="0"/>
      <w:marTop w:val="0"/>
      <w:marBottom w:val="0"/>
      <w:divBdr>
        <w:top w:val="none" w:sz="0" w:space="0" w:color="auto"/>
        <w:left w:val="none" w:sz="0" w:space="0" w:color="auto"/>
        <w:bottom w:val="none" w:sz="0" w:space="0" w:color="auto"/>
        <w:right w:val="none" w:sz="0" w:space="0" w:color="auto"/>
      </w:divBdr>
    </w:div>
    <w:div w:id="1447965249">
      <w:bodyDiv w:val="1"/>
      <w:marLeft w:val="0"/>
      <w:marRight w:val="0"/>
      <w:marTop w:val="0"/>
      <w:marBottom w:val="0"/>
      <w:divBdr>
        <w:top w:val="none" w:sz="0" w:space="0" w:color="auto"/>
        <w:left w:val="none" w:sz="0" w:space="0" w:color="auto"/>
        <w:bottom w:val="none" w:sz="0" w:space="0" w:color="auto"/>
        <w:right w:val="none" w:sz="0" w:space="0" w:color="auto"/>
      </w:divBdr>
    </w:div>
    <w:div w:id="1469398833">
      <w:bodyDiv w:val="1"/>
      <w:marLeft w:val="0"/>
      <w:marRight w:val="0"/>
      <w:marTop w:val="0"/>
      <w:marBottom w:val="0"/>
      <w:divBdr>
        <w:top w:val="none" w:sz="0" w:space="0" w:color="auto"/>
        <w:left w:val="none" w:sz="0" w:space="0" w:color="auto"/>
        <w:bottom w:val="none" w:sz="0" w:space="0" w:color="auto"/>
        <w:right w:val="none" w:sz="0" w:space="0" w:color="auto"/>
      </w:divBdr>
    </w:div>
    <w:div w:id="1481994644">
      <w:bodyDiv w:val="1"/>
      <w:marLeft w:val="0"/>
      <w:marRight w:val="0"/>
      <w:marTop w:val="0"/>
      <w:marBottom w:val="0"/>
      <w:divBdr>
        <w:top w:val="none" w:sz="0" w:space="0" w:color="auto"/>
        <w:left w:val="none" w:sz="0" w:space="0" w:color="auto"/>
        <w:bottom w:val="none" w:sz="0" w:space="0" w:color="auto"/>
        <w:right w:val="none" w:sz="0" w:space="0" w:color="auto"/>
      </w:divBdr>
    </w:div>
    <w:div w:id="1551841787">
      <w:bodyDiv w:val="1"/>
      <w:marLeft w:val="0"/>
      <w:marRight w:val="0"/>
      <w:marTop w:val="0"/>
      <w:marBottom w:val="0"/>
      <w:divBdr>
        <w:top w:val="none" w:sz="0" w:space="0" w:color="auto"/>
        <w:left w:val="none" w:sz="0" w:space="0" w:color="auto"/>
        <w:bottom w:val="none" w:sz="0" w:space="0" w:color="auto"/>
        <w:right w:val="none" w:sz="0" w:space="0" w:color="auto"/>
      </w:divBdr>
    </w:div>
    <w:div w:id="1666978221">
      <w:bodyDiv w:val="1"/>
      <w:marLeft w:val="0"/>
      <w:marRight w:val="0"/>
      <w:marTop w:val="0"/>
      <w:marBottom w:val="0"/>
      <w:divBdr>
        <w:top w:val="none" w:sz="0" w:space="0" w:color="auto"/>
        <w:left w:val="none" w:sz="0" w:space="0" w:color="auto"/>
        <w:bottom w:val="none" w:sz="0" w:space="0" w:color="auto"/>
        <w:right w:val="none" w:sz="0" w:space="0" w:color="auto"/>
      </w:divBdr>
    </w:div>
    <w:div w:id="1738436864">
      <w:bodyDiv w:val="1"/>
      <w:marLeft w:val="0"/>
      <w:marRight w:val="0"/>
      <w:marTop w:val="0"/>
      <w:marBottom w:val="0"/>
      <w:divBdr>
        <w:top w:val="none" w:sz="0" w:space="0" w:color="auto"/>
        <w:left w:val="none" w:sz="0" w:space="0" w:color="auto"/>
        <w:bottom w:val="none" w:sz="0" w:space="0" w:color="auto"/>
        <w:right w:val="none" w:sz="0" w:space="0" w:color="auto"/>
      </w:divBdr>
    </w:div>
    <w:div w:id="1744326870">
      <w:bodyDiv w:val="1"/>
      <w:marLeft w:val="0"/>
      <w:marRight w:val="0"/>
      <w:marTop w:val="0"/>
      <w:marBottom w:val="0"/>
      <w:divBdr>
        <w:top w:val="none" w:sz="0" w:space="0" w:color="auto"/>
        <w:left w:val="none" w:sz="0" w:space="0" w:color="auto"/>
        <w:bottom w:val="none" w:sz="0" w:space="0" w:color="auto"/>
        <w:right w:val="none" w:sz="0" w:space="0" w:color="auto"/>
      </w:divBdr>
    </w:div>
    <w:div w:id="1754426475">
      <w:bodyDiv w:val="1"/>
      <w:marLeft w:val="0"/>
      <w:marRight w:val="0"/>
      <w:marTop w:val="0"/>
      <w:marBottom w:val="0"/>
      <w:divBdr>
        <w:top w:val="none" w:sz="0" w:space="0" w:color="auto"/>
        <w:left w:val="none" w:sz="0" w:space="0" w:color="auto"/>
        <w:bottom w:val="none" w:sz="0" w:space="0" w:color="auto"/>
        <w:right w:val="none" w:sz="0" w:space="0" w:color="auto"/>
      </w:divBdr>
    </w:div>
    <w:div w:id="1844514952">
      <w:bodyDiv w:val="1"/>
      <w:marLeft w:val="0"/>
      <w:marRight w:val="0"/>
      <w:marTop w:val="0"/>
      <w:marBottom w:val="0"/>
      <w:divBdr>
        <w:top w:val="none" w:sz="0" w:space="0" w:color="auto"/>
        <w:left w:val="none" w:sz="0" w:space="0" w:color="auto"/>
        <w:bottom w:val="none" w:sz="0" w:space="0" w:color="auto"/>
        <w:right w:val="none" w:sz="0" w:space="0" w:color="auto"/>
      </w:divBdr>
    </w:div>
    <w:div w:id="1845777721">
      <w:bodyDiv w:val="1"/>
      <w:marLeft w:val="0"/>
      <w:marRight w:val="0"/>
      <w:marTop w:val="0"/>
      <w:marBottom w:val="0"/>
      <w:divBdr>
        <w:top w:val="none" w:sz="0" w:space="0" w:color="auto"/>
        <w:left w:val="none" w:sz="0" w:space="0" w:color="auto"/>
        <w:bottom w:val="none" w:sz="0" w:space="0" w:color="auto"/>
        <w:right w:val="none" w:sz="0" w:space="0" w:color="auto"/>
      </w:divBdr>
    </w:div>
    <w:div w:id="1928538861">
      <w:bodyDiv w:val="1"/>
      <w:marLeft w:val="0"/>
      <w:marRight w:val="0"/>
      <w:marTop w:val="0"/>
      <w:marBottom w:val="0"/>
      <w:divBdr>
        <w:top w:val="none" w:sz="0" w:space="0" w:color="auto"/>
        <w:left w:val="none" w:sz="0" w:space="0" w:color="auto"/>
        <w:bottom w:val="none" w:sz="0" w:space="0" w:color="auto"/>
        <w:right w:val="none" w:sz="0" w:space="0" w:color="auto"/>
      </w:divBdr>
    </w:div>
    <w:div w:id="1931507204">
      <w:bodyDiv w:val="1"/>
      <w:marLeft w:val="0"/>
      <w:marRight w:val="0"/>
      <w:marTop w:val="0"/>
      <w:marBottom w:val="0"/>
      <w:divBdr>
        <w:top w:val="none" w:sz="0" w:space="0" w:color="auto"/>
        <w:left w:val="none" w:sz="0" w:space="0" w:color="auto"/>
        <w:bottom w:val="none" w:sz="0" w:space="0" w:color="auto"/>
        <w:right w:val="none" w:sz="0" w:space="0" w:color="auto"/>
      </w:divBdr>
    </w:div>
    <w:div w:id="2000234479">
      <w:bodyDiv w:val="1"/>
      <w:marLeft w:val="0"/>
      <w:marRight w:val="0"/>
      <w:marTop w:val="0"/>
      <w:marBottom w:val="0"/>
      <w:divBdr>
        <w:top w:val="none" w:sz="0" w:space="0" w:color="auto"/>
        <w:left w:val="none" w:sz="0" w:space="0" w:color="auto"/>
        <w:bottom w:val="none" w:sz="0" w:space="0" w:color="auto"/>
        <w:right w:val="none" w:sz="0" w:space="0" w:color="auto"/>
      </w:divBdr>
    </w:div>
    <w:div w:id="2008363460">
      <w:bodyDiv w:val="1"/>
      <w:marLeft w:val="0"/>
      <w:marRight w:val="0"/>
      <w:marTop w:val="0"/>
      <w:marBottom w:val="0"/>
      <w:divBdr>
        <w:top w:val="none" w:sz="0" w:space="0" w:color="auto"/>
        <w:left w:val="none" w:sz="0" w:space="0" w:color="auto"/>
        <w:bottom w:val="none" w:sz="0" w:space="0" w:color="auto"/>
        <w:right w:val="none" w:sz="0" w:space="0" w:color="auto"/>
      </w:divBdr>
    </w:div>
    <w:div w:id="2026861041">
      <w:bodyDiv w:val="1"/>
      <w:marLeft w:val="0"/>
      <w:marRight w:val="0"/>
      <w:marTop w:val="0"/>
      <w:marBottom w:val="0"/>
      <w:divBdr>
        <w:top w:val="none" w:sz="0" w:space="0" w:color="auto"/>
        <w:left w:val="none" w:sz="0" w:space="0" w:color="auto"/>
        <w:bottom w:val="none" w:sz="0" w:space="0" w:color="auto"/>
        <w:right w:val="none" w:sz="0" w:space="0" w:color="auto"/>
      </w:divBdr>
    </w:div>
    <w:div w:id="2096390105">
      <w:bodyDiv w:val="1"/>
      <w:marLeft w:val="0"/>
      <w:marRight w:val="0"/>
      <w:marTop w:val="0"/>
      <w:marBottom w:val="0"/>
      <w:divBdr>
        <w:top w:val="none" w:sz="0" w:space="0" w:color="auto"/>
        <w:left w:val="none" w:sz="0" w:space="0" w:color="auto"/>
        <w:bottom w:val="none" w:sz="0" w:space="0" w:color="auto"/>
        <w:right w:val="none" w:sz="0" w:space="0" w:color="auto"/>
      </w:divBdr>
    </w:div>
    <w:div w:id="21323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file:///\\romulus\ECD_PRO$\JEFG\NAFF\04%20Research%20and%20Analysis\Mining%20vs%20Non-Mining\NAFF%20Multisector%20mapping%20110921.xlsx!EM%20-%20Tables%20and%20Charts!R15C11:R20C18" TargetMode="External"/><Relationship Id="rId26" Type="http://schemas.openxmlformats.org/officeDocument/2006/relationships/image" Target="media/image6.emf"/><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image" Target="media/image14.emf"/><Relationship Id="rId42" Type="http://schemas.openxmlformats.org/officeDocument/2006/relationships/footer" Target="footer7.xml"/><Relationship Id="rId47" Type="http://schemas.openxmlformats.org/officeDocument/2006/relationships/footer" Target="footer10.xml"/><Relationship Id="rId50"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5.emf"/><Relationship Id="rId33" Type="http://schemas.openxmlformats.org/officeDocument/2006/relationships/image" Target="media/image13.emf"/><Relationship Id="rId38" Type="http://schemas.openxmlformats.org/officeDocument/2006/relationships/header" Target="header7.xml"/><Relationship Id="rId46"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oleObject" Target="file:///\\romulus\ECD_PRO$\JEFG\JEFG%20Reports\2011\September\JEFG%20small%20comparison%20tables.xlsx!JEFG%20(small)%20EM!R7C2:R31C21" TargetMode="External"/><Relationship Id="rId20" Type="http://schemas.openxmlformats.org/officeDocument/2006/relationships/oleObject" Target="file:///\\romulus\ECD_PRO$\JEFG\NAFF\Main%20Summary%20Tables.xlsm!JEFG!R9C2:R68C18" TargetMode="External"/><Relationship Id="rId29" Type="http://schemas.openxmlformats.org/officeDocument/2006/relationships/image" Target="media/image9.emf"/><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emf"/><Relationship Id="rId32" Type="http://schemas.openxmlformats.org/officeDocument/2006/relationships/image" Target="media/image12.emf"/><Relationship Id="rId37" Type="http://schemas.openxmlformats.org/officeDocument/2006/relationships/footer" Target="footer5.xml"/><Relationship Id="rId40" Type="http://schemas.openxmlformats.org/officeDocument/2006/relationships/image" Target="media/image16.emf"/><Relationship Id="rId45" Type="http://schemas.openxmlformats.org/officeDocument/2006/relationships/header" Target="header9.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oter" Target="footer4.xml"/><Relationship Id="rId28" Type="http://schemas.openxmlformats.org/officeDocument/2006/relationships/image" Target="media/image8.emf"/><Relationship Id="rId36" Type="http://schemas.openxmlformats.org/officeDocument/2006/relationships/header" Target="header6.xml"/><Relationship Id="rId49" Type="http://schemas.openxmlformats.org/officeDocument/2006/relationships/header" Target="header10.xml"/><Relationship Id="rId10" Type="http://schemas.openxmlformats.org/officeDocument/2006/relationships/header" Target="header2.xml"/><Relationship Id="rId19" Type="http://schemas.openxmlformats.org/officeDocument/2006/relationships/image" Target="media/image3.emf"/><Relationship Id="rId31" Type="http://schemas.openxmlformats.org/officeDocument/2006/relationships/image" Target="media/image11.emf"/><Relationship Id="rId44" Type="http://schemas.openxmlformats.org/officeDocument/2006/relationships/image" Target="media/image17.emf"/><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image" Target="media/image15.emf"/><Relationship Id="rId43" Type="http://schemas.openxmlformats.org/officeDocument/2006/relationships/footer" Target="footer8.xml"/><Relationship Id="rId48" Type="http://schemas.openxmlformats.org/officeDocument/2006/relationships/image" Target="media/image18.emf"/><Relationship Id="rId8" Type="http://schemas.openxmlformats.org/officeDocument/2006/relationships/endnotes" Target="endnotes.xml"/><Relationship Id="rId51"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7E02026-E416-4B07-B4F9-A11F3B9D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8216</Words>
  <Characters>46832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Joint Economic Forecasting Group Report - September 2011</vt:lpstr>
    </vt:vector>
  </TitlesOfParts>
  <Manager/>
  <Company/>
  <LinksUpToDate>false</LinksUpToDate>
  <CharactersWithSpaces>54939</CharactersWithSpaces>
  <SharedDoc>false</SharedDoc>
  <HLinks>
    <vt:vector size="78" baseType="variant">
      <vt:variant>
        <vt:i4>131155</vt:i4>
      </vt:variant>
      <vt:variant>
        <vt:i4>114</vt:i4>
      </vt:variant>
      <vt:variant>
        <vt:i4>0</vt:i4>
      </vt:variant>
      <vt:variant>
        <vt:i4>5</vt:i4>
      </vt:variant>
      <vt:variant>
        <vt:lpwstr>\\remus\indiv$\JEO\TRIM5\Offline Records (PO)\INTERNATIONAL ECONOMIC AFFAIRS - FORECASTING - JOINT ECONOMIC FORECASTING GROUP (JEFG) &amp; ~ 2010\DAT - World - GDP - IED - Forecasts - MYEFO Oct 09 final - RS - 091026.xls</vt:lpwstr>
      </vt:variant>
      <vt:variant>
        <vt:lpwstr/>
      </vt:variant>
      <vt:variant>
        <vt:i4>1507377</vt:i4>
      </vt:variant>
      <vt:variant>
        <vt:i4>68</vt:i4>
      </vt:variant>
      <vt:variant>
        <vt:i4>0</vt:i4>
      </vt:variant>
      <vt:variant>
        <vt:i4>5</vt:i4>
      </vt:variant>
      <vt:variant>
        <vt:lpwstr/>
      </vt:variant>
      <vt:variant>
        <vt:lpwstr>_Toc280363583</vt:lpwstr>
      </vt:variant>
      <vt:variant>
        <vt:i4>1507377</vt:i4>
      </vt:variant>
      <vt:variant>
        <vt:i4>62</vt:i4>
      </vt:variant>
      <vt:variant>
        <vt:i4>0</vt:i4>
      </vt:variant>
      <vt:variant>
        <vt:i4>5</vt:i4>
      </vt:variant>
      <vt:variant>
        <vt:lpwstr/>
      </vt:variant>
      <vt:variant>
        <vt:lpwstr>_Toc280363582</vt:lpwstr>
      </vt:variant>
      <vt:variant>
        <vt:i4>1507377</vt:i4>
      </vt:variant>
      <vt:variant>
        <vt:i4>56</vt:i4>
      </vt:variant>
      <vt:variant>
        <vt:i4>0</vt:i4>
      </vt:variant>
      <vt:variant>
        <vt:i4>5</vt:i4>
      </vt:variant>
      <vt:variant>
        <vt:lpwstr/>
      </vt:variant>
      <vt:variant>
        <vt:lpwstr>_Toc280363581</vt:lpwstr>
      </vt:variant>
      <vt:variant>
        <vt:i4>1507377</vt:i4>
      </vt:variant>
      <vt:variant>
        <vt:i4>50</vt:i4>
      </vt:variant>
      <vt:variant>
        <vt:i4>0</vt:i4>
      </vt:variant>
      <vt:variant>
        <vt:i4>5</vt:i4>
      </vt:variant>
      <vt:variant>
        <vt:lpwstr/>
      </vt:variant>
      <vt:variant>
        <vt:lpwstr>_Toc280363580</vt:lpwstr>
      </vt:variant>
      <vt:variant>
        <vt:i4>1572913</vt:i4>
      </vt:variant>
      <vt:variant>
        <vt:i4>44</vt:i4>
      </vt:variant>
      <vt:variant>
        <vt:i4>0</vt:i4>
      </vt:variant>
      <vt:variant>
        <vt:i4>5</vt:i4>
      </vt:variant>
      <vt:variant>
        <vt:lpwstr/>
      </vt:variant>
      <vt:variant>
        <vt:lpwstr>_Toc280363579</vt:lpwstr>
      </vt:variant>
      <vt:variant>
        <vt:i4>1572913</vt:i4>
      </vt:variant>
      <vt:variant>
        <vt:i4>38</vt:i4>
      </vt:variant>
      <vt:variant>
        <vt:i4>0</vt:i4>
      </vt:variant>
      <vt:variant>
        <vt:i4>5</vt:i4>
      </vt:variant>
      <vt:variant>
        <vt:lpwstr/>
      </vt:variant>
      <vt:variant>
        <vt:lpwstr>_Toc280363578</vt:lpwstr>
      </vt:variant>
      <vt:variant>
        <vt:i4>1572913</vt:i4>
      </vt:variant>
      <vt:variant>
        <vt:i4>32</vt:i4>
      </vt:variant>
      <vt:variant>
        <vt:i4>0</vt:i4>
      </vt:variant>
      <vt:variant>
        <vt:i4>5</vt:i4>
      </vt:variant>
      <vt:variant>
        <vt:lpwstr/>
      </vt:variant>
      <vt:variant>
        <vt:lpwstr>_Toc280363577</vt:lpwstr>
      </vt:variant>
      <vt:variant>
        <vt:i4>1572913</vt:i4>
      </vt:variant>
      <vt:variant>
        <vt:i4>26</vt:i4>
      </vt:variant>
      <vt:variant>
        <vt:i4>0</vt:i4>
      </vt:variant>
      <vt:variant>
        <vt:i4>5</vt:i4>
      </vt:variant>
      <vt:variant>
        <vt:lpwstr/>
      </vt:variant>
      <vt:variant>
        <vt:lpwstr>_Toc280363576</vt:lpwstr>
      </vt:variant>
      <vt:variant>
        <vt:i4>1572913</vt:i4>
      </vt:variant>
      <vt:variant>
        <vt:i4>20</vt:i4>
      </vt:variant>
      <vt:variant>
        <vt:i4>0</vt:i4>
      </vt:variant>
      <vt:variant>
        <vt:i4>5</vt:i4>
      </vt:variant>
      <vt:variant>
        <vt:lpwstr/>
      </vt:variant>
      <vt:variant>
        <vt:lpwstr>_Toc280363575</vt:lpwstr>
      </vt:variant>
      <vt:variant>
        <vt:i4>1572913</vt:i4>
      </vt:variant>
      <vt:variant>
        <vt:i4>14</vt:i4>
      </vt:variant>
      <vt:variant>
        <vt:i4>0</vt:i4>
      </vt:variant>
      <vt:variant>
        <vt:i4>5</vt:i4>
      </vt:variant>
      <vt:variant>
        <vt:lpwstr/>
      </vt:variant>
      <vt:variant>
        <vt:lpwstr>_Toc280363574</vt:lpwstr>
      </vt:variant>
      <vt:variant>
        <vt:i4>1572913</vt:i4>
      </vt:variant>
      <vt:variant>
        <vt:i4>8</vt:i4>
      </vt:variant>
      <vt:variant>
        <vt:i4>0</vt:i4>
      </vt:variant>
      <vt:variant>
        <vt:i4>5</vt:i4>
      </vt:variant>
      <vt:variant>
        <vt:lpwstr/>
      </vt:variant>
      <vt:variant>
        <vt:lpwstr>_Toc280363573</vt:lpwstr>
      </vt:variant>
      <vt:variant>
        <vt:i4>1572913</vt:i4>
      </vt:variant>
      <vt:variant>
        <vt:i4>2</vt:i4>
      </vt:variant>
      <vt:variant>
        <vt:i4>0</vt:i4>
      </vt:variant>
      <vt:variant>
        <vt:i4>5</vt:i4>
      </vt:variant>
      <vt:variant>
        <vt:lpwstr/>
      </vt:variant>
      <vt:variant>
        <vt:lpwstr>_Toc280363572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Economic Forecasting Group Report - September 2011</dc:title>
  <dc:subject/>
  <dc:creator/>
  <cp:keywords/>
  <cp:lastModifiedBy/>
  <cp:revision>1</cp:revision>
  <dcterms:created xsi:type="dcterms:W3CDTF">2015-02-11T22:30:00Z</dcterms:created>
  <dcterms:modified xsi:type="dcterms:W3CDTF">2015-02-11T22:30:00Z</dcterms:modified>
</cp:coreProperties>
</file>