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23" w:rsidRPr="006575AF" w:rsidRDefault="004B4123">
      <w:pPr>
        <w:rPr>
          <w:b/>
          <w:sz w:val="28"/>
          <w:szCs w:val="28"/>
        </w:rPr>
      </w:pPr>
      <w:r w:rsidRPr="006575AF">
        <w:rPr>
          <w:b/>
          <w:sz w:val="28"/>
          <w:szCs w:val="28"/>
        </w:rPr>
        <w:t>Submission to “Reforms to address corporate misuse of the Fair Entitlements Guarantee scheme” Consultation Paper May 2017</w:t>
      </w:r>
    </w:p>
    <w:p w:rsidR="004B4123" w:rsidRDefault="004B4123"/>
    <w:p w:rsidR="008B4618" w:rsidRDefault="006575AF">
      <w:r>
        <w:t xml:space="preserve">By </w:t>
      </w:r>
      <w:r w:rsidR="004B4123">
        <w:t xml:space="preserve">Professor Christopher Symes, University of Adelaide </w:t>
      </w:r>
    </w:p>
    <w:p w:rsidR="004B4123" w:rsidRDefault="004B4123"/>
    <w:p w:rsidR="004B4123" w:rsidRDefault="004B4123">
      <w:r>
        <w:t>As a senior insolvency academic with a research interest in this are for over 20 years and with three publications</w:t>
      </w:r>
      <w:r w:rsidR="00ED58A9">
        <w:rPr>
          <w:rStyle w:val="FootnoteReference"/>
        </w:rPr>
        <w:footnoteReference w:id="1"/>
      </w:r>
      <w:r>
        <w:t xml:space="preserve"> specifically on this topic I am grateful for the opportunity to make a submission. </w:t>
      </w:r>
    </w:p>
    <w:p w:rsidR="004B4123" w:rsidRDefault="004B4123">
      <w:r>
        <w:t xml:space="preserve">I commend the government for wanting to address the ‘sharp corporate practices’ that have seen claims on the scheme dramatically increase and their expressed desire to “ensure that employers take more responsibility” in this area. Even though Australia has had thirty years of growth there is a concern that a recession would see the costs and operation become unworkable and so it is prudent to address the FEG shortcomings in a time of relative calm. </w:t>
      </w:r>
    </w:p>
    <w:p w:rsidR="00F711AA" w:rsidRDefault="004B4123">
      <w:r>
        <w:t xml:space="preserve">It is important to acknowledge as the consultation paper does that “there have been no successful criminal or civil court actions under the provisions” of Part 5.8A. </w:t>
      </w:r>
      <w:r w:rsidR="00255AEE">
        <w:t xml:space="preserve"> This was my prediction when Part 5.8A was introduced see </w:t>
      </w:r>
      <w:bookmarkStart w:id="0" w:name="_Hlk485284218"/>
      <w:r w:rsidR="00E20BA6">
        <w:t xml:space="preserve">Symes; “Will there ever be a prosecution under Part 5.8A?” (2002) 3(1) </w:t>
      </w:r>
      <w:r w:rsidR="00E20BA6" w:rsidRPr="00810194">
        <w:rPr>
          <w:i/>
        </w:rPr>
        <w:t>Insolvency Law Bulletin</w:t>
      </w:r>
      <w:r w:rsidR="00E20BA6">
        <w:t xml:space="preserve"> 17; and further developed in </w:t>
      </w:r>
      <w:r w:rsidR="00255AEE">
        <w:t xml:space="preserve">Symes, </w:t>
      </w:r>
      <w:r w:rsidR="00ED58A9">
        <w:t xml:space="preserve">“A New Statutory Directors’ Duty for Australia – A ‘Duty’ to be Concerned about Employee Entitlements in the Insolvent Corporation” (2003) 12 </w:t>
      </w:r>
      <w:r w:rsidR="00255AEE" w:rsidRPr="00ED58A9">
        <w:rPr>
          <w:i/>
        </w:rPr>
        <w:t>International Insolvency Review</w:t>
      </w:r>
      <w:r w:rsidR="00ED58A9">
        <w:t xml:space="preserve"> 133-154.</w:t>
      </w:r>
      <w:bookmarkEnd w:id="0"/>
      <w:r w:rsidR="00255AEE">
        <w:t xml:space="preserve"> </w:t>
      </w:r>
    </w:p>
    <w:p w:rsidR="00F711AA" w:rsidRDefault="00F711AA"/>
    <w:p w:rsidR="006157A6" w:rsidRDefault="006157A6">
      <w:r>
        <w:t>Option 1</w:t>
      </w:r>
    </w:p>
    <w:p w:rsidR="004B4123" w:rsidRDefault="006157A6">
      <w:r>
        <w:t>I support the change away from intention to recklessness and agree with the i</w:t>
      </w:r>
      <w:r w:rsidR="00F36A8E">
        <w:t>n</w:t>
      </w:r>
      <w:r>
        <w:t xml:space="preserve">terpretation the Paper puts on its meaning. Further I support the increase of penalty so that the behaviour is on par with insider trading as the most serious of offences under </w:t>
      </w:r>
      <w:r w:rsidR="00F36A8E">
        <w:t xml:space="preserve">the </w:t>
      </w:r>
      <w:r>
        <w:t>Corporations Law</w:t>
      </w:r>
      <w:r w:rsidR="00F36A8E">
        <w:t xml:space="preserve"> as provided in the Corporations Act 2001 (</w:t>
      </w:r>
      <w:proofErr w:type="spellStart"/>
      <w:r w:rsidR="00F36A8E">
        <w:t>Cth</w:t>
      </w:r>
      <w:proofErr w:type="spellEnd"/>
      <w:r w:rsidR="00F36A8E">
        <w:t>)</w:t>
      </w:r>
      <w:r>
        <w:t xml:space="preserve">. Given it is directors who will be likely to be charged this </w:t>
      </w:r>
      <w:r w:rsidR="00F36A8E">
        <w:t xml:space="preserve">change </w:t>
      </w:r>
      <w:r>
        <w:t xml:space="preserve">does go beyond s184 and </w:t>
      </w:r>
      <w:proofErr w:type="gramStart"/>
      <w:r>
        <w:t>s588G(</w:t>
      </w:r>
      <w:proofErr w:type="gramEnd"/>
      <w:r w:rsidR="00255AEE">
        <w:t>3</w:t>
      </w:r>
      <w:r>
        <w:t>) criminal offence provisions that presently apply to directors for reckless breaches of directors duties and insolvent trading.</w:t>
      </w:r>
      <w:r w:rsidR="004B4123">
        <w:t xml:space="preserve"> </w:t>
      </w:r>
      <w:r>
        <w:t>I do not feel the FEG sharp practices are necessarily more serious b</w:t>
      </w:r>
      <w:r w:rsidR="00F36A8E">
        <w:t>u</w:t>
      </w:r>
      <w:r>
        <w:t xml:space="preserve">t perhaps those amounts should </w:t>
      </w:r>
      <w:r w:rsidR="00F36A8E">
        <w:t>be increased</w:t>
      </w:r>
      <w:r>
        <w:t xml:space="preserve">. Whilst on these </w:t>
      </w:r>
      <w:r w:rsidR="00F36A8E">
        <w:t xml:space="preserve">existing criminal provisions </w:t>
      </w:r>
      <w:r>
        <w:t xml:space="preserve">there are few instances of these provisions being used </w:t>
      </w:r>
      <w:r w:rsidR="00F36A8E">
        <w:t xml:space="preserve">against directors </w:t>
      </w:r>
      <w:r>
        <w:t xml:space="preserve">and so is there a danger that by merely tweaking the criminal aspects of Part 5.8A, little will change if prosecutions are not taken. </w:t>
      </w:r>
      <w:r w:rsidR="00F36A8E">
        <w:t xml:space="preserve">I am not sure why this is a problem perhaps it is reluctance by ASIC, perhaps difficulty in compiling evidence, perhaps the ‘blindness’ of liquidators and others who have access to the behaviour inside the company. What it does suggest though is that the problem now attempting to be fixed cannot be one of simply upping the Schedule 3 penalties. </w:t>
      </w:r>
      <w:r w:rsidR="004B4123">
        <w:t xml:space="preserve"> </w:t>
      </w:r>
    </w:p>
    <w:p w:rsidR="00F36A8E" w:rsidRDefault="00F36A8E">
      <w:r>
        <w:t>Option 2A</w:t>
      </w:r>
    </w:p>
    <w:p w:rsidR="002A1E61" w:rsidRDefault="00F36A8E">
      <w:r>
        <w:t>The introduction of a reasonable person test would seem a worthwhile development.</w:t>
      </w:r>
      <w:r w:rsidR="0047354C">
        <w:t xml:space="preserve"> Given that directors all already tested against such a standard now as to the duty of care in s180 it would not be </w:t>
      </w:r>
      <w:r w:rsidR="0047354C">
        <w:lastRenderedPageBreak/>
        <w:t xml:space="preserve">just the “long established common law principles” as the Consultation Paper argues but the parallel statutory provisions that would guide this development. Whilst there is an element of ‘looseness’ about testing the behaviour against the ‘person on the Bondi tram’ such a change could mean that external administrators </w:t>
      </w:r>
      <w:r w:rsidR="002A1E61">
        <w:t xml:space="preserve">have room to </w:t>
      </w:r>
      <w:r w:rsidR="0047354C">
        <w:t>negotiate with directors in the same way that happens now with insolvent trading matters</w:t>
      </w:r>
      <w:r w:rsidR="002A1E61">
        <w:t xml:space="preserve">. Directors faced with a strong argument that a reasonable person would not have behaved as they did may be more willing to </w:t>
      </w:r>
      <w:r w:rsidR="0047354C">
        <w:t>settle matters</w:t>
      </w:r>
      <w:r w:rsidR="002A1E61">
        <w:t>. If option @A is to be implemented consideration should be given to empowering external administrators to be involved.</w:t>
      </w:r>
    </w:p>
    <w:p w:rsidR="002A1E61" w:rsidRDefault="002A1E61">
      <w:r>
        <w:t>Option 2B</w:t>
      </w:r>
    </w:p>
    <w:p w:rsidR="00EF42A3" w:rsidRDefault="002A1E61">
      <w:r>
        <w:t>A focus on</w:t>
      </w:r>
      <w:r w:rsidR="00A1572B">
        <w:t xml:space="preserve"> ‘</w:t>
      </w:r>
      <w:r>
        <w:t>transactions</w:t>
      </w:r>
      <w:r w:rsidR="00A1572B">
        <w:t>’</w:t>
      </w:r>
      <w:r>
        <w:t xml:space="preserve"> is already present in the uncommercial transactions </w:t>
      </w:r>
      <w:r w:rsidR="0079295C">
        <w:t>pr</w:t>
      </w:r>
      <w:r w:rsidR="008B26ED">
        <w:t>o</w:t>
      </w:r>
      <w:r w:rsidR="0079295C">
        <w:t>v</w:t>
      </w:r>
      <w:r w:rsidR="008B26ED">
        <w:t>i</w:t>
      </w:r>
      <w:r w:rsidR="0079295C">
        <w:t>sions in Part 5.</w:t>
      </w:r>
      <w:r w:rsidR="00A1572B">
        <w:t xml:space="preserve">7B and in particular s588FB is relatively useful and successful. </w:t>
      </w:r>
      <w:r w:rsidR="00EF42A3">
        <w:t xml:space="preserve"> Combined with this wording is the jurisprudence on ‘transactions’ from this provision and so whilst “specific statutory guidelines” as promised could be helpful to any new provision in Part 5.8A it would be possible to transplant some of this early understanding</w:t>
      </w:r>
      <w:r w:rsidR="008B26ED">
        <w:t>.</w:t>
      </w:r>
    </w:p>
    <w:p w:rsidR="00EF42A3" w:rsidRDefault="00EF42A3">
      <w:r>
        <w:t>Option 3</w:t>
      </w:r>
    </w:p>
    <w:p w:rsidR="00613F84" w:rsidRDefault="00EF42A3">
      <w:r>
        <w:t xml:space="preserve">I unreservedly agree that a wider range of parties needs to be given standing to initiate civil recovery actions in this area. As the Department of Employment FEG has promoted themselves as an ‘active creditor’ it seems only appropriate </w:t>
      </w:r>
      <w:r w:rsidR="00613F84">
        <w:t>to permit them to carry through with their investigations. Perhaps the legislation could reflect this wider range by using ‘interested parties’ and then defining the phrase in the Regulations.</w:t>
      </w:r>
    </w:p>
    <w:p w:rsidR="00613F84" w:rsidRDefault="00613F84">
      <w:r>
        <w:t xml:space="preserve">Option 4 </w:t>
      </w:r>
    </w:p>
    <w:p w:rsidR="00613F84" w:rsidRDefault="0052639C">
      <w:r>
        <w:t xml:space="preserve">I support the idea of a redraft to take into account the recognised compliance issues and sharp corporate practices. As there have been no cases on the existing Part 5.8A the ‘slate is still clean’ so to speak although careful drafting of new provisions would still be needed to deter certain behaviour, compensate and penalise.  </w:t>
      </w:r>
    </w:p>
    <w:p w:rsidR="0052639C" w:rsidRDefault="0052639C">
      <w:r>
        <w:t xml:space="preserve">Options 5-6 </w:t>
      </w:r>
    </w:p>
    <w:p w:rsidR="00F36A8E" w:rsidRDefault="0052639C">
      <w:r>
        <w:t>No comment.</w:t>
      </w:r>
      <w:r w:rsidR="008B26ED">
        <w:t xml:space="preserve"> </w:t>
      </w:r>
      <w:r w:rsidR="0047354C">
        <w:t xml:space="preserve">  </w:t>
      </w:r>
      <w:r w:rsidR="00F36A8E">
        <w:t xml:space="preserve"> </w:t>
      </w:r>
    </w:p>
    <w:p w:rsidR="00A1572B" w:rsidRDefault="00A1572B">
      <w:r>
        <w:t>Option 7</w:t>
      </w:r>
    </w:p>
    <w:p w:rsidR="00A1572B" w:rsidRDefault="00A1572B">
      <w:r>
        <w:t xml:space="preserve">It would be helpful to assist the present interpretation of s556 although the law should continue to recognise the trust and that trust assets are not company assets. </w:t>
      </w:r>
    </w:p>
    <w:p w:rsidR="00A1572B" w:rsidRDefault="0052639C">
      <w:r>
        <w:t>Section 556 as it presently stands need to be overhauled in a number of ways not just to improve the treatment of trust assets. It may be best left until there is a major overhaul of all insolvency as to adjust s556 at this time seems very piecemeal.</w:t>
      </w:r>
    </w:p>
    <w:p w:rsidR="00F36A8E" w:rsidRDefault="00D1754C">
      <w:r>
        <w:t xml:space="preserve">Option 8 </w:t>
      </w:r>
    </w:p>
    <w:p w:rsidR="00A1572B" w:rsidRDefault="00D1754C">
      <w:r>
        <w:t>I support the proposal to amend the key provisions</w:t>
      </w:r>
      <w:r w:rsidR="00A1572B">
        <w:t xml:space="preserve"> and adjusting around the word ‘debentures’</w:t>
      </w:r>
      <w:r>
        <w:t>.</w:t>
      </w:r>
      <w:r w:rsidR="00A1572B">
        <w:t xml:space="preserve"> Recently reforms of these provisions were considered by me</w:t>
      </w:r>
      <w:r w:rsidR="00A05C79">
        <w:t xml:space="preserve"> and a colleague</w:t>
      </w:r>
      <w:r w:rsidR="006575AF">
        <w:t>, Lewis Gentry</w:t>
      </w:r>
      <w:r w:rsidR="00A1572B">
        <w:t xml:space="preserve"> in the </w:t>
      </w:r>
      <w:r w:rsidR="00A1572B" w:rsidRPr="006575AF">
        <w:rPr>
          <w:i/>
        </w:rPr>
        <w:t>Insolvency Law Journal</w:t>
      </w:r>
      <w:r w:rsidR="006575AF">
        <w:rPr>
          <w:i/>
        </w:rPr>
        <w:t xml:space="preserve">. </w:t>
      </w:r>
      <w:r w:rsidR="00A1572B">
        <w:t xml:space="preserve"> I now</w:t>
      </w:r>
      <w:r w:rsidR="006575AF">
        <w:t xml:space="preserve"> draw your attention to the following </w:t>
      </w:r>
      <w:r w:rsidR="00A1572B">
        <w:t>excerpts</w:t>
      </w:r>
      <w:r w:rsidR="006575AF">
        <w:t xml:space="preserve"> from this published paper</w:t>
      </w:r>
      <w:r w:rsidR="00A1572B">
        <w:t xml:space="preserve">. </w:t>
      </w:r>
    </w:p>
    <w:p w:rsidR="006575AF" w:rsidRDefault="006575AF" w:rsidP="00574661">
      <w:pPr>
        <w:keepNext/>
        <w:keepLines/>
        <w:spacing w:before="200" w:after="0"/>
        <w:jc w:val="both"/>
        <w:outlineLvl w:val="2"/>
        <w:rPr>
          <w:rFonts w:ascii="Georgia" w:eastAsiaTheme="majorEastAsia" w:hAnsi="Georgia" w:cstheme="majorBidi"/>
          <w:b/>
          <w:bCs/>
          <w:i/>
        </w:rPr>
      </w:pPr>
    </w:p>
    <w:p w:rsidR="006575AF" w:rsidRDefault="006575AF" w:rsidP="00574661">
      <w:pPr>
        <w:keepNext/>
        <w:keepLines/>
        <w:spacing w:before="200" w:after="0"/>
        <w:jc w:val="both"/>
        <w:outlineLvl w:val="2"/>
        <w:rPr>
          <w:rFonts w:ascii="Georgia" w:eastAsiaTheme="majorEastAsia" w:hAnsi="Georgia" w:cstheme="majorBidi"/>
          <w:b/>
          <w:bCs/>
          <w:i/>
        </w:rPr>
      </w:pPr>
    </w:p>
    <w:p w:rsidR="00574661" w:rsidRPr="00CA152F" w:rsidRDefault="00574661" w:rsidP="00574661">
      <w:pPr>
        <w:keepNext/>
        <w:keepLines/>
        <w:spacing w:before="200" w:after="0"/>
        <w:jc w:val="both"/>
        <w:outlineLvl w:val="2"/>
        <w:rPr>
          <w:rFonts w:ascii="Georgia" w:eastAsiaTheme="majorEastAsia" w:hAnsi="Georgia" w:cstheme="majorBidi"/>
          <w:b/>
          <w:bCs/>
          <w:i/>
        </w:rPr>
      </w:pPr>
      <w:r w:rsidRPr="00CA152F">
        <w:rPr>
          <w:rFonts w:ascii="Georgia" w:eastAsiaTheme="majorEastAsia" w:hAnsi="Georgia" w:cstheme="majorBidi"/>
          <w:b/>
          <w:bCs/>
          <w:i/>
        </w:rPr>
        <w:t xml:space="preserve">The ‘deeming provision’ – Section 558(1) </w:t>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Section 558 of </w:t>
      </w:r>
      <w:r w:rsidRPr="00CA152F">
        <w:rPr>
          <w:rFonts w:ascii="Georgia" w:eastAsia="Times New Roman" w:hAnsi="Georgia" w:cs="Times New Roman"/>
        </w:rPr>
        <w:t xml:space="preserve">the Act </w:t>
      </w:r>
      <w:r w:rsidRPr="00C20663">
        <w:rPr>
          <w:rFonts w:ascii="Georgia" w:eastAsia="Times New Roman" w:hAnsi="Georgia" w:cs="Times New Roman"/>
        </w:rPr>
        <w:t xml:space="preserve">provides </w:t>
      </w:r>
      <w:r w:rsidRPr="00C20663">
        <w:rPr>
          <w:rFonts w:ascii="Georgia" w:eastAsia="Times New Roman" w:hAnsi="Georgia" w:cs="Times New Roman"/>
          <w:bCs/>
          <w:lang w:eastAsia="en-AU"/>
        </w:rPr>
        <w:t xml:space="preserve">that where a contract of employment with a company ‘being wound up’ was subsisting immediately before the ‘relevant date’, the employee is ‘entitled to payment under s  556 of </w:t>
      </w:r>
      <w:r w:rsidRPr="00CA152F">
        <w:rPr>
          <w:rFonts w:ascii="Georgia" w:eastAsia="Times New Roman" w:hAnsi="Georgia" w:cs="Times New Roman"/>
        </w:rPr>
        <w:t>the Act</w:t>
      </w:r>
      <w:r>
        <w:rPr>
          <w:rFonts w:ascii="Georgia" w:eastAsia="Times New Roman" w:hAnsi="Georgia" w:cs="Times New Roman"/>
          <w:i/>
        </w:rPr>
        <w:t xml:space="preserve"> </w:t>
      </w:r>
      <w:r w:rsidRPr="00C20663">
        <w:rPr>
          <w:rFonts w:ascii="Georgia" w:eastAsia="Times New Roman" w:hAnsi="Georgia" w:cs="Times New Roman"/>
          <w:i/>
        </w:rPr>
        <w:t>as if</w:t>
      </w:r>
      <w:r w:rsidRPr="00C20663">
        <w:rPr>
          <w:rFonts w:ascii="Georgia" w:eastAsia="Times New Roman" w:hAnsi="Georgia" w:cs="Times New Roman"/>
        </w:rPr>
        <w:t xml:space="preserve"> his or her services with the company had been terminated by the company on the relevant date’ [emphasis</w:t>
      </w:r>
      <w:r>
        <w:rPr>
          <w:rFonts w:ascii="Georgia" w:eastAsia="Times New Roman" w:hAnsi="Georgia" w:cs="Times New Roman"/>
        </w:rPr>
        <w:t xml:space="preserve"> </w:t>
      </w:r>
      <w:r w:rsidRPr="00C20663">
        <w:rPr>
          <w:rFonts w:ascii="Georgia" w:eastAsia="Times New Roman" w:hAnsi="Georgia" w:cs="Times New Roman"/>
        </w:rPr>
        <w:t>added].</w:t>
      </w:r>
      <w:r w:rsidRPr="00C20663">
        <w:rPr>
          <w:rFonts w:ascii="Georgia" w:eastAsiaTheme="majorEastAsia" w:hAnsi="Georgia" w:cs="Times New Roman"/>
          <w:vertAlign w:val="superscript"/>
        </w:rPr>
        <w:footnoteReference w:id="2"/>
      </w:r>
      <w:r w:rsidRPr="00C20663">
        <w:rPr>
          <w:rFonts w:ascii="Georgia" w:eastAsia="Times New Roman" w:hAnsi="Georgia" w:cs="Times New Roman"/>
        </w:rPr>
        <w:t xml:space="preserve">  In the context of liquidation ‘relevant date’ is that on which a winding up is deemed to begin,</w:t>
      </w:r>
      <w:r w:rsidRPr="00C20663">
        <w:rPr>
          <w:rFonts w:ascii="Georgia" w:eastAsiaTheme="majorEastAsia" w:hAnsi="Georgia" w:cs="Times New Roman"/>
          <w:vertAlign w:val="superscript"/>
        </w:rPr>
        <w:footnoteReference w:id="3"/>
      </w:r>
      <w:r w:rsidRPr="00C20663">
        <w:rPr>
          <w:rFonts w:ascii="Georgia" w:eastAsia="Times New Roman" w:hAnsi="Georgia" w:cs="Times New Roman"/>
        </w:rPr>
        <w:t xml:space="preserve"> and in the case of receivership the relevant date is the date of the appointment of the receiver.</w:t>
      </w:r>
      <w:r w:rsidRPr="00C20663">
        <w:rPr>
          <w:rFonts w:ascii="Georgia" w:eastAsiaTheme="majorEastAsia" w:hAnsi="Georgia" w:cs="Times New Roman"/>
          <w:vertAlign w:val="superscript"/>
        </w:rPr>
        <w:footnoteReference w:id="4"/>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iCs/>
          <w:lang w:eastAsia="en-AU"/>
        </w:rPr>
      </w:pPr>
      <w:r>
        <w:rPr>
          <w:rFonts w:ascii="Georgia" w:eastAsia="Times New Roman" w:hAnsi="Georgia" w:cs="Times New Roman"/>
        </w:rPr>
        <w:t>T</w:t>
      </w:r>
      <w:r w:rsidRPr="00C20663">
        <w:rPr>
          <w:rFonts w:ascii="Georgia" w:eastAsia="Times New Roman" w:hAnsi="Georgia" w:cs="Times New Roman"/>
        </w:rPr>
        <w:t>he term ‘as if’ in s 558(1) has been observed to be a ‘deeming device’ used to create a statutory fiction.</w:t>
      </w:r>
      <w:r w:rsidRPr="00C20663">
        <w:rPr>
          <w:rFonts w:ascii="Georgia" w:eastAsiaTheme="majorEastAsia" w:hAnsi="Georgia" w:cs="Times New Roman"/>
          <w:vertAlign w:val="superscript"/>
        </w:rPr>
        <w:footnoteReference w:id="5"/>
      </w:r>
      <w:r>
        <w:rPr>
          <w:rFonts w:ascii="Georgia" w:eastAsia="Times New Roman" w:hAnsi="Georgia" w:cs="Times New Roman"/>
        </w:rPr>
        <w:t xml:space="preserve"> </w:t>
      </w:r>
      <w:r w:rsidRPr="00C20663">
        <w:rPr>
          <w:rFonts w:ascii="Georgia" w:eastAsia="Times New Roman" w:hAnsi="Georgia" w:cs="Times New Roman"/>
        </w:rPr>
        <w:t>Thus, pursuant to s 558 (or ‘</w:t>
      </w:r>
      <w:r w:rsidRPr="00C20663">
        <w:rPr>
          <w:rFonts w:ascii="Georgia" w:eastAsia="Times New Roman" w:hAnsi="Georgia" w:cs="Times New Roman"/>
          <w:i/>
        </w:rPr>
        <w:t>the deeming provision</w:t>
      </w:r>
      <w:r w:rsidRPr="00C20663">
        <w:rPr>
          <w:rFonts w:ascii="Georgia" w:eastAsia="Times New Roman" w:hAnsi="Georgia" w:cs="Times New Roman"/>
        </w:rPr>
        <w:t>’), even if employees have not been expressly terminated,</w:t>
      </w:r>
      <w:r>
        <w:rPr>
          <w:rFonts w:ascii="Georgia" w:eastAsia="Times New Roman" w:hAnsi="Georgia" w:cs="Times New Roman"/>
        </w:rPr>
        <w:t xml:space="preserve"> or amounts have not otherwise crystallised into a payable sum,</w:t>
      </w:r>
      <w:r w:rsidRPr="00C20663">
        <w:rPr>
          <w:rFonts w:ascii="Georgia" w:eastAsia="Times New Roman" w:hAnsi="Georgia" w:cs="Times New Roman"/>
        </w:rPr>
        <w:t xml:space="preserve"> the</w:t>
      </w:r>
      <w:r>
        <w:rPr>
          <w:rFonts w:ascii="Georgia" w:eastAsia="Times New Roman" w:hAnsi="Georgia" w:cs="Times New Roman"/>
        </w:rPr>
        <w:t xml:space="preserve"> employee</w:t>
      </w:r>
      <w:r w:rsidRPr="00C20663">
        <w:rPr>
          <w:rFonts w:ascii="Georgia" w:eastAsia="Times New Roman" w:hAnsi="Georgia" w:cs="Times New Roman"/>
        </w:rPr>
        <w:t xml:space="preserve"> will be deemed to have been terminated for the purpose of calculating their entitlements. If applicable, this ‘deemed’ termination</w:t>
      </w:r>
      <w:r>
        <w:rPr>
          <w:rFonts w:ascii="Georgia" w:eastAsia="Times New Roman" w:hAnsi="Georgia" w:cs="Times New Roman"/>
        </w:rPr>
        <w:t xml:space="preserve"> </w:t>
      </w:r>
      <w:r w:rsidRPr="00C20663">
        <w:rPr>
          <w:rFonts w:ascii="Georgia" w:eastAsia="Times New Roman" w:hAnsi="Georgia" w:cs="Times New Roman"/>
        </w:rPr>
        <w:t>crystallise</w:t>
      </w:r>
      <w:r>
        <w:rPr>
          <w:rFonts w:ascii="Georgia" w:eastAsia="Times New Roman" w:hAnsi="Georgia" w:cs="Times New Roman"/>
        </w:rPr>
        <w:t>s</w:t>
      </w:r>
      <w:r w:rsidRPr="00C20663">
        <w:rPr>
          <w:rFonts w:ascii="Georgia" w:eastAsia="Times New Roman" w:hAnsi="Georgia" w:cs="Times New Roman"/>
        </w:rPr>
        <w:t xml:space="preserve"> accrued leave into a legal debt, allowing such amounts to be prioritised in favour of the employee</w:t>
      </w:r>
      <w:r>
        <w:rPr>
          <w:rFonts w:ascii="Georgia" w:eastAsia="Times New Roman" w:hAnsi="Georgia" w:cs="Times New Roman"/>
        </w:rPr>
        <w:t xml:space="preserve"> from circulating assets ahead of any secured creditor</w:t>
      </w:r>
      <w:r w:rsidRPr="00C20663">
        <w:rPr>
          <w:rFonts w:ascii="Georgia" w:eastAsia="Times New Roman" w:hAnsi="Georgia" w:cs="Times New Roman"/>
          <w:iCs/>
          <w:lang w:eastAsia="en-AU"/>
        </w:rPr>
        <w:t>.</w:t>
      </w:r>
    </w:p>
    <w:p w:rsidR="00574661" w:rsidRPr="00C20663" w:rsidRDefault="00574661" w:rsidP="00574661">
      <w:pPr>
        <w:spacing w:after="0"/>
        <w:jc w:val="both"/>
        <w:rPr>
          <w:rFonts w:ascii="Georgia" w:eastAsia="Times New Roman" w:hAnsi="Georgia" w:cs="Times New Roman"/>
          <w:iCs/>
          <w:lang w:eastAsia="en-AU"/>
        </w:rPr>
      </w:pPr>
    </w:p>
    <w:p w:rsidR="00574661" w:rsidRPr="00CA152F" w:rsidRDefault="00574661" w:rsidP="00574661">
      <w:pPr>
        <w:spacing w:after="0"/>
        <w:jc w:val="both"/>
        <w:rPr>
          <w:rFonts w:ascii="Georgia" w:eastAsia="Times New Roman" w:hAnsi="Georgia" w:cs="Times New Roman"/>
          <w:b/>
          <w:i/>
          <w:iCs/>
          <w:lang w:eastAsia="en-AU"/>
        </w:rPr>
      </w:pPr>
      <w:r w:rsidRPr="00CA152F">
        <w:rPr>
          <w:rFonts w:ascii="Georgia" w:eastAsia="Times New Roman" w:hAnsi="Georgia" w:cs="Times New Roman"/>
          <w:b/>
          <w:i/>
          <w:iCs/>
          <w:lang w:eastAsia="en-AU"/>
        </w:rPr>
        <w:t>Does the deeming provision apply in receivership?</w:t>
      </w:r>
    </w:p>
    <w:p w:rsidR="00574661" w:rsidRPr="00C20663" w:rsidRDefault="00574661" w:rsidP="00574661">
      <w:pPr>
        <w:spacing w:after="0"/>
        <w:jc w:val="both"/>
        <w:rPr>
          <w:rFonts w:ascii="Georgia" w:eastAsia="Times New Roman" w:hAnsi="Georgia" w:cs="Times New Roman"/>
          <w:b/>
          <w:iCs/>
          <w:lang w:eastAsia="en-AU"/>
        </w:rPr>
      </w:pPr>
    </w:p>
    <w:p w:rsidR="00574661" w:rsidRDefault="00574661" w:rsidP="00574661">
      <w:pPr>
        <w:spacing w:after="0"/>
        <w:jc w:val="both"/>
        <w:rPr>
          <w:rFonts w:ascii="Georgia" w:eastAsia="Times New Roman" w:hAnsi="Georgia" w:cs="Times New Roman"/>
          <w:iCs/>
          <w:lang w:eastAsia="en-AU"/>
        </w:rPr>
      </w:pPr>
      <w:r w:rsidRPr="00C20663">
        <w:rPr>
          <w:rFonts w:ascii="Georgia" w:eastAsia="Times New Roman" w:hAnsi="Georgia" w:cs="Times New Roman"/>
          <w:iCs/>
          <w:lang w:eastAsia="en-AU"/>
        </w:rPr>
        <w:t>Despite the apparent convenience and intent of s 558 in ensuring entitlements such as accrued leave are prioritised in insolvency, thereby ‘filling the gap’ left by the other legislative provisions, the question of whether Parliament intended for employees in receivership to have the benefit of this provision</w:t>
      </w:r>
      <w:r>
        <w:rPr>
          <w:rFonts w:ascii="Georgia" w:eastAsia="Times New Roman" w:hAnsi="Georgia" w:cs="Times New Roman"/>
          <w:iCs/>
          <w:lang w:eastAsia="en-AU"/>
        </w:rPr>
        <w:t xml:space="preserve"> remains the subject of inconsistent judgments</w:t>
      </w:r>
      <w:r w:rsidRPr="00C20663">
        <w:rPr>
          <w:rFonts w:ascii="Georgia" w:eastAsia="Times New Roman" w:hAnsi="Georgia" w:cs="Times New Roman"/>
          <w:iCs/>
          <w:lang w:eastAsia="en-AU"/>
        </w:rPr>
        <w:t xml:space="preserve">. </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It has been described as ‘heroic’ to interpret s 558 as intending to apply to receivership.</w:t>
      </w:r>
      <w:r w:rsidRPr="00C20663">
        <w:rPr>
          <w:rFonts w:ascii="Georgia" w:eastAsiaTheme="majorEastAsia" w:hAnsi="Georgia" w:cs="Times New Roman"/>
          <w:vertAlign w:val="superscript"/>
        </w:rPr>
        <w:footnoteReference w:id="6"/>
      </w:r>
      <w:r w:rsidRPr="00C20663">
        <w:rPr>
          <w:rFonts w:ascii="Georgia" w:eastAsia="Times New Roman" w:hAnsi="Georgia" w:cs="Times New Roman"/>
        </w:rPr>
        <w:t xml:space="preserve"> Such a description is perhaps aided by the express reference to a ‘company being wound up’ in s 558 itself. However, if the courts found that Parliament did intend for s 558 to apply to receiverships, accrued leave entitlements would be prioritised in favour of employees. This was the interpretation favoured by the Supreme Court of Queensland in the first of a line of authorit</w:t>
      </w:r>
      <w:r>
        <w:rPr>
          <w:rFonts w:ascii="Georgia" w:eastAsia="Times New Roman" w:hAnsi="Georgia" w:cs="Times New Roman"/>
        </w:rPr>
        <w:t>ies</w:t>
      </w:r>
      <w:r w:rsidRPr="00C20663">
        <w:rPr>
          <w:rFonts w:ascii="Georgia" w:eastAsia="Times New Roman" w:hAnsi="Georgia" w:cs="Times New Roman"/>
        </w:rPr>
        <w:t xml:space="preserve"> to consider the application of the deeming provision.</w:t>
      </w:r>
      <w:r w:rsidRPr="00C20663">
        <w:rPr>
          <w:rFonts w:ascii="Georgia" w:eastAsiaTheme="majorEastAsia" w:hAnsi="Georgia" w:cs="Times New Roman"/>
          <w:vertAlign w:val="superscript"/>
        </w:rPr>
        <w:footnoteReference w:id="7"/>
      </w:r>
    </w:p>
    <w:p w:rsidR="00574661" w:rsidRPr="00CA152F" w:rsidRDefault="00574661" w:rsidP="00574661">
      <w:pPr>
        <w:keepLines/>
        <w:spacing w:before="200" w:after="0"/>
        <w:jc w:val="both"/>
        <w:outlineLvl w:val="2"/>
        <w:rPr>
          <w:rFonts w:ascii="Georgia" w:eastAsiaTheme="majorEastAsia" w:hAnsi="Georgia" w:cstheme="majorBidi"/>
          <w:b/>
          <w:bCs/>
          <w:i/>
        </w:rPr>
      </w:pPr>
      <w:r w:rsidRPr="00CA152F">
        <w:rPr>
          <w:rFonts w:ascii="Georgia" w:eastAsiaTheme="majorEastAsia" w:hAnsi="Georgia" w:cstheme="majorBidi"/>
          <w:b/>
          <w:bCs/>
          <w:i/>
        </w:rPr>
        <w:t>Deeming provision applied in receivership</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In </w:t>
      </w:r>
      <w:r w:rsidRPr="00C20663">
        <w:rPr>
          <w:rFonts w:ascii="Georgia" w:eastAsia="Times New Roman" w:hAnsi="Georgia" w:cs="Times New Roman"/>
          <w:i/>
        </w:rPr>
        <w:t xml:space="preserve">Office-Co </w:t>
      </w:r>
      <w:r w:rsidRPr="00C20663">
        <w:rPr>
          <w:rFonts w:ascii="Georgia" w:eastAsia="Times New Roman" w:hAnsi="Georgia" w:cs="Times New Roman"/>
        </w:rPr>
        <w:t>the Supreme Court of Queensland considered an application by the receivers and managers of Office-Co Furniture Pty Ltd regarding the distribution of priority employee entitlements following the sale of certain circulating assets.</w:t>
      </w:r>
      <w:r w:rsidRPr="00C20663">
        <w:rPr>
          <w:rFonts w:ascii="Georgia" w:eastAsiaTheme="majorEastAsia" w:hAnsi="Georgia" w:cs="Times New Roman"/>
          <w:vertAlign w:val="superscript"/>
        </w:rPr>
        <w:footnoteReference w:id="8"/>
      </w:r>
      <w:r w:rsidRPr="00C20663">
        <w:rPr>
          <w:rFonts w:ascii="Georgia" w:eastAsia="Times New Roman" w:hAnsi="Georgia" w:cs="Times New Roman"/>
        </w:rPr>
        <w:t xml:space="preserve"> The receivers and managers submitted that s 558(1) was to be read in conjunction with </w:t>
      </w:r>
      <w:proofErr w:type="spellStart"/>
      <w:r w:rsidRPr="00C20663">
        <w:rPr>
          <w:rFonts w:ascii="Georgia" w:eastAsia="Times New Roman" w:hAnsi="Georgia" w:cs="Times New Roman"/>
        </w:rPr>
        <w:t>ss</w:t>
      </w:r>
      <w:proofErr w:type="spellEnd"/>
      <w:r w:rsidRPr="00C20663">
        <w:rPr>
          <w:rFonts w:ascii="Georgia" w:eastAsia="Times New Roman" w:hAnsi="Georgia" w:cs="Times New Roman"/>
        </w:rPr>
        <w:t> 433 and 556 in the context of receivership. Chief Justice de Jersey, agreeing with the receivers’ submissions and holding that s 558(1) applied in receiverships, remarked:</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ind w:left="567" w:firstLine="3"/>
        <w:jc w:val="both"/>
        <w:rPr>
          <w:rFonts w:ascii="Georgia" w:eastAsia="Times New Roman" w:hAnsi="Georgia" w:cs="Times New Roman"/>
        </w:rPr>
      </w:pPr>
      <w:r w:rsidRPr="00C20663">
        <w:rPr>
          <w:rFonts w:ascii="Georgia" w:eastAsia="Times New Roman" w:hAnsi="Georgia" w:cs="Times New Roman"/>
        </w:rPr>
        <w:lastRenderedPageBreak/>
        <w:t>The clear intent of s.433 is that similar priority be accorded in a receivership as in a winding up…It would be odd were the result of the application of these provisions to be different in the case of a receivership, because the intent seems to be to equate the two regimes in this respect. But apart from that, and more importantly, the language of the provisions to my mind leads intractably to the conclusion [the receivers’] urge.</w:t>
      </w:r>
      <w:r w:rsidRPr="00C20663">
        <w:rPr>
          <w:rFonts w:ascii="Georgia" w:eastAsiaTheme="majorEastAsia" w:hAnsi="Georgia" w:cs="Times New Roman"/>
          <w:vertAlign w:val="superscript"/>
        </w:rPr>
        <w:footnoteReference w:id="9"/>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jc w:val="both"/>
        <w:rPr>
          <w:rFonts w:ascii="Georgia" w:eastAsia="Times New Roman" w:hAnsi="Georgia" w:cs="Times New Roman"/>
          <w:szCs w:val="20"/>
        </w:rPr>
      </w:pPr>
      <w:r>
        <w:rPr>
          <w:rFonts w:ascii="Georgia" w:eastAsia="Times New Roman" w:hAnsi="Georgia" w:cs="Times New Roman"/>
          <w:szCs w:val="20"/>
        </w:rPr>
        <w:t>D</w:t>
      </w:r>
      <w:r w:rsidRPr="00C20663">
        <w:rPr>
          <w:rFonts w:ascii="Georgia" w:eastAsia="Times New Roman" w:hAnsi="Georgia" w:cs="Times New Roman"/>
          <w:szCs w:val="20"/>
        </w:rPr>
        <w:t xml:space="preserve">e Jersey CJ </w:t>
      </w:r>
      <w:r>
        <w:rPr>
          <w:rFonts w:ascii="Georgia" w:eastAsia="Times New Roman" w:hAnsi="Georgia" w:cs="Times New Roman"/>
          <w:szCs w:val="20"/>
        </w:rPr>
        <w:t>found</w:t>
      </w:r>
      <w:r w:rsidRPr="00C20663">
        <w:rPr>
          <w:rFonts w:ascii="Georgia" w:eastAsia="Times New Roman" w:hAnsi="Georgia" w:cs="Times New Roman"/>
          <w:szCs w:val="20"/>
        </w:rPr>
        <w:t xml:space="preserve"> that the deeming provision applied not only in liquidation but in receivership as well, and accordingly that employees under receivership would be paid entitlements, such as accrued leave, as a priority.</w:t>
      </w:r>
    </w:p>
    <w:p w:rsidR="00574661" w:rsidRPr="00CA152F" w:rsidRDefault="00574661" w:rsidP="00574661">
      <w:pPr>
        <w:keepLines/>
        <w:spacing w:before="200" w:after="0"/>
        <w:jc w:val="both"/>
        <w:outlineLvl w:val="2"/>
        <w:rPr>
          <w:rFonts w:ascii="Georgia" w:eastAsiaTheme="majorEastAsia" w:hAnsi="Georgia" w:cstheme="majorBidi"/>
          <w:b/>
          <w:bCs/>
          <w:i/>
        </w:rPr>
      </w:pPr>
      <w:r w:rsidRPr="00CA152F">
        <w:rPr>
          <w:rFonts w:ascii="Georgia" w:eastAsiaTheme="majorEastAsia" w:hAnsi="Georgia" w:cstheme="majorBidi"/>
          <w:b/>
          <w:bCs/>
          <w:i/>
        </w:rPr>
        <w:t xml:space="preserve">Deeming provision </w:t>
      </w:r>
      <w:r w:rsidRPr="00CA152F">
        <w:rPr>
          <w:rFonts w:ascii="Georgia" w:eastAsiaTheme="majorEastAsia" w:hAnsi="Georgia" w:cstheme="majorBidi"/>
          <w:b/>
          <w:bCs/>
          <w:i/>
          <w:u w:val="single"/>
        </w:rPr>
        <w:t>not</w:t>
      </w:r>
      <w:r w:rsidRPr="00CA152F">
        <w:rPr>
          <w:rFonts w:ascii="Georgia" w:eastAsiaTheme="majorEastAsia" w:hAnsi="Georgia" w:cstheme="majorBidi"/>
          <w:b/>
          <w:bCs/>
          <w:i/>
        </w:rPr>
        <w:t xml:space="preserve"> applied in receivership </w:t>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After the judgment in </w:t>
      </w:r>
      <w:r w:rsidRPr="00C20663">
        <w:rPr>
          <w:rFonts w:ascii="Georgia" w:eastAsia="Times New Roman" w:hAnsi="Georgia" w:cs="Times New Roman"/>
          <w:i/>
        </w:rPr>
        <w:t>Office-Co</w:t>
      </w:r>
      <w:r w:rsidRPr="00C20663">
        <w:rPr>
          <w:rFonts w:ascii="Georgia" w:eastAsia="Times New Roman" w:hAnsi="Georgia" w:cs="Times New Roman"/>
        </w:rPr>
        <w:t>, the Federal Court of Australia embarked on a line of authority which departed from the conclusion reached by de Jersey CJ and which, to this day, significantly</w:t>
      </w:r>
      <w:r w:rsidRPr="000A22A3">
        <w:rPr>
          <w:rFonts w:ascii="Georgia" w:eastAsia="Times New Roman" w:hAnsi="Georgia" w:cs="Times New Roman"/>
        </w:rPr>
        <w:t xml:space="preserve"> </w:t>
      </w:r>
      <w:r w:rsidRPr="00C20663">
        <w:rPr>
          <w:rFonts w:ascii="Georgia" w:eastAsia="Times New Roman" w:hAnsi="Georgia" w:cs="Times New Roman"/>
        </w:rPr>
        <w:t xml:space="preserve">curtails the benefit conferred on employees by s 433. </w:t>
      </w:r>
      <w:r>
        <w:rPr>
          <w:rFonts w:ascii="Georgia" w:eastAsia="Times New Roman" w:hAnsi="Georgia" w:cs="Times New Roman"/>
        </w:rPr>
        <w:t xml:space="preserve"> </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The application of s 558 was considered in </w:t>
      </w:r>
      <w:r w:rsidRPr="00C20663">
        <w:rPr>
          <w:rFonts w:ascii="Georgia" w:eastAsia="Times New Roman" w:hAnsi="Georgia" w:cs="Times New Roman"/>
          <w:i/>
        </w:rPr>
        <w:t>McEvoy</w:t>
      </w:r>
      <w:r w:rsidRPr="00C20663">
        <w:rPr>
          <w:rFonts w:ascii="Georgia" w:eastAsia="Times New Roman" w:hAnsi="Georgia" w:cs="Times New Roman"/>
        </w:rPr>
        <w:t xml:space="preserve"> and</w:t>
      </w:r>
      <w:r w:rsidRPr="00C20663">
        <w:rPr>
          <w:rFonts w:ascii="Georgia" w:eastAsia="Times New Roman" w:hAnsi="Georgia" w:cs="Times New Roman"/>
          <w:i/>
        </w:rPr>
        <w:t xml:space="preserve"> Vickers</w:t>
      </w:r>
      <w:r w:rsidRPr="00C20663">
        <w:rPr>
          <w:rFonts w:ascii="Georgia" w:eastAsia="Times New Roman" w:hAnsi="Georgia" w:cs="Times New Roman"/>
        </w:rPr>
        <w:t xml:space="preserve">. Justice Finkelstein determined in the former case that the reasoning of de Jersey CJ in </w:t>
      </w:r>
      <w:r w:rsidRPr="00C20663">
        <w:rPr>
          <w:rFonts w:ascii="Georgia" w:eastAsia="Times New Roman" w:hAnsi="Georgia" w:cs="Times New Roman"/>
          <w:i/>
        </w:rPr>
        <w:t xml:space="preserve">Office-Co </w:t>
      </w:r>
      <w:r w:rsidRPr="00C20663">
        <w:rPr>
          <w:rFonts w:ascii="Georgia" w:eastAsia="Times New Roman" w:hAnsi="Georgia" w:cs="Times New Roman"/>
        </w:rPr>
        <w:t xml:space="preserve">was flawed because </w:t>
      </w:r>
      <w:r>
        <w:rPr>
          <w:rFonts w:ascii="Georgia" w:eastAsia="Times New Roman" w:hAnsi="Georgia" w:cs="Times New Roman"/>
        </w:rPr>
        <w:t>it did not consider</w:t>
      </w:r>
      <w:r w:rsidRPr="00C20663">
        <w:rPr>
          <w:rFonts w:ascii="Georgia" w:eastAsia="Times New Roman" w:hAnsi="Georgia" w:cs="Times New Roman"/>
        </w:rPr>
        <w:t xml:space="preserve"> the ‘enacting history’</w:t>
      </w:r>
      <w:r>
        <w:rPr>
          <w:rFonts w:ascii="Georgia" w:eastAsia="Times New Roman" w:hAnsi="Georgia" w:cs="Times New Roman"/>
        </w:rPr>
        <w:t xml:space="preserve"> of the deeming provision</w:t>
      </w:r>
      <w:r w:rsidRPr="00C20663">
        <w:rPr>
          <w:rFonts w:ascii="Georgia" w:eastAsia="Times New Roman" w:hAnsi="Georgia" w:cs="Times New Roman"/>
        </w:rPr>
        <w:t>.</w:t>
      </w:r>
      <w:r w:rsidRPr="00C20663">
        <w:rPr>
          <w:rFonts w:ascii="Georgia" w:eastAsiaTheme="majorEastAsia" w:hAnsi="Georgia" w:cs="Times New Roman"/>
          <w:vertAlign w:val="superscript"/>
        </w:rPr>
        <w:footnoteReference w:id="10"/>
      </w:r>
      <w:r>
        <w:rPr>
          <w:rFonts w:ascii="Georgia" w:eastAsia="Times New Roman" w:hAnsi="Georgia" w:cs="Times New Roman"/>
        </w:rPr>
        <w:t xml:space="preserve"> </w:t>
      </w:r>
      <w:r w:rsidRPr="00C20663">
        <w:rPr>
          <w:rFonts w:ascii="Georgia" w:eastAsia="Times New Roman" w:hAnsi="Georgia" w:cs="Times New Roman"/>
        </w:rPr>
        <w:t>After an analysis of the history and associated amendments of s 558</w:t>
      </w:r>
      <w:r>
        <w:rPr>
          <w:rFonts w:ascii="Georgia" w:eastAsia="Times New Roman" w:hAnsi="Georgia" w:cs="Times New Roman"/>
        </w:rPr>
        <w:t>,</w:t>
      </w:r>
      <w:r w:rsidRPr="00C20663">
        <w:rPr>
          <w:rFonts w:ascii="Georgia" w:eastAsia="Times New Roman" w:hAnsi="Georgia" w:cs="Times New Roman"/>
        </w:rPr>
        <w:t xml:space="preserve"> Finkelstein J concluded in </w:t>
      </w:r>
      <w:r w:rsidRPr="00C20663">
        <w:rPr>
          <w:rFonts w:ascii="Georgia" w:eastAsia="Times New Roman" w:hAnsi="Georgia" w:cs="Times New Roman"/>
          <w:i/>
        </w:rPr>
        <w:t xml:space="preserve">McEvoy </w:t>
      </w:r>
      <w:r w:rsidRPr="00C20663">
        <w:rPr>
          <w:rFonts w:ascii="Georgia" w:eastAsia="Times New Roman" w:hAnsi="Georgia" w:cs="Times New Roman"/>
        </w:rPr>
        <w:t>that the provision was designed to apply in the case of a winding up, and there was no parliamentary intention to give the same benefit to employees in a receivership scenario.</w:t>
      </w:r>
      <w:r w:rsidRPr="00C20663">
        <w:rPr>
          <w:rFonts w:ascii="Georgia" w:eastAsiaTheme="majorEastAsia" w:hAnsi="Georgia" w:cs="Times New Roman"/>
          <w:vertAlign w:val="superscript"/>
        </w:rPr>
        <w:footnoteReference w:id="11"/>
      </w:r>
      <w:r>
        <w:rPr>
          <w:rFonts w:ascii="Georgia" w:eastAsia="Times New Roman" w:hAnsi="Georgia" w:cs="Times New Roman"/>
        </w:rPr>
        <w:t xml:space="preserve"> </w:t>
      </w:r>
      <w:r w:rsidRPr="00C20663">
        <w:rPr>
          <w:rFonts w:ascii="Georgia" w:eastAsia="Times New Roman" w:hAnsi="Georgia" w:cs="Times New Roman"/>
        </w:rPr>
        <w:t xml:space="preserve">Justice Finkelstein was particularly concerned to avoid any construction which would result in employees in both receivership and winding up having the benefit of the priority as the employees in a receivership have the extra benefit of retaining their employment, </w:t>
      </w:r>
      <w:r>
        <w:rPr>
          <w:rFonts w:ascii="Georgia" w:eastAsia="Times New Roman" w:hAnsi="Georgia" w:cs="Times New Roman"/>
        </w:rPr>
        <w:t>unlike</w:t>
      </w:r>
      <w:r w:rsidRPr="00C20663">
        <w:rPr>
          <w:rFonts w:ascii="Georgia" w:eastAsia="Times New Roman" w:hAnsi="Georgia" w:cs="Times New Roman"/>
        </w:rPr>
        <w:t xml:space="preserve"> employees of a company in liquidation.</w:t>
      </w:r>
      <w:r w:rsidRPr="00C20663">
        <w:rPr>
          <w:rFonts w:ascii="Georgia" w:eastAsiaTheme="majorEastAsia" w:hAnsi="Georgia" w:cs="Times New Roman"/>
          <w:vertAlign w:val="superscript"/>
        </w:rPr>
        <w:footnoteReference w:id="12"/>
      </w:r>
      <w:r>
        <w:rPr>
          <w:rFonts w:ascii="Georgia" w:eastAsia="Times New Roman" w:hAnsi="Georgia" w:cs="Times New Roman"/>
        </w:rPr>
        <w:t xml:space="preserve"> </w:t>
      </w:r>
      <w:r w:rsidRPr="00C20663">
        <w:rPr>
          <w:rFonts w:ascii="Georgia" w:eastAsia="Times New Roman" w:hAnsi="Georgia" w:cs="Times New Roman"/>
        </w:rPr>
        <w:t>The deeming provision was found not to apply in receivership and employees’ accrued leave entitlements were not given priority under s 433.</w:t>
      </w:r>
    </w:p>
    <w:p w:rsidR="00574661"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In the subsequent case of </w:t>
      </w:r>
      <w:r w:rsidRPr="00C20663">
        <w:rPr>
          <w:rFonts w:ascii="Georgia" w:eastAsia="Times New Roman" w:hAnsi="Georgia" w:cs="Times New Roman"/>
          <w:i/>
        </w:rPr>
        <w:t>Vickers</w:t>
      </w:r>
      <w:r w:rsidRPr="00C20663">
        <w:rPr>
          <w:rFonts w:ascii="Georgia" w:eastAsia="Times New Roman" w:hAnsi="Georgia" w:cs="Times New Roman"/>
        </w:rPr>
        <w:t xml:space="preserve">, Barker J considered the conflicting authorities on the subject, and ultimately followed the judgment of Finkelstein J in </w:t>
      </w:r>
      <w:r w:rsidRPr="00C20663">
        <w:rPr>
          <w:rFonts w:ascii="Georgia" w:eastAsia="Times New Roman" w:hAnsi="Georgia" w:cs="Times New Roman"/>
          <w:i/>
        </w:rPr>
        <w:t>McEvoy</w:t>
      </w:r>
      <w:r w:rsidRPr="00C20663">
        <w:rPr>
          <w:rFonts w:ascii="Georgia" w:eastAsia="Times New Roman" w:hAnsi="Georgia" w:cs="Times New Roman"/>
        </w:rPr>
        <w:t>, finding employees in receivership did not get the benefit of the deeming provision</w:t>
      </w:r>
      <w:r>
        <w:rPr>
          <w:rFonts w:ascii="Georgia" w:eastAsia="Times New Roman" w:hAnsi="Georgia" w:cs="Times New Roman"/>
        </w:rPr>
        <w:t>, thereby losing priority to certain entitlements</w:t>
      </w:r>
      <w:r w:rsidRPr="00C20663">
        <w:rPr>
          <w:rFonts w:ascii="Georgia" w:eastAsia="Times New Roman" w:hAnsi="Georgia" w:cs="Times New Roman"/>
        </w:rPr>
        <w:t xml:space="preserve">. Justice Barker’s application of </w:t>
      </w:r>
      <w:r w:rsidRPr="00C20663">
        <w:rPr>
          <w:rFonts w:ascii="Georgia" w:eastAsia="Times New Roman" w:hAnsi="Georgia" w:cs="Times New Roman"/>
          <w:i/>
          <w:iCs/>
        </w:rPr>
        <w:t xml:space="preserve">McEvoy </w:t>
      </w:r>
      <w:r w:rsidRPr="00C20663">
        <w:rPr>
          <w:rFonts w:ascii="Georgia" w:eastAsia="Times New Roman" w:hAnsi="Georgia" w:cs="Times New Roman"/>
        </w:rPr>
        <w:t>has been subsequently followed in a number of cases.</w:t>
      </w:r>
      <w:r w:rsidRPr="00C20663">
        <w:rPr>
          <w:rFonts w:ascii="Georgia" w:eastAsiaTheme="majorEastAsia" w:hAnsi="Georgia" w:cs="Times New Roman"/>
          <w:vertAlign w:val="superscript"/>
        </w:rPr>
        <w:footnoteReference w:id="13"/>
      </w:r>
      <w:r>
        <w:rPr>
          <w:rFonts w:ascii="Georgia" w:eastAsia="Times New Roman" w:hAnsi="Georgia" w:cs="Times New Roman"/>
        </w:rPr>
        <w:t xml:space="preserve"> </w:t>
      </w:r>
    </w:p>
    <w:p w:rsidR="00574661" w:rsidRPr="00CA152F" w:rsidRDefault="00574661" w:rsidP="00574661">
      <w:pPr>
        <w:keepNext/>
        <w:keepLines/>
        <w:spacing w:before="200" w:after="0"/>
        <w:jc w:val="both"/>
        <w:outlineLvl w:val="2"/>
        <w:rPr>
          <w:rFonts w:ascii="Georgia" w:eastAsiaTheme="majorEastAsia" w:hAnsi="Georgia" w:cstheme="majorBidi"/>
          <w:b/>
          <w:bCs/>
          <w:i/>
          <w:lang w:eastAsia="en-AU"/>
        </w:rPr>
      </w:pPr>
      <w:r w:rsidRPr="00CA152F">
        <w:rPr>
          <w:rFonts w:ascii="Georgia" w:eastAsiaTheme="majorEastAsia" w:hAnsi="Georgia" w:cstheme="majorBidi"/>
          <w:b/>
          <w:bCs/>
          <w:i/>
          <w:lang w:eastAsia="en-AU"/>
        </w:rPr>
        <w:t>Receivers to hold funds on trust?</w:t>
      </w:r>
    </w:p>
    <w:p w:rsidR="00574661" w:rsidRPr="00C20663" w:rsidRDefault="00574661" w:rsidP="00574661">
      <w:pPr>
        <w:spacing w:after="0"/>
        <w:jc w:val="both"/>
        <w:rPr>
          <w:rFonts w:ascii="Georgia" w:eastAsia="Times New Roman" w:hAnsi="Georgia" w:cs="Times New Roman"/>
          <w:bCs/>
          <w:lang w:eastAsia="en-AU"/>
        </w:rPr>
      </w:pPr>
    </w:p>
    <w:p w:rsidR="00574661" w:rsidRDefault="00574661" w:rsidP="00574661">
      <w:pPr>
        <w:spacing w:after="0"/>
        <w:jc w:val="both"/>
        <w:rPr>
          <w:rFonts w:ascii="Georgia" w:eastAsia="Times New Roman" w:hAnsi="Georgia" w:cs="Times New Roman"/>
        </w:rPr>
      </w:pPr>
      <w:r>
        <w:rPr>
          <w:rFonts w:ascii="Georgia" w:eastAsia="Times New Roman" w:hAnsi="Georgia" w:cs="Times New Roman"/>
        </w:rPr>
        <w:t xml:space="preserve">Just as </w:t>
      </w:r>
      <w:r w:rsidRPr="00C20663">
        <w:rPr>
          <w:rFonts w:ascii="Georgia" w:eastAsia="Times New Roman" w:hAnsi="Georgia" w:cs="Times New Roman"/>
        </w:rPr>
        <w:t>s</w:t>
      </w:r>
      <w:r>
        <w:rPr>
          <w:rFonts w:ascii="Georgia" w:eastAsia="Times New Roman" w:hAnsi="Georgia" w:cs="Times New Roman"/>
        </w:rPr>
        <w:t>ection</w:t>
      </w:r>
      <w:r w:rsidRPr="00C20663">
        <w:rPr>
          <w:rFonts w:ascii="Georgia" w:eastAsia="Times New Roman" w:hAnsi="Georgia" w:cs="Times New Roman"/>
        </w:rPr>
        <w:t xml:space="preserve"> 433 </w:t>
      </w:r>
      <w:r>
        <w:rPr>
          <w:rFonts w:ascii="Georgia" w:eastAsia="Times New Roman" w:hAnsi="Georgia" w:cs="Times New Roman"/>
        </w:rPr>
        <w:t xml:space="preserve">governs the priority of employees to circulating assets </w:t>
      </w:r>
      <w:proofErr w:type="gramStart"/>
      <w:r>
        <w:rPr>
          <w:rFonts w:ascii="Georgia" w:eastAsia="Times New Roman" w:hAnsi="Georgia" w:cs="Times New Roman"/>
        </w:rPr>
        <w:t xml:space="preserve">during </w:t>
      </w:r>
      <w:r w:rsidRPr="00C20663">
        <w:rPr>
          <w:rFonts w:ascii="Georgia" w:eastAsia="Times New Roman" w:hAnsi="Georgia" w:cs="Times New Roman"/>
        </w:rPr>
        <w:t xml:space="preserve"> receivership</w:t>
      </w:r>
      <w:proofErr w:type="gramEnd"/>
      <w:r w:rsidRPr="00C20663">
        <w:rPr>
          <w:rFonts w:ascii="Georgia" w:eastAsia="Times New Roman" w:hAnsi="Georgia" w:cs="Times New Roman"/>
        </w:rPr>
        <w:t>, s</w:t>
      </w:r>
      <w:r>
        <w:rPr>
          <w:rFonts w:ascii="Georgia" w:eastAsia="Times New Roman" w:hAnsi="Georgia" w:cs="Times New Roman"/>
        </w:rPr>
        <w:t>ection</w:t>
      </w:r>
      <w:r w:rsidRPr="00C20663">
        <w:rPr>
          <w:rFonts w:ascii="Georgia" w:eastAsia="Times New Roman" w:hAnsi="Georgia" w:cs="Times New Roman"/>
        </w:rPr>
        <w:t xml:space="preserve"> 561 applies</w:t>
      </w:r>
      <w:r>
        <w:rPr>
          <w:rFonts w:ascii="Georgia" w:eastAsia="Times New Roman" w:hAnsi="Georgia" w:cs="Times New Roman"/>
        </w:rPr>
        <w:t xml:space="preserve"> for a similar purpose in</w:t>
      </w:r>
      <w:r w:rsidRPr="00C20663">
        <w:rPr>
          <w:rFonts w:ascii="Georgia" w:eastAsia="Times New Roman" w:hAnsi="Georgia" w:cs="Times New Roman"/>
        </w:rPr>
        <w:t xml:space="preserve"> liquidation. </w:t>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In a winding up, s</w:t>
      </w:r>
      <w:r>
        <w:rPr>
          <w:rFonts w:ascii="Georgia" w:eastAsia="Times New Roman" w:hAnsi="Georgia" w:cs="Times New Roman"/>
        </w:rPr>
        <w:t>ection</w:t>
      </w:r>
      <w:r w:rsidRPr="00C20663">
        <w:rPr>
          <w:rFonts w:ascii="Georgia" w:eastAsia="Times New Roman" w:hAnsi="Georgia" w:cs="Times New Roman"/>
        </w:rPr>
        <w:t xml:space="preserve"> 561 of </w:t>
      </w:r>
      <w:r w:rsidRPr="00CA152F">
        <w:rPr>
          <w:rFonts w:ascii="Georgia" w:eastAsia="Times New Roman" w:hAnsi="Georgia" w:cs="Times New Roman"/>
        </w:rPr>
        <w:t>the Act</w:t>
      </w:r>
      <w:r w:rsidRPr="00C20663">
        <w:rPr>
          <w:rFonts w:ascii="Georgia" w:eastAsia="Times New Roman" w:hAnsi="Georgia" w:cs="Times New Roman"/>
        </w:rPr>
        <w:t xml:space="preserve"> requires the priority payment from circulating assets of employee wages, superannuation, leave and retrenchment entitlements, but only if the company’s unsecured or free assets cannot pay these amounts.</w:t>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The</w:t>
      </w:r>
      <w:r>
        <w:rPr>
          <w:rFonts w:ascii="Georgia" w:eastAsia="Times New Roman" w:hAnsi="Georgia" w:cs="Times New Roman"/>
        </w:rPr>
        <w:t xml:space="preserve"> case law examined above confirms that the</w:t>
      </w:r>
      <w:r w:rsidRPr="00C20663">
        <w:rPr>
          <w:rFonts w:ascii="Georgia" w:eastAsia="Times New Roman" w:hAnsi="Georgia" w:cs="Times New Roman"/>
        </w:rPr>
        <w:t xml:space="preserve"> ‘deeming provision’ will apply in liquidation</w:t>
      </w:r>
      <w:r>
        <w:rPr>
          <w:rFonts w:ascii="Georgia" w:eastAsia="Times New Roman" w:hAnsi="Georgia" w:cs="Times New Roman"/>
        </w:rPr>
        <w:t xml:space="preserve">. Therefore, in a winding up, the deeming provision will be triggered, which will crystallise all accrued (but not yet legally owing) entitlements into a due and payable sum. For continuing </w:t>
      </w:r>
      <w:r>
        <w:rPr>
          <w:rFonts w:ascii="Georgia" w:eastAsia="Times New Roman" w:hAnsi="Georgia" w:cs="Times New Roman"/>
        </w:rPr>
        <w:lastRenderedPageBreak/>
        <w:t>employees, this means that any unapproved or untaken annual or long service leave will be deemed to be due and payable debts by the company under section 558, and will be prioritised from circulating assets.</w:t>
      </w:r>
    </w:p>
    <w:p w:rsidR="00574661" w:rsidRDefault="00574661" w:rsidP="00574661">
      <w:pPr>
        <w:spacing w:after="0"/>
        <w:ind w:firstLine="284"/>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Pr>
          <w:rFonts w:ascii="Georgia" w:eastAsia="Times New Roman" w:hAnsi="Georgia" w:cs="Times New Roman"/>
        </w:rPr>
        <w:t xml:space="preserve">Conversely, the weight of authority has held that the </w:t>
      </w:r>
      <w:r w:rsidRPr="00C20663">
        <w:rPr>
          <w:rFonts w:ascii="Georgia" w:eastAsia="Times New Roman" w:hAnsi="Georgia" w:cs="Times New Roman"/>
        </w:rPr>
        <w:t>‘deeming provision’ will</w:t>
      </w:r>
      <w:r>
        <w:rPr>
          <w:rFonts w:ascii="Georgia" w:eastAsia="Times New Roman" w:hAnsi="Georgia" w:cs="Times New Roman"/>
        </w:rPr>
        <w:t xml:space="preserve"> have no application in receivership alone. Therefore, in receivership, any accrued leave entitlements will retain status as an uncrystallised amount not technically due and payable by the company to the employee. As a result, the employee will not receive a priority payment for such amounts from the circulating assets of the company.</w:t>
      </w:r>
    </w:p>
    <w:p w:rsidR="00574661" w:rsidRDefault="00574661" w:rsidP="00574661">
      <w:pPr>
        <w:spacing w:after="0"/>
        <w:ind w:firstLine="284"/>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Pr>
          <w:rFonts w:ascii="Georgia" w:eastAsia="Times New Roman" w:hAnsi="Georgia" w:cs="Times New Roman"/>
        </w:rPr>
        <w:t>In summary,</w:t>
      </w:r>
      <w:r w:rsidRPr="00C20663">
        <w:rPr>
          <w:rFonts w:ascii="Georgia" w:eastAsia="Times New Roman" w:hAnsi="Georgia" w:cs="Times New Roman"/>
        </w:rPr>
        <w:t xml:space="preserve"> in a winding up, employees will receive accrued leave as a priority, which will not be the case in</w:t>
      </w:r>
      <w:r>
        <w:rPr>
          <w:rFonts w:ascii="Georgia" w:eastAsia="Times New Roman" w:hAnsi="Georgia" w:cs="Times New Roman"/>
        </w:rPr>
        <w:t xml:space="preserve"> a stand-alone</w:t>
      </w:r>
      <w:r w:rsidRPr="00C20663">
        <w:rPr>
          <w:rFonts w:ascii="Georgia" w:eastAsia="Times New Roman" w:hAnsi="Georgia" w:cs="Times New Roman"/>
        </w:rPr>
        <w:t xml:space="preserve"> receivership.</w:t>
      </w:r>
    </w:p>
    <w:p w:rsidR="00574661" w:rsidRPr="00C20663" w:rsidRDefault="00574661" w:rsidP="00574661">
      <w:pPr>
        <w:spacing w:after="0"/>
        <w:ind w:firstLine="284"/>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t xml:space="preserve">In the case of </w:t>
      </w:r>
      <w:r w:rsidRPr="00C20663">
        <w:rPr>
          <w:rFonts w:ascii="Georgia" w:eastAsia="Times New Roman" w:hAnsi="Georgia" w:cs="Times New Roman"/>
          <w:bCs/>
          <w:i/>
          <w:lang w:eastAsia="en-AU"/>
        </w:rPr>
        <w:t>Great Southern</w:t>
      </w:r>
      <w:r w:rsidRPr="00C20663">
        <w:rPr>
          <w:rFonts w:ascii="Georgia" w:eastAsia="Times New Roman" w:hAnsi="Georgia" w:cs="Times New Roman"/>
          <w:bCs/>
          <w:lang w:eastAsia="en-AU"/>
        </w:rPr>
        <w:t>,</w:t>
      </w:r>
      <w:r w:rsidRPr="00C20663">
        <w:rPr>
          <w:rFonts w:ascii="Georgia" w:eastAsiaTheme="majorEastAsia" w:hAnsi="Georgia" w:cs="Times New Roman"/>
          <w:vertAlign w:val="superscript"/>
          <w:lang w:eastAsia="en-AU"/>
        </w:rPr>
        <w:footnoteReference w:id="14"/>
      </w:r>
      <w:r w:rsidRPr="00C20663">
        <w:rPr>
          <w:rFonts w:ascii="Georgia" w:eastAsia="Times New Roman" w:hAnsi="Georgia" w:cs="Times New Roman"/>
          <w:bCs/>
          <w:lang w:eastAsia="en-AU"/>
        </w:rPr>
        <w:t xml:space="preserve"> the receivers of Great Southern Ltd (in </w:t>
      </w:r>
      <w:proofErr w:type="spellStart"/>
      <w:r w:rsidRPr="00C20663">
        <w:rPr>
          <w:rFonts w:ascii="Georgia" w:eastAsia="Times New Roman" w:hAnsi="Georgia" w:cs="Times New Roman"/>
          <w:bCs/>
          <w:lang w:eastAsia="en-AU"/>
        </w:rPr>
        <w:t>liq</w:t>
      </w:r>
      <w:proofErr w:type="spellEnd"/>
      <w:r w:rsidRPr="00C20663">
        <w:rPr>
          <w:rFonts w:ascii="Georgia" w:eastAsia="Times New Roman" w:hAnsi="Georgia" w:cs="Times New Roman"/>
          <w:bCs/>
          <w:lang w:eastAsia="en-AU"/>
        </w:rPr>
        <w:t>) sought directions regarding the operation of s 561 in circumstances where voluntary administrators had also been appointed, and who later became liquidators. Master Sanderson of the Supreme Court of Western Australia found that:</w:t>
      </w:r>
    </w:p>
    <w:p w:rsidR="00574661" w:rsidRPr="00C20663" w:rsidRDefault="00574661" w:rsidP="00574661">
      <w:pPr>
        <w:spacing w:after="0"/>
        <w:jc w:val="both"/>
        <w:rPr>
          <w:rFonts w:ascii="Georgia" w:eastAsia="Times New Roman" w:hAnsi="Georgia" w:cs="Times New Roman"/>
          <w:bCs/>
          <w:lang w:eastAsia="en-AU"/>
        </w:rPr>
      </w:pPr>
    </w:p>
    <w:p w:rsidR="00574661" w:rsidRPr="00C20663" w:rsidRDefault="00574661" w:rsidP="00574661">
      <w:pPr>
        <w:numPr>
          <w:ilvl w:val="0"/>
          <w:numId w:val="3"/>
        </w:numPr>
        <w:spacing w:after="0" w:line="276" w:lineRule="auto"/>
        <w:contextualSpacing/>
        <w:jc w:val="both"/>
        <w:rPr>
          <w:rFonts w:ascii="Georgia" w:eastAsia="Times New Roman" w:hAnsi="Georgia" w:cs="Times New Roman"/>
          <w:bCs/>
          <w:lang w:eastAsia="en-AU"/>
        </w:rPr>
      </w:pPr>
      <w:r w:rsidRPr="00C20663">
        <w:rPr>
          <w:rFonts w:ascii="Georgia" w:eastAsia="Times New Roman" w:hAnsi="Georgia" w:cs="Times New Roman"/>
          <w:bCs/>
          <w:lang w:eastAsia="en-AU"/>
        </w:rPr>
        <w:t>Sections 433 and 561 can be enlivened concurrently;</w:t>
      </w:r>
      <w:r w:rsidRPr="00C20663">
        <w:rPr>
          <w:rFonts w:ascii="Georgia" w:eastAsiaTheme="majorEastAsia" w:hAnsi="Georgia" w:cs="Times New Roman"/>
          <w:vertAlign w:val="superscript"/>
          <w:lang w:eastAsia="en-AU"/>
        </w:rPr>
        <w:footnoteReference w:id="15"/>
      </w:r>
      <w:r w:rsidRPr="00C20663">
        <w:rPr>
          <w:rFonts w:ascii="Georgia" w:eastAsia="Times New Roman" w:hAnsi="Georgia" w:cs="Times New Roman"/>
          <w:bCs/>
          <w:lang w:eastAsia="en-AU"/>
        </w:rPr>
        <w:t xml:space="preserve"> and</w:t>
      </w:r>
    </w:p>
    <w:p w:rsidR="00574661" w:rsidRPr="00C20663" w:rsidRDefault="00574661" w:rsidP="00574661">
      <w:pPr>
        <w:spacing w:after="0"/>
        <w:ind w:left="885"/>
        <w:contextualSpacing/>
        <w:jc w:val="both"/>
        <w:rPr>
          <w:rFonts w:ascii="Georgia" w:eastAsia="Times New Roman" w:hAnsi="Georgia" w:cs="Times New Roman"/>
          <w:bCs/>
          <w:lang w:eastAsia="en-AU"/>
        </w:rPr>
      </w:pPr>
    </w:p>
    <w:p w:rsidR="00574661" w:rsidRPr="00C20663" w:rsidRDefault="00574661" w:rsidP="00574661">
      <w:pPr>
        <w:numPr>
          <w:ilvl w:val="0"/>
          <w:numId w:val="3"/>
        </w:numPr>
        <w:spacing w:after="0" w:line="276" w:lineRule="auto"/>
        <w:contextualSpacing/>
        <w:jc w:val="both"/>
        <w:rPr>
          <w:rFonts w:ascii="Georgia" w:eastAsia="Times New Roman" w:hAnsi="Georgia" w:cs="Times New Roman"/>
          <w:bCs/>
          <w:lang w:eastAsia="en-AU"/>
        </w:rPr>
      </w:pPr>
      <w:proofErr w:type="gramStart"/>
      <w:r w:rsidRPr="00C20663">
        <w:rPr>
          <w:rFonts w:ascii="Georgia" w:eastAsia="Times New Roman" w:hAnsi="Georgia" w:cs="Times New Roman"/>
          <w:bCs/>
          <w:lang w:eastAsia="en-AU"/>
        </w:rPr>
        <w:t>the</w:t>
      </w:r>
      <w:proofErr w:type="gramEnd"/>
      <w:r w:rsidRPr="00C20663">
        <w:rPr>
          <w:rFonts w:ascii="Georgia" w:eastAsia="Times New Roman" w:hAnsi="Georgia" w:cs="Times New Roman"/>
          <w:bCs/>
          <w:lang w:eastAsia="en-AU"/>
        </w:rPr>
        <w:t xml:space="preserve"> receivers were firstly obliged to meet the debts or claims under s 433 in accordance with </w:t>
      </w:r>
      <w:r w:rsidRPr="00C20663">
        <w:rPr>
          <w:rFonts w:ascii="Georgia" w:eastAsia="Times New Roman" w:hAnsi="Georgia" w:cs="Times New Roman"/>
          <w:bCs/>
          <w:i/>
          <w:lang w:eastAsia="en-AU"/>
        </w:rPr>
        <w:t xml:space="preserve">McEvoy </w:t>
      </w:r>
      <w:r w:rsidRPr="00C20663">
        <w:rPr>
          <w:rFonts w:ascii="Georgia" w:eastAsia="Times New Roman" w:hAnsi="Georgia" w:cs="Times New Roman"/>
          <w:bCs/>
          <w:lang w:eastAsia="en-AU"/>
        </w:rPr>
        <w:t xml:space="preserve">and </w:t>
      </w:r>
      <w:r w:rsidRPr="00C20663">
        <w:rPr>
          <w:rFonts w:ascii="Georgia" w:eastAsia="Times New Roman" w:hAnsi="Georgia" w:cs="Times New Roman"/>
          <w:bCs/>
          <w:i/>
          <w:lang w:eastAsia="en-AU"/>
        </w:rPr>
        <w:t>Vickers,</w:t>
      </w:r>
      <w:r w:rsidRPr="00C20663">
        <w:rPr>
          <w:rFonts w:ascii="Georgia" w:eastAsiaTheme="majorEastAsia" w:hAnsi="Georgia" w:cs="Times New Roman"/>
          <w:vertAlign w:val="superscript"/>
          <w:lang w:eastAsia="en-AU"/>
        </w:rPr>
        <w:footnoteReference w:id="16"/>
      </w:r>
      <w:r w:rsidRPr="00C20663">
        <w:rPr>
          <w:rFonts w:ascii="Georgia" w:eastAsia="Times New Roman" w:hAnsi="Georgia" w:cs="Times New Roman"/>
          <w:bCs/>
          <w:lang w:eastAsia="en-AU"/>
        </w:rPr>
        <w:t xml:space="preserve"> which would result in the employees </w:t>
      </w:r>
      <w:r w:rsidRPr="00C20663">
        <w:rPr>
          <w:rFonts w:ascii="Georgia" w:eastAsia="Times New Roman" w:hAnsi="Georgia" w:cs="Times New Roman"/>
          <w:bCs/>
          <w:u w:val="single"/>
          <w:lang w:eastAsia="en-AU"/>
        </w:rPr>
        <w:t>not</w:t>
      </w:r>
      <w:r w:rsidRPr="00C20663">
        <w:rPr>
          <w:rFonts w:ascii="Georgia" w:eastAsia="Times New Roman" w:hAnsi="Georgia" w:cs="Times New Roman"/>
          <w:bCs/>
          <w:lang w:eastAsia="en-AU"/>
        </w:rPr>
        <w:t xml:space="preserve"> receiving accrued leave </w:t>
      </w:r>
      <w:r>
        <w:rPr>
          <w:rFonts w:ascii="Georgia" w:eastAsia="Times New Roman" w:hAnsi="Georgia" w:cs="Times New Roman"/>
          <w:bCs/>
          <w:lang w:eastAsia="en-AU"/>
        </w:rPr>
        <w:t>as a priority</w:t>
      </w:r>
      <w:r w:rsidRPr="00C20663">
        <w:rPr>
          <w:rFonts w:ascii="Georgia" w:eastAsia="Times New Roman" w:hAnsi="Georgia" w:cs="Times New Roman"/>
          <w:bCs/>
          <w:lang w:eastAsia="en-AU"/>
        </w:rPr>
        <w:t>. Subsequent to this payment, and in anticipation of the company being wound up and the deeming provision being triggered</w:t>
      </w:r>
      <w:r>
        <w:rPr>
          <w:rFonts w:ascii="Georgia" w:eastAsia="Times New Roman" w:hAnsi="Georgia" w:cs="Times New Roman"/>
          <w:bCs/>
          <w:lang w:eastAsia="en-AU"/>
        </w:rPr>
        <w:t xml:space="preserve"> in the future</w:t>
      </w:r>
      <w:r w:rsidRPr="00C20663">
        <w:rPr>
          <w:rFonts w:ascii="Georgia" w:eastAsia="Times New Roman" w:hAnsi="Georgia" w:cs="Times New Roman"/>
          <w:bCs/>
          <w:lang w:eastAsia="en-AU"/>
        </w:rPr>
        <w:t>,</w:t>
      </w:r>
      <w:r w:rsidRPr="00C20663">
        <w:rPr>
          <w:rFonts w:ascii="Georgia" w:eastAsiaTheme="majorEastAsia" w:hAnsi="Georgia" w:cs="Times New Roman"/>
          <w:vertAlign w:val="superscript"/>
          <w:lang w:eastAsia="en-AU"/>
        </w:rPr>
        <w:footnoteReference w:id="17"/>
      </w:r>
      <w:r w:rsidRPr="00C20663">
        <w:rPr>
          <w:rFonts w:ascii="Georgia" w:eastAsia="Times New Roman" w:hAnsi="Georgia" w:cs="Times New Roman"/>
          <w:bCs/>
          <w:lang w:eastAsia="en-AU"/>
        </w:rPr>
        <w:t xml:space="preserve"> the receivers were entitled to hold on trust further circulating asset proceeds to meet the accrued leave entitlements.</w:t>
      </w:r>
      <w:r w:rsidRPr="00C20663">
        <w:rPr>
          <w:rFonts w:ascii="Georgia" w:eastAsiaTheme="majorEastAsia" w:hAnsi="Georgia" w:cs="Times New Roman"/>
          <w:vertAlign w:val="superscript"/>
          <w:lang w:eastAsia="en-AU"/>
        </w:rPr>
        <w:footnoteReference w:id="18"/>
      </w:r>
      <w:r w:rsidRPr="00C20663">
        <w:rPr>
          <w:rFonts w:ascii="Georgia" w:eastAsia="Times New Roman" w:hAnsi="Georgia" w:cs="Times New Roman"/>
          <w:bCs/>
          <w:lang w:eastAsia="en-AU"/>
        </w:rPr>
        <w:t xml:space="preserve"> The entitlement to hold these funds on trust (the ‘</w:t>
      </w:r>
      <w:r w:rsidRPr="00C20663">
        <w:rPr>
          <w:rFonts w:ascii="Georgia" w:eastAsia="Times New Roman" w:hAnsi="Georgia" w:cs="Times New Roman"/>
          <w:bCs/>
          <w:i/>
          <w:lang w:eastAsia="en-AU"/>
        </w:rPr>
        <w:t>section 561 trust</w:t>
      </w:r>
      <w:r w:rsidRPr="00C20663">
        <w:rPr>
          <w:rFonts w:ascii="Georgia" w:eastAsia="Times New Roman" w:hAnsi="Georgia" w:cs="Times New Roman"/>
          <w:bCs/>
          <w:lang w:eastAsia="en-AU"/>
        </w:rPr>
        <w:t>’) would mean that these amounts could not, for the moment, be paid by the receivers in reduction of their appointers’ secured debt.</w:t>
      </w:r>
    </w:p>
    <w:p w:rsidR="00574661" w:rsidRPr="00C20663" w:rsidRDefault="00574661" w:rsidP="00574661">
      <w:pPr>
        <w:spacing w:after="0"/>
        <w:jc w:val="both"/>
        <w:rPr>
          <w:rFonts w:ascii="Georgia" w:eastAsia="Times New Roman" w:hAnsi="Georgia" w:cs="Times New Roman"/>
          <w:bCs/>
          <w:lang w:eastAsia="en-AU"/>
        </w:rPr>
      </w:pPr>
    </w:p>
    <w:p w:rsidR="00574661"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t>In February 2013, and pursuant to the orders made by the Supreme Court of Western Australia, the receivers of Great Southern transferred to the liquidators of that entity funds subject to the ‘section 561 trust’ referred to by Master Sanderson.</w:t>
      </w:r>
      <w:r>
        <w:rPr>
          <w:rFonts w:ascii="Georgia" w:eastAsia="Times New Roman" w:hAnsi="Georgia" w:cs="Times New Roman"/>
          <w:bCs/>
          <w:lang w:eastAsia="en-AU"/>
        </w:rPr>
        <w:t xml:space="preserve"> </w:t>
      </w:r>
      <w:r w:rsidRPr="00C20663">
        <w:rPr>
          <w:rFonts w:ascii="Georgia" w:eastAsia="Times New Roman" w:hAnsi="Georgia" w:cs="Times New Roman"/>
          <w:bCs/>
          <w:lang w:eastAsia="en-AU"/>
        </w:rPr>
        <w:t>Whilst the secured creditors of Great Southern had been repaid</w:t>
      </w:r>
      <w:r>
        <w:rPr>
          <w:rFonts w:ascii="Georgia" w:eastAsia="Times New Roman" w:hAnsi="Georgia" w:cs="Times New Roman"/>
          <w:bCs/>
          <w:lang w:eastAsia="en-AU"/>
        </w:rPr>
        <w:t xml:space="preserve"> by other means</w:t>
      </w:r>
      <w:r w:rsidRPr="00C20663">
        <w:rPr>
          <w:rFonts w:ascii="Georgia" w:eastAsia="Times New Roman" w:hAnsi="Georgia" w:cs="Times New Roman"/>
          <w:bCs/>
          <w:lang w:eastAsia="en-AU"/>
        </w:rPr>
        <w:t>, there were not enough</w:t>
      </w:r>
      <w:r>
        <w:rPr>
          <w:rFonts w:ascii="Georgia" w:eastAsia="Times New Roman" w:hAnsi="Georgia" w:cs="Times New Roman"/>
          <w:bCs/>
          <w:lang w:eastAsia="en-AU"/>
        </w:rPr>
        <w:t xml:space="preserve"> general</w:t>
      </w:r>
      <w:r w:rsidRPr="00C20663">
        <w:rPr>
          <w:rFonts w:ascii="Georgia" w:eastAsia="Times New Roman" w:hAnsi="Georgia" w:cs="Times New Roman"/>
          <w:bCs/>
          <w:lang w:eastAsia="en-AU"/>
        </w:rPr>
        <w:t xml:space="preserve"> funds available for payment of</w:t>
      </w:r>
      <w:r>
        <w:rPr>
          <w:rFonts w:ascii="Georgia" w:eastAsia="Times New Roman" w:hAnsi="Georgia" w:cs="Times New Roman"/>
          <w:bCs/>
          <w:lang w:eastAsia="en-AU"/>
        </w:rPr>
        <w:t xml:space="preserve"> </w:t>
      </w:r>
      <w:r w:rsidRPr="00C20663">
        <w:rPr>
          <w:rFonts w:ascii="Georgia" w:eastAsia="Times New Roman" w:hAnsi="Georgia" w:cs="Times New Roman"/>
          <w:bCs/>
          <w:lang w:eastAsia="en-AU"/>
        </w:rPr>
        <w:t xml:space="preserve">the costs </w:t>
      </w:r>
      <w:r>
        <w:rPr>
          <w:rFonts w:ascii="Georgia" w:eastAsia="Times New Roman" w:hAnsi="Georgia" w:cs="Times New Roman"/>
          <w:bCs/>
          <w:lang w:eastAsia="en-AU"/>
        </w:rPr>
        <w:t>of the liquidation, as well as</w:t>
      </w:r>
      <w:r w:rsidRPr="00C20663">
        <w:rPr>
          <w:rFonts w:ascii="Georgia" w:eastAsia="Times New Roman" w:hAnsi="Georgia" w:cs="Times New Roman"/>
          <w:bCs/>
          <w:lang w:eastAsia="en-AU"/>
        </w:rPr>
        <w:t xml:space="preserve"> the balance of priority employee entitlements, which</w:t>
      </w:r>
      <w:r>
        <w:rPr>
          <w:rFonts w:ascii="Georgia" w:eastAsia="Times New Roman" w:hAnsi="Georgia" w:cs="Times New Roman"/>
          <w:bCs/>
          <w:lang w:eastAsia="en-AU"/>
        </w:rPr>
        <w:t>,</w:t>
      </w:r>
      <w:r w:rsidRPr="00C20663">
        <w:rPr>
          <w:rFonts w:ascii="Georgia" w:eastAsia="Times New Roman" w:hAnsi="Georgia" w:cs="Times New Roman"/>
          <w:bCs/>
          <w:lang w:eastAsia="en-AU"/>
        </w:rPr>
        <w:t xml:space="preserve"> whilst still a priority, </w:t>
      </w:r>
      <w:r>
        <w:rPr>
          <w:rFonts w:ascii="Georgia" w:eastAsia="Times New Roman" w:hAnsi="Georgia" w:cs="Times New Roman"/>
          <w:bCs/>
          <w:lang w:eastAsia="en-AU"/>
        </w:rPr>
        <w:t>ranked lower than any costs of the liquidation</w:t>
      </w:r>
      <w:r w:rsidRPr="00C20663">
        <w:rPr>
          <w:rFonts w:ascii="Georgia" w:eastAsia="Times New Roman" w:hAnsi="Georgia" w:cs="Times New Roman"/>
          <w:bCs/>
          <w:lang w:eastAsia="en-AU"/>
        </w:rPr>
        <w:t>.</w:t>
      </w:r>
      <w:r>
        <w:rPr>
          <w:rStyle w:val="FootnoteReference"/>
          <w:rFonts w:ascii="Georgia" w:eastAsia="Times New Roman" w:hAnsi="Georgia" w:cs="Times New Roman"/>
          <w:bCs/>
          <w:lang w:eastAsia="en-AU"/>
        </w:rPr>
        <w:footnoteReference w:id="19"/>
      </w:r>
      <w:r w:rsidRPr="00C20663">
        <w:rPr>
          <w:rFonts w:ascii="Georgia" w:eastAsia="Times New Roman" w:hAnsi="Georgia" w:cs="Times New Roman"/>
          <w:bCs/>
          <w:lang w:eastAsia="en-AU"/>
        </w:rPr>
        <w:t xml:space="preserve"> </w:t>
      </w:r>
    </w:p>
    <w:p w:rsidR="00574661" w:rsidRPr="00C20663" w:rsidRDefault="00574661" w:rsidP="00574661">
      <w:pPr>
        <w:spacing w:after="0"/>
        <w:ind w:firstLine="284"/>
        <w:jc w:val="both"/>
        <w:rPr>
          <w:rFonts w:ascii="Georgia" w:eastAsia="Times New Roman" w:hAnsi="Georgia" w:cs="Times New Roman"/>
          <w:bCs/>
          <w:lang w:eastAsia="en-AU"/>
        </w:rPr>
      </w:pPr>
    </w:p>
    <w:p w:rsidR="00574661"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t>The liquidators applied to the Federal Court of Australia seeking clarification as to whether the funds transferred to them by the receivers were in fact held on trust for the benefit of the employees, or if they could instead be applied towards the amounts owed to the liquidators</w:t>
      </w:r>
      <w:r>
        <w:rPr>
          <w:rFonts w:ascii="Georgia" w:eastAsia="Times New Roman" w:hAnsi="Georgia" w:cs="Times New Roman"/>
          <w:bCs/>
          <w:lang w:eastAsia="en-AU"/>
        </w:rPr>
        <w:t>,</w:t>
      </w:r>
      <w:r w:rsidRPr="00C20663">
        <w:rPr>
          <w:rFonts w:ascii="Georgia" w:eastAsiaTheme="majorEastAsia" w:hAnsi="Georgia" w:cs="Times New Roman"/>
          <w:vertAlign w:val="superscript"/>
          <w:lang w:eastAsia="en-AU"/>
        </w:rPr>
        <w:footnoteReference w:id="20"/>
      </w:r>
      <w:r>
        <w:rPr>
          <w:rFonts w:ascii="Georgia" w:eastAsia="Times New Roman" w:hAnsi="Georgia" w:cs="Times New Roman"/>
          <w:bCs/>
          <w:lang w:eastAsia="en-AU"/>
        </w:rPr>
        <w:t xml:space="preserve"> in accordance with the order or priority established by section 556 of the Act.</w:t>
      </w:r>
    </w:p>
    <w:p w:rsidR="00574661" w:rsidRPr="00C20663" w:rsidRDefault="00574661" w:rsidP="00574661">
      <w:pPr>
        <w:spacing w:after="0"/>
        <w:ind w:firstLine="284"/>
        <w:jc w:val="both"/>
        <w:rPr>
          <w:rFonts w:ascii="Georgia" w:eastAsia="Times New Roman" w:hAnsi="Georgia" w:cs="Times New Roman"/>
          <w:bCs/>
          <w:lang w:eastAsia="en-AU"/>
        </w:rPr>
      </w:pPr>
    </w:p>
    <w:p w:rsidR="00574661" w:rsidRPr="00C20663"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lastRenderedPageBreak/>
        <w:t xml:space="preserve">Justice McKerracher of the Federal Court of Australia found, in his reasons for judgment in </w:t>
      </w:r>
      <w:proofErr w:type="spellStart"/>
      <w:r w:rsidRPr="00C20663">
        <w:rPr>
          <w:rFonts w:ascii="Georgia" w:eastAsia="Times New Roman" w:hAnsi="Georgia" w:cs="Times New Roman"/>
          <w:bCs/>
          <w:i/>
          <w:lang w:eastAsia="en-AU"/>
        </w:rPr>
        <w:t>Saker</w:t>
      </w:r>
      <w:proofErr w:type="spellEnd"/>
      <w:r w:rsidRPr="00C20663">
        <w:rPr>
          <w:rFonts w:ascii="Georgia" w:eastAsia="Times New Roman" w:hAnsi="Georgia" w:cs="Times New Roman"/>
          <w:bCs/>
          <w:i/>
          <w:lang w:eastAsia="en-AU"/>
        </w:rPr>
        <w:t>, in the matter of Great Southern Ltd</w:t>
      </w:r>
      <w:r w:rsidRPr="00C20663">
        <w:rPr>
          <w:rFonts w:ascii="Georgia" w:eastAsia="Times New Roman" w:hAnsi="Georgia" w:cs="Times New Roman"/>
          <w:bCs/>
          <w:lang w:eastAsia="en-AU"/>
        </w:rPr>
        <w:t>,</w:t>
      </w:r>
      <w:r w:rsidRPr="00C20663">
        <w:rPr>
          <w:rFonts w:ascii="Georgia" w:eastAsiaTheme="majorEastAsia" w:hAnsi="Georgia" w:cs="Times New Roman"/>
          <w:vertAlign w:val="superscript"/>
          <w:lang w:eastAsia="en-AU"/>
        </w:rPr>
        <w:footnoteReference w:id="21"/>
      </w:r>
      <w:r>
        <w:rPr>
          <w:rFonts w:ascii="Georgia" w:eastAsia="Times New Roman" w:hAnsi="Georgia" w:cs="Times New Roman"/>
          <w:bCs/>
          <w:lang w:eastAsia="en-AU"/>
        </w:rPr>
        <w:t xml:space="preserve"> </w:t>
      </w:r>
      <w:r w:rsidRPr="00C20663">
        <w:rPr>
          <w:rFonts w:ascii="Georgia" w:eastAsia="Times New Roman" w:hAnsi="Georgia" w:cs="Times New Roman"/>
          <w:bCs/>
          <w:lang w:eastAsia="en-AU"/>
        </w:rPr>
        <w:t>that:</w:t>
      </w:r>
    </w:p>
    <w:p w:rsidR="00574661" w:rsidRPr="00C20663" w:rsidRDefault="00574661" w:rsidP="00574661">
      <w:pPr>
        <w:spacing w:after="0"/>
        <w:jc w:val="both"/>
        <w:rPr>
          <w:rFonts w:ascii="Georgia" w:eastAsia="Times New Roman" w:hAnsi="Georgia" w:cs="Times New Roman"/>
          <w:bCs/>
          <w:lang w:eastAsia="en-AU"/>
        </w:rPr>
      </w:pPr>
    </w:p>
    <w:p w:rsidR="00574661" w:rsidRPr="00C20663" w:rsidRDefault="00574661" w:rsidP="00574661">
      <w:pPr>
        <w:numPr>
          <w:ilvl w:val="0"/>
          <w:numId w:val="2"/>
        </w:numPr>
        <w:spacing w:after="0" w:line="276" w:lineRule="auto"/>
        <w:contextualSpacing/>
        <w:jc w:val="both"/>
        <w:rPr>
          <w:rFonts w:ascii="Georgia" w:eastAsia="Times New Roman" w:hAnsi="Georgia" w:cs="Times New Roman"/>
          <w:bCs/>
          <w:lang w:eastAsia="en-AU"/>
        </w:rPr>
      </w:pPr>
      <w:r w:rsidRPr="00C20663">
        <w:rPr>
          <w:rFonts w:ascii="Georgia" w:eastAsia="Times New Roman" w:hAnsi="Georgia" w:cs="Times New Roman"/>
          <w:bCs/>
          <w:lang w:eastAsia="en-AU"/>
        </w:rPr>
        <w:t>Notwithstanding the findings of the Supreme Court of Western Australia, no trust in fact existed with respect to the amounts transferred from the receivers to the liquidators,</w:t>
      </w:r>
      <w:r w:rsidRPr="00C20663">
        <w:rPr>
          <w:rFonts w:ascii="Georgia" w:eastAsiaTheme="majorEastAsia" w:hAnsi="Georgia" w:cs="Times New Roman"/>
          <w:vertAlign w:val="superscript"/>
          <w:lang w:eastAsia="en-AU"/>
        </w:rPr>
        <w:footnoteReference w:id="22"/>
      </w:r>
      <w:r w:rsidRPr="00C20663">
        <w:rPr>
          <w:rFonts w:ascii="Georgia" w:eastAsia="Times New Roman" w:hAnsi="Georgia" w:cs="Times New Roman"/>
          <w:bCs/>
          <w:lang w:eastAsia="en-AU"/>
        </w:rPr>
        <w:t xml:space="preserve"> and accordingly the liquidators were not trustees with respect to those funds.</w:t>
      </w:r>
      <w:r w:rsidRPr="00C20663">
        <w:rPr>
          <w:rFonts w:ascii="Georgia" w:eastAsiaTheme="majorEastAsia" w:hAnsi="Georgia" w:cs="Times New Roman"/>
          <w:vertAlign w:val="superscript"/>
          <w:lang w:eastAsia="en-AU"/>
        </w:rPr>
        <w:footnoteReference w:id="23"/>
      </w:r>
    </w:p>
    <w:p w:rsidR="00574661" w:rsidRPr="00C20663" w:rsidRDefault="00574661" w:rsidP="00574661">
      <w:pPr>
        <w:spacing w:after="0"/>
        <w:ind w:left="720"/>
        <w:contextualSpacing/>
        <w:jc w:val="both"/>
        <w:rPr>
          <w:rFonts w:ascii="Georgia" w:eastAsia="Times New Roman" w:hAnsi="Georgia" w:cs="Times New Roman"/>
          <w:bCs/>
          <w:lang w:eastAsia="en-AU"/>
        </w:rPr>
      </w:pPr>
    </w:p>
    <w:p w:rsidR="00574661" w:rsidRPr="00C20663" w:rsidRDefault="00574661" w:rsidP="00574661">
      <w:pPr>
        <w:numPr>
          <w:ilvl w:val="0"/>
          <w:numId w:val="2"/>
        </w:numPr>
        <w:spacing w:after="0" w:line="276" w:lineRule="auto"/>
        <w:contextualSpacing/>
        <w:jc w:val="both"/>
        <w:rPr>
          <w:rFonts w:ascii="Georgia" w:eastAsia="Times New Roman" w:hAnsi="Georgia" w:cs="Times New Roman"/>
          <w:bCs/>
          <w:lang w:eastAsia="en-AU"/>
        </w:rPr>
      </w:pPr>
      <w:r w:rsidRPr="00C20663">
        <w:rPr>
          <w:rFonts w:ascii="Georgia" w:eastAsia="Times New Roman" w:hAnsi="Georgia" w:cs="Times New Roman"/>
          <w:bCs/>
          <w:lang w:eastAsia="en-AU"/>
        </w:rPr>
        <w:t xml:space="preserve">As no ‘section 561 trust’ existed, the liquidators were free to apply the amounts transferred by the receivers towards payment of their own costs in accordance with s 556 of </w:t>
      </w:r>
      <w:r w:rsidRPr="00CA152F">
        <w:rPr>
          <w:rFonts w:ascii="Georgia" w:eastAsia="Times New Roman" w:hAnsi="Georgia" w:cs="Times New Roman"/>
        </w:rPr>
        <w:t>the Act</w:t>
      </w:r>
      <w:r w:rsidRPr="00C20663">
        <w:rPr>
          <w:rFonts w:ascii="Georgia" w:eastAsia="Times New Roman" w:hAnsi="Georgia" w:cs="Times New Roman"/>
          <w:bCs/>
          <w:lang w:eastAsia="en-AU"/>
        </w:rPr>
        <w:t>.</w:t>
      </w:r>
      <w:r w:rsidRPr="00C20663">
        <w:rPr>
          <w:rFonts w:ascii="Georgia" w:eastAsiaTheme="majorEastAsia" w:hAnsi="Georgia" w:cs="Times New Roman"/>
          <w:vertAlign w:val="superscript"/>
          <w:lang w:eastAsia="en-AU"/>
        </w:rPr>
        <w:footnoteReference w:id="24"/>
      </w:r>
    </w:p>
    <w:p w:rsidR="00574661" w:rsidRPr="00C20663" w:rsidRDefault="00574661" w:rsidP="00574661">
      <w:pPr>
        <w:spacing w:after="0"/>
        <w:jc w:val="both"/>
        <w:rPr>
          <w:rFonts w:ascii="Georgia" w:eastAsia="Times New Roman" w:hAnsi="Georgia" w:cs="Times New Roman"/>
          <w:bCs/>
          <w:i/>
          <w:lang w:eastAsia="en-AU"/>
        </w:rPr>
      </w:pPr>
    </w:p>
    <w:p w:rsidR="00574661" w:rsidRDefault="00574661" w:rsidP="00574661">
      <w:pPr>
        <w:spacing w:after="0"/>
        <w:jc w:val="both"/>
        <w:rPr>
          <w:rFonts w:ascii="Georgia" w:eastAsia="Times New Roman" w:hAnsi="Georgia" w:cs="Times New Roman"/>
          <w:szCs w:val="20"/>
        </w:rPr>
      </w:pPr>
      <w:r w:rsidRPr="00C20663">
        <w:rPr>
          <w:rFonts w:ascii="Georgia" w:eastAsia="Times New Roman" w:hAnsi="Georgia" w:cs="Times New Roman"/>
          <w:bCs/>
          <w:lang w:eastAsia="en-AU"/>
        </w:rPr>
        <w:t xml:space="preserve">McKerracher J </w:t>
      </w:r>
      <w:r w:rsidRPr="00C20663">
        <w:rPr>
          <w:rFonts w:ascii="Georgia" w:eastAsia="Times New Roman" w:hAnsi="Georgia" w:cs="Times New Roman"/>
          <w:szCs w:val="20"/>
        </w:rPr>
        <w:t xml:space="preserve">required the applicant liquidators to consider, as part of their duties, if the receivers of Great Southern failed to discharge </w:t>
      </w:r>
      <w:r>
        <w:rPr>
          <w:rFonts w:ascii="Georgia" w:eastAsia="Times New Roman" w:hAnsi="Georgia" w:cs="Times New Roman"/>
          <w:szCs w:val="20"/>
        </w:rPr>
        <w:t>any</w:t>
      </w:r>
      <w:r w:rsidRPr="00C20663">
        <w:rPr>
          <w:rFonts w:ascii="Georgia" w:eastAsia="Times New Roman" w:hAnsi="Georgia" w:cs="Times New Roman"/>
          <w:szCs w:val="20"/>
        </w:rPr>
        <w:t xml:space="preserve"> duty under s</w:t>
      </w:r>
      <w:r>
        <w:rPr>
          <w:rFonts w:ascii="Georgia" w:eastAsia="Times New Roman" w:hAnsi="Georgia" w:cs="Times New Roman"/>
          <w:szCs w:val="20"/>
        </w:rPr>
        <w:t>ection</w:t>
      </w:r>
      <w:r w:rsidRPr="00C20663">
        <w:rPr>
          <w:rFonts w:ascii="Georgia" w:eastAsia="Times New Roman" w:hAnsi="Georgia" w:cs="Times New Roman"/>
          <w:szCs w:val="20"/>
        </w:rPr>
        <w:t> 561, by not paying entitlements to employees from circulating asset proceeds.</w:t>
      </w:r>
      <w:r w:rsidRPr="00C20663">
        <w:rPr>
          <w:rFonts w:ascii="Georgia" w:eastAsiaTheme="majorEastAsia" w:hAnsi="Georgia" w:cs="Times New Roman"/>
          <w:szCs w:val="20"/>
          <w:vertAlign w:val="superscript"/>
        </w:rPr>
        <w:footnoteReference w:id="25"/>
      </w:r>
      <w:r>
        <w:rPr>
          <w:rFonts w:ascii="Georgia" w:eastAsia="Times New Roman" w:hAnsi="Georgia" w:cs="Times New Roman"/>
          <w:szCs w:val="20"/>
        </w:rPr>
        <w:t xml:space="preserve"> In other words, were the receivers required by s 561 at any stage to use circulating assets proceeds to pay accrued leave entitlements, rather than merely holding those funds in trust or causing them to be transferred to the liquidator.</w:t>
      </w:r>
    </w:p>
    <w:p w:rsidR="00574661" w:rsidRPr="00C20663" w:rsidRDefault="00574661" w:rsidP="00574661">
      <w:pPr>
        <w:spacing w:after="0"/>
        <w:jc w:val="both"/>
        <w:rPr>
          <w:rFonts w:ascii="Georgia" w:eastAsia="Times New Roman" w:hAnsi="Georgia" w:cs="Times New Roman"/>
          <w:szCs w:val="20"/>
        </w:rPr>
      </w:pPr>
    </w:p>
    <w:p w:rsidR="00574661"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t xml:space="preserve">In summary, the Court in </w:t>
      </w:r>
      <w:proofErr w:type="spellStart"/>
      <w:r w:rsidRPr="00C20663">
        <w:rPr>
          <w:rFonts w:ascii="Georgia" w:eastAsia="Times New Roman" w:hAnsi="Georgia" w:cs="Times New Roman"/>
          <w:bCs/>
          <w:i/>
          <w:lang w:eastAsia="en-AU"/>
        </w:rPr>
        <w:t>Saker</w:t>
      </w:r>
      <w:proofErr w:type="spellEnd"/>
      <w:r>
        <w:rPr>
          <w:rFonts w:ascii="Georgia" w:eastAsia="Times New Roman" w:hAnsi="Georgia" w:cs="Times New Roman"/>
          <w:bCs/>
          <w:i/>
          <w:lang w:eastAsia="en-AU"/>
        </w:rPr>
        <w:t xml:space="preserve"> </w:t>
      </w:r>
      <w:r>
        <w:rPr>
          <w:rFonts w:ascii="Georgia" w:eastAsia="Times New Roman" w:hAnsi="Georgia" w:cs="Times New Roman"/>
          <w:bCs/>
          <w:lang w:eastAsia="en-AU"/>
        </w:rPr>
        <w:t>found that</w:t>
      </w:r>
      <w:r w:rsidRPr="00C20663">
        <w:rPr>
          <w:rFonts w:ascii="Georgia" w:eastAsia="Times New Roman" w:hAnsi="Georgia" w:cs="Times New Roman"/>
          <w:bCs/>
          <w:lang w:eastAsia="en-AU"/>
        </w:rPr>
        <w:t xml:space="preserve"> the ordering of priority payments in a winding up </w:t>
      </w:r>
      <w:r>
        <w:rPr>
          <w:rFonts w:ascii="Georgia" w:eastAsia="Times New Roman" w:hAnsi="Georgia" w:cs="Times New Roman"/>
          <w:bCs/>
          <w:lang w:eastAsia="en-AU"/>
        </w:rPr>
        <w:t>set out</w:t>
      </w:r>
      <w:r w:rsidRPr="00C20663">
        <w:rPr>
          <w:rFonts w:ascii="Georgia" w:eastAsia="Times New Roman" w:hAnsi="Georgia" w:cs="Times New Roman"/>
          <w:bCs/>
          <w:lang w:eastAsia="en-AU"/>
        </w:rPr>
        <w:t xml:space="preserve"> in s 556 of </w:t>
      </w:r>
      <w:r w:rsidRPr="00CA152F">
        <w:rPr>
          <w:rFonts w:ascii="Georgia" w:eastAsia="Times New Roman" w:hAnsi="Georgia" w:cs="Times New Roman"/>
        </w:rPr>
        <w:t>the Act</w:t>
      </w:r>
      <w:r>
        <w:rPr>
          <w:rFonts w:ascii="Georgia" w:eastAsia="Times New Roman" w:hAnsi="Georgia" w:cs="Times New Roman"/>
        </w:rPr>
        <w:t xml:space="preserve"> </w:t>
      </w:r>
      <w:r>
        <w:rPr>
          <w:rFonts w:ascii="Georgia" w:eastAsia="Times New Roman" w:hAnsi="Georgia" w:cs="Times New Roman"/>
          <w:bCs/>
          <w:lang w:eastAsia="en-AU"/>
        </w:rPr>
        <w:t>was unaffected by</w:t>
      </w:r>
      <w:r w:rsidRPr="00C20663">
        <w:rPr>
          <w:rFonts w:ascii="Georgia" w:eastAsia="Times New Roman" w:hAnsi="Georgia" w:cs="Times New Roman"/>
          <w:bCs/>
          <w:lang w:eastAsia="en-AU"/>
        </w:rPr>
        <w:t xml:space="preserve"> the ‘section 561 trust’ </w:t>
      </w:r>
      <w:r>
        <w:rPr>
          <w:rFonts w:ascii="Georgia" w:eastAsia="Times New Roman" w:hAnsi="Georgia" w:cs="Times New Roman"/>
          <w:bCs/>
          <w:lang w:eastAsia="en-AU"/>
        </w:rPr>
        <w:t>concept</w:t>
      </w:r>
      <w:r w:rsidRPr="00C20663">
        <w:rPr>
          <w:rFonts w:ascii="Georgia" w:eastAsia="Times New Roman" w:hAnsi="Georgia" w:cs="Times New Roman"/>
          <w:bCs/>
          <w:lang w:eastAsia="en-AU"/>
        </w:rPr>
        <w:t xml:space="preserve"> which had </w:t>
      </w:r>
      <w:r>
        <w:rPr>
          <w:rFonts w:ascii="Georgia" w:eastAsia="Times New Roman" w:hAnsi="Georgia" w:cs="Times New Roman"/>
          <w:bCs/>
          <w:lang w:eastAsia="en-AU"/>
        </w:rPr>
        <w:t xml:space="preserve">been created in </w:t>
      </w:r>
      <w:r>
        <w:rPr>
          <w:rFonts w:ascii="Georgia" w:eastAsia="Times New Roman" w:hAnsi="Georgia" w:cs="Times New Roman"/>
          <w:bCs/>
          <w:i/>
          <w:lang w:eastAsia="en-AU"/>
        </w:rPr>
        <w:t xml:space="preserve">Great Southern </w:t>
      </w:r>
      <w:r>
        <w:rPr>
          <w:rFonts w:ascii="Georgia" w:eastAsia="Times New Roman" w:hAnsi="Georgia" w:cs="Times New Roman"/>
          <w:bCs/>
          <w:lang w:eastAsia="en-AU"/>
        </w:rPr>
        <w:t xml:space="preserve">for the benefit </w:t>
      </w:r>
      <w:r w:rsidRPr="00C20663">
        <w:rPr>
          <w:rFonts w:ascii="Georgia" w:eastAsia="Times New Roman" w:hAnsi="Georgia" w:cs="Times New Roman"/>
          <w:bCs/>
          <w:lang w:eastAsia="en-AU"/>
        </w:rPr>
        <w:t>of the employees.</w:t>
      </w:r>
      <w:r w:rsidRPr="00C20663">
        <w:rPr>
          <w:rFonts w:ascii="Georgia" w:eastAsiaTheme="majorEastAsia" w:hAnsi="Georgia" w:cs="Times New Roman"/>
          <w:vertAlign w:val="superscript"/>
          <w:lang w:eastAsia="en-AU"/>
        </w:rPr>
        <w:footnoteReference w:id="26"/>
      </w:r>
      <w:r w:rsidRPr="00C20663">
        <w:rPr>
          <w:rFonts w:ascii="Georgia" w:eastAsia="Times New Roman" w:hAnsi="Georgia" w:cs="Times New Roman"/>
          <w:bCs/>
          <w:lang w:eastAsia="en-AU"/>
        </w:rPr>
        <w:t xml:space="preserve">  </w:t>
      </w:r>
    </w:p>
    <w:p w:rsidR="00574661" w:rsidRDefault="00574661" w:rsidP="00574661">
      <w:pPr>
        <w:spacing w:after="0"/>
        <w:ind w:firstLine="284"/>
        <w:jc w:val="both"/>
        <w:rPr>
          <w:rFonts w:ascii="Georgia" w:eastAsia="Times New Roman" w:hAnsi="Georgia" w:cs="Times New Roman"/>
          <w:bCs/>
          <w:lang w:eastAsia="en-AU"/>
        </w:rPr>
      </w:pPr>
    </w:p>
    <w:p w:rsidR="00574661"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t xml:space="preserve">As a result, receivers do not appear to be subject to any specific obligation to act as trustees over circulating asset proceeds, for example to meet accrued leave, when it is anticipated that s 561 and the deeming provision </w:t>
      </w:r>
      <w:r w:rsidRPr="003C2DD9">
        <w:rPr>
          <w:rFonts w:ascii="Georgia" w:eastAsia="Times New Roman" w:hAnsi="Georgia" w:cs="Times New Roman"/>
          <w:bCs/>
          <w:lang w:eastAsia="en-AU"/>
        </w:rPr>
        <w:t>may be enlivened in the future</w:t>
      </w:r>
      <w:r w:rsidRPr="00C20663">
        <w:rPr>
          <w:rFonts w:ascii="Georgia" w:eastAsia="Times New Roman" w:hAnsi="Georgia" w:cs="Times New Roman"/>
          <w:bCs/>
          <w:lang w:eastAsia="en-AU"/>
        </w:rPr>
        <w:t>.</w:t>
      </w:r>
      <w:r>
        <w:rPr>
          <w:rFonts w:ascii="Georgia" w:eastAsia="Times New Roman" w:hAnsi="Georgia" w:cs="Times New Roman"/>
          <w:bCs/>
          <w:lang w:eastAsia="en-AU"/>
        </w:rPr>
        <w:t xml:space="preserve"> </w:t>
      </w:r>
    </w:p>
    <w:p w:rsidR="00574661" w:rsidRDefault="00574661" w:rsidP="00574661">
      <w:pPr>
        <w:spacing w:after="0"/>
        <w:ind w:firstLine="284"/>
        <w:jc w:val="both"/>
        <w:rPr>
          <w:rFonts w:ascii="Georgia" w:eastAsia="Times New Roman" w:hAnsi="Georgia" w:cs="Times New Roman"/>
          <w:bCs/>
          <w:lang w:eastAsia="en-AU"/>
        </w:rPr>
      </w:pPr>
    </w:p>
    <w:p w:rsidR="00574661" w:rsidRPr="00C20663" w:rsidRDefault="00574661" w:rsidP="00574661">
      <w:pPr>
        <w:spacing w:after="0"/>
        <w:jc w:val="both"/>
        <w:rPr>
          <w:rFonts w:ascii="Georgia" w:eastAsia="Times New Roman" w:hAnsi="Georgia" w:cs="Times New Roman"/>
          <w:bCs/>
          <w:lang w:eastAsia="en-AU"/>
        </w:rPr>
      </w:pPr>
      <w:proofErr w:type="spellStart"/>
      <w:r>
        <w:rPr>
          <w:rFonts w:ascii="Georgia" w:eastAsia="Times New Roman" w:hAnsi="Georgia" w:cs="Times New Roman"/>
          <w:bCs/>
          <w:i/>
          <w:lang w:eastAsia="en-AU"/>
        </w:rPr>
        <w:t>Saker</w:t>
      </w:r>
      <w:proofErr w:type="spellEnd"/>
      <w:r>
        <w:rPr>
          <w:rFonts w:ascii="Georgia" w:eastAsia="Times New Roman" w:hAnsi="Georgia" w:cs="Times New Roman"/>
          <w:bCs/>
          <w:lang w:eastAsia="en-AU"/>
        </w:rPr>
        <w:t xml:space="preserve"> detracted from an employee’s claim to accrued leave entitlements. This is because, following </w:t>
      </w:r>
      <w:proofErr w:type="spellStart"/>
      <w:r>
        <w:rPr>
          <w:rFonts w:ascii="Georgia" w:eastAsia="Times New Roman" w:hAnsi="Georgia" w:cs="Times New Roman"/>
          <w:bCs/>
          <w:i/>
          <w:lang w:eastAsia="en-AU"/>
        </w:rPr>
        <w:t>Saker</w:t>
      </w:r>
      <w:proofErr w:type="spellEnd"/>
      <w:r>
        <w:rPr>
          <w:rFonts w:ascii="Georgia" w:eastAsia="Times New Roman" w:hAnsi="Georgia" w:cs="Times New Roman"/>
          <w:bCs/>
          <w:lang w:eastAsia="en-AU"/>
        </w:rPr>
        <w:t xml:space="preserve">, circulating asset proceeds may be paid to the company’s secured creditor by a receiver, instead of being retained until the company is wound up, when those amounts would be prioritised in favour of the employee. </w:t>
      </w:r>
    </w:p>
    <w:p w:rsidR="00574661" w:rsidRPr="00CA152F" w:rsidRDefault="00574661" w:rsidP="00574661">
      <w:pPr>
        <w:keepLines/>
        <w:spacing w:before="200" w:after="0"/>
        <w:jc w:val="both"/>
        <w:outlineLvl w:val="2"/>
        <w:rPr>
          <w:rFonts w:ascii="Georgia" w:eastAsiaTheme="majorEastAsia" w:hAnsi="Georgia" w:cstheme="majorBidi"/>
          <w:b/>
          <w:bCs/>
          <w:i/>
          <w:lang w:eastAsia="en-AU"/>
        </w:rPr>
      </w:pPr>
      <w:r w:rsidRPr="00CA152F">
        <w:rPr>
          <w:rFonts w:ascii="Georgia" w:eastAsiaTheme="majorEastAsia" w:hAnsi="Georgia" w:cstheme="majorBidi"/>
          <w:b/>
          <w:bCs/>
          <w:i/>
          <w:lang w:eastAsia="en-AU"/>
        </w:rPr>
        <w:t>Deeming provision in concurrent winding up and receivership</w:t>
      </w:r>
    </w:p>
    <w:p w:rsidR="00574661" w:rsidRPr="00C20663" w:rsidRDefault="00574661" w:rsidP="00574661">
      <w:pPr>
        <w:spacing w:after="0"/>
        <w:ind w:firstLine="720"/>
        <w:jc w:val="both"/>
        <w:rPr>
          <w:rFonts w:ascii="Georgia" w:eastAsia="Times New Roman" w:hAnsi="Georgia" w:cs="Times New Roman"/>
          <w:bCs/>
          <w:i/>
          <w:lang w:eastAsia="en-AU"/>
        </w:rPr>
      </w:pPr>
    </w:p>
    <w:p w:rsidR="00574661" w:rsidRDefault="00574661" w:rsidP="00574661">
      <w:pPr>
        <w:spacing w:after="0"/>
        <w:jc w:val="both"/>
        <w:rPr>
          <w:rFonts w:ascii="Georgia" w:eastAsia="Times New Roman" w:hAnsi="Georgia" w:cs="Times New Roman"/>
          <w:bCs/>
          <w:lang w:eastAsia="en-AU"/>
        </w:rPr>
      </w:pPr>
      <w:r>
        <w:rPr>
          <w:rFonts w:ascii="Georgia" w:eastAsia="Times New Roman" w:hAnsi="Georgia" w:cs="Times New Roman"/>
          <w:bCs/>
          <w:lang w:eastAsia="en-AU"/>
        </w:rPr>
        <w:t xml:space="preserve">It is not uncommon for a company to be subject to the appointment of receivers and liquidators at the same time. </w:t>
      </w:r>
    </w:p>
    <w:p w:rsidR="00574661" w:rsidRDefault="00574661" w:rsidP="00574661">
      <w:pPr>
        <w:spacing w:after="0"/>
        <w:jc w:val="both"/>
        <w:rPr>
          <w:rFonts w:ascii="Georgia" w:eastAsia="Times New Roman" w:hAnsi="Georgia" w:cs="Times New Roman"/>
          <w:bCs/>
          <w:lang w:eastAsia="en-AU"/>
        </w:rPr>
      </w:pPr>
    </w:p>
    <w:p w:rsidR="00574661" w:rsidRDefault="00574661" w:rsidP="00574661">
      <w:pPr>
        <w:spacing w:after="0"/>
        <w:jc w:val="both"/>
        <w:rPr>
          <w:rFonts w:ascii="Georgia" w:eastAsia="Times New Roman" w:hAnsi="Georgia" w:cs="Times New Roman"/>
          <w:bCs/>
          <w:lang w:eastAsia="en-AU"/>
        </w:rPr>
      </w:pPr>
      <w:r w:rsidRPr="005E2637">
        <w:rPr>
          <w:rFonts w:ascii="Georgia" w:eastAsia="Times New Roman" w:hAnsi="Georgia" w:cs="Times New Roman"/>
          <w:bCs/>
          <w:lang w:eastAsia="en-AU"/>
        </w:rPr>
        <w:t xml:space="preserve">In </w:t>
      </w:r>
      <w:proofErr w:type="spellStart"/>
      <w:r w:rsidRPr="005E2637">
        <w:rPr>
          <w:rFonts w:ascii="Georgia" w:eastAsia="Times New Roman" w:hAnsi="Georgia" w:cs="Times New Roman"/>
          <w:bCs/>
          <w:i/>
          <w:lang w:eastAsia="en-AU"/>
        </w:rPr>
        <w:t>ExDvD</w:t>
      </w:r>
      <w:proofErr w:type="spellEnd"/>
      <w:r w:rsidRPr="005E2637">
        <w:rPr>
          <w:rFonts w:ascii="Georgia" w:eastAsia="Times New Roman" w:hAnsi="Georgia" w:cs="Times New Roman"/>
          <w:bCs/>
          <w:lang w:eastAsia="en-AU"/>
        </w:rPr>
        <w:t xml:space="preserve"> the Federal Court of Australia determined that payments made by the receivers of</w:t>
      </w:r>
      <w:r w:rsidRPr="00387525">
        <w:rPr>
          <w:rFonts w:ascii="Georgia" w:eastAsia="Times New Roman" w:hAnsi="Georgia" w:cs="Times New Roman"/>
          <w:bCs/>
          <w:lang w:eastAsia="en-AU"/>
        </w:rPr>
        <w:t xml:space="preserve"> </w:t>
      </w:r>
      <w:proofErr w:type="spellStart"/>
      <w:r w:rsidRPr="00387525">
        <w:rPr>
          <w:rFonts w:ascii="Georgia" w:eastAsia="Times New Roman" w:hAnsi="Georgia" w:cs="Times New Roman"/>
          <w:bCs/>
          <w:lang w:eastAsia="en-AU"/>
        </w:rPr>
        <w:t>ExDVD</w:t>
      </w:r>
      <w:proofErr w:type="spellEnd"/>
      <w:r w:rsidRPr="00387525">
        <w:rPr>
          <w:rFonts w:ascii="Georgia" w:eastAsia="Times New Roman" w:hAnsi="Georgia" w:cs="Times New Roman"/>
          <w:bCs/>
          <w:lang w:eastAsia="en-AU"/>
        </w:rPr>
        <w:t xml:space="preserve"> Pty Ltd (in </w:t>
      </w:r>
      <w:proofErr w:type="spellStart"/>
      <w:r w:rsidRPr="00387525">
        <w:rPr>
          <w:rFonts w:ascii="Georgia" w:eastAsia="Times New Roman" w:hAnsi="Georgia" w:cs="Times New Roman"/>
          <w:bCs/>
          <w:lang w:eastAsia="en-AU"/>
        </w:rPr>
        <w:t>liq</w:t>
      </w:r>
      <w:proofErr w:type="spellEnd"/>
      <w:r w:rsidRPr="00387525">
        <w:rPr>
          <w:rFonts w:ascii="Georgia" w:eastAsia="Times New Roman" w:hAnsi="Georgia" w:cs="Times New Roman"/>
          <w:bCs/>
          <w:lang w:eastAsia="en-AU"/>
        </w:rPr>
        <w:t>) to employees had been properly made under s 433. In this case, voluntary administrators had been appointed on the same day as the receivers, and subsequently became the liquidators pursuant to a creditors’ resolution.</w:t>
      </w:r>
      <w:r w:rsidRPr="00387525">
        <w:rPr>
          <w:rFonts w:ascii="Georgia" w:eastAsiaTheme="majorEastAsia" w:hAnsi="Georgia" w:cs="Times New Roman"/>
          <w:vertAlign w:val="superscript"/>
          <w:lang w:eastAsia="en-AU"/>
        </w:rPr>
        <w:footnoteReference w:id="27"/>
      </w:r>
    </w:p>
    <w:p w:rsidR="00574661" w:rsidRPr="00387525" w:rsidRDefault="00574661" w:rsidP="00574661">
      <w:pPr>
        <w:spacing w:after="0"/>
        <w:jc w:val="both"/>
        <w:rPr>
          <w:rFonts w:ascii="Georgia" w:eastAsia="Times New Roman" w:hAnsi="Georgia" w:cs="Times New Roman"/>
          <w:bCs/>
          <w:lang w:eastAsia="en-AU"/>
        </w:rPr>
      </w:pPr>
    </w:p>
    <w:p w:rsidR="00574661" w:rsidRDefault="00574661" w:rsidP="00574661">
      <w:pPr>
        <w:spacing w:after="0"/>
        <w:jc w:val="both"/>
        <w:rPr>
          <w:rFonts w:ascii="Georgia" w:eastAsia="Times New Roman" w:hAnsi="Georgia" w:cs="Times New Roman"/>
          <w:bCs/>
          <w:lang w:eastAsia="en-AU"/>
        </w:rPr>
      </w:pPr>
      <w:r w:rsidRPr="00387525">
        <w:rPr>
          <w:rFonts w:ascii="Georgia" w:eastAsia="Times New Roman" w:hAnsi="Georgia" w:cs="Times New Roman"/>
          <w:bCs/>
          <w:lang w:eastAsia="en-AU"/>
        </w:rPr>
        <w:lastRenderedPageBreak/>
        <w:t>During the receivership a variety of employee entitlements had be</w:t>
      </w:r>
      <w:r w:rsidRPr="00A36F3E">
        <w:rPr>
          <w:rFonts w:ascii="Georgia" w:eastAsia="Times New Roman" w:hAnsi="Georgia" w:cs="Times New Roman"/>
          <w:bCs/>
          <w:lang w:eastAsia="en-AU"/>
        </w:rPr>
        <w:t>en paid by the receivers, including amounts by way of leave of absence and retrenchment payments.</w:t>
      </w:r>
    </w:p>
    <w:p w:rsidR="00574661" w:rsidRPr="00C20663" w:rsidRDefault="00574661" w:rsidP="00574661">
      <w:pPr>
        <w:spacing w:after="0"/>
        <w:jc w:val="both"/>
        <w:rPr>
          <w:rFonts w:ascii="Georgia" w:eastAsia="Times New Roman" w:hAnsi="Georgia" w:cs="Times New Roman"/>
          <w:bCs/>
          <w:lang w:eastAsia="en-AU"/>
        </w:rPr>
      </w:pPr>
    </w:p>
    <w:p w:rsidR="00574661" w:rsidRPr="00C20663"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t>In confirming each payment had been properly made by the receivers pursuant to s 433, White J found that:</w:t>
      </w:r>
    </w:p>
    <w:p w:rsidR="00574661" w:rsidRPr="00C20663" w:rsidRDefault="00574661" w:rsidP="00574661">
      <w:pPr>
        <w:spacing w:after="0"/>
        <w:jc w:val="both"/>
        <w:rPr>
          <w:rFonts w:ascii="Georgia" w:eastAsia="Times New Roman" w:hAnsi="Georgia" w:cs="Times New Roman"/>
          <w:bCs/>
          <w:lang w:eastAsia="en-AU"/>
        </w:rPr>
      </w:pPr>
    </w:p>
    <w:p w:rsidR="00574661" w:rsidRPr="00CA152F" w:rsidRDefault="00574661" w:rsidP="00574661">
      <w:pPr>
        <w:numPr>
          <w:ilvl w:val="0"/>
          <w:numId w:val="4"/>
        </w:numPr>
        <w:spacing w:after="0" w:line="276" w:lineRule="auto"/>
        <w:contextualSpacing/>
        <w:jc w:val="both"/>
        <w:rPr>
          <w:rFonts w:ascii="Georgia" w:eastAsia="Times New Roman" w:hAnsi="Georgia" w:cs="Times New Roman"/>
          <w:bCs/>
          <w:lang w:eastAsia="en-AU"/>
        </w:rPr>
      </w:pPr>
      <w:r w:rsidRPr="00C20663">
        <w:rPr>
          <w:rFonts w:ascii="Georgia" w:eastAsia="Times New Roman" w:hAnsi="Georgia" w:cs="Times New Roman"/>
        </w:rPr>
        <w:t>Section 433 does not cease to operate after a company commences to be wound up;</w:t>
      </w:r>
      <w:r w:rsidRPr="00C20663">
        <w:rPr>
          <w:rFonts w:ascii="Georgia" w:eastAsiaTheme="majorEastAsia" w:hAnsi="Georgia" w:cs="Times New Roman"/>
          <w:vertAlign w:val="superscript"/>
        </w:rPr>
        <w:footnoteReference w:id="28"/>
      </w:r>
    </w:p>
    <w:p w:rsidR="00574661" w:rsidRPr="00C20663" w:rsidRDefault="00574661" w:rsidP="00574661">
      <w:pPr>
        <w:spacing w:after="0"/>
        <w:ind w:left="720"/>
        <w:contextualSpacing/>
        <w:jc w:val="both"/>
        <w:rPr>
          <w:rFonts w:ascii="Georgia" w:eastAsia="Times New Roman" w:hAnsi="Georgia" w:cs="Times New Roman"/>
          <w:bCs/>
          <w:lang w:eastAsia="en-AU"/>
        </w:rPr>
      </w:pPr>
    </w:p>
    <w:p w:rsidR="00574661" w:rsidRDefault="00574661" w:rsidP="00574661">
      <w:pPr>
        <w:numPr>
          <w:ilvl w:val="0"/>
          <w:numId w:val="4"/>
        </w:numPr>
        <w:spacing w:after="0" w:line="276" w:lineRule="auto"/>
        <w:contextualSpacing/>
        <w:jc w:val="both"/>
        <w:rPr>
          <w:rFonts w:ascii="Georgia" w:eastAsia="Times New Roman" w:hAnsi="Georgia" w:cs="Times New Roman"/>
          <w:bCs/>
          <w:lang w:eastAsia="en-AU"/>
        </w:rPr>
      </w:pPr>
      <w:r w:rsidRPr="00C20663">
        <w:rPr>
          <w:rFonts w:ascii="Georgia" w:eastAsia="Times New Roman" w:hAnsi="Georgia" w:cs="Times New Roman"/>
          <w:bCs/>
          <w:lang w:eastAsia="en-AU"/>
        </w:rPr>
        <w:t>s 561 does not supplant s 433,</w:t>
      </w:r>
      <w:r w:rsidRPr="00C20663">
        <w:rPr>
          <w:rFonts w:ascii="Georgia" w:eastAsiaTheme="majorEastAsia" w:hAnsi="Georgia" w:cs="Times New Roman"/>
          <w:vertAlign w:val="superscript"/>
          <w:lang w:eastAsia="en-AU"/>
        </w:rPr>
        <w:footnoteReference w:id="29"/>
      </w:r>
      <w:r w:rsidRPr="00C20663">
        <w:rPr>
          <w:rFonts w:ascii="Georgia" w:eastAsia="Times New Roman" w:hAnsi="Georgia" w:cs="Times New Roman"/>
          <w:bCs/>
          <w:lang w:eastAsia="en-AU"/>
        </w:rPr>
        <w:t xml:space="preserve"> and thus they can operate concurrently;</w:t>
      </w:r>
    </w:p>
    <w:p w:rsidR="00574661" w:rsidRPr="005E2637" w:rsidRDefault="00574661" w:rsidP="00574661">
      <w:pPr>
        <w:spacing w:after="0"/>
        <w:contextualSpacing/>
        <w:jc w:val="both"/>
        <w:rPr>
          <w:rFonts w:ascii="Georgia" w:eastAsia="Times New Roman" w:hAnsi="Georgia" w:cs="Times New Roman"/>
          <w:bCs/>
          <w:lang w:eastAsia="en-AU"/>
        </w:rPr>
      </w:pPr>
    </w:p>
    <w:p w:rsidR="00574661" w:rsidRDefault="00574661" w:rsidP="00574661">
      <w:pPr>
        <w:numPr>
          <w:ilvl w:val="0"/>
          <w:numId w:val="4"/>
        </w:numPr>
        <w:spacing w:after="0" w:line="276" w:lineRule="auto"/>
        <w:contextualSpacing/>
        <w:jc w:val="both"/>
        <w:rPr>
          <w:rFonts w:ascii="Georgia" w:eastAsia="Times New Roman" w:hAnsi="Georgia" w:cs="Times New Roman"/>
          <w:bCs/>
          <w:lang w:eastAsia="en-AU"/>
        </w:rPr>
      </w:pPr>
      <w:r w:rsidRPr="00C20663">
        <w:rPr>
          <w:rFonts w:ascii="Georgia" w:eastAsia="Times New Roman" w:hAnsi="Georgia" w:cs="Times New Roman"/>
          <w:bCs/>
          <w:lang w:eastAsia="en-AU"/>
        </w:rPr>
        <w:t xml:space="preserve">whilst the Federal Court in </w:t>
      </w:r>
      <w:r w:rsidRPr="00C20663">
        <w:rPr>
          <w:rFonts w:ascii="Georgia" w:eastAsia="Times New Roman" w:hAnsi="Georgia" w:cs="Times New Roman"/>
          <w:bCs/>
          <w:i/>
          <w:lang w:eastAsia="en-AU"/>
        </w:rPr>
        <w:t xml:space="preserve">McEvoy, Vickers, </w:t>
      </w:r>
      <w:r w:rsidRPr="00C20663">
        <w:rPr>
          <w:rFonts w:ascii="Georgia" w:eastAsia="Times New Roman" w:hAnsi="Georgia" w:cs="Times New Roman"/>
          <w:bCs/>
          <w:lang w:eastAsia="en-AU"/>
        </w:rPr>
        <w:t xml:space="preserve">and </w:t>
      </w:r>
      <w:r w:rsidRPr="00C20663">
        <w:rPr>
          <w:rFonts w:ascii="Georgia" w:eastAsia="Times New Roman" w:hAnsi="Georgia" w:cs="Times New Roman"/>
          <w:bCs/>
          <w:i/>
          <w:lang w:eastAsia="en-AU"/>
        </w:rPr>
        <w:t xml:space="preserve">White v Norman </w:t>
      </w:r>
      <w:r w:rsidRPr="00C20663">
        <w:rPr>
          <w:rFonts w:ascii="Georgia" w:eastAsia="Times New Roman" w:hAnsi="Georgia" w:cs="Times New Roman"/>
          <w:bCs/>
          <w:lang w:eastAsia="en-AU"/>
        </w:rPr>
        <w:t>had found that the deeming provision has no application in receiverships, these cases were decided in the context of a</w:t>
      </w:r>
      <w:r>
        <w:rPr>
          <w:rFonts w:ascii="Georgia" w:eastAsia="Times New Roman" w:hAnsi="Georgia" w:cs="Times New Roman"/>
          <w:bCs/>
          <w:lang w:eastAsia="en-AU"/>
        </w:rPr>
        <w:t xml:space="preserve"> stand-alone</w:t>
      </w:r>
      <w:r w:rsidRPr="00C20663">
        <w:rPr>
          <w:rFonts w:ascii="Georgia" w:eastAsia="Times New Roman" w:hAnsi="Georgia" w:cs="Times New Roman"/>
          <w:bCs/>
          <w:lang w:eastAsia="en-AU"/>
        </w:rPr>
        <w:t xml:space="preserve"> receivership;</w:t>
      </w:r>
      <w:r w:rsidRPr="00C20663">
        <w:rPr>
          <w:rFonts w:ascii="Georgia" w:eastAsiaTheme="majorEastAsia" w:hAnsi="Georgia" w:cs="Times New Roman"/>
          <w:vertAlign w:val="superscript"/>
          <w:lang w:eastAsia="en-AU"/>
        </w:rPr>
        <w:footnoteReference w:id="30"/>
      </w:r>
      <w:r w:rsidRPr="00C20663">
        <w:rPr>
          <w:rFonts w:ascii="Georgia" w:eastAsia="Times New Roman" w:hAnsi="Georgia" w:cs="Times New Roman"/>
          <w:bCs/>
          <w:lang w:eastAsia="en-AU"/>
        </w:rPr>
        <w:t xml:space="preserve"> and</w:t>
      </w:r>
    </w:p>
    <w:p w:rsidR="00574661" w:rsidRPr="00C20663" w:rsidRDefault="00574661" w:rsidP="00574661">
      <w:pPr>
        <w:spacing w:after="0"/>
        <w:contextualSpacing/>
        <w:jc w:val="both"/>
        <w:rPr>
          <w:rFonts w:ascii="Georgia" w:eastAsia="Times New Roman" w:hAnsi="Georgia" w:cs="Times New Roman"/>
          <w:bCs/>
          <w:lang w:eastAsia="en-AU"/>
        </w:rPr>
      </w:pPr>
    </w:p>
    <w:p w:rsidR="00574661" w:rsidRPr="00C20663" w:rsidRDefault="00574661" w:rsidP="00574661">
      <w:pPr>
        <w:numPr>
          <w:ilvl w:val="0"/>
          <w:numId w:val="4"/>
        </w:numPr>
        <w:spacing w:after="0" w:line="276" w:lineRule="auto"/>
        <w:contextualSpacing/>
        <w:jc w:val="both"/>
        <w:rPr>
          <w:rFonts w:ascii="Georgia" w:eastAsia="Times New Roman" w:hAnsi="Georgia" w:cs="Times New Roman"/>
          <w:bCs/>
          <w:lang w:eastAsia="en-AU"/>
        </w:rPr>
      </w:pPr>
      <w:proofErr w:type="gramStart"/>
      <w:r w:rsidRPr="00C20663">
        <w:rPr>
          <w:rFonts w:ascii="Georgia" w:eastAsia="Times New Roman" w:hAnsi="Georgia" w:cs="Times New Roman"/>
          <w:bCs/>
          <w:lang w:eastAsia="en-AU"/>
        </w:rPr>
        <w:t>there</w:t>
      </w:r>
      <w:proofErr w:type="gramEnd"/>
      <w:r w:rsidRPr="00C20663">
        <w:rPr>
          <w:rFonts w:ascii="Georgia" w:eastAsia="Times New Roman" w:hAnsi="Georgia" w:cs="Times New Roman"/>
          <w:bCs/>
          <w:lang w:eastAsia="en-AU"/>
        </w:rPr>
        <w:t xml:space="preserve"> is no reason why the deeming provision would not be invoked when a company in receivership later commences to be wound up.</w:t>
      </w:r>
      <w:r w:rsidRPr="00C20663">
        <w:rPr>
          <w:rFonts w:ascii="Georgia" w:eastAsiaTheme="majorEastAsia" w:hAnsi="Georgia" w:cs="Times New Roman"/>
          <w:vertAlign w:val="superscript"/>
          <w:lang w:eastAsia="en-AU"/>
        </w:rPr>
        <w:footnoteReference w:id="31"/>
      </w:r>
    </w:p>
    <w:p w:rsidR="00574661" w:rsidRPr="00C20663" w:rsidRDefault="00574661" w:rsidP="00574661">
      <w:pPr>
        <w:spacing w:after="0"/>
        <w:ind w:firstLine="284"/>
        <w:jc w:val="both"/>
        <w:rPr>
          <w:rFonts w:ascii="Georgia" w:eastAsia="Times New Roman" w:hAnsi="Georgia" w:cs="Times New Roman"/>
          <w:bCs/>
          <w:lang w:eastAsia="en-AU"/>
        </w:rPr>
      </w:pPr>
    </w:p>
    <w:p w:rsidR="00574661" w:rsidRPr="00C20663" w:rsidRDefault="00574661" w:rsidP="00574661">
      <w:pPr>
        <w:spacing w:after="0"/>
        <w:jc w:val="both"/>
        <w:rPr>
          <w:rFonts w:ascii="Georgia" w:eastAsia="Times New Roman" w:hAnsi="Georgia" w:cs="Times New Roman"/>
          <w:bCs/>
          <w:lang w:eastAsia="en-AU"/>
        </w:rPr>
      </w:pPr>
      <w:r w:rsidRPr="00C20663">
        <w:rPr>
          <w:rFonts w:ascii="Georgia" w:eastAsia="Times New Roman" w:hAnsi="Georgia" w:cs="Times New Roman"/>
          <w:bCs/>
          <w:lang w:eastAsia="en-AU"/>
        </w:rPr>
        <w:t>In accordance with these findings, White J found that s 558 had crystallised entitlements (including leave and retrenchment payments) as at the date of the appointment of receivers</w:t>
      </w:r>
      <w:r>
        <w:rPr>
          <w:rFonts w:ascii="Georgia" w:eastAsia="Times New Roman" w:hAnsi="Georgia" w:cs="Times New Roman"/>
          <w:bCs/>
          <w:lang w:eastAsia="en-AU"/>
        </w:rPr>
        <w:t xml:space="preserve"> and voluntary administrators</w:t>
      </w:r>
      <w:r w:rsidRPr="00C20663">
        <w:rPr>
          <w:rFonts w:ascii="Georgia" w:eastAsia="Times New Roman" w:hAnsi="Georgia" w:cs="Times New Roman"/>
          <w:bCs/>
          <w:lang w:eastAsia="en-AU"/>
        </w:rPr>
        <w:t>, and required the receivers to pay these as a priority under s 433.</w:t>
      </w:r>
      <w:r w:rsidRPr="00C20663">
        <w:rPr>
          <w:rFonts w:ascii="Georgia" w:eastAsiaTheme="majorEastAsia" w:hAnsi="Georgia" w:cs="Times New Roman"/>
          <w:vertAlign w:val="superscript"/>
          <w:lang w:eastAsia="en-AU"/>
        </w:rPr>
        <w:footnoteReference w:id="32"/>
      </w:r>
    </w:p>
    <w:p w:rsidR="00574661" w:rsidRPr="00C20663" w:rsidRDefault="00574661" w:rsidP="00574661">
      <w:pPr>
        <w:spacing w:after="0"/>
        <w:jc w:val="both"/>
        <w:rPr>
          <w:rFonts w:ascii="Georgia" w:eastAsia="Times New Roman" w:hAnsi="Georgia" w:cs="Times New Roman"/>
          <w:szCs w:val="20"/>
        </w:rPr>
      </w:pPr>
    </w:p>
    <w:p w:rsidR="00574661" w:rsidRPr="00CA152F" w:rsidRDefault="00574661" w:rsidP="00574661">
      <w:pPr>
        <w:spacing w:after="0"/>
        <w:jc w:val="both"/>
        <w:rPr>
          <w:rFonts w:ascii="Georgia" w:eastAsia="Times New Roman" w:hAnsi="Georgia" w:cs="Times New Roman"/>
          <w:b/>
          <w:i/>
        </w:rPr>
      </w:pPr>
      <w:r w:rsidRPr="00CA152F">
        <w:rPr>
          <w:rFonts w:ascii="Georgia" w:eastAsia="Times New Roman" w:hAnsi="Georgia" w:cs="Times New Roman"/>
          <w:b/>
          <w:i/>
        </w:rPr>
        <w:t xml:space="preserve">Summary – deeming provision and leave of absence </w:t>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bCs/>
          <w:i/>
          <w:lang w:eastAsia="en-AU"/>
        </w:rPr>
        <w:t>McEvoy</w:t>
      </w:r>
      <w:r w:rsidRPr="00C20663">
        <w:rPr>
          <w:rFonts w:ascii="Georgia" w:eastAsia="Times New Roman" w:hAnsi="Georgia" w:cs="Times New Roman"/>
          <w:bCs/>
          <w:lang w:eastAsia="en-AU"/>
        </w:rPr>
        <w:t xml:space="preserve"> and</w:t>
      </w:r>
      <w:r w:rsidRPr="00C20663">
        <w:rPr>
          <w:rFonts w:ascii="Georgia" w:eastAsia="Times New Roman" w:hAnsi="Georgia" w:cs="Times New Roman"/>
          <w:bCs/>
          <w:i/>
          <w:lang w:eastAsia="en-AU"/>
        </w:rPr>
        <w:t xml:space="preserve"> Vickers </w:t>
      </w:r>
      <w:r w:rsidRPr="00C20663">
        <w:rPr>
          <w:rFonts w:ascii="Georgia" w:eastAsia="Times New Roman" w:hAnsi="Georgia" w:cs="Times New Roman"/>
          <w:bCs/>
          <w:lang w:eastAsia="en-AU"/>
        </w:rPr>
        <w:t xml:space="preserve">found that when in receivership, s 558 will have no application. In consequence, accrued leave will not be prioritised, unless the employee is expressly terminated on or before the day of the receivers’ appointment. </w:t>
      </w:r>
      <w:r w:rsidRPr="00C20663">
        <w:rPr>
          <w:rFonts w:ascii="Georgia" w:eastAsia="Times New Roman" w:hAnsi="Georgia" w:cs="Times New Roman"/>
        </w:rPr>
        <w:t xml:space="preserve">A practical and alarming effect of these cases is that an employee terminated by receivers on the day of </w:t>
      </w:r>
      <w:r>
        <w:rPr>
          <w:rFonts w:ascii="Georgia" w:eastAsia="Times New Roman" w:hAnsi="Georgia" w:cs="Times New Roman"/>
        </w:rPr>
        <w:t>the receivers’</w:t>
      </w:r>
      <w:r w:rsidRPr="00C20663">
        <w:rPr>
          <w:rFonts w:ascii="Georgia" w:eastAsia="Times New Roman" w:hAnsi="Georgia" w:cs="Times New Roman"/>
        </w:rPr>
        <w:t xml:space="preserve"> appointment </w:t>
      </w:r>
      <w:r w:rsidRPr="00C20663">
        <w:rPr>
          <w:rFonts w:ascii="Georgia" w:eastAsia="Times New Roman" w:hAnsi="Georgia" w:cs="Times New Roman"/>
          <w:i/>
        </w:rPr>
        <w:t>will</w:t>
      </w:r>
      <w:r w:rsidRPr="00C20663">
        <w:rPr>
          <w:rFonts w:ascii="Georgia" w:eastAsia="Times New Roman" w:hAnsi="Georgia" w:cs="Times New Roman"/>
        </w:rPr>
        <w:t xml:space="preserve"> receive accrued leave as a priority, but would miss out on this priority entirely if terminated </w:t>
      </w:r>
      <w:r w:rsidRPr="00C20663">
        <w:rPr>
          <w:rFonts w:ascii="Georgia" w:eastAsia="Times New Roman" w:hAnsi="Georgia" w:cs="Times New Roman"/>
          <w:i/>
        </w:rPr>
        <w:t>the very next day</w:t>
      </w:r>
      <w:r w:rsidRPr="00C20663">
        <w:rPr>
          <w:rFonts w:ascii="Georgia" w:eastAsia="Times New Roman" w:hAnsi="Georgia" w:cs="Times New Roman"/>
        </w:rPr>
        <w:t xml:space="preserve">. </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The employees’ position has been improved in the context of a concurrent receivership and winding up. In this scenario, accrued leave will be deemed, as a result of the operation of s 558, to fall due and attract the priority under s 433.</w:t>
      </w:r>
      <w:r w:rsidRPr="00C20663">
        <w:rPr>
          <w:rFonts w:ascii="Georgia" w:eastAsiaTheme="majorEastAsia" w:hAnsi="Georgia" w:cs="Times New Roman"/>
          <w:vertAlign w:val="superscript"/>
        </w:rPr>
        <w:footnoteReference w:id="33"/>
      </w: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Whilst receivers need to be cognisant of their obligations under s 433 and s 561, they are under no specific obligation to hold any portion of circulating asset proceeds on trust pending any possible application of the deeming provision in the future.</w:t>
      </w:r>
      <w:r w:rsidRPr="00C20663">
        <w:rPr>
          <w:rFonts w:ascii="Georgia" w:eastAsiaTheme="majorEastAsia" w:hAnsi="Georgia" w:cs="Times New Roman"/>
          <w:vertAlign w:val="superscript"/>
        </w:rPr>
        <w:footnoteReference w:id="34"/>
      </w:r>
    </w:p>
    <w:p w:rsidR="00574661" w:rsidRPr="00CA152F" w:rsidRDefault="00574661" w:rsidP="00574661">
      <w:pPr>
        <w:keepLines/>
        <w:spacing w:before="200" w:after="0"/>
        <w:jc w:val="both"/>
        <w:outlineLvl w:val="2"/>
        <w:rPr>
          <w:rFonts w:ascii="Georgia" w:eastAsiaTheme="majorEastAsia" w:hAnsi="Georgia" w:cstheme="majorBidi"/>
          <w:b/>
          <w:bCs/>
          <w:i/>
          <w:lang w:eastAsia="en-AU"/>
        </w:rPr>
      </w:pPr>
      <w:r w:rsidRPr="00CA152F">
        <w:rPr>
          <w:rFonts w:ascii="Georgia" w:eastAsiaTheme="majorEastAsia" w:hAnsi="Georgia" w:cstheme="majorBidi"/>
          <w:b/>
          <w:bCs/>
          <w:i/>
          <w:lang w:eastAsia="en-AU"/>
        </w:rPr>
        <w:t>Retrenchment Payments</w:t>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Section 433 of </w:t>
      </w:r>
      <w:r w:rsidRPr="00CA152F">
        <w:rPr>
          <w:rFonts w:ascii="Georgia" w:eastAsia="Times New Roman" w:hAnsi="Georgia" w:cs="Times New Roman"/>
        </w:rPr>
        <w:t>the Act</w:t>
      </w:r>
      <w:r w:rsidRPr="00C20663">
        <w:rPr>
          <w:rFonts w:ascii="Georgia" w:eastAsia="Times New Roman" w:hAnsi="Georgia" w:cs="Times New Roman"/>
        </w:rPr>
        <w:t xml:space="preserve"> obliges receivers to pay as a priority, from circulating assets, amounts payable in a winding up under s 556(1)(h), being retrenchment payments payable to employees of the company. Retrenchment payments are amounts payable to the employee by virtue of an industrial instrument in respect of termination of employment, whether the </w:t>
      </w:r>
      <w:r w:rsidRPr="00C20663">
        <w:rPr>
          <w:rFonts w:ascii="Georgia" w:eastAsia="Times New Roman" w:hAnsi="Georgia" w:cs="Times New Roman"/>
        </w:rPr>
        <w:lastRenderedPageBreak/>
        <w:t xml:space="preserve">amount becomes payable </w:t>
      </w:r>
      <w:r w:rsidRPr="00C20663">
        <w:rPr>
          <w:rFonts w:ascii="Georgia" w:eastAsia="Times New Roman" w:hAnsi="Georgia" w:cs="Times New Roman"/>
          <w:i/>
        </w:rPr>
        <w:t>before, on or after the relevant date</w:t>
      </w:r>
      <w:r w:rsidRPr="00C20663">
        <w:rPr>
          <w:rFonts w:ascii="Georgia" w:eastAsia="Times New Roman" w:hAnsi="Georgia" w:cs="Times New Roman"/>
        </w:rPr>
        <w:t>.</w:t>
      </w:r>
      <w:r>
        <w:rPr>
          <w:rStyle w:val="FootnoteReference"/>
          <w:rFonts w:ascii="Georgia" w:eastAsia="Times New Roman" w:hAnsi="Georgia" w:cs="Times New Roman"/>
        </w:rPr>
        <w:footnoteReference w:id="35"/>
      </w:r>
      <w:r w:rsidRPr="00C20663">
        <w:rPr>
          <w:rFonts w:ascii="Georgia" w:eastAsia="Times New Roman" w:hAnsi="Georgia" w:cs="Times New Roman"/>
        </w:rPr>
        <w:t xml:space="preserve"> In the present context, the relevant date is the date of the appointment of receivers.</w:t>
      </w:r>
      <w:r w:rsidRPr="00C20663">
        <w:rPr>
          <w:rFonts w:ascii="Georgia" w:eastAsiaTheme="majorEastAsia" w:hAnsi="Georgia" w:cs="Times New Roman"/>
          <w:vertAlign w:val="superscript"/>
        </w:rPr>
        <w:footnoteReference w:id="36"/>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Justice Bryson in </w:t>
      </w:r>
      <w:r w:rsidRPr="00C20663">
        <w:rPr>
          <w:rFonts w:ascii="Georgia" w:eastAsia="Times New Roman" w:hAnsi="Georgia" w:cs="Times New Roman"/>
          <w:i/>
        </w:rPr>
        <w:t xml:space="preserve">Whitton </w:t>
      </w:r>
      <w:r w:rsidRPr="00C20663">
        <w:rPr>
          <w:rFonts w:ascii="Georgia" w:eastAsia="Times New Roman" w:hAnsi="Georgia" w:cs="Times New Roman"/>
        </w:rPr>
        <w:t>found that this required a receiver to prioritise retrenchment entitlements for an employee discharged by the receiver after their appointment.</w:t>
      </w:r>
      <w:r w:rsidRPr="00C20663">
        <w:rPr>
          <w:rFonts w:ascii="Georgia" w:eastAsiaTheme="majorEastAsia" w:hAnsi="Georgia" w:cs="Times New Roman"/>
          <w:vertAlign w:val="superscript"/>
        </w:rPr>
        <w:footnoteReference w:id="37"/>
      </w:r>
      <w:r w:rsidRPr="00C20663">
        <w:rPr>
          <w:rFonts w:ascii="Georgia" w:eastAsia="Times New Roman" w:hAnsi="Georgia" w:cs="Times New Roman"/>
        </w:rPr>
        <w:t xml:space="preserve"> Justice Bryson observed that the definition of retrenchment payments necessarily attracts the s 433 priority ‘for any retrenchment payment whenever it becomes payable, even if after the controller’s assuming control.’</w:t>
      </w:r>
      <w:r w:rsidRPr="00C20663">
        <w:rPr>
          <w:rFonts w:ascii="Georgia" w:eastAsiaTheme="majorEastAsia" w:hAnsi="Georgia" w:cs="Times New Roman"/>
          <w:vertAlign w:val="superscript"/>
        </w:rPr>
        <w:footnoteReference w:id="38"/>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i/>
        </w:rPr>
        <w:t xml:space="preserve">Vickers </w:t>
      </w:r>
      <w:r w:rsidRPr="00C20663">
        <w:rPr>
          <w:rFonts w:ascii="Georgia" w:eastAsia="Times New Roman" w:hAnsi="Georgia" w:cs="Times New Roman"/>
        </w:rPr>
        <w:t>also approved the priority payment of redundancy benefits resulting from terminations after the receivers’ appointment, in circumstances where the deeming provision had no application.</w:t>
      </w:r>
      <w:r w:rsidRPr="00C20663">
        <w:rPr>
          <w:rFonts w:ascii="Georgia" w:eastAsiaTheme="majorEastAsia" w:hAnsi="Georgia" w:cs="Times New Roman"/>
          <w:vertAlign w:val="superscript"/>
        </w:rPr>
        <w:footnoteReference w:id="39"/>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4A7531">
        <w:rPr>
          <w:rFonts w:ascii="Georgia" w:eastAsia="Times New Roman" w:hAnsi="Georgia" w:cs="Times New Roman"/>
        </w:rPr>
        <w:t>The employee</w:t>
      </w:r>
      <w:r w:rsidRPr="00C20663">
        <w:rPr>
          <w:rFonts w:ascii="Georgia" w:eastAsia="Times New Roman" w:hAnsi="Georgia" w:cs="Times New Roman"/>
        </w:rPr>
        <w:t xml:space="preserve"> in </w:t>
      </w:r>
      <w:r w:rsidRPr="00C20663">
        <w:rPr>
          <w:rFonts w:ascii="Georgia" w:eastAsia="Times New Roman" w:hAnsi="Georgia" w:cs="Times New Roman"/>
          <w:i/>
        </w:rPr>
        <w:t xml:space="preserve">Fisher </w:t>
      </w:r>
      <w:r w:rsidRPr="00C20663">
        <w:rPr>
          <w:rFonts w:ascii="Georgia" w:eastAsia="Times New Roman" w:hAnsi="Georgia" w:cs="Times New Roman"/>
        </w:rPr>
        <w:t>was held not to be prioritised for these amounts. This case considered whether a variation of an employment contract by the Industrial Relations Commission to include an entitlement to retrenchment pay would be afforded priority under s 433.</w:t>
      </w:r>
      <w:r w:rsidRPr="00C20663">
        <w:rPr>
          <w:rFonts w:ascii="Georgia" w:eastAsiaTheme="majorEastAsia" w:hAnsi="Georgia" w:cs="Times New Roman"/>
          <w:vertAlign w:val="superscript"/>
        </w:rPr>
        <w:footnoteReference w:id="40"/>
      </w:r>
      <w:r w:rsidRPr="00C20663">
        <w:rPr>
          <w:rFonts w:ascii="Georgia" w:eastAsia="Times New Roman" w:hAnsi="Georgia" w:cs="Times New Roman"/>
        </w:rPr>
        <w:t xml:space="preserve"> The Court answered this question in the negative in circumstances where </w:t>
      </w:r>
      <w:r>
        <w:rPr>
          <w:rFonts w:ascii="Georgia" w:eastAsia="Times New Roman" w:hAnsi="Georgia" w:cs="Times New Roman"/>
        </w:rPr>
        <w:t xml:space="preserve">the </w:t>
      </w:r>
      <w:r w:rsidRPr="00C20663">
        <w:rPr>
          <w:rFonts w:ascii="Georgia" w:eastAsia="Times New Roman" w:hAnsi="Georgia" w:cs="Times New Roman"/>
        </w:rPr>
        <w:t xml:space="preserve">variation occurred </w:t>
      </w:r>
      <w:r>
        <w:rPr>
          <w:rFonts w:ascii="Georgia" w:eastAsia="Times New Roman" w:hAnsi="Georgia" w:cs="Times New Roman"/>
        </w:rPr>
        <w:t>after</w:t>
      </w:r>
      <w:r w:rsidRPr="00C20663">
        <w:rPr>
          <w:rFonts w:ascii="Georgia" w:eastAsia="Times New Roman" w:hAnsi="Georgia" w:cs="Times New Roman"/>
        </w:rPr>
        <w:t xml:space="preserve"> the appointment of receivers.</w:t>
      </w:r>
      <w:r w:rsidRPr="00C20663">
        <w:rPr>
          <w:rFonts w:ascii="Georgia" w:eastAsiaTheme="majorEastAsia" w:hAnsi="Georgia" w:cs="Times New Roman"/>
          <w:vertAlign w:val="superscript"/>
        </w:rPr>
        <w:footnoteReference w:id="41"/>
      </w:r>
      <w:r w:rsidRPr="00C20663">
        <w:rPr>
          <w:rFonts w:ascii="Georgia" w:eastAsia="Times New Roman" w:hAnsi="Georgia" w:cs="Times New Roman"/>
        </w:rPr>
        <w:t xml:space="preserve"> The only question of relevance as to priorities was whether or not, at the </w:t>
      </w:r>
      <w:r>
        <w:rPr>
          <w:rFonts w:ascii="Georgia" w:eastAsia="Times New Roman" w:hAnsi="Georgia" w:cs="Times New Roman"/>
        </w:rPr>
        <w:t>time the receivers were appointed</w:t>
      </w:r>
      <w:r w:rsidRPr="00C20663">
        <w:rPr>
          <w:rFonts w:ascii="Georgia" w:eastAsia="Times New Roman" w:hAnsi="Georgia" w:cs="Times New Roman"/>
        </w:rPr>
        <w:t>, the contract contained any contingent entitlement to retrenchment.</w:t>
      </w:r>
      <w:r w:rsidRPr="00C20663">
        <w:rPr>
          <w:rFonts w:ascii="Georgia" w:eastAsiaTheme="majorEastAsia" w:hAnsi="Georgia" w:cs="Times New Roman"/>
          <w:vertAlign w:val="superscript"/>
        </w:rPr>
        <w:footnoteReference w:id="42"/>
      </w:r>
      <w:r>
        <w:rPr>
          <w:rFonts w:ascii="Georgia" w:eastAsia="Times New Roman" w:hAnsi="Georgia" w:cs="Times New Roman"/>
        </w:rPr>
        <w:t xml:space="preserve"> If so, it would be prioritised from circulating assets in the receivership. If there was no entitlement of any nature to any retrenchment pay when the receiver was appointed, there would be no priority payment for such an amount, even if such an entitlement were later added to the contract.</w:t>
      </w:r>
      <w:r w:rsidRPr="00C20663">
        <w:rPr>
          <w:rFonts w:ascii="Georgia" w:eastAsia="Times New Roman" w:hAnsi="Georgia" w:cs="Times New Roman"/>
        </w:rPr>
        <w:t xml:space="preserve"> </w:t>
      </w:r>
      <w:r>
        <w:rPr>
          <w:rFonts w:ascii="Georgia" w:eastAsia="Times New Roman" w:hAnsi="Georgia" w:cs="Times New Roman"/>
        </w:rPr>
        <w:t>This would be so</w:t>
      </w:r>
      <w:r w:rsidRPr="00C20663">
        <w:rPr>
          <w:rFonts w:ascii="Georgia" w:eastAsia="Times New Roman" w:hAnsi="Georgia" w:cs="Times New Roman"/>
        </w:rPr>
        <w:t xml:space="preserve"> even if the Industrial Relations Commission</w:t>
      </w:r>
      <w:r w:rsidRPr="00C20663" w:rsidDel="004A7531">
        <w:rPr>
          <w:rFonts w:ascii="Georgia" w:eastAsia="Times New Roman" w:hAnsi="Georgia" w:cs="Times New Roman"/>
        </w:rPr>
        <w:t xml:space="preserve"> </w:t>
      </w:r>
      <w:r w:rsidRPr="00C20663">
        <w:rPr>
          <w:rFonts w:ascii="Georgia" w:eastAsia="Times New Roman" w:hAnsi="Georgia" w:cs="Times New Roman"/>
        </w:rPr>
        <w:t xml:space="preserve">varied the </w:t>
      </w:r>
      <w:r>
        <w:rPr>
          <w:rFonts w:ascii="Georgia" w:eastAsia="Times New Roman" w:hAnsi="Georgia" w:cs="Times New Roman"/>
        </w:rPr>
        <w:t xml:space="preserve">employment </w:t>
      </w:r>
      <w:r w:rsidRPr="00C20663">
        <w:rPr>
          <w:rFonts w:ascii="Georgia" w:eastAsia="Times New Roman" w:hAnsi="Georgia" w:cs="Times New Roman"/>
        </w:rPr>
        <w:t>contract to include such an entitlement ab initio.</w:t>
      </w:r>
      <w:r>
        <w:rPr>
          <w:rStyle w:val="FootnoteReference"/>
          <w:rFonts w:ascii="Georgia" w:eastAsia="Times New Roman" w:hAnsi="Georgia" w:cs="Times New Roman"/>
        </w:rPr>
        <w:footnoteReference w:id="43"/>
      </w:r>
      <w:r w:rsidRPr="00C20663">
        <w:rPr>
          <w:rFonts w:ascii="Georgia" w:eastAsia="Times New Roman" w:hAnsi="Georgia" w:cs="Times New Roman"/>
        </w:rPr>
        <w:t xml:space="preserve"> The Court was aware of the pragmatic necessity for a receiver (and, it would appear, a liquidator)</w:t>
      </w:r>
      <w:r w:rsidRPr="00C20663">
        <w:rPr>
          <w:rFonts w:ascii="Georgia" w:eastAsiaTheme="majorEastAsia" w:hAnsi="Georgia" w:cs="Times New Roman"/>
          <w:vertAlign w:val="superscript"/>
        </w:rPr>
        <w:footnoteReference w:id="44"/>
      </w:r>
      <w:r w:rsidRPr="00C20663">
        <w:rPr>
          <w:rFonts w:ascii="Georgia" w:eastAsia="Times New Roman" w:hAnsi="Georgia" w:cs="Times New Roman"/>
        </w:rPr>
        <w:t xml:space="preserve"> to be in a position to list and value all priority claims (whether presently due or merely contingent) on the one date.</w:t>
      </w:r>
      <w:r w:rsidRPr="00C20663">
        <w:rPr>
          <w:rFonts w:ascii="Georgia" w:eastAsiaTheme="majorEastAsia" w:hAnsi="Georgia" w:cs="Times New Roman"/>
          <w:vertAlign w:val="superscript"/>
        </w:rPr>
        <w:footnoteReference w:id="45"/>
      </w:r>
    </w:p>
    <w:p w:rsidR="00574661" w:rsidRPr="00C20663" w:rsidRDefault="00574661" w:rsidP="00574661">
      <w:pPr>
        <w:spacing w:after="0"/>
        <w:jc w:val="both"/>
        <w:rPr>
          <w:rFonts w:ascii="Georgia" w:eastAsia="Times New Roman" w:hAnsi="Georgia" w:cs="Times New Roman"/>
        </w:rPr>
      </w:pP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The Court in </w:t>
      </w:r>
      <w:r w:rsidRPr="00C20663">
        <w:rPr>
          <w:rFonts w:ascii="Georgia" w:eastAsia="Times New Roman" w:hAnsi="Georgia" w:cs="Times New Roman"/>
          <w:i/>
        </w:rPr>
        <w:t xml:space="preserve">BE Australia WD Pty Ltd (subject to a Deed of Company Arrangement) v Sutton </w:t>
      </w:r>
      <w:r w:rsidRPr="00C20663">
        <w:rPr>
          <w:rFonts w:ascii="Georgia" w:eastAsia="Times New Roman" w:hAnsi="Georgia" w:cs="Times New Roman"/>
        </w:rPr>
        <w:t xml:space="preserve">(2011) 256 FLR 67 observed that </w:t>
      </w:r>
      <w:r w:rsidRPr="00C20663">
        <w:rPr>
          <w:rFonts w:ascii="Georgia" w:eastAsia="Times New Roman" w:hAnsi="Georgia" w:cs="Times New Roman"/>
          <w:i/>
        </w:rPr>
        <w:t>the Act</w:t>
      </w:r>
      <w:r w:rsidRPr="00C20663">
        <w:rPr>
          <w:rFonts w:ascii="Georgia" w:eastAsia="Times New Roman" w:hAnsi="Georgia" w:cs="Times New Roman"/>
        </w:rPr>
        <w:t xml:space="preserve"> set no temporal constraints on when a retrenchment payment must become due to be given priority.</w:t>
      </w:r>
      <w:r w:rsidRPr="00C20663">
        <w:rPr>
          <w:rFonts w:ascii="Georgia" w:eastAsiaTheme="majorEastAsia" w:hAnsi="Georgia" w:cs="Times New Roman"/>
          <w:vertAlign w:val="superscript"/>
        </w:rPr>
        <w:footnoteReference w:id="46"/>
      </w:r>
      <w:r w:rsidRPr="00C20663">
        <w:rPr>
          <w:rFonts w:ascii="Georgia" w:eastAsia="Times New Roman" w:hAnsi="Georgia" w:cs="Times New Roman"/>
        </w:rPr>
        <w:t xml:space="preserve">  This may be subject to the practical observation of Bryson J in </w:t>
      </w:r>
      <w:r w:rsidRPr="00C20663">
        <w:rPr>
          <w:rFonts w:ascii="Georgia" w:eastAsia="Times New Roman" w:hAnsi="Georgia" w:cs="Times New Roman"/>
          <w:i/>
        </w:rPr>
        <w:t xml:space="preserve">Whitton </w:t>
      </w:r>
      <w:r w:rsidRPr="00C20663">
        <w:rPr>
          <w:rFonts w:ascii="Georgia" w:eastAsia="Times New Roman" w:hAnsi="Georgia" w:cs="Times New Roman"/>
        </w:rPr>
        <w:t xml:space="preserve">that there </w:t>
      </w:r>
      <w:r>
        <w:rPr>
          <w:rFonts w:ascii="Georgia" w:eastAsia="Times New Roman" w:hAnsi="Georgia" w:cs="Times New Roman"/>
        </w:rPr>
        <w:t>must</w:t>
      </w:r>
      <w:r w:rsidRPr="00C20663">
        <w:rPr>
          <w:rFonts w:ascii="Georgia" w:eastAsia="Times New Roman" w:hAnsi="Georgia" w:cs="Times New Roman"/>
        </w:rPr>
        <w:t xml:space="preserve"> </w:t>
      </w:r>
      <w:r>
        <w:rPr>
          <w:rFonts w:ascii="Georgia" w:eastAsia="Times New Roman" w:hAnsi="Georgia" w:cs="Times New Roman"/>
        </w:rPr>
        <w:t xml:space="preserve">be </w:t>
      </w:r>
      <w:r w:rsidRPr="00C20663">
        <w:rPr>
          <w:rFonts w:ascii="Georgia" w:eastAsia="Times New Roman" w:hAnsi="Georgia" w:cs="Times New Roman"/>
        </w:rPr>
        <w:t>a cessation of</w:t>
      </w:r>
      <w:r>
        <w:rPr>
          <w:rFonts w:ascii="Georgia" w:eastAsia="Times New Roman" w:hAnsi="Georgia" w:cs="Times New Roman"/>
        </w:rPr>
        <w:t xml:space="preserve"> the receivers’ </w:t>
      </w:r>
      <w:r w:rsidRPr="00C20663">
        <w:rPr>
          <w:rFonts w:ascii="Georgia" w:eastAsia="Times New Roman" w:hAnsi="Georgia" w:cs="Times New Roman"/>
        </w:rPr>
        <w:t>liability after their retirement.</w:t>
      </w:r>
      <w:r w:rsidRPr="00C20663">
        <w:rPr>
          <w:rFonts w:ascii="Georgia" w:eastAsiaTheme="majorEastAsia" w:hAnsi="Georgia" w:cs="Times New Roman"/>
          <w:vertAlign w:val="superscript"/>
        </w:rPr>
        <w:footnoteReference w:id="47"/>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Quite distinct from these authorities, White J in </w:t>
      </w:r>
      <w:proofErr w:type="spellStart"/>
      <w:r w:rsidRPr="00C20663">
        <w:rPr>
          <w:rFonts w:ascii="Georgia" w:eastAsia="Times New Roman" w:hAnsi="Georgia" w:cs="Times New Roman"/>
          <w:i/>
        </w:rPr>
        <w:t>ExDvD</w:t>
      </w:r>
      <w:proofErr w:type="spellEnd"/>
      <w:r>
        <w:rPr>
          <w:rFonts w:ascii="Georgia" w:eastAsia="Times New Roman" w:hAnsi="Georgia" w:cs="Times New Roman"/>
          <w:i/>
        </w:rPr>
        <w:t xml:space="preserve"> </w:t>
      </w:r>
      <w:r>
        <w:rPr>
          <w:rFonts w:ascii="Georgia" w:eastAsia="Times New Roman" w:hAnsi="Georgia" w:cs="Times New Roman"/>
        </w:rPr>
        <w:t>appeared to</w:t>
      </w:r>
      <w:r>
        <w:rPr>
          <w:rFonts w:ascii="Georgia" w:eastAsia="Times New Roman" w:hAnsi="Georgia" w:cs="Times New Roman"/>
          <w:i/>
        </w:rPr>
        <w:t xml:space="preserve"> </w:t>
      </w:r>
      <w:r w:rsidRPr="00C20663">
        <w:rPr>
          <w:rFonts w:ascii="Georgia" w:eastAsia="Times New Roman" w:hAnsi="Georgia" w:cs="Times New Roman"/>
        </w:rPr>
        <w:t>expressly</w:t>
      </w:r>
      <w:r>
        <w:rPr>
          <w:rFonts w:ascii="Georgia" w:eastAsia="Times New Roman" w:hAnsi="Georgia" w:cs="Times New Roman"/>
        </w:rPr>
        <w:t xml:space="preserve"> </w:t>
      </w:r>
      <w:r w:rsidRPr="00C20663">
        <w:rPr>
          <w:rFonts w:ascii="Georgia" w:eastAsia="Times New Roman" w:hAnsi="Georgia" w:cs="Times New Roman"/>
        </w:rPr>
        <w:t xml:space="preserve">require the deeming provision to crystallise retrenchment payments for employees terminated after the </w:t>
      </w:r>
      <w:r w:rsidRPr="00C20663">
        <w:rPr>
          <w:rFonts w:ascii="Georgia" w:eastAsia="Times New Roman" w:hAnsi="Georgia" w:cs="Times New Roman"/>
        </w:rPr>
        <w:lastRenderedPageBreak/>
        <w:t>appointment of the receivers.</w:t>
      </w:r>
      <w:r w:rsidRPr="00C20663">
        <w:rPr>
          <w:rFonts w:ascii="Georgia" w:eastAsiaTheme="majorEastAsia" w:hAnsi="Georgia" w:cs="Times New Roman"/>
          <w:vertAlign w:val="superscript"/>
        </w:rPr>
        <w:footnoteReference w:id="48"/>
      </w:r>
      <w:r w:rsidRPr="00C20663">
        <w:rPr>
          <w:rFonts w:ascii="Georgia" w:eastAsia="Times New Roman" w:hAnsi="Georgia" w:cs="Times New Roman"/>
        </w:rPr>
        <w:t xml:space="preserve"> </w:t>
      </w:r>
      <w:r>
        <w:rPr>
          <w:rFonts w:ascii="Georgia" w:eastAsia="Times New Roman" w:hAnsi="Georgia" w:cs="Times New Roman"/>
        </w:rPr>
        <w:t>It is the respectful view of the authors that, a</w:t>
      </w:r>
      <w:r w:rsidRPr="00C20663">
        <w:rPr>
          <w:rFonts w:ascii="Georgia" w:eastAsia="Times New Roman" w:hAnsi="Georgia" w:cs="Times New Roman"/>
        </w:rPr>
        <w:t>bsent the application of s 558(1), the judgment implies no priority ought to exist on account of redundancy benefits triggered after appointment.</w:t>
      </w:r>
      <w:r w:rsidRPr="00C20663">
        <w:rPr>
          <w:rFonts w:ascii="Georgia" w:eastAsiaTheme="majorEastAsia" w:hAnsi="Georgia" w:cs="Times New Roman"/>
          <w:vertAlign w:val="superscript"/>
        </w:rPr>
        <w:footnoteReference w:id="49"/>
      </w:r>
      <w:r w:rsidRPr="00C20663">
        <w:rPr>
          <w:rFonts w:ascii="Georgia" w:eastAsia="Times New Roman" w:hAnsi="Georgia" w:cs="Times New Roman"/>
        </w:rPr>
        <w:t xml:space="preserve"> </w:t>
      </w:r>
      <w:r>
        <w:rPr>
          <w:rFonts w:ascii="Georgia" w:eastAsia="Times New Roman" w:hAnsi="Georgia" w:cs="Times New Roman"/>
        </w:rPr>
        <w:t>A</w:t>
      </w:r>
      <w:r w:rsidRPr="00C20663">
        <w:rPr>
          <w:rFonts w:ascii="Georgia" w:eastAsia="Times New Roman" w:hAnsi="Georgia" w:cs="Times New Roman"/>
        </w:rPr>
        <w:t xml:space="preserve">fter consideration of both </w:t>
      </w:r>
      <w:r w:rsidRPr="00C20663">
        <w:rPr>
          <w:rFonts w:ascii="Georgia" w:eastAsia="Times New Roman" w:hAnsi="Georgia" w:cs="Times New Roman"/>
          <w:i/>
        </w:rPr>
        <w:t xml:space="preserve">Fisher </w:t>
      </w:r>
      <w:r w:rsidRPr="00C20663">
        <w:rPr>
          <w:rFonts w:ascii="Georgia" w:eastAsia="Times New Roman" w:hAnsi="Georgia" w:cs="Times New Roman"/>
        </w:rPr>
        <w:t xml:space="preserve">and </w:t>
      </w:r>
      <w:r w:rsidRPr="00C20663">
        <w:rPr>
          <w:rFonts w:ascii="Georgia" w:eastAsia="Times New Roman" w:hAnsi="Georgia" w:cs="Times New Roman"/>
          <w:i/>
        </w:rPr>
        <w:t>Whitton</w:t>
      </w:r>
      <w:r>
        <w:rPr>
          <w:rFonts w:ascii="Georgia" w:eastAsia="Times New Roman" w:hAnsi="Georgia" w:cs="Times New Roman"/>
        </w:rPr>
        <w:t>,</w:t>
      </w:r>
      <w:r w:rsidRPr="00C20663">
        <w:rPr>
          <w:rFonts w:ascii="Georgia" w:eastAsia="Times New Roman" w:hAnsi="Georgia" w:cs="Times New Roman"/>
          <w:i/>
        </w:rPr>
        <w:t xml:space="preserve"> </w:t>
      </w:r>
      <w:r w:rsidRPr="00C20663">
        <w:rPr>
          <w:rFonts w:ascii="Georgia" w:eastAsia="Times New Roman" w:hAnsi="Georgia" w:cs="Times New Roman"/>
        </w:rPr>
        <w:t xml:space="preserve">White J </w:t>
      </w:r>
      <w:r>
        <w:rPr>
          <w:rFonts w:ascii="Georgia" w:eastAsia="Times New Roman" w:hAnsi="Georgia" w:cs="Times New Roman"/>
        </w:rPr>
        <w:t>reasoned</w:t>
      </w:r>
      <w:r w:rsidRPr="00C20663">
        <w:rPr>
          <w:rFonts w:ascii="Georgia" w:eastAsia="Times New Roman" w:hAnsi="Georgia" w:cs="Times New Roman"/>
        </w:rPr>
        <w:t xml:space="preserve"> that:</w:t>
      </w:r>
    </w:p>
    <w:p w:rsidR="00574661" w:rsidRPr="00C20663" w:rsidRDefault="00574661" w:rsidP="00574661">
      <w:pPr>
        <w:spacing w:after="0"/>
        <w:ind w:firstLine="284"/>
        <w:jc w:val="both"/>
        <w:rPr>
          <w:rFonts w:ascii="Georgia" w:eastAsia="Times New Roman" w:hAnsi="Georgia" w:cs="Times New Roman"/>
        </w:rPr>
      </w:pPr>
    </w:p>
    <w:p w:rsidR="00574661" w:rsidRPr="00C20663" w:rsidRDefault="00574661" w:rsidP="00574661">
      <w:pPr>
        <w:spacing w:after="0"/>
        <w:ind w:left="284"/>
        <w:jc w:val="both"/>
        <w:rPr>
          <w:rFonts w:ascii="Georgia" w:eastAsia="Times New Roman" w:hAnsi="Georgia" w:cs="Times New Roman"/>
        </w:rPr>
      </w:pPr>
      <w:r w:rsidRPr="00C20663">
        <w:rPr>
          <w:rFonts w:ascii="Georgia" w:eastAsia="Times New Roman" w:hAnsi="Georgia" w:cs="Times New Roman"/>
        </w:rPr>
        <w:t>These authorities proceeded on the basis that a liability which exists at the relevant date, albeit being contingent in the sense that it will arise if the employee’s employment is terminated, is sufficient to attract the operation of ss556(1)(h) and 561.</w:t>
      </w:r>
      <w:r w:rsidRPr="00C20663">
        <w:rPr>
          <w:rFonts w:ascii="Georgia" w:eastAsiaTheme="majorEastAsia" w:hAnsi="Georgia" w:cs="Times New Roman"/>
          <w:sz w:val="20"/>
          <w:vertAlign w:val="superscript"/>
        </w:rPr>
        <w:footnoteReference w:id="50"/>
      </w:r>
    </w:p>
    <w:p w:rsidR="00574661" w:rsidRPr="00C20663" w:rsidRDefault="00574661" w:rsidP="00574661">
      <w:pPr>
        <w:spacing w:after="0"/>
        <w:ind w:left="284"/>
        <w:jc w:val="both"/>
        <w:rPr>
          <w:rFonts w:ascii="Georgia" w:eastAsia="Times New Roman" w:hAnsi="Georgia" w:cs="Times New Roman"/>
          <w:sz w:val="20"/>
        </w:rPr>
      </w:pPr>
    </w:p>
    <w:p w:rsidR="00574661" w:rsidRDefault="00574661" w:rsidP="00574661">
      <w:pPr>
        <w:spacing w:after="0"/>
        <w:jc w:val="both"/>
        <w:rPr>
          <w:rFonts w:ascii="Georgia" w:eastAsia="Times New Roman" w:hAnsi="Georgia" w:cs="Times New Roman"/>
        </w:rPr>
      </w:pPr>
      <w:r>
        <w:rPr>
          <w:rFonts w:ascii="Georgia" w:eastAsia="Times New Roman" w:hAnsi="Georgia" w:cs="Times New Roman"/>
        </w:rPr>
        <w:t xml:space="preserve">White J proceeded to find that in this case, the entitlement of the employees to retrenchment payments as a priority was due to the deeming provision applying in that case. </w:t>
      </w:r>
      <w:r w:rsidRPr="00C20663">
        <w:rPr>
          <w:rFonts w:ascii="Georgia" w:eastAsia="Times New Roman" w:hAnsi="Georgia" w:cs="Times New Roman"/>
        </w:rPr>
        <w:t xml:space="preserve">In other words, had it not been for the concurrent appointment of liquidators, and the application of s 558(1), the employees in </w:t>
      </w:r>
      <w:proofErr w:type="spellStart"/>
      <w:r w:rsidRPr="00C20663">
        <w:rPr>
          <w:rFonts w:ascii="Georgia" w:eastAsia="Times New Roman" w:hAnsi="Georgia" w:cs="Times New Roman"/>
          <w:i/>
        </w:rPr>
        <w:t>ExDvD</w:t>
      </w:r>
      <w:proofErr w:type="spellEnd"/>
      <w:r>
        <w:rPr>
          <w:rFonts w:ascii="Georgia" w:eastAsia="Times New Roman" w:hAnsi="Georgia" w:cs="Times New Roman"/>
          <w:i/>
        </w:rPr>
        <w:t xml:space="preserve"> </w:t>
      </w:r>
      <w:r w:rsidRPr="00C20663">
        <w:rPr>
          <w:rFonts w:ascii="Georgia" w:eastAsia="Times New Roman" w:hAnsi="Georgia" w:cs="Times New Roman"/>
        </w:rPr>
        <w:t xml:space="preserve">may not have been entitled to be paid retrenchment entitlements as </w:t>
      </w:r>
      <w:proofErr w:type="gramStart"/>
      <w:r w:rsidRPr="00C20663">
        <w:rPr>
          <w:rFonts w:ascii="Georgia" w:eastAsia="Times New Roman" w:hAnsi="Georgia" w:cs="Times New Roman"/>
        </w:rPr>
        <w:t>a</w:t>
      </w:r>
      <w:proofErr w:type="gramEnd"/>
      <w:r w:rsidRPr="00C20663">
        <w:rPr>
          <w:rFonts w:ascii="Georgia" w:eastAsia="Times New Roman" w:hAnsi="Georgia" w:cs="Times New Roman"/>
        </w:rPr>
        <w:t xml:space="preserve"> s 433 priority. If this is the case, </w:t>
      </w:r>
      <w:r>
        <w:rPr>
          <w:rFonts w:ascii="Georgia" w:eastAsia="Times New Roman" w:hAnsi="Georgia" w:cs="Times New Roman"/>
        </w:rPr>
        <w:t xml:space="preserve">in the authors’ view, </w:t>
      </w:r>
      <w:r w:rsidRPr="00C20663">
        <w:rPr>
          <w:rFonts w:ascii="Georgia" w:eastAsia="Times New Roman" w:hAnsi="Georgia" w:cs="Times New Roman"/>
        </w:rPr>
        <w:t>it is open to argument that employees terminated during a receivership</w:t>
      </w:r>
      <w:r>
        <w:rPr>
          <w:rFonts w:ascii="Georgia" w:eastAsia="Times New Roman" w:hAnsi="Georgia" w:cs="Times New Roman"/>
        </w:rPr>
        <w:t xml:space="preserve"> alone (without any concurrent winding up)</w:t>
      </w:r>
      <w:r w:rsidRPr="00C20663">
        <w:rPr>
          <w:rFonts w:ascii="Georgia" w:eastAsia="Times New Roman" w:hAnsi="Georgia" w:cs="Times New Roman"/>
        </w:rPr>
        <w:t xml:space="preserve"> are not prioritised for any retrenchment payments, unless the receivership was accompanied by a winding up.</w:t>
      </w:r>
      <w:r>
        <w:rPr>
          <w:rFonts w:ascii="Georgia" w:eastAsia="Times New Roman" w:hAnsi="Georgia" w:cs="Times New Roman"/>
        </w:rPr>
        <w:t xml:space="preserve"> This argument would be at odds with the prevailing common practice regarding retrenchment entitlements, which sees employees receiving priority payments for these amounts if made redundant after the appointment of receivers, in accordance with the earlier authorities discussed above</w:t>
      </w:r>
    </w:p>
    <w:p w:rsidR="00574661" w:rsidRPr="00C20663" w:rsidRDefault="00574661" w:rsidP="00574661">
      <w:pPr>
        <w:spacing w:after="0"/>
        <w:jc w:val="both"/>
        <w:rPr>
          <w:rFonts w:ascii="Georgia" w:eastAsia="Times New Roman" w:hAnsi="Georgia" w:cs="Times New Roman"/>
        </w:rPr>
      </w:pPr>
      <w:r>
        <w:rPr>
          <w:rFonts w:ascii="Georgia" w:eastAsia="Times New Roman" w:hAnsi="Georgia" w:cs="Times New Roman"/>
        </w:rPr>
        <w:t xml:space="preserve">. </w:t>
      </w: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The reasons of White J echo the criticism levelled by Finkelstein J at the earlier authorities of </w:t>
      </w:r>
      <w:r w:rsidRPr="00C20663">
        <w:rPr>
          <w:rFonts w:ascii="Georgia" w:eastAsia="Times New Roman" w:hAnsi="Georgia" w:cs="Times New Roman"/>
          <w:i/>
        </w:rPr>
        <w:t xml:space="preserve">Whitton </w:t>
      </w:r>
      <w:r w:rsidRPr="00C20663">
        <w:rPr>
          <w:rFonts w:ascii="Georgia" w:eastAsia="Times New Roman" w:hAnsi="Georgia" w:cs="Times New Roman"/>
        </w:rPr>
        <w:t xml:space="preserve">and </w:t>
      </w:r>
      <w:r w:rsidRPr="00C20663">
        <w:rPr>
          <w:rFonts w:ascii="Georgia" w:eastAsia="Times New Roman" w:hAnsi="Georgia" w:cs="Times New Roman"/>
          <w:i/>
        </w:rPr>
        <w:t>Love</w:t>
      </w:r>
      <w:r w:rsidRPr="00C20663">
        <w:rPr>
          <w:rFonts w:ascii="Georgia" w:eastAsia="Times New Roman" w:hAnsi="Georgia" w:cs="Times New Roman"/>
        </w:rPr>
        <w:t>, for failing to consider s 558 in the context of retrenchment entitlements.</w:t>
      </w:r>
      <w:r w:rsidRPr="00C20663">
        <w:rPr>
          <w:rFonts w:ascii="Georgia" w:eastAsiaTheme="majorEastAsia" w:hAnsi="Georgia" w:cs="Times New Roman"/>
          <w:vertAlign w:val="superscript"/>
        </w:rPr>
        <w:footnoteReference w:id="51"/>
      </w:r>
      <w:r w:rsidRPr="00C20663">
        <w:rPr>
          <w:rFonts w:ascii="Georgia" w:eastAsia="Times New Roman" w:hAnsi="Georgia" w:cs="Times New Roman"/>
        </w:rPr>
        <w:t xml:space="preserve"> Justice Finkelstein observed that, but for the operation of the deeming provision, ‘neither their leave entitlements nor any retrenchment payments were “due” (in the sense of being payable as a debt) at the time the receiver was appointed.’</w:t>
      </w:r>
      <w:r w:rsidRPr="00C20663">
        <w:rPr>
          <w:rFonts w:ascii="Georgia" w:eastAsiaTheme="majorEastAsia" w:hAnsi="Georgia" w:cs="Times New Roman"/>
          <w:vertAlign w:val="superscript"/>
        </w:rPr>
        <w:footnoteReference w:id="52"/>
      </w:r>
      <w:r>
        <w:rPr>
          <w:rFonts w:ascii="Georgia" w:eastAsia="Times New Roman" w:hAnsi="Georgia" w:cs="Times New Roman"/>
        </w:rPr>
        <w:t xml:space="preserve"> </w:t>
      </w:r>
      <w:r w:rsidRPr="00C20663">
        <w:rPr>
          <w:rFonts w:ascii="Georgia" w:eastAsia="Times New Roman" w:hAnsi="Georgia" w:cs="Times New Roman"/>
        </w:rPr>
        <w:t>White J</w:t>
      </w:r>
      <w:r>
        <w:rPr>
          <w:rFonts w:ascii="Georgia" w:eastAsia="Times New Roman" w:hAnsi="Georgia" w:cs="Times New Roman"/>
        </w:rPr>
        <w:t xml:space="preserve"> appears to build on this and premise his finding that redundancy payments were only to be prioritised if s 558 were triggered.</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It is the authors’ experience that a </w:t>
      </w:r>
      <w:r>
        <w:rPr>
          <w:rFonts w:ascii="Georgia" w:eastAsia="Times New Roman" w:hAnsi="Georgia" w:cs="Times New Roman"/>
        </w:rPr>
        <w:t>great proportion</w:t>
      </w:r>
      <w:r w:rsidRPr="00C20663">
        <w:rPr>
          <w:rFonts w:ascii="Georgia" w:eastAsia="Times New Roman" w:hAnsi="Georgia" w:cs="Times New Roman"/>
        </w:rPr>
        <w:t xml:space="preserve"> of receiverships are accompanied by a liquidation, in which case </w:t>
      </w:r>
      <w:proofErr w:type="spellStart"/>
      <w:r w:rsidRPr="00C20663">
        <w:rPr>
          <w:rFonts w:ascii="Georgia" w:eastAsia="Times New Roman" w:hAnsi="Georgia" w:cs="Times New Roman"/>
          <w:i/>
        </w:rPr>
        <w:t>ExDvD</w:t>
      </w:r>
      <w:proofErr w:type="spellEnd"/>
      <w:r>
        <w:rPr>
          <w:rFonts w:ascii="Georgia" w:eastAsia="Times New Roman" w:hAnsi="Georgia" w:cs="Times New Roman"/>
          <w:i/>
        </w:rPr>
        <w:t xml:space="preserve"> </w:t>
      </w:r>
      <w:r w:rsidRPr="00C20663">
        <w:rPr>
          <w:rFonts w:ascii="Georgia" w:eastAsia="Times New Roman" w:hAnsi="Georgia" w:cs="Times New Roman"/>
        </w:rPr>
        <w:t>makes the position quite clear</w:t>
      </w:r>
      <w:r>
        <w:rPr>
          <w:rFonts w:ascii="Georgia" w:eastAsia="Times New Roman" w:hAnsi="Georgia" w:cs="Times New Roman"/>
        </w:rPr>
        <w:t xml:space="preserve"> and favourable from the employees’ perspective</w:t>
      </w:r>
      <w:r w:rsidRPr="00C20663">
        <w:rPr>
          <w:rFonts w:ascii="Georgia" w:eastAsia="Times New Roman" w:hAnsi="Georgia" w:cs="Times New Roman"/>
        </w:rPr>
        <w:t xml:space="preserve">. Nevertheless, it is submitted that, following the judgment in </w:t>
      </w:r>
      <w:proofErr w:type="spellStart"/>
      <w:r w:rsidRPr="00C20663">
        <w:rPr>
          <w:rFonts w:ascii="Georgia" w:eastAsia="Times New Roman" w:hAnsi="Georgia" w:cs="Times New Roman"/>
          <w:i/>
        </w:rPr>
        <w:t>ExDvD</w:t>
      </w:r>
      <w:proofErr w:type="spellEnd"/>
      <w:r w:rsidRPr="00C20663">
        <w:rPr>
          <w:rFonts w:ascii="Georgia" w:eastAsia="Times New Roman" w:hAnsi="Georgia" w:cs="Times New Roman"/>
        </w:rPr>
        <w:t xml:space="preserve">, the position with respect to the receivers’ obligation to prioritise retrenchment amounts from circulating assets, when not subject to concurrent liquidation, </w:t>
      </w:r>
      <w:r>
        <w:rPr>
          <w:rFonts w:ascii="Georgia" w:eastAsia="Times New Roman" w:hAnsi="Georgia" w:cs="Times New Roman"/>
        </w:rPr>
        <w:t>would benefit from</w:t>
      </w:r>
      <w:r w:rsidRPr="00C20663">
        <w:rPr>
          <w:rFonts w:ascii="Georgia" w:eastAsia="Times New Roman" w:hAnsi="Georgia" w:cs="Times New Roman"/>
        </w:rPr>
        <w:t xml:space="preserve"> legislative clarification.</w:t>
      </w:r>
    </w:p>
    <w:p w:rsidR="00574661" w:rsidRPr="00CA152F" w:rsidRDefault="00574661" w:rsidP="00574661">
      <w:pPr>
        <w:keepNext/>
        <w:keepLines/>
        <w:spacing w:before="200" w:after="0"/>
        <w:jc w:val="both"/>
        <w:outlineLvl w:val="2"/>
        <w:rPr>
          <w:rFonts w:ascii="Georgia" w:eastAsiaTheme="majorEastAsia" w:hAnsi="Georgia" w:cstheme="majorBidi"/>
          <w:b/>
          <w:bCs/>
          <w:i/>
          <w:lang w:eastAsia="en-AU"/>
        </w:rPr>
      </w:pPr>
      <w:r w:rsidRPr="00CA152F">
        <w:rPr>
          <w:rFonts w:ascii="Georgia" w:eastAsiaTheme="majorEastAsia" w:hAnsi="Georgia" w:cstheme="majorBidi"/>
          <w:b/>
          <w:bCs/>
          <w:i/>
          <w:lang w:eastAsia="en-AU"/>
        </w:rPr>
        <w:t>Delay in payment of entitlements in concurrent winding up and receivership</w:t>
      </w:r>
    </w:p>
    <w:p w:rsidR="00574661" w:rsidRPr="00C20663" w:rsidRDefault="00574661" w:rsidP="00574661">
      <w:pPr>
        <w:spacing w:after="0"/>
        <w:jc w:val="both"/>
        <w:rPr>
          <w:rFonts w:ascii="Georgia" w:eastAsia="Times New Roman" w:hAnsi="Georgia" w:cs="Times New Roman"/>
          <w:szCs w:val="20"/>
        </w:rPr>
      </w:pPr>
    </w:p>
    <w:p w:rsidR="00574661" w:rsidRDefault="00574661" w:rsidP="00574661">
      <w:pPr>
        <w:spacing w:after="0"/>
        <w:jc w:val="both"/>
        <w:rPr>
          <w:rFonts w:ascii="Georgia" w:eastAsia="Times New Roman" w:hAnsi="Georgia" w:cs="Times New Roman"/>
          <w:szCs w:val="20"/>
        </w:rPr>
      </w:pPr>
      <w:r w:rsidRPr="00C20663">
        <w:rPr>
          <w:rFonts w:ascii="Georgia" w:eastAsia="Times New Roman" w:hAnsi="Georgia" w:cs="Times New Roman"/>
          <w:szCs w:val="20"/>
        </w:rPr>
        <w:t xml:space="preserve">It has been held that s 561 of </w:t>
      </w:r>
      <w:r w:rsidRPr="00CA152F">
        <w:rPr>
          <w:rFonts w:ascii="Georgia" w:eastAsia="Times New Roman" w:hAnsi="Georgia" w:cs="Times New Roman"/>
          <w:szCs w:val="20"/>
        </w:rPr>
        <w:t>the Act</w:t>
      </w:r>
      <w:r w:rsidRPr="00C20663">
        <w:rPr>
          <w:rFonts w:ascii="Georgia" w:eastAsia="Times New Roman" w:hAnsi="Georgia" w:cs="Times New Roman"/>
          <w:szCs w:val="20"/>
        </w:rPr>
        <w:t xml:space="preserve"> requires, before using circulating assets to pay priority employee entitlements, “all actual and potential realisations” of the company to be contemplated such that ‘only one assessment of the sufficiency of the company’s assets’ is undertaken.</w:t>
      </w:r>
      <w:r w:rsidRPr="00C20663">
        <w:rPr>
          <w:rFonts w:ascii="Georgia" w:eastAsiaTheme="majorEastAsia" w:hAnsi="Georgia" w:cs="Times New Roman"/>
          <w:szCs w:val="20"/>
          <w:vertAlign w:val="superscript"/>
        </w:rPr>
        <w:footnoteReference w:id="53"/>
      </w:r>
      <w:r w:rsidRPr="00C20663">
        <w:rPr>
          <w:rFonts w:ascii="Georgia" w:eastAsia="Times New Roman" w:hAnsi="Georgia" w:cs="Times New Roman"/>
          <w:szCs w:val="20"/>
        </w:rPr>
        <w:t xml:space="preserve"> Justice Finkelstein in </w:t>
      </w:r>
      <w:proofErr w:type="spellStart"/>
      <w:r w:rsidRPr="00C20663">
        <w:rPr>
          <w:rFonts w:ascii="Georgia" w:eastAsia="Times New Roman" w:hAnsi="Georgia" w:cs="Times New Roman"/>
          <w:i/>
          <w:szCs w:val="20"/>
        </w:rPr>
        <w:t>Italiano</w:t>
      </w:r>
      <w:proofErr w:type="spellEnd"/>
      <w:r w:rsidRPr="00C20663">
        <w:rPr>
          <w:rFonts w:ascii="Georgia" w:eastAsia="Times New Roman" w:hAnsi="Georgia" w:cs="Times New Roman"/>
          <w:szCs w:val="20"/>
        </w:rPr>
        <w:t xml:space="preserve"> held that the liquidators of the </w:t>
      </w:r>
      <w:proofErr w:type="spellStart"/>
      <w:r w:rsidRPr="00C20663">
        <w:rPr>
          <w:rFonts w:ascii="Georgia" w:eastAsia="Times New Roman" w:hAnsi="Georgia" w:cs="Times New Roman"/>
          <w:szCs w:val="20"/>
        </w:rPr>
        <w:t>Italiano</w:t>
      </w:r>
      <w:proofErr w:type="spellEnd"/>
      <w:r w:rsidRPr="00C20663">
        <w:rPr>
          <w:rFonts w:ascii="Georgia" w:eastAsia="Times New Roman" w:hAnsi="Georgia" w:cs="Times New Roman"/>
          <w:szCs w:val="20"/>
        </w:rPr>
        <w:t xml:space="preserve"> Family Fruit Company Pty Ltd (in </w:t>
      </w:r>
      <w:proofErr w:type="spellStart"/>
      <w:r w:rsidRPr="00C20663">
        <w:rPr>
          <w:rFonts w:ascii="Georgia" w:eastAsia="Times New Roman" w:hAnsi="Georgia" w:cs="Times New Roman"/>
          <w:szCs w:val="20"/>
        </w:rPr>
        <w:t>liq</w:t>
      </w:r>
      <w:proofErr w:type="spellEnd"/>
      <w:r w:rsidRPr="00C20663">
        <w:rPr>
          <w:rFonts w:ascii="Georgia" w:eastAsia="Times New Roman" w:hAnsi="Georgia" w:cs="Times New Roman"/>
          <w:szCs w:val="20"/>
        </w:rPr>
        <w:t xml:space="preserve">) failed to properly discharge these obligations, as the decision to pay entitlements from circulating assets was premature and premised on an ‘interim </w:t>
      </w:r>
      <w:r w:rsidRPr="00C20663">
        <w:rPr>
          <w:rFonts w:ascii="Georgia" w:eastAsia="Times New Roman" w:hAnsi="Georgia" w:cs="Times New Roman"/>
          <w:szCs w:val="20"/>
        </w:rPr>
        <w:lastRenderedPageBreak/>
        <w:t>assessment of the company’s financial position…which only look[</w:t>
      </w:r>
      <w:proofErr w:type="spellStart"/>
      <w:r w:rsidRPr="00C20663">
        <w:rPr>
          <w:rFonts w:ascii="Georgia" w:eastAsia="Times New Roman" w:hAnsi="Georgia" w:cs="Times New Roman"/>
          <w:szCs w:val="20"/>
        </w:rPr>
        <w:t>ed</w:t>
      </w:r>
      <w:proofErr w:type="spellEnd"/>
      <w:r w:rsidRPr="00C20663">
        <w:rPr>
          <w:rFonts w:ascii="Georgia" w:eastAsia="Times New Roman" w:hAnsi="Georgia" w:cs="Times New Roman"/>
          <w:szCs w:val="20"/>
        </w:rPr>
        <w:t>] at the position at a single point in time.’</w:t>
      </w:r>
      <w:r w:rsidRPr="00C20663">
        <w:rPr>
          <w:rFonts w:ascii="Georgia" w:eastAsiaTheme="majorEastAsia" w:hAnsi="Georgia" w:cs="Times New Roman"/>
          <w:szCs w:val="20"/>
          <w:vertAlign w:val="superscript"/>
        </w:rPr>
        <w:footnoteReference w:id="54"/>
      </w:r>
    </w:p>
    <w:p w:rsidR="00574661" w:rsidRPr="00C20663" w:rsidRDefault="00574661" w:rsidP="00574661">
      <w:pPr>
        <w:spacing w:after="0"/>
        <w:jc w:val="both"/>
        <w:rPr>
          <w:rFonts w:ascii="Georgia" w:eastAsia="Times New Roman" w:hAnsi="Georgia" w:cs="Times New Roman"/>
          <w:szCs w:val="20"/>
        </w:rPr>
      </w:pPr>
    </w:p>
    <w:p w:rsidR="00574661" w:rsidRPr="00C20663" w:rsidRDefault="00574661" w:rsidP="00574661">
      <w:pPr>
        <w:spacing w:after="0"/>
        <w:jc w:val="both"/>
        <w:rPr>
          <w:rFonts w:ascii="Georgia" w:eastAsia="Times New Roman" w:hAnsi="Georgia" w:cs="Times New Roman"/>
          <w:szCs w:val="20"/>
        </w:rPr>
      </w:pPr>
      <w:r w:rsidRPr="00C20663">
        <w:rPr>
          <w:rFonts w:ascii="Georgia" w:eastAsia="Times New Roman" w:hAnsi="Georgia" w:cs="Times New Roman"/>
          <w:szCs w:val="20"/>
        </w:rPr>
        <w:t>Justice Finkelstein determined that upon the sale of the company’s circulating assets, a trust came into existence over the proceeds due to the operation of s 561,</w:t>
      </w:r>
      <w:r w:rsidRPr="00C20663">
        <w:rPr>
          <w:rFonts w:ascii="Georgia" w:eastAsiaTheme="majorEastAsia" w:hAnsi="Georgia" w:cs="Times New Roman"/>
          <w:szCs w:val="20"/>
          <w:vertAlign w:val="superscript"/>
        </w:rPr>
        <w:footnoteReference w:id="55"/>
      </w:r>
      <w:r w:rsidRPr="00C20663">
        <w:rPr>
          <w:rFonts w:ascii="Georgia" w:eastAsia="Times New Roman" w:hAnsi="Georgia" w:cs="Times New Roman"/>
          <w:szCs w:val="20"/>
        </w:rPr>
        <w:t xml:space="preserve"> and that the liquidators had breached the trust by using those funds before they could be satisfied as to whether sufficient free funds were available to pay the priority entitlements.</w:t>
      </w:r>
      <w:r w:rsidRPr="00C20663">
        <w:rPr>
          <w:rFonts w:ascii="Georgia" w:eastAsiaTheme="majorEastAsia" w:hAnsi="Georgia" w:cs="Times New Roman"/>
          <w:szCs w:val="20"/>
          <w:vertAlign w:val="superscript"/>
        </w:rPr>
        <w:footnoteReference w:id="56"/>
      </w:r>
      <w:r w:rsidRPr="00C20663">
        <w:rPr>
          <w:rFonts w:ascii="Georgia" w:eastAsia="Times New Roman" w:hAnsi="Georgia" w:cs="Times New Roman"/>
          <w:szCs w:val="20"/>
        </w:rPr>
        <w:t xml:space="preserve"> This allowed the secured creditor to be subrogated to the</w:t>
      </w:r>
      <w:r>
        <w:rPr>
          <w:rFonts w:ascii="Georgia" w:eastAsia="Times New Roman" w:hAnsi="Georgia" w:cs="Times New Roman"/>
          <w:szCs w:val="20"/>
        </w:rPr>
        <w:t xml:space="preserve"> rights of the unsecured creditors to any unsecured realisations made, for instance, by any subsequent recoveries made by the liquidator for unfair preferences</w:t>
      </w:r>
      <w:r w:rsidRPr="00C20663">
        <w:rPr>
          <w:rFonts w:ascii="Georgia" w:eastAsia="Times New Roman" w:hAnsi="Georgia" w:cs="Times New Roman"/>
          <w:szCs w:val="20"/>
        </w:rPr>
        <w:t>.</w:t>
      </w:r>
      <w:r w:rsidRPr="00C20663">
        <w:rPr>
          <w:rFonts w:ascii="Georgia" w:eastAsiaTheme="majorEastAsia" w:hAnsi="Georgia" w:cs="Times New Roman"/>
          <w:szCs w:val="20"/>
          <w:vertAlign w:val="superscript"/>
        </w:rPr>
        <w:footnoteReference w:id="57"/>
      </w:r>
    </w:p>
    <w:p w:rsidR="00574661" w:rsidRDefault="00574661" w:rsidP="00574661">
      <w:pPr>
        <w:spacing w:after="0"/>
        <w:jc w:val="both"/>
        <w:rPr>
          <w:rFonts w:ascii="Georgia" w:eastAsia="Times New Roman" w:hAnsi="Georgia" w:cs="Times New Roman"/>
          <w:szCs w:val="20"/>
        </w:rPr>
      </w:pPr>
    </w:p>
    <w:p w:rsidR="00574661" w:rsidRPr="00C20663" w:rsidRDefault="00574661" w:rsidP="00574661">
      <w:pPr>
        <w:spacing w:after="0"/>
        <w:jc w:val="both"/>
        <w:rPr>
          <w:rFonts w:ascii="Georgia" w:eastAsia="Times New Roman" w:hAnsi="Georgia" w:cs="Times New Roman"/>
          <w:szCs w:val="20"/>
        </w:rPr>
      </w:pPr>
      <w:r w:rsidRPr="00C20663">
        <w:rPr>
          <w:rFonts w:ascii="Georgia" w:eastAsia="Times New Roman" w:hAnsi="Georgia" w:cs="Times New Roman"/>
          <w:szCs w:val="20"/>
        </w:rPr>
        <w:t xml:space="preserve">This decision may prevent the speedy payment of employee priorities as it places practitioners at risk of liability for Finkelstein J’s ‘breach of trust’. Importantly, the </w:t>
      </w:r>
      <w:r>
        <w:rPr>
          <w:rFonts w:ascii="Georgia" w:eastAsia="Times New Roman" w:hAnsi="Georgia" w:cs="Times New Roman"/>
          <w:szCs w:val="20"/>
        </w:rPr>
        <w:t xml:space="preserve">more </w:t>
      </w:r>
      <w:r w:rsidRPr="00C20663">
        <w:rPr>
          <w:rFonts w:ascii="Georgia" w:eastAsia="Times New Roman" w:hAnsi="Georgia" w:cs="Times New Roman"/>
          <w:szCs w:val="20"/>
        </w:rPr>
        <w:t xml:space="preserve">recent case of </w:t>
      </w:r>
      <w:proofErr w:type="spellStart"/>
      <w:r w:rsidRPr="00C20663">
        <w:rPr>
          <w:rFonts w:ascii="Georgia" w:eastAsia="Times New Roman" w:hAnsi="Georgia" w:cs="Times New Roman"/>
          <w:i/>
          <w:szCs w:val="20"/>
        </w:rPr>
        <w:t>ExDvD</w:t>
      </w:r>
      <w:proofErr w:type="spellEnd"/>
      <w:r>
        <w:rPr>
          <w:rFonts w:ascii="Georgia" w:eastAsia="Times New Roman" w:hAnsi="Georgia" w:cs="Times New Roman"/>
          <w:i/>
          <w:szCs w:val="20"/>
        </w:rPr>
        <w:t xml:space="preserve"> </w:t>
      </w:r>
      <w:r w:rsidRPr="00C20663">
        <w:rPr>
          <w:rFonts w:ascii="Georgia" w:eastAsia="Times New Roman" w:hAnsi="Georgia" w:cs="Times New Roman"/>
          <w:szCs w:val="20"/>
        </w:rPr>
        <w:t>found that in similar circumstances, a secured creditor’s right to subrogation was premised on general equitable principles, and not on a practitioner having committed a breach of trust.</w:t>
      </w:r>
      <w:r w:rsidRPr="00C20663">
        <w:rPr>
          <w:rFonts w:ascii="Georgia" w:eastAsiaTheme="majorEastAsia" w:hAnsi="Georgia" w:cs="Times New Roman"/>
          <w:szCs w:val="20"/>
          <w:vertAlign w:val="superscript"/>
        </w:rPr>
        <w:footnoteReference w:id="58"/>
      </w:r>
    </w:p>
    <w:p w:rsidR="00574661" w:rsidRDefault="00574661" w:rsidP="00574661">
      <w:pPr>
        <w:spacing w:after="0"/>
        <w:jc w:val="both"/>
        <w:rPr>
          <w:rFonts w:ascii="Georgia" w:eastAsia="Times New Roman" w:hAnsi="Georgia" w:cs="Times New Roman"/>
          <w:szCs w:val="20"/>
        </w:rPr>
      </w:pPr>
      <w:r w:rsidRPr="00C20663">
        <w:rPr>
          <w:rFonts w:ascii="Georgia" w:eastAsia="Times New Roman" w:hAnsi="Georgia" w:cs="Times New Roman"/>
          <w:szCs w:val="20"/>
        </w:rPr>
        <w:t xml:space="preserve">Whilst </w:t>
      </w:r>
      <w:proofErr w:type="spellStart"/>
      <w:r w:rsidRPr="00C20663">
        <w:rPr>
          <w:rFonts w:ascii="Georgia" w:eastAsia="Times New Roman" w:hAnsi="Georgia" w:cs="Times New Roman"/>
          <w:i/>
          <w:szCs w:val="20"/>
        </w:rPr>
        <w:t>ExDvD</w:t>
      </w:r>
      <w:proofErr w:type="spellEnd"/>
      <w:r w:rsidRPr="00C20663">
        <w:rPr>
          <w:rFonts w:ascii="Georgia" w:eastAsia="Times New Roman" w:hAnsi="Georgia" w:cs="Times New Roman"/>
          <w:szCs w:val="20"/>
        </w:rPr>
        <w:t xml:space="preserve"> creates a welcome distance from the breach of trust concept found in </w:t>
      </w:r>
      <w:proofErr w:type="spellStart"/>
      <w:r w:rsidRPr="00C20663">
        <w:rPr>
          <w:rFonts w:ascii="Georgia" w:eastAsia="Times New Roman" w:hAnsi="Georgia" w:cs="Times New Roman"/>
          <w:i/>
          <w:szCs w:val="20"/>
        </w:rPr>
        <w:t>Italiano</w:t>
      </w:r>
      <w:proofErr w:type="spellEnd"/>
      <w:r w:rsidRPr="00C20663">
        <w:rPr>
          <w:rFonts w:ascii="Georgia" w:eastAsia="Times New Roman" w:hAnsi="Georgia" w:cs="Times New Roman"/>
          <w:szCs w:val="20"/>
        </w:rPr>
        <w:t>, the prospect of practitioner liability in such circumstances still looms.</w:t>
      </w:r>
      <w:r>
        <w:rPr>
          <w:rFonts w:ascii="Georgia" w:eastAsia="Times New Roman" w:hAnsi="Georgia" w:cs="Times New Roman"/>
          <w:szCs w:val="20"/>
        </w:rPr>
        <w:t xml:space="preserve"> </w:t>
      </w:r>
    </w:p>
    <w:p w:rsidR="00574661" w:rsidRDefault="00574661" w:rsidP="00574661">
      <w:pPr>
        <w:spacing w:after="0"/>
        <w:jc w:val="both"/>
        <w:rPr>
          <w:rFonts w:ascii="Georgia" w:eastAsia="Times New Roman" w:hAnsi="Georgia" w:cs="Times New Roman"/>
          <w:szCs w:val="20"/>
        </w:rPr>
      </w:pPr>
    </w:p>
    <w:p w:rsidR="00574661" w:rsidRPr="00C20663" w:rsidRDefault="00574661" w:rsidP="00574661">
      <w:pPr>
        <w:spacing w:after="0"/>
        <w:jc w:val="both"/>
        <w:rPr>
          <w:rFonts w:ascii="Georgia" w:eastAsia="Times New Roman" w:hAnsi="Georgia" w:cs="Times New Roman"/>
          <w:szCs w:val="20"/>
        </w:rPr>
      </w:pPr>
      <w:r w:rsidRPr="00C20663">
        <w:rPr>
          <w:rFonts w:ascii="Georgia" w:eastAsia="Times New Roman" w:hAnsi="Georgia" w:cs="Times New Roman"/>
          <w:szCs w:val="20"/>
        </w:rPr>
        <w:t>It is</w:t>
      </w:r>
      <w:r>
        <w:rPr>
          <w:rFonts w:ascii="Georgia" w:eastAsia="Times New Roman" w:hAnsi="Georgia" w:cs="Times New Roman"/>
          <w:szCs w:val="20"/>
        </w:rPr>
        <w:t xml:space="preserve"> </w:t>
      </w:r>
      <w:r w:rsidRPr="00C20663">
        <w:rPr>
          <w:rFonts w:ascii="Georgia" w:eastAsia="Times New Roman" w:hAnsi="Georgia" w:cs="Times New Roman"/>
          <w:szCs w:val="20"/>
        </w:rPr>
        <w:t xml:space="preserve">submitted </w:t>
      </w:r>
      <w:r>
        <w:rPr>
          <w:rFonts w:ascii="Georgia" w:eastAsia="Times New Roman" w:hAnsi="Georgia" w:cs="Times New Roman"/>
          <w:szCs w:val="20"/>
        </w:rPr>
        <w:t xml:space="preserve">by the authors’ </w:t>
      </w:r>
      <w:r w:rsidRPr="00C20663">
        <w:rPr>
          <w:rFonts w:ascii="Georgia" w:eastAsia="Times New Roman" w:hAnsi="Georgia" w:cs="Times New Roman"/>
          <w:szCs w:val="20"/>
        </w:rPr>
        <w:t xml:space="preserve">that the risk of practitioner liability for an </w:t>
      </w:r>
      <w:proofErr w:type="spellStart"/>
      <w:r w:rsidRPr="00C20663">
        <w:rPr>
          <w:rFonts w:ascii="Georgia" w:eastAsia="Times New Roman" w:hAnsi="Georgia" w:cs="Times New Roman"/>
          <w:i/>
          <w:szCs w:val="20"/>
        </w:rPr>
        <w:t>Italiano</w:t>
      </w:r>
      <w:proofErr w:type="spellEnd"/>
      <w:r w:rsidRPr="00C20663">
        <w:rPr>
          <w:rFonts w:ascii="Georgia" w:eastAsia="Times New Roman" w:hAnsi="Georgia" w:cs="Times New Roman"/>
          <w:szCs w:val="20"/>
        </w:rPr>
        <w:t xml:space="preserve"> breach of trust </w:t>
      </w:r>
      <w:r>
        <w:rPr>
          <w:rFonts w:ascii="Georgia" w:eastAsia="Times New Roman" w:hAnsi="Georgia" w:cs="Times New Roman"/>
          <w:szCs w:val="20"/>
        </w:rPr>
        <w:t>should</w:t>
      </w:r>
      <w:r w:rsidRPr="00C20663">
        <w:rPr>
          <w:rFonts w:ascii="Georgia" w:eastAsia="Times New Roman" w:hAnsi="Georgia" w:cs="Times New Roman"/>
          <w:szCs w:val="20"/>
        </w:rPr>
        <w:t xml:space="preserve"> </w:t>
      </w:r>
      <w:r w:rsidRPr="00C20663">
        <w:rPr>
          <w:rFonts w:ascii="Georgia" w:eastAsia="Times New Roman" w:hAnsi="Georgia" w:cs="Times New Roman"/>
          <w:szCs w:val="20"/>
          <w:u w:val="single"/>
        </w:rPr>
        <w:t>not</w:t>
      </w:r>
      <w:r w:rsidRPr="00C20663">
        <w:rPr>
          <w:rFonts w:ascii="Georgia" w:eastAsia="Times New Roman" w:hAnsi="Georgia" w:cs="Times New Roman"/>
          <w:szCs w:val="20"/>
        </w:rPr>
        <w:t xml:space="preserve"> be mitigated by receivers and liquidators obtaining the consent of the secured creditor to pay employee entitlements from circulating asset proceeds.</w:t>
      </w:r>
      <w:r>
        <w:rPr>
          <w:rStyle w:val="FootnoteReference"/>
          <w:rFonts w:ascii="Georgia" w:eastAsia="Times New Roman" w:hAnsi="Georgia" w:cs="Times New Roman"/>
          <w:szCs w:val="20"/>
        </w:rPr>
        <w:footnoteReference w:id="59"/>
      </w:r>
      <w:r w:rsidRPr="00C20663">
        <w:rPr>
          <w:rFonts w:ascii="Georgia" w:eastAsia="Times New Roman" w:hAnsi="Georgia" w:cs="Times New Roman"/>
          <w:szCs w:val="20"/>
        </w:rPr>
        <w:t xml:space="preserve"> This is because both </w:t>
      </w:r>
      <w:proofErr w:type="spellStart"/>
      <w:r w:rsidRPr="00C20663">
        <w:rPr>
          <w:rFonts w:ascii="Georgia" w:eastAsia="Times New Roman" w:hAnsi="Georgia" w:cs="Times New Roman"/>
          <w:szCs w:val="20"/>
        </w:rPr>
        <w:t>ss</w:t>
      </w:r>
      <w:proofErr w:type="spellEnd"/>
      <w:r w:rsidRPr="00C20663">
        <w:rPr>
          <w:rFonts w:ascii="Georgia" w:eastAsia="Times New Roman" w:hAnsi="Georgia" w:cs="Times New Roman"/>
          <w:szCs w:val="20"/>
        </w:rPr>
        <w:t> 433 and 561 expressly require the priority payment of those amounts, regardless of whether or not a secured creditor has consented.</w:t>
      </w:r>
      <w:bookmarkStart w:id="1" w:name="_Ref449648332"/>
      <w:r w:rsidRPr="00C20663">
        <w:rPr>
          <w:rFonts w:ascii="Georgia" w:eastAsiaTheme="majorEastAsia" w:hAnsi="Georgia" w:cs="Times New Roman"/>
          <w:szCs w:val="20"/>
          <w:vertAlign w:val="superscript"/>
        </w:rPr>
        <w:footnoteReference w:id="60"/>
      </w:r>
      <w:bookmarkEnd w:id="1"/>
      <w:r>
        <w:rPr>
          <w:rFonts w:ascii="Georgia" w:eastAsia="Times New Roman" w:hAnsi="Georgia" w:cs="Times New Roman"/>
          <w:szCs w:val="20"/>
        </w:rPr>
        <w:t xml:space="preserve"> In the view of the authors, even if a secured creditor did not provide its consent upon request, a practitioner would still be obliged to pay those amounts pursuant to </w:t>
      </w:r>
      <w:proofErr w:type="spellStart"/>
      <w:r w:rsidRPr="00C20663">
        <w:rPr>
          <w:rFonts w:ascii="Georgia" w:eastAsia="Times New Roman" w:hAnsi="Georgia" w:cs="Times New Roman"/>
          <w:szCs w:val="20"/>
        </w:rPr>
        <w:t>ss</w:t>
      </w:r>
      <w:proofErr w:type="spellEnd"/>
      <w:r w:rsidRPr="00C20663">
        <w:rPr>
          <w:rFonts w:ascii="Georgia" w:eastAsia="Times New Roman" w:hAnsi="Georgia" w:cs="Times New Roman"/>
          <w:szCs w:val="20"/>
        </w:rPr>
        <w:t> 433 and 561</w:t>
      </w:r>
      <w:r>
        <w:rPr>
          <w:rFonts w:ascii="Georgia" w:eastAsia="Times New Roman" w:hAnsi="Georgia" w:cs="Times New Roman"/>
          <w:szCs w:val="20"/>
        </w:rPr>
        <w:t>, and a secured creditor’s objection to that course would be no grounds for non-compliance.</w:t>
      </w:r>
    </w:p>
    <w:p w:rsidR="00574661" w:rsidRPr="00C20663" w:rsidRDefault="00574661" w:rsidP="00574661">
      <w:pPr>
        <w:spacing w:after="0"/>
        <w:jc w:val="both"/>
        <w:rPr>
          <w:rFonts w:ascii="Georgia" w:eastAsia="Times New Roman" w:hAnsi="Georgia" w:cs="Times New Roman"/>
          <w:szCs w:val="20"/>
        </w:rPr>
      </w:pPr>
    </w:p>
    <w:p w:rsidR="00574661" w:rsidRPr="00CA152F" w:rsidRDefault="00574661" w:rsidP="00574661">
      <w:pPr>
        <w:spacing w:after="0"/>
        <w:jc w:val="both"/>
        <w:rPr>
          <w:rFonts w:ascii="Georgia" w:eastAsia="Times New Roman" w:hAnsi="Georgia" w:cs="Times New Roman"/>
          <w:b/>
          <w:i/>
          <w:szCs w:val="20"/>
          <w:lang w:eastAsia="en-AU"/>
        </w:rPr>
      </w:pPr>
      <w:r w:rsidRPr="00CA152F">
        <w:rPr>
          <w:rFonts w:ascii="Georgia" w:eastAsia="Times New Roman" w:hAnsi="Georgia" w:cs="Times New Roman"/>
          <w:b/>
          <w:i/>
          <w:szCs w:val="20"/>
          <w:lang w:eastAsia="en-AU"/>
        </w:rPr>
        <w:t xml:space="preserve">Post Appointment Employee Entitlements </w:t>
      </w:r>
    </w:p>
    <w:p w:rsidR="00574661" w:rsidRPr="00C20663" w:rsidRDefault="00574661" w:rsidP="00574661">
      <w:pPr>
        <w:spacing w:after="0"/>
        <w:jc w:val="both"/>
        <w:rPr>
          <w:rFonts w:ascii="Georgia" w:eastAsia="Times New Roman" w:hAnsi="Georgia" w:cs="Times New Roman"/>
          <w:b/>
          <w:szCs w:val="20"/>
          <w:lang w:eastAsia="en-AU"/>
        </w:rPr>
      </w:pPr>
    </w:p>
    <w:p w:rsidR="00574661" w:rsidRDefault="00574661" w:rsidP="00574661">
      <w:pPr>
        <w:spacing w:after="0"/>
        <w:jc w:val="both"/>
        <w:rPr>
          <w:rFonts w:ascii="Georgia" w:eastAsia="Times New Roman" w:hAnsi="Georgia" w:cs="Times New Roman"/>
          <w:szCs w:val="20"/>
          <w:lang w:eastAsia="en-AU"/>
        </w:rPr>
      </w:pPr>
      <w:r w:rsidRPr="00C20663">
        <w:rPr>
          <w:rFonts w:ascii="Georgia" w:eastAsia="Times New Roman" w:hAnsi="Georgia" w:cs="Times New Roman"/>
          <w:szCs w:val="20"/>
          <w:lang w:eastAsia="en-AU"/>
        </w:rPr>
        <w:t xml:space="preserve">Section 419 of </w:t>
      </w:r>
      <w:r w:rsidRPr="00C20663">
        <w:rPr>
          <w:rFonts w:ascii="Georgia" w:eastAsia="Times New Roman" w:hAnsi="Georgia" w:cs="Times New Roman"/>
          <w:i/>
          <w:szCs w:val="20"/>
          <w:lang w:eastAsia="en-AU"/>
        </w:rPr>
        <w:t>the Act</w:t>
      </w:r>
      <w:r w:rsidRPr="00C20663">
        <w:rPr>
          <w:rFonts w:ascii="Georgia" w:eastAsia="Times New Roman" w:hAnsi="Georgia" w:cs="Times New Roman"/>
          <w:szCs w:val="20"/>
          <w:lang w:eastAsia="en-AU"/>
        </w:rPr>
        <w:t xml:space="preserve"> applies to any controller of corporate property appointed to enforce a security interest, including a receiver or receiver and manager. This provision renders the receiver personally liable for debts incurred for services rendered, amongst other amounts, during the course of the receivership. This personal liability is in addition to, and quite separate from, the company’s primary liability for such debts. </w:t>
      </w:r>
    </w:p>
    <w:p w:rsidR="00574661" w:rsidRPr="00C20663" w:rsidRDefault="00574661" w:rsidP="00574661">
      <w:pPr>
        <w:spacing w:after="0"/>
        <w:jc w:val="both"/>
        <w:rPr>
          <w:rFonts w:ascii="Georgia" w:eastAsia="Times New Roman" w:hAnsi="Georgia" w:cs="Times New Roman"/>
          <w:szCs w:val="20"/>
          <w:lang w:eastAsia="en-AU"/>
        </w:rPr>
      </w:pPr>
    </w:p>
    <w:p w:rsidR="00574661" w:rsidRDefault="00574661" w:rsidP="00574661">
      <w:pPr>
        <w:spacing w:after="0"/>
        <w:jc w:val="both"/>
        <w:rPr>
          <w:rFonts w:ascii="Georgia" w:eastAsia="Times New Roman" w:hAnsi="Georgia" w:cs="Times New Roman"/>
          <w:szCs w:val="20"/>
          <w:lang w:eastAsia="en-AU"/>
        </w:rPr>
      </w:pPr>
      <w:r w:rsidRPr="00C20663">
        <w:rPr>
          <w:rFonts w:ascii="Georgia" w:eastAsia="Times New Roman" w:hAnsi="Georgia" w:cs="Times New Roman"/>
          <w:szCs w:val="20"/>
          <w:lang w:eastAsia="en-AU"/>
        </w:rPr>
        <w:t>The words ‘services rendered’ encompasses employment contracts,</w:t>
      </w:r>
      <w:r w:rsidRPr="00C20663">
        <w:rPr>
          <w:rFonts w:ascii="Georgia" w:eastAsiaTheme="majorEastAsia" w:hAnsi="Georgia" w:cs="Times New Roman"/>
          <w:szCs w:val="20"/>
          <w:vertAlign w:val="superscript"/>
          <w:lang w:eastAsia="en-AU"/>
        </w:rPr>
        <w:footnoteReference w:id="61"/>
      </w:r>
      <w:r w:rsidRPr="00C20663">
        <w:rPr>
          <w:rFonts w:ascii="Georgia" w:eastAsia="Times New Roman" w:hAnsi="Georgia" w:cs="Times New Roman"/>
          <w:szCs w:val="20"/>
          <w:lang w:eastAsia="en-AU"/>
        </w:rPr>
        <w:t xml:space="preserve"> and on the face of it, would appear to impose personal liability on receivers for employee entitlements attributable to services rendered throughout the course of the receivership. That is the case with one caveat. It is likely that in Australia, a receiver will not incur any such personal liability for an employment contract which is merely allowed to continue, as is, following the receivers’ </w:t>
      </w:r>
      <w:r w:rsidRPr="00C20663">
        <w:rPr>
          <w:rFonts w:ascii="Georgia" w:eastAsia="Times New Roman" w:hAnsi="Georgia" w:cs="Times New Roman"/>
          <w:szCs w:val="20"/>
          <w:lang w:eastAsia="en-AU"/>
        </w:rPr>
        <w:lastRenderedPageBreak/>
        <w:t>appointment.</w:t>
      </w:r>
      <w:r w:rsidRPr="00C20663">
        <w:rPr>
          <w:rFonts w:ascii="Georgia" w:eastAsiaTheme="majorEastAsia" w:hAnsi="Georgia" w:cs="Times New Roman"/>
          <w:szCs w:val="20"/>
          <w:vertAlign w:val="superscript"/>
          <w:lang w:eastAsia="en-AU"/>
        </w:rPr>
        <w:footnoteReference w:id="62"/>
      </w:r>
      <w:r w:rsidRPr="00C20663">
        <w:rPr>
          <w:rFonts w:ascii="Georgia" w:eastAsia="Times New Roman" w:hAnsi="Georgia" w:cs="Times New Roman"/>
          <w:szCs w:val="20"/>
          <w:lang w:eastAsia="en-AU"/>
        </w:rPr>
        <w:t xml:space="preserve"> However if the receiver undertakes some positive act with respect to the employee contract, including causing the contract to be varied, or otherwise </w:t>
      </w:r>
      <w:r>
        <w:rPr>
          <w:rFonts w:ascii="Georgia" w:eastAsia="Times New Roman" w:hAnsi="Georgia" w:cs="Times New Roman"/>
          <w:szCs w:val="20"/>
          <w:lang w:eastAsia="en-AU"/>
        </w:rPr>
        <w:t xml:space="preserve">agreeing to </w:t>
      </w:r>
      <w:r w:rsidRPr="00C20663">
        <w:rPr>
          <w:rFonts w:ascii="Georgia" w:eastAsia="Times New Roman" w:hAnsi="Georgia" w:cs="Times New Roman"/>
          <w:szCs w:val="20"/>
          <w:lang w:eastAsia="en-AU"/>
        </w:rPr>
        <w:t>personally adopt or become bound by the contract, s 419 personal liability will be triggered.</w:t>
      </w:r>
      <w:r w:rsidRPr="00C20663">
        <w:rPr>
          <w:rFonts w:ascii="Georgia" w:eastAsiaTheme="majorEastAsia" w:hAnsi="Georgia" w:cs="Times New Roman"/>
          <w:szCs w:val="20"/>
          <w:vertAlign w:val="superscript"/>
          <w:lang w:eastAsia="en-AU"/>
        </w:rPr>
        <w:footnoteReference w:id="63"/>
      </w:r>
      <w:r w:rsidRPr="00C20663">
        <w:rPr>
          <w:rFonts w:ascii="Georgia" w:eastAsia="Times New Roman" w:hAnsi="Georgia" w:cs="Times New Roman"/>
          <w:szCs w:val="20"/>
          <w:lang w:eastAsia="en-AU"/>
        </w:rPr>
        <w:t xml:space="preserve"> These acts constitute the threshold requirement of personal liability, that a debt must be </w:t>
      </w:r>
      <w:r w:rsidRPr="00C20663">
        <w:rPr>
          <w:rFonts w:ascii="Georgia" w:eastAsia="Times New Roman" w:hAnsi="Georgia" w:cs="Times New Roman"/>
          <w:i/>
          <w:szCs w:val="20"/>
          <w:lang w:eastAsia="en-AU"/>
        </w:rPr>
        <w:t>incurred</w:t>
      </w:r>
      <w:r w:rsidRPr="00C20663">
        <w:rPr>
          <w:rFonts w:ascii="Georgia" w:eastAsia="Times New Roman" w:hAnsi="Georgia" w:cs="Times New Roman"/>
          <w:szCs w:val="20"/>
          <w:lang w:eastAsia="en-AU"/>
        </w:rPr>
        <w:t xml:space="preserve"> by the receiver during the receivership. Any </w:t>
      </w:r>
      <w:r w:rsidRPr="00C20663">
        <w:rPr>
          <w:rFonts w:ascii="Georgia" w:eastAsia="Times New Roman" w:hAnsi="Georgia" w:cs="Times New Roman"/>
          <w:i/>
          <w:szCs w:val="20"/>
          <w:lang w:eastAsia="en-AU"/>
        </w:rPr>
        <w:t>new</w:t>
      </w:r>
      <w:r w:rsidRPr="00C20663">
        <w:rPr>
          <w:rFonts w:ascii="Georgia" w:eastAsia="Times New Roman" w:hAnsi="Georgia" w:cs="Times New Roman"/>
          <w:szCs w:val="20"/>
          <w:lang w:eastAsia="en-AU"/>
        </w:rPr>
        <w:t xml:space="preserve"> employment contracts entered into by the company during the receivership will enliven s 419 personal liability.</w:t>
      </w:r>
    </w:p>
    <w:p w:rsidR="00574661" w:rsidRPr="00C20663" w:rsidRDefault="00574661" w:rsidP="00574661">
      <w:pPr>
        <w:spacing w:after="0"/>
        <w:jc w:val="both"/>
        <w:rPr>
          <w:rFonts w:ascii="Georgia" w:eastAsia="Times New Roman" w:hAnsi="Georgia" w:cs="Times New Roman"/>
          <w:szCs w:val="20"/>
          <w:lang w:eastAsia="en-AU"/>
        </w:rPr>
      </w:pPr>
    </w:p>
    <w:p w:rsidR="00574661" w:rsidRDefault="00574661" w:rsidP="00574661">
      <w:pPr>
        <w:spacing w:after="0"/>
        <w:jc w:val="both"/>
        <w:rPr>
          <w:rFonts w:ascii="Georgia" w:eastAsia="Times New Roman" w:hAnsi="Georgia" w:cs="Times New Roman"/>
          <w:szCs w:val="20"/>
          <w:lang w:eastAsia="en-AU"/>
        </w:rPr>
      </w:pPr>
      <w:r w:rsidRPr="00C20663">
        <w:rPr>
          <w:rFonts w:ascii="Georgia" w:eastAsia="Times New Roman" w:hAnsi="Georgia" w:cs="Times New Roman"/>
          <w:szCs w:val="20"/>
          <w:lang w:eastAsia="en-AU"/>
        </w:rPr>
        <w:t>In the event personal liability is imposed on receivers for employee entitlements incurred during the receivership, this liability will remain notwithstanding any agreement to the contrary.</w:t>
      </w:r>
      <w:r w:rsidRPr="00C20663">
        <w:rPr>
          <w:rFonts w:ascii="Georgia" w:eastAsiaTheme="majorEastAsia" w:hAnsi="Georgia" w:cs="Times New Roman"/>
          <w:szCs w:val="20"/>
          <w:vertAlign w:val="superscript"/>
          <w:lang w:eastAsia="en-AU"/>
        </w:rPr>
        <w:footnoteReference w:id="64"/>
      </w:r>
      <w:r w:rsidRPr="00C20663">
        <w:rPr>
          <w:rFonts w:ascii="Georgia" w:eastAsia="Times New Roman" w:hAnsi="Georgia" w:cs="Times New Roman"/>
          <w:szCs w:val="20"/>
          <w:lang w:eastAsia="en-AU"/>
        </w:rPr>
        <w:t xml:space="preserve"> Thus a receiver is not able to contractually escape personal liability when s 419 is otherwise triggered. The receiver retains the right to be indemnified by the company’s assets for any personal liability incurred. </w:t>
      </w:r>
    </w:p>
    <w:p w:rsidR="00574661" w:rsidRPr="00C20663" w:rsidRDefault="00574661" w:rsidP="00574661">
      <w:pPr>
        <w:spacing w:after="0"/>
        <w:jc w:val="both"/>
        <w:rPr>
          <w:rFonts w:ascii="Georgia" w:eastAsia="Times New Roman" w:hAnsi="Georgia" w:cs="Times New Roman"/>
          <w:szCs w:val="20"/>
          <w:lang w:eastAsia="en-AU"/>
        </w:rPr>
      </w:pPr>
    </w:p>
    <w:p w:rsidR="00574661" w:rsidRPr="00C20663" w:rsidRDefault="00574661" w:rsidP="00574661">
      <w:pPr>
        <w:spacing w:after="0"/>
        <w:jc w:val="both"/>
        <w:rPr>
          <w:rFonts w:ascii="Georgia" w:eastAsia="Times New Roman" w:hAnsi="Georgia" w:cs="Times New Roman"/>
          <w:szCs w:val="20"/>
          <w:lang w:eastAsia="en-AU"/>
        </w:rPr>
      </w:pPr>
      <w:r w:rsidRPr="00C20663">
        <w:rPr>
          <w:rFonts w:ascii="Georgia" w:eastAsia="Times New Roman" w:hAnsi="Georgia" w:cs="Times New Roman"/>
          <w:szCs w:val="20"/>
          <w:lang w:eastAsia="en-AU"/>
        </w:rPr>
        <w:t>The issue of personal liability is quite separate from the priority regime provided for in sections 433 and 561. Thus the payment of employee entitlements for which receivers have incurred personal liability will not be contingent on the availability of sufficient circulating assets. These amounts would typically be paid as an expense from the general trading funds of the company in receivership.</w:t>
      </w:r>
    </w:p>
    <w:p w:rsidR="00574661" w:rsidRDefault="00574661" w:rsidP="00574661">
      <w:pPr>
        <w:spacing w:after="0"/>
        <w:jc w:val="both"/>
        <w:rPr>
          <w:rFonts w:ascii="Georgia" w:eastAsia="Times New Roman" w:hAnsi="Georgia" w:cs="Times New Roman"/>
          <w:b/>
          <w:lang w:eastAsia="en-AU"/>
        </w:rPr>
      </w:pPr>
    </w:p>
    <w:p w:rsidR="00574661" w:rsidRPr="00C20663" w:rsidRDefault="00574661" w:rsidP="00574661">
      <w:pPr>
        <w:spacing w:after="0"/>
        <w:jc w:val="both"/>
        <w:rPr>
          <w:rFonts w:ascii="Georgia" w:eastAsia="Times New Roman" w:hAnsi="Georgia" w:cs="Times New Roman"/>
          <w:b/>
          <w:lang w:eastAsia="en-AU"/>
        </w:rPr>
      </w:pPr>
      <w:r w:rsidRPr="00E45A57">
        <w:rPr>
          <w:rFonts w:ascii="Georgia" w:eastAsia="Times New Roman" w:hAnsi="Georgia" w:cs="Times New Roman"/>
          <w:b/>
          <w:lang w:eastAsia="en-AU"/>
        </w:rPr>
        <w:t>E.  ANALYSIS OF CURRENT LAW</w:t>
      </w:r>
    </w:p>
    <w:p w:rsidR="00574661" w:rsidRPr="00CA152F" w:rsidRDefault="00574661" w:rsidP="00574661">
      <w:pPr>
        <w:keepNext/>
        <w:keepLines/>
        <w:spacing w:before="200" w:after="0"/>
        <w:jc w:val="both"/>
        <w:outlineLvl w:val="2"/>
        <w:rPr>
          <w:rFonts w:ascii="Georgia" w:eastAsiaTheme="majorEastAsia" w:hAnsi="Georgia" w:cstheme="majorBidi"/>
          <w:b/>
          <w:bCs/>
          <w:i/>
        </w:rPr>
      </w:pPr>
      <w:r w:rsidRPr="00CA152F">
        <w:rPr>
          <w:rFonts w:ascii="Georgia" w:eastAsiaTheme="majorEastAsia" w:hAnsi="Georgia" w:cstheme="majorBidi"/>
          <w:b/>
          <w:bCs/>
          <w:i/>
        </w:rPr>
        <w:t>Analysis of section 558 and its application to receivership</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The authors </w:t>
      </w:r>
      <w:r>
        <w:rPr>
          <w:rFonts w:ascii="Georgia" w:eastAsia="Times New Roman" w:hAnsi="Georgia" w:cs="Times New Roman"/>
        </w:rPr>
        <w:t xml:space="preserve">respectfully </w:t>
      </w:r>
      <w:r w:rsidRPr="00C20663">
        <w:rPr>
          <w:rFonts w:ascii="Georgia" w:eastAsia="Times New Roman" w:hAnsi="Georgia" w:cs="Times New Roman"/>
        </w:rPr>
        <w:t xml:space="preserve">submit that the reasoning adopted in </w:t>
      </w:r>
      <w:r w:rsidRPr="00C20663">
        <w:rPr>
          <w:rFonts w:ascii="Georgia" w:eastAsia="Times New Roman" w:hAnsi="Georgia" w:cs="Times New Roman"/>
          <w:i/>
        </w:rPr>
        <w:t xml:space="preserve">McEvoy </w:t>
      </w:r>
      <w:r w:rsidRPr="00C20663">
        <w:rPr>
          <w:rFonts w:ascii="Georgia" w:eastAsia="Times New Roman" w:hAnsi="Georgia" w:cs="Times New Roman"/>
        </w:rPr>
        <w:t>and followed by the Federal Court in later cases is unsound, and the deeming provision ought to apply in receivership</w:t>
      </w:r>
      <w:r>
        <w:rPr>
          <w:rFonts w:ascii="Georgia" w:eastAsia="Times New Roman" w:hAnsi="Georgia" w:cs="Times New Roman"/>
        </w:rPr>
        <w:t xml:space="preserve"> for the following reasons</w:t>
      </w:r>
      <w:r w:rsidRPr="00C20663">
        <w:rPr>
          <w:rFonts w:ascii="Georgia" w:eastAsia="Times New Roman" w:hAnsi="Georgia" w:cs="Times New Roman"/>
        </w:rPr>
        <w:t>:</w:t>
      </w:r>
    </w:p>
    <w:p w:rsidR="00574661" w:rsidRPr="00C20663" w:rsidRDefault="00574661" w:rsidP="00574661">
      <w:pPr>
        <w:spacing w:after="0"/>
        <w:jc w:val="both"/>
        <w:rPr>
          <w:rFonts w:ascii="Georgia" w:eastAsia="Times New Roman" w:hAnsi="Georgia" w:cs="Times New Roman"/>
        </w:rPr>
      </w:pPr>
    </w:p>
    <w:p w:rsidR="00574661" w:rsidRDefault="00574661" w:rsidP="00574661">
      <w:pPr>
        <w:numPr>
          <w:ilvl w:val="0"/>
          <w:numId w:val="1"/>
        </w:numPr>
        <w:spacing w:after="0" w:line="276" w:lineRule="auto"/>
        <w:contextualSpacing/>
        <w:jc w:val="both"/>
        <w:rPr>
          <w:rFonts w:ascii="Georgia" w:eastAsia="Times New Roman" w:hAnsi="Georgia" w:cs="Times New Roman"/>
        </w:rPr>
      </w:pPr>
      <w:r w:rsidRPr="00C20663">
        <w:rPr>
          <w:rFonts w:ascii="Georgia" w:eastAsia="Times New Roman" w:hAnsi="Georgia" w:cs="Times New Roman"/>
        </w:rPr>
        <w:t xml:space="preserve">The practical reality is that receivership often results in employees losing their jobs; </w:t>
      </w:r>
    </w:p>
    <w:p w:rsidR="00574661" w:rsidRPr="00C20663" w:rsidRDefault="00574661" w:rsidP="00574661">
      <w:pPr>
        <w:spacing w:after="0"/>
        <w:ind w:left="775"/>
        <w:contextualSpacing/>
        <w:jc w:val="both"/>
        <w:rPr>
          <w:rFonts w:ascii="Georgia" w:eastAsia="Times New Roman" w:hAnsi="Georgia" w:cs="Times New Roman"/>
        </w:rPr>
      </w:pPr>
    </w:p>
    <w:p w:rsidR="00574661" w:rsidRDefault="00574661" w:rsidP="00574661">
      <w:pPr>
        <w:numPr>
          <w:ilvl w:val="0"/>
          <w:numId w:val="1"/>
        </w:numPr>
        <w:spacing w:after="0" w:line="276" w:lineRule="auto"/>
        <w:contextualSpacing/>
        <w:jc w:val="both"/>
        <w:rPr>
          <w:rFonts w:ascii="Georgia" w:eastAsia="Times New Roman" w:hAnsi="Georgia" w:cs="Times New Roman"/>
        </w:rPr>
      </w:pPr>
      <w:r w:rsidRPr="00C20663">
        <w:rPr>
          <w:rFonts w:ascii="Georgia" w:eastAsia="Times New Roman" w:hAnsi="Georgia" w:cs="Times New Roman"/>
        </w:rPr>
        <w:t>s 433 appears to direct receivers to apply the deeming provision; and</w:t>
      </w:r>
    </w:p>
    <w:p w:rsidR="00574661" w:rsidRPr="00C20663" w:rsidRDefault="00574661" w:rsidP="00574661">
      <w:pPr>
        <w:spacing w:after="0"/>
        <w:contextualSpacing/>
        <w:jc w:val="both"/>
        <w:rPr>
          <w:rFonts w:ascii="Georgia" w:eastAsia="Times New Roman" w:hAnsi="Georgia" w:cs="Times New Roman"/>
        </w:rPr>
      </w:pPr>
    </w:p>
    <w:p w:rsidR="00574661" w:rsidRPr="00C20663" w:rsidRDefault="00574661" w:rsidP="00574661">
      <w:pPr>
        <w:numPr>
          <w:ilvl w:val="0"/>
          <w:numId w:val="1"/>
        </w:numPr>
        <w:spacing w:after="0" w:line="276" w:lineRule="auto"/>
        <w:contextualSpacing/>
        <w:jc w:val="both"/>
        <w:rPr>
          <w:rFonts w:ascii="Georgia" w:eastAsia="Times New Roman" w:hAnsi="Georgia" w:cs="Times New Roman"/>
        </w:rPr>
      </w:pPr>
      <w:proofErr w:type="gramStart"/>
      <w:r w:rsidRPr="00C20663">
        <w:rPr>
          <w:rFonts w:ascii="Georgia" w:eastAsia="Times New Roman" w:hAnsi="Georgia" w:cs="Times New Roman"/>
        </w:rPr>
        <w:t>the</w:t>
      </w:r>
      <w:proofErr w:type="gramEnd"/>
      <w:r w:rsidRPr="00C20663">
        <w:rPr>
          <w:rFonts w:ascii="Georgia" w:eastAsia="Times New Roman" w:hAnsi="Georgia" w:cs="Times New Roman"/>
        </w:rPr>
        <w:t xml:space="preserve"> priority denied to employees in receivership in </w:t>
      </w:r>
      <w:r w:rsidRPr="00C20663">
        <w:rPr>
          <w:rFonts w:ascii="Georgia" w:eastAsia="Times New Roman" w:hAnsi="Georgia" w:cs="Times New Roman"/>
          <w:i/>
        </w:rPr>
        <w:t>McEvoy</w:t>
      </w:r>
      <w:r w:rsidRPr="00C20663">
        <w:rPr>
          <w:rFonts w:ascii="Georgia" w:eastAsia="Times New Roman" w:hAnsi="Georgia" w:cs="Times New Roman"/>
        </w:rPr>
        <w:t xml:space="preserve"> and </w:t>
      </w:r>
      <w:r w:rsidRPr="00C20663">
        <w:rPr>
          <w:rFonts w:ascii="Georgia" w:eastAsia="Times New Roman" w:hAnsi="Georgia" w:cs="Times New Roman"/>
          <w:i/>
        </w:rPr>
        <w:t>Vickers</w:t>
      </w:r>
      <w:r w:rsidRPr="00C20663">
        <w:rPr>
          <w:rFonts w:ascii="Georgia" w:eastAsia="Times New Roman" w:hAnsi="Georgia" w:cs="Times New Roman"/>
        </w:rPr>
        <w:t xml:space="preserve"> is enjoyed by employees in </w:t>
      </w:r>
      <w:r>
        <w:rPr>
          <w:rFonts w:ascii="Georgia" w:eastAsia="Times New Roman" w:hAnsi="Georgia" w:cs="Times New Roman"/>
        </w:rPr>
        <w:t xml:space="preserve">other forms of insolvency administration, including </w:t>
      </w:r>
      <w:r w:rsidRPr="00C20663">
        <w:rPr>
          <w:rFonts w:ascii="Georgia" w:eastAsia="Times New Roman" w:hAnsi="Georgia" w:cs="Times New Roman"/>
        </w:rPr>
        <w:t>a deed of company arrangement (‘DOCA’).</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highlight w:val="yellow"/>
        </w:rPr>
      </w:pPr>
      <w:r w:rsidRPr="00C20663">
        <w:rPr>
          <w:rFonts w:ascii="Georgia" w:eastAsia="Times New Roman" w:hAnsi="Georgia" w:cs="Times New Roman"/>
        </w:rPr>
        <w:t xml:space="preserve">Let us firstly consider the concern expressed by Finkelstein J in </w:t>
      </w:r>
      <w:r w:rsidRPr="00C20663">
        <w:rPr>
          <w:rFonts w:ascii="Georgia" w:eastAsia="Times New Roman" w:hAnsi="Georgia" w:cs="Times New Roman"/>
          <w:i/>
        </w:rPr>
        <w:t>McEvoy</w:t>
      </w:r>
      <w:r w:rsidRPr="00C20663">
        <w:rPr>
          <w:rFonts w:ascii="Georgia" w:eastAsia="Times New Roman" w:hAnsi="Georgia" w:cs="Times New Roman"/>
        </w:rPr>
        <w:t xml:space="preserve"> that employees in receivership ought not to receive priority payment for accrued leave because their employment ‘may survive the receivership.’</w:t>
      </w:r>
      <w:r w:rsidRPr="00C20663">
        <w:rPr>
          <w:rFonts w:ascii="Georgia" w:eastAsiaTheme="majorEastAsia" w:hAnsi="Georgia" w:cs="Times New Roman"/>
          <w:vertAlign w:val="superscript"/>
        </w:rPr>
        <w:footnoteReference w:id="65"/>
      </w:r>
      <w:r w:rsidRPr="00C20663">
        <w:rPr>
          <w:rFonts w:ascii="Georgia" w:eastAsia="Times New Roman" w:hAnsi="Georgia" w:cs="Times New Roman"/>
        </w:rPr>
        <w:t xml:space="preserve"> This, according to Finkelstein J, would be undesirable as it may confer a double benefit as compared to the employee in a winding up.</w:t>
      </w:r>
      <w:r w:rsidRPr="00C20663">
        <w:rPr>
          <w:rFonts w:ascii="Georgia" w:eastAsiaTheme="majorEastAsia" w:hAnsi="Georgia" w:cs="Times New Roman"/>
          <w:vertAlign w:val="superscript"/>
        </w:rPr>
        <w:footnoteReference w:id="66"/>
      </w:r>
      <w:r w:rsidRPr="00C20663">
        <w:rPr>
          <w:rFonts w:ascii="Georgia" w:eastAsia="Times New Roman" w:hAnsi="Georgia" w:cs="Times New Roman"/>
        </w:rPr>
        <w:t xml:space="preserve"> With respect, this assessment does not appear to contemplate the position of employees subject to a DOCA who are effectively conferred this double benefit by Parliament.</w:t>
      </w:r>
      <w:r w:rsidRPr="00C20663">
        <w:rPr>
          <w:rFonts w:ascii="Georgia" w:eastAsiaTheme="majorEastAsia" w:hAnsi="Georgia" w:cs="Times New Roman"/>
          <w:vertAlign w:val="superscript"/>
        </w:rPr>
        <w:footnoteReference w:id="67"/>
      </w:r>
      <w:r w:rsidRPr="00C20663">
        <w:rPr>
          <w:rFonts w:ascii="Georgia" w:eastAsia="Times New Roman" w:hAnsi="Georgia" w:cs="Times New Roman"/>
        </w:rPr>
        <w:t xml:space="preserve"> This is because s 444DA of </w:t>
      </w:r>
      <w:r w:rsidRPr="00C20663">
        <w:rPr>
          <w:rFonts w:ascii="Georgia" w:eastAsia="Times New Roman" w:hAnsi="Georgia" w:cs="Times New Roman"/>
          <w:i/>
        </w:rPr>
        <w:t>the Act</w:t>
      </w:r>
      <w:r w:rsidRPr="00C20663">
        <w:rPr>
          <w:rFonts w:ascii="Georgia" w:eastAsia="Times New Roman" w:hAnsi="Georgia" w:cs="Times New Roman"/>
        </w:rPr>
        <w:t xml:space="preserve"> gives employees during a DOCA the same priority they would enjoy if the company was wound up, incorporating the deeming provision in s 558, which will crystallise accrued leave </w:t>
      </w:r>
      <w:r w:rsidRPr="00C20663">
        <w:rPr>
          <w:rFonts w:ascii="Georgia" w:eastAsia="Times New Roman" w:hAnsi="Georgia" w:cs="Times New Roman"/>
        </w:rPr>
        <w:lastRenderedPageBreak/>
        <w:t xml:space="preserve">into a payable debt. In addition, the employees may also retain their job (and </w:t>
      </w:r>
      <w:r>
        <w:rPr>
          <w:rFonts w:ascii="Georgia" w:eastAsia="Times New Roman" w:hAnsi="Georgia" w:cs="Times New Roman"/>
        </w:rPr>
        <w:t xml:space="preserve">thus </w:t>
      </w:r>
      <w:r w:rsidRPr="00C20663">
        <w:rPr>
          <w:rFonts w:ascii="Georgia" w:eastAsia="Times New Roman" w:hAnsi="Georgia" w:cs="Times New Roman"/>
        </w:rPr>
        <w:t>the ‘double benefit’ may be realised) as a DOCA is designed to restore and rehabilitate the company such that it may continue in existence.</w:t>
      </w:r>
      <w:r w:rsidRPr="00C20663">
        <w:rPr>
          <w:rFonts w:ascii="Georgia" w:eastAsiaTheme="majorEastAsia" w:hAnsi="Georgia" w:cs="Times New Roman"/>
          <w:vertAlign w:val="superscript"/>
        </w:rPr>
        <w:footnoteReference w:id="68"/>
      </w:r>
    </w:p>
    <w:p w:rsidR="00574661"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In addition, this rationale, which was accepted by Barker J in </w:t>
      </w:r>
      <w:r w:rsidRPr="00C20663">
        <w:rPr>
          <w:rFonts w:ascii="Georgia" w:eastAsia="Times New Roman" w:hAnsi="Georgia" w:cs="Times New Roman"/>
          <w:i/>
        </w:rPr>
        <w:t>Vickers</w:t>
      </w:r>
      <w:r w:rsidRPr="00C20663">
        <w:rPr>
          <w:rFonts w:ascii="Georgia" w:eastAsia="Times New Roman" w:hAnsi="Georgia" w:cs="Times New Roman"/>
        </w:rPr>
        <w:t xml:space="preserve"> ‘with hesitation’,</w:t>
      </w:r>
      <w:r w:rsidRPr="00C20663">
        <w:rPr>
          <w:rFonts w:ascii="Georgia" w:eastAsiaTheme="majorEastAsia" w:hAnsi="Georgia" w:cs="Times New Roman"/>
          <w:vertAlign w:val="superscript"/>
        </w:rPr>
        <w:footnoteReference w:id="69"/>
      </w:r>
      <w:r w:rsidRPr="00C20663">
        <w:rPr>
          <w:rFonts w:ascii="Georgia" w:eastAsia="Times New Roman" w:hAnsi="Georgia" w:cs="Times New Roman"/>
        </w:rPr>
        <w:t xml:space="preserve"> may be unsound because, as observed by Barker J, ‘in so many cases, a receivership does spell an end to a company.’</w:t>
      </w:r>
      <w:r w:rsidRPr="00C20663">
        <w:rPr>
          <w:rFonts w:ascii="Georgia" w:eastAsiaTheme="majorEastAsia" w:hAnsi="Georgia" w:cs="Times New Roman"/>
          <w:vertAlign w:val="superscript"/>
        </w:rPr>
        <w:footnoteReference w:id="70"/>
      </w:r>
      <w:r w:rsidRPr="00C20663">
        <w:rPr>
          <w:rFonts w:ascii="Georgia" w:eastAsia="Times New Roman" w:hAnsi="Georgia" w:cs="Times New Roman"/>
        </w:rPr>
        <w:t xml:space="preserve"> Thus, regardless of there being a chance of retaining employment, the practical likelihood is that the company’s receivership will end in the inevitable termination of its employees.</w:t>
      </w:r>
    </w:p>
    <w:p w:rsidR="00574661"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Finally, and from a technical perspective, s 433(3</w:t>
      </w:r>
      <w:proofErr w:type="gramStart"/>
      <w:r w:rsidRPr="00C20663">
        <w:rPr>
          <w:rFonts w:ascii="Georgia" w:eastAsia="Times New Roman" w:hAnsi="Georgia" w:cs="Times New Roman"/>
        </w:rPr>
        <w:t>)(</w:t>
      </w:r>
      <w:proofErr w:type="gramEnd"/>
      <w:r w:rsidRPr="00C20663">
        <w:rPr>
          <w:rFonts w:ascii="Georgia" w:eastAsia="Times New Roman" w:hAnsi="Georgia" w:cs="Times New Roman"/>
        </w:rPr>
        <w:t>c) expressly directs the receivers to pay any amount ‘</w:t>
      </w:r>
      <w:r w:rsidRPr="00C20663">
        <w:rPr>
          <w:rFonts w:ascii="Georgia" w:eastAsia="Times New Roman" w:hAnsi="Georgia" w:cs="Times New Roman"/>
          <w:i/>
        </w:rPr>
        <w:t>that in a winding up</w:t>
      </w:r>
      <w:r w:rsidRPr="00C20663">
        <w:rPr>
          <w:rFonts w:ascii="Georgia" w:eastAsia="Times New Roman" w:hAnsi="Georgia" w:cs="Times New Roman"/>
        </w:rPr>
        <w:t xml:space="preserve">’ is payable to employees under subsections 556(1)(e), (g), and (h). </w:t>
      </w:r>
      <w:r w:rsidRPr="00C20663">
        <w:rPr>
          <w:rFonts w:ascii="Georgia" w:eastAsia="Times New Roman" w:hAnsi="Georgia" w:cs="Times New Roman"/>
          <w:i/>
        </w:rPr>
        <w:t xml:space="preserve">In a winding up </w:t>
      </w:r>
      <w:r w:rsidRPr="00C20663">
        <w:rPr>
          <w:rFonts w:ascii="Georgia" w:eastAsia="Times New Roman" w:hAnsi="Georgia" w:cs="Times New Roman"/>
        </w:rPr>
        <w:t xml:space="preserve">there is no doubt s 558 would be enlivened to crystallise accrued amounts into payable debts, so the present exception in the case of receiverships appears incongruous. Similarly, s 433(5) requires receivers to pay the relevant employee entitlements ‘in the same order of priority as is prescribed by Division 6 of Part 5.6 in respect of those debts and amounts.’ The authors submit that, on the face of it, this requires receivers to apply s 558(1) which is found in Division 6 of Part 5.6 of </w:t>
      </w:r>
      <w:r w:rsidRPr="00C20663">
        <w:rPr>
          <w:rFonts w:ascii="Georgia" w:eastAsia="Times New Roman" w:hAnsi="Georgia" w:cs="Times New Roman"/>
          <w:i/>
        </w:rPr>
        <w:t>the Act</w:t>
      </w:r>
      <w:r w:rsidRPr="00C20663">
        <w:rPr>
          <w:rFonts w:ascii="Georgia" w:eastAsia="Times New Roman" w:hAnsi="Georgia" w:cs="Times New Roman"/>
        </w:rPr>
        <w:t>.</w:t>
      </w:r>
    </w:p>
    <w:p w:rsidR="00574661" w:rsidRPr="00CA152F" w:rsidRDefault="00574661" w:rsidP="00574661">
      <w:pPr>
        <w:keepNext/>
        <w:keepLines/>
        <w:spacing w:before="200" w:after="0"/>
        <w:jc w:val="both"/>
        <w:outlineLvl w:val="2"/>
        <w:rPr>
          <w:rFonts w:ascii="Georgia" w:eastAsiaTheme="majorEastAsia" w:hAnsi="Georgia" w:cstheme="majorBidi"/>
          <w:b/>
          <w:bCs/>
          <w:i/>
          <w:lang w:eastAsia="en-AU"/>
        </w:rPr>
      </w:pPr>
      <w:r w:rsidRPr="00CA152F">
        <w:rPr>
          <w:rFonts w:ascii="Georgia" w:eastAsiaTheme="majorEastAsia" w:hAnsi="Georgia" w:cstheme="majorBidi"/>
          <w:b/>
          <w:bCs/>
          <w:i/>
          <w:lang w:eastAsia="en-AU"/>
        </w:rPr>
        <w:t xml:space="preserve">Conferring the broader entitlement – a matter of practicality </w:t>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The authors are aware of some reluctance amongst experienced insolvency practitioners, when acting as receivers, to strictly follow the decisions of </w:t>
      </w:r>
      <w:r w:rsidRPr="00C20663">
        <w:rPr>
          <w:rFonts w:ascii="Georgia" w:eastAsia="Times New Roman" w:hAnsi="Georgia" w:cs="Times New Roman"/>
          <w:i/>
          <w:iCs/>
        </w:rPr>
        <w:t xml:space="preserve">McEvoy </w:t>
      </w:r>
      <w:r w:rsidRPr="00C20663">
        <w:rPr>
          <w:rFonts w:ascii="Georgia" w:eastAsia="Times New Roman" w:hAnsi="Georgia" w:cs="Times New Roman"/>
        </w:rPr>
        <w:t xml:space="preserve">and </w:t>
      </w:r>
      <w:r w:rsidRPr="00C20663">
        <w:rPr>
          <w:rFonts w:ascii="Georgia" w:eastAsia="Times New Roman" w:hAnsi="Georgia" w:cs="Times New Roman"/>
          <w:i/>
          <w:iCs/>
        </w:rPr>
        <w:t>Vickers</w:t>
      </w:r>
      <w:r w:rsidRPr="00C20663">
        <w:rPr>
          <w:rFonts w:ascii="Georgia" w:eastAsia="Times New Roman" w:hAnsi="Georgia" w:cs="Times New Roman"/>
        </w:rPr>
        <w:t>. For receivers, it may be preferable, on occasion, to distribute the broader employee entitlements whilst discharging their function under s 433.</w:t>
      </w:r>
      <w:r w:rsidRPr="00C20663">
        <w:rPr>
          <w:rFonts w:ascii="Georgia" w:eastAsiaTheme="majorEastAsia" w:hAnsi="Georgia" w:cs="Times New Roman"/>
          <w:vertAlign w:val="superscript"/>
        </w:rPr>
        <w:footnoteReference w:id="71"/>
      </w:r>
      <w:r w:rsidRPr="00C20663">
        <w:rPr>
          <w:rFonts w:ascii="Georgia" w:eastAsia="Times New Roman" w:hAnsi="Georgia" w:cs="Times New Roman"/>
        </w:rPr>
        <w:t xml:space="preserve"> This would see employees paid entitlements</w:t>
      </w:r>
      <w:r>
        <w:rPr>
          <w:rFonts w:ascii="Georgia" w:eastAsia="Times New Roman" w:hAnsi="Georgia" w:cs="Times New Roman"/>
        </w:rPr>
        <w:t xml:space="preserve"> such as accrued leave</w:t>
      </w:r>
      <w:r w:rsidRPr="00C20663">
        <w:rPr>
          <w:rFonts w:ascii="Georgia" w:eastAsia="Times New Roman" w:hAnsi="Georgia" w:cs="Times New Roman"/>
        </w:rPr>
        <w:t xml:space="preserve">, notwithstanding this may not strictly be necessary by reason of </w:t>
      </w:r>
      <w:r w:rsidRPr="00C20663">
        <w:rPr>
          <w:rFonts w:ascii="Georgia" w:eastAsia="Times New Roman" w:hAnsi="Georgia" w:cs="Times New Roman"/>
          <w:i/>
          <w:iCs/>
        </w:rPr>
        <w:t xml:space="preserve">McEvoy </w:t>
      </w:r>
      <w:r w:rsidRPr="00C20663">
        <w:rPr>
          <w:rFonts w:ascii="Georgia" w:eastAsia="Times New Roman" w:hAnsi="Georgia" w:cs="Times New Roman"/>
        </w:rPr>
        <w:t xml:space="preserve">and </w:t>
      </w:r>
      <w:r w:rsidRPr="00C20663">
        <w:rPr>
          <w:rFonts w:ascii="Georgia" w:eastAsia="Times New Roman" w:hAnsi="Georgia" w:cs="Times New Roman"/>
          <w:i/>
          <w:iCs/>
        </w:rPr>
        <w:t>Vickers</w:t>
      </w:r>
      <w:r w:rsidRPr="00C20663">
        <w:rPr>
          <w:rFonts w:ascii="Georgia" w:eastAsia="Times New Roman" w:hAnsi="Georgia" w:cs="Times New Roman"/>
        </w:rPr>
        <w:t>.</w:t>
      </w:r>
      <w:r w:rsidRPr="00C20663">
        <w:rPr>
          <w:rFonts w:ascii="Georgia" w:eastAsiaTheme="majorEastAsia" w:hAnsi="Georgia" w:cs="Times New Roman"/>
          <w:vertAlign w:val="superscript"/>
        </w:rPr>
        <w:footnoteReference w:id="72"/>
      </w:r>
      <w:r>
        <w:rPr>
          <w:rFonts w:ascii="Georgia" w:eastAsia="Times New Roman" w:hAnsi="Georgia" w:cs="Times New Roman"/>
        </w:rPr>
        <w:t xml:space="preserve"> </w:t>
      </w:r>
      <w:r w:rsidRPr="00C20663">
        <w:rPr>
          <w:rFonts w:ascii="Georgia" w:eastAsia="Times New Roman" w:hAnsi="Georgia" w:cs="Times New Roman"/>
        </w:rPr>
        <w:t xml:space="preserve">The receivers and in particular their appointing secured creditors may not wish, out of concerns for reputation, to be regarded as having taken advantage of what is perceived as an artificial, highly technical and impractical distinction drawn in cases such as </w:t>
      </w:r>
      <w:r w:rsidRPr="00C20663">
        <w:rPr>
          <w:rFonts w:ascii="Georgia" w:eastAsia="Times New Roman" w:hAnsi="Georgia" w:cs="Times New Roman"/>
          <w:i/>
          <w:iCs/>
        </w:rPr>
        <w:t xml:space="preserve">McEvoy </w:t>
      </w:r>
      <w:r w:rsidRPr="00C20663">
        <w:rPr>
          <w:rFonts w:ascii="Georgia" w:eastAsia="Times New Roman" w:hAnsi="Georgia" w:cs="Times New Roman"/>
        </w:rPr>
        <w:t xml:space="preserve">and </w:t>
      </w:r>
      <w:r w:rsidRPr="00C20663">
        <w:rPr>
          <w:rFonts w:ascii="Georgia" w:eastAsia="Times New Roman" w:hAnsi="Georgia" w:cs="Times New Roman"/>
          <w:i/>
          <w:iCs/>
        </w:rPr>
        <w:t xml:space="preserve">Vickers </w:t>
      </w:r>
      <w:r w:rsidRPr="00C20663">
        <w:rPr>
          <w:rFonts w:ascii="Georgia" w:eastAsia="Times New Roman" w:hAnsi="Georgia" w:cs="Times New Roman"/>
        </w:rPr>
        <w:t>at the direct expense of employees, whose cooperation is necessary when trading on. </w:t>
      </w:r>
    </w:p>
    <w:p w:rsidR="00574661" w:rsidRDefault="00A1572B">
      <w:r>
        <w:t xml:space="preserve">  </w:t>
      </w:r>
    </w:p>
    <w:p w:rsidR="00574661" w:rsidRDefault="00574661"/>
    <w:p w:rsidR="00574661" w:rsidRDefault="00574661">
      <w:r>
        <w:t>And</w:t>
      </w:r>
      <w:r w:rsidR="006575AF">
        <w:t xml:space="preserve"> to conclude I draw your attention to excerpts taken from later in </w:t>
      </w:r>
      <w:r>
        <w:t xml:space="preserve">our </w:t>
      </w:r>
      <w:r w:rsidR="006575AF">
        <w:t xml:space="preserve">2016 </w:t>
      </w:r>
      <w:r>
        <w:t xml:space="preserve">paper </w:t>
      </w:r>
      <w:r w:rsidR="006575AF">
        <w:t xml:space="preserve">where we </w:t>
      </w:r>
      <w:bookmarkStart w:id="2" w:name="_GoBack"/>
      <w:bookmarkEnd w:id="2"/>
      <w:r>
        <w:t>suggested:</w:t>
      </w:r>
    </w:p>
    <w:p w:rsidR="00574661" w:rsidRPr="00C20663" w:rsidRDefault="00D1754C" w:rsidP="00574661">
      <w:pPr>
        <w:spacing w:after="0"/>
        <w:jc w:val="both"/>
        <w:rPr>
          <w:rFonts w:ascii="Georgia" w:eastAsia="Times New Roman" w:hAnsi="Georgia" w:cs="Times New Roman"/>
        </w:rPr>
      </w:pPr>
      <w:r>
        <w:t xml:space="preserve"> </w:t>
      </w:r>
      <w:r w:rsidR="00574661" w:rsidRPr="00C20663">
        <w:rPr>
          <w:rFonts w:ascii="Georgia" w:eastAsia="Times New Roman" w:hAnsi="Georgia" w:cs="Times New Roman"/>
        </w:rPr>
        <w:t xml:space="preserve">The authors propose reform which seeks to give certainty to practitioners and secured creditors, as well as conferring employees with appropriate protection in the form of priority entitlements. </w:t>
      </w:r>
    </w:p>
    <w:p w:rsidR="00574661"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rPr>
        <w:t xml:space="preserve">Justice Finkelstein expressed his view in </w:t>
      </w:r>
      <w:r w:rsidRPr="00C20663">
        <w:rPr>
          <w:rFonts w:ascii="Georgia" w:eastAsia="Times New Roman" w:hAnsi="Georgia" w:cs="Times New Roman"/>
          <w:i/>
          <w:iCs/>
        </w:rPr>
        <w:t>McEvoy</w:t>
      </w:r>
      <w:r w:rsidRPr="00C20663">
        <w:rPr>
          <w:rFonts w:ascii="Georgia" w:eastAsia="Times New Roman" w:hAnsi="Georgia" w:cs="Times New Roman"/>
        </w:rPr>
        <w:t xml:space="preserve"> that the position of employees in receivership ‘can only be remedied by Parliament’. Justice Barker echoed this sentiment in </w:t>
      </w:r>
      <w:r w:rsidRPr="00C20663">
        <w:rPr>
          <w:rFonts w:ascii="Georgia" w:eastAsia="Times New Roman" w:hAnsi="Georgia" w:cs="Times New Roman"/>
          <w:i/>
          <w:iCs/>
        </w:rPr>
        <w:t>Vickers</w:t>
      </w:r>
      <w:r w:rsidRPr="00C20663">
        <w:rPr>
          <w:rFonts w:ascii="Georgia" w:eastAsia="Times New Roman" w:hAnsi="Georgia" w:cs="Times New Roman"/>
        </w:rPr>
        <w:t xml:space="preserve"> and remarked that Parliament in the future may well ‘agree with the outcome found by de Jersey CJ in </w:t>
      </w:r>
      <w:r w:rsidRPr="00C20663">
        <w:rPr>
          <w:rFonts w:ascii="Georgia" w:eastAsia="Times New Roman" w:hAnsi="Georgia" w:cs="Times New Roman"/>
          <w:i/>
          <w:iCs/>
        </w:rPr>
        <w:t>Re Office-Co Furniture</w:t>
      </w:r>
      <w:r w:rsidRPr="00C20663">
        <w:rPr>
          <w:rFonts w:ascii="Georgia" w:eastAsia="Times New Roman" w:hAnsi="Georgia" w:cs="Times New Roman"/>
        </w:rPr>
        <w:t xml:space="preserve">’ and that </w:t>
      </w:r>
      <w:r w:rsidRPr="00C20663">
        <w:rPr>
          <w:rFonts w:ascii="Georgia" w:eastAsia="Times New Roman" w:hAnsi="Georgia" w:cs="Times New Roman"/>
          <w:lang w:eastAsia="en-AU"/>
        </w:rPr>
        <w:t>‘parliament was only ever focusing on winding up and did not apply its legislative mind to the circumstances of receivership.’</w:t>
      </w:r>
      <w:r w:rsidRPr="00C20663">
        <w:rPr>
          <w:rFonts w:ascii="Georgia" w:eastAsia="Times New Roman" w:hAnsi="Georgia" w:cs="Times New Roman"/>
          <w:vertAlign w:val="superscript"/>
          <w:lang w:eastAsia="en-AU"/>
        </w:rPr>
        <w:footnoteReference w:id="73"/>
      </w:r>
    </w:p>
    <w:p w:rsidR="00574661" w:rsidRPr="00C20663" w:rsidRDefault="00574661" w:rsidP="00574661">
      <w:pPr>
        <w:spacing w:after="0"/>
        <w:jc w:val="both"/>
        <w:rPr>
          <w:rFonts w:ascii="Georgia" w:eastAsia="Times New Roman" w:hAnsi="Georgia" w:cs="Times New Roman"/>
        </w:rPr>
      </w:pPr>
    </w:p>
    <w:p w:rsidR="00574661" w:rsidRPr="00C20663" w:rsidRDefault="00574661" w:rsidP="00574661">
      <w:pPr>
        <w:spacing w:after="0"/>
        <w:jc w:val="both"/>
        <w:rPr>
          <w:rFonts w:ascii="Georgia" w:eastAsia="Times New Roman" w:hAnsi="Georgia" w:cs="Times New Roman"/>
        </w:rPr>
      </w:pPr>
      <w:r w:rsidRPr="00C20663">
        <w:rPr>
          <w:rFonts w:ascii="Georgia" w:eastAsia="Times New Roman" w:hAnsi="Georgia" w:cs="Times New Roman"/>
          <w:lang w:eastAsia="en-AU"/>
        </w:rPr>
        <w:t>In recognising the call for reform t</w:t>
      </w:r>
      <w:r w:rsidRPr="00C20663">
        <w:rPr>
          <w:rFonts w:ascii="Georgia" w:eastAsia="Times New Roman" w:hAnsi="Georgia" w:cs="Times New Roman"/>
        </w:rPr>
        <w:t xml:space="preserve">he following amendments to </w:t>
      </w:r>
      <w:r w:rsidRPr="00C20663">
        <w:rPr>
          <w:rFonts w:ascii="Georgia" w:eastAsia="Times New Roman" w:hAnsi="Georgia" w:cs="Times New Roman"/>
          <w:i/>
        </w:rPr>
        <w:t>the Act</w:t>
      </w:r>
      <w:r w:rsidRPr="00C20663">
        <w:rPr>
          <w:rFonts w:ascii="Georgia" w:eastAsia="Times New Roman" w:hAnsi="Georgia" w:cs="Times New Roman"/>
        </w:rPr>
        <w:t xml:space="preserve"> are proposed:</w:t>
      </w:r>
    </w:p>
    <w:p w:rsidR="00574661" w:rsidRDefault="00574661" w:rsidP="00574661">
      <w:pPr>
        <w:spacing w:after="0"/>
        <w:jc w:val="both"/>
        <w:rPr>
          <w:rFonts w:ascii="Georgia" w:eastAsia="Times New Roman" w:hAnsi="Georgia" w:cs="Times New Roman"/>
          <w:lang w:eastAsia="en-AU"/>
        </w:rPr>
      </w:pPr>
    </w:p>
    <w:p w:rsidR="00574661" w:rsidRPr="00C20663" w:rsidRDefault="00574661" w:rsidP="00574661">
      <w:pPr>
        <w:spacing w:after="0"/>
        <w:jc w:val="both"/>
        <w:rPr>
          <w:rFonts w:ascii="Georgia" w:eastAsia="Times New Roman" w:hAnsi="Georgia" w:cs="Times New Roman"/>
          <w:lang w:eastAsia="en-AU"/>
        </w:rPr>
      </w:pPr>
      <w:r w:rsidRPr="00C20663">
        <w:rPr>
          <w:rFonts w:ascii="Georgia" w:eastAsia="Times New Roman" w:hAnsi="Georgia" w:cs="Times New Roman"/>
          <w:lang w:eastAsia="en-AU"/>
        </w:rPr>
        <w:t>Firstly, s 433(3</w:t>
      </w:r>
      <w:proofErr w:type="gramStart"/>
      <w:r w:rsidRPr="00C20663">
        <w:rPr>
          <w:rFonts w:ascii="Georgia" w:eastAsia="Times New Roman" w:hAnsi="Georgia" w:cs="Times New Roman"/>
          <w:lang w:eastAsia="en-AU"/>
        </w:rPr>
        <w:t>)(</w:t>
      </w:r>
      <w:proofErr w:type="gramEnd"/>
      <w:r w:rsidRPr="00C20663">
        <w:rPr>
          <w:rFonts w:ascii="Georgia" w:eastAsia="Times New Roman" w:hAnsi="Georgia" w:cs="Times New Roman"/>
          <w:lang w:eastAsia="en-AU"/>
        </w:rPr>
        <w:t>c) could be expanded to give clarification by the addition of the following words at the end of that provision: ‘</w:t>
      </w:r>
      <w:r w:rsidRPr="00C20663">
        <w:rPr>
          <w:rFonts w:ascii="Georgia" w:eastAsia="Times New Roman" w:hAnsi="Georgia" w:cs="Times New Roman"/>
          <w:i/>
          <w:lang w:eastAsia="en-AU"/>
        </w:rPr>
        <w:t xml:space="preserve">and in accordance with </w:t>
      </w:r>
      <w:r>
        <w:rPr>
          <w:rFonts w:ascii="Georgia" w:eastAsia="Times New Roman" w:hAnsi="Georgia" w:cs="Times New Roman"/>
          <w:i/>
          <w:lang w:eastAsia="en-AU"/>
        </w:rPr>
        <w:t>sub</w:t>
      </w:r>
      <w:r w:rsidRPr="00C20663">
        <w:rPr>
          <w:rFonts w:ascii="Georgia" w:eastAsia="Times New Roman" w:hAnsi="Georgia" w:cs="Times New Roman"/>
          <w:i/>
          <w:lang w:eastAsia="en-AU"/>
        </w:rPr>
        <w:t>section</w:t>
      </w:r>
      <w:r>
        <w:rPr>
          <w:rFonts w:ascii="Georgia" w:eastAsia="Times New Roman" w:hAnsi="Georgia" w:cs="Times New Roman"/>
          <w:i/>
          <w:lang w:eastAsia="en-AU"/>
        </w:rPr>
        <w:t xml:space="preserve"> 433(10)</w:t>
      </w:r>
      <w:r w:rsidRPr="00C20663">
        <w:rPr>
          <w:rFonts w:ascii="Georgia" w:eastAsia="Times New Roman" w:hAnsi="Georgia" w:cs="Times New Roman"/>
          <w:lang w:eastAsia="en-AU"/>
        </w:rPr>
        <w:t>’</w:t>
      </w:r>
      <w:r w:rsidRPr="00C20663">
        <w:rPr>
          <w:rFonts w:ascii="Georgia" w:eastAsia="Times New Roman" w:hAnsi="Georgia" w:cs="Times New Roman"/>
          <w:i/>
          <w:lang w:eastAsia="en-AU"/>
        </w:rPr>
        <w:t xml:space="preserve">. </w:t>
      </w:r>
      <w:r w:rsidRPr="00C20663">
        <w:rPr>
          <w:rFonts w:ascii="Georgia" w:eastAsia="Times New Roman" w:hAnsi="Georgia" w:cs="Times New Roman"/>
          <w:lang w:eastAsia="en-AU"/>
        </w:rPr>
        <w:t>Thus, s 433(3</w:t>
      </w:r>
      <w:proofErr w:type="gramStart"/>
      <w:r w:rsidRPr="00C20663">
        <w:rPr>
          <w:rFonts w:ascii="Georgia" w:eastAsia="Times New Roman" w:hAnsi="Georgia" w:cs="Times New Roman"/>
          <w:lang w:eastAsia="en-AU"/>
        </w:rPr>
        <w:t>)(</w:t>
      </w:r>
      <w:proofErr w:type="gramEnd"/>
      <w:r w:rsidRPr="00C20663">
        <w:rPr>
          <w:rFonts w:ascii="Georgia" w:eastAsia="Times New Roman" w:hAnsi="Georgia" w:cs="Times New Roman"/>
          <w:lang w:eastAsia="en-AU"/>
        </w:rPr>
        <w:t>c) would read:</w:t>
      </w:r>
    </w:p>
    <w:p w:rsidR="00574661" w:rsidRPr="00C20663" w:rsidRDefault="00574661" w:rsidP="00574661">
      <w:pPr>
        <w:spacing w:after="0"/>
        <w:jc w:val="both"/>
        <w:rPr>
          <w:rFonts w:ascii="Georgia" w:eastAsia="Times New Roman" w:hAnsi="Georgia" w:cs="Times New Roman"/>
          <w:lang w:eastAsia="en-AU"/>
        </w:rPr>
      </w:pPr>
    </w:p>
    <w:p w:rsidR="00574661" w:rsidRPr="00C20663" w:rsidRDefault="00574661" w:rsidP="00574661">
      <w:pPr>
        <w:spacing w:after="0"/>
        <w:ind w:left="720"/>
        <w:jc w:val="both"/>
        <w:rPr>
          <w:rFonts w:ascii="Georgia" w:eastAsia="Times New Roman" w:hAnsi="Georgia" w:cs="Times New Roman"/>
          <w:sz w:val="20"/>
          <w:lang w:eastAsia="en-AU"/>
        </w:rPr>
      </w:pPr>
      <w:r w:rsidRPr="00C20663">
        <w:rPr>
          <w:rFonts w:ascii="Georgia" w:eastAsia="Times New Roman" w:hAnsi="Georgia" w:cs="Times New Roman"/>
          <w:lang w:eastAsia="en-AU"/>
        </w:rPr>
        <w:t>Subject to subsections (6) and (7), next, any debt or amount in a winding up is payable in priority to other unsecured debts pursuant to paragraph 556(1)(e),(g) or (h) or section 560</w:t>
      </w:r>
      <w:r w:rsidRPr="00C20663">
        <w:rPr>
          <w:rFonts w:ascii="Georgia" w:eastAsia="Times New Roman" w:hAnsi="Georgia" w:cs="Times New Roman"/>
          <w:i/>
          <w:sz w:val="20"/>
          <w:u w:val="single"/>
          <w:lang w:eastAsia="en-AU"/>
        </w:rPr>
        <w:t xml:space="preserve">, and in accordance with subsection </w:t>
      </w:r>
      <w:r>
        <w:rPr>
          <w:rFonts w:ascii="Georgia" w:eastAsia="Times New Roman" w:hAnsi="Georgia" w:cs="Times New Roman"/>
          <w:i/>
          <w:sz w:val="20"/>
          <w:u w:val="single"/>
          <w:lang w:eastAsia="en-AU"/>
        </w:rPr>
        <w:t>433(10)</w:t>
      </w:r>
      <w:r w:rsidRPr="00C20663">
        <w:rPr>
          <w:rFonts w:ascii="Georgia" w:eastAsia="Times New Roman" w:hAnsi="Georgia" w:cs="Times New Roman"/>
          <w:sz w:val="20"/>
          <w:lang w:eastAsia="en-AU"/>
        </w:rPr>
        <w:t>.</w:t>
      </w:r>
    </w:p>
    <w:p w:rsidR="00574661" w:rsidRPr="00C20663" w:rsidRDefault="00574661" w:rsidP="00574661">
      <w:pPr>
        <w:spacing w:after="0"/>
        <w:jc w:val="both"/>
        <w:rPr>
          <w:rFonts w:ascii="Georgia" w:eastAsia="Times New Roman" w:hAnsi="Georgia" w:cs="Times New Roman"/>
          <w:lang w:eastAsia="en-AU"/>
        </w:rPr>
      </w:pPr>
    </w:p>
    <w:p w:rsidR="00574661" w:rsidRPr="00C20663" w:rsidRDefault="00574661" w:rsidP="00574661">
      <w:pPr>
        <w:spacing w:after="0"/>
        <w:jc w:val="both"/>
        <w:rPr>
          <w:rFonts w:ascii="Georgia" w:eastAsia="Times New Roman" w:hAnsi="Georgia" w:cs="Times New Roman"/>
          <w:lang w:eastAsia="en-AU"/>
        </w:rPr>
      </w:pPr>
      <w:r w:rsidRPr="00C20663">
        <w:rPr>
          <w:rFonts w:ascii="Georgia" w:eastAsia="Times New Roman" w:hAnsi="Georgia" w:cs="Times New Roman"/>
          <w:lang w:eastAsia="en-AU"/>
        </w:rPr>
        <w:t xml:space="preserve">Next the bifurcation that exists in the law with regard to the application of s 558(1) can be eliminated with a new provision that specifically addresses receivership. A suggested new provision, </w:t>
      </w:r>
      <w:r>
        <w:rPr>
          <w:rFonts w:ascii="Georgia" w:eastAsia="Times New Roman" w:hAnsi="Georgia" w:cs="Times New Roman"/>
          <w:lang w:eastAsia="en-AU"/>
        </w:rPr>
        <w:t>subsection 433(10)</w:t>
      </w:r>
      <w:r w:rsidRPr="00C20663">
        <w:rPr>
          <w:rFonts w:ascii="Georgia" w:eastAsia="Times New Roman" w:hAnsi="Georgia" w:cs="Times New Roman"/>
          <w:lang w:eastAsia="en-AU"/>
        </w:rPr>
        <w:t>, could read as follows:</w:t>
      </w:r>
    </w:p>
    <w:p w:rsidR="00574661" w:rsidRPr="00C20663" w:rsidRDefault="00574661" w:rsidP="00574661">
      <w:pPr>
        <w:spacing w:after="0"/>
        <w:jc w:val="both"/>
        <w:rPr>
          <w:rFonts w:ascii="Georgia" w:eastAsia="Times New Roman" w:hAnsi="Georgia" w:cs="Times New Roman"/>
          <w:lang w:eastAsia="en-AU"/>
        </w:rPr>
      </w:pPr>
    </w:p>
    <w:p w:rsidR="00574661" w:rsidRPr="00C20663" w:rsidRDefault="00574661" w:rsidP="00574661">
      <w:pPr>
        <w:spacing w:after="0"/>
        <w:ind w:left="720"/>
        <w:jc w:val="both"/>
        <w:rPr>
          <w:rFonts w:ascii="Georgia" w:eastAsia="Times New Roman" w:hAnsi="Georgia" w:cs="Times New Roman"/>
          <w:lang w:eastAsia="en-AU"/>
        </w:rPr>
      </w:pPr>
      <w:r w:rsidRPr="00C20663">
        <w:rPr>
          <w:rFonts w:ascii="Georgia" w:eastAsia="Times New Roman" w:hAnsi="Georgia" w:cs="Times New Roman"/>
          <w:lang w:eastAsia="en-AU"/>
        </w:rPr>
        <w:t>(</w:t>
      </w:r>
      <w:r>
        <w:rPr>
          <w:rFonts w:ascii="Georgia" w:eastAsia="Times New Roman" w:hAnsi="Georgia" w:cs="Times New Roman"/>
          <w:lang w:eastAsia="en-AU"/>
        </w:rPr>
        <w:t>10</w:t>
      </w:r>
      <w:r w:rsidRPr="00C20663">
        <w:rPr>
          <w:rFonts w:ascii="Georgia" w:eastAsia="Times New Roman" w:hAnsi="Georgia" w:cs="Times New Roman"/>
          <w:lang w:eastAsia="en-AU"/>
        </w:rPr>
        <w:t>) [</w:t>
      </w:r>
      <w:r w:rsidRPr="00CA152F">
        <w:rPr>
          <w:rFonts w:ascii="Georgia" w:eastAsia="Times New Roman" w:hAnsi="Georgia" w:cs="Times New Roman"/>
          <w:b/>
          <w:lang w:eastAsia="en-AU"/>
        </w:rPr>
        <w:t>Right to payment in receivership</w:t>
      </w:r>
      <w:r w:rsidRPr="00C20663">
        <w:rPr>
          <w:rFonts w:ascii="Georgia" w:eastAsia="Times New Roman" w:hAnsi="Georgia" w:cs="Times New Roman"/>
          <w:lang w:eastAsia="en-AU"/>
        </w:rPr>
        <w:t>] Where a contract of employment with a company that is in receivership was subsisting immediately before the relevant date,</w:t>
      </w:r>
      <w:r w:rsidRPr="00C20663">
        <w:rPr>
          <w:rFonts w:ascii="Georgia" w:eastAsiaTheme="majorEastAsia" w:hAnsi="Georgia" w:cs="Times New Roman"/>
          <w:sz w:val="20"/>
          <w:vertAlign w:val="superscript"/>
          <w:lang w:eastAsia="en-AU"/>
        </w:rPr>
        <w:footnoteReference w:id="74"/>
      </w:r>
      <w:r>
        <w:rPr>
          <w:rFonts w:ascii="Georgia" w:eastAsia="Times New Roman" w:hAnsi="Georgia" w:cs="Times New Roman"/>
          <w:lang w:eastAsia="en-AU"/>
        </w:rPr>
        <w:t xml:space="preserve"> </w:t>
      </w:r>
      <w:r w:rsidRPr="00C20663">
        <w:rPr>
          <w:rFonts w:ascii="Georgia" w:eastAsia="Times New Roman" w:hAnsi="Georgia" w:cs="Times New Roman"/>
          <w:lang w:eastAsia="en-AU"/>
        </w:rPr>
        <w:t>the employee under the contract is, whether or not he or she is continuing as an employee of the company while under receivership, entitled to payment under section 556 as if his or her services with the company had been terminated by the company on the relevant date.</w:t>
      </w:r>
      <w:r>
        <w:rPr>
          <w:rFonts w:ascii="Georgia" w:eastAsia="Times New Roman" w:hAnsi="Georgia" w:cs="Times New Roman"/>
          <w:lang w:eastAsia="en-AU"/>
        </w:rPr>
        <w:t xml:space="preserve"> </w:t>
      </w:r>
      <w:r w:rsidRPr="00C20663">
        <w:rPr>
          <w:rFonts w:ascii="Georgia" w:eastAsia="Times New Roman" w:hAnsi="Georgia" w:cs="Times New Roman"/>
          <w:lang w:eastAsia="en-AU"/>
        </w:rPr>
        <w:t>Nothing in this subsection affects the continuing nature of the contract of employment.</w:t>
      </w:r>
    </w:p>
    <w:p w:rsidR="00574661" w:rsidRPr="00C20663" w:rsidRDefault="00574661" w:rsidP="00574661">
      <w:pPr>
        <w:spacing w:after="0"/>
        <w:jc w:val="both"/>
        <w:rPr>
          <w:rFonts w:ascii="Georgia" w:eastAsia="Times New Roman" w:hAnsi="Georgia" w:cs="Times New Roman"/>
          <w:lang w:eastAsia="en-AU"/>
        </w:rPr>
      </w:pPr>
    </w:p>
    <w:p w:rsidR="00574661" w:rsidRDefault="00574661" w:rsidP="00574661">
      <w:pPr>
        <w:spacing w:after="0"/>
        <w:jc w:val="both"/>
        <w:rPr>
          <w:rFonts w:ascii="Georgia" w:eastAsia="Times New Roman" w:hAnsi="Georgia" w:cs="Times New Roman"/>
          <w:lang w:eastAsia="en-AU"/>
        </w:rPr>
      </w:pPr>
      <w:r w:rsidRPr="00C20663">
        <w:rPr>
          <w:rFonts w:ascii="Georgia" w:eastAsia="Times New Roman" w:hAnsi="Georgia" w:cs="Times New Roman"/>
          <w:lang w:eastAsia="en-AU"/>
        </w:rPr>
        <w:t xml:space="preserve">These additions seek to </w:t>
      </w:r>
      <w:r>
        <w:rPr>
          <w:rFonts w:ascii="Georgia" w:eastAsia="Times New Roman" w:hAnsi="Georgia" w:cs="Times New Roman"/>
          <w:lang w:eastAsia="en-AU"/>
        </w:rPr>
        <w:t>remove any doubt</w:t>
      </w:r>
      <w:r w:rsidRPr="00C20663">
        <w:rPr>
          <w:rFonts w:ascii="Georgia" w:eastAsia="Times New Roman" w:hAnsi="Georgia" w:cs="Times New Roman"/>
          <w:lang w:eastAsia="en-AU"/>
        </w:rPr>
        <w:t xml:space="preserve"> that </w:t>
      </w:r>
      <w:r>
        <w:rPr>
          <w:rFonts w:ascii="Georgia" w:eastAsia="Times New Roman" w:hAnsi="Georgia" w:cs="Times New Roman"/>
          <w:lang w:eastAsia="en-AU"/>
        </w:rPr>
        <w:t>accrued leave and retrenchment entitlements</w:t>
      </w:r>
      <w:r w:rsidRPr="00C20663">
        <w:rPr>
          <w:rFonts w:ascii="Georgia" w:eastAsia="Times New Roman" w:hAnsi="Georgia" w:cs="Times New Roman"/>
          <w:lang w:eastAsia="en-AU"/>
        </w:rPr>
        <w:t xml:space="preserve"> will be prioritised </w:t>
      </w:r>
      <w:r>
        <w:rPr>
          <w:rFonts w:ascii="Georgia" w:eastAsia="Times New Roman" w:hAnsi="Georgia" w:cs="Times New Roman"/>
          <w:lang w:eastAsia="en-AU"/>
        </w:rPr>
        <w:t xml:space="preserve">in receivership </w:t>
      </w:r>
      <w:r w:rsidRPr="00C20663">
        <w:rPr>
          <w:rFonts w:ascii="Georgia" w:eastAsia="Times New Roman" w:hAnsi="Georgia" w:cs="Times New Roman"/>
          <w:lang w:eastAsia="en-AU"/>
        </w:rPr>
        <w:t>under s 433, in circumstances where there may be doubt as to whether such amounts are technically due and payable. It is submitted that these amendments will bring welcome clarity regarding the legal position with respect to prioritising leave of absence and retrenchment entitlements.</w:t>
      </w:r>
    </w:p>
    <w:p w:rsidR="00574661" w:rsidRDefault="00574661" w:rsidP="00574661">
      <w:pPr>
        <w:spacing w:after="0"/>
        <w:jc w:val="both"/>
        <w:rPr>
          <w:rFonts w:ascii="Georgia" w:eastAsia="Times New Roman" w:hAnsi="Georgia" w:cs="Times New Roman"/>
          <w:lang w:eastAsia="en-AU"/>
        </w:rPr>
      </w:pPr>
    </w:p>
    <w:p w:rsidR="00574661" w:rsidRDefault="00574661" w:rsidP="00574661">
      <w:pPr>
        <w:spacing w:after="0"/>
        <w:jc w:val="both"/>
        <w:rPr>
          <w:rFonts w:ascii="Georgia" w:eastAsia="Times New Roman" w:hAnsi="Georgia" w:cs="Times New Roman"/>
          <w:lang w:eastAsia="en-AU"/>
        </w:rPr>
      </w:pPr>
      <w:r>
        <w:rPr>
          <w:rFonts w:ascii="Georgia" w:eastAsia="Times New Roman" w:hAnsi="Georgia" w:cs="Times New Roman"/>
          <w:lang w:eastAsia="en-AU"/>
        </w:rPr>
        <w:t>There may be argument to be made that, instead of the form of amendment proposed above, s 558(1) might simply be expanded or amended to indicate an intention that it was to apply to stand-alone receiverships, which would be the path of least resistance in terms of achieving the desired reform. The authors would favour the proposed amendments to section 433 over any such amendment to section 558 because:</w:t>
      </w:r>
    </w:p>
    <w:p w:rsidR="00574661" w:rsidRDefault="00574661" w:rsidP="00574661">
      <w:pPr>
        <w:spacing w:after="0"/>
        <w:jc w:val="both"/>
        <w:rPr>
          <w:rFonts w:ascii="Georgia" w:eastAsia="Times New Roman" w:hAnsi="Georgia" w:cs="Times New Roman"/>
          <w:lang w:eastAsia="en-AU"/>
        </w:rPr>
      </w:pPr>
    </w:p>
    <w:p w:rsidR="00574661" w:rsidRPr="004A402A" w:rsidRDefault="00574661" w:rsidP="00574661">
      <w:pPr>
        <w:pStyle w:val="ListParagraph"/>
        <w:numPr>
          <w:ilvl w:val="0"/>
          <w:numId w:val="5"/>
        </w:numPr>
        <w:spacing w:after="0"/>
        <w:jc w:val="both"/>
        <w:rPr>
          <w:lang w:eastAsia="en-AU"/>
        </w:rPr>
      </w:pPr>
      <w:r w:rsidRPr="004A402A">
        <w:rPr>
          <w:lang w:eastAsia="en-AU"/>
        </w:rPr>
        <w:t xml:space="preserve">Section </w:t>
      </w:r>
      <w:r w:rsidRPr="00F03D2F">
        <w:rPr>
          <w:lang w:eastAsia="en-AU"/>
        </w:rPr>
        <w:t xml:space="preserve">558 is found in Part 5.6 of the Act which applies to </w:t>
      </w:r>
      <w:r w:rsidRPr="00AF512D">
        <w:rPr>
          <w:lang w:eastAsia="en-AU"/>
        </w:rPr>
        <w:t>“Winding-up</w:t>
      </w:r>
      <w:r w:rsidRPr="00AB3FD1">
        <w:rPr>
          <w:lang w:eastAsia="en-AU"/>
        </w:rPr>
        <w:t xml:space="preserve"> generally</w:t>
      </w:r>
      <w:r w:rsidRPr="00CA152F">
        <w:rPr>
          <w:lang w:eastAsia="en-AU"/>
        </w:rPr>
        <w:t>”, whereas section 433 is found in Part 5.2 which is intended to deal with matters of receivership, as is evident from its title: “</w:t>
      </w:r>
      <w:r w:rsidRPr="00CA152F">
        <w:rPr>
          <w:i/>
          <w:lang w:eastAsia="en-AU"/>
        </w:rPr>
        <w:t>Receivers, and other controllers, of property of corporations.</w:t>
      </w:r>
      <w:r w:rsidRPr="00CA152F">
        <w:rPr>
          <w:lang w:eastAsia="en-AU"/>
        </w:rPr>
        <w:t>” As such the natural home for such change ought to be Part 5.2 of the Act</w:t>
      </w:r>
      <w:r>
        <w:rPr>
          <w:lang w:eastAsia="en-AU"/>
        </w:rPr>
        <w:t>, and specifically section 433</w:t>
      </w:r>
      <w:r w:rsidRPr="004A402A">
        <w:rPr>
          <w:lang w:eastAsia="en-AU"/>
        </w:rPr>
        <w:t>.</w:t>
      </w:r>
    </w:p>
    <w:p w:rsidR="00574661" w:rsidRDefault="00574661" w:rsidP="00574661">
      <w:pPr>
        <w:pStyle w:val="ListParagraph"/>
        <w:rPr>
          <w:lang w:eastAsia="en-AU"/>
        </w:rPr>
      </w:pPr>
    </w:p>
    <w:p w:rsidR="00574661" w:rsidRPr="00C20663" w:rsidRDefault="00574661" w:rsidP="00574661">
      <w:pPr>
        <w:pStyle w:val="ListParagraph"/>
        <w:rPr>
          <w:lang w:eastAsia="en-AU"/>
        </w:rPr>
      </w:pPr>
      <w:r>
        <w:rPr>
          <w:lang w:eastAsia="en-AU"/>
        </w:rPr>
        <w:t>Any such change would require a reference to the “relevant date”, which has different meanings depending upon whether the context is receivership or a winding up. This may result in confusion if s 558 were amended to achieve the desired reform as it would effectively require a reference to “relevant date” as that term currently appears in reference to a winding up, and in addition, a new reference to “relevant date” as that phrase exclusively applies in the context of receivership. In the authors’ view this potential confusion would be avoided by adopting the proposed reform of Part 5.2 of the Act.</w:t>
      </w:r>
    </w:p>
    <w:p w:rsidR="00574661" w:rsidRDefault="00574661">
      <w:r>
        <w:lastRenderedPageBreak/>
        <w:t>Again I thank you for the opportunity to make a submission to this excellent Consultation Paper.</w:t>
      </w:r>
    </w:p>
    <w:p w:rsidR="00574661" w:rsidRDefault="00574661"/>
    <w:p w:rsidR="00574661" w:rsidRPr="006575AF" w:rsidRDefault="00574661">
      <w:pPr>
        <w:rPr>
          <w:b/>
        </w:rPr>
      </w:pPr>
      <w:r w:rsidRPr="006575AF">
        <w:rPr>
          <w:b/>
        </w:rPr>
        <w:t xml:space="preserve">Professor Christopher Symes </w:t>
      </w:r>
    </w:p>
    <w:p w:rsidR="00574661" w:rsidRPr="006575AF" w:rsidRDefault="00574661">
      <w:pPr>
        <w:rPr>
          <w:b/>
        </w:rPr>
      </w:pPr>
      <w:r w:rsidRPr="006575AF">
        <w:rPr>
          <w:b/>
        </w:rPr>
        <w:t>Adelaide Law School</w:t>
      </w:r>
    </w:p>
    <w:p w:rsidR="00574661" w:rsidRPr="006575AF" w:rsidRDefault="00574661">
      <w:pPr>
        <w:rPr>
          <w:b/>
        </w:rPr>
      </w:pPr>
      <w:r w:rsidRPr="006575AF">
        <w:rPr>
          <w:b/>
        </w:rPr>
        <w:t>University of Adelaide</w:t>
      </w:r>
    </w:p>
    <w:p w:rsidR="00574661" w:rsidRDefault="00574661">
      <w:hyperlink r:id="rId8" w:history="1">
        <w:r w:rsidRPr="00574FDD">
          <w:rPr>
            <w:rStyle w:val="Hyperlink"/>
          </w:rPr>
          <w:t>Christopher.f.symes@adelaide.edu.au</w:t>
        </w:r>
      </w:hyperlink>
    </w:p>
    <w:p w:rsidR="00D1754C" w:rsidRDefault="00574661">
      <w:r>
        <w:t xml:space="preserve">  </w:t>
      </w:r>
    </w:p>
    <w:sectPr w:rsidR="00D175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8A9" w:rsidRDefault="00ED58A9" w:rsidP="00ED58A9">
      <w:pPr>
        <w:spacing w:after="0" w:line="240" w:lineRule="auto"/>
      </w:pPr>
      <w:r>
        <w:separator/>
      </w:r>
    </w:p>
  </w:endnote>
  <w:endnote w:type="continuationSeparator" w:id="0">
    <w:p w:rsidR="00ED58A9" w:rsidRDefault="00ED58A9" w:rsidP="00ED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8A9" w:rsidRDefault="00ED58A9" w:rsidP="00ED58A9">
      <w:pPr>
        <w:spacing w:after="0" w:line="240" w:lineRule="auto"/>
      </w:pPr>
      <w:r>
        <w:separator/>
      </w:r>
    </w:p>
  </w:footnote>
  <w:footnote w:type="continuationSeparator" w:id="0">
    <w:p w:rsidR="00ED58A9" w:rsidRDefault="00ED58A9" w:rsidP="00ED58A9">
      <w:pPr>
        <w:spacing w:after="0" w:line="240" w:lineRule="auto"/>
      </w:pPr>
      <w:r>
        <w:continuationSeparator/>
      </w:r>
    </w:p>
  </w:footnote>
  <w:footnote w:id="1">
    <w:p w:rsidR="00ED58A9" w:rsidRDefault="00ED58A9">
      <w:pPr>
        <w:pStyle w:val="FootnoteText"/>
      </w:pPr>
      <w:r>
        <w:rPr>
          <w:rStyle w:val="FootnoteReference"/>
        </w:rPr>
        <w:footnoteRef/>
      </w:r>
      <w:r>
        <w:t xml:space="preserve"> Symes, “A New Statutory Directors’ Duty for Australia – A ‘Duty’ to be Concerned about Employee Entitlements in the Insolvent Corporation” (2003) 12 </w:t>
      </w:r>
      <w:r w:rsidRPr="00ED58A9">
        <w:rPr>
          <w:i/>
        </w:rPr>
        <w:t>International Insolvency Review</w:t>
      </w:r>
      <w:r>
        <w:t xml:space="preserve"> 133-154.</w:t>
      </w:r>
      <w:r w:rsidR="00810194">
        <w:t xml:space="preserve">Symes; “Will there ever be a prosecution under Part 5.8A?” (2002) 3(1) </w:t>
      </w:r>
      <w:r w:rsidR="00810194" w:rsidRPr="00810194">
        <w:rPr>
          <w:i/>
        </w:rPr>
        <w:t>Insolvency Law Bulletin</w:t>
      </w:r>
      <w:r w:rsidR="00810194">
        <w:t xml:space="preserve"> 17; </w:t>
      </w:r>
      <w:r w:rsidR="00D1754C">
        <w:t xml:space="preserve">Gentry &amp; Symes, “Receivers and employees: An analysis of receivership and its effects on employee contracts and entitlements” (2016) 24 </w:t>
      </w:r>
      <w:r w:rsidR="00D1754C" w:rsidRPr="0052639C">
        <w:rPr>
          <w:i/>
        </w:rPr>
        <w:t>Insolvency Law Journal</w:t>
      </w:r>
      <w:r w:rsidR="00D1754C">
        <w:t xml:space="preserve"> 192-208.</w:t>
      </w:r>
      <w:r w:rsidR="00810194">
        <w:t xml:space="preserve"> </w:t>
      </w:r>
    </w:p>
  </w:footnote>
  <w:footnote w:id="2">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558(1).</w:t>
      </w:r>
    </w:p>
  </w:footnote>
  <w:footnote w:id="3">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9 (definition of ‘relevant date’).</w:t>
      </w:r>
    </w:p>
  </w:footnote>
  <w:footnote w:id="4">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Corporations Act 2001 </w:t>
      </w:r>
      <w:r w:rsidRPr="006B6B0C">
        <w:rPr>
          <w:sz w:val="16"/>
          <w:szCs w:val="16"/>
        </w:rPr>
        <w:t>(</w:t>
      </w:r>
      <w:proofErr w:type="spellStart"/>
      <w:r w:rsidRPr="006B6B0C">
        <w:rPr>
          <w:sz w:val="16"/>
          <w:szCs w:val="16"/>
        </w:rPr>
        <w:t>Cth</w:t>
      </w:r>
      <w:proofErr w:type="spellEnd"/>
      <w:r w:rsidRPr="006B6B0C">
        <w:rPr>
          <w:sz w:val="16"/>
          <w:szCs w:val="16"/>
        </w:rPr>
        <w:t xml:space="preserve">), s 433(9). Under previous legislation the date was determined as the date the receiver was appointed see </w:t>
      </w:r>
      <w:r w:rsidRPr="006B6B0C">
        <w:rPr>
          <w:i/>
          <w:sz w:val="16"/>
          <w:szCs w:val="16"/>
        </w:rPr>
        <w:t>Steinberg v Herbert</w:t>
      </w:r>
      <w:r w:rsidRPr="006B6B0C">
        <w:rPr>
          <w:sz w:val="16"/>
          <w:szCs w:val="16"/>
        </w:rPr>
        <w:t xml:space="preserve"> (1988) 14 ACLR 80 and </w:t>
      </w:r>
      <w:r w:rsidRPr="006B6B0C">
        <w:rPr>
          <w:i/>
          <w:sz w:val="16"/>
          <w:szCs w:val="16"/>
        </w:rPr>
        <w:t xml:space="preserve">Fisher v </w:t>
      </w:r>
      <w:proofErr w:type="spellStart"/>
      <w:r w:rsidRPr="006B6B0C">
        <w:rPr>
          <w:i/>
          <w:sz w:val="16"/>
          <w:szCs w:val="16"/>
        </w:rPr>
        <w:t>Maddern</w:t>
      </w:r>
      <w:proofErr w:type="spellEnd"/>
      <w:r w:rsidRPr="006B6B0C">
        <w:rPr>
          <w:sz w:val="16"/>
          <w:szCs w:val="16"/>
        </w:rPr>
        <w:t xml:space="preserve"> (2001) 54 NSWLR 179; [2002] NSWCA 28 (‘</w:t>
      </w:r>
      <w:r w:rsidRPr="006B6B0C">
        <w:rPr>
          <w:i/>
          <w:sz w:val="16"/>
          <w:szCs w:val="16"/>
        </w:rPr>
        <w:t>Fisher</w:t>
      </w:r>
      <w:r w:rsidRPr="006B6B0C">
        <w:rPr>
          <w:sz w:val="16"/>
          <w:szCs w:val="16"/>
        </w:rPr>
        <w:t>’).</w:t>
      </w:r>
    </w:p>
  </w:footnote>
  <w:footnote w:id="5">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Re Macks; Ex Parte Saint </w:t>
      </w:r>
      <w:r w:rsidRPr="006B6B0C">
        <w:rPr>
          <w:sz w:val="16"/>
          <w:szCs w:val="16"/>
        </w:rPr>
        <w:t>(2000) 204 CLR 158 at 203 [115]; [2000] HCA 62.</w:t>
      </w:r>
    </w:p>
  </w:footnote>
  <w:footnote w:id="6">
    <w:p w:rsidR="00574661" w:rsidRPr="00CA152F" w:rsidRDefault="00574661" w:rsidP="00574661">
      <w:pPr>
        <w:pStyle w:val="FootnoteText"/>
        <w:rPr>
          <w:sz w:val="16"/>
          <w:szCs w:val="16"/>
        </w:rPr>
      </w:pPr>
      <w:r w:rsidRPr="00CA152F">
        <w:rPr>
          <w:rStyle w:val="FootnoteReference"/>
          <w:rFonts w:eastAsiaTheme="majorEastAsia"/>
          <w:sz w:val="16"/>
          <w:szCs w:val="16"/>
        </w:rPr>
        <w:footnoteRef/>
      </w:r>
      <w:r w:rsidRPr="00CA152F">
        <w:rPr>
          <w:iCs/>
          <w:color w:val="000000"/>
          <w:sz w:val="16"/>
          <w:szCs w:val="16"/>
          <w:lang w:eastAsia="en-AU"/>
        </w:rPr>
        <w:t xml:space="preserve"> Taylor T, “Employee Entitlements in Corporate Insolvency Administrations” (2000) 8 </w:t>
      </w:r>
      <w:proofErr w:type="spellStart"/>
      <w:r w:rsidRPr="00CA152F">
        <w:rPr>
          <w:iCs/>
          <w:color w:val="000000"/>
          <w:sz w:val="16"/>
          <w:szCs w:val="16"/>
          <w:lang w:eastAsia="en-AU"/>
        </w:rPr>
        <w:t>InsolvLJ</w:t>
      </w:r>
      <w:proofErr w:type="spellEnd"/>
      <w:r w:rsidRPr="00CA152F">
        <w:rPr>
          <w:iCs/>
          <w:color w:val="000000"/>
          <w:sz w:val="16"/>
          <w:szCs w:val="16"/>
          <w:lang w:eastAsia="en-AU"/>
        </w:rPr>
        <w:t xml:space="preserve"> 32, 38.</w:t>
      </w:r>
    </w:p>
  </w:footnote>
  <w:footnote w:id="7">
    <w:p w:rsidR="00574661" w:rsidRPr="00CA152F" w:rsidRDefault="00574661" w:rsidP="00574661">
      <w:pPr>
        <w:pStyle w:val="FootnoteText"/>
        <w:rPr>
          <w:sz w:val="16"/>
          <w:szCs w:val="16"/>
        </w:rPr>
      </w:pPr>
      <w:r w:rsidRPr="00CA152F">
        <w:rPr>
          <w:rStyle w:val="FootnoteReference"/>
          <w:rFonts w:eastAsiaTheme="majorEastAsia"/>
          <w:sz w:val="16"/>
          <w:szCs w:val="16"/>
        </w:rPr>
        <w:footnoteRef/>
      </w:r>
      <w:r w:rsidRPr="00CA152F">
        <w:rPr>
          <w:rStyle w:val="FootnoteReference"/>
          <w:rFonts w:eastAsiaTheme="majorEastAsia"/>
          <w:i/>
          <w:sz w:val="16"/>
          <w:szCs w:val="16"/>
        </w:rPr>
        <w:t>Re Office</w:t>
      </w:r>
      <w:r w:rsidRPr="00CA152F">
        <w:rPr>
          <w:i/>
          <w:sz w:val="16"/>
          <w:szCs w:val="16"/>
        </w:rPr>
        <w:t>-</w:t>
      </w:r>
      <w:r w:rsidRPr="00CA152F">
        <w:rPr>
          <w:rStyle w:val="FootnoteReference"/>
          <w:rFonts w:eastAsiaTheme="majorEastAsia"/>
          <w:i/>
          <w:sz w:val="16"/>
          <w:szCs w:val="16"/>
        </w:rPr>
        <w:t>Co Furniture</w:t>
      </w:r>
      <w:r w:rsidRPr="00CA152F">
        <w:rPr>
          <w:rStyle w:val="FootnoteReference"/>
          <w:rFonts w:eastAsiaTheme="majorEastAsia"/>
          <w:sz w:val="16"/>
          <w:szCs w:val="16"/>
        </w:rPr>
        <w:t xml:space="preserve"> [2000] 2 </w:t>
      </w:r>
      <w:proofErr w:type="spellStart"/>
      <w:r w:rsidRPr="00CA152F">
        <w:rPr>
          <w:rStyle w:val="FootnoteReference"/>
          <w:rFonts w:eastAsiaTheme="majorEastAsia"/>
          <w:sz w:val="16"/>
          <w:szCs w:val="16"/>
        </w:rPr>
        <w:t>Qd</w:t>
      </w:r>
      <w:proofErr w:type="spellEnd"/>
      <w:r w:rsidRPr="00CA152F">
        <w:rPr>
          <w:rStyle w:val="FootnoteReference"/>
          <w:rFonts w:eastAsiaTheme="majorEastAsia"/>
          <w:sz w:val="16"/>
          <w:szCs w:val="16"/>
        </w:rPr>
        <w:t xml:space="preserve"> R 49</w:t>
      </w:r>
      <w:r w:rsidRPr="006B6B0C">
        <w:rPr>
          <w:rFonts w:eastAsiaTheme="majorEastAsia"/>
          <w:sz w:val="16"/>
          <w:szCs w:val="16"/>
        </w:rPr>
        <w:t>; [1999] QSC 63.</w:t>
      </w:r>
    </w:p>
  </w:footnote>
  <w:footnote w:id="8">
    <w:p w:rsidR="00574661" w:rsidRPr="00CA152F" w:rsidRDefault="00574661" w:rsidP="00574661">
      <w:pPr>
        <w:pStyle w:val="FootnoteText"/>
        <w:rPr>
          <w:sz w:val="16"/>
          <w:szCs w:val="16"/>
        </w:rPr>
      </w:pPr>
      <w:r w:rsidRPr="00CA152F">
        <w:rPr>
          <w:rStyle w:val="FootnoteReference"/>
          <w:rFonts w:eastAsiaTheme="majorEastAsia"/>
          <w:sz w:val="16"/>
          <w:szCs w:val="16"/>
        </w:rPr>
        <w:footnoteRef/>
      </w:r>
      <w:r w:rsidRPr="006B6B0C">
        <w:rPr>
          <w:rStyle w:val="FootnoteReference"/>
          <w:rFonts w:eastAsiaTheme="majorEastAsia"/>
          <w:i/>
          <w:sz w:val="16"/>
          <w:szCs w:val="16"/>
        </w:rPr>
        <w:t>Re Office</w:t>
      </w:r>
      <w:r w:rsidRPr="006B6B0C">
        <w:rPr>
          <w:i/>
          <w:sz w:val="16"/>
          <w:szCs w:val="16"/>
        </w:rPr>
        <w:t>-</w:t>
      </w:r>
      <w:r w:rsidRPr="006B6B0C">
        <w:rPr>
          <w:rStyle w:val="FootnoteReference"/>
          <w:rFonts w:eastAsiaTheme="majorEastAsia"/>
          <w:i/>
          <w:sz w:val="16"/>
          <w:szCs w:val="16"/>
        </w:rPr>
        <w:t>Co Furniture</w:t>
      </w:r>
      <w:r w:rsidRPr="006B6B0C">
        <w:rPr>
          <w:rStyle w:val="FootnoteReference"/>
          <w:rFonts w:eastAsiaTheme="majorEastAsia"/>
          <w:sz w:val="16"/>
          <w:szCs w:val="16"/>
        </w:rPr>
        <w:t xml:space="preserve"> [2000] 2 </w:t>
      </w:r>
      <w:proofErr w:type="spellStart"/>
      <w:r w:rsidRPr="006B6B0C">
        <w:rPr>
          <w:rStyle w:val="FootnoteReference"/>
          <w:rFonts w:eastAsiaTheme="majorEastAsia"/>
          <w:sz w:val="16"/>
          <w:szCs w:val="16"/>
        </w:rPr>
        <w:t>Qd</w:t>
      </w:r>
      <w:proofErr w:type="spellEnd"/>
      <w:r w:rsidRPr="006B6B0C">
        <w:rPr>
          <w:rStyle w:val="FootnoteReference"/>
          <w:rFonts w:eastAsiaTheme="majorEastAsia"/>
          <w:sz w:val="16"/>
          <w:szCs w:val="16"/>
        </w:rPr>
        <w:t xml:space="preserve"> R 49</w:t>
      </w:r>
      <w:r w:rsidRPr="006B6B0C">
        <w:rPr>
          <w:rFonts w:eastAsiaTheme="majorEastAsia"/>
          <w:sz w:val="16"/>
          <w:szCs w:val="16"/>
        </w:rPr>
        <w:t>; [1999] QSC 63.</w:t>
      </w:r>
    </w:p>
  </w:footnote>
  <w:footnote w:id="9">
    <w:p w:rsidR="00574661" w:rsidRPr="00CA152F" w:rsidRDefault="00574661" w:rsidP="00574661">
      <w:pPr>
        <w:pStyle w:val="FootnoteText"/>
        <w:rPr>
          <w:sz w:val="16"/>
          <w:szCs w:val="16"/>
        </w:rPr>
      </w:pPr>
      <w:r w:rsidRPr="00CA152F">
        <w:rPr>
          <w:rStyle w:val="FootnoteReference"/>
          <w:rFonts w:eastAsiaTheme="majorEastAsia"/>
          <w:sz w:val="16"/>
          <w:szCs w:val="16"/>
        </w:rPr>
        <w:footnoteRef/>
      </w:r>
      <w:r w:rsidRPr="00CA152F">
        <w:rPr>
          <w:i/>
          <w:sz w:val="16"/>
          <w:szCs w:val="16"/>
        </w:rPr>
        <w:t xml:space="preserve">Re Office-Co Furniture </w:t>
      </w:r>
      <w:r w:rsidRPr="00CA152F">
        <w:rPr>
          <w:sz w:val="16"/>
          <w:szCs w:val="16"/>
        </w:rPr>
        <w:t xml:space="preserve">[2000] 2 </w:t>
      </w:r>
      <w:proofErr w:type="spellStart"/>
      <w:r w:rsidRPr="00CA152F">
        <w:rPr>
          <w:sz w:val="16"/>
          <w:szCs w:val="16"/>
        </w:rPr>
        <w:t>Qd</w:t>
      </w:r>
      <w:proofErr w:type="spellEnd"/>
      <w:r w:rsidRPr="00CA152F">
        <w:rPr>
          <w:sz w:val="16"/>
          <w:szCs w:val="16"/>
        </w:rPr>
        <w:t xml:space="preserve"> R 49 at 52</w:t>
      </w:r>
      <w:r w:rsidRPr="006B6B0C">
        <w:rPr>
          <w:sz w:val="16"/>
          <w:szCs w:val="16"/>
        </w:rPr>
        <w:t>; [1999] QSC 63</w:t>
      </w:r>
      <w:r w:rsidRPr="00CA152F">
        <w:rPr>
          <w:sz w:val="16"/>
          <w:szCs w:val="16"/>
        </w:rPr>
        <w:t>.</w:t>
      </w:r>
    </w:p>
  </w:footnote>
  <w:footnote w:id="10">
    <w:p w:rsidR="00574661" w:rsidRPr="006B6B0C" w:rsidRDefault="00574661" w:rsidP="00574661">
      <w:pPr>
        <w:pStyle w:val="FootnoteText"/>
        <w:rPr>
          <w:sz w:val="16"/>
          <w:szCs w:val="16"/>
        </w:rPr>
      </w:pPr>
      <w:r w:rsidRPr="00CA152F">
        <w:rPr>
          <w:rStyle w:val="FootnoteReference"/>
          <w:rFonts w:eastAsiaTheme="majorEastAsia"/>
          <w:sz w:val="16"/>
          <w:szCs w:val="16"/>
        </w:rPr>
        <w:footnoteRef/>
      </w:r>
      <w:r w:rsidRPr="00CA152F">
        <w:rPr>
          <w:i/>
          <w:color w:val="000000"/>
          <w:sz w:val="16"/>
          <w:szCs w:val="16"/>
        </w:rPr>
        <w:t xml:space="preserve">McEvoy </w:t>
      </w:r>
      <w:r w:rsidRPr="00CA152F">
        <w:rPr>
          <w:sz w:val="16"/>
          <w:szCs w:val="16"/>
        </w:rPr>
        <w:t xml:space="preserve">(2003) 130 FCR 503 at 514[22]; </w:t>
      </w:r>
      <w:r w:rsidRPr="006B6B0C">
        <w:rPr>
          <w:sz w:val="16"/>
          <w:szCs w:val="16"/>
        </w:rPr>
        <w:t xml:space="preserve">[2003] </w:t>
      </w:r>
      <w:r w:rsidRPr="00CA152F">
        <w:rPr>
          <w:sz w:val="16"/>
          <w:szCs w:val="16"/>
        </w:rPr>
        <w:t>FCA 810.</w:t>
      </w:r>
    </w:p>
  </w:footnote>
  <w:footnote w:id="11">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 515 [26].</w:t>
      </w:r>
    </w:p>
  </w:footnote>
  <w:footnote w:id="12">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 514–15 [25].</w:t>
      </w:r>
    </w:p>
  </w:footnote>
  <w:footnote w:id="13">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iCs/>
          <w:sz w:val="16"/>
          <w:szCs w:val="16"/>
        </w:rPr>
        <w:t xml:space="preserve">White v Norman </w:t>
      </w:r>
      <w:r w:rsidRPr="006B6B0C">
        <w:rPr>
          <w:sz w:val="16"/>
          <w:szCs w:val="16"/>
        </w:rPr>
        <w:t>(2012) 199 FCR 488; [2012] FCA 33</w:t>
      </w:r>
      <w:r w:rsidRPr="006B6B0C">
        <w:rPr>
          <w:iCs/>
          <w:sz w:val="16"/>
          <w:szCs w:val="16"/>
        </w:rPr>
        <w:t xml:space="preserve">; </w:t>
      </w:r>
      <w:r w:rsidRPr="006B6B0C">
        <w:rPr>
          <w:i/>
          <w:iCs/>
          <w:sz w:val="16"/>
          <w:szCs w:val="16"/>
        </w:rPr>
        <w:t xml:space="preserve">Great Southern Ltd (recs and </w:t>
      </w:r>
      <w:proofErr w:type="spellStart"/>
      <w:r w:rsidRPr="006B6B0C">
        <w:rPr>
          <w:i/>
          <w:iCs/>
          <w:sz w:val="16"/>
          <w:szCs w:val="16"/>
        </w:rPr>
        <w:t>mgrs</w:t>
      </w:r>
      <w:proofErr w:type="spellEnd"/>
      <w:r w:rsidRPr="006B6B0C">
        <w:rPr>
          <w:i/>
          <w:iCs/>
          <w:sz w:val="16"/>
          <w:szCs w:val="16"/>
        </w:rPr>
        <w:t xml:space="preserve">  </w:t>
      </w:r>
      <w:proofErr w:type="spellStart"/>
      <w:r w:rsidRPr="006B6B0C">
        <w:rPr>
          <w:i/>
          <w:iCs/>
          <w:sz w:val="16"/>
          <w:szCs w:val="16"/>
        </w:rPr>
        <w:t>apptd</w:t>
      </w:r>
      <w:proofErr w:type="spellEnd"/>
      <w:r w:rsidRPr="006B6B0C">
        <w:rPr>
          <w:i/>
          <w:iCs/>
          <w:sz w:val="16"/>
          <w:szCs w:val="16"/>
        </w:rPr>
        <w:t xml:space="preserve">) (in </w:t>
      </w:r>
      <w:proofErr w:type="spellStart"/>
      <w:r w:rsidRPr="006B6B0C">
        <w:rPr>
          <w:i/>
          <w:iCs/>
          <w:sz w:val="16"/>
          <w:szCs w:val="16"/>
        </w:rPr>
        <w:t>liq</w:t>
      </w:r>
      <w:proofErr w:type="spellEnd"/>
      <w:r w:rsidRPr="006B6B0C">
        <w:rPr>
          <w:i/>
          <w:iCs/>
          <w:sz w:val="16"/>
          <w:szCs w:val="16"/>
        </w:rPr>
        <w:t xml:space="preserve">): Ex Parte </w:t>
      </w:r>
      <w:proofErr w:type="spellStart"/>
      <w:r w:rsidRPr="006B6B0C">
        <w:rPr>
          <w:i/>
          <w:iCs/>
          <w:sz w:val="16"/>
          <w:szCs w:val="16"/>
        </w:rPr>
        <w:t>Thackray</w:t>
      </w:r>
      <w:proofErr w:type="spellEnd"/>
      <w:r w:rsidRPr="006B6B0C">
        <w:rPr>
          <w:i/>
          <w:iCs/>
          <w:sz w:val="16"/>
          <w:szCs w:val="16"/>
        </w:rPr>
        <w:t xml:space="preserve"> </w:t>
      </w:r>
      <w:r w:rsidRPr="006B6B0C">
        <w:rPr>
          <w:sz w:val="16"/>
          <w:szCs w:val="16"/>
        </w:rPr>
        <w:t>(2012) 260 FLR 362; [2012] WASC 59 (‘</w:t>
      </w:r>
      <w:r w:rsidRPr="006B6B0C">
        <w:rPr>
          <w:i/>
          <w:sz w:val="16"/>
          <w:szCs w:val="16"/>
        </w:rPr>
        <w:t>Great Southern Ltd</w:t>
      </w:r>
      <w:r w:rsidRPr="006B6B0C">
        <w:rPr>
          <w:sz w:val="16"/>
          <w:szCs w:val="16"/>
        </w:rPr>
        <w:t xml:space="preserve">’); </w:t>
      </w:r>
      <w:proofErr w:type="spellStart"/>
      <w:r w:rsidRPr="006B6B0C">
        <w:rPr>
          <w:i/>
          <w:sz w:val="16"/>
          <w:szCs w:val="16"/>
        </w:rPr>
        <w:t>ExDVD</w:t>
      </w:r>
      <w:proofErr w:type="spellEnd"/>
      <w:r w:rsidRPr="006B6B0C">
        <w:rPr>
          <w:i/>
          <w:sz w:val="16"/>
          <w:szCs w:val="16"/>
        </w:rPr>
        <w:t xml:space="preserve"> </w:t>
      </w:r>
      <w:r w:rsidRPr="006B6B0C">
        <w:rPr>
          <w:sz w:val="16"/>
          <w:szCs w:val="16"/>
        </w:rPr>
        <w:t>(2014) 223 FCR 409; [2014] FCA 696</w:t>
      </w:r>
    </w:p>
  </w:footnote>
  <w:footnote w:id="14">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Great Southern Ltd</w:t>
      </w:r>
      <w:r w:rsidRPr="006B6B0C">
        <w:rPr>
          <w:sz w:val="16"/>
          <w:szCs w:val="16"/>
        </w:rPr>
        <w:t xml:space="preserve"> (2012) 260 FLR 362; [2012] WASC 59.</w:t>
      </w:r>
    </w:p>
  </w:footnote>
  <w:footnote w:id="15">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Ibid.</w:t>
      </w:r>
    </w:p>
  </w:footnote>
  <w:footnote w:id="16">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Great Southern Ltd</w:t>
      </w:r>
      <w:r w:rsidRPr="006B6B0C">
        <w:rPr>
          <w:sz w:val="16"/>
          <w:szCs w:val="16"/>
        </w:rPr>
        <w:t xml:space="preserve"> (2012) 260 FLR 362 at 369–70 [25]; [2012] WASC 59. </w:t>
      </w:r>
    </w:p>
  </w:footnote>
  <w:footnote w:id="17">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At which time a liquidator would be obliged to pay the wider entitlements under </w:t>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561.</w:t>
      </w:r>
    </w:p>
  </w:footnote>
  <w:footnote w:id="18">
    <w:p w:rsidR="00574661" w:rsidRPr="006B6B0C" w:rsidRDefault="00574661" w:rsidP="00574661">
      <w:pPr>
        <w:spacing w:after="0"/>
        <w:rPr>
          <w:rFonts w:ascii="Georgia" w:hAnsi="Georgia"/>
          <w:bCs/>
          <w:sz w:val="16"/>
          <w:szCs w:val="16"/>
          <w:lang w:eastAsia="en-AU"/>
        </w:rPr>
      </w:pPr>
      <w:r w:rsidRPr="006B6B0C">
        <w:rPr>
          <w:rStyle w:val="FootnoteReference"/>
          <w:rFonts w:ascii="Georgia" w:hAnsi="Georgia"/>
          <w:sz w:val="16"/>
          <w:szCs w:val="16"/>
        </w:rPr>
        <w:footnoteRef/>
      </w:r>
      <w:r w:rsidRPr="006B6B0C">
        <w:rPr>
          <w:rFonts w:ascii="Georgia" w:hAnsi="Georgia"/>
          <w:i/>
          <w:sz w:val="16"/>
          <w:szCs w:val="16"/>
        </w:rPr>
        <w:t>Great Southern Ltd</w:t>
      </w:r>
      <w:r w:rsidRPr="006B6B0C">
        <w:rPr>
          <w:rFonts w:ascii="Georgia" w:hAnsi="Georgia"/>
          <w:sz w:val="16"/>
          <w:szCs w:val="16"/>
        </w:rPr>
        <w:t xml:space="preserve"> (2012) 260 FLR 362 at 370 [27]; [2012] WASC 59. Master </w:t>
      </w:r>
      <w:r w:rsidRPr="006B6B0C">
        <w:rPr>
          <w:rFonts w:ascii="Georgia" w:hAnsi="Georgia"/>
          <w:bCs/>
          <w:sz w:val="16"/>
          <w:szCs w:val="16"/>
          <w:lang w:eastAsia="en-AU"/>
        </w:rPr>
        <w:t>Sanderson observed that the obligation imposed by administering such a trust would not prevent the receivers from retiring in the event the objects of their appointment have been otherwise achieved, as they will be entitled to arrange for the liquidators to become the substitute trustees of the further funds.</w:t>
      </w:r>
    </w:p>
  </w:footnote>
  <w:footnote w:id="19">
    <w:p w:rsidR="00574661" w:rsidRPr="006B6B0C" w:rsidRDefault="00574661" w:rsidP="00574661">
      <w:pPr>
        <w:pStyle w:val="FootnoteText"/>
        <w:rPr>
          <w:sz w:val="16"/>
          <w:szCs w:val="16"/>
        </w:rPr>
      </w:pPr>
      <w:r w:rsidRPr="006B6B0C">
        <w:rPr>
          <w:rStyle w:val="FootnoteReference"/>
          <w:sz w:val="16"/>
          <w:szCs w:val="16"/>
        </w:rPr>
        <w:footnoteRef/>
      </w:r>
      <w:r w:rsidRPr="006B6B0C">
        <w:rPr>
          <w:sz w:val="16"/>
          <w:szCs w:val="16"/>
        </w:rPr>
        <w:t xml:space="preserve"> See </w:t>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556(1</w:t>
      </w:r>
      <w:proofErr w:type="gramStart"/>
      <w:r w:rsidRPr="006B6B0C">
        <w:rPr>
          <w:sz w:val="16"/>
          <w:szCs w:val="16"/>
        </w:rPr>
        <w:t>)(</w:t>
      </w:r>
      <w:proofErr w:type="gramEnd"/>
      <w:r w:rsidRPr="006B6B0C">
        <w:rPr>
          <w:sz w:val="16"/>
          <w:szCs w:val="16"/>
        </w:rPr>
        <w:t xml:space="preserve">de) and </w:t>
      </w:r>
      <w:proofErr w:type="spellStart"/>
      <w:r w:rsidRPr="006B6B0C">
        <w:rPr>
          <w:sz w:val="16"/>
          <w:szCs w:val="16"/>
        </w:rPr>
        <w:t>ss</w:t>
      </w:r>
      <w:proofErr w:type="spellEnd"/>
      <w:r w:rsidRPr="006B6B0C">
        <w:rPr>
          <w:sz w:val="16"/>
          <w:szCs w:val="16"/>
        </w:rPr>
        <w:t xml:space="preserve"> 556(1)e),(f).</w:t>
      </w:r>
    </w:p>
  </w:footnote>
  <w:footnote w:id="20">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Saker</w:t>
      </w:r>
      <w:proofErr w:type="spellEnd"/>
      <w:r w:rsidRPr="006B6B0C">
        <w:rPr>
          <w:i/>
          <w:sz w:val="16"/>
          <w:szCs w:val="16"/>
        </w:rPr>
        <w:t xml:space="preserve">, in the matter of Great Southern Ltd </w:t>
      </w:r>
      <w:r w:rsidRPr="006B6B0C">
        <w:rPr>
          <w:sz w:val="16"/>
          <w:szCs w:val="16"/>
        </w:rPr>
        <w:t>(2014) 32 ACLC 14-043 at 552 [17]; [2014] FCA 771 (‘</w:t>
      </w:r>
      <w:proofErr w:type="spellStart"/>
      <w:r w:rsidRPr="006B6B0C">
        <w:rPr>
          <w:i/>
          <w:sz w:val="16"/>
          <w:szCs w:val="16"/>
        </w:rPr>
        <w:t>Saker</w:t>
      </w:r>
      <w:proofErr w:type="spellEnd"/>
      <w:r w:rsidRPr="006B6B0C">
        <w:rPr>
          <w:sz w:val="16"/>
          <w:szCs w:val="16"/>
        </w:rPr>
        <w:t xml:space="preserve">’). </w:t>
      </w:r>
    </w:p>
  </w:footnote>
  <w:footnote w:id="21">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Saker</w:t>
      </w:r>
      <w:proofErr w:type="spellEnd"/>
      <w:r w:rsidRPr="006B6B0C">
        <w:rPr>
          <w:i/>
          <w:sz w:val="16"/>
          <w:szCs w:val="16"/>
        </w:rPr>
        <w:t xml:space="preserve"> </w:t>
      </w:r>
      <w:r w:rsidRPr="006B6B0C">
        <w:rPr>
          <w:sz w:val="16"/>
          <w:szCs w:val="16"/>
        </w:rPr>
        <w:t>(2014) 32 ACLC 14-043; [2014] FCA 771.</w:t>
      </w:r>
    </w:p>
  </w:footnote>
  <w:footnote w:id="22">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The Court found that if legislation required a person to apply money for the benefit of others, that person is not necessarily a trustee for that purpose: see </w:t>
      </w:r>
      <w:proofErr w:type="spellStart"/>
      <w:r w:rsidRPr="006B6B0C">
        <w:rPr>
          <w:i/>
          <w:sz w:val="16"/>
          <w:szCs w:val="16"/>
        </w:rPr>
        <w:t>Visbord</w:t>
      </w:r>
      <w:proofErr w:type="spellEnd"/>
      <w:r w:rsidRPr="006B6B0C">
        <w:rPr>
          <w:i/>
          <w:sz w:val="16"/>
          <w:szCs w:val="16"/>
        </w:rPr>
        <w:t xml:space="preserve"> v Commissioner of Taxation </w:t>
      </w:r>
      <w:r w:rsidRPr="006B6B0C">
        <w:rPr>
          <w:sz w:val="16"/>
          <w:szCs w:val="16"/>
        </w:rPr>
        <w:t>(1943) 68 CLR 354 at 369; [1943] HCA 4.</w:t>
      </w:r>
    </w:p>
  </w:footnote>
  <w:footnote w:id="23">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Saker</w:t>
      </w:r>
      <w:proofErr w:type="spellEnd"/>
      <w:r w:rsidRPr="006B6B0C">
        <w:rPr>
          <w:i/>
          <w:sz w:val="16"/>
          <w:szCs w:val="16"/>
        </w:rPr>
        <w:t xml:space="preserve"> </w:t>
      </w:r>
      <w:r w:rsidRPr="006B6B0C">
        <w:rPr>
          <w:sz w:val="16"/>
          <w:szCs w:val="16"/>
        </w:rPr>
        <w:t>(2014) 32 ACLC 14-043 at 556 [44]; [2014] FCA 771.</w:t>
      </w:r>
    </w:p>
  </w:footnote>
  <w:footnote w:id="24">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The Court’s orders in this regard were subject to the liquidators’ satisfying themselves that s561 of the </w:t>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xml:space="preserve">) had been complied with </w:t>
      </w:r>
      <w:proofErr w:type="spellStart"/>
      <w:r w:rsidRPr="006B6B0C">
        <w:rPr>
          <w:i/>
          <w:sz w:val="16"/>
          <w:szCs w:val="16"/>
        </w:rPr>
        <w:t>Saker</w:t>
      </w:r>
      <w:proofErr w:type="spellEnd"/>
      <w:r w:rsidRPr="006B6B0C">
        <w:rPr>
          <w:i/>
          <w:sz w:val="16"/>
          <w:szCs w:val="16"/>
        </w:rPr>
        <w:t xml:space="preserve"> </w:t>
      </w:r>
      <w:r w:rsidRPr="006B6B0C">
        <w:rPr>
          <w:sz w:val="16"/>
          <w:szCs w:val="16"/>
        </w:rPr>
        <w:t>(2014) 32 ACLC 14-043 at 556–7 [44]–[45]; [2014] FCA 771.</w:t>
      </w:r>
    </w:p>
  </w:footnote>
  <w:footnote w:id="25">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Saker</w:t>
      </w:r>
      <w:proofErr w:type="spellEnd"/>
      <w:r w:rsidRPr="006B6B0C">
        <w:rPr>
          <w:i/>
          <w:sz w:val="16"/>
          <w:szCs w:val="16"/>
        </w:rPr>
        <w:t xml:space="preserve">, </w:t>
      </w:r>
      <w:r w:rsidRPr="006B6B0C">
        <w:rPr>
          <w:sz w:val="16"/>
          <w:szCs w:val="16"/>
        </w:rPr>
        <w:t>(2014) 32 ACLC 14-043 at 557 [46]; [2014] FCA 771.</w:t>
      </w:r>
    </w:p>
  </w:footnote>
  <w:footnote w:id="26">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The concept stems from the judgment of Finkelstein J in </w:t>
      </w:r>
      <w:r w:rsidRPr="006B6B0C">
        <w:rPr>
          <w:i/>
          <w:sz w:val="16"/>
          <w:szCs w:val="16"/>
        </w:rPr>
        <w:t xml:space="preserve">Cook v </w:t>
      </w:r>
      <w:proofErr w:type="spellStart"/>
      <w:r w:rsidRPr="006B6B0C">
        <w:rPr>
          <w:i/>
          <w:sz w:val="16"/>
          <w:szCs w:val="16"/>
        </w:rPr>
        <w:t>Italiano</w:t>
      </w:r>
      <w:proofErr w:type="spellEnd"/>
      <w:r w:rsidRPr="006B6B0C">
        <w:rPr>
          <w:i/>
          <w:sz w:val="16"/>
          <w:szCs w:val="16"/>
        </w:rPr>
        <w:t xml:space="preserve"> Family Fruit Co Pty Ltd (in </w:t>
      </w:r>
      <w:proofErr w:type="spellStart"/>
      <w:r w:rsidRPr="006B6B0C">
        <w:rPr>
          <w:i/>
          <w:sz w:val="16"/>
          <w:szCs w:val="16"/>
        </w:rPr>
        <w:t>liq</w:t>
      </w:r>
      <w:proofErr w:type="spellEnd"/>
      <w:proofErr w:type="gramStart"/>
      <w:r w:rsidRPr="006B6B0C">
        <w:rPr>
          <w:i/>
          <w:sz w:val="16"/>
          <w:szCs w:val="16"/>
        </w:rPr>
        <w:t xml:space="preserve">)  </w:t>
      </w:r>
      <w:r w:rsidRPr="006B6B0C">
        <w:rPr>
          <w:sz w:val="16"/>
          <w:szCs w:val="16"/>
        </w:rPr>
        <w:t>(</w:t>
      </w:r>
      <w:proofErr w:type="gramEnd"/>
      <w:r w:rsidRPr="006B6B0C">
        <w:rPr>
          <w:sz w:val="16"/>
          <w:szCs w:val="16"/>
        </w:rPr>
        <w:t>2010) 190 FCR 474; [2010] FCA 1355 (‘</w:t>
      </w:r>
      <w:proofErr w:type="spellStart"/>
      <w:r w:rsidRPr="00CA152F">
        <w:rPr>
          <w:i/>
          <w:sz w:val="16"/>
          <w:szCs w:val="16"/>
        </w:rPr>
        <w:t>Italiano</w:t>
      </w:r>
      <w:proofErr w:type="spellEnd"/>
      <w:r w:rsidRPr="006B6B0C">
        <w:rPr>
          <w:i/>
          <w:sz w:val="16"/>
          <w:szCs w:val="16"/>
        </w:rPr>
        <w:t>’</w:t>
      </w:r>
      <w:r w:rsidRPr="006B6B0C">
        <w:rPr>
          <w:sz w:val="16"/>
          <w:szCs w:val="16"/>
        </w:rPr>
        <w:t>).</w:t>
      </w:r>
    </w:p>
  </w:footnote>
  <w:footnote w:id="27">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ExDVD</w:t>
      </w:r>
      <w:proofErr w:type="spellEnd"/>
      <w:r w:rsidRPr="006B6B0C">
        <w:rPr>
          <w:i/>
          <w:sz w:val="16"/>
          <w:szCs w:val="16"/>
        </w:rPr>
        <w:t xml:space="preserve"> </w:t>
      </w:r>
      <w:r w:rsidRPr="006B6B0C">
        <w:rPr>
          <w:sz w:val="16"/>
          <w:szCs w:val="16"/>
        </w:rPr>
        <w:t>(2014) 223 FCR 409 at 411 [5]; [2014] FCA 696.</w:t>
      </w:r>
    </w:p>
  </w:footnote>
  <w:footnote w:id="28">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 415–16 [29].</w:t>
      </w:r>
    </w:p>
  </w:footnote>
  <w:footnote w:id="29">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Ibid 415–16 [29]; see also </w:t>
      </w:r>
      <w:r w:rsidRPr="006B6B0C">
        <w:rPr>
          <w:i/>
          <w:sz w:val="16"/>
          <w:szCs w:val="16"/>
        </w:rPr>
        <w:t xml:space="preserve">Perrins v State Bank of Victoria </w:t>
      </w:r>
      <w:r w:rsidRPr="006B6B0C">
        <w:rPr>
          <w:sz w:val="16"/>
          <w:szCs w:val="16"/>
        </w:rPr>
        <w:t>[1991] 1 VR 749.</w:t>
      </w:r>
    </w:p>
  </w:footnote>
  <w:footnote w:id="30">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 419 [46].</w:t>
      </w:r>
    </w:p>
  </w:footnote>
  <w:footnote w:id="31">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 419 [45].</w:t>
      </w:r>
    </w:p>
  </w:footnote>
  <w:footnote w:id="32">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 420 [48].</w:t>
      </w:r>
    </w:p>
  </w:footnote>
  <w:footnote w:id="33">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ExDVD</w:t>
      </w:r>
      <w:proofErr w:type="spellEnd"/>
      <w:r w:rsidRPr="006B6B0C">
        <w:rPr>
          <w:i/>
          <w:sz w:val="16"/>
          <w:szCs w:val="16"/>
        </w:rPr>
        <w:t xml:space="preserve"> </w:t>
      </w:r>
      <w:r w:rsidRPr="006B6B0C">
        <w:rPr>
          <w:sz w:val="16"/>
          <w:szCs w:val="16"/>
        </w:rPr>
        <w:t>(2014) 223 FCR 409; [2014] FCA 696.</w:t>
      </w:r>
    </w:p>
  </w:footnote>
  <w:footnote w:id="34">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Saker</w:t>
      </w:r>
      <w:proofErr w:type="spellEnd"/>
      <w:r w:rsidRPr="006B6B0C">
        <w:rPr>
          <w:i/>
          <w:sz w:val="16"/>
          <w:szCs w:val="16"/>
        </w:rPr>
        <w:t xml:space="preserve"> </w:t>
      </w:r>
      <w:r w:rsidRPr="006B6B0C">
        <w:rPr>
          <w:sz w:val="16"/>
          <w:szCs w:val="16"/>
        </w:rPr>
        <w:t xml:space="preserve">(2014) 32 ACLC 14-043; [2014] FCA 771. For a discussion on the relationship of </w:t>
      </w:r>
      <w:proofErr w:type="spellStart"/>
      <w:r w:rsidRPr="006B6B0C">
        <w:rPr>
          <w:sz w:val="16"/>
          <w:szCs w:val="16"/>
        </w:rPr>
        <w:t>ss</w:t>
      </w:r>
      <w:proofErr w:type="spellEnd"/>
      <w:r w:rsidRPr="006B6B0C">
        <w:rPr>
          <w:sz w:val="16"/>
          <w:szCs w:val="16"/>
        </w:rPr>
        <w:t xml:space="preserve"> 433 and 561 see </w:t>
      </w:r>
      <w:r w:rsidRPr="006B6B0C">
        <w:rPr>
          <w:i/>
          <w:sz w:val="16"/>
          <w:szCs w:val="16"/>
        </w:rPr>
        <w:t xml:space="preserve">Re CMI Industrial Pty Ltd (in </w:t>
      </w:r>
      <w:proofErr w:type="spellStart"/>
      <w:r w:rsidRPr="006B6B0C">
        <w:rPr>
          <w:i/>
          <w:sz w:val="16"/>
          <w:szCs w:val="16"/>
        </w:rPr>
        <w:t>liq</w:t>
      </w:r>
      <w:proofErr w:type="spellEnd"/>
      <w:r w:rsidRPr="006B6B0C">
        <w:rPr>
          <w:i/>
          <w:sz w:val="16"/>
          <w:szCs w:val="16"/>
        </w:rPr>
        <w:t>) Byrnes &amp;</w:t>
      </w:r>
      <w:proofErr w:type="spellStart"/>
      <w:r w:rsidRPr="006B6B0C">
        <w:rPr>
          <w:i/>
          <w:sz w:val="16"/>
          <w:szCs w:val="16"/>
        </w:rPr>
        <w:t>Ors</w:t>
      </w:r>
      <w:proofErr w:type="spellEnd"/>
      <w:r w:rsidRPr="006B6B0C">
        <w:rPr>
          <w:i/>
          <w:sz w:val="16"/>
          <w:szCs w:val="16"/>
        </w:rPr>
        <w:t xml:space="preserve"> v CMI Ltd</w:t>
      </w:r>
      <w:r w:rsidRPr="006B6B0C">
        <w:rPr>
          <w:sz w:val="16"/>
          <w:szCs w:val="16"/>
        </w:rPr>
        <w:t xml:space="preserve"> [2016] 1 </w:t>
      </w:r>
      <w:proofErr w:type="spellStart"/>
      <w:r w:rsidRPr="006B6B0C">
        <w:rPr>
          <w:sz w:val="16"/>
          <w:szCs w:val="16"/>
        </w:rPr>
        <w:t>Qd</w:t>
      </w:r>
      <w:proofErr w:type="spellEnd"/>
      <w:r w:rsidRPr="006B6B0C">
        <w:rPr>
          <w:sz w:val="16"/>
          <w:szCs w:val="16"/>
        </w:rPr>
        <w:t xml:space="preserve"> R 241; [2015] QSC 96.</w:t>
      </w:r>
    </w:p>
  </w:footnote>
  <w:footnote w:id="35">
    <w:p w:rsidR="00574661" w:rsidRPr="006B6B0C" w:rsidRDefault="00574661" w:rsidP="00574661">
      <w:pPr>
        <w:pStyle w:val="FootnoteText"/>
        <w:rPr>
          <w:sz w:val="16"/>
          <w:szCs w:val="16"/>
        </w:rPr>
      </w:pPr>
      <w:r w:rsidRPr="006B6B0C">
        <w:rPr>
          <w:rStyle w:val="FootnoteReference"/>
          <w:sz w:val="16"/>
          <w:szCs w:val="16"/>
        </w:rPr>
        <w:footnoteRef/>
      </w:r>
      <w:r w:rsidRPr="006B6B0C">
        <w:rPr>
          <w:sz w:val="16"/>
          <w:szCs w:val="16"/>
        </w:rPr>
        <w:t xml:space="preserve"> </w:t>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556(2)</w:t>
      </w:r>
    </w:p>
  </w:footnote>
  <w:footnote w:id="36">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433(9).</w:t>
      </w:r>
    </w:p>
  </w:footnote>
  <w:footnote w:id="37">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O’Donovan J</w:t>
      </w:r>
      <w:r w:rsidRPr="006B6B0C">
        <w:rPr>
          <w:i/>
          <w:sz w:val="16"/>
          <w:szCs w:val="16"/>
        </w:rPr>
        <w:t>, Company Receivers and Administrators</w:t>
      </w:r>
      <w:r w:rsidRPr="006B6B0C">
        <w:rPr>
          <w:sz w:val="16"/>
          <w:szCs w:val="16"/>
        </w:rPr>
        <w:t>, (Thomson Reuters (Professional) Australia, 2015) 11-8070 and 11-8081 – 11-8082.</w:t>
      </w:r>
    </w:p>
  </w:footnote>
  <w:footnote w:id="38">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Whitton </w:t>
      </w:r>
      <w:r w:rsidRPr="006B6B0C">
        <w:rPr>
          <w:sz w:val="16"/>
          <w:szCs w:val="16"/>
        </w:rPr>
        <w:t>(1996) 42 NSWLR 123 at 148</w:t>
      </w:r>
      <w:r w:rsidRPr="006B6B0C">
        <w:rPr>
          <w:sz w:val="16"/>
          <w:szCs w:val="16"/>
          <w:lang w:eastAsia="en-AU"/>
        </w:rPr>
        <w:t>; [1996] NSWSC 534</w:t>
      </w:r>
      <w:r w:rsidRPr="006B6B0C">
        <w:rPr>
          <w:sz w:val="16"/>
          <w:szCs w:val="16"/>
        </w:rPr>
        <w:t>.</w:t>
      </w:r>
    </w:p>
  </w:footnote>
  <w:footnote w:id="39">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Vickers </w:t>
      </w:r>
      <w:r w:rsidRPr="006B6B0C">
        <w:rPr>
          <w:sz w:val="16"/>
          <w:szCs w:val="16"/>
        </w:rPr>
        <w:t>(2011) 190 FCR 569 at 576[44], 571[10]–[11]; [2011] FCA 10.</w:t>
      </w:r>
    </w:p>
  </w:footnote>
  <w:footnote w:id="40">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Fisher </w:t>
      </w:r>
      <w:r w:rsidRPr="006B6B0C">
        <w:rPr>
          <w:sz w:val="16"/>
          <w:szCs w:val="16"/>
        </w:rPr>
        <w:t>(2001) 54 NSWLR 179; [2002] NSWCA 28.</w:t>
      </w:r>
    </w:p>
  </w:footnote>
  <w:footnote w:id="41">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Fisher </w:t>
      </w:r>
      <w:r w:rsidRPr="006B6B0C">
        <w:rPr>
          <w:sz w:val="16"/>
          <w:szCs w:val="16"/>
        </w:rPr>
        <w:t>(2001) 54 NSWLR 179 at 193 [44]; [2002] NSWCA 28.</w:t>
      </w:r>
    </w:p>
  </w:footnote>
  <w:footnote w:id="42">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Fisher </w:t>
      </w:r>
      <w:r w:rsidRPr="006B6B0C">
        <w:rPr>
          <w:sz w:val="16"/>
          <w:szCs w:val="16"/>
        </w:rPr>
        <w:t>(2001) 54 NSWLR 179 at 192–3 [41]; [2002] NSWCA 28.</w:t>
      </w:r>
    </w:p>
  </w:footnote>
  <w:footnote w:id="43">
    <w:p w:rsidR="00574661" w:rsidRPr="006B6B0C" w:rsidRDefault="00574661" w:rsidP="00574661">
      <w:pPr>
        <w:pStyle w:val="FootnoteText"/>
        <w:rPr>
          <w:sz w:val="16"/>
          <w:szCs w:val="16"/>
        </w:rPr>
      </w:pPr>
      <w:r w:rsidRPr="006B6B0C">
        <w:rPr>
          <w:rStyle w:val="FootnoteReference"/>
          <w:sz w:val="16"/>
          <w:szCs w:val="16"/>
        </w:rPr>
        <w:footnoteRef/>
      </w:r>
      <w:r w:rsidRPr="006B6B0C">
        <w:rPr>
          <w:sz w:val="16"/>
          <w:szCs w:val="16"/>
        </w:rPr>
        <w:t xml:space="preserve"> From the beginning.</w:t>
      </w:r>
    </w:p>
  </w:footnote>
  <w:footnote w:id="44">
    <w:p w:rsidR="00574661" w:rsidRPr="006B6B0C" w:rsidRDefault="00574661" w:rsidP="00574661">
      <w:pPr>
        <w:spacing w:after="0"/>
        <w:rPr>
          <w:rFonts w:ascii="Georgia" w:hAnsi="Georgia"/>
          <w:sz w:val="16"/>
          <w:szCs w:val="16"/>
        </w:rPr>
      </w:pPr>
      <w:r w:rsidRPr="006B6B0C">
        <w:rPr>
          <w:rStyle w:val="FootnoteReference"/>
          <w:rFonts w:ascii="Georgia" w:hAnsi="Georgia"/>
          <w:sz w:val="16"/>
          <w:szCs w:val="16"/>
        </w:rPr>
        <w:footnoteRef/>
      </w:r>
      <w:r w:rsidRPr="006B6B0C">
        <w:rPr>
          <w:rFonts w:ascii="Georgia" w:hAnsi="Georgia"/>
          <w:sz w:val="16"/>
          <w:szCs w:val="16"/>
        </w:rPr>
        <w:t xml:space="preserve">See </w:t>
      </w:r>
      <w:r w:rsidRPr="006B6B0C">
        <w:rPr>
          <w:rFonts w:ascii="Georgia" w:hAnsi="Georgia"/>
          <w:i/>
          <w:sz w:val="16"/>
          <w:szCs w:val="16"/>
        </w:rPr>
        <w:t>New Cap Reinsurance Corp Ltd v Faraday Underwriting Ltd</w:t>
      </w:r>
      <w:r w:rsidRPr="006B6B0C">
        <w:rPr>
          <w:rFonts w:ascii="Georgia" w:hAnsi="Georgia"/>
          <w:sz w:val="16"/>
          <w:szCs w:val="16"/>
        </w:rPr>
        <w:t xml:space="preserve"> (2003) 177 FLR 52 at 64 [24]; [2003] NSWSC 842.</w:t>
      </w:r>
    </w:p>
  </w:footnote>
  <w:footnote w:id="45">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See </w:t>
      </w:r>
      <w:r w:rsidRPr="006B6B0C">
        <w:rPr>
          <w:i/>
          <w:sz w:val="16"/>
          <w:szCs w:val="16"/>
        </w:rPr>
        <w:t xml:space="preserve">Steinberg v Herbert </w:t>
      </w:r>
      <w:r w:rsidRPr="006B6B0C">
        <w:rPr>
          <w:sz w:val="16"/>
          <w:szCs w:val="16"/>
        </w:rPr>
        <w:t xml:space="preserve">(1988) 14 ACLR 80. To this effect, the Court in </w:t>
      </w:r>
      <w:r w:rsidRPr="006B6B0C">
        <w:rPr>
          <w:i/>
          <w:sz w:val="16"/>
          <w:szCs w:val="16"/>
        </w:rPr>
        <w:t>Fisher</w:t>
      </w:r>
      <w:r w:rsidRPr="006B6B0C">
        <w:rPr>
          <w:sz w:val="16"/>
          <w:szCs w:val="16"/>
        </w:rPr>
        <w:t xml:space="preserve"> (2001) 54 NSWLR 179 at 188–9[29]; [2002] NSWCA 28 drew upon the words of Bryson J in</w:t>
      </w:r>
      <w:r w:rsidRPr="006B6B0C">
        <w:rPr>
          <w:rStyle w:val="apple-converted-space"/>
          <w:sz w:val="16"/>
          <w:szCs w:val="16"/>
        </w:rPr>
        <w:t> </w:t>
      </w:r>
      <w:r w:rsidRPr="006B6B0C">
        <w:rPr>
          <w:i/>
          <w:sz w:val="16"/>
          <w:szCs w:val="16"/>
        </w:rPr>
        <w:t>Whitton</w:t>
      </w:r>
      <w:r w:rsidRPr="006B6B0C">
        <w:rPr>
          <w:rStyle w:val="apple-converted-space"/>
          <w:sz w:val="16"/>
          <w:szCs w:val="16"/>
        </w:rPr>
        <w:t> </w:t>
      </w:r>
      <w:r w:rsidRPr="006B6B0C">
        <w:rPr>
          <w:sz w:val="16"/>
          <w:szCs w:val="16"/>
        </w:rPr>
        <w:t>(1996) 42 NSWLR 123</w:t>
      </w:r>
      <w:r w:rsidRPr="006B6B0C">
        <w:rPr>
          <w:sz w:val="16"/>
          <w:szCs w:val="16"/>
          <w:lang w:eastAsia="en-AU"/>
        </w:rPr>
        <w:t xml:space="preserve">; [1996] NSWSC 534 </w:t>
      </w:r>
      <w:r w:rsidRPr="006B6B0C">
        <w:rPr>
          <w:sz w:val="16"/>
          <w:szCs w:val="16"/>
        </w:rPr>
        <w:t>who commented: “</w:t>
      </w:r>
      <w:r w:rsidRPr="006B6B0C">
        <w:rPr>
          <w:i/>
          <w:sz w:val="16"/>
          <w:szCs w:val="16"/>
        </w:rPr>
        <w:t>t</w:t>
      </w:r>
      <w:r w:rsidRPr="006B6B0C">
        <w:rPr>
          <w:i/>
          <w:iCs/>
          <w:sz w:val="16"/>
          <w:szCs w:val="16"/>
        </w:rPr>
        <w:t>here must as a matter of implication and to avoid absurdity, be some ultimate limit to the time when a retrenchment payment becomes payable if it is to qualify for priority, notwithstanding the references to time in the definition of “retrenchment payment”. It is difficult to suppose that a retrenchment which occurred</w:t>
      </w:r>
      <w:r w:rsidRPr="006B6B0C">
        <w:rPr>
          <w:rStyle w:val="apple-converted-space"/>
          <w:i/>
          <w:iCs/>
          <w:sz w:val="16"/>
          <w:szCs w:val="16"/>
        </w:rPr>
        <w:t> </w:t>
      </w:r>
      <w:r w:rsidRPr="006B6B0C">
        <w:rPr>
          <w:sz w:val="16"/>
          <w:szCs w:val="16"/>
        </w:rPr>
        <w:t>[after]</w:t>
      </w:r>
      <w:r w:rsidRPr="006B6B0C">
        <w:rPr>
          <w:rStyle w:val="apple-converted-space"/>
          <w:sz w:val="16"/>
          <w:szCs w:val="16"/>
        </w:rPr>
        <w:t> </w:t>
      </w:r>
      <w:r w:rsidRPr="006B6B0C">
        <w:rPr>
          <w:i/>
          <w:iCs/>
          <w:sz w:val="16"/>
          <w:szCs w:val="16"/>
        </w:rPr>
        <w:t>a controller had completed his operations and accounted to all interested parties of whom he was aware would involve liability under section 433(3).</w:t>
      </w:r>
      <w:r w:rsidRPr="006B6B0C">
        <w:rPr>
          <w:sz w:val="16"/>
          <w:szCs w:val="16"/>
        </w:rPr>
        <w:t>”</w:t>
      </w:r>
    </w:p>
  </w:footnote>
  <w:footnote w:id="46">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BE Australia WD Pty Ltd (subject to a Deed of Company Arrangement) v Sutton </w:t>
      </w:r>
      <w:r w:rsidRPr="006B6B0C">
        <w:rPr>
          <w:sz w:val="16"/>
          <w:szCs w:val="16"/>
        </w:rPr>
        <w:t>(2011) 82 NSWLR 336 at 352 [70]; [2011] NSWCA 414.</w:t>
      </w:r>
    </w:p>
  </w:footnote>
  <w:footnote w:id="47">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Whitton</w:t>
      </w:r>
      <w:r w:rsidRPr="006B6B0C">
        <w:rPr>
          <w:rStyle w:val="apple-converted-space"/>
          <w:sz w:val="16"/>
          <w:szCs w:val="16"/>
        </w:rPr>
        <w:t> </w:t>
      </w:r>
      <w:r w:rsidRPr="006B6B0C">
        <w:rPr>
          <w:sz w:val="16"/>
          <w:szCs w:val="16"/>
        </w:rPr>
        <w:t xml:space="preserve">(1996) 42 NSWLR 123 at 148; [1996] </w:t>
      </w:r>
      <w:r w:rsidRPr="006B6B0C">
        <w:rPr>
          <w:sz w:val="16"/>
          <w:szCs w:val="16"/>
          <w:lang w:eastAsia="en-AU"/>
        </w:rPr>
        <w:t>NSWSC 534</w:t>
      </w:r>
      <w:r w:rsidRPr="006B6B0C">
        <w:rPr>
          <w:sz w:val="16"/>
          <w:szCs w:val="16"/>
        </w:rPr>
        <w:t xml:space="preserve">; </w:t>
      </w:r>
      <w:proofErr w:type="spellStart"/>
      <w:r w:rsidRPr="006B6B0C">
        <w:rPr>
          <w:i/>
          <w:sz w:val="16"/>
          <w:szCs w:val="16"/>
        </w:rPr>
        <w:t>ExDVD</w:t>
      </w:r>
      <w:proofErr w:type="spellEnd"/>
      <w:r w:rsidRPr="006B6B0C">
        <w:rPr>
          <w:i/>
          <w:sz w:val="16"/>
          <w:szCs w:val="16"/>
        </w:rPr>
        <w:t xml:space="preserve"> </w:t>
      </w:r>
      <w:r w:rsidRPr="006B6B0C">
        <w:rPr>
          <w:sz w:val="16"/>
          <w:szCs w:val="16"/>
        </w:rPr>
        <w:t>(2014) 223 FCR 409 at 416 [32]; [2014] FCA 696.</w:t>
      </w:r>
    </w:p>
  </w:footnote>
  <w:footnote w:id="48">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ExDVD</w:t>
      </w:r>
      <w:proofErr w:type="spellEnd"/>
      <w:r w:rsidRPr="006B6B0C">
        <w:rPr>
          <w:i/>
          <w:sz w:val="16"/>
          <w:szCs w:val="16"/>
        </w:rPr>
        <w:t xml:space="preserve"> </w:t>
      </w:r>
      <w:r w:rsidRPr="006B6B0C">
        <w:rPr>
          <w:sz w:val="16"/>
          <w:szCs w:val="16"/>
        </w:rPr>
        <w:t>(2014) 223 FCR 409 at 420 [48]; [2014] FCA 696.</w:t>
      </w:r>
    </w:p>
  </w:footnote>
  <w:footnote w:id="49">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ExDVD</w:t>
      </w:r>
      <w:proofErr w:type="spellEnd"/>
      <w:r w:rsidRPr="006B6B0C">
        <w:rPr>
          <w:i/>
          <w:sz w:val="16"/>
          <w:szCs w:val="16"/>
        </w:rPr>
        <w:t xml:space="preserve"> </w:t>
      </w:r>
      <w:r w:rsidRPr="006B6B0C">
        <w:rPr>
          <w:sz w:val="16"/>
          <w:szCs w:val="16"/>
        </w:rPr>
        <w:t>(2014) 223 FCR 409 at 416–20 [31]–[48]; [2014] FCA 696.</w:t>
      </w:r>
    </w:p>
  </w:footnote>
  <w:footnote w:id="50">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ExDVD</w:t>
      </w:r>
      <w:proofErr w:type="spellEnd"/>
      <w:r w:rsidRPr="006B6B0C">
        <w:rPr>
          <w:i/>
          <w:sz w:val="16"/>
          <w:szCs w:val="16"/>
        </w:rPr>
        <w:t xml:space="preserve"> </w:t>
      </w:r>
      <w:r w:rsidRPr="006B6B0C">
        <w:rPr>
          <w:sz w:val="16"/>
          <w:szCs w:val="16"/>
        </w:rPr>
        <w:t>(2014) 223 FCR 409 at 417 [36]; [2014] FCA 696.</w:t>
      </w:r>
    </w:p>
  </w:footnote>
  <w:footnote w:id="51">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ExDVD</w:t>
      </w:r>
      <w:proofErr w:type="spellEnd"/>
      <w:r w:rsidRPr="006B6B0C">
        <w:rPr>
          <w:i/>
          <w:sz w:val="16"/>
          <w:szCs w:val="16"/>
        </w:rPr>
        <w:t xml:space="preserve"> </w:t>
      </w:r>
      <w:r w:rsidRPr="006B6B0C">
        <w:rPr>
          <w:sz w:val="16"/>
          <w:szCs w:val="16"/>
        </w:rPr>
        <w:t xml:space="preserve">(2014) 223 FCR 409 at 416–17 [32], [37]; [2014] FCA 696; </w:t>
      </w:r>
      <w:r w:rsidRPr="006B6B0C">
        <w:rPr>
          <w:i/>
          <w:color w:val="000000"/>
          <w:sz w:val="16"/>
          <w:szCs w:val="16"/>
        </w:rPr>
        <w:t xml:space="preserve">McEvoy </w:t>
      </w:r>
      <w:r w:rsidRPr="006B6B0C">
        <w:rPr>
          <w:sz w:val="16"/>
          <w:szCs w:val="16"/>
        </w:rPr>
        <w:t>(2003) 130 FCR 503 at 513–14 [19], [21]; [2003] FCA 810.</w:t>
      </w:r>
    </w:p>
  </w:footnote>
  <w:footnote w:id="52">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color w:val="000000"/>
          <w:sz w:val="16"/>
          <w:szCs w:val="16"/>
        </w:rPr>
        <w:t xml:space="preserve">McEvoy </w:t>
      </w:r>
      <w:r w:rsidRPr="006B6B0C">
        <w:rPr>
          <w:sz w:val="16"/>
          <w:szCs w:val="16"/>
        </w:rPr>
        <w:t xml:space="preserve">(2003) 130 FCR 503 at 513–14 [19], [21]; [2003] FCA 810; Wellard M, “Debts ‘incurred’ by receivers, administrators and liquidators: The case for a harmonised construction of </w:t>
      </w:r>
      <w:proofErr w:type="spellStart"/>
      <w:r w:rsidRPr="006B6B0C">
        <w:rPr>
          <w:sz w:val="16"/>
          <w:szCs w:val="16"/>
        </w:rPr>
        <w:t>ss</w:t>
      </w:r>
      <w:proofErr w:type="spellEnd"/>
      <w:r w:rsidRPr="006B6B0C">
        <w:rPr>
          <w:sz w:val="16"/>
          <w:szCs w:val="16"/>
        </w:rPr>
        <w:t xml:space="preserve"> 419, 443A and 556(1</w:t>
      </w:r>
      <w:proofErr w:type="gramStart"/>
      <w:r w:rsidRPr="006B6B0C">
        <w:rPr>
          <w:sz w:val="16"/>
          <w:szCs w:val="16"/>
        </w:rPr>
        <w:t>)(</w:t>
      </w:r>
      <w:proofErr w:type="gramEnd"/>
      <w:r w:rsidRPr="006B6B0C">
        <w:rPr>
          <w:sz w:val="16"/>
          <w:szCs w:val="16"/>
        </w:rPr>
        <w:t xml:space="preserve">a) of the Corporations Act” (2013) 21 </w:t>
      </w:r>
      <w:proofErr w:type="spellStart"/>
      <w:r w:rsidRPr="006B6B0C">
        <w:rPr>
          <w:sz w:val="16"/>
          <w:szCs w:val="16"/>
        </w:rPr>
        <w:t>Insolv</w:t>
      </w:r>
      <w:proofErr w:type="spellEnd"/>
      <w:r w:rsidRPr="006B6B0C">
        <w:rPr>
          <w:sz w:val="16"/>
          <w:szCs w:val="16"/>
        </w:rPr>
        <w:t xml:space="preserve"> LJ 60 at 71.</w:t>
      </w:r>
    </w:p>
  </w:footnote>
  <w:footnote w:id="53">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Italiano</w:t>
      </w:r>
      <w:proofErr w:type="spellEnd"/>
      <w:r w:rsidRPr="006B6B0C">
        <w:rPr>
          <w:i/>
          <w:sz w:val="16"/>
          <w:szCs w:val="16"/>
        </w:rPr>
        <w:t xml:space="preserve"> </w:t>
      </w:r>
      <w:r w:rsidRPr="006B6B0C">
        <w:rPr>
          <w:sz w:val="16"/>
          <w:szCs w:val="16"/>
        </w:rPr>
        <w:t>(2010) 190 FCR 474 at 491 [70]; [2010] FCA 1355.</w:t>
      </w:r>
    </w:p>
  </w:footnote>
  <w:footnote w:id="54">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w:t>
      </w:r>
    </w:p>
  </w:footnote>
  <w:footnote w:id="55">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 492–3[79].</w:t>
      </w:r>
    </w:p>
  </w:footnote>
  <w:footnote w:id="56">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Ibid493 [80].</w:t>
      </w:r>
    </w:p>
  </w:footnote>
  <w:footnote w:id="57">
    <w:p w:rsidR="00574661" w:rsidRPr="006B6B0C" w:rsidRDefault="00574661" w:rsidP="00574661">
      <w:pPr>
        <w:pStyle w:val="FootnoteText"/>
        <w:rPr>
          <w:sz w:val="16"/>
          <w:szCs w:val="16"/>
        </w:rPr>
      </w:pPr>
      <w:r w:rsidRPr="006B6B0C">
        <w:rPr>
          <w:rStyle w:val="FootnoteReference"/>
          <w:rFonts w:eastAsiaTheme="majorEastAsia"/>
          <w:sz w:val="16"/>
          <w:szCs w:val="16"/>
        </w:rPr>
        <w:footnoteRef/>
      </w:r>
      <w:proofErr w:type="spellStart"/>
      <w:r w:rsidRPr="006B6B0C">
        <w:rPr>
          <w:i/>
          <w:sz w:val="16"/>
          <w:szCs w:val="16"/>
        </w:rPr>
        <w:t>Italiano</w:t>
      </w:r>
      <w:proofErr w:type="spellEnd"/>
      <w:r w:rsidRPr="006B6B0C">
        <w:rPr>
          <w:i/>
          <w:sz w:val="16"/>
          <w:szCs w:val="16"/>
        </w:rPr>
        <w:t xml:space="preserve"> </w:t>
      </w:r>
      <w:r w:rsidRPr="006B6B0C">
        <w:rPr>
          <w:sz w:val="16"/>
          <w:szCs w:val="16"/>
        </w:rPr>
        <w:t>(2010) 190 FCR 474 at 496 [98]; [2010] FCA 1355.</w:t>
      </w:r>
    </w:p>
  </w:footnote>
  <w:footnote w:id="58">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See Gentry L, “Clarification of employee entitlements in Insolvency – </w:t>
      </w:r>
      <w:r w:rsidRPr="006B6B0C">
        <w:rPr>
          <w:i/>
          <w:sz w:val="16"/>
          <w:szCs w:val="16"/>
        </w:rPr>
        <w:t xml:space="preserve">Re </w:t>
      </w:r>
      <w:proofErr w:type="spellStart"/>
      <w:r w:rsidRPr="006B6B0C">
        <w:rPr>
          <w:i/>
          <w:sz w:val="16"/>
          <w:szCs w:val="16"/>
        </w:rPr>
        <w:t>Divitkos</w:t>
      </w:r>
      <w:proofErr w:type="spellEnd"/>
      <w:r w:rsidRPr="006B6B0C">
        <w:rPr>
          <w:i/>
          <w:sz w:val="16"/>
          <w:szCs w:val="16"/>
        </w:rPr>
        <w:t xml:space="preserve">; </w:t>
      </w:r>
      <w:proofErr w:type="spellStart"/>
      <w:r w:rsidRPr="006B6B0C">
        <w:rPr>
          <w:i/>
          <w:sz w:val="16"/>
          <w:szCs w:val="16"/>
        </w:rPr>
        <w:t>ExDVD</w:t>
      </w:r>
      <w:proofErr w:type="spellEnd"/>
      <w:r w:rsidRPr="006B6B0C">
        <w:rPr>
          <w:i/>
          <w:sz w:val="16"/>
          <w:szCs w:val="16"/>
        </w:rPr>
        <w:t xml:space="preserve"> Pty Ltd (in </w:t>
      </w:r>
      <w:proofErr w:type="spellStart"/>
      <w:r w:rsidRPr="006B6B0C">
        <w:rPr>
          <w:i/>
          <w:sz w:val="16"/>
          <w:szCs w:val="16"/>
        </w:rPr>
        <w:t>liq</w:t>
      </w:r>
      <w:proofErr w:type="spellEnd"/>
      <w:r w:rsidRPr="006B6B0C">
        <w:rPr>
          <w:i/>
          <w:sz w:val="16"/>
          <w:szCs w:val="16"/>
        </w:rPr>
        <w:t>)</w:t>
      </w:r>
      <w:r w:rsidRPr="006B6B0C">
        <w:rPr>
          <w:sz w:val="16"/>
          <w:szCs w:val="16"/>
        </w:rPr>
        <w:t>” (2014) 15(5-6) INSLB 74.</w:t>
      </w:r>
    </w:p>
  </w:footnote>
  <w:footnote w:id="59">
    <w:p w:rsidR="00574661" w:rsidRPr="00CA152F" w:rsidRDefault="00574661" w:rsidP="00574661">
      <w:pPr>
        <w:pStyle w:val="FootnoteText"/>
        <w:rPr>
          <w:sz w:val="16"/>
          <w:szCs w:val="16"/>
        </w:rPr>
      </w:pPr>
      <w:r w:rsidRPr="006B6B0C">
        <w:rPr>
          <w:rStyle w:val="FootnoteReference"/>
          <w:sz w:val="16"/>
          <w:szCs w:val="16"/>
        </w:rPr>
        <w:footnoteRef/>
      </w:r>
      <w:r w:rsidRPr="006B6B0C">
        <w:rPr>
          <w:sz w:val="16"/>
          <w:szCs w:val="16"/>
        </w:rPr>
        <w:t xml:space="preserve"> See </w:t>
      </w:r>
      <w:proofErr w:type="spellStart"/>
      <w:r w:rsidRPr="006B6B0C">
        <w:rPr>
          <w:i/>
          <w:sz w:val="16"/>
          <w:szCs w:val="16"/>
        </w:rPr>
        <w:t>Italiano</w:t>
      </w:r>
      <w:proofErr w:type="spellEnd"/>
      <w:r w:rsidRPr="006B6B0C">
        <w:rPr>
          <w:i/>
          <w:sz w:val="16"/>
          <w:szCs w:val="16"/>
        </w:rPr>
        <w:t xml:space="preserve"> </w:t>
      </w:r>
      <w:r w:rsidRPr="006B6B0C">
        <w:rPr>
          <w:sz w:val="16"/>
          <w:szCs w:val="16"/>
        </w:rPr>
        <w:t xml:space="preserve">(2010) 190 FCR 474; [2010] FCA 1355; and </w:t>
      </w:r>
      <w:r w:rsidRPr="006B6B0C">
        <w:rPr>
          <w:i/>
          <w:sz w:val="16"/>
          <w:szCs w:val="16"/>
        </w:rPr>
        <w:t xml:space="preserve">Re Carter; </w:t>
      </w:r>
      <w:proofErr w:type="spellStart"/>
      <w:r w:rsidRPr="006B6B0C">
        <w:rPr>
          <w:i/>
          <w:sz w:val="16"/>
          <w:szCs w:val="16"/>
        </w:rPr>
        <w:t>Damilock</w:t>
      </w:r>
      <w:proofErr w:type="spellEnd"/>
      <w:r w:rsidRPr="006B6B0C">
        <w:rPr>
          <w:i/>
          <w:sz w:val="16"/>
          <w:szCs w:val="16"/>
        </w:rPr>
        <w:t xml:space="preserve"> Pty Ltd (in liquidation) </w:t>
      </w:r>
      <w:r w:rsidRPr="006B6B0C">
        <w:rPr>
          <w:sz w:val="16"/>
          <w:szCs w:val="16"/>
        </w:rPr>
        <w:t>[2012] FCA 1445.</w:t>
      </w:r>
    </w:p>
  </w:footnote>
  <w:footnote w:id="60">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Gentry L, “Still a Priority? Employee Entitlements in Insolvency” (2013) 25(1) Australian Insolvency Journal 8; </w:t>
      </w:r>
      <w:proofErr w:type="spellStart"/>
      <w:r w:rsidRPr="006B6B0C">
        <w:rPr>
          <w:i/>
          <w:sz w:val="16"/>
          <w:szCs w:val="16"/>
        </w:rPr>
        <w:t>ExDVD</w:t>
      </w:r>
      <w:proofErr w:type="spellEnd"/>
      <w:r w:rsidRPr="006B6B0C">
        <w:rPr>
          <w:i/>
          <w:sz w:val="16"/>
          <w:szCs w:val="16"/>
        </w:rPr>
        <w:t xml:space="preserve"> Pty Ltd (in </w:t>
      </w:r>
      <w:proofErr w:type="spellStart"/>
      <w:r w:rsidRPr="006B6B0C">
        <w:rPr>
          <w:i/>
          <w:sz w:val="16"/>
          <w:szCs w:val="16"/>
        </w:rPr>
        <w:t>liq</w:t>
      </w:r>
      <w:proofErr w:type="spellEnd"/>
      <w:r w:rsidRPr="006B6B0C">
        <w:rPr>
          <w:i/>
          <w:sz w:val="16"/>
          <w:szCs w:val="16"/>
        </w:rPr>
        <w:t xml:space="preserve">) </w:t>
      </w:r>
      <w:r w:rsidRPr="006B6B0C">
        <w:rPr>
          <w:sz w:val="16"/>
          <w:szCs w:val="16"/>
        </w:rPr>
        <w:t>(2014) 223 FCR 409 at [64]; [2014] FCA 696; O’Donovan J</w:t>
      </w:r>
      <w:r w:rsidRPr="006B6B0C">
        <w:rPr>
          <w:i/>
          <w:sz w:val="16"/>
          <w:szCs w:val="16"/>
        </w:rPr>
        <w:t>, Company Receivers and Administrators</w:t>
      </w:r>
      <w:r w:rsidRPr="006B6B0C">
        <w:rPr>
          <w:sz w:val="16"/>
          <w:szCs w:val="16"/>
        </w:rPr>
        <w:t>, (Thomson Reuters (Professional) Australia, 2015) 11-8064.</w:t>
      </w:r>
    </w:p>
  </w:footnote>
  <w:footnote w:id="61">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Associated Newspapers Ltd v </w:t>
      </w:r>
      <w:proofErr w:type="spellStart"/>
      <w:r w:rsidRPr="006B6B0C">
        <w:rPr>
          <w:i/>
          <w:sz w:val="16"/>
          <w:szCs w:val="16"/>
        </w:rPr>
        <w:t>Grinston</w:t>
      </w:r>
      <w:proofErr w:type="spellEnd"/>
      <w:r w:rsidRPr="006B6B0C">
        <w:rPr>
          <w:i/>
          <w:sz w:val="16"/>
          <w:szCs w:val="16"/>
        </w:rPr>
        <w:t xml:space="preserve"> </w:t>
      </w:r>
      <w:r w:rsidRPr="006B6B0C">
        <w:rPr>
          <w:sz w:val="16"/>
          <w:szCs w:val="16"/>
        </w:rPr>
        <w:t xml:space="preserve">(1949) 66 WN (NSW) 211; </w:t>
      </w:r>
      <w:r w:rsidRPr="006B6B0C">
        <w:rPr>
          <w:i/>
          <w:sz w:val="16"/>
          <w:szCs w:val="16"/>
        </w:rPr>
        <w:t xml:space="preserve">Re WorkCover Queensland </w:t>
      </w:r>
      <w:r w:rsidRPr="006B6B0C">
        <w:rPr>
          <w:sz w:val="16"/>
          <w:szCs w:val="16"/>
        </w:rPr>
        <w:t xml:space="preserve">[2000] 1 </w:t>
      </w:r>
      <w:proofErr w:type="spellStart"/>
      <w:r w:rsidRPr="006B6B0C">
        <w:rPr>
          <w:sz w:val="16"/>
          <w:szCs w:val="16"/>
        </w:rPr>
        <w:t>Qd</w:t>
      </w:r>
      <w:proofErr w:type="spellEnd"/>
      <w:r w:rsidRPr="006B6B0C">
        <w:rPr>
          <w:sz w:val="16"/>
          <w:szCs w:val="16"/>
        </w:rPr>
        <w:t xml:space="preserve"> R 107; [1998] QSC 32; O’Donovan J</w:t>
      </w:r>
      <w:r w:rsidRPr="006B6B0C">
        <w:rPr>
          <w:i/>
          <w:sz w:val="16"/>
          <w:szCs w:val="16"/>
        </w:rPr>
        <w:t>, Company Receivers and Administrators</w:t>
      </w:r>
      <w:r w:rsidRPr="006B6B0C">
        <w:rPr>
          <w:sz w:val="16"/>
          <w:szCs w:val="16"/>
        </w:rPr>
        <w:t>, (Thomson Reuters (Professional) Australia, 2015) 11-5061.</w:t>
      </w:r>
    </w:p>
  </w:footnote>
  <w:footnote w:id="62">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iCs/>
          <w:color w:val="000000"/>
          <w:sz w:val="16"/>
          <w:szCs w:val="16"/>
          <w:lang w:eastAsia="en-AU"/>
        </w:rPr>
        <w:t xml:space="preserve">Love </w:t>
      </w:r>
      <w:r w:rsidRPr="006B6B0C">
        <w:rPr>
          <w:color w:val="000000"/>
          <w:sz w:val="16"/>
          <w:szCs w:val="16"/>
          <w:lang w:eastAsia="en-AU"/>
        </w:rPr>
        <w:t xml:space="preserve">(1991) 33 AILR 406 (Young J); See generally </w:t>
      </w:r>
      <w:r w:rsidRPr="006B6B0C">
        <w:rPr>
          <w:sz w:val="16"/>
          <w:szCs w:val="16"/>
        </w:rPr>
        <w:t>O’Donovan J</w:t>
      </w:r>
      <w:r w:rsidRPr="006B6B0C">
        <w:rPr>
          <w:i/>
          <w:sz w:val="16"/>
          <w:szCs w:val="16"/>
        </w:rPr>
        <w:t>, Company Receivers and Administrators</w:t>
      </w:r>
      <w:r w:rsidRPr="006B6B0C">
        <w:rPr>
          <w:sz w:val="16"/>
          <w:szCs w:val="16"/>
        </w:rPr>
        <w:t>, (Thomson Reuters (Professional) Australia, 2015)11-5066.</w:t>
      </w:r>
    </w:p>
  </w:footnote>
  <w:footnote w:id="63">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Thus it was held that there was no s 419 personal liability for wages, superannuation and leave of absence entitlements which accrue or become due during the receivership in respect of employment contracts merely allowed to continue following the appointment of receivers: </w:t>
      </w:r>
      <w:r w:rsidRPr="006B6B0C">
        <w:rPr>
          <w:i/>
          <w:sz w:val="16"/>
          <w:szCs w:val="16"/>
        </w:rPr>
        <w:t xml:space="preserve">Vickers </w:t>
      </w:r>
      <w:r w:rsidRPr="006B6B0C">
        <w:rPr>
          <w:sz w:val="16"/>
          <w:szCs w:val="16"/>
        </w:rPr>
        <w:t xml:space="preserve">(2011) 109 FCR 569; [2011] FCA 10.See also </w:t>
      </w:r>
      <w:r w:rsidRPr="006B6B0C">
        <w:rPr>
          <w:i/>
          <w:sz w:val="16"/>
          <w:szCs w:val="16"/>
        </w:rPr>
        <w:t xml:space="preserve">Green v </w:t>
      </w:r>
      <w:proofErr w:type="spellStart"/>
      <w:r w:rsidRPr="006B6B0C">
        <w:rPr>
          <w:i/>
          <w:sz w:val="16"/>
          <w:szCs w:val="16"/>
        </w:rPr>
        <w:t>Giljohann</w:t>
      </w:r>
      <w:proofErr w:type="spellEnd"/>
      <w:r w:rsidRPr="006B6B0C">
        <w:rPr>
          <w:i/>
          <w:sz w:val="16"/>
          <w:szCs w:val="16"/>
        </w:rPr>
        <w:t xml:space="preserve"> </w:t>
      </w:r>
      <w:r w:rsidRPr="006B6B0C">
        <w:rPr>
          <w:sz w:val="16"/>
          <w:szCs w:val="16"/>
        </w:rPr>
        <w:t>(1995) 17 ACSR 518; O’Donovan J</w:t>
      </w:r>
      <w:r w:rsidRPr="006B6B0C">
        <w:rPr>
          <w:i/>
          <w:sz w:val="16"/>
          <w:szCs w:val="16"/>
        </w:rPr>
        <w:t>, Company Receivers and Administrators</w:t>
      </w:r>
      <w:r w:rsidRPr="006B6B0C">
        <w:rPr>
          <w:sz w:val="16"/>
          <w:szCs w:val="16"/>
        </w:rPr>
        <w:t>, (Thomson Reuters (Professional) Australia, 2015) 11-5067.</w:t>
      </w:r>
    </w:p>
  </w:footnote>
  <w:footnote w:id="64">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419(1).</w:t>
      </w:r>
    </w:p>
  </w:footnote>
  <w:footnote w:id="65">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color w:val="000000"/>
          <w:sz w:val="16"/>
          <w:szCs w:val="16"/>
        </w:rPr>
        <w:t xml:space="preserve">McEvoy </w:t>
      </w:r>
      <w:r w:rsidRPr="006B6B0C">
        <w:rPr>
          <w:sz w:val="16"/>
          <w:szCs w:val="16"/>
        </w:rPr>
        <w:t>(2003) 130 FCR 503 at 515 [26]; [2003] FCA 810.</w:t>
      </w:r>
    </w:p>
  </w:footnote>
  <w:footnote w:id="66">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w:t>
      </w:r>
    </w:p>
  </w:footnote>
  <w:footnote w:id="67">
    <w:p w:rsidR="00574661" w:rsidRPr="006B6B0C" w:rsidRDefault="00574661" w:rsidP="00574661">
      <w:pPr>
        <w:spacing w:after="0"/>
        <w:rPr>
          <w:rFonts w:ascii="Georgia" w:hAnsi="Georgia"/>
          <w:b/>
          <w:sz w:val="16"/>
          <w:szCs w:val="16"/>
        </w:rPr>
      </w:pPr>
      <w:r w:rsidRPr="006B6B0C">
        <w:rPr>
          <w:rStyle w:val="FootnoteReference"/>
          <w:rFonts w:ascii="Georgia" w:hAnsi="Georgia"/>
          <w:sz w:val="16"/>
          <w:szCs w:val="16"/>
        </w:rPr>
        <w:footnoteRef/>
      </w:r>
      <w:r w:rsidRPr="006B6B0C">
        <w:rPr>
          <w:rFonts w:ascii="Georgia" w:hAnsi="Georgia"/>
          <w:sz w:val="16"/>
          <w:szCs w:val="16"/>
        </w:rPr>
        <w:t>Gentry, n</w:t>
      </w:r>
      <w:r w:rsidR="006575AF">
        <w:rPr>
          <w:rFonts w:ascii="Georgia" w:hAnsi="Georgia"/>
          <w:sz w:val="16"/>
          <w:szCs w:val="16"/>
        </w:rPr>
        <w:t xml:space="preserve"> 60</w:t>
      </w:r>
      <w:r w:rsidRPr="006B6B0C">
        <w:rPr>
          <w:rFonts w:ascii="Georgia" w:hAnsi="Georgia"/>
          <w:sz w:val="16"/>
          <w:szCs w:val="16"/>
        </w:rPr>
        <w:t xml:space="preserve">. </w:t>
      </w:r>
    </w:p>
  </w:footnote>
  <w:footnote w:id="68">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435A.</w:t>
      </w:r>
    </w:p>
  </w:footnote>
  <w:footnote w:id="69">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 xml:space="preserve">Vickers </w:t>
      </w:r>
      <w:r w:rsidRPr="006B6B0C">
        <w:rPr>
          <w:sz w:val="16"/>
          <w:szCs w:val="16"/>
        </w:rPr>
        <w:t>(2011) 190 FCR 569 at 579 [62]; [2011] FCA 10.</w:t>
      </w:r>
    </w:p>
  </w:footnote>
  <w:footnote w:id="70">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Ibid.</w:t>
      </w:r>
    </w:p>
  </w:footnote>
  <w:footnote w:id="71">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sz w:val="16"/>
          <w:szCs w:val="16"/>
        </w:rPr>
        <w:t xml:space="preserve"> This practice appears to be acknowledged by Barker J in </w:t>
      </w:r>
      <w:r w:rsidRPr="006B6B0C">
        <w:rPr>
          <w:i/>
          <w:sz w:val="16"/>
          <w:szCs w:val="16"/>
        </w:rPr>
        <w:t>Vickers</w:t>
      </w:r>
      <w:r w:rsidRPr="006B6B0C">
        <w:rPr>
          <w:sz w:val="16"/>
          <w:szCs w:val="16"/>
        </w:rPr>
        <w:t xml:space="preserve"> (2011) 190 FCR 569 at 575–6[43]; [2011] FCA 10.</w:t>
      </w:r>
    </w:p>
  </w:footnote>
  <w:footnote w:id="72">
    <w:p w:rsidR="00574661" w:rsidRPr="006B6B0C" w:rsidRDefault="00574661" w:rsidP="00574661">
      <w:pPr>
        <w:spacing w:after="0"/>
        <w:rPr>
          <w:rFonts w:ascii="Georgia" w:hAnsi="Georgia"/>
          <w:b/>
          <w:sz w:val="16"/>
          <w:szCs w:val="16"/>
        </w:rPr>
      </w:pPr>
      <w:r w:rsidRPr="006B6B0C">
        <w:rPr>
          <w:rStyle w:val="FootnoteReference"/>
          <w:rFonts w:ascii="Georgia" w:hAnsi="Georgia"/>
          <w:sz w:val="16"/>
          <w:szCs w:val="16"/>
        </w:rPr>
        <w:footnoteRef/>
      </w:r>
      <w:r w:rsidRPr="006B6B0C">
        <w:rPr>
          <w:rFonts w:ascii="Georgia" w:hAnsi="Georgia"/>
          <w:sz w:val="16"/>
          <w:szCs w:val="16"/>
        </w:rPr>
        <w:t>Gentry, n</w:t>
      </w:r>
      <w:r w:rsidR="006575AF">
        <w:rPr>
          <w:rFonts w:ascii="Georgia" w:hAnsi="Georgia"/>
          <w:sz w:val="16"/>
          <w:szCs w:val="16"/>
        </w:rPr>
        <w:t>60</w:t>
      </w:r>
      <w:r w:rsidRPr="006B6B0C">
        <w:rPr>
          <w:rFonts w:ascii="Georgia" w:hAnsi="Georgia"/>
          <w:sz w:val="16"/>
          <w:szCs w:val="16"/>
        </w:rPr>
        <w:t>.</w:t>
      </w:r>
    </w:p>
  </w:footnote>
  <w:footnote w:id="73">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Vickers</w:t>
      </w:r>
      <w:r w:rsidRPr="006B6B0C">
        <w:rPr>
          <w:sz w:val="16"/>
          <w:szCs w:val="16"/>
        </w:rPr>
        <w:t xml:space="preserve"> (2011) 109 FCR 569 at 579 [63]; [2011] FCA 10.</w:t>
      </w:r>
    </w:p>
  </w:footnote>
  <w:footnote w:id="74">
    <w:p w:rsidR="00574661" w:rsidRPr="006B6B0C" w:rsidRDefault="00574661" w:rsidP="00574661">
      <w:pPr>
        <w:pStyle w:val="FootnoteText"/>
        <w:rPr>
          <w:sz w:val="16"/>
          <w:szCs w:val="16"/>
        </w:rPr>
      </w:pPr>
      <w:r w:rsidRPr="006B6B0C">
        <w:rPr>
          <w:rStyle w:val="FootnoteReference"/>
          <w:rFonts w:eastAsiaTheme="majorEastAsia"/>
          <w:sz w:val="16"/>
          <w:szCs w:val="16"/>
        </w:rPr>
        <w:footnoteRef/>
      </w:r>
      <w:r w:rsidRPr="006B6B0C">
        <w:rPr>
          <w:i/>
          <w:sz w:val="16"/>
          <w:szCs w:val="16"/>
        </w:rPr>
        <w:t>For the purpose of this proposed new provision the “relevant date” is as defined in Corporations Act 2001</w:t>
      </w:r>
      <w:r w:rsidRPr="006B6B0C">
        <w:rPr>
          <w:sz w:val="16"/>
          <w:szCs w:val="16"/>
        </w:rPr>
        <w:t xml:space="preserve"> (</w:t>
      </w:r>
      <w:proofErr w:type="spellStart"/>
      <w:r w:rsidRPr="006B6B0C">
        <w:rPr>
          <w:sz w:val="16"/>
          <w:szCs w:val="16"/>
        </w:rPr>
        <w:t>Cth</w:t>
      </w:r>
      <w:proofErr w:type="spellEnd"/>
      <w:r w:rsidRPr="006B6B0C">
        <w:rPr>
          <w:sz w:val="16"/>
          <w:szCs w:val="16"/>
        </w:rPr>
        <w:t>), s 433(9), being the date of the appointment of the receiver.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C22E5"/>
    <w:multiLevelType w:val="hybridMultilevel"/>
    <w:tmpl w:val="D506F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C91C83"/>
    <w:multiLevelType w:val="hybridMultilevel"/>
    <w:tmpl w:val="EC8C36DA"/>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2" w15:restartNumberingAfterBreak="0">
    <w:nsid w:val="3CBB08AD"/>
    <w:multiLevelType w:val="hybridMultilevel"/>
    <w:tmpl w:val="F5F2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5C0EDD"/>
    <w:multiLevelType w:val="hybridMultilevel"/>
    <w:tmpl w:val="C6240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AE2E59"/>
    <w:multiLevelType w:val="hybridMultilevel"/>
    <w:tmpl w:val="90BA9390"/>
    <w:lvl w:ilvl="0" w:tplc="0C09000F">
      <w:start w:val="1"/>
      <w:numFmt w:val="decimal"/>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23"/>
    <w:rsid w:val="00255AEE"/>
    <w:rsid w:val="002A1E61"/>
    <w:rsid w:val="0047354C"/>
    <w:rsid w:val="004B4123"/>
    <w:rsid w:val="0052639C"/>
    <w:rsid w:val="00574661"/>
    <w:rsid w:val="00613F84"/>
    <w:rsid w:val="006157A6"/>
    <w:rsid w:val="006575AF"/>
    <w:rsid w:val="0079295C"/>
    <w:rsid w:val="00810194"/>
    <w:rsid w:val="008B26ED"/>
    <w:rsid w:val="008B4618"/>
    <w:rsid w:val="0097560C"/>
    <w:rsid w:val="00A05C79"/>
    <w:rsid w:val="00A1572B"/>
    <w:rsid w:val="00B83B05"/>
    <w:rsid w:val="00D1754C"/>
    <w:rsid w:val="00E20BA6"/>
    <w:rsid w:val="00ED58A9"/>
    <w:rsid w:val="00EF42A3"/>
    <w:rsid w:val="00F36A8E"/>
    <w:rsid w:val="00F71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FB15B-1F07-49EE-A441-868DD27B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D58A9"/>
    <w:pPr>
      <w:spacing w:after="0" w:line="240" w:lineRule="auto"/>
    </w:pPr>
    <w:rPr>
      <w:sz w:val="20"/>
      <w:szCs w:val="20"/>
    </w:rPr>
  </w:style>
  <w:style w:type="character" w:customStyle="1" w:styleId="FootnoteTextChar">
    <w:name w:val="Footnote Text Char"/>
    <w:basedOn w:val="DefaultParagraphFont"/>
    <w:link w:val="FootnoteText"/>
    <w:semiHidden/>
    <w:rsid w:val="00ED58A9"/>
    <w:rPr>
      <w:sz w:val="20"/>
      <w:szCs w:val="20"/>
    </w:rPr>
  </w:style>
  <w:style w:type="character" w:styleId="FootnoteReference">
    <w:name w:val="footnote reference"/>
    <w:basedOn w:val="DefaultParagraphFont"/>
    <w:semiHidden/>
    <w:unhideWhenUsed/>
    <w:rsid w:val="00ED58A9"/>
    <w:rPr>
      <w:vertAlign w:val="superscript"/>
    </w:rPr>
  </w:style>
  <w:style w:type="character" w:customStyle="1" w:styleId="apple-converted-space">
    <w:name w:val="apple-converted-space"/>
    <w:basedOn w:val="DefaultParagraphFont"/>
    <w:rsid w:val="00574661"/>
  </w:style>
  <w:style w:type="paragraph" w:styleId="ListParagraph">
    <w:name w:val="List Paragraph"/>
    <w:basedOn w:val="Normal"/>
    <w:uiPriority w:val="34"/>
    <w:qFormat/>
    <w:rsid w:val="00574661"/>
    <w:pPr>
      <w:spacing w:after="200" w:line="276" w:lineRule="auto"/>
      <w:ind w:left="720"/>
      <w:contextualSpacing/>
    </w:pPr>
    <w:rPr>
      <w:rFonts w:ascii="Georgia" w:eastAsia="Times New Roman" w:hAnsi="Georgia" w:cs="Times New Roman"/>
      <w:szCs w:val="20"/>
    </w:rPr>
  </w:style>
  <w:style w:type="character" w:styleId="Hyperlink">
    <w:name w:val="Hyperlink"/>
    <w:basedOn w:val="DefaultParagraphFont"/>
    <w:uiPriority w:val="99"/>
    <w:unhideWhenUsed/>
    <w:rsid w:val="00574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f.symes@adelaide.edu.a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71" ma:contentTypeDescription=" " ma:contentTypeScope="" ma:versionID="412a1119644f3a9476de2eac4014642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2017MG-90-18154</_dlc_DocId>
    <TaxCatchAll xmlns="d4dd4adf-ddb3-46a3-8d7c-fab3fb2a6bc7">
      <Value>2</Value>
    </TaxCatchAll>
    <_dlc_DocIdUrl xmlns="d4dd4adf-ddb3-46a3-8d7c-fab3fb2a6bc7">
      <Url>http://tweb/sites/mg/fsd/_layouts/15/DocIdRedir.aspx?ID=2017MG-90-18154</Url>
      <Description>2017MG-90-18154</Description>
    </_dlc_DocIdUrl>
    <IconOverlay xmlns="http://schemas.microsoft.com/sharepoint/v4" xsi:nil="true"/>
  </documentManagement>
</p:properties>
</file>

<file path=customXml/itemProps1.xml><?xml version="1.0" encoding="utf-8"?>
<ds:datastoreItem xmlns:ds="http://schemas.openxmlformats.org/officeDocument/2006/customXml" ds:itemID="{D225332F-3F7C-4421-AE13-B202AF362C16}">
  <ds:schemaRefs>
    <ds:schemaRef ds:uri="http://schemas.openxmlformats.org/officeDocument/2006/bibliography"/>
  </ds:schemaRefs>
</ds:datastoreItem>
</file>

<file path=customXml/itemProps2.xml><?xml version="1.0" encoding="utf-8"?>
<ds:datastoreItem xmlns:ds="http://schemas.openxmlformats.org/officeDocument/2006/customXml" ds:itemID="{C4CA06B4-EBEC-403D-AD8A-B0358F84D397}"/>
</file>

<file path=customXml/itemProps3.xml><?xml version="1.0" encoding="utf-8"?>
<ds:datastoreItem xmlns:ds="http://schemas.openxmlformats.org/officeDocument/2006/customXml" ds:itemID="{C1C2955C-A314-4D45-95D9-D2A7256D208A}"/>
</file>

<file path=customXml/itemProps4.xml><?xml version="1.0" encoding="utf-8"?>
<ds:datastoreItem xmlns:ds="http://schemas.openxmlformats.org/officeDocument/2006/customXml" ds:itemID="{4874B568-C264-4E24-BDAD-D954CC17E626}"/>
</file>

<file path=customXml/itemProps5.xml><?xml version="1.0" encoding="utf-8"?>
<ds:datastoreItem xmlns:ds="http://schemas.openxmlformats.org/officeDocument/2006/customXml" ds:itemID="{B51BDE54-A018-42C3-97BF-4EBBB52EED64}"/>
</file>

<file path=customXml/itemProps6.xml><?xml version="1.0" encoding="utf-8"?>
<ds:datastoreItem xmlns:ds="http://schemas.openxmlformats.org/officeDocument/2006/customXml" ds:itemID="{DA761696-81CD-48F1-8F53-5973593E0BC5}"/>
</file>

<file path=customXml/itemProps7.xml><?xml version="1.0" encoding="utf-8"?>
<ds:datastoreItem xmlns:ds="http://schemas.openxmlformats.org/officeDocument/2006/customXml" ds:itemID="{7CB60939-5159-44EA-BCCE-AFF518CD1BFC}"/>
</file>

<file path=docProps/app.xml><?xml version="1.0" encoding="utf-8"?>
<Properties xmlns="http://schemas.openxmlformats.org/officeDocument/2006/extended-properties" xmlns:vt="http://schemas.openxmlformats.org/officeDocument/2006/docPropsVTypes">
  <Template>89FE0B32.dotm</Template>
  <TotalTime>24</TotalTime>
  <Pages>14</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Francis Symes</dc:creator>
  <cp:keywords/>
  <dc:description/>
  <cp:lastModifiedBy>Christopher Francis Symes</cp:lastModifiedBy>
  <cp:revision>3</cp:revision>
  <dcterms:created xsi:type="dcterms:W3CDTF">2017-06-15T05:03:00Z</dcterms:created>
  <dcterms:modified xsi:type="dcterms:W3CDTF">2017-06-15T05:33:00Z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0x010100E95D40E5DFEA714B90E88DB5CE07A6B500935D0CF8835BE447895972B43AB8EC93</vt:lpwstr>
  </property>
  <property fmtid="{D5CDD505-2E9C-101B-9397-08002B2CF9AE}" pid="3" name="TSYRecordClass">
    <vt:lpwstr>2;#TSY RA-9081 - Retain as national archives|bbf0bcde-1687-4ff2-bc57-f31b5d545d4b</vt:lpwstr>
  </property>
  <property fmtid="{D5CDD505-2E9C-101B-9397-08002B2CF9AE}" pid="4" name="_dlc_DocIdItemGuid">
    <vt:lpwstr>11ae0499-03ed-43d7-95f9-1ab9d1d3ca16</vt:lpwstr>
  </property>
</Properties>
</file>